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715A" w14:textId="64C71157" w:rsidR="00A760B3" w:rsidRPr="007837CC" w:rsidRDefault="00D13DF3" w:rsidP="00A760B3">
      <w:pPr>
        <w:pStyle w:val="BodyText"/>
      </w:pPr>
      <w:r w:rsidRPr="007837CC">
        <w:rPr>
          <w:noProof/>
        </w:rPr>
        <w:drawing>
          <wp:anchor distT="0" distB="0" distL="114300" distR="114300" simplePos="0" relativeHeight="251658240" behindDoc="0" locked="0" layoutInCell="1" allowOverlap="1" wp14:anchorId="43F11038" wp14:editId="47E5CB28">
            <wp:simplePos x="0" y="0"/>
            <wp:positionH relativeFrom="column">
              <wp:posOffset>-1106170</wp:posOffset>
            </wp:positionH>
            <wp:positionV relativeFrom="paragraph">
              <wp:posOffset>-3655002</wp:posOffset>
            </wp:positionV>
            <wp:extent cx="7606928" cy="1075716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7606928" cy="10757164"/>
                    </a:xfrm>
                    <a:prstGeom prst="rect">
                      <a:avLst/>
                    </a:prstGeom>
                  </pic:spPr>
                </pic:pic>
              </a:graphicData>
            </a:graphic>
            <wp14:sizeRelH relativeFrom="margin">
              <wp14:pctWidth>0</wp14:pctWidth>
            </wp14:sizeRelH>
            <wp14:sizeRelV relativeFrom="margin">
              <wp14:pctHeight>0</wp14:pctHeight>
            </wp14:sizeRelV>
          </wp:anchor>
        </w:drawing>
      </w:r>
    </w:p>
    <w:p w14:paraId="6B20BBC2" w14:textId="62D96F6C" w:rsidR="00A760B3" w:rsidRPr="007837CC" w:rsidRDefault="00A760B3" w:rsidP="00A760B3">
      <w:pPr>
        <w:pStyle w:val="BodyText"/>
        <w:sectPr w:rsidR="00A760B3" w:rsidRPr="007837CC" w:rsidSect="00B809C4">
          <w:headerReference w:type="even" r:id="rId13"/>
          <w:headerReference w:type="default" r:id="rId14"/>
          <w:footerReference w:type="even" r:id="rId15"/>
          <w:footerReference w:type="default" r:id="rId16"/>
          <w:pgSz w:w="11907" w:h="16840" w:code="9"/>
          <w:pgMar w:top="5670" w:right="1701" w:bottom="1701" w:left="1701" w:header="567" w:footer="1134" w:gutter="0"/>
          <w:cols w:space="720"/>
        </w:sectPr>
      </w:pPr>
    </w:p>
    <w:p w14:paraId="61CFEBF3" w14:textId="77777777" w:rsidR="00452EC4" w:rsidRPr="007837CC" w:rsidRDefault="00452EC4" w:rsidP="00775F57">
      <w:pPr>
        <w:pStyle w:val="Imprint"/>
        <w:spacing w:before="0" w:after="0"/>
        <w:rPr>
          <w:b/>
        </w:rPr>
      </w:pPr>
      <w:r w:rsidRPr="007837CC">
        <w:rPr>
          <w:b/>
        </w:rPr>
        <w:lastRenderedPageBreak/>
        <w:t>Disclaimer</w:t>
      </w:r>
    </w:p>
    <w:p w14:paraId="4581572A" w14:textId="4599C91D" w:rsidR="00F8259B" w:rsidRPr="007837CC" w:rsidRDefault="00F8259B" w:rsidP="00F6454B">
      <w:pPr>
        <w:pStyle w:val="BodyText"/>
      </w:pPr>
      <w:r w:rsidRPr="007837CC">
        <w:t>The information in this publication is, according to the Ministry for the Environment’s best efforts, accurate at the time of publication. The Ministry will make every reasonable effort to</w:t>
      </w:r>
      <w:r w:rsidR="00696DE5" w:rsidRPr="007837CC">
        <w:t> </w:t>
      </w:r>
      <w:r w:rsidRPr="007837CC">
        <w:t xml:space="preserve">keep it current and accurate. However, users of this publication are advised that: </w:t>
      </w:r>
    </w:p>
    <w:p w14:paraId="0DF9B430" w14:textId="77777777" w:rsidR="00F8259B" w:rsidRPr="007837CC" w:rsidRDefault="00F8259B" w:rsidP="00A760B3">
      <w:pPr>
        <w:pStyle w:val="Bullet"/>
      </w:pPr>
      <w:r w:rsidRPr="007837CC">
        <w:t xml:space="preserve">The information does not alter the laws of New Zealand, other official guidelines, or requirements. </w:t>
      </w:r>
    </w:p>
    <w:p w14:paraId="3F824551" w14:textId="77777777" w:rsidR="00F8259B" w:rsidRPr="007837CC" w:rsidRDefault="00F8259B" w:rsidP="00F6454B">
      <w:pPr>
        <w:pStyle w:val="Bullet"/>
      </w:pPr>
      <w:r w:rsidRPr="007837CC">
        <w:t xml:space="preserve">It does not constitute legal advice, and users should take specific advice from qualified professionals before taking any action based on information in this publication. </w:t>
      </w:r>
    </w:p>
    <w:p w14:paraId="03AA10E4" w14:textId="25BBDA99" w:rsidR="00F8259B" w:rsidRPr="007837CC" w:rsidRDefault="00F8259B" w:rsidP="00A760B3">
      <w:pPr>
        <w:pStyle w:val="Bullet"/>
      </w:pPr>
      <w:r w:rsidRPr="007837CC">
        <w:t xml:space="preserve">The Ministry does not accept any responsibility or liability whatsoever whether in contract, tort, equity, or otherwise for any action taken </w:t>
      </w:r>
      <w:proofErr w:type="gramStart"/>
      <w:r w:rsidRPr="007837CC">
        <w:t>as a result of</w:t>
      </w:r>
      <w:proofErr w:type="gramEnd"/>
      <w:r w:rsidRPr="007837CC">
        <w:t xml:space="preserve"> reading, or reliance placed on this publication because of having read any part, or all, of the information in this</w:t>
      </w:r>
      <w:r w:rsidR="00696DE5" w:rsidRPr="007837CC">
        <w:t> </w:t>
      </w:r>
      <w:r w:rsidRPr="007837CC">
        <w:t xml:space="preserve">publication or for any error, or inadequacy, deficiency, flaw in, or omission from the information in this publication. </w:t>
      </w:r>
    </w:p>
    <w:p w14:paraId="2E56B3DA" w14:textId="04EFE870" w:rsidR="00F8259B" w:rsidRPr="007837CC" w:rsidRDefault="00F8259B" w:rsidP="00A760B3">
      <w:pPr>
        <w:pStyle w:val="Bullet"/>
      </w:pPr>
      <w:r w:rsidRPr="007837CC">
        <w:t xml:space="preserve">All references to websites, </w:t>
      </w:r>
      <w:proofErr w:type="gramStart"/>
      <w:r w:rsidRPr="007837CC">
        <w:t>organisations</w:t>
      </w:r>
      <w:proofErr w:type="gramEnd"/>
      <w:r w:rsidRPr="007837CC">
        <w:t xml:space="preserve"> or people not within the Ministry are for convenience only and should not be taken as endorsement of those websites or information contained in those websites nor of organisations or people referred to.</w:t>
      </w:r>
    </w:p>
    <w:p w14:paraId="6E744011" w14:textId="77777777" w:rsidR="00452EC4" w:rsidRPr="007837CC" w:rsidRDefault="00452EC4" w:rsidP="00452EC4">
      <w:pPr>
        <w:pStyle w:val="Imprint"/>
      </w:pPr>
    </w:p>
    <w:p w14:paraId="02F3E3A0" w14:textId="77777777" w:rsidR="00452EC4" w:rsidRPr="007837CC" w:rsidRDefault="00452EC4" w:rsidP="00452EC4">
      <w:pPr>
        <w:pStyle w:val="Imprint"/>
      </w:pPr>
    </w:p>
    <w:p w14:paraId="61702546" w14:textId="3F86D8BF" w:rsidR="00452EC4" w:rsidRPr="007837CC" w:rsidRDefault="00452EC4" w:rsidP="00452EC4">
      <w:pPr>
        <w:pStyle w:val="Imprint"/>
      </w:pPr>
      <w:r w:rsidRPr="007837CC">
        <w:t xml:space="preserve">This </w:t>
      </w:r>
      <w:r w:rsidR="00775F57" w:rsidRPr="007837CC">
        <w:t>document</w:t>
      </w:r>
      <w:r w:rsidRPr="007837CC">
        <w:t xml:space="preserve"> may be cited as:</w:t>
      </w:r>
      <w:r w:rsidR="00775F57" w:rsidRPr="007837CC">
        <w:t xml:space="preserve"> Ministry for the Environment. </w:t>
      </w:r>
      <w:r w:rsidR="001B2363" w:rsidRPr="007837CC">
        <w:t>202</w:t>
      </w:r>
      <w:r w:rsidR="001D1BAF" w:rsidRPr="007837CC">
        <w:t>3</w:t>
      </w:r>
      <w:r w:rsidR="00775F57" w:rsidRPr="007837CC">
        <w:t xml:space="preserve">. </w:t>
      </w:r>
      <w:r w:rsidR="00D13DF3" w:rsidRPr="007837CC">
        <w:rPr>
          <w:i/>
        </w:rPr>
        <w:t>Annual updates</w:t>
      </w:r>
      <w:r w:rsidR="001B2363" w:rsidRPr="007837CC">
        <w:rPr>
          <w:i/>
        </w:rPr>
        <w:t xml:space="preserve"> to</w:t>
      </w:r>
      <w:r w:rsidR="007240CB" w:rsidRPr="007837CC">
        <w:rPr>
          <w:i/>
        </w:rPr>
        <w:t> </w:t>
      </w:r>
      <w:r w:rsidR="001B2363" w:rsidRPr="007837CC">
        <w:rPr>
          <w:i/>
        </w:rPr>
        <w:t>New Zealand Emissions Trading Scheme limit</w:t>
      </w:r>
      <w:r w:rsidR="001D1BAF" w:rsidRPr="007837CC">
        <w:rPr>
          <w:i/>
        </w:rPr>
        <w:t>s</w:t>
      </w:r>
      <w:r w:rsidR="001B2363" w:rsidRPr="007837CC">
        <w:rPr>
          <w:i/>
        </w:rPr>
        <w:t xml:space="preserve"> and price control settings for units 202</w:t>
      </w:r>
      <w:r w:rsidR="001D1BAF" w:rsidRPr="007837CC">
        <w:rPr>
          <w:i/>
        </w:rPr>
        <w:t>3</w:t>
      </w:r>
      <w:r w:rsidR="001B2363" w:rsidRPr="007837CC">
        <w:rPr>
          <w:i/>
        </w:rPr>
        <w:t>:</w:t>
      </w:r>
      <w:r w:rsidR="001B2363" w:rsidRPr="007837CC">
        <w:t xml:space="preserve"> </w:t>
      </w:r>
      <w:r w:rsidR="001B2363" w:rsidRPr="007837CC">
        <w:rPr>
          <w:i/>
        </w:rPr>
        <w:t>Consultation document</w:t>
      </w:r>
      <w:r w:rsidR="00775F57" w:rsidRPr="007837CC">
        <w:t>. Wellington: Ministry for the Environment.</w:t>
      </w:r>
    </w:p>
    <w:p w14:paraId="78923D7D" w14:textId="77777777" w:rsidR="00225830" w:rsidRPr="007837CC" w:rsidRDefault="00225830" w:rsidP="0080531E">
      <w:pPr>
        <w:pStyle w:val="Imprint"/>
      </w:pPr>
    </w:p>
    <w:p w14:paraId="3AC92B74" w14:textId="30E3EF83" w:rsidR="00163E51" w:rsidRDefault="00163E51" w:rsidP="00163E51">
      <w:pPr>
        <w:pStyle w:val="BodyText"/>
      </w:pPr>
      <w:r w:rsidRPr="00833F32">
        <w:rPr>
          <w:rStyle w:val="ui-provider"/>
          <w:b/>
          <w:bCs/>
        </w:rPr>
        <w:t xml:space="preserve">Correction </w:t>
      </w:r>
      <w:proofErr w:type="gramStart"/>
      <w:r w:rsidRPr="00833F32">
        <w:rPr>
          <w:rStyle w:val="ui-provider"/>
          <w:b/>
          <w:bCs/>
        </w:rPr>
        <w:t>note</w:t>
      </w:r>
      <w:proofErr w:type="gramEnd"/>
      <w:r w:rsidRPr="00833F32">
        <w:rPr>
          <w:rStyle w:val="ui-provider"/>
          <w:b/>
          <w:bCs/>
        </w:rPr>
        <w:t xml:space="preserve">: </w:t>
      </w:r>
      <w:r>
        <w:rPr>
          <w:rStyle w:val="ui-provider"/>
        </w:rPr>
        <w:t xml:space="preserve">This document was first published on 19 May 2023. An updated version was published on 24 May 2023 to correct minor errors in the calculation of some figures in </w:t>
      </w:r>
      <w:r>
        <w:rPr>
          <w:rStyle w:val="ui-provider"/>
          <w:b/>
          <w:bCs/>
        </w:rPr>
        <w:t>table</w:t>
      </w:r>
      <w:r w:rsidR="0099304F">
        <w:rPr>
          <w:rStyle w:val="ui-provider"/>
        </w:rPr>
        <w:t> </w:t>
      </w:r>
      <w:r>
        <w:rPr>
          <w:rStyle w:val="Strong"/>
        </w:rPr>
        <w:t xml:space="preserve">13: </w:t>
      </w:r>
      <w:r>
        <w:rPr>
          <w:b/>
          <w:bCs/>
        </w:rPr>
        <w:t xml:space="preserve">Auction reserve price under each option </w:t>
      </w:r>
      <w:r>
        <w:rPr>
          <w:rStyle w:val="ui-provider"/>
        </w:rPr>
        <w:t xml:space="preserve">and </w:t>
      </w:r>
      <w:r>
        <w:rPr>
          <w:rStyle w:val="ui-provider"/>
          <w:b/>
          <w:bCs/>
        </w:rPr>
        <w:t xml:space="preserve">table </w:t>
      </w:r>
      <w:r>
        <w:rPr>
          <w:rStyle w:val="Strong"/>
        </w:rPr>
        <w:t xml:space="preserve">16: </w:t>
      </w:r>
      <w:r>
        <w:rPr>
          <w:b/>
          <w:bCs/>
        </w:rPr>
        <w:t>Cost containment reserve trigger price options</w:t>
      </w:r>
      <w:r>
        <w:rPr>
          <w:rStyle w:val="ui-provider"/>
        </w:rPr>
        <w:t>. The relevant numbers have now been corrected and do not materially affect the options presented.</w:t>
      </w:r>
    </w:p>
    <w:p w14:paraId="388563DE" w14:textId="77777777" w:rsidR="00A760B3" w:rsidRPr="007837CC" w:rsidRDefault="00A760B3" w:rsidP="0080531E">
      <w:pPr>
        <w:pStyle w:val="Imprint"/>
      </w:pPr>
    </w:p>
    <w:p w14:paraId="372FB77A" w14:textId="77777777" w:rsidR="009923CB" w:rsidRPr="007837CC" w:rsidRDefault="009923CB" w:rsidP="0080531E">
      <w:pPr>
        <w:pStyle w:val="Imprint"/>
      </w:pPr>
    </w:p>
    <w:p w14:paraId="08E18836" w14:textId="77777777" w:rsidR="00A760B3" w:rsidRPr="007837CC" w:rsidRDefault="00A760B3" w:rsidP="0080531E">
      <w:pPr>
        <w:pStyle w:val="Imprint"/>
      </w:pPr>
    </w:p>
    <w:p w14:paraId="3D76F8B6" w14:textId="15A8755E" w:rsidR="0080531E" w:rsidRPr="007837CC" w:rsidRDefault="0080531E" w:rsidP="00F6454B">
      <w:pPr>
        <w:pStyle w:val="Imprint"/>
        <w:spacing w:before="0"/>
      </w:pPr>
      <w:r w:rsidRPr="007837CC">
        <w:t xml:space="preserve">Published </w:t>
      </w:r>
      <w:r w:rsidRPr="007212F8">
        <w:t xml:space="preserve">in </w:t>
      </w:r>
      <w:r w:rsidR="007212F8">
        <w:t>May</w:t>
      </w:r>
      <w:r w:rsidRPr="007837CC">
        <w:t xml:space="preserve"> </w:t>
      </w:r>
      <w:r w:rsidR="009D2A45">
        <w:t xml:space="preserve">by </w:t>
      </w:r>
      <w:r w:rsidRPr="007837CC">
        <w:t>the</w:t>
      </w:r>
      <w:r w:rsidRPr="007837CC">
        <w:br/>
        <w:t xml:space="preserve">Ministry for the Environment </w:t>
      </w:r>
      <w:r w:rsidRPr="007837CC">
        <w:br/>
      </w:r>
      <w:proofErr w:type="spellStart"/>
      <w:r w:rsidRPr="007837CC">
        <w:t>Manatū</w:t>
      </w:r>
      <w:proofErr w:type="spellEnd"/>
      <w:r w:rsidRPr="007837CC">
        <w:t xml:space="preserve"> </w:t>
      </w:r>
      <w:proofErr w:type="spellStart"/>
      <w:r w:rsidR="007212F8">
        <w:t>m</w:t>
      </w:r>
      <w:r w:rsidRPr="007837CC">
        <w:t>ō</w:t>
      </w:r>
      <w:proofErr w:type="spellEnd"/>
      <w:r w:rsidRPr="007837CC">
        <w:t xml:space="preserve"> </w:t>
      </w:r>
      <w:proofErr w:type="spellStart"/>
      <w:r w:rsidR="007212F8">
        <w:t>t</w:t>
      </w:r>
      <w:r w:rsidRPr="007837CC">
        <w:t>e</w:t>
      </w:r>
      <w:proofErr w:type="spellEnd"/>
      <w:r w:rsidRPr="007837CC">
        <w:t xml:space="preserve"> </w:t>
      </w:r>
      <w:proofErr w:type="spellStart"/>
      <w:r w:rsidRPr="007837CC">
        <w:t>Taiao</w:t>
      </w:r>
      <w:proofErr w:type="spellEnd"/>
      <w:r w:rsidRPr="007837CC">
        <w:br/>
        <w:t>PO Box 10362, Wellington 6143, New Zealand</w:t>
      </w:r>
    </w:p>
    <w:p w14:paraId="0B24D798" w14:textId="1D86FE32" w:rsidR="0080531E" w:rsidRPr="007837CC" w:rsidRDefault="0080531E" w:rsidP="0030012E">
      <w:pPr>
        <w:pStyle w:val="Imprint"/>
      </w:pPr>
      <w:r w:rsidRPr="007837CC">
        <w:t xml:space="preserve">ISBN: </w:t>
      </w:r>
      <w:r w:rsidR="007212F8" w:rsidRPr="00877EE2">
        <w:t>978-1-991077-55-4</w:t>
      </w:r>
      <w:r w:rsidR="0030012E" w:rsidRPr="007837CC">
        <w:br/>
      </w:r>
      <w:r w:rsidRPr="007837CC">
        <w:t xml:space="preserve">Publication number: ME </w:t>
      </w:r>
      <w:r w:rsidR="007212F8">
        <w:t>1767</w:t>
      </w:r>
    </w:p>
    <w:p w14:paraId="1F6FAA14" w14:textId="4063714F" w:rsidR="0080531E" w:rsidRPr="007837CC" w:rsidRDefault="0080531E" w:rsidP="00593E94">
      <w:pPr>
        <w:pStyle w:val="Imprint"/>
        <w:spacing w:after="80"/>
      </w:pPr>
      <w:r w:rsidRPr="007837CC">
        <w:t xml:space="preserve">© Crown copyright New Zealand </w:t>
      </w:r>
      <w:r w:rsidR="00A760B3" w:rsidRPr="007837CC">
        <w:t>202</w:t>
      </w:r>
      <w:r w:rsidR="001D1BAF" w:rsidRPr="007837CC">
        <w:t>3</w:t>
      </w:r>
    </w:p>
    <w:p w14:paraId="3A9401E5" w14:textId="3335DB46" w:rsidR="00A84FE1" w:rsidRPr="007837CC" w:rsidRDefault="0080531E" w:rsidP="00A84FE1">
      <w:pPr>
        <w:pStyle w:val="Imprint"/>
        <w:spacing w:before="240" w:after="0"/>
      </w:pPr>
      <w:r w:rsidRPr="007837CC">
        <w:t>This document is available on the Ministry for</w:t>
      </w:r>
      <w:r w:rsidR="004C4E8A" w:rsidRPr="007837CC">
        <w:t xml:space="preserve"> the Environment </w:t>
      </w:r>
      <w:r w:rsidR="00CB557F" w:rsidRPr="007837CC">
        <w:t>website</w:t>
      </w:r>
      <w:r w:rsidRPr="007837CC">
        <w:t>:</w:t>
      </w:r>
      <w:r w:rsidR="00396ED5" w:rsidRPr="007837CC">
        <w:t xml:space="preserve"> </w:t>
      </w:r>
      <w:hyperlink r:id="rId17" w:history="1">
        <w:r w:rsidR="00474E30" w:rsidRPr="007837CC">
          <w:rPr>
            <w:rStyle w:val="Hyperlink"/>
          </w:rPr>
          <w:t>environment.govt.nz</w:t>
        </w:r>
      </w:hyperlink>
      <w:r w:rsidR="00B51610" w:rsidRPr="007837CC">
        <w:rPr>
          <w:rStyle w:val="Hyperlink"/>
          <w:color w:val="auto"/>
        </w:rPr>
        <w:t>.</w:t>
      </w:r>
    </w:p>
    <w:p w14:paraId="5B196F3A" w14:textId="77777777" w:rsidR="0080531E" w:rsidRPr="007837CC" w:rsidRDefault="0080531E" w:rsidP="00A84FE1">
      <w:pPr>
        <w:sectPr w:rsidR="0080531E" w:rsidRPr="007837CC" w:rsidSect="00E21D4D">
          <w:headerReference w:type="even" r:id="rId18"/>
          <w:headerReference w:type="default" r:id="rId19"/>
          <w:footerReference w:type="even" r:id="rId20"/>
          <w:footerReference w:type="default" r:id="rId21"/>
          <w:pgSz w:w="11907" w:h="16840" w:code="9"/>
          <w:pgMar w:top="1134" w:right="1701" w:bottom="1134" w:left="1701" w:header="567" w:footer="567" w:gutter="0"/>
          <w:pgNumType w:fmt="lowerRoman"/>
          <w:cols w:space="720"/>
        </w:sectPr>
      </w:pPr>
    </w:p>
    <w:p w14:paraId="79CCF762" w14:textId="29AC4F35" w:rsidR="0080531E" w:rsidRPr="007837CC" w:rsidRDefault="0080531E" w:rsidP="00F76C69">
      <w:pPr>
        <w:pStyle w:val="Heading"/>
      </w:pPr>
      <w:r w:rsidRPr="007837CC">
        <w:lastRenderedPageBreak/>
        <w:t>Contents</w:t>
      </w:r>
    </w:p>
    <w:p w14:paraId="47596796" w14:textId="58FB0A6A" w:rsidR="001D5723" w:rsidRDefault="00775F57">
      <w:pPr>
        <w:pStyle w:val="TOC1"/>
        <w:rPr>
          <w:rFonts w:asciiTheme="minorHAnsi" w:eastAsiaTheme="minorEastAsia" w:hAnsiTheme="minorHAnsi" w:cstheme="minorBidi"/>
        </w:rPr>
      </w:pPr>
      <w:r w:rsidRPr="007837CC">
        <w:rPr>
          <w:noProof w:val="0"/>
          <w:color w:val="0092CF"/>
          <w:shd w:val="clear" w:color="auto" w:fill="E6E6E6"/>
        </w:rPr>
        <w:fldChar w:fldCharType="begin"/>
      </w:r>
      <w:r w:rsidRPr="007837CC">
        <w:rPr>
          <w:noProof w:val="0"/>
          <w:color w:val="0092CF"/>
        </w:rPr>
        <w:instrText xml:space="preserve"> TOC \h \z \t "Heading 1,1,Heading 2,2" </w:instrText>
      </w:r>
      <w:r w:rsidRPr="007837CC">
        <w:rPr>
          <w:noProof w:val="0"/>
          <w:color w:val="0092CF"/>
          <w:shd w:val="clear" w:color="auto" w:fill="E6E6E6"/>
        </w:rPr>
        <w:fldChar w:fldCharType="separate"/>
      </w:r>
      <w:hyperlink w:anchor="_Toc135300650" w:history="1">
        <w:r w:rsidR="001D5723" w:rsidRPr="00B11A80">
          <w:rPr>
            <w:rStyle w:val="Hyperlink"/>
          </w:rPr>
          <w:t>Abbreviations used</w:t>
        </w:r>
        <w:r w:rsidR="001D5723">
          <w:rPr>
            <w:webHidden/>
          </w:rPr>
          <w:tab/>
        </w:r>
        <w:r w:rsidR="001D5723">
          <w:rPr>
            <w:webHidden/>
          </w:rPr>
          <w:fldChar w:fldCharType="begin"/>
        </w:r>
        <w:r w:rsidR="001D5723">
          <w:rPr>
            <w:webHidden/>
          </w:rPr>
          <w:instrText xml:space="preserve"> PAGEREF _Toc135300650 \h </w:instrText>
        </w:r>
        <w:r w:rsidR="001D5723">
          <w:rPr>
            <w:webHidden/>
          </w:rPr>
        </w:r>
        <w:r w:rsidR="001D5723">
          <w:rPr>
            <w:webHidden/>
          </w:rPr>
          <w:fldChar w:fldCharType="separate"/>
        </w:r>
        <w:r w:rsidR="00BA4B19">
          <w:rPr>
            <w:webHidden/>
          </w:rPr>
          <w:t>5</w:t>
        </w:r>
        <w:r w:rsidR="001D5723">
          <w:rPr>
            <w:webHidden/>
          </w:rPr>
          <w:fldChar w:fldCharType="end"/>
        </w:r>
      </w:hyperlink>
    </w:p>
    <w:p w14:paraId="4BE7BA1D" w14:textId="73B0BA40" w:rsidR="001D5723" w:rsidRDefault="00833F32">
      <w:pPr>
        <w:pStyle w:val="TOC1"/>
        <w:rPr>
          <w:rFonts w:asciiTheme="minorHAnsi" w:eastAsiaTheme="minorEastAsia" w:hAnsiTheme="minorHAnsi" w:cstheme="minorBidi"/>
        </w:rPr>
      </w:pPr>
      <w:hyperlink w:anchor="_Toc135300651" w:history="1">
        <w:r w:rsidR="001D5723" w:rsidRPr="00B11A80">
          <w:rPr>
            <w:rStyle w:val="Hyperlink"/>
          </w:rPr>
          <w:t>About this consultation</w:t>
        </w:r>
        <w:r w:rsidR="001D5723">
          <w:rPr>
            <w:webHidden/>
          </w:rPr>
          <w:tab/>
        </w:r>
        <w:r w:rsidR="001D5723">
          <w:rPr>
            <w:webHidden/>
          </w:rPr>
          <w:fldChar w:fldCharType="begin"/>
        </w:r>
        <w:r w:rsidR="001D5723">
          <w:rPr>
            <w:webHidden/>
          </w:rPr>
          <w:instrText xml:space="preserve"> PAGEREF _Toc135300651 \h </w:instrText>
        </w:r>
        <w:r w:rsidR="001D5723">
          <w:rPr>
            <w:webHidden/>
          </w:rPr>
        </w:r>
        <w:r w:rsidR="001D5723">
          <w:rPr>
            <w:webHidden/>
          </w:rPr>
          <w:fldChar w:fldCharType="separate"/>
        </w:r>
        <w:r w:rsidR="00BA4B19">
          <w:rPr>
            <w:webHidden/>
          </w:rPr>
          <w:t>6</w:t>
        </w:r>
        <w:r w:rsidR="001D5723">
          <w:rPr>
            <w:webHidden/>
          </w:rPr>
          <w:fldChar w:fldCharType="end"/>
        </w:r>
      </w:hyperlink>
    </w:p>
    <w:p w14:paraId="13DBCE91" w14:textId="63130A67" w:rsidR="001D5723" w:rsidRDefault="00833F32">
      <w:pPr>
        <w:pStyle w:val="TOC2"/>
        <w:rPr>
          <w:rFonts w:asciiTheme="minorHAnsi" w:eastAsiaTheme="minorEastAsia" w:hAnsiTheme="minorHAnsi" w:cstheme="minorBidi"/>
          <w:noProof/>
        </w:rPr>
      </w:pPr>
      <w:hyperlink w:anchor="_Toc135300652" w:history="1">
        <w:r w:rsidR="001D5723" w:rsidRPr="00B11A80">
          <w:rPr>
            <w:rStyle w:val="Hyperlink"/>
            <w:noProof/>
          </w:rPr>
          <w:t>Background</w:t>
        </w:r>
        <w:r w:rsidR="001D5723">
          <w:rPr>
            <w:noProof/>
            <w:webHidden/>
          </w:rPr>
          <w:tab/>
        </w:r>
        <w:r w:rsidR="001D5723">
          <w:rPr>
            <w:noProof/>
            <w:webHidden/>
          </w:rPr>
          <w:fldChar w:fldCharType="begin"/>
        </w:r>
        <w:r w:rsidR="001D5723">
          <w:rPr>
            <w:noProof/>
            <w:webHidden/>
          </w:rPr>
          <w:instrText xml:space="preserve"> PAGEREF _Toc135300652 \h </w:instrText>
        </w:r>
        <w:r w:rsidR="001D5723">
          <w:rPr>
            <w:noProof/>
            <w:webHidden/>
          </w:rPr>
        </w:r>
        <w:r w:rsidR="001D5723">
          <w:rPr>
            <w:noProof/>
            <w:webHidden/>
          </w:rPr>
          <w:fldChar w:fldCharType="separate"/>
        </w:r>
        <w:r w:rsidR="00BA4B19">
          <w:rPr>
            <w:noProof/>
            <w:webHidden/>
          </w:rPr>
          <w:t>6</w:t>
        </w:r>
        <w:r w:rsidR="001D5723">
          <w:rPr>
            <w:noProof/>
            <w:webHidden/>
          </w:rPr>
          <w:fldChar w:fldCharType="end"/>
        </w:r>
      </w:hyperlink>
    </w:p>
    <w:p w14:paraId="729056F5" w14:textId="76542B77" w:rsidR="001D5723" w:rsidRDefault="00833F32">
      <w:pPr>
        <w:pStyle w:val="TOC2"/>
        <w:rPr>
          <w:rFonts w:asciiTheme="minorHAnsi" w:eastAsiaTheme="minorEastAsia" w:hAnsiTheme="minorHAnsi" w:cstheme="minorBidi"/>
          <w:noProof/>
        </w:rPr>
      </w:pPr>
      <w:hyperlink w:anchor="_Toc135300653" w:history="1">
        <w:r w:rsidR="001D5723" w:rsidRPr="00B11A80">
          <w:rPr>
            <w:rStyle w:val="Hyperlink"/>
            <w:noProof/>
          </w:rPr>
          <w:t>The role of the NZ ETS, emissions budgets, and the emissions reduction plan</w:t>
        </w:r>
        <w:r w:rsidR="001D5723">
          <w:rPr>
            <w:noProof/>
            <w:webHidden/>
          </w:rPr>
          <w:tab/>
        </w:r>
        <w:r w:rsidR="001D5723">
          <w:rPr>
            <w:noProof/>
            <w:webHidden/>
          </w:rPr>
          <w:fldChar w:fldCharType="begin"/>
        </w:r>
        <w:r w:rsidR="001D5723">
          <w:rPr>
            <w:noProof/>
            <w:webHidden/>
          </w:rPr>
          <w:instrText xml:space="preserve"> PAGEREF _Toc135300653 \h </w:instrText>
        </w:r>
        <w:r w:rsidR="001D5723">
          <w:rPr>
            <w:noProof/>
            <w:webHidden/>
          </w:rPr>
        </w:r>
        <w:r w:rsidR="001D5723">
          <w:rPr>
            <w:noProof/>
            <w:webHidden/>
          </w:rPr>
          <w:fldChar w:fldCharType="separate"/>
        </w:r>
        <w:r w:rsidR="00BA4B19">
          <w:rPr>
            <w:noProof/>
            <w:webHidden/>
          </w:rPr>
          <w:t>7</w:t>
        </w:r>
        <w:r w:rsidR="001D5723">
          <w:rPr>
            <w:noProof/>
            <w:webHidden/>
          </w:rPr>
          <w:fldChar w:fldCharType="end"/>
        </w:r>
      </w:hyperlink>
    </w:p>
    <w:p w14:paraId="2664DD62" w14:textId="261A823C" w:rsidR="001D5723" w:rsidRDefault="00833F32">
      <w:pPr>
        <w:pStyle w:val="TOC2"/>
        <w:rPr>
          <w:rFonts w:asciiTheme="minorHAnsi" w:eastAsiaTheme="minorEastAsia" w:hAnsiTheme="minorHAnsi" w:cstheme="minorBidi"/>
          <w:noProof/>
        </w:rPr>
      </w:pPr>
      <w:hyperlink w:anchor="_Toc135300654" w:history="1">
        <w:r w:rsidR="001D5723" w:rsidRPr="00B11A80">
          <w:rPr>
            <w:rStyle w:val="Hyperlink"/>
            <w:noProof/>
          </w:rPr>
          <w:t>Scope of regulations being consulted on</w:t>
        </w:r>
        <w:r w:rsidR="001D5723">
          <w:rPr>
            <w:noProof/>
            <w:webHidden/>
          </w:rPr>
          <w:tab/>
        </w:r>
        <w:r w:rsidR="001D5723">
          <w:rPr>
            <w:noProof/>
            <w:webHidden/>
          </w:rPr>
          <w:fldChar w:fldCharType="begin"/>
        </w:r>
        <w:r w:rsidR="001D5723">
          <w:rPr>
            <w:noProof/>
            <w:webHidden/>
          </w:rPr>
          <w:instrText xml:space="preserve"> PAGEREF _Toc135300654 \h </w:instrText>
        </w:r>
        <w:r w:rsidR="001D5723">
          <w:rPr>
            <w:noProof/>
            <w:webHidden/>
          </w:rPr>
        </w:r>
        <w:r w:rsidR="001D5723">
          <w:rPr>
            <w:noProof/>
            <w:webHidden/>
          </w:rPr>
          <w:fldChar w:fldCharType="separate"/>
        </w:r>
        <w:r w:rsidR="00BA4B19">
          <w:rPr>
            <w:noProof/>
            <w:webHidden/>
          </w:rPr>
          <w:t>8</w:t>
        </w:r>
        <w:r w:rsidR="001D5723">
          <w:rPr>
            <w:noProof/>
            <w:webHidden/>
          </w:rPr>
          <w:fldChar w:fldCharType="end"/>
        </w:r>
      </w:hyperlink>
    </w:p>
    <w:p w14:paraId="068DAD21" w14:textId="261F818F" w:rsidR="001D5723" w:rsidRDefault="00833F32">
      <w:pPr>
        <w:pStyle w:val="TOC2"/>
        <w:rPr>
          <w:rFonts w:asciiTheme="minorHAnsi" w:eastAsiaTheme="minorEastAsia" w:hAnsiTheme="minorHAnsi" w:cstheme="minorBidi"/>
          <w:noProof/>
        </w:rPr>
      </w:pPr>
      <w:hyperlink w:anchor="_Toc135300655" w:history="1">
        <w:r w:rsidR="001D5723" w:rsidRPr="00B11A80">
          <w:rPr>
            <w:rStyle w:val="Hyperlink"/>
            <w:rFonts w:eastAsia="Georgia"/>
            <w:noProof/>
          </w:rPr>
          <w:t>Objectives for updating NZ ETS unit settings</w:t>
        </w:r>
        <w:r w:rsidR="001D5723">
          <w:rPr>
            <w:noProof/>
            <w:webHidden/>
          </w:rPr>
          <w:tab/>
        </w:r>
        <w:r w:rsidR="001D5723">
          <w:rPr>
            <w:noProof/>
            <w:webHidden/>
          </w:rPr>
          <w:fldChar w:fldCharType="begin"/>
        </w:r>
        <w:r w:rsidR="001D5723">
          <w:rPr>
            <w:noProof/>
            <w:webHidden/>
          </w:rPr>
          <w:instrText xml:space="preserve"> PAGEREF _Toc135300655 \h </w:instrText>
        </w:r>
        <w:r w:rsidR="001D5723">
          <w:rPr>
            <w:noProof/>
            <w:webHidden/>
          </w:rPr>
        </w:r>
        <w:r w:rsidR="001D5723">
          <w:rPr>
            <w:noProof/>
            <w:webHidden/>
          </w:rPr>
          <w:fldChar w:fldCharType="separate"/>
        </w:r>
        <w:r w:rsidR="00BA4B19">
          <w:rPr>
            <w:noProof/>
            <w:webHidden/>
          </w:rPr>
          <w:t>9</w:t>
        </w:r>
        <w:r w:rsidR="001D5723">
          <w:rPr>
            <w:noProof/>
            <w:webHidden/>
          </w:rPr>
          <w:fldChar w:fldCharType="end"/>
        </w:r>
      </w:hyperlink>
    </w:p>
    <w:p w14:paraId="04378B22" w14:textId="7AA6E7A2" w:rsidR="001D5723" w:rsidRDefault="00833F32">
      <w:pPr>
        <w:pStyle w:val="TOC2"/>
        <w:rPr>
          <w:rFonts w:asciiTheme="minorHAnsi" w:eastAsiaTheme="minorEastAsia" w:hAnsiTheme="minorHAnsi" w:cstheme="minorBidi"/>
          <w:noProof/>
        </w:rPr>
      </w:pPr>
      <w:hyperlink w:anchor="_Toc135300656" w:history="1">
        <w:r w:rsidR="001D5723" w:rsidRPr="00B11A80">
          <w:rPr>
            <w:rStyle w:val="Hyperlink"/>
            <w:noProof/>
          </w:rPr>
          <w:t>Criteria for assessing options</w:t>
        </w:r>
        <w:r w:rsidR="001D5723">
          <w:rPr>
            <w:noProof/>
            <w:webHidden/>
          </w:rPr>
          <w:tab/>
        </w:r>
        <w:r w:rsidR="001D5723">
          <w:rPr>
            <w:noProof/>
            <w:webHidden/>
          </w:rPr>
          <w:fldChar w:fldCharType="begin"/>
        </w:r>
        <w:r w:rsidR="001D5723">
          <w:rPr>
            <w:noProof/>
            <w:webHidden/>
          </w:rPr>
          <w:instrText xml:space="preserve"> PAGEREF _Toc135300656 \h </w:instrText>
        </w:r>
        <w:r w:rsidR="001D5723">
          <w:rPr>
            <w:noProof/>
            <w:webHidden/>
          </w:rPr>
        </w:r>
        <w:r w:rsidR="001D5723">
          <w:rPr>
            <w:noProof/>
            <w:webHidden/>
          </w:rPr>
          <w:fldChar w:fldCharType="separate"/>
        </w:r>
        <w:r w:rsidR="00BA4B19">
          <w:rPr>
            <w:noProof/>
            <w:webHidden/>
          </w:rPr>
          <w:t>9</w:t>
        </w:r>
        <w:r w:rsidR="001D5723">
          <w:rPr>
            <w:noProof/>
            <w:webHidden/>
          </w:rPr>
          <w:fldChar w:fldCharType="end"/>
        </w:r>
      </w:hyperlink>
    </w:p>
    <w:p w14:paraId="61E1370B" w14:textId="5D2A86BC" w:rsidR="001D5723" w:rsidRDefault="00833F32">
      <w:pPr>
        <w:pStyle w:val="TOC2"/>
        <w:rPr>
          <w:rFonts w:asciiTheme="minorHAnsi" w:eastAsiaTheme="minorEastAsia" w:hAnsiTheme="minorHAnsi" w:cstheme="minorBidi"/>
          <w:noProof/>
        </w:rPr>
      </w:pPr>
      <w:hyperlink w:anchor="_Toc135300657" w:history="1">
        <w:r w:rsidR="001D5723" w:rsidRPr="00B11A80">
          <w:rPr>
            <w:rStyle w:val="Hyperlink"/>
            <w:noProof/>
          </w:rPr>
          <w:t>Your views</w:t>
        </w:r>
        <w:r w:rsidR="001D5723">
          <w:rPr>
            <w:noProof/>
            <w:webHidden/>
          </w:rPr>
          <w:tab/>
        </w:r>
        <w:r w:rsidR="001D5723">
          <w:rPr>
            <w:noProof/>
            <w:webHidden/>
          </w:rPr>
          <w:fldChar w:fldCharType="begin"/>
        </w:r>
        <w:r w:rsidR="001D5723">
          <w:rPr>
            <w:noProof/>
            <w:webHidden/>
          </w:rPr>
          <w:instrText xml:space="preserve"> PAGEREF _Toc135300657 \h </w:instrText>
        </w:r>
        <w:r w:rsidR="001D5723">
          <w:rPr>
            <w:noProof/>
            <w:webHidden/>
          </w:rPr>
        </w:r>
        <w:r w:rsidR="001D5723">
          <w:rPr>
            <w:noProof/>
            <w:webHidden/>
          </w:rPr>
          <w:fldChar w:fldCharType="separate"/>
        </w:r>
        <w:r w:rsidR="00BA4B19">
          <w:rPr>
            <w:noProof/>
            <w:webHidden/>
          </w:rPr>
          <w:t>11</w:t>
        </w:r>
        <w:r w:rsidR="001D5723">
          <w:rPr>
            <w:noProof/>
            <w:webHidden/>
          </w:rPr>
          <w:fldChar w:fldCharType="end"/>
        </w:r>
      </w:hyperlink>
    </w:p>
    <w:p w14:paraId="18099AD5" w14:textId="14BB7990" w:rsidR="001D5723" w:rsidRDefault="00833F32">
      <w:pPr>
        <w:pStyle w:val="TOC2"/>
        <w:rPr>
          <w:rFonts w:asciiTheme="minorHAnsi" w:eastAsiaTheme="minorEastAsia" w:hAnsiTheme="minorHAnsi" w:cstheme="minorBidi"/>
          <w:noProof/>
        </w:rPr>
      </w:pPr>
      <w:hyperlink w:anchor="_Toc135300658" w:history="1">
        <w:r w:rsidR="001D5723" w:rsidRPr="00B11A80">
          <w:rPr>
            <w:rStyle w:val="Hyperlink"/>
            <w:noProof/>
          </w:rPr>
          <w:t>Consultation process</w:t>
        </w:r>
        <w:r w:rsidR="001D5723">
          <w:rPr>
            <w:noProof/>
            <w:webHidden/>
          </w:rPr>
          <w:tab/>
        </w:r>
        <w:r w:rsidR="001D5723">
          <w:rPr>
            <w:noProof/>
            <w:webHidden/>
          </w:rPr>
          <w:fldChar w:fldCharType="begin"/>
        </w:r>
        <w:r w:rsidR="001D5723">
          <w:rPr>
            <w:noProof/>
            <w:webHidden/>
          </w:rPr>
          <w:instrText xml:space="preserve"> PAGEREF _Toc135300658 \h </w:instrText>
        </w:r>
        <w:r w:rsidR="001D5723">
          <w:rPr>
            <w:noProof/>
            <w:webHidden/>
          </w:rPr>
        </w:r>
        <w:r w:rsidR="001D5723">
          <w:rPr>
            <w:noProof/>
            <w:webHidden/>
          </w:rPr>
          <w:fldChar w:fldCharType="separate"/>
        </w:r>
        <w:r w:rsidR="00BA4B19">
          <w:rPr>
            <w:noProof/>
            <w:webHidden/>
          </w:rPr>
          <w:t>11</w:t>
        </w:r>
        <w:r w:rsidR="001D5723">
          <w:rPr>
            <w:noProof/>
            <w:webHidden/>
          </w:rPr>
          <w:fldChar w:fldCharType="end"/>
        </w:r>
      </w:hyperlink>
    </w:p>
    <w:p w14:paraId="43859E31" w14:textId="0553902D" w:rsidR="001D5723" w:rsidRDefault="00833F32">
      <w:pPr>
        <w:pStyle w:val="TOC2"/>
        <w:rPr>
          <w:rFonts w:asciiTheme="minorHAnsi" w:eastAsiaTheme="minorEastAsia" w:hAnsiTheme="minorHAnsi" w:cstheme="minorBidi"/>
          <w:noProof/>
        </w:rPr>
      </w:pPr>
      <w:hyperlink w:anchor="_Toc135300659" w:history="1">
        <w:r w:rsidR="001D5723" w:rsidRPr="00B11A80">
          <w:rPr>
            <w:rStyle w:val="Hyperlink"/>
            <w:noProof/>
          </w:rPr>
          <w:t>Submitting your views</w:t>
        </w:r>
        <w:r w:rsidR="001D5723">
          <w:rPr>
            <w:noProof/>
            <w:webHidden/>
          </w:rPr>
          <w:tab/>
        </w:r>
        <w:r w:rsidR="001D5723">
          <w:rPr>
            <w:noProof/>
            <w:webHidden/>
          </w:rPr>
          <w:fldChar w:fldCharType="begin"/>
        </w:r>
        <w:r w:rsidR="001D5723">
          <w:rPr>
            <w:noProof/>
            <w:webHidden/>
          </w:rPr>
          <w:instrText xml:space="preserve"> PAGEREF _Toc135300659 \h </w:instrText>
        </w:r>
        <w:r w:rsidR="001D5723">
          <w:rPr>
            <w:noProof/>
            <w:webHidden/>
          </w:rPr>
        </w:r>
        <w:r w:rsidR="001D5723">
          <w:rPr>
            <w:noProof/>
            <w:webHidden/>
          </w:rPr>
          <w:fldChar w:fldCharType="separate"/>
        </w:r>
        <w:r w:rsidR="00BA4B19">
          <w:rPr>
            <w:noProof/>
            <w:webHidden/>
          </w:rPr>
          <w:t>11</w:t>
        </w:r>
        <w:r w:rsidR="001D5723">
          <w:rPr>
            <w:noProof/>
            <w:webHidden/>
          </w:rPr>
          <w:fldChar w:fldCharType="end"/>
        </w:r>
      </w:hyperlink>
    </w:p>
    <w:p w14:paraId="78129C35" w14:textId="25AEF927" w:rsidR="001D5723" w:rsidRDefault="00833F32">
      <w:pPr>
        <w:pStyle w:val="TOC1"/>
        <w:rPr>
          <w:rFonts w:asciiTheme="minorHAnsi" w:eastAsiaTheme="minorEastAsia" w:hAnsiTheme="minorHAnsi" w:cstheme="minorBidi"/>
        </w:rPr>
      </w:pPr>
      <w:hyperlink w:anchor="_Toc135300660" w:history="1">
        <w:r w:rsidR="001D5723" w:rsidRPr="00B11A80">
          <w:rPr>
            <w:rStyle w:val="Hyperlink"/>
          </w:rPr>
          <w:t>Summary of proposals</w:t>
        </w:r>
        <w:r w:rsidR="001D5723">
          <w:rPr>
            <w:webHidden/>
          </w:rPr>
          <w:tab/>
        </w:r>
        <w:r w:rsidR="001D5723">
          <w:rPr>
            <w:webHidden/>
          </w:rPr>
          <w:fldChar w:fldCharType="begin"/>
        </w:r>
        <w:r w:rsidR="001D5723">
          <w:rPr>
            <w:webHidden/>
          </w:rPr>
          <w:instrText xml:space="preserve"> PAGEREF _Toc135300660 \h </w:instrText>
        </w:r>
        <w:r w:rsidR="001D5723">
          <w:rPr>
            <w:webHidden/>
          </w:rPr>
        </w:r>
        <w:r w:rsidR="001D5723">
          <w:rPr>
            <w:webHidden/>
          </w:rPr>
          <w:fldChar w:fldCharType="separate"/>
        </w:r>
        <w:r w:rsidR="00BA4B19">
          <w:rPr>
            <w:webHidden/>
          </w:rPr>
          <w:t>12</w:t>
        </w:r>
        <w:r w:rsidR="001D5723">
          <w:rPr>
            <w:webHidden/>
          </w:rPr>
          <w:fldChar w:fldCharType="end"/>
        </w:r>
      </w:hyperlink>
    </w:p>
    <w:p w14:paraId="7CFF985C" w14:textId="3E137C18" w:rsidR="001D5723" w:rsidRDefault="00833F32">
      <w:pPr>
        <w:pStyle w:val="TOC2"/>
        <w:rPr>
          <w:rFonts w:asciiTheme="minorHAnsi" w:eastAsiaTheme="minorEastAsia" w:hAnsiTheme="minorHAnsi" w:cstheme="minorBidi"/>
          <w:noProof/>
        </w:rPr>
      </w:pPr>
      <w:hyperlink w:anchor="_Toc135300661" w:history="1">
        <w:r w:rsidR="001D5723" w:rsidRPr="00B11A80">
          <w:rPr>
            <w:rStyle w:val="Hyperlink"/>
            <w:noProof/>
          </w:rPr>
          <w:t>Legislative requirements for updates</w:t>
        </w:r>
        <w:r w:rsidR="001D5723">
          <w:rPr>
            <w:noProof/>
            <w:webHidden/>
          </w:rPr>
          <w:tab/>
        </w:r>
        <w:r w:rsidR="001D5723">
          <w:rPr>
            <w:noProof/>
            <w:webHidden/>
          </w:rPr>
          <w:fldChar w:fldCharType="begin"/>
        </w:r>
        <w:r w:rsidR="001D5723">
          <w:rPr>
            <w:noProof/>
            <w:webHidden/>
          </w:rPr>
          <w:instrText xml:space="preserve"> PAGEREF _Toc135300661 \h </w:instrText>
        </w:r>
        <w:r w:rsidR="001D5723">
          <w:rPr>
            <w:noProof/>
            <w:webHidden/>
          </w:rPr>
        </w:r>
        <w:r w:rsidR="001D5723">
          <w:rPr>
            <w:noProof/>
            <w:webHidden/>
          </w:rPr>
          <w:fldChar w:fldCharType="separate"/>
        </w:r>
        <w:r w:rsidR="00BA4B19">
          <w:rPr>
            <w:noProof/>
            <w:webHidden/>
          </w:rPr>
          <w:t>12</w:t>
        </w:r>
        <w:r w:rsidR="001D5723">
          <w:rPr>
            <w:noProof/>
            <w:webHidden/>
          </w:rPr>
          <w:fldChar w:fldCharType="end"/>
        </w:r>
      </w:hyperlink>
    </w:p>
    <w:p w14:paraId="7484EC0B" w14:textId="056FBF29" w:rsidR="001D5723" w:rsidRDefault="00833F32">
      <w:pPr>
        <w:pStyle w:val="TOC2"/>
        <w:rPr>
          <w:rFonts w:asciiTheme="minorHAnsi" w:eastAsiaTheme="minorEastAsia" w:hAnsiTheme="minorHAnsi" w:cstheme="minorBidi"/>
          <w:noProof/>
        </w:rPr>
      </w:pPr>
      <w:hyperlink w:anchor="_Toc135300662" w:history="1">
        <w:r w:rsidR="001D5723" w:rsidRPr="00B11A80">
          <w:rPr>
            <w:rStyle w:val="Hyperlink"/>
            <w:noProof/>
          </w:rPr>
          <w:t>The Commission provides advice annually</w:t>
        </w:r>
        <w:r w:rsidR="001D5723">
          <w:rPr>
            <w:noProof/>
            <w:webHidden/>
          </w:rPr>
          <w:tab/>
        </w:r>
        <w:r w:rsidR="001D5723">
          <w:rPr>
            <w:noProof/>
            <w:webHidden/>
          </w:rPr>
          <w:fldChar w:fldCharType="begin"/>
        </w:r>
        <w:r w:rsidR="001D5723">
          <w:rPr>
            <w:noProof/>
            <w:webHidden/>
          </w:rPr>
          <w:instrText xml:space="preserve"> PAGEREF _Toc135300662 \h </w:instrText>
        </w:r>
        <w:r w:rsidR="001D5723">
          <w:rPr>
            <w:noProof/>
            <w:webHidden/>
          </w:rPr>
        </w:r>
        <w:r w:rsidR="001D5723">
          <w:rPr>
            <w:noProof/>
            <w:webHidden/>
          </w:rPr>
          <w:fldChar w:fldCharType="separate"/>
        </w:r>
        <w:r w:rsidR="00BA4B19">
          <w:rPr>
            <w:noProof/>
            <w:webHidden/>
          </w:rPr>
          <w:t>13</w:t>
        </w:r>
        <w:r w:rsidR="001D5723">
          <w:rPr>
            <w:noProof/>
            <w:webHidden/>
          </w:rPr>
          <w:fldChar w:fldCharType="end"/>
        </w:r>
      </w:hyperlink>
    </w:p>
    <w:p w14:paraId="2A604E1F" w14:textId="00901689" w:rsidR="001D5723" w:rsidRDefault="00833F32" w:rsidP="001D5723">
      <w:pPr>
        <w:pStyle w:val="TOC2"/>
        <w:ind w:left="567" w:firstLine="0"/>
        <w:rPr>
          <w:rFonts w:asciiTheme="minorHAnsi" w:eastAsiaTheme="minorEastAsia" w:hAnsiTheme="minorHAnsi" w:cstheme="minorBidi"/>
          <w:noProof/>
        </w:rPr>
      </w:pPr>
      <w:hyperlink w:anchor="_Toc135300663" w:history="1">
        <w:r w:rsidR="001D5723" w:rsidRPr="00B11A80">
          <w:rPr>
            <w:rStyle w:val="Hyperlink"/>
            <w:noProof/>
          </w:rPr>
          <w:t>The Commission has provided new advice on limits and price control settings for units</w:t>
        </w:r>
        <w:r w:rsidR="001D5723">
          <w:rPr>
            <w:noProof/>
            <w:webHidden/>
          </w:rPr>
          <w:tab/>
        </w:r>
        <w:r w:rsidR="001D5723">
          <w:rPr>
            <w:noProof/>
            <w:webHidden/>
          </w:rPr>
          <w:fldChar w:fldCharType="begin"/>
        </w:r>
        <w:r w:rsidR="001D5723">
          <w:rPr>
            <w:noProof/>
            <w:webHidden/>
          </w:rPr>
          <w:instrText xml:space="preserve"> PAGEREF _Toc135300663 \h </w:instrText>
        </w:r>
        <w:r w:rsidR="001D5723">
          <w:rPr>
            <w:noProof/>
            <w:webHidden/>
          </w:rPr>
        </w:r>
        <w:r w:rsidR="001D5723">
          <w:rPr>
            <w:noProof/>
            <w:webHidden/>
          </w:rPr>
          <w:fldChar w:fldCharType="separate"/>
        </w:r>
        <w:r w:rsidR="00BA4B19">
          <w:rPr>
            <w:noProof/>
            <w:webHidden/>
          </w:rPr>
          <w:t>13</w:t>
        </w:r>
        <w:r w:rsidR="001D5723">
          <w:rPr>
            <w:noProof/>
            <w:webHidden/>
          </w:rPr>
          <w:fldChar w:fldCharType="end"/>
        </w:r>
      </w:hyperlink>
    </w:p>
    <w:p w14:paraId="155A5318" w14:textId="208934B8" w:rsidR="001D5723" w:rsidRDefault="00833F32">
      <w:pPr>
        <w:pStyle w:val="TOC1"/>
        <w:rPr>
          <w:rFonts w:asciiTheme="minorHAnsi" w:eastAsiaTheme="minorEastAsia" w:hAnsiTheme="minorHAnsi" w:cstheme="minorBidi"/>
        </w:rPr>
      </w:pPr>
      <w:hyperlink w:anchor="_Toc135300665" w:history="1">
        <w:r w:rsidR="001D5723" w:rsidRPr="00B11A80">
          <w:rPr>
            <w:rStyle w:val="Hyperlink"/>
          </w:rPr>
          <w:t>Options presented in this consultation document</w:t>
        </w:r>
        <w:r w:rsidR="001D5723">
          <w:rPr>
            <w:webHidden/>
          </w:rPr>
          <w:tab/>
        </w:r>
        <w:r w:rsidR="001D5723">
          <w:rPr>
            <w:webHidden/>
          </w:rPr>
          <w:fldChar w:fldCharType="begin"/>
        </w:r>
        <w:r w:rsidR="001D5723">
          <w:rPr>
            <w:webHidden/>
          </w:rPr>
          <w:instrText xml:space="preserve"> PAGEREF _Toc135300665 \h </w:instrText>
        </w:r>
        <w:r w:rsidR="001D5723">
          <w:rPr>
            <w:webHidden/>
          </w:rPr>
        </w:r>
        <w:r w:rsidR="001D5723">
          <w:rPr>
            <w:webHidden/>
          </w:rPr>
          <w:fldChar w:fldCharType="separate"/>
        </w:r>
        <w:r w:rsidR="00BA4B19">
          <w:rPr>
            <w:webHidden/>
          </w:rPr>
          <w:t>14</w:t>
        </w:r>
        <w:r w:rsidR="001D5723">
          <w:rPr>
            <w:webHidden/>
          </w:rPr>
          <w:fldChar w:fldCharType="end"/>
        </w:r>
      </w:hyperlink>
    </w:p>
    <w:p w14:paraId="45327225" w14:textId="15CDB271" w:rsidR="001D5723" w:rsidRDefault="00833F32">
      <w:pPr>
        <w:pStyle w:val="TOC1"/>
        <w:rPr>
          <w:rFonts w:asciiTheme="minorHAnsi" w:eastAsiaTheme="minorEastAsia" w:hAnsiTheme="minorHAnsi" w:cstheme="minorBidi"/>
        </w:rPr>
      </w:pPr>
      <w:hyperlink w:anchor="_Toc135300666" w:history="1">
        <w:r w:rsidR="001D5723" w:rsidRPr="00B11A80">
          <w:rPr>
            <w:rStyle w:val="Hyperlink"/>
          </w:rPr>
          <w:t>Should NZ ETS unit settings for 2024 and 2025 be updated?</w:t>
        </w:r>
        <w:r w:rsidR="001D5723">
          <w:rPr>
            <w:webHidden/>
          </w:rPr>
          <w:tab/>
        </w:r>
        <w:r w:rsidR="001D5723">
          <w:rPr>
            <w:webHidden/>
          </w:rPr>
          <w:fldChar w:fldCharType="begin"/>
        </w:r>
        <w:r w:rsidR="001D5723">
          <w:rPr>
            <w:webHidden/>
          </w:rPr>
          <w:instrText xml:space="preserve"> PAGEREF _Toc135300666 \h </w:instrText>
        </w:r>
        <w:r w:rsidR="001D5723">
          <w:rPr>
            <w:webHidden/>
          </w:rPr>
        </w:r>
        <w:r w:rsidR="001D5723">
          <w:rPr>
            <w:webHidden/>
          </w:rPr>
          <w:fldChar w:fldCharType="separate"/>
        </w:r>
        <w:r w:rsidR="00BA4B19">
          <w:rPr>
            <w:webHidden/>
          </w:rPr>
          <w:t>15</w:t>
        </w:r>
        <w:r w:rsidR="001D5723">
          <w:rPr>
            <w:webHidden/>
          </w:rPr>
          <w:fldChar w:fldCharType="end"/>
        </w:r>
      </w:hyperlink>
    </w:p>
    <w:p w14:paraId="3B51D8A6" w14:textId="27709F76" w:rsidR="001D5723" w:rsidRDefault="00833F32">
      <w:pPr>
        <w:pStyle w:val="TOC2"/>
        <w:rPr>
          <w:rFonts w:asciiTheme="minorHAnsi" w:eastAsiaTheme="minorEastAsia" w:hAnsiTheme="minorHAnsi" w:cstheme="minorBidi"/>
          <w:noProof/>
        </w:rPr>
      </w:pPr>
      <w:hyperlink w:anchor="_Toc135300667" w:history="1">
        <w:r w:rsidR="001D5723" w:rsidRPr="00B11A80">
          <w:rPr>
            <w:rStyle w:val="Hyperlink"/>
            <w:noProof/>
          </w:rPr>
          <w:t>Background</w:t>
        </w:r>
        <w:r w:rsidR="001D5723">
          <w:rPr>
            <w:noProof/>
            <w:webHidden/>
          </w:rPr>
          <w:tab/>
        </w:r>
        <w:r w:rsidR="001D5723">
          <w:rPr>
            <w:noProof/>
            <w:webHidden/>
          </w:rPr>
          <w:fldChar w:fldCharType="begin"/>
        </w:r>
        <w:r w:rsidR="001D5723">
          <w:rPr>
            <w:noProof/>
            <w:webHidden/>
          </w:rPr>
          <w:instrText xml:space="preserve"> PAGEREF _Toc135300667 \h </w:instrText>
        </w:r>
        <w:r w:rsidR="001D5723">
          <w:rPr>
            <w:noProof/>
            <w:webHidden/>
          </w:rPr>
        </w:r>
        <w:r w:rsidR="001D5723">
          <w:rPr>
            <w:noProof/>
            <w:webHidden/>
          </w:rPr>
          <w:fldChar w:fldCharType="separate"/>
        </w:r>
        <w:r w:rsidR="00BA4B19">
          <w:rPr>
            <w:noProof/>
            <w:webHidden/>
          </w:rPr>
          <w:t>15</w:t>
        </w:r>
        <w:r w:rsidR="001D5723">
          <w:rPr>
            <w:noProof/>
            <w:webHidden/>
          </w:rPr>
          <w:fldChar w:fldCharType="end"/>
        </w:r>
      </w:hyperlink>
    </w:p>
    <w:p w14:paraId="4DF11EA9" w14:textId="39A422EC" w:rsidR="001D5723" w:rsidRDefault="00833F32">
      <w:pPr>
        <w:pStyle w:val="TOC1"/>
        <w:rPr>
          <w:rFonts w:asciiTheme="minorHAnsi" w:eastAsiaTheme="minorEastAsia" w:hAnsiTheme="minorHAnsi" w:cstheme="minorBidi"/>
        </w:rPr>
      </w:pPr>
      <w:hyperlink w:anchor="_Toc135300668" w:history="1">
        <w:r w:rsidR="001D5723" w:rsidRPr="00B11A80">
          <w:rPr>
            <w:rStyle w:val="Hyperlink"/>
          </w:rPr>
          <w:t>Updating NZ ETS limits for units</w:t>
        </w:r>
        <w:r w:rsidR="001D5723">
          <w:rPr>
            <w:webHidden/>
          </w:rPr>
          <w:tab/>
        </w:r>
        <w:r w:rsidR="001D5723">
          <w:rPr>
            <w:webHidden/>
          </w:rPr>
          <w:fldChar w:fldCharType="begin"/>
        </w:r>
        <w:r w:rsidR="001D5723">
          <w:rPr>
            <w:webHidden/>
          </w:rPr>
          <w:instrText xml:space="preserve"> PAGEREF _Toc135300668 \h </w:instrText>
        </w:r>
        <w:r w:rsidR="001D5723">
          <w:rPr>
            <w:webHidden/>
          </w:rPr>
        </w:r>
        <w:r w:rsidR="001D5723">
          <w:rPr>
            <w:webHidden/>
          </w:rPr>
          <w:fldChar w:fldCharType="separate"/>
        </w:r>
        <w:r w:rsidR="00BA4B19">
          <w:rPr>
            <w:webHidden/>
          </w:rPr>
          <w:t>17</w:t>
        </w:r>
        <w:r w:rsidR="001D5723">
          <w:rPr>
            <w:webHidden/>
          </w:rPr>
          <w:fldChar w:fldCharType="end"/>
        </w:r>
      </w:hyperlink>
    </w:p>
    <w:p w14:paraId="363228BD" w14:textId="6D0C5123" w:rsidR="001D5723" w:rsidRDefault="00833F32">
      <w:pPr>
        <w:pStyle w:val="TOC2"/>
        <w:rPr>
          <w:rFonts w:asciiTheme="minorHAnsi" w:eastAsiaTheme="minorEastAsia" w:hAnsiTheme="minorHAnsi" w:cstheme="minorBidi"/>
          <w:noProof/>
        </w:rPr>
      </w:pPr>
      <w:hyperlink w:anchor="_Toc135300669" w:history="1">
        <w:r w:rsidR="001D5723" w:rsidRPr="00B11A80">
          <w:rPr>
            <w:rStyle w:val="Hyperlink"/>
            <w:noProof/>
          </w:rPr>
          <w:t>Background</w:t>
        </w:r>
        <w:r w:rsidR="001D5723">
          <w:rPr>
            <w:noProof/>
            <w:webHidden/>
          </w:rPr>
          <w:tab/>
        </w:r>
        <w:r w:rsidR="001D5723">
          <w:rPr>
            <w:noProof/>
            <w:webHidden/>
          </w:rPr>
          <w:fldChar w:fldCharType="begin"/>
        </w:r>
        <w:r w:rsidR="001D5723">
          <w:rPr>
            <w:noProof/>
            <w:webHidden/>
          </w:rPr>
          <w:instrText xml:space="preserve"> PAGEREF _Toc135300669 \h </w:instrText>
        </w:r>
        <w:r w:rsidR="001D5723">
          <w:rPr>
            <w:noProof/>
            <w:webHidden/>
          </w:rPr>
        </w:r>
        <w:r w:rsidR="001D5723">
          <w:rPr>
            <w:noProof/>
            <w:webHidden/>
          </w:rPr>
          <w:fldChar w:fldCharType="separate"/>
        </w:r>
        <w:r w:rsidR="00BA4B19">
          <w:rPr>
            <w:noProof/>
            <w:webHidden/>
          </w:rPr>
          <w:t>17</w:t>
        </w:r>
        <w:r w:rsidR="001D5723">
          <w:rPr>
            <w:noProof/>
            <w:webHidden/>
          </w:rPr>
          <w:fldChar w:fldCharType="end"/>
        </w:r>
      </w:hyperlink>
    </w:p>
    <w:p w14:paraId="3D51B15A" w14:textId="4A1B97F3" w:rsidR="001D5723" w:rsidRDefault="00833F32">
      <w:pPr>
        <w:pStyle w:val="TOC2"/>
        <w:rPr>
          <w:rFonts w:asciiTheme="minorHAnsi" w:eastAsiaTheme="minorEastAsia" w:hAnsiTheme="minorHAnsi" w:cstheme="minorBidi"/>
          <w:noProof/>
        </w:rPr>
      </w:pPr>
      <w:hyperlink w:anchor="_Toc135300670" w:history="1">
        <w:r w:rsidR="001D5723" w:rsidRPr="00B11A80">
          <w:rPr>
            <w:rStyle w:val="Hyperlink"/>
            <w:noProof/>
          </w:rPr>
          <w:t>Methodology to calculate limits for units</w:t>
        </w:r>
        <w:r w:rsidR="001D5723">
          <w:rPr>
            <w:noProof/>
            <w:webHidden/>
          </w:rPr>
          <w:tab/>
        </w:r>
        <w:r w:rsidR="001D5723">
          <w:rPr>
            <w:noProof/>
            <w:webHidden/>
          </w:rPr>
          <w:fldChar w:fldCharType="begin"/>
        </w:r>
        <w:r w:rsidR="001D5723">
          <w:rPr>
            <w:noProof/>
            <w:webHidden/>
          </w:rPr>
          <w:instrText xml:space="preserve"> PAGEREF _Toc135300670 \h </w:instrText>
        </w:r>
        <w:r w:rsidR="001D5723">
          <w:rPr>
            <w:noProof/>
            <w:webHidden/>
          </w:rPr>
        </w:r>
        <w:r w:rsidR="001D5723">
          <w:rPr>
            <w:noProof/>
            <w:webHidden/>
          </w:rPr>
          <w:fldChar w:fldCharType="separate"/>
        </w:r>
        <w:r w:rsidR="00BA4B19">
          <w:rPr>
            <w:noProof/>
            <w:webHidden/>
          </w:rPr>
          <w:t>17</w:t>
        </w:r>
        <w:r w:rsidR="001D5723">
          <w:rPr>
            <w:noProof/>
            <w:webHidden/>
          </w:rPr>
          <w:fldChar w:fldCharType="end"/>
        </w:r>
      </w:hyperlink>
    </w:p>
    <w:p w14:paraId="020DA99C" w14:textId="045BA641" w:rsidR="001D5723" w:rsidRDefault="00833F32">
      <w:pPr>
        <w:pStyle w:val="TOC1"/>
        <w:rPr>
          <w:rFonts w:asciiTheme="minorHAnsi" w:eastAsiaTheme="minorEastAsia" w:hAnsiTheme="minorHAnsi" w:cstheme="minorBidi"/>
        </w:rPr>
      </w:pPr>
      <w:hyperlink w:anchor="_Toc135300671" w:history="1">
        <w:r w:rsidR="001D5723" w:rsidRPr="00B11A80">
          <w:rPr>
            <w:rStyle w:val="Hyperlink"/>
          </w:rPr>
          <w:t>Update price control settings for units</w:t>
        </w:r>
        <w:r w:rsidR="001D5723">
          <w:rPr>
            <w:webHidden/>
          </w:rPr>
          <w:tab/>
        </w:r>
        <w:r w:rsidR="001D5723">
          <w:rPr>
            <w:webHidden/>
          </w:rPr>
          <w:fldChar w:fldCharType="begin"/>
        </w:r>
        <w:r w:rsidR="001D5723">
          <w:rPr>
            <w:webHidden/>
          </w:rPr>
          <w:instrText xml:space="preserve"> PAGEREF _Toc135300671 \h </w:instrText>
        </w:r>
        <w:r w:rsidR="001D5723">
          <w:rPr>
            <w:webHidden/>
          </w:rPr>
        </w:r>
        <w:r w:rsidR="001D5723">
          <w:rPr>
            <w:webHidden/>
          </w:rPr>
          <w:fldChar w:fldCharType="separate"/>
        </w:r>
        <w:r w:rsidR="00BA4B19">
          <w:rPr>
            <w:webHidden/>
          </w:rPr>
          <w:t>29</w:t>
        </w:r>
        <w:r w:rsidR="001D5723">
          <w:rPr>
            <w:webHidden/>
          </w:rPr>
          <w:fldChar w:fldCharType="end"/>
        </w:r>
      </w:hyperlink>
    </w:p>
    <w:p w14:paraId="613065F7" w14:textId="36108C12" w:rsidR="001D5723" w:rsidRDefault="00833F32">
      <w:pPr>
        <w:pStyle w:val="TOC2"/>
        <w:rPr>
          <w:rFonts w:asciiTheme="minorHAnsi" w:eastAsiaTheme="minorEastAsia" w:hAnsiTheme="minorHAnsi" w:cstheme="minorBidi"/>
          <w:noProof/>
        </w:rPr>
      </w:pPr>
      <w:hyperlink w:anchor="_Toc135300672" w:history="1">
        <w:r w:rsidR="001D5723" w:rsidRPr="00B11A80">
          <w:rPr>
            <w:rStyle w:val="Hyperlink"/>
            <w:noProof/>
          </w:rPr>
          <w:t>Purpose of price controls</w:t>
        </w:r>
        <w:r w:rsidR="001D5723">
          <w:rPr>
            <w:noProof/>
            <w:webHidden/>
          </w:rPr>
          <w:tab/>
        </w:r>
        <w:r w:rsidR="001D5723">
          <w:rPr>
            <w:noProof/>
            <w:webHidden/>
          </w:rPr>
          <w:fldChar w:fldCharType="begin"/>
        </w:r>
        <w:r w:rsidR="001D5723">
          <w:rPr>
            <w:noProof/>
            <w:webHidden/>
          </w:rPr>
          <w:instrText xml:space="preserve"> PAGEREF _Toc135300672 \h </w:instrText>
        </w:r>
        <w:r w:rsidR="001D5723">
          <w:rPr>
            <w:noProof/>
            <w:webHidden/>
          </w:rPr>
        </w:r>
        <w:r w:rsidR="001D5723">
          <w:rPr>
            <w:noProof/>
            <w:webHidden/>
          </w:rPr>
          <w:fldChar w:fldCharType="separate"/>
        </w:r>
        <w:r w:rsidR="00BA4B19">
          <w:rPr>
            <w:noProof/>
            <w:webHidden/>
          </w:rPr>
          <w:t>29</w:t>
        </w:r>
        <w:r w:rsidR="001D5723">
          <w:rPr>
            <w:noProof/>
            <w:webHidden/>
          </w:rPr>
          <w:fldChar w:fldCharType="end"/>
        </w:r>
      </w:hyperlink>
    </w:p>
    <w:p w14:paraId="18C49997" w14:textId="5DE8B724" w:rsidR="001D5723" w:rsidRDefault="00833F32">
      <w:pPr>
        <w:pStyle w:val="TOC2"/>
        <w:rPr>
          <w:rFonts w:asciiTheme="minorHAnsi" w:eastAsiaTheme="minorEastAsia" w:hAnsiTheme="minorHAnsi" w:cstheme="minorBidi"/>
          <w:noProof/>
        </w:rPr>
      </w:pPr>
      <w:hyperlink w:anchor="_Toc135300673" w:history="1">
        <w:r w:rsidR="001D5723" w:rsidRPr="00B11A80">
          <w:rPr>
            <w:rStyle w:val="Hyperlink"/>
            <w:noProof/>
          </w:rPr>
          <w:t>Reason for updating price controls</w:t>
        </w:r>
        <w:r w:rsidR="001D5723">
          <w:rPr>
            <w:noProof/>
            <w:webHidden/>
          </w:rPr>
          <w:tab/>
        </w:r>
        <w:r w:rsidR="001D5723">
          <w:rPr>
            <w:noProof/>
            <w:webHidden/>
          </w:rPr>
          <w:fldChar w:fldCharType="begin"/>
        </w:r>
        <w:r w:rsidR="001D5723">
          <w:rPr>
            <w:noProof/>
            <w:webHidden/>
          </w:rPr>
          <w:instrText xml:space="preserve"> PAGEREF _Toc135300673 \h </w:instrText>
        </w:r>
        <w:r w:rsidR="001D5723">
          <w:rPr>
            <w:noProof/>
            <w:webHidden/>
          </w:rPr>
        </w:r>
        <w:r w:rsidR="001D5723">
          <w:rPr>
            <w:noProof/>
            <w:webHidden/>
          </w:rPr>
          <w:fldChar w:fldCharType="separate"/>
        </w:r>
        <w:r w:rsidR="00BA4B19">
          <w:rPr>
            <w:noProof/>
            <w:webHidden/>
          </w:rPr>
          <w:t>29</w:t>
        </w:r>
        <w:r w:rsidR="001D5723">
          <w:rPr>
            <w:noProof/>
            <w:webHidden/>
          </w:rPr>
          <w:fldChar w:fldCharType="end"/>
        </w:r>
      </w:hyperlink>
    </w:p>
    <w:p w14:paraId="4944ECB4" w14:textId="3B108FF2" w:rsidR="001D5723" w:rsidRDefault="00833F32">
      <w:pPr>
        <w:pStyle w:val="TOC2"/>
        <w:rPr>
          <w:rFonts w:asciiTheme="minorHAnsi" w:eastAsiaTheme="minorEastAsia" w:hAnsiTheme="minorHAnsi" w:cstheme="minorBidi"/>
          <w:noProof/>
        </w:rPr>
      </w:pPr>
      <w:hyperlink w:anchor="_Toc135300674" w:history="1">
        <w:r w:rsidR="001D5723" w:rsidRPr="00B11A80">
          <w:rPr>
            <w:rStyle w:val="Hyperlink"/>
            <w:noProof/>
          </w:rPr>
          <w:t>History of price controls</w:t>
        </w:r>
        <w:r w:rsidR="001D5723">
          <w:rPr>
            <w:noProof/>
            <w:webHidden/>
          </w:rPr>
          <w:tab/>
        </w:r>
        <w:r w:rsidR="001D5723">
          <w:rPr>
            <w:noProof/>
            <w:webHidden/>
          </w:rPr>
          <w:fldChar w:fldCharType="begin"/>
        </w:r>
        <w:r w:rsidR="001D5723">
          <w:rPr>
            <w:noProof/>
            <w:webHidden/>
          </w:rPr>
          <w:instrText xml:space="preserve"> PAGEREF _Toc135300674 \h </w:instrText>
        </w:r>
        <w:r w:rsidR="001D5723">
          <w:rPr>
            <w:noProof/>
            <w:webHidden/>
          </w:rPr>
        </w:r>
        <w:r w:rsidR="001D5723">
          <w:rPr>
            <w:noProof/>
            <w:webHidden/>
          </w:rPr>
          <w:fldChar w:fldCharType="separate"/>
        </w:r>
        <w:r w:rsidR="00BA4B19">
          <w:rPr>
            <w:noProof/>
            <w:webHidden/>
          </w:rPr>
          <w:t>29</w:t>
        </w:r>
        <w:r w:rsidR="001D5723">
          <w:rPr>
            <w:noProof/>
            <w:webHidden/>
          </w:rPr>
          <w:fldChar w:fldCharType="end"/>
        </w:r>
      </w:hyperlink>
    </w:p>
    <w:p w14:paraId="74398DBA" w14:textId="127D9B4B" w:rsidR="001D5723" w:rsidRDefault="00833F32">
      <w:pPr>
        <w:pStyle w:val="TOC2"/>
        <w:rPr>
          <w:rFonts w:asciiTheme="minorHAnsi" w:eastAsiaTheme="minorEastAsia" w:hAnsiTheme="minorHAnsi" w:cstheme="minorBidi"/>
          <w:noProof/>
        </w:rPr>
      </w:pPr>
      <w:hyperlink w:anchor="_Toc135300675" w:history="1">
        <w:r w:rsidR="001D5723" w:rsidRPr="00B11A80">
          <w:rPr>
            <w:rStyle w:val="Hyperlink"/>
            <w:noProof/>
          </w:rPr>
          <w:t>Role of price control settings</w:t>
        </w:r>
        <w:r w:rsidR="001D5723">
          <w:rPr>
            <w:noProof/>
            <w:webHidden/>
          </w:rPr>
          <w:tab/>
        </w:r>
        <w:r w:rsidR="001D5723">
          <w:rPr>
            <w:noProof/>
            <w:webHidden/>
          </w:rPr>
          <w:fldChar w:fldCharType="begin"/>
        </w:r>
        <w:r w:rsidR="001D5723">
          <w:rPr>
            <w:noProof/>
            <w:webHidden/>
          </w:rPr>
          <w:instrText xml:space="preserve"> PAGEREF _Toc135300675 \h </w:instrText>
        </w:r>
        <w:r w:rsidR="001D5723">
          <w:rPr>
            <w:noProof/>
            <w:webHidden/>
          </w:rPr>
        </w:r>
        <w:r w:rsidR="001D5723">
          <w:rPr>
            <w:noProof/>
            <w:webHidden/>
          </w:rPr>
          <w:fldChar w:fldCharType="separate"/>
        </w:r>
        <w:r w:rsidR="00BA4B19">
          <w:rPr>
            <w:noProof/>
            <w:webHidden/>
          </w:rPr>
          <w:t>30</w:t>
        </w:r>
        <w:r w:rsidR="001D5723">
          <w:rPr>
            <w:noProof/>
            <w:webHidden/>
          </w:rPr>
          <w:fldChar w:fldCharType="end"/>
        </w:r>
      </w:hyperlink>
    </w:p>
    <w:p w14:paraId="5EFF1EB1" w14:textId="6923245D" w:rsidR="001D5723" w:rsidRDefault="00833F32">
      <w:pPr>
        <w:pStyle w:val="TOC2"/>
        <w:rPr>
          <w:rFonts w:asciiTheme="minorHAnsi" w:eastAsiaTheme="minorEastAsia" w:hAnsiTheme="minorHAnsi" w:cstheme="minorBidi"/>
          <w:noProof/>
        </w:rPr>
      </w:pPr>
      <w:hyperlink w:anchor="_Toc135300676" w:history="1">
        <w:r w:rsidR="001D5723" w:rsidRPr="00B11A80">
          <w:rPr>
            <w:rStyle w:val="Hyperlink"/>
            <w:noProof/>
          </w:rPr>
          <w:t>Factors to consider in making price control settings for units</w:t>
        </w:r>
        <w:r w:rsidR="001D5723">
          <w:rPr>
            <w:noProof/>
            <w:webHidden/>
          </w:rPr>
          <w:tab/>
        </w:r>
        <w:r w:rsidR="001D5723">
          <w:rPr>
            <w:noProof/>
            <w:webHidden/>
          </w:rPr>
          <w:fldChar w:fldCharType="begin"/>
        </w:r>
        <w:r w:rsidR="001D5723">
          <w:rPr>
            <w:noProof/>
            <w:webHidden/>
          </w:rPr>
          <w:instrText xml:space="preserve"> PAGEREF _Toc135300676 \h </w:instrText>
        </w:r>
        <w:r w:rsidR="001D5723">
          <w:rPr>
            <w:noProof/>
            <w:webHidden/>
          </w:rPr>
        </w:r>
        <w:r w:rsidR="001D5723">
          <w:rPr>
            <w:noProof/>
            <w:webHidden/>
          </w:rPr>
          <w:fldChar w:fldCharType="separate"/>
        </w:r>
        <w:r w:rsidR="00BA4B19">
          <w:rPr>
            <w:noProof/>
            <w:webHidden/>
          </w:rPr>
          <w:t>32</w:t>
        </w:r>
        <w:r w:rsidR="001D5723">
          <w:rPr>
            <w:noProof/>
            <w:webHidden/>
          </w:rPr>
          <w:fldChar w:fldCharType="end"/>
        </w:r>
      </w:hyperlink>
    </w:p>
    <w:p w14:paraId="7C494B88" w14:textId="4ACC732C" w:rsidR="001D5723" w:rsidRDefault="00833F32">
      <w:pPr>
        <w:pStyle w:val="TOC2"/>
        <w:rPr>
          <w:rFonts w:asciiTheme="minorHAnsi" w:eastAsiaTheme="minorEastAsia" w:hAnsiTheme="minorHAnsi" w:cstheme="minorBidi"/>
          <w:noProof/>
        </w:rPr>
      </w:pPr>
      <w:hyperlink w:anchor="_Toc135300677" w:history="1">
        <w:r w:rsidR="001D5723" w:rsidRPr="00B11A80">
          <w:rPr>
            <w:rStyle w:val="Hyperlink"/>
            <w:noProof/>
          </w:rPr>
          <w:t>Considering gross or net emissions reductions in setting price controls</w:t>
        </w:r>
        <w:r w:rsidR="001D5723">
          <w:rPr>
            <w:noProof/>
            <w:webHidden/>
          </w:rPr>
          <w:tab/>
        </w:r>
        <w:r w:rsidR="001D5723">
          <w:rPr>
            <w:noProof/>
            <w:webHidden/>
          </w:rPr>
          <w:fldChar w:fldCharType="begin"/>
        </w:r>
        <w:r w:rsidR="001D5723">
          <w:rPr>
            <w:noProof/>
            <w:webHidden/>
          </w:rPr>
          <w:instrText xml:space="preserve"> PAGEREF _Toc135300677 \h </w:instrText>
        </w:r>
        <w:r w:rsidR="001D5723">
          <w:rPr>
            <w:noProof/>
            <w:webHidden/>
          </w:rPr>
        </w:r>
        <w:r w:rsidR="001D5723">
          <w:rPr>
            <w:noProof/>
            <w:webHidden/>
          </w:rPr>
          <w:fldChar w:fldCharType="separate"/>
        </w:r>
        <w:r w:rsidR="00BA4B19">
          <w:rPr>
            <w:noProof/>
            <w:webHidden/>
          </w:rPr>
          <w:t>33</w:t>
        </w:r>
        <w:r w:rsidR="001D5723">
          <w:rPr>
            <w:noProof/>
            <w:webHidden/>
          </w:rPr>
          <w:fldChar w:fldCharType="end"/>
        </w:r>
      </w:hyperlink>
    </w:p>
    <w:p w14:paraId="22E39B71" w14:textId="4CC60472" w:rsidR="001D5723" w:rsidRDefault="00833F32">
      <w:pPr>
        <w:pStyle w:val="TOC2"/>
        <w:rPr>
          <w:rFonts w:asciiTheme="minorHAnsi" w:eastAsiaTheme="minorEastAsia" w:hAnsiTheme="minorHAnsi" w:cstheme="minorBidi"/>
          <w:noProof/>
        </w:rPr>
      </w:pPr>
      <w:hyperlink w:anchor="_Toc135300678" w:history="1">
        <w:r w:rsidR="001D5723" w:rsidRPr="00B11A80">
          <w:rPr>
            <w:rStyle w:val="Hyperlink"/>
            <w:noProof/>
          </w:rPr>
          <w:t>Overview of price control settings</w:t>
        </w:r>
        <w:r w:rsidR="001D5723">
          <w:rPr>
            <w:noProof/>
            <w:webHidden/>
          </w:rPr>
          <w:tab/>
        </w:r>
        <w:r w:rsidR="001D5723">
          <w:rPr>
            <w:noProof/>
            <w:webHidden/>
          </w:rPr>
          <w:fldChar w:fldCharType="begin"/>
        </w:r>
        <w:r w:rsidR="001D5723">
          <w:rPr>
            <w:noProof/>
            <w:webHidden/>
          </w:rPr>
          <w:instrText xml:space="preserve"> PAGEREF _Toc135300678 \h </w:instrText>
        </w:r>
        <w:r w:rsidR="001D5723">
          <w:rPr>
            <w:noProof/>
            <w:webHidden/>
          </w:rPr>
        </w:r>
        <w:r w:rsidR="001D5723">
          <w:rPr>
            <w:noProof/>
            <w:webHidden/>
          </w:rPr>
          <w:fldChar w:fldCharType="separate"/>
        </w:r>
        <w:r w:rsidR="00BA4B19">
          <w:rPr>
            <w:noProof/>
            <w:webHidden/>
          </w:rPr>
          <w:t>34</w:t>
        </w:r>
        <w:r w:rsidR="001D5723">
          <w:rPr>
            <w:noProof/>
            <w:webHidden/>
          </w:rPr>
          <w:fldChar w:fldCharType="end"/>
        </w:r>
      </w:hyperlink>
    </w:p>
    <w:p w14:paraId="10CEFB6C" w14:textId="598495CE" w:rsidR="001D5723" w:rsidRDefault="00833F32">
      <w:pPr>
        <w:pStyle w:val="TOC2"/>
        <w:rPr>
          <w:rFonts w:asciiTheme="minorHAnsi" w:eastAsiaTheme="minorEastAsia" w:hAnsiTheme="minorHAnsi" w:cstheme="minorBidi"/>
          <w:noProof/>
        </w:rPr>
      </w:pPr>
      <w:hyperlink w:anchor="_Toc135300679" w:history="1">
        <w:r w:rsidR="001D5723" w:rsidRPr="00B11A80">
          <w:rPr>
            <w:rStyle w:val="Hyperlink"/>
            <w:noProof/>
          </w:rPr>
          <w:t>Price floor</w:t>
        </w:r>
        <w:r w:rsidR="001D5723">
          <w:rPr>
            <w:noProof/>
            <w:webHidden/>
          </w:rPr>
          <w:tab/>
        </w:r>
        <w:r w:rsidR="001D5723">
          <w:rPr>
            <w:noProof/>
            <w:webHidden/>
          </w:rPr>
          <w:fldChar w:fldCharType="begin"/>
        </w:r>
        <w:r w:rsidR="001D5723">
          <w:rPr>
            <w:noProof/>
            <w:webHidden/>
          </w:rPr>
          <w:instrText xml:space="preserve"> PAGEREF _Toc135300679 \h </w:instrText>
        </w:r>
        <w:r w:rsidR="001D5723">
          <w:rPr>
            <w:noProof/>
            <w:webHidden/>
          </w:rPr>
        </w:r>
        <w:r w:rsidR="001D5723">
          <w:rPr>
            <w:noProof/>
            <w:webHidden/>
          </w:rPr>
          <w:fldChar w:fldCharType="separate"/>
        </w:r>
        <w:r w:rsidR="00BA4B19">
          <w:rPr>
            <w:noProof/>
            <w:webHidden/>
          </w:rPr>
          <w:t>34</w:t>
        </w:r>
        <w:r w:rsidR="001D5723">
          <w:rPr>
            <w:noProof/>
            <w:webHidden/>
          </w:rPr>
          <w:fldChar w:fldCharType="end"/>
        </w:r>
      </w:hyperlink>
    </w:p>
    <w:p w14:paraId="6F9008A4" w14:textId="4CC05B8A" w:rsidR="001D5723" w:rsidRDefault="00833F32">
      <w:pPr>
        <w:pStyle w:val="TOC2"/>
        <w:rPr>
          <w:rFonts w:asciiTheme="minorHAnsi" w:eastAsiaTheme="minorEastAsia" w:hAnsiTheme="minorHAnsi" w:cstheme="minorBidi"/>
          <w:noProof/>
        </w:rPr>
      </w:pPr>
      <w:hyperlink w:anchor="_Toc135300680" w:history="1">
        <w:r w:rsidR="001D5723" w:rsidRPr="00B11A80">
          <w:rPr>
            <w:rStyle w:val="Hyperlink"/>
            <w:noProof/>
          </w:rPr>
          <w:t>Cost containment reserve</w:t>
        </w:r>
        <w:r w:rsidR="001D5723">
          <w:rPr>
            <w:noProof/>
            <w:webHidden/>
          </w:rPr>
          <w:tab/>
        </w:r>
        <w:r w:rsidR="001D5723">
          <w:rPr>
            <w:noProof/>
            <w:webHidden/>
          </w:rPr>
          <w:fldChar w:fldCharType="begin"/>
        </w:r>
        <w:r w:rsidR="001D5723">
          <w:rPr>
            <w:noProof/>
            <w:webHidden/>
          </w:rPr>
          <w:instrText xml:space="preserve"> PAGEREF _Toc135300680 \h </w:instrText>
        </w:r>
        <w:r w:rsidR="001D5723">
          <w:rPr>
            <w:noProof/>
            <w:webHidden/>
          </w:rPr>
        </w:r>
        <w:r w:rsidR="001D5723">
          <w:rPr>
            <w:noProof/>
            <w:webHidden/>
          </w:rPr>
          <w:fldChar w:fldCharType="separate"/>
        </w:r>
        <w:r w:rsidR="00BA4B19">
          <w:rPr>
            <w:noProof/>
            <w:webHidden/>
          </w:rPr>
          <w:t>37</w:t>
        </w:r>
        <w:r w:rsidR="001D5723">
          <w:rPr>
            <w:noProof/>
            <w:webHidden/>
          </w:rPr>
          <w:fldChar w:fldCharType="end"/>
        </w:r>
      </w:hyperlink>
    </w:p>
    <w:p w14:paraId="03A87471" w14:textId="199B3769" w:rsidR="001D5723" w:rsidRDefault="00833F32">
      <w:pPr>
        <w:pStyle w:val="TOC2"/>
        <w:rPr>
          <w:rFonts w:asciiTheme="minorHAnsi" w:eastAsiaTheme="minorEastAsia" w:hAnsiTheme="minorHAnsi" w:cstheme="minorBidi"/>
          <w:noProof/>
        </w:rPr>
      </w:pPr>
      <w:hyperlink w:anchor="_Toc135300681" w:history="1">
        <w:r w:rsidR="001D5723" w:rsidRPr="00B11A80">
          <w:rPr>
            <w:rStyle w:val="Hyperlink"/>
            <w:noProof/>
          </w:rPr>
          <w:t>Cost containment reserve structure</w:t>
        </w:r>
        <w:r w:rsidR="001D5723">
          <w:rPr>
            <w:noProof/>
            <w:webHidden/>
          </w:rPr>
          <w:tab/>
        </w:r>
        <w:r w:rsidR="001D5723">
          <w:rPr>
            <w:noProof/>
            <w:webHidden/>
          </w:rPr>
          <w:fldChar w:fldCharType="begin"/>
        </w:r>
        <w:r w:rsidR="001D5723">
          <w:rPr>
            <w:noProof/>
            <w:webHidden/>
          </w:rPr>
          <w:instrText xml:space="preserve"> PAGEREF _Toc135300681 \h </w:instrText>
        </w:r>
        <w:r w:rsidR="001D5723">
          <w:rPr>
            <w:noProof/>
            <w:webHidden/>
          </w:rPr>
        </w:r>
        <w:r w:rsidR="001D5723">
          <w:rPr>
            <w:noProof/>
            <w:webHidden/>
          </w:rPr>
          <w:fldChar w:fldCharType="separate"/>
        </w:r>
        <w:r w:rsidR="00BA4B19">
          <w:rPr>
            <w:noProof/>
            <w:webHidden/>
          </w:rPr>
          <w:t>38</w:t>
        </w:r>
        <w:r w:rsidR="001D5723">
          <w:rPr>
            <w:noProof/>
            <w:webHidden/>
          </w:rPr>
          <w:fldChar w:fldCharType="end"/>
        </w:r>
      </w:hyperlink>
    </w:p>
    <w:p w14:paraId="7087C613" w14:textId="6A4951F7" w:rsidR="001D5723" w:rsidRDefault="00833F32">
      <w:pPr>
        <w:pStyle w:val="TOC2"/>
        <w:rPr>
          <w:rFonts w:asciiTheme="minorHAnsi" w:eastAsiaTheme="minorEastAsia" w:hAnsiTheme="minorHAnsi" w:cstheme="minorBidi"/>
          <w:noProof/>
        </w:rPr>
      </w:pPr>
      <w:hyperlink w:anchor="_Toc135300682" w:history="1">
        <w:r w:rsidR="001D5723" w:rsidRPr="00B11A80">
          <w:rPr>
            <w:rStyle w:val="Hyperlink"/>
            <w:noProof/>
          </w:rPr>
          <w:t>Cost containment reserve total volume</w:t>
        </w:r>
        <w:r w:rsidR="001D5723">
          <w:rPr>
            <w:noProof/>
            <w:webHidden/>
          </w:rPr>
          <w:tab/>
        </w:r>
        <w:r w:rsidR="001D5723">
          <w:rPr>
            <w:noProof/>
            <w:webHidden/>
          </w:rPr>
          <w:fldChar w:fldCharType="begin"/>
        </w:r>
        <w:r w:rsidR="001D5723">
          <w:rPr>
            <w:noProof/>
            <w:webHidden/>
          </w:rPr>
          <w:instrText xml:space="preserve"> PAGEREF _Toc135300682 \h </w:instrText>
        </w:r>
        <w:r w:rsidR="001D5723">
          <w:rPr>
            <w:noProof/>
            <w:webHidden/>
          </w:rPr>
        </w:r>
        <w:r w:rsidR="001D5723">
          <w:rPr>
            <w:noProof/>
            <w:webHidden/>
          </w:rPr>
          <w:fldChar w:fldCharType="separate"/>
        </w:r>
        <w:r w:rsidR="00BA4B19">
          <w:rPr>
            <w:noProof/>
            <w:webHidden/>
          </w:rPr>
          <w:t>40</w:t>
        </w:r>
        <w:r w:rsidR="001D5723">
          <w:rPr>
            <w:noProof/>
            <w:webHidden/>
          </w:rPr>
          <w:fldChar w:fldCharType="end"/>
        </w:r>
      </w:hyperlink>
    </w:p>
    <w:p w14:paraId="23C6BB7E" w14:textId="67518A5D" w:rsidR="001D5723" w:rsidRDefault="00833F32">
      <w:pPr>
        <w:pStyle w:val="TOC2"/>
        <w:rPr>
          <w:rFonts w:asciiTheme="minorHAnsi" w:eastAsiaTheme="minorEastAsia" w:hAnsiTheme="minorHAnsi" w:cstheme="minorBidi"/>
          <w:noProof/>
        </w:rPr>
      </w:pPr>
      <w:hyperlink w:anchor="_Toc135300683" w:history="1">
        <w:r w:rsidR="001D5723" w:rsidRPr="00B11A80">
          <w:rPr>
            <w:rStyle w:val="Hyperlink"/>
            <w:noProof/>
          </w:rPr>
          <w:t>Cost containment reserve trigger price</w:t>
        </w:r>
        <w:r w:rsidR="001D5723">
          <w:rPr>
            <w:noProof/>
            <w:webHidden/>
          </w:rPr>
          <w:tab/>
        </w:r>
        <w:r w:rsidR="001D5723">
          <w:rPr>
            <w:noProof/>
            <w:webHidden/>
          </w:rPr>
          <w:fldChar w:fldCharType="begin"/>
        </w:r>
        <w:r w:rsidR="001D5723">
          <w:rPr>
            <w:noProof/>
            <w:webHidden/>
          </w:rPr>
          <w:instrText xml:space="preserve"> PAGEREF _Toc135300683 \h </w:instrText>
        </w:r>
        <w:r w:rsidR="001D5723">
          <w:rPr>
            <w:noProof/>
            <w:webHidden/>
          </w:rPr>
        </w:r>
        <w:r w:rsidR="001D5723">
          <w:rPr>
            <w:noProof/>
            <w:webHidden/>
          </w:rPr>
          <w:fldChar w:fldCharType="separate"/>
        </w:r>
        <w:r w:rsidR="00BA4B19">
          <w:rPr>
            <w:noProof/>
            <w:webHidden/>
          </w:rPr>
          <w:t>41</w:t>
        </w:r>
        <w:r w:rsidR="001D5723">
          <w:rPr>
            <w:noProof/>
            <w:webHidden/>
          </w:rPr>
          <w:fldChar w:fldCharType="end"/>
        </w:r>
      </w:hyperlink>
    </w:p>
    <w:p w14:paraId="1A139C87" w14:textId="37E1D0AD" w:rsidR="001D5723" w:rsidRDefault="00833F32">
      <w:pPr>
        <w:pStyle w:val="TOC2"/>
        <w:rPr>
          <w:rFonts w:asciiTheme="minorHAnsi" w:eastAsiaTheme="minorEastAsia" w:hAnsiTheme="minorHAnsi" w:cstheme="minorBidi"/>
          <w:noProof/>
        </w:rPr>
      </w:pPr>
      <w:hyperlink w:anchor="_Toc135300684" w:history="1">
        <w:r w:rsidR="001D5723" w:rsidRPr="00B11A80">
          <w:rPr>
            <w:rStyle w:val="Hyperlink"/>
            <w:noProof/>
          </w:rPr>
          <w:t>Impacts of emissions pricing</w:t>
        </w:r>
        <w:r w:rsidR="001D5723">
          <w:rPr>
            <w:noProof/>
            <w:webHidden/>
          </w:rPr>
          <w:tab/>
        </w:r>
        <w:r w:rsidR="001D5723">
          <w:rPr>
            <w:noProof/>
            <w:webHidden/>
          </w:rPr>
          <w:fldChar w:fldCharType="begin"/>
        </w:r>
        <w:r w:rsidR="001D5723">
          <w:rPr>
            <w:noProof/>
            <w:webHidden/>
          </w:rPr>
          <w:instrText xml:space="preserve"> PAGEREF _Toc135300684 \h </w:instrText>
        </w:r>
        <w:r w:rsidR="001D5723">
          <w:rPr>
            <w:noProof/>
            <w:webHidden/>
          </w:rPr>
        </w:r>
        <w:r w:rsidR="001D5723">
          <w:rPr>
            <w:noProof/>
            <w:webHidden/>
          </w:rPr>
          <w:fldChar w:fldCharType="separate"/>
        </w:r>
        <w:r w:rsidR="00BA4B19">
          <w:rPr>
            <w:noProof/>
            <w:webHidden/>
          </w:rPr>
          <w:t>44</w:t>
        </w:r>
        <w:r w:rsidR="001D5723">
          <w:rPr>
            <w:noProof/>
            <w:webHidden/>
          </w:rPr>
          <w:fldChar w:fldCharType="end"/>
        </w:r>
      </w:hyperlink>
    </w:p>
    <w:p w14:paraId="7D68B304" w14:textId="7C671EAE" w:rsidR="001D5723" w:rsidRDefault="00833F32">
      <w:pPr>
        <w:pStyle w:val="TOC1"/>
        <w:rPr>
          <w:rFonts w:asciiTheme="minorHAnsi" w:eastAsiaTheme="minorEastAsia" w:hAnsiTheme="minorHAnsi" w:cstheme="minorBidi"/>
        </w:rPr>
      </w:pPr>
      <w:hyperlink w:anchor="_Toc135300685" w:history="1">
        <w:r w:rsidR="001D5723" w:rsidRPr="00B11A80">
          <w:rPr>
            <w:rStyle w:val="Hyperlink"/>
          </w:rPr>
          <w:t>Consultation questions and providing feedback</w:t>
        </w:r>
        <w:r w:rsidR="001D5723">
          <w:rPr>
            <w:webHidden/>
          </w:rPr>
          <w:tab/>
        </w:r>
        <w:r w:rsidR="001D5723">
          <w:rPr>
            <w:webHidden/>
          </w:rPr>
          <w:fldChar w:fldCharType="begin"/>
        </w:r>
        <w:r w:rsidR="001D5723">
          <w:rPr>
            <w:webHidden/>
          </w:rPr>
          <w:instrText xml:space="preserve"> PAGEREF _Toc135300685 \h </w:instrText>
        </w:r>
        <w:r w:rsidR="001D5723">
          <w:rPr>
            <w:webHidden/>
          </w:rPr>
        </w:r>
        <w:r w:rsidR="001D5723">
          <w:rPr>
            <w:webHidden/>
          </w:rPr>
          <w:fldChar w:fldCharType="separate"/>
        </w:r>
        <w:r w:rsidR="00BA4B19">
          <w:rPr>
            <w:webHidden/>
          </w:rPr>
          <w:t>52</w:t>
        </w:r>
        <w:r w:rsidR="001D5723">
          <w:rPr>
            <w:webHidden/>
          </w:rPr>
          <w:fldChar w:fldCharType="end"/>
        </w:r>
      </w:hyperlink>
    </w:p>
    <w:p w14:paraId="34A8A7B3" w14:textId="75C7230B" w:rsidR="001D5723" w:rsidRDefault="00833F32">
      <w:pPr>
        <w:pStyle w:val="TOC2"/>
        <w:rPr>
          <w:rFonts w:asciiTheme="minorHAnsi" w:eastAsiaTheme="minorEastAsia" w:hAnsiTheme="minorHAnsi" w:cstheme="minorBidi"/>
          <w:noProof/>
        </w:rPr>
      </w:pPr>
      <w:hyperlink w:anchor="_Toc135300686" w:history="1">
        <w:r w:rsidR="001D5723" w:rsidRPr="00B11A80">
          <w:rPr>
            <w:rStyle w:val="Hyperlink"/>
            <w:noProof/>
          </w:rPr>
          <w:t>Consultation questions</w:t>
        </w:r>
        <w:r w:rsidR="001D5723">
          <w:rPr>
            <w:noProof/>
            <w:webHidden/>
          </w:rPr>
          <w:tab/>
        </w:r>
        <w:r w:rsidR="001D5723">
          <w:rPr>
            <w:noProof/>
            <w:webHidden/>
          </w:rPr>
          <w:fldChar w:fldCharType="begin"/>
        </w:r>
        <w:r w:rsidR="001D5723">
          <w:rPr>
            <w:noProof/>
            <w:webHidden/>
          </w:rPr>
          <w:instrText xml:space="preserve"> PAGEREF _Toc135300686 \h </w:instrText>
        </w:r>
        <w:r w:rsidR="001D5723">
          <w:rPr>
            <w:noProof/>
            <w:webHidden/>
          </w:rPr>
        </w:r>
        <w:r w:rsidR="001D5723">
          <w:rPr>
            <w:noProof/>
            <w:webHidden/>
          </w:rPr>
          <w:fldChar w:fldCharType="separate"/>
        </w:r>
        <w:r w:rsidR="00BA4B19">
          <w:rPr>
            <w:noProof/>
            <w:webHidden/>
          </w:rPr>
          <w:t>52</w:t>
        </w:r>
        <w:r w:rsidR="001D5723">
          <w:rPr>
            <w:noProof/>
            <w:webHidden/>
          </w:rPr>
          <w:fldChar w:fldCharType="end"/>
        </w:r>
      </w:hyperlink>
    </w:p>
    <w:p w14:paraId="4536529F" w14:textId="37505E72" w:rsidR="001D5723" w:rsidRDefault="00833F32">
      <w:pPr>
        <w:pStyle w:val="TOC2"/>
        <w:rPr>
          <w:rFonts w:asciiTheme="minorHAnsi" w:eastAsiaTheme="minorEastAsia" w:hAnsiTheme="minorHAnsi" w:cstheme="minorBidi"/>
          <w:noProof/>
        </w:rPr>
      </w:pPr>
      <w:hyperlink w:anchor="_Toc135300687" w:history="1">
        <w:r w:rsidR="001D5723" w:rsidRPr="00B11A80">
          <w:rPr>
            <w:rStyle w:val="Hyperlink"/>
            <w:noProof/>
          </w:rPr>
          <w:t>How to have your say</w:t>
        </w:r>
        <w:r w:rsidR="001D5723">
          <w:rPr>
            <w:noProof/>
            <w:webHidden/>
          </w:rPr>
          <w:tab/>
        </w:r>
        <w:r w:rsidR="001D5723">
          <w:rPr>
            <w:noProof/>
            <w:webHidden/>
          </w:rPr>
          <w:fldChar w:fldCharType="begin"/>
        </w:r>
        <w:r w:rsidR="001D5723">
          <w:rPr>
            <w:noProof/>
            <w:webHidden/>
          </w:rPr>
          <w:instrText xml:space="preserve"> PAGEREF _Toc135300687 \h </w:instrText>
        </w:r>
        <w:r w:rsidR="001D5723">
          <w:rPr>
            <w:noProof/>
            <w:webHidden/>
          </w:rPr>
        </w:r>
        <w:r w:rsidR="001D5723">
          <w:rPr>
            <w:noProof/>
            <w:webHidden/>
          </w:rPr>
          <w:fldChar w:fldCharType="separate"/>
        </w:r>
        <w:r w:rsidR="00BA4B19">
          <w:rPr>
            <w:noProof/>
            <w:webHidden/>
          </w:rPr>
          <w:t>53</w:t>
        </w:r>
        <w:r w:rsidR="001D5723">
          <w:rPr>
            <w:noProof/>
            <w:webHidden/>
          </w:rPr>
          <w:fldChar w:fldCharType="end"/>
        </w:r>
      </w:hyperlink>
    </w:p>
    <w:p w14:paraId="500C7A5F" w14:textId="49A5CAAB" w:rsidR="001D5723" w:rsidRDefault="00833F32">
      <w:pPr>
        <w:pStyle w:val="TOC2"/>
        <w:rPr>
          <w:rFonts w:asciiTheme="minorHAnsi" w:eastAsiaTheme="minorEastAsia" w:hAnsiTheme="minorHAnsi" w:cstheme="minorBidi"/>
          <w:noProof/>
        </w:rPr>
      </w:pPr>
      <w:hyperlink w:anchor="_Toc135300688" w:history="1">
        <w:r w:rsidR="001D5723" w:rsidRPr="00B11A80">
          <w:rPr>
            <w:rStyle w:val="Hyperlink"/>
            <w:noProof/>
          </w:rPr>
          <w:t>Publishing and releasing submissions</w:t>
        </w:r>
        <w:r w:rsidR="001D5723">
          <w:rPr>
            <w:noProof/>
            <w:webHidden/>
          </w:rPr>
          <w:tab/>
        </w:r>
        <w:r w:rsidR="001D5723">
          <w:rPr>
            <w:noProof/>
            <w:webHidden/>
          </w:rPr>
          <w:fldChar w:fldCharType="begin"/>
        </w:r>
        <w:r w:rsidR="001D5723">
          <w:rPr>
            <w:noProof/>
            <w:webHidden/>
          </w:rPr>
          <w:instrText xml:space="preserve"> PAGEREF _Toc135300688 \h </w:instrText>
        </w:r>
        <w:r w:rsidR="001D5723">
          <w:rPr>
            <w:noProof/>
            <w:webHidden/>
          </w:rPr>
        </w:r>
        <w:r w:rsidR="001D5723">
          <w:rPr>
            <w:noProof/>
            <w:webHidden/>
          </w:rPr>
          <w:fldChar w:fldCharType="separate"/>
        </w:r>
        <w:r w:rsidR="00BA4B19">
          <w:rPr>
            <w:noProof/>
            <w:webHidden/>
          </w:rPr>
          <w:t>54</w:t>
        </w:r>
        <w:r w:rsidR="001D5723">
          <w:rPr>
            <w:noProof/>
            <w:webHidden/>
          </w:rPr>
          <w:fldChar w:fldCharType="end"/>
        </w:r>
      </w:hyperlink>
    </w:p>
    <w:p w14:paraId="09BF7BD6" w14:textId="1CDF8482" w:rsidR="001D5723" w:rsidRDefault="00833F32">
      <w:pPr>
        <w:pStyle w:val="TOC1"/>
        <w:rPr>
          <w:rFonts w:asciiTheme="minorHAnsi" w:eastAsiaTheme="minorEastAsia" w:hAnsiTheme="minorHAnsi" w:cstheme="minorBidi"/>
        </w:rPr>
      </w:pPr>
      <w:hyperlink w:anchor="_Toc135300689" w:history="1">
        <w:r w:rsidR="001D5723" w:rsidRPr="00B11A80">
          <w:rPr>
            <w:rStyle w:val="Hyperlink"/>
          </w:rPr>
          <w:t>Appendix: How businesses interact with the NZ ETS</w:t>
        </w:r>
        <w:r w:rsidR="001D5723">
          <w:rPr>
            <w:webHidden/>
          </w:rPr>
          <w:tab/>
        </w:r>
        <w:r w:rsidR="001D5723">
          <w:rPr>
            <w:webHidden/>
          </w:rPr>
          <w:fldChar w:fldCharType="begin"/>
        </w:r>
        <w:r w:rsidR="001D5723">
          <w:rPr>
            <w:webHidden/>
          </w:rPr>
          <w:instrText xml:space="preserve"> PAGEREF _Toc135300689 \h </w:instrText>
        </w:r>
        <w:r w:rsidR="001D5723">
          <w:rPr>
            <w:webHidden/>
          </w:rPr>
        </w:r>
        <w:r w:rsidR="001D5723">
          <w:rPr>
            <w:webHidden/>
          </w:rPr>
          <w:fldChar w:fldCharType="separate"/>
        </w:r>
        <w:r w:rsidR="00BA4B19">
          <w:rPr>
            <w:webHidden/>
          </w:rPr>
          <w:t>55</w:t>
        </w:r>
        <w:r w:rsidR="001D5723">
          <w:rPr>
            <w:webHidden/>
          </w:rPr>
          <w:fldChar w:fldCharType="end"/>
        </w:r>
      </w:hyperlink>
    </w:p>
    <w:p w14:paraId="2DD72122" w14:textId="11FE74BF" w:rsidR="00E305BF" w:rsidRPr="007837CC" w:rsidRDefault="00775F57" w:rsidP="00474E30">
      <w:pPr>
        <w:pStyle w:val="BodyText"/>
        <w:rPr>
          <w:shd w:val="clear" w:color="auto" w:fill="E6E6E6"/>
        </w:rPr>
      </w:pPr>
      <w:r w:rsidRPr="007837CC">
        <w:rPr>
          <w:shd w:val="clear" w:color="auto" w:fill="E6E6E6"/>
        </w:rPr>
        <w:fldChar w:fldCharType="end"/>
      </w:r>
    </w:p>
    <w:p w14:paraId="059DE215" w14:textId="377B4754" w:rsidR="00532334" w:rsidRPr="007837CC" w:rsidRDefault="00532334" w:rsidP="00542F33">
      <w:pPr>
        <w:pStyle w:val="Heading"/>
        <w:tabs>
          <w:tab w:val="center" w:pos="4230"/>
        </w:tabs>
      </w:pPr>
      <w:r w:rsidRPr="007837CC">
        <w:t>Tables</w:t>
      </w:r>
    </w:p>
    <w:p w14:paraId="43E79191" w14:textId="7A69C83E" w:rsidR="008C13CA" w:rsidRPr="007837CC" w:rsidRDefault="004943C2">
      <w:pPr>
        <w:pStyle w:val="TableofFigures"/>
        <w:tabs>
          <w:tab w:val="right" w:pos="8495"/>
        </w:tabs>
        <w:rPr>
          <w:rFonts w:asciiTheme="minorHAnsi" w:eastAsiaTheme="minorEastAsia" w:hAnsiTheme="minorHAnsi" w:cstheme="minorBidi"/>
          <w:noProof/>
        </w:rPr>
      </w:pPr>
      <w:r w:rsidRPr="007837CC">
        <w:rPr>
          <w:color w:val="2B579A"/>
          <w:shd w:val="clear" w:color="auto" w:fill="E6E6E6"/>
        </w:rPr>
        <w:fldChar w:fldCharType="begin"/>
      </w:r>
      <w:r w:rsidRPr="007837CC">
        <w:instrText xml:space="preserve"> TOC \h \z \t "Table heading" \c </w:instrText>
      </w:r>
      <w:r w:rsidRPr="007837CC">
        <w:rPr>
          <w:color w:val="2B579A"/>
          <w:shd w:val="clear" w:color="auto" w:fill="E6E6E6"/>
        </w:rPr>
        <w:fldChar w:fldCharType="separate"/>
      </w:r>
      <w:hyperlink w:anchor="_Toc133927335" w:history="1">
        <w:r w:rsidR="008C13CA" w:rsidRPr="007837CC">
          <w:rPr>
            <w:rStyle w:val="Hyperlink"/>
            <w:rFonts w:eastAsiaTheme="majorEastAsia"/>
            <w:noProof/>
          </w:rPr>
          <w:t xml:space="preserve">Table 1: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Criteria for NZ ETS unit limit and price control settings analysis</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_Toc133927335 \h </w:instrText>
        </w:r>
        <w:r w:rsidR="008C13CA" w:rsidRPr="007837CC">
          <w:rPr>
            <w:noProof/>
            <w:webHidden/>
          </w:rPr>
        </w:r>
        <w:r w:rsidR="008C13CA" w:rsidRPr="007837CC">
          <w:rPr>
            <w:noProof/>
            <w:webHidden/>
          </w:rPr>
          <w:fldChar w:fldCharType="separate"/>
        </w:r>
        <w:r w:rsidR="00BA4B19">
          <w:rPr>
            <w:noProof/>
            <w:webHidden/>
          </w:rPr>
          <w:t>9</w:t>
        </w:r>
        <w:r w:rsidR="008C13CA" w:rsidRPr="007837CC">
          <w:rPr>
            <w:noProof/>
            <w:webHidden/>
          </w:rPr>
          <w:fldChar w:fldCharType="end"/>
        </w:r>
      </w:hyperlink>
    </w:p>
    <w:p w14:paraId="25C8415E" w14:textId="2B8CA26E" w:rsidR="008C13CA" w:rsidRPr="007837CC" w:rsidRDefault="00833F32">
      <w:pPr>
        <w:pStyle w:val="TableofFigures"/>
        <w:tabs>
          <w:tab w:val="right" w:pos="8495"/>
        </w:tabs>
        <w:rPr>
          <w:rFonts w:asciiTheme="minorHAnsi" w:eastAsiaTheme="minorEastAsia" w:hAnsiTheme="minorHAnsi" w:cstheme="minorBidi"/>
          <w:noProof/>
        </w:rPr>
      </w:pPr>
      <w:hyperlink w:anchor="_Toc133927336" w:history="1">
        <w:r w:rsidR="008C13CA" w:rsidRPr="007837CC">
          <w:rPr>
            <w:rStyle w:val="Hyperlink"/>
            <w:rFonts w:eastAsiaTheme="majorEastAsia"/>
            <w:noProof/>
          </w:rPr>
          <w:t xml:space="preserve">Table 2: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How the criteria in table 1 reflect matters that the Minister must consider</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_Toc133927336 \h </w:instrText>
        </w:r>
        <w:r w:rsidR="008C13CA" w:rsidRPr="007837CC">
          <w:rPr>
            <w:noProof/>
            <w:webHidden/>
          </w:rPr>
        </w:r>
        <w:r w:rsidR="008C13CA" w:rsidRPr="007837CC">
          <w:rPr>
            <w:noProof/>
            <w:webHidden/>
          </w:rPr>
          <w:fldChar w:fldCharType="separate"/>
        </w:r>
        <w:r w:rsidR="00BA4B19">
          <w:rPr>
            <w:noProof/>
            <w:webHidden/>
          </w:rPr>
          <w:t>10</w:t>
        </w:r>
        <w:r w:rsidR="008C13CA" w:rsidRPr="007837CC">
          <w:rPr>
            <w:noProof/>
            <w:webHidden/>
          </w:rPr>
          <w:fldChar w:fldCharType="end"/>
        </w:r>
      </w:hyperlink>
    </w:p>
    <w:p w14:paraId="0E8076E3" w14:textId="2FCD5BCC" w:rsidR="008C13CA" w:rsidRPr="007837CC" w:rsidRDefault="00833F32">
      <w:pPr>
        <w:pStyle w:val="TableofFigures"/>
        <w:tabs>
          <w:tab w:val="right" w:pos="8495"/>
        </w:tabs>
        <w:rPr>
          <w:rFonts w:asciiTheme="minorHAnsi" w:eastAsiaTheme="minorEastAsia" w:hAnsiTheme="minorHAnsi" w:cstheme="minorBidi"/>
          <w:noProof/>
        </w:rPr>
      </w:pPr>
      <w:hyperlink w:anchor="_Toc133927337" w:history="1">
        <w:r w:rsidR="008C13CA" w:rsidRPr="007837CC">
          <w:rPr>
            <w:rStyle w:val="Hyperlink"/>
            <w:rFonts w:eastAsiaTheme="majorEastAsia"/>
            <w:noProof/>
          </w:rPr>
          <w:t xml:space="preserve">Table 3: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Updates to the Climate Change (Auctions, Limits, and Price Controls for Units) Regulations 2020</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_Toc133927337 \h </w:instrText>
        </w:r>
        <w:r w:rsidR="008C13CA" w:rsidRPr="007837CC">
          <w:rPr>
            <w:noProof/>
            <w:webHidden/>
          </w:rPr>
        </w:r>
        <w:r w:rsidR="008C13CA" w:rsidRPr="007837CC">
          <w:rPr>
            <w:noProof/>
            <w:webHidden/>
          </w:rPr>
          <w:fldChar w:fldCharType="separate"/>
        </w:r>
        <w:r w:rsidR="00BA4B19">
          <w:rPr>
            <w:noProof/>
            <w:webHidden/>
          </w:rPr>
          <w:t>12</w:t>
        </w:r>
        <w:r w:rsidR="008C13CA" w:rsidRPr="007837CC">
          <w:rPr>
            <w:noProof/>
            <w:webHidden/>
          </w:rPr>
          <w:fldChar w:fldCharType="end"/>
        </w:r>
      </w:hyperlink>
    </w:p>
    <w:p w14:paraId="715D9DBB" w14:textId="7217128C" w:rsidR="008C13CA" w:rsidRPr="007837CC" w:rsidRDefault="00833F32">
      <w:pPr>
        <w:pStyle w:val="TableofFigures"/>
        <w:tabs>
          <w:tab w:val="right" w:pos="8495"/>
        </w:tabs>
        <w:rPr>
          <w:rFonts w:asciiTheme="minorHAnsi" w:eastAsiaTheme="minorEastAsia" w:hAnsiTheme="minorHAnsi" w:cstheme="minorBidi"/>
          <w:noProof/>
        </w:rPr>
      </w:pPr>
      <w:hyperlink w:anchor="_Toc133927338" w:history="1">
        <w:r w:rsidR="008C13CA" w:rsidRPr="007837CC">
          <w:rPr>
            <w:rStyle w:val="Hyperlink"/>
            <w:rFonts w:eastAsiaTheme="majorEastAsia"/>
            <w:noProof/>
          </w:rPr>
          <w:t>Table 4:</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Assessing whether to update unit settings for 2024 and 2025</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_Toc133927338 \h </w:instrText>
        </w:r>
        <w:r w:rsidR="008C13CA" w:rsidRPr="007837CC">
          <w:rPr>
            <w:noProof/>
            <w:webHidden/>
          </w:rPr>
        </w:r>
        <w:r w:rsidR="008C13CA" w:rsidRPr="007837CC">
          <w:rPr>
            <w:noProof/>
            <w:webHidden/>
          </w:rPr>
          <w:fldChar w:fldCharType="separate"/>
        </w:r>
        <w:r w:rsidR="00BA4B19">
          <w:rPr>
            <w:noProof/>
            <w:webHidden/>
          </w:rPr>
          <w:t>16</w:t>
        </w:r>
        <w:r w:rsidR="008C13CA" w:rsidRPr="007837CC">
          <w:rPr>
            <w:noProof/>
            <w:webHidden/>
          </w:rPr>
          <w:fldChar w:fldCharType="end"/>
        </w:r>
      </w:hyperlink>
    </w:p>
    <w:p w14:paraId="2F7902C6" w14:textId="088FB0EA" w:rsidR="008C13CA" w:rsidRPr="007837CC" w:rsidRDefault="00833F32">
      <w:pPr>
        <w:pStyle w:val="TableofFigures"/>
        <w:tabs>
          <w:tab w:val="right" w:pos="8495"/>
        </w:tabs>
        <w:rPr>
          <w:rFonts w:asciiTheme="minorHAnsi" w:eastAsiaTheme="minorEastAsia" w:hAnsiTheme="minorHAnsi" w:cstheme="minorBidi"/>
          <w:noProof/>
        </w:rPr>
      </w:pPr>
      <w:hyperlink w:anchor="_Toc133927339" w:history="1">
        <w:r w:rsidR="008C13CA" w:rsidRPr="007837CC">
          <w:rPr>
            <w:rStyle w:val="Hyperlink"/>
            <w:rFonts w:eastAsiaTheme="majorEastAsia"/>
            <w:noProof/>
          </w:rPr>
          <w:t xml:space="preserve">Table 5: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Estimates of net forestry emissions inside and outside the NZ ETS</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_Toc133927339 \h </w:instrText>
        </w:r>
        <w:r w:rsidR="008C13CA" w:rsidRPr="007837CC">
          <w:rPr>
            <w:noProof/>
            <w:webHidden/>
          </w:rPr>
        </w:r>
        <w:r w:rsidR="008C13CA" w:rsidRPr="007837CC">
          <w:rPr>
            <w:noProof/>
            <w:webHidden/>
          </w:rPr>
          <w:fldChar w:fldCharType="separate"/>
        </w:r>
        <w:r w:rsidR="00BA4B19">
          <w:rPr>
            <w:noProof/>
            <w:webHidden/>
          </w:rPr>
          <w:t>20</w:t>
        </w:r>
        <w:r w:rsidR="008C13CA" w:rsidRPr="007837CC">
          <w:rPr>
            <w:noProof/>
            <w:webHidden/>
          </w:rPr>
          <w:fldChar w:fldCharType="end"/>
        </w:r>
      </w:hyperlink>
    </w:p>
    <w:p w14:paraId="506C38E0" w14:textId="2E86DF6A" w:rsidR="008C13CA" w:rsidRPr="007837CC" w:rsidRDefault="00833F32">
      <w:pPr>
        <w:pStyle w:val="TableofFigures"/>
        <w:tabs>
          <w:tab w:val="right" w:pos="8495"/>
        </w:tabs>
        <w:rPr>
          <w:rFonts w:asciiTheme="minorHAnsi" w:eastAsiaTheme="minorEastAsia" w:hAnsiTheme="minorHAnsi" w:cstheme="minorBidi"/>
          <w:noProof/>
        </w:rPr>
      </w:pPr>
      <w:hyperlink w:anchor="_Toc133927340" w:history="1">
        <w:r w:rsidR="008C13CA" w:rsidRPr="007837CC">
          <w:rPr>
            <w:rStyle w:val="Hyperlink"/>
            <w:rFonts w:eastAsiaTheme="majorEastAsia"/>
            <w:noProof/>
          </w:rPr>
          <w:t xml:space="preserve">Table 6: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Assessing whether to update calculation of auction volumes to reflect the Commission</w:t>
        </w:r>
        <w:r w:rsidR="007212F8">
          <w:rPr>
            <w:rStyle w:val="Hyperlink"/>
            <w:rFonts w:eastAsiaTheme="majorEastAsia"/>
            <w:noProof/>
          </w:rPr>
          <w:t>’</w:t>
        </w:r>
        <w:r w:rsidR="008C13CA" w:rsidRPr="007837CC">
          <w:rPr>
            <w:rStyle w:val="Hyperlink"/>
            <w:rFonts w:eastAsiaTheme="majorEastAsia"/>
            <w:noProof/>
          </w:rPr>
          <w:t>s updated estimates of forestry emissions outside the NZ ETS</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_Toc133927340 \h </w:instrText>
        </w:r>
        <w:r w:rsidR="008C13CA" w:rsidRPr="007837CC">
          <w:rPr>
            <w:noProof/>
            <w:webHidden/>
          </w:rPr>
        </w:r>
        <w:r w:rsidR="008C13CA" w:rsidRPr="007837CC">
          <w:rPr>
            <w:noProof/>
            <w:webHidden/>
          </w:rPr>
          <w:fldChar w:fldCharType="separate"/>
        </w:r>
        <w:r w:rsidR="00BA4B19">
          <w:rPr>
            <w:noProof/>
            <w:webHidden/>
          </w:rPr>
          <w:t>21</w:t>
        </w:r>
        <w:r w:rsidR="008C13CA" w:rsidRPr="007837CC">
          <w:rPr>
            <w:noProof/>
            <w:webHidden/>
          </w:rPr>
          <w:fldChar w:fldCharType="end"/>
        </w:r>
      </w:hyperlink>
    </w:p>
    <w:p w14:paraId="62CEC622" w14:textId="2F3D8195" w:rsidR="008C13CA" w:rsidRPr="007837CC" w:rsidRDefault="00833F32">
      <w:pPr>
        <w:pStyle w:val="TableofFigures"/>
        <w:tabs>
          <w:tab w:val="right" w:pos="8495"/>
        </w:tabs>
        <w:rPr>
          <w:rFonts w:asciiTheme="minorHAnsi" w:eastAsiaTheme="minorEastAsia" w:hAnsiTheme="minorHAnsi" w:cstheme="minorBidi"/>
          <w:noProof/>
        </w:rPr>
      </w:pPr>
      <w:hyperlink w:anchor="_Toc133927341" w:history="1">
        <w:r w:rsidR="008C13CA" w:rsidRPr="007837CC">
          <w:rPr>
            <w:rStyle w:val="Hyperlink"/>
            <w:rFonts w:eastAsiaTheme="majorEastAsia"/>
            <w:noProof/>
          </w:rPr>
          <w:t>Table 7:</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 xml:space="preserve">Options to address the observed discrepancy between emissions reported in the </w:t>
        </w:r>
        <w:r w:rsidR="007212F8">
          <w:rPr>
            <w:rStyle w:val="Hyperlink"/>
            <w:rFonts w:eastAsiaTheme="majorEastAsia"/>
            <w:noProof/>
          </w:rPr>
          <w:t>I</w:t>
        </w:r>
        <w:r w:rsidR="008C13CA" w:rsidRPr="007837CC">
          <w:rPr>
            <w:rStyle w:val="Hyperlink"/>
            <w:rFonts w:eastAsiaTheme="majorEastAsia"/>
            <w:noProof/>
          </w:rPr>
          <w:t>nventory and reported in the NZ ETS</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_Toc133927341 \h </w:instrText>
        </w:r>
        <w:r w:rsidR="008C13CA" w:rsidRPr="007837CC">
          <w:rPr>
            <w:noProof/>
            <w:webHidden/>
          </w:rPr>
        </w:r>
        <w:r w:rsidR="008C13CA" w:rsidRPr="007837CC">
          <w:rPr>
            <w:noProof/>
            <w:webHidden/>
          </w:rPr>
          <w:fldChar w:fldCharType="separate"/>
        </w:r>
        <w:r w:rsidR="00BA4B19">
          <w:rPr>
            <w:noProof/>
            <w:webHidden/>
          </w:rPr>
          <w:t>22</w:t>
        </w:r>
        <w:r w:rsidR="008C13CA" w:rsidRPr="007837CC">
          <w:rPr>
            <w:noProof/>
            <w:webHidden/>
          </w:rPr>
          <w:fldChar w:fldCharType="end"/>
        </w:r>
      </w:hyperlink>
    </w:p>
    <w:p w14:paraId="3194019C" w14:textId="6A464AC5" w:rsidR="008C13CA" w:rsidRPr="007837CC" w:rsidRDefault="00833F32">
      <w:pPr>
        <w:pStyle w:val="TableofFigures"/>
        <w:tabs>
          <w:tab w:val="right" w:pos="8495"/>
        </w:tabs>
        <w:rPr>
          <w:rFonts w:asciiTheme="minorHAnsi" w:eastAsiaTheme="minorEastAsia" w:hAnsiTheme="minorHAnsi" w:cstheme="minorBidi"/>
          <w:noProof/>
        </w:rPr>
      </w:pPr>
      <w:hyperlink w:anchor="_Toc133927342" w:history="1">
        <w:r w:rsidR="008C13CA" w:rsidRPr="007837CC">
          <w:rPr>
            <w:rStyle w:val="Hyperlink"/>
            <w:rFonts w:eastAsiaTheme="majorEastAsia"/>
            <w:noProof/>
          </w:rPr>
          <w:t xml:space="preserve">Table 8: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Assessing options to address technical discrepancies</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_Toc133927342 \h </w:instrText>
        </w:r>
        <w:r w:rsidR="008C13CA" w:rsidRPr="007837CC">
          <w:rPr>
            <w:noProof/>
            <w:webHidden/>
          </w:rPr>
        </w:r>
        <w:r w:rsidR="008C13CA" w:rsidRPr="007837CC">
          <w:rPr>
            <w:noProof/>
            <w:webHidden/>
          </w:rPr>
          <w:fldChar w:fldCharType="separate"/>
        </w:r>
        <w:r w:rsidR="00BA4B19">
          <w:rPr>
            <w:noProof/>
            <w:webHidden/>
          </w:rPr>
          <w:t>23</w:t>
        </w:r>
        <w:r w:rsidR="008C13CA" w:rsidRPr="007837CC">
          <w:rPr>
            <w:noProof/>
            <w:webHidden/>
          </w:rPr>
          <w:fldChar w:fldCharType="end"/>
        </w:r>
      </w:hyperlink>
    </w:p>
    <w:p w14:paraId="160E8FCC" w14:textId="518F2BE1" w:rsidR="008C13CA" w:rsidRPr="007837CC" w:rsidRDefault="00833F32">
      <w:pPr>
        <w:pStyle w:val="TableofFigures"/>
        <w:tabs>
          <w:tab w:val="right" w:pos="8495"/>
        </w:tabs>
        <w:rPr>
          <w:rFonts w:asciiTheme="minorHAnsi" w:eastAsiaTheme="minorEastAsia" w:hAnsiTheme="minorHAnsi" w:cstheme="minorBidi"/>
          <w:noProof/>
        </w:rPr>
      </w:pPr>
      <w:hyperlink w:anchor="_Toc133927343" w:history="1">
        <w:r w:rsidR="008C13CA" w:rsidRPr="007837CC">
          <w:rPr>
            <w:rStyle w:val="Hyperlink"/>
            <w:rFonts w:eastAsiaTheme="majorEastAsia"/>
            <w:noProof/>
          </w:rPr>
          <w:t xml:space="preserve">Table 9: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Forecast industrial allocation volumes</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_Toc133927343 \h </w:instrText>
        </w:r>
        <w:r w:rsidR="008C13CA" w:rsidRPr="007837CC">
          <w:rPr>
            <w:noProof/>
            <w:webHidden/>
          </w:rPr>
        </w:r>
        <w:r w:rsidR="008C13CA" w:rsidRPr="007837CC">
          <w:rPr>
            <w:noProof/>
            <w:webHidden/>
          </w:rPr>
          <w:fldChar w:fldCharType="separate"/>
        </w:r>
        <w:r w:rsidR="00BA4B19">
          <w:rPr>
            <w:noProof/>
            <w:webHidden/>
          </w:rPr>
          <w:t>24</w:t>
        </w:r>
        <w:r w:rsidR="008C13CA" w:rsidRPr="007837CC">
          <w:rPr>
            <w:noProof/>
            <w:webHidden/>
          </w:rPr>
          <w:fldChar w:fldCharType="end"/>
        </w:r>
      </w:hyperlink>
    </w:p>
    <w:p w14:paraId="47AF3B95" w14:textId="390E4928" w:rsidR="008C13CA" w:rsidRPr="007837CC" w:rsidRDefault="00833F32">
      <w:pPr>
        <w:pStyle w:val="TableofFigures"/>
        <w:tabs>
          <w:tab w:val="right" w:pos="8495"/>
        </w:tabs>
        <w:rPr>
          <w:rFonts w:asciiTheme="minorHAnsi" w:eastAsiaTheme="minorEastAsia" w:hAnsiTheme="minorHAnsi" w:cstheme="minorBidi"/>
          <w:noProof/>
        </w:rPr>
      </w:pPr>
      <w:hyperlink w:anchor="_Toc133927344" w:history="1">
        <w:r w:rsidR="008C13CA" w:rsidRPr="007837CC">
          <w:rPr>
            <w:rStyle w:val="Hyperlink"/>
            <w:rFonts w:eastAsiaTheme="majorEastAsia"/>
            <w:noProof/>
          </w:rPr>
          <w:t xml:space="preserve">Table 10: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Assessing whether to include a new stockpile adjustment step as part of the calculation of auction volumes</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_Toc133927344 \h </w:instrText>
        </w:r>
        <w:r w:rsidR="008C13CA" w:rsidRPr="007837CC">
          <w:rPr>
            <w:noProof/>
            <w:webHidden/>
          </w:rPr>
        </w:r>
        <w:r w:rsidR="008C13CA" w:rsidRPr="007837CC">
          <w:rPr>
            <w:noProof/>
            <w:webHidden/>
          </w:rPr>
          <w:fldChar w:fldCharType="separate"/>
        </w:r>
        <w:r w:rsidR="00BA4B19">
          <w:rPr>
            <w:noProof/>
            <w:webHidden/>
          </w:rPr>
          <w:t>26</w:t>
        </w:r>
        <w:r w:rsidR="008C13CA" w:rsidRPr="007837CC">
          <w:rPr>
            <w:noProof/>
            <w:webHidden/>
          </w:rPr>
          <w:fldChar w:fldCharType="end"/>
        </w:r>
      </w:hyperlink>
    </w:p>
    <w:p w14:paraId="288D9EFE" w14:textId="0D3F4A41" w:rsidR="008C13CA" w:rsidRPr="007837CC" w:rsidRDefault="00833F32">
      <w:pPr>
        <w:pStyle w:val="TableofFigures"/>
        <w:tabs>
          <w:tab w:val="right" w:pos="8495"/>
        </w:tabs>
        <w:rPr>
          <w:rFonts w:asciiTheme="minorHAnsi" w:eastAsiaTheme="minorEastAsia" w:hAnsiTheme="minorHAnsi" w:cstheme="minorBidi"/>
          <w:noProof/>
        </w:rPr>
      </w:pPr>
      <w:hyperlink w:anchor="_Toc133927345" w:history="1">
        <w:r w:rsidR="008C13CA" w:rsidRPr="007837CC">
          <w:rPr>
            <w:rStyle w:val="Hyperlink"/>
            <w:rFonts w:eastAsiaTheme="majorEastAsia"/>
            <w:noProof/>
          </w:rPr>
          <w:t xml:space="preserve">Table 11: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Calculated annual auction volumes, status quo extended to 2028, and based on the Commission’s recommendations</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_Toc133927345 \h </w:instrText>
        </w:r>
        <w:r w:rsidR="008C13CA" w:rsidRPr="007837CC">
          <w:rPr>
            <w:noProof/>
            <w:webHidden/>
          </w:rPr>
        </w:r>
        <w:r w:rsidR="008C13CA" w:rsidRPr="007837CC">
          <w:rPr>
            <w:noProof/>
            <w:webHidden/>
          </w:rPr>
          <w:fldChar w:fldCharType="separate"/>
        </w:r>
        <w:r w:rsidR="00BA4B19">
          <w:rPr>
            <w:noProof/>
            <w:webHidden/>
          </w:rPr>
          <w:t>27</w:t>
        </w:r>
        <w:r w:rsidR="008C13CA" w:rsidRPr="007837CC">
          <w:rPr>
            <w:noProof/>
            <w:webHidden/>
          </w:rPr>
          <w:fldChar w:fldCharType="end"/>
        </w:r>
      </w:hyperlink>
    </w:p>
    <w:p w14:paraId="5C194446" w14:textId="1EC05A7A" w:rsidR="008C13CA" w:rsidRPr="007837CC" w:rsidRDefault="00833F32">
      <w:pPr>
        <w:pStyle w:val="TableofFigures"/>
        <w:tabs>
          <w:tab w:val="right" w:pos="8495"/>
        </w:tabs>
        <w:rPr>
          <w:rFonts w:asciiTheme="minorHAnsi" w:eastAsiaTheme="minorEastAsia" w:hAnsiTheme="minorHAnsi" w:cstheme="minorBidi"/>
          <w:noProof/>
        </w:rPr>
      </w:pPr>
      <w:hyperlink w:anchor="_Toc133927346" w:history="1">
        <w:r w:rsidR="008C13CA" w:rsidRPr="007837CC">
          <w:rPr>
            <w:rStyle w:val="Hyperlink"/>
            <w:rFonts w:eastAsiaTheme="majorEastAsia"/>
            <w:noProof/>
          </w:rPr>
          <w:t xml:space="preserve">Table 12: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Commission and status quo extended auction volumes</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_Toc133927346 \h </w:instrText>
        </w:r>
        <w:r w:rsidR="008C13CA" w:rsidRPr="007837CC">
          <w:rPr>
            <w:noProof/>
            <w:webHidden/>
          </w:rPr>
        </w:r>
        <w:r w:rsidR="008C13CA" w:rsidRPr="007837CC">
          <w:rPr>
            <w:noProof/>
            <w:webHidden/>
          </w:rPr>
          <w:fldChar w:fldCharType="separate"/>
        </w:r>
        <w:r w:rsidR="00BA4B19">
          <w:rPr>
            <w:noProof/>
            <w:webHidden/>
          </w:rPr>
          <w:t>28</w:t>
        </w:r>
        <w:r w:rsidR="008C13CA" w:rsidRPr="007837CC">
          <w:rPr>
            <w:noProof/>
            <w:webHidden/>
          </w:rPr>
          <w:fldChar w:fldCharType="end"/>
        </w:r>
      </w:hyperlink>
    </w:p>
    <w:p w14:paraId="505D0EA4" w14:textId="5D85ED01" w:rsidR="008C13CA" w:rsidRPr="007837CC" w:rsidRDefault="00833F32">
      <w:pPr>
        <w:pStyle w:val="TableofFigures"/>
        <w:tabs>
          <w:tab w:val="right" w:pos="8495"/>
        </w:tabs>
        <w:rPr>
          <w:rFonts w:asciiTheme="minorHAnsi" w:eastAsiaTheme="minorEastAsia" w:hAnsiTheme="minorHAnsi" w:cstheme="minorBidi"/>
          <w:noProof/>
        </w:rPr>
      </w:pPr>
      <w:hyperlink w:anchor="_Toc133927347" w:history="1">
        <w:r w:rsidR="008C13CA" w:rsidRPr="007837CC">
          <w:rPr>
            <w:rStyle w:val="Hyperlink"/>
            <w:rFonts w:eastAsiaTheme="majorEastAsia"/>
            <w:noProof/>
          </w:rPr>
          <w:t xml:space="preserve">Table 13: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Auction reserve price under each option</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_Toc133927347 \h </w:instrText>
        </w:r>
        <w:r w:rsidR="008C13CA" w:rsidRPr="007837CC">
          <w:rPr>
            <w:noProof/>
            <w:webHidden/>
          </w:rPr>
        </w:r>
        <w:r w:rsidR="008C13CA" w:rsidRPr="007837CC">
          <w:rPr>
            <w:noProof/>
            <w:webHidden/>
          </w:rPr>
          <w:fldChar w:fldCharType="separate"/>
        </w:r>
        <w:r w:rsidR="00BA4B19">
          <w:rPr>
            <w:noProof/>
            <w:webHidden/>
          </w:rPr>
          <w:t>36</w:t>
        </w:r>
        <w:r w:rsidR="008C13CA" w:rsidRPr="007837CC">
          <w:rPr>
            <w:noProof/>
            <w:webHidden/>
          </w:rPr>
          <w:fldChar w:fldCharType="end"/>
        </w:r>
      </w:hyperlink>
    </w:p>
    <w:p w14:paraId="1D0781EC" w14:textId="7D413952" w:rsidR="008C13CA" w:rsidRPr="007837CC" w:rsidRDefault="00833F32">
      <w:pPr>
        <w:pStyle w:val="TableofFigures"/>
        <w:tabs>
          <w:tab w:val="right" w:pos="8495"/>
        </w:tabs>
        <w:rPr>
          <w:rFonts w:asciiTheme="minorHAnsi" w:eastAsiaTheme="minorEastAsia" w:hAnsiTheme="minorHAnsi" w:cstheme="minorBidi"/>
          <w:noProof/>
        </w:rPr>
      </w:pPr>
      <w:hyperlink w:anchor="_Toc133927348" w:history="1">
        <w:r w:rsidR="008C13CA" w:rsidRPr="007837CC">
          <w:rPr>
            <w:rStyle w:val="Hyperlink"/>
            <w:rFonts w:eastAsiaTheme="majorEastAsia"/>
            <w:noProof/>
          </w:rPr>
          <w:t xml:space="preserve">Table 14: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Assessing options for auction reserve price against the status quo</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_Toc133927348 \h </w:instrText>
        </w:r>
        <w:r w:rsidR="008C13CA" w:rsidRPr="007837CC">
          <w:rPr>
            <w:noProof/>
            <w:webHidden/>
          </w:rPr>
        </w:r>
        <w:r w:rsidR="008C13CA" w:rsidRPr="007837CC">
          <w:rPr>
            <w:noProof/>
            <w:webHidden/>
          </w:rPr>
          <w:fldChar w:fldCharType="separate"/>
        </w:r>
        <w:r w:rsidR="00BA4B19">
          <w:rPr>
            <w:noProof/>
            <w:webHidden/>
          </w:rPr>
          <w:t>36</w:t>
        </w:r>
        <w:r w:rsidR="008C13CA" w:rsidRPr="007837CC">
          <w:rPr>
            <w:noProof/>
            <w:webHidden/>
          </w:rPr>
          <w:fldChar w:fldCharType="end"/>
        </w:r>
      </w:hyperlink>
    </w:p>
    <w:p w14:paraId="440FF421" w14:textId="37474D44" w:rsidR="008C13CA" w:rsidRPr="007837CC" w:rsidRDefault="00833F32">
      <w:pPr>
        <w:pStyle w:val="TableofFigures"/>
        <w:tabs>
          <w:tab w:val="right" w:pos="8495"/>
        </w:tabs>
        <w:rPr>
          <w:rFonts w:asciiTheme="minorHAnsi" w:eastAsiaTheme="minorEastAsia" w:hAnsiTheme="minorHAnsi" w:cstheme="minorBidi"/>
          <w:noProof/>
        </w:rPr>
      </w:pPr>
      <w:hyperlink w:anchor="_Toc133927349" w:history="1">
        <w:r w:rsidR="008C13CA" w:rsidRPr="007837CC">
          <w:rPr>
            <w:rStyle w:val="Hyperlink"/>
            <w:rFonts w:eastAsiaTheme="majorEastAsia"/>
            <w:noProof/>
          </w:rPr>
          <w:t xml:space="preserve">Table 15: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Assessing options for cost containment reserve structure against the status quo</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_Toc133927349 \h </w:instrText>
        </w:r>
        <w:r w:rsidR="008C13CA" w:rsidRPr="007837CC">
          <w:rPr>
            <w:noProof/>
            <w:webHidden/>
          </w:rPr>
        </w:r>
        <w:r w:rsidR="008C13CA" w:rsidRPr="007837CC">
          <w:rPr>
            <w:noProof/>
            <w:webHidden/>
          </w:rPr>
          <w:fldChar w:fldCharType="separate"/>
        </w:r>
        <w:r w:rsidR="00BA4B19">
          <w:rPr>
            <w:noProof/>
            <w:webHidden/>
          </w:rPr>
          <w:t>39</w:t>
        </w:r>
        <w:r w:rsidR="008C13CA" w:rsidRPr="007837CC">
          <w:rPr>
            <w:noProof/>
            <w:webHidden/>
          </w:rPr>
          <w:fldChar w:fldCharType="end"/>
        </w:r>
      </w:hyperlink>
    </w:p>
    <w:p w14:paraId="33157513" w14:textId="5C6ED60E" w:rsidR="008C13CA" w:rsidRPr="007837CC" w:rsidRDefault="00833F32">
      <w:pPr>
        <w:pStyle w:val="TableofFigures"/>
        <w:tabs>
          <w:tab w:val="right" w:pos="8495"/>
        </w:tabs>
        <w:rPr>
          <w:rFonts w:asciiTheme="minorHAnsi" w:eastAsiaTheme="minorEastAsia" w:hAnsiTheme="minorHAnsi" w:cstheme="minorBidi"/>
          <w:noProof/>
        </w:rPr>
      </w:pPr>
      <w:hyperlink w:anchor="_Toc133927350" w:history="1">
        <w:r w:rsidR="008C13CA" w:rsidRPr="007837CC">
          <w:rPr>
            <w:rStyle w:val="Hyperlink"/>
            <w:rFonts w:eastAsiaTheme="majorEastAsia"/>
            <w:noProof/>
          </w:rPr>
          <w:t xml:space="preserve">Table 16: </w:t>
        </w:r>
        <w:r w:rsidR="008C13CA" w:rsidRPr="007837CC">
          <w:rPr>
            <w:rFonts w:asciiTheme="minorHAnsi" w:eastAsiaTheme="minorEastAsia" w:hAnsiTheme="minorHAnsi" w:cstheme="minorBidi"/>
            <w:noProof/>
          </w:rPr>
          <w:tab/>
        </w:r>
        <w:r w:rsidR="00F33833" w:rsidRPr="007837CC">
          <w:rPr>
            <w:rStyle w:val="Hyperlink"/>
            <w:rFonts w:eastAsiaTheme="majorEastAsia"/>
            <w:noProof/>
          </w:rPr>
          <w:t>C</w:t>
        </w:r>
        <w:r w:rsidR="00F33833">
          <w:rPr>
            <w:rStyle w:val="Hyperlink"/>
            <w:rFonts w:eastAsiaTheme="majorEastAsia"/>
            <w:noProof/>
          </w:rPr>
          <w:t>ost containment reserve</w:t>
        </w:r>
        <w:r w:rsidR="00F33833" w:rsidRPr="007837CC">
          <w:rPr>
            <w:rStyle w:val="Hyperlink"/>
            <w:rFonts w:eastAsiaTheme="majorEastAsia"/>
            <w:noProof/>
          </w:rPr>
          <w:t xml:space="preserve"> </w:t>
        </w:r>
        <w:r w:rsidR="008C13CA" w:rsidRPr="007837CC">
          <w:rPr>
            <w:rStyle w:val="Hyperlink"/>
            <w:rFonts w:eastAsiaTheme="majorEastAsia"/>
            <w:noProof/>
          </w:rPr>
          <w:t>trigger price options</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_Toc133927350 \h </w:instrText>
        </w:r>
        <w:r w:rsidR="008C13CA" w:rsidRPr="007837CC">
          <w:rPr>
            <w:noProof/>
            <w:webHidden/>
          </w:rPr>
        </w:r>
        <w:r w:rsidR="008C13CA" w:rsidRPr="007837CC">
          <w:rPr>
            <w:noProof/>
            <w:webHidden/>
          </w:rPr>
          <w:fldChar w:fldCharType="separate"/>
        </w:r>
        <w:r w:rsidR="00BA4B19">
          <w:rPr>
            <w:noProof/>
            <w:webHidden/>
          </w:rPr>
          <w:t>42</w:t>
        </w:r>
        <w:r w:rsidR="008C13CA" w:rsidRPr="007837CC">
          <w:rPr>
            <w:noProof/>
            <w:webHidden/>
          </w:rPr>
          <w:fldChar w:fldCharType="end"/>
        </w:r>
      </w:hyperlink>
    </w:p>
    <w:p w14:paraId="593920A2" w14:textId="39042078" w:rsidR="008C13CA" w:rsidRPr="007837CC" w:rsidRDefault="00833F32">
      <w:pPr>
        <w:pStyle w:val="TableofFigures"/>
        <w:tabs>
          <w:tab w:val="right" w:pos="8495"/>
        </w:tabs>
        <w:rPr>
          <w:rFonts w:asciiTheme="minorHAnsi" w:eastAsiaTheme="minorEastAsia" w:hAnsiTheme="minorHAnsi" w:cstheme="minorBidi"/>
          <w:noProof/>
        </w:rPr>
      </w:pPr>
      <w:hyperlink w:anchor="_Toc133927351" w:history="1">
        <w:r w:rsidR="008C13CA" w:rsidRPr="007837CC">
          <w:rPr>
            <w:rStyle w:val="Hyperlink"/>
            <w:rFonts w:eastAsiaTheme="majorEastAsia"/>
            <w:noProof/>
          </w:rPr>
          <w:t xml:space="preserve">Table 17: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Assessing options for cost containment reserve trigger price against the status quo</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_Toc133927351 \h </w:instrText>
        </w:r>
        <w:r w:rsidR="008C13CA" w:rsidRPr="007837CC">
          <w:rPr>
            <w:noProof/>
            <w:webHidden/>
          </w:rPr>
        </w:r>
        <w:r w:rsidR="008C13CA" w:rsidRPr="007837CC">
          <w:rPr>
            <w:noProof/>
            <w:webHidden/>
          </w:rPr>
          <w:fldChar w:fldCharType="separate"/>
        </w:r>
        <w:r w:rsidR="00BA4B19">
          <w:rPr>
            <w:noProof/>
            <w:webHidden/>
          </w:rPr>
          <w:t>43</w:t>
        </w:r>
        <w:r w:rsidR="008C13CA" w:rsidRPr="007837CC">
          <w:rPr>
            <w:noProof/>
            <w:webHidden/>
          </w:rPr>
          <w:fldChar w:fldCharType="end"/>
        </w:r>
      </w:hyperlink>
    </w:p>
    <w:p w14:paraId="7FA5D2AB" w14:textId="3667B08B" w:rsidR="008C13CA" w:rsidRPr="007837CC" w:rsidRDefault="00833F32">
      <w:pPr>
        <w:pStyle w:val="TableofFigures"/>
        <w:tabs>
          <w:tab w:val="right" w:pos="8495"/>
        </w:tabs>
        <w:rPr>
          <w:rFonts w:asciiTheme="minorHAnsi" w:eastAsiaTheme="minorEastAsia" w:hAnsiTheme="minorHAnsi" w:cstheme="minorBidi"/>
          <w:noProof/>
        </w:rPr>
      </w:pPr>
      <w:hyperlink w:anchor="_Toc133927352" w:history="1">
        <w:r w:rsidR="008C13CA" w:rsidRPr="007837CC">
          <w:rPr>
            <w:rStyle w:val="Hyperlink"/>
            <w:rFonts w:eastAsiaTheme="majorEastAsia"/>
            <w:noProof/>
          </w:rPr>
          <w:t xml:space="preserve">Table 21: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Impact of emissions price on the price of electricity (c/kWh)</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_Toc133927352 \h </w:instrText>
        </w:r>
        <w:r w:rsidR="008C13CA" w:rsidRPr="007837CC">
          <w:rPr>
            <w:noProof/>
            <w:webHidden/>
          </w:rPr>
        </w:r>
        <w:r w:rsidR="008C13CA" w:rsidRPr="007837CC">
          <w:rPr>
            <w:noProof/>
            <w:webHidden/>
          </w:rPr>
          <w:fldChar w:fldCharType="separate"/>
        </w:r>
        <w:r w:rsidR="00BA4B19">
          <w:rPr>
            <w:noProof/>
            <w:webHidden/>
          </w:rPr>
          <w:t>45</w:t>
        </w:r>
        <w:r w:rsidR="008C13CA" w:rsidRPr="007837CC">
          <w:rPr>
            <w:noProof/>
            <w:webHidden/>
          </w:rPr>
          <w:fldChar w:fldCharType="end"/>
        </w:r>
      </w:hyperlink>
    </w:p>
    <w:p w14:paraId="178FF8F0" w14:textId="09C56374" w:rsidR="008C13CA" w:rsidRPr="007837CC" w:rsidRDefault="00833F32">
      <w:pPr>
        <w:pStyle w:val="TableofFigures"/>
        <w:tabs>
          <w:tab w:val="right" w:pos="8495"/>
        </w:tabs>
        <w:rPr>
          <w:rFonts w:asciiTheme="minorHAnsi" w:eastAsiaTheme="minorEastAsia" w:hAnsiTheme="minorHAnsi" w:cstheme="minorBidi"/>
          <w:noProof/>
        </w:rPr>
      </w:pPr>
      <w:hyperlink w:anchor="_Toc133927353" w:history="1">
        <w:r w:rsidR="008C13CA" w:rsidRPr="007837CC">
          <w:rPr>
            <w:rStyle w:val="Hyperlink"/>
            <w:rFonts w:eastAsiaTheme="majorEastAsia"/>
            <w:noProof/>
          </w:rPr>
          <w:t xml:space="preserve">Table 22: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Impact of emissions price on the prices of fossil fuels</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_Toc133927353 \h </w:instrText>
        </w:r>
        <w:r w:rsidR="008C13CA" w:rsidRPr="007837CC">
          <w:rPr>
            <w:noProof/>
            <w:webHidden/>
          </w:rPr>
        </w:r>
        <w:r w:rsidR="008C13CA" w:rsidRPr="007837CC">
          <w:rPr>
            <w:noProof/>
            <w:webHidden/>
          </w:rPr>
          <w:fldChar w:fldCharType="separate"/>
        </w:r>
        <w:r w:rsidR="00BA4B19">
          <w:rPr>
            <w:noProof/>
            <w:webHidden/>
          </w:rPr>
          <w:t>46</w:t>
        </w:r>
        <w:r w:rsidR="008C13CA" w:rsidRPr="007837CC">
          <w:rPr>
            <w:noProof/>
            <w:webHidden/>
          </w:rPr>
          <w:fldChar w:fldCharType="end"/>
        </w:r>
      </w:hyperlink>
    </w:p>
    <w:p w14:paraId="094DCAC2" w14:textId="2FB4D5E6" w:rsidR="008C13CA" w:rsidRPr="007837CC" w:rsidRDefault="00833F32">
      <w:pPr>
        <w:pStyle w:val="TableofFigures"/>
        <w:tabs>
          <w:tab w:val="right" w:pos="8495"/>
        </w:tabs>
        <w:rPr>
          <w:rFonts w:asciiTheme="minorHAnsi" w:eastAsiaTheme="minorEastAsia" w:hAnsiTheme="minorHAnsi" w:cstheme="minorBidi"/>
          <w:noProof/>
        </w:rPr>
      </w:pPr>
      <w:hyperlink w:anchor="_Toc133927354" w:history="1">
        <w:r w:rsidR="008C13CA" w:rsidRPr="007837CC">
          <w:rPr>
            <w:rStyle w:val="Hyperlink"/>
            <w:rFonts w:eastAsiaTheme="majorEastAsia"/>
            <w:noProof/>
          </w:rPr>
          <w:t xml:space="preserve">Table 23: </w:t>
        </w:r>
        <w:r w:rsidR="008C13CA" w:rsidRPr="007837CC">
          <w:rPr>
            <w:rFonts w:asciiTheme="minorHAnsi" w:eastAsiaTheme="minorEastAsia" w:hAnsiTheme="minorHAnsi" w:cstheme="minorBidi"/>
            <w:noProof/>
          </w:rPr>
          <w:tab/>
        </w:r>
        <w:r w:rsidR="008C13CA" w:rsidRPr="007837CC">
          <w:rPr>
            <w:rStyle w:val="Hyperlink"/>
            <w:rFonts w:eastAsiaTheme="majorEastAsia"/>
            <w:noProof/>
          </w:rPr>
          <w:t>Residual NZ ETS cost after industrial allocation, and corresponding NZU price in 2030 at which activities eligible for industrial allocation close</w:t>
        </w:r>
        <w:r w:rsidR="008C13CA" w:rsidRPr="007837CC">
          <w:rPr>
            <w:noProof/>
            <w:webHidden/>
          </w:rPr>
          <w:tab/>
        </w:r>
        <w:r w:rsidR="008C13CA" w:rsidRPr="007837CC">
          <w:rPr>
            <w:noProof/>
            <w:webHidden/>
          </w:rPr>
          <w:fldChar w:fldCharType="begin"/>
        </w:r>
        <w:r w:rsidR="008C13CA" w:rsidRPr="007837CC">
          <w:rPr>
            <w:noProof/>
            <w:webHidden/>
          </w:rPr>
          <w:instrText xml:space="preserve"> PAGEREF _Toc133927354 \h </w:instrText>
        </w:r>
        <w:r w:rsidR="008C13CA" w:rsidRPr="007837CC">
          <w:rPr>
            <w:noProof/>
            <w:webHidden/>
          </w:rPr>
        </w:r>
        <w:r w:rsidR="008C13CA" w:rsidRPr="007837CC">
          <w:rPr>
            <w:noProof/>
            <w:webHidden/>
          </w:rPr>
          <w:fldChar w:fldCharType="separate"/>
        </w:r>
        <w:r w:rsidR="00BA4B19">
          <w:rPr>
            <w:noProof/>
            <w:webHidden/>
          </w:rPr>
          <w:t>48</w:t>
        </w:r>
        <w:r w:rsidR="008C13CA" w:rsidRPr="007837CC">
          <w:rPr>
            <w:noProof/>
            <w:webHidden/>
          </w:rPr>
          <w:fldChar w:fldCharType="end"/>
        </w:r>
      </w:hyperlink>
    </w:p>
    <w:p w14:paraId="42B55B3C" w14:textId="12F667F1" w:rsidR="00E31050" w:rsidRPr="001D5723" w:rsidRDefault="004943C2" w:rsidP="00A9509C">
      <w:pPr>
        <w:pStyle w:val="BodyText"/>
        <w:rPr>
          <w:rStyle w:val="Heading1Char"/>
        </w:rPr>
      </w:pPr>
      <w:r w:rsidRPr="007837CC">
        <w:rPr>
          <w:shd w:val="clear" w:color="auto" w:fill="E6E6E6"/>
        </w:rPr>
        <w:lastRenderedPageBreak/>
        <w:fldChar w:fldCharType="end"/>
      </w:r>
      <w:bookmarkStart w:id="0" w:name="_Toc135300650"/>
      <w:r w:rsidR="00126585" w:rsidRPr="00A9509C">
        <w:rPr>
          <w:rStyle w:val="Heading1Char"/>
        </w:rPr>
        <w:t>A</w:t>
      </w:r>
      <w:r w:rsidR="00E31050" w:rsidRPr="00A9509C">
        <w:rPr>
          <w:rStyle w:val="Heading1Char"/>
        </w:rPr>
        <w:t xml:space="preserve">bbreviations </w:t>
      </w:r>
      <w:proofErr w:type="gramStart"/>
      <w:r w:rsidR="00E31050" w:rsidRPr="00A9509C">
        <w:rPr>
          <w:rStyle w:val="Heading1Char"/>
        </w:rPr>
        <w:t>used</w:t>
      </w:r>
      <w:bookmarkEnd w:id="0"/>
      <w:proofErr w:type="gramEnd"/>
    </w:p>
    <w:p w14:paraId="4279D6C0" w14:textId="1788F748" w:rsidR="00E31050" w:rsidRPr="007837CC" w:rsidRDefault="00E31050" w:rsidP="007212F8">
      <w:pPr>
        <w:pStyle w:val="BodyText"/>
        <w:spacing w:after="240"/>
      </w:pPr>
      <w:r w:rsidRPr="007837CC">
        <w:t>Many abbreviations are routinely used when discussing the New Zealand Emissions Trading Scheme. The list below includes the abbreviations used through this consultation document.</w:t>
      </w:r>
    </w:p>
    <w:tbl>
      <w:tblPr>
        <w:tblW w:w="0" w:type="auto"/>
        <w:tblInd w:w="-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1706"/>
        <w:gridCol w:w="4820"/>
      </w:tblGrid>
      <w:tr w:rsidR="006D4882" w:rsidRPr="004C7908" w14:paraId="2BD0262D" w14:textId="77777777" w:rsidTr="007212F8">
        <w:tc>
          <w:tcPr>
            <w:tcW w:w="1706" w:type="dxa"/>
            <w:shd w:val="clear" w:color="auto" w:fill="FFFFFF" w:themeFill="background1"/>
            <w:vAlign w:val="center"/>
          </w:tcPr>
          <w:p w14:paraId="2BF44A22" w14:textId="5500B6FE" w:rsidR="007212F8" w:rsidRPr="004C7908" w:rsidRDefault="007212F8" w:rsidP="00E649E0">
            <w:pPr>
              <w:pStyle w:val="TableText"/>
              <w:rPr>
                <w:sz w:val="20"/>
                <w:szCs w:val="20"/>
              </w:rPr>
            </w:pPr>
            <w:r w:rsidRPr="004C7908">
              <w:rPr>
                <w:b/>
                <w:bCs/>
                <w:sz w:val="20"/>
                <w:szCs w:val="20"/>
              </w:rPr>
              <w:t>CCR</w:t>
            </w:r>
          </w:p>
        </w:tc>
        <w:tc>
          <w:tcPr>
            <w:tcW w:w="4820" w:type="dxa"/>
            <w:shd w:val="clear" w:color="auto" w:fill="auto"/>
            <w:vAlign w:val="center"/>
          </w:tcPr>
          <w:p w14:paraId="55CCC5E1" w14:textId="6C6E69C9" w:rsidR="007212F8" w:rsidRPr="004C7908" w:rsidRDefault="007212F8" w:rsidP="00E649E0">
            <w:pPr>
              <w:pStyle w:val="TableText"/>
              <w:rPr>
                <w:sz w:val="20"/>
                <w:szCs w:val="20"/>
              </w:rPr>
            </w:pPr>
            <w:r w:rsidRPr="004C7908">
              <w:rPr>
                <w:sz w:val="20"/>
                <w:szCs w:val="20"/>
              </w:rPr>
              <w:t>cost containment reserve</w:t>
            </w:r>
          </w:p>
        </w:tc>
      </w:tr>
      <w:tr w:rsidR="00881F0F" w:rsidRPr="004C7908" w:rsidDel="009D03E1" w14:paraId="5DD5571B" w14:textId="77777777" w:rsidTr="007212F8">
        <w:tc>
          <w:tcPr>
            <w:tcW w:w="1706" w:type="dxa"/>
            <w:tcBorders>
              <w:bottom w:val="nil"/>
            </w:tcBorders>
            <w:shd w:val="clear" w:color="auto" w:fill="FFFFFF" w:themeFill="background1"/>
            <w:vAlign w:val="center"/>
          </w:tcPr>
          <w:p w14:paraId="6B55533A" w14:textId="3D3E1A6E" w:rsidR="007212F8" w:rsidRPr="004C7908" w:rsidDel="009D03E1" w:rsidRDefault="007212F8" w:rsidP="00E649E0">
            <w:pPr>
              <w:pStyle w:val="TableText"/>
              <w:rPr>
                <w:sz w:val="20"/>
                <w:szCs w:val="20"/>
              </w:rPr>
            </w:pPr>
            <w:r w:rsidRPr="004C7908">
              <w:rPr>
                <w:b/>
                <w:bCs/>
                <w:sz w:val="20"/>
                <w:szCs w:val="20"/>
              </w:rPr>
              <w:t>EBIT</w:t>
            </w:r>
          </w:p>
        </w:tc>
        <w:tc>
          <w:tcPr>
            <w:tcW w:w="4820" w:type="dxa"/>
            <w:tcBorders>
              <w:bottom w:val="nil"/>
            </w:tcBorders>
            <w:shd w:val="clear" w:color="auto" w:fill="auto"/>
            <w:vAlign w:val="center"/>
          </w:tcPr>
          <w:p w14:paraId="5A8C924C" w14:textId="7F728F9B" w:rsidR="007212F8" w:rsidRPr="004C7908" w:rsidDel="009D03E1" w:rsidRDefault="007212F8" w:rsidP="00E649E0">
            <w:pPr>
              <w:pStyle w:val="TableText"/>
              <w:rPr>
                <w:sz w:val="20"/>
                <w:szCs w:val="20"/>
              </w:rPr>
            </w:pPr>
            <w:r w:rsidRPr="004C7908">
              <w:rPr>
                <w:sz w:val="20"/>
                <w:szCs w:val="20"/>
              </w:rPr>
              <w:t>earnings before interest and tax</w:t>
            </w:r>
          </w:p>
        </w:tc>
      </w:tr>
      <w:tr w:rsidR="006D4882" w:rsidRPr="004C7908" w14:paraId="3AEE2DEB" w14:textId="77777777" w:rsidTr="007212F8">
        <w:tc>
          <w:tcPr>
            <w:tcW w:w="1706" w:type="dxa"/>
            <w:shd w:val="clear" w:color="auto" w:fill="FFFFFF" w:themeFill="background1"/>
            <w:vAlign w:val="center"/>
          </w:tcPr>
          <w:p w14:paraId="443FF339" w14:textId="1F01BDB1" w:rsidR="007212F8" w:rsidRPr="004C7908" w:rsidRDefault="007212F8" w:rsidP="00E649E0">
            <w:pPr>
              <w:pStyle w:val="TableText"/>
              <w:keepNext/>
              <w:rPr>
                <w:sz w:val="20"/>
                <w:szCs w:val="20"/>
              </w:rPr>
            </w:pPr>
            <w:r w:rsidRPr="004C7908">
              <w:rPr>
                <w:b/>
                <w:bCs/>
                <w:sz w:val="20"/>
                <w:szCs w:val="20"/>
              </w:rPr>
              <w:t>EBITDA</w:t>
            </w:r>
          </w:p>
        </w:tc>
        <w:tc>
          <w:tcPr>
            <w:tcW w:w="4820" w:type="dxa"/>
            <w:shd w:val="clear" w:color="auto" w:fill="auto"/>
            <w:vAlign w:val="center"/>
          </w:tcPr>
          <w:p w14:paraId="6462BCB4" w14:textId="26BB4380" w:rsidR="007212F8" w:rsidRPr="004C7908" w:rsidRDefault="007212F8" w:rsidP="00E649E0">
            <w:pPr>
              <w:pStyle w:val="TableText"/>
              <w:rPr>
                <w:sz w:val="20"/>
                <w:szCs w:val="20"/>
              </w:rPr>
            </w:pPr>
            <w:r w:rsidRPr="004C7908">
              <w:rPr>
                <w:sz w:val="20"/>
                <w:szCs w:val="20"/>
              </w:rPr>
              <w:t xml:space="preserve">earnings before interest, tax, </w:t>
            </w:r>
            <w:proofErr w:type="gramStart"/>
            <w:r w:rsidRPr="004C7908">
              <w:rPr>
                <w:sz w:val="20"/>
                <w:szCs w:val="20"/>
              </w:rPr>
              <w:t>depreciation</w:t>
            </w:r>
            <w:proofErr w:type="gramEnd"/>
            <w:r w:rsidRPr="004C7908">
              <w:rPr>
                <w:sz w:val="20"/>
                <w:szCs w:val="20"/>
              </w:rPr>
              <w:t xml:space="preserve"> and amortisation</w:t>
            </w:r>
          </w:p>
        </w:tc>
      </w:tr>
      <w:tr w:rsidR="006D4882" w:rsidRPr="004C7908" w14:paraId="0D485780" w14:textId="77777777" w:rsidTr="007212F8">
        <w:tc>
          <w:tcPr>
            <w:tcW w:w="1706" w:type="dxa"/>
            <w:shd w:val="clear" w:color="auto" w:fill="FFFFFF" w:themeFill="background1"/>
            <w:vAlign w:val="center"/>
          </w:tcPr>
          <w:p w14:paraId="5E6452C2" w14:textId="04430862" w:rsidR="007212F8" w:rsidRPr="004C7908" w:rsidRDefault="007212F8" w:rsidP="00E649E0">
            <w:pPr>
              <w:pStyle w:val="TableText"/>
              <w:rPr>
                <w:sz w:val="20"/>
                <w:szCs w:val="20"/>
              </w:rPr>
            </w:pPr>
            <w:r w:rsidRPr="004C7908">
              <w:rPr>
                <w:b/>
                <w:bCs/>
                <w:sz w:val="20"/>
                <w:szCs w:val="20"/>
              </w:rPr>
              <w:t>EITE</w:t>
            </w:r>
          </w:p>
        </w:tc>
        <w:tc>
          <w:tcPr>
            <w:tcW w:w="4820" w:type="dxa"/>
            <w:shd w:val="clear" w:color="auto" w:fill="auto"/>
            <w:vAlign w:val="center"/>
          </w:tcPr>
          <w:p w14:paraId="49C7B3C5" w14:textId="05007F0A" w:rsidR="007212F8" w:rsidRPr="004C7908" w:rsidRDefault="007212F8" w:rsidP="00E649E0">
            <w:pPr>
              <w:pStyle w:val="TableText"/>
              <w:rPr>
                <w:sz w:val="20"/>
                <w:szCs w:val="20"/>
              </w:rPr>
            </w:pPr>
            <w:r w:rsidRPr="004C7908">
              <w:rPr>
                <w:sz w:val="20"/>
                <w:szCs w:val="20"/>
              </w:rPr>
              <w:t>emissions-intensive and trade-exposed</w:t>
            </w:r>
          </w:p>
        </w:tc>
      </w:tr>
      <w:tr w:rsidR="006D4882" w:rsidRPr="004C7908" w14:paraId="71B09E8B" w14:textId="77777777" w:rsidTr="007212F8">
        <w:tc>
          <w:tcPr>
            <w:tcW w:w="1706" w:type="dxa"/>
            <w:shd w:val="clear" w:color="auto" w:fill="FFFFFF" w:themeFill="background1"/>
            <w:vAlign w:val="center"/>
          </w:tcPr>
          <w:p w14:paraId="7973BA5A" w14:textId="2AE3A2B1" w:rsidR="007212F8" w:rsidRPr="004C7908" w:rsidRDefault="007212F8" w:rsidP="00E649E0">
            <w:pPr>
              <w:pStyle w:val="TableText"/>
              <w:rPr>
                <w:b/>
                <w:bCs/>
                <w:sz w:val="20"/>
                <w:szCs w:val="20"/>
              </w:rPr>
            </w:pPr>
            <w:r w:rsidRPr="004C7908">
              <w:rPr>
                <w:b/>
                <w:bCs/>
                <w:sz w:val="20"/>
                <w:szCs w:val="20"/>
              </w:rPr>
              <w:t>ERP</w:t>
            </w:r>
          </w:p>
        </w:tc>
        <w:tc>
          <w:tcPr>
            <w:tcW w:w="4820" w:type="dxa"/>
            <w:shd w:val="clear" w:color="auto" w:fill="auto"/>
            <w:vAlign w:val="center"/>
          </w:tcPr>
          <w:p w14:paraId="67C0FCD6" w14:textId="694CC469" w:rsidR="007212F8" w:rsidRPr="004C7908" w:rsidRDefault="007212F8" w:rsidP="00E649E0">
            <w:pPr>
              <w:pStyle w:val="TableText"/>
              <w:rPr>
                <w:sz w:val="20"/>
                <w:szCs w:val="20"/>
              </w:rPr>
            </w:pPr>
            <w:r w:rsidRPr="004C7908">
              <w:rPr>
                <w:sz w:val="20"/>
                <w:szCs w:val="20"/>
              </w:rPr>
              <w:t>emissions reduction plan</w:t>
            </w:r>
          </w:p>
        </w:tc>
      </w:tr>
      <w:tr w:rsidR="006D4882" w:rsidRPr="004C7908" w14:paraId="313375AE" w14:textId="77777777" w:rsidTr="007212F8">
        <w:tc>
          <w:tcPr>
            <w:tcW w:w="1706" w:type="dxa"/>
            <w:shd w:val="clear" w:color="auto" w:fill="FFFFFF" w:themeFill="background1"/>
            <w:vAlign w:val="center"/>
          </w:tcPr>
          <w:p w14:paraId="191C9FF0" w14:textId="167B3D3A" w:rsidR="007212F8" w:rsidRPr="004C7908" w:rsidRDefault="007212F8" w:rsidP="00E649E0">
            <w:pPr>
              <w:pStyle w:val="TableText"/>
              <w:rPr>
                <w:b/>
                <w:bCs/>
                <w:sz w:val="20"/>
                <w:szCs w:val="20"/>
              </w:rPr>
            </w:pPr>
            <w:r w:rsidRPr="004C7908">
              <w:rPr>
                <w:b/>
                <w:bCs/>
                <w:sz w:val="20"/>
                <w:szCs w:val="20"/>
              </w:rPr>
              <w:t>NDC</w:t>
            </w:r>
          </w:p>
        </w:tc>
        <w:tc>
          <w:tcPr>
            <w:tcW w:w="4820" w:type="dxa"/>
            <w:shd w:val="clear" w:color="auto" w:fill="auto"/>
            <w:vAlign w:val="center"/>
          </w:tcPr>
          <w:p w14:paraId="7A307CDF" w14:textId="181907B5" w:rsidR="007212F8" w:rsidRPr="004C7908" w:rsidRDefault="007212F8" w:rsidP="00E649E0">
            <w:pPr>
              <w:pStyle w:val="TableText"/>
              <w:rPr>
                <w:sz w:val="20"/>
                <w:szCs w:val="20"/>
              </w:rPr>
            </w:pPr>
            <w:r w:rsidRPr="004C7908">
              <w:rPr>
                <w:sz w:val="20"/>
                <w:szCs w:val="20"/>
              </w:rPr>
              <w:t>Nationally Determined Contribution</w:t>
            </w:r>
          </w:p>
        </w:tc>
      </w:tr>
      <w:tr w:rsidR="006D4882" w:rsidRPr="004C7908" w14:paraId="3ECDA5DB" w14:textId="77777777" w:rsidTr="007212F8">
        <w:tc>
          <w:tcPr>
            <w:tcW w:w="1706" w:type="dxa"/>
            <w:shd w:val="clear" w:color="auto" w:fill="FFFFFF" w:themeFill="background1"/>
            <w:vAlign w:val="center"/>
          </w:tcPr>
          <w:p w14:paraId="26CF7221" w14:textId="4514F9DA" w:rsidR="007212F8" w:rsidRPr="004C7908" w:rsidRDefault="007212F8" w:rsidP="00E649E0">
            <w:pPr>
              <w:pStyle w:val="TableText"/>
              <w:rPr>
                <w:b/>
                <w:bCs/>
                <w:sz w:val="20"/>
                <w:szCs w:val="20"/>
              </w:rPr>
            </w:pPr>
            <w:r w:rsidRPr="004C7908">
              <w:rPr>
                <w:b/>
                <w:bCs/>
                <w:sz w:val="20"/>
                <w:szCs w:val="20"/>
              </w:rPr>
              <w:t>NZ ETS</w:t>
            </w:r>
          </w:p>
        </w:tc>
        <w:tc>
          <w:tcPr>
            <w:tcW w:w="4820" w:type="dxa"/>
            <w:shd w:val="clear" w:color="auto" w:fill="auto"/>
            <w:vAlign w:val="center"/>
          </w:tcPr>
          <w:p w14:paraId="7F5A1B13" w14:textId="6FA1CB47" w:rsidR="007212F8" w:rsidRPr="004C7908" w:rsidRDefault="007212F8" w:rsidP="00E649E0">
            <w:pPr>
              <w:pStyle w:val="TableText"/>
              <w:rPr>
                <w:sz w:val="20"/>
                <w:szCs w:val="20"/>
              </w:rPr>
            </w:pPr>
            <w:r w:rsidRPr="004C7908">
              <w:rPr>
                <w:sz w:val="20"/>
                <w:szCs w:val="20"/>
              </w:rPr>
              <w:t>New Zealand Emissions Trading Scheme</w:t>
            </w:r>
          </w:p>
        </w:tc>
      </w:tr>
      <w:tr w:rsidR="006D4882" w:rsidRPr="004C7908" w14:paraId="6554C32E" w14:textId="77777777" w:rsidTr="007212F8">
        <w:tc>
          <w:tcPr>
            <w:tcW w:w="1706" w:type="dxa"/>
            <w:shd w:val="clear" w:color="auto" w:fill="FFFFFF" w:themeFill="background1"/>
            <w:vAlign w:val="center"/>
          </w:tcPr>
          <w:p w14:paraId="18058BAE" w14:textId="0FD76CC0" w:rsidR="007212F8" w:rsidRPr="004C7908" w:rsidRDefault="007212F8" w:rsidP="00E649E0">
            <w:pPr>
              <w:pStyle w:val="TableText"/>
              <w:rPr>
                <w:b/>
                <w:bCs/>
                <w:sz w:val="20"/>
                <w:szCs w:val="20"/>
              </w:rPr>
            </w:pPr>
            <w:r w:rsidRPr="004C7908">
              <w:rPr>
                <w:b/>
                <w:bCs/>
                <w:sz w:val="20"/>
                <w:szCs w:val="20"/>
              </w:rPr>
              <w:t>NZU</w:t>
            </w:r>
          </w:p>
        </w:tc>
        <w:tc>
          <w:tcPr>
            <w:tcW w:w="4820" w:type="dxa"/>
            <w:shd w:val="clear" w:color="auto" w:fill="auto"/>
            <w:vAlign w:val="center"/>
          </w:tcPr>
          <w:p w14:paraId="27CC57E5" w14:textId="40350E8E" w:rsidR="007212F8" w:rsidRPr="004C7908" w:rsidRDefault="007212F8" w:rsidP="00E649E0">
            <w:pPr>
              <w:pStyle w:val="TableText"/>
              <w:rPr>
                <w:sz w:val="20"/>
                <w:szCs w:val="20"/>
              </w:rPr>
            </w:pPr>
            <w:r w:rsidRPr="004C7908">
              <w:rPr>
                <w:sz w:val="20"/>
                <w:szCs w:val="20"/>
              </w:rPr>
              <w:t>New Zealand Unit</w:t>
            </w:r>
          </w:p>
        </w:tc>
      </w:tr>
      <w:tr w:rsidR="006D4882" w:rsidRPr="004C7908" w14:paraId="4D2B7F16" w14:textId="77777777" w:rsidTr="007212F8">
        <w:tc>
          <w:tcPr>
            <w:tcW w:w="1706" w:type="dxa"/>
            <w:shd w:val="clear" w:color="auto" w:fill="FFFFFF" w:themeFill="background1"/>
            <w:vAlign w:val="center"/>
          </w:tcPr>
          <w:p w14:paraId="3E2D7150" w14:textId="248A2A81" w:rsidR="007212F8" w:rsidRPr="004C7908" w:rsidRDefault="007212F8" w:rsidP="00E649E0">
            <w:pPr>
              <w:pStyle w:val="TableText"/>
              <w:rPr>
                <w:b/>
                <w:bCs/>
                <w:sz w:val="20"/>
                <w:szCs w:val="20"/>
              </w:rPr>
            </w:pPr>
            <w:r w:rsidRPr="004C7908">
              <w:rPr>
                <w:b/>
                <w:bCs/>
                <w:sz w:val="20"/>
                <w:szCs w:val="20"/>
              </w:rPr>
              <w:t>SGG</w:t>
            </w:r>
          </w:p>
        </w:tc>
        <w:tc>
          <w:tcPr>
            <w:tcW w:w="4820" w:type="dxa"/>
            <w:shd w:val="clear" w:color="auto" w:fill="auto"/>
            <w:vAlign w:val="center"/>
          </w:tcPr>
          <w:p w14:paraId="7060D07F" w14:textId="6ACAEC17" w:rsidR="007212F8" w:rsidRPr="004C7908" w:rsidRDefault="007212F8" w:rsidP="00E649E0">
            <w:pPr>
              <w:pStyle w:val="TableText"/>
              <w:rPr>
                <w:sz w:val="20"/>
                <w:szCs w:val="20"/>
              </w:rPr>
            </w:pPr>
            <w:r w:rsidRPr="004C7908">
              <w:rPr>
                <w:sz w:val="20"/>
                <w:szCs w:val="20"/>
              </w:rPr>
              <w:t>synthetic greenhouse gas</w:t>
            </w:r>
          </w:p>
        </w:tc>
      </w:tr>
      <w:tr w:rsidR="006D4882" w:rsidRPr="004C7908" w14:paraId="0F753BF4" w14:textId="77777777" w:rsidTr="007212F8">
        <w:tc>
          <w:tcPr>
            <w:tcW w:w="1706" w:type="dxa"/>
            <w:shd w:val="clear" w:color="auto" w:fill="FFFFFF" w:themeFill="background1"/>
            <w:vAlign w:val="center"/>
          </w:tcPr>
          <w:p w14:paraId="7B8D1927" w14:textId="41300642" w:rsidR="007212F8" w:rsidRPr="004C7908" w:rsidRDefault="007212F8" w:rsidP="00E649E0">
            <w:pPr>
              <w:pStyle w:val="TableText"/>
              <w:rPr>
                <w:b/>
                <w:bCs/>
                <w:sz w:val="20"/>
                <w:szCs w:val="20"/>
              </w:rPr>
            </w:pPr>
            <w:r w:rsidRPr="004C7908">
              <w:rPr>
                <w:b/>
                <w:bCs/>
                <w:sz w:val="20"/>
                <w:szCs w:val="20"/>
              </w:rPr>
              <w:t>the Act</w:t>
            </w:r>
          </w:p>
        </w:tc>
        <w:tc>
          <w:tcPr>
            <w:tcW w:w="4820" w:type="dxa"/>
            <w:shd w:val="clear" w:color="auto" w:fill="auto"/>
            <w:vAlign w:val="center"/>
          </w:tcPr>
          <w:p w14:paraId="6F0AE161" w14:textId="436AD144" w:rsidR="007212F8" w:rsidRPr="004C7908" w:rsidRDefault="007212F8" w:rsidP="00E649E0">
            <w:pPr>
              <w:pStyle w:val="TableText"/>
              <w:rPr>
                <w:sz w:val="20"/>
                <w:szCs w:val="20"/>
              </w:rPr>
            </w:pPr>
            <w:r w:rsidRPr="004C7908">
              <w:rPr>
                <w:sz w:val="20"/>
                <w:szCs w:val="20"/>
              </w:rPr>
              <w:t>Climate Change Response Act 2002</w:t>
            </w:r>
          </w:p>
        </w:tc>
      </w:tr>
      <w:tr w:rsidR="006D4882" w:rsidRPr="004C7908" w14:paraId="3DE86291" w14:textId="77777777" w:rsidTr="007212F8">
        <w:tc>
          <w:tcPr>
            <w:tcW w:w="1706" w:type="dxa"/>
            <w:shd w:val="clear" w:color="auto" w:fill="FFFFFF" w:themeFill="background1"/>
            <w:vAlign w:val="center"/>
          </w:tcPr>
          <w:p w14:paraId="4A67C928" w14:textId="638C39C8" w:rsidR="007212F8" w:rsidRPr="004C7908" w:rsidRDefault="007212F8" w:rsidP="00E649E0">
            <w:pPr>
              <w:pStyle w:val="TableText"/>
              <w:rPr>
                <w:b/>
                <w:bCs/>
                <w:sz w:val="20"/>
                <w:szCs w:val="20"/>
              </w:rPr>
            </w:pPr>
            <w:r w:rsidRPr="004C7908">
              <w:rPr>
                <w:b/>
                <w:bCs/>
                <w:sz w:val="20"/>
                <w:szCs w:val="20"/>
              </w:rPr>
              <w:t>the Commission</w:t>
            </w:r>
          </w:p>
        </w:tc>
        <w:tc>
          <w:tcPr>
            <w:tcW w:w="4820" w:type="dxa"/>
            <w:shd w:val="clear" w:color="auto" w:fill="auto"/>
            <w:vAlign w:val="center"/>
          </w:tcPr>
          <w:p w14:paraId="0A9CD6C8" w14:textId="2F9C6591" w:rsidR="007212F8" w:rsidRPr="004C7908" w:rsidRDefault="007212F8" w:rsidP="00E649E0">
            <w:pPr>
              <w:pStyle w:val="TableText"/>
              <w:rPr>
                <w:sz w:val="20"/>
                <w:szCs w:val="20"/>
              </w:rPr>
            </w:pPr>
            <w:r w:rsidRPr="004C7908">
              <w:rPr>
                <w:sz w:val="20"/>
                <w:szCs w:val="20"/>
              </w:rPr>
              <w:t xml:space="preserve">He </w:t>
            </w:r>
            <w:proofErr w:type="spellStart"/>
            <w:r w:rsidRPr="004C7908">
              <w:rPr>
                <w:sz w:val="20"/>
                <w:szCs w:val="20"/>
              </w:rPr>
              <w:t>Pou</w:t>
            </w:r>
            <w:proofErr w:type="spellEnd"/>
            <w:r w:rsidRPr="004C7908">
              <w:rPr>
                <w:sz w:val="20"/>
                <w:szCs w:val="20"/>
              </w:rPr>
              <w:t xml:space="preserve"> a </w:t>
            </w:r>
            <w:proofErr w:type="spellStart"/>
            <w:r w:rsidRPr="004C7908">
              <w:rPr>
                <w:sz w:val="20"/>
                <w:szCs w:val="20"/>
              </w:rPr>
              <w:t>Rangi</w:t>
            </w:r>
            <w:proofErr w:type="spellEnd"/>
            <w:r w:rsidRPr="004C7908">
              <w:rPr>
                <w:sz w:val="20"/>
                <w:szCs w:val="20"/>
              </w:rPr>
              <w:t xml:space="preserve"> – Climate Change Commission</w:t>
            </w:r>
          </w:p>
        </w:tc>
      </w:tr>
      <w:tr w:rsidR="006D4882" w:rsidRPr="004C7908" w14:paraId="2A22AC24" w14:textId="77777777" w:rsidTr="007212F8">
        <w:tc>
          <w:tcPr>
            <w:tcW w:w="1706" w:type="dxa"/>
            <w:shd w:val="clear" w:color="auto" w:fill="FFFFFF" w:themeFill="background1"/>
            <w:vAlign w:val="center"/>
          </w:tcPr>
          <w:p w14:paraId="4EEE5479" w14:textId="0A8EC34E" w:rsidR="007212F8" w:rsidRPr="004C7908" w:rsidRDefault="007212F8" w:rsidP="00E649E0">
            <w:pPr>
              <w:pStyle w:val="TableText"/>
              <w:rPr>
                <w:b/>
                <w:bCs/>
                <w:sz w:val="20"/>
                <w:szCs w:val="20"/>
              </w:rPr>
            </w:pPr>
            <w:r w:rsidRPr="004C7908">
              <w:rPr>
                <w:b/>
                <w:bCs/>
                <w:sz w:val="20"/>
                <w:szCs w:val="20"/>
              </w:rPr>
              <w:t>the Inventory</w:t>
            </w:r>
          </w:p>
        </w:tc>
        <w:tc>
          <w:tcPr>
            <w:tcW w:w="4820" w:type="dxa"/>
            <w:shd w:val="clear" w:color="auto" w:fill="auto"/>
            <w:vAlign w:val="center"/>
          </w:tcPr>
          <w:p w14:paraId="282B8F3C" w14:textId="7CDCAB42" w:rsidR="007212F8" w:rsidRPr="004C7908" w:rsidRDefault="007212F8" w:rsidP="00E649E0">
            <w:pPr>
              <w:pStyle w:val="TableText"/>
              <w:rPr>
                <w:sz w:val="20"/>
                <w:szCs w:val="20"/>
              </w:rPr>
            </w:pPr>
            <w:r w:rsidRPr="004C7908">
              <w:rPr>
                <w:sz w:val="20"/>
                <w:szCs w:val="20"/>
              </w:rPr>
              <w:t>New Zealand’s Greenhouse Gas Inventory</w:t>
            </w:r>
          </w:p>
        </w:tc>
      </w:tr>
      <w:tr w:rsidR="006D4882" w:rsidRPr="004C7908" w14:paraId="4EC94304" w14:textId="77777777" w:rsidTr="007212F8">
        <w:tc>
          <w:tcPr>
            <w:tcW w:w="1706" w:type="dxa"/>
            <w:shd w:val="clear" w:color="auto" w:fill="FFFFFF" w:themeFill="background1"/>
            <w:vAlign w:val="center"/>
          </w:tcPr>
          <w:p w14:paraId="6739FE89" w14:textId="3DC7CC8E" w:rsidR="007212F8" w:rsidRPr="004C7908" w:rsidRDefault="007212F8" w:rsidP="00E649E0">
            <w:pPr>
              <w:pStyle w:val="TableText"/>
              <w:rPr>
                <w:b/>
                <w:bCs/>
                <w:sz w:val="20"/>
                <w:szCs w:val="20"/>
              </w:rPr>
            </w:pPr>
            <w:r w:rsidRPr="004C7908">
              <w:rPr>
                <w:b/>
                <w:bCs/>
                <w:sz w:val="20"/>
                <w:szCs w:val="20"/>
              </w:rPr>
              <w:t>the Minister</w:t>
            </w:r>
          </w:p>
        </w:tc>
        <w:tc>
          <w:tcPr>
            <w:tcW w:w="4820" w:type="dxa"/>
            <w:shd w:val="clear" w:color="auto" w:fill="auto"/>
            <w:vAlign w:val="center"/>
          </w:tcPr>
          <w:p w14:paraId="36E6C967" w14:textId="550EBFB0" w:rsidR="007212F8" w:rsidRPr="004C7908" w:rsidRDefault="007212F8" w:rsidP="00E649E0">
            <w:pPr>
              <w:pStyle w:val="TableText"/>
              <w:rPr>
                <w:sz w:val="20"/>
                <w:szCs w:val="20"/>
              </w:rPr>
            </w:pPr>
            <w:r w:rsidRPr="004C7908">
              <w:rPr>
                <w:sz w:val="20"/>
                <w:szCs w:val="20"/>
              </w:rPr>
              <w:t>Minister of Climate Change</w:t>
            </w:r>
          </w:p>
        </w:tc>
      </w:tr>
    </w:tbl>
    <w:p w14:paraId="102F1EF6" w14:textId="77777777" w:rsidR="008E2DE2" w:rsidRPr="007837CC" w:rsidRDefault="008E2DE2" w:rsidP="00F32C5C">
      <w:pPr>
        <w:pStyle w:val="BodyText"/>
      </w:pPr>
    </w:p>
    <w:p w14:paraId="2C56F327" w14:textId="6CF8F4C6" w:rsidR="00796A6F" w:rsidRPr="007837CC" w:rsidRDefault="00796A6F" w:rsidP="00F32C5C">
      <w:pPr>
        <w:pStyle w:val="BodyText"/>
      </w:pPr>
      <w:r w:rsidRPr="007837CC">
        <w:br w:type="page"/>
      </w:r>
    </w:p>
    <w:p w14:paraId="50C05A3C" w14:textId="53B6F161" w:rsidR="0080531E" w:rsidRPr="007837CC" w:rsidRDefault="00AB657C" w:rsidP="004E4ECE">
      <w:pPr>
        <w:pStyle w:val="Heading1"/>
      </w:pPr>
      <w:bookmarkStart w:id="1" w:name="_Toc135300651"/>
      <w:r w:rsidRPr="007837CC">
        <w:rPr>
          <w:rStyle w:val="Heading1Char"/>
          <w:b/>
          <w:bCs/>
        </w:rPr>
        <w:lastRenderedPageBreak/>
        <w:t>About this consultation</w:t>
      </w:r>
      <w:bookmarkEnd w:id="1"/>
    </w:p>
    <w:p w14:paraId="0B02142D" w14:textId="7EF91FA8" w:rsidR="00356BD8" w:rsidRPr="007837CC" w:rsidRDefault="004E5EBA" w:rsidP="004E4ECE">
      <w:pPr>
        <w:pStyle w:val="BodyText"/>
      </w:pPr>
      <w:r w:rsidRPr="007837CC">
        <w:t xml:space="preserve">This consultation is on proposals to update </w:t>
      </w:r>
      <w:r w:rsidR="00A9231E" w:rsidRPr="007837CC">
        <w:t>New Zealand Emissions Trading Scheme (</w:t>
      </w:r>
      <w:r w:rsidRPr="007837CC">
        <w:t>NZ ETS</w:t>
      </w:r>
      <w:r w:rsidR="00A9231E" w:rsidRPr="007837CC">
        <w:t>)</w:t>
      </w:r>
      <w:r w:rsidRPr="007837CC">
        <w:t xml:space="preserve"> unit settings</w:t>
      </w:r>
      <w:r w:rsidR="00434B31" w:rsidRPr="007837CC">
        <w:t xml:space="preserve"> for the period 20</w:t>
      </w:r>
      <w:r w:rsidR="00587808" w:rsidRPr="007837CC">
        <w:t>24</w:t>
      </w:r>
      <w:r w:rsidR="005128D1" w:rsidRPr="007837CC">
        <w:t>–</w:t>
      </w:r>
      <w:r w:rsidR="00587808" w:rsidRPr="007837CC">
        <w:t>28</w:t>
      </w:r>
      <w:r w:rsidR="00D32A4E" w:rsidRPr="007837CC">
        <w:t>.</w:t>
      </w:r>
    </w:p>
    <w:p w14:paraId="1CFA8E5C" w14:textId="041191A7" w:rsidR="00356BD8" w:rsidRPr="007837CC" w:rsidRDefault="00356BD8" w:rsidP="004E4ECE">
      <w:pPr>
        <w:pStyle w:val="BodyText"/>
      </w:pPr>
      <w:r w:rsidRPr="007837CC">
        <w:t>NZ ETS limit</w:t>
      </w:r>
      <w:r w:rsidR="00AA45A3" w:rsidRPr="007837CC">
        <w:t>s</w:t>
      </w:r>
      <w:r w:rsidRPr="007837CC">
        <w:t xml:space="preserve"> and auction price control settings </w:t>
      </w:r>
      <w:r w:rsidR="001C7C24" w:rsidRPr="007837CC">
        <w:t xml:space="preserve">for units </w:t>
      </w:r>
      <w:r w:rsidRPr="007837CC">
        <w:t xml:space="preserve">are set in regulations for five years in advance. These need to be reconsidered, and added to, </w:t>
      </w:r>
      <w:r w:rsidR="001529C7" w:rsidRPr="007837CC">
        <w:t>every year</w:t>
      </w:r>
      <w:r w:rsidRPr="007837CC">
        <w:t xml:space="preserve">. This is the </w:t>
      </w:r>
      <w:r w:rsidR="00587808" w:rsidRPr="007837CC">
        <w:t>third</w:t>
      </w:r>
      <w:r w:rsidRPr="007837CC">
        <w:t xml:space="preserve"> year that these settings will be updated since they were prescribed in regulations in 2020</w:t>
      </w:r>
      <w:r w:rsidR="004E4ECE" w:rsidRPr="007837CC">
        <w:t>.</w:t>
      </w:r>
      <w:r w:rsidR="007E2D7D" w:rsidRPr="007837CC">
        <w:rPr>
          <w:rStyle w:val="FootnoteReference"/>
          <w:color w:val="auto"/>
        </w:rPr>
        <w:footnoteReference w:id="2"/>
      </w:r>
    </w:p>
    <w:p w14:paraId="7FBBAE5F" w14:textId="32A3FD07" w:rsidR="003F6488" w:rsidRPr="007837CC" w:rsidRDefault="003F6488" w:rsidP="004E4ECE">
      <w:pPr>
        <w:pStyle w:val="BodyText"/>
      </w:pPr>
      <w:r w:rsidRPr="007837CC">
        <w:t xml:space="preserve">This consultation document </w:t>
      </w:r>
      <w:r w:rsidR="00DA6831" w:rsidRPr="007837CC">
        <w:t>considers</w:t>
      </w:r>
      <w:r w:rsidRPr="007837CC">
        <w:t xml:space="preserve"> amendments to the NZ ETS limits and price control settings for units prescribed in Schedule 3 of the Climate Change (Auctions, Limits, and Price Controls for Units) Regulations 2020 made under the </w:t>
      </w:r>
      <w:r w:rsidR="00C048A8" w:rsidRPr="007837CC">
        <w:t xml:space="preserve">Climate Change Response </w:t>
      </w:r>
      <w:r w:rsidRPr="007837CC">
        <w:t>Act</w:t>
      </w:r>
      <w:r w:rsidR="00C048A8" w:rsidRPr="007837CC">
        <w:t xml:space="preserve"> 2002 (</w:t>
      </w:r>
      <w:r w:rsidR="00C10952" w:rsidRPr="007837CC">
        <w:t>the </w:t>
      </w:r>
      <w:r w:rsidR="00C048A8" w:rsidRPr="007837CC">
        <w:t>Act)</w:t>
      </w:r>
      <w:r w:rsidRPr="007837CC">
        <w:t>.</w:t>
      </w:r>
    </w:p>
    <w:p w14:paraId="5E1D6274" w14:textId="6855DDB5" w:rsidR="003F6488" w:rsidRPr="007837CC" w:rsidRDefault="003F6488" w:rsidP="004E4ECE">
      <w:pPr>
        <w:pStyle w:val="BodyText"/>
      </w:pPr>
      <w:r w:rsidRPr="007837CC">
        <w:t>Limits for units describe the volume of New Zealand Units (NZUs) the Government can provide to the market for purposes other than removal activities. Price control settings provide the Government with a mechanism to help manage unacceptably low or high prices in the NZ ETS.</w:t>
      </w:r>
    </w:p>
    <w:p w14:paraId="5F3DC6E8" w14:textId="5B796B6C" w:rsidR="003F6488" w:rsidRPr="007837CC" w:rsidRDefault="003F6488" w:rsidP="004E4ECE">
      <w:pPr>
        <w:pStyle w:val="BodyText"/>
      </w:pPr>
      <w:r w:rsidRPr="007837CC">
        <w:t>These settings need to be updated every year to extend the settings by one calendar year. In some circumstances, it is possible to update existing settings for the earlier years as part of this process.</w:t>
      </w:r>
    </w:p>
    <w:p w14:paraId="6C151F69" w14:textId="3AFD425D" w:rsidR="00003DFF" w:rsidRPr="007837CC" w:rsidRDefault="00EF0642" w:rsidP="004E4ECE">
      <w:pPr>
        <w:pStyle w:val="BodyText"/>
      </w:pPr>
      <w:r w:rsidRPr="007837CC">
        <w:t>This consultation seeks feedback from a broad range of respondents</w:t>
      </w:r>
      <w:r w:rsidR="001529C7" w:rsidRPr="007837CC">
        <w:t xml:space="preserve">. </w:t>
      </w:r>
      <w:r w:rsidRPr="007837CC">
        <w:t>They</w:t>
      </w:r>
      <w:r w:rsidR="00003DFF" w:rsidRPr="007837CC">
        <w:t xml:space="preserve"> include mandatory and opt-in participants in the NZ ETS, and anyone with</w:t>
      </w:r>
      <w:r w:rsidR="000412E8" w:rsidRPr="007837CC">
        <w:t xml:space="preserve"> an</w:t>
      </w:r>
      <w:r w:rsidR="00003DFF" w:rsidRPr="007837CC">
        <w:t xml:space="preserve"> interest in the regulatory framework of the NZ ETS.</w:t>
      </w:r>
    </w:p>
    <w:p w14:paraId="1631838F" w14:textId="7CF90F1D" w:rsidR="00EB33AB" w:rsidRPr="007837CC" w:rsidRDefault="00EB33AB" w:rsidP="004E4ECE">
      <w:pPr>
        <w:pStyle w:val="BodyText"/>
      </w:pPr>
      <w:r w:rsidRPr="007837CC">
        <w:t xml:space="preserve">The proposals in this </w:t>
      </w:r>
      <w:r w:rsidR="00C10952" w:rsidRPr="007837CC">
        <w:t xml:space="preserve">document </w:t>
      </w:r>
      <w:r w:rsidRPr="007837CC">
        <w:t xml:space="preserve">may impact choices around land use. A broader package of work is underway to manage this issue – including changes to the resource management </w:t>
      </w:r>
      <w:r w:rsidRPr="007837CC">
        <w:rPr>
          <w:spacing w:val="-2"/>
        </w:rPr>
        <w:t xml:space="preserve">system, the </w:t>
      </w:r>
      <w:r w:rsidR="00566FA9" w:rsidRPr="007837CC">
        <w:rPr>
          <w:spacing w:val="-2"/>
        </w:rPr>
        <w:t>National Environmental Standard</w:t>
      </w:r>
      <w:r w:rsidR="008511B5" w:rsidRPr="007837CC">
        <w:rPr>
          <w:spacing w:val="-2"/>
        </w:rPr>
        <w:t>s</w:t>
      </w:r>
      <w:r w:rsidR="00566FA9" w:rsidRPr="007837CC">
        <w:rPr>
          <w:spacing w:val="-2"/>
        </w:rPr>
        <w:t xml:space="preserve"> for </w:t>
      </w:r>
      <w:r w:rsidR="003700A4" w:rsidRPr="007837CC">
        <w:rPr>
          <w:spacing w:val="-2"/>
        </w:rPr>
        <w:t>Pl</w:t>
      </w:r>
      <w:r w:rsidR="00566FA9" w:rsidRPr="007837CC">
        <w:rPr>
          <w:spacing w:val="-2"/>
        </w:rPr>
        <w:t xml:space="preserve">antation </w:t>
      </w:r>
      <w:r w:rsidR="003700A4" w:rsidRPr="007837CC">
        <w:rPr>
          <w:spacing w:val="-2"/>
        </w:rPr>
        <w:t>F</w:t>
      </w:r>
      <w:r w:rsidR="00566FA9" w:rsidRPr="007837CC">
        <w:rPr>
          <w:spacing w:val="-2"/>
        </w:rPr>
        <w:t>orestry</w:t>
      </w:r>
      <w:r w:rsidRPr="007837CC">
        <w:rPr>
          <w:spacing w:val="-2"/>
        </w:rPr>
        <w:t xml:space="preserve">, </w:t>
      </w:r>
      <w:r w:rsidR="002E445E" w:rsidRPr="007837CC">
        <w:rPr>
          <w:spacing w:val="-2"/>
        </w:rPr>
        <w:t>review of the permanent</w:t>
      </w:r>
      <w:r w:rsidR="002E445E" w:rsidRPr="007837CC">
        <w:t xml:space="preserve"> forestry activity in the NZ ETS, </w:t>
      </w:r>
      <w:r w:rsidRPr="007837CC">
        <w:t xml:space="preserve">and </w:t>
      </w:r>
      <w:r w:rsidR="009755E3" w:rsidRPr="007837CC">
        <w:t>review of the NZ</w:t>
      </w:r>
      <w:r w:rsidR="00C10952" w:rsidRPr="007837CC">
        <w:t> </w:t>
      </w:r>
      <w:r w:rsidR="009755E3" w:rsidRPr="007837CC">
        <w:t>ETS to assess whether changes are needed to balance incentives for gross and net emissions reductions</w:t>
      </w:r>
      <w:r w:rsidRPr="007837CC">
        <w:t xml:space="preserve">. </w:t>
      </w:r>
    </w:p>
    <w:p w14:paraId="7E528969" w14:textId="0911C247" w:rsidR="0080531E" w:rsidRPr="007837CC" w:rsidRDefault="005323F2" w:rsidP="004E4ECE">
      <w:pPr>
        <w:pStyle w:val="Heading2"/>
      </w:pPr>
      <w:bookmarkStart w:id="2" w:name="_Toc135300652"/>
      <w:r w:rsidRPr="007837CC">
        <w:t>Background</w:t>
      </w:r>
      <w:bookmarkEnd w:id="2"/>
    </w:p>
    <w:p w14:paraId="2C156133" w14:textId="238CC41A" w:rsidR="00432D38" w:rsidRPr="007837CC" w:rsidRDefault="00432D38" w:rsidP="004E4ECE">
      <w:pPr>
        <w:pStyle w:val="BodyText"/>
      </w:pPr>
      <w:r w:rsidRPr="007837CC">
        <w:t xml:space="preserve">The NZ ETS is one of the Government’s key tools to address climate change. It was established by the </w:t>
      </w:r>
      <w:r w:rsidR="00ED5AB5" w:rsidRPr="007837CC">
        <w:t xml:space="preserve">Climate Change Response </w:t>
      </w:r>
      <w:r w:rsidRPr="007837CC">
        <w:t>Act</w:t>
      </w:r>
      <w:r w:rsidR="00EF5D0A" w:rsidRPr="007837CC">
        <w:t xml:space="preserve"> 2002.</w:t>
      </w:r>
    </w:p>
    <w:p w14:paraId="4B3E9AFF" w14:textId="2DA74829" w:rsidR="00432D38" w:rsidRPr="007837CC" w:rsidRDefault="00432D38" w:rsidP="004E4ECE">
      <w:pPr>
        <w:pStyle w:val="BodyText"/>
      </w:pPr>
      <w:r w:rsidRPr="007837CC">
        <w:t>The NZ ETS supports and encourages domestic and global efforts to reduce greenhouse gas emissions. Its purpose is to</w:t>
      </w:r>
      <w:r w:rsidR="001529C7" w:rsidRPr="007837CC">
        <w:t xml:space="preserve"> help New Zealand meet</w:t>
      </w:r>
      <w:r w:rsidR="008B78FC" w:rsidRPr="007837CC">
        <w:t xml:space="preserve"> its</w:t>
      </w:r>
      <w:r w:rsidRPr="007837CC">
        <w:t xml:space="preserve">: </w:t>
      </w:r>
    </w:p>
    <w:p w14:paraId="3BCD0EB1" w14:textId="67968C95" w:rsidR="00432D38" w:rsidRPr="007837CC" w:rsidRDefault="00432D38" w:rsidP="004E4ECE">
      <w:pPr>
        <w:pStyle w:val="Bullet"/>
        <w:rPr>
          <w:rFonts w:eastAsia="Calibri"/>
        </w:rPr>
      </w:pPr>
      <w:r w:rsidRPr="007837CC">
        <w:rPr>
          <w:rFonts w:eastAsia="Calibri"/>
        </w:rPr>
        <w:t xml:space="preserve">international obligations under the Paris Agreement </w:t>
      </w:r>
    </w:p>
    <w:p w14:paraId="48292778" w14:textId="608A52F7" w:rsidR="004A7FFC" w:rsidRPr="007837CC" w:rsidRDefault="00432D38" w:rsidP="004E4ECE">
      <w:pPr>
        <w:pStyle w:val="Bullet"/>
        <w:rPr>
          <w:rFonts w:eastAsia="Calibri"/>
        </w:rPr>
      </w:pPr>
      <w:r w:rsidRPr="007837CC">
        <w:rPr>
          <w:rFonts w:eastAsia="Calibri"/>
        </w:rPr>
        <w:t>2050 target</w:t>
      </w:r>
      <w:r w:rsidR="004A7FFC" w:rsidRPr="007837CC">
        <w:rPr>
          <w:rFonts w:eastAsia="Calibri"/>
        </w:rPr>
        <w:t xml:space="preserve"> </w:t>
      </w:r>
    </w:p>
    <w:p w14:paraId="3C204472" w14:textId="0C59B598" w:rsidR="00664D30" w:rsidRPr="007837CC" w:rsidRDefault="00432D38" w:rsidP="004E4ECE">
      <w:pPr>
        <w:pStyle w:val="Bullet"/>
        <w:rPr>
          <w:rFonts w:eastAsia="Calibri" w:cstheme="minorHAnsi"/>
        </w:rPr>
      </w:pPr>
      <w:r w:rsidRPr="007837CC">
        <w:rPr>
          <w:rFonts w:eastAsia="Calibri"/>
        </w:rPr>
        <w:t>em</w:t>
      </w:r>
      <w:r w:rsidRPr="007837CC">
        <w:rPr>
          <w:rFonts w:eastAsia="Calibri" w:cstheme="minorHAnsi"/>
        </w:rPr>
        <w:t>issions budgets.</w:t>
      </w:r>
      <w:r w:rsidRPr="007837CC">
        <w:rPr>
          <w:rFonts w:eastAsia="Calibri"/>
        </w:rPr>
        <w:t xml:space="preserve"> </w:t>
      </w:r>
    </w:p>
    <w:p w14:paraId="3CEEA6DA" w14:textId="718345A0" w:rsidR="00664D30" w:rsidRPr="007837CC" w:rsidRDefault="00664D30" w:rsidP="004E4ECE">
      <w:pPr>
        <w:pStyle w:val="BodyText"/>
        <w:keepNext/>
      </w:pPr>
      <w:r w:rsidRPr="007837CC">
        <w:lastRenderedPageBreak/>
        <w:t>The New Zealand Emissions Trading Scheme helps reduce emissions by:</w:t>
      </w:r>
    </w:p>
    <w:p w14:paraId="2A83C014" w14:textId="6CF73BF4" w:rsidR="00664D30" w:rsidRPr="007837CC" w:rsidRDefault="00664D30" w:rsidP="004E4ECE">
      <w:pPr>
        <w:pStyle w:val="Bullet"/>
        <w:keepNext/>
        <w:rPr>
          <w:rFonts w:eastAsia="Calibri"/>
        </w:rPr>
      </w:pPr>
      <w:r w:rsidRPr="007837CC">
        <w:t>requiring businesses to measure and report on their greenhouse gas</w:t>
      </w:r>
      <w:r w:rsidRPr="007837CC">
        <w:rPr>
          <w:rFonts w:eastAsia="Calibri"/>
        </w:rPr>
        <w:t xml:space="preserve"> </w:t>
      </w:r>
      <w:proofErr w:type="gramStart"/>
      <w:r w:rsidRPr="007837CC">
        <w:rPr>
          <w:rFonts w:eastAsia="Calibri"/>
        </w:rPr>
        <w:t>emissions</w:t>
      </w:r>
      <w:proofErr w:type="gramEnd"/>
    </w:p>
    <w:p w14:paraId="1B6C92AA" w14:textId="408A58E8" w:rsidR="00664D30" w:rsidRPr="007837CC" w:rsidRDefault="00664D30" w:rsidP="004E4ECE">
      <w:pPr>
        <w:pStyle w:val="Bullet"/>
        <w:rPr>
          <w:rFonts w:eastAsia="Calibri"/>
        </w:rPr>
      </w:pPr>
      <w:r w:rsidRPr="007837CC">
        <w:t xml:space="preserve">requiring businesses to surrender one ‘emissions unit’ (known as a New Zealand Unit or NZU) to the Government for each one tonne of emissions they </w:t>
      </w:r>
      <w:proofErr w:type="gramStart"/>
      <w:r w:rsidRPr="007837CC">
        <w:t>emit</w:t>
      </w:r>
      <w:proofErr w:type="gramEnd"/>
    </w:p>
    <w:p w14:paraId="783E8BDE" w14:textId="7790B6B4" w:rsidR="00F41B24" w:rsidRPr="007837CC" w:rsidRDefault="00F41B24" w:rsidP="004E4ECE">
      <w:pPr>
        <w:pStyle w:val="Bullet"/>
        <w:rPr>
          <w:rFonts w:eastAsia="Calibri"/>
        </w:rPr>
      </w:pPr>
      <w:r w:rsidRPr="007837CC">
        <w:rPr>
          <w:rFonts w:eastAsia="Calibri"/>
        </w:rPr>
        <w:t xml:space="preserve">enabling businesses carrying out some removal activities </w:t>
      </w:r>
      <w:r w:rsidR="00D52102" w:rsidRPr="007837CC">
        <w:rPr>
          <w:rFonts w:eastAsia="Calibri"/>
        </w:rPr>
        <w:t>(</w:t>
      </w:r>
      <w:proofErr w:type="spellStart"/>
      <w:r w:rsidR="00ED5AB5" w:rsidRPr="007837CC">
        <w:rPr>
          <w:rFonts w:eastAsia="Calibri"/>
        </w:rPr>
        <w:t>eg</w:t>
      </w:r>
      <w:proofErr w:type="spellEnd"/>
      <w:r w:rsidR="00ED5AB5" w:rsidRPr="007837CC">
        <w:rPr>
          <w:rFonts w:eastAsia="Calibri"/>
        </w:rPr>
        <w:t>,</w:t>
      </w:r>
      <w:r w:rsidRPr="007837CC">
        <w:rPr>
          <w:rFonts w:eastAsia="Calibri"/>
        </w:rPr>
        <w:t xml:space="preserve"> forestry</w:t>
      </w:r>
      <w:r w:rsidR="00D52102" w:rsidRPr="007837CC">
        <w:rPr>
          <w:rFonts w:eastAsia="Calibri"/>
        </w:rPr>
        <w:t>)</w:t>
      </w:r>
      <w:r w:rsidRPr="007837CC">
        <w:rPr>
          <w:rFonts w:eastAsia="Calibri"/>
        </w:rPr>
        <w:t xml:space="preserve"> to register for the NZ ETS and receive </w:t>
      </w:r>
      <w:r w:rsidR="00F9251C" w:rsidRPr="007837CC">
        <w:rPr>
          <w:rFonts w:eastAsia="Calibri"/>
        </w:rPr>
        <w:t>NZUs</w:t>
      </w:r>
      <w:r w:rsidRPr="007837CC">
        <w:rPr>
          <w:rFonts w:eastAsia="Calibri"/>
        </w:rPr>
        <w:t xml:space="preserve"> for these </w:t>
      </w:r>
      <w:proofErr w:type="gramStart"/>
      <w:r w:rsidRPr="007837CC">
        <w:rPr>
          <w:rFonts w:eastAsia="Calibri"/>
        </w:rPr>
        <w:t>activities</w:t>
      </w:r>
      <w:proofErr w:type="gramEnd"/>
    </w:p>
    <w:p w14:paraId="2F433D9B" w14:textId="697AE173" w:rsidR="00664D30" w:rsidRPr="007837CC" w:rsidRDefault="00664D30" w:rsidP="004E4ECE">
      <w:pPr>
        <w:pStyle w:val="Bullet"/>
        <w:rPr>
          <w:rFonts w:eastAsia="Calibri" w:cstheme="minorHAnsi"/>
        </w:rPr>
      </w:pPr>
      <w:r w:rsidRPr="007837CC">
        <w:t>limiting the number of NZUs supplied into the scheme</w:t>
      </w:r>
      <w:r w:rsidR="0043789D" w:rsidRPr="007837CC">
        <w:rPr>
          <w:rFonts w:eastAsia="Calibri" w:cstheme="minorHAnsi"/>
        </w:rPr>
        <w:t xml:space="preserve"> </w:t>
      </w:r>
      <w:r w:rsidR="00ED5AB5" w:rsidRPr="007837CC">
        <w:rPr>
          <w:rFonts w:eastAsia="Calibri" w:cstheme="minorHAnsi"/>
        </w:rPr>
        <w:t xml:space="preserve">through </w:t>
      </w:r>
      <w:r w:rsidR="0043789D" w:rsidRPr="007837CC">
        <w:rPr>
          <w:rFonts w:eastAsia="Calibri" w:cstheme="minorHAnsi"/>
        </w:rPr>
        <w:t>auctioning and industrial allocation</w:t>
      </w:r>
      <w:r w:rsidRPr="007837CC">
        <w:rPr>
          <w:rFonts w:eastAsia="Calibri" w:cstheme="minorHAnsi"/>
        </w:rPr>
        <w:t>.</w:t>
      </w:r>
      <w:r w:rsidRPr="007837CC">
        <w:rPr>
          <w:rFonts w:eastAsia="Calibri"/>
          <w:color w:val="2B579A"/>
          <w:shd w:val="clear" w:color="auto" w:fill="E6E6E6"/>
        </w:rPr>
        <w:fldChar w:fldCharType="begin"/>
      </w:r>
      <w:r w:rsidRPr="007837CC">
        <w:rPr>
          <w:rFonts w:eastAsia="Calibri"/>
        </w:rPr>
        <w:instrText xml:space="preserve">https://legislation.govt.nz/regulation/public/2013/0046/latest/DLM5093451.html" </w:instrText>
      </w:r>
      <w:r w:rsidRPr="007837CC">
        <w:rPr>
          <w:rFonts w:eastAsia="Calibri"/>
          <w:color w:val="2B579A"/>
          <w:shd w:val="clear" w:color="auto" w:fill="E6E6E6"/>
        </w:rPr>
        <w:fldChar w:fldCharType="separate"/>
      </w:r>
      <w:r w:rsidRPr="007837CC">
        <w:rPr>
          <w:rStyle w:val="Hyperlink"/>
          <w:rFonts w:eastAsia="Calibri"/>
        </w:rPr>
        <w:t>accessed via the legislation.govt.nz website</w:t>
      </w:r>
      <w:r w:rsidRPr="007837CC">
        <w:rPr>
          <w:rFonts w:eastAsia="Calibri"/>
          <w:color w:val="2B579A"/>
          <w:shd w:val="clear" w:color="auto" w:fill="E6E6E6"/>
        </w:rPr>
        <w:fldChar w:fldCharType="end"/>
      </w:r>
    </w:p>
    <w:p w14:paraId="419F1F7A" w14:textId="67021E1E" w:rsidR="00664D30" w:rsidRPr="007837CC" w:rsidRDefault="00664D30" w:rsidP="004E4ECE">
      <w:pPr>
        <w:pStyle w:val="BodyText"/>
      </w:pPr>
      <w:r w:rsidRPr="007837CC">
        <w:t xml:space="preserve">The Government sets </w:t>
      </w:r>
      <w:r w:rsidR="00202453" w:rsidRPr="007837CC">
        <w:t xml:space="preserve">limits on </w:t>
      </w:r>
      <w:r w:rsidRPr="007837CC">
        <w:t>the number of units supplied into the scheme</w:t>
      </w:r>
      <w:r w:rsidR="00202453" w:rsidRPr="007837CC">
        <w:t xml:space="preserve">, other than for </w:t>
      </w:r>
      <w:r w:rsidR="00202453" w:rsidRPr="007837CC">
        <w:rPr>
          <w:spacing w:val="-2"/>
        </w:rPr>
        <w:t>removal activities,</w:t>
      </w:r>
      <w:r w:rsidRPr="007837CC">
        <w:rPr>
          <w:spacing w:val="-2"/>
        </w:rPr>
        <w:t xml:space="preserve"> over time. This limits </w:t>
      </w:r>
      <w:r w:rsidR="00202453" w:rsidRPr="007837CC">
        <w:rPr>
          <w:spacing w:val="-2"/>
        </w:rPr>
        <w:t>New Zealand’s net emissions</w:t>
      </w:r>
      <w:r w:rsidRPr="007837CC">
        <w:rPr>
          <w:spacing w:val="-2"/>
        </w:rPr>
        <w:t>, in line with New Zealand’s</w:t>
      </w:r>
      <w:r w:rsidRPr="007837CC">
        <w:t xml:space="preserve"> emission</w:t>
      </w:r>
      <w:r w:rsidR="00ED5AB5" w:rsidRPr="007837CC">
        <w:t>s</w:t>
      </w:r>
      <w:r w:rsidRPr="007837CC">
        <w:t xml:space="preserve"> reduction targets.</w:t>
      </w:r>
    </w:p>
    <w:p w14:paraId="10875FB1" w14:textId="69AFE78C" w:rsidR="00664D30" w:rsidRPr="007837CC" w:rsidRDefault="00664D30" w:rsidP="004E4ECE">
      <w:pPr>
        <w:pStyle w:val="BodyText"/>
      </w:pPr>
      <w:r w:rsidRPr="007837CC">
        <w:t xml:space="preserve">Businesses who participate in the NZ ETS can buy and sell </w:t>
      </w:r>
      <w:r w:rsidR="0028589C" w:rsidRPr="007837CC">
        <w:t xml:space="preserve">NZUs </w:t>
      </w:r>
      <w:r w:rsidRPr="007837CC">
        <w:t xml:space="preserve">from each other. The price for </w:t>
      </w:r>
      <w:r w:rsidR="0028589C" w:rsidRPr="007837CC">
        <w:t xml:space="preserve">NZUs </w:t>
      </w:r>
      <w:r w:rsidRPr="007837CC">
        <w:t xml:space="preserve">reflects supply and demand in the scheme. This price signal allows businesses to make economically efficient choices about how </w:t>
      </w:r>
      <w:r w:rsidR="00335E54" w:rsidRPr="007837CC">
        <w:t xml:space="preserve">and when </w:t>
      </w:r>
      <w:r w:rsidRPr="007837CC">
        <w:t>to reduce emissions.</w:t>
      </w:r>
    </w:p>
    <w:p w14:paraId="346ED102" w14:textId="55FBF910" w:rsidR="00664D30" w:rsidRPr="007837CC" w:rsidRDefault="00664D30" w:rsidP="004E4ECE">
      <w:pPr>
        <w:pStyle w:val="BodyText"/>
      </w:pPr>
      <w:r w:rsidRPr="007837CC">
        <w:t>All sectors of New Zealand's economy, apart from agriculture, pay for their emissions through their NZ ETS surrender obligations.</w:t>
      </w:r>
    </w:p>
    <w:p w14:paraId="1A550D0D" w14:textId="730C2EDB" w:rsidR="00664D30" w:rsidRPr="007837CC" w:rsidRDefault="00664D30" w:rsidP="004E4ECE">
      <w:pPr>
        <w:pStyle w:val="BodyText"/>
      </w:pPr>
      <w:r w:rsidRPr="007837CC">
        <w:t xml:space="preserve">The agriculture sector reports its </w:t>
      </w:r>
      <w:r w:rsidR="008941D3" w:rsidRPr="007837CC">
        <w:t xml:space="preserve">livestock </w:t>
      </w:r>
      <w:r w:rsidR="006F1569" w:rsidRPr="007837CC">
        <w:t xml:space="preserve">and fertiliser </w:t>
      </w:r>
      <w:r w:rsidRPr="007837CC">
        <w:t>emissions through the NZ ETS but does not have surrender obligations.</w:t>
      </w:r>
    </w:p>
    <w:p w14:paraId="3F6E7B47" w14:textId="230FF1C7" w:rsidR="00A36DFE" w:rsidRPr="007837CC" w:rsidRDefault="001D7F13" w:rsidP="006B0B8F">
      <w:pPr>
        <w:pStyle w:val="Heading2"/>
      </w:pPr>
      <w:bookmarkStart w:id="3" w:name="_Toc135300653"/>
      <w:r w:rsidRPr="007837CC">
        <w:t>The role of the NZ ET</w:t>
      </w:r>
      <w:r w:rsidR="0079233A" w:rsidRPr="007837CC">
        <w:t>S</w:t>
      </w:r>
      <w:r w:rsidR="009D747D" w:rsidRPr="007837CC">
        <w:t>, emissions budgets</w:t>
      </w:r>
      <w:r w:rsidR="002957DA" w:rsidRPr="007837CC">
        <w:t>,</w:t>
      </w:r>
      <w:r w:rsidRPr="007837CC">
        <w:t xml:space="preserve"> and the emissions reduction plan</w:t>
      </w:r>
      <w:bookmarkEnd w:id="3"/>
    </w:p>
    <w:p w14:paraId="0D80FD26" w14:textId="5405E6EB" w:rsidR="009D747D" w:rsidRPr="007837CC" w:rsidRDefault="009D747D" w:rsidP="004E4ECE">
      <w:pPr>
        <w:pStyle w:val="BodyText"/>
      </w:pPr>
      <w:r w:rsidRPr="007837CC">
        <w:rPr>
          <w:rFonts w:eastAsia="Calibri"/>
        </w:rPr>
        <w:t xml:space="preserve">The Government set emissions budgets </w:t>
      </w:r>
      <w:r w:rsidR="006D5DE1" w:rsidRPr="007837CC">
        <w:rPr>
          <w:rFonts w:eastAsia="Calibri"/>
        </w:rPr>
        <w:t>in 2022</w:t>
      </w:r>
      <w:r w:rsidRPr="007837CC">
        <w:rPr>
          <w:rFonts w:eastAsia="Calibri"/>
        </w:rPr>
        <w:t xml:space="preserve">. These </w:t>
      </w:r>
      <w:r w:rsidR="00494A3F" w:rsidRPr="007837CC">
        <w:t xml:space="preserve">place limits on </w:t>
      </w:r>
      <w:r w:rsidR="00FF685A" w:rsidRPr="007837CC">
        <w:t xml:space="preserve">New Zealand’s </w:t>
      </w:r>
      <w:r w:rsidR="00516770" w:rsidRPr="007837CC">
        <w:t xml:space="preserve">net </w:t>
      </w:r>
      <w:r w:rsidR="00494A3F" w:rsidRPr="007837CC">
        <w:t xml:space="preserve">emissions </w:t>
      </w:r>
      <w:r w:rsidR="00D01E65" w:rsidRPr="007837CC">
        <w:t>for the periods 2022</w:t>
      </w:r>
      <w:r w:rsidR="00244819" w:rsidRPr="007837CC">
        <w:t>–</w:t>
      </w:r>
      <w:r w:rsidR="00D01E65" w:rsidRPr="007837CC">
        <w:t>25, 2026</w:t>
      </w:r>
      <w:r w:rsidR="00244819" w:rsidRPr="007837CC">
        <w:t>–</w:t>
      </w:r>
      <w:r w:rsidR="00D01E65" w:rsidRPr="007837CC">
        <w:t>30 and 2031</w:t>
      </w:r>
      <w:r w:rsidR="00244819" w:rsidRPr="007837CC">
        <w:t>–</w:t>
      </w:r>
      <w:r w:rsidR="00D01E65" w:rsidRPr="007837CC">
        <w:t xml:space="preserve">35. </w:t>
      </w:r>
    </w:p>
    <w:p w14:paraId="74DF0ACC" w14:textId="0BFF9E78" w:rsidR="00806FFC" w:rsidRPr="007837CC" w:rsidRDefault="00806FFC" w:rsidP="004E4ECE">
      <w:pPr>
        <w:pStyle w:val="BodyText"/>
      </w:pPr>
      <w:r w:rsidRPr="007837CC">
        <w:t xml:space="preserve">The Government published the first emissions reduction plan (ERP) </w:t>
      </w:r>
      <w:r w:rsidR="00A8338B" w:rsidRPr="007837CC">
        <w:t>in May</w:t>
      </w:r>
      <w:r w:rsidRPr="007837CC">
        <w:t xml:space="preserve"> 2022. The</w:t>
      </w:r>
      <w:r w:rsidR="00FC5183" w:rsidRPr="007837CC">
        <w:t xml:space="preserve"> ERP</w:t>
      </w:r>
      <w:r w:rsidR="003616BC" w:rsidRPr="007837CC">
        <w:t xml:space="preserve"> </w:t>
      </w:r>
      <w:r w:rsidRPr="007837CC">
        <w:t>describes how we are going to meet the first (2022–25)</w:t>
      </w:r>
      <w:r w:rsidR="0080793E" w:rsidRPr="007837CC">
        <w:t xml:space="preserve"> emissions budget</w:t>
      </w:r>
      <w:r w:rsidRPr="007837CC">
        <w:t xml:space="preserve">, </w:t>
      </w:r>
      <w:r w:rsidR="00727DCC" w:rsidRPr="007837CC">
        <w:t xml:space="preserve">and </w:t>
      </w:r>
      <w:r w:rsidR="001A6527" w:rsidRPr="007837CC">
        <w:t>further</w:t>
      </w:r>
      <w:r w:rsidR="00727DCC" w:rsidRPr="007837CC">
        <w:t xml:space="preserve"> </w:t>
      </w:r>
      <w:r w:rsidR="0080793E" w:rsidRPr="007837CC">
        <w:t xml:space="preserve">policies and </w:t>
      </w:r>
      <w:r w:rsidR="00727DCC" w:rsidRPr="007837CC">
        <w:t xml:space="preserve">strategies for the </w:t>
      </w:r>
      <w:r w:rsidRPr="007837CC">
        <w:t>second (2026–30) and third</w:t>
      </w:r>
      <w:r w:rsidR="00F560AC" w:rsidRPr="007837CC">
        <w:t> </w:t>
      </w:r>
      <w:r w:rsidRPr="007837CC">
        <w:t xml:space="preserve">(2031–35) emissions budgets and progress towards our 2050 target. </w:t>
      </w:r>
    </w:p>
    <w:p w14:paraId="2BAE1871" w14:textId="1D13522E" w:rsidR="00806FFC" w:rsidRPr="007837CC" w:rsidRDefault="00806FFC" w:rsidP="004E4ECE">
      <w:pPr>
        <w:pStyle w:val="BodyText"/>
        <w:rPr>
          <w:rFonts w:eastAsia="Calibri"/>
        </w:rPr>
      </w:pPr>
      <w:r w:rsidRPr="007837CC">
        <w:t>The ERP includes</w:t>
      </w:r>
      <w:r w:rsidRPr="007837CC">
        <w:rPr>
          <w:rFonts w:eastAsia="Calibri"/>
        </w:rPr>
        <w:t>:</w:t>
      </w:r>
    </w:p>
    <w:p w14:paraId="50EC62EB" w14:textId="5B749AAD" w:rsidR="00806FFC" w:rsidRPr="007837CC" w:rsidRDefault="00806FFC" w:rsidP="004E4ECE">
      <w:pPr>
        <w:pStyle w:val="Bullet"/>
        <w:rPr>
          <w:rFonts w:eastAsia="Calibri"/>
        </w:rPr>
      </w:pPr>
      <w:r w:rsidRPr="007837CC">
        <w:rPr>
          <w:rFonts w:eastAsia="Calibri"/>
          <w:spacing w:val="-2"/>
        </w:rPr>
        <w:t>policies and strategies for specific sectors (transport, waste, heat, industry, power, building</w:t>
      </w:r>
      <w:r w:rsidRPr="007837CC">
        <w:rPr>
          <w:rFonts w:eastAsia="Calibri"/>
        </w:rPr>
        <w:t xml:space="preserve"> and construction, agriculture and forestry) </w:t>
      </w:r>
      <w:r w:rsidR="002F7735" w:rsidRPr="007837CC">
        <w:rPr>
          <w:rFonts w:eastAsia="Calibri"/>
        </w:rPr>
        <w:t>to reduce emissions and increase removals</w:t>
      </w:r>
      <w:r w:rsidR="00636967" w:rsidRPr="007837CC">
        <w:rPr>
          <w:rFonts w:eastAsia="Calibri"/>
        </w:rPr>
        <w:t xml:space="preserve"> of greenhouse gases from the atmospher</w:t>
      </w:r>
      <w:r w:rsidR="006713DD" w:rsidRPr="007837CC">
        <w:rPr>
          <w:rFonts w:eastAsia="Calibri"/>
        </w:rPr>
        <w:t xml:space="preserve">e or from New Zealand’s reported </w:t>
      </w:r>
      <w:proofErr w:type="gramStart"/>
      <w:r w:rsidR="006713DD" w:rsidRPr="007837CC">
        <w:rPr>
          <w:rFonts w:eastAsia="Calibri"/>
        </w:rPr>
        <w:t>emissions</w:t>
      </w:r>
      <w:proofErr w:type="gramEnd"/>
    </w:p>
    <w:p w14:paraId="467CAEC1" w14:textId="235EC56D" w:rsidR="00A35F8C" w:rsidRPr="007837CC" w:rsidRDefault="00806FFC" w:rsidP="004E4ECE">
      <w:pPr>
        <w:pStyle w:val="Bullet"/>
        <w:rPr>
          <w:rFonts w:eastAsia="Calibri"/>
        </w:rPr>
      </w:pPr>
      <w:r w:rsidRPr="007837CC">
        <w:rPr>
          <w:rFonts w:eastAsia="Calibri"/>
        </w:rPr>
        <w:t xml:space="preserve">a multi-sector strategy to meet emissions budgets and improve how those sectors adapt to the effects of climate </w:t>
      </w:r>
      <w:proofErr w:type="gramStart"/>
      <w:r w:rsidRPr="007837CC">
        <w:rPr>
          <w:rFonts w:eastAsia="Calibri"/>
        </w:rPr>
        <w:t>change</w:t>
      </w:r>
      <w:proofErr w:type="gramEnd"/>
    </w:p>
    <w:p w14:paraId="742C8EF2" w14:textId="05C8B3A1" w:rsidR="00806FFC" w:rsidRPr="007837CC" w:rsidRDefault="00806FFC" w:rsidP="004E4ECE">
      <w:pPr>
        <w:pStyle w:val="Bullet"/>
        <w:rPr>
          <w:rFonts w:eastAsia="Calibri"/>
        </w:rPr>
      </w:pPr>
      <w:r w:rsidRPr="007837CC">
        <w:rPr>
          <w:rFonts w:eastAsia="Calibri"/>
        </w:rPr>
        <w:t xml:space="preserve">ways to mitigate the impacts of reducing emissions and increasing removals on employees and employers, regions, iwi and Māori, and wider </w:t>
      </w:r>
      <w:proofErr w:type="gramStart"/>
      <w:r w:rsidRPr="007837CC">
        <w:rPr>
          <w:rFonts w:eastAsia="Calibri"/>
        </w:rPr>
        <w:t>communities</w:t>
      </w:r>
      <w:proofErr w:type="gramEnd"/>
    </w:p>
    <w:p w14:paraId="6C74C13D" w14:textId="7F9FD078" w:rsidR="00806FFC" w:rsidRPr="007837CC" w:rsidRDefault="00761ACB" w:rsidP="004E4ECE">
      <w:pPr>
        <w:pStyle w:val="Bullet"/>
        <w:rPr>
          <w:rFonts w:eastAsia="Calibri"/>
        </w:rPr>
      </w:pPr>
      <w:r w:rsidRPr="007837CC">
        <w:rPr>
          <w:rFonts w:eastAsia="Calibri"/>
        </w:rPr>
        <w:t>additional</w:t>
      </w:r>
      <w:r w:rsidR="00806FFC" w:rsidRPr="007837CC">
        <w:rPr>
          <w:rFonts w:eastAsia="Calibri"/>
        </w:rPr>
        <w:t xml:space="preserve"> policies </w:t>
      </w:r>
      <w:r w:rsidR="00D32A4E" w:rsidRPr="007837CC">
        <w:rPr>
          <w:rFonts w:eastAsia="Calibri"/>
        </w:rPr>
        <w:t>and</w:t>
      </w:r>
      <w:r w:rsidR="00806FFC" w:rsidRPr="007837CC">
        <w:rPr>
          <w:rFonts w:eastAsia="Calibri"/>
        </w:rPr>
        <w:t xml:space="preserve"> strategies that are necessary</w:t>
      </w:r>
      <w:r w:rsidR="002F7735" w:rsidRPr="007837CC">
        <w:rPr>
          <w:rFonts w:eastAsia="Calibri"/>
        </w:rPr>
        <w:t xml:space="preserve"> to reduce emissions and increase removals</w:t>
      </w:r>
      <w:r w:rsidR="00806FFC" w:rsidRPr="007837CC">
        <w:rPr>
          <w:rFonts w:eastAsia="Calibri"/>
        </w:rPr>
        <w:t>.</w:t>
      </w:r>
    </w:p>
    <w:p w14:paraId="4A9FB2DB" w14:textId="0EC83B17" w:rsidR="00AB63C6" w:rsidRPr="007837CC" w:rsidRDefault="00806FFC" w:rsidP="004E4ECE">
      <w:pPr>
        <w:pStyle w:val="BodyText"/>
      </w:pPr>
      <w:r w:rsidRPr="007837CC">
        <w:lastRenderedPageBreak/>
        <w:t>The</w:t>
      </w:r>
      <w:r w:rsidRPr="007837CC" w:rsidDel="00211D56">
        <w:t xml:space="preserve"> </w:t>
      </w:r>
      <w:r w:rsidRPr="007837CC">
        <w:t>ERP sets out coherent measures that are complementary and reinforc</w:t>
      </w:r>
      <w:r w:rsidR="009200C9" w:rsidRPr="007837CC">
        <w:t>e each other</w:t>
      </w:r>
      <w:r w:rsidRPr="007837CC">
        <w:t xml:space="preserve">. Emissions pricing, through the NZ ETS </w:t>
      </w:r>
      <w:r w:rsidR="00711AD4" w:rsidRPr="007837CC">
        <w:t>(</w:t>
      </w:r>
      <w:r w:rsidRPr="007837CC">
        <w:t xml:space="preserve">and the </w:t>
      </w:r>
      <w:r w:rsidR="00711AD4" w:rsidRPr="007837CC">
        <w:t>related synthetic greenhouse gas</w:t>
      </w:r>
      <w:r w:rsidR="00AC04BB" w:rsidRPr="007837CC">
        <w:t xml:space="preserve"> (SGG)</w:t>
      </w:r>
      <w:r w:rsidRPr="007837CC">
        <w:t xml:space="preserve"> levy</w:t>
      </w:r>
      <w:r w:rsidR="00711AD4" w:rsidRPr="007837CC">
        <w:rPr>
          <w:rStyle w:val="FootnoteReference"/>
          <w:rFonts w:eastAsia="Calibri"/>
        </w:rPr>
        <w:footnoteReference w:id="3"/>
      </w:r>
      <w:r w:rsidR="00D40811" w:rsidRPr="007837CC">
        <w:t>)</w:t>
      </w:r>
      <w:r w:rsidRPr="007837CC">
        <w:t xml:space="preserve">, </w:t>
      </w:r>
      <w:r w:rsidR="00795704" w:rsidRPr="007837CC">
        <w:t xml:space="preserve">is </w:t>
      </w:r>
      <w:r w:rsidRPr="007837CC">
        <w:t xml:space="preserve">a critical part of the ERP policy package. </w:t>
      </w:r>
      <w:r w:rsidR="00CA5B83" w:rsidRPr="007837CC">
        <w:t xml:space="preserve">Many of the complementary measures and actions in the ERP are designed to support firms, households, </w:t>
      </w:r>
      <w:proofErr w:type="gramStart"/>
      <w:r w:rsidR="00CA5B83" w:rsidRPr="007837CC">
        <w:t>workers</w:t>
      </w:r>
      <w:proofErr w:type="gramEnd"/>
      <w:r w:rsidR="00CA5B83" w:rsidRPr="007837CC">
        <w:t xml:space="preserve"> and communities to meet the challenges and seize the opportunities that the transition brings.</w:t>
      </w:r>
    </w:p>
    <w:p w14:paraId="3B9341B9" w14:textId="327EEEED" w:rsidR="007073AC" w:rsidRPr="007837CC" w:rsidRDefault="00A8338B" w:rsidP="004E4ECE">
      <w:pPr>
        <w:pStyle w:val="BodyText"/>
      </w:pPr>
      <w:r w:rsidRPr="007837CC">
        <w:t xml:space="preserve">The role of the NZ ETS is being considered through the ETS review. </w:t>
      </w:r>
    </w:p>
    <w:p w14:paraId="71B325D4" w14:textId="77777777" w:rsidR="004700F9" w:rsidRPr="007837CC" w:rsidRDefault="007073AC" w:rsidP="004E4ECE">
      <w:pPr>
        <w:pStyle w:val="BodyText"/>
      </w:pPr>
      <w:r w:rsidRPr="007837CC">
        <w:t xml:space="preserve">Public consultation for the review is expected to take place in mid-2023. The </w:t>
      </w:r>
      <w:r w:rsidR="004700F9" w:rsidRPr="007837CC">
        <w:t xml:space="preserve">Government will seek feedback on how the NZ ETS can better support gross emissions reductions and activities that remove carbon, such as forestry. </w:t>
      </w:r>
    </w:p>
    <w:p w14:paraId="35B978E0" w14:textId="70466343" w:rsidR="00A8338B" w:rsidRPr="007837CC" w:rsidRDefault="004700F9" w:rsidP="004E4ECE">
      <w:pPr>
        <w:pStyle w:val="BodyText"/>
      </w:pPr>
      <w:r w:rsidRPr="007837CC">
        <w:t>The NZ ETS review is considering questions related to the design of the ETS and its role within New Zealand</w:t>
      </w:r>
      <w:r w:rsidR="0016510B" w:rsidRPr="007837CC">
        <w:t>’</w:t>
      </w:r>
      <w:r w:rsidRPr="007837CC">
        <w:t>s clim</w:t>
      </w:r>
      <w:r w:rsidRPr="007837CC">
        <w:rPr>
          <w:rFonts w:asciiTheme="minorHAnsi" w:eastAsia="Times New Roman" w:hAnsiTheme="minorHAnsi" w:cstheme="minorHAnsi"/>
        </w:rPr>
        <w:t>ate change response. Whereas this unit settings consultation is looking at specific ETS policy settings, which the Act requires are reviewed and adjusted annually.</w:t>
      </w:r>
      <w:r w:rsidRPr="007837CC" w:rsidDel="004700F9">
        <w:rPr>
          <w:rStyle w:val="CommentReference"/>
          <w:rFonts w:eastAsia="Times New Roman" w:cs="Times New Roman"/>
        </w:rPr>
        <w:t xml:space="preserve"> </w:t>
      </w:r>
    </w:p>
    <w:p w14:paraId="5376B1CF" w14:textId="4391B327" w:rsidR="007A713B" w:rsidRPr="007837CC" w:rsidRDefault="003D66F2" w:rsidP="002957DA">
      <w:pPr>
        <w:pStyle w:val="BodyText"/>
      </w:pPr>
      <w:r w:rsidRPr="007837CC">
        <w:t xml:space="preserve">Further detail on how people and businesses interact with the NZ ETS is provided in </w:t>
      </w:r>
      <w:r w:rsidR="00ED5AB5" w:rsidRPr="007837CC">
        <w:t>the</w:t>
      </w:r>
      <w:r w:rsidR="00BD6974" w:rsidRPr="007837CC">
        <w:t> </w:t>
      </w:r>
      <w:hyperlink w:anchor="_Appendix:_How_businesses" w:history="1">
        <w:r w:rsidR="00ED5AB5" w:rsidRPr="007837CC">
          <w:rPr>
            <w:rStyle w:val="Hyperlink"/>
          </w:rPr>
          <w:t>appendix</w:t>
        </w:r>
      </w:hyperlink>
      <w:r w:rsidRPr="007837CC">
        <w:t xml:space="preserve">. </w:t>
      </w:r>
    </w:p>
    <w:p w14:paraId="4699DA66" w14:textId="1AF1161C" w:rsidR="619D9A98" w:rsidRPr="007837CC" w:rsidRDefault="619D9A98" w:rsidP="004E4ECE">
      <w:pPr>
        <w:pStyle w:val="Heading2"/>
      </w:pPr>
      <w:bookmarkStart w:id="4" w:name="_Toc135300654"/>
      <w:r w:rsidRPr="007837CC">
        <w:t>Scope of regulations being consulted on</w:t>
      </w:r>
      <w:bookmarkEnd w:id="4"/>
    </w:p>
    <w:p w14:paraId="112F1DF4" w14:textId="2EEB56D0" w:rsidR="619D9A98" w:rsidRPr="007837CC" w:rsidRDefault="619D9A98" w:rsidP="00A0794B">
      <w:pPr>
        <w:pStyle w:val="BodyText"/>
      </w:pPr>
      <w:r w:rsidRPr="007837CC">
        <w:t>A set of regulations and Orders in Council support</w:t>
      </w:r>
      <w:r w:rsidR="00CA341B" w:rsidRPr="007837CC">
        <w:t>s</w:t>
      </w:r>
      <w:r w:rsidRPr="007837CC">
        <w:t xml:space="preserve"> the NZ</w:t>
      </w:r>
      <w:r w:rsidR="00633A09" w:rsidRPr="007837CC">
        <w:t xml:space="preserve"> </w:t>
      </w:r>
      <w:r w:rsidRPr="007837CC">
        <w:t xml:space="preserve">ETS </w:t>
      </w:r>
      <w:r w:rsidR="00AC04BB" w:rsidRPr="007837CC">
        <w:t>to run efficiently and accurately</w:t>
      </w:r>
      <w:r w:rsidRPr="007837CC">
        <w:t xml:space="preserve">. </w:t>
      </w:r>
    </w:p>
    <w:p w14:paraId="1E8FB0A7" w14:textId="2B105BFD" w:rsidR="000D5715" w:rsidRPr="007837CC" w:rsidRDefault="00B82E01" w:rsidP="00A0794B">
      <w:pPr>
        <w:pStyle w:val="BodyText"/>
      </w:pPr>
      <w:bookmarkStart w:id="5" w:name="_Hlk132278117"/>
      <w:r w:rsidRPr="007837CC">
        <w:t>T</w:t>
      </w:r>
      <w:r w:rsidR="619D9A98" w:rsidRPr="007837CC">
        <w:t>his document</w:t>
      </w:r>
      <w:r w:rsidRPr="007837CC">
        <w:t xml:space="preserve"> </w:t>
      </w:r>
      <w:r w:rsidR="005027C5" w:rsidRPr="007837CC">
        <w:t>describes consultation</w:t>
      </w:r>
      <w:r w:rsidR="619D9A98" w:rsidRPr="007837CC">
        <w:t xml:space="preserve"> on </w:t>
      </w:r>
      <w:r w:rsidR="00EF284E" w:rsidRPr="007837CC">
        <w:t xml:space="preserve">updates to </w:t>
      </w:r>
      <w:r w:rsidR="00416D7E" w:rsidRPr="007837CC">
        <w:t xml:space="preserve">NZ ETS limit and price control settings for units in </w:t>
      </w:r>
      <w:r w:rsidR="00EF284E" w:rsidRPr="007837CC">
        <w:t>the</w:t>
      </w:r>
      <w:r w:rsidR="00206BAC" w:rsidRPr="007837CC">
        <w:t xml:space="preserve"> Climate Change (</w:t>
      </w:r>
      <w:r w:rsidR="00CC2587" w:rsidRPr="007837CC">
        <w:t>Auctions</w:t>
      </w:r>
      <w:r w:rsidR="00206BAC" w:rsidRPr="007837CC">
        <w:t>, Limits, and Price Controls for Units) Regulations 2020</w:t>
      </w:r>
      <w:r w:rsidR="00CA341B" w:rsidRPr="007837CC">
        <w:t>.</w:t>
      </w:r>
    </w:p>
    <w:p w14:paraId="20920DE9" w14:textId="4E087997" w:rsidR="00444FE0" w:rsidRPr="007837CC" w:rsidRDefault="00DD3527" w:rsidP="00A0794B">
      <w:pPr>
        <w:pStyle w:val="BodyText"/>
      </w:pPr>
      <w:r w:rsidRPr="007837CC">
        <w:t xml:space="preserve">Regulations </w:t>
      </w:r>
      <w:r w:rsidR="005027C5" w:rsidRPr="007837CC">
        <w:t>prescribe</w:t>
      </w:r>
      <w:r w:rsidRPr="007837CC">
        <w:t xml:space="preserve"> </w:t>
      </w:r>
      <w:r w:rsidR="003B487F" w:rsidRPr="007837CC">
        <w:t xml:space="preserve">NZ ETS limits (including </w:t>
      </w:r>
      <w:r w:rsidR="00E65901" w:rsidRPr="007837CC">
        <w:t xml:space="preserve">a limit on </w:t>
      </w:r>
      <w:r w:rsidR="00FD5BDE" w:rsidRPr="007837CC">
        <w:t xml:space="preserve">NZUs </w:t>
      </w:r>
      <w:r w:rsidR="00E65901" w:rsidRPr="007837CC">
        <w:t xml:space="preserve">available </w:t>
      </w:r>
      <w:r w:rsidRPr="007837CC">
        <w:t>for</w:t>
      </w:r>
      <w:r w:rsidR="00E65901" w:rsidRPr="007837CC">
        <w:t xml:space="preserve"> </w:t>
      </w:r>
      <w:r w:rsidR="003B487F" w:rsidRPr="007837CC">
        <w:t>auction)</w:t>
      </w:r>
      <w:r w:rsidR="008F3054" w:rsidRPr="007837CC">
        <w:t xml:space="preserve"> and price</w:t>
      </w:r>
      <w:r w:rsidR="003B487F" w:rsidRPr="007837CC">
        <w:t xml:space="preserve"> control</w:t>
      </w:r>
      <w:r w:rsidR="008F3054" w:rsidRPr="007837CC">
        <w:t xml:space="preserve"> settings</w:t>
      </w:r>
      <w:r w:rsidR="003B487F" w:rsidRPr="007837CC">
        <w:t xml:space="preserve"> for units</w:t>
      </w:r>
      <w:r w:rsidR="008F3054" w:rsidRPr="007837CC">
        <w:t xml:space="preserve"> five years in advance. This is the </w:t>
      </w:r>
      <w:r w:rsidR="00CC2587" w:rsidRPr="007837CC">
        <w:t xml:space="preserve">third </w:t>
      </w:r>
      <w:r w:rsidR="008F3054" w:rsidRPr="007837CC">
        <w:t>year that these settings will be</w:t>
      </w:r>
      <w:r w:rsidR="00310A20" w:rsidRPr="007837CC">
        <w:t> </w:t>
      </w:r>
      <w:r w:rsidR="008F3054" w:rsidRPr="007837CC">
        <w:t>updated since they were prescribed in regulations in 2020</w:t>
      </w:r>
      <w:r w:rsidR="009739F3" w:rsidRPr="007837CC">
        <w:t xml:space="preserve">, and the </w:t>
      </w:r>
      <w:r w:rsidR="00F938B2" w:rsidRPr="007837CC">
        <w:t xml:space="preserve">second </w:t>
      </w:r>
      <w:r w:rsidR="009739F3" w:rsidRPr="007837CC">
        <w:t>time since emissions budgets were set</w:t>
      </w:r>
      <w:r w:rsidR="008F3054" w:rsidRPr="007837CC">
        <w:t>.</w:t>
      </w:r>
    </w:p>
    <w:bookmarkEnd w:id="5"/>
    <w:p w14:paraId="5849232A" w14:textId="100C594E" w:rsidR="00B2201B" w:rsidRPr="007837CC" w:rsidRDefault="005A08CE" w:rsidP="00A0794B">
      <w:pPr>
        <w:pStyle w:val="BodyText"/>
      </w:pPr>
      <w:r w:rsidRPr="007837CC">
        <w:t xml:space="preserve">He </w:t>
      </w:r>
      <w:proofErr w:type="spellStart"/>
      <w:r w:rsidRPr="007837CC">
        <w:t>Pou</w:t>
      </w:r>
      <w:proofErr w:type="spellEnd"/>
      <w:r w:rsidRPr="007837CC">
        <w:t xml:space="preserve"> a </w:t>
      </w:r>
      <w:proofErr w:type="spellStart"/>
      <w:r w:rsidRPr="007837CC">
        <w:t>Rangi</w:t>
      </w:r>
      <w:proofErr w:type="spellEnd"/>
      <w:r w:rsidRPr="007837CC">
        <w:t xml:space="preserve"> – </w:t>
      </w:r>
      <w:r w:rsidR="00DD3527" w:rsidRPr="007837CC">
        <w:t xml:space="preserve">Climate Change </w:t>
      </w:r>
      <w:r w:rsidR="00444FE0" w:rsidRPr="007837CC">
        <w:t xml:space="preserve">Commission </w:t>
      </w:r>
      <w:r w:rsidR="00DD3527" w:rsidRPr="007837CC">
        <w:t xml:space="preserve">(the Commission) </w:t>
      </w:r>
      <w:r w:rsidR="00444FE0" w:rsidRPr="007837CC">
        <w:t xml:space="preserve">has provided advice on </w:t>
      </w:r>
      <w:proofErr w:type="spellStart"/>
      <w:r w:rsidR="00444FE0" w:rsidRPr="007837CC">
        <w:t>thesesettings</w:t>
      </w:r>
      <w:proofErr w:type="spellEnd"/>
      <w:r w:rsidR="004E4ECE" w:rsidRPr="007837CC">
        <w:t>.</w:t>
      </w:r>
      <w:r w:rsidR="00664D30" w:rsidRPr="007837CC">
        <w:rPr>
          <w:rStyle w:val="FootnoteReference"/>
        </w:rPr>
        <w:footnoteReference w:id="4"/>
      </w:r>
      <w:r w:rsidR="00272D6F" w:rsidRPr="007837CC">
        <w:t xml:space="preserve"> The Minister of Climate Change (the Minister) must consider</w:t>
      </w:r>
      <w:r w:rsidR="00444FE0" w:rsidRPr="007837CC">
        <w:t xml:space="preserve"> this advice as part</w:t>
      </w:r>
      <w:r w:rsidR="004E4ECE" w:rsidRPr="007837CC">
        <w:t> </w:t>
      </w:r>
      <w:r w:rsidR="00444FE0" w:rsidRPr="007837CC">
        <w:t>of the</w:t>
      </w:r>
      <w:r w:rsidR="00272D6F" w:rsidRPr="007837CC">
        <w:t xml:space="preserve"> process of</w:t>
      </w:r>
      <w:r w:rsidR="00444FE0" w:rsidRPr="007837CC">
        <w:t xml:space="preserve"> updat</w:t>
      </w:r>
      <w:r w:rsidR="00272D6F" w:rsidRPr="007837CC">
        <w:t>ing the settings</w:t>
      </w:r>
      <w:r w:rsidR="00444FE0" w:rsidRPr="007837CC">
        <w:t>.</w:t>
      </w:r>
      <w:r w:rsidR="00E309BB" w:rsidRPr="007837CC">
        <w:t xml:space="preserve"> </w:t>
      </w:r>
      <w:r w:rsidR="00404497" w:rsidRPr="007837CC">
        <w:t xml:space="preserve">If there are differences </w:t>
      </w:r>
      <w:r w:rsidR="00F2518D" w:rsidRPr="007837CC">
        <w:t xml:space="preserve">between </w:t>
      </w:r>
      <w:r w:rsidR="00325552" w:rsidRPr="007837CC">
        <w:t xml:space="preserve">settings </w:t>
      </w:r>
      <w:r w:rsidR="00F2518D" w:rsidRPr="007837CC">
        <w:t>and</w:t>
      </w:r>
      <w:r w:rsidR="00DB5A4E" w:rsidRPr="007837CC">
        <w:t xml:space="preserve"> recommendations made by the Commission</w:t>
      </w:r>
      <w:r w:rsidR="00404497" w:rsidRPr="007837CC">
        <w:t xml:space="preserve"> the Minister is required to publish a report on the</w:t>
      </w:r>
      <w:r w:rsidR="00310A20" w:rsidRPr="007837CC">
        <w:t> </w:t>
      </w:r>
      <w:r w:rsidR="00404497" w:rsidRPr="007837CC">
        <w:t>reasons for these differences</w:t>
      </w:r>
      <w:r w:rsidR="00DB5A4E" w:rsidRPr="007837CC">
        <w:t xml:space="preserve">. </w:t>
      </w:r>
    </w:p>
    <w:p w14:paraId="493A22B4" w14:textId="1D73615B" w:rsidR="00C84875" w:rsidRPr="007837CC" w:rsidRDefault="00B844F6" w:rsidP="00A0794B">
      <w:pPr>
        <w:pStyle w:val="BodyText"/>
      </w:pPr>
      <w:r w:rsidRPr="007837CC">
        <w:t xml:space="preserve">Updates to settings </w:t>
      </w:r>
      <w:r w:rsidR="00884C5C" w:rsidRPr="007837CC">
        <w:t>must</w:t>
      </w:r>
      <w:r w:rsidRPr="007837CC">
        <w:t xml:space="preserve"> align with requirements listed in the Act</w:t>
      </w:r>
      <w:r w:rsidR="00884C5C" w:rsidRPr="007837CC">
        <w:t>. This</w:t>
      </w:r>
      <w:r w:rsidRPr="007837CC">
        <w:t xml:space="preserve"> includ</w:t>
      </w:r>
      <w:r w:rsidR="00884C5C" w:rsidRPr="007837CC">
        <w:t>es that they must</w:t>
      </w:r>
      <w:r w:rsidRPr="007837CC">
        <w:t xml:space="preserve"> be in accordance with </w:t>
      </w:r>
      <w:r w:rsidR="00F85E41" w:rsidRPr="007837CC">
        <w:t>emissions budgets,</w:t>
      </w:r>
      <w:r w:rsidR="007E79DA" w:rsidRPr="007837CC">
        <w:t xml:space="preserve"> the</w:t>
      </w:r>
      <w:r w:rsidR="00F85E41" w:rsidRPr="007837CC">
        <w:t xml:space="preserve"> </w:t>
      </w:r>
      <w:r w:rsidR="00DA245E" w:rsidRPr="007837CC">
        <w:t>N</w:t>
      </w:r>
      <w:r w:rsidR="007E79DA" w:rsidRPr="007837CC">
        <w:t xml:space="preserve">ationally </w:t>
      </w:r>
      <w:r w:rsidR="00DA245E" w:rsidRPr="007837CC">
        <w:t>D</w:t>
      </w:r>
      <w:r w:rsidR="007E79DA" w:rsidRPr="007837CC">
        <w:t xml:space="preserve">etermined </w:t>
      </w:r>
      <w:r w:rsidR="00DA245E" w:rsidRPr="007837CC">
        <w:t>C</w:t>
      </w:r>
      <w:r w:rsidR="007E79DA" w:rsidRPr="007837CC">
        <w:t>ontribution (NDC)</w:t>
      </w:r>
      <w:r w:rsidR="00005C9E" w:rsidRPr="007837CC">
        <w:rPr>
          <w:rStyle w:val="FootnoteReference"/>
          <w:color w:val="auto"/>
        </w:rPr>
        <w:footnoteReference w:id="5"/>
      </w:r>
      <w:r w:rsidR="007212F8">
        <w:t>,</w:t>
      </w:r>
      <w:r w:rsidR="00005C9E" w:rsidRPr="007837CC">
        <w:t xml:space="preserve"> </w:t>
      </w:r>
      <w:r w:rsidR="00F85E41" w:rsidRPr="007837CC">
        <w:t xml:space="preserve">and </w:t>
      </w:r>
      <w:r w:rsidR="00884C5C" w:rsidRPr="007837CC">
        <w:t xml:space="preserve">the </w:t>
      </w:r>
      <w:r w:rsidR="00F85E41" w:rsidRPr="007837CC">
        <w:t>2050</w:t>
      </w:r>
      <w:r w:rsidR="00884C5C" w:rsidRPr="007837CC">
        <w:t xml:space="preserve"> target</w:t>
      </w:r>
      <w:r w:rsidR="00C84875" w:rsidRPr="007837CC">
        <w:t xml:space="preserve">. </w:t>
      </w:r>
    </w:p>
    <w:p w14:paraId="384119B8" w14:textId="2274E205" w:rsidR="00C84875" w:rsidRPr="007837CC" w:rsidRDefault="00C84875" w:rsidP="00156730">
      <w:pPr>
        <w:pStyle w:val="BodyText"/>
      </w:pPr>
      <w:r w:rsidRPr="007837CC">
        <w:lastRenderedPageBreak/>
        <w:t xml:space="preserve">The methodology, or series of steps, </w:t>
      </w:r>
      <w:r w:rsidR="00861258" w:rsidRPr="007837CC">
        <w:t xml:space="preserve">for </w:t>
      </w:r>
      <w:r w:rsidRPr="007837CC">
        <w:t>determin</w:t>
      </w:r>
      <w:r w:rsidR="00861258" w:rsidRPr="007837CC">
        <w:t>ing</w:t>
      </w:r>
      <w:r w:rsidRPr="007837CC">
        <w:t xml:space="preserve"> annual auction volumes is well understood and broadly agreed. Changes to this methodology are outside the scope of this</w:t>
      </w:r>
      <w:r w:rsidR="00A0794B" w:rsidRPr="007837CC">
        <w:t> </w:t>
      </w:r>
      <w:r w:rsidRPr="007837CC">
        <w:t>consultation</w:t>
      </w:r>
      <w:r w:rsidR="00016B27" w:rsidRPr="007837CC">
        <w:t>, although there are changes proposed within some of these steps</w:t>
      </w:r>
      <w:r w:rsidRPr="007837CC">
        <w:t xml:space="preserve">. </w:t>
      </w:r>
    </w:p>
    <w:p w14:paraId="6624487C" w14:textId="700C304E" w:rsidR="00851FFE" w:rsidRPr="007837CC" w:rsidRDefault="00016B27" w:rsidP="00156730">
      <w:pPr>
        <w:pStyle w:val="BodyText"/>
      </w:pPr>
      <w:r w:rsidRPr="007837CC">
        <w:t>Considerations of possible changes resulting from the recently announced NZ ETS review are</w:t>
      </w:r>
      <w:r w:rsidR="00A83C74" w:rsidRPr="007837CC">
        <w:t> </w:t>
      </w:r>
      <w:r w:rsidRPr="007837CC">
        <w:t>out of scope</w:t>
      </w:r>
      <w:r w:rsidR="00EE70F6" w:rsidRPr="007837CC">
        <w:t xml:space="preserve"> of this consultation</w:t>
      </w:r>
      <w:r w:rsidRPr="007837CC">
        <w:t xml:space="preserve">. </w:t>
      </w:r>
    </w:p>
    <w:p w14:paraId="5BAC4877" w14:textId="4097012A" w:rsidR="00BA1F03" w:rsidRPr="007837CC" w:rsidRDefault="00BA1F03" w:rsidP="00BA1F03">
      <w:pPr>
        <w:pStyle w:val="Heading2"/>
        <w:rPr>
          <w:rFonts w:eastAsia="Georgia"/>
        </w:rPr>
      </w:pPr>
      <w:bookmarkStart w:id="6" w:name="_Toc135300655"/>
      <w:r w:rsidRPr="007837CC">
        <w:rPr>
          <w:rFonts w:eastAsia="Georgia"/>
        </w:rPr>
        <w:t xml:space="preserve">Objectives for updating NZ ETS unit </w:t>
      </w:r>
      <w:proofErr w:type="gramStart"/>
      <w:r w:rsidRPr="007837CC">
        <w:rPr>
          <w:rFonts w:eastAsia="Georgia"/>
        </w:rPr>
        <w:t>settings</w:t>
      </w:r>
      <w:bookmarkEnd w:id="6"/>
      <w:proofErr w:type="gramEnd"/>
    </w:p>
    <w:p w14:paraId="7B64F749" w14:textId="3ADD49EB" w:rsidR="00BA1F03" w:rsidRPr="007837CC" w:rsidRDefault="00BA1F03" w:rsidP="00BA1F03">
      <w:pPr>
        <w:pStyle w:val="BodyText"/>
      </w:pPr>
      <w:r w:rsidRPr="007837CC">
        <w:t xml:space="preserve">The overall objective of the unit settings is to align the settings, as best as possible, to </w:t>
      </w:r>
      <w:r w:rsidR="00634D58" w:rsidRPr="007837CC">
        <w:t xml:space="preserve">help </w:t>
      </w:r>
      <w:r w:rsidRPr="007837CC">
        <w:t>New Zealand meet its emissions budgets</w:t>
      </w:r>
      <w:r w:rsidR="005F5426" w:rsidRPr="007837CC">
        <w:t>, NDC</w:t>
      </w:r>
      <w:r w:rsidRPr="007837CC">
        <w:t xml:space="preserve"> and </w:t>
      </w:r>
      <w:r w:rsidR="005F5426" w:rsidRPr="007837CC">
        <w:t xml:space="preserve">2050 </w:t>
      </w:r>
      <w:r w:rsidRPr="007837CC">
        <w:t xml:space="preserve">targets. </w:t>
      </w:r>
    </w:p>
    <w:p w14:paraId="357D90FE" w14:textId="6ACFA6B4" w:rsidR="00BA1F03" w:rsidRPr="007837CC" w:rsidRDefault="00BA1F03" w:rsidP="00BA1F03">
      <w:pPr>
        <w:pStyle w:val="BodyText"/>
        <w:rPr>
          <w:rFonts w:eastAsia="Georgia"/>
        </w:rPr>
      </w:pPr>
      <w:r w:rsidRPr="007837CC">
        <w:t xml:space="preserve">The objectives for the price controls include mitigating the risk of unacceptably low or high NZU prices and signalling expectations of </w:t>
      </w:r>
      <w:r w:rsidR="007218FB" w:rsidRPr="007837CC">
        <w:t xml:space="preserve">the possible range of </w:t>
      </w:r>
      <w:r w:rsidRPr="007837CC">
        <w:t>future emissions prices.</w:t>
      </w:r>
    </w:p>
    <w:p w14:paraId="6BC98912" w14:textId="349278F3" w:rsidR="005C2383" w:rsidRPr="007837CC" w:rsidRDefault="005C2383" w:rsidP="00A0794B">
      <w:pPr>
        <w:pStyle w:val="Heading2"/>
      </w:pPr>
      <w:bookmarkStart w:id="7" w:name="_Toc135300656"/>
      <w:r w:rsidRPr="007837CC">
        <w:t xml:space="preserve">Criteria for assessing </w:t>
      </w:r>
      <w:proofErr w:type="gramStart"/>
      <w:r w:rsidRPr="007837CC">
        <w:t>options</w:t>
      </w:r>
      <w:bookmarkEnd w:id="7"/>
      <w:proofErr w:type="gramEnd"/>
    </w:p>
    <w:p w14:paraId="3D8BD9EE" w14:textId="73DFC3EA" w:rsidR="007205C3" w:rsidRPr="007837CC" w:rsidRDefault="00394F2C" w:rsidP="00156730">
      <w:pPr>
        <w:pStyle w:val="BodyText"/>
      </w:pPr>
      <w:r w:rsidRPr="007837CC">
        <w:t xml:space="preserve">Updates to </w:t>
      </w:r>
      <w:r w:rsidR="005C2383" w:rsidRPr="007837CC">
        <w:t xml:space="preserve">regulations </w:t>
      </w:r>
      <w:r w:rsidRPr="007837CC">
        <w:t>for NZ ETS unit supply and price control settings must</w:t>
      </w:r>
      <w:r w:rsidR="0016341D" w:rsidRPr="007837CC">
        <w:t xml:space="preserve"> be in accordance </w:t>
      </w:r>
      <w:r w:rsidR="0016341D" w:rsidRPr="007837CC">
        <w:rPr>
          <w:spacing w:val="-2"/>
        </w:rPr>
        <w:t>with the emissions budget</w:t>
      </w:r>
      <w:r w:rsidR="00E2210D" w:rsidRPr="007837CC">
        <w:rPr>
          <w:spacing w:val="-2"/>
        </w:rPr>
        <w:t>s</w:t>
      </w:r>
      <w:r w:rsidR="00861258" w:rsidRPr="007837CC">
        <w:rPr>
          <w:spacing w:val="-2"/>
        </w:rPr>
        <w:t>,</w:t>
      </w:r>
      <w:r w:rsidR="0016341D" w:rsidRPr="007837CC">
        <w:rPr>
          <w:spacing w:val="-2"/>
        </w:rPr>
        <w:t xml:space="preserve"> the </w:t>
      </w:r>
      <w:r w:rsidR="002A6DF7" w:rsidRPr="007837CC">
        <w:rPr>
          <w:spacing w:val="-2"/>
        </w:rPr>
        <w:t>NDC</w:t>
      </w:r>
      <w:r w:rsidR="00005C9E" w:rsidRPr="007837CC">
        <w:rPr>
          <w:spacing w:val="-2"/>
        </w:rPr>
        <w:t xml:space="preserve"> </w:t>
      </w:r>
      <w:r w:rsidR="0016341D" w:rsidRPr="007837CC">
        <w:rPr>
          <w:spacing w:val="-2"/>
        </w:rPr>
        <w:t xml:space="preserve">for New Zealand </w:t>
      </w:r>
      <w:r w:rsidR="00A6732D" w:rsidRPr="007837CC">
        <w:rPr>
          <w:spacing w:val="-2"/>
        </w:rPr>
        <w:t>under the Paris Agreement</w:t>
      </w:r>
      <w:r w:rsidR="005E2C71" w:rsidRPr="007837CC">
        <w:rPr>
          <w:spacing w:val="-2"/>
        </w:rPr>
        <w:t>,</w:t>
      </w:r>
      <w:r w:rsidR="00A6732D" w:rsidRPr="007837CC">
        <w:rPr>
          <w:spacing w:val="-2"/>
        </w:rPr>
        <w:t xml:space="preserve"> and the 2050</w:t>
      </w:r>
      <w:r w:rsidR="00A6732D" w:rsidRPr="007837CC">
        <w:t xml:space="preserve"> target</w:t>
      </w:r>
      <w:r w:rsidR="007205C3" w:rsidRPr="007837CC">
        <w:t>. They must also</w:t>
      </w:r>
      <w:r w:rsidR="00A6732D" w:rsidRPr="007837CC">
        <w:t xml:space="preserve"> </w:t>
      </w:r>
      <w:r w:rsidRPr="007837CC">
        <w:t xml:space="preserve">consider </w:t>
      </w:r>
      <w:r w:rsidR="0016341D" w:rsidRPr="007837CC">
        <w:t>matters</w:t>
      </w:r>
      <w:r w:rsidRPr="007837CC">
        <w:t xml:space="preserve"> described in section </w:t>
      </w:r>
      <w:r w:rsidR="00B04661" w:rsidRPr="007837CC">
        <w:t>30GC of the Act</w:t>
      </w:r>
      <w:r w:rsidR="00BA1F03" w:rsidRPr="007837CC">
        <w:t xml:space="preserve">, described in table </w:t>
      </w:r>
      <w:r w:rsidR="00B16B88" w:rsidRPr="007837CC">
        <w:t>2</w:t>
      </w:r>
      <w:r w:rsidR="00E4340F" w:rsidRPr="007837CC">
        <w:t>.</w:t>
      </w:r>
      <w:r w:rsidR="006B7EE3" w:rsidRPr="007837CC">
        <w:t xml:space="preserve"> </w:t>
      </w:r>
      <w:r w:rsidR="005C278F" w:rsidRPr="007837CC">
        <w:t xml:space="preserve">The options are assessed against criteria based on these </w:t>
      </w:r>
      <w:r w:rsidR="00883AF0" w:rsidRPr="007837CC">
        <w:t>factors</w:t>
      </w:r>
      <w:r w:rsidR="00861258" w:rsidRPr="007837CC">
        <w:t xml:space="preserve"> (table 1)</w:t>
      </w:r>
      <w:r w:rsidR="005C278F" w:rsidRPr="007837CC">
        <w:t xml:space="preserve">. </w:t>
      </w:r>
      <w:r w:rsidR="001B4833" w:rsidRPr="007837CC">
        <w:t xml:space="preserve">There have </w:t>
      </w:r>
      <w:r w:rsidR="001B4833" w:rsidRPr="007837CC">
        <w:rPr>
          <w:spacing w:val="-2"/>
        </w:rPr>
        <w:t>been minor updates to the criteria used in the 2022 consultation on NZ ETS unit settings updates.</w:t>
      </w:r>
      <w:r w:rsidR="001B4833" w:rsidRPr="007837CC">
        <w:t xml:space="preserve"> </w:t>
      </w:r>
    </w:p>
    <w:p w14:paraId="5DFD6DFA" w14:textId="21B8B123" w:rsidR="00F85E41" w:rsidRPr="007837CC" w:rsidRDefault="00F85E41" w:rsidP="00156730">
      <w:pPr>
        <w:pStyle w:val="BodyText"/>
      </w:pPr>
      <w:r w:rsidRPr="007837CC">
        <w:t xml:space="preserve">The Commission is required to consider these same matters when </w:t>
      </w:r>
      <w:r w:rsidR="00210640" w:rsidRPr="007837CC">
        <w:t xml:space="preserve">making recommendations on unit settings. </w:t>
      </w:r>
    </w:p>
    <w:p w14:paraId="1025F63E" w14:textId="15A7CE0D" w:rsidR="00BD090A" w:rsidRPr="007837CC" w:rsidRDefault="00BD090A" w:rsidP="00156730">
      <w:pPr>
        <w:pStyle w:val="Tableheading"/>
      </w:pPr>
      <w:bookmarkStart w:id="8" w:name="_Toc133927335"/>
      <w:r w:rsidRPr="007837CC">
        <w:t xml:space="preserve">Table 1: </w:t>
      </w:r>
      <w:r w:rsidR="00A0794B" w:rsidRPr="007837CC">
        <w:tab/>
      </w:r>
      <w:r w:rsidR="00694FB4" w:rsidRPr="007837CC">
        <w:t xml:space="preserve">Criteria </w:t>
      </w:r>
      <w:r w:rsidR="006D2DC0" w:rsidRPr="007837CC">
        <w:t>for NZ ETS unit limit and price contro</w:t>
      </w:r>
      <w:r w:rsidR="00930FBE" w:rsidRPr="007837CC">
        <w:t>l settings analysis</w:t>
      </w:r>
      <w:bookmarkEnd w:id="8"/>
    </w:p>
    <w:tbl>
      <w:tblPr>
        <w:tblW w:w="0" w:type="auto"/>
        <w:tblInd w:w="-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3833"/>
        <w:gridCol w:w="4667"/>
      </w:tblGrid>
      <w:tr w:rsidR="00FD1C4E" w:rsidRPr="007837CC" w14:paraId="40DC6AB0" w14:textId="77777777" w:rsidTr="00056F32">
        <w:trPr>
          <w:tblHeader/>
        </w:trPr>
        <w:tc>
          <w:tcPr>
            <w:tcW w:w="3833" w:type="dxa"/>
            <w:tcBorders>
              <w:bottom w:val="nil"/>
            </w:tcBorders>
            <w:shd w:val="clear" w:color="auto" w:fill="1B556B" w:themeFill="text2"/>
            <w:vAlign w:val="center"/>
          </w:tcPr>
          <w:p w14:paraId="73B6F38D" w14:textId="75E6C776" w:rsidR="0060026C" w:rsidRPr="007837CC" w:rsidRDefault="0060026C" w:rsidP="00225C2D">
            <w:pPr>
              <w:pStyle w:val="TableTextbold"/>
              <w:spacing w:before="40" w:after="40"/>
              <w:rPr>
                <w:color w:val="FFFFFF" w:themeColor="background1"/>
              </w:rPr>
            </w:pPr>
            <w:r w:rsidRPr="007837CC">
              <w:rPr>
                <w:color w:val="FFFFFF" w:themeColor="background1"/>
              </w:rPr>
              <w:t>Criteria</w:t>
            </w:r>
          </w:p>
        </w:tc>
        <w:tc>
          <w:tcPr>
            <w:tcW w:w="4667" w:type="dxa"/>
            <w:tcBorders>
              <w:bottom w:val="nil"/>
            </w:tcBorders>
            <w:shd w:val="clear" w:color="auto" w:fill="1B556B" w:themeFill="text2"/>
            <w:vAlign w:val="center"/>
          </w:tcPr>
          <w:p w14:paraId="4CAA6B1F" w14:textId="77777777" w:rsidR="0060026C" w:rsidRPr="007837CC" w:rsidRDefault="0060026C" w:rsidP="00225C2D">
            <w:pPr>
              <w:pStyle w:val="TableTextbold"/>
              <w:spacing w:before="40" w:after="40"/>
              <w:rPr>
                <w:color w:val="FFFFFF" w:themeColor="background1"/>
              </w:rPr>
            </w:pPr>
            <w:r w:rsidRPr="007837CC">
              <w:rPr>
                <w:color w:val="FFFFFF" w:themeColor="background1"/>
              </w:rPr>
              <w:t>Description</w:t>
            </w:r>
          </w:p>
        </w:tc>
      </w:tr>
      <w:tr w:rsidR="00881F0F" w:rsidRPr="007837CC" w14:paraId="3582042C" w14:textId="77777777" w:rsidTr="00056F32">
        <w:tc>
          <w:tcPr>
            <w:tcW w:w="3833" w:type="dxa"/>
            <w:tcBorders>
              <w:top w:val="nil"/>
            </w:tcBorders>
            <w:shd w:val="clear" w:color="auto" w:fill="FFFFFF" w:themeFill="background1"/>
            <w:vAlign w:val="center"/>
          </w:tcPr>
          <w:p w14:paraId="62F5C763" w14:textId="77777777" w:rsidR="0060026C" w:rsidRPr="007837CC" w:rsidRDefault="0060026C" w:rsidP="00225C2D">
            <w:pPr>
              <w:pStyle w:val="TableText"/>
              <w:spacing w:before="40" w:after="40"/>
            </w:pPr>
            <w:r w:rsidRPr="007837CC">
              <w:t>Accordance with New Zealand’s emissions budgets, NDC, and 2050 emissions targets</w:t>
            </w:r>
          </w:p>
        </w:tc>
        <w:tc>
          <w:tcPr>
            <w:tcW w:w="4667" w:type="dxa"/>
            <w:tcBorders>
              <w:top w:val="nil"/>
            </w:tcBorders>
            <w:shd w:val="clear" w:color="auto" w:fill="auto"/>
            <w:vAlign w:val="center"/>
          </w:tcPr>
          <w:p w14:paraId="09EF1EEC" w14:textId="404FDC3E" w:rsidR="0060026C" w:rsidRPr="007837CC" w:rsidRDefault="0060026C" w:rsidP="00225C2D">
            <w:pPr>
              <w:pStyle w:val="TableText"/>
              <w:spacing w:before="40" w:after="40"/>
              <w:rPr>
                <w:color w:val="000000"/>
              </w:rPr>
            </w:pPr>
            <w:r w:rsidRPr="007837CC">
              <w:rPr>
                <w:color w:val="000000"/>
              </w:rPr>
              <w:t>The NZ ETS should generally accord with emissions budgets and help deliver the emission</w:t>
            </w:r>
            <w:r w:rsidR="00634D58" w:rsidRPr="007837CC">
              <w:rPr>
                <w:color w:val="000000"/>
              </w:rPr>
              <w:t>s</w:t>
            </w:r>
            <w:r w:rsidRPr="007837CC">
              <w:rPr>
                <w:color w:val="000000"/>
              </w:rPr>
              <w:t xml:space="preserve"> reductions needed to meet New Zealand’s </w:t>
            </w:r>
            <w:r w:rsidR="00D446D2" w:rsidRPr="007837CC">
              <w:rPr>
                <w:color w:val="000000"/>
              </w:rPr>
              <w:t xml:space="preserve">current </w:t>
            </w:r>
            <w:r w:rsidR="007212F8">
              <w:rPr>
                <w:color w:val="000000"/>
              </w:rPr>
              <w:t>N</w:t>
            </w:r>
            <w:r w:rsidR="00D446D2" w:rsidRPr="007837CC">
              <w:rPr>
                <w:color w:val="000000"/>
              </w:rPr>
              <w:t xml:space="preserve">ationally </w:t>
            </w:r>
            <w:r w:rsidR="007212F8">
              <w:rPr>
                <w:color w:val="000000"/>
              </w:rPr>
              <w:t>D</w:t>
            </w:r>
            <w:r w:rsidR="00D446D2" w:rsidRPr="007837CC">
              <w:rPr>
                <w:color w:val="000000"/>
              </w:rPr>
              <w:t xml:space="preserve">etermined </w:t>
            </w:r>
            <w:r w:rsidR="007212F8">
              <w:rPr>
                <w:color w:val="000000"/>
              </w:rPr>
              <w:t>C</w:t>
            </w:r>
            <w:r w:rsidR="00D446D2" w:rsidRPr="007837CC">
              <w:rPr>
                <w:color w:val="000000"/>
              </w:rPr>
              <w:t xml:space="preserve">ontribution and 2050 </w:t>
            </w:r>
            <w:r w:rsidRPr="007837CC">
              <w:rPr>
                <w:color w:val="000000"/>
              </w:rPr>
              <w:t>emissions reduction targets.</w:t>
            </w:r>
          </w:p>
        </w:tc>
      </w:tr>
      <w:tr w:rsidR="00881F0F" w:rsidRPr="007837CC" w14:paraId="6EED72BB" w14:textId="77777777" w:rsidTr="009A5E3F">
        <w:tc>
          <w:tcPr>
            <w:tcW w:w="3833" w:type="dxa"/>
            <w:tcBorders>
              <w:bottom w:val="single" w:sz="4" w:space="0" w:color="1B556B" w:themeColor="text2"/>
            </w:tcBorders>
            <w:shd w:val="clear" w:color="auto" w:fill="FFFFFF" w:themeFill="background1"/>
            <w:vAlign w:val="center"/>
          </w:tcPr>
          <w:p w14:paraId="57E6EDEA" w14:textId="47E99D4F" w:rsidR="0060026C" w:rsidRPr="007837CC" w:rsidRDefault="0060026C" w:rsidP="00225C2D">
            <w:pPr>
              <w:pStyle w:val="TableText"/>
              <w:spacing w:before="40" w:after="40"/>
            </w:pPr>
            <w:r w:rsidRPr="007837CC">
              <w:t xml:space="preserve">Support the proper functioning of the </w:t>
            </w:r>
            <w:r w:rsidR="007212F8">
              <w:t xml:space="preserve">NZ </w:t>
            </w:r>
            <w:r w:rsidRPr="007837CC">
              <w:t>ETS</w:t>
            </w:r>
          </w:p>
        </w:tc>
        <w:tc>
          <w:tcPr>
            <w:tcW w:w="4667" w:type="dxa"/>
            <w:tcBorders>
              <w:bottom w:val="single" w:sz="4" w:space="0" w:color="1B556B" w:themeColor="text2"/>
            </w:tcBorders>
            <w:shd w:val="clear" w:color="auto" w:fill="auto"/>
            <w:vAlign w:val="center"/>
          </w:tcPr>
          <w:p w14:paraId="5142135B" w14:textId="52C11648" w:rsidR="0060026C" w:rsidRPr="007837CC" w:rsidRDefault="0060026C" w:rsidP="00225C2D">
            <w:pPr>
              <w:pStyle w:val="TableText"/>
              <w:spacing w:before="40" w:after="40"/>
              <w:rPr>
                <w:color w:val="000000"/>
              </w:rPr>
            </w:pPr>
            <w:r w:rsidRPr="007837CC">
              <w:rPr>
                <w:color w:val="000000"/>
              </w:rPr>
              <w:t xml:space="preserve">Settings should allow the NZ ETS to function as intended. This includes auctions that operate </w:t>
            </w:r>
            <w:r w:rsidR="00FC2ACB" w:rsidRPr="007837CC">
              <w:rPr>
                <w:color w:val="000000"/>
              </w:rPr>
              <w:t xml:space="preserve">as designed </w:t>
            </w:r>
            <w:r w:rsidRPr="007837CC">
              <w:rPr>
                <w:color w:val="000000"/>
              </w:rPr>
              <w:t>every year, and NZ ETS participants being able to attain and surrender NZUs to meet NZ ETS obligations.</w:t>
            </w:r>
          </w:p>
        </w:tc>
      </w:tr>
      <w:tr w:rsidR="00881F0F" w:rsidRPr="007837CC" w:rsidDel="009D03E1" w14:paraId="2FEA2F6A" w14:textId="77777777" w:rsidTr="009A5E3F">
        <w:tc>
          <w:tcPr>
            <w:tcW w:w="3833" w:type="dxa"/>
            <w:tcBorders>
              <w:bottom w:val="single" w:sz="4" w:space="0" w:color="auto"/>
            </w:tcBorders>
            <w:shd w:val="clear" w:color="auto" w:fill="FFFFFF" w:themeFill="background1"/>
            <w:vAlign w:val="center"/>
          </w:tcPr>
          <w:p w14:paraId="2657669F" w14:textId="77777777" w:rsidR="0060026C" w:rsidRPr="007837CC" w:rsidDel="009D03E1" w:rsidRDefault="0060026C" w:rsidP="00225C2D">
            <w:pPr>
              <w:pStyle w:val="TableText"/>
              <w:spacing w:before="40" w:after="40"/>
            </w:pPr>
            <w:r w:rsidRPr="007837CC" w:rsidDel="009D03E1">
              <w:t>Improve regulatory certainty and predictability</w:t>
            </w:r>
          </w:p>
        </w:tc>
        <w:tc>
          <w:tcPr>
            <w:tcW w:w="4667" w:type="dxa"/>
            <w:tcBorders>
              <w:bottom w:val="single" w:sz="4" w:space="0" w:color="auto"/>
            </w:tcBorders>
            <w:shd w:val="clear" w:color="auto" w:fill="auto"/>
            <w:vAlign w:val="center"/>
          </w:tcPr>
          <w:p w14:paraId="0208B0D1" w14:textId="669CBC41" w:rsidR="0060026C" w:rsidRPr="007837CC" w:rsidRDefault="0060026C" w:rsidP="00225C2D">
            <w:pPr>
              <w:pStyle w:val="TableText"/>
              <w:spacing w:before="40" w:after="40"/>
              <w:rPr>
                <w:szCs w:val="20"/>
              </w:rPr>
            </w:pPr>
            <w:r w:rsidRPr="007837CC" w:rsidDel="009D03E1">
              <w:rPr>
                <w:color w:val="000000"/>
              </w:rPr>
              <w:t xml:space="preserve">The </w:t>
            </w:r>
            <w:r w:rsidRPr="007837CC" w:rsidDel="009D03E1">
              <w:rPr>
                <w:szCs w:val="20"/>
              </w:rPr>
              <w:t xml:space="preserve">NZ ETS should operate in a transparent and durable manner that allows participants to form expectations about future market conditions. </w:t>
            </w:r>
            <w:r w:rsidRPr="007837CC">
              <w:rPr>
                <w:szCs w:val="20"/>
              </w:rPr>
              <w:t>This</w:t>
            </w:r>
            <w:r w:rsidRPr="007837CC" w:rsidDel="009D03E1">
              <w:rPr>
                <w:szCs w:val="20"/>
              </w:rPr>
              <w:t xml:space="preserve"> is </w:t>
            </w:r>
            <w:r w:rsidRPr="007837CC">
              <w:rPr>
                <w:szCs w:val="20"/>
              </w:rPr>
              <w:t>necessary</w:t>
            </w:r>
            <w:r w:rsidRPr="007837CC" w:rsidDel="009D03E1">
              <w:rPr>
                <w:szCs w:val="20"/>
              </w:rPr>
              <w:t xml:space="preserve"> to build confidence in the NZ ETS and encourage investment in cost-effective opportunities for domestic emissions abatement.</w:t>
            </w:r>
          </w:p>
          <w:p w14:paraId="537AFA89" w14:textId="5480A73D" w:rsidR="0060026C" w:rsidRPr="007837CC" w:rsidDel="009D03E1" w:rsidRDefault="0060026C" w:rsidP="00225C2D">
            <w:pPr>
              <w:pStyle w:val="TableText"/>
              <w:spacing w:before="40" w:after="40"/>
              <w:rPr>
                <w:color w:val="000000"/>
              </w:rPr>
            </w:pPr>
            <w:r w:rsidRPr="007837CC">
              <w:rPr>
                <w:color w:val="000000"/>
              </w:rPr>
              <w:t>The NZ ETS unit settings should avoid the need for review and update of settings for the first two years every year to build confidence in the NZ ETS market and encourage investment in cost-effective opportunities for domestic emissions abatement.</w:t>
            </w:r>
          </w:p>
        </w:tc>
      </w:tr>
      <w:tr w:rsidR="00881F0F" w:rsidRPr="007837CC" w14:paraId="6A349791" w14:textId="77777777" w:rsidTr="009A5E3F">
        <w:tc>
          <w:tcPr>
            <w:tcW w:w="8500" w:type="dxa"/>
            <w:gridSpan w:val="2"/>
            <w:tcBorders>
              <w:top w:val="single" w:sz="4" w:space="0" w:color="auto"/>
            </w:tcBorders>
            <w:shd w:val="clear" w:color="auto" w:fill="D2DDE1" w:themeFill="background2"/>
            <w:vAlign w:val="center"/>
          </w:tcPr>
          <w:p w14:paraId="4C4E12D0" w14:textId="2F2C73AE" w:rsidR="00245D60" w:rsidRPr="007837CC" w:rsidRDefault="00245D60" w:rsidP="00056F32">
            <w:pPr>
              <w:pStyle w:val="TableTextbold"/>
              <w:keepNext/>
              <w:spacing w:before="40" w:after="40"/>
              <w:rPr>
                <w:color w:val="000000"/>
                <w:sz w:val="20"/>
              </w:rPr>
            </w:pPr>
            <w:r w:rsidRPr="007837CC">
              <w:lastRenderedPageBreak/>
              <w:t>Additional criteria for analysing price control settings</w:t>
            </w:r>
          </w:p>
        </w:tc>
      </w:tr>
      <w:tr w:rsidR="006D4882" w:rsidRPr="007837CC" w14:paraId="5EF4924A" w14:textId="77777777" w:rsidTr="00225C2D">
        <w:tc>
          <w:tcPr>
            <w:tcW w:w="3833" w:type="dxa"/>
            <w:shd w:val="clear" w:color="auto" w:fill="FFFFFF" w:themeFill="background1"/>
            <w:vAlign w:val="center"/>
          </w:tcPr>
          <w:p w14:paraId="4629C096" w14:textId="2739C9A6" w:rsidR="0060026C" w:rsidRPr="007837CC" w:rsidRDefault="0060026C" w:rsidP="00056F32">
            <w:pPr>
              <w:pStyle w:val="TableText"/>
              <w:keepNext/>
              <w:spacing w:before="40" w:after="40"/>
            </w:pPr>
            <w:r w:rsidRPr="007837CC">
              <w:t>Support consistency of NZU prices with the level and trajectory of international emissions prices</w:t>
            </w:r>
          </w:p>
        </w:tc>
        <w:tc>
          <w:tcPr>
            <w:tcW w:w="4667" w:type="dxa"/>
            <w:shd w:val="clear" w:color="auto" w:fill="auto"/>
            <w:vAlign w:val="center"/>
          </w:tcPr>
          <w:p w14:paraId="4ACE147B" w14:textId="5B02AA52" w:rsidR="0060026C" w:rsidRPr="007837CC" w:rsidRDefault="0060026C" w:rsidP="00056F32">
            <w:pPr>
              <w:pStyle w:val="TableText"/>
              <w:keepNext/>
              <w:spacing w:before="40" w:after="40"/>
            </w:pPr>
            <w:r w:rsidRPr="007837CC">
              <w:t>NZ ETS settings should support efforts to allow access to offshore mitigation. This includes keeping NZU prices in line with international prices.</w:t>
            </w:r>
          </w:p>
        </w:tc>
      </w:tr>
      <w:tr w:rsidR="006D4882" w:rsidRPr="007837CC" w14:paraId="72BD6D4C" w14:textId="77777777" w:rsidTr="00225C2D">
        <w:tc>
          <w:tcPr>
            <w:tcW w:w="3833" w:type="dxa"/>
            <w:shd w:val="clear" w:color="auto" w:fill="FFFFFF" w:themeFill="background1"/>
            <w:vAlign w:val="center"/>
          </w:tcPr>
          <w:p w14:paraId="6CA5B982" w14:textId="6EF999E7" w:rsidR="0060026C" w:rsidRPr="007837CC" w:rsidRDefault="0060026C" w:rsidP="00225C2D">
            <w:pPr>
              <w:pStyle w:val="TableText"/>
              <w:spacing w:before="40" w:after="40"/>
            </w:pPr>
            <w:r w:rsidRPr="007837CC">
              <w:t>Manage the risk of unacceptable economic</w:t>
            </w:r>
            <w:r w:rsidR="00B53356" w:rsidRPr="007837CC">
              <w:t xml:space="preserve"> and inflationary</w:t>
            </w:r>
            <w:r w:rsidRPr="007837CC">
              <w:t xml:space="preserve"> impacts</w:t>
            </w:r>
          </w:p>
        </w:tc>
        <w:tc>
          <w:tcPr>
            <w:tcW w:w="4667" w:type="dxa"/>
            <w:shd w:val="clear" w:color="auto" w:fill="auto"/>
            <w:vAlign w:val="center"/>
          </w:tcPr>
          <w:p w14:paraId="2CCA94DB" w14:textId="252CE024" w:rsidR="0060026C" w:rsidRPr="007837CC" w:rsidRDefault="0060026C" w:rsidP="00225C2D">
            <w:pPr>
              <w:pStyle w:val="TableText"/>
              <w:spacing w:before="40" w:after="40"/>
            </w:pPr>
            <w:r w:rsidRPr="007837CC">
              <w:t xml:space="preserve">Settings manage the risk of unacceptable </w:t>
            </w:r>
            <w:r w:rsidR="00487D59" w:rsidRPr="007837CC">
              <w:t>impacts from</w:t>
            </w:r>
            <w:r w:rsidRPr="007837CC">
              <w:t xml:space="preserve"> emissions costs being incurred by affected groups and the wider economy.</w:t>
            </w:r>
          </w:p>
        </w:tc>
      </w:tr>
    </w:tbl>
    <w:p w14:paraId="2584E6B6" w14:textId="66676DB9" w:rsidR="00740FCE" w:rsidRPr="007837CC" w:rsidRDefault="00740FCE" w:rsidP="00F829E2">
      <w:pPr>
        <w:pStyle w:val="Heading4"/>
        <w:spacing w:before="320"/>
      </w:pPr>
      <w:r w:rsidRPr="007837CC">
        <w:t>Key for criteria assessment</w:t>
      </w:r>
    </w:p>
    <w:p w14:paraId="76938CE9" w14:textId="3FC79CFB" w:rsidR="00740FCE" w:rsidRPr="007837CC" w:rsidRDefault="00740FCE" w:rsidP="00F829E2">
      <w:pPr>
        <w:pStyle w:val="BodyText"/>
        <w:keepNext/>
        <w:spacing w:before="60" w:after="0"/>
      </w:pPr>
      <w:r w:rsidRPr="007837CC">
        <w:rPr>
          <w:b/>
          <w:bCs/>
          <w:color w:val="00B050"/>
        </w:rPr>
        <w:t>++</w:t>
      </w:r>
      <w:r w:rsidRPr="007837CC">
        <w:t xml:space="preserve"> </w:t>
      </w:r>
      <w:r w:rsidRPr="007837CC">
        <w:tab/>
        <w:t>much better than the status quo</w:t>
      </w:r>
    </w:p>
    <w:p w14:paraId="1591BAB6" w14:textId="5200772F" w:rsidR="00740FCE" w:rsidRPr="007837CC" w:rsidRDefault="00740FCE" w:rsidP="00F829E2">
      <w:pPr>
        <w:pStyle w:val="BodyText"/>
        <w:keepNext/>
        <w:spacing w:before="60" w:after="0"/>
      </w:pPr>
      <w:r w:rsidRPr="007837CC">
        <w:rPr>
          <w:b/>
          <w:bCs/>
          <w:color w:val="00B050"/>
        </w:rPr>
        <w:t>+</w:t>
      </w:r>
      <w:r w:rsidRPr="007837CC">
        <w:t xml:space="preserve"> </w:t>
      </w:r>
      <w:r w:rsidRPr="007837CC">
        <w:tab/>
        <w:t>better than the status quo</w:t>
      </w:r>
    </w:p>
    <w:p w14:paraId="12B49988" w14:textId="6A5FEFD2" w:rsidR="00740FCE" w:rsidRPr="007837CC" w:rsidRDefault="00740FCE" w:rsidP="00F829E2">
      <w:pPr>
        <w:pStyle w:val="BodyText"/>
        <w:spacing w:before="60" w:after="0"/>
      </w:pPr>
      <w:r w:rsidRPr="007837CC">
        <w:rPr>
          <w:b/>
          <w:bCs/>
        </w:rPr>
        <w:t>0</w:t>
      </w:r>
      <w:r w:rsidRPr="007837CC">
        <w:tab/>
        <w:t>about the same as the status quo</w:t>
      </w:r>
    </w:p>
    <w:p w14:paraId="3572BFD6" w14:textId="13288DE1" w:rsidR="00740FCE" w:rsidRPr="007837CC" w:rsidRDefault="00263EAD" w:rsidP="00F829E2">
      <w:pPr>
        <w:pStyle w:val="BodyText"/>
        <w:spacing w:before="60" w:after="0"/>
      </w:pPr>
      <w:r w:rsidRPr="007837CC">
        <w:rPr>
          <w:b/>
          <w:bCs/>
          <w:color w:val="FF0000"/>
        </w:rPr>
        <w:t>–</w:t>
      </w:r>
      <w:r w:rsidR="00740FCE" w:rsidRPr="007837CC">
        <w:t xml:space="preserve"> </w:t>
      </w:r>
      <w:r w:rsidR="00740FCE" w:rsidRPr="007837CC">
        <w:tab/>
        <w:t>worse than the status quo</w:t>
      </w:r>
    </w:p>
    <w:p w14:paraId="0E364EE2" w14:textId="252C66B6" w:rsidR="00740FCE" w:rsidRPr="007837CC" w:rsidRDefault="00263EAD" w:rsidP="00F829E2">
      <w:pPr>
        <w:pStyle w:val="BodyText"/>
        <w:spacing w:before="60"/>
      </w:pPr>
      <w:r w:rsidRPr="007837CC">
        <w:rPr>
          <w:b/>
          <w:bCs/>
          <w:color w:val="FF0000"/>
        </w:rPr>
        <w:t>–</w:t>
      </w:r>
      <w:r w:rsidR="00740FCE" w:rsidRPr="007837CC">
        <w:rPr>
          <w:b/>
          <w:bCs/>
          <w:color w:val="FF0000"/>
        </w:rPr>
        <w:t xml:space="preserve"> </w:t>
      </w:r>
      <w:r w:rsidRPr="007837CC">
        <w:rPr>
          <w:b/>
          <w:bCs/>
          <w:color w:val="FF0000"/>
        </w:rPr>
        <w:t>–</w:t>
      </w:r>
      <w:r w:rsidR="00740FCE" w:rsidRPr="007837CC">
        <w:rPr>
          <w:b/>
          <w:bCs/>
          <w:color w:val="FF0000"/>
        </w:rPr>
        <w:t xml:space="preserve"> </w:t>
      </w:r>
      <w:r w:rsidR="00740FCE" w:rsidRPr="007837CC">
        <w:tab/>
        <w:t>much worse than the status quo</w:t>
      </w:r>
    </w:p>
    <w:p w14:paraId="29806C6A" w14:textId="1D5E0D8C" w:rsidR="008422B9" w:rsidRPr="007837CC" w:rsidRDefault="008422B9" w:rsidP="00740FCE">
      <w:pPr>
        <w:pStyle w:val="BodyText"/>
        <w:rPr>
          <w:spacing w:val="-2"/>
        </w:rPr>
      </w:pPr>
      <w:r w:rsidRPr="007837CC">
        <w:rPr>
          <w:spacing w:val="-2"/>
        </w:rPr>
        <w:t>The overall assessment is based on the ‘average’ rating against each criterion in that assessment.</w:t>
      </w:r>
    </w:p>
    <w:p w14:paraId="4E2F4917" w14:textId="559E005A" w:rsidR="001E33A0" w:rsidRPr="007837CC" w:rsidRDefault="001E33A0" w:rsidP="00F829E2">
      <w:pPr>
        <w:pStyle w:val="BodyText"/>
      </w:pPr>
      <w:r w:rsidRPr="007837CC">
        <w:t xml:space="preserve">These criteria relate directly to the </w:t>
      </w:r>
      <w:r w:rsidR="007A7A91" w:rsidRPr="007837CC">
        <w:t xml:space="preserve">obligations </w:t>
      </w:r>
      <w:r w:rsidR="00464BA6" w:rsidRPr="007837CC">
        <w:t xml:space="preserve">on </w:t>
      </w:r>
      <w:r w:rsidR="00070C78" w:rsidRPr="007837CC">
        <w:t>the Minister</w:t>
      </w:r>
      <w:r w:rsidR="008422B9" w:rsidRPr="007837CC">
        <w:t>, described in the Act,</w:t>
      </w:r>
      <w:r w:rsidR="00070C78" w:rsidRPr="007837CC">
        <w:t xml:space="preserve"> when making recommendations on unit settings</w:t>
      </w:r>
      <w:r w:rsidR="00290C4A" w:rsidRPr="007837CC">
        <w:t>, as</w:t>
      </w:r>
      <w:r w:rsidR="00070C78" w:rsidRPr="007837CC">
        <w:t xml:space="preserve"> </w:t>
      </w:r>
      <w:r w:rsidR="00900DB4" w:rsidRPr="007837CC">
        <w:t>t</w:t>
      </w:r>
      <w:r w:rsidR="00464BA6" w:rsidRPr="007837CC">
        <w:t xml:space="preserve">able </w:t>
      </w:r>
      <w:r w:rsidR="00B16B88" w:rsidRPr="007837CC">
        <w:t xml:space="preserve">2 </w:t>
      </w:r>
      <w:r w:rsidR="00290C4A" w:rsidRPr="007837CC">
        <w:t>describes</w:t>
      </w:r>
      <w:r w:rsidR="00464BA6" w:rsidRPr="007837CC">
        <w:t>.</w:t>
      </w:r>
      <w:r w:rsidR="008630F4" w:rsidRPr="007837CC">
        <w:t xml:space="preserve"> </w:t>
      </w:r>
    </w:p>
    <w:p w14:paraId="6ECC0907" w14:textId="2184168F" w:rsidR="00070C78" w:rsidRPr="007837CC" w:rsidRDefault="00070C78" w:rsidP="00573718">
      <w:pPr>
        <w:pStyle w:val="Tableheading"/>
      </w:pPr>
      <w:bookmarkStart w:id="9" w:name="_Toc133927336"/>
      <w:r w:rsidRPr="007837CC">
        <w:t xml:space="preserve">Table </w:t>
      </w:r>
      <w:r w:rsidR="00793525" w:rsidRPr="007837CC">
        <w:t>2</w:t>
      </w:r>
      <w:r w:rsidRPr="007837CC">
        <w:t xml:space="preserve">: </w:t>
      </w:r>
      <w:r w:rsidR="00F9399F" w:rsidRPr="007837CC">
        <w:tab/>
      </w:r>
      <w:r w:rsidR="00722AEF" w:rsidRPr="007837CC">
        <w:t>How</w:t>
      </w:r>
      <w:r w:rsidR="00900DB4" w:rsidRPr="007837CC">
        <w:t xml:space="preserve"> the criteria in table 1 reflect</w:t>
      </w:r>
      <w:r w:rsidR="00722AEF" w:rsidRPr="007837CC">
        <w:t xml:space="preserve"> matters that </w:t>
      </w:r>
      <w:r w:rsidR="00391983" w:rsidRPr="007837CC">
        <w:t xml:space="preserve">the Minister </w:t>
      </w:r>
      <w:r w:rsidR="00722AEF" w:rsidRPr="007837CC">
        <w:t>must consider</w:t>
      </w:r>
      <w:bookmarkEnd w:id="9"/>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3828"/>
        <w:gridCol w:w="4677"/>
      </w:tblGrid>
      <w:tr w:rsidR="00C24519" w:rsidRPr="007837CC" w14:paraId="04B56220" w14:textId="77777777" w:rsidTr="00A30EE3">
        <w:trPr>
          <w:tblHeader/>
        </w:trPr>
        <w:tc>
          <w:tcPr>
            <w:tcW w:w="3828" w:type="dxa"/>
            <w:tcBorders>
              <w:bottom w:val="single" w:sz="4" w:space="0" w:color="1B556B" w:themeColor="text2"/>
            </w:tcBorders>
            <w:shd w:val="clear" w:color="auto" w:fill="1B556B" w:themeFill="text2"/>
          </w:tcPr>
          <w:p w14:paraId="4B79A87B" w14:textId="3E89D610" w:rsidR="002A539F" w:rsidRPr="007837CC" w:rsidRDefault="002A539F" w:rsidP="00F829E2">
            <w:pPr>
              <w:pStyle w:val="TableTextbold"/>
              <w:rPr>
                <w:color w:val="FFFFFF" w:themeColor="background1"/>
              </w:rPr>
            </w:pPr>
            <w:r w:rsidRPr="007837CC">
              <w:rPr>
                <w:color w:val="FFFFFF" w:themeColor="background1"/>
              </w:rPr>
              <w:t>Obligations under section 30GC of the Act</w:t>
            </w:r>
          </w:p>
        </w:tc>
        <w:tc>
          <w:tcPr>
            <w:tcW w:w="4677" w:type="dxa"/>
            <w:shd w:val="clear" w:color="auto" w:fill="1B556B" w:themeFill="text2"/>
          </w:tcPr>
          <w:p w14:paraId="154149B5" w14:textId="77777777" w:rsidR="002A539F" w:rsidRPr="007837CC" w:rsidRDefault="002A539F" w:rsidP="00F829E2">
            <w:pPr>
              <w:pStyle w:val="TableTextbold"/>
              <w:rPr>
                <w:color w:val="FFFFFF" w:themeColor="background1"/>
              </w:rPr>
            </w:pPr>
            <w:r w:rsidRPr="007837CC">
              <w:rPr>
                <w:color w:val="FFFFFF" w:themeColor="background1"/>
              </w:rPr>
              <w:t>Criteria that reflect this matter</w:t>
            </w:r>
          </w:p>
        </w:tc>
      </w:tr>
      <w:tr w:rsidR="0073053B" w:rsidRPr="007837CC" w14:paraId="06B02094" w14:textId="77777777" w:rsidTr="00A30EE3">
        <w:tc>
          <w:tcPr>
            <w:tcW w:w="3828" w:type="dxa"/>
            <w:tcBorders>
              <w:bottom w:val="single" w:sz="4" w:space="0" w:color="1B556B" w:themeColor="text2"/>
            </w:tcBorders>
            <w:shd w:val="clear" w:color="auto" w:fill="FFFFFF" w:themeFill="background1"/>
          </w:tcPr>
          <w:p w14:paraId="3D821009" w14:textId="73A45695" w:rsidR="002A539F" w:rsidRPr="007837CC" w:rsidRDefault="002A539F" w:rsidP="00F829E2">
            <w:pPr>
              <w:pStyle w:val="TableText"/>
            </w:pPr>
            <w:r w:rsidRPr="007837CC">
              <w:rPr>
                <w:rFonts w:ascii="Arial" w:hAnsi="Arial" w:cs="Arial"/>
                <w:szCs w:val="20"/>
              </w:rPr>
              <w:t>(</w:t>
            </w:r>
            <w:r w:rsidRPr="007837CC">
              <w:t xml:space="preserve">2) The Minister must be satisfied that the limits and price control settings are in accordance with (a) the emissions budget and the </w:t>
            </w:r>
            <w:r w:rsidR="00DA245E" w:rsidRPr="007837CC">
              <w:t>N</w:t>
            </w:r>
            <w:r w:rsidRPr="007837CC">
              <w:t xml:space="preserve">ationally </w:t>
            </w:r>
            <w:r w:rsidR="00DA245E" w:rsidRPr="007837CC">
              <w:t>D</w:t>
            </w:r>
            <w:r w:rsidRPr="007837CC">
              <w:t xml:space="preserve">etermined </w:t>
            </w:r>
            <w:r w:rsidR="00DA245E" w:rsidRPr="007837CC">
              <w:t>C</w:t>
            </w:r>
            <w:r w:rsidRPr="007837CC">
              <w:t>ontribution and (b) the 2050 target</w:t>
            </w:r>
          </w:p>
          <w:p w14:paraId="41ADFBC4" w14:textId="77777777" w:rsidR="002A539F" w:rsidRPr="007837CC" w:rsidRDefault="002A539F" w:rsidP="00F829E2">
            <w:pPr>
              <w:pStyle w:val="TableText"/>
              <w:rPr>
                <w:rFonts w:ascii="Arial" w:hAnsi="Arial" w:cs="Arial"/>
                <w:szCs w:val="20"/>
              </w:rPr>
            </w:pPr>
            <w:r w:rsidRPr="007837CC">
              <w:t xml:space="preserve">(3) However, they need not strictly accord with the budgets or contributions </w:t>
            </w:r>
            <w:proofErr w:type="gramStart"/>
            <w:r w:rsidRPr="007837CC">
              <w:t>as long as</w:t>
            </w:r>
            <w:proofErr w:type="gramEnd"/>
            <w:r w:rsidRPr="007837CC">
              <w:t xml:space="preserve"> the Minister is satisfied that the discrepancy is justified, after considering other matters</w:t>
            </w:r>
          </w:p>
        </w:tc>
        <w:tc>
          <w:tcPr>
            <w:tcW w:w="4677" w:type="dxa"/>
            <w:tcBorders>
              <w:bottom w:val="single" w:sz="4" w:space="0" w:color="1B556B" w:themeColor="text2"/>
            </w:tcBorders>
            <w:shd w:val="clear" w:color="auto" w:fill="auto"/>
          </w:tcPr>
          <w:p w14:paraId="4AA06784" w14:textId="367D865E" w:rsidR="002A539F" w:rsidRPr="007837CC" w:rsidRDefault="002A539F" w:rsidP="00F829E2">
            <w:pPr>
              <w:pStyle w:val="TableText"/>
              <w:rPr>
                <w:rFonts w:cs="Tahoma"/>
                <w:szCs w:val="20"/>
              </w:rPr>
            </w:pPr>
            <w:r w:rsidRPr="007837CC">
              <w:rPr>
                <w:rFonts w:cs="Tahoma"/>
                <w:color w:val="000000"/>
              </w:rPr>
              <w:t>Accordance with New Zealand’s emissions budgets, NDC and 2050 target</w:t>
            </w:r>
          </w:p>
        </w:tc>
      </w:tr>
      <w:tr w:rsidR="0073053B" w:rsidRPr="007837CC" w14:paraId="4A92AA65" w14:textId="77777777" w:rsidTr="00C24519">
        <w:tc>
          <w:tcPr>
            <w:tcW w:w="8505" w:type="dxa"/>
            <w:gridSpan w:val="2"/>
            <w:shd w:val="clear" w:color="auto" w:fill="D2DDE1" w:themeFill="background2"/>
          </w:tcPr>
          <w:p w14:paraId="2DDE7747" w14:textId="77777777" w:rsidR="002A539F" w:rsidRPr="007837CC" w:rsidRDefault="002A539F" w:rsidP="00F829E2">
            <w:pPr>
              <w:pStyle w:val="TableTextbold"/>
            </w:pPr>
            <w:r w:rsidRPr="007837CC">
              <w:t>Matters the Minister must consider</w:t>
            </w:r>
          </w:p>
        </w:tc>
      </w:tr>
      <w:tr w:rsidR="0073053B" w:rsidRPr="007837CC" w14:paraId="3E2BE050" w14:textId="77777777" w:rsidTr="00A30EE3">
        <w:tc>
          <w:tcPr>
            <w:tcW w:w="3828" w:type="dxa"/>
            <w:shd w:val="clear" w:color="auto" w:fill="FFFFFF" w:themeFill="background1"/>
          </w:tcPr>
          <w:p w14:paraId="779FC918" w14:textId="77777777" w:rsidR="002A539F" w:rsidRPr="007837CC" w:rsidRDefault="002A539F" w:rsidP="00F829E2">
            <w:pPr>
              <w:pStyle w:val="TableText"/>
              <w:rPr>
                <w:rFonts w:cs="Tahoma"/>
                <w:color w:val="000000"/>
              </w:rPr>
            </w:pPr>
            <w:r w:rsidRPr="007837CC">
              <w:rPr>
                <w:rFonts w:cs="Tahoma"/>
                <w:color w:val="000000"/>
              </w:rPr>
              <w:t>(5)(a)</w:t>
            </w:r>
            <w:r w:rsidRPr="007837CC">
              <w:t xml:space="preserve"> Projected trends in greenhouse gas emissions, including both emissions covered by the NZ ETS and those that are not covered</w:t>
            </w:r>
          </w:p>
        </w:tc>
        <w:tc>
          <w:tcPr>
            <w:tcW w:w="4677" w:type="dxa"/>
            <w:shd w:val="clear" w:color="auto" w:fill="auto"/>
          </w:tcPr>
          <w:p w14:paraId="47F286D8" w14:textId="78F0EB21" w:rsidR="002A539F" w:rsidRPr="007837CC" w:rsidRDefault="002A539F" w:rsidP="00F829E2">
            <w:pPr>
              <w:pStyle w:val="TableText"/>
              <w:rPr>
                <w:rFonts w:cs="Tahoma"/>
                <w:color w:val="000000"/>
                <w:szCs w:val="20"/>
              </w:rPr>
            </w:pPr>
            <w:r w:rsidRPr="007837CC">
              <w:rPr>
                <w:rFonts w:cs="Tahoma"/>
                <w:color w:val="000000"/>
                <w:szCs w:val="20"/>
              </w:rPr>
              <w:t>Accordance with New Zealand’s emissions budgets, NDC and 2050 target</w:t>
            </w:r>
          </w:p>
        </w:tc>
      </w:tr>
      <w:tr w:rsidR="0073053B" w:rsidRPr="007837CC" w14:paraId="583A62EC" w14:textId="77777777" w:rsidTr="00A30EE3">
        <w:tc>
          <w:tcPr>
            <w:tcW w:w="3828" w:type="dxa"/>
            <w:shd w:val="clear" w:color="auto" w:fill="FFFFFF" w:themeFill="background1"/>
          </w:tcPr>
          <w:p w14:paraId="344940B8" w14:textId="77777777" w:rsidR="002A539F" w:rsidRPr="007837CC" w:rsidRDefault="002A539F" w:rsidP="00F829E2">
            <w:pPr>
              <w:pStyle w:val="TableText"/>
              <w:rPr>
                <w:rFonts w:cs="Tahoma"/>
                <w:color w:val="000000"/>
              </w:rPr>
            </w:pPr>
            <w:r w:rsidRPr="007837CC">
              <w:rPr>
                <w:rFonts w:cs="Tahoma"/>
                <w:color w:val="000000"/>
              </w:rPr>
              <w:t>(5)(b)</w:t>
            </w:r>
            <w:r w:rsidRPr="007837CC">
              <w:t xml:space="preserve"> The proper functioning of the NZ ETS</w:t>
            </w:r>
          </w:p>
        </w:tc>
        <w:tc>
          <w:tcPr>
            <w:tcW w:w="4677" w:type="dxa"/>
            <w:shd w:val="clear" w:color="auto" w:fill="auto"/>
          </w:tcPr>
          <w:p w14:paraId="79449CA5" w14:textId="77777777" w:rsidR="002A539F" w:rsidRPr="007837CC" w:rsidRDefault="002A539F" w:rsidP="00F829E2">
            <w:pPr>
              <w:pStyle w:val="TableText"/>
              <w:rPr>
                <w:rFonts w:cs="Tahoma"/>
                <w:color w:val="000000"/>
                <w:szCs w:val="20"/>
              </w:rPr>
            </w:pPr>
            <w:r w:rsidRPr="007837CC">
              <w:rPr>
                <w:rFonts w:cs="Tahoma"/>
                <w:color w:val="000000"/>
                <w:szCs w:val="20"/>
              </w:rPr>
              <w:t>Support the proper functioning of the ETS</w:t>
            </w:r>
          </w:p>
        </w:tc>
      </w:tr>
      <w:tr w:rsidR="0073053B" w:rsidRPr="007837CC" w14:paraId="17687449" w14:textId="77777777" w:rsidTr="00A30EE3">
        <w:tc>
          <w:tcPr>
            <w:tcW w:w="3828" w:type="dxa"/>
            <w:shd w:val="clear" w:color="auto" w:fill="FFFFFF" w:themeFill="background1"/>
          </w:tcPr>
          <w:p w14:paraId="52F1D0AC" w14:textId="77777777" w:rsidR="002A539F" w:rsidRPr="007837CC" w:rsidRDefault="002A539F" w:rsidP="00F829E2">
            <w:pPr>
              <w:pStyle w:val="TableText"/>
              <w:rPr>
                <w:rFonts w:cs="Tahoma"/>
                <w:color w:val="000000"/>
              </w:rPr>
            </w:pPr>
            <w:r w:rsidRPr="007837CC">
              <w:rPr>
                <w:rFonts w:cs="Tahoma"/>
                <w:color w:val="000000"/>
              </w:rPr>
              <w:t>(5)(c)</w:t>
            </w:r>
            <w:r w:rsidRPr="007837CC">
              <w:t xml:space="preserve"> International climate change obligations and contracts New Zealand may have for accessing offshore mitigation from other carbon markets</w:t>
            </w:r>
          </w:p>
        </w:tc>
        <w:tc>
          <w:tcPr>
            <w:tcW w:w="4677" w:type="dxa"/>
            <w:shd w:val="clear" w:color="auto" w:fill="auto"/>
          </w:tcPr>
          <w:p w14:paraId="21DF47A1" w14:textId="77777777" w:rsidR="002A539F" w:rsidRPr="007837CC" w:rsidRDefault="002A539F" w:rsidP="00056F32">
            <w:pPr>
              <w:pStyle w:val="TableText"/>
              <w:spacing w:after="0"/>
              <w:rPr>
                <w:rFonts w:cs="Tahoma"/>
                <w:color w:val="000000"/>
                <w:szCs w:val="20"/>
              </w:rPr>
            </w:pPr>
            <w:r w:rsidRPr="007837CC">
              <w:rPr>
                <w:rFonts w:cs="Tahoma"/>
                <w:color w:val="000000"/>
                <w:szCs w:val="20"/>
              </w:rPr>
              <w:t xml:space="preserve">Support consistency of NZU </w:t>
            </w:r>
            <w:r w:rsidRPr="007837CC">
              <w:rPr>
                <w:rFonts w:cs="Tahoma"/>
                <w:color w:val="000000" w:themeColor="text1"/>
                <w:szCs w:val="20"/>
              </w:rPr>
              <w:t>prices with the level and trajectory of international emissions prices</w:t>
            </w:r>
          </w:p>
          <w:p w14:paraId="59366909" w14:textId="10840821" w:rsidR="002A539F" w:rsidRPr="007837CC" w:rsidRDefault="002A539F" w:rsidP="00F829E2">
            <w:pPr>
              <w:pStyle w:val="TableText"/>
              <w:rPr>
                <w:rFonts w:cs="Tahoma"/>
                <w:color w:val="000000"/>
                <w:szCs w:val="20"/>
              </w:rPr>
            </w:pPr>
            <w:r w:rsidRPr="007837CC">
              <w:rPr>
                <w:rFonts w:cs="Tahoma"/>
                <w:color w:val="000000"/>
                <w:szCs w:val="20"/>
              </w:rPr>
              <w:t>Accordance with New Zealand’s emissions budgets, NDC and 2050 target</w:t>
            </w:r>
          </w:p>
        </w:tc>
      </w:tr>
      <w:tr w:rsidR="0073053B" w:rsidRPr="007837CC" w14:paraId="7EE46A1D" w14:textId="77777777" w:rsidTr="00A30EE3">
        <w:tc>
          <w:tcPr>
            <w:tcW w:w="3828" w:type="dxa"/>
            <w:shd w:val="clear" w:color="auto" w:fill="FFFFFF" w:themeFill="background1"/>
          </w:tcPr>
          <w:p w14:paraId="1D41CB38" w14:textId="77777777" w:rsidR="002A539F" w:rsidRPr="007837CC" w:rsidRDefault="002A539F" w:rsidP="00F829E2">
            <w:pPr>
              <w:pStyle w:val="TableText"/>
              <w:rPr>
                <w:rFonts w:cs="Tahoma"/>
                <w:color w:val="000000"/>
              </w:rPr>
            </w:pPr>
            <w:r w:rsidRPr="007837CC">
              <w:rPr>
                <w:rFonts w:cs="Tahoma"/>
                <w:color w:val="000000"/>
              </w:rPr>
              <w:t>(5)(d)</w:t>
            </w:r>
            <w:r w:rsidRPr="007837CC">
              <w:t xml:space="preserve"> The forecast availability and costs of ways to reduce greenhouse gas emissions that may be needed for New Zealand to meet its emissions reduction targets</w:t>
            </w:r>
          </w:p>
        </w:tc>
        <w:tc>
          <w:tcPr>
            <w:tcW w:w="4677" w:type="dxa"/>
            <w:shd w:val="clear" w:color="auto" w:fill="auto"/>
          </w:tcPr>
          <w:p w14:paraId="001DEDC0" w14:textId="77777777" w:rsidR="002A539F" w:rsidRPr="007837CC" w:rsidRDefault="002A539F" w:rsidP="00056F32">
            <w:pPr>
              <w:pStyle w:val="TableText"/>
              <w:spacing w:after="0"/>
              <w:rPr>
                <w:rFonts w:cs="Tahoma"/>
                <w:color w:val="000000"/>
                <w:szCs w:val="20"/>
              </w:rPr>
            </w:pPr>
            <w:r w:rsidRPr="007837CC">
              <w:rPr>
                <w:rFonts w:cs="Tahoma"/>
                <w:color w:val="000000"/>
                <w:szCs w:val="20"/>
              </w:rPr>
              <w:t xml:space="preserve">Accordance with New Zealand’s emissions budgets, NDC and 2050 </w:t>
            </w:r>
            <w:proofErr w:type="gramStart"/>
            <w:r w:rsidRPr="007837CC">
              <w:rPr>
                <w:rFonts w:cs="Tahoma"/>
                <w:color w:val="000000"/>
                <w:szCs w:val="20"/>
              </w:rPr>
              <w:t>target</w:t>
            </w:r>
            <w:proofErr w:type="gramEnd"/>
          </w:p>
          <w:p w14:paraId="1736A064" w14:textId="62A18B0D" w:rsidR="002A539F" w:rsidRPr="007837CC" w:rsidRDefault="002A539F" w:rsidP="00056F32">
            <w:pPr>
              <w:pStyle w:val="TableText"/>
              <w:spacing w:after="0"/>
              <w:rPr>
                <w:rFonts w:cs="Tahoma"/>
                <w:color w:val="000000"/>
                <w:szCs w:val="20"/>
              </w:rPr>
            </w:pPr>
            <w:r w:rsidRPr="007837CC">
              <w:rPr>
                <w:rFonts w:cs="Tahoma"/>
                <w:color w:val="000000"/>
                <w:szCs w:val="20"/>
              </w:rPr>
              <w:t>Support the proper functioning o</w:t>
            </w:r>
            <w:r w:rsidRPr="007837CC">
              <w:rPr>
                <w:rFonts w:cs="Tahoma"/>
                <w:color w:val="000000" w:themeColor="text1"/>
                <w:szCs w:val="20"/>
              </w:rPr>
              <w:t xml:space="preserve">f the </w:t>
            </w:r>
            <w:r w:rsidR="00F136B7">
              <w:rPr>
                <w:rFonts w:cs="Tahoma"/>
                <w:color w:val="000000" w:themeColor="text1"/>
                <w:szCs w:val="20"/>
              </w:rPr>
              <w:t xml:space="preserve">NZ </w:t>
            </w:r>
            <w:r w:rsidRPr="007837CC">
              <w:rPr>
                <w:rFonts w:cs="Tahoma"/>
                <w:color w:val="000000" w:themeColor="text1"/>
                <w:szCs w:val="20"/>
              </w:rPr>
              <w:t>ETS</w:t>
            </w:r>
          </w:p>
          <w:p w14:paraId="25B3D44E" w14:textId="77777777" w:rsidR="002A539F" w:rsidRPr="007837CC" w:rsidRDefault="002A539F" w:rsidP="00F829E2">
            <w:pPr>
              <w:pStyle w:val="TableText"/>
              <w:rPr>
                <w:rFonts w:cs="Tahoma"/>
                <w:color w:val="000000"/>
                <w:szCs w:val="20"/>
              </w:rPr>
            </w:pPr>
            <w:r w:rsidRPr="007837CC">
              <w:rPr>
                <w:rFonts w:cs="Tahoma"/>
                <w:color w:val="000000"/>
                <w:szCs w:val="20"/>
              </w:rPr>
              <w:t>Support consistency of NZU prices with the level and trajectory of international emissions prices</w:t>
            </w:r>
          </w:p>
        </w:tc>
      </w:tr>
      <w:tr w:rsidR="0073053B" w:rsidRPr="007837CC" w14:paraId="732FBF1C" w14:textId="77777777" w:rsidTr="00A30EE3">
        <w:tc>
          <w:tcPr>
            <w:tcW w:w="3828" w:type="dxa"/>
            <w:shd w:val="clear" w:color="auto" w:fill="FFFFFF" w:themeFill="background1"/>
          </w:tcPr>
          <w:p w14:paraId="1BC7CC47" w14:textId="77777777" w:rsidR="002A539F" w:rsidRPr="007837CC" w:rsidRDefault="002A539F" w:rsidP="0064685F">
            <w:pPr>
              <w:pStyle w:val="TableText"/>
            </w:pPr>
            <w:r w:rsidRPr="007837CC">
              <w:t>(5)(e) The recommendations made by the Climate Change Commission under section 5ZOA</w:t>
            </w:r>
          </w:p>
        </w:tc>
        <w:tc>
          <w:tcPr>
            <w:tcW w:w="4677" w:type="dxa"/>
            <w:shd w:val="clear" w:color="auto" w:fill="auto"/>
          </w:tcPr>
          <w:p w14:paraId="5AF48F71" w14:textId="18F15E58" w:rsidR="002A539F" w:rsidRPr="007837CC" w:rsidRDefault="002A539F" w:rsidP="0064685F">
            <w:pPr>
              <w:pStyle w:val="TableText"/>
            </w:pPr>
            <w:r w:rsidRPr="007837CC">
              <w:t>The Commission’s recommendations are included among the options considered for all NZ ETS unit settings decisions</w:t>
            </w:r>
          </w:p>
        </w:tc>
      </w:tr>
      <w:tr w:rsidR="0073053B" w:rsidRPr="007837CC" w14:paraId="7BA65FA4" w14:textId="77777777" w:rsidTr="00A30EE3">
        <w:tc>
          <w:tcPr>
            <w:tcW w:w="3828" w:type="dxa"/>
            <w:tcBorders>
              <w:bottom w:val="single" w:sz="4" w:space="0" w:color="1B556B" w:themeColor="text2"/>
            </w:tcBorders>
            <w:shd w:val="clear" w:color="auto" w:fill="FFFFFF" w:themeFill="background1"/>
          </w:tcPr>
          <w:p w14:paraId="09C385F1" w14:textId="7EF47ADE" w:rsidR="002A539F" w:rsidRPr="007837CC" w:rsidRDefault="002A539F" w:rsidP="0064685F">
            <w:pPr>
              <w:pStyle w:val="TableText"/>
            </w:pPr>
            <w:r w:rsidRPr="007837CC">
              <w:t>(5)(f) Any other matters that the Minister considers relevant</w:t>
            </w:r>
          </w:p>
        </w:tc>
        <w:tc>
          <w:tcPr>
            <w:tcW w:w="4677" w:type="dxa"/>
            <w:tcBorders>
              <w:bottom w:val="single" w:sz="4" w:space="0" w:color="1B556B" w:themeColor="text2"/>
            </w:tcBorders>
            <w:shd w:val="clear" w:color="auto" w:fill="auto"/>
          </w:tcPr>
          <w:p w14:paraId="2CF63044" w14:textId="04F9A2ED" w:rsidR="002A539F" w:rsidRPr="007837CC" w:rsidRDefault="00000E16" w:rsidP="0064685F">
            <w:pPr>
              <w:pStyle w:val="TableText"/>
            </w:pPr>
            <w:r w:rsidRPr="007837CC">
              <w:t>No additional matters are considered in the criteria analysis</w:t>
            </w:r>
          </w:p>
        </w:tc>
      </w:tr>
      <w:tr w:rsidR="0073053B" w:rsidRPr="007837CC" w14:paraId="53F9E456" w14:textId="77777777" w:rsidTr="00C24519">
        <w:tc>
          <w:tcPr>
            <w:tcW w:w="8505" w:type="dxa"/>
            <w:gridSpan w:val="2"/>
            <w:shd w:val="clear" w:color="auto" w:fill="D2DDE1" w:themeFill="background2"/>
          </w:tcPr>
          <w:p w14:paraId="38B00699" w14:textId="77777777" w:rsidR="002A539F" w:rsidRPr="007837CC" w:rsidRDefault="002A539F" w:rsidP="00C24519">
            <w:pPr>
              <w:pStyle w:val="TableTextbold"/>
              <w:keepNext/>
            </w:pPr>
            <w:r w:rsidRPr="007837CC">
              <w:lastRenderedPageBreak/>
              <w:t>Additional matters the Minister must consider in analysing price control settings</w:t>
            </w:r>
          </w:p>
        </w:tc>
      </w:tr>
      <w:tr w:rsidR="0073053B" w:rsidRPr="007837CC" w14:paraId="5D644FBD" w14:textId="77777777" w:rsidTr="00A30EE3">
        <w:tc>
          <w:tcPr>
            <w:tcW w:w="3828" w:type="dxa"/>
            <w:shd w:val="clear" w:color="auto" w:fill="FFFFFF" w:themeFill="background1"/>
          </w:tcPr>
          <w:p w14:paraId="34B99F65" w14:textId="77777777" w:rsidR="002A539F" w:rsidRPr="007837CC" w:rsidRDefault="002A539F" w:rsidP="0064685F">
            <w:pPr>
              <w:pStyle w:val="TableText"/>
            </w:pPr>
            <w:r w:rsidRPr="007837CC">
              <w:t>(6)(a) The impact of emissions prices on households and the economy</w:t>
            </w:r>
          </w:p>
        </w:tc>
        <w:tc>
          <w:tcPr>
            <w:tcW w:w="4677" w:type="dxa"/>
            <w:shd w:val="clear" w:color="auto" w:fill="auto"/>
          </w:tcPr>
          <w:p w14:paraId="29D7F87B" w14:textId="760AEE2E" w:rsidR="002A539F" w:rsidRPr="007837CC" w:rsidRDefault="002A539F" w:rsidP="0064685F">
            <w:pPr>
              <w:pStyle w:val="TableText"/>
            </w:pPr>
            <w:r w:rsidRPr="007837CC">
              <w:t>Manages the risk of unacceptable economic</w:t>
            </w:r>
            <w:r w:rsidR="00243F8D" w:rsidRPr="007837CC">
              <w:t xml:space="preserve"> and inflationary</w:t>
            </w:r>
            <w:r w:rsidRPr="007837CC">
              <w:t xml:space="preserve"> impacts</w:t>
            </w:r>
          </w:p>
        </w:tc>
      </w:tr>
      <w:tr w:rsidR="0073053B" w:rsidRPr="007837CC" w14:paraId="0837A0E0" w14:textId="77777777" w:rsidTr="00A30EE3">
        <w:tc>
          <w:tcPr>
            <w:tcW w:w="3828" w:type="dxa"/>
            <w:shd w:val="clear" w:color="auto" w:fill="FFFFFF" w:themeFill="background1"/>
          </w:tcPr>
          <w:p w14:paraId="6C53E351" w14:textId="77777777" w:rsidR="002A539F" w:rsidRPr="007837CC" w:rsidRDefault="002A539F" w:rsidP="0064685F">
            <w:pPr>
              <w:pStyle w:val="TableText"/>
            </w:pPr>
            <w:r w:rsidRPr="007837CC">
              <w:t>(6)(b) The level and trajectory of international emissions prices (including price controls in linked markets)</w:t>
            </w:r>
          </w:p>
        </w:tc>
        <w:tc>
          <w:tcPr>
            <w:tcW w:w="4677" w:type="dxa"/>
            <w:shd w:val="clear" w:color="auto" w:fill="auto"/>
          </w:tcPr>
          <w:p w14:paraId="69449C93" w14:textId="77777777" w:rsidR="002A539F" w:rsidRPr="007837CC" w:rsidRDefault="002A539F" w:rsidP="0064685F">
            <w:pPr>
              <w:pStyle w:val="TableText"/>
            </w:pPr>
            <w:r w:rsidRPr="007837CC">
              <w:t>Support consistency of NZU prices with the level and trajectory of international emissions prices</w:t>
            </w:r>
          </w:p>
        </w:tc>
      </w:tr>
      <w:tr w:rsidR="0073053B" w:rsidRPr="007837CC" w14:paraId="0EDEFAFF" w14:textId="77777777" w:rsidTr="00A30EE3">
        <w:tc>
          <w:tcPr>
            <w:tcW w:w="3828" w:type="dxa"/>
            <w:shd w:val="clear" w:color="auto" w:fill="FFFFFF" w:themeFill="background1"/>
          </w:tcPr>
          <w:p w14:paraId="59237350" w14:textId="77777777" w:rsidR="002A539F" w:rsidRPr="007837CC" w:rsidRDefault="002A539F" w:rsidP="0064685F">
            <w:pPr>
              <w:pStyle w:val="TableText"/>
            </w:pPr>
            <w:r w:rsidRPr="007837CC">
              <w:t>(6)(c) Inflation</w:t>
            </w:r>
          </w:p>
        </w:tc>
        <w:tc>
          <w:tcPr>
            <w:tcW w:w="4677" w:type="dxa"/>
            <w:shd w:val="clear" w:color="auto" w:fill="auto"/>
          </w:tcPr>
          <w:p w14:paraId="17CF82F0" w14:textId="044F1880" w:rsidR="002A539F" w:rsidRPr="007837CC" w:rsidRDefault="002A539F" w:rsidP="0064685F">
            <w:pPr>
              <w:pStyle w:val="TableText"/>
            </w:pPr>
            <w:r w:rsidRPr="007837CC">
              <w:t xml:space="preserve">Manages the risk of unacceptable economic </w:t>
            </w:r>
            <w:r w:rsidR="00243F8D" w:rsidRPr="007837CC">
              <w:t>and infl</w:t>
            </w:r>
            <w:r w:rsidR="00B86537" w:rsidRPr="007837CC">
              <w:t xml:space="preserve">ationary </w:t>
            </w:r>
            <w:r w:rsidRPr="007837CC">
              <w:t>impact</w:t>
            </w:r>
            <w:r w:rsidR="00B86537" w:rsidRPr="007837CC">
              <w:t>s</w:t>
            </w:r>
          </w:p>
        </w:tc>
      </w:tr>
    </w:tbl>
    <w:p w14:paraId="18486260" w14:textId="77777777" w:rsidR="0062299A" w:rsidRPr="007837CC" w:rsidRDefault="0062299A" w:rsidP="00C24519">
      <w:pPr>
        <w:pStyle w:val="Heading2"/>
        <w:spacing w:before="440"/>
      </w:pPr>
      <w:bookmarkStart w:id="10" w:name="_Toc95397058"/>
      <w:bookmarkStart w:id="11" w:name="_Toc135300657"/>
      <w:r w:rsidRPr="007837CC">
        <w:t>Your views</w:t>
      </w:r>
      <w:bookmarkEnd w:id="10"/>
      <w:bookmarkEnd w:id="11"/>
    </w:p>
    <w:p w14:paraId="2BF2C1F6" w14:textId="4D7C15DB" w:rsidR="0062299A" w:rsidRPr="007837CC" w:rsidRDefault="0062299A" w:rsidP="00C24519">
      <w:pPr>
        <w:pStyle w:val="BodyText"/>
      </w:pPr>
      <w:r w:rsidRPr="007837CC">
        <w:t xml:space="preserve">We want to know your thoughts on the </w:t>
      </w:r>
      <w:r w:rsidR="004D56F4" w:rsidRPr="007837CC">
        <w:t xml:space="preserve">options for </w:t>
      </w:r>
      <w:r w:rsidRPr="007837CC">
        <w:t xml:space="preserve">updates to the Climate Change </w:t>
      </w:r>
      <w:r w:rsidRPr="007837CC">
        <w:rPr>
          <w:spacing w:val="-2"/>
        </w:rPr>
        <w:t xml:space="preserve">(Auctions, Limits, and Price Controls </w:t>
      </w:r>
      <w:r w:rsidRPr="007837CC">
        <w:t xml:space="preserve">for Units) Regulations 2020 </w:t>
      </w:r>
      <w:r w:rsidR="00B42E4F" w:rsidRPr="007837CC">
        <w:t>that</w:t>
      </w:r>
      <w:r w:rsidRPr="007837CC">
        <w:t xml:space="preserve"> this </w:t>
      </w:r>
      <w:r w:rsidR="00CC5999" w:rsidRPr="007837CC">
        <w:t xml:space="preserve">consultation </w:t>
      </w:r>
      <w:r w:rsidRPr="007837CC">
        <w:t>document</w:t>
      </w:r>
      <w:r w:rsidR="00B42E4F" w:rsidRPr="007837CC">
        <w:t xml:space="preserve"> outlines</w:t>
      </w:r>
      <w:r w:rsidRPr="007837CC">
        <w:t xml:space="preserve">. Your response will help us understand the issues and options, and their impact. </w:t>
      </w:r>
    </w:p>
    <w:p w14:paraId="1B07BFFA" w14:textId="2D9BF0BB" w:rsidR="0062299A" w:rsidRPr="007837CC" w:rsidRDefault="0062299A" w:rsidP="00C24519">
      <w:pPr>
        <w:pStyle w:val="BodyText"/>
        <w:rPr>
          <w:rFonts w:eastAsia="Calibri" w:cs="Calibri"/>
        </w:rPr>
      </w:pPr>
      <w:r w:rsidRPr="007837CC">
        <w:t xml:space="preserve">The </w:t>
      </w:r>
      <w:r w:rsidR="00F76C69" w:rsidRPr="007837CC">
        <w:t xml:space="preserve">following </w:t>
      </w:r>
      <w:r w:rsidRPr="007837CC">
        <w:t>sections expla</w:t>
      </w:r>
      <w:r w:rsidRPr="007837CC">
        <w:rPr>
          <w:rFonts w:eastAsia="Calibri" w:cs="Calibri"/>
        </w:rPr>
        <w:t xml:space="preserve">in the issues, present </w:t>
      </w:r>
      <w:proofErr w:type="gramStart"/>
      <w:r w:rsidRPr="007837CC">
        <w:rPr>
          <w:rFonts w:eastAsia="Calibri" w:cs="Calibri"/>
        </w:rPr>
        <w:t>options</w:t>
      </w:r>
      <w:proofErr w:type="gramEnd"/>
      <w:r w:rsidRPr="007837CC">
        <w:rPr>
          <w:rFonts w:eastAsia="Calibri" w:cs="Calibri"/>
        </w:rPr>
        <w:t xml:space="preserve"> and analysis, and include questions for you to consider. Your views will help us fill information gaps and measure support for the</w:t>
      </w:r>
      <w:r w:rsidR="004A6F9C" w:rsidRPr="007837CC">
        <w:rPr>
          <w:rFonts w:eastAsia="Calibri" w:cs="Calibri"/>
        </w:rPr>
        <w:t> </w:t>
      </w:r>
      <w:r w:rsidRPr="007837CC">
        <w:rPr>
          <w:rFonts w:eastAsia="Calibri" w:cs="Calibri"/>
        </w:rPr>
        <w:t>options.</w:t>
      </w:r>
    </w:p>
    <w:p w14:paraId="4FB9CE5E" w14:textId="77777777" w:rsidR="00232F64" w:rsidRPr="007837CC" w:rsidRDefault="00232F64" w:rsidP="00C24519">
      <w:pPr>
        <w:pStyle w:val="Heading2"/>
      </w:pPr>
      <w:bookmarkStart w:id="12" w:name="_Toc95397059"/>
      <w:bookmarkStart w:id="13" w:name="_Toc135300658"/>
      <w:r w:rsidRPr="007837CC">
        <w:t>Consultation process</w:t>
      </w:r>
      <w:bookmarkEnd w:id="12"/>
      <w:bookmarkEnd w:id="13"/>
    </w:p>
    <w:p w14:paraId="37B1D96F" w14:textId="196C1A0E" w:rsidR="00F136B7" w:rsidRDefault="00232F64" w:rsidP="00C24519">
      <w:pPr>
        <w:pStyle w:val="BodyText"/>
      </w:pPr>
      <w:r w:rsidRPr="007837CC">
        <w:t>This consultation will close at 5</w:t>
      </w:r>
      <w:r w:rsidR="005B4F3A" w:rsidRPr="007837CC">
        <w:t xml:space="preserve"> </w:t>
      </w:r>
      <w:r w:rsidRPr="007837CC">
        <w:t xml:space="preserve">pm on </w:t>
      </w:r>
      <w:r w:rsidR="00261BEA" w:rsidRPr="00664CEB">
        <w:t>16 June</w:t>
      </w:r>
      <w:r w:rsidR="008341D5" w:rsidRPr="00664CEB">
        <w:t xml:space="preserve"> 2023</w:t>
      </w:r>
      <w:r w:rsidRPr="007837CC">
        <w:t xml:space="preserve">. </w:t>
      </w:r>
    </w:p>
    <w:p w14:paraId="262EBAC0" w14:textId="3910B105" w:rsidR="00232F64" w:rsidRPr="007837CC" w:rsidRDefault="00232F64" w:rsidP="00C24519">
      <w:pPr>
        <w:pStyle w:val="BodyText"/>
      </w:pPr>
      <w:r w:rsidRPr="007837CC">
        <w:t>Once we have considered submissions, we will put final proposals to the Minister of Climate Change and Cabinet for approval. Following Cabinet approval, any new regulations or amendments to existing regulations will be</w:t>
      </w:r>
      <w:r w:rsidR="00FF427B">
        <w:t xml:space="preserve"> </w:t>
      </w:r>
      <w:r w:rsidRPr="007837CC">
        <w:t xml:space="preserve">published in the </w:t>
      </w:r>
      <w:r w:rsidRPr="007837CC">
        <w:rPr>
          <w:i/>
          <w:iCs/>
        </w:rPr>
        <w:t>New Zealand Gazette</w:t>
      </w:r>
      <w:r w:rsidRPr="007837CC">
        <w:t xml:space="preserve"> by </w:t>
      </w:r>
      <w:r w:rsidR="00E4340F" w:rsidRPr="007837CC">
        <w:t>30</w:t>
      </w:r>
      <w:r w:rsidR="00FF427B">
        <w:t> </w:t>
      </w:r>
      <w:r w:rsidR="00E4340F" w:rsidRPr="007837CC">
        <w:t>September 2023</w:t>
      </w:r>
      <w:r w:rsidRPr="007837CC">
        <w:t xml:space="preserve"> and come into force from 1</w:t>
      </w:r>
      <w:r w:rsidR="00FF427B">
        <w:t xml:space="preserve"> </w:t>
      </w:r>
      <w:r w:rsidRPr="007837CC">
        <w:t xml:space="preserve">January </w:t>
      </w:r>
      <w:r w:rsidR="00E4340F" w:rsidRPr="007837CC">
        <w:t>2024</w:t>
      </w:r>
      <w:r w:rsidRPr="007837CC">
        <w:t>.</w:t>
      </w:r>
    </w:p>
    <w:p w14:paraId="7F728067" w14:textId="77777777" w:rsidR="005D3B41" w:rsidRPr="007837CC" w:rsidRDefault="005D3B41" w:rsidP="00C24519">
      <w:pPr>
        <w:pStyle w:val="Heading2"/>
      </w:pPr>
      <w:bookmarkStart w:id="14" w:name="_Toc95397060"/>
      <w:bookmarkStart w:id="15" w:name="_Toc135300659"/>
      <w:r w:rsidRPr="007837CC">
        <w:t>Submitting your views</w:t>
      </w:r>
      <w:bookmarkEnd w:id="14"/>
      <w:bookmarkEnd w:id="15"/>
    </w:p>
    <w:p w14:paraId="3127851B" w14:textId="77777777" w:rsidR="00C24519" w:rsidRPr="007837CC" w:rsidRDefault="005D3B41" w:rsidP="00C24519">
      <w:pPr>
        <w:pStyle w:val="BodyText"/>
      </w:pPr>
      <w:r w:rsidRPr="007837CC">
        <w:t xml:space="preserve">For details on sending feedback to us, see the </w:t>
      </w:r>
      <w:hyperlink w:anchor="_How_to_have" w:history="1">
        <w:r w:rsidRPr="007837CC">
          <w:rPr>
            <w:rStyle w:val="Hyperlink"/>
          </w:rPr>
          <w:t>How to have your say</w:t>
        </w:r>
      </w:hyperlink>
      <w:r w:rsidRPr="007837CC">
        <w:t xml:space="preserve"> section.</w:t>
      </w:r>
    </w:p>
    <w:p w14:paraId="72964EF0" w14:textId="77777777" w:rsidR="00C24519" w:rsidRPr="007837CC" w:rsidRDefault="00C24519" w:rsidP="00C24519">
      <w:pPr>
        <w:pStyle w:val="BodyText"/>
      </w:pPr>
      <w:bookmarkStart w:id="16" w:name="_Toc95397061"/>
      <w:r w:rsidRPr="007837CC">
        <w:br w:type="page"/>
      </w:r>
    </w:p>
    <w:p w14:paraId="614AB42A" w14:textId="542A373F" w:rsidR="00C80226" w:rsidRPr="007837CC" w:rsidRDefault="007464E6" w:rsidP="00C24519">
      <w:pPr>
        <w:pStyle w:val="Heading1"/>
      </w:pPr>
      <w:bookmarkStart w:id="17" w:name="_Toc135300660"/>
      <w:r w:rsidRPr="007837CC">
        <w:lastRenderedPageBreak/>
        <w:t>Summary of proposals</w:t>
      </w:r>
      <w:bookmarkEnd w:id="16"/>
      <w:bookmarkEnd w:id="17"/>
    </w:p>
    <w:p w14:paraId="45C284A1" w14:textId="2C5F6414" w:rsidR="00674DDB" w:rsidRPr="007837CC" w:rsidRDefault="00133035" w:rsidP="00C24519">
      <w:pPr>
        <w:pStyle w:val="BodyText"/>
      </w:pPr>
      <w:r w:rsidRPr="007837CC">
        <w:t>Regulations set l</w:t>
      </w:r>
      <w:r w:rsidR="00674DDB" w:rsidRPr="007837CC">
        <w:t>imit and price control settings for units</w:t>
      </w:r>
      <w:r w:rsidR="0077144D" w:rsidRPr="007837CC">
        <w:t xml:space="preserve"> </w:t>
      </w:r>
      <w:r w:rsidR="00674DDB" w:rsidRPr="007837CC">
        <w:t>five years in advance. These</w:t>
      </w:r>
      <w:r w:rsidRPr="007837CC">
        <w:t xml:space="preserve"> settings</w:t>
      </w:r>
      <w:r w:rsidR="00674DDB" w:rsidRPr="007837CC">
        <w:t xml:space="preserve"> need to be reconsidered, and added to, </w:t>
      </w:r>
      <w:r w:rsidRPr="007837CC">
        <w:t>every year</w:t>
      </w:r>
      <w:r w:rsidR="00674DDB" w:rsidRPr="007837CC">
        <w:t xml:space="preserve">. This is the </w:t>
      </w:r>
      <w:r w:rsidR="00977C52" w:rsidRPr="007837CC">
        <w:t>third</w:t>
      </w:r>
      <w:r w:rsidR="00674DDB" w:rsidRPr="007837CC">
        <w:t xml:space="preserve"> year that these settings will be updated since they were prescribed in regulations in 2020. </w:t>
      </w:r>
      <w:r w:rsidR="00E6508A" w:rsidRPr="007837CC">
        <w:t xml:space="preserve">Table </w:t>
      </w:r>
      <w:r w:rsidR="0009607A" w:rsidRPr="007837CC">
        <w:t xml:space="preserve">3 </w:t>
      </w:r>
      <w:r w:rsidR="00E6508A" w:rsidRPr="007837CC">
        <w:t>summarises the</w:t>
      </w:r>
      <w:r w:rsidR="007806B1" w:rsidRPr="007837CC">
        <w:t xml:space="preserve"> changes </w:t>
      </w:r>
      <w:r w:rsidR="008762D3" w:rsidRPr="007837CC">
        <w:t>being consulted on this</w:t>
      </w:r>
      <w:r w:rsidR="007806B1" w:rsidRPr="007837CC">
        <w:t xml:space="preserve"> year.</w:t>
      </w:r>
    </w:p>
    <w:p w14:paraId="18BB4BE8" w14:textId="4C59AEE6" w:rsidR="00C80226" w:rsidRPr="007837CC" w:rsidRDefault="00C80226" w:rsidP="00573718">
      <w:pPr>
        <w:pStyle w:val="Tableheading"/>
      </w:pPr>
      <w:bookmarkStart w:id="18" w:name="_Toc133927337"/>
      <w:r w:rsidRPr="007837CC">
        <w:t xml:space="preserve">Table </w:t>
      </w:r>
      <w:r w:rsidR="00793525" w:rsidRPr="007837CC">
        <w:t>3</w:t>
      </w:r>
      <w:r w:rsidRPr="007837CC">
        <w:t xml:space="preserve">: </w:t>
      </w:r>
      <w:r w:rsidR="004A6F9C" w:rsidRPr="007837CC">
        <w:tab/>
      </w:r>
      <w:r w:rsidR="00DC61AF" w:rsidRPr="007837CC">
        <w:t>Updates</w:t>
      </w:r>
      <w:r w:rsidRPr="007837CC">
        <w:t xml:space="preserve"> to the Climate Change (Auctions, Limits, and Price Controls for Units) Regulations </w:t>
      </w:r>
      <w:r w:rsidR="00DC61AF" w:rsidRPr="007837CC">
        <w:t>2020</w:t>
      </w:r>
      <w:bookmarkEnd w:id="18"/>
    </w:p>
    <w:tbl>
      <w:tblPr>
        <w:tblStyle w:val="MinistryfortheEnvironment"/>
        <w:tblW w:w="0" w:type="auto"/>
        <w:tblBorders>
          <w:top w:val="single" w:sz="4" w:space="0" w:color="1B556B" w:themeColor="text2"/>
        </w:tblBorders>
        <w:tblCellMar>
          <w:bottom w:w="0" w:type="dxa"/>
        </w:tblCellMar>
        <w:tblLook w:val="04A0" w:firstRow="1" w:lastRow="0" w:firstColumn="1" w:lastColumn="0" w:noHBand="0" w:noVBand="1"/>
      </w:tblPr>
      <w:tblGrid>
        <w:gridCol w:w="521"/>
        <w:gridCol w:w="7939"/>
      </w:tblGrid>
      <w:tr w:rsidR="00C80226" w:rsidRPr="007837CC" w14:paraId="2DCF7E87" w14:textId="77777777" w:rsidTr="00C24519">
        <w:trPr>
          <w:cnfStyle w:val="100000000000" w:firstRow="1" w:lastRow="0" w:firstColumn="0" w:lastColumn="0" w:oddVBand="0" w:evenVBand="0" w:oddHBand="0" w:evenHBand="0" w:firstRowFirstColumn="0" w:firstRowLastColumn="0" w:lastRowFirstColumn="0" w:lastRowLastColumn="0"/>
        </w:trPr>
        <w:tc>
          <w:tcPr>
            <w:tcW w:w="8460" w:type="dxa"/>
            <w:gridSpan w:val="2"/>
          </w:tcPr>
          <w:p w14:paraId="645BB8DA" w14:textId="2B4E301A" w:rsidR="00C80226" w:rsidRPr="007837CC" w:rsidRDefault="00C80226" w:rsidP="00C24519">
            <w:pPr>
              <w:pStyle w:val="TableTextbold"/>
              <w:spacing w:before="50" w:after="50"/>
              <w:rPr>
                <w:b/>
                <w:bCs/>
              </w:rPr>
            </w:pPr>
            <w:r w:rsidRPr="007837CC">
              <w:rPr>
                <w:b/>
                <w:bCs/>
              </w:rPr>
              <w:t>Proposal</w:t>
            </w:r>
            <w:r w:rsidR="00E936BD" w:rsidRPr="007837CC">
              <w:rPr>
                <w:b/>
                <w:bCs/>
              </w:rPr>
              <w:t>s</w:t>
            </w:r>
          </w:p>
        </w:tc>
      </w:tr>
      <w:tr w:rsidR="00B71C84" w:rsidRPr="007837CC" w14:paraId="7C8DD43E" w14:textId="77777777" w:rsidTr="00C24519">
        <w:tc>
          <w:tcPr>
            <w:tcW w:w="521" w:type="dxa"/>
          </w:tcPr>
          <w:p w14:paraId="6984D1EC" w14:textId="7BD1B947" w:rsidR="00B71C84" w:rsidRPr="007837CC" w:rsidRDefault="00B71C84" w:rsidP="00C24519">
            <w:pPr>
              <w:pStyle w:val="TableText"/>
              <w:spacing w:before="50" w:after="50"/>
            </w:pPr>
            <w:r w:rsidRPr="007837CC">
              <w:t>1</w:t>
            </w:r>
          </w:p>
        </w:tc>
        <w:tc>
          <w:tcPr>
            <w:tcW w:w="7939" w:type="dxa"/>
          </w:tcPr>
          <w:p w14:paraId="277632F6" w14:textId="1F555F75" w:rsidR="00B71C84" w:rsidRPr="007837CC" w:rsidRDefault="00B71C84" w:rsidP="00C24519">
            <w:pPr>
              <w:pStyle w:val="TableText"/>
              <w:spacing w:before="50" w:after="50"/>
            </w:pPr>
            <w:r w:rsidRPr="007837CC">
              <w:t>Update unit settings for 2024 and 2025</w:t>
            </w:r>
          </w:p>
        </w:tc>
      </w:tr>
      <w:tr w:rsidR="00C80226" w:rsidRPr="007837CC" w14:paraId="18941F6A" w14:textId="77777777" w:rsidTr="00C24519">
        <w:tc>
          <w:tcPr>
            <w:tcW w:w="521" w:type="dxa"/>
          </w:tcPr>
          <w:p w14:paraId="0C35DA23" w14:textId="279780A7" w:rsidR="00C80226" w:rsidRPr="007837CC" w:rsidRDefault="00B71C84" w:rsidP="00C24519">
            <w:pPr>
              <w:pStyle w:val="TableText"/>
              <w:spacing w:before="50" w:after="50"/>
            </w:pPr>
            <w:r w:rsidRPr="007837CC">
              <w:t>2</w:t>
            </w:r>
          </w:p>
        </w:tc>
        <w:tc>
          <w:tcPr>
            <w:tcW w:w="7939" w:type="dxa"/>
          </w:tcPr>
          <w:p w14:paraId="08FE2312" w14:textId="576A3134" w:rsidR="00C80226" w:rsidRPr="007837CC" w:rsidRDefault="00C80226" w:rsidP="00C24519">
            <w:pPr>
              <w:pStyle w:val="TableText"/>
              <w:spacing w:before="50" w:after="50"/>
            </w:pPr>
            <w:r w:rsidRPr="007837CC">
              <w:t>Updat</w:t>
            </w:r>
            <w:r w:rsidR="00133035" w:rsidRPr="007837CC">
              <w:t>e</w:t>
            </w:r>
            <w:r w:rsidRPr="007837CC">
              <w:t xml:space="preserve"> limit</w:t>
            </w:r>
            <w:r w:rsidR="00CD4736" w:rsidRPr="007837CC">
              <w:t>s</w:t>
            </w:r>
            <w:r w:rsidRPr="007837CC">
              <w:t xml:space="preserve"> for units</w:t>
            </w:r>
          </w:p>
        </w:tc>
      </w:tr>
      <w:tr w:rsidR="00C80226" w:rsidRPr="007837CC" w14:paraId="0B92F32C" w14:textId="77777777" w:rsidTr="00C24519">
        <w:tc>
          <w:tcPr>
            <w:tcW w:w="521" w:type="dxa"/>
          </w:tcPr>
          <w:p w14:paraId="0585EFFE" w14:textId="7A2F4B00" w:rsidR="00C80226" w:rsidRPr="007837CC" w:rsidRDefault="00B71C84" w:rsidP="00C24519">
            <w:pPr>
              <w:pStyle w:val="TableText"/>
              <w:spacing w:before="50" w:after="50"/>
            </w:pPr>
            <w:r w:rsidRPr="007837CC">
              <w:t>3</w:t>
            </w:r>
          </w:p>
        </w:tc>
        <w:tc>
          <w:tcPr>
            <w:tcW w:w="7939" w:type="dxa"/>
          </w:tcPr>
          <w:p w14:paraId="7E548583" w14:textId="64619031" w:rsidR="00C80226" w:rsidRPr="007837CC" w:rsidRDefault="00C80226" w:rsidP="00C24519">
            <w:pPr>
              <w:pStyle w:val="TableText"/>
              <w:spacing w:before="50" w:after="50"/>
            </w:pPr>
            <w:r w:rsidRPr="007837CC">
              <w:t>Updat</w:t>
            </w:r>
            <w:r w:rsidR="00133035" w:rsidRPr="007837CC">
              <w:t>e</w:t>
            </w:r>
            <w:r w:rsidRPr="007837CC">
              <w:t xml:space="preserve"> price control settings for units</w:t>
            </w:r>
          </w:p>
        </w:tc>
      </w:tr>
    </w:tbl>
    <w:p w14:paraId="2A64F7E7" w14:textId="77777777" w:rsidR="000B6DBB" w:rsidRPr="00B3220C" w:rsidRDefault="000B6DBB" w:rsidP="00B3220C">
      <w:pPr>
        <w:pStyle w:val="Heading2"/>
      </w:pPr>
      <w:bookmarkStart w:id="19" w:name="_Toc135300661"/>
      <w:bookmarkStart w:id="20" w:name="_Toc69287555"/>
      <w:r w:rsidRPr="00B3220C">
        <w:t>Legislative requirements for updates</w:t>
      </w:r>
      <w:bookmarkEnd w:id="19"/>
    </w:p>
    <w:p w14:paraId="7E872378" w14:textId="5135A1F8" w:rsidR="000B6DBB" w:rsidRPr="007837CC" w:rsidRDefault="000B6DBB" w:rsidP="00C24519">
      <w:pPr>
        <w:pStyle w:val="BodyText"/>
      </w:pPr>
      <w:r w:rsidRPr="007837CC">
        <w:t xml:space="preserve">Section 30GC of the Act sets out specific </w:t>
      </w:r>
      <w:r w:rsidR="00A91189" w:rsidRPr="007837CC">
        <w:t>matters</w:t>
      </w:r>
      <w:r w:rsidRPr="007837CC">
        <w:t xml:space="preserve"> that</w:t>
      </w:r>
      <w:r w:rsidR="00A91189" w:rsidRPr="007837CC">
        <w:t xml:space="preserve"> </w:t>
      </w:r>
      <w:r w:rsidR="00133035" w:rsidRPr="007837CC">
        <w:t xml:space="preserve">the Minister </w:t>
      </w:r>
      <w:r w:rsidR="00A91189" w:rsidRPr="007837CC">
        <w:t>must consider as part of</w:t>
      </w:r>
      <w:r w:rsidRPr="007837CC">
        <w:t xml:space="preserve"> </w:t>
      </w:r>
      <w:r w:rsidR="0000314C" w:rsidRPr="007837CC">
        <w:t xml:space="preserve">the </w:t>
      </w:r>
      <w:r w:rsidR="000A24B7" w:rsidRPr="007837CC">
        <w:t xml:space="preserve">process of </w:t>
      </w:r>
      <w:r w:rsidRPr="007837CC">
        <w:t>updat</w:t>
      </w:r>
      <w:r w:rsidR="000A24B7" w:rsidRPr="007837CC">
        <w:t>ing</w:t>
      </w:r>
      <w:r w:rsidR="00A91189" w:rsidRPr="007837CC">
        <w:t xml:space="preserve"> NZ ETS unit settings</w:t>
      </w:r>
      <w:r w:rsidRPr="007837CC">
        <w:t xml:space="preserve">. These </w:t>
      </w:r>
      <w:r w:rsidR="000A24B7" w:rsidRPr="007837CC">
        <w:t xml:space="preserve">matters </w:t>
      </w:r>
      <w:r w:rsidRPr="007837CC">
        <w:t>include emissions budgets, projected emissions trends</w:t>
      </w:r>
      <w:r w:rsidR="00E936BD" w:rsidRPr="007837CC">
        <w:t>,</w:t>
      </w:r>
      <w:r w:rsidRPr="007837CC">
        <w:t xml:space="preserve"> and the Commission’s recommendations. </w:t>
      </w:r>
      <w:r w:rsidR="00133035" w:rsidRPr="007837CC">
        <w:t>Under t</w:t>
      </w:r>
      <w:r w:rsidR="00A91189" w:rsidRPr="007837CC">
        <w:t>he Act</w:t>
      </w:r>
      <w:r w:rsidR="00133035" w:rsidRPr="007837CC">
        <w:t>,</w:t>
      </w:r>
      <w:r w:rsidR="00A91189" w:rsidRPr="007837CC">
        <w:t xml:space="preserve"> updates to unit settings</w:t>
      </w:r>
      <w:r w:rsidRPr="007837CC">
        <w:t xml:space="preserve"> </w:t>
      </w:r>
      <w:r w:rsidR="00133035" w:rsidRPr="007837CC">
        <w:t xml:space="preserve">must </w:t>
      </w:r>
      <w:r w:rsidRPr="007837CC">
        <w:t xml:space="preserve">occur on a five-year rolling basis (figure 1). </w:t>
      </w:r>
      <w:r w:rsidR="00EC1230" w:rsidRPr="007837CC">
        <w:t>Although settings in years 1 and 2 are</w:t>
      </w:r>
      <w:r w:rsidR="00A30EE3" w:rsidRPr="007837CC">
        <w:t> </w:t>
      </w:r>
      <w:r w:rsidR="00EC1230" w:rsidRPr="007837CC">
        <w:t>fixed, it is possible to change them i</w:t>
      </w:r>
      <w:r w:rsidR="00E431A5" w:rsidRPr="007837CC">
        <w:t>f</w:t>
      </w:r>
      <w:r w:rsidR="00EC1230" w:rsidRPr="007837CC">
        <w:t xml:space="preserve"> </w:t>
      </w:r>
      <w:r w:rsidRPr="007837CC">
        <w:t>special circumstance</w:t>
      </w:r>
      <w:r w:rsidR="00EC1230" w:rsidRPr="007837CC">
        <w:t>s</w:t>
      </w:r>
      <w:r w:rsidR="00E431A5" w:rsidRPr="007837CC">
        <w:t xml:space="preserve"> </w:t>
      </w:r>
      <w:r w:rsidR="00F64153" w:rsidRPr="007837CC">
        <w:t>enable or</w:t>
      </w:r>
      <w:r w:rsidR="00E431A5" w:rsidRPr="007837CC">
        <w:t xml:space="preserve"> justify the change</w:t>
      </w:r>
      <w:r w:rsidR="00A30EE3" w:rsidRPr="007837CC">
        <w:t>.</w:t>
      </w:r>
      <w:r w:rsidR="008E3FBF" w:rsidRPr="007837CC">
        <w:rPr>
          <w:rStyle w:val="FootnoteReference"/>
        </w:rPr>
        <w:footnoteReference w:id="6"/>
      </w:r>
      <w:r w:rsidR="00AC6DD7" w:rsidRPr="007837CC">
        <w:t xml:space="preserve"> </w:t>
      </w:r>
    </w:p>
    <w:p w14:paraId="60C3BA19" w14:textId="685F0B35" w:rsidR="000B6DBB" w:rsidRPr="007837CC" w:rsidRDefault="000B6DBB" w:rsidP="004A6F9C">
      <w:pPr>
        <w:pStyle w:val="Figureheading"/>
      </w:pPr>
      <w:bookmarkStart w:id="21" w:name="_Toc132366191"/>
      <w:r w:rsidRPr="007837CC">
        <w:t xml:space="preserve">Figure 1: </w:t>
      </w:r>
      <w:r w:rsidRPr="007837CC">
        <w:tab/>
        <w:t>The five</w:t>
      </w:r>
      <w:r w:rsidR="003A4D5E" w:rsidRPr="007837CC">
        <w:t>-</w:t>
      </w:r>
      <w:r w:rsidRPr="007837CC">
        <w:t>year rolling process for limit</w:t>
      </w:r>
      <w:r w:rsidR="003E1524" w:rsidRPr="007837CC">
        <w:t>s</w:t>
      </w:r>
      <w:r w:rsidRPr="007837CC">
        <w:t xml:space="preserve"> and price control settings for units</w:t>
      </w:r>
      <w:bookmarkEnd w:id="21"/>
    </w:p>
    <w:p w14:paraId="133386CD" w14:textId="331C606B" w:rsidR="000B6DBB" w:rsidRPr="007837CC" w:rsidRDefault="000B6DBB" w:rsidP="00377E3F">
      <w:pPr>
        <w:pStyle w:val="BodyText"/>
      </w:pPr>
      <w:r w:rsidRPr="007837CC">
        <w:rPr>
          <w:noProof/>
        </w:rPr>
        <w:drawing>
          <wp:inline distT="0" distB="0" distL="0" distR="0" wp14:anchorId="62ABA7F5" wp14:editId="41980ACC">
            <wp:extent cx="5305425" cy="3008917"/>
            <wp:effectExtent l="0" t="0" r="0" b="127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22"/>
                    <a:stretch>
                      <a:fillRect/>
                    </a:stretch>
                  </pic:blipFill>
                  <pic:spPr>
                    <a:xfrm>
                      <a:off x="0" y="0"/>
                      <a:ext cx="5322341" cy="3018511"/>
                    </a:xfrm>
                    <a:prstGeom prst="rect">
                      <a:avLst/>
                    </a:prstGeom>
                  </pic:spPr>
                </pic:pic>
              </a:graphicData>
            </a:graphic>
          </wp:inline>
        </w:drawing>
      </w:r>
    </w:p>
    <w:p w14:paraId="7039A74C" w14:textId="585D8DE7" w:rsidR="009C0A54" w:rsidRPr="007837CC" w:rsidRDefault="009C0A54" w:rsidP="004A6F9C">
      <w:pPr>
        <w:pStyle w:val="BodyText"/>
        <w:spacing w:before="240"/>
      </w:pPr>
      <w:r w:rsidRPr="007837CC">
        <w:t xml:space="preserve">Section 5ZOA of the Act requires the Commission to give advice on NZ ETS unit settings. </w:t>
      </w:r>
      <w:r w:rsidR="00E8086C" w:rsidRPr="007837CC">
        <w:t>Th</w:t>
      </w:r>
      <w:r w:rsidR="00132704" w:rsidRPr="007837CC">
        <w:t>e</w:t>
      </w:r>
      <w:r w:rsidR="00C24519" w:rsidRPr="007837CC">
        <w:t> </w:t>
      </w:r>
      <w:r w:rsidR="00132704" w:rsidRPr="007837CC">
        <w:t>Minister must consider this</w:t>
      </w:r>
      <w:r w:rsidR="00E8086C" w:rsidRPr="007837CC">
        <w:t xml:space="preserve"> advice when recommending updates to unit settings. If </w:t>
      </w:r>
      <w:r w:rsidR="00132704" w:rsidRPr="007837CC">
        <w:t xml:space="preserve">the Minister </w:t>
      </w:r>
      <w:proofErr w:type="gramStart"/>
      <w:r w:rsidR="00132704" w:rsidRPr="007837CC">
        <w:t xml:space="preserve">makes </w:t>
      </w:r>
      <w:r w:rsidR="00E8086C" w:rsidRPr="007837CC">
        <w:t xml:space="preserve">a recommendation </w:t>
      </w:r>
      <w:r w:rsidR="00EA6EBC" w:rsidRPr="007837CC">
        <w:t>that</w:t>
      </w:r>
      <w:proofErr w:type="gramEnd"/>
      <w:r w:rsidR="00EA6EBC" w:rsidRPr="007837CC">
        <w:t xml:space="preserve"> </w:t>
      </w:r>
      <w:r w:rsidR="00E8086C" w:rsidRPr="007837CC">
        <w:t>differs from the Commission</w:t>
      </w:r>
      <w:r w:rsidR="00132704" w:rsidRPr="007837CC">
        <w:t>’s advice</w:t>
      </w:r>
      <w:r w:rsidR="00E8086C" w:rsidRPr="007837CC">
        <w:t>, a report of the</w:t>
      </w:r>
      <w:r w:rsidR="00C24519" w:rsidRPr="007837CC">
        <w:t> </w:t>
      </w:r>
      <w:r w:rsidR="00E8086C" w:rsidRPr="007837CC">
        <w:t xml:space="preserve">reasons for the difference must be prepared and </w:t>
      </w:r>
      <w:r w:rsidR="00F30934" w:rsidRPr="007837CC">
        <w:t xml:space="preserve">made public. </w:t>
      </w:r>
    </w:p>
    <w:p w14:paraId="5D4E9923" w14:textId="317D08DD" w:rsidR="00E91F58" w:rsidRPr="007837CC" w:rsidRDefault="00FB11E5" w:rsidP="00F136B7">
      <w:pPr>
        <w:pStyle w:val="Heading2"/>
      </w:pPr>
      <w:bookmarkStart w:id="22" w:name="_Toc135300662"/>
      <w:r w:rsidRPr="007837CC">
        <w:lastRenderedPageBreak/>
        <w:t xml:space="preserve">The Commission provides advice </w:t>
      </w:r>
      <w:proofErr w:type="gramStart"/>
      <w:r w:rsidRPr="007837CC">
        <w:t>annually</w:t>
      </w:r>
      <w:bookmarkEnd w:id="22"/>
      <w:proofErr w:type="gramEnd"/>
    </w:p>
    <w:p w14:paraId="050E7970" w14:textId="77777777" w:rsidR="000E4A49" w:rsidRPr="007837CC" w:rsidRDefault="000E4A49" w:rsidP="00C24519">
      <w:pPr>
        <w:pStyle w:val="BodyText"/>
      </w:pPr>
      <w:r w:rsidRPr="007837CC">
        <w:t>The Government appointed the Commission to provide independent advice on climate change. Under section 5ZOA of the Act, the Commission must provide recommendations on NZ ETS unit settings each year after the Government has set emissions budgets.</w:t>
      </w:r>
    </w:p>
    <w:p w14:paraId="40B8DAD4" w14:textId="25BBDD8E" w:rsidR="000E4A49" w:rsidRPr="007837CC" w:rsidRDefault="00DF5635" w:rsidP="00C24519">
      <w:pPr>
        <w:pStyle w:val="BodyText"/>
      </w:pPr>
      <w:r w:rsidRPr="007837CC">
        <w:t>The first iteration of this required advice was provided in July 2022</w:t>
      </w:r>
      <w:r w:rsidR="00C24519" w:rsidRPr="007837CC">
        <w:t>.</w:t>
      </w:r>
      <w:r w:rsidRPr="007837CC">
        <w:rPr>
          <w:rStyle w:val="FootnoteReference"/>
        </w:rPr>
        <w:footnoteReference w:id="7"/>
      </w:r>
      <w:r w:rsidR="000C7ECA" w:rsidRPr="007837CC">
        <w:t xml:space="preserve"> </w:t>
      </w:r>
      <w:r w:rsidR="0088373E" w:rsidRPr="007837CC">
        <w:t xml:space="preserve">Not </w:t>
      </w:r>
      <w:proofErr w:type="gramStart"/>
      <w:r w:rsidR="0088373E" w:rsidRPr="007837CC">
        <w:t>all of</w:t>
      </w:r>
      <w:proofErr w:type="gramEnd"/>
      <w:r w:rsidR="0088373E" w:rsidRPr="007837CC">
        <w:t xml:space="preserve"> the Commission’s 2022 recommendations were implemented, and a report on reasons for differences was made available in December 2022</w:t>
      </w:r>
      <w:r w:rsidR="00C24519" w:rsidRPr="007837CC">
        <w:t>.</w:t>
      </w:r>
      <w:r w:rsidR="0088373E" w:rsidRPr="007837CC">
        <w:rPr>
          <w:rStyle w:val="FootnoteReference"/>
        </w:rPr>
        <w:footnoteReference w:id="8"/>
      </w:r>
    </w:p>
    <w:p w14:paraId="6958ADB1" w14:textId="39021816" w:rsidR="009C0A54" w:rsidRPr="007837CC" w:rsidRDefault="009C0A54" w:rsidP="00F136B7">
      <w:pPr>
        <w:pStyle w:val="Heading2"/>
      </w:pPr>
      <w:bookmarkStart w:id="23" w:name="_Toc135300663"/>
      <w:r w:rsidRPr="007837CC">
        <w:t xml:space="preserve">The Commission has provided </w:t>
      </w:r>
      <w:r w:rsidR="003E13DC" w:rsidRPr="007837CC">
        <w:t xml:space="preserve">new </w:t>
      </w:r>
      <w:r w:rsidRPr="007837CC">
        <w:t>advice on limit</w:t>
      </w:r>
      <w:r w:rsidR="007D05BC" w:rsidRPr="007837CC">
        <w:t>s</w:t>
      </w:r>
      <w:r w:rsidRPr="007837CC">
        <w:t xml:space="preserve"> and</w:t>
      </w:r>
      <w:r w:rsidR="00C24519" w:rsidRPr="007837CC">
        <w:t> </w:t>
      </w:r>
      <w:r w:rsidRPr="007837CC">
        <w:t>price</w:t>
      </w:r>
      <w:r w:rsidR="00F5446E" w:rsidRPr="007837CC">
        <w:t> </w:t>
      </w:r>
      <w:r w:rsidRPr="007837CC">
        <w:t xml:space="preserve">control settings for </w:t>
      </w:r>
      <w:proofErr w:type="gramStart"/>
      <w:r w:rsidRPr="007837CC">
        <w:t>units</w:t>
      </w:r>
      <w:bookmarkEnd w:id="23"/>
      <w:proofErr w:type="gramEnd"/>
    </w:p>
    <w:p w14:paraId="5AD7EB57" w14:textId="31873E6B" w:rsidR="0088373E" w:rsidRPr="007837CC" w:rsidRDefault="009C0A54" w:rsidP="006B5A4A">
      <w:pPr>
        <w:pStyle w:val="BodyText"/>
      </w:pPr>
      <w:r w:rsidRPr="007837CC">
        <w:t xml:space="preserve">The Commission provided its </w:t>
      </w:r>
      <w:r w:rsidR="00824BFC" w:rsidRPr="007837CC">
        <w:t xml:space="preserve">2023 </w:t>
      </w:r>
      <w:r w:rsidRPr="007837CC">
        <w:t xml:space="preserve">advice on NZ ETS limit and price control settings to </w:t>
      </w:r>
      <w:r w:rsidR="00D246B5" w:rsidRPr="007837CC">
        <w:t>the</w:t>
      </w:r>
      <w:r w:rsidRPr="007837CC">
        <w:t xml:space="preserve"> Minister of Climate Change on </w:t>
      </w:r>
      <w:r w:rsidR="0073060A" w:rsidRPr="007837CC">
        <w:t>31 March 2023</w:t>
      </w:r>
      <w:r w:rsidRPr="007837CC">
        <w:t xml:space="preserve">. </w:t>
      </w:r>
      <w:r w:rsidR="007E708F" w:rsidRPr="007837CC">
        <w:t>This advice is available on the Commiss</w:t>
      </w:r>
      <w:r w:rsidR="00CF2E7B" w:rsidRPr="007837CC">
        <w:t>i</w:t>
      </w:r>
      <w:r w:rsidR="007E708F" w:rsidRPr="007837CC">
        <w:t>on</w:t>
      </w:r>
      <w:r w:rsidR="00ED450F" w:rsidRPr="007837CC">
        <w:t>’</w:t>
      </w:r>
      <w:r w:rsidR="007E708F" w:rsidRPr="007837CC">
        <w:t>s website</w:t>
      </w:r>
      <w:r w:rsidR="00EE1119" w:rsidRPr="007837CC">
        <w:t xml:space="preserve">: </w:t>
      </w:r>
      <w:hyperlink r:id="rId23" w:history="1">
        <w:r w:rsidR="0030108E" w:rsidRPr="007837CC">
          <w:rPr>
            <w:rStyle w:val="Hyperlink"/>
          </w:rPr>
          <w:t>Our advice on the NZ ETS » Climate Change Commission</w:t>
        </w:r>
        <w:r w:rsidR="00113E20" w:rsidRPr="007837CC">
          <w:rPr>
            <w:rStyle w:val="Hyperlink"/>
            <w:color w:val="auto"/>
          </w:rPr>
          <w:t>.</w:t>
        </w:r>
      </w:hyperlink>
    </w:p>
    <w:p w14:paraId="58660632" w14:textId="77777777" w:rsidR="00126585" w:rsidRDefault="0088373E" w:rsidP="00F26CC7">
      <w:pPr>
        <w:pStyle w:val="BodyText"/>
      </w:pPr>
      <w:r w:rsidRPr="007837CC">
        <w:t xml:space="preserve">The Commission is </w:t>
      </w:r>
      <w:r w:rsidR="0053383A" w:rsidRPr="007837CC">
        <w:t xml:space="preserve">currently </w:t>
      </w:r>
      <w:r w:rsidR="00E72DDB" w:rsidRPr="007837CC">
        <w:t xml:space="preserve">consulting on its draft advice for the second emissions reduction plan. </w:t>
      </w:r>
      <w:r w:rsidR="0053383A" w:rsidRPr="007837CC">
        <w:t>This</w:t>
      </w:r>
      <w:r w:rsidR="005573E0" w:rsidRPr="007837CC">
        <w:t xml:space="preserve"> advice</w:t>
      </w:r>
      <w:r w:rsidR="0053383A" w:rsidRPr="007837CC">
        <w:t xml:space="preserve"> includes recommendations to adjust the NZ ETS.</w:t>
      </w:r>
    </w:p>
    <w:p w14:paraId="653CD232" w14:textId="2342EEDA" w:rsidR="009C0A54" w:rsidRPr="00126585" w:rsidRDefault="009E2384" w:rsidP="00126585">
      <w:pPr>
        <w:pStyle w:val="BodyText"/>
        <w:spacing w:after="240"/>
        <w:rPr>
          <w:rStyle w:val="Heading1Char"/>
          <w:rFonts w:ascii="Calibri" w:eastAsiaTheme="minorEastAsia" w:hAnsi="Calibri" w:cstheme="minorBidi"/>
          <w:b w:val="0"/>
          <w:bCs w:val="0"/>
          <w:color w:val="auto"/>
          <w:sz w:val="22"/>
          <w:szCs w:val="22"/>
        </w:rPr>
      </w:pPr>
      <w:bookmarkStart w:id="24" w:name="_Toc135299765"/>
      <w:bookmarkStart w:id="25" w:name="_Toc135300664"/>
      <w:r w:rsidRPr="00126585">
        <w:rPr>
          <w:rStyle w:val="Heading1Char"/>
          <w:rFonts w:ascii="Calibri" w:eastAsiaTheme="minorEastAsia" w:hAnsi="Calibri" w:cstheme="minorBidi"/>
          <w:b w:val="0"/>
          <w:bCs w:val="0"/>
          <w:color w:val="auto"/>
          <w:sz w:val="22"/>
          <w:szCs w:val="22"/>
        </w:rPr>
        <w:t>We are interested in your views on the impacts that decisions last year on unit settings had on regulatory certainty and market behaviour.</w:t>
      </w:r>
      <w:bookmarkEnd w:id="24"/>
      <w:bookmarkEnd w:id="25"/>
      <w:r w:rsidRPr="00126585">
        <w:rPr>
          <w:rStyle w:val="Heading1Char"/>
          <w:rFonts w:ascii="Calibri" w:eastAsiaTheme="minorEastAsia" w:hAnsi="Calibri" w:cstheme="minorBidi"/>
          <w:b w:val="0"/>
          <w:bCs w:val="0"/>
          <w:color w:val="auto"/>
          <w:sz w:val="22"/>
          <w:szCs w:val="22"/>
        </w:rPr>
        <w:t xml:space="preserve">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334220" w:rsidRPr="007837CC" w14:paraId="01A84D17" w14:textId="77777777" w:rsidTr="00AC4805">
        <w:tc>
          <w:tcPr>
            <w:tcW w:w="0" w:type="auto"/>
            <w:shd w:val="clear" w:color="auto" w:fill="D2DDE2"/>
          </w:tcPr>
          <w:p w14:paraId="45D61184" w14:textId="56A572E6" w:rsidR="00AC4805" w:rsidRPr="007837CC" w:rsidRDefault="00AC4805" w:rsidP="00AC4805">
            <w:pPr>
              <w:pStyle w:val="Boxheading"/>
              <w:rPr>
                <w:rFonts w:cs="Calibri"/>
              </w:rPr>
            </w:pPr>
            <w:bookmarkStart w:id="26" w:name="_Hlk87629146"/>
            <w:r w:rsidRPr="007837CC">
              <w:rPr>
                <w:rFonts w:cs="Calibri"/>
              </w:rPr>
              <w:t>Question</w:t>
            </w:r>
          </w:p>
          <w:p w14:paraId="3CB833CE" w14:textId="42473E18" w:rsidR="00334220" w:rsidRPr="007837CC" w:rsidRDefault="00AC4805" w:rsidP="00AC4805">
            <w:pPr>
              <w:pStyle w:val="Boxquestion"/>
              <w:ind w:left="681" w:hanging="397"/>
            </w:pPr>
            <w:r w:rsidRPr="007837CC">
              <w:t>Do you think the decisions on NZ ETS unit settings announced in December 2022 had any impact on NZ ETS market behaviour?</w:t>
            </w:r>
          </w:p>
        </w:tc>
      </w:tr>
    </w:tbl>
    <w:p w14:paraId="30A22A5F" w14:textId="77777777" w:rsidR="00334220" w:rsidRPr="007837CC" w:rsidRDefault="00334220" w:rsidP="00334220">
      <w:pPr>
        <w:pStyle w:val="BodyText"/>
      </w:pPr>
    </w:p>
    <w:bookmarkEnd w:id="26"/>
    <w:p w14:paraId="54F56196" w14:textId="77777777" w:rsidR="003A4D5E" w:rsidRPr="007837CC" w:rsidRDefault="003A4D5E" w:rsidP="00AC4805">
      <w:pPr>
        <w:pStyle w:val="BodyText"/>
        <w:rPr>
          <w:rStyle w:val="Heading1Char"/>
          <w:rFonts w:ascii="Calibri" w:eastAsiaTheme="minorEastAsia" w:hAnsi="Calibri" w:cstheme="minorBidi"/>
          <w:b w:val="0"/>
          <w:bCs w:val="0"/>
          <w:color w:val="auto"/>
          <w:sz w:val="22"/>
          <w:szCs w:val="22"/>
        </w:rPr>
      </w:pPr>
      <w:r w:rsidRPr="007837CC">
        <w:rPr>
          <w:rStyle w:val="Heading1Char"/>
          <w:rFonts w:ascii="Calibri" w:eastAsiaTheme="minorEastAsia" w:hAnsi="Calibri" w:cstheme="minorBidi"/>
          <w:b w:val="0"/>
          <w:bCs w:val="0"/>
          <w:color w:val="auto"/>
          <w:sz w:val="22"/>
          <w:szCs w:val="22"/>
        </w:rPr>
        <w:br w:type="page"/>
      </w:r>
    </w:p>
    <w:p w14:paraId="1213F4D7" w14:textId="7D7BE060" w:rsidR="00BE6FAB" w:rsidRPr="007837CC" w:rsidRDefault="00BE6FAB" w:rsidP="00560A89">
      <w:pPr>
        <w:pStyle w:val="Heading1"/>
      </w:pPr>
      <w:bookmarkStart w:id="27" w:name="_Toc135300665"/>
      <w:r w:rsidRPr="007837CC">
        <w:lastRenderedPageBreak/>
        <w:t xml:space="preserve">Options presented in this </w:t>
      </w:r>
      <w:r w:rsidR="00465655" w:rsidRPr="007837CC">
        <w:t xml:space="preserve">consultation </w:t>
      </w:r>
      <w:proofErr w:type="gramStart"/>
      <w:r w:rsidR="00465655" w:rsidRPr="007837CC">
        <w:t>document</w:t>
      </w:r>
      <w:bookmarkEnd w:id="27"/>
      <w:proofErr w:type="gramEnd"/>
    </w:p>
    <w:p w14:paraId="322D9E7F" w14:textId="19009946" w:rsidR="00BC77E2" w:rsidRPr="007837CC" w:rsidRDefault="00BC77E2" w:rsidP="00560A89">
      <w:pPr>
        <w:pStyle w:val="BodyText"/>
      </w:pPr>
      <w:r w:rsidRPr="007837CC">
        <w:t>There is an obligation to review NZ ETS unit settings</w:t>
      </w:r>
      <w:r w:rsidR="0058302A" w:rsidRPr="007837CC">
        <w:t xml:space="preserve">, and to consider the Commission’s advice as part of this process. </w:t>
      </w:r>
    </w:p>
    <w:p w14:paraId="1B264C19" w14:textId="52DBBA38" w:rsidR="00BC77E2" w:rsidRPr="007837CC" w:rsidRDefault="00705F04" w:rsidP="00560A89">
      <w:pPr>
        <w:pStyle w:val="BodyText"/>
      </w:pPr>
      <w:r w:rsidRPr="007837CC">
        <w:t>This consultation seeks feedback on</w:t>
      </w:r>
      <w:r w:rsidR="00BC77E2" w:rsidRPr="007837CC">
        <w:t>:</w:t>
      </w:r>
    </w:p>
    <w:p w14:paraId="2CE111D4" w14:textId="4824F1FA" w:rsidR="000B3816" w:rsidRPr="007837CC" w:rsidRDefault="000B3816" w:rsidP="00560A89">
      <w:pPr>
        <w:pStyle w:val="Bullet"/>
        <w:rPr>
          <w:rFonts w:eastAsia="Georgia"/>
        </w:rPr>
      </w:pPr>
      <w:r w:rsidRPr="007837CC">
        <w:rPr>
          <w:rFonts w:eastAsia="Georgia"/>
        </w:rPr>
        <w:t>whether t</w:t>
      </w:r>
      <w:r w:rsidR="00705F04" w:rsidRPr="007837CC">
        <w:rPr>
          <w:rFonts w:eastAsia="Georgia"/>
        </w:rPr>
        <w:t xml:space="preserve">o make </w:t>
      </w:r>
      <w:r w:rsidR="002922D5" w:rsidRPr="007837CC">
        <w:rPr>
          <w:rFonts w:eastAsia="Georgia"/>
        </w:rPr>
        <w:t>changes to unit settings for 2024 and 2025</w:t>
      </w:r>
    </w:p>
    <w:p w14:paraId="4DD6F9AF" w14:textId="594AB0C7" w:rsidR="00312394" w:rsidRPr="007837CC" w:rsidRDefault="00656449" w:rsidP="00560A89">
      <w:pPr>
        <w:pStyle w:val="Bullet"/>
        <w:rPr>
          <w:rFonts w:eastAsia="Georgia"/>
        </w:rPr>
      </w:pPr>
      <w:r w:rsidRPr="007837CC">
        <w:rPr>
          <w:rFonts w:eastAsia="Georgia"/>
        </w:rPr>
        <w:t>w</w:t>
      </w:r>
      <w:r w:rsidR="00550283" w:rsidRPr="007837CC">
        <w:rPr>
          <w:rFonts w:eastAsia="Georgia"/>
        </w:rPr>
        <w:t xml:space="preserve">hether </w:t>
      </w:r>
      <w:r w:rsidR="005649C8" w:rsidRPr="007837CC">
        <w:rPr>
          <w:rFonts w:eastAsia="Georgia"/>
        </w:rPr>
        <w:t xml:space="preserve">to </w:t>
      </w:r>
      <w:proofErr w:type="gramStart"/>
      <w:r w:rsidR="005649C8" w:rsidRPr="007837CC">
        <w:rPr>
          <w:rFonts w:eastAsia="Georgia"/>
        </w:rPr>
        <w:t xml:space="preserve">make </w:t>
      </w:r>
      <w:r w:rsidR="00B313D2" w:rsidRPr="007837CC">
        <w:rPr>
          <w:rFonts w:eastAsia="Georgia"/>
        </w:rPr>
        <w:t>adjustments to</w:t>
      </w:r>
      <w:proofErr w:type="gramEnd"/>
      <w:r w:rsidR="00B313D2" w:rsidRPr="007837CC">
        <w:rPr>
          <w:rFonts w:eastAsia="Georgia"/>
        </w:rPr>
        <w:t xml:space="preserve"> </w:t>
      </w:r>
      <w:r w:rsidR="00A167BD" w:rsidRPr="007837CC">
        <w:rPr>
          <w:rFonts w:eastAsia="Georgia"/>
        </w:rPr>
        <w:t xml:space="preserve">auction volumes based on </w:t>
      </w:r>
      <w:r w:rsidR="004B0DBA" w:rsidRPr="007837CC">
        <w:rPr>
          <w:rFonts w:eastAsia="Georgia"/>
        </w:rPr>
        <w:t xml:space="preserve">an increase in post-1989 </w:t>
      </w:r>
      <w:r w:rsidR="0061691C" w:rsidRPr="007837CC">
        <w:rPr>
          <w:rFonts w:eastAsia="Georgia"/>
        </w:rPr>
        <w:t>forest</w:t>
      </w:r>
      <w:r w:rsidR="004A5FBA" w:rsidRPr="007837CC">
        <w:rPr>
          <w:rFonts w:eastAsia="Georgia"/>
        </w:rPr>
        <w:t xml:space="preserve"> land</w:t>
      </w:r>
      <w:r w:rsidR="0061691C" w:rsidRPr="007837CC">
        <w:rPr>
          <w:rFonts w:eastAsia="Georgia"/>
        </w:rPr>
        <w:t xml:space="preserve"> registration </w:t>
      </w:r>
    </w:p>
    <w:p w14:paraId="583ECB4C" w14:textId="37985222" w:rsidR="006C06FD" w:rsidRPr="007837CC" w:rsidRDefault="00D469C7" w:rsidP="00560A89">
      <w:pPr>
        <w:pStyle w:val="Bullet"/>
        <w:rPr>
          <w:rFonts w:eastAsia="Georgia"/>
        </w:rPr>
      </w:pPr>
      <w:r w:rsidRPr="007837CC">
        <w:rPr>
          <w:rFonts w:eastAsia="Georgia"/>
        </w:rPr>
        <w:t>w</w:t>
      </w:r>
      <w:r w:rsidR="00BE6FAB" w:rsidRPr="007837CC">
        <w:rPr>
          <w:rFonts w:eastAsia="Georgia"/>
        </w:rPr>
        <w:t>hether to make technical adjustments to reflect a possible discrepancy between the NZ</w:t>
      </w:r>
      <w:r w:rsidR="00B60224" w:rsidRPr="007837CC">
        <w:rPr>
          <w:rFonts w:eastAsia="Georgia"/>
        </w:rPr>
        <w:t> </w:t>
      </w:r>
      <w:r w:rsidR="00BE6FAB" w:rsidRPr="007837CC">
        <w:rPr>
          <w:rFonts w:eastAsia="Georgia"/>
        </w:rPr>
        <w:t xml:space="preserve">ETS and emissions reported in the </w:t>
      </w:r>
      <w:r w:rsidR="00721F21" w:rsidRPr="007837CC">
        <w:rPr>
          <w:rFonts w:eastAsia="Georgia"/>
        </w:rPr>
        <w:t xml:space="preserve">Greenhouse Gas </w:t>
      </w:r>
      <w:r w:rsidR="00FC6E98" w:rsidRPr="007837CC">
        <w:rPr>
          <w:rFonts w:eastAsia="Georgia"/>
        </w:rPr>
        <w:t>I</w:t>
      </w:r>
      <w:r w:rsidR="00BE6FAB" w:rsidRPr="007837CC">
        <w:rPr>
          <w:rFonts w:eastAsia="Georgia"/>
        </w:rPr>
        <w:t>nventory</w:t>
      </w:r>
    </w:p>
    <w:p w14:paraId="62892663" w14:textId="6598F461" w:rsidR="0074424A" w:rsidRPr="007837CC" w:rsidRDefault="0074424A" w:rsidP="00560A89">
      <w:pPr>
        <w:pStyle w:val="Bullet"/>
        <w:rPr>
          <w:rFonts w:eastAsia="Georgia"/>
        </w:rPr>
      </w:pPr>
      <w:r w:rsidRPr="007837CC">
        <w:rPr>
          <w:rFonts w:eastAsia="Georgia"/>
        </w:rPr>
        <w:t>how</w:t>
      </w:r>
      <w:r w:rsidR="00D54A7D" w:rsidRPr="007837CC">
        <w:rPr>
          <w:rFonts w:eastAsia="Georgia"/>
        </w:rPr>
        <w:t xml:space="preserve"> to address any</w:t>
      </w:r>
      <w:r w:rsidR="00F5318C" w:rsidRPr="007837CC">
        <w:rPr>
          <w:rFonts w:eastAsia="Georgia"/>
        </w:rPr>
        <w:t xml:space="preserve"> discrepancies </w:t>
      </w:r>
      <w:r w:rsidR="00B030ED" w:rsidRPr="007837CC">
        <w:rPr>
          <w:rFonts w:eastAsia="Georgia"/>
        </w:rPr>
        <w:t>that might result</w:t>
      </w:r>
      <w:r w:rsidR="00F5318C" w:rsidRPr="007837CC">
        <w:rPr>
          <w:rFonts w:eastAsia="Georgia"/>
        </w:rPr>
        <w:t xml:space="preserve"> from</w:t>
      </w:r>
      <w:r w:rsidR="00D54A7D" w:rsidRPr="007837CC">
        <w:rPr>
          <w:rFonts w:eastAsia="Georgia"/>
        </w:rPr>
        <w:t xml:space="preserve"> </w:t>
      </w:r>
      <w:r w:rsidR="00B07905" w:rsidRPr="007837CC">
        <w:rPr>
          <w:rFonts w:eastAsia="Georgia"/>
        </w:rPr>
        <w:t>adjustments to limits that have not occurred or are unable to occur due to restrictions on updating unit settings for 2024 and 2025</w:t>
      </w:r>
    </w:p>
    <w:p w14:paraId="14476296" w14:textId="339E776B" w:rsidR="00BE6FAB" w:rsidRPr="007837CC" w:rsidRDefault="00D469C7" w:rsidP="00560A89">
      <w:pPr>
        <w:pStyle w:val="Bullet"/>
        <w:rPr>
          <w:rFonts w:eastAsia="Georgia"/>
        </w:rPr>
      </w:pPr>
      <w:r w:rsidRPr="007837CC">
        <w:rPr>
          <w:rFonts w:eastAsia="Georgia"/>
        </w:rPr>
        <w:t>a</w:t>
      </w:r>
      <w:r w:rsidR="00602214" w:rsidRPr="007837CC">
        <w:rPr>
          <w:rFonts w:eastAsia="Georgia"/>
        </w:rPr>
        <w:t>uction reserve price settings</w:t>
      </w:r>
    </w:p>
    <w:p w14:paraId="437D5344" w14:textId="336E9C0C" w:rsidR="00602214" w:rsidRPr="007837CC" w:rsidRDefault="00D469C7" w:rsidP="00560A89">
      <w:pPr>
        <w:pStyle w:val="Bullet"/>
        <w:rPr>
          <w:rFonts w:eastAsia="Georgia"/>
        </w:rPr>
      </w:pPr>
      <w:r w:rsidRPr="007837CC">
        <w:rPr>
          <w:rFonts w:eastAsia="Georgia"/>
        </w:rPr>
        <w:t>c</w:t>
      </w:r>
      <w:r w:rsidR="00602214" w:rsidRPr="007837CC">
        <w:rPr>
          <w:rFonts w:eastAsia="Georgia"/>
        </w:rPr>
        <w:t>ost containment reserve</w:t>
      </w:r>
      <w:r w:rsidR="00E25C96" w:rsidRPr="007837CC">
        <w:rPr>
          <w:rStyle w:val="FootnoteReference"/>
          <w:rFonts w:eastAsia="Georgia"/>
        </w:rPr>
        <w:footnoteReference w:id="9"/>
      </w:r>
      <w:r w:rsidR="00602214" w:rsidRPr="007837CC">
        <w:rPr>
          <w:rFonts w:eastAsia="Georgia"/>
        </w:rPr>
        <w:t xml:space="preserve"> structure</w:t>
      </w:r>
      <w:r w:rsidR="003911CC" w:rsidRPr="007837CC">
        <w:rPr>
          <w:rFonts w:eastAsia="Georgia"/>
        </w:rPr>
        <w:t xml:space="preserve"> and volume, including </w:t>
      </w:r>
      <w:r w:rsidR="00B759FB" w:rsidRPr="007837CC">
        <w:rPr>
          <w:rFonts w:eastAsia="Georgia"/>
        </w:rPr>
        <w:t xml:space="preserve">a </w:t>
      </w:r>
      <w:r w:rsidR="00721F21" w:rsidRPr="007837CC">
        <w:rPr>
          <w:rFonts w:eastAsia="Georgia"/>
        </w:rPr>
        <w:t xml:space="preserve">cost containment reserve </w:t>
      </w:r>
      <w:r w:rsidR="00B759FB" w:rsidRPr="007837CC">
        <w:rPr>
          <w:rFonts w:eastAsia="Georgia"/>
        </w:rPr>
        <w:t xml:space="preserve">of zero </w:t>
      </w:r>
      <w:proofErr w:type="gramStart"/>
      <w:r w:rsidR="00FD5BDE" w:rsidRPr="007837CC">
        <w:rPr>
          <w:rFonts w:eastAsia="Georgia"/>
        </w:rPr>
        <w:t>NZUs</w:t>
      </w:r>
      <w:proofErr w:type="gramEnd"/>
    </w:p>
    <w:p w14:paraId="4E5E8B79" w14:textId="433B484C" w:rsidR="00602214" w:rsidRPr="007837CC" w:rsidRDefault="00D469C7" w:rsidP="004A6F9C">
      <w:pPr>
        <w:pStyle w:val="Bullet"/>
        <w:rPr>
          <w:rFonts w:eastAsia="Georgia"/>
        </w:rPr>
      </w:pPr>
      <w:r w:rsidRPr="007837CC">
        <w:rPr>
          <w:rFonts w:eastAsia="Georgia"/>
        </w:rPr>
        <w:t>c</w:t>
      </w:r>
      <w:r w:rsidR="00602214" w:rsidRPr="007837CC">
        <w:rPr>
          <w:rFonts w:eastAsia="Georgia"/>
        </w:rPr>
        <w:t>ost containment reserve trigger price(s)</w:t>
      </w:r>
      <w:r w:rsidR="00ED450F" w:rsidRPr="007837CC">
        <w:rPr>
          <w:rFonts w:eastAsia="Georgia"/>
        </w:rPr>
        <w:t>.</w:t>
      </w:r>
    </w:p>
    <w:p w14:paraId="4612BF8E" w14:textId="4C1A9207" w:rsidR="007F7A9E" w:rsidRPr="007837CC" w:rsidRDefault="007F7A9E" w:rsidP="00560A89">
      <w:pPr>
        <w:pStyle w:val="BodyText"/>
      </w:pPr>
      <w:r w:rsidRPr="007837CC">
        <w:t xml:space="preserve">This </w:t>
      </w:r>
      <w:r w:rsidR="00465655" w:rsidRPr="007837CC">
        <w:t>consultation document</w:t>
      </w:r>
      <w:r w:rsidRPr="007837CC">
        <w:t xml:space="preserve"> discusse</w:t>
      </w:r>
      <w:r w:rsidR="00182E2E" w:rsidRPr="007837CC">
        <w:t>s</w:t>
      </w:r>
      <w:r w:rsidRPr="007837CC">
        <w:t xml:space="preserve"> the</w:t>
      </w:r>
      <w:r w:rsidR="001C3CA2" w:rsidRPr="007837CC">
        <w:t>se</w:t>
      </w:r>
      <w:r w:rsidRPr="007837CC">
        <w:t xml:space="preserve"> options </w:t>
      </w:r>
      <w:r w:rsidR="00182E2E" w:rsidRPr="007837CC">
        <w:t>and</w:t>
      </w:r>
      <w:r w:rsidRPr="007837CC">
        <w:t xml:space="preserve"> assess</w:t>
      </w:r>
      <w:r w:rsidR="00182E2E" w:rsidRPr="007837CC">
        <w:t xml:space="preserve">es them </w:t>
      </w:r>
      <w:r w:rsidRPr="007837CC">
        <w:t xml:space="preserve">against the criteria </w:t>
      </w:r>
      <w:r w:rsidR="003345C1" w:rsidRPr="007837CC">
        <w:t>set out in table 1</w:t>
      </w:r>
      <w:r w:rsidRPr="007837CC">
        <w:t xml:space="preserve">. </w:t>
      </w:r>
    </w:p>
    <w:p w14:paraId="2B891C63" w14:textId="0E2F0F59" w:rsidR="007F7A9E" w:rsidRPr="007837CC" w:rsidRDefault="001C3CA2" w:rsidP="00B829C3">
      <w:pPr>
        <w:pStyle w:val="BodyText"/>
        <w:spacing w:after="240"/>
        <w:rPr>
          <w:rFonts w:eastAsia="Georgia"/>
        </w:rPr>
      </w:pPr>
      <w:r w:rsidRPr="007837CC">
        <w:t>W</w:t>
      </w:r>
      <w:r w:rsidR="007F7A9E" w:rsidRPr="007837CC">
        <w:t xml:space="preserve">e are interested in your feedback on whether there are </w:t>
      </w:r>
      <w:r w:rsidR="00BC1B05" w:rsidRPr="007837CC">
        <w:t xml:space="preserve">any additional </w:t>
      </w:r>
      <w:r w:rsidR="001526AD" w:rsidRPr="007837CC">
        <w:t>elements of</w:t>
      </w:r>
      <w:r w:rsidR="00680D8C" w:rsidRPr="007837CC">
        <w:t xml:space="preserve"> NZ ETS unit settings, including the calculation of limits, where the status quo should be reconsidered</w:t>
      </w:r>
      <w:r w:rsidR="007F7A9E" w:rsidRPr="007837CC">
        <w:t xml:space="preserve">. </w:t>
      </w:r>
    </w:p>
    <w:p w14:paraId="46359EA5" w14:textId="15FB60B5" w:rsidR="00BE6FAB" w:rsidRPr="007837CC" w:rsidRDefault="00BE6FAB" w:rsidP="00390748">
      <w:pPr>
        <w:pStyle w:val="BodyText"/>
      </w:pPr>
      <w:r w:rsidRPr="007837CC">
        <w:br w:type="page"/>
      </w:r>
    </w:p>
    <w:p w14:paraId="31A6FEBE" w14:textId="0440D45B" w:rsidR="00C0377A" w:rsidRPr="007837CC" w:rsidRDefault="004A5FBA" w:rsidP="00C0377A">
      <w:pPr>
        <w:pStyle w:val="Heading1"/>
      </w:pPr>
      <w:bookmarkStart w:id="28" w:name="_Should_NZ_ETS"/>
      <w:bookmarkStart w:id="29" w:name="_Toc135300666"/>
      <w:bookmarkEnd w:id="28"/>
      <w:r w:rsidRPr="007837CC">
        <w:lastRenderedPageBreak/>
        <w:t xml:space="preserve">Should </w:t>
      </w:r>
      <w:r w:rsidR="00C70D8E" w:rsidRPr="007837CC">
        <w:t>NZ ETS unit settings for</w:t>
      </w:r>
      <w:r w:rsidR="00B117B9" w:rsidRPr="007837CC">
        <w:t xml:space="preserve"> 2024 and 2025 be updated</w:t>
      </w:r>
      <w:r w:rsidR="00AD0835" w:rsidRPr="007837CC">
        <w:t>?</w:t>
      </w:r>
      <w:bookmarkEnd w:id="29"/>
    </w:p>
    <w:p w14:paraId="6E87902B" w14:textId="77777777" w:rsidR="00C0377A" w:rsidRPr="007837CC" w:rsidRDefault="00C0377A" w:rsidP="00C0377A">
      <w:pPr>
        <w:pStyle w:val="Heading2"/>
        <w:spacing w:before="240"/>
      </w:pPr>
      <w:bookmarkStart w:id="30" w:name="_Toc135300667"/>
      <w:r w:rsidRPr="007837CC">
        <w:t>Background</w:t>
      </w:r>
      <w:bookmarkEnd w:id="30"/>
    </w:p>
    <w:p w14:paraId="0FEA7D87" w14:textId="3E6C7038" w:rsidR="00691C55" w:rsidRPr="007837CC" w:rsidRDefault="00C0377A" w:rsidP="00211D4E">
      <w:pPr>
        <w:pStyle w:val="BodyText"/>
        <w:spacing w:after="100"/>
      </w:pPr>
      <w:r w:rsidRPr="007837CC">
        <w:t>The Act requires</w:t>
      </w:r>
      <w:r w:rsidRPr="007837CC">
        <w:rPr>
          <w:rStyle w:val="FootnoteReference"/>
        </w:rPr>
        <w:footnoteReference w:id="10"/>
      </w:r>
      <w:r w:rsidRPr="007837CC">
        <w:t xml:space="preserve"> updates to regulations every year to ensure that </w:t>
      </w:r>
      <w:r w:rsidR="001C7873" w:rsidRPr="007837CC">
        <w:t>unit settings</w:t>
      </w:r>
      <w:r w:rsidRPr="007837CC">
        <w:t xml:space="preserve"> are prescribed for each of the following five calendar years</w:t>
      </w:r>
      <w:r w:rsidR="00C70D8E" w:rsidRPr="007837CC">
        <w:t>.</w:t>
      </w:r>
      <w:r w:rsidR="003C7E45" w:rsidRPr="007837CC">
        <w:t xml:space="preserve"> These updates can </w:t>
      </w:r>
      <w:r w:rsidR="002D019B" w:rsidRPr="007837CC">
        <w:t xml:space="preserve">only </w:t>
      </w:r>
      <w:r w:rsidR="003C7E45" w:rsidRPr="007837CC">
        <w:t xml:space="preserve">include changes to </w:t>
      </w:r>
      <w:r w:rsidR="001C7873" w:rsidRPr="007837CC">
        <w:t xml:space="preserve">unit settings </w:t>
      </w:r>
      <w:r w:rsidR="002D019B" w:rsidRPr="007837CC">
        <w:t>for the first two years (</w:t>
      </w:r>
      <w:proofErr w:type="spellStart"/>
      <w:r w:rsidR="00AD0835" w:rsidRPr="007837CC">
        <w:t>ie</w:t>
      </w:r>
      <w:proofErr w:type="spellEnd"/>
      <w:r w:rsidR="00AD0835" w:rsidRPr="007837CC">
        <w:t>,</w:t>
      </w:r>
      <w:r w:rsidR="002D019B" w:rsidRPr="007837CC">
        <w:t xml:space="preserve"> 2024 and 2025 this year) </w:t>
      </w:r>
      <w:r w:rsidR="001C7873" w:rsidRPr="007837CC">
        <w:t xml:space="preserve">in </w:t>
      </w:r>
      <w:r w:rsidR="004E1C49" w:rsidRPr="007837CC">
        <w:t>specified situations</w:t>
      </w:r>
      <w:r w:rsidR="002D019B" w:rsidRPr="007837CC">
        <w:t xml:space="preserve">. </w:t>
      </w:r>
    </w:p>
    <w:p w14:paraId="4E553B27" w14:textId="2ECDF6CD" w:rsidR="002A7B77" w:rsidRPr="007837CC" w:rsidRDefault="00163A1C" w:rsidP="00211D4E">
      <w:pPr>
        <w:pStyle w:val="BodyText"/>
        <w:spacing w:after="100"/>
      </w:pPr>
      <w:r w:rsidRPr="007837CC">
        <w:t>Limiting the ability to change the first two years is</w:t>
      </w:r>
      <w:r w:rsidR="00691C55" w:rsidRPr="007837CC">
        <w:t xml:space="preserve"> intended to maintain regulatory predictability</w:t>
      </w:r>
      <w:r w:rsidR="0015172E" w:rsidRPr="007837CC">
        <w:t>,</w:t>
      </w:r>
      <w:r w:rsidR="00691C55" w:rsidRPr="007837CC">
        <w:t xml:space="preserve"> and </w:t>
      </w:r>
      <w:r w:rsidR="0015172E" w:rsidRPr="007837CC">
        <w:t xml:space="preserve">to </w:t>
      </w:r>
      <w:r w:rsidR="00691C55" w:rsidRPr="007837CC">
        <w:t>support participants being well</w:t>
      </w:r>
      <w:r w:rsidR="00F136B7">
        <w:t xml:space="preserve"> </w:t>
      </w:r>
      <w:r w:rsidR="00691C55" w:rsidRPr="007837CC">
        <w:t>informed</w:t>
      </w:r>
      <w:r w:rsidR="0015172E" w:rsidRPr="007837CC">
        <w:t>. This limitation</w:t>
      </w:r>
      <w:r w:rsidR="00691C55" w:rsidRPr="007837CC">
        <w:t xml:space="preserve"> is an important feature of the annual updates to the NZ ETS settings</w:t>
      </w:r>
      <w:r w:rsidR="00CF41EE" w:rsidRPr="007837CC">
        <w:t xml:space="preserve">. </w:t>
      </w:r>
    </w:p>
    <w:p w14:paraId="6FBC1710" w14:textId="244F2E90" w:rsidR="00CF41EE" w:rsidRPr="007837CC" w:rsidRDefault="008F7E80" w:rsidP="00211D4E">
      <w:pPr>
        <w:pStyle w:val="BodyText"/>
        <w:spacing w:after="100"/>
      </w:pPr>
      <w:r w:rsidRPr="007837CC">
        <w:t xml:space="preserve">Sale of </w:t>
      </w:r>
      <w:r w:rsidR="00FD5BDE" w:rsidRPr="007837CC">
        <w:t xml:space="preserve">NZUs </w:t>
      </w:r>
      <w:r w:rsidRPr="007837CC">
        <w:t>from the cost containment reserve</w:t>
      </w:r>
      <w:r w:rsidR="0095324D" w:rsidRPr="007837CC">
        <w:t xml:space="preserve"> or sale of </w:t>
      </w:r>
      <w:r w:rsidR="00FD5BDE" w:rsidRPr="007837CC">
        <w:t xml:space="preserve">NZUs </w:t>
      </w:r>
      <w:r w:rsidR="0095324D" w:rsidRPr="007837CC">
        <w:t xml:space="preserve">at the auction reserve price </w:t>
      </w:r>
      <w:r w:rsidR="004E1C49" w:rsidRPr="007837CC">
        <w:t>during 2023 would</w:t>
      </w:r>
      <w:r w:rsidR="0095324D" w:rsidRPr="007837CC">
        <w:t xml:space="preserve"> allow unit settings for 2024 and 2025 to be updated. </w:t>
      </w:r>
      <w:r w:rsidR="004E1C49" w:rsidRPr="007837CC">
        <w:t xml:space="preserve">This has not occurred to date in 2023 NZ ETS auctions. </w:t>
      </w:r>
    </w:p>
    <w:p w14:paraId="4AB01CA4" w14:textId="0CBA0309" w:rsidR="00605D35" w:rsidRPr="007837CC" w:rsidRDefault="004E1C49" w:rsidP="00211D4E">
      <w:pPr>
        <w:pStyle w:val="BodyText"/>
        <w:spacing w:after="100"/>
      </w:pPr>
      <w:r w:rsidRPr="007837CC">
        <w:t>Settings</w:t>
      </w:r>
      <w:r w:rsidR="0095324D" w:rsidRPr="007837CC">
        <w:t xml:space="preserve"> for </w:t>
      </w:r>
      <w:r w:rsidR="00860480" w:rsidRPr="007837CC">
        <w:t xml:space="preserve">the first two </w:t>
      </w:r>
      <w:r w:rsidR="0095324D" w:rsidRPr="007837CC">
        <w:t xml:space="preserve">years can </w:t>
      </w:r>
      <w:r w:rsidRPr="007837CC">
        <w:t xml:space="preserve">also </w:t>
      </w:r>
      <w:r w:rsidR="0095324D" w:rsidRPr="007837CC">
        <w:t>b</w:t>
      </w:r>
      <w:r w:rsidRPr="007837CC">
        <w:t>e amended if the Minister is satisfied that the amendment is justified by special circumstances</w:t>
      </w:r>
      <w:r w:rsidR="00605D35" w:rsidRPr="007837CC">
        <w:t>. These</w:t>
      </w:r>
      <w:r w:rsidR="00E46F10" w:rsidRPr="007837CC">
        <w:t xml:space="preserve"> special circumstances</w:t>
      </w:r>
      <w:r w:rsidR="00605D35" w:rsidRPr="007837CC">
        <w:t xml:space="preserve"> are:</w:t>
      </w:r>
    </w:p>
    <w:p w14:paraId="0C3A81C8" w14:textId="7E7D9AC7" w:rsidR="0095324D" w:rsidRPr="007837CC" w:rsidRDefault="00AD0835" w:rsidP="00211D4E">
      <w:pPr>
        <w:pStyle w:val="Bullet"/>
        <w:spacing w:after="100"/>
      </w:pPr>
      <w:r w:rsidRPr="007837CC">
        <w:t>s</w:t>
      </w:r>
      <w:r w:rsidR="00605D35" w:rsidRPr="007837CC">
        <w:t>ignif</w:t>
      </w:r>
      <w:r w:rsidR="004038A1" w:rsidRPr="007837CC">
        <w:t>icant changes in any of the matters that must be considered when updating unit</w:t>
      </w:r>
      <w:r w:rsidR="00F136B7">
        <w:t> </w:t>
      </w:r>
      <w:proofErr w:type="gramStart"/>
      <w:r w:rsidR="004038A1" w:rsidRPr="007837CC">
        <w:t>settings</w:t>
      </w:r>
      <w:proofErr w:type="gramEnd"/>
    </w:p>
    <w:p w14:paraId="3D4D3286" w14:textId="3C62E0C5" w:rsidR="004038A1" w:rsidRPr="007837CC" w:rsidRDefault="00AD0835" w:rsidP="00211D4E">
      <w:pPr>
        <w:pStyle w:val="Bullet"/>
        <w:spacing w:after="100"/>
      </w:pPr>
      <w:r w:rsidRPr="007837CC">
        <w:t>c</w:t>
      </w:r>
      <w:r w:rsidR="00E46F10" w:rsidRPr="007837CC">
        <w:t xml:space="preserve">hanges in emissions budgets </w:t>
      </w:r>
      <w:r w:rsidR="002B2CB4" w:rsidRPr="007837CC">
        <w:t>or the NDC</w:t>
      </w:r>
    </w:p>
    <w:p w14:paraId="53586BBF" w14:textId="3855C194" w:rsidR="001C7873" w:rsidRPr="007837CC" w:rsidRDefault="00AD0835" w:rsidP="006C5E2F">
      <w:pPr>
        <w:pStyle w:val="Bullet"/>
      </w:pPr>
      <w:r w:rsidRPr="007837CC">
        <w:t>a</w:t>
      </w:r>
      <w:r w:rsidR="00407C65" w:rsidRPr="007837CC">
        <w:t xml:space="preserve"> </w:t>
      </w:r>
      <w:r w:rsidR="00407C65" w:rsidRPr="007837CC">
        <w:rPr>
          <w:i/>
          <w:iCs/>
        </w:rPr>
        <w:t>force majeure</w:t>
      </w:r>
      <w:r w:rsidR="00407C65" w:rsidRPr="007837CC">
        <w:t xml:space="preserve"> </w:t>
      </w:r>
      <w:proofErr w:type="gramStart"/>
      <w:r w:rsidR="00407C65" w:rsidRPr="007837CC">
        <w:t>even</w:t>
      </w:r>
      <w:r w:rsidR="00697E4B" w:rsidRPr="007837CC">
        <w:t>t</w:t>
      </w:r>
      <w:proofErr w:type="gramEnd"/>
      <w:r w:rsidRPr="007837CC">
        <w:t>.</w:t>
      </w:r>
    </w:p>
    <w:p w14:paraId="50306914" w14:textId="57133700" w:rsidR="00546FF0" w:rsidRPr="007837CC" w:rsidRDefault="00546FF0" w:rsidP="00211D4E">
      <w:pPr>
        <w:pStyle w:val="BodyText"/>
        <w:spacing w:after="100"/>
      </w:pPr>
      <w:r w:rsidRPr="007837CC">
        <w:rPr>
          <w:spacing w:val="-2"/>
        </w:rPr>
        <w:t>The Commission has concluded</w:t>
      </w:r>
      <w:r w:rsidR="00C22E08" w:rsidRPr="007837CC">
        <w:rPr>
          <w:spacing w:val="-2"/>
        </w:rPr>
        <w:t xml:space="preserve"> that </w:t>
      </w:r>
      <w:r w:rsidR="001317FE" w:rsidRPr="007837CC">
        <w:rPr>
          <w:spacing w:val="-2"/>
        </w:rPr>
        <w:t xml:space="preserve">no conditions exist that </w:t>
      </w:r>
      <w:r w:rsidR="00A70259" w:rsidRPr="007837CC">
        <w:rPr>
          <w:spacing w:val="-2"/>
        </w:rPr>
        <w:t>enable updates to settings for 2024</w:t>
      </w:r>
      <w:r w:rsidR="00A70259" w:rsidRPr="007837CC">
        <w:t xml:space="preserve"> and 2025. </w:t>
      </w:r>
      <w:r w:rsidR="00834526" w:rsidRPr="007837CC">
        <w:t xml:space="preserve">However, the Commission has recommended that settings for 2024 and 2025 are updated if </w:t>
      </w:r>
      <w:r w:rsidR="00FD5BDE" w:rsidRPr="007837CC">
        <w:t xml:space="preserve">NZUs </w:t>
      </w:r>
      <w:r w:rsidR="00834526" w:rsidRPr="007837CC">
        <w:t xml:space="preserve">are sold from the cost containment reserve at the June </w:t>
      </w:r>
      <w:r w:rsidR="00843B3B" w:rsidRPr="007837CC">
        <w:t xml:space="preserve">2023 </w:t>
      </w:r>
      <w:r w:rsidR="00834526" w:rsidRPr="007837CC">
        <w:t>NZ ETS auction.</w:t>
      </w:r>
    </w:p>
    <w:p w14:paraId="40C71532" w14:textId="307DAA6B" w:rsidR="00A70259" w:rsidRPr="007837CC" w:rsidRDefault="00A70259" w:rsidP="00211D4E">
      <w:pPr>
        <w:pStyle w:val="BodyText"/>
        <w:spacing w:after="100"/>
      </w:pPr>
      <w:r w:rsidRPr="007837CC">
        <w:t xml:space="preserve">We are interested in your feedback on whether </w:t>
      </w:r>
      <w:r w:rsidR="003B690B" w:rsidRPr="007837CC">
        <w:t xml:space="preserve">you think </w:t>
      </w:r>
      <w:r w:rsidR="00F130F0" w:rsidRPr="007837CC">
        <w:t>special circumstances</w:t>
      </w:r>
      <w:r w:rsidR="00AD6E43" w:rsidRPr="007837CC">
        <w:t xml:space="preserve"> exist that </w:t>
      </w:r>
      <w:r w:rsidR="00F130F0" w:rsidRPr="007837CC">
        <w:t xml:space="preserve">might </w:t>
      </w:r>
      <w:r w:rsidR="00AD6E43" w:rsidRPr="007837CC">
        <w:t xml:space="preserve">enable updates to settings for these </w:t>
      </w:r>
      <w:r w:rsidR="00890771" w:rsidRPr="007837CC">
        <w:t xml:space="preserve">first </w:t>
      </w:r>
      <w:r w:rsidR="00AD6E43" w:rsidRPr="007837CC">
        <w:t>two calendar years</w:t>
      </w:r>
      <w:r w:rsidR="00221BE3" w:rsidRPr="007837CC">
        <w:t>, and if so, whether these would justify updating settings for 2024 and 2025</w:t>
      </w:r>
      <w:r w:rsidR="00AD6E43" w:rsidRPr="007837CC">
        <w:t xml:space="preserve">. </w:t>
      </w:r>
    </w:p>
    <w:p w14:paraId="56522734" w14:textId="36D361A4" w:rsidR="00F8549C" w:rsidRPr="007837CC" w:rsidRDefault="00AD6E43" w:rsidP="00211D4E">
      <w:pPr>
        <w:pStyle w:val="BodyText"/>
        <w:spacing w:after="100"/>
      </w:pPr>
      <w:r w:rsidRPr="007837CC">
        <w:t>Of note, a</w:t>
      </w:r>
      <w:r w:rsidR="00F8549C" w:rsidRPr="007837CC">
        <w:t>mong these matters</w:t>
      </w:r>
      <w:r w:rsidR="004C1187" w:rsidRPr="007837CC">
        <w:t xml:space="preserve"> </w:t>
      </w:r>
      <w:r w:rsidR="00697E4B" w:rsidRPr="007837CC">
        <w:t>that must be considere</w:t>
      </w:r>
      <w:r w:rsidR="00546FF0" w:rsidRPr="007837CC">
        <w:t xml:space="preserve">d is </w:t>
      </w:r>
      <w:r w:rsidR="007A2C6E" w:rsidRPr="007837CC">
        <w:t>“the anticipated volumes of greenhouse gas emissions to which the emissions trading scheme does not apply</w:t>
      </w:r>
      <w:r w:rsidR="00211D4E" w:rsidRPr="007837CC">
        <w:t>”.</w:t>
      </w:r>
      <w:r w:rsidR="009D2BB8" w:rsidRPr="007837CC">
        <w:rPr>
          <w:rStyle w:val="FootnoteReference"/>
          <w:color w:val="auto"/>
        </w:rPr>
        <w:footnoteReference w:id="11"/>
      </w:r>
      <w:r w:rsidRPr="007837CC">
        <w:t xml:space="preserve"> A</w:t>
      </w:r>
      <w:r w:rsidR="00211D4E" w:rsidRPr="007837CC">
        <w:t> </w:t>
      </w:r>
      <w:r w:rsidRPr="007837CC">
        <w:t xml:space="preserve">significant change to this matter </w:t>
      </w:r>
      <w:r w:rsidR="00F8103B" w:rsidRPr="007837CC">
        <w:t>is a special circumstance that could justify updating settings</w:t>
      </w:r>
      <w:r w:rsidR="00211D4E" w:rsidRPr="007837CC">
        <w:t> </w:t>
      </w:r>
      <w:r w:rsidR="00F8103B" w:rsidRPr="007837CC">
        <w:t xml:space="preserve">for 2024 and 2025. </w:t>
      </w:r>
    </w:p>
    <w:p w14:paraId="770B6FEF" w14:textId="03970B5E" w:rsidR="000C39AC" w:rsidRPr="007837CC" w:rsidRDefault="00091C6B" w:rsidP="00211D4E">
      <w:pPr>
        <w:pStyle w:val="BodyText"/>
        <w:spacing w:after="100"/>
      </w:pPr>
      <w:r w:rsidRPr="007837CC">
        <w:t xml:space="preserve">The Commission has recommended material adjustments to limits for units to reflect changes to forestry removals outside the NZ ETS, stating that “as less forestry is now outside the scheme, we have reduced our previous adjustment significantly”. The Commission has not recommended updates to settings for 2024 to </w:t>
      </w:r>
      <w:proofErr w:type="gramStart"/>
      <w:r w:rsidRPr="007837CC">
        <w:t>2025, and</w:t>
      </w:r>
      <w:proofErr w:type="gramEnd"/>
      <w:r w:rsidRPr="007837CC">
        <w:t xml:space="preserve"> has provided no commentary on how</w:t>
      </w:r>
      <w:r w:rsidR="0054180A" w:rsidRPr="007837CC">
        <w:t> </w:t>
      </w:r>
      <w:r w:rsidRPr="007837CC">
        <w:t>it considered the forestry adjustment in making this recommendation</w:t>
      </w:r>
      <w:r w:rsidR="00C82CA6" w:rsidRPr="007837CC">
        <w:t>.</w:t>
      </w:r>
      <w:r w:rsidR="007036F8" w:rsidRPr="007837CC">
        <w:t xml:space="preserve"> </w:t>
      </w:r>
      <w:r w:rsidR="001C5B5E" w:rsidRPr="007837CC">
        <w:t>More detail on this</w:t>
      </w:r>
      <w:r w:rsidR="0054180A" w:rsidRPr="007837CC">
        <w:t> </w:t>
      </w:r>
      <w:r w:rsidR="001C5B5E" w:rsidRPr="007837CC">
        <w:t>is in the section</w:t>
      </w:r>
      <w:r w:rsidR="00295AD2" w:rsidRPr="007837CC">
        <w:t xml:space="preserve"> </w:t>
      </w:r>
      <w:hyperlink w:anchor="_2.__Allocate" w:history="1">
        <w:r w:rsidR="00295AD2" w:rsidRPr="00F136B7">
          <w:rPr>
            <w:rStyle w:val="Hyperlink"/>
          </w:rPr>
          <w:t>Allocate the emissions budgets to NZ ETS and non-NZ ETS sectors</w:t>
        </w:r>
      </w:hyperlink>
      <w:r w:rsidR="00890771" w:rsidRPr="007837CC">
        <w:t xml:space="preserve"> section. </w:t>
      </w:r>
    </w:p>
    <w:p w14:paraId="57DD7871" w14:textId="6FC04E82" w:rsidR="007036F8" w:rsidRPr="007837CC" w:rsidRDefault="007036F8" w:rsidP="00C0377A">
      <w:pPr>
        <w:pStyle w:val="BodyText"/>
      </w:pPr>
      <w:r w:rsidRPr="007837CC">
        <w:lastRenderedPageBreak/>
        <w:t>Assessment of</w:t>
      </w:r>
      <w:r w:rsidR="00A46D1F" w:rsidRPr="007837CC">
        <w:t xml:space="preserve"> updating settings for 2024 and 2025</w:t>
      </w:r>
      <w:r w:rsidR="00E950C3" w:rsidRPr="007837CC">
        <w:t>,</w:t>
      </w:r>
      <w:r w:rsidR="00A46D1F" w:rsidRPr="007837CC">
        <w:t xml:space="preserve"> </w:t>
      </w:r>
      <w:r w:rsidR="00CD445B" w:rsidRPr="007837CC">
        <w:t>if possible</w:t>
      </w:r>
      <w:r w:rsidR="00E950C3" w:rsidRPr="007837CC">
        <w:t>,</w:t>
      </w:r>
      <w:r w:rsidR="00CD445B" w:rsidRPr="007837CC">
        <w:t xml:space="preserve"> </w:t>
      </w:r>
      <w:r w:rsidR="00A46D1F" w:rsidRPr="007837CC">
        <w:t xml:space="preserve">against retaining status quo settings for these years is provided in table </w:t>
      </w:r>
      <w:r w:rsidR="00E1068F" w:rsidRPr="007837CC">
        <w:t>4</w:t>
      </w:r>
      <w:r w:rsidR="00A46D1F" w:rsidRPr="007837CC">
        <w:t xml:space="preserve">. </w:t>
      </w:r>
    </w:p>
    <w:p w14:paraId="01A58322" w14:textId="1731E6D3" w:rsidR="00C814FD" w:rsidRPr="007837CC" w:rsidRDefault="00E1068F" w:rsidP="00E1068F">
      <w:pPr>
        <w:pStyle w:val="Tableheading"/>
      </w:pPr>
      <w:bookmarkStart w:id="31" w:name="_Toc133927338"/>
      <w:r w:rsidRPr="007837CC">
        <w:t>Table 4:</w:t>
      </w:r>
      <w:r w:rsidR="00D016A6" w:rsidRPr="007837CC">
        <w:tab/>
      </w:r>
      <w:r w:rsidR="007729C5" w:rsidRPr="007837CC">
        <w:t xml:space="preserve">Assessing whether to update unit settings for 2024 and </w:t>
      </w:r>
      <w:proofErr w:type="gramStart"/>
      <w:r w:rsidR="007729C5" w:rsidRPr="007837CC">
        <w:t>2025</w:t>
      </w:r>
      <w:bookmarkEnd w:id="31"/>
      <w:proofErr w:type="gramEnd"/>
      <w:r w:rsidR="007729C5" w:rsidRPr="007837CC">
        <w:t xml:space="preserve"> </w:t>
      </w:r>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shd w:val="clear" w:color="auto" w:fill="FFFFFF" w:themeFill="background1"/>
        <w:tblLayout w:type="fixed"/>
        <w:tblCellMar>
          <w:left w:w="85" w:type="dxa"/>
          <w:right w:w="57" w:type="dxa"/>
        </w:tblCellMar>
        <w:tblLook w:val="04A0" w:firstRow="1" w:lastRow="0" w:firstColumn="1" w:lastColumn="0" w:noHBand="0" w:noVBand="1"/>
      </w:tblPr>
      <w:tblGrid>
        <w:gridCol w:w="2400"/>
        <w:gridCol w:w="2703"/>
        <w:gridCol w:w="3402"/>
      </w:tblGrid>
      <w:tr w:rsidR="00365F23" w:rsidRPr="007837CC" w14:paraId="66DACC72" w14:textId="77777777" w:rsidTr="00AF5781">
        <w:tc>
          <w:tcPr>
            <w:tcW w:w="2400" w:type="dxa"/>
            <w:shd w:val="clear" w:color="auto" w:fill="1B556B" w:themeFill="text2"/>
            <w:vAlign w:val="bottom"/>
          </w:tcPr>
          <w:p w14:paraId="0D13534C" w14:textId="77777777" w:rsidR="00365F23" w:rsidRPr="007837CC" w:rsidRDefault="00365F23" w:rsidP="00AF5781">
            <w:pPr>
              <w:pStyle w:val="TableTextbold"/>
              <w:keepNext/>
              <w:spacing w:before="40" w:after="40"/>
              <w:rPr>
                <w:color w:val="FFFFFF" w:themeColor="background1"/>
              </w:rPr>
            </w:pPr>
            <w:r w:rsidRPr="007837CC">
              <w:rPr>
                <w:color w:val="FFFFFF" w:themeColor="background1"/>
              </w:rPr>
              <w:t>Criterion</w:t>
            </w:r>
          </w:p>
        </w:tc>
        <w:tc>
          <w:tcPr>
            <w:tcW w:w="2703" w:type="dxa"/>
            <w:shd w:val="clear" w:color="auto" w:fill="1B556B" w:themeFill="text2"/>
            <w:vAlign w:val="bottom"/>
          </w:tcPr>
          <w:p w14:paraId="396F461A" w14:textId="3BF5567E" w:rsidR="00365F23" w:rsidRPr="007837CC" w:rsidRDefault="00365F23" w:rsidP="00AF5781">
            <w:pPr>
              <w:pStyle w:val="TableTextbold"/>
              <w:keepNext/>
              <w:spacing w:before="40" w:after="40"/>
              <w:rPr>
                <w:rFonts w:cs="Arial"/>
                <w:color w:val="FFFFFF" w:themeColor="background1"/>
              </w:rPr>
            </w:pPr>
            <w:r w:rsidRPr="007837CC">
              <w:rPr>
                <w:rFonts w:cs="Arial"/>
                <w:color w:val="FFFFFF" w:themeColor="background1"/>
              </w:rPr>
              <w:t xml:space="preserve">Option one: </w:t>
            </w:r>
            <w:r w:rsidR="006D6204" w:rsidRPr="007837CC">
              <w:rPr>
                <w:rFonts w:cs="Arial"/>
                <w:color w:val="FFFFFF" w:themeColor="background1"/>
              </w:rPr>
              <w:t>Retain status quo settings for 2024 and 2025</w:t>
            </w:r>
            <w:r w:rsidR="00CD445B" w:rsidRPr="007837CC">
              <w:rPr>
                <w:rFonts w:cs="Arial"/>
                <w:color w:val="FFFFFF" w:themeColor="background1"/>
              </w:rPr>
              <w:t xml:space="preserve"> </w:t>
            </w:r>
          </w:p>
        </w:tc>
        <w:tc>
          <w:tcPr>
            <w:tcW w:w="3402" w:type="dxa"/>
            <w:shd w:val="clear" w:color="auto" w:fill="1B556B" w:themeFill="text2"/>
            <w:vAlign w:val="bottom"/>
          </w:tcPr>
          <w:p w14:paraId="7CE135D3" w14:textId="6F1047E5" w:rsidR="00365F23" w:rsidRPr="007837CC" w:rsidRDefault="00365F23" w:rsidP="00AF5781">
            <w:pPr>
              <w:pStyle w:val="TableTextbold"/>
              <w:keepNext/>
              <w:spacing w:before="40" w:after="40"/>
              <w:rPr>
                <w:rFonts w:cs="Arial"/>
                <w:color w:val="FFFFFF" w:themeColor="background1"/>
              </w:rPr>
            </w:pPr>
            <w:r w:rsidRPr="007837CC">
              <w:rPr>
                <w:rFonts w:cs="Arial"/>
                <w:color w:val="FFFFFF" w:themeColor="background1"/>
              </w:rPr>
              <w:t xml:space="preserve">Option two – </w:t>
            </w:r>
            <w:r w:rsidR="006D6204" w:rsidRPr="007837CC">
              <w:rPr>
                <w:rFonts w:cs="Arial"/>
                <w:color w:val="FFFFFF" w:themeColor="background1"/>
              </w:rPr>
              <w:t>Update settings for 2024 and 2025</w:t>
            </w:r>
            <w:r w:rsidR="00125795" w:rsidRPr="007837CC">
              <w:rPr>
                <w:rFonts w:cs="Arial"/>
                <w:color w:val="FFFFFF" w:themeColor="background1"/>
              </w:rPr>
              <w:t xml:space="preserve"> if poss</w:t>
            </w:r>
            <w:r w:rsidR="00CD445B" w:rsidRPr="007837CC">
              <w:rPr>
                <w:rFonts w:cs="Arial"/>
                <w:color w:val="FFFFFF" w:themeColor="background1"/>
              </w:rPr>
              <w:t>ible (Commission’s advice)</w:t>
            </w:r>
          </w:p>
        </w:tc>
      </w:tr>
      <w:tr w:rsidR="00365F23" w:rsidRPr="007837CC" w14:paraId="5E760D08" w14:textId="77777777" w:rsidTr="00AF5781">
        <w:tc>
          <w:tcPr>
            <w:tcW w:w="2400" w:type="dxa"/>
            <w:shd w:val="clear" w:color="auto" w:fill="FFFFFF" w:themeFill="background1"/>
          </w:tcPr>
          <w:p w14:paraId="72E227B9" w14:textId="77777777" w:rsidR="00365F23" w:rsidRPr="007837CC" w:rsidRDefault="00365F23" w:rsidP="00AF5781">
            <w:pPr>
              <w:pStyle w:val="TableText"/>
              <w:keepNext/>
              <w:rPr>
                <w:rFonts w:cs="Calibri"/>
                <w:bCs/>
                <w:color w:val="000000"/>
                <w:szCs w:val="18"/>
              </w:rPr>
            </w:pPr>
            <w:r w:rsidRPr="007837CC">
              <w:rPr>
                <w:rFonts w:cs="Calibri"/>
                <w:szCs w:val="18"/>
              </w:rPr>
              <w:t>Accords with New Zealand’s emissions budgets, NDC and 2050 target</w:t>
            </w:r>
          </w:p>
        </w:tc>
        <w:tc>
          <w:tcPr>
            <w:tcW w:w="2703" w:type="dxa"/>
            <w:shd w:val="clear" w:color="auto" w:fill="FFFFFF" w:themeFill="background1"/>
          </w:tcPr>
          <w:p w14:paraId="691ADD24" w14:textId="77777777" w:rsidR="00365F23" w:rsidRPr="007837CC" w:rsidRDefault="00365F23" w:rsidP="00AF5781">
            <w:pPr>
              <w:pStyle w:val="TableText"/>
              <w:keepNext/>
              <w:rPr>
                <w:rFonts w:cs="Calibri"/>
                <w:b/>
                <w:bCs/>
                <w:szCs w:val="18"/>
              </w:rPr>
            </w:pPr>
            <w:r w:rsidRPr="007837CC">
              <w:rPr>
                <w:rFonts w:cs="Calibri"/>
                <w:b/>
                <w:bCs/>
                <w:szCs w:val="18"/>
              </w:rPr>
              <w:t>0</w:t>
            </w:r>
          </w:p>
        </w:tc>
        <w:tc>
          <w:tcPr>
            <w:tcW w:w="3402" w:type="dxa"/>
            <w:shd w:val="clear" w:color="auto" w:fill="FFFFFF" w:themeFill="background1"/>
          </w:tcPr>
          <w:p w14:paraId="46A28E83" w14:textId="16275A6B" w:rsidR="00365F23" w:rsidRPr="007837CC" w:rsidRDefault="007729C5" w:rsidP="00AF5781">
            <w:pPr>
              <w:pStyle w:val="TableText"/>
              <w:keepNext/>
              <w:spacing w:before="0"/>
              <w:rPr>
                <w:rFonts w:cs="Calibri"/>
                <w:szCs w:val="18"/>
              </w:rPr>
            </w:pPr>
            <w:r w:rsidRPr="007837CC">
              <w:rPr>
                <w:b/>
                <w:bCs/>
                <w:color w:val="00B050"/>
                <w:szCs w:val="18"/>
              </w:rPr>
              <w:t>+</w:t>
            </w:r>
          </w:p>
          <w:p w14:paraId="315329C4" w14:textId="411D082B" w:rsidR="00365F23" w:rsidRPr="007837CC" w:rsidRDefault="00E0632A" w:rsidP="00AF5781">
            <w:pPr>
              <w:pStyle w:val="TableText"/>
              <w:keepNext/>
              <w:spacing w:before="0"/>
              <w:rPr>
                <w:rFonts w:cs="Calibri"/>
                <w:szCs w:val="18"/>
              </w:rPr>
            </w:pPr>
            <w:r w:rsidRPr="007837CC">
              <w:rPr>
                <w:rFonts w:cs="Calibri"/>
                <w:szCs w:val="18"/>
              </w:rPr>
              <w:t>Changes to unit supply for 2024 and 2025 would better align the NZ ETS with the emissions budget one period of 2022</w:t>
            </w:r>
            <w:r w:rsidR="00F136B7">
              <w:rPr>
                <w:rFonts w:cs="Calibri"/>
                <w:szCs w:val="18"/>
              </w:rPr>
              <w:t>–</w:t>
            </w:r>
            <w:r w:rsidRPr="007837CC">
              <w:rPr>
                <w:rFonts w:cs="Calibri"/>
                <w:szCs w:val="18"/>
              </w:rPr>
              <w:t>25</w:t>
            </w:r>
            <w:r w:rsidR="00F136B7">
              <w:rPr>
                <w:rFonts w:cs="Calibri"/>
                <w:szCs w:val="18"/>
              </w:rPr>
              <w:t>.</w:t>
            </w:r>
          </w:p>
        </w:tc>
      </w:tr>
      <w:tr w:rsidR="00365F23" w:rsidRPr="007837CC" w14:paraId="6F1F5934" w14:textId="77777777" w:rsidTr="00AF5781">
        <w:tc>
          <w:tcPr>
            <w:tcW w:w="2400" w:type="dxa"/>
            <w:shd w:val="clear" w:color="auto" w:fill="FFFFFF" w:themeFill="background1"/>
          </w:tcPr>
          <w:p w14:paraId="71DEDB06" w14:textId="77777777" w:rsidR="00365F23" w:rsidRPr="007837CC" w:rsidRDefault="00365F23" w:rsidP="00AF5781">
            <w:pPr>
              <w:pStyle w:val="TableText"/>
              <w:rPr>
                <w:rFonts w:cs="Calibri"/>
                <w:bCs/>
                <w:color w:val="000000"/>
                <w:szCs w:val="18"/>
              </w:rPr>
            </w:pPr>
            <w:r w:rsidRPr="007837CC">
              <w:rPr>
                <w:rFonts w:cs="Calibri"/>
                <w:szCs w:val="18"/>
              </w:rPr>
              <w:t>Supports the proper functioning of the NZ ETS</w:t>
            </w:r>
          </w:p>
        </w:tc>
        <w:tc>
          <w:tcPr>
            <w:tcW w:w="2703" w:type="dxa"/>
            <w:shd w:val="clear" w:color="auto" w:fill="FFFFFF" w:themeFill="background1"/>
          </w:tcPr>
          <w:p w14:paraId="0D855D55" w14:textId="77777777" w:rsidR="00365F23" w:rsidRPr="007837CC" w:rsidRDefault="00365F23" w:rsidP="00AF5781">
            <w:pPr>
              <w:pStyle w:val="TableText"/>
              <w:rPr>
                <w:rFonts w:cs="Calibri"/>
                <w:b/>
                <w:bCs/>
                <w:szCs w:val="18"/>
              </w:rPr>
            </w:pPr>
            <w:r w:rsidRPr="007837CC">
              <w:rPr>
                <w:rFonts w:cs="Calibri"/>
                <w:b/>
                <w:bCs/>
                <w:szCs w:val="18"/>
              </w:rPr>
              <w:t>0</w:t>
            </w:r>
          </w:p>
        </w:tc>
        <w:tc>
          <w:tcPr>
            <w:tcW w:w="3402" w:type="dxa"/>
            <w:shd w:val="clear" w:color="auto" w:fill="FFFFFF" w:themeFill="background1"/>
          </w:tcPr>
          <w:p w14:paraId="332009A9" w14:textId="3CBE76A9" w:rsidR="00365F23" w:rsidRPr="007837CC" w:rsidRDefault="00783E66" w:rsidP="00AF5781">
            <w:pPr>
              <w:pStyle w:val="TableText"/>
              <w:spacing w:before="0"/>
              <w:rPr>
                <w:rFonts w:cs="Calibri"/>
                <w:szCs w:val="18"/>
              </w:rPr>
            </w:pPr>
            <w:r w:rsidRPr="007837CC">
              <w:rPr>
                <w:rFonts w:cs="Calibri"/>
                <w:b/>
                <w:bCs/>
                <w:szCs w:val="18"/>
              </w:rPr>
              <w:t>0</w:t>
            </w:r>
          </w:p>
        </w:tc>
      </w:tr>
      <w:tr w:rsidR="00365F23" w:rsidRPr="007837CC" w14:paraId="26CF3C85" w14:textId="77777777" w:rsidTr="00AF5781">
        <w:tc>
          <w:tcPr>
            <w:tcW w:w="2400" w:type="dxa"/>
            <w:shd w:val="clear" w:color="auto" w:fill="FFFFFF" w:themeFill="background1"/>
          </w:tcPr>
          <w:p w14:paraId="20AE24AA" w14:textId="77777777" w:rsidR="00365F23" w:rsidRPr="007837CC" w:rsidRDefault="00365F23" w:rsidP="00AF5781">
            <w:pPr>
              <w:pStyle w:val="TableText"/>
              <w:rPr>
                <w:rFonts w:cs="Calibri"/>
                <w:bCs/>
                <w:color w:val="000000"/>
                <w:szCs w:val="18"/>
              </w:rPr>
            </w:pPr>
            <w:r w:rsidRPr="007837CC">
              <w:rPr>
                <w:rFonts w:cs="Calibri"/>
                <w:szCs w:val="18"/>
              </w:rPr>
              <w:t>Improves regulatory certainty and predictability</w:t>
            </w:r>
          </w:p>
        </w:tc>
        <w:tc>
          <w:tcPr>
            <w:tcW w:w="2703" w:type="dxa"/>
            <w:shd w:val="clear" w:color="auto" w:fill="FFFFFF" w:themeFill="background1"/>
          </w:tcPr>
          <w:p w14:paraId="53C16280" w14:textId="16A0B1EB" w:rsidR="00365F23" w:rsidRPr="007837CC" w:rsidRDefault="00783E66" w:rsidP="00AF5781">
            <w:pPr>
              <w:pStyle w:val="TableText"/>
              <w:rPr>
                <w:rFonts w:cs="Calibri"/>
                <w:szCs w:val="18"/>
              </w:rPr>
            </w:pPr>
            <w:r w:rsidRPr="007837CC">
              <w:rPr>
                <w:rFonts w:cs="Calibri"/>
                <w:b/>
                <w:bCs/>
                <w:szCs w:val="18"/>
              </w:rPr>
              <w:t>0</w:t>
            </w:r>
          </w:p>
        </w:tc>
        <w:tc>
          <w:tcPr>
            <w:tcW w:w="3402" w:type="dxa"/>
            <w:shd w:val="clear" w:color="auto" w:fill="FFFFFF" w:themeFill="background1"/>
          </w:tcPr>
          <w:p w14:paraId="3CECB30C" w14:textId="55300BA5" w:rsidR="00365F23" w:rsidRPr="007837CC" w:rsidRDefault="00263EAD" w:rsidP="00AF5781">
            <w:pPr>
              <w:pStyle w:val="TableText"/>
              <w:spacing w:before="0"/>
              <w:rPr>
                <w:b/>
                <w:bCs/>
                <w:color w:val="FF0000"/>
                <w:szCs w:val="18"/>
              </w:rPr>
            </w:pPr>
            <w:r w:rsidRPr="007837CC">
              <w:rPr>
                <w:b/>
                <w:bCs/>
                <w:color w:val="FF0000"/>
                <w:szCs w:val="18"/>
              </w:rPr>
              <w:t>–</w:t>
            </w:r>
            <w:r w:rsidR="00365F23" w:rsidRPr="007837CC">
              <w:rPr>
                <w:b/>
                <w:bCs/>
                <w:color w:val="FF0000"/>
                <w:szCs w:val="18"/>
              </w:rPr>
              <w:t xml:space="preserve"> </w:t>
            </w:r>
          </w:p>
          <w:p w14:paraId="40B97BCD" w14:textId="08D1B345" w:rsidR="00365F23" w:rsidRPr="007837CC" w:rsidRDefault="006D6204" w:rsidP="00AF5781">
            <w:pPr>
              <w:pStyle w:val="TableText"/>
              <w:spacing w:before="0"/>
              <w:rPr>
                <w:rFonts w:cs="Calibri"/>
                <w:szCs w:val="18"/>
              </w:rPr>
            </w:pPr>
            <w:r w:rsidRPr="007837CC">
              <w:rPr>
                <w:rFonts w:cs="Calibri"/>
                <w:szCs w:val="18"/>
              </w:rPr>
              <w:t>Reduces regulatory certainty and predictability by updating settings that are generally intended to be fixed</w:t>
            </w:r>
            <w:r w:rsidR="00F136B7">
              <w:rPr>
                <w:rFonts w:cs="Calibri"/>
                <w:szCs w:val="18"/>
              </w:rPr>
              <w:t>.</w:t>
            </w:r>
          </w:p>
        </w:tc>
      </w:tr>
      <w:tr w:rsidR="00365F23" w:rsidRPr="007837CC" w14:paraId="5C9CD944" w14:textId="77777777" w:rsidTr="00AF5781">
        <w:tc>
          <w:tcPr>
            <w:tcW w:w="2400" w:type="dxa"/>
            <w:shd w:val="clear" w:color="auto" w:fill="FFFFFF" w:themeFill="background1"/>
            <w:vAlign w:val="center"/>
          </w:tcPr>
          <w:p w14:paraId="77517402" w14:textId="77777777" w:rsidR="00365F23" w:rsidRPr="007837CC" w:rsidRDefault="00365F23" w:rsidP="00AF5781">
            <w:pPr>
              <w:pStyle w:val="TableText"/>
              <w:spacing w:before="40" w:after="40"/>
              <w:rPr>
                <w:rFonts w:cs="Calibri"/>
                <w:b/>
                <w:color w:val="000000"/>
                <w:szCs w:val="18"/>
              </w:rPr>
            </w:pPr>
            <w:r w:rsidRPr="007837CC">
              <w:rPr>
                <w:rFonts w:cs="Calibri"/>
                <w:b/>
                <w:color w:val="000000"/>
                <w:szCs w:val="18"/>
              </w:rPr>
              <w:t>Overall assessment</w:t>
            </w:r>
          </w:p>
        </w:tc>
        <w:tc>
          <w:tcPr>
            <w:tcW w:w="2703" w:type="dxa"/>
            <w:shd w:val="clear" w:color="auto" w:fill="FFFFFF" w:themeFill="background1"/>
          </w:tcPr>
          <w:p w14:paraId="0ADC6BB0" w14:textId="304E11A4" w:rsidR="00365F23" w:rsidRPr="007837CC" w:rsidRDefault="00783E66" w:rsidP="00AF5781">
            <w:pPr>
              <w:pStyle w:val="TableText"/>
              <w:spacing w:before="40" w:after="40"/>
              <w:rPr>
                <w:rFonts w:cs="Calibri"/>
                <w:szCs w:val="18"/>
              </w:rPr>
            </w:pPr>
            <w:r w:rsidRPr="007837CC">
              <w:rPr>
                <w:rFonts w:cs="Calibri"/>
                <w:b/>
                <w:bCs/>
                <w:szCs w:val="18"/>
              </w:rPr>
              <w:t>0</w:t>
            </w:r>
          </w:p>
        </w:tc>
        <w:tc>
          <w:tcPr>
            <w:tcW w:w="3402" w:type="dxa"/>
            <w:shd w:val="clear" w:color="auto" w:fill="FFFFFF" w:themeFill="background1"/>
          </w:tcPr>
          <w:p w14:paraId="4A431C25" w14:textId="77777777" w:rsidR="00F219B3" w:rsidRPr="007837CC" w:rsidRDefault="0008143B" w:rsidP="00AF5781">
            <w:pPr>
              <w:pStyle w:val="TableText"/>
              <w:spacing w:before="40" w:after="40"/>
              <w:rPr>
                <w:rFonts w:cs="Calibri"/>
                <w:b/>
                <w:bCs/>
                <w:szCs w:val="18"/>
              </w:rPr>
            </w:pPr>
            <w:r w:rsidRPr="007837CC">
              <w:rPr>
                <w:rFonts w:cs="Calibri"/>
                <w:b/>
                <w:bCs/>
                <w:szCs w:val="18"/>
              </w:rPr>
              <w:t>0</w:t>
            </w:r>
          </w:p>
          <w:p w14:paraId="451BF543" w14:textId="00F14618" w:rsidR="00365F23" w:rsidRPr="007837CC" w:rsidRDefault="0008143B" w:rsidP="00AF5781">
            <w:pPr>
              <w:pStyle w:val="TableText"/>
              <w:spacing w:before="40" w:after="40"/>
              <w:rPr>
                <w:rFonts w:cs="Calibri"/>
                <w:szCs w:val="18"/>
              </w:rPr>
            </w:pPr>
            <w:r w:rsidRPr="007837CC">
              <w:rPr>
                <w:rFonts w:cs="Calibri"/>
                <w:szCs w:val="18"/>
              </w:rPr>
              <w:t>Weighting of criteria could result in a different overall assessment</w:t>
            </w:r>
            <w:r w:rsidR="00F136B7">
              <w:rPr>
                <w:rFonts w:cs="Calibri"/>
                <w:szCs w:val="18"/>
              </w:rPr>
              <w:t>.</w:t>
            </w:r>
          </w:p>
        </w:tc>
      </w:tr>
    </w:tbl>
    <w:p w14:paraId="5520A5A7" w14:textId="77777777" w:rsidR="00E1068F" w:rsidRPr="007837CC" w:rsidRDefault="00E1068F" w:rsidP="000D5143">
      <w:pPr>
        <w:pStyle w:val="BodyText"/>
      </w:pP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E1068F" w:rsidRPr="007837CC" w14:paraId="42277101" w14:textId="77777777">
        <w:tc>
          <w:tcPr>
            <w:tcW w:w="0" w:type="auto"/>
            <w:shd w:val="clear" w:color="auto" w:fill="D2DDE2"/>
          </w:tcPr>
          <w:p w14:paraId="607FCF68" w14:textId="52BD297A" w:rsidR="00E1068F" w:rsidRPr="007837CC" w:rsidRDefault="00E1068F">
            <w:pPr>
              <w:pStyle w:val="Boxheading"/>
              <w:rPr>
                <w:rFonts w:cs="Calibri"/>
              </w:rPr>
            </w:pPr>
            <w:r w:rsidRPr="007837CC">
              <w:rPr>
                <w:rFonts w:cs="Calibri"/>
              </w:rPr>
              <w:t>Questions</w:t>
            </w:r>
          </w:p>
          <w:p w14:paraId="679E6C1A" w14:textId="4BFABDEF" w:rsidR="00630886" w:rsidRPr="007837CC" w:rsidRDefault="00630886" w:rsidP="00E1068F">
            <w:pPr>
              <w:pStyle w:val="Boxquestion"/>
              <w:spacing w:after="0"/>
              <w:ind w:left="681" w:hanging="397"/>
            </w:pPr>
            <w:r w:rsidRPr="007837CC">
              <w:t xml:space="preserve">Do you think that the proposed update to auction volumes to reflect a change in forestry emissions outside the NZ ETS </w:t>
            </w:r>
            <w:r w:rsidR="00AF4106" w:rsidRPr="007837CC">
              <w:t>is sufficient to allow unit settings for 2024 and 2025 to be updated?</w:t>
            </w:r>
          </w:p>
          <w:p w14:paraId="4516E440" w14:textId="512E8C8A" w:rsidR="00680A7C" w:rsidRPr="007837CC" w:rsidRDefault="00E1068F" w:rsidP="00E1068F">
            <w:pPr>
              <w:pStyle w:val="Boxquestion"/>
              <w:spacing w:after="0"/>
              <w:ind w:left="681" w:hanging="397"/>
            </w:pPr>
            <w:r w:rsidRPr="007837CC">
              <w:t xml:space="preserve">What </w:t>
            </w:r>
            <w:r w:rsidR="00E66E8A" w:rsidRPr="007837CC">
              <w:t>other</w:t>
            </w:r>
            <w:r w:rsidRPr="007837CC">
              <w:t xml:space="preserve"> </w:t>
            </w:r>
            <w:r w:rsidR="006977C3" w:rsidRPr="007837CC">
              <w:t>special circumstances</w:t>
            </w:r>
            <w:r w:rsidRPr="007837CC">
              <w:t xml:space="preserve">, if any, do you think exist that might enable updating NZ ETS unit settings for 2024 and 2025? </w:t>
            </w:r>
          </w:p>
          <w:p w14:paraId="21BBF32B" w14:textId="01D25BA9" w:rsidR="00E1068F" w:rsidRPr="007837CC" w:rsidRDefault="00E1068F" w:rsidP="00E1068F">
            <w:pPr>
              <w:pStyle w:val="Boxquestion"/>
              <w:spacing w:after="0"/>
              <w:ind w:left="681" w:hanging="397"/>
            </w:pPr>
            <w:r w:rsidRPr="007837CC">
              <w:t xml:space="preserve">If </w:t>
            </w:r>
            <w:r w:rsidR="004A393C" w:rsidRPr="007837CC">
              <w:t xml:space="preserve">there </w:t>
            </w:r>
            <w:r w:rsidR="009E35AD" w:rsidRPr="007837CC">
              <w:t xml:space="preserve">are </w:t>
            </w:r>
            <w:r w:rsidR="00CB7513" w:rsidRPr="007837CC">
              <w:t>special circumstances</w:t>
            </w:r>
            <w:r w:rsidRPr="007837CC">
              <w:t>, do you think updates to NZ ETS unit settings for 2024 and 2025 are justified and should be made?</w:t>
            </w:r>
          </w:p>
          <w:p w14:paraId="2244BD86" w14:textId="7E13077B" w:rsidR="00E1068F" w:rsidRPr="007837CC" w:rsidRDefault="00E1068F" w:rsidP="00E1068F">
            <w:pPr>
              <w:pStyle w:val="Boxquestion"/>
            </w:pPr>
            <w:r w:rsidRPr="007837CC">
              <w:t xml:space="preserve">Do you think that updates to NZ ETS unit settings for 2024 and 2025 should occur if </w:t>
            </w:r>
            <w:r w:rsidR="007034B1" w:rsidRPr="007837CC">
              <w:t xml:space="preserve">NZUs </w:t>
            </w:r>
            <w:r w:rsidRPr="007837CC">
              <w:t>from the cost containment reserve are sold at the June NZ ETS auction? Note, the Commission recommends that settings for 2024 and 2025 are updated in this situation.</w:t>
            </w:r>
          </w:p>
        </w:tc>
      </w:tr>
    </w:tbl>
    <w:p w14:paraId="39A5C4B6" w14:textId="77777777" w:rsidR="00E1068F" w:rsidRPr="007837CC" w:rsidRDefault="00E1068F" w:rsidP="000D5143">
      <w:pPr>
        <w:pStyle w:val="BodyText"/>
      </w:pPr>
    </w:p>
    <w:p w14:paraId="47BD63F5" w14:textId="49B3D89A" w:rsidR="000D5143" w:rsidRPr="007837CC" w:rsidRDefault="000D5143" w:rsidP="000D5143">
      <w:pPr>
        <w:pStyle w:val="BodyText"/>
      </w:pPr>
      <w:r w:rsidRPr="007837CC">
        <w:br w:type="page"/>
      </w:r>
    </w:p>
    <w:p w14:paraId="170BD4FC" w14:textId="7F61DF05" w:rsidR="006B5A4A" w:rsidRPr="007837CC" w:rsidRDefault="006B5A4A" w:rsidP="000D5143">
      <w:pPr>
        <w:pStyle w:val="Heading1"/>
      </w:pPr>
      <w:bookmarkStart w:id="32" w:name="_Toc135300668"/>
      <w:r w:rsidRPr="007837CC">
        <w:lastRenderedPageBreak/>
        <w:t>Updat</w:t>
      </w:r>
      <w:r w:rsidR="00F30934" w:rsidRPr="007837CC">
        <w:t>ing NZ ETS</w:t>
      </w:r>
      <w:r w:rsidRPr="007837CC">
        <w:t xml:space="preserve"> limit</w:t>
      </w:r>
      <w:bookmarkEnd w:id="20"/>
      <w:r w:rsidR="002E7124" w:rsidRPr="007837CC">
        <w:t xml:space="preserve">s </w:t>
      </w:r>
      <w:r w:rsidR="0007418F" w:rsidRPr="007837CC">
        <w:t>for units</w:t>
      </w:r>
      <w:bookmarkEnd w:id="32"/>
    </w:p>
    <w:p w14:paraId="7BC5F0BC" w14:textId="77777777" w:rsidR="006B5A4A" w:rsidRPr="007837CC" w:rsidRDefault="006B5A4A" w:rsidP="004A6F9C">
      <w:pPr>
        <w:pStyle w:val="Heading2"/>
        <w:spacing w:before="240"/>
      </w:pPr>
      <w:bookmarkStart w:id="33" w:name="_Toc69287557"/>
      <w:bookmarkStart w:id="34" w:name="_Toc135300669"/>
      <w:r w:rsidRPr="007837CC">
        <w:t>Background</w:t>
      </w:r>
      <w:bookmarkEnd w:id="33"/>
      <w:bookmarkEnd w:id="34"/>
    </w:p>
    <w:p w14:paraId="73B14DE3" w14:textId="69BED078" w:rsidR="006B5A4A" w:rsidRPr="007837CC" w:rsidRDefault="006B5A4A" w:rsidP="004A6F9C">
      <w:pPr>
        <w:pStyle w:val="BodyText"/>
      </w:pPr>
      <w:r w:rsidRPr="007837CC">
        <w:t>The Act requires</w:t>
      </w:r>
      <w:r w:rsidRPr="007837CC">
        <w:rPr>
          <w:rStyle w:val="FootnoteReference"/>
        </w:rPr>
        <w:footnoteReference w:id="12"/>
      </w:r>
      <w:r w:rsidRPr="007837CC">
        <w:t xml:space="preserve"> </w:t>
      </w:r>
      <w:r w:rsidR="0003175C" w:rsidRPr="007837CC">
        <w:t xml:space="preserve">updates to </w:t>
      </w:r>
      <w:r w:rsidRPr="007837CC">
        <w:t>regulation</w:t>
      </w:r>
      <w:r w:rsidR="0003175C" w:rsidRPr="007837CC">
        <w:t>s every year</w:t>
      </w:r>
      <w:r w:rsidRPr="007837CC">
        <w:t xml:space="preserve"> to </w:t>
      </w:r>
      <w:r w:rsidR="00DB689D" w:rsidRPr="007837CC">
        <w:t>ensure that</w:t>
      </w:r>
      <w:r w:rsidRPr="007837CC">
        <w:t xml:space="preserve"> limits</w:t>
      </w:r>
      <w:r w:rsidR="00DB689D" w:rsidRPr="007837CC">
        <w:t xml:space="preserve"> are prescribed</w:t>
      </w:r>
      <w:r w:rsidRPr="007837CC">
        <w:t xml:space="preserve"> for</w:t>
      </w:r>
      <w:r w:rsidR="00AE782D" w:rsidRPr="007837CC">
        <w:t xml:space="preserve"> each of</w:t>
      </w:r>
      <w:r w:rsidRPr="007837CC">
        <w:t xml:space="preserve"> the following five calendar years</w:t>
      </w:r>
      <w:r w:rsidR="002C5E7B" w:rsidRPr="007837CC">
        <w:t>. These limits</w:t>
      </w:r>
      <w:r w:rsidR="0003175C" w:rsidRPr="007837CC">
        <w:t xml:space="preserve"> </w:t>
      </w:r>
      <w:r w:rsidR="000F560A" w:rsidRPr="007837CC">
        <w:t>are</w:t>
      </w:r>
      <w:r w:rsidRPr="007837CC">
        <w:t>:</w:t>
      </w:r>
    </w:p>
    <w:p w14:paraId="7405E563" w14:textId="25044383" w:rsidR="006B5A4A" w:rsidRPr="007837CC" w:rsidRDefault="00BB1935" w:rsidP="000D5143">
      <w:pPr>
        <w:pStyle w:val="Bullet"/>
      </w:pPr>
      <w:r w:rsidRPr="007837CC">
        <w:rPr>
          <w:b/>
          <w:bCs/>
        </w:rPr>
        <w:t>a</w:t>
      </w:r>
      <w:r w:rsidR="006B5A4A" w:rsidRPr="007837CC">
        <w:rPr>
          <w:b/>
          <w:bCs/>
        </w:rPr>
        <w:t xml:space="preserve"> limit on the NZUs available by auction</w:t>
      </w:r>
      <w:r w:rsidR="006B5A4A" w:rsidRPr="007837CC">
        <w:t xml:space="preserve"> (annual auction volume </w:t>
      </w:r>
      <w:r w:rsidR="00F136B7">
        <w:t>plus</w:t>
      </w:r>
      <w:r w:rsidR="00F136B7" w:rsidRPr="007837CC">
        <w:t xml:space="preserve"> </w:t>
      </w:r>
      <w:r w:rsidR="006B5A4A" w:rsidRPr="007837CC">
        <w:t>volume available within the cost containment reserve)</w:t>
      </w:r>
    </w:p>
    <w:p w14:paraId="213E04C6" w14:textId="769CF7EA" w:rsidR="006B5A4A" w:rsidRPr="007837CC" w:rsidRDefault="00BB1935" w:rsidP="004A6F9C">
      <w:pPr>
        <w:pStyle w:val="Bullet"/>
        <w:rPr>
          <w:b/>
          <w:bCs/>
        </w:rPr>
      </w:pPr>
      <w:r w:rsidRPr="007837CC">
        <w:rPr>
          <w:b/>
          <w:bCs/>
        </w:rPr>
        <w:t>a</w:t>
      </w:r>
      <w:r w:rsidR="006B5A4A" w:rsidRPr="007837CC">
        <w:rPr>
          <w:b/>
          <w:bCs/>
        </w:rPr>
        <w:t xml:space="preserve"> limit on approved overseas units</w:t>
      </w:r>
    </w:p>
    <w:p w14:paraId="6349D281" w14:textId="4163B913" w:rsidR="006B5A4A" w:rsidRPr="007837CC" w:rsidRDefault="00BB1935" w:rsidP="000D5143">
      <w:pPr>
        <w:pStyle w:val="Bullet"/>
      </w:pPr>
      <w:r w:rsidRPr="007837CC">
        <w:rPr>
          <w:b/>
          <w:bCs/>
        </w:rPr>
        <w:t>a</w:t>
      </w:r>
      <w:r w:rsidR="006B5A4A" w:rsidRPr="007837CC">
        <w:rPr>
          <w:b/>
          <w:bCs/>
        </w:rPr>
        <w:t>n overall limit on units</w:t>
      </w:r>
      <w:r w:rsidR="00D419F8" w:rsidRPr="007837CC">
        <w:rPr>
          <w:b/>
          <w:bCs/>
        </w:rPr>
        <w:t xml:space="preserve"> </w:t>
      </w:r>
      <w:r w:rsidR="00D419F8" w:rsidRPr="007837CC">
        <w:t>(often referred to as the ETS cap,</w:t>
      </w:r>
      <w:r w:rsidR="00CB7894" w:rsidRPr="007837CC">
        <w:t xml:space="preserve"> which consists</w:t>
      </w:r>
      <w:r w:rsidR="00D419F8" w:rsidRPr="007837CC">
        <w:t xml:space="preserve"> of units available by auction</w:t>
      </w:r>
      <w:r w:rsidR="00CB7894" w:rsidRPr="007837CC">
        <w:t xml:space="preserve"> and</w:t>
      </w:r>
      <w:r w:rsidR="00D419F8" w:rsidRPr="007837CC">
        <w:t xml:space="preserve"> by other means</w:t>
      </w:r>
      <w:r w:rsidR="00C26285" w:rsidRPr="007837CC">
        <w:rPr>
          <w:rStyle w:val="FootnoteReference"/>
        </w:rPr>
        <w:footnoteReference w:id="13"/>
      </w:r>
      <w:r w:rsidR="00D419F8" w:rsidRPr="007837CC">
        <w:t xml:space="preserve"> and approved overseas units)</w:t>
      </w:r>
      <w:r w:rsidR="0003175C" w:rsidRPr="007837CC">
        <w:t>.</w:t>
      </w:r>
    </w:p>
    <w:p w14:paraId="1C7BA925" w14:textId="18C9D306" w:rsidR="0000488C" w:rsidRPr="007837CC" w:rsidRDefault="0000488C" w:rsidP="004A6F9C">
      <w:pPr>
        <w:pStyle w:val="BodyText"/>
      </w:pPr>
      <w:r w:rsidRPr="007837CC">
        <w:t xml:space="preserve">Although </w:t>
      </w:r>
      <w:r w:rsidR="0003175C" w:rsidRPr="007837CC">
        <w:t xml:space="preserve">regulations do not </w:t>
      </w:r>
      <w:r w:rsidR="00E63885" w:rsidRPr="007837CC">
        <w:t>prescribe</w:t>
      </w:r>
      <w:r w:rsidR="0003175C" w:rsidRPr="007837CC">
        <w:t xml:space="preserve"> </w:t>
      </w:r>
      <w:r w:rsidRPr="007837CC">
        <w:t xml:space="preserve">annual auction volumes, </w:t>
      </w:r>
      <w:r w:rsidR="0003175C" w:rsidRPr="007837CC">
        <w:t xml:space="preserve">it is possible </w:t>
      </w:r>
      <w:r w:rsidRPr="007837CC">
        <w:t>to calculate</w:t>
      </w:r>
      <w:r w:rsidR="0003175C" w:rsidRPr="007837CC">
        <w:t xml:space="preserve"> them</w:t>
      </w:r>
      <w:r w:rsidRPr="007837CC">
        <w:t xml:space="preserve"> from the published limits (</w:t>
      </w:r>
      <w:r w:rsidR="00222C72" w:rsidRPr="007837CC">
        <w:t>by subtracting the</w:t>
      </w:r>
      <w:r w:rsidRPr="007837CC">
        <w:t xml:space="preserve"> cost containment reserve volume</w:t>
      </w:r>
      <w:r w:rsidR="00222C72" w:rsidRPr="007837CC">
        <w:t xml:space="preserve"> from the limit on </w:t>
      </w:r>
      <w:r w:rsidR="001837BA" w:rsidRPr="007837CC">
        <w:t>units available by auction</w:t>
      </w:r>
      <w:r w:rsidRPr="007837CC">
        <w:t xml:space="preserve">). These annual auction volumes must be published along with the annual auction calendar. </w:t>
      </w:r>
    </w:p>
    <w:p w14:paraId="7CF4B557" w14:textId="39686C81" w:rsidR="00D85977" w:rsidRPr="007837CC" w:rsidRDefault="005132D3" w:rsidP="004A6F9C">
      <w:pPr>
        <w:pStyle w:val="BodyText"/>
      </w:pPr>
      <w:r w:rsidRPr="007837CC">
        <w:t xml:space="preserve">These limits </w:t>
      </w:r>
      <w:r w:rsidR="006844ED" w:rsidRPr="007837CC">
        <w:t>describe</w:t>
      </w:r>
      <w:r w:rsidRPr="007837CC">
        <w:t xml:space="preserve"> the volume of new NZUs the Government can provide to the market</w:t>
      </w:r>
      <w:r w:rsidR="000B0FA0" w:rsidRPr="007837CC">
        <w:t xml:space="preserve"> for</w:t>
      </w:r>
      <w:r w:rsidR="00A47BEC" w:rsidRPr="007837CC">
        <w:t> </w:t>
      </w:r>
      <w:r w:rsidR="000B0FA0" w:rsidRPr="007837CC">
        <w:t>purposes other than removal activities</w:t>
      </w:r>
      <w:r w:rsidR="0003175C" w:rsidRPr="007837CC">
        <w:t>.</w:t>
      </w:r>
      <w:r w:rsidR="00DC6C81" w:rsidRPr="007837CC">
        <w:rPr>
          <w:rStyle w:val="FootnoteReference"/>
        </w:rPr>
        <w:footnoteReference w:id="14"/>
      </w:r>
      <w:r w:rsidR="003E3C99" w:rsidRPr="007837CC">
        <w:t xml:space="preserve"> </w:t>
      </w:r>
      <w:r w:rsidR="000B0FA0" w:rsidRPr="007837CC">
        <w:t>P</w:t>
      </w:r>
      <w:r w:rsidRPr="007837CC">
        <w:t xml:space="preserve">articipants can use </w:t>
      </w:r>
      <w:r w:rsidR="000B0FA0" w:rsidRPr="007837CC">
        <w:t>any</w:t>
      </w:r>
      <w:r w:rsidR="001004EB" w:rsidRPr="007837CC">
        <w:t xml:space="preserve"> units, including those</w:t>
      </w:r>
      <w:r w:rsidR="00A47BEC" w:rsidRPr="007837CC">
        <w:t> </w:t>
      </w:r>
      <w:r w:rsidR="001004EB" w:rsidRPr="007837CC">
        <w:t>already stockpiled and those transferred for removal activities, to</w:t>
      </w:r>
      <w:r w:rsidRPr="007837CC">
        <w:t xml:space="preserve"> meet their </w:t>
      </w:r>
      <w:r w:rsidR="001004EB" w:rsidRPr="007837CC">
        <w:t>NZ ETS</w:t>
      </w:r>
      <w:r w:rsidRPr="007837CC">
        <w:t xml:space="preserve"> surrender obligations</w:t>
      </w:r>
      <w:r w:rsidR="001004EB" w:rsidRPr="007837CC">
        <w:t xml:space="preserve">. </w:t>
      </w:r>
    </w:p>
    <w:p w14:paraId="4A86B46B" w14:textId="0631D9DC" w:rsidR="007B29F5" w:rsidRPr="007837CC" w:rsidRDefault="005132D3" w:rsidP="004A6F9C">
      <w:pPr>
        <w:pStyle w:val="BodyText"/>
      </w:pPr>
      <w:r w:rsidRPr="007837CC">
        <w:t>The Climate Change (Auctions, Limits, and Price Controls for Units) Regulations 2020 came into</w:t>
      </w:r>
      <w:r w:rsidR="000D5143" w:rsidRPr="007837CC">
        <w:t> </w:t>
      </w:r>
      <w:r w:rsidRPr="007837CC">
        <w:t xml:space="preserve">force on 4 January 2021 and included unit limits for </w:t>
      </w:r>
      <w:r w:rsidR="00D52102" w:rsidRPr="007837CC">
        <w:t>2021</w:t>
      </w:r>
      <w:r w:rsidR="008E57FE" w:rsidRPr="007837CC">
        <w:t>–2</w:t>
      </w:r>
      <w:r w:rsidRPr="007837CC">
        <w:t>5. The first Government NZU</w:t>
      </w:r>
      <w:r w:rsidR="002146B1" w:rsidRPr="007837CC">
        <w:t xml:space="preserve"> </w:t>
      </w:r>
      <w:r w:rsidRPr="007837CC">
        <w:t xml:space="preserve">auction </w:t>
      </w:r>
      <w:r w:rsidR="001E4B5B" w:rsidRPr="007837CC">
        <w:t>took place</w:t>
      </w:r>
      <w:r w:rsidRPr="007837CC">
        <w:t xml:space="preserve"> in March 2021.</w:t>
      </w:r>
      <w:r w:rsidR="00D85977" w:rsidRPr="007837CC">
        <w:t xml:space="preserve"> </w:t>
      </w:r>
      <w:r w:rsidR="00A42B95" w:rsidRPr="007837CC">
        <w:t>Updates to regulations mean that they now prescribe</w:t>
      </w:r>
      <w:r w:rsidR="00CB7894" w:rsidRPr="007837CC">
        <w:t xml:space="preserve"> </w:t>
      </w:r>
      <w:r w:rsidR="004F4520" w:rsidRPr="007837CC">
        <w:t xml:space="preserve">limits </w:t>
      </w:r>
      <w:r w:rsidR="00A42B95" w:rsidRPr="007837CC">
        <w:t>for units for the years 2023</w:t>
      </w:r>
      <w:r w:rsidR="000D5143" w:rsidRPr="007837CC">
        <w:t>–</w:t>
      </w:r>
      <w:r w:rsidR="00A42B95" w:rsidRPr="007837CC">
        <w:t>27</w:t>
      </w:r>
      <w:r w:rsidR="004F4520" w:rsidRPr="007837CC">
        <w:t>.</w:t>
      </w:r>
      <w:r w:rsidR="005D3339" w:rsidRPr="007837CC">
        <w:t xml:space="preserve"> </w:t>
      </w:r>
    </w:p>
    <w:p w14:paraId="2436AE44" w14:textId="6CB137D7" w:rsidR="00860557" w:rsidRPr="007837CC" w:rsidRDefault="003A4D5E" w:rsidP="00BD5223">
      <w:pPr>
        <w:pStyle w:val="Heading2"/>
        <w:rPr>
          <w:rStyle w:val="Heading3Char"/>
          <w:b/>
          <w:bCs/>
          <w:sz w:val="36"/>
          <w:szCs w:val="26"/>
        </w:rPr>
      </w:pPr>
      <w:bookmarkStart w:id="35" w:name="_Methodology_to_calculate"/>
      <w:bookmarkStart w:id="36" w:name="_Toc135300670"/>
      <w:bookmarkEnd w:id="35"/>
      <w:r w:rsidRPr="007837CC">
        <w:rPr>
          <w:rStyle w:val="Heading3Char"/>
          <w:b/>
          <w:bCs/>
          <w:sz w:val="36"/>
          <w:szCs w:val="26"/>
        </w:rPr>
        <w:t>Methodology</w:t>
      </w:r>
      <w:r w:rsidR="00860557" w:rsidRPr="007837CC">
        <w:rPr>
          <w:rStyle w:val="Heading3Char"/>
          <w:b/>
          <w:bCs/>
          <w:sz w:val="36"/>
          <w:szCs w:val="26"/>
        </w:rPr>
        <w:t xml:space="preserve"> to calculate limits</w:t>
      </w:r>
      <w:r w:rsidR="00BA1158" w:rsidRPr="007837CC">
        <w:rPr>
          <w:rStyle w:val="Heading3Char"/>
          <w:b/>
          <w:bCs/>
          <w:sz w:val="36"/>
          <w:szCs w:val="26"/>
        </w:rPr>
        <w:t xml:space="preserve"> for </w:t>
      </w:r>
      <w:proofErr w:type="gramStart"/>
      <w:r w:rsidR="00BA1158" w:rsidRPr="007837CC">
        <w:rPr>
          <w:rStyle w:val="Heading3Char"/>
          <w:b/>
          <w:bCs/>
          <w:sz w:val="36"/>
          <w:szCs w:val="26"/>
        </w:rPr>
        <w:t>units</w:t>
      </w:r>
      <w:bookmarkEnd w:id="36"/>
      <w:proofErr w:type="gramEnd"/>
    </w:p>
    <w:p w14:paraId="50CDA5E0" w14:textId="753848C2" w:rsidR="00860557" w:rsidRPr="007837CC" w:rsidRDefault="00860557" w:rsidP="00BD5223">
      <w:pPr>
        <w:pStyle w:val="BodyText"/>
      </w:pPr>
      <w:r w:rsidRPr="007837CC">
        <w:rPr>
          <w:spacing w:val="-2"/>
        </w:rPr>
        <w:t>To update the NZ ETS limits</w:t>
      </w:r>
      <w:r w:rsidR="00BA1158" w:rsidRPr="007837CC">
        <w:rPr>
          <w:spacing w:val="-2"/>
        </w:rPr>
        <w:t xml:space="preserve"> for units</w:t>
      </w:r>
      <w:r w:rsidRPr="007837CC">
        <w:rPr>
          <w:spacing w:val="-2"/>
        </w:rPr>
        <w:t>, th</w:t>
      </w:r>
      <w:r w:rsidR="00490818" w:rsidRPr="007837CC">
        <w:rPr>
          <w:spacing w:val="-2"/>
        </w:rPr>
        <w:t>is document</w:t>
      </w:r>
      <w:r w:rsidRPr="007837CC">
        <w:rPr>
          <w:spacing w:val="-2"/>
        </w:rPr>
        <w:t xml:space="preserve"> </w:t>
      </w:r>
      <w:r w:rsidR="006E0CA0" w:rsidRPr="007837CC">
        <w:rPr>
          <w:spacing w:val="-2"/>
        </w:rPr>
        <w:t>proposes following the</w:t>
      </w:r>
      <w:r w:rsidRPr="007837CC">
        <w:rPr>
          <w:spacing w:val="-2"/>
        </w:rPr>
        <w:t xml:space="preserve"> same methodology</w:t>
      </w:r>
      <w:r w:rsidRPr="007837CC">
        <w:t xml:space="preserve"> </w:t>
      </w:r>
      <w:r w:rsidR="002911DB" w:rsidRPr="007837CC">
        <w:t>that</w:t>
      </w:r>
      <w:r w:rsidR="0037785F" w:rsidRPr="007837CC">
        <w:t xml:space="preserve"> was used to calculate limits in 2</w:t>
      </w:r>
      <w:r w:rsidR="003159BB" w:rsidRPr="007837CC">
        <w:t>022</w:t>
      </w:r>
      <w:r w:rsidRPr="007837CC">
        <w:t xml:space="preserve">. </w:t>
      </w:r>
      <w:r w:rsidR="004E0005" w:rsidRPr="007837CC">
        <w:t xml:space="preserve">This </w:t>
      </w:r>
      <w:r w:rsidR="0017157E" w:rsidRPr="007837CC">
        <w:t>involves</w:t>
      </w:r>
      <w:r w:rsidR="00E64EE4" w:rsidRPr="007837CC">
        <w:t xml:space="preserve"> </w:t>
      </w:r>
      <w:r w:rsidR="008B5135" w:rsidRPr="007837CC">
        <w:t xml:space="preserve">a step </w:t>
      </w:r>
      <w:r w:rsidR="00E64EE4" w:rsidRPr="007837CC">
        <w:t>consider</w:t>
      </w:r>
      <w:r w:rsidR="008B5135" w:rsidRPr="007837CC">
        <w:t>ing</w:t>
      </w:r>
      <w:r w:rsidR="00E64EE4" w:rsidRPr="007837CC">
        <w:t xml:space="preserve"> </w:t>
      </w:r>
      <w:r w:rsidR="008179CA" w:rsidRPr="007837CC">
        <w:t>how limits s</w:t>
      </w:r>
      <w:r w:rsidR="008B5135" w:rsidRPr="007837CC">
        <w:t>hould accord with emissions budgets, the NDC and the 2050 targets</w:t>
      </w:r>
      <w:r w:rsidR="001B2A20" w:rsidRPr="007837CC">
        <w:t xml:space="preserve">, followed by </w:t>
      </w:r>
      <w:r w:rsidR="004E0005" w:rsidRPr="007837CC">
        <w:t>a series of</w:t>
      </w:r>
      <w:r w:rsidR="00644D76" w:rsidRPr="007837CC">
        <w:t xml:space="preserve"> six calculation</w:t>
      </w:r>
      <w:r w:rsidR="004E0005" w:rsidRPr="007837CC">
        <w:t xml:space="preserve"> ste</w:t>
      </w:r>
      <w:r w:rsidR="00644D76" w:rsidRPr="007837CC">
        <w:t>ps</w:t>
      </w:r>
      <w:r w:rsidR="00E7665C" w:rsidRPr="007837CC">
        <w:t xml:space="preserve"> to arrive at auction volumes</w:t>
      </w:r>
      <w:r w:rsidR="001B2A20" w:rsidRPr="007837CC">
        <w:t>. These auction volumes ar</w:t>
      </w:r>
      <w:r w:rsidR="00B40579" w:rsidRPr="007837CC">
        <w:t>e then used with other</w:t>
      </w:r>
      <w:r w:rsidR="000D5143" w:rsidRPr="007837CC">
        <w:t> </w:t>
      </w:r>
      <w:r w:rsidR="00B40579" w:rsidRPr="007837CC">
        <w:t>data points</w:t>
      </w:r>
      <w:r w:rsidR="006B0059" w:rsidRPr="007837CC">
        <w:t>, including the cost containment reserve volume,</w:t>
      </w:r>
      <w:r w:rsidR="00B40579" w:rsidRPr="007837CC">
        <w:t xml:space="preserve"> to calculate the limits that regulations</w:t>
      </w:r>
      <w:r w:rsidR="000C1094" w:rsidRPr="007837CC">
        <w:t xml:space="preserve"> will prescribe</w:t>
      </w:r>
      <w:r w:rsidR="00B40579" w:rsidRPr="007837CC">
        <w:t>.</w:t>
      </w:r>
      <w:r w:rsidR="005D3339" w:rsidRPr="007837CC">
        <w:t xml:space="preserve"> </w:t>
      </w:r>
    </w:p>
    <w:p w14:paraId="4BA95A4C" w14:textId="4303DBD2" w:rsidR="000867C0" w:rsidRPr="007837CC" w:rsidRDefault="007979FF" w:rsidP="000D5143">
      <w:pPr>
        <w:pStyle w:val="BodyText"/>
        <w:keepNext/>
      </w:pPr>
      <w:r w:rsidRPr="007837CC">
        <w:lastRenderedPageBreak/>
        <w:t>In summary, the</w:t>
      </w:r>
      <w:r w:rsidR="00644D76" w:rsidRPr="007837CC">
        <w:t xml:space="preserve"> seven steps</w:t>
      </w:r>
      <w:r w:rsidRPr="007837CC">
        <w:t xml:space="preserve"> are to:</w:t>
      </w:r>
    </w:p>
    <w:p w14:paraId="537DE6F0" w14:textId="3F8B1C36" w:rsidR="00644D76" w:rsidRPr="007837CC" w:rsidRDefault="002146B1" w:rsidP="00B829C3">
      <w:pPr>
        <w:pStyle w:val="Numberedparagraph"/>
        <w:keepNext/>
      </w:pPr>
      <w:r w:rsidRPr="007837CC">
        <w:t>A</w:t>
      </w:r>
      <w:r w:rsidR="00644D76" w:rsidRPr="007837CC">
        <w:t>ccord with the domestic emissions budgets, the NDC</w:t>
      </w:r>
      <w:r w:rsidRPr="007837CC">
        <w:t>,</w:t>
      </w:r>
      <w:r w:rsidR="00644D76" w:rsidRPr="007837CC">
        <w:t xml:space="preserve"> and the 2050 target</w:t>
      </w:r>
      <w:r w:rsidR="004A393C" w:rsidRPr="007837CC">
        <w:t>.</w:t>
      </w:r>
      <w:r w:rsidR="00644D76" w:rsidRPr="007837CC">
        <w:t xml:space="preserve"> </w:t>
      </w:r>
    </w:p>
    <w:p w14:paraId="57C1C6D5" w14:textId="31A4E908" w:rsidR="00644D76" w:rsidRPr="007837CC" w:rsidRDefault="002146B1" w:rsidP="00B829C3">
      <w:pPr>
        <w:pStyle w:val="Numberedparagraph"/>
        <w:keepNext/>
      </w:pPr>
      <w:r w:rsidRPr="007837CC">
        <w:t>A</w:t>
      </w:r>
      <w:r w:rsidR="00644D76" w:rsidRPr="007837CC">
        <w:t>llocate the emissions budgets to NZ ETS and non-NZ ETS sectors</w:t>
      </w:r>
      <w:r w:rsidR="004A393C" w:rsidRPr="007837CC">
        <w:t>.</w:t>
      </w:r>
    </w:p>
    <w:p w14:paraId="5056781A" w14:textId="1DD15C27" w:rsidR="00644D76" w:rsidRPr="007837CC" w:rsidRDefault="002146B1" w:rsidP="00BD5223">
      <w:pPr>
        <w:pStyle w:val="Numberedparagraph"/>
      </w:pPr>
      <w:r w:rsidRPr="007837CC">
        <w:t>M</w:t>
      </w:r>
      <w:r w:rsidR="00644D76" w:rsidRPr="007837CC">
        <w:t>ake technical adjustments</w:t>
      </w:r>
      <w:r w:rsidR="004A393C" w:rsidRPr="007837CC">
        <w:t>.</w:t>
      </w:r>
    </w:p>
    <w:p w14:paraId="5E796366" w14:textId="0DBB5671" w:rsidR="00644D76" w:rsidRPr="007837CC" w:rsidRDefault="002146B1" w:rsidP="00BD5223">
      <w:pPr>
        <w:pStyle w:val="Numberedparagraph"/>
      </w:pPr>
      <w:r w:rsidRPr="007837CC">
        <w:t>A</w:t>
      </w:r>
      <w:r w:rsidR="00644D76" w:rsidRPr="007837CC">
        <w:t>ccount for free NZU allocation volumes</w:t>
      </w:r>
      <w:r w:rsidR="004A393C" w:rsidRPr="007837CC">
        <w:t>.</w:t>
      </w:r>
    </w:p>
    <w:p w14:paraId="4AADEE4B" w14:textId="79342330" w:rsidR="00644D76" w:rsidRPr="007837CC" w:rsidRDefault="002146B1" w:rsidP="00BD5223">
      <w:pPr>
        <w:pStyle w:val="Numberedparagraph"/>
      </w:pPr>
      <w:r w:rsidRPr="007837CC">
        <w:t>S</w:t>
      </w:r>
      <w:r w:rsidR="00644D76" w:rsidRPr="007837CC">
        <w:t xml:space="preserve">et </w:t>
      </w:r>
      <w:r w:rsidR="00512874" w:rsidRPr="007837CC">
        <w:t xml:space="preserve">the </w:t>
      </w:r>
      <w:r w:rsidR="00644D76" w:rsidRPr="007837CC">
        <w:t>reduction volume to address unit surplus</w:t>
      </w:r>
      <w:r w:rsidR="004A393C" w:rsidRPr="007837CC">
        <w:t>.</w:t>
      </w:r>
    </w:p>
    <w:p w14:paraId="23B9D414" w14:textId="6BB97010" w:rsidR="00644D76" w:rsidRPr="007837CC" w:rsidRDefault="002146B1" w:rsidP="00BD5223">
      <w:pPr>
        <w:pStyle w:val="Numberedparagraph"/>
      </w:pPr>
      <w:r w:rsidRPr="007837CC">
        <w:t>S</w:t>
      </w:r>
      <w:r w:rsidR="00644D76" w:rsidRPr="007837CC">
        <w:t xml:space="preserve">et </w:t>
      </w:r>
      <w:r w:rsidR="00512874" w:rsidRPr="007837CC">
        <w:t xml:space="preserve">the </w:t>
      </w:r>
      <w:r w:rsidR="00644D76" w:rsidRPr="007837CC">
        <w:t>approved overseas unit limit</w:t>
      </w:r>
      <w:r w:rsidR="004A393C" w:rsidRPr="007837CC">
        <w:t>.</w:t>
      </w:r>
      <w:r w:rsidR="00644D76" w:rsidRPr="007837CC">
        <w:t xml:space="preserve"> </w:t>
      </w:r>
    </w:p>
    <w:p w14:paraId="4FC9722E" w14:textId="29F273BA" w:rsidR="00644D76" w:rsidRPr="007837CC" w:rsidRDefault="002146B1" w:rsidP="00BD5223">
      <w:pPr>
        <w:pStyle w:val="Numberedparagraph"/>
      </w:pPr>
      <w:bookmarkStart w:id="37" w:name="_Hlk132288236"/>
      <w:r w:rsidRPr="007837CC">
        <w:t>C</w:t>
      </w:r>
      <w:r w:rsidR="00644D76" w:rsidRPr="007837CC">
        <w:t>alculate the auction volume and assess sensitivity and risks</w:t>
      </w:r>
      <w:bookmarkEnd w:id="37"/>
      <w:r w:rsidR="007979FF" w:rsidRPr="007837CC">
        <w:t>.</w:t>
      </w:r>
    </w:p>
    <w:p w14:paraId="3C799A5C" w14:textId="6B2EEFFE" w:rsidR="001208AD" w:rsidRPr="007837CC" w:rsidRDefault="001208AD" w:rsidP="0074184D">
      <w:pPr>
        <w:pStyle w:val="BodyText"/>
      </w:pPr>
      <w:r w:rsidRPr="007837CC">
        <w:t>T</w:t>
      </w:r>
      <w:r w:rsidR="00363522" w:rsidRPr="007837CC">
        <w:t xml:space="preserve">hese steps are described in more detail below. </w:t>
      </w:r>
    </w:p>
    <w:p w14:paraId="556DB43C" w14:textId="771BD3B3" w:rsidR="00DE1D73" w:rsidRPr="007837CC" w:rsidRDefault="009C5804" w:rsidP="00081382">
      <w:pPr>
        <w:pStyle w:val="Heading4"/>
        <w:tabs>
          <w:tab w:val="clear" w:pos="851"/>
        </w:tabs>
        <w:ind w:left="397" w:hanging="397"/>
      </w:pPr>
      <w:r w:rsidRPr="007837CC">
        <w:t>1</w:t>
      </w:r>
      <w:r w:rsidR="003424E5" w:rsidRPr="007837CC">
        <w:t>.</w:t>
      </w:r>
      <w:r w:rsidRPr="007837CC">
        <w:t xml:space="preserve"> </w:t>
      </w:r>
      <w:r w:rsidR="0074184D" w:rsidRPr="007837CC">
        <w:tab/>
      </w:r>
      <w:r w:rsidR="00DE1D73" w:rsidRPr="007837CC">
        <w:t>Accord with the domestic emissions budgets, the NDC</w:t>
      </w:r>
      <w:r w:rsidR="004A393C" w:rsidRPr="007837CC">
        <w:t>,</w:t>
      </w:r>
      <w:r w:rsidR="00DE1D73" w:rsidRPr="007837CC">
        <w:t xml:space="preserve"> and</w:t>
      </w:r>
      <w:r w:rsidR="00F560AC" w:rsidRPr="007837CC">
        <w:t> </w:t>
      </w:r>
      <w:r w:rsidR="00DE1D73" w:rsidRPr="007837CC">
        <w:t>the</w:t>
      </w:r>
      <w:r w:rsidR="0074184D" w:rsidRPr="007837CC">
        <w:t> </w:t>
      </w:r>
      <w:r w:rsidR="00DE1D73" w:rsidRPr="007837CC">
        <w:t xml:space="preserve">2050 target </w:t>
      </w:r>
    </w:p>
    <w:p w14:paraId="2EC7B7B3" w14:textId="77C0898B" w:rsidR="009920C9" w:rsidRPr="007837CC" w:rsidRDefault="00FA24DD" w:rsidP="0074184D">
      <w:pPr>
        <w:pStyle w:val="BodyText"/>
      </w:pPr>
      <w:r w:rsidRPr="007837CC">
        <w:t xml:space="preserve">The Act requires </w:t>
      </w:r>
      <w:r w:rsidR="00497261" w:rsidRPr="007837CC">
        <w:t xml:space="preserve">the </w:t>
      </w:r>
      <w:r w:rsidRPr="007837CC">
        <w:t xml:space="preserve">NZ ETS limits for units </w:t>
      </w:r>
      <w:r w:rsidR="00497261" w:rsidRPr="007837CC">
        <w:t>to</w:t>
      </w:r>
      <w:r w:rsidR="009920C9" w:rsidRPr="007837CC">
        <w:t xml:space="preserve"> accord with the emissions budgets, </w:t>
      </w:r>
      <w:r w:rsidR="00504B8D" w:rsidRPr="007837CC">
        <w:t>NDC</w:t>
      </w:r>
      <w:r w:rsidR="009920C9" w:rsidRPr="007837CC">
        <w:t xml:space="preserve"> </w:t>
      </w:r>
      <w:r w:rsidR="006511E5" w:rsidRPr="007837CC">
        <w:t xml:space="preserve">and 2050 target. However, they </w:t>
      </w:r>
      <w:r w:rsidR="004A393C" w:rsidRPr="007837CC">
        <w:t xml:space="preserve">do </w:t>
      </w:r>
      <w:r w:rsidR="006511E5" w:rsidRPr="007837CC">
        <w:t xml:space="preserve">not </w:t>
      </w:r>
      <w:r w:rsidR="004A393C" w:rsidRPr="007837CC">
        <w:t xml:space="preserve">need to </w:t>
      </w:r>
      <w:r w:rsidR="006511E5" w:rsidRPr="007837CC">
        <w:t xml:space="preserve">strictly accord with these if the Minister is satisfied that any discrepancy is </w:t>
      </w:r>
      <w:r w:rsidR="0063432C" w:rsidRPr="007837CC">
        <w:t xml:space="preserve">justified after considering other prescribed matters. </w:t>
      </w:r>
    </w:p>
    <w:p w14:paraId="5692EB21" w14:textId="3AD2CC0D" w:rsidR="00F736BE" w:rsidRPr="007837CC" w:rsidRDefault="004048C9" w:rsidP="0074184D">
      <w:pPr>
        <w:pStyle w:val="BodyText"/>
      </w:pPr>
      <w:r w:rsidRPr="007837CC">
        <w:t>The NDC is set at a differe</w:t>
      </w:r>
      <w:r w:rsidR="0042490F" w:rsidRPr="007837CC">
        <w:t xml:space="preserve">nt level to emissions budgets. </w:t>
      </w:r>
      <w:r w:rsidR="00E54032" w:rsidRPr="007837CC">
        <w:t xml:space="preserve">Offshore mitigation is required to meet </w:t>
      </w:r>
      <w:r w:rsidR="00184623" w:rsidRPr="007837CC">
        <w:t xml:space="preserve">New Zealand’s first </w:t>
      </w:r>
      <w:r w:rsidR="00E54032" w:rsidRPr="007837CC">
        <w:t>NDC</w:t>
      </w:r>
      <w:r w:rsidR="0002323A" w:rsidRPr="007837CC">
        <w:t>.</w:t>
      </w:r>
      <w:r w:rsidR="00F136B7">
        <w:t xml:space="preserve"> </w:t>
      </w:r>
      <w:r w:rsidR="0002323A" w:rsidRPr="007837CC">
        <w:t>U</w:t>
      </w:r>
      <w:r w:rsidR="00F53F9D" w:rsidRPr="007837CC">
        <w:t xml:space="preserve">ntil </w:t>
      </w:r>
      <w:r w:rsidR="00070464" w:rsidRPr="007837CC">
        <w:t xml:space="preserve">more detail on </w:t>
      </w:r>
      <w:r w:rsidR="00184623" w:rsidRPr="007837CC">
        <w:t>New Zealand’s approach to acquiring offshore mitigation is available</w:t>
      </w:r>
      <w:r w:rsidR="008C6396" w:rsidRPr="007837CC">
        <w:t>, it is not appropriate to set limits on approved overseas units</w:t>
      </w:r>
      <w:r w:rsidR="00EE13A0" w:rsidRPr="007837CC">
        <w:t xml:space="preserve">. </w:t>
      </w:r>
    </w:p>
    <w:p w14:paraId="171EEF11" w14:textId="3EBA8808" w:rsidR="00710242" w:rsidRPr="007837CC" w:rsidRDefault="00710242" w:rsidP="0074184D">
      <w:pPr>
        <w:pStyle w:val="BodyText"/>
      </w:pPr>
      <w:r w:rsidRPr="007837CC">
        <w:t>In 2022, t</w:t>
      </w:r>
      <w:r w:rsidR="007D09A5" w:rsidRPr="007837CC">
        <w:t>he Commission recommended that</w:t>
      </w:r>
      <w:r w:rsidR="007737E6" w:rsidRPr="007837CC">
        <w:t xml:space="preserve">: </w:t>
      </w:r>
      <w:r w:rsidR="00B531E9" w:rsidRPr="007837CC">
        <w:t>“</w:t>
      </w:r>
      <w:r w:rsidR="00533823" w:rsidRPr="007837CC">
        <w:t xml:space="preserve">The overall unit limit and the limit on units available by auction are set in line with the emissions budgets, as </w:t>
      </w:r>
      <w:proofErr w:type="gramStart"/>
      <w:r w:rsidR="00533823" w:rsidRPr="007837CC">
        <w:t>stepping stones</w:t>
      </w:r>
      <w:proofErr w:type="gramEnd"/>
      <w:r w:rsidR="00533823" w:rsidRPr="007837CC">
        <w:t xml:space="preserve"> to the 2050</w:t>
      </w:r>
      <w:r w:rsidR="00450C0D" w:rsidRPr="007837CC">
        <w:t> </w:t>
      </w:r>
      <w:r w:rsidR="00533823" w:rsidRPr="007837CC">
        <w:t>target and the Government’s intended domestic contribution to the NDC</w:t>
      </w:r>
      <w:r w:rsidR="007737E6" w:rsidRPr="007837CC">
        <w:t>.</w:t>
      </w:r>
      <w:r w:rsidR="00533823" w:rsidRPr="007837CC">
        <w:t>”</w:t>
      </w:r>
      <w:r w:rsidR="007737E6" w:rsidRPr="007837CC">
        <w:t xml:space="preserve"> </w:t>
      </w:r>
    </w:p>
    <w:p w14:paraId="3EF31F4A" w14:textId="57BDE67A" w:rsidR="007737E6" w:rsidRPr="007837CC" w:rsidRDefault="00710242" w:rsidP="0074184D">
      <w:pPr>
        <w:pStyle w:val="BodyText"/>
      </w:pPr>
      <w:r w:rsidRPr="007837CC">
        <w:t>This was the approach taken in updates to NZ ETS unit limits in 2022, and is the approach recommended this year.</w:t>
      </w:r>
    </w:p>
    <w:p w14:paraId="29CE95D6" w14:textId="700E6267" w:rsidR="009C5804" w:rsidRPr="007837CC" w:rsidRDefault="009C5804" w:rsidP="00081382">
      <w:pPr>
        <w:pStyle w:val="Heading4"/>
        <w:tabs>
          <w:tab w:val="clear" w:pos="851"/>
        </w:tabs>
        <w:ind w:left="397" w:hanging="397"/>
      </w:pPr>
      <w:bookmarkStart w:id="38" w:name="_2.__Allocate"/>
      <w:bookmarkEnd w:id="38"/>
      <w:r w:rsidRPr="007837CC">
        <w:t>2</w:t>
      </w:r>
      <w:r w:rsidR="003424E5" w:rsidRPr="007837CC">
        <w:t>.</w:t>
      </w:r>
      <w:r w:rsidRPr="007837CC">
        <w:t xml:space="preserve"> </w:t>
      </w:r>
      <w:r w:rsidR="00081382" w:rsidRPr="007837CC">
        <w:tab/>
      </w:r>
      <w:r w:rsidRPr="007837CC">
        <w:t>Allocate the emissions budgets to NZ ETS</w:t>
      </w:r>
      <w:r w:rsidR="00450C0D" w:rsidRPr="007837CC">
        <w:t xml:space="preserve"> </w:t>
      </w:r>
      <w:r w:rsidR="00F560AC" w:rsidRPr="007837CC">
        <w:br/>
      </w:r>
      <w:r w:rsidRPr="007837CC">
        <w:t>and</w:t>
      </w:r>
      <w:r w:rsidR="00F560AC" w:rsidRPr="007837CC">
        <w:t xml:space="preserve"> </w:t>
      </w:r>
      <w:r w:rsidRPr="007837CC">
        <w:t>non-NZ ETS sectors</w:t>
      </w:r>
    </w:p>
    <w:p w14:paraId="2D4A9CEC" w14:textId="362A072B" w:rsidR="00A64752" w:rsidRPr="007837CC" w:rsidRDefault="005212BB" w:rsidP="00A64752">
      <w:pPr>
        <w:pStyle w:val="BodyText"/>
      </w:pPr>
      <w:r w:rsidRPr="007837CC">
        <w:t xml:space="preserve">This step </w:t>
      </w:r>
      <w:r w:rsidR="006E07D2" w:rsidRPr="007837CC">
        <w:t xml:space="preserve">allocates emissions budgets between sectors that </w:t>
      </w:r>
      <w:r w:rsidR="00AF45BA" w:rsidRPr="007837CC">
        <w:t>the NZ ETS</w:t>
      </w:r>
      <w:r w:rsidR="00497261" w:rsidRPr="007837CC">
        <w:t xml:space="preserve"> covers</w:t>
      </w:r>
      <w:r w:rsidR="00AF45BA" w:rsidRPr="007837CC">
        <w:t xml:space="preserve"> and those </w:t>
      </w:r>
      <w:r w:rsidR="00497261" w:rsidRPr="007837CC">
        <w:t xml:space="preserve">sectors </w:t>
      </w:r>
      <w:r w:rsidR="00AF45BA" w:rsidRPr="007837CC">
        <w:t xml:space="preserve">that </w:t>
      </w:r>
      <w:r w:rsidR="00497261" w:rsidRPr="007837CC">
        <w:t xml:space="preserve">it does </w:t>
      </w:r>
      <w:r w:rsidR="00AF45BA" w:rsidRPr="007837CC">
        <w:t xml:space="preserve">not. </w:t>
      </w:r>
      <w:r w:rsidR="00A64752" w:rsidRPr="007837CC">
        <w:t xml:space="preserve">This can be described as ‘setting the cap’ for the NZ ETS, where the ‘cap’ refers to the targeted level of net emissions for sectors the NZ ETS covers – that is, sectors for which emissions are reported and that either receive </w:t>
      </w:r>
      <w:r w:rsidR="007034B1" w:rsidRPr="007837CC">
        <w:t>NZUs</w:t>
      </w:r>
      <w:r w:rsidR="00A64752" w:rsidRPr="007837CC">
        <w:t xml:space="preserve"> for removals or are obliged to surrender </w:t>
      </w:r>
      <w:r w:rsidR="007034B1" w:rsidRPr="007837CC">
        <w:t>NZUs</w:t>
      </w:r>
      <w:r w:rsidR="00A64752" w:rsidRPr="007837CC">
        <w:t xml:space="preserve"> for these emissions. </w:t>
      </w:r>
    </w:p>
    <w:p w14:paraId="2272DBEF" w14:textId="77777777" w:rsidR="00A64752" w:rsidRPr="007837CC" w:rsidRDefault="00A64752" w:rsidP="00A64752">
      <w:pPr>
        <w:pStyle w:val="BodyText"/>
      </w:pPr>
      <w:r w:rsidRPr="007837CC">
        <w:t xml:space="preserve">Sectors the NZ ETS does not cover include: </w:t>
      </w:r>
    </w:p>
    <w:p w14:paraId="2B6C28C5" w14:textId="77777777" w:rsidR="00A64752" w:rsidRPr="007837CC" w:rsidRDefault="00A64752" w:rsidP="00450C0D">
      <w:pPr>
        <w:pStyle w:val="Bullet"/>
      </w:pPr>
      <w:r w:rsidRPr="007837CC">
        <w:t xml:space="preserve">agriculture </w:t>
      </w:r>
    </w:p>
    <w:p w14:paraId="6F64CD97" w14:textId="77777777" w:rsidR="00A64752" w:rsidRPr="007837CC" w:rsidRDefault="00A64752" w:rsidP="00A64752">
      <w:pPr>
        <w:pStyle w:val="Bullet"/>
      </w:pPr>
      <w:r w:rsidRPr="007837CC">
        <w:t xml:space="preserve">non-municipal waste </w:t>
      </w:r>
    </w:p>
    <w:p w14:paraId="09300F02" w14:textId="1C4B4BEC" w:rsidR="00A64752" w:rsidRPr="007837CC" w:rsidRDefault="00A64752" w:rsidP="00A64752">
      <w:pPr>
        <w:pStyle w:val="Bullet"/>
      </w:pPr>
      <w:r w:rsidRPr="007837CC">
        <w:t>fluorinated gases covered by the</w:t>
      </w:r>
      <w:r w:rsidR="00F136B7">
        <w:t xml:space="preserve"> </w:t>
      </w:r>
      <w:r w:rsidR="00F136B7" w:rsidRPr="005B7AD0">
        <w:t xml:space="preserve">synthetic greenhouse gas </w:t>
      </w:r>
      <w:r w:rsidR="00F136B7">
        <w:t>(</w:t>
      </w:r>
      <w:r w:rsidRPr="007837CC">
        <w:t>SGG</w:t>
      </w:r>
      <w:r w:rsidR="00F136B7">
        <w:t>)</w:t>
      </w:r>
      <w:r w:rsidRPr="007837CC">
        <w:t xml:space="preserve"> </w:t>
      </w:r>
      <w:proofErr w:type="gramStart"/>
      <w:r w:rsidRPr="007837CC">
        <w:t>levy</w:t>
      </w:r>
      <w:proofErr w:type="gramEnd"/>
    </w:p>
    <w:p w14:paraId="13BC863D" w14:textId="77777777" w:rsidR="00A64752" w:rsidRPr="007837CC" w:rsidRDefault="00A64752" w:rsidP="00A64752">
      <w:pPr>
        <w:pStyle w:val="Bullet"/>
      </w:pPr>
      <w:r w:rsidRPr="007837CC">
        <w:t xml:space="preserve">methane and nitrous oxide emissions from biomass combustion </w:t>
      </w:r>
    </w:p>
    <w:p w14:paraId="427682B7" w14:textId="77777777" w:rsidR="00A64752" w:rsidRPr="007837CC" w:rsidRDefault="00A64752" w:rsidP="00A64752">
      <w:pPr>
        <w:pStyle w:val="Bullet"/>
      </w:pPr>
      <w:r w:rsidRPr="007837CC">
        <w:t xml:space="preserve">a small subset of industrial process and product use emissions </w:t>
      </w:r>
    </w:p>
    <w:p w14:paraId="578174EE" w14:textId="77777777" w:rsidR="00A64752" w:rsidRPr="007837CC" w:rsidRDefault="00A64752" w:rsidP="00A64752">
      <w:pPr>
        <w:pStyle w:val="Bullet"/>
      </w:pPr>
      <w:r w:rsidRPr="007837CC">
        <w:t>the subset of post-1989 forest land that is not registered in the NZ ETS and deforestation of pre-1990 native forest land.</w:t>
      </w:r>
    </w:p>
    <w:p w14:paraId="1C6FAF1F" w14:textId="2AB36984" w:rsidR="00A64752" w:rsidRPr="007837CC" w:rsidRDefault="00A64752" w:rsidP="00A64752">
      <w:pPr>
        <w:pStyle w:val="BodyText"/>
        <w:rPr>
          <w:rFonts w:asciiTheme="minorHAnsi" w:hAnsiTheme="minorHAnsi" w:cstheme="minorHAnsi"/>
        </w:rPr>
      </w:pPr>
      <w:r w:rsidRPr="007837CC">
        <w:lastRenderedPageBreak/>
        <w:t>In 2022, the Commission recommended using emissions data from its demonstration path</w:t>
      </w:r>
      <w:r w:rsidR="00207BFF" w:rsidRPr="007837CC">
        <w:t xml:space="preserve"> </w:t>
      </w:r>
      <w:r w:rsidR="00450C0D" w:rsidRPr="007837CC">
        <w:br/>
      </w:r>
      <w:r w:rsidR="00207BFF" w:rsidRPr="007837CC">
        <w:t xml:space="preserve">– </w:t>
      </w:r>
      <w:r w:rsidR="00AB72F1" w:rsidRPr="007837CC">
        <w:t xml:space="preserve">one pathway towards </w:t>
      </w:r>
      <w:r w:rsidR="0086279E" w:rsidRPr="007837CC">
        <w:t xml:space="preserve">meeting </w:t>
      </w:r>
      <w:r w:rsidR="00207BFF" w:rsidRPr="007837CC">
        <w:t>emissions budgets</w:t>
      </w:r>
      <w:r w:rsidRPr="007837CC">
        <w:t xml:space="preserve"> </w:t>
      </w:r>
      <w:r w:rsidR="00450C0D" w:rsidRPr="007837CC">
        <w:t>–</w:t>
      </w:r>
      <w:r w:rsidRPr="007837CC">
        <w:t xml:space="preserve"> to calculate the component of emissions budgets allocated to NZ ETS and non-NZ ETS sectors. </w:t>
      </w:r>
      <w:r w:rsidRPr="007837CC">
        <w:rPr>
          <w:rFonts w:asciiTheme="minorHAnsi" w:hAnsiTheme="minorHAnsi" w:cstheme="minorHAnsi"/>
        </w:rPr>
        <w:t>Policy decisions in 2022 reflected this recommendation.</w:t>
      </w:r>
    </w:p>
    <w:p w14:paraId="4108E950" w14:textId="1D7EDB43" w:rsidR="00DC7961" w:rsidRPr="007837CC" w:rsidRDefault="00DC7961" w:rsidP="00A64752">
      <w:pPr>
        <w:pStyle w:val="BodyText"/>
        <w:rPr>
          <w:rFonts w:asciiTheme="minorHAnsi" w:hAnsiTheme="minorHAnsi" w:cstheme="minorHAnsi"/>
        </w:rPr>
      </w:pPr>
      <w:r w:rsidRPr="007837CC">
        <w:t>The Commission has updated its estimates of forestry emissions outside the NZ ETS to account for recent changes in levels of forest land registered in the NZ ETS. The Commission’s analysis suggests the portion of the emissions budget allocated to the NZ ETS should now be smaller. Their recommendation is to reduce auction volumes to reflect this.</w:t>
      </w:r>
      <w:r w:rsidR="00DD5E4B" w:rsidRPr="007837CC">
        <w:t xml:space="preserve"> </w:t>
      </w:r>
      <w:r w:rsidRPr="007837CC">
        <w:t>We are interested in your feedback on</w:t>
      </w:r>
      <w:r w:rsidR="00DD5E4B" w:rsidRPr="007837CC">
        <w:t xml:space="preserve"> </w:t>
      </w:r>
      <w:r w:rsidRPr="007837CC">
        <w:t>the Commission’s estimates of forestry emissions outside the NZ ETS and on the Commission’s recommendation to make a resulting adjustment to auction volumes</w:t>
      </w:r>
      <w:r w:rsidR="00F136B7">
        <w:t>.</w:t>
      </w:r>
    </w:p>
    <w:p w14:paraId="039DF7E1" w14:textId="0B8282D0" w:rsidR="00A64752" w:rsidRPr="007837CC" w:rsidRDefault="00CB1A67" w:rsidP="00A64752">
      <w:pPr>
        <w:pStyle w:val="BodyText"/>
        <w:rPr>
          <w:rFonts w:asciiTheme="minorHAnsi" w:hAnsiTheme="minorHAnsi" w:cstheme="minorHAnsi"/>
        </w:rPr>
      </w:pPr>
      <w:r w:rsidRPr="007837CC">
        <w:rPr>
          <w:rFonts w:asciiTheme="minorHAnsi" w:hAnsiTheme="minorHAnsi" w:cstheme="minorHAnsi"/>
        </w:rPr>
        <w:t>U</w:t>
      </w:r>
      <w:r w:rsidR="00A64752" w:rsidRPr="007837CC">
        <w:rPr>
          <w:rFonts w:asciiTheme="minorHAnsi" w:hAnsiTheme="minorHAnsi" w:cstheme="minorHAnsi"/>
        </w:rPr>
        <w:t>sing the demonstration path means the emissions from each sector</w:t>
      </w:r>
      <w:r w:rsidR="00C61F7B" w:rsidRPr="007837CC">
        <w:rPr>
          <w:rFonts w:asciiTheme="minorHAnsi" w:hAnsiTheme="minorHAnsi" w:cstheme="minorHAnsi"/>
        </w:rPr>
        <w:t xml:space="preserve"> used in this calculation</w:t>
      </w:r>
      <w:r w:rsidR="00A64752" w:rsidRPr="007837CC">
        <w:rPr>
          <w:rFonts w:asciiTheme="minorHAnsi" w:hAnsiTheme="minorHAnsi" w:cstheme="minorHAnsi"/>
        </w:rPr>
        <w:t xml:space="preserve"> have not changed for 2023</w:t>
      </w:r>
      <w:r w:rsidR="00C61F7B" w:rsidRPr="007837CC">
        <w:rPr>
          <w:rFonts w:asciiTheme="minorHAnsi" w:hAnsiTheme="minorHAnsi" w:cstheme="minorHAnsi"/>
        </w:rPr>
        <w:t>. However</w:t>
      </w:r>
      <w:r w:rsidR="008C216C" w:rsidRPr="007837CC">
        <w:rPr>
          <w:rFonts w:asciiTheme="minorHAnsi" w:hAnsiTheme="minorHAnsi" w:cstheme="minorHAnsi"/>
        </w:rPr>
        <w:t>,</w:t>
      </w:r>
      <w:r w:rsidR="00DD5E4B" w:rsidRPr="007837CC">
        <w:rPr>
          <w:rFonts w:asciiTheme="minorHAnsi" w:hAnsiTheme="minorHAnsi" w:cstheme="minorHAnsi"/>
        </w:rPr>
        <w:t xml:space="preserve"> </w:t>
      </w:r>
      <w:r w:rsidR="00A64752" w:rsidRPr="007837CC">
        <w:rPr>
          <w:rFonts w:asciiTheme="minorHAnsi" w:hAnsiTheme="minorHAnsi" w:cstheme="minorHAnsi"/>
        </w:rPr>
        <w:t xml:space="preserve">the Commission’s analysis suggests that the significant increase in the proportion of eligible post-1989 forest land registered in the NZ ETS has had an impact on demonstration path forestry emissions outside the NZ ETS. </w:t>
      </w:r>
    </w:p>
    <w:p w14:paraId="5E3B2E61" w14:textId="45A30B27" w:rsidR="00A64752" w:rsidRPr="007837CC" w:rsidRDefault="00A64752" w:rsidP="00A64752">
      <w:pPr>
        <w:pStyle w:val="BodyText"/>
        <w:rPr>
          <w:rFonts w:asciiTheme="minorHAnsi" w:hAnsiTheme="minorHAnsi" w:cstheme="minorHAnsi"/>
        </w:rPr>
      </w:pPr>
      <w:r w:rsidRPr="007837CC">
        <w:rPr>
          <w:rFonts w:asciiTheme="minorHAnsi" w:hAnsiTheme="minorHAnsi" w:cstheme="minorHAnsi"/>
        </w:rPr>
        <w:t xml:space="preserve">This has the impact of increasing </w:t>
      </w:r>
      <w:r w:rsidR="003B28F5" w:rsidRPr="007837CC">
        <w:rPr>
          <w:rFonts w:asciiTheme="minorHAnsi" w:hAnsiTheme="minorHAnsi" w:cstheme="minorHAnsi"/>
        </w:rPr>
        <w:t xml:space="preserve">estimates of </w:t>
      </w:r>
      <w:r w:rsidRPr="007837CC">
        <w:rPr>
          <w:rFonts w:asciiTheme="minorHAnsi" w:hAnsiTheme="minorHAnsi" w:cstheme="minorHAnsi"/>
        </w:rPr>
        <w:t xml:space="preserve">net emissions outside the </w:t>
      </w:r>
      <w:r w:rsidR="00ED7F5F" w:rsidRPr="007837CC">
        <w:rPr>
          <w:rFonts w:asciiTheme="minorHAnsi" w:hAnsiTheme="minorHAnsi" w:cstheme="minorHAnsi"/>
        </w:rPr>
        <w:t>NZ ETS</w:t>
      </w:r>
      <w:r w:rsidRPr="007837CC">
        <w:rPr>
          <w:rFonts w:asciiTheme="minorHAnsi" w:hAnsiTheme="minorHAnsi" w:cstheme="minorHAnsi"/>
        </w:rPr>
        <w:t xml:space="preserve">, which means that emissions outside the scheme take up a greater proportion of the emissions budget. The result is that the </w:t>
      </w:r>
      <w:r w:rsidR="00ED7F5F" w:rsidRPr="007837CC">
        <w:rPr>
          <w:rFonts w:asciiTheme="minorHAnsi" w:hAnsiTheme="minorHAnsi" w:cstheme="minorHAnsi"/>
        </w:rPr>
        <w:t xml:space="preserve">NZ </w:t>
      </w:r>
      <w:r w:rsidRPr="007837CC">
        <w:rPr>
          <w:rFonts w:asciiTheme="minorHAnsi" w:hAnsiTheme="minorHAnsi" w:cstheme="minorHAnsi"/>
        </w:rPr>
        <w:t xml:space="preserve">ETS has a smaller share of the emissions budget, leading to a reduction of auction volumes. This is described in more detail below. </w:t>
      </w:r>
    </w:p>
    <w:p w14:paraId="35AC2C54" w14:textId="48EC1F92" w:rsidR="00A64752" w:rsidRPr="007837CC" w:rsidRDefault="00A64752" w:rsidP="00C245E7">
      <w:pPr>
        <w:pStyle w:val="Heading5"/>
      </w:pPr>
      <w:r w:rsidRPr="007837CC">
        <w:t>The contribution of forestry emissions to the demonstration path is based on ‘target</w:t>
      </w:r>
      <w:r w:rsidR="00450C0D" w:rsidRPr="007837CC">
        <w:t> </w:t>
      </w:r>
      <w:proofErr w:type="gramStart"/>
      <w:r w:rsidRPr="007837CC">
        <w:t>accounting’</w:t>
      </w:r>
      <w:proofErr w:type="gramEnd"/>
    </w:p>
    <w:p w14:paraId="292D74E6" w14:textId="1C0861EF" w:rsidR="00A64752" w:rsidRPr="007837CC" w:rsidRDefault="00A64752" w:rsidP="00450C0D">
      <w:pPr>
        <w:pStyle w:val="BodyText"/>
      </w:pPr>
      <w:r w:rsidRPr="007837CC">
        <w:t>The net emissions from forestry used in the demonstration path are calculated with respect to</w:t>
      </w:r>
      <w:r w:rsidR="002E0323" w:rsidRPr="007837CC">
        <w:t> </w:t>
      </w:r>
      <w:r w:rsidR="00F136B7">
        <w:t>‘</w:t>
      </w:r>
      <w:r w:rsidR="001D22DD">
        <w:t>T</w:t>
      </w:r>
      <w:r w:rsidRPr="007837CC">
        <w:t>arget accounting</w:t>
      </w:r>
      <w:r w:rsidR="00F136B7">
        <w:t>’</w:t>
      </w:r>
      <w:r w:rsidRPr="007837CC">
        <w:t xml:space="preserve"> methodologies, the way in which forestry emissions are calculated to determine achievement against New Zealand’s first NDC, domestic emissions budgets, and 2050 target. </w:t>
      </w:r>
    </w:p>
    <w:p w14:paraId="4FEA61FD" w14:textId="7585744B" w:rsidR="00A64752" w:rsidRPr="007837CC" w:rsidRDefault="00A64752" w:rsidP="00450C0D">
      <w:pPr>
        <w:pStyle w:val="BodyText"/>
      </w:pPr>
      <w:r w:rsidRPr="007837CC">
        <w:t>This accounting approach means that forests planted before 1990 (pre-1990 forests) do not</w:t>
      </w:r>
      <w:r w:rsidR="002E0323" w:rsidRPr="007837CC">
        <w:t> </w:t>
      </w:r>
      <w:r w:rsidRPr="007837CC">
        <w:t xml:space="preserve">contribute to additional carbon removals but are counted as emissions when they are deforested. Under these same principles, exotic pre-1990 forests are not eligible to earn NZUs in the </w:t>
      </w:r>
      <w:proofErr w:type="gramStart"/>
      <w:r w:rsidRPr="007837CC">
        <w:t>NZ ETS, but</w:t>
      </w:r>
      <w:proofErr w:type="gramEnd"/>
      <w:r w:rsidRPr="007837CC">
        <w:t xml:space="preserve"> become mandatory participants and must pay </w:t>
      </w:r>
      <w:r w:rsidR="007034B1" w:rsidRPr="007837CC">
        <w:t>NZUs</w:t>
      </w:r>
      <w:r w:rsidRPr="007837CC">
        <w:t xml:space="preserve"> if they are deforested. </w:t>
      </w:r>
    </w:p>
    <w:p w14:paraId="6DBDF6DB" w14:textId="77777777" w:rsidR="00A64752" w:rsidRPr="007837CC" w:rsidRDefault="00A64752" w:rsidP="00450C0D">
      <w:pPr>
        <w:pStyle w:val="BodyText"/>
      </w:pPr>
      <w:r w:rsidRPr="007837CC">
        <w:t xml:space="preserve">Target accounting also takes an ‘averaging’ approach to net emissions from carbon sequestration on post-1989 forest land that is subject to harvesting and replanting. </w:t>
      </w:r>
    </w:p>
    <w:p w14:paraId="2BB4287F" w14:textId="631DB63E" w:rsidR="00A64752" w:rsidRPr="007837CC" w:rsidRDefault="00A64752" w:rsidP="00F07F61">
      <w:pPr>
        <w:pStyle w:val="BodyText"/>
      </w:pPr>
      <w:r w:rsidRPr="007837CC">
        <w:t>This accounting approach means that once post-1989 forests have reached their long</w:t>
      </w:r>
      <w:r w:rsidR="00004D48">
        <w:t>-</w:t>
      </w:r>
      <w:r w:rsidRPr="007837CC">
        <w:t>term carbon stock average, the continued normal cycles of forest growth, harvesting, and replanting of this land makes no contribution to annual emissions calculated against targets.</w:t>
      </w:r>
    </w:p>
    <w:p w14:paraId="39824A35" w14:textId="20843705" w:rsidR="00A64752" w:rsidRPr="007837CC" w:rsidRDefault="00A64752" w:rsidP="00C245E7">
      <w:pPr>
        <w:pStyle w:val="Heading5"/>
      </w:pPr>
      <w:r w:rsidRPr="007837CC">
        <w:t>The proportion of demonstration path forestry emissions outside the NZ ETS can</w:t>
      </w:r>
      <w:r w:rsidR="00D3045C" w:rsidRPr="007837CC">
        <w:t> </w:t>
      </w:r>
      <w:r w:rsidRPr="007837CC">
        <w:t xml:space="preserve">change over </w:t>
      </w:r>
      <w:proofErr w:type="gramStart"/>
      <w:r w:rsidRPr="007837CC">
        <w:t>time</w:t>
      </w:r>
      <w:proofErr w:type="gramEnd"/>
    </w:p>
    <w:p w14:paraId="145DF286" w14:textId="362292FC" w:rsidR="00A64752" w:rsidRPr="007837CC" w:rsidRDefault="00A64752" w:rsidP="00F07F61">
      <w:pPr>
        <w:pStyle w:val="BodyText"/>
      </w:pPr>
      <w:r w:rsidRPr="007837CC">
        <w:t xml:space="preserve">At the time of the Commission’s previous advice, it was assumed that all currently registered forest land would remain registered, and that all forests planted from 2019 would be included in the NZ ETS. Therefore, the only factor that will change the estimate of forestry emissions outside the NZ ETS is forest land that was planted </w:t>
      </w:r>
      <w:r w:rsidR="00F136B7">
        <w:t>before</w:t>
      </w:r>
      <w:r w:rsidRPr="007837CC">
        <w:t xml:space="preserve"> 2019 </w:t>
      </w:r>
      <w:r w:rsidR="00DF6E4E" w:rsidRPr="007837CC">
        <w:t>and</w:t>
      </w:r>
      <w:r w:rsidRPr="007837CC">
        <w:t xml:space="preserve"> </w:t>
      </w:r>
      <w:r w:rsidR="00DF6E4E" w:rsidRPr="007837CC">
        <w:t>h</w:t>
      </w:r>
      <w:r w:rsidRPr="007837CC">
        <w:t xml:space="preserve">as </w:t>
      </w:r>
      <w:r w:rsidR="00DF6E4E" w:rsidRPr="007837CC">
        <w:t xml:space="preserve">been </w:t>
      </w:r>
      <w:r w:rsidRPr="007837CC">
        <w:t>registered or de</w:t>
      </w:r>
      <w:r w:rsidR="00F07F61" w:rsidRPr="007837CC">
        <w:noBreakHyphen/>
      </w:r>
      <w:r w:rsidRPr="007837CC">
        <w:t xml:space="preserve">registered after the first advice was provided. </w:t>
      </w:r>
    </w:p>
    <w:p w14:paraId="3E4BB558" w14:textId="0AEA58D8" w:rsidR="00A64752" w:rsidRPr="007837CC" w:rsidRDefault="00A64752" w:rsidP="00F07F61">
      <w:pPr>
        <w:pStyle w:val="BodyText"/>
      </w:pPr>
      <w:r w:rsidRPr="007837CC">
        <w:lastRenderedPageBreak/>
        <w:t>If the amount of post-1989 forest land established before 2019 registered in the NZ ETS changes, so does the split between demonstration path forestry emissions inside and outside the NZ ETS</w:t>
      </w:r>
      <w:r w:rsidR="00F07F61" w:rsidRPr="007837CC">
        <w:t>.</w:t>
      </w:r>
      <w:r w:rsidRPr="007837CC">
        <w:rPr>
          <w:rStyle w:val="FootnoteReference"/>
        </w:rPr>
        <w:footnoteReference w:id="15"/>
      </w:r>
      <w:r w:rsidRPr="007837CC">
        <w:t xml:space="preserve"> </w:t>
      </w:r>
    </w:p>
    <w:p w14:paraId="7978D931" w14:textId="42F6DAFD" w:rsidR="00A64752" w:rsidRPr="007837CC" w:rsidRDefault="00A64752" w:rsidP="00C245E7">
      <w:pPr>
        <w:pStyle w:val="Heading5"/>
      </w:pPr>
      <w:r w:rsidRPr="007837CC">
        <w:t xml:space="preserve">There were high levels of post-1989 forest land registration in the NZ ETS </w:t>
      </w:r>
      <w:r w:rsidR="008D3162" w:rsidRPr="007837CC">
        <w:br/>
      </w:r>
      <w:r w:rsidRPr="007837CC">
        <w:t xml:space="preserve">during 2021 and </w:t>
      </w:r>
      <w:proofErr w:type="gramStart"/>
      <w:r w:rsidRPr="007837CC">
        <w:t>2022</w:t>
      </w:r>
      <w:proofErr w:type="gramEnd"/>
    </w:p>
    <w:p w14:paraId="2C31200B" w14:textId="77777777" w:rsidR="00A64752" w:rsidRPr="007837CC" w:rsidRDefault="00A64752" w:rsidP="00F07F61">
      <w:pPr>
        <w:pStyle w:val="BodyText"/>
      </w:pPr>
      <w:r w:rsidRPr="007837CC">
        <w:t xml:space="preserve">During 2021 and 2022 there were high levels of post-1989 forest land registered in the NZ ETS. Some of the registration was due to high levels of afforestation. However, registration of forest land planted before 2019 also made a significant contribution. This included significant registration of long-established native post-1989 forest land. </w:t>
      </w:r>
    </w:p>
    <w:p w14:paraId="73A7078E" w14:textId="69F51D80" w:rsidR="00A64752" w:rsidRPr="007837CC" w:rsidRDefault="00A64752" w:rsidP="00C245E7">
      <w:pPr>
        <w:pStyle w:val="Heading5"/>
      </w:pPr>
      <w:r w:rsidRPr="007837CC">
        <w:t xml:space="preserve">The Commission has updated its estimates of forestry </w:t>
      </w:r>
      <w:r w:rsidR="00170E96" w:rsidRPr="007837CC">
        <w:t>emissions outside</w:t>
      </w:r>
      <w:r w:rsidRPr="007837CC">
        <w:t xml:space="preserve"> the NZ ETS</w:t>
      </w:r>
    </w:p>
    <w:p w14:paraId="69D9D050" w14:textId="5C391BB8" w:rsidR="00A64752" w:rsidRPr="007837CC" w:rsidRDefault="00A64752" w:rsidP="00F07F61">
      <w:pPr>
        <w:pStyle w:val="BodyText"/>
      </w:pPr>
      <w:r w:rsidRPr="007837CC">
        <w:t xml:space="preserve">The Commission has updated its estimated breakdown of forestry emissions inside and outside the NZ ETS to reflect the most recent data from </w:t>
      </w:r>
      <w:r w:rsidR="00F136B7">
        <w:t>the Ministry for Primary Industries</w:t>
      </w:r>
      <w:r w:rsidR="00F136B7" w:rsidRPr="007837CC" w:rsidDel="00F136B7">
        <w:t xml:space="preserve"> </w:t>
      </w:r>
      <w:r w:rsidRPr="007837CC">
        <w:t xml:space="preserve">and the high rates of registration from eligible post-1989 forest land that was already established </w:t>
      </w:r>
      <w:r w:rsidR="00F136B7">
        <w:t>before</w:t>
      </w:r>
      <w:r w:rsidRPr="007837CC">
        <w:t xml:space="preserve"> 2019. This update was based on the following </w:t>
      </w:r>
      <w:r w:rsidR="009946C1" w:rsidRPr="007837CC">
        <w:t>inputs</w:t>
      </w:r>
      <w:r w:rsidRPr="007837CC">
        <w:t>:</w:t>
      </w:r>
    </w:p>
    <w:p w14:paraId="64198578" w14:textId="61DEDB43" w:rsidR="00A64752" w:rsidRPr="007837CC" w:rsidRDefault="00A64752" w:rsidP="00F07F61">
      <w:pPr>
        <w:pStyle w:val="Bullet"/>
      </w:pPr>
      <w:r w:rsidRPr="007837CC">
        <w:t>The volume of total native post-1989 forest land registered in the NZ ETS has increased from approximately 35,000 hectares to 90,000 hectares, 92</w:t>
      </w:r>
      <w:r w:rsidR="00F136B7">
        <w:t xml:space="preserve"> per cent</w:t>
      </w:r>
      <w:r w:rsidR="00F136B7" w:rsidRPr="007837CC">
        <w:t xml:space="preserve"> </w:t>
      </w:r>
      <w:r w:rsidRPr="007837CC">
        <w:t>of which was planted before</w:t>
      </w:r>
      <w:r w:rsidR="00F07F61" w:rsidRPr="007837CC">
        <w:t> </w:t>
      </w:r>
      <w:proofErr w:type="gramStart"/>
      <w:r w:rsidRPr="007837CC">
        <w:t>2019</w:t>
      </w:r>
      <w:proofErr w:type="gramEnd"/>
      <w:r w:rsidRPr="007837CC">
        <w:t xml:space="preserve"> </w:t>
      </w:r>
    </w:p>
    <w:p w14:paraId="422248D3" w14:textId="12C4ECDA" w:rsidR="00A64752" w:rsidRPr="007837CC" w:rsidRDefault="00A64752" w:rsidP="00F07F61">
      <w:pPr>
        <w:pStyle w:val="Bullet"/>
      </w:pPr>
      <w:r w:rsidRPr="007837CC">
        <w:t>The volume of post-1989 exotic forest land has increased from approximately 297,000</w:t>
      </w:r>
      <w:r w:rsidR="00E87EBD" w:rsidRPr="007837CC">
        <w:t> </w:t>
      </w:r>
      <w:r w:rsidRPr="007837CC">
        <w:t>hectares to 471,000 hectares, 81</w:t>
      </w:r>
      <w:r w:rsidR="00F136B7">
        <w:t xml:space="preserve"> per cent</w:t>
      </w:r>
      <w:r w:rsidR="00F136B7" w:rsidRPr="007837CC">
        <w:t xml:space="preserve"> </w:t>
      </w:r>
      <w:r w:rsidRPr="007837CC">
        <w:t>planted before 2019</w:t>
      </w:r>
      <w:r w:rsidR="00F136B7">
        <w:t>.</w:t>
      </w:r>
      <w:r w:rsidRPr="007837CC" w:rsidDel="00C470ED">
        <w:t xml:space="preserve"> </w:t>
      </w:r>
    </w:p>
    <w:p w14:paraId="3850A6A3" w14:textId="10F68E0A" w:rsidR="00A64752" w:rsidRPr="007837CC" w:rsidRDefault="00B95AC8" w:rsidP="007F3B48">
      <w:pPr>
        <w:pStyle w:val="BodyText"/>
      </w:pPr>
      <w:r w:rsidRPr="007837CC">
        <w:t xml:space="preserve">Drawing on this, </w:t>
      </w:r>
      <w:r w:rsidR="00D87E65" w:rsidRPr="007837CC">
        <w:t xml:space="preserve">updated proportions of total post-1989 forest </w:t>
      </w:r>
      <w:r w:rsidR="00BC7716" w:rsidRPr="007837CC">
        <w:t>land area registered in the</w:t>
      </w:r>
      <w:r w:rsidR="00E87EBD" w:rsidRPr="007837CC">
        <w:t> </w:t>
      </w:r>
      <w:r w:rsidR="00BC7716" w:rsidRPr="007837CC">
        <w:t xml:space="preserve">NZ ETS have been used to update estimates of </w:t>
      </w:r>
      <w:r w:rsidR="00845C53" w:rsidRPr="007837CC">
        <w:t>forestry</w:t>
      </w:r>
      <w:r w:rsidR="00BC7716" w:rsidRPr="007837CC">
        <w:t xml:space="preserve"> emissions remaining outside the NZ ETS. </w:t>
      </w:r>
    </w:p>
    <w:p w14:paraId="4C27B9E7" w14:textId="3949C9AC" w:rsidR="00296012" w:rsidRPr="007837CC" w:rsidRDefault="00296012" w:rsidP="00E87EBD">
      <w:pPr>
        <w:pStyle w:val="BodyText"/>
      </w:pPr>
      <w:r w:rsidRPr="007837CC">
        <w:t xml:space="preserve">These updated estimates are compared with previous estimates in table </w:t>
      </w:r>
      <w:r w:rsidR="001872C7" w:rsidRPr="007837CC">
        <w:t>5</w:t>
      </w:r>
      <w:r w:rsidR="00E46ECA" w:rsidRPr="007837CC">
        <w:t>.</w:t>
      </w:r>
    </w:p>
    <w:p w14:paraId="2B13BD05" w14:textId="63DB83B4" w:rsidR="00296012" w:rsidRPr="007837CC" w:rsidRDefault="00E46ECA" w:rsidP="005516A1">
      <w:pPr>
        <w:pStyle w:val="Tableheading"/>
      </w:pPr>
      <w:bookmarkStart w:id="39" w:name="_Toc133927339"/>
      <w:r w:rsidRPr="007837CC">
        <w:t xml:space="preserve">Table </w:t>
      </w:r>
      <w:r w:rsidR="001872C7" w:rsidRPr="007837CC">
        <w:t>5</w:t>
      </w:r>
      <w:r w:rsidRPr="007837CC">
        <w:t xml:space="preserve">: </w:t>
      </w:r>
      <w:r w:rsidR="00D016A6" w:rsidRPr="007837CC">
        <w:tab/>
      </w:r>
      <w:r w:rsidR="001872C7" w:rsidRPr="007837CC">
        <w:t>E</w:t>
      </w:r>
      <w:r w:rsidR="00010BDF" w:rsidRPr="007837CC">
        <w:t xml:space="preserve">stimates of net forestry emissions </w:t>
      </w:r>
      <w:r w:rsidR="009706B7" w:rsidRPr="007837CC">
        <w:t xml:space="preserve">inside and </w:t>
      </w:r>
      <w:r w:rsidR="00010BDF" w:rsidRPr="007837CC">
        <w:t>outside the NZ ETS</w:t>
      </w:r>
      <w:bookmarkEnd w:id="39"/>
    </w:p>
    <w:tbl>
      <w:tblPr>
        <w:tblW w:w="8583"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Look w:val="04A0" w:firstRow="1" w:lastRow="0" w:firstColumn="1" w:lastColumn="0" w:noHBand="0" w:noVBand="1"/>
      </w:tblPr>
      <w:tblGrid>
        <w:gridCol w:w="1276"/>
        <w:gridCol w:w="709"/>
        <w:gridCol w:w="702"/>
        <w:gridCol w:w="7"/>
        <w:gridCol w:w="702"/>
        <w:gridCol w:w="625"/>
        <w:gridCol w:w="625"/>
        <w:gridCol w:w="772"/>
        <w:gridCol w:w="831"/>
        <w:gridCol w:w="831"/>
        <w:gridCol w:w="831"/>
        <w:gridCol w:w="728"/>
      </w:tblGrid>
      <w:tr w:rsidR="00FF046F" w:rsidRPr="007837CC" w14:paraId="41A54E74" w14:textId="77777777" w:rsidTr="00C91EBB">
        <w:trPr>
          <w:tblHeader/>
        </w:trPr>
        <w:tc>
          <w:tcPr>
            <w:tcW w:w="1276" w:type="dxa"/>
            <w:shd w:val="clear" w:color="auto" w:fill="1B556B" w:themeFill="text2"/>
            <w:noWrap/>
            <w:vAlign w:val="bottom"/>
            <w:hideMark/>
          </w:tcPr>
          <w:p w14:paraId="57402D78" w14:textId="4E962E4C" w:rsidR="00DF6B08" w:rsidRPr="007837CC" w:rsidRDefault="00DF6B08" w:rsidP="00380277">
            <w:pPr>
              <w:pStyle w:val="TableTextbold"/>
              <w:rPr>
                <w:color w:val="FFFFFF" w:themeColor="background1"/>
                <w:sz w:val="17"/>
                <w:szCs w:val="17"/>
                <w:lang w:eastAsia="en-US"/>
              </w:rPr>
            </w:pPr>
            <w:r w:rsidRPr="007837CC">
              <w:rPr>
                <w:color w:val="FFFFFF" w:themeColor="background1"/>
                <w:sz w:val="17"/>
                <w:szCs w:val="17"/>
                <w:lang w:eastAsia="en-US"/>
              </w:rPr>
              <w:t> </w:t>
            </w:r>
          </w:p>
        </w:tc>
        <w:tc>
          <w:tcPr>
            <w:tcW w:w="1418" w:type="dxa"/>
            <w:gridSpan w:val="3"/>
            <w:shd w:val="clear" w:color="auto" w:fill="1B556B" w:themeFill="text2"/>
            <w:noWrap/>
            <w:vAlign w:val="bottom"/>
            <w:hideMark/>
          </w:tcPr>
          <w:p w14:paraId="541D2763" w14:textId="77777777" w:rsidR="00DF6B08" w:rsidRPr="007837CC" w:rsidRDefault="00DF6B08" w:rsidP="00FF046F">
            <w:pPr>
              <w:pStyle w:val="TableTextbold"/>
              <w:jc w:val="center"/>
              <w:rPr>
                <w:color w:val="FFFFFF" w:themeColor="background1"/>
                <w:sz w:val="17"/>
                <w:szCs w:val="17"/>
                <w:lang w:eastAsia="en-US"/>
              </w:rPr>
            </w:pPr>
            <w:r w:rsidRPr="007837CC">
              <w:rPr>
                <w:color w:val="FFFFFF" w:themeColor="background1"/>
                <w:sz w:val="17"/>
                <w:szCs w:val="17"/>
                <w:lang w:eastAsia="en-US"/>
              </w:rPr>
              <w:t>2024</w:t>
            </w:r>
          </w:p>
        </w:tc>
        <w:tc>
          <w:tcPr>
            <w:tcW w:w="1327" w:type="dxa"/>
            <w:gridSpan w:val="2"/>
            <w:shd w:val="clear" w:color="auto" w:fill="1B556B" w:themeFill="text2"/>
            <w:noWrap/>
            <w:vAlign w:val="bottom"/>
            <w:hideMark/>
          </w:tcPr>
          <w:p w14:paraId="7D7CF626" w14:textId="77777777" w:rsidR="00DF6B08" w:rsidRPr="007837CC" w:rsidRDefault="00DF6B08" w:rsidP="00FF046F">
            <w:pPr>
              <w:pStyle w:val="TableTextbold"/>
              <w:jc w:val="center"/>
              <w:rPr>
                <w:color w:val="FFFFFF" w:themeColor="background1"/>
                <w:sz w:val="17"/>
                <w:szCs w:val="17"/>
                <w:lang w:eastAsia="en-US"/>
              </w:rPr>
            </w:pPr>
            <w:r w:rsidRPr="007837CC">
              <w:rPr>
                <w:color w:val="FFFFFF" w:themeColor="background1"/>
                <w:sz w:val="17"/>
                <w:szCs w:val="17"/>
                <w:lang w:eastAsia="en-US"/>
              </w:rPr>
              <w:t>2025</w:t>
            </w:r>
          </w:p>
        </w:tc>
        <w:tc>
          <w:tcPr>
            <w:tcW w:w="1341" w:type="dxa"/>
            <w:gridSpan w:val="2"/>
            <w:shd w:val="clear" w:color="auto" w:fill="1B556B" w:themeFill="text2"/>
            <w:noWrap/>
            <w:vAlign w:val="bottom"/>
            <w:hideMark/>
          </w:tcPr>
          <w:p w14:paraId="3DFC134E" w14:textId="77777777" w:rsidR="00DF6B08" w:rsidRPr="007837CC" w:rsidRDefault="00DF6B08" w:rsidP="00FF046F">
            <w:pPr>
              <w:pStyle w:val="TableTextbold"/>
              <w:jc w:val="center"/>
              <w:rPr>
                <w:color w:val="FFFFFF" w:themeColor="background1"/>
                <w:sz w:val="17"/>
                <w:szCs w:val="17"/>
                <w:lang w:eastAsia="en-US"/>
              </w:rPr>
            </w:pPr>
            <w:r w:rsidRPr="007837CC">
              <w:rPr>
                <w:color w:val="FFFFFF" w:themeColor="background1"/>
                <w:sz w:val="17"/>
                <w:szCs w:val="17"/>
                <w:lang w:eastAsia="en-US"/>
              </w:rPr>
              <w:t>2026</w:t>
            </w:r>
          </w:p>
        </w:tc>
        <w:tc>
          <w:tcPr>
            <w:tcW w:w="1662" w:type="dxa"/>
            <w:gridSpan w:val="2"/>
            <w:shd w:val="clear" w:color="auto" w:fill="1B556B" w:themeFill="text2"/>
            <w:noWrap/>
            <w:vAlign w:val="bottom"/>
            <w:hideMark/>
          </w:tcPr>
          <w:p w14:paraId="0A7D68C9" w14:textId="77777777" w:rsidR="00DF6B08" w:rsidRPr="007837CC" w:rsidRDefault="00DF6B08" w:rsidP="00FF046F">
            <w:pPr>
              <w:pStyle w:val="TableTextbold"/>
              <w:jc w:val="center"/>
              <w:rPr>
                <w:color w:val="FFFFFF" w:themeColor="background1"/>
                <w:sz w:val="17"/>
                <w:szCs w:val="17"/>
                <w:lang w:eastAsia="en-US"/>
              </w:rPr>
            </w:pPr>
            <w:r w:rsidRPr="007837CC">
              <w:rPr>
                <w:color w:val="FFFFFF" w:themeColor="background1"/>
                <w:sz w:val="17"/>
                <w:szCs w:val="17"/>
                <w:lang w:eastAsia="en-US"/>
              </w:rPr>
              <w:t>2027</w:t>
            </w:r>
          </w:p>
        </w:tc>
        <w:tc>
          <w:tcPr>
            <w:tcW w:w="1559" w:type="dxa"/>
            <w:gridSpan w:val="2"/>
            <w:shd w:val="clear" w:color="auto" w:fill="1B556B" w:themeFill="text2"/>
            <w:noWrap/>
            <w:vAlign w:val="bottom"/>
            <w:hideMark/>
          </w:tcPr>
          <w:p w14:paraId="0829AB82" w14:textId="77777777" w:rsidR="00DF6B08" w:rsidRPr="007837CC" w:rsidRDefault="00DF6B08" w:rsidP="00FF046F">
            <w:pPr>
              <w:pStyle w:val="TableTextbold"/>
              <w:jc w:val="center"/>
              <w:rPr>
                <w:color w:val="FFFFFF" w:themeColor="background1"/>
                <w:sz w:val="17"/>
                <w:szCs w:val="17"/>
                <w:lang w:eastAsia="en-US"/>
              </w:rPr>
            </w:pPr>
            <w:r w:rsidRPr="007837CC">
              <w:rPr>
                <w:color w:val="FFFFFF" w:themeColor="background1"/>
                <w:sz w:val="17"/>
                <w:szCs w:val="17"/>
                <w:lang w:eastAsia="en-US"/>
              </w:rPr>
              <w:t>2028</w:t>
            </w:r>
          </w:p>
        </w:tc>
      </w:tr>
      <w:tr w:rsidR="00FF046F" w:rsidRPr="007837CC" w14:paraId="68A80EB9" w14:textId="77777777" w:rsidTr="00C91EBB">
        <w:tc>
          <w:tcPr>
            <w:tcW w:w="1276" w:type="dxa"/>
            <w:vAlign w:val="bottom"/>
            <w:hideMark/>
          </w:tcPr>
          <w:p w14:paraId="7DBF82C4" w14:textId="77777777" w:rsidR="00296012" w:rsidRPr="007837CC" w:rsidRDefault="00296012" w:rsidP="00FF046F">
            <w:pPr>
              <w:pStyle w:val="TableTextbold"/>
              <w:spacing w:line="220" w:lineRule="atLeast"/>
              <w:rPr>
                <w:sz w:val="17"/>
                <w:szCs w:val="17"/>
                <w:lang w:eastAsia="en-US"/>
              </w:rPr>
            </w:pPr>
            <w:r w:rsidRPr="007837CC">
              <w:rPr>
                <w:sz w:val="17"/>
                <w:szCs w:val="17"/>
                <w:lang w:eastAsia="en-US"/>
              </w:rPr>
              <w:t>Net forestry emissions inside and outside NZ ETS (kt CO</w:t>
            </w:r>
            <w:r w:rsidRPr="007837CC">
              <w:rPr>
                <w:sz w:val="17"/>
                <w:szCs w:val="17"/>
                <w:vertAlign w:val="subscript"/>
                <w:lang w:eastAsia="en-US"/>
              </w:rPr>
              <w:t>2</w:t>
            </w:r>
            <w:r w:rsidRPr="007837CC">
              <w:rPr>
                <w:sz w:val="17"/>
                <w:szCs w:val="17"/>
                <w:lang w:eastAsia="en-US"/>
              </w:rPr>
              <w:t>e)</w:t>
            </w:r>
          </w:p>
        </w:tc>
        <w:tc>
          <w:tcPr>
            <w:tcW w:w="709" w:type="dxa"/>
            <w:noWrap/>
            <w:vAlign w:val="bottom"/>
            <w:hideMark/>
          </w:tcPr>
          <w:p w14:paraId="3708961C" w14:textId="77777777" w:rsidR="00296012" w:rsidRPr="007837CC" w:rsidRDefault="00296012" w:rsidP="00FF046F">
            <w:pPr>
              <w:pStyle w:val="TableTextbold"/>
              <w:spacing w:line="220" w:lineRule="atLeast"/>
              <w:jc w:val="center"/>
              <w:rPr>
                <w:sz w:val="17"/>
                <w:szCs w:val="17"/>
                <w:lang w:eastAsia="en-US"/>
              </w:rPr>
            </w:pPr>
            <w:r w:rsidRPr="007837CC">
              <w:rPr>
                <w:sz w:val="17"/>
                <w:szCs w:val="17"/>
                <w:lang w:eastAsia="en-US"/>
              </w:rPr>
              <w:t>2022 advice</w:t>
            </w:r>
          </w:p>
        </w:tc>
        <w:tc>
          <w:tcPr>
            <w:tcW w:w="702" w:type="dxa"/>
            <w:tcBorders>
              <w:bottom w:val="single" w:sz="4" w:space="0" w:color="1B556B" w:themeColor="text2"/>
            </w:tcBorders>
            <w:noWrap/>
            <w:vAlign w:val="bottom"/>
            <w:hideMark/>
          </w:tcPr>
          <w:p w14:paraId="5F738237" w14:textId="77777777" w:rsidR="00296012" w:rsidRPr="007837CC" w:rsidRDefault="00296012" w:rsidP="00FF046F">
            <w:pPr>
              <w:pStyle w:val="TableTextbold"/>
              <w:spacing w:line="220" w:lineRule="atLeast"/>
              <w:jc w:val="center"/>
              <w:rPr>
                <w:sz w:val="17"/>
                <w:szCs w:val="17"/>
                <w:lang w:eastAsia="en-US"/>
              </w:rPr>
            </w:pPr>
            <w:r w:rsidRPr="007837CC">
              <w:rPr>
                <w:sz w:val="17"/>
                <w:szCs w:val="17"/>
                <w:lang w:eastAsia="en-US"/>
              </w:rPr>
              <w:t>2023 advice</w:t>
            </w:r>
          </w:p>
        </w:tc>
        <w:tc>
          <w:tcPr>
            <w:tcW w:w="709" w:type="dxa"/>
            <w:gridSpan w:val="2"/>
            <w:noWrap/>
            <w:vAlign w:val="bottom"/>
            <w:hideMark/>
          </w:tcPr>
          <w:p w14:paraId="6D577436" w14:textId="77777777" w:rsidR="00296012" w:rsidRPr="007837CC" w:rsidRDefault="00296012" w:rsidP="00FF046F">
            <w:pPr>
              <w:pStyle w:val="TableTextbold"/>
              <w:spacing w:line="220" w:lineRule="atLeast"/>
              <w:jc w:val="center"/>
              <w:rPr>
                <w:sz w:val="17"/>
                <w:szCs w:val="17"/>
                <w:lang w:eastAsia="en-US"/>
              </w:rPr>
            </w:pPr>
            <w:r w:rsidRPr="007837CC">
              <w:rPr>
                <w:sz w:val="17"/>
                <w:szCs w:val="17"/>
                <w:lang w:eastAsia="en-US"/>
              </w:rPr>
              <w:t>2022 advice</w:t>
            </w:r>
          </w:p>
        </w:tc>
        <w:tc>
          <w:tcPr>
            <w:tcW w:w="625" w:type="dxa"/>
            <w:tcBorders>
              <w:bottom w:val="single" w:sz="4" w:space="0" w:color="1B556B" w:themeColor="text2"/>
            </w:tcBorders>
            <w:noWrap/>
            <w:vAlign w:val="bottom"/>
            <w:hideMark/>
          </w:tcPr>
          <w:p w14:paraId="4F121B9A" w14:textId="77777777" w:rsidR="00296012" w:rsidRPr="007837CC" w:rsidRDefault="00296012" w:rsidP="00FF046F">
            <w:pPr>
              <w:pStyle w:val="TableTextbold"/>
              <w:spacing w:line="220" w:lineRule="atLeast"/>
              <w:jc w:val="center"/>
              <w:rPr>
                <w:sz w:val="17"/>
                <w:szCs w:val="17"/>
                <w:lang w:eastAsia="en-US"/>
              </w:rPr>
            </w:pPr>
            <w:r w:rsidRPr="007837CC">
              <w:rPr>
                <w:sz w:val="17"/>
                <w:szCs w:val="17"/>
                <w:lang w:eastAsia="en-US"/>
              </w:rPr>
              <w:t>2023 advice</w:t>
            </w:r>
          </w:p>
        </w:tc>
        <w:tc>
          <w:tcPr>
            <w:tcW w:w="569" w:type="dxa"/>
            <w:noWrap/>
            <w:vAlign w:val="bottom"/>
            <w:hideMark/>
          </w:tcPr>
          <w:p w14:paraId="04B9B0A6" w14:textId="77777777" w:rsidR="00296012" w:rsidRPr="007837CC" w:rsidRDefault="00296012" w:rsidP="00FF046F">
            <w:pPr>
              <w:pStyle w:val="TableTextbold"/>
              <w:spacing w:line="220" w:lineRule="atLeast"/>
              <w:jc w:val="center"/>
              <w:rPr>
                <w:sz w:val="17"/>
                <w:szCs w:val="17"/>
                <w:lang w:eastAsia="en-US"/>
              </w:rPr>
            </w:pPr>
            <w:r w:rsidRPr="007837CC">
              <w:rPr>
                <w:sz w:val="17"/>
                <w:szCs w:val="17"/>
                <w:lang w:eastAsia="en-US"/>
              </w:rPr>
              <w:t>2022 advice</w:t>
            </w:r>
          </w:p>
        </w:tc>
        <w:tc>
          <w:tcPr>
            <w:tcW w:w="772" w:type="dxa"/>
            <w:tcBorders>
              <w:bottom w:val="single" w:sz="4" w:space="0" w:color="1B556B" w:themeColor="text2"/>
            </w:tcBorders>
            <w:noWrap/>
            <w:vAlign w:val="bottom"/>
            <w:hideMark/>
          </w:tcPr>
          <w:p w14:paraId="62BA91A4" w14:textId="77777777" w:rsidR="00296012" w:rsidRPr="007837CC" w:rsidRDefault="00296012" w:rsidP="00FF046F">
            <w:pPr>
              <w:pStyle w:val="TableTextbold"/>
              <w:spacing w:line="220" w:lineRule="atLeast"/>
              <w:jc w:val="center"/>
              <w:rPr>
                <w:sz w:val="17"/>
                <w:szCs w:val="17"/>
                <w:lang w:eastAsia="en-US"/>
              </w:rPr>
            </w:pPr>
            <w:r w:rsidRPr="007837CC">
              <w:rPr>
                <w:sz w:val="17"/>
                <w:szCs w:val="17"/>
                <w:lang w:eastAsia="en-US"/>
              </w:rPr>
              <w:t>2023 advice</w:t>
            </w:r>
          </w:p>
        </w:tc>
        <w:tc>
          <w:tcPr>
            <w:tcW w:w="831" w:type="dxa"/>
            <w:noWrap/>
            <w:vAlign w:val="bottom"/>
            <w:hideMark/>
          </w:tcPr>
          <w:p w14:paraId="2A722968" w14:textId="77777777" w:rsidR="00296012" w:rsidRPr="007837CC" w:rsidRDefault="00296012" w:rsidP="00FF046F">
            <w:pPr>
              <w:pStyle w:val="TableTextbold"/>
              <w:spacing w:line="220" w:lineRule="atLeast"/>
              <w:jc w:val="center"/>
              <w:rPr>
                <w:sz w:val="17"/>
                <w:szCs w:val="17"/>
                <w:lang w:eastAsia="en-US"/>
              </w:rPr>
            </w:pPr>
            <w:r w:rsidRPr="007837CC">
              <w:rPr>
                <w:sz w:val="17"/>
                <w:szCs w:val="17"/>
                <w:lang w:eastAsia="en-US"/>
              </w:rPr>
              <w:t>2022 advice</w:t>
            </w:r>
          </w:p>
        </w:tc>
        <w:tc>
          <w:tcPr>
            <w:tcW w:w="831" w:type="dxa"/>
            <w:tcBorders>
              <w:bottom w:val="single" w:sz="4" w:space="0" w:color="1B556B" w:themeColor="text2"/>
            </w:tcBorders>
            <w:noWrap/>
            <w:vAlign w:val="bottom"/>
            <w:hideMark/>
          </w:tcPr>
          <w:p w14:paraId="78AB32AD" w14:textId="77777777" w:rsidR="00296012" w:rsidRPr="007837CC" w:rsidRDefault="00296012" w:rsidP="00FF046F">
            <w:pPr>
              <w:pStyle w:val="TableTextbold"/>
              <w:spacing w:line="220" w:lineRule="atLeast"/>
              <w:jc w:val="center"/>
              <w:rPr>
                <w:sz w:val="17"/>
                <w:szCs w:val="17"/>
                <w:lang w:eastAsia="en-US"/>
              </w:rPr>
            </w:pPr>
            <w:r w:rsidRPr="007837CC">
              <w:rPr>
                <w:sz w:val="17"/>
                <w:szCs w:val="17"/>
                <w:lang w:eastAsia="en-US"/>
              </w:rPr>
              <w:t>2023 advice</w:t>
            </w:r>
          </w:p>
        </w:tc>
        <w:tc>
          <w:tcPr>
            <w:tcW w:w="831" w:type="dxa"/>
            <w:noWrap/>
            <w:vAlign w:val="bottom"/>
            <w:hideMark/>
          </w:tcPr>
          <w:p w14:paraId="5AC40404" w14:textId="77777777" w:rsidR="00296012" w:rsidRPr="007837CC" w:rsidRDefault="00296012" w:rsidP="00FF046F">
            <w:pPr>
              <w:pStyle w:val="TableTextbold"/>
              <w:spacing w:line="220" w:lineRule="atLeast"/>
              <w:jc w:val="center"/>
              <w:rPr>
                <w:sz w:val="17"/>
                <w:szCs w:val="17"/>
                <w:lang w:eastAsia="en-US"/>
              </w:rPr>
            </w:pPr>
            <w:r w:rsidRPr="007837CC">
              <w:rPr>
                <w:sz w:val="17"/>
                <w:szCs w:val="17"/>
                <w:lang w:eastAsia="en-US"/>
              </w:rPr>
              <w:t>2022 advice</w:t>
            </w:r>
          </w:p>
        </w:tc>
        <w:tc>
          <w:tcPr>
            <w:tcW w:w="728" w:type="dxa"/>
            <w:tcBorders>
              <w:bottom w:val="single" w:sz="4" w:space="0" w:color="1B556B" w:themeColor="text2"/>
            </w:tcBorders>
            <w:noWrap/>
            <w:vAlign w:val="bottom"/>
            <w:hideMark/>
          </w:tcPr>
          <w:p w14:paraId="2CDB0052" w14:textId="77777777" w:rsidR="00296012" w:rsidRPr="007837CC" w:rsidRDefault="00296012" w:rsidP="00FF046F">
            <w:pPr>
              <w:pStyle w:val="TableTextbold"/>
              <w:spacing w:line="220" w:lineRule="atLeast"/>
              <w:jc w:val="center"/>
              <w:rPr>
                <w:sz w:val="17"/>
                <w:szCs w:val="17"/>
                <w:lang w:eastAsia="en-US"/>
              </w:rPr>
            </w:pPr>
            <w:r w:rsidRPr="007837CC">
              <w:rPr>
                <w:sz w:val="17"/>
                <w:szCs w:val="17"/>
                <w:lang w:eastAsia="en-US"/>
              </w:rPr>
              <w:t>2023 advice</w:t>
            </w:r>
          </w:p>
        </w:tc>
      </w:tr>
      <w:tr w:rsidR="00FF046F" w:rsidRPr="007837CC" w14:paraId="2300FF81" w14:textId="77777777" w:rsidTr="00C91EBB">
        <w:tc>
          <w:tcPr>
            <w:tcW w:w="1276" w:type="dxa"/>
            <w:noWrap/>
            <w:hideMark/>
          </w:tcPr>
          <w:p w14:paraId="1249AD3F" w14:textId="77777777" w:rsidR="00296012" w:rsidRPr="007837CC" w:rsidRDefault="00296012" w:rsidP="00380277">
            <w:pPr>
              <w:pStyle w:val="TableText"/>
              <w:rPr>
                <w:sz w:val="17"/>
                <w:szCs w:val="17"/>
                <w:lang w:eastAsia="en-US"/>
              </w:rPr>
            </w:pPr>
            <w:r w:rsidRPr="007837CC">
              <w:rPr>
                <w:sz w:val="17"/>
                <w:szCs w:val="17"/>
                <w:lang w:eastAsia="en-US"/>
              </w:rPr>
              <w:t>Inside NZ ETS</w:t>
            </w:r>
          </w:p>
        </w:tc>
        <w:tc>
          <w:tcPr>
            <w:tcW w:w="709" w:type="dxa"/>
            <w:noWrap/>
            <w:hideMark/>
          </w:tcPr>
          <w:p w14:paraId="2F87FBCA" w14:textId="20EC2F26" w:rsidR="00296012" w:rsidRPr="007837CC" w:rsidRDefault="00296012" w:rsidP="00FF046F">
            <w:pPr>
              <w:pStyle w:val="TableText"/>
              <w:jc w:val="center"/>
              <w:rPr>
                <w:sz w:val="17"/>
                <w:szCs w:val="17"/>
                <w:lang w:eastAsia="en-US"/>
              </w:rPr>
            </w:pPr>
            <w:r w:rsidRPr="007837CC">
              <w:rPr>
                <w:sz w:val="17"/>
                <w:szCs w:val="17"/>
                <w:lang w:eastAsia="en-US"/>
              </w:rPr>
              <w:t>-4,101</w:t>
            </w:r>
          </w:p>
        </w:tc>
        <w:tc>
          <w:tcPr>
            <w:tcW w:w="702" w:type="dxa"/>
            <w:shd w:val="clear" w:color="auto" w:fill="D2DDE1" w:themeFill="background2"/>
            <w:noWrap/>
            <w:hideMark/>
          </w:tcPr>
          <w:p w14:paraId="0ED34D2D" w14:textId="1FD994AE" w:rsidR="00296012" w:rsidRPr="007837CC" w:rsidRDefault="00296012" w:rsidP="00FF046F">
            <w:pPr>
              <w:pStyle w:val="TableText"/>
              <w:jc w:val="center"/>
              <w:rPr>
                <w:sz w:val="17"/>
                <w:szCs w:val="17"/>
                <w:lang w:eastAsia="en-US"/>
              </w:rPr>
            </w:pPr>
            <w:r w:rsidRPr="007837CC">
              <w:rPr>
                <w:sz w:val="17"/>
                <w:szCs w:val="17"/>
                <w:lang w:eastAsia="en-US"/>
              </w:rPr>
              <w:t>-5,786</w:t>
            </w:r>
          </w:p>
        </w:tc>
        <w:tc>
          <w:tcPr>
            <w:tcW w:w="709" w:type="dxa"/>
            <w:gridSpan w:val="2"/>
            <w:noWrap/>
            <w:hideMark/>
          </w:tcPr>
          <w:p w14:paraId="5B447430" w14:textId="7929A2CF" w:rsidR="00296012" w:rsidRPr="007837CC" w:rsidRDefault="00296012" w:rsidP="00FF046F">
            <w:pPr>
              <w:pStyle w:val="TableText"/>
              <w:jc w:val="center"/>
              <w:rPr>
                <w:sz w:val="17"/>
                <w:szCs w:val="17"/>
                <w:lang w:eastAsia="en-US"/>
              </w:rPr>
            </w:pPr>
            <w:r w:rsidRPr="007837CC">
              <w:rPr>
                <w:sz w:val="17"/>
                <w:szCs w:val="17"/>
                <w:lang w:eastAsia="en-US"/>
              </w:rPr>
              <w:t>-5,303</w:t>
            </w:r>
          </w:p>
        </w:tc>
        <w:tc>
          <w:tcPr>
            <w:tcW w:w="625" w:type="dxa"/>
            <w:shd w:val="clear" w:color="auto" w:fill="D2DDE1" w:themeFill="background2"/>
            <w:noWrap/>
            <w:hideMark/>
          </w:tcPr>
          <w:p w14:paraId="6C2A4228" w14:textId="4D57E9F7" w:rsidR="00296012" w:rsidRPr="007837CC" w:rsidRDefault="00296012" w:rsidP="00FF046F">
            <w:pPr>
              <w:pStyle w:val="TableText"/>
              <w:jc w:val="center"/>
              <w:rPr>
                <w:sz w:val="17"/>
                <w:szCs w:val="17"/>
                <w:lang w:eastAsia="en-US"/>
              </w:rPr>
            </w:pPr>
            <w:r w:rsidRPr="007837CC">
              <w:rPr>
                <w:sz w:val="17"/>
                <w:szCs w:val="17"/>
                <w:lang w:eastAsia="en-US"/>
              </w:rPr>
              <w:t>-6,919</w:t>
            </w:r>
          </w:p>
        </w:tc>
        <w:tc>
          <w:tcPr>
            <w:tcW w:w="569" w:type="dxa"/>
            <w:noWrap/>
            <w:hideMark/>
          </w:tcPr>
          <w:p w14:paraId="2C38E7E0" w14:textId="40B791DB" w:rsidR="00296012" w:rsidRPr="007837CC" w:rsidRDefault="00296012" w:rsidP="00FF046F">
            <w:pPr>
              <w:pStyle w:val="TableText"/>
              <w:jc w:val="center"/>
              <w:rPr>
                <w:sz w:val="17"/>
                <w:szCs w:val="17"/>
                <w:lang w:eastAsia="en-US"/>
              </w:rPr>
            </w:pPr>
            <w:r w:rsidRPr="007837CC">
              <w:rPr>
                <w:sz w:val="17"/>
                <w:szCs w:val="17"/>
                <w:lang w:eastAsia="en-US"/>
              </w:rPr>
              <w:t>-7,236</w:t>
            </w:r>
          </w:p>
        </w:tc>
        <w:tc>
          <w:tcPr>
            <w:tcW w:w="772" w:type="dxa"/>
            <w:shd w:val="clear" w:color="auto" w:fill="D2DDE1" w:themeFill="background2"/>
            <w:noWrap/>
            <w:hideMark/>
          </w:tcPr>
          <w:p w14:paraId="1E245338" w14:textId="5D635254" w:rsidR="00296012" w:rsidRPr="007837CC" w:rsidRDefault="00296012" w:rsidP="00FF046F">
            <w:pPr>
              <w:pStyle w:val="TableText"/>
              <w:jc w:val="center"/>
              <w:rPr>
                <w:sz w:val="17"/>
                <w:szCs w:val="17"/>
                <w:lang w:eastAsia="en-US"/>
              </w:rPr>
            </w:pPr>
            <w:r w:rsidRPr="007837CC">
              <w:rPr>
                <w:sz w:val="17"/>
                <w:szCs w:val="17"/>
                <w:lang w:eastAsia="en-US"/>
              </w:rPr>
              <w:t>-8,889</w:t>
            </w:r>
          </w:p>
        </w:tc>
        <w:tc>
          <w:tcPr>
            <w:tcW w:w="831" w:type="dxa"/>
            <w:noWrap/>
            <w:hideMark/>
          </w:tcPr>
          <w:p w14:paraId="729952D3" w14:textId="36E24134" w:rsidR="00296012" w:rsidRPr="007837CC" w:rsidRDefault="00296012" w:rsidP="00FF046F">
            <w:pPr>
              <w:pStyle w:val="TableText"/>
              <w:jc w:val="center"/>
              <w:rPr>
                <w:sz w:val="17"/>
                <w:szCs w:val="17"/>
                <w:lang w:eastAsia="en-US"/>
              </w:rPr>
            </w:pPr>
            <w:r w:rsidRPr="007837CC">
              <w:rPr>
                <w:sz w:val="17"/>
                <w:szCs w:val="17"/>
                <w:lang w:eastAsia="en-US"/>
              </w:rPr>
              <w:t>-9,012</w:t>
            </w:r>
          </w:p>
        </w:tc>
        <w:tc>
          <w:tcPr>
            <w:tcW w:w="831" w:type="dxa"/>
            <w:shd w:val="clear" w:color="auto" w:fill="D2DDE1" w:themeFill="background2"/>
            <w:noWrap/>
            <w:hideMark/>
          </w:tcPr>
          <w:p w14:paraId="7F0B4D6D" w14:textId="465A3D34" w:rsidR="00296012" w:rsidRPr="007837CC" w:rsidRDefault="00296012" w:rsidP="00FF046F">
            <w:pPr>
              <w:pStyle w:val="TableText"/>
              <w:jc w:val="center"/>
              <w:rPr>
                <w:sz w:val="17"/>
                <w:szCs w:val="17"/>
                <w:lang w:eastAsia="en-US"/>
              </w:rPr>
            </w:pPr>
            <w:r w:rsidRPr="007837CC">
              <w:rPr>
                <w:sz w:val="17"/>
                <w:szCs w:val="17"/>
                <w:lang w:eastAsia="en-US"/>
              </w:rPr>
              <w:t>-10,491</w:t>
            </w:r>
          </w:p>
        </w:tc>
        <w:tc>
          <w:tcPr>
            <w:tcW w:w="831" w:type="dxa"/>
            <w:noWrap/>
            <w:hideMark/>
          </w:tcPr>
          <w:p w14:paraId="6FA65AA3" w14:textId="0EEAC1D2" w:rsidR="00296012" w:rsidRPr="007837CC" w:rsidRDefault="00296012" w:rsidP="00FF046F">
            <w:pPr>
              <w:pStyle w:val="TableText"/>
              <w:jc w:val="center"/>
              <w:rPr>
                <w:sz w:val="17"/>
                <w:szCs w:val="17"/>
                <w:lang w:eastAsia="en-US"/>
              </w:rPr>
            </w:pPr>
            <w:r w:rsidRPr="007837CC">
              <w:rPr>
                <w:sz w:val="17"/>
                <w:szCs w:val="17"/>
                <w:lang w:eastAsia="en-US"/>
              </w:rPr>
              <w:t>-11,053</w:t>
            </w:r>
          </w:p>
        </w:tc>
        <w:tc>
          <w:tcPr>
            <w:tcW w:w="728" w:type="dxa"/>
            <w:shd w:val="clear" w:color="auto" w:fill="D2DDE1" w:themeFill="background2"/>
            <w:noWrap/>
            <w:hideMark/>
          </w:tcPr>
          <w:p w14:paraId="5BF00BC9" w14:textId="5F1A452B" w:rsidR="00296012" w:rsidRPr="007837CC" w:rsidRDefault="00296012" w:rsidP="00FF046F">
            <w:pPr>
              <w:pStyle w:val="TableText"/>
              <w:jc w:val="center"/>
              <w:rPr>
                <w:sz w:val="17"/>
                <w:szCs w:val="17"/>
                <w:lang w:eastAsia="en-US"/>
              </w:rPr>
            </w:pPr>
            <w:r w:rsidRPr="007837CC">
              <w:rPr>
                <w:sz w:val="17"/>
                <w:szCs w:val="17"/>
                <w:lang w:eastAsia="en-US"/>
              </w:rPr>
              <w:t>-12,526</w:t>
            </w:r>
          </w:p>
        </w:tc>
      </w:tr>
      <w:tr w:rsidR="00FF046F" w:rsidRPr="007837CC" w14:paraId="3439FAE1" w14:textId="77777777" w:rsidTr="00C91EBB">
        <w:tc>
          <w:tcPr>
            <w:tcW w:w="1276" w:type="dxa"/>
            <w:noWrap/>
            <w:hideMark/>
          </w:tcPr>
          <w:p w14:paraId="7856B766" w14:textId="77777777" w:rsidR="00296012" w:rsidRPr="007837CC" w:rsidRDefault="00296012" w:rsidP="00380277">
            <w:pPr>
              <w:pStyle w:val="TableText"/>
              <w:rPr>
                <w:sz w:val="17"/>
                <w:szCs w:val="17"/>
                <w:lang w:eastAsia="en-US"/>
              </w:rPr>
            </w:pPr>
            <w:r w:rsidRPr="007837CC">
              <w:rPr>
                <w:sz w:val="17"/>
                <w:szCs w:val="17"/>
                <w:lang w:eastAsia="en-US"/>
              </w:rPr>
              <w:t>Outside NZ ETS</w:t>
            </w:r>
          </w:p>
        </w:tc>
        <w:tc>
          <w:tcPr>
            <w:tcW w:w="709" w:type="dxa"/>
            <w:noWrap/>
            <w:hideMark/>
          </w:tcPr>
          <w:p w14:paraId="31C6C575" w14:textId="0DDC5F16" w:rsidR="00296012" w:rsidRPr="007837CC" w:rsidRDefault="00296012" w:rsidP="00FF046F">
            <w:pPr>
              <w:pStyle w:val="TableText"/>
              <w:jc w:val="center"/>
              <w:rPr>
                <w:sz w:val="17"/>
                <w:szCs w:val="17"/>
                <w:lang w:eastAsia="en-US"/>
              </w:rPr>
            </w:pPr>
            <w:r w:rsidRPr="007837CC">
              <w:rPr>
                <w:sz w:val="17"/>
                <w:szCs w:val="17"/>
                <w:lang w:eastAsia="en-US"/>
              </w:rPr>
              <w:t>-1,950</w:t>
            </w:r>
          </w:p>
        </w:tc>
        <w:tc>
          <w:tcPr>
            <w:tcW w:w="702" w:type="dxa"/>
            <w:shd w:val="clear" w:color="auto" w:fill="D2DDE1" w:themeFill="background2"/>
            <w:noWrap/>
            <w:hideMark/>
          </w:tcPr>
          <w:p w14:paraId="3191E7A8" w14:textId="5A388803" w:rsidR="00296012" w:rsidRPr="007837CC" w:rsidRDefault="00296012" w:rsidP="00FF046F">
            <w:pPr>
              <w:pStyle w:val="TableText"/>
              <w:jc w:val="center"/>
              <w:rPr>
                <w:sz w:val="17"/>
                <w:szCs w:val="17"/>
                <w:lang w:eastAsia="en-US"/>
              </w:rPr>
            </w:pPr>
            <w:r w:rsidRPr="007837CC">
              <w:rPr>
                <w:sz w:val="17"/>
                <w:szCs w:val="17"/>
                <w:lang w:eastAsia="en-US"/>
              </w:rPr>
              <w:t>-265</w:t>
            </w:r>
          </w:p>
        </w:tc>
        <w:tc>
          <w:tcPr>
            <w:tcW w:w="709" w:type="dxa"/>
            <w:gridSpan w:val="2"/>
            <w:noWrap/>
            <w:hideMark/>
          </w:tcPr>
          <w:p w14:paraId="4570DCD1" w14:textId="45C6BDB2" w:rsidR="00296012" w:rsidRPr="007837CC" w:rsidRDefault="00296012" w:rsidP="00FF046F">
            <w:pPr>
              <w:pStyle w:val="TableText"/>
              <w:jc w:val="center"/>
              <w:rPr>
                <w:sz w:val="17"/>
                <w:szCs w:val="17"/>
                <w:lang w:eastAsia="en-US"/>
              </w:rPr>
            </w:pPr>
            <w:r w:rsidRPr="007837CC">
              <w:rPr>
                <w:sz w:val="17"/>
                <w:szCs w:val="17"/>
                <w:lang w:eastAsia="en-US"/>
              </w:rPr>
              <w:t>-1,470</w:t>
            </w:r>
          </w:p>
        </w:tc>
        <w:tc>
          <w:tcPr>
            <w:tcW w:w="625" w:type="dxa"/>
            <w:shd w:val="clear" w:color="auto" w:fill="D2DDE1" w:themeFill="background2"/>
            <w:noWrap/>
            <w:hideMark/>
          </w:tcPr>
          <w:p w14:paraId="15D40E07" w14:textId="74683100" w:rsidR="00296012" w:rsidRPr="007837CC" w:rsidRDefault="00296012" w:rsidP="00FF046F">
            <w:pPr>
              <w:pStyle w:val="TableText"/>
              <w:jc w:val="center"/>
              <w:rPr>
                <w:sz w:val="17"/>
                <w:szCs w:val="17"/>
                <w:lang w:eastAsia="en-US"/>
              </w:rPr>
            </w:pPr>
            <w:r w:rsidRPr="007837CC">
              <w:rPr>
                <w:sz w:val="17"/>
                <w:szCs w:val="17"/>
                <w:lang w:eastAsia="en-US"/>
              </w:rPr>
              <w:t>146</w:t>
            </w:r>
          </w:p>
        </w:tc>
        <w:tc>
          <w:tcPr>
            <w:tcW w:w="569" w:type="dxa"/>
            <w:noWrap/>
            <w:hideMark/>
          </w:tcPr>
          <w:p w14:paraId="032ADCB1" w14:textId="5C2CB6F2" w:rsidR="00296012" w:rsidRPr="007837CC" w:rsidRDefault="00296012" w:rsidP="00FF046F">
            <w:pPr>
              <w:pStyle w:val="TableText"/>
              <w:jc w:val="center"/>
              <w:rPr>
                <w:sz w:val="17"/>
                <w:szCs w:val="17"/>
                <w:lang w:eastAsia="en-US"/>
              </w:rPr>
            </w:pPr>
            <w:r w:rsidRPr="007837CC">
              <w:rPr>
                <w:sz w:val="17"/>
                <w:szCs w:val="17"/>
                <w:lang w:eastAsia="en-US"/>
              </w:rPr>
              <w:t>-1,701</w:t>
            </w:r>
          </w:p>
        </w:tc>
        <w:tc>
          <w:tcPr>
            <w:tcW w:w="772" w:type="dxa"/>
            <w:shd w:val="clear" w:color="auto" w:fill="D2DDE1" w:themeFill="background2"/>
            <w:noWrap/>
            <w:hideMark/>
          </w:tcPr>
          <w:p w14:paraId="1E6123FB" w14:textId="3A735C1F" w:rsidR="00296012" w:rsidRPr="007837CC" w:rsidRDefault="00296012" w:rsidP="00FF046F">
            <w:pPr>
              <w:pStyle w:val="TableText"/>
              <w:jc w:val="center"/>
              <w:rPr>
                <w:sz w:val="17"/>
                <w:szCs w:val="17"/>
                <w:lang w:eastAsia="en-US"/>
              </w:rPr>
            </w:pPr>
            <w:r w:rsidRPr="007837CC">
              <w:rPr>
                <w:sz w:val="17"/>
                <w:szCs w:val="17"/>
                <w:lang w:eastAsia="en-US"/>
              </w:rPr>
              <w:t>-49</w:t>
            </w:r>
          </w:p>
        </w:tc>
        <w:tc>
          <w:tcPr>
            <w:tcW w:w="831" w:type="dxa"/>
            <w:noWrap/>
            <w:hideMark/>
          </w:tcPr>
          <w:p w14:paraId="0FAE1813" w14:textId="76A1F4EA" w:rsidR="00296012" w:rsidRPr="007837CC" w:rsidRDefault="00296012" w:rsidP="00FF046F">
            <w:pPr>
              <w:pStyle w:val="TableText"/>
              <w:jc w:val="center"/>
              <w:rPr>
                <w:sz w:val="17"/>
                <w:szCs w:val="17"/>
                <w:lang w:eastAsia="en-US"/>
              </w:rPr>
            </w:pPr>
            <w:r w:rsidRPr="007837CC">
              <w:rPr>
                <w:sz w:val="17"/>
                <w:szCs w:val="17"/>
                <w:lang w:eastAsia="en-US"/>
              </w:rPr>
              <w:t>-1,475</w:t>
            </w:r>
          </w:p>
        </w:tc>
        <w:tc>
          <w:tcPr>
            <w:tcW w:w="831" w:type="dxa"/>
            <w:shd w:val="clear" w:color="auto" w:fill="D2DDE1" w:themeFill="background2"/>
            <w:noWrap/>
            <w:hideMark/>
          </w:tcPr>
          <w:p w14:paraId="24DE4AC0" w14:textId="3E3DA52D" w:rsidR="00296012" w:rsidRPr="007837CC" w:rsidRDefault="00296012" w:rsidP="00FF046F">
            <w:pPr>
              <w:pStyle w:val="TableText"/>
              <w:jc w:val="center"/>
              <w:rPr>
                <w:sz w:val="17"/>
                <w:szCs w:val="17"/>
                <w:lang w:eastAsia="en-US"/>
              </w:rPr>
            </w:pPr>
            <w:r w:rsidRPr="007837CC">
              <w:rPr>
                <w:sz w:val="17"/>
                <w:szCs w:val="17"/>
                <w:lang w:eastAsia="en-US"/>
              </w:rPr>
              <w:t>3</w:t>
            </w:r>
          </w:p>
        </w:tc>
        <w:tc>
          <w:tcPr>
            <w:tcW w:w="831" w:type="dxa"/>
            <w:noWrap/>
            <w:hideMark/>
          </w:tcPr>
          <w:p w14:paraId="7EE663EA" w14:textId="5DF6860A" w:rsidR="00296012" w:rsidRPr="007837CC" w:rsidRDefault="00296012" w:rsidP="00FF046F">
            <w:pPr>
              <w:pStyle w:val="TableText"/>
              <w:jc w:val="center"/>
              <w:rPr>
                <w:sz w:val="17"/>
                <w:szCs w:val="17"/>
                <w:lang w:eastAsia="en-US"/>
              </w:rPr>
            </w:pPr>
            <w:r w:rsidRPr="007837CC">
              <w:rPr>
                <w:sz w:val="17"/>
                <w:szCs w:val="17"/>
                <w:lang w:eastAsia="en-US"/>
              </w:rPr>
              <w:t>-1,382</w:t>
            </w:r>
          </w:p>
        </w:tc>
        <w:tc>
          <w:tcPr>
            <w:tcW w:w="728" w:type="dxa"/>
            <w:shd w:val="clear" w:color="auto" w:fill="D2DDE1" w:themeFill="background2"/>
            <w:noWrap/>
            <w:hideMark/>
          </w:tcPr>
          <w:p w14:paraId="679402BD" w14:textId="55810D8A" w:rsidR="00296012" w:rsidRPr="007837CC" w:rsidRDefault="00296012" w:rsidP="00FF046F">
            <w:pPr>
              <w:pStyle w:val="TableText"/>
              <w:jc w:val="center"/>
              <w:rPr>
                <w:sz w:val="17"/>
                <w:szCs w:val="17"/>
                <w:lang w:eastAsia="en-US"/>
              </w:rPr>
            </w:pPr>
            <w:r w:rsidRPr="007837CC">
              <w:rPr>
                <w:sz w:val="17"/>
                <w:szCs w:val="17"/>
                <w:lang w:eastAsia="en-US"/>
              </w:rPr>
              <w:t>91</w:t>
            </w:r>
          </w:p>
        </w:tc>
      </w:tr>
      <w:tr w:rsidR="00FF046F" w:rsidRPr="007837CC" w14:paraId="2489F42D" w14:textId="77777777" w:rsidTr="00C91EBB">
        <w:tc>
          <w:tcPr>
            <w:tcW w:w="1276" w:type="dxa"/>
            <w:noWrap/>
            <w:hideMark/>
          </w:tcPr>
          <w:p w14:paraId="2F5A6AFF" w14:textId="77777777" w:rsidR="00296012" w:rsidRPr="007837CC" w:rsidRDefault="00296012" w:rsidP="00380277">
            <w:pPr>
              <w:pStyle w:val="TableTextbold"/>
              <w:rPr>
                <w:sz w:val="17"/>
                <w:szCs w:val="17"/>
                <w:lang w:eastAsia="en-US"/>
              </w:rPr>
            </w:pPr>
            <w:r w:rsidRPr="007837CC">
              <w:rPr>
                <w:sz w:val="17"/>
                <w:szCs w:val="17"/>
                <w:lang w:eastAsia="en-US"/>
              </w:rPr>
              <w:t>Total</w:t>
            </w:r>
          </w:p>
        </w:tc>
        <w:tc>
          <w:tcPr>
            <w:tcW w:w="709" w:type="dxa"/>
            <w:noWrap/>
            <w:hideMark/>
          </w:tcPr>
          <w:p w14:paraId="3AC789A3" w14:textId="52F15427" w:rsidR="00296012" w:rsidRPr="007837CC" w:rsidRDefault="00296012" w:rsidP="00FF046F">
            <w:pPr>
              <w:pStyle w:val="TableTextbold"/>
              <w:jc w:val="center"/>
              <w:rPr>
                <w:sz w:val="17"/>
                <w:szCs w:val="17"/>
                <w:lang w:eastAsia="en-US"/>
              </w:rPr>
            </w:pPr>
            <w:r w:rsidRPr="007837CC">
              <w:rPr>
                <w:sz w:val="17"/>
                <w:szCs w:val="17"/>
                <w:lang w:eastAsia="en-US"/>
              </w:rPr>
              <w:t>-6,051</w:t>
            </w:r>
          </w:p>
        </w:tc>
        <w:tc>
          <w:tcPr>
            <w:tcW w:w="702" w:type="dxa"/>
            <w:shd w:val="clear" w:color="auto" w:fill="D2DDE1" w:themeFill="background2"/>
            <w:noWrap/>
            <w:hideMark/>
          </w:tcPr>
          <w:p w14:paraId="13F7F341" w14:textId="0F364106" w:rsidR="00296012" w:rsidRPr="007837CC" w:rsidRDefault="00296012" w:rsidP="00FF046F">
            <w:pPr>
              <w:pStyle w:val="TableTextbold"/>
              <w:jc w:val="center"/>
              <w:rPr>
                <w:sz w:val="17"/>
                <w:szCs w:val="17"/>
                <w:lang w:eastAsia="en-US"/>
              </w:rPr>
            </w:pPr>
            <w:r w:rsidRPr="007837CC">
              <w:rPr>
                <w:sz w:val="17"/>
                <w:szCs w:val="17"/>
                <w:lang w:eastAsia="en-US"/>
              </w:rPr>
              <w:t>-6,051</w:t>
            </w:r>
          </w:p>
        </w:tc>
        <w:tc>
          <w:tcPr>
            <w:tcW w:w="709" w:type="dxa"/>
            <w:gridSpan w:val="2"/>
            <w:noWrap/>
            <w:hideMark/>
          </w:tcPr>
          <w:p w14:paraId="2A3BD191" w14:textId="2F694964" w:rsidR="00296012" w:rsidRPr="007837CC" w:rsidRDefault="00296012" w:rsidP="00FF046F">
            <w:pPr>
              <w:pStyle w:val="TableTextbold"/>
              <w:jc w:val="center"/>
              <w:rPr>
                <w:sz w:val="17"/>
                <w:szCs w:val="17"/>
                <w:lang w:eastAsia="en-US"/>
              </w:rPr>
            </w:pPr>
            <w:r w:rsidRPr="007837CC">
              <w:rPr>
                <w:sz w:val="17"/>
                <w:szCs w:val="17"/>
                <w:lang w:eastAsia="en-US"/>
              </w:rPr>
              <w:t>-6,773</w:t>
            </w:r>
          </w:p>
        </w:tc>
        <w:tc>
          <w:tcPr>
            <w:tcW w:w="625" w:type="dxa"/>
            <w:shd w:val="clear" w:color="auto" w:fill="D2DDE1" w:themeFill="background2"/>
            <w:noWrap/>
            <w:hideMark/>
          </w:tcPr>
          <w:p w14:paraId="53E3700E" w14:textId="75313C5E" w:rsidR="00296012" w:rsidRPr="007837CC" w:rsidRDefault="00296012" w:rsidP="00FF046F">
            <w:pPr>
              <w:pStyle w:val="TableTextbold"/>
              <w:jc w:val="center"/>
              <w:rPr>
                <w:sz w:val="17"/>
                <w:szCs w:val="17"/>
                <w:lang w:eastAsia="en-US"/>
              </w:rPr>
            </w:pPr>
            <w:r w:rsidRPr="007837CC">
              <w:rPr>
                <w:sz w:val="17"/>
                <w:szCs w:val="17"/>
                <w:lang w:eastAsia="en-US"/>
              </w:rPr>
              <w:t>-6,773</w:t>
            </w:r>
          </w:p>
        </w:tc>
        <w:tc>
          <w:tcPr>
            <w:tcW w:w="569" w:type="dxa"/>
            <w:noWrap/>
            <w:hideMark/>
          </w:tcPr>
          <w:p w14:paraId="574EB4C2" w14:textId="7CE5E771" w:rsidR="00296012" w:rsidRPr="007837CC" w:rsidRDefault="00296012" w:rsidP="00FF046F">
            <w:pPr>
              <w:pStyle w:val="TableTextbold"/>
              <w:jc w:val="center"/>
              <w:rPr>
                <w:sz w:val="17"/>
                <w:szCs w:val="17"/>
                <w:lang w:eastAsia="en-US"/>
              </w:rPr>
            </w:pPr>
            <w:r w:rsidRPr="007837CC">
              <w:rPr>
                <w:sz w:val="17"/>
                <w:szCs w:val="17"/>
                <w:lang w:eastAsia="en-US"/>
              </w:rPr>
              <w:t>-8,937</w:t>
            </w:r>
          </w:p>
        </w:tc>
        <w:tc>
          <w:tcPr>
            <w:tcW w:w="772" w:type="dxa"/>
            <w:shd w:val="clear" w:color="auto" w:fill="D2DDE1" w:themeFill="background2"/>
            <w:noWrap/>
            <w:hideMark/>
          </w:tcPr>
          <w:p w14:paraId="017950FE" w14:textId="1AECDFA7" w:rsidR="00296012" w:rsidRPr="007837CC" w:rsidRDefault="00296012" w:rsidP="00FF046F">
            <w:pPr>
              <w:pStyle w:val="TableTextbold"/>
              <w:jc w:val="center"/>
              <w:rPr>
                <w:sz w:val="17"/>
                <w:szCs w:val="17"/>
                <w:lang w:eastAsia="en-US"/>
              </w:rPr>
            </w:pPr>
            <w:r w:rsidRPr="007837CC">
              <w:rPr>
                <w:sz w:val="17"/>
                <w:szCs w:val="17"/>
                <w:lang w:eastAsia="en-US"/>
              </w:rPr>
              <w:t>-8,937</w:t>
            </w:r>
          </w:p>
        </w:tc>
        <w:tc>
          <w:tcPr>
            <w:tcW w:w="831" w:type="dxa"/>
            <w:noWrap/>
            <w:hideMark/>
          </w:tcPr>
          <w:p w14:paraId="2624E3F0" w14:textId="0C4CB80D" w:rsidR="00296012" w:rsidRPr="007837CC" w:rsidRDefault="00296012" w:rsidP="00FF046F">
            <w:pPr>
              <w:pStyle w:val="TableTextbold"/>
              <w:jc w:val="center"/>
              <w:rPr>
                <w:sz w:val="17"/>
                <w:szCs w:val="17"/>
                <w:lang w:eastAsia="en-US"/>
              </w:rPr>
            </w:pPr>
            <w:r w:rsidRPr="007837CC">
              <w:rPr>
                <w:sz w:val="17"/>
                <w:szCs w:val="17"/>
                <w:lang w:eastAsia="en-US"/>
              </w:rPr>
              <w:t>-10,488</w:t>
            </w:r>
          </w:p>
        </w:tc>
        <w:tc>
          <w:tcPr>
            <w:tcW w:w="831" w:type="dxa"/>
            <w:shd w:val="clear" w:color="auto" w:fill="D2DDE1" w:themeFill="background2"/>
            <w:noWrap/>
            <w:hideMark/>
          </w:tcPr>
          <w:p w14:paraId="7049227C" w14:textId="763D8EE8" w:rsidR="00296012" w:rsidRPr="007837CC" w:rsidRDefault="00296012" w:rsidP="00FF046F">
            <w:pPr>
              <w:pStyle w:val="TableTextbold"/>
              <w:jc w:val="center"/>
              <w:rPr>
                <w:sz w:val="17"/>
                <w:szCs w:val="17"/>
                <w:lang w:eastAsia="en-US"/>
              </w:rPr>
            </w:pPr>
            <w:r w:rsidRPr="007837CC">
              <w:rPr>
                <w:sz w:val="17"/>
                <w:szCs w:val="17"/>
                <w:lang w:eastAsia="en-US"/>
              </w:rPr>
              <w:t>-10,488</w:t>
            </w:r>
          </w:p>
        </w:tc>
        <w:tc>
          <w:tcPr>
            <w:tcW w:w="831" w:type="dxa"/>
            <w:noWrap/>
            <w:hideMark/>
          </w:tcPr>
          <w:p w14:paraId="40BCF282" w14:textId="32A03F5C" w:rsidR="00296012" w:rsidRPr="007837CC" w:rsidRDefault="00296012" w:rsidP="00FF046F">
            <w:pPr>
              <w:pStyle w:val="TableTextbold"/>
              <w:jc w:val="center"/>
              <w:rPr>
                <w:sz w:val="17"/>
                <w:szCs w:val="17"/>
                <w:lang w:eastAsia="en-US"/>
              </w:rPr>
            </w:pPr>
            <w:r w:rsidRPr="007837CC">
              <w:rPr>
                <w:sz w:val="17"/>
                <w:szCs w:val="17"/>
                <w:lang w:eastAsia="en-US"/>
              </w:rPr>
              <w:t>-12,435</w:t>
            </w:r>
          </w:p>
        </w:tc>
        <w:tc>
          <w:tcPr>
            <w:tcW w:w="728" w:type="dxa"/>
            <w:shd w:val="clear" w:color="auto" w:fill="D2DDE1" w:themeFill="background2"/>
            <w:noWrap/>
            <w:hideMark/>
          </w:tcPr>
          <w:p w14:paraId="2BB04669" w14:textId="48AB879C" w:rsidR="00296012" w:rsidRPr="007837CC" w:rsidRDefault="00296012" w:rsidP="00FF046F">
            <w:pPr>
              <w:pStyle w:val="TableTextbold"/>
              <w:jc w:val="center"/>
              <w:rPr>
                <w:sz w:val="17"/>
                <w:szCs w:val="17"/>
                <w:lang w:eastAsia="en-US"/>
              </w:rPr>
            </w:pPr>
            <w:r w:rsidRPr="007837CC">
              <w:rPr>
                <w:sz w:val="17"/>
                <w:szCs w:val="17"/>
                <w:lang w:eastAsia="en-US"/>
              </w:rPr>
              <w:t>-12,435</w:t>
            </w:r>
          </w:p>
        </w:tc>
      </w:tr>
    </w:tbl>
    <w:p w14:paraId="6C1D72CD" w14:textId="1B8D4728" w:rsidR="00296012" w:rsidRPr="007837CC" w:rsidRDefault="00296012" w:rsidP="008D3162">
      <w:pPr>
        <w:pStyle w:val="Heading5"/>
        <w:spacing w:before="360"/>
      </w:pPr>
      <w:r w:rsidRPr="007837CC">
        <w:t xml:space="preserve">These updates </w:t>
      </w:r>
      <w:r w:rsidR="00CD6C91" w:rsidRPr="007837CC">
        <w:rPr>
          <w:bCs/>
        </w:rPr>
        <w:t xml:space="preserve">would </w:t>
      </w:r>
      <w:r w:rsidRPr="007837CC">
        <w:t xml:space="preserve">result in reduced recommended auction </w:t>
      </w:r>
      <w:proofErr w:type="gramStart"/>
      <w:r w:rsidRPr="007837CC">
        <w:t>volumes</w:t>
      </w:r>
      <w:proofErr w:type="gramEnd"/>
    </w:p>
    <w:p w14:paraId="1835B742" w14:textId="77777777" w:rsidR="00FF7777" w:rsidRPr="007837CC" w:rsidRDefault="00296012" w:rsidP="00FF046F">
      <w:pPr>
        <w:pStyle w:val="BodyText"/>
      </w:pPr>
      <w:r w:rsidRPr="007837CC">
        <w:t xml:space="preserve">The Commission has recommended updating the calculation of the share of emissions budgets allocated to NZ ETS sectors to reflect these new estimates. </w:t>
      </w:r>
    </w:p>
    <w:p w14:paraId="40CA14BD" w14:textId="290B686B" w:rsidR="00296012" w:rsidRPr="007837CC" w:rsidRDefault="00296012" w:rsidP="00765C5B">
      <w:pPr>
        <w:pStyle w:val="BodyText"/>
      </w:pPr>
      <w:r w:rsidRPr="007837CC">
        <w:lastRenderedPageBreak/>
        <w:t>If auction volumes are updated to reflect this advice for all years from 2024 onwards</w:t>
      </w:r>
      <w:r w:rsidR="00765C5B" w:rsidRPr="007837CC">
        <w:t>,</w:t>
      </w:r>
      <w:r w:rsidRPr="007837CC">
        <w:rPr>
          <w:rStyle w:val="FootnoteReference"/>
        </w:rPr>
        <w:footnoteReference w:id="16"/>
      </w:r>
      <w:r w:rsidRPr="007837CC">
        <w:t xml:space="preserve"> this change would contribute an annual reduction in calculated auction volumes ranging from a </w:t>
      </w:r>
      <w:proofErr w:type="gramStart"/>
      <w:r w:rsidRPr="007837CC">
        <w:t>1.7</w:t>
      </w:r>
      <w:r w:rsidR="00765C5B" w:rsidRPr="007837CC">
        <w:t> </w:t>
      </w:r>
      <w:r w:rsidRPr="007837CC">
        <w:t>million unit</w:t>
      </w:r>
      <w:proofErr w:type="gramEnd"/>
      <w:r w:rsidRPr="007837CC">
        <w:t xml:space="preserve"> reduction in 2024 to a 1.5 million unit reduction in auction volumes for 2028. </w:t>
      </w:r>
    </w:p>
    <w:p w14:paraId="12A8D517" w14:textId="7FBB0A90" w:rsidR="00BB0E89" w:rsidRPr="007837CC" w:rsidRDefault="00DF6B08" w:rsidP="00765C5B">
      <w:pPr>
        <w:pStyle w:val="BodyText"/>
      </w:pPr>
      <w:r w:rsidRPr="007837CC">
        <w:t xml:space="preserve">Table </w:t>
      </w:r>
      <w:r w:rsidR="00274101" w:rsidRPr="007837CC">
        <w:t>6</w:t>
      </w:r>
      <w:r w:rsidR="00CD6C91" w:rsidRPr="007837CC">
        <w:t xml:space="preserve"> assesses</w:t>
      </w:r>
      <w:r w:rsidR="00BB0E89" w:rsidRPr="007837CC">
        <w:t xml:space="preserve"> the following options for this step of calculating limits for units. </w:t>
      </w:r>
    </w:p>
    <w:p w14:paraId="1C94F077" w14:textId="488E978E" w:rsidR="000E6A5F" w:rsidRPr="007837CC" w:rsidRDefault="00A735EC" w:rsidP="00F96F91">
      <w:pPr>
        <w:pStyle w:val="Numberedparagraph"/>
        <w:numPr>
          <w:ilvl w:val="0"/>
          <w:numId w:val="54"/>
        </w:numPr>
      </w:pPr>
      <w:r w:rsidRPr="007837CC">
        <w:t xml:space="preserve">Option </w:t>
      </w:r>
      <w:r w:rsidR="00030BF7" w:rsidRPr="007837CC">
        <w:t>one</w:t>
      </w:r>
      <w:r w:rsidRPr="007837CC">
        <w:t xml:space="preserve"> – </w:t>
      </w:r>
      <w:r w:rsidR="00030BF7" w:rsidRPr="007837CC">
        <w:t>S</w:t>
      </w:r>
      <w:r w:rsidRPr="007837CC">
        <w:t xml:space="preserve">tatus quo. </w:t>
      </w:r>
      <w:r w:rsidR="005E2973" w:rsidRPr="007837CC">
        <w:t>Continue to use</w:t>
      </w:r>
      <w:r w:rsidRPr="007837CC">
        <w:t xml:space="preserve"> </w:t>
      </w:r>
      <w:r w:rsidR="00336694" w:rsidRPr="007837CC">
        <w:t xml:space="preserve">previous </w:t>
      </w:r>
      <w:r w:rsidR="005E2973" w:rsidRPr="007837CC">
        <w:t>estimates</w:t>
      </w:r>
      <w:r w:rsidRPr="007837CC">
        <w:t xml:space="preserve"> of </w:t>
      </w:r>
      <w:r w:rsidR="008C7AE1" w:rsidRPr="007837CC">
        <w:t>forestry emissions outside the NZ</w:t>
      </w:r>
      <w:r w:rsidR="00DF6B08" w:rsidRPr="007837CC">
        <w:t> </w:t>
      </w:r>
      <w:r w:rsidR="008C7AE1" w:rsidRPr="007837CC">
        <w:t xml:space="preserve">ETS </w:t>
      </w:r>
      <w:r w:rsidR="00D44D79" w:rsidRPr="007837CC">
        <w:t>to calculate auction volumes</w:t>
      </w:r>
      <w:r w:rsidR="00DF6B08" w:rsidRPr="007837CC">
        <w:t>.</w:t>
      </w:r>
      <w:r w:rsidR="00D44D79" w:rsidRPr="007837CC">
        <w:t xml:space="preserve"> </w:t>
      </w:r>
    </w:p>
    <w:p w14:paraId="5623E80E" w14:textId="29C651A0" w:rsidR="000A188A" w:rsidRPr="007837CC" w:rsidRDefault="008D4FEC" w:rsidP="00765C5B">
      <w:pPr>
        <w:pStyle w:val="Numberedparagraph"/>
        <w:rPr>
          <w:szCs w:val="18"/>
        </w:rPr>
      </w:pPr>
      <w:r w:rsidRPr="007837CC">
        <w:t xml:space="preserve">Option </w:t>
      </w:r>
      <w:r w:rsidR="00030BF7" w:rsidRPr="007837CC">
        <w:t>two</w:t>
      </w:r>
      <w:r w:rsidRPr="007837CC">
        <w:t xml:space="preserve"> </w:t>
      </w:r>
      <w:r w:rsidR="00DF6B08" w:rsidRPr="007837CC">
        <w:t>–</w:t>
      </w:r>
      <w:r w:rsidRPr="007837CC">
        <w:t xml:space="preserve"> </w:t>
      </w:r>
      <w:r w:rsidR="00030BF7" w:rsidRPr="007837CC">
        <w:rPr>
          <w:szCs w:val="18"/>
        </w:rPr>
        <w:t>U</w:t>
      </w:r>
      <w:r w:rsidR="005E2973" w:rsidRPr="007837CC">
        <w:rPr>
          <w:szCs w:val="18"/>
        </w:rPr>
        <w:t xml:space="preserve">pdate to reflect </w:t>
      </w:r>
      <w:r w:rsidR="000A188A" w:rsidRPr="007837CC">
        <w:rPr>
          <w:szCs w:val="18"/>
        </w:rPr>
        <w:t xml:space="preserve">the Commission’s </w:t>
      </w:r>
      <w:r w:rsidR="00296012" w:rsidRPr="007837CC">
        <w:rPr>
          <w:szCs w:val="18"/>
        </w:rPr>
        <w:t xml:space="preserve">more recent </w:t>
      </w:r>
      <w:r w:rsidR="005E2973" w:rsidRPr="007837CC">
        <w:rPr>
          <w:szCs w:val="18"/>
        </w:rPr>
        <w:t xml:space="preserve">estimates of </w:t>
      </w:r>
      <w:r w:rsidR="000A188A" w:rsidRPr="007837CC">
        <w:rPr>
          <w:szCs w:val="18"/>
        </w:rPr>
        <w:t>changes to post-1989 forestry emissions outside the NZ ETS</w:t>
      </w:r>
      <w:r w:rsidR="00DF6B08" w:rsidRPr="007837CC">
        <w:rPr>
          <w:szCs w:val="18"/>
        </w:rPr>
        <w:t>.</w:t>
      </w:r>
    </w:p>
    <w:p w14:paraId="119D6FB1" w14:textId="615A665B" w:rsidR="00360DEE" w:rsidRPr="007837CC" w:rsidRDefault="00360DEE" w:rsidP="00F96F91">
      <w:pPr>
        <w:pStyle w:val="BodyText"/>
      </w:pPr>
      <w:r w:rsidRPr="007837CC">
        <w:t xml:space="preserve">We are interested in your views on our assessment, which will help us prepare recommendations for policy decisions. </w:t>
      </w:r>
    </w:p>
    <w:p w14:paraId="713CD56B" w14:textId="27EDAEE8" w:rsidR="00360DEE" w:rsidRPr="007837CC" w:rsidRDefault="00BB667A" w:rsidP="00F96F91">
      <w:pPr>
        <w:pStyle w:val="Tableheading"/>
        <w:rPr>
          <w:highlight w:val="yellow"/>
        </w:rPr>
      </w:pPr>
      <w:bookmarkStart w:id="40" w:name="_Toc133927340"/>
      <w:r w:rsidRPr="007837CC">
        <w:t xml:space="preserve">Table </w:t>
      </w:r>
      <w:r w:rsidR="00274101" w:rsidRPr="007837CC">
        <w:t>6</w:t>
      </w:r>
      <w:r w:rsidRPr="007837CC">
        <w:t xml:space="preserve">: </w:t>
      </w:r>
      <w:r w:rsidR="00D016A6" w:rsidRPr="007837CC">
        <w:tab/>
      </w:r>
      <w:r w:rsidR="007729C5" w:rsidRPr="007837CC">
        <w:t xml:space="preserve">Assessing whether to update </w:t>
      </w:r>
      <w:r w:rsidR="0034084E" w:rsidRPr="007837CC">
        <w:t xml:space="preserve">calculation of </w:t>
      </w:r>
      <w:r w:rsidR="00072B1B" w:rsidRPr="007837CC">
        <w:t>auction volumes to reflect the Commission</w:t>
      </w:r>
      <w:r w:rsidR="007E1E31">
        <w:t>’</w:t>
      </w:r>
      <w:r w:rsidR="00072B1B" w:rsidRPr="007837CC">
        <w:t>s</w:t>
      </w:r>
      <w:r w:rsidR="00E33F5E" w:rsidRPr="007837CC">
        <w:t> </w:t>
      </w:r>
      <w:r w:rsidR="00072B1B" w:rsidRPr="007837CC">
        <w:t>updated estimates of forestry emissions outside the NZ ETS</w:t>
      </w:r>
      <w:bookmarkEnd w:id="40"/>
    </w:p>
    <w:tbl>
      <w:tblPr>
        <w:tblW w:w="8542"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shd w:val="clear" w:color="auto" w:fill="FFFFFF" w:themeFill="background1"/>
        <w:tblLayout w:type="fixed"/>
        <w:tblCellMar>
          <w:left w:w="85" w:type="dxa"/>
          <w:right w:w="57" w:type="dxa"/>
        </w:tblCellMar>
        <w:tblLook w:val="04A0" w:firstRow="1" w:lastRow="0" w:firstColumn="1" w:lastColumn="0" w:noHBand="0" w:noVBand="1"/>
      </w:tblPr>
      <w:tblGrid>
        <w:gridCol w:w="2410"/>
        <w:gridCol w:w="2126"/>
        <w:gridCol w:w="4006"/>
      </w:tblGrid>
      <w:tr w:rsidR="0024356F" w:rsidRPr="007837CC" w14:paraId="660E349A" w14:textId="77777777" w:rsidTr="00E33F5E">
        <w:tc>
          <w:tcPr>
            <w:tcW w:w="2410" w:type="dxa"/>
            <w:shd w:val="clear" w:color="auto" w:fill="1B556B" w:themeFill="text2"/>
            <w:vAlign w:val="bottom"/>
          </w:tcPr>
          <w:p w14:paraId="56A2340A" w14:textId="77777777" w:rsidR="0024356F" w:rsidRPr="007837CC" w:rsidRDefault="0024356F" w:rsidP="006C6D34">
            <w:pPr>
              <w:pStyle w:val="TableTextbold"/>
              <w:keepNext/>
              <w:spacing w:before="40" w:after="40"/>
              <w:rPr>
                <w:color w:val="FFFFFF" w:themeColor="background1"/>
                <w:szCs w:val="18"/>
              </w:rPr>
            </w:pPr>
            <w:r w:rsidRPr="007837CC">
              <w:rPr>
                <w:color w:val="FFFFFF" w:themeColor="background1"/>
                <w:szCs w:val="18"/>
              </w:rPr>
              <w:t>Criterion</w:t>
            </w:r>
          </w:p>
        </w:tc>
        <w:tc>
          <w:tcPr>
            <w:tcW w:w="2126" w:type="dxa"/>
            <w:shd w:val="clear" w:color="auto" w:fill="1B556B" w:themeFill="text2"/>
            <w:vAlign w:val="bottom"/>
          </w:tcPr>
          <w:p w14:paraId="27B35440" w14:textId="5AAD6598" w:rsidR="0024356F" w:rsidRPr="007837CC" w:rsidRDefault="0024356F" w:rsidP="006C6D34">
            <w:pPr>
              <w:pStyle w:val="TableTextbold"/>
              <w:keepNext/>
              <w:spacing w:before="40" w:after="40"/>
              <w:rPr>
                <w:rFonts w:cs="Arial"/>
                <w:color w:val="FFFFFF" w:themeColor="background1"/>
                <w:szCs w:val="18"/>
              </w:rPr>
            </w:pPr>
            <w:r w:rsidRPr="007837CC">
              <w:rPr>
                <w:rFonts w:cs="Arial"/>
                <w:color w:val="FFFFFF" w:themeColor="background1"/>
                <w:szCs w:val="18"/>
              </w:rPr>
              <w:t>Option one</w:t>
            </w:r>
            <w:r w:rsidR="007E1E31">
              <w:rPr>
                <w:rFonts w:cs="Arial"/>
                <w:color w:val="FFFFFF" w:themeColor="background1"/>
                <w:szCs w:val="18"/>
              </w:rPr>
              <w:t xml:space="preserve"> –</w:t>
            </w:r>
            <w:r w:rsidRPr="007837CC">
              <w:rPr>
                <w:rFonts w:cs="Arial"/>
                <w:color w:val="FFFFFF" w:themeColor="background1"/>
                <w:szCs w:val="18"/>
              </w:rPr>
              <w:t xml:space="preserve"> Status quo</w:t>
            </w:r>
          </w:p>
        </w:tc>
        <w:tc>
          <w:tcPr>
            <w:tcW w:w="4006" w:type="dxa"/>
            <w:shd w:val="clear" w:color="auto" w:fill="1B556B" w:themeFill="text2"/>
            <w:vAlign w:val="bottom"/>
          </w:tcPr>
          <w:p w14:paraId="25B3F551" w14:textId="54DE52CE" w:rsidR="0024356F" w:rsidRPr="007837CC" w:rsidRDefault="0024356F" w:rsidP="006C6D34">
            <w:pPr>
              <w:pStyle w:val="TableTextbold"/>
              <w:keepNext/>
              <w:spacing w:before="40" w:after="40"/>
              <w:rPr>
                <w:rFonts w:cs="Arial"/>
                <w:color w:val="FFFFFF" w:themeColor="background1"/>
                <w:szCs w:val="18"/>
              </w:rPr>
            </w:pPr>
            <w:r w:rsidRPr="007837CC">
              <w:rPr>
                <w:rFonts w:cs="Arial"/>
                <w:color w:val="FFFFFF" w:themeColor="background1"/>
                <w:szCs w:val="18"/>
              </w:rPr>
              <w:t xml:space="preserve">Option two – </w:t>
            </w:r>
            <w:r w:rsidR="002B7954" w:rsidRPr="007837CC">
              <w:rPr>
                <w:rFonts w:cs="Arial"/>
                <w:color w:val="FFFFFF" w:themeColor="background1"/>
                <w:szCs w:val="18"/>
              </w:rPr>
              <w:t>Update to reflect</w:t>
            </w:r>
            <w:r w:rsidR="00DA0BEC" w:rsidRPr="007837CC">
              <w:rPr>
                <w:rFonts w:cs="Arial"/>
                <w:color w:val="FFFFFF" w:themeColor="background1"/>
                <w:szCs w:val="18"/>
              </w:rPr>
              <w:t xml:space="preserve"> new</w:t>
            </w:r>
            <w:r w:rsidR="002B7954" w:rsidRPr="007837CC">
              <w:rPr>
                <w:rFonts w:cs="Arial"/>
                <w:color w:val="FFFFFF" w:themeColor="background1"/>
                <w:szCs w:val="18"/>
              </w:rPr>
              <w:t xml:space="preserve"> Commission estimates of </w:t>
            </w:r>
            <w:r w:rsidR="00503BC8" w:rsidRPr="007837CC">
              <w:rPr>
                <w:rFonts w:cs="Arial"/>
                <w:color w:val="FFFFFF" w:themeColor="background1"/>
                <w:szCs w:val="18"/>
              </w:rPr>
              <w:t>post-1989 forestry estimates outside the NZ ETS</w:t>
            </w:r>
          </w:p>
        </w:tc>
      </w:tr>
      <w:tr w:rsidR="0024356F" w:rsidRPr="007837CC" w14:paraId="16046811" w14:textId="77777777" w:rsidTr="00E33F5E">
        <w:tc>
          <w:tcPr>
            <w:tcW w:w="2410" w:type="dxa"/>
            <w:shd w:val="clear" w:color="auto" w:fill="FFFFFF" w:themeFill="background1"/>
          </w:tcPr>
          <w:p w14:paraId="4A04EDA8" w14:textId="77777777" w:rsidR="0024356F" w:rsidRPr="007837CC" w:rsidRDefault="0024356F" w:rsidP="006C6D34">
            <w:pPr>
              <w:pStyle w:val="TableText"/>
              <w:keepNext/>
              <w:rPr>
                <w:rFonts w:cs="Calibri"/>
                <w:bCs/>
                <w:color w:val="000000"/>
                <w:szCs w:val="18"/>
              </w:rPr>
            </w:pPr>
            <w:r w:rsidRPr="007837CC">
              <w:rPr>
                <w:rFonts w:cs="Calibri"/>
                <w:szCs w:val="18"/>
              </w:rPr>
              <w:t>Accords with New Zealand’s emissions budgets, NDC and 2050 target</w:t>
            </w:r>
          </w:p>
        </w:tc>
        <w:tc>
          <w:tcPr>
            <w:tcW w:w="2126" w:type="dxa"/>
            <w:shd w:val="clear" w:color="auto" w:fill="FFFFFF" w:themeFill="background1"/>
          </w:tcPr>
          <w:p w14:paraId="3A1E2D95" w14:textId="77777777" w:rsidR="0024356F" w:rsidRPr="007837CC" w:rsidRDefault="0024356F" w:rsidP="00183676">
            <w:pPr>
              <w:pStyle w:val="TableText"/>
              <w:keepNext/>
              <w:rPr>
                <w:rFonts w:cs="Calibri"/>
                <w:b/>
                <w:bCs/>
                <w:szCs w:val="18"/>
              </w:rPr>
            </w:pPr>
            <w:r w:rsidRPr="007837CC">
              <w:rPr>
                <w:rFonts w:cs="Calibri"/>
                <w:b/>
                <w:bCs/>
                <w:szCs w:val="18"/>
              </w:rPr>
              <w:t>0</w:t>
            </w:r>
          </w:p>
        </w:tc>
        <w:tc>
          <w:tcPr>
            <w:tcW w:w="4006" w:type="dxa"/>
            <w:shd w:val="clear" w:color="auto" w:fill="FFFFFF" w:themeFill="background1"/>
          </w:tcPr>
          <w:p w14:paraId="48A7AE3E" w14:textId="7D87ADB2" w:rsidR="00231B36" w:rsidRPr="007837CC" w:rsidRDefault="00D44D79" w:rsidP="00183676">
            <w:pPr>
              <w:pStyle w:val="TableText"/>
              <w:keepNext/>
              <w:spacing w:after="0"/>
              <w:rPr>
                <w:rFonts w:cs="Calibri"/>
                <w:b/>
                <w:color w:val="00B050"/>
                <w:szCs w:val="18"/>
              </w:rPr>
            </w:pPr>
            <w:r w:rsidRPr="007837CC" w:rsidDel="00933275">
              <w:rPr>
                <w:rFonts w:cs="Calibri"/>
                <w:b/>
                <w:color w:val="00B050"/>
                <w:szCs w:val="18"/>
              </w:rPr>
              <w:t>+</w:t>
            </w:r>
          </w:p>
          <w:p w14:paraId="32C78805" w14:textId="54BB45A4" w:rsidR="00245BF3" w:rsidRPr="007837CC" w:rsidRDefault="00B64FA2" w:rsidP="006C6D34">
            <w:pPr>
              <w:pStyle w:val="TableText"/>
              <w:keepNext/>
              <w:spacing w:before="0"/>
              <w:rPr>
                <w:rFonts w:cs="Calibri"/>
                <w:szCs w:val="18"/>
              </w:rPr>
            </w:pPr>
            <w:r w:rsidRPr="007837CC">
              <w:rPr>
                <w:rFonts w:cs="Calibri"/>
                <w:szCs w:val="18"/>
              </w:rPr>
              <w:t>Improved reflection of emissions inside and outside the NZ ETS</w:t>
            </w:r>
            <w:r w:rsidR="007E1E31">
              <w:rPr>
                <w:rFonts w:cs="Calibri"/>
                <w:szCs w:val="18"/>
              </w:rPr>
              <w:t>.</w:t>
            </w:r>
          </w:p>
        </w:tc>
      </w:tr>
      <w:tr w:rsidR="0024356F" w:rsidRPr="007837CC" w14:paraId="65D03CAC" w14:textId="77777777" w:rsidTr="00E33F5E">
        <w:tc>
          <w:tcPr>
            <w:tcW w:w="2410" w:type="dxa"/>
            <w:shd w:val="clear" w:color="auto" w:fill="FFFFFF" w:themeFill="background1"/>
          </w:tcPr>
          <w:p w14:paraId="42190148" w14:textId="77777777" w:rsidR="0024356F" w:rsidRPr="007837CC" w:rsidRDefault="0024356F" w:rsidP="006C6D34">
            <w:pPr>
              <w:pStyle w:val="TableText"/>
              <w:rPr>
                <w:rFonts w:cs="Calibri"/>
                <w:bCs/>
                <w:color w:val="000000"/>
                <w:szCs w:val="18"/>
              </w:rPr>
            </w:pPr>
            <w:r w:rsidRPr="007837CC">
              <w:rPr>
                <w:rFonts w:cs="Calibri"/>
                <w:szCs w:val="18"/>
              </w:rPr>
              <w:t>Supports the proper functioning of the NZ ETS</w:t>
            </w:r>
          </w:p>
        </w:tc>
        <w:tc>
          <w:tcPr>
            <w:tcW w:w="2126" w:type="dxa"/>
            <w:shd w:val="clear" w:color="auto" w:fill="FFFFFF" w:themeFill="background1"/>
          </w:tcPr>
          <w:p w14:paraId="54530E55" w14:textId="54890F0F" w:rsidR="0024356F" w:rsidRPr="007837CC" w:rsidRDefault="00783E66" w:rsidP="00183676">
            <w:pPr>
              <w:pStyle w:val="TableText"/>
              <w:rPr>
                <w:rFonts w:cs="Calibri"/>
                <w:szCs w:val="18"/>
              </w:rPr>
            </w:pPr>
            <w:r w:rsidRPr="007837CC">
              <w:rPr>
                <w:rFonts w:cs="Calibri"/>
                <w:b/>
                <w:bCs/>
                <w:szCs w:val="18"/>
              </w:rPr>
              <w:t>0</w:t>
            </w:r>
          </w:p>
        </w:tc>
        <w:tc>
          <w:tcPr>
            <w:tcW w:w="4006" w:type="dxa"/>
            <w:shd w:val="clear" w:color="auto" w:fill="FFFFFF" w:themeFill="background1"/>
          </w:tcPr>
          <w:p w14:paraId="1159B14B" w14:textId="77884AB1" w:rsidR="00DF7BA5" w:rsidRPr="007837CC" w:rsidRDefault="00783E66" w:rsidP="00183676">
            <w:pPr>
              <w:pStyle w:val="TableText"/>
              <w:rPr>
                <w:rFonts w:cs="Calibri"/>
                <w:szCs w:val="18"/>
              </w:rPr>
            </w:pPr>
            <w:r w:rsidRPr="007837CC">
              <w:rPr>
                <w:rFonts w:cs="Calibri"/>
                <w:b/>
                <w:bCs/>
                <w:szCs w:val="18"/>
              </w:rPr>
              <w:t>0</w:t>
            </w:r>
          </w:p>
        </w:tc>
      </w:tr>
      <w:tr w:rsidR="0024356F" w:rsidRPr="007837CC" w14:paraId="2B0D90F5" w14:textId="77777777" w:rsidTr="00E33F5E">
        <w:tc>
          <w:tcPr>
            <w:tcW w:w="2410" w:type="dxa"/>
            <w:shd w:val="clear" w:color="auto" w:fill="FFFFFF" w:themeFill="background1"/>
          </w:tcPr>
          <w:p w14:paraId="00B47791" w14:textId="77777777" w:rsidR="0024356F" w:rsidRPr="007837CC" w:rsidRDefault="0024356F" w:rsidP="006C6D34">
            <w:pPr>
              <w:pStyle w:val="TableText"/>
              <w:rPr>
                <w:rFonts w:cs="Calibri"/>
                <w:bCs/>
                <w:color w:val="000000"/>
                <w:szCs w:val="18"/>
              </w:rPr>
            </w:pPr>
            <w:r w:rsidRPr="007837CC">
              <w:rPr>
                <w:rFonts w:cs="Calibri"/>
                <w:szCs w:val="18"/>
              </w:rPr>
              <w:t>Improves regulatory certainty and predictability</w:t>
            </w:r>
          </w:p>
        </w:tc>
        <w:tc>
          <w:tcPr>
            <w:tcW w:w="2126" w:type="dxa"/>
            <w:shd w:val="clear" w:color="auto" w:fill="FFFFFF" w:themeFill="background1"/>
          </w:tcPr>
          <w:p w14:paraId="265BAA6D" w14:textId="1B9429FB" w:rsidR="0024356F" w:rsidRPr="007837CC" w:rsidRDefault="00783E66" w:rsidP="00183676">
            <w:pPr>
              <w:pStyle w:val="TableText"/>
              <w:rPr>
                <w:rFonts w:cs="Calibri"/>
                <w:szCs w:val="18"/>
              </w:rPr>
            </w:pPr>
            <w:r w:rsidRPr="007837CC">
              <w:rPr>
                <w:rFonts w:cs="Calibri"/>
                <w:b/>
                <w:bCs/>
                <w:szCs w:val="18"/>
              </w:rPr>
              <w:t>0</w:t>
            </w:r>
          </w:p>
        </w:tc>
        <w:tc>
          <w:tcPr>
            <w:tcW w:w="4006" w:type="dxa"/>
            <w:shd w:val="clear" w:color="auto" w:fill="FFFFFF" w:themeFill="background1"/>
          </w:tcPr>
          <w:p w14:paraId="6DCFEC83" w14:textId="30BB1BC9" w:rsidR="00B64FA2" w:rsidRPr="007837CC" w:rsidRDefault="00000E16" w:rsidP="00183676">
            <w:pPr>
              <w:pStyle w:val="TableText"/>
              <w:spacing w:after="0"/>
              <w:rPr>
                <w:rFonts w:cs="Calibri"/>
                <w:b/>
                <w:bCs/>
                <w:szCs w:val="18"/>
              </w:rPr>
            </w:pPr>
            <w:r w:rsidRPr="007837CC">
              <w:rPr>
                <w:rFonts w:cs="Calibri"/>
                <w:b/>
                <w:bCs/>
                <w:szCs w:val="18"/>
              </w:rPr>
              <w:t>0</w:t>
            </w:r>
          </w:p>
          <w:p w14:paraId="29DCC9FD" w14:textId="79421588" w:rsidR="00BB6B85" w:rsidRPr="007837CC" w:rsidRDefault="004E1116" w:rsidP="006C6D34">
            <w:pPr>
              <w:pStyle w:val="TableText"/>
              <w:spacing w:before="0"/>
              <w:rPr>
                <w:szCs w:val="18"/>
              </w:rPr>
            </w:pPr>
            <w:r w:rsidRPr="007837CC">
              <w:rPr>
                <w:szCs w:val="18"/>
              </w:rPr>
              <w:t>One</w:t>
            </w:r>
            <w:r w:rsidR="00B64FA2" w:rsidRPr="007837CC">
              <w:rPr>
                <w:szCs w:val="18"/>
              </w:rPr>
              <w:t xml:space="preserve"> </w:t>
            </w:r>
            <w:r w:rsidRPr="007837CC">
              <w:rPr>
                <w:szCs w:val="18"/>
              </w:rPr>
              <w:t>off change</w:t>
            </w:r>
            <w:r w:rsidR="00B64FA2" w:rsidRPr="007837CC">
              <w:rPr>
                <w:szCs w:val="18"/>
              </w:rPr>
              <w:t>, unlikely to need</w:t>
            </w:r>
            <w:r w:rsidR="00A96907" w:rsidRPr="007837CC">
              <w:rPr>
                <w:szCs w:val="18"/>
              </w:rPr>
              <w:t xml:space="preserve"> updating </w:t>
            </w:r>
            <w:r w:rsidR="00B64FA2" w:rsidRPr="007837CC">
              <w:rPr>
                <w:szCs w:val="18"/>
              </w:rPr>
              <w:t xml:space="preserve">in </w:t>
            </w:r>
            <w:proofErr w:type="gramStart"/>
            <w:r w:rsidR="00B64FA2" w:rsidRPr="007837CC">
              <w:rPr>
                <w:szCs w:val="18"/>
              </w:rPr>
              <w:t>future</w:t>
            </w:r>
            <w:proofErr w:type="gramEnd"/>
            <w:r w:rsidR="00D36F0C" w:rsidRPr="007837CC">
              <w:rPr>
                <w:szCs w:val="18"/>
              </w:rPr>
              <w:t xml:space="preserve"> </w:t>
            </w:r>
          </w:p>
          <w:p w14:paraId="25A5ECA5" w14:textId="025BF33A" w:rsidR="00DF7BA5" w:rsidRPr="007837CC" w:rsidRDefault="00DF7BA5" w:rsidP="006C6D34">
            <w:pPr>
              <w:pStyle w:val="TableText"/>
              <w:spacing w:before="0"/>
              <w:rPr>
                <w:rFonts w:cs="Calibri"/>
                <w:szCs w:val="18"/>
              </w:rPr>
            </w:pPr>
            <w:r w:rsidRPr="007837CC">
              <w:rPr>
                <w:szCs w:val="18"/>
              </w:rPr>
              <w:t>Material reduction in auction volumes.</w:t>
            </w:r>
          </w:p>
        </w:tc>
      </w:tr>
      <w:tr w:rsidR="0024356F" w:rsidRPr="007837CC" w14:paraId="2296A8FB" w14:textId="77777777" w:rsidTr="00183676">
        <w:tc>
          <w:tcPr>
            <w:tcW w:w="2410" w:type="dxa"/>
            <w:shd w:val="clear" w:color="auto" w:fill="FFFFFF" w:themeFill="background1"/>
          </w:tcPr>
          <w:p w14:paraId="0FFA7EB3" w14:textId="77777777" w:rsidR="0024356F" w:rsidRPr="007837CC" w:rsidRDefault="0024356F" w:rsidP="006C6D34">
            <w:pPr>
              <w:pStyle w:val="TableText"/>
              <w:spacing w:before="40" w:after="40"/>
              <w:rPr>
                <w:rFonts w:cs="Calibri"/>
                <w:b/>
                <w:color w:val="000000"/>
                <w:szCs w:val="18"/>
              </w:rPr>
            </w:pPr>
            <w:r w:rsidRPr="007837CC">
              <w:rPr>
                <w:rFonts w:cs="Calibri"/>
                <w:b/>
                <w:color w:val="000000"/>
                <w:szCs w:val="18"/>
              </w:rPr>
              <w:t>Overall assessment</w:t>
            </w:r>
          </w:p>
        </w:tc>
        <w:tc>
          <w:tcPr>
            <w:tcW w:w="2126" w:type="dxa"/>
            <w:shd w:val="clear" w:color="auto" w:fill="FFFFFF" w:themeFill="background1"/>
          </w:tcPr>
          <w:p w14:paraId="17DB4337" w14:textId="0A8818A3" w:rsidR="0024356F" w:rsidRPr="007837CC" w:rsidRDefault="00783E66" w:rsidP="00183676">
            <w:pPr>
              <w:pStyle w:val="TableText"/>
              <w:spacing w:after="40"/>
              <w:rPr>
                <w:rFonts w:cs="Calibri"/>
                <w:szCs w:val="18"/>
              </w:rPr>
            </w:pPr>
            <w:r w:rsidRPr="007837CC">
              <w:rPr>
                <w:rFonts w:cs="Calibri"/>
                <w:b/>
                <w:bCs/>
                <w:szCs w:val="18"/>
              </w:rPr>
              <w:t>0</w:t>
            </w:r>
          </w:p>
        </w:tc>
        <w:tc>
          <w:tcPr>
            <w:tcW w:w="4006" w:type="dxa"/>
            <w:shd w:val="clear" w:color="auto" w:fill="FFFFFF" w:themeFill="background1"/>
          </w:tcPr>
          <w:p w14:paraId="4EF040D8" w14:textId="77777777" w:rsidR="00B64FA2" w:rsidRPr="007837CC" w:rsidRDefault="0077402F" w:rsidP="00183676">
            <w:pPr>
              <w:pStyle w:val="TableText"/>
              <w:keepNext/>
              <w:spacing w:after="0"/>
              <w:rPr>
                <w:rFonts w:cs="Calibri"/>
                <w:b/>
                <w:bCs/>
                <w:color w:val="00B050"/>
                <w:szCs w:val="18"/>
              </w:rPr>
            </w:pPr>
            <w:r w:rsidRPr="007837CC" w:rsidDel="00933275">
              <w:rPr>
                <w:rFonts w:cs="Calibri"/>
                <w:b/>
                <w:color w:val="00B050"/>
                <w:szCs w:val="18"/>
              </w:rPr>
              <w:t>+</w:t>
            </w:r>
          </w:p>
          <w:p w14:paraId="51AE5292" w14:textId="3B7FA920" w:rsidR="0024356F" w:rsidRPr="007837CC" w:rsidRDefault="008B0157" w:rsidP="00183676">
            <w:pPr>
              <w:pStyle w:val="TableText"/>
              <w:spacing w:before="40"/>
              <w:rPr>
                <w:rFonts w:cs="Calibri"/>
                <w:szCs w:val="18"/>
              </w:rPr>
            </w:pPr>
            <w:r w:rsidRPr="007837CC">
              <w:rPr>
                <w:szCs w:val="18"/>
              </w:rPr>
              <w:t xml:space="preserve">Although </w:t>
            </w:r>
            <w:r w:rsidR="00714349" w:rsidRPr="007837CC">
              <w:rPr>
                <w:szCs w:val="18"/>
              </w:rPr>
              <w:t xml:space="preserve">this </w:t>
            </w:r>
            <w:r w:rsidR="007E1E31">
              <w:rPr>
                <w:szCs w:val="18"/>
              </w:rPr>
              <w:t>has</w:t>
            </w:r>
            <w:r w:rsidR="007E1E31" w:rsidRPr="007837CC">
              <w:rPr>
                <w:szCs w:val="18"/>
              </w:rPr>
              <w:t xml:space="preserve"> </w:t>
            </w:r>
            <w:r w:rsidR="00B64FA2" w:rsidRPr="007837CC">
              <w:rPr>
                <w:szCs w:val="18"/>
              </w:rPr>
              <w:t>a minor impact on regulatory certainty, it would improve accordance with emissions budgets and targets</w:t>
            </w:r>
            <w:r w:rsidR="007E1E31">
              <w:rPr>
                <w:szCs w:val="18"/>
              </w:rPr>
              <w:t>.</w:t>
            </w:r>
          </w:p>
        </w:tc>
      </w:tr>
    </w:tbl>
    <w:p w14:paraId="570389B6" w14:textId="77777777" w:rsidR="004F512E" w:rsidRPr="007837CC" w:rsidRDefault="004F512E" w:rsidP="00F125D4">
      <w:pPr>
        <w:pStyle w:val="BodyText"/>
        <w:spacing w:before="0"/>
      </w:pP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4F512E" w:rsidRPr="007837CC" w14:paraId="10B88AAD" w14:textId="77777777">
        <w:tc>
          <w:tcPr>
            <w:tcW w:w="0" w:type="auto"/>
            <w:shd w:val="clear" w:color="auto" w:fill="D2DDE2"/>
          </w:tcPr>
          <w:p w14:paraId="3DC6E4A8" w14:textId="05F7D6FE" w:rsidR="004F512E" w:rsidRPr="007837CC" w:rsidRDefault="004F512E">
            <w:pPr>
              <w:pStyle w:val="Boxheading"/>
              <w:rPr>
                <w:rFonts w:cs="Calibri"/>
              </w:rPr>
            </w:pPr>
            <w:r w:rsidRPr="007837CC">
              <w:rPr>
                <w:rFonts w:cs="Calibri"/>
              </w:rPr>
              <w:t>Questions</w:t>
            </w:r>
          </w:p>
          <w:p w14:paraId="33DE4B05" w14:textId="5F43F705" w:rsidR="004F512E" w:rsidRPr="007837CC" w:rsidRDefault="004F512E" w:rsidP="004F512E">
            <w:pPr>
              <w:pStyle w:val="Boxquestion"/>
              <w:spacing w:after="0"/>
              <w:ind w:left="681" w:hanging="397"/>
            </w:pPr>
            <w:r w:rsidRPr="007837CC">
              <w:t xml:space="preserve">Do you think the </w:t>
            </w:r>
            <w:r w:rsidR="0081042E" w:rsidRPr="007837CC">
              <w:t xml:space="preserve">Commission’s updated </w:t>
            </w:r>
            <w:r w:rsidRPr="007837CC">
              <w:t xml:space="preserve">estimates </w:t>
            </w:r>
            <w:r w:rsidR="006043B5" w:rsidRPr="007837CC">
              <w:t xml:space="preserve">of forestry </w:t>
            </w:r>
            <w:r w:rsidRPr="007837CC">
              <w:t>emissions outside the NZ</w:t>
            </w:r>
            <w:r w:rsidR="007E1E31">
              <w:t> </w:t>
            </w:r>
            <w:r w:rsidRPr="007837CC">
              <w:t>ETS</w:t>
            </w:r>
            <w:r w:rsidR="006043B5" w:rsidRPr="007837CC">
              <w:t xml:space="preserve"> are accurate</w:t>
            </w:r>
            <w:r w:rsidRPr="007837CC">
              <w:t>?</w:t>
            </w:r>
          </w:p>
          <w:p w14:paraId="123EDD32" w14:textId="3483B55B" w:rsidR="004F512E" w:rsidRPr="007837CC" w:rsidRDefault="004F512E">
            <w:pPr>
              <w:pStyle w:val="Boxquestion"/>
            </w:pPr>
            <w:r w:rsidRPr="007837CC">
              <w:t>Do you think that an update to calculations</w:t>
            </w:r>
            <w:r w:rsidR="00C055FC" w:rsidRPr="007837CC">
              <w:t>, and a corresponding reduction in auction volumes,</w:t>
            </w:r>
            <w:r w:rsidRPr="007837CC">
              <w:t xml:space="preserve"> should be made to reflect this updated estimate?</w:t>
            </w:r>
          </w:p>
        </w:tc>
      </w:tr>
    </w:tbl>
    <w:p w14:paraId="40E231A6" w14:textId="77777777" w:rsidR="0087164D" w:rsidRPr="007837CC" w:rsidRDefault="0087164D" w:rsidP="00183676">
      <w:pPr>
        <w:pStyle w:val="BodyText"/>
        <w:spacing w:before="0" w:after="0" w:line="240" w:lineRule="auto"/>
        <w:rPr>
          <w:highlight w:val="cyan"/>
        </w:rPr>
      </w:pPr>
    </w:p>
    <w:p w14:paraId="4537F188" w14:textId="51C7505B" w:rsidR="00DE1D73" w:rsidRPr="007837CC" w:rsidRDefault="009C5804" w:rsidP="00A77E84">
      <w:pPr>
        <w:pStyle w:val="Heading4"/>
        <w:tabs>
          <w:tab w:val="clear" w:pos="851"/>
          <w:tab w:val="left" w:pos="397"/>
        </w:tabs>
      </w:pPr>
      <w:r w:rsidRPr="007837CC">
        <w:t>3</w:t>
      </w:r>
      <w:r w:rsidR="00867FC2" w:rsidRPr="007837CC">
        <w:t>.</w:t>
      </w:r>
      <w:r w:rsidRPr="007837CC">
        <w:t xml:space="preserve"> </w:t>
      </w:r>
      <w:r w:rsidR="00A77E84" w:rsidRPr="007837CC">
        <w:tab/>
      </w:r>
      <w:r w:rsidR="00DE1D73" w:rsidRPr="007837CC">
        <w:t>Make technical adjustments</w:t>
      </w:r>
    </w:p>
    <w:p w14:paraId="173519D2" w14:textId="06DDA00D" w:rsidR="00B42783" w:rsidRPr="007837CC" w:rsidRDefault="00927BFD" w:rsidP="00F96F91">
      <w:pPr>
        <w:pStyle w:val="BodyText"/>
      </w:pPr>
      <w:r w:rsidRPr="007837CC">
        <w:t>This</w:t>
      </w:r>
      <w:r w:rsidR="00AE7D76" w:rsidRPr="007837CC">
        <w:t xml:space="preserve"> </w:t>
      </w:r>
      <w:r w:rsidR="00840F38" w:rsidRPr="007837CC">
        <w:t xml:space="preserve">step </w:t>
      </w:r>
      <w:r w:rsidR="00741BC9" w:rsidRPr="007837CC">
        <w:t>considers the treatment of</w:t>
      </w:r>
      <w:r w:rsidR="00840F38" w:rsidRPr="007837CC">
        <w:t xml:space="preserve"> misalignment between emissions reported in the NZ</w:t>
      </w:r>
      <w:r w:rsidR="00EC7EA2" w:rsidRPr="007837CC">
        <w:t> </w:t>
      </w:r>
      <w:r w:rsidR="00840F38" w:rsidRPr="007837CC">
        <w:t xml:space="preserve">ETS and those reported in New Zealand’s </w:t>
      </w:r>
      <w:r w:rsidR="00FC6E98" w:rsidRPr="007837CC">
        <w:t>G</w:t>
      </w:r>
      <w:r w:rsidR="00840F38" w:rsidRPr="007837CC">
        <w:t xml:space="preserve">reenhouse </w:t>
      </w:r>
      <w:r w:rsidR="00FC6E98" w:rsidRPr="007837CC">
        <w:t>G</w:t>
      </w:r>
      <w:r w:rsidR="00840F38" w:rsidRPr="007837CC">
        <w:t xml:space="preserve">as </w:t>
      </w:r>
      <w:r w:rsidR="00FC6E98" w:rsidRPr="007837CC">
        <w:t>I</w:t>
      </w:r>
      <w:r w:rsidR="00840F38" w:rsidRPr="007837CC">
        <w:t xml:space="preserve">nventory. </w:t>
      </w:r>
    </w:p>
    <w:p w14:paraId="312B81F3" w14:textId="0A87E314" w:rsidR="00DE1D73" w:rsidRPr="007837CC" w:rsidRDefault="006D2009" w:rsidP="00A77E84">
      <w:pPr>
        <w:pStyle w:val="BodyText"/>
      </w:pPr>
      <w:r w:rsidRPr="007837CC">
        <w:lastRenderedPageBreak/>
        <w:t xml:space="preserve">Work has uncovered </w:t>
      </w:r>
      <w:r w:rsidR="009844D5" w:rsidRPr="007837CC">
        <w:t>what appear to be</w:t>
      </w:r>
      <w:r w:rsidR="008360B8" w:rsidRPr="007837CC">
        <w:t xml:space="preserve"> </w:t>
      </w:r>
      <w:r w:rsidRPr="007837CC">
        <w:t>discrepanc</w:t>
      </w:r>
      <w:r w:rsidR="00EC5D14" w:rsidRPr="007837CC">
        <w:t>ies</w:t>
      </w:r>
      <w:r w:rsidRPr="007837CC">
        <w:t xml:space="preserve"> between emissions reported in </w:t>
      </w:r>
      <w:r w:rsidR="00867FC2" w:rsidRPr="007837CC">
        <w:t xml:space="preserve">the </w:t>
      </w:r>
      <w:r w:rsidR="00FC6E98" w:rsidRPr="007837CC">
        <w:t>I</w:t>
      </w:r>
      <w:r w:rsidRPr="007837CC">
        <w:t xml:space="preserve">nventory and </w:t>
      </w:r>
      <w:r w:rsidR="00867FC2" w:rsidRPr="007837CC">
        <w:t xml:space="preserve">those </w:t>
      </w:r>
      <w:r w:rsidR="00D41653" w:rsidRPr="007837CC">
        <w:t xml:space="preserve">in the NZ ETS. </w:t>
      </w:r>
    </w:p>
    <w:p w14:paraId="2644EC3C" w14:textId="54E539D9" w:rsidR="00707ECA" w:rsidRPr="007837CC" w:rsidRDefault="00900723" w:rsidP="00A77E84">
      <w:pPr>
        <w:pStyle w:val="BodyText"/>
      </w:pPr>
      <w:r w:rsidRPr="007837CC">
        <w:rPr>
          <w:rFonts w:asciiTheme="minorHAnsi" w:hAnsiTheme="minorHAnsi" w:cstheme="minorHAnsi"/>
        </w:rPr>
        <w:t xml:space="preserve">The discrepancy relates to energy sector emissions for coal and liquid fossil fuels. </w:t>
      </w:r>
      <w:r w:rsidR="00030BF7" w:rsidRPr="007837CC">
        <w:rPr>
          <w:rFonts w:asciiTheme="minorHAnsi" w:hAnsiTheme="minorHAnsi" w:cstheme="minorHAnsi"/>
        </w:rPr>
        <w:t>O</w:t>
      </w:r>
      <w:r w:rsidRPr="007837CC">
        <w:rPr>
          <w:rFonts w:asciiTheme="minorHAnsi" w:hAnsiTheme="minorHAnsi" w:cstheme="minorHAnsi"/>
        </w:rPr>
        <w:t>fficials have</w:t>
      </w:r>
      <w:r w:rsidR="00F96F91" w:rsidRPr="007837CC">
        <w:rPr>
          <w:rFonts w:asciiTheme="minorHAnsi" w:hAnsiTheme="minorHAnsi" w:cstheme="minorHAnsi"/>
        </w:rPr>
        <w:t> </w:t>
      </w:r>
      <w:r w:rsidRPr="007837CC">
        <w:rPr>
          <w:rFonts w:asciiTheme="minorHAnsi" w:hAnsiTheme="minorHAnsi" w:cstheme="minorHAnsi"/>
        </w:rPr>
        <w:t>yet to confirm the basis for the discrepancy and, if it is valid, whether addressing it will</w:t>
      </w:r>
      <w:r w:rsidR="00C245E7" w:rsidRPr="007837CC">
        <w:rPr>
          <w:rFonts w:asciiTheme="minorHAnsi" w:hAnsiTheme="minorHAnsi" w:cstheme="minorHAnsi"/>
        </w:rPr>
        <w:t> </w:t>
      </w:r>
      <w:r w:rsidRPr="007837CC">
        <w:rPr>
          <w:rFonts w:asciiTheme="minorHAnsi" w:hAnsiTheme="minorHAnsi" w:cstheme="minorHAnsi"/>
        </w:rPr>
        <w:t xml:space="preserve">require adjustments to the </w:t>
      </w:r>
      <w:r w:rsidR="00FC6E98" w:rsidRPr="007837CC">
        <w:rPr>
          <w:rFonts w:asciiTheme="minorHAnsi" w:hAnsiTheme="minorHAnsi" w:cstheme="minorHAnsi"/>
        </w:rPr>
        <w:t>I</w:t>
      </w:r>
      <w:r w:rsidRPr="007837CC">
        <w:rPr>
          <w:rFonts w:asciiTheme="minorHAnsi" w:hAnsiTheme="minorHAnsi" w:cstheme="minorHAnsi"/>
        </w:rPr>
        <w:t>nventory or NZ ETS technical adjustments to emissions factors</w:t>
      </w:r>
      <w:r w:rsidR="003A2A03" w:rsidRPr="007837CC">
        <w:rPr>
          <w:rFonts w:asciiTheme="minorHAnsi" w:hAnsiTheme="minorHAnsi" w:cstheme="minorHAnsi"/>
        </w:rPr>
        <w:t> </w:t>
      </w:r>
      <w:r w:rsidRPr="007837CC">
        <w:rPr>
          <w:rFonts w:asciiTheme="minorHAnsi" w:hAnsiTheme="minorHAnsi" w:cstheme="minorHAnsi"/>
        </w:rPr>
        <w:t>or calculations.</w:t>
      </w:r>
    </w:p>
    <w:p w14:paraId="6F95B292" w14:textId="58B47485" w:rsidR="00927BFD" w:rsidRPr="007837CC" w:rsidRDefault="00927BFD" w:rsidP="00A77E84">
      <w:pPr>
        <w:pStyle w:val="BodyText"/>
      </w:pPr>
      <w:r w:rsidRPr="007837CC">
        <w:t xml:space="preserve">New Zealand uses inventory data to report progress towards targets. Any accounting misalignment could mean too many, or too few, </w:t>
      </w:r>
      <w:r w:rsidR="001D281D" w:rsidRPr="007837CC">
        <w:t>NZUs</w:t>
      </w:r>
      <w:r w:rsidRPr="007837CC">
        <w:t xml:space="preserve"> are supplied each year. </w:t>
      </w:r>
    </w:p>
    <w:p w14:paraId="12359831" w14:textId="16877B47" w:rsidR="00856394" w:rsidRPr="007837CC" w:rsidRDefault="00856394" w:rsidP="00A77E84">
      <w:pPr>
        <w:pStyle w:val="BodyText"/>
      </w:pPr>
      <w:r w:rsidRPr="007837CC">
        <w:t xml:space="preserve">This </w:t>
      </w:r>
      <w:r w:rsidR="00927BFD" w:rsidRPr="007837CC">
        <w:t>discrepancy was known about</w:t>
      </w:r>
      <w:r w:rsidRPr="007837CC">
        <w:t xml:space="preserve"> last year</w:t>
      </w:r>
      <w:r w:rsidR="00B2133A" w:rsidRPr="007837CC">
        <w:t xml:space="preserve">, and no adjustments were made to limits for units to account for this discrepancy. </w:t>
      </w:r>
      <w:r w:rsidR="00644C70" w:rsidRPr="007837CC">
        <w:t>A full understanding of the discrepancy would inform the appropriate response</w:t>
      </w:r>
      <w:r w:rsidR="007B732E" w:rsidRPr="007837CC">
        <w:t>, and this is still being sought</w:t>
      </w:r>
      <w:r w:rsidR="00644C70" w:rsidRPr="007837CC">
        <w:t xml:space="preserve">. </w:t>
      </w:r>
      <w:r w:rsidR="00593FBD" w:rsidRPr="007837CC">
        <w:t xml:space="preserve">Limits for units will be able to be updated </w:t>
      </w:r>
      <w:r w:rsidR="00CF7349" w:rsidRPr="007837CC">
        <w:t>correctly once this is available.</w:t>
      </w:r>
      <w:r w:rsidR="00644C70" w:rsidRPr="007837CC">
        <w:t xml:space="preserve"> Without this</w:t>
      </w:r>
      <w:r w:rsidR="007B732E" w:rsidRPr="007837CC">
        <w:t xml:space="preserve"> full understanding</w:t>
      </w:r>
      <w:r w:rsidR="00644C70" w:rsidRPr="007837CC">
        <w:t xml:space="preserve">, a decision is still required on how to treat it. </w:t>
      </w:r>
    </w:p>
    <w:p w14:paraId="72786964" w14:textId="77777777" w:rsidR="009877F2" w:rsidRPr="007837CC" w:rsidRDefault="009877F2" w:rsidP="00C245E7">
      <w:pPr>
        <w:pStyle w:val="Heading5"/>
      </w:pPr>
      <w:bookmarkStart w:id="41" w:name="_Toc118899811"/>
      <w:r w:rsidRPr="007837CC">
        <w:t>Options</w:t>
      </w:r>
      <w:bookmarkEnd w:id="41"/>
    </w:p>
    <w:p w14:paraId="38A0B1B5" w14:textId="2C557270" w:rsidR="009877F2" w:rsidRPr="007837CC" w:rsidRDefault="009877F2" w:rsidP="00C245E7">
      <w:pPr>
        <w:pStyle w:val="Numberedparagraph"/>
        <w:numPr>
          <w:ilvl w:val="0"/>
          <w:numId w:val="55"/>
        </w:numPr>
        <w:spacing w:before="100" w:beforeAutospacing="1"/>
      </w:pPr>
      <w:r w:rsidRPr="007837CC">
        <w:t xml:space="preserve">Option </w:t>
      </w:r>
      <w:r w:rsidR="00030BF7" w:rsidRPr="007837CC">
        <w:t>o</w:t>
      </w:r>
      <w:r w:rsidRPr="007837CC">
        <w:t xml:space="preserve">ne – </w:t>
      </w:r>
      <w:r w:rsidR="00A6633B" w:rsidRPr="007837CC">
        <w:t>S</w:t>
      </w:r>
      <w:r w:rsidRPr="007837CC">
        <w:t>tatus quo</w:t>
      </w:r>
      <w:r w:rsidR="005F0910" w:rsidRPr="007837CC">
        <w:t>. N</w:t>
      </w:r>
      <w:r w:rsidRPr="007837CC">
        <w:t>o technical adjustments are made during the calculation of auction volumes</w:t>
      </w:r>
      <w:r w:rsidR="004276A9" w:rsidRPr="007837CC">
        <w:t>.</w:t>
      </w:r>
    </w:p>
    <w:p w14:paraId="7131B843" w14:textId="237B2E69" w:rsidR="005F0910" w:rsidRPr="007837CC" w:rsidRDefault="005F0910" w:rsidP="00C245E7">
      <w:pPr>
        <w:pStyle w:val="Numberedparagraph"/>
      </w:pPr>
      <w:r w:rsidRPr="007837CC">
        <w:t xml:space="preserve">Option </w:t>
      </w:r>
      <w:r w:rsidR="00030BF7" w:rsidRPr="007837CC">
        <w:t>t</w:t>
      </w:r>
      <w:r w:rsidRPr="007837CC">
        <w:t>wo – A technical adjustment to reduce auction volumes is made to reflect half of the observed discrepancies</w:t>
      </w:r>
      <w:r w:rsidR="004276A9" w:rsidRPr="007837CC">
        <w:t>.</w:t>
      </w:r>
    </w:p>
    <w:p w14:paraId="0C5ACAB8" w14:textId="746E2DFD" w:rsidR="009877F2" w:rsidRPr="007837CC" w:rsidRDefault="009877F2" w:rsidP="00C245E7">
      <w:pPr>
        <w:pStyle w:val="Numberedparagraph"/>
      </w:pPr>
      <w:r w:rsidRPr="007837CC">
        <w:t xml:space="preserve">Option </w:t>
      </w:r>
      <w:r w:rsidR="00030BF7" w:rsidRPr="007837CC">
        <w:t>t</w:t>
      </w:r>
      <w:r w:rsidR="005F0910" w:rsidRPr="007837CC">
        <w:t>hree</w:t>
      </w:r>
      <w:r w:rsidRPr="007837CC">
        <w:t xml:space="preserve"> –</w:t>
      </w:r>
      <w:r w:rsidR="005F0910" w:rsidRPr="007837CC">
        <w:t xml:space="preserve"> </w:t>
      </w:r>
      <w:r w:rsidRPr="007837CC">
        <w:t>Commission’s advice</w:t>
      </w:r>
      <w:r w:rsidR="005F0910" w:rsidRPr="007837CC">
        <w:t xml:space="preserve">. </w:t>
      </w:r>
      <w:r w:rsidRPr="007837CC">
        <w:t>A technical adjustment to reduce auction volumes is made to reflect the full amount of the observed discrepancies. This would reflect the relatively steady liquid fossil fuel discrepancy over the period of 2010</w:t>
      </w:r>
      <w:r w:rsidR="00030BF7" w:rsidRPr="007837CC">
        <w:t>–</w:t>
      </w:r>
      <w:r w:rsidRPr="007837CC">
        <w:t>20, and a fixed percentage adjustment for coal emissions based on the observed discrepancy for years 2019</w:t>
      </w:r>
      <w:r w:rsidR="00030BF7" w:rsidRPr="007837CC">
        <w:t>–</w:t>
      </w:r>
      <w:r w:rsidRPr="007837CC">
        <w:t>20.</w:t>
      </w:r>
    </w:p>
    <w:p w14:paraId="3E178EC0" w14:textId="1DE6EE2E" w:rsidR="00964B60" w:rsidRPr="007837CC" w:rsidRDefault="00964B60" w:rsidP="00964B60">
      <w:pPr>
        <w:spacing w:after="180"/>
        <w:jc w:val="left"/>
      </w:pPr>
      <w:r w:rsidRPr="007837CC">
        <w:t>The three listed options</w:t>
      </w:r>
      <w:r w:rsidR="00F4134E" w:rsidRPr="007837CC">
        <w:t>, and their impacts on calculations of auction volumes and limits,</w:t>
      </w:r>
      <w:r w:rsidRPr="007837CC">
        <w:t xml:space="preserve"> are </w:t>
      </w:r>
      <w:r w:rsidR="00030BF7" w:rsidRPr="007837CC">
        <w:t xml:space="preserve">shown </w:t>
      </w:r>
      <w:r w:rsidRPr="007837CC">
        <w:t xml:space="preserve">in the table </w:t>
      </w:r>
      <w:r w:rsidR="001407BA" w:rsidRPr="007837CC">
        <w:t>7</w:t>
      </w:r>
      <w:r w:rsidRPr="007837CC">
        <w:t xml:space="preserve">. </w:t>
      </w:r>
    </w:p>
    <w:p w14:paraId="62109467" w14:textId="2743BB43" w:rsidR="009877F2" w:rsidRPr="007837CC" w:rsidRDefault="00F4134E" w:rsidP="00030BF7">
      <w:pPr>
        <w:pStyle w:val="Tableheading"/>
      </w:pPr>
      <w:bookmarkStart w:id="42" w:name="_Toc133927341"/>
      <w:r w:rsidRPr="007837CC">
        <w:t>Table</w:t>
      </w:r>
      <w:r w:rsidR="00030BF7" w:rsidRPr="007837CC">
        <w:t xml:space="preserve"> </w:t>
      </w:r>
      <w:r w:rsidR="001407BA" w:rsidRPr="007837CC">
        <w:t>7</w:t>
      </w:r>
      <w:r w:rsidR="00030BF7" w:rsidRPr="007837CC">
        <w:t>:</w:t>
      </w:r>
      <w:r w:rsidR="00030BF7" w:rsidRPr="007837CC">
        <w:tab/>
      </w:r>
      <w:r w:rsidR="001D281D" w:rsidRPr="007837CC">
        <w:t xml:space="preserve">Options to address the observed discrepancy between emissions reported in the </w:t>
      </w:r>
      <w:r w:rsidR="007E1E31">
        <w:t>I</w:t>
      </w:r>
      <w:r w:rsidR="001D281D" w:rsidRPr="007837CC">
        <w:t>nventory and reported in the NZ ETS</w:t>
      </w:r>
      <w:bookmarkEnd w:id="42"/>
      <w:r w:rsidR="00666290" w:rsidRPr="007837CC">
        <w:t xml:space="preserve"> </w:t>
      </w:r>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3490"/>
        <w:gridCol w:w="993"/>
        <w:gridCol w:w="994"/>
        <w:gridCol w:w="994"/>
        <w:gridCol w:w="994"/>
        <w:gridCol w:w="1040"/>
      </w:tblGrid>
      <w:tr w:rsidR="003316F0" w:rsidRPr="007837CC" w14:paraId="0D631749" w14:textId="77777777" w:rsidTr="00C245E7">
        <w:trPr>
          <w:tblHeader/>
        </w:trPr>
        <w:tc>
          <w:tcPr>
            <w:tcW w:w="3490" w:type="dxa"/>
            <w:vMerge w:val="restart"/>
            <w:shd w:val="clear" w:color="auto" w:fill="1B556B" w:themeFill="text2"/>
            <w:vAlign w:val="bottom"/>
            <w:hideMark/>
          </w:tcPr>
          <w:p w14:paraId="05950CAC" w14:textId="77777777" w:rsidR="003316F0" w:rsidRPr="007837CC" w:rsidRDefault="003316F0" w:rsidP="006C6D34">
            <w:pPr>
              <w:pStyle w:val="TableTextbold"/>
            </w:pPr>
          </w:p>
        </w:tc>
        <w:tc>
          <w:tcPr>
            <w:tcW w:w="5015" w:type="dxa"/>
            <w:gridSpan w:val="5"/>
            <w:shd w:val="clear" w:color="auto" w:fill="1B556B" w:themeFill="text2"/>
            <w:vAlign w:val="bottom"/>
            <w:hideMark/>
          </w:tcPr>
          <w:p w14:paraId="4213D1C4" w14:textId="5B26E5AD" w:rsidR="003316F0" w:rsidRPr="007837CC" w:rsidRDefault="00D407B3" w:rsidP="006C6D34">
            <w:pPr>
              <w:pStyle w:val="TableTextbold"/>
              <w:spacing w:after="0"/>
              <w:jc w:val="center"/>
              <w:rPr>
                <w:color w:val="FFFFFF" w:themeColor="background1"/>
              </w:rPr>
            </w:pPr>
            <w:r>
              <w:rPr>
                <w:color w:val="FFFFFF" w:themeColor="background1"/>
              </w:rPr>
              <w:t>R</w:t>
            </w:r>
            <w:r w:rsidR="00C80F05" w:rsidRPr="007837CC">
              <w:rPr>
                <w:color w:val="FFFFFF" w:themeColor="background1"/>
              </w:rPr>
              <w:t>educed auction volume</w:t>
            </w:r>
            <w:r>
              <w:rPr>
                <w:color w:val="FFFFFF" w:themeColor="background1"/>
              </w:rPr>
              <w:t>s</w:t>
            </w:r>
            <w:r w:rsidR="00C80F05" w:rsidRPr="007837CC">
              <w:rPr>
                <w:color w:val="FFFFFF" w:themeColor="background1"/>
              </w:rPr>
              <w:t xml:space="preserve"> in </w:t>
            </w:r>
            <w:r w:rsidR="003316F0" w:rsidRPr="007837CC">
              <w:rPr>
                <w:color w:val="FFFFFF" w:themeColor="background1"/>
              </w:rPr>
              <w:t xml:space="preserve">millions of </w:t>
            </w:r>
            <w:r w:rsidR="001D281D" w:rsidRPr="007837CC">
              <w:rPr>
                <w:color w:val="FFFFFF" w:themeColor="background1"/>
              </w:rPr>
              <w:t>NZUs</w:t>
            </w:r>
          </w:p>
        </w:tc>
      </w:tr>
      <w:tr w:rsidR="003316F0" w:rsidRPr="007837CC" w14:paraId="113F9F76" w14:textId="77777777" w:rsidTr="00C245E7">
        <w:trPr>
          <w:tblHeader/>
        </w:trPr>
        <w:tc>
          <w:tcPr>
            <w:tcW w:w="3490" w:type="dxa"/>
            <w:vMerge/>
            <w:shd w:val="clear" w:color="auto" w:fill="1B556B" w:themeFill="text2"/>
            <w:noWrap/>
            <w:vAlign w:val="bottom"/>
            <w:hideMark/>
          </w:tcPr>
          <w:p w14:paraId="2D80FF26" w14:textId="77777777" w:rsidR="003316F0" w:rsidRPr="007837CC" w:rsidRDefault="003316F0" w:rsidP="006C6D34">
            <w:pPr>
              <w:spacing w:before="60" w:after="60" w:line="240" w:lineRule="auto"/>
              <w:jc w:val="left"/>
              <w:rPr>
                <w:rFonts w:cs="Calibri"/>
                <w:color w:val="000000"/>
              </w:rPr>
            </w:pPr>
          </w:p>
        </w:tc>
        <w:tc>
          <w:tcPr>
            <w:tcW w:w="993" w:type="dxa"/>
            <w:shd w:val="clear" w:color="auto" w:fill="1B556B" w:themeFill="text2"/>
            <w:noWrap/>
            <w:vAlign w:val="bottom"/>
            <w:hideMark/>
          </w:tcPr>
          <w:p w14:paraId="48C90E0D" w14:textId="77777777" w:rsidR="003316F0" w:rsidRPr="007837CC" w:rsidRDefault="003316F0" w:rsidP="006C6D34">
            <w:pPr>
              <w:pStyle w:val="TableTextbold"/>
              <w:spacing w:before="40"/>
              <w:jc w:val="center"/>
              <w:rPr>
                <w:color w:val="FFFFFF" w:themeColor="background1"/>
              </w:rPr>
            </w:pPr>
            <w:r w:rsidRPr="007837CC">
              <w:rPr>
                <w:color w:val="FFFFFF" w:themeColor="background1"/>
              </w:rPr>
              <w:t>2024</w:t>
            </w:r>
          </w:p>
        </w:tc>
        <w:tc>
          <w:tcPr>
            <w:tcW w:w="994" w:type="dxa"/>
            <w:shd w:val="clear" w:color="auto" w:fill="1B556B" w:themeFill="text2"/>
            <w:noWrap/>
            <w:vAlign w:val="bottom"/>
            <w:hideMark/>
          </w:tcPr>
          <w:p w14:paraId="642CD9DE" w14:textId="77777777" w:rsidR="003316F0" w:rsidRPr="007837CC" w:rsidRDefault="003316F0" w:rsidP="006C6D34">
            <w:pPr>
              <w:pStyle w:val="TableTextbold"/>
              <w:spacing w:before="40"/>
              <w:jc w:val="center"/>
              <w:rPr>
                <w:color w:val="FFFFFF" w:themeColor="background1"/>
              </w:rPr>
            </w:pPr>
            <w:r w:rsidRPr="007837CC">
              <w:rPr>
                <w:color w:val="FFFFFF" w:themeColor="background1"/>
              </w:rPr>
              <w:t>2025</w:t>
            </w:r>
          </w:p>
        </w:tc>
        <w:tc>
          <w:tcPr>
            <w:tcW w:w="994" w:type="dxa"/>
            <w:shd w:val="clear" w:color="auto" w:fill="1B556B" w:themeFill="text2"/>
            <w:noWrap/>
            <w:vAlign w:val="bottom"/>
            <w:hideMark/>
          </w:tcPr>
          <w:p w14:paraId="27AF0EFD" w14:textId="77777777" w:rsidR="003316F0" w:rsidRPr="007837CC" w:rsidRDefault="003316F0" w:rsidP="006C6D34">
            <w:pPr>
              <w:pStyle w:val="TableTextbold"/>
              <w:spacing w:before="40"/>
              <w:jc w:val="center"/>
              <w:rPr>
                <w:color w:val="FFFFFF" w:themeColor="background1"/>
              </w:rPr>
            </w:pPr>
            <w:r w:rsidRPr="007837CC">
              <w:rPr>
                <w:color w:val="FFFFFF" w:themeColor="background1"/>
              </w:rPr>
              <w:t>2026</w:t>
            </w:r>
          </w:p>
        </w:tc>
        <w:tc>
          <w:tcPr>
            <w:tcW w:w="994" w:type="dxa"/>
            <w:shd w:val="clear" w:color="auto" w:fill="1B556B" w:themeFill="text2"/>
            <w:noWrap/>
            <w:vAlign w:val="bottom"/>
            <w:hideMark/>
          </w:tcPr>
          <w:p w14:paraId="01DEC4A0" w14:textId="77777777" w:rsidR="003316F0" w:rsidRPr="007837CC" w:rsidRDefault="003316F0" w:rsidP="006C6D34">
            <w:pPr>
              <w:pStyle w:val="TableTextbold"/>
              <w:spacing w:before="40"/>
              <w:jc w:val="center"/>
              <w:rPr>
                <w:color w:val="FFFFFF" w:themeColor="background1"/>
              </w:rPr>
            </w:pPr>
            <w:r w:rsidRPr="007837CC">
              <w:rPr>
                <w:color w:val="FFFFFF" w:themeColor="background1"/>
              </w:rPr>
              <w:t>2027</w:t>
            </w:r>
          </w:p>
        </w:tc>
        <w:tc>
          <w:tcPr>
            <w:tcW w:w="1040" w:type="dxa"/>
            <w:shd w:val="clear" w:color="auto" w:fill="1B556B" w:themeFill="text2"/>
            <w:noWrap/>
            <w:vAlign w:val="bottom"/>
            <w:hideMark/>
          </w:tcPr>
          <w:p w14:paraId="5A29D0E4" w14:textId="77777777" w:rsidR="003316F0" w:rsidRPr="007837CC" w:rsidRDefault="003316F0" w:rsidP="006C6D34">
            <w:pPr>
              <w:pStyle w:val="TableTextbold"/>
              <w:spacing w:before="40"/>
              <w:jc w:val="center"/>
              <w:rPr>
                <w:color w:val="FFFFFF" w:themeColor="background1"/>
              </w:rPr>
            </w:pPr>
            <w:r w:rsidRPr="007837CC">
              <w:rPr>
                <w:color w:val="FFFFFF" w:themeColor="background1"/>
              </w:rPr>
              <w:t>2028</w:t>
            </w:r>
          </w:p>
        </w:tc>
      </w:tr>
      <w:tr w:rsidR="003316F0" w:rsidRPr="007837CC" w14:paraId="4ACB8C6E" w14:textId="77777777" w:rsidTr="003316F0">
        <w:tc>
          <w:tcPr>
            <w:tcW w:w="3490" w:type="dxa"/>
            <w:shd w:val="clear" w:color="auto" w:fill="auto"/>
            <w:vAlign w:val="bottom"/>
            <w:hideMark/>
          </w:tcPr>
          <w:p w14:paraId="50D53A2C" w14:textId="19F497CD" w:rsidR="003316F0" w:rsidRPr="007837CC" w:rsidRDefault="003316F0" w:rsidP="006C6D34">
            <w:pPr>
              <w:pStyle w:val="TableText"/>
            </w:pPr>
            <w:r w:rsidRPr="007837CC">
              <w:t xml:space="preserve">Option one </w:t>
            </w:r>
            <w:r w:rsidR="00030BF7" w:rsidRPr="007837CC">
              <w:t>–</w:t>
            </w:r>
            <w:r w:rsidRPr="007837CC">
              <w:t xml:space="preserve"> Status quo, no technical adjustment </w:t>
            </w:r>
          </w:p>
        </w:tc>
        <w:tc>
          <w:tcPr>
            <w:tcW w:w="993" w:type="dxa"/>
            <w:shd w:val="clear" w:color="auto" w:fill="auto"/>
            <w:noWrap/>
            <w:vAlign w:val="bottom"/>
            <w:hideMark/>
          </w:tcPr>
          <w:p w14:paraId="1F258EB1" w14:textId="775382A5" w:rsidR="003316F0" w:rsidRPr="007837CC" w:rsidRDefault="003316F0" w:rsidP="006C6D34">
            <w:pPr>
              <w:pStyle w:val="TableText"/>
              <w:jc w:val="center"/>
            </w:pPr>
            <w:r w:rsidRPr="007837CC">
              <w:t>0</w:t>
            </w:r>
          </w:p>
        </w:tc>
        <w:tc>
          <w:tcPr>
            <w:tcW w:w="994" w:type="dxa"/>
            <w:shd w:val="clear" w:color="auto" w:fill="auto"/>
            <w:noWrap/>
            <w:vAlign w:val="bottom"/>
            <w:hideMark/>
          </w:tcPr>
          <w:p w14:paraId="7EDFD492" w14:textId="68247338" w:rsidR="003316F0" w:rsidRPr="007837CC" w:rsidRDefault="003316F0" w:rsidP="006C6D34">
            <w:pPr>
              <w:pStyle w:val="TableText"/>
              <w:jc w:val="center"/>
            </w:pPr>
            <w:r w:rsidRPr="007837CC">
              <w:t>0</w:t>
            </w:r>
          </w:p>
        </w:tc>
        <w:tc>
          <w:tcPr>
            <w:tcW w:w="994" w:type="dxa"/>
            <w:shd w:val="clear" w:color="auto" w:fill="auto"/>
            <w:noWrap/>
            <w:vAlign w:val="bottom"/>
            <w:hideMark/>
          </w:tcPr>
          <w:p w14:paraId="6BEACEB0" w14:textId="16C9281D" w:rsidR="003316F0" w:rsidRPr="007837CC" w:rsidRDefault="003316F0" w:rsidP="006C6D34">
            <w:pPr>
              <w:pStyle w:val="TableText"/>
              <w:jc w:val="center"/>
            </w:pPr>
            <w:r w:rsidRPr="007837CC">
              <w:t>0</w:t>
            </w:r>
          </w:p>
        </w:tc>
        <w:tc>
          <w:tcPr>
            <w:tcW w:w="994" w:type="dxa"/>
            <w:shd w:val="clear" w:color="auto" w:fill="auto"/>
            <w:noWrap/>
            <w:vAlign w:val="bottom"/>
            <w:hideMark/>
          </w:tcPr>
          <w:p w14:paraId="2A081446" w14:textId="3AAF3886" w:rsidR="003316F0" w:rsidRPr="007837CC" w:rsidRDefault="003316F0" w:rsidP="006C6D34">
            <w:pPr>
              <w:pStyle w:val="TableText"/>
              <w:jc w:val="center"/>
            </w:pPr>
            <w:r w:rsidRPr="007837CC">
              <w:t>0</w:t>
            </w:r>
          </w:p>
        </w:tc>
        <w:tc>
          <w:tcPr>
            <w:tcW w:w="1040" w:type="dxa"/>
            <w:shd w:val="clear" w:color="auto" w:fill="auto"/>
            <w:noWrap/>
            <w:vAlign w:val="bottom"/>
            <w:hideMark/>
          </w:tcPr>
          <w:p w14:paraId="12FE8F49" w14:textId="10E0534B" w:rsidR="003316F0" w:rsidRPr="007837CC" w:rsidRDefault="003316F0" w:rsidP="006C6D34">
            <w:pPr>
              <w:pStyle w:val="TableText"/>
              <w:jc w:val="center"/>
            </w:pPr>
            <w:r w:rsidRPr="007837CC">
              <w:t>0</w:t>
            </w:r>
          </w:p>
        </w:tc>
      </w:tr>
      <w:tr w:rsidR="003316F0" w:rsidRPr="007837CC" w14:paraId="4860B8AF" w14:textId="77777777" w:rsidTr="003316F0">
        <w:tc>
          <w:tcPr>
            <w:tcW w:w="3490" w:type="dxa"/>
            <w:shd w:val="clear" w:color="auto" w:fill="auto"/>
            <w:vAlign w:val="bottom"/>
          </w:tcPr>
          <w:p w14:paraId="2D4FFED7" w14:textId="5A4B96AB" w:rsidR="003316F0" w:rsidRPr="007837CC" w:rsidRDefault="003316F0" w:rsidP="003316F0">
            <w:pPr>
              <w:pStyle w:val="TableText"/>
            </w:pPr>
            <w:r w:rsidRPr="007837CC">
              <w:t xml:space="preserve">Option </w:t>
            </w:r>
            <w:r w:rsidR="00E05C75" w:rsidRPr="007837CC">
              <w:t>two</w:t>
            </w:r>
            <w:r w:rsidRPr="007837CC">
              <w:t xml:space="preserve"> – Technical adjustment</w:t>
            </w:r>
            <w:r w:rsidR="00530E17" w:rsidRPr="007837CC">
              <w:t xml:space="preserve">, </w:t>
            </w:r>
            <w:r w:rsidRPr="007837CC">
              <w:t xml:space="preserve">half of </w:t>
            </w:r>
            <w:r w:rsidR="00E05C75" w:rsidRPr="007837CC">
              <w:t>discrepancy amount</w:t>
            </w:r>
            <w:r w:rsidRPr="007837CC">
              <w:t xml:space="preserve"> </w:t>
            </w:r>
          </w:p>
        </w:tc>
        <w:tc>
          <w:tcPr>
            <w:tcW w:w="993" w:type="dxa"/>
            <w:shd w:val="clear" w:color="auto" w:fill="auto"/>
            <w:noWrap/>
            <w:vAlign w:val="bottom"/>
          </w:tcPr>
          <w:p w14:paraId="70F05159" w14:textId="58D206D6" w:rsidR="003316F0" w:rsidRPr="007837CC" w:rsidRDefault="004F1134" w:rsidP="003316F0">
            <w:pPr>
              <w:pStyle w:val="TableText"/>
              <w:jc w:val="center"/>
            </w:pPr>
            <w:r w:rsidRPr="007837CC">
              <w:t>0.7</w:t>
            </w:r>
          </w:p>
        </w:tc>
        <w:tc>
          <w:tcPr>
            <w:tcW w:w="994" w:type="dxa"/>
            <w:shd w:val="clear" w:color="auto" w:fill="auto"/>
            <w:noWrap/>
            <w:vAlign w:val="bottom"/>
          </w:tcPr>
          <w:p w14:paraId="4E6DBBF7" w14:textId="5A1E7BB4" w:rsidR="003316F0" w:rsidRPr="007837CC" w:rsidRDefault="00964B60" w:rsidP="003316F0">
            <w:pPr>
              <w:pStyle w:val="TableText"/>
              <w:jc w:val="center"/>
            </w:pPr>
            <w:r w:rsidRPr="007837CC">
              <w:t>0.7</w:t>
            </w:r>
          </w:p>
        </w:tc>
        <w:tc>
          <w:tcPr>
            <w:tcW w:w="994" w:type="dxa"/>
            <w:shd w:val="clear" w:color="auto" w:fill="auto"/>
            <w:noWrap/>
            <w:vAlign w:val="bottom"/>
          </w:tcPr>
          <w:p w14:paraId="62D0DDA7" w14:textId="1E938157" w:rsidR="003316F0" w:rsidRPr="007837CC" w:rsidRDefault="00964B60" w:rsidP="003316F0">
            <w:pPr>
              <w:pStyle w:val="TableText"/>
              <w:jc w:val="center"/>
            </w:pPr>
            <w:r w:rsidRPr="007837CC">
              <w:t>0.7</w:t>
            </w:r>
          </w:p>
        </w:tc>
        <w:tc>
          <w:tcPr>
            <w:tcW w:w="994" w:type="dxa"/>
            <w:shd w:val="clear" w:color="auto" w:fill="auto"/>
            <w:noWrap/>
            <w:vAlign w:val="bottom"/>
          </w:tcPr>
          <w:p w14:paraId="01D4313B" w14:textId="103AB6D8" w:rsidR="003316F0" w:rsidRPr="007837CC" w:rsidRDefault="00964B60" w:rsidP="003316F0">
            <w:pPr>
              <w:pStyle w:val="TableText"/>
              <w:jc w:val="center"/>
            </w:pPr>
            <w:r w:rsidRPr="007837CC">
              <w:t>0.6</w:t>
            </w:r>
          </w:p>
        </w:tc>
        <w:tc>
          <w:tcPr>
            <w:tcW w:w="1040" w:type="dxa"/>
            <w:shd w:val="clear" w:color="auto" w:fill="auto"/>
            <w:noWrap/>
            <w:vAlign w:val="bottom"/>
          </w:tcPr>
          <w:p w14:paraId="44714494" w14:textId="2B30F908" w:rsidR="00964B60" w:rsidRPr="007837CC" w:rsidRDefault="00964B60" w:rsidP="00964B60">
            <w:pPr>
              <w:pStyle w:val="TableText"/>
              <w:jc w:val="center"/>
            </w:pPr>
            <w:r w:rsidRPr="007837CC">
              <w:t>0.6</w:t>
            </w:r>
          </w:p>
        </w:tc>
      </w:tr>
      <w:tr w:rsidR="003316F0" w:rsidRPr="007837CC" w14:paraId="3970A318" w14:textId="77777777" w:rsidTr="003316F0">
        <w:tc>
          <w:tcPr>
            <w:tcW w:w="3490" w:type="dxa"/>
            <w:shd w:val="clear" w:color="auto" w:fill="auto"/>
            <w:vAlign w:val="bottom"/>
          </w:tcPr>
          <w:p w14:paraId="5D09E76D" w14:textId="79500AE2" w:rsidR="003316F0" w:rsidRPr="007837CC" w:rsidRDefault="003316F0" w:rsidP="003316F0">
            <w:pPr>
              <w:pStyle w:val="TableText"/>
            </w:pPr>
            <w:r w:rsidRPr="007837CC">
              <w:t xml:space="preserve">Option </w:t>
            </w:r>
            <w:r w:rsidR="00E05C75" w:rsidRPr="007837CC">
              <w:t>three</w:t>
            </w:r>
            <w:r w:rsidRPr="007837CC">
              <w:t xml:space="preserve"> </w:t>
            </w:r>
            <w:r w:rsidR="00812A10" w:rsidRPr="007837CC">
              <w:t>–</w:t>
            </w:r>
            <w:r w:rsidRPr="007837CC">
              <w:t xml:space="preserve"> </w:t>
            </w:r>
            <w:r w:rsidR="00812A10" w:rsidRPr="007837CC">
              <w:t>Technical adjustment, full discrepancy amount</w:t>
            </w:r>
            <w:r w:rsidRPr="007837CC">
              <w:t xml:space="preserve"> </w:t>
            </w:r>
            <w:r w:rsidR="0001626A" w:rsidRPr="007837CC">
              <w:t>(Commission advice)</w:t>
            </w:r>
          </w:p>
        </w:tc>
        <w:tc>
          <w:tcPr>
            <w:tcW w:w="993" w:type="dxa"/>
            <w:shd w:val="clear" w:color="auto" w:fill="auto"/>
            <w:noWrap/>
            <w:vAlign w:val="bottom"/>
          </w:tcPr>
          <w:p w14:paraId="60003662" w14:textId="58A1A2CD" w:rsidR="003316F0" w:rsidRPr="007837CC" w:rsidRDefault="004448C0" w:rsidP="003316F0">
            <w:pPr>
              <w:pStyle w:val="TableText"/>
              <w:jc w:val="center"/>
            </w:pPr>
            <w:r w:rsidRPr="007837CC">
              <w:t>1.4</w:t>
            </w:r>
          </w:p>
        </w:tc>
        <w:tc>
          <w:tcPr>
            <w:tcW w:w="994" w:type="dxa"/>
            <w:shd w:val="clear" w:color="auto" w:fill="auto"/>
            <w:noWrap/>
            <w:vAlign w:val="bottom"/>
          </w:tcPr>
          <w:p w14:paraId="03333C20" w14:textId="7F2F99A2" w:rsidR="003316F0" w:rsidRPr="007837CC" w:rsidRDefault="004448C0" w:rsidP="003316F0">
            <w:pPr>
              <w:pStyle w:val="TableText"/>
              <w:jc w:val="center"/>
            </w:pPr>
            <w:r w:rsidRPr="007837CC">
              <w:t>1.3</w:t>
            </w:r>
          </w:p>
        </w:tc>
        <w:tc>
          <w:tcPr>
            <w:tcW w:w="994" w:type="dxa"/>
            <w:shd w:val="clear" w:color="auto" w:fill="auto"/>
            <w:noWrap/>
            <w:vAlign w:val="bottom"/>
          </w:tcPr>
          <w:p w14:paraId="5F964807" w14:textId="56F0EE82" w:rsidR="003316F0" w:rsidRPr="007837CC" w:rsidRDefault="004448C0" w:rsidP="003316F0">
            <w:pPr>
              <w:pStyle w:val="TableText"/>
              <w:jc w:val="center"/>
            </w:pPr>
            <w:r w:rsidRPr="007837CC">
              <w:t>1.3</w:t>
            </w:r>
          </w:p>
        </w:tc>
        <w:tc>
          <w:tcPr>
            <w:tcW w:w="994" w:type="dxa"/>
            <w:shd w:val="clear" w:color="auto" w:fill="auto"/>
            <w:noWrap/>
            <w:vAlign w:val="bottom"/>
          </w:tcPr>
          <w:p w14:paraId="23561B6D" w14:textId="2919C462" w:rsidR="003316F0" w:rsidRPr="007837CC" w:rsidRDefault="004448C0" w:rsidP="003316F0">
            <w:pPr>
              <w:pStyle w:val="TableText"/>
              <w:jc w:val="center"/>
            </w:pPr>
            <w:r w:rsidRPr="007837CC">
              <w:t>1.3</w:t>
            </w:r>
          </w:p>
        </w:tc>
        <w:tc>
          <w:tcPr>
            <w:tcW w:w="1040" w:type="dxa"/>
            <w:shd w:val="clear" w:color="auto" w:fill="auto"/>
            <w:noWrap/>
            <w:vAlign w:val="bottom"/>
          </w:tcPr>
          <w:p w14:paraId="3966D7C6" w14:textId="22725F37" w:rsidR="003316F0" w:rsidRPr="007837CC" w:rsidRDefault="004448C0" w:rsidP="003316F0">
            <w:pPr>
              <w:pStyle w:val="TableText"/>
              <w:jc w:val="center"/>
            </w:pPr>
            <w:r w:rsidRPr="007837CC">
              <w:t>1.3</w:t>
            </w:r>
          </w:p>
        </w:tc>
      </w:tr>
    </w:tbl>
    <w:p w14:paraId="3B6EA88D" w14:textId="0B3D09E5" w:rsidR="005F386A" w:rsidRPr="007837CC" w:rsidRDefault="005F386A" w:rsidP="005F386A">
      <w:pPr>
        <w:pStyle w:val="BodyText"/>
        <w:spacing w:before="240"/>
      </w:pPr>
      <w:r w:rsidRPr="007837CC">
        <w:t xml:space="preserve">Table </w:t>
      </w:r>
      <w:r w:rsidR="001407BA" w:rsidRPr="007837CC">
        <w:t xml:space="preserve">8 </w:t>
      </w:r>
      <w:r w:rsidRPr="007837CC">
        <w:t xml:space="preserve">assesses the options outlined above. We are interested in your views on our assessment, which will help us prepare recommendations for policy decisions. </w:t>
      </w:r>
    </w:p>
    <w:p w14:paraId="50CA0C47" w14:textId="3FB1513C" w:rsidR="00E04D33" w:rsidRPr="007837CC" w:rsidRDefault="00E04D33" w:rsidP="00C245E7">
      <w:pPr>
        <w:pStyle w:val="BodyText"/>
      </w:pPr>
      <w:r w:rsidRPr="007837CC">
        <w:t>The criteria analysis</w:t>
      </w:r>
      <w:r w:rsidR="006B0AD9" w:rsidRPr="007837CC">
        <w:t xml:space="preserve"> below</w:t>
      </w:r>
      <w:r w:rsidRPr="007837CC">
        <w:t xml:space="preserve"> does not strongly identify any clear preferred option. All options have risk and uncertainty from making, or not making, a technical adjustment for the discrepancies. The decision made at this step has material impacts on auction volume and </w:t>
      </w:r>
      <w:r w:rsidR="001D281D" w:rsidRPr="007837CC">
        <w:t xml:space="preserve">NZUs </w:t>
      </w:r>
      <w:r w:rsidRPr="007837CC">
        <w:t>supplied to the market</w:t>
      </w:r>
      <w:r w:rsidR="009C6E36" w:rsidRPr="007837CC">
        <w:t>, as well as Crown revenue from auctions</w:t>
      </w:r>
      <w:r w:rsidRPr="007837CC">
        <w:t>.</w:t>
      </w:r>
    </w:p>
    <w:p w14:paraId="1F450B02" w14:textId="108649BC" w:rsidR="005F386A" w:rsidRPr="007837CC" w:rsidRDefault="005F386A" w:rsidP="005F386A">
      <w:pPr>
        <w:pStyle w:val="Tableheading"/>
        <w:rPr>
          <w:rStyle w:val="Heading3Char"/>
          <w:rFonts w:ascii="Calibri" w:hAnsi="Calibri"/>
          <w:b/>
          <w:bCs w:val="0"/>
          <w:sz w:val="22"/>
        </w:rPr>
      </w:pPr>
      <w:bookmarkStart w:id="43" w:name="_Toc133927342"/>
      <w:r w:rsidRPr="007837CC">
        <w:lastRenderedPageBreak/>
        <w:t xml:space="preserve">Table </w:t>
      </w:r>
      <w:r w:rsidR="001407BA" w:rsidRPr="007837CC">
        <w:t>8</w:t>
      </w:r>
      <w:r w:rsidRPr="007837CC">
        <w:t xml:space="preserve">: </w:t>
      </w:r>
      <w:r w:rsidRPr="007837CC">
        <w:tab/>
        <w:t xml:space="preserve">Assessing </w:t>
      </w:r>
      <w:r w:rsidR="006C0AB4" w:rsidRPr="007837CC">
        <w:t xml:space="preserve">options to address </w:t>
      </w:r>
      <w:r w:rsidR="0094441C" w:rsidRPr="007837CC">
        <w:t xml:space="preserve">technical </w:t>
      </w:r>
      <w:proofErr w:type="gramStart"/>
      <w:r w:rsidR="0094441C" w:rsidRPr="007837CC">
        <w:t>discrepancies</w:t>
      </w:r>
      <w:bookmarkEnd w:id="43"/>
      <w:proofErr w:type="gramEnd"/>
    </w:p>
    <w:tbl>
      <w:tblPr>
        <w:tblW w:w="8562"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shd w:val="clear" w:color="auto" w:fill="FFFFFF" w:themeFill="background1"/>
        <w:tblLayout w:type="fixed"/>
        <w:tblCellMar>
          <w:left w:w="85" w:type="dxa"/>
          <w:right w:w="57" w:type="dxa"/>
        </w:tblCellMar>
        <w:tblLook w:val="04A0" w:firstRow="1" w:lastRow="0" w:firstColumn="1" w:lastColumn="0" w:noHBand="0" w:noVBand="1"/>
      </w:tblPr>
      <w:tblGrid>
        <w:gridCol w:w="2268"/>
        <w:gridCol w:w="1418"/>
        <w:gridCol w:w="2410"/>
        <w:gridCol w:w="2466"/>
      </w:tblGrid>
      <w:tr w:rsidR="00310335" w:rsidRPr="007837CC" w14:paraId="19F4F0AF" w14:textId="77777777" w:rsidTr="00BB7042">
        <w:tc>
          <w:tcPr>
            <w:tcW w:w="2268" w:type="dxa"/>
            <w:shd w:val="clear" w:color="auto" w:fill="1B556B" w:themeFill="text2"/>
            <w:vAlign w:val="bottom"/>
          </w:tcPr>
          <w:p w14:paraId="36C400C7" w14:textId="77777777" w:rsidR="00310335" w:rsidRPr="007837CC" w:rsidRDefault="00310335" w:rsidP="003A2A03">
            <w:pPr>
              <w:pStyle w:val="TableTextbold"/>
              <w:keepNext/>
              <w:spacing w:before="40" w:after="40"/>
              <w:rPr>
                <w:color w:val="FFFFFF" w:themeColor="background1"/>
                <w:szCs w:val="18"/>
              </w:rPr>
            </w:pPr>
            <w:r w:rsidRPr="007837CC">
              <w:rPr>
                <w:color w:val="FFFFFF" w:themeColor="background1"/>
                <w:szCs w:val="18"/>
              </w:rPr>
              <w:t>Criterion</w:t>
            </w:r>
          </w:p>
        </w:tc>
        <w:tc>
          <w:tcPr>
            <w:tcW w:w="1418" w:type="dxa"/>
            <w:shd w:val="clear" w:color="auto" w:fill="1B556B" w:themeFill="text2"/>
            <w:vAlign w:val="bottom"/>
          </w:tcPr>
          <w:p w14:paraId="185E9CD9" w14:textId="1D63DC69" w:rsidR="00310335" w:rsidRPr="007837CC" w:rsidRDefault="00310335" w:rsidP="003A2A03">
            <w:pPr>
              <w:pStyle w:val="TableTextbold"/>
              <w:keepNext/>
              <w:spacing w:before="40" w:after="40"/>
              <w:rPr>
                <w:rFonts w:cs="Arial"/>
                <w:color w:val="FFFFFF" w:themeColor="background1"/>
                <w:szCs w:val="18"/>
              </w:rPr>
            </w:pPr>
            <w:r w:rsidRPr="007837CC">
              <w:rPr>
                <w:rFonts w:cs="Arial"/>
                <w:color w:val="FFFFFF" w:themeColor="background1"/>
                <w:szCs w:val="18"/>
              </w:rPr>
              <w:t>Option one</w:t>
            </w:r>
            <w:r w:rsidR="00BB7042" w:rsidRPr="007837CC">
              <w:rPr>
                <w:rFonts w:cs="Arial"/>
                <w:color w:val="FFFFFF" w:themeColor="background1"/>
                <w:szCs w:val="18"/>
              </w:rPr>
              <w:t xml:space="preserve"> – </w:t>
            </w:r>
            <w:r w:rsidRPr="007837CC">
              <w:rPr>
                <w:rFonts w:cs="Arial"/>
                <w:color w:val="FFFFFF" w:themeColor="background1"/>
                <w:szCs w:val="18"/>
              </w:rPr>
              <w:t>Status quo</w:t>
            </w:r>
          </w:p>
        </w:tc>
        <w:tc>
          <w:tcPr>
            <w:tcW w:w="2410" w:type="dxa"/>
            <w:shd w:val="clear" w:color="auto" w:fill="1B556B" w:themeFill="text2"/>
            <w:vAlign w:val="bottom"/>
          </w:tcPr>
          <w:p w14:paraId="00B40069" w14:textId="1A31FF07" w:rsidR="00310335" w:rsidRPr="007837CC" w:rsidRDefault="00310335" w:rsidP="003A2A03">
            <w:pPr>
              <w:pStyle w:val="TableTextbold"/>
              <w:keepNext/>
              <w:spacing w:before="40" w:after="40"/>
              <w:rPr>
                <w:rFonts w:cs="Arial"/>
                <w:color w:val="FFFFFF" w:themeColor="background1"/>
                <w:szCs w:val="18"/>
              </w:rPr>
            </w:pPr>
            <w:r w:rsidRPr="007837CC">
              <w:rPr>
                <w:rFonts w:cs="Arial"/>
                <w:color w:val="FFFFFF" w:themeColor="background1"/>
                <w:szCs w:val="18"/>
              </w:rPr>
              <w:t xml:space="preserve">Option two – </w:t>
            </w:r>
            <w:r w:rsidR="00C45F53" w:rsidRPr="007837CC">
              <w:rPr>
                <w:rFonts w:cs="Arial"/>
                <w:color w:val="FFFFFF" w:themeColor="background1"/>
                <w:szCs w:val="18"/>
              </w:rPr>
              <w:t>Technical adjustment, half of discrepancy amount</w:t>
            </w:r>
          </w:p>
        </w:tc>
        <w:tc>
          <w:tcPr>
            <w:tcW w:w="2466" w:type="dxa"/>
            <w:shd w:val="clear" w:color="auto" w:fill="1B556B" w:themeFill="text2"/>
            <w:vAlign w:val="bottom"/>
          </w:tcPr>
          <w:p w14:paraId="14806BE0" w14:textId="2FF9D5B1" w:rsidR="00310335" w:rsidRPr="007837CC" w:rsidRDefault="00310335" w:rsidP="003A2A03">
            <w:pPr>
              <w:pStyle w:val="TableTextbold"/>
              <w:keepNext/>
              <w:spacing w:before="40" w:after="40"/>
              <w:rPr>
                <w:rFonts w:cs="Arial"/>
                <w:color w:val="FFFFFF" w:themeColor="background1"/>
                <w:szCs w:val="18"/>
              </w:rPr>
            </w:pPr>
            <w:r w:rsidRPr="007837CC">
              <w:rPr>
                <w:rFonts w:cs="Arial"/>
                <w:color w:val="FFFFFF" w:themeColor="background1"/>
                <w:szCs w:val="18"/>
              </w:rPr>
              <w:t xml:space="preserve">Option three – </w:t>
            </w:r>
            <w:r w:rsidR="00C45F53" w:rsidRPr="007837CC">
              <w:rPr>
                <w:rFonts w:cs="Arial"/>
                <w:color w:val="FFFFFF" w:themeColor="background1"/>
                <w:szCs w:val="18"/>
              </w:rPr>
              <w:t>Technical adjustment, full discrepancy amount</w:t>
            </w:r>
            <w:r w:rsidR="00CB1682" w:rsidRPr="007837CC">
              <w:rPr>
                <w:rFonts w:cs="Arial"/>
                <w:color w:val="FFFFFF" w:themeColor="background1"/>
                <w:szCs w:val="18"/>
              </w:rPr>
              <w:t xml:space="preserve"> (Commission recommendation)</w:t>
            </w:r>
          </w:p>
        </w:tc>
      </w:tr>
      <w:tr w:rsidR="00310335" w:rsidRPr="007837CC" w14:paraId="0CBB7D37" w14:textId="77777777" w:rsidTr="00BB7042">
        <w:tc>
          <w:tcPr>
            <w:tcW w:w="2268" w:type="dxa"/>
            <w:shd w:val="clear" w:color="auto" w:fill="FFFFFF" w:themeFill="background1"/>
          </w:tcPr>
          <w:p w14:paraId="64C233B7" w14:textId="77777777" w:rsidR="00310335" w:rsidRPr="007837CC" w:rsidRDefault="00310335" w:rsidP="003A2A03">
            <w:pPr>
              <w:pStyle w:val="TableText"/>
              <w:keepNext/>
              <w:rPr>
                <w:rFonts w:cs="Calibri"/>
                <w:bCs/>
                <w:color w:val="000000"/>
                <w:szCs w:val="18"/>
              </w:rPr>
            </w:pPr>
            <w:r w:rsidRPr="007837CC">
              <w:rPr>
                <w:rFonts w:cs="Calibri"/>
                <w:szCs w:val="18"/>
              </w:rPr>
              <w:t>Accords with New Zealand’s emissions budgets, NDC and 2050 target</w:t>
            </w:r>
          </w:p>
        </w:tc>
        <w:tc>
          <w:tcPr>
            <w:tcW w:w="1418" w:type="dxa"/>
            <w:shd w:val="clear" w:color="auto" w:fill="FFFFFF" w:themeFill="background1"/>
          </w:tcPr>
          <w:p w14:paraId="0946D647" w14:textId="6A6BB1E1" w:rsidR="00310335" w:rsidRPr="007837CC" w:rsidRDefault="009C7850" w:rsidP="003A2A03">
            <w:pPr>
              <w:pStyle w:val="TableText"/>
              <w:keepNext/>
              <w:rPr>
                <w:rFonts w:cs="Calibri"/>
                <w:szCs w:val="18"/>
              </w:rPr>
            </w:pPr>
            <w:r w:rsidRPr="007837CC">
              <w:rPr>
                <w:rFonts w:cs="Calibri"/>
                <w:b/>
                <w:bCs/>
                <w:szCs w:val="18"/>
              </w:rPr>
              <w:t>0</w:t>
            </w:r>
          </w:p>
        </w:tc>
        <w:tc>
          <w:tcPr>
            <w:tcW w:w="2410" w:type="dxa"/>
            <w:shd w:val="clear" w:color="auto" w:fill="FFFFFF" w:themeFill="background1"/>
          </w:tcPr>
          <w:p w14:paraId="6A0798A0" w14:textId="77777777" w:rsidR="009C7850" w:rsidRPr="007837CC" w:rsidRDefault="009C7850" w:rsidP="003A2A03">
            <w:pPr>
              <w:pStyle w:val="TableText"/>
              <w:keepNext/>
              <w:rPr>
                <w:rFonts w:cs="Calibri"/>
                <w:b/>
                <w:bCs/>
                <w:szCs w:val="18"/>
              </w:rPr>
            </w:pPr>
            <w:r w:rsidRPr="007837CC">
              <w:rPr>
                <w:rFonts w:cs="Calibri"/>
                <w:b/>
                <w:bCs/>
                <w:szCs w:val="18"/>
              </w:rPr>
              <w:t>0</w:t>
            </w:r>
          </w:p>
          <w:p w14:paraId="1D6608F9" w14:textId="6B63AD98" w:rsidR="00310335" w:rsidRPr="007837CC" w:rsidRDefault="00623D27" w:rsidP="003A2A03">
            <w:pPr>
              <w:pStyle w:val="TableText"/>
              <w:keepNext/>
              <w:spacing w:before="0"/>
              <w:rPr>
                <w:rFonts w:cs="Calibri"/>
                <w:szCs w:val="18"/>
              </w:rPr>
            </w:pPr>
            <w:r w:rsidRPr="007837CC">
              <w:rPr>
                <w:rFonts w:cs="Calibri"/>
                <w:szCs w:val="18"/>
              </w:rPr>
              <w:t>If adjustment is appropriate</w:t>
            </w:r>
            <w:r w:rsidR="00E026A9" w:rsidRPr="007837CC">
              <w:rPr>
                <w:rFonts w:cs="Calibri"/>
                <w:szCs w:val="18"/>
              </w:rPr>
              <w:t xml:space="preserve"> for both, </w:t>
            </w:r>
            <w:proofErr w:type="gramStart"/>
            <w:r w:rsidR="00E026A9" w:rsidRPr="007837CC">
              <w:rPr>
                <w:rFonts w:cs="Calibri"/>
                <w:szCs w:val="18"/>
              </w:rPr>
              <w:t>or</w:t>
            </w:r>
            <w:proofErr w:type="gramEnd"/>
            <w:r w:rsidR="00E026A9" w:rsidRPr="007837CC">
              <w:rPr>
                <w:rFonts w:cs="Calibri"/>
                <w:szCs w:val="18"/>
              </w:rPr>
              <w:t xml:space="preserve"> neither, a partial adjustment would be inaccurate. If adjustment is appropriate for one only, a partial adjustment would be somewhat accurate. </w:t>
            </w:r>
          </w:p>
          <w:p w14:paraId="7D97150A" w14:textId="498D78AD" w:rsidR="00E026A9" w:rsidRPr="007837CC" w:rsidRDefault="003A3F09" w:rsidP="003A2A03">
            <w:pPr>
              <w:pStyle w:val="TableText"/>
              <w:keepNext/>
              <w:spacing w:before="0"/>
              <w:rPr>
                <w:rFonts w:cs="Calibri"/>
                <w:szCs w:val="18"/>
              </w:rPr>
            </w:pPr>
            <w:r w:rsidRPr="007837CC">
              <w:rPr>
                <w:rFonts w:cs="Calibri"/>
                <w:szCs w:val="18"/>
              </w:rPr>
              <w:t>Reduced auction</w:t>
            </w:r>
            <w:r w:rsidR="00517066" w:rsidRPr="007837CC">
              <w:rPr>
                <w:rFonts w:cs="Calibri"/>
                <w:szCs w:val="18"/>
              </w:rPr>
              <w:t xml:space="preserve"> volumes result in stockpile reductions</w:t>
            </w:r>
            <w:r w:rsidR="00511EF2" w:rsidRPr="007837CC">
              <w:rPr>
                <w:rFonts w:cs="Calibri"/>
                <w:szCs w:val="18"/>
              </w:rPr>
              <w:t xml:space="preserve"> as </w:t>
            </w:r>
            <w:r w:rsidR="004624F3" w:rsidRPr="007837CC">
              <w:rPr>
                <w:rFonts w:cs="Calibri"/>
                <w:szCs w:val="18"/>
              </w:rPr>
              <w:t>NZUs</w:t>
            </w:r>
            <w:r w:rsidR="00ED0E7D" w:rsidRPr="007837CC">
              <w:rPr>
                <w:rFonts w:cs="Calibri"/>
                <w:szCs w:val="18"/>
              </w:rPr>
              <w:t xml:space="preserve"> need to be acquired from the stockpile instead. The stockpile</w:t>
            </w:r>
            <w:r w:rsidR="008E29B6" w:rsidRPr="007837CC">
              <w:rPr>
                <w:rFonts w:cs="Calibri"/>
                <w:szCs w:val="18"/>
              </w:rPr>
              <w:t xml:space="preserve"> </w:t>
            </w:r>
            <w:r w:rsidR="00ED0E7D" w:rsidRPr="007837CC">
              <w:rPr>
                <w:rFonts w:cs="Calibri"/>
                <w:szCs w:val="18"/>
              </w:rPr>
              <w:t>is</w:t>
            </w:r>
            <w:r w:rsidR="00B87ADE" w:rsidRPr="007837CC">
              <w:rPr>
                <w:rFonts w:cs="Calibri"/>
                <w:szCs w:val="18"/>
              </w:rPr>
              <w:t xml:space="preserve"> a risk in meeting emissions budgets</w:t>
            </w:r>
            <w:r w:rsidR="0087164D" w:rsidRPr="007837CC">
              <w:rPr>
                <w:rFonts w:cs="Calibri"/>
                <w:szCs w:val="18"/>
              </w:rPr>
              <w:t>;</w:t>
            </w:r>
            <w:r w:rsidR="00B87ADE" w:rsidRPr="007837CC">
              <w:rPr>
                <w:rFonts w:cs="Calibri"/>
                <w:szCs w:val="18"/>
              </w:rPr>
              <w:t xml:space="preserve"> however</w:t>
            </w:r>
            <w:r w:rsidR="0087164D" w:rsidRPr="007837CC">
              <w:rPr>
                <w:rFonts w:cs="Calibri"/>
                <w:szCs w:val="18"/>
              </w:rPr>
              <w:t>,</w:t>
            </w:r>
            <w:r w:rsidR="00B87ADE" w:rsidRPr="007837CC">
              <w:rPr>
                <w:rFonts w:cs="Calibri"/>
                <w:szCs w:val="18"/>
              </w:rPr>
              <w:t xml:space="preserve"> this is dealt with in the stockpile reduction step described in a later section. </w:t>
            </w:r>
          </w:p>
        </w:tc>
        <w:tc>
          <w:tcPr>
            <w:tcW w:w="2466" w:type="dxa"/>
            <w:shd w:val="clear" w:color="auto" w:fill="FFFFFF" w:themeFill="background1"/>
          </w:tcPr>
          <w:p w14:paraId="608B8BAC" w14:textId="77777777" w:rsidR="009C7850" w:rsidRPr="007837CC" w:rsidRDefault="009C7850" w:rsidP="003A2A03">
            <w:pPr>
              <w:pStyle w:val="TableText"/>
              <w:keepNext/>
              <w:rPr>
                <w:rFonts w:cs="Calibri"/>
                <w:b/>
                <w:bCs/>
                <w:szCs w:val="18"/>
              </w:rPr>
            </w:pPr>
            <w:r w:rsidRPr="007837CC">
              <w:rPr>
                <w:rFonts w:cs="Calibri"/>
                <w:b/>
                <w:bCs/>
                <w:szCs w:val="18"/>
              </w:rPr>
              <w:t>0</w:t>
            </w:r>
          </w:p>
          <w:p w14:paraId="297FBFB4" w14:textId="5E82F205" w:rsidR="006C39C3" w:rsidRPr="007837CC" w:rsidRDefault="006C39C3" w:rsidP="003A2A03">
            <w:pPr>
              <w:pStyle w:val="TableText"/>
              <w:keepNext/>
              <w:spacing w:before="0"/>
              <w:rPr>
                <w:bCs/>
                <w:szCs w:val="18"/>
              </w:rPr>
            </w:pPr>
            <w:r w:rsidRPr="007837CC">
              <w:rPr>
                <w:bCs/>
                <w:szCs w:val="18"/>
              </w:rPr>
              <w:t xml:space="preserve">Until it is clear whether a technical adjustment is appropriate, it is unknown if full adjustment will make the NZ ETS limits </w:t>
            </w:r>
            <w:proofErr w:type="gramStart"/>
            <w:r w:rsidRPr="007837CC">
              <w:rPr>
                <w:bCs/>
                <w:szCs w:val="18"/>
              </w:rPr>
              <w:t>more or less aligned</w:t>
            </w:r>
            <w:proofErr w:type="gramEnd"/>
            <w:r w:rsidRPr="007837CC">
              <w:rPr>
                <w:bCs/>
                <w:szCs w:val="18"/>
              </w:rPr>
              <w:t xml:space="preserve"> with N</w:t>
            </w:r>
            <w:r w:rsidR="0087164D" w:rsidRPr="007837CC">
              <w:rPr>
                <w:bCs/>
                <w:szCs w:val="18"/>
              </w:rPr>
              <w:t xml:space="preserve">ew </w:t>
            </w:r>
            <w:r w:rsidRPr="007837CC">
              <w:rPr>
                <w:bCs/>
                <w:szCs w:val="18"/>
              </w:rPr>
              <w:t>Z</w:t>
            </w:r>
            <w:r w:rsidR="0087164D" w:rsidRPr="007837CC">
              <w:rPr>
                <w:bCs/>
                <w:szCs w:val="18"/>
              </w:rPr>
              <w:t>ealand</w:t>
            </w:r>
            <w:r w:rsidRPr="007837CC">
              <w:rPr>
                <w:bCs/>
                <w:szCs w:val="18"/>
              </w:rPr>
              <w:t>’s targets and budgets</w:t>
            </w:r>
            <w:r w:rsidR="0087164D" w:rsidRPr="007837CC">
              <w:rPr>
                <w:bCs/>
                <w:szCs w:val="18"/>
              </w:rPr>
              <w:t>.</w:t>
            </w:r>
            <w:r w:rsidRPr="007837CC">
              <w:rPr>
                <w:bCs/>
                <w:szCs w:val="18"/>
              </w:rPr>
              <w:t xml:space="preserve"> </w:t>
            </w:r>
          </w:p>
          <w:p w14:paraId="280F2A21" w14:textId="7F329B0A" w:rsidR="006C39C3" w:rsidRPr="007837CC" w:rsidRDefault="00ED0E7D" w:rsidP="003A2A03">
            <w:pPr>
              <w:pStyle w:val="TableText"/>
              <w:keepNext/>
              <w:spacing w:before="0"/>
              <w:rPr>
                <w:rFonts w:cs="Calibri"/>
                <w:szCs w:val="18"/>
                <w:lang w:eastAsia="en-AU"/>
              </w:rPr>
            </w:pPr>
            <w:r w:rsidRPr="007837CC">
              <w:rPr>
                <w:rFonts w:cs="Calibri"/>
                <w:szCs w:val="18"/>
              </w:rPr>
              <w:t xml:space="preserve">Reduced auction volumes result in stockpile reductions as </w:t>
            </w:r>
            <w:r w:rsidR="004624F3" w:rsidRPr="007837CC">
              <w:rPr>
                <w:rFonts w:cs="Calibri"/>
                <w:szCs w:val="18"/>
              </w:rPr>
              <w:t>NZUs</w:t>
            </w:r>
            <w:r w:rsidRPr="007837CC">
              <w:rPr>
                <w:rFonts w:cs="Calibri"/>
                <w:szCs w:val="18"/>
              </w:rPr>
              <w:t xml:space="preserve"> need to be acquired from the stockpile instead. The stockpile</w:t>
            </w:r>
            <w:r w:rsidR="008E29B6" w:rsidRPr="007837CC">
              <w:rPr>
                <w:rFonts w:cs="Calibri"/>
                <w:szCs w:val="18"/>
              </w:rPr>
              <w:t xml:space="preserve"> </w:t>
            </w:r>
            <w:r w:rsidRPr="007837CC">
              <w:rPr>
                <w:rFonts w:cs="Calibri"/>
                <w:szCs w:val="18"/>
              </w:rPr>
              <w:t xml:space="preserve">is </w:t>
            </w:r>
            <w:r w:rsidR="006C39C3" w:rsidRPr="007837CC">
              <w:rPr>
                <w:rFonts w:cs="Calibri"/>
                <w:szCs w:val="18"/>
              </w:rPr>
              <w:t>a risk in meeting emissions budgets</w:t>
            </w:r>
            <w:r w:rsidR="0087164D" w:rsidRPr="007837CC">
              <w:rPr>
                <w:rFonts w:cs="Calibri"/>
                <w:szCs w:val="18"/>
              </w:rPr>
              <w:t>;</w:t>
            </w:r>
            <w:r w:rsidR="006C39C3" w:rsidRPr="007837CC">
              <w:rPr>
                <w:rFonts w:cs="Calibri"/>
                <w:szCs w:val="18"/>
              </w:rPr>
              <w:t xml:space="preserve"> however</w:t>
            </w:r>
            <w:r w:rsidR="0087164D" w:rsidRPr="007837CC">
              <w:rPr>
                <w:rFonts w:cs="Calibri"/>
                <w:szCs w:val="18"/>
              </w:rPr>
              <w:t>,</w:t>
            </w:r>
            <w:r w:rsidR="006C39C3" w:rsidRPr="007837CC">
              <w:rPr>
                <w:rFonts w:cs="Calibri"/>
                <w:szCs w:val="18"/>
              </w:rPr>
              <w:t xml:space="preserve"> this is dealt with in the stockpile reduction step described in </w:t>
            </w:r>
            <w:r w:rsidR="006B706E">
              <w:rPr>
                <w:rFonts w:cs="Calibri"/>
                <w:szCs w:val="18"/>
              </w:rPr>
              <w:t>step 5 below</w:t>
            </w:r>
            <w:r w:rsidR="0087164D" w:rsidRPr="007837CC">
              <w:rPr>
                <w:rFonts w:cs="Calibri"/>
                <w:szCs w:val="18"/>
              </w:rPr>
              <w:t>.</w:t>
            </w:r>
          </w:p>
        </w:tc>
      </w:tr>
      <w:tr w:rsidR="00310335" w:rsidRPr="007837CC" w14:paraId="4FB7F6DD" w14:textId="77777777" w:rsidTr="00BB7042">
        <w:tc>
          <w:tcPr>
            <w:tcW w:w="2268" w:type="dxa"/>
            <w:shd w:val="clear" w:color="auto" w:fill="FFFFFF" w:themeFill="background1"/>
          </w:tcPr>
          <w:p w14:paraId="0FBF52D1" w14:textId="77777777" w:rsidR="00310335" w:rsidRPr="007837CC" w:rsidRDefault="00310335" w:rsidP="003A2A03">
            <w:pPr>
              <w:pStyle w:val="TableText"/>
              <w:rPr>
                <w:rFonts w:cs="Calibri"/>
                <w:bCs/>
                <w:color w:val="000000"/>
                <w:szCs w:val="18"/>
              </w:rPr>
            </w:pPr>
            <w:r w:rsidRPr="007837CC">
              <w:rPr>
                <w:rFonts w:cs="Calibri"/>
                <w:szCs w:val="18"/>
              </w:rPr>
              <w:t>Supports the proper functioning of the NZ ETS</w:t>
            </w:r>
          </w:p>
        </w:tc>
        <w:tc>
          <w:tcPr>
            <w:tcW w:w="1418" w:type="dxa"/>
            <w:shd w:val="clear" w:color="auto" w:fill="FFFFFF" w:themeFill="background1"/>
          </w:tcPr>
          <w:p w14:paraId="39D8D95E" w14:textId="22A37B0D" w:rsidR="00310335" w:rsidRPr="007837CC" w:rsidRDefault="009C7850" w:rsidP="003A2A03">
            <w:pPr>
              <w:pStyle w:val="TableText"/>
              <w:rPr>
                <w:rFonts w:cs="Calibri"/>
                <w:szCs w:val="18"/>
              </w:rPr>
            </w:pPr>
            <w:r w:rsidRPr="007837CC">
              <w:rPr>
                <w:rFonts w:cs="Calibri"/>
                <w:b/>
                <w:bCs/>
                <w:szCs w:val="18"/>
              </w:rPr>
              <w:t>0</w:t>
            </w:r>
          </w:p>
        </w:tc>
        <w:tc>
          <w:tcPr>
            <w:tcW w:w="2410" w:type="dxa"/>
            <w:shd w:val="clear" w:color="auto" w:fill="FFFFFF" w:themeFill="background1"/>
          </w:tcPr>
          <w:p w14:paraId="2B66E44A" w14:textId="77777777" w:rsidR="009C7850" w:rsidRPr="007837CC" w:rsidRDefault="009C7850" w:rsidP="003A2A03">
            <w:pPr>
              <w:pStyle w:val="TableText"/>
              <w:rPr>
                <w:rFonts w:cs="Calibri"/>
                <w:b/>
                <w:bCs/>
                <w:szCs w:val="18"/>
              </w:rPr>
            </w:pPr>
            <w:r w:rsidRPr="007837CC">
              <w:rPr>
                <w:rFonts w:cs="Calibri"/>
                <w:b/>
                <w:bCs/>
                <w:szCs w:val="18"/>
              </w:rPr>
              <w:t>0</w:t>
            </w:r>
          </w:p>
          <w:p w14:paraId="4F17C2E4" w14:textId="4C08870A" w:rsidR="00BA731E" w:rsidRPr="007837CC" w:rsidRDefault="00BA731E" w:rsidP="003A2A03">
            <w:pPr>
              <w:pStyle w:val="TableText"/>
              <w:spacing w:before="0"/>
              <w:rPr>
                <w:rFonts w:cs="Calibri"/>
                <w:szCs w:val="18"/>
              </w:rPr>
            </w:pPr>
            <w:r w:rsidRPr="007837CC">
              <w:rPr>
                <w:bCs/>
                <w:szCs w:val="18"/>
              </w:rPr>
              <w:t>No impact on NZ ETS participants or operation</w:t>
            </w:r>
            <w:r w:rsidR="007E1E31">
              <w:rPr>
                <w:bCs/>
                <w:szCs w:val="18"/>
              </w:rPr>
              <w:t>.</w:t>
            </w:r>
          </w:p>
        </w:tc>
        <w:tc>
          <w:tcPr>
            <w:tcW w:w="2466" w:type="dxa"/>
            <w:shd w:val="clear" w:color="auto" w:fill="FFFFFF" w:themeFill="background1"/>
          </w:tcPr>
          <w:p w14:paraId="05810B3C" w14:textId="77777777" w:rsidR="009C7850" w:rsidRPr="007837CC" w:rsidRDefault="009C7850" w:rsidP="003A2A03">
            <w:pPr>
              <w:pStyle w:val="TableText"/>
              <w:rPr>
                <w:rFonts w:cs="Calibri"/>
                <w:b/>
                <w:bCs/>
                <w:szCs w:val="18"/>
              </w:rPr>
            </w:pPr>
            <w:r w:rsidRPr="007837CC">
              <w:rPr>
                <w:rFonts w:cs="Calibri"/>
                <w:b/>
                <w:bCs/>
                <w:szCs w:val="18"/>
              </w:rPr>
              <w:t>0</w:t>
            </w:r>
          </w:p>
          <w:p w14:paraId="5D9C7334" w14:textId="78C74E31" w:rsidR="00BA731E" w:rsidRPr="007837CC" w:rsidRDefault="00BA731E" w:rsidP="003A2A03">
            <w:pPr>
              <w:pStyle w:val="TableText"/>
              <w:spacing w:before="0"/>
              <w:rPr>
                <w:rFonts w:cs="Calibri"/>
                <w:szCs w:val="18"/>
                <w:lang w:eastAsia="en-AU"/>
              </w:rPr>
            </w:pPr>
            <w:r w:rsidRPr="007837CC">
              <w:rPr>
                <w:bCs/>
                <w:szCs w:val="18"/>
              </w:rPr>
              <w:t>No impact on NZ ETS participants or operation</w:t>
            </w:r>
            <w:r w:rsidR="007E1E31">
              <w:rPr>
                <w:bCs/>
                <w:szCs w:val="18"/>
              </w:rPr>
              <w:t>.</w:t>
            </w:r>
          </w:p>
        </w:tc>
      </w:tr>
      <w:tr w:rsidR="00310335" w:rsidRPr="007837CC" w14:paraId="07445EFA" w14:textId="77777777" w:rsidTr="00BB7042">
        <w:tc>
          <w:tcPr>
            <w:tcW w:w="2268" w:type="dxa"/>
            <w:shd w:val="clear" w:color="auto" w:fill="FFFFFF" w:themeFill="background1"/>
          </w:tcPr>
          <w:p w14:paraId="5F865DEA" w14:textId="77777777" w:rsidR="00310335" w:rsidRPr="007837CC" w:rsidRDefault="00310335" w:rsidP="003A2A03">
            <w:pPr>
              <w:pStyle w:val="TableText"/>
              <w:rPr>
                <w:rFonts w:cs="Calibri"/>
                <w:bCs/>
                <w:color w:val="000000"/>
                <w:szCs w:val="18"/>
              </w:rPr>
            </w:pPr>
            <w:r w:rsidRPr="007837CC">
              <w:rPr>
                <w:rFonts w:cs="Calibri"/>
                <w:szCs w:val="18"/>
              </w:rPr>
              <w:t>Improves regulatory certainty and predictability</w:t>
            </w:r>
          </w:p>
        </w:tc>
        <w:tc>
          <w:tcPr>
            <w:tcW w:w="1418" w:type="dxa"/>
            <w:shd w:val="clear" w:color="auto" w:fill="FFFFFF" w:themeFill="background1"/>
          </w:tcPr>
          <w:p w14:paraId="40CDCDD9" w14:textId="67392FD4" w:rsidR="00310335" w:rsidRPr="007837CC" w:rsidRDefault="009C7850" w:rsidP="003A2A03">
            <w:pPr>
              <w:pStyle w:val="TableText"/>
              <w:rPr>
                <w:rFonts w:cs="Calibri"/>
                <w:szCs w:val="18"/>
              </w:rPr>
            </w:pPr>
            <w:r w:rsidRPr="007837CC">
              <w:rPr>
                <w:rFonts w:cs="Calibri"/>
                <w:b/>
                <w:bCs/>
                <w:szCs w:val="18"/>
              </w:rPr>
              <w:t>0</w:t>
            </w:r>
          </w:p>
        </w:tc>
        <w:tc>
          <w:tcPr>
            <w:tcW w:w="2410" w:type="dxa"/>
            <w:shd w:val="clear" w:color="auto" w:fill="FFFFFF" w:themeFill="background1"/>
          </w:tcPr>
          <w:p w14:paraId="2A0D6508" w14:textId="0F8C3702" w:rsidR="004B17A5" w:rsidRPr="007837CC" w:rsidRDefault="00755C05" w:rsidP="003A2A03">
            <w:pPr>
              <w:spacing w:before="60" w:after="0" w:line="240" w:lineRule="atLeast"/>
              <w:rPr>
                <w:rFonts w:asciiTheme="minorHAnsi" w:hAnsiTheme="minorHAnsi" w:cstheme="minorHAnsi"/>
                <w:b/>
                <w:color w:val="FF0000"/>
                <w:sz w:val="18"/>
                <w:szCs w:val="18"/>
              </w:rPr>
            </w:pPr>
            <w:r w:rsidRPr="007837CC">
              <w:rPr>
                <w:rFonts w:cs="Calibri"/>
                <w:b/>
                <w:color w:val="FF0000"/>
                <w:sz w:val="18"/>
                <w:szCs w:val="18"/>
              </w:rPr>
              <w:t>–</w:t>
            </w:r>
            <w:r w:rsidRPr="007837CC">
              <w:rPr>
                <w:rFonts w:asciiTheme="minorHAnsi" w:hAnsiTheme="minorHAnsi" w:cstheme="minorHAnsi"/>
                <w:b/>
                <w:color w:val="FF0000"/>
                <w:sz w:val="18"/>
                <w:szCs w:val="18"/>
              </w:rPr>
              <w:t xml:space="preserve"> </w:t>
            </w:r>
            <w:r w:rsidRPr="007837CC">
              <w:rPr>
                <w:rFonts w:cs="Calibri"/>
                <w:b/>
                <w:color w:val="FF0000"/>
                <w:sz w:val="18"/>
                <w:szCs w:val="18"/>
              </w:rPr>
              <w:t>–</w:t>
            </w:r>
            <w:r w:rsidRPr="007837CC">
              <w:rPr>
                <w:rFonts w:asciiTheme="minorHAnsi" w:hAnsiTheme="minorHAnsi" w:cstheme="minorHAnsi"/>
                <w:b/>
                <w:color w:val="FF0000"/>
                <w:sz w:val="18"/>
                <w:szCs w:val="18"/>
              </w:rPr>
              <w:t xml:space="preserve"> </w:t>
            </w:r>
          </w:p>
          <w:p w14:paraId="325ED0A1" w14:textId="5185CA2B" w:rsidR="008C4370" w:rsidRPr="007837CC" w:rsidRDefault="008C4370" w:rsidP="003A2A03">
            <w:pPr>
              <w:pStyle w:val="TableText"/>
              <w:spacing w:before="0"/>
              <w:rPr>
                <w:rFonts w:cs="Calibri"/>
                <w:szCs w:val="18"/>
              </w:rPr>
            </w:pPr>
            <w:r w:rsidRPr="007837CC">
              <w:rPr>
                <w:szCs w:val="18"/>
              </w:rPr>
              <w:t>A change at this step without certainty about whether this will be retained introduces uncertainty in addition to the change itself</w:t>
            </w:r>
            <w:r w:rsidR="007E1E31">
              <w:rPr>
                <w:szCs w:val="18"/>
              </w:rPr>
              <w:t>.</w:t>
            </w:r>
          </w:p>
        </w:tc>
        <w:tc>
          <w:tcPr>
            <w:tcW w:w="2466" w:type="dxa"/>
            <w:shd w:val="clear" w:color="auto" w:fill="FFFFFF" w:themeFill="background1"/>
          </w:tcPr>
          <w:p w14:paraId="3C845BDC" w14:textId="0FB7F1F9" w:rsidR="004B17A5" w:rsidRPr="007837CC" w:rsidRDefault="00263EAD" w:rsidP="003A2A03">
            <w:pPr>
              <w:spacing w:before="60" w:after="0" w:line="240" w:lineRule="atLeast"/>
              <w:rPr>
                <w:rFonts w:cs="Calibri"/>
                <w:b/>
                <w:color w:val="FF0000"/>
                <w:sz w:val="18"/>
                <w:szCs w:val="18"/>
              </w:rPr>
            </w:pPr>
            <w:r w:rsidRPr="007837CC">
              <w:rPr>
                <w:rFonts w:cs="Calibri"/>
                <w:b/>
                <w:color w:val="FF0000"/>
                <w:sz w:val="18"/>
                <w:szCs w:val="18"/>
              </w:rPr>
              <w:t>–</w:t>
            </w:r>
            <w:r w:rsidR="004B17A5" w:rsidRPr="007837CC">
              <w:rPr>
                <w:rFonts w:asciiTheme="minorHAnsi" w:hAnsiTheme="minorHAnsi" w:cstheme="minorHAnsi"/>
                <w:b/>
                <w:color w:val="FF0000"/>
                <w:sz w:val="18"/>
                <w:szCs w:val="18"/>
              </w:rPr>
              <w:t xml:space="preserve"> </w:t>
            </w:r>
          </w:p>
          <w:p w14:paraId="7A767F4F" w14:textId="26F70F23" w:rsidR="00310335" w:rsidRPr="007837CC" w:rsidRDefault="004B17A5" w:rsidP="003A2A03">
            <w:pPr>
              <w:pStyle w:val="TableText"/>
              <w:spacing w:before="0"/>
              <w:rPr>
                <w:rFonts w:cs="Calibri"/>
                <w:szCs w:val="18"/>
                <w:lang w:eastAsia="en-AU"/>
              </w:rPr>
            </w:pPr>
            <w:r w:rsidRPr="007837CC">
              <w:rPr>
                <w:szCs w:val="18"/>
              </w:rPr>
              <w:t>A change at this step without certainty about whether this will be retained introduces uncertainty in addition to the change itself</w:t>
            </w:r>
            <w:r w:rsidR="007E1E31">
              <w:rPr>
                <w:szCs w:val="18"/>
              </w:rPr>
              <w:t>.</w:t>
            </w:r>
          </w:p>
        </w:tc>
      </w:tr>
      <w:tr w:rsidR="00310335" w:rsidRPr="007837CC" w14:paraId="2162B27E" w14:textId="77777777" w:rsidTr="00BB7042">
        <w:tc>
          <w:tcPr>
            <w:tcW w:w="2268" w:type="dxa"/>
            <w:shd w:val="clear" w:color="auto" w:fill="FFFFFF" w:themeFill="background1"/>
            <w:vAlign w:val="center"/>
          </w:tcPr>
          <w:p w14:paraId="0700A866" w14:textId="77777777" w:rsidR="00310335" w:rsidRPr="007837CC" w:rsidRDefault="00310335" w:rsidP="003A2A03">
            <w:pPr>
              <w:pStyle w:val="TableText"/>
              <w:spacing w:before="40" w:after="40"/>
              <w:rPr>
                <w:rFonts w:cs="Calibri"/>
                <w:b/>
                <w:color w:val="000000"/>
                <w:szCs w:val="18"/>
              </w:rPr>
            </w:pPr>
            <w:r w:rsidRPr="007837CC">
              <w:rPr>
                <w:rFonts w:cs="Calibri"/>
                <w:b/>
                <w:color w:val="000000"/>
                <w:szCs w:val="18"/>
              </w:rPr>
              <w:t>Overall assessment</w:t>
            </w:r>
          </w:p>
        </w:tc>
        <w:tc>
          <w:tcPr>
            <w:tcW w:w="1418" w:type="dxa"/>
            <w:shd w:val="clear" w:color="auto" w:fill="FFFFFF" w:themeFill="background1"/>
          </w:tcPr>
          <w:p w14:paraId="3F49158A" w14:textId="40E5BBA1" w:rsidR="00310335" w:rsidRPr="007837CC" w:rsidRDefault="009C7850" w:rsidP="003A2A03">
            <w:pPr>
              <w:pStyle w:val="TableText"/>
              <w:spacing w:before="40" w:after="40"/>
              <w:rPr>
                <w:rFonts w:cs="Calibri"/>
                <w:szCs w:val="18"/>
              </w:rPr>
            </w:pPr>
            <w:r w:rsidRPr="007837CC">
              <w:rPr>
                <w:rFonts w:cs="Calibri"/>
                <w:b/>
                <w:bCs/>
                <w:szCs w:val="18"/>
              </w:rPr>
              <w:t>0</w:t>
            </w:r>
          </w:p>
        </w:tc>
        <w:tc>
          <w:tcPr>
            <w:tcW w:w="2410" w:type="dxa"/>
            <w:shd w:val="clear" w:color="auto" w:fill="FFFFFF" w:themeFill="background1"/>
          </w:tcPr>
          <w:p w14:paraId="71CC29B8" w14:textId="6A2E5BFF" w:rsidR="00310335" w:rsidRPr="007837CC" w:rsidRDefault="00263EAD" w:rsidP="003A2A03">
            <w:pPr>
              <w:pStyle w:val="TableText"/>
              <w:spacing w:before="40" w:after="40"/>
              <w:rPr>
                <w:rFonts w:cs="Calibri"/>
                <w:b/>
                <w:szCs w:val="18"/>
              </w:rPr>
            </w:pPr>
            <w:r w:rsidRPr="007837CC">
              <w:rPr>
                <w:rFonts w:cs="Tahoma"/>
                <w:b/>
                <w:color w:val="FF0000"/>
                <w:szCs w:val="18"/>
              </w:rPr>
              <w:t>–</w:t>
            </w:r>
          </w:p>
        </w:tc>
        <w:tc>
          <w:tcPr>
            <w:tcW w:w="2466" w:type="dxa"/>
            <w:shd w:val="clear" w:color="auto" w:fill="FFFFFF" w:themeFill="background1"/>
          </w:tcPr>
          <w:p w14:paraId="406968D6" w14:textId="20369E72" w:rsidR="00310335" w:rsidRPr="007837CC" w:rsidRDefault="009C7850" w:rsidP="003A2A03">
            <w:pPr>
              <w:pStyle w:val="TableText"/>
              <w:spacing w:before="40" w:after="40"/>
              <w:rPr>
                <w:rFonts w:cs="Calibri"/>
                <w:szCs w:val="18"/>
              </w:rPr>
            </w:pPr>
            <w:r w:rsidRPr="007837CC">
              <w:rPr>
                <w:rFonts w:cs="Calibri"/>
                <w:b/>
                <w:bCs/>
                <w:szCs w:val="18"/>
              </w:rPr>
              <w:t>0</w:t>
            </w:r>
          </w:p>
        </w:tc>
      </w:tr>
    </w:tbl>
    <w:p w14:paraId="72E2990A" w14:textId="75999D18" w:rsidR="0087164D" w:rsidRPr="007837CC" w:rsidRDefault="009C6E36" w:rsidP="00BB7042">
      <w:pPr>
        <w:pStyle w:val="BodyText"/>
        <w:spacing w:before="240" w:after="240"/>
      </w:pPr>
      <w:r w:rsidRPr="007837CC">
        <w:t xml:space="preserve">The status quo avoids the risk of withholding </w:t>
      </w:r>
      <w:r w:rsidR="004624F3" w:rsidRPr="007837CC">
        <w:t>NZUs</w:t>
      </w:r>
      <w:r w:rsidRPr="007837CC">
        <w:t xml:space="preserve"> from auction when this would be inappropriate</w:t>
      </w:r>
      <w:r w:rsidR="000C36B7" w:rsidRPr="007837CC">
        <w:t xml:space="preserve">, </w:t>
      </w:r>
      <w:r w:rsidR="00E42326" w:rsidRPr="007837CC">
        <w:t>while</w:t>
      </w:r>
      <w:r w:rsidR="000C36B7" w:rsidRPr="007837CC">
        <w:t xml:space="preserve"> the </w:t>
      </w:r>
      <w:r w:rsidR="00760DBB" w:rsidRPr="007837CC">
        <w:t xml:space="preserve">full technical adjustment avoids the risk of providing </w:t>
      </w:r>
      <w:r w:rsidR="004624F3" w:rsidRPr="007837CC">
        <w:t>NZUs</w:t>
      </w:r>
      <w:r w:rsidR="00760DBB" w:rsidRPr="007837CC">
        <w:t xml:space="preserve"> at auction when that would be inappropriate. </w:t>
      </w:r>
      <w:r w:rsidR="00591AB3" w:rsidRPr="007837CC">
        <w:t>In the case that the decision made here results in an</w:t>
      </w:r>
      <w:r w:rsidR="00F45571" w:rsidRPr="007837CC">
        <w:t xml:space="preserve"> additional ‘surplus’ component of the </w:t>
      </w:r>
      <w:r w:rsidR="00266D14" w:rsidRPr="007837CC">
        <w:t>stockpile</w:t>
      </w:r>
      <w:r w:rsidR="00591AB3" w:rsidRPr="007837CC">
        <w:t xml:space="preserve">, this can be addressed as part of the stockpile surplus reduction step in future.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87164D" w:rsidRPr="007837CC" w14:paraId="7956F66A" w14:textId="77777777">
        <w:tc>
          <w:tcPr>
            <w:tcW w:w="0" w:type="auto"/>
            <w:shd w:val="clear" w:color="auto" w:fill="D2DDE2"/>
          </w:tcPr>
          <w:p w14:paraId="7A161475" w14:textId="4BEA7BAC" w:rsidR="0087164D" w:rsidRPr="007837CC" w:rsidRDefault="0087164D">
            <w:pPr>
              <w:pStyle w:val="Boxheading"/>
              <w:rPr>
                <w:rFonts w:cs="Calibri"/>
              </w:rPr>
            </w:pPr>
            <w:r w:rsidRPr="007837CC">
              <w:rPr>
                <w:rFonts w:cs="Calibri"/>
              </w:rPr>
              <w:t>Question</w:t>
            </w:r>
          </w:p>
          <w:p w14:paraId="10DC9543" w14:textId="27B045C8" w:rsidR="0087164D" w:rsidRPr="007837CC" w:rsidRDefault="0087164D">
            <w:pPr>
              <w:pStyle w:val="Boxquestion"/>
            </w:pPr>
            <w:r w:rsidRPr="007837CC">
              <w:t>Do you think that reductions in auction volumes and limits should occur to reflect the identified discrepancies between emissions reported in the Greenhouse Gas Inventory and the NZ ETS</w:t>
            </w:r>
            <w:r w:rsidR="007C4BA9" w:rsidRPr="007837CC">
              <w:t>?</w:t>
            </w:r>
          </w:p>
        </w:tc>
      </w:tr>
    </w:tbl>
    <w:p w14:paraId="183840DD" w14:textId="77777777" w:rsidR="0087164D" w:rsidRPr="007837CC" w:rsidRDefault="0087164D" w:rsidP="003A2A03">
      <w:pPr>
        <w:pStyle w:val="BodyText"/>
        <w:spacing w:before="0" w:after="0"/>
        <w:rPr>
          <w:highlight w:val="cyan"/>
        </w:rPr>
      </w:pPr>
    </w:p>
    <w:p w14:paraId="0E39BCC9" w14:textId="79C410F0" w:rsidR="00DE1D73" w:rsidRPr="007837CC" w:rsidRDefault="009C5804" w:rsidP="001A2D91">
      <w:pPr>
        <w:pStyle w:val="Heading4"/>
        <w:tabs>
          <w:tab w:val="clear" w:pos="851"/>
          <w:tab w:val="left" w:pos="426"/>
        </w:tabs>
      </w:pPr>
      <w:r w:rsidRPr="007837CC">
        <w:t>4</w:t>
      </w:r>
      <w:r w:rsidR="00ED450F" w:rsidRPr="007837CC">
        <w:t>.</w:t>
      </w:r>
      <w:r w:rsidRPr="007837CC">
        <w:t xml:space="preserve"> </w:t>
      </w:r>
      <w:r w:rsidR="00A77E84" w:rsidRPr="007837CC">
        <w:tab/>
      </w:r>
      <w:r w:rsidR="00DE1D73" w:rsidRPr="007837CC">
        <w:t>Account for free NZU allocation volumes</w:t>
      </w:r>
    </w:p>
    <w:p w14:paraId="037BED6F" w14:textId="0DC49F7D" w:rsidR="006F14A3" w:rsidRPr="007837CC" w:rsidRDefault="00F06BA2" w:rsidP="001A2D91">
      <w:pPr>
        <w:pStyle w:val="BodyText"/>
        <w:tabs>
          <w:tab w:val="left" w:pos="426"/>
        </w:tabs>
      </w:pPr>
      <w:r w:rsidRPr="007837CC">
        <w:t xml:space="preserve">Some </w:t>
      </w:r>
      <w:r w:rsidR="004624F3" w:rsidRPr="007837CC">
        <w:t>NZUs</w:t>
      </w:r>
      <w:r w:rsidRPr="007837CC">
        <w:t xml:space="preserve"> are freely allocated to emission-intensive</w:t>
      </w:r>
      <w:r w:rsidR="00C10E15" w:rsidRPr="007837CC">
        <w:t>,</w:t>
      </w:r>
      <w:r w:rsidRPr="007837CC">
        <w:t xml:space="preserve"> trade-exposed businesses to </w:t>
      </w:r>
      <w:r w:rsidR="006F14A3" w:rsidRPr="007837CC">
        <w:t>reduce the</w:t>
      </w:r>
      <w:r w:rsidR="00BB7042" w:rsidRPr="007837CC">
        <w:t> </w:t>
      </w:r>
      <w:r w:rsidR="006F14A3" w:rsidRPr="007837CC">
        <w:t xml:space="preserve">risk of </w:t>
      </w:r>
      <w:r w:rsidR="005E2093" w:rsidRPr="007837CC">
        <w:t>clos</w:t>
      </w:r>
      <w:r w:rsidR="00204B04" w:rsidRPr="007837CC">
        <w:t>ure</w:t>
      </w:r>
      <w:r w:rsidR="005E2093" w:rsidRPr="007837CC">
        <w:t xml:space="preserve"> or </w:t>
      </w:r>
      <w:r w:rsidR="00387D66" w:rsidRPr="007837CC">
        <w:t xml:space="preserve">losing </w:t>
      </w:r>
      <w:r w:rsidR="00A079D4" w:rsidRPr="007837CC">
        <w:t xml:space="preserve">market share to </w:t>
      </w:r>
      <w:r w:rsidR="002267A9" w:rsidRPr="007837CC">
        <w:t>overseas businesses that do not face the same</w:t>
      </w:r>
      <w:r w:rsidR="002F2C08" w:rsidRPr="007837CC">
        <w:t xml:space="preserve"> emissions costs</w:t>
      </w:r>
      <w:r w:rsidR="007A4C7C" w:rsidRPr="007837CC">
        <w:t xml:space="preserve">. </w:t>
      </w:r>
      <w:r w:rsidR="003F5518" w:rsidRPr="007837CC">
        <w:t>Such a</w:t>
      </w:r>
      <w:r w:rsidR="003F2526" w:rsidRPr="007837CC">
        <w:t xml:space="preserve"> shift in</w:t>
      </w:r>
      <w:r w:rsidR="005762A6" w:rsidRPr="007837CC">
        <w:t xml:space="preserve"> production</w:t>
      </w:r>
      <w:r w:rsidR="001C0D0D" w:rsidRPr="007837CC">
        <w:t>,</w:t>
      </w:r>
      <w:r w:rsidR="00E11532" w:rsidRPr="007837CC">
        <w:t xml:space="preserve"> and therefore emissions</w:t>
      </w:r>
      <w:r w:rsidR="001C0D0D" w:rsidRPr="007837CC">
        <w:t>,</w:t>
      </w:r>
      <w:r w:rsidR="003F2526" w:rsidRPr="007837CC">
        <w:t xml:space="preserve"> is known as emissions leakage</w:t>
      </w:r>
      <w:r w:rsidR="00F11856" w:rsidRPr="007837CC">
        <w:t xml:space="preserve"> and may have </w:t>
      </w:r>
      <w:r w:rsidR="00D437E3" w:rsidRPr="007837CC">
        <w:t>negative effects on</w:t>
      </w:r>
      <w:r w:rsidR="00984D91" w:rsidRPr="007837CC">
        <w:t xml:space="preserve"> levels of global emissions</w:t>
      </w:r>
      <w:r w:rsidR="00E11532" w:rsidRPr="007837CC">
        <w:t xml:space="preserve">. </w:t>
      </w:r>
    </w:p>
    <w:p w14:paraId="55CC5DE1" w14:textId="08295882" w:rsidR="000C69F4" w:rsidRPr="007837CC" w:rsidRDefault="000C69F4" w:rsidP="00BB7042">
      <w:pPr>
        <w:pStyle w:val="BodyText"/>
      </w:pPr>
      <w:r w:rsidRPr="007837CC">
        <w:lastRenderedPageBreak/>
        <w:t xml:space="preserve">The purpose of industrial allocation is to </w:t>
      </w:r>
      <w:r w:rsidR="73D7D9CF" w:rsidRPr="007837CC">
        <w:t>reduce</w:t>
      </w:r>
      <w:r w:rsidRPr="007837CC">
        <w:t xml:space="preserve"> the risk of emissions leakage by supporting firms in eligible activities to meet some of their emissions costs.</w:t>
      </w:r>
    </w:p>
    <w:p w14:paraId="65C4B821" w14:textId="04E9102F" w:rsidR="007739D2" w:rsidRPr="007837CC" w:rsidRDefault="00660009" w:rsidP="00BB7042">
      <w:pPr>
        <w:pStyle w:val="BodyText"/>
      </w:pPr>
      <w:r w:rsidRPr="007837CC">
        <w:t>Free</w:t>
      </w:r>
      <w:r w:rsidR="007739D2" w:rsidRPr="007837CC">
        <w:t xml:space="preserve"> allocation used to calculate auction volumes </w:t>
      </w:r>
      <w:r w:rsidR="0065579A" w:rsidRPr="007837CC">
        <w:t>is</w:t>
      </w:r>
      <w:r w:rsidR="007739D2" w:rsidRPr="007837CC">
        <w:t xml:space="preserve"> based on production</w:t>
      </w:r>
      <w:r w:rsidR="007E1E31">
        <w:t>-</w:t>
      </w:r>
      <w:r w:rsidR="007739D2" w:rsidRPr="007837CC">
        <w:t xml:space="preserve">level projections, rather than </w:t>
      </w:r>
      <w:r w:rsidR="00C10E15" w:rsidRPr="007837CC">
        <w:t xml:space="preserve">on </w:t>
      </w:r>
      <w:r w:rsidR="007739D2" w:rsidRPr="007837CC">
        <w:t xml:space="preserve">unit volumes set in advance. This makes it important to review the projections </w:t>
      </w:r>
      <w:r w:rsidR="00C10E15" w:rsidRPr="007837CC">
        <w:t xml:space="preserve">every year </w:t>
      </w:r>
      <w:r w:rsidR="007739D2" w:rsidRPr="007837CC">
        <w:t xml:space="preserve">and adjust </w:t>
      </w:r>
      <w:r w:rsidR="00C10E15" w:rsidRPr="007837CC">
        <w:t xml:space="preserve">them </w:t>
      </w:r>
      <w:r w:rsidR="007739D2" w:rsidRPr="007837CC">
        <w:t xml:space="preserve">to </w:t>
      </w:r>
      <w:r w:rsidR="00C10E15" w:rsidRPr="007837CC">
        <w:t xml:space="preserve">take account of </w:t>
      </w:r>
      <w:r w:rsidR="007739D2" w:rsidRPr="007837CC">
        <w:t xml:space="preserve">any major changes in businesses that receive free allocations, for example, if a business </w:t>
      </w:r>
      <w:r w:rsidR="00BD5853" w:rsidRPr="007837CC">
        <w:t xml:space="preserve">carrying out an activity eligible for industrial allocation </w:t>
      </w:r>
      <w:r w:rsidR="007739D2" w:rsidRPr="007837CC">
        <w:t>shuts down.</w:t>
      </w:r>
    </w:p>
    <w:p w14:paraId="2E67B39B" w14:textId="77777777" w:rsidR="00CE220E" w:rsidRPr="007837CC" w:rsidRDefault="007739D2" w:rsidP="00BB7042">
      <w:pPr>
        <w:pStyle w:val="BodyText"/>
      </w:pPr>
      <w:r w:rsidRPr="007837CC">
        <w:t xml:space="preserve">We have reviewed the </w:t>
      </w:r>
      <w:r w:rsidR="003D7C2D" w:rsidRPr="007837CC">
        <w:t xml:space="preserve">projections on industrial allocation </w:t>
      </w:r>
      <w:r w:rsidR="00006248" w:rsidRPr="007837CC">
        <w:t>that</w:t>
      </w:r>
      <w:r w:rsidR="003D7C2D" w:rsidRPr="007837CC">
        <w:t xml:space="preserve"> the Commission </w:t>
      </w:r>
      <w:r w:rsidR="00006248" w:rsidRPr="007837CC">
        <w:t xml:space="preserve">made </w:t>
      </w:r>
      <w:r w:rsidR="003D7C2D" w:rsidRPr="007837CC">
        <w:t xml:space="preserve">and used to inform </w:t>
      </w:r>
      <w:r w:rsidR="00006248" w:rsidRPr="007837CC">
        <w:t xml:space="preserve">its </w:t>
      </w:r>
      <w:r w:rsidR="003D7C2D" w:rsidRPr="007837CC">
        <w:t>recommendations</w:t>
      </w:r>
      <w:r w:rsidR="00E730EB" w:rsidRPr="007837CC">
        <w:t xml:space="preserve"> in 2022, and the updates made to reflect more recent data in its 2023 advice</w:t>
      </w:r>
      <w:r w:rsidR="00006248" w:rsidRPr="007837CC">
        <w:t>. Based on this review, we</w:t>
      </w:r>
      <w:r w:rsidR="003D7C2D" w:rsidRPr="007837CC">
        <w:t xml:space="preserve"> </w:t>
      </w:r>
      <w:r w:rsidR="00860F1F" w:rsidRPr="007837CC">
        <w:t xml:space="preserve">agree with the assumptions </w:t>
      </w:r>
      <w:r w:rsidR="00006248" w:rsidRPr="007837CC">
        <w:t xml:space="preserve">it </w:t>
      </w:r>
      <w:r w:rsidR="00860F1F" w:rsidRPr="007837CC">
        <w:t xml:space="preserve">used to determine </w:t>
      </w:r>
      <w:r w:rsidR="00006248" w:rsidRPr="007837CC">
        <w:t xml:space="preserve">its </w:t>
      </w:r>
      <w:r w:rsidR="00860F1F" w:rsidRPr="007837CC">
        <w:t xml:space="preserve">projections. </w:t>
      </w:r>
    </w:p>
    <w:p w14:paraId="20F4E4AA" w14:textId="4373192A" w:rsidR="00765F1D" w:rsidRPr="007837CC" w:rsidRDefault="00631A7B" w:rsidP="00A77E84">
      <w:pPr>
        <w:pStyle w:val="BodyText"/>
      </w:pPr>
      <w:r w:rsidRPr="007837CC">
        <w:t>T</w:t>
      </w:r>
      <w:r w:rsidR="00116495" w:rsidRPr="007837CC">
        <w:t xml:space="preserve">able </w:t>
      </w:r>
      <w:r w:rsidR="008E29B6" w:rsidRPr="007837CC">
        <w:t>9</w:t>
      </w:r>
      <w:r w:rsidR="00213619" w:rsidRPr="007837CC">
        <w:t xml:space="preserve"> </w:t>
      </w:r>
      <w:r w:rsidR="00116495" w:rsidRPr="007837CC">
        <w:t>sets out t</w:t>
      </w:r>
      <w:r w:rsidRPr="007837CC">
        <w:t xml:space="preserve">he forecast free allocation volumes for </w:t>
      </w:r>
      <w:r w:rsidR="008C3A45" w:rsidRPr="007837CC">
        <w:t>2024</w:t>
      </w:r>
      <w:r w:rsidR="00116495" w:rsidRPr="007837CC">
        <w:t>–</w:t>
      </w:r>
      <w:r w:rsidR="008C3A45" w:rsidRPr="007837CC">
        <w:t>28</w:t>
      </w:r>
      <w:r w:rsidRPr="007837CC">
        <w:t xml:space="preserve">. This </w:t>
      </w:r>
      <w:r w:rsidR="00116495" w:rsidRPr="007837CC">
        <w:t xml:space="preserve">forecast </w:t>
      </w:r>
      <w:r w:rsidRPr="007837CC">
        <w:t xml:space="preserve">does not consider any changes likely </w:t>
      </w:r>
      <w:proofErr w:type="gramStart"/>
      <w:r w:rsidRPr="007837CC">
        <w:t>as a result of</w:t>
      </w:r>
      <w:proofErr w:type="gramEnd"/>
      <w:r w:rsidRPr="007837CC">
        <w:t xml:space="preserve"> the </w:t>
      </w:r>
      <w:r w:rsidR="00A72C5F" w:rsidRPr="007837CC">
        <w:t>decisions to address over-allocation.</w:t>
      </w:r>
      <w:r w:rsidR="0010011E" w:rsidRPr="007837CC">
        <w:rPr>
          <w:rStyle w:val="FootnoteReference"/>
        </w:rPr>
        <w:footnoteReference w:id="17"/>
      </w:r>
      <w:r w:rsidR="00A72C5F" w:rsidRPr="007837CC">
        <w:t xml:space="preserve"> These decisions will not affect 2023 allocation</w:t>
      </w:r>
      <w:r w:rsidR="008C3A45" w:rsidRPr="007837CC">
        <w:t>, and the impacts on 2024 allocations are unknown</w:t>
      </w:r>
      <w:r w:rsidR="00D71BBC" w:rsidRPr="007837CC">
        <w:t>.</w:t>
      </w:r>
      <w:r w:rsidR="00A72C5F" w:rsidRPr="007837CC">
        <w:t xml:space="preserve"> </w:t>
      </w:r>
      <w:r w:rsidR="00D71BBC" w:rsidRPr="007837CC">
        <w:t>O</w:t>
      </w:r>
      <w:r w:rsidR="00A72C5F" w:rsidRPr="007837CC">
        <w:t>nce data are available on the impacts on the level of industrial allocation, these can be incorporated into future updates to</w:t>
      </w:r>
      <w:r w:rsidR="00FB234D" w:rsidRPr="007837CC">
        <w:t xml:space="preserve"> NZ ETS</w:t>
      </w:r>
      <w:r w:rsidR="00A72C5F" w:rsidRPr="007837CC">
        <w:t xml:space="preserve"> limit</w:t>
      </w:r>
      <w:r w:rsidR="00FB234D" w:rsidRPr="007837CC">
        <w:t>s</w:t>
      </w:r>
      <w:r w:rsidR="00A72C5F" w:rsidRPr="007837CC">
        <w:t xml:space="preserve"> for units. </w:t>
      </w:r>
    </w:p>
    <w:p w14:paraId="040584BE" w14:textId="31993F58" w:rsidR="00301B29" w:rsidRPr="007837CC" w:rsidRDefault="00301B29" w:rsidP="00573718">
      <w:pPr>
        <w:pStyle w:val="Tableheading"/>
      </w:pPr>
      <w:bookmarkStart w:id="44" w:name="_Toc133927343"/>
      <w:r w:rsidRPr="007837CC">
        <w:t xml:space="preserve">Table </w:t>
      </w:r>
      <w:r w:rsidR="008E29B6" w:rsidRPr="007837CC">
        <w:t>9</w:t>
      </w:r>
      <w:r w:rsidR="009369F6" w:rsidRPr="007837CC">
        <w:t>:</w:t>
      </w:r>
      <w:r w:rsidR="00C212FA" w:rsidRPr="007837CC">
        <w:t xml:space="preserve"> </w:t>
      </w:r>
      <w:r w:rsidR="00A77E84" w:rsidRPr="007837CC">
        <w:tab/>
      </w:r>
      <w:r w:rsidR="00C212FA" w:rsidRPr="007837CC">
        <w:t xml:space="preserve">Forecast industrial allocation </w:t>
      </w:r>
      <w:proofErr w:type="gramStart"/>
      <w:r w:rsidR="00C212FA" w:rsidRPr="007837CC">
        <w:t>volumes</w:t>
      </w:r>
      <w:bookmarkEnd w:id="44"/>
      <w:proofErr w:type="gramEnd"/>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3490"/>
        <w:gridCol w:w="993"/>
        <w:gridCol w:w="994"/>
        <w:gridCol w:w="994"/>
        <w:gridCol w:w="994"/>
        <w:gridCol w:w="1040"/>
      </w:tblGrid>
      <w:tr w:rsidR="00511578" w:rsidRPr="007837CC" w14:paraId="190E3C04" w14:textId="77777777" w:rsidTr="00BB7042">
        <w:trPr>
          <w:tblHeader/>
        </w:trPr>
        <w:tc>
          <w:tcPr>
            <w:tcW w:w="3490" w:type="dxa"/>
            <w:vMerge w:val="restart"/>
            <w:tcBorders>
              <w:bottom w:val="nil"/>
            </w:tcBorders>
            <w:shd w:val="clear" w:color="auto" w:fill="1B556B" w:themeFill="text2"/>
            <w:vAlign w:val="bottom"/>
            <w:hideMark/>
          </w:tcPr>
          <w:p w14:paraId="3960F804" w14:textId="311E33E7" w:rsidR="00511578" w:rsidRPr="007837CC" w:rsidRDefault="00511578" w:rsidP="00A77E84">
            <w:pPr>
              <w:pStyle w:val="TableTextbold"/>
            </w:pPr>
          </w:p>
        </w:tc>
        <w:tc>
          <w:tcPr>
            <w:tcW w:w="5015" w:type="dxa"/>
            <w:gridSpan w:val="5"/>
            <w:tcBorders>
              <w:bottom w:val="nil"/>
            </w:tcBorders>
            <w:shd w:val="clear" w:color="auto" w:fill="1B556B" w:themeFill="text2"/>
            <w:vAlign w:val="bottom"/>
            <w:hideMark/>
          </w:tcPr>
          <w:p w14:paraId="58178320" w14:textId="406D094F" w:rsidR="00511578" w:rsidRPr="007837CC" w:rsidRDefault="00D407B3" w:rsidP="00A77E84">
            <w:pPr>
              <w:pStyle w:val="TableTextbold"/>
              <w:spacing w:after="0"/>
              <w:jc w:val="center"/>
              <w:rPr>
                <w:color w:val="FFFFFF" w:themeColor="background1"/>
              </w:rPr>
            </w:pPr>
            <w:r>
              <w:rPr>
                <w:color w:val="FFFFFF" w:themeColor="background1"/>
              </w:rPr>
              <w:t>M</w:t>
            </w:r>
            <w:r w:rsidR="00D26A8F" w:rsidRPr="007837CC">
              <w:rPr>
                <w:color w:val="FFFFFF" w:themeColor="background1"/>
              </w:rPr>
              <w:t xml:space="preserve">illions of </w:t>
            </w:r>
            <w:r w:rsidR="00B86817" w:rsidRPr="007837CC">
              <w:rPr>
                <w:color w:val="FFFFFF" w:themeColor="background1"/>
              </w:rPr>
              <w:t>NZUs</w:t>
            </w:r>
          </w:p>
        </w:tc>
      </w:tr>
      <w:tr w:rsidR="00511578" w:rsidRPr="007837CC" w14:paraId="54E5CEA1" w14:textId="77777777" w:rsidTr="00BB7042">
        <w:trPr>
          <w:tblHeader/>
        </w:trPr>
        <w:tc>
          <w:tcPr>
            <w:tcW w:w="3490" w:type="dxa"/>
            <w:vMerge/>
            <w:tcBorders>
              <w:top w:val="nil"/>
            </w:tcBorders>
            <w:shd w:val="clear" w:color="auto" w:fill="1B556B" w:themeFill="text2"/>
            <w:noWrap/>
            <w:vAlign w:val="bottom"/>
            <w:hideMark/>
          </w:tcPr>
          <w:p w14:paraId="522133AD" w14:textId="2A575638" w:rsidR="00511578" w:rsidRPr="007837CC" w:rsidRDefault="00511578" w:rsidP="00A83E66">
            <w:pPr>
              <w:spacing w:before="60" w:after="60" w:line="240" w:lineRule="auto"/>
              <w:jc w:val="left"/>
              <w:rPr>
                <w:rFonts w:cs="Calibri"/>
                <w:color w:val="000000"/>
              </w:rPr>
            </w:pPr>
          </w:p>
        </w:tc>
        <w:tc>
          <w:tcPr>
            <w:tcW w:w="993" w:type="dxa"/>
            <w:tcBorders>
              <w:top w:val="nil"/>
            </w:tcBorders>
            <w:shd w:val="clear" w:color="auto" w:fill="1B556B" w:themeFill="text2"/>
            <w:noWrap/>
            <w:vAlign w:val="bottom"/>
            <w:hideMark/>
          </w:tcPr>
          <w:p w14:paraId="5EC865F6" w14:textId="60C86461" w:rsidR="00511578" w:rsidRPr="007837CC" w:rsidRDefault="00511578" w:rsidP="00A77E84">
            <w:pPr>
              <w:pStyle w:val="TableTextbold"/>
              <w:spacing w:before="40"/>
              <w:jc w:val="center"/>
              <w:rPr>
                <w:color w:val="FFFFFF" w:themeColor="background1"/>
              </w:rPr>
            </w:pPr>
            <w:r w:rsidRPr="007837CC">
              <w:rPr>
                <w:color w:val="FFFFFF" w:themeColor="background1"/>
              </w:rPr>
              <w:t>202</w:t>
            </w:r>
            <w:r w:rsidR="008C3A45" w:rsidRPr="007837CC">
              <w:rPr>
                <w:color w:val="FFFFFF" w:themeColor="background1"/>
              </w:rPr>
              <w:t>4</w:t>
            </w:r>
          </w:p>
        </w:tc>
        <w:tc>
          <w:tcPr>
            <w:tcW w:w="994" w:type="dxa"/>
            <w:tcBorders>
              <w:top w:val="nil"/>
            </w:tcBorders>
            <w:shd w:val="clear" w:color="auto" w:fill="1B556B" w:themeFill="text2"/>
            <w:noWrap/>
            <w:vAlign w:val="bottom"/>
            <w:hideMark/>
          </w:tcPr>
          <w:p w14:paraId="48FC80B5" w14:textId="73E4EDEC" w:rsidR="00511578" w:rsidRPr="007837CC" w:rsidRDefault="00511578" w:rsidP="00A77E84">
            <w:pPr>
              <w:pStyle w:val="TableTextbold"/>
              <w:spacing w:before="40"/>
              <w:jc w:val="center"/>
              <w:rPr>
                <w:color w:val="FFFFFF" w:themeColor="background1"/>
              </w:rPr>
            </w:pPr>
            <w:r w:rsidRPr="007837CC">
              <w:rPr>
                <w:color w:val="FFFFFF" w:themeColor="background1"/>
              </w:rPr>
              <w:t>202</w:t>
            </w:r>
            <w:r w:rsidR="008C3A45" w:rsidRPr="007837CC">
              <w:rPr>
                <w:color w:val="FFFFFF" w:themeColor="background1"/>
              </w:rPr>
              <w:t>5</w:t>
            </w:r>
          </w:p>
        </w:tc>
        <w:tc>
          <w:tcPr>
            <w:tcW w:w="994" w:type="dxa"/>
            <w:tcBorders>
              <w:top w:val="nil"/>
            </w:tcBorders>
            <w:shd w:val="clear" w:color="auto" w:fill="1B556B" w:themeFill="text2"/>
            <w:noWrap/>
            <w:vAlign w:val="bottom"/>
            <w:hideMark/>
          </w:tcPr>
          <w:p w14:paraId="19E280A4" w14:textId="21F057CC" w:rsidR="00511578" w:rsidRPr="007837CC" w:rsidRDefault="00511578" w:rsidP="00A77E84">
            <w:pPr>
              <w:pStyle w:val="TableTextbold"/>
              <w:spacing w:before="40"/>
              <w:jc w:val="center"/>
              <w:rPr>
                <w:color w:val="FFFFFF" w:themeColor="background1"/>
              </w:rPr>
            </w:pPr>
            <w:r w:rsidRPr="007837CC">
              <w:rPr>
                <w:color w:val="FFFFFF" w:themeColor="background1"/>
              </w:rPr>
              <w:t>202</w:t>
            </w:r>
            <w:r w:rsidR="008C3A45" w:rsidRPr="007837CC">
              <w:rPr>
                <w:color w:val="FFFFFF" w:themeColor="background1"/>
              </w:rPr>
              <w:t>6</w:t>
            </w:r>
          </w:p>
        </w:tc>
        <w:tc>
          <w:tcPr>
            <w:tcW w:w="994" w:type="dxa"/>
            <w:tcBorders>
              <w:top w:val="nil"/>
            </w:tcBorders>
            <w:shd w:val="clear" w:color="auto" w:fill="1B556B" w:themeFill="text2"/>
            <w:noWrap/>
            <w:vAlign w:val="bottom"/>
            <w:hideMark/>
          </w:tcPr>
          <w:p w14:paraId="216DC1BC" w14:textId="5EE4DF72" w:rsidR="00511578" w:rsidRPr="007837CC" w:rsidRDefault="00511578" w:rsidP="00A77E84">
            <w:pPr>
              <w:pStyle w:val="TableTextbold"/>
              <w:spacing w:before="40"/>
              <w:jc w:val="center"/>
              <w:rPr>
                <w:color w:val="FFFFFF" w:themeColor="background1"/>
              </w:rPr>
            </w:pPr>
            <w:r w:rsidRPr="007837CC">
              <w:rPr>
                <w:color w:val="FFFFFF" w:themeColor="background1"/>
              </w:rPr>
              <w:t>202</w:t>
            </w:r>
            <w:r w:rsidR="008C3A45" w:rsidRPr="007837CC">
              <w:rPr>
                <w:color w:val="FFFFFF" w:themeColor="background1"/>
              </w:rPr>
              <w:t>7</w:t>
            </w:r>
          </w:p>
        </w:tc>
        <w:tc>
          <w:tcPr>
            <w:tcW w:w="1040" w:type="dxa"/>
            <w:tcBorders>
              <w:top w:val="nil"/>
            </w:tcBorders>
            <w:shd w:val="clear" w:color="auto" w:fill="1B556B" w:themeFill="text2"/>
            <w:noWrap/>
            <w:vAlign w:val="bottom"/>
            <w:hideMark/>
          </w:tcPr>
          <w:p w14:paraId="0AAE1EF2" w14:textId="09A8F32C" w:rsidR="00511578" w:rsidRPr="007837CC" w:rsidRDefault="00511578" w:rsidP="00A77E84">
            <w:pPr>
              <w:pStyle w:val="TableTextbold"/>
              <w:spacing w:before="40"/>
              <w:jc w:val="center"/>
              <w:rPr>
                <w:color w:val="FFFFFF" w:themeColor="background1"/>
              </w:rPr>
            </w:pPr>
            <w:r w:rsidRPr="007837CC">
              <w:rPr>
                <w:color w:val="FFFFFF" w:themeColor="background1"/>
              </w:rPr>
              <w:t>202</w:t>
            </w:r>
            <w:r w:rsidR="008C3A45" w:rsidRPr="007837CC">
              <w:rPr>
                <w:color w:val="FFFFFF" w:themeColor="background1"/>
              </w:rPr>
              <w:t>8</w:t>
            </w:r>
          </w:p>
        </w:tc>
      </w:tr>
      <w:tr w:rsidR="008C3A45" w:rsidRPr="007837CC" w14:paraId="36597109" w14:textId="7AE595C4" w:rsidTr="00CE220E">
        <w:tc>
          <w:tcPr>
            <w:tcW w:w="3490" w:type="dxa"/>
            <w:shd w:val="clear" w:color="auto" w:fill="auto"/>
            <w:vAlign w:val="bottom"/>
            <w:hideMark/>
          </w:tcPr>
          <w:p w14:paraId="0F34D07B" w14:textId="5686E11A" w:rsidR="008C3A45" w:rsidRPr="007837CC" w:rsidRDefault="008C3A45" w:rsidP="008C3A45">
            <w:pPr>
              <w:pStyle w:val="TableText"/>
            </w:pPr>
            <w:r w:rsidRPr="007837CC">
              <w:t xml:space="preserve">Forecast industrial allocation </w:t>
            </w:r>
            <w:r w:rsidR="00CE220E" w:rsidRPr="007837CC">
              <w:t>(2022)</w:t>
            </w:r>
          </w:p>
        </w:tc>
        <w:tc>
          <w:tcPr>
            <w:tcW w:w="993" w:type="dxa"/>
            <w:shd w:val="clear" w:color="auto" w:fill="auto"/>
            <w:noWrap/>
            <w:vAlign w:val="bottom"/>
            <w:hideMark/>
          </w:tcPr>
          <w:p w14:paraId="782EB7ED" w14:textId="30FF1E3F" w:rsidR="008C3A45" w:rsidRPr="007837CC" w:rsidRDefault="008C3A45" w:rsidP="008C3A45">
            <w:pPr>
              <w:pStyle w:val="TableText"/>
              <w:jc w:val="center"/>
            </w:pPr>
            <w:r w:rsidRPr="007837CC">
              <w:t>6.3</w:t>
            </w:r>
          </w:p>
        </w:tc>
        <w:tc>
          <w:tcPr>
            <w:tcW w:w="994" w:type="dxa"/>
            <w:shd w:val="clear" w:color="auto" w:fill="auto"/>
            <w:noWrap/>
            <w:vAlign w:val="bottom"/>
            <w:hideMark/>
          </w:tcPr>
          <w:p w14:paraId="3352F69C" w14:textId="730B096C" w:rsidR="008C3A45" w:rsidRPr="007837CC" w:rsidRDefault="008C3A45" w:rsidP="008C3A45">
            <w:pPr>
              <w:pStyle w:val="TableText"/>
              <w:jc w:val="center"/>
            </w:pPr>
            <w:r w:rsidRPr="007837CC">
              <w:t>6.3</w:t>
            </w:r>
          </w:p>
        </w:tc>
        <w:tc>
          <w:tcPr>
            <w:tcW w:w="994" w:type="dxa"/>
            <w:shd w:val="clear" w:color="auto" w:fill="auto"/>
            <w:noWrap/>
            <w:vAlign w:val="bottom"/>
            <w:hideMark/>
          </w:tcPr>
          <w:p w14:paraId="10CB8DB9" w14:textId="78951A23" w:rsidR="008C3A45" w:rsidRPr="007837CC" w:rsidRDefault="008C3A45" w:rsidP="008C3A45">
            <w:pPr>
              <w:pStyle w:val="TableText"/>
              <w:jc w:val="center"/>
            </w:pPr>
            <w:r w:rsidRPr="007837CC">
              <w:t>6.</w:t>
            </w:r>
            <w:r w:rsidR="00C3341D" w:rsidRPr="007837CC">
              <w:t>.2</w:t>
            </w:r>
          </w:p>
        </w:tc>
        <w:tc>
          <w:tcPr>
            <w:tcW w:w="994" w:type="dxa"/>
            <w:shd w:val="clear" w:color="auto" w:fill="auto"/>
            <w:noWrap/>
            <w:vAlign w:val="bottom"/>
            <w:hideMark/>
          </w:tcPr>
          <w:p w14:paraId="6C08BDE2" w14:textId="38901320" w:rsidR="008C3A45" w:rsidRPr="007837CC" w:rsidRDefault="00C3341D" w:rsidP="008C3A45">
            <w:pPr>
              <w:pStyle w:val="TableText"/>
              <w:jc w:val="center"/>
            </w:pPr>
            <w:r w:rsidRPr="007837CC">
              <w:t>6.1</w:t>
            </w:r>
          </w:p>
        </w:tc>
        <w:tc>
          <w:tcPr>
            <w:tcW w:w="1040" w:type="dxa"/>
            <w:shd w:val="clear" w:color="auto" w:fill="auto"/>
            <w:noWrap/>
            <w:vAlign w:val="bottom"/>
            <w:hideMark/>
          </w:tcPr>
          <w:p w14:paraId="2669727A" w14:textId="4A3E0EC6" w:rsidR="008C3A45" w:rsidRPr="007837CC" w:rsidRDefault="0085097B" w:rsidP="008C3A45">
            <w:pPr>
              <w:pStyle w:val="TableText"/>
              <w:jc w:val="center"/>
            </w:pPr>
            <w:r w:rsidRPr="007837CC">
              <w:t>6.0</w:t>
            </w:r>
          </w:p>
        </w:tc>
      </w:tr>
      <w:tr w:rsidR="00CE220E" w:rsidRPr="007837CC" w14:paraId="1CFD7310" w14:textId="77777777" w:rsidTr="00CE220E">
        <w:tc>
          <w:tcPr>
            <w:tcW w:w="3490" w:type="dxa"/>
            <w:shd w:val="clear" w:color="auto" w:fill="auto"/>
            <w:vAlign w:val="bottom"/>
          </w:tcPr>
          <w:p w14:paraId="2985D2FF" w14:textId="3E39E0F1" w:rsidR="00CE220E" w:rsidRPr="007837CC" w:rsidRDefault="00CE220E" w:rsidP="00CE220E">
            <w:pPr>
              <w:pStyle w:val="TableText"/>
            </w:pPr>
            <w:r w:rsidRPr="007837CC">
              <w:t>Forecast industrial allocation (2023 update)</w:t>
            </w:r>
          </w:p>
        </w:tc>
        <w:tc>
          <w:tcPr>
            <w:tcW w:w="993" w:type="dxa"/>
            <w:shd w:val="clear" w:color="auto" w:fill="auto"/>
            <w:noWrap/>
            <w:vAlign w:val="bottom"/>
          </w:tcPr>
          <w:p w14:paraId="0DFC54C9" w14:textId="12D3C43F" w:rsidR="00CE220E" w:rsidRPr="007837CC" w:rsidRDefault="00BF79C7" w:rsidP="00CE220E">
            <w:pPr>
              <w:pStyle w:val="TableText"/>
              <w:jc w:val="center"/>
            </w:pPr>
            <w:r w:rsidRPr="007837CC">
              <w:t>6.1</w:t>
            </w:r>
          </w:p>
        </w:tc>
        <w:tc>
          <w:tcPr>
            <w:tcW w:w="994" w:type="dxa"/>
            <w:shd w:val="clear" w:color="auto" w:fill="auto"/>
            <w:noWrap/>
            <w:vAlign w:val="bottom"/>
          </w:tcPr>
          <w:p w14:paraId="244D55D3" w14:textId="5211D5AE" w:rsidR="00CE220E" w:rsidRPr="007837CC" w:rsidRDefault="00BF79C7" w:rsidP="00CE220E">
            <w:pPr>
              <w:pStyle w:val="TableText"/>
              <w:jc w:val="center"/>
            </w:pPr>
            <w:r w:rsidRPr="007837CC">
              <w:t>6.1</w:t>
            </w:r>
          </w:p>
        </w:tc>
        <w:tc>
          <w:tcPr>
            <w:tcW w:w="994" w:type="dxa"/>
            <w:shd w:val="clear" w:color="auto" w:fill="auto"/>
            <w:noWrap/>
            <w:vAlign w:val="bottom"/>
          </w:tcPr>
          <w:p w14:paraId="45E238F9" w14:textId="06614452" w:rsidR="00CE220E" w:rsidRPr="007837CC" w:rsidRDefault="001E15F1" w:rsidP="00CE220E">
            <w:pPr>
              <w:pStyle w:val="TableText"/>
              <w:jc w:val="center"/>
            </w:pPr>
            <w:r w:rsidRPr="007837CC">
              <w:t>6.0</w:t>
            </w:r>
          </w:p>
        </w:tc>
        <w:tc>
          <w:tcPr>
            <w:tcW w:w="994" w:type="dxa"/>
            <w:shd w:val="clear" w:color="auto" w:fill="auto"/>
            <w:noWrap/>
            <w:vAlign w:val="bottom"/>
          </w:tcPr>
          <w:p w14:paraId="12B08093" w14:textId="33343DA0" w:rsidR="00CE220E" w:rsidRPr="007837CC" w:rsidRDefault="001E15F1" w:rsidP="00CE220E">
            <w:pPr>
              <w:pStyle w:val="TableText"/>
              <w:jc w:val="center"/>
            </w:pPr>
            <w:r w:rsidRPr="007837CC">
              <w:t>5.9</w:t>
            </w:r>
          </w:p>
        </w:tc>
        <w:tc>
          <w:tcPr>
            <w:tcW w:w="1040" w:type="dxa"/>
            <w:shd w:val="clear" w:color="auto" w:fill="auto"/>
            <w:noWrap/>
            <w:vAlign w:val="bottom"/>
          </w:tcPr>
          <w:p w14:paraId="18415242" w14:textId="2B50507D" w:rsidR="00CE220E" w:rsidRPr="007837CC" w:rsidRDefault="001E15F1" w:rsidP="00CE220E">
            <w:pPr>
              <w:pStyle w:val="TableText"/>
              <w:jc w:val="center"/>
            </w:pPr>
            <w:r w:rsidRPr="007837CC">
              <w:t>5.8</w:t>
            </w:r>
          </w:p>
        </w:tc>
      </w:tr>
    </w:tbl>
    <w:p w14:paraId="15760C78" w14:textId="4AA545DD" w:rsidR="00CE220E" w:rsidRPr="007837CC" w:rsidRDefault="00CE220E" w:rsidP="00BB7042">
      <w:pPr>
        <w:pStyle w:val="BodyText"/>
        <w:spacing w:before="240"/>
      </w:pPr>
      <w:r w:rsidRPr="007837CC">
        <w:t>It is considered appropriate to update calculations to reflect more current projections of industrial allocation.</w:t>
      </w:r>
    </w:p>
    <w:p w14:paraId="580C1E58" w14:textId="30EFC53E" w:rsidR="00DE1D73" w:rsidRPr="007837CC" w:rsidRDefault="009C5804" w:rsidP="001A2D91">
      <w:pPr>
        <w:pStyle w:val="Heading4"/>
        <w:tabs>
          <w:tab w:val="clear" w:pos="851"/>
          <w:tab w:val="left" w:pos="426"/>
        </w:tabs>
      </w:pPr>
      <w:r w:rsidRPr="007837CC">
        <w:t>5</w:t>
      </w:r>
      <w:r w:rsidR="00ED450F" w:rsidRPr="007837CC">
        <w:t>.</w:t>
      </w:r>
      <w:r w:rsidRPr="007837CC">
        <w:t xml:space="preserve"> </w:t>
      </w:r>
      <w:r w:rsidR="001A2D91">
        <w:tab/>
      </w:r>
      <w:r w:rsidR="00DE1D73" w:rsidRPr="007837CC">
        <w:t xml:space="preserve">Set </w:t>
      </w:r>
      <w:r w:rsidR="00512874" w:rsidRPr="007837CC">
        <w:t xml:space="preserve">the </w:t>
      </w:r>
      <w:r w:rsidR="00DE1D73" w:rsidRPr="007837CC">
        <w:t>reduction volume to address unit surplus</w:t>
      </w:r>
    </w:p>
    <w:p w14:paraId="1267A7F6" w14:textId="5B615110" w:rsidR="008B5F2C" w:rsidRPr="007837CC" w:rsidRDefault="008B5F2C" w:rsidP="00BB7042">
      <w:pPr>
        <w:pStyle w:val="BodyText"/>
      </w:pPr>
      <w:r w:rsidRPr="007837CC">
        <w:t xml:space="preserve">NZ ETS account holders </w:t>
      </w:r>
      <w:proofErr w:type="gramStart"/>
      <w:r w:rsidRPr="007837CC">
        <w:t>are able to</w:t>
      </w:r>
      <w:proofErr w:type="gramEnd"/>
      <w:r w:rsidRPr="007837CC">
        <w:t xml:space="preserve"> bank NZUs in their accounts</w:t>
      </w:r>
      <w:r w:rsidR="003F614D" w:rsidRPr="007837CC">
        <w:t xml:space="preserve"> in the NZ ETS Register</w:t>
      </w:r>
      <w:r w:rsidRPr="007837CC">
        <w:t xml:space="preserve">. This ability to bank is a valuable feature </w:t>
      </w:r>
      <w:r w:rsidR="003F614D" w:rsidRPr="007837CC">
        <w:t xml:space="preserve">of the NZ ETS </w:t>
      </w:r>
      <w:r w:rsidRPr="007837CC">
        <w:t>to help reduce price volatility, ensure the NZU price is forward-looking</w:t>
      </w:r>
      <w:r w:rsidR="00FC331B" w:rsidRPr="007837CC">
        <w:t>,</w:t>
      </w:r>
      <w:r w:rsidRPr="007837CC">
        <w:t xml:space="preserve"> and support participants to manage their future liabilities. For these reasons, all emissions trading schemes currently operating in the world allow banking. </w:t>
      </w:r>
    </w:p>
    <w:p w14:paraId="41D581D2" w14:textId="46D7D3E7" w:rsidR="00ED264F" w:rsidRPr="007837CC" w:rsidRDefault="69D48428" w:rsidP="00BB7042">
      <w:pPr>
        <w:pStyle w:val="BodyText"/>
      </w:pPr>
      <w:r w:rsidRPr="007837CC">
        <w:t>Banking</w:t>
      </w:r>
      <w:r w:rsidR="00C13270" w:rsidRPr="007837CC">
        <w:t xml:space="preserve"> </w:t>
      </w:r>
      <w:r w:rsidR="00ED264F" w:rsidRPr="007837CC">
        <w:t>also provides market liquidity</w:t>
      </w:r>
      <w:r w:rsidR="0CF68692" w:rsidRPr="007837CC">
        <w:t xml:space="preserve"> </w:t>
      </w:r>
      <w:r w:rsidR="00FC331B" w:rsidRPr="007837CC">
        <w:t>as</w:t>
      </w:r>
      <w:r w:rsidR="0CF68692" w:rsidRPr="007837CC">
        <w:t xml:space="preserve"> it better ensures that NZU buyers can more readily find a source of NZUs for purchase and NZU sellers can </w:t>
      </w:r>
      <w:r w:rsidR="00C96C6C" w:rsidRPr="007837CC">
        <w:t xml:space="preserve">more readily find a buyer. A more liquid market </w:t>
      </w:r>
      <w:r w:rsidR="0DF728C4" w:rsidRPr="007837CC">
        <w:t xml:space="preserve">helps to ensure prices settle at a price that </w:t>
      </w:r>
      <w:r w:rsidR="05E4268B" w:rsidRPr="007837CC">
        <w:t xml:space="preserve">more closely balances supply and demand of </w:t>
      </w:r>
      <w:r w:rsidR="00B86817" w:rsidRPr="007837CC">
        <w:t xml:space="preserve">NZUs </w:t>
      </w:r>
      <w:r w:rsidR="05E4268B" w:rsidRPr="007837CC">
        <w:t>over time.</w:t>
      </w:r>
      <w:r w:rsidR="00C311D3" w:rsidRPr="007837CC">
        <w:t xml:space="preserve"> </w:t>
      </w:r>
    </w:p>
    <w:p w14:paraId="607D3A50" w14:textId="0DDFEF7C" w:rsidR="00B9767A" w:rsidRPr="007837CC" w:rsidRDefault="008B5F2C" w:rsidP="003F3226">
      <w:pPr>
        <w:pStyle w:val="BodyText"/>
        <w:spacing w:after="100"/>
      </w:pPr>
      <w:r w:rsidRPr="007837CC">
        <w:t xml:space="preserve">A large quantity of </w:t>
      </w:r>
      <w:r w:rsidR="00B86817" w:rsidRPr="007837CC">
        <w:t xml:space="preserve">NZUs </w:t>
      </w:r>
      <w:r w:rsidRPr="007837CC">
        <w:t>has accumulated in private accounts</w:t>
      </w:r>
      <w:r w:rsidR="008E4887" w:rsidRPr="007837CC">
        <w:t>.</w:t>
      </w:r>
      <w:r w:rsidR="00643D4E" w:rsidRPr="007837CC">
        <w:t xml:space="preserve"> </w:t>
      </w:r>
      <w:r w:rsidR="3543AA89" w:rsidRPr="007837CC">
        <w:t xml:space="preserve">Some of the </w:t>
      </w:r>
      <w:r w:rsidR="00B86817" w:rsidRPr="007837CC">
        <w:t>NZUs</w:t>
      </w:r>
      <w:r w:rsidR="3543AA89" w:rsidRPr="007837CC">
        <w:t xml:space="preserve"> in t</w:t>
      </w:r>
      <w:r w:rsidR="00643D4E" w:rsidRPr="007837CC">
        <w:t xml:space="preserve">his </w:t>
      </w:r>
      <w:r w:rsidR="008E4887" w:rsidRPr="007837CC">
        <w:t>‘</w:t>
      </w:r>
      <w:r w:rsidR="00B9767A" w:rsidRPr="007837CC">
        <w:t>stockpile</w:t>
      </w:r>
      <w:r w:rsidR="008E4887" w:rsidRPr="007837CC">
        <w:t>’</w:t>
      </w:r>
      <w:r w:rsidR="00B9767A" w:rsidRPr="007837CC">
        <w:t xml:space="preserve"> </w:t>
      </w:r>
      <w:r w:rsidR="6B3B54ED" w:rsidRPr="007837CC">
        <w:t>are held to meet future surrender liabilities or for other reasons, while others are estimated to be held for investment</w:t>
      </w:r>
      <w:r w:rsidR="2F6FB637" w:rsidRPr="007837CC">
        <w:t xml:space="preserve"> </w:t>
      </w:r>
      <w:r w:rsidR="6B3B54ED" w:rsidRPr="007837CC">
        <w:t>purp</w:t>
      </w:r>
      <w:r w:rsidR="7031EEC1" w:rsidRPr="007837CC">
        <w:t>o</w:t>
      </w:r>
      <w:r w:rsidR="6B3B54ED" w:rsidRPr="007837CC">
        <w:t xml:space="preserve">ses and will more readily </w:t>
      </w:r>
      <w:r w:rsidR="7F7394C0" w:rsidRPr="007837CC">
        <w:t xml:space="preserve">move out of the </w:t>
      </w:r>
      <w:r w:rsidR="6C21260C" w:rsidRPr="007837CC">
        <w:t xml:space="preserve">stockpile when current market prices are favourable. </w:t>
      </w:r>
      <w:r w:rsidR="7E1D03BF" w:rsidRPr="007837CC">
        <w:t>If the long</w:t>
      </w:r>
      <w:r w:rsidR="00FC331B" w:rsidRPr="007837CC">
        <w:t>-</w:t>
      </w:r>
      <w:r w:rsidR="7E1D03BF" w:rsidRPr="007837CC">
        <w:t xml:space="preserve">run expectation is of rising prices, the stockpile can help ensure prices </w:t>
      </w:r>
      <w:r w:rsidR="22D37607" w:rsidRPr="007837CC">
        <w:t>remain on that trajectory</w:t>
      </w:r>
      <w:r w:rsidR="00FC331B" w:rsidRPr="007837CC">
        <w:t>.</w:t>
      </w:r>
      <w:r w:rsidR="22D37607" w:rsidRPr="007837CC">
        <w:t xml:space="preserve"> </w:t>
      </w:r>
      <w:r w:rsidR="00FC331B" w:rsidRPr="007837CC">
        <w:t>B</w:t>
      </w:r>
      <w:r w:rsidR="22D37607" w:rsidRPr="007837CC">
        <w:t xml:space="preserve">ut if market conditions change such that future price expectations are lower than they were previously, </w:t>
      </w:r>
      <w:r w:rsidR="03AD87FC" w:rsidRPr="007837CC">
        <w:t xml:space="preserve">supplies from the </w:t>
      </w:r>
      <w:r w:rsidR="03AD87FC" w:rsidRPr="007837CC">
        <w:lastRenderedPageBreak/>
        <w:t xml:space="preserve">stockpile can </w:t>
      </w:r>
      <w:r w:rsidR="00B9767A" w:rsidRPr="007837CC">
        <w:t xml:space="preserve">dampen </w:t>
      </w:r>
      <w:r w:rsidR="7B884A91" w:rsidRPr="007837CC">
        <w:t xml:space="preserve">current </w:t>
      </w:r>
      <w:r w:rsidR="00B9767A" w:rsidRPr="007837CC">
        <w:t xml:space="preserve">NZU </w:t>
      </w:r>
      <w:r w:rsidR="5970C70C" w:rsidRPr="007837CC">
        <w:t>price</w:t>
      </w:r>
      <w:r w:rsidR="6D01DE5E" w:rsidRPr="007837CC">
        <w:t>s</w:t>
      </w:r>
      <w:r w:rsidR="5970C70C" w:rsidRPr="007837CC">
        <w:t xml:space="preserve"> and </w:t>
      </w:r>
      <w:r w:rsidR="7D61C2AA" w:rsidRPr="007837CC">
        <w:t>potentially</w:t>
      </w:r>
      <w:r w:rsidR="00B9767A" w:rsidRPr="007837CC">
        <w:t xml:space="preserve"> cause challenges in meeting emissions budgets. </w:t>
      </w:r>
      <w:r w:rsidR="18487639" w:rsidRPr="007837CC">
        <w:t>To reduce these risks, t</w:t>
      </w:r>
      <w:r w:rsidR="00CE4231" w:rsidRPr="007837CC">
        <w:t>he size of the stockpile needs to be managed</w:t>
      </w:r>
      <w:r w:rsidR="002C751D" w:rsidRPr="007837CC">
        <w:t>.</w:t>
      </w:r>
      <w:r w:rsidR="005D3339" w:rsidRPr="007837CC">
        <w:t xml:space="preserve"> </w:t>
      </w:r>
    </w:p>
    <w:p w14:paraId="1DFA1C2A" w14:textId="0E39A01A" w:rsidR="004F3785" w:rsidRPr="007837CC" w:rsidRDefault="00917587" w:rsidP="003F3226">
      <w:pPr>
        <w:pStyle w:val="BodyText"/>
        <w:spacing w:before="100" w:after="100"/>
      </w:pPr>
      <w:r w:rsidRPr="007837CC">
        <w:t>Units move in</w:t>
      </w:r>
      <w:r w:rsidR="0094336D" w:rsidRPr="007837CC">
        <w:t>to</w:t>
      </w:r>
      <w:r w:rsidR="000E59A0" w:rsidRPr="007837CC">
        <w:t xml:space="preserve"> </w:t>
      </w:r>
      <w:r w:rsidRPr="007837CC">
        <w:t>the stockpile as they are</w:t>
      </w:r>
      <w:r w:rsidR="004F3785" w:rsidRPr="007837CC">
        <w:t>:</w:t>
      </w:r>
    </w:p>
    <w:p w14:paraId="1F172C3C" w14:textId="12FA6CA7" w:rsidR="004F3785" w:rsidRPr="007837CC" w:rsidRDefault="004F3785" w:rsidP="003F3226">
      <w:pPr>
        <w:pStyle w:val="Bullet"/>
        <w:spacing w:after="100"/>
      </w:pPr>
      <w:r w:rsidRPr="007837CC">
        <w:t xml:space="preserve">sold by </w:t>
      </w:r>
      <w:proofErr w:type="gramStart"/>
      <w:r w:rsidRPr="007837CC">
        <w:t>auction</w:t>
      </w:r>
      <w:proofErr w:type="gramEnd"/>
      <w:r w:rsidRPr="007837CC">
        <w:t xml:space="preserve"> </w:t>
      </w:r>
    </w:p>
    <w:p w14:paraId="5708BD62" w14:textId="76917144" w:rsidR="004F3785" w:rsidRPr="007837CC" w:rsidRDefault="004F3785" w:rsidP="003F3226">
      <w:pPr>
        <w:pStyle w:val="Bullet"/>
        <w:spacing w:after="100"/>
      </w:pPr>
      <w:r w:rsidRPr="007837CC">
        <w:t xml:space="preserve">transferred for industrial </w:t>
      </w:r>
      <w:proofErr w:type="gramStart"/>
      <w:r w:rsidRPr="007837CC">
        <w:t>allocation</w:t>
      </w:r>
      <w:proofErr w:type="gramEnd"/>
      <w:r w:rsidRPr="007837CC">
        <w:t xml:space="preserve"> </w:t>
      </w:r>
    </w:p>
    <w:p w14:paraId="05562C4D" w14:textId="73B9907F" w:rsidR="004F3785" w:rsidRPr="007837CC" w:rsidRDefault="004F3785" w:rsidP="003F3226">
      <w:pPr>
        <w:pStyle w:val="Bullet"/>
        <w:spacing w:after="100"/>
      </w:pPr>
      <w:r w:rsidRPr="007837CC">
        <w:t>transferred for removal activities</w:t>
      </w:r>
      <w:r w:rsidR="00E76DCB" w:rsidRPr="007837CC">
        <w:t xml:space="preserve"> such as forestry.</w:t>
      </w:r>
    </w:p>
    <w:p w14:paraId="0F26E80D" w14:textId="1E7931B5" w:rsidR="0094336D" w:rsidRPr="007837CC" w:rsidRDefault="0094336D" w:rsidP="003F3226">
      <w:pPr>
        <w:pStyle w:val="BodyText"/>
        <w:spacing w:after="100"/>
      </w:pPr>
      <w:r w:rsidRPr="007837CC">
        <w:t>Units move out of the stockpile as they are:</w:t>
      </w:r>
    </w:p>
    <w:p w14:paraId="55EE3554" w14:textId="24BC4DA6" w:rsidR="004F3785" w:rsidRPr="007837CC" w:rsidRDefault="004F3785" w:rsidP="003F3226">
      <w:pPr>
        <w:pStyle w:val="Bullet"/>
        <w:spacing w:after="100"/>
      </w:pPr>
      <w:r w:rsidRPr="007837CC">
        <w:t xml:space="preserve">surrendered to the Crown by NZ ETS participants to meet their ETS obligations. </w:t>
      </w:r>
    </w:p>
    <w:p w14:paraId="3418D47D" w14:textId="62F3264F" w:rsidR="000C10FC" w:rsidRPr="007837CC" w:rsidRDefault="00745448" w:rsidP="003F3226">
      <w:pPr>
        <w:pStyle w:val="BodyText"/>
        <w:spacing w:before="100" w:after="100"/>
        <w:rPr>
          <w:rFonts w:asciiTheme="minorHAnsi" w:hAnsiTheme="minorHAnsi"/>
        </w:rPr>
      </w:pPr>
      <w:r w:rsidRPr="007837CC">
        <w:rPr>
          <w:rFonts w:asciiTheme="minorHAnsi" w:hAnsiTheme="minorHAnsi"/>
        </w:rPr>
        <w:t xml:space="preserve">The methodology </w:t>
      </w:r>
      <w:r w:rsidR="00C13270" w:rsidRPr="007837CC">
        <w:rPr>
          <w:rFonts w:asciiTheme="minorHAnsi" w:hAnsiTheme="minorHAnsi"/>
        </w:rPr>
        <w:t xml:space="preserve">used </w:t>
      </w:r>
      <w:r w:rsidRPr="007837CC">
        <w:rPr>
          <w:rFonts w:asciiTheme="minorHAnsi" w:hAnsiTheme="minorHAnsi"/>
        </w:rPr>
        <w:t>to calculat</w:t>
      </w:r>
      <w:r w:rsidR="00C13270" w:rsidRPr="007837CC">
        <w:rPr>
          <w:rFonts w:asciiTheme="minorHAnsi" w:hAnsiTheme="minorHAnsi"/>
        </w:rPr>
        <w:t>e</w:t>
      </w:r>
      <w:r w:rsidRPr="007837CC">
        <w:rPr>
          <w:rFonts w:asciiTheme="minorHAnsi" w:hAnsiTheme="minorHAnsi"/>
        </w:rPr>
        <w:t xml:space="preserve"> auction volumes includes a stockpile reduction step, whic</w:t>
      </w:r>
      <w:r w:rsidR="003B772B" w:rsidRPr="007837CC">
        <w:rPr>
          <w:rFonts w:asciiTheme="minorHAnsi" w:hAnsiTheme="minorHAnsi"/>
        </w:rPr>
        <w:t xml:space="preserve">h means </w:t>
      </w:r>
      <w:r w:rsidR="002A616C" w:rsidRPr="007837CC">
        <w:rPr>
          <w:rFonts w:asciiTheme="minorHAnsi" w:hAnsiTheme="minorHAnsi"/>
        </w:rPr>
        <w:t>setting an auction limit lower than</w:t>
      </w:r>
      <w:r w:rsidR="00B9767A" w:rsidRPr="007837CC">
        <w:rPr>
          <w:rFonts w:asciiTheme="minorHAnsi" w:hAnsiTheme="minorHAnsi"/>
        </w:rPr>
        <w:t xml:space="preserve"> the entire volume of emissions technically available. This require</w:t>
      </w:r>
      <w:r w:rsidR="003B772B" w:rsidRPr="007837CC">
        <w:rPr>
          <w:rFonts w:asciiTheme="minorHAnsi" w:hAnsiTheme="minorHAnsi"/>
        </w:rPr>
        <w:t>s NZ ETS participants to</w:t>
      </w:r>
      <w:r w:rsidR="00B9767A" w:rsidRPr="007837CC">
        <w:rPr>
          <w:rFonts w:asciiTheme="minorHAnsi" w:hAnsiTheme="minorHAnsi"/>
        </w:rPr>
        <w:t xml:space="preserve"> use some </w:t>
      </w:r>
      <w:r w:rsidR="00B86817" w:rsidRPr="007837CC">
        <w:rPr>
          <w:rFonts w:asciiTheme="minorHAnsi" w:hAnsiTheme="minorHAnsi"/>
        </w:rPr>
        <w:t xml:space="preserve">NZUs </w:t>
      </w:r>
      <w:r w:rsidR="00B9767A" w:rsidRPr="007837CC">
        <w:rPr>
          <w:rFonts w:asciiTheme="minorHAnsi" w:hAnsiTheme="minorHAnsi"/>
        </w:rPr>
        <w:t xml:space="preserve">from the stockpile to meet </w:t>
      </w:r>
      <w:r w:rsidR="003B772B" w:rsidRPr="007837CC">
        <w:rPr>
          <w:rFonts w:asciiTheme="minorHAnsi" w:hAnsiTheme="minorHAnsi"/>
        </w:rPr>
        <w:t xml:space="preserve">their NZ ETS </w:t>
      </w:r>
      <w:r w:rsidR="00B9767A" w:rsidRPr="007837CC">
        <w:rPr>
          <w:rFonts w:asciiTheme="minorHAnsi" w:hAnsiTheme="minorHAnsi"/>
        </w:rPr>
        <w:t>surrender obligations</w:t>
      </w:r>
      <w:r w:rsidR="000C10FC" w:rsidRPr="007837CC">
        <w:rPr>
          <w:rFonts w:asciiTheme="minorHAnsi" w:hAnsiTheme="minorHAnsi"/>
        </w:rPr>
        <w:t>.</w:t>
      </w:r>
    </w:p>
    <w:p w14:paraId="7D88D848" w14:textId="7EFF9BE1" w:rsidR="00102BAC" w:rsidRPr="007837CC" w:rsidRDefault="00102BAC" w:rsidP="003F3226">
      <w:pPr>
        <w:pStyle w:val="BodyText"/>
        <w:spacing w:before="100" w:after="100"/>
      </w:pPr>
      <w:r w:rsidRPr="007837CC">
        <w:t>The Commission has recommended</w:t>
      </w:r>
      <w:r w:rsidR="0067792F" w:rsidRPr="007837CC">
        <w:t xml:space="preserve"> including two sub-steps in this calculation this year. The</w:t>
      </w:r>
      <w:r w:rsidR="003A2A03" w:rsidRPr="007837CC">
        <w:t> </w:t>
      </w:r>
      <w:r w:rsidR="0067792F" w:rsidRPr="007837CC">
        <w:t xml:space="preserve">first, ‘step 5a’ is consistent with the approach taken in 2022 and is described below. </w:t>
      </w:r>
    </w:p>
    <w:p w14:paraId="19866EDE" w14:textId="7CCFFAB2" w:rsidR="0067792F" w:rsidRPr="007837CC" w:rsidRDefault="0067792F" w:rsidP="00C245E7">
      <w:pPr>
        <w:pStyle w:val="Heading5"/>
      </w:pPr>
      <w:r w:rsidRPr="007837CC">
        <w:t>Step 5a</w:t>
      </w:r>
    </w:p>
    <w:p w14:paraId="543FCCCE" w14:textId="44ACD9AB" w:rsidR="00F204DB" w:rsidRPr="007837CC" w:rsidRDefault="00C311D3" w:rsidP="003F3226">
      <w:pPr>
        <w:pStyle w:val="BodyText"/>
        <w:spacing w:before="100" w:after="100"/>
      </w:pPr>
      <w:r w:rsidRPr="007837CC">
        <w:t xml:space="preserve">Estimating the </w:t>
      </w:r>
      <w:r w:rsidR="001E46C8" w:rsidRPr="007837CC">
        <w:t xml:space="preserve">excess </w:t>
      </w:r>
      <w:r w:rsidRPr="007837CC">
        <w:t xml:space="preserve">liquid component of the stockpile is difficult. </w:t>
      </w:r>
      <w:r w:rsidR="00F204DB" w:rsidRPr="007837CC">
        <w:t xml:space="preserve">The Commission </w:t>
      </w:r>
      <w:r w:rsidR="00B70E73" w:rsidRPr="007837CC">
        <w:t xml:space="preserve">analysed the </w:t>
      </w:r>
      <w:r w:rsidR="00B86817" w:rsidRPr="007837CC">
        <w:t xml:space="preserve">NZUs </w:t>
      </w:r>
      <w:r w:rsidR="00B70E73" w:rsidRPr="007837CC">
        <w:t xml:space="preserve">held </w:t>
      </w:r>
      <w:proofErr w:type="gramStart"/>
      <w:r w:rsidR="00B70E73" w:rsidRPr="007837CC">
        <w:t>at</w:t>
      </w:r>
      <w:proofErr w:type="gramEnd"/>
      <w:r w:rsidR="00B70E73" w:rsidRPr="007837CC">
        <w:t xml:space="preserve"> 1 June 2022, after the 31 May deadline for meeting surrender obligations for</w:t>
      </w:r>
      <w:r w:rsidR="00BB7042" w:rsidRPr="007837CC">
        <w:t> </w:t>
      </w:r>
      <w:r w:rsidR="00B70E73" w:rsidRPr="007837CC">
        <w:t xml:space="preserve">2021 emissions. </w:t>
      </w:r>
      <w:r w:rsidR="00F622F3" w:rsidRPr="007837CC">
        <w:t>Of the 144</w:t>
      </w:r>
      <w:r w:rsidR="00910575" w:rsidRPr="007837CC">
        <w:t xml:space="preserve"> </w:t>
      </w:r>
      <w:r w:rsidR="00F622F3" w:rsidRPr="007837CC">
        <w:t>million</w:t>
      </w:r>
      <w:r w:rsidR="002542AB" w:rsidRPr="007837CC">
        <w:t xml:space="preserve"> privately held</w:t>
      </w:r>
      <w:r w:rsidR="00F622F3" w:rsidRPr="007837CC">
        <w:t xml:space="preserve"> </w:t>
      </w:r>
      <w:r w:rsidR="00B86817" w:rsidRPr="007837CC">
        <w:t>NZUs</w:t>
      </w:r>
      <w:r w:rsidR="002542AB" w:rsidRPr="007837CC">
        <w:t xml:space="preserve">, </w:t>
      </w:r>
      <w:r w:rsidR="0076196E" w:rsidRPr="007837CC">
        <w:t>95 million</w:t>
      </w:r>
      <w:r w:rsidR="002542AB" w:rsidRPr="007837CC">
        <w:t xml:space="preserve"> </w:t>
      </w:r>
      <w:proofErr w:type="gramStart"/>
      <w:r w:rsidR="002542AB" w:rsidRPr="007837CC">
        <w:t xml:space="preserve">are considered </w:t>
      </w:r>
      <w:r w:rsidR="00F45139" w:rsidRPr="007837CC">
        <w:t>to be</w:t>
      </w:r>
      <w:proofErr w:type="gramEnd"/>
      <w:r w:rsidR="00F45139" w:rsidRPr="007837CC">
        <w:t xml:space="preserve"> unavailable to market</w:t>
      </w:r>
      <w:r w:rsidR="008442D8" w:rsidRPr="007837CC">
        <w:t xml:space="preserve">, as </w:t>
      </w:r>
      <w:r w:rsidR="002D71BF" w:rsidRPr="007837CC">
        <w:t>account holders</w:t>
      </w:r>
      <w:r w:rsidR="00B81654" w:rsidRPr="007837CC">
        <w:t xml:space="preserve"> </w:t>
      </w:r>
      <w:r w:rsidR="008442D8" w:rsidRPr="007837CC">
        <w:t xml:space="preserve">are </w:t>
      </w:r>
      <w:r w:rsidR="00B81654" w:rsidRPr="007837CC">
        <w:t xml:space="preserve">holding them </w:t>
      </w:r>
      <w:r w:rsidR="008442D8" w:rsidRPr="007837CC">
        <w:t>for specific purposes</w:t>
      </w:r>
      <w:r w:rsidR="00B81654" w:rsidRPr="007837CC">
        <w:t>,</w:t>
      </w:r>
      <w:r w:rsidR="008442D8" w:rsidRPr="007837CC">
        <w:t xml:space="preserve"> including</w:t>
      </w:r>
      <w:r w:rsidR="00C13270" w:rsidRPr="007837CC">
        <w:t xml:space="preserve"> to</w:t>
      </w:r>
      <w:r w:rsidR="008442D8" w:rsidRPr="007837CC">
        <w:t>:</w:t>
      </w:r>
    </w:p>
    <w:p w14:paraId="39F79FDD" w14:textId="6F5E9516" w:rsidR="008442D8" w:rsidRPr="007837CC" w:rsidRDefault="00C13270" w:rsidP="003F3226">
      <w:pPr>
        <w:pStyle w:val="Bullet"/>
        <w:spacing w:after="100"/>
      </w:pPr>
      <w:r w:rsidRPr="007837CC">
        <w:t>m</w:t>
      </w:r>
      <w:r w:rsidR="008442D8" w:rsidRPr="007837CC">
        <w:t xml:space="preserve">eet future post-1989 forest harvest </w:t>
      </w:r>
      <w:proofErr w:type="gramStart"/>
      <w:r w:rsidR="008442D8" w:rsidRPr="007837CC">
        <w:t>liabilities</w:t>
      </w:r>
      <w:proofErr w:type="gramEnd"/>
    </w:p>
    <w:p w14:paraId="30BB7E57" w14:textId="63797394" w:rsidR="00813ACD" w:rsidRPr="007837CC" w:rsidRDefault="00B81654" w:rsidP="003F3226">
      <w:pPr>
        <w:pStyle w:val="Bullet"/>
        <w:spacing w:after="100"/>
      </w:pPr>
      <w:r w:rsidRPr="007837CC">
        <w:t xml:space="preserve">hedge </w:t>
      </w:r>
      <w:r w:rsidR="00813ACD" w:rsidRPr="007837CC">
        <w:t>against future surrender emissions liabilities</w:t>
      </w:r>
    </w:p>
    <w:p w14:paraId="0EE3AA89" w14:textId="0D7ECC35" w:rsidR="003247D1" w:rsidRPr="007837CC" w:rsidRDefault="00C13270" w:rsidP="003F3226">
      <w:pPr>
        <w:pStyle w:val="Bullet"/>
        <w:spacing w:after="100"/>
      </w:pPr>
      <w:r w:rsidRPr="007837CC">
        <w:t>m</w:t>
      </w:r>
      <w:r w:rsidR="003247D1" w:rsidRPr="007837CC">
        <w:t xml:space="preserve">eet forward supply </w:t>
      </w:r>
      <w:proofErr w:type="gramStart"/>
      <w:r w:rsidR="003247D1" w:rsidRPr="007837CC">
        <w:t>contracts</w:t>
      </w:r>
      <w:proofErr w:type="gramEnd"/>
    </w:p>
    <w:p w14:paraId="52BFB26E" w14:textId="04CC926B" w:rsidR="00813ACD" w:rsidRPr="007837CC" w:rsidRDefault="00C13270" w:rsidP="003F3226">
      <w:pPr>
        <w:pStyle w:val="Bullet"/>
        <w:spacing w:after="100"/>
      </w:pPr>
      <w:r w:rsidRPr="007837CC">
        <w:t>h</w:t>
      </w:r>
      <w:r w:rsidR="00837FA5" w:rsidRPr="007837CC">
        <w:t>old p</w:t>
      </w:r>
      <w:r w:rsidR="00BD45CF" w:rsidRPr="007837CC">
        <w:t xml:space="preserve">re-1990 forestry </w:t>
      </w:r>
      <w:r w:rsidR="00B86817" w:rsidRPr="007837CC">
        <w:t xml:space="preserve">NZUs </w:t>
      </w:r>
      <w:proofErr w:type="gramStart"/>
      <w:r w:rsidR="00BD45CF" w:rsidRPr="007837CC">
        <w:t>indefinitely</w:t>
      </w:r>
      <w:proofErr w:type="gramEnd"/>
    </w:p>
    <w:p w14:paraId="1A2EC7A8" w14:textId="344C3AF2" w:rsidR="00844405" w:rsidRPr="007837CC" w:rsidRDefault="00844405" w:rsidP="003F3226">
      <w:pPr>
        <w:pStyle w:val="Bullet"/>
        <w:spacing w:after="100"/>
      </w:pPr>
      <w:r w:rsidRPr="007837CC">
        <w:t>provide a vehicle for investment exposure to NZU price cha</w:t>
      </w:r>
      <w:r w:rsidR="004C7E37" w:rsidRPr="007837CC">
        <w:t>n</w:t>
      </w:r>
      <w:r w:rsidRPr="007837CC">
        <w:t>ges</w:t>
      </w:r>
      <w:r w:rsidR="00C13270" w:rsidRPr="007837CC">
        <w:t>.</w:t>
      </w:r>
    </w:p>
    <w:p w14:paraId="4E6CD0AD" w14:textId="1ADC7E43" w:rsidR="00BD45CF" w:rsidRPr="007837CC" w:rsidRDefault="0076196E" w:rsidP="003F3226">
      <w:pPr>
        <w:pStyle w:val="BodyText"/>
        <w:spacing w:before="100" w:after="100"/>
      </w:pPr>
      <w:r w:rsidRPr="007837CC">
        <w:t>In 2022, t</w:t>
      </w:r>
      <w:r w:rsidR="003247D1" w:rsidRPr="007837CC">
        <w:t xml:space="preserve">he Commission estimated that the </w:t>
      </w:r>
      <w:r w:rsidR="00DE7C56" w:rsidRPr="007837CC">
        <w:t xml:space="preserve">excess </w:t>
      </w:r>
      <w:r w:rsidR="001526F7" w:rsidRPr="007837CC">
        <w:t>liquid, or ‘surplus’</w:t>
      </w:r>
      <w:r w:rsidR="00ED264F" w:rsidRPr="007837CC">
        <w:t>,</w:t>
      </w:r>
      <w:r w:rsidR="001526F7" w:rsidRPr="007837CC">
        <w:t xml:space="preserve"> component of the stockpile is 49 million </w:t>
      </w:r>
      <w:r w:rsidR="00B86817" w:rsidRPr="007837CC">
        <w:t>NZUs</w:t>
      </w:r>
      <w:r w:rsidR="001526F7" w:rsidRPr="007837CC">
        <w:t>.</w:t>
      </w:r>
      <w:r w:rsidR="00A53399" w:rsidRPr="007837CC">
        <w:t xml:space="preserve"> The size of the ‘surplus’ is uncertain, and this estimate is the mid</w:t>
      </w:r>
      <w:r w:rsidR="00BB7042" w:rsidRPr="007837CC">
        <w:noBreakHyphen/>
      </w:r>
      <w:r w:rsidR="00A53399" w:rsidRPr="007837CC">
        <w:t xml:space="preserve">point of </w:t>
      </w:r>
      <w:r w:rsidR="007144FA" w:rsidRPr="007837CC">
        <w:t>the Commission’s estimated range of 33</w:t>
      </w:r>
      <w:r w:rsidR="00FC331B" w:rsidRPr="007837CC">
        <w:t>–</w:t>
      </w:r>
      <w:r w:rsidR="007144FA" w:rsidRPr="007837CC">
        <w:t xml:space="preserve">66 million </w:t>
      </w:r>
      <w:r w:rsidR="00B86817" w:rsidRPr="007837CC">
        <w:t>NZUs</w:t>
      </w:r>
      <w:r w:rsidR="007144FA" w:rsidRPr="007837CC">
        <w:t xml:space="preserve">. </w:t>
      </w:r>
      <w:r w:rsidRPr="007837CC">
        <w:t>As there has not been another round of annual surrenders since this advice was provided in July 2022, there have been no updates made to this estimate.</w:t>
      </w:r>
      <w:r w:rsidR="001526F7" w:rsidRPr="007837CC">
        <w:t xml:space="preserve"> </w:t>
      </w:r>
    </w:p>
    <w:p w14:paraId="4AAE9E1B" w14:textId="6EFA14EC" w:rsidR="000D23B9" w:rsidRPr="007837CC" w:rsidRDefault="000D23B9" w:rsidP="003F3226">
      <w:pPr>
        <w:pStyle w:val="BodyText"/>
        <w:spacing w:before="100" w:after="240"/>
      </w:pPr>
      <w:r w:rsidRPr="007837CC">
        <w:t xml:space="preserve">The Commission’s recommendation at this step was implemented as part of updates to unit settings made in 2022. </w:t>
      </w:r>
      <w:r w:rsidR="002B4F0C" w:rsidRPr="007837CC">
        <w:t xml:space="preserve">The Commission recommends no change at this step as part of calculations of auction volumes this year.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0D795D" w:rsidRPr="007837CC" w14:paraId="296B6B7B" w14:textId="77777777" w:rsidTr="00CE1496">
        <w:tc>
          <w:tcPr>
            <w:tcW w:w="0" w:type="auto"/>
            <w:shd w:val="clear" w:color="auto" w:fill="D2DDE2"/>
          </w:tcPr>
          <w:p w14:paraId="5F8BC5E4" w14:textId="62768C7C" w:rsidR="000D795D" w:rsidRPr="007837CC" w:rsidRDefault="000D795D" w:rsidP="000C2C73">
            <w:pPr>
              <w:pStyle w:val="Boxheading"/>
              <w:spacing w:before="180"/>
              <w:rPr>
                <w:rFonts w:cs="Calibri"/>
              </w:rPr>
            </w:pPr>
            <w:r w:rsidRPr="007837CC">
              <w:rPr>
                <w:rFonts w:cs="Calibri"/>
              </w:rPr>
              <w:t>Question</w:t>
            </w:r>
          </w:p>
          <w:p w14:paraId="1033AC73" w14:textId="39CE4D28" w:rsidR="00942B95" w:rsidRPr="007837CC" w:rsidRDefault="001513FA" w:rsidP="003F3226">
            <w:pPr>
              <w:pStyle w:val="Boxquestion"/>
              <w:spacing w:before="100" w:after="180"/>
            </w:pPr>
            <w:r w:rsidRPr="007837CC">
              <w:t xml:space="preserve">Do you think the status quo approach to </w:t>
            </w:r>
            <w:r w:rsidR="0083344A" w:rsidRPr="007837CC">
              <w:t>stockpile reduction should be retained?</w:t>
            </w:r>
          </w:p>
        </w:tc>
      </w:tr>
    </w:tbl>
    <w:p w14:paraId="547D9F39" w14:textId="7B1279F5" w:rsidR="00942B95" w:rsidRPr="007837CC" w:rsidRDefault="00942B95" w:rsidP="00BB7042">
      <w:pPr>
        <w:pStyle w:val="Heading5"/>
        <w:spacing w:before="360"/>
      </w:pPr>
      <w:r w:rsidRPr="007837CC">
        <w:t>Step 5b</w:t>
      </w:r>
    </w:p>
    <w:p w14:paraId="68E7E1CA" w14:textId="1A55C375" w:rsidR="00942B95" w:rsidRPr="007837CC" w:rsidRDefault="00A879D4" w:rsidP="00BB7042">
      <w:pPr>
        <w:pStyle w:val="BodyText"/>
      </w:pPr>
      <w:r w:rsidRPr="007837CC">
        <w:t xml:space="preserve">The Commission has recommended that the stockpile reduction step also includes an adjustment to </w:t>
      </w:r>
      <w:proofErr w:type="gramStart"/>
      <w:r w:rsidRPr="007837CC">
        <w:t>take into account</w:t>
      </w:r>
      <w:proofErr w:type="gramEnd"/>
      <w:r w:rsidRPr="007837CC">
        <w:t xml:space="preserve"> </w:t>
      </w:r>
      <w:r w:rsidR="00EA42FF" w:rsidRPr="007837CC">
        <w:t>its recommendations</w:t>
      </w:r>
      <w:r w:rsidR="00BB0A35" w:rsidRPr="007837CC">
        <w:t xml:space="preserve"> that were not </w:t>
      </w:r>
      <w:r w:rsidR="00367F97" w:rsidRPr="007837CC">
        <w:t xml:space="preserve">accepted </w:t>
      </w:r>
      <w:r w:rsidR="00BB0A35" w:rsidRPr="007837CC">
        <w:t xml:space="preserve">in previous years or that will not be made </w:t>
      </w:r>
      <w:r w:rsidR="00F04F88" w:rsidRPr="007837CC">
        <w:t xml:space="preserve">if </w:t>
      </w:r>
      <w:r w:rsidR="004225B2" w:rsidRPr="007837CC">
        <w:t>unit settings for 2024</w:t>
      </w:r>
      <w:r w:rsidR="00FC331B" w:rsidRPr="007837CC">
        <w:t> </w:t>
      </w:r>
      <w:r w:rsidR="004225B2" w:rsidRPr="007837CC">
        <w:t>and</w:t>
      </w:r>
      <w:r w:rsidR="00FC331B" w:rsidRPr="007837CC">
        <w:t> </w:t>
      </w:r>
      <w:r w:rsidR="004225B2" w:rsidRPr="007837CC">
        <w:t>2025</w:t>
      </w:r>
      <w:r w:rsidR="00950A9F" w:rsidRPr="007837CC">
        <w:t xml:space="preserve"> are not updated</w:t>
      </w:r>
      <w:r w:rsidR="004225B2" w:rsidRPr="007837CC">
        <w:t xml:space="preserve">. </w:t>
      </w:r>
    </w:p>
    <w:p w14:paraId="11D9D2F9" w14:textId="42C27836" w:rsidR="008C01D4" w:rsidRPr="007837CC" w:rsidRDefault="00C64554" w:rsidP="000C2C73">
      <w:pPr>
        <w:pStyle w:val="BodyText"/>
        <w:spacing w:after="100"/>
      </w:pPr>
      <w:r w:rsidRPr="007837CC">
        <w:lastRenderedPageBreak/>
        <w:t xml:space="preserve">An alternative approach would be to address any stockpile impacts as part of the annual process to update estimates of excess liquidity </w:t>
      </w:r>
      <w:r w:rsidR="00EE3648" w:rsidRPr="007837CC">
        <w:t xml:space="preserve">used to calculate stockpile adjustments. The data required to update these estimates becomes available after annual surrender liabilities are due. Because of the short </w:t>
      </w:r>
      <w:r w:rsidR="00FF2443" w:rsidRPr="007837CC">
        <w:t>time elapsed between the Commission’s July 2022 advice and this year’s advice, new estimates have not been able to be made this year. This will not be the case for advice in future years.</w:t>
      </w:r>
      <w:r w:rsidR="00EE3648" w:rsidRPr="007837CC">
        <w:t xml:space="preserve"> </w:t>
      </w:r>
      <w:r w:rsidR="00FF2443" w:rsidRPr="007837CC">
        <w:t>The approach recommended by the Commission this year</w:t>
      </w:r>
      <w:r w:rsidR="007364D5" w:rsidRPr="007837CC">
        <w:t xml:space="preserve"> is based on </w:t>
      </w:r>
      <w:r w:rsidR="00F66D66" w:rsidRPr="007837CC">
        <w:t xml:space="preserve">projections of the likely impact of </w:t>
      </w:r>
      <w:r w:rsidR="00EB3685" w:rsidRPr="007837CC">
        <w:t>changes not made on the surplus element of the stockpile</w:t>
      </w:r>
      <w:r w:rsidR="008C01D4" w:rsidRPr="007837CC">
        <w:t xml:space="preserve">, rather than based on real data describing the magnitude of the stockpile surplus. </w:t>
      </w:r>
    </w:p>
    <w:p w14:paraId="79C1D218" w14:textId="705EF4C5" w:rsidR="00DD3978" w:rsidRPr="007837CC" w:rsidRDefault="00DD3978" w:rsidP="000C2C73">
      <w:pPr>
        <w:pStyle w:val="BodyText"/>
        <w:spacing w:after="100"/>
      </w:pPr>
      <w:r w:rsidRPr="007837CC">
        <w:t xml:space="preserve">There are </w:t>
      </w:r>
      <w:r w:rsidR="00B84B7C" w:rsidRPr="007837CC">
        <w:t xml:space="preserve">several elements </w:t>
      </w:r>
      <w:r w:rsidR="002D1F7B" w:rsidRPr="007837CC">
        <w:t>to</w:t>
      </w:r>
      <w:r w:rsidR="00B84B7C" w:rsidRPr="007837CC">
        <w:t xml:space="preserve"> this new step recommended by the Commission</w:t>
      </w:r>
      <w:r w:rsidR="00FC331B" w:rsidRPr="007837CC">
        <w:t xml:space="preserve"> including</w:t>
      </w:r>
      <w:r w:rsidR="00B84B7C" w:rsidRPr="007837CC">
        <w:t>:</w:t>
      </w:r>
    </w:p>
    <w:p w14:paraId="357FBA1F" w14:textId="1FB11ACF" w:rsidR="00B84B7C" w:rsidRPr="007837CC" w:rsidRDefault="00FC331B" w:rsidP="000C2C73">
      <w:pPr>
        <w:pStyle w:val="Bullet"/>
        <w:spacing w:after="100"/>
      </w:pPr>
      <w:r w:rsidRPr="007837CC">
        <w:t>w</w:t>
      </w:r>
      <w:r w:rsidR="0031411C" w:rsidRPr="007837CC">
        <w:t xml:space="preserve">hether </w:t>
      </w:r>
      <w:r w:rsidR="00C5042E" w:rsidRPr="007837CC">
        <w:t>previous recommended changes to limits that were not made should have been made</w:t>
      </w:r>
    </w:p>
    <w:p w14:paraId="3DB5C485" w14:textId="685E45CC" w:rsidR="00857F7A" w:rsidRPr="007837CC" w:rsidRDefault="00FC331B" w:rsidP="000C2C73">
      <w:pPr>
        <w:pStyle w:val="Bullet"/>
        <w:spacing w:after="100"/>
      </w:pPr>
      <w:r w:rsidRPr="007837CC">
        <w:t>w</w:t>
      </w:r>
      <w:r w:rsidR="00857F7A" w:rsidRPr="007837CC">
        <w:t>hether limits will or will not be adjusted for years 2024 and 2025</w:t>
      </w:r>
    </w:p>
    <w:p w14:paraId="117A52E0" w14:textId="03A891B5" w:rsidR="00857F7A" w:rsidRPr="007837CC" w:rsidRDefault="00FC331B" w:rsidP="000C2C73">
      <w:pPr>
        <w:pStyle w:val="Bullet"/>
        <w:spacing w:after="100"/>
      </w:pPr>
      <w:r w:rsidRPr="007837CC">
        <w:t>w</w:t>
      </w:r>
      <w:r w:rsidR="00B941CF" w:rsidRPr="007837CC">
        <w:t xml:space="preserve">hether the intended outcome of this step would be better achieved by </w:t>
      </w:r>
      <w:r w:rsidR="0083034B" w:rsidRPr="007837CC">
        <w:t>updated assessments of surplus stockpile volumes</w:t>
      </w:r>
    </w:p>
    <w:p w14:paraId="3CA7A8A7" w14:textId="667C87CB" w:rsidR="0083034B" w:rsidRPr="007837CC" w:rsidRDefault="00FC331B" w:rsidP="000C2C73">
      <w:pPr>
        <w:pStyle w:val="Bullet"/>
        <w:spacing w:after="100"/>
      </w:pPr>
      <w:r w:rsidRPr="007837CC">
        <w:t xml:space="preserve">the </w:t>
      </w:r>
      <w:r w:rsidR="00E9394C" w:rsidRPr="007837CC">
        <w:t>time</w:t>
      </w:r>
      <w:r w:rsidR="007E1E31">
        <w:t xml:space="preserve"> </w:t>
      </w:r>
      <w:r w:rsidR="00E9394C" w:rsidRPr="007837CC">
        <w:t xml:space="preserve">period over which any adjustment recommended at this step should </w:t>
      </w:r>
      <w:proofErr w:type="gramStart"/>
      <w:r w:rsidR="00E9394C" w:rsidRPr="007837CC">
        <w:t>occur</w:t>
      </w:r>
      <w:proofErr w:type="gramEnd"/>
      <w:r w:rsidR="00E9394C" w:rsidRPr="007837CC">
        <w:t xml:space="preserve"> </w:t>
      </w:r>
    </w:p>
    <w:p w14:paraId="34FB19F7" w14:textId="25BD843A" w:rsidR="00414BAC" w:rsidRDefault="00FC331B" w:rsidP="00A03A05">
      <w:pPr>
        <w:pStyle w:val="Bullet"/>
      </w:pPr>
      <w:r w:rsidRPr="007837CC">
        <w:t>w</w:t>
      </w:r>
      <w:r w:rsidR="00414BAC" w:rsidRPr="007837CC">
        <w:t xml:space="preserve">hether further adjustments should be made if the sale of </w:t>
      </w:r>
      <w:r w:rsidR="00B86817" w:rsidRPr="007837CC">
        <w:t xml:space="preserve">NZUs </w:t>
      </w:r>
      <w:r w:rsidR="00414BAC" w:rsidRPr="007837CC">
        <w:t xml:space="preserve">from the cost containment reserve occurs. </w:t>
      </w:r>
    </w:p>
    <w:p w14:paraId="72865EC3" w14:textId="122D9078" w:rsidR="007E1E31" w:rsidRPr="007E1E31" w:rsidRDefault="007E1E31" w:rsidP="00A03A05">
      <w:pPr>
        <w:pStyle w:val="Bullet"/>
        <w:rPr>
          <w:rStyle w:val="Hyperlink"/>
          <w:color w:val="auto"/>
        </w:rPr>
      </w:pPr>
      <w:r w:rsidRPr="007837CC">
        <w:t xml:space="preserve">More detail on Commission’s proposal for this step is available in the Commission’s advice, starting on page 37 </w:t>
      </w:r>
      <w:hyperlink r:id="rId24" w:history="1">
        <w:r w:rsidRPr="007837CC">
          <w:rPr>
            <w:rStyle w:val="Hyperlink"/>
          </w:rPr>
          <w:t>2023-advice-on-NZ-ETS-unit-limit-and-price-control-settings.pdf</w:t>
        </w:r>
        <w:r>
          <w:rPr>
            <w:rStyle w:val="Hyperlink"/>
          </w:rPr>
          <w:t xml:space="preserve"> </w:t>
        </w:r>
        <w:r w:rsidRPr="00C72851">
          <w:rPr>
            <w:rStyle w:val="Hyperlink"/>
            <w:rFonts w:eastAsiaTheme="majorEastAsia"/>
            <w:color w:val="auto"/>
          </w:rPr>
          <w:t>.</w:t>
        </w:r>
        <w:r w:rsidRPr="00C72851">
          <w:rPr>
            <w:rStyle w:val="Hyperlink"/>
            <w:color w:val="auto"/>
          </w:rPr>
          <w:t xml:space="preserve"> </w:t>
        </w:r>
      </w:hyperlink>
    </w:p>
    <w:p w14:paraId="07675CFF" w14:textId="22E5A7BB" w:rsidR="007E1E31" w:rsidRPr="007837CC" w:rsidRDefault="007E1E31" w:rsidP="007E1E31">
      <w:pPr>
        <w:pStyle w:val="BodyText"/>
      </w:pPr>
      <w:r w:rsidRPr="007837CC">
        <w:t>We are interested in your feedback on this proposed new step in calculating auction volumes and limits for units. This is assessed against the status quo in table 10.</w:t>
      </w:r>
    </w:p>
    <w:p w14:paraId="1AF2B993" w14:textId="18826A07" w:rsidR="00162C79" w:rsidRPr="007837CC" w:rsidRDefault="00162C79" w:rsidP="00162C79">
      <w:pPr>
        <w:pStyle w:val="Tableheading"/>
        <w:rPr>
          <w:rStyle w:val="Heading3Char"/>
          <w:rFonts w:ascii="Calibri" w:hAnsi="Calibri"/>
          <w:b/>
          <w:bCs w:val="0"/>
          <w:sz w:val="22"/>
        </w:rPr>
      </w:pPr>
      <w:bookmarkStart w:id="45" w:name="_Toc133927344"/>
      <w:r w:rsidRPr="007837CC">
        <w:t xml:space="preserve">Table </w:t>
      </w:r>
      <w:r w:rsidR="00603CC6" w:rsidRPr="007837CC">
        <w:t>1</w:t>
      </w:r>
      <w:r w:rsidR="00BD0308" w:rsidRPr="007837CC">
        <w:t>0</w:t>
      </w:r>
      <w:r w:rsidRPr="007837CC">
        <w:t xml:space="preserve">: </w:t>
      </w:r>
      <w:r w:rsidRPr="007837CC">
        <w:tab/>
        <w:t xml:space="preserve">Assessing </w:t>
      </w:r>
      <w:r w:rsidR="009B2B6D" w:rsidRPr="007837CC">
        <w:t xml:space="preserve">whether to include a new stockpile adjustment </w:t>
      </w:r>
      <w:r w:rsidR="00527CF6" w:rsidRPr="007837CC">
        <w:t>step as part of the calculation</w:t>
      </w:r>
      <w:r w:rsidR="00B005BC" w:rsidRPr="007837CC">
        <w:t> </w:t>
      </w:r>
      <w:r w:rsidR="00527CF6" w:rsidRPr="007837CC">
        <w:t xml:space="preserve">of auction </w:t>
      </w:r>
      <w:proofErr w:type="gramStart"/>
      <w:r w:rsidR="00527CF6" w:rsidRPr="007837CC">
        <w:t>volumes</w:t>
      </w:r>
      <w:bookmarkEnd w:id="45"/>
      <w:proofErr w:type="gramEnd"/>
      <w:r w:rsidR="009B2B6D" w:rsidRPr="007837CC">
        <w:t xml:space="preserve"> </w:t>
      </w:r>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shd w:val="clear" w:color="auto" w:fill="FFFFFF" w:themeFill="background1"/>
        <w:tblLayout w:type="fixed"/>
        <w:tblCellMar>
          <w:left w:w="85" w:type="dxa"/>
          <w:right w:w="57" w:type="dxa"/>
        </w:tblCellMar>
        <w:tblLook w:val="04A0" w:firstRow="1" w:lastRow="0" w:firstColumn="1" w:lastColumn="0" w:noHBand="0" w:noVBand="1"/>
      </w:tblPr>
      <w:tblGrid>
        <w:gridCol w:w="2835"/>
        <w:gridCol w:w="1985"/>
        <w:gridCol w:w="3685"/>
      </w:tblGrid>
      <w:tr w:rsidR="00162C79" w:rsidRPr="007837CC" w14:paraId="03FF4547" w14:textId="77777777" w:rsidTr="0086275B">
        <w:tc>
          <w:tcPr>
            <w:tcW w:w="2835" w:type="dxa"/>
            <w:shd w:val="clear" w:color="auto" w:fill="1B556B" w:themeFill="text2"/>
            <w:vAlign w:val="bottom"/>
          </w:tcPr>
          <w:p w14:paraId="6CC5ED2E" w14:textId="77777777" w:rsidR="00162C79" w:rsidRPr="007837CC" w:rsidRDefault="00162C79" w:rsidP="000C2C73">
            <w:pPr>
              <w:pStyle w:val="TableTextbold"/>
              <w:keepNext/>
              <w:spacing w:before="40" w:after="40"/>
              <w:rPr>
                <w:color w:val="FFFFFF" w:themeColor="background1"/>
                <w:szCs w:val="18"/>
              </w:rPr>
            </w:pPr>
            <w:r w:rsidRPr="007837CC">
              <w:rPr>
                <w:color w:val="FFFFFF" w:themeColor="background1"/>
                <w:szCs w:val="18"/>
              </w:rPr>
              <w:t>Criterion</w:t>
            </w:r>
          </w:p>
        </w:tc>
        <w:tc>
          <w:tcPr>
            <w:tcW w:w="1985" w:type="dxa"/>
            <w:shd w:val="clear" w:color="auto" w:fill="1B556B" w:themeFill="text2"/>
            <w:vAlign w:val="bottom"/>
          </w:tcPr>
          <w:p w14:paraId="0028E112" w14:textId="2C04343F" w:rsidR="00162C79" w:rsidRPr="007837CC" w:rsidRDefault="00162C79" w:rsidP="000C2C73">
            <w:pPr>
              <w:pStyle w:val="TableTextbold"/>
              <w:keepNext/>
              <w:spacing w:before="40" w:after="40"/>
              <w:rPr>
                <w:rFonts w:cs="Arial"/>
                <w:color w:val="FFFFFF" w:themeColor="background1"/>
                <w:szCs w:val="18"/>
              </w:rPr>
            </w:pPr>
            <w:r w:rsidRPr="007837CC">
              <w:rPr>
                <w:rFonts w:cs="Arial"/>
                <w:color w:val="FFFFFF" w:themeColor="background1"/>
                <w:szCs w:val="18"/>
              </w:rPr>
              <w:t>Option one</w:t>
            </w:r>
            <w:r w:rsidR="00603CC6" w:rsidRPr="007837CC">
              <w:rPr>
                <w:rFonts w:cs="Arial"/>
                <w:color w:val="FFFFFF" w:themeColor="background1"/>
                <w:szCs w:val="18"/>
              </w:rPr>
              <w:t xml:space="preserve"> –</w:t>
            </w:r>
            <w:r w:rsidRPr="007837CC">
              <w:rPr>
                <w:rFonts w:cs="Arial"/>
                <w:color w:val="FFFFFF" w:themeColor="background1"/>
                <w:szCs w:val="18"/>
              </w:rPr>
              <w:t xml:space="preserve"> Status quo</w:t>
            </w:r>
          </w:p>
        </w:tc>
        <w:tc>
          <w:tcPr>
            <w:tcW w:w="3685" w:type="dxa"/>
            <w:shd w:val="clear" w:color="auto" w:fill="1B556B" w:themeFill="text2"/>
            <w:vAlign w:val="bottom"/>
          </w:tcPr>
          <w:p w14:paraId="3B4F1D9F" w14:textId="6C0D750B" w:rsidR="00162C79" w:rsidRPr="007837CC" w:rsidRDefault="00162C79" w:rsidP="000C2C73">
            <w:pPr>
              <w:pStyle w:val="TableTextbold"/>
              <w:keepNext/>
              <w:spacing w:before="40" w:after="40"/>
              <w:rPr>
                <w:rFonts w:cs="Arial"/>
                <w:color w:val="FFFFFF" w:themeColor="background1"/>
                <w:szCs w:val="18"/>
              </w:rPr>
            </w:pPr>
            <w:r w:rsidRPr="007837CC">
              <w:rPr>
                <w:rFonts w:cs="Arial"/>
                <w:color w:val="FFFFFF" w:themeColor="background1"/>
                <w:szCs w:val="18"/>
              </w:rPr>
              <w:t xml:space="preserve">Option two – </w:t>
            </w:r>
            <w:r w:rsidR="00527CF6" w:rsidRPr="007837CC">
              <w:rPr>
                <w:rFonts w:cs="Arial"/>
                <w:color w:val="FFFFFF" w:themeColor="background1"/>
                <w:szCs w:val="18"/>
              </w:rPr>
              <w:t xml:space="preserve">Include an additional step this year as updated estimates of the surplus component of the stockpile are </w:t>
            </w:r>
            <w:r w:rsidR="00DB76EB" w:rsidRPr="007837CC">
              <w:rPr>
                <w:rFonts w:cs="Arial"/>
                <w:color w:val="FFFFFF" w:themeColor="background1"/>
                <w:szCs w:val="18"/>
              </w:rPr>
              <w:t>unavailable</w:t>
            </w:r>
          </w:p>
        </w:tc>
      </w:tr>
      <w:tr w:rsidR="00162C79" w:rsidRPr="007837CC" w14:paraId="00B80ED6" w14:textId="77777777" w:rsidTr="0086275B">
        <w:tc>
          <w:tcPr>
            <w:tcW w:w="2835" w:type="dxa"/>
            <w:shd w:val="clear" w:color="auto" w:fill="FFFFFF" w:themeFill="background1"/>
          </w:tcPr>
          <w:p w14:paraId="7311633F" w14:textId="5A9689EF" w:rsidR="00162C79" w:rsidRPr="007837CC" w:rsidRDefault="00162C79" w:rsidP="000C2C73">
            <w:pPr>
              <w:pStyle w:val="TableText"/>
              <w:keepNext/>
              <w:spacing w:before="40" w:after="40"/>
              <w:rPr>
                <w:rFonts w:cs="Calibri"/>
                <w:bCs/>
                <w:color w:val="000000"/>
                <w:szCs w:val="18"/>
              </w:rPr>
            </w:pPr>
            <w:r w:rsidRPr="007837CC">
              <w:rPr>
                <w:rFonts w:cs="Calibri"/>
                <w:szCs w:val="18"/>
              </w:rPr>
              <w:t>Accords with New Zealand’s emissions budgets, NDC and 2050 target</w:t>
            </w:r>
          </w:p>
        </w:tc>
        <w:tc>
          <w:tcPr>
            <w:tcW w:w="1985" w:type="dxa"/>
            <w:shd w:val="clear" w:color="auto" w:fill="FFFFFF" w:themeFill="background1"/>
          </w:tcPr>
          <w:p w14:paraId="7D195966" w14:textId="090D5A77" w:rsidR="00162C79" w:rsidRPr="007837CC" w:rsidRDefault="009C7850" w:rsidP="000C2C73">
            <w:pPr>
              <w:pStyle w:val="TableText"/>
              <w:keepNext/>
              <w:spacing w:before="40" w:after="40"/>
              <w:rPr>
                <w:rFonts w:cs="Calibri"/>
                <w:szCs w:val="18"/>
              </w:rPr>
            </w:pPr>
            <w:r w:rsidRPr="007837CC">
              <w:rPr>
                <w:rFonts w:cs="Calibri"/>
                <w:b/>
                <w:bCs/>
                <w:szCs w:val="18"/>
              </w:rPr>
              <w:t>0</w:t>
            </w:r>
          </w:p>
        </w:tc>
        <w:tc>
          <w:tcPr>
            <w:tcW w:w="3685" w:type="dxa"/>
            <w:shd w:val="clear" w:color="auto" w:fill="FFFFFF" w:themeFill="background1"/>
          </w:tcPr>
          <w:p w14:paraId="6FAB628F" w14:textId="77777777" w:rsidR="009C7850" w:rsidRPr="007837CC" w:rsidRDefault="009C7850" w:rsidP="000C2C73">
            <w:pPr>
              <w:pStyle w:val="TableText"/>
              <w:keepNext/>
              <w:spacing w:before="40" w:after="0"/>
              <w:rPr>
                <w:rFonts w:cs="Calibri"/>
                <w:b/>
                <w:bCs/>
                <w:szCs w:val="18"/>
              </w:rPr>
            </w:pPr>
            <w:r w:rsidRPr="007837CC">
              <w:rPr>
                <w:rFonts w:cs="Calibri"/>
                <w:b/>
                <w:bCs/>
                <w:szCs w:val="18"/>
              </w:rPr>
              <w:t>0</w:t>
            </w:r>
          </w:p>
          <w:p w14:paraId="67CF1E11" w14:textId="7E8C14C5" w:rsidR="00162C79" w:rsidRPr="007837CC" w:rsidRDefault="001052AE" w:rsidP="000C2C73">
            <w:pPr>
              <w:pStyle w:val="TableText"/>
              <w:keepNext/>
              <w:spacing w:before="40" w:after="40"/>
              <w:rPr>
                <w:rFonts w:cs="Calibri"/>
                <w:szCs w:val="18"/>
              </w:rPr>
            </w:pPr>
            <w:r w:rsidRPr="007837CC">
              <w:rPr>
                <w:rFonts w:cs="Calibri"/>
                <w:szCs w:val="18"/>
              </w:rPr>
              <w:t>The annual surplus estimate approach already accords with targets</w:t>
            </w:r>
            <w:r w:rsidR="007E1E31">
              <w:rPr>
                <w:rFonts w:cs="Calibri"/>
                <w:szCs w:val="18"/>
              </w:rPr>
              <w:t>.</w:t>
            </w:r>
            <w:r w:rsidR="00162C79" w:rsidRPr="007837CC">
              <w:rPr>
                <w:rFonts w:cs="Calibri"/>
                <w:szCs w:val="18"/>
              </w:rPr>
              <w:t xml:space="preserve"> </w:t>
            </w:r>
          </w:p>
        </w:tc>
      </w:tr>
      <w:tr w:rsidR="00162C79" w:rsidRPr="007837CC" w14:paraId="73C0C0C6" w14:textId="77777777" w:rsidTr="0086275B">
        <w:tc>
          <w:tcPr>
            <w:tcW w:w="2835" w:type="dxa"/>
            <w:shd w:val="clear" w:color="auto" w:fill="FFFFFF" w:themeFill="background1"/>
          </w:tcPr>
          <w:p w14:paraId="301DCE55" w14:textId="77777777" w:rsidR="00162C79" w:rsidRPr="007837CC" w:rsidRDefault="00162C79" w:rsidP="000C2C73">
            <w:pPr>
              <w:pStyle w:val="TableText"/>
              <w:spacing w:before="40" w:after="40"/>
              <w:rPr>
                <w:rFonts w:cs="Calibri"/>
                <w:bCs/>
                <w:color w:val="000000"/>
                <w:szCs w:val="18"/>
              </w:rPr>
            </w:pPr>
            <w:r w:rsidRPr="007837CC">
              <w:rPr>
                <w:rFonts w:cs="Calibri"/>
                <w:szCs w:val="18"/>
              </w:rPr>
              <w:t>Supports the proper functioning of the NZ ETS</w:t>
            </w:r>
          </w:p>
        </w:tc>
        <w:tc>
          <w:tcPr>
            <w:tcW w:w="1985" w:type="dxa"/>
            <w:shd w:val="clear" w:color="auto" w:fill="FFFFFF" w:themeFill="background1"/>
          </w:tcPr>
          <w:p w14:paraId="02815B44" w14:textId="061F1F14" w:rsidR="00162C79" w:rsidRPr="007837CC" w:rsidRDefault="009C7850" w:rsidP="000C2C73">
            <w:pPr>
              <w:pStyle w:val="TableText"/>
              <w:spacing w:before="40" w:after="40"/>
              <w:rPr>
                <w:rFonts w:cs="Calibri"/>
                <w:szCs w:val="18"/>
              </w:rPr>
            </w:pPr>
            <w:r w:rsidRPr="007837CC">
              <w:rPr>
                <w:rFonts w:cs="Calibri"/>
                <w:b/>
                <w:bCs/>
                <w:szCs w:val="18"/>
              </w:rPr>
              <w:t>0</w:t>
            </w:r>
          </w:p>
        </w:tc>
        <w:tc>
          <w:tcPr>
            <w:tcW w:w="3685" w:type="dxa"/>
            <w:shd w:val="clear" w:color="auto" w:fill="FFFFFF" w:themeFill="background1"/>
          </w:tcPr>
          <w:p w14:paraId="4D86F705" w14:textId="77777777" w:rsidR="009C7850" w:rsidRPr="007837CC" w:rsidRDefault="009C7850" w:rsidP="000C2C73">
            <w:pPr>
              <w:pStyle w:val="TableText"/>
              <w:spacing w:before="40" w:after="0"/>
              <w:rPr>
                <w:rFonts w:cs="Calibri"/>
                <w:b/>
                <w:bCs/>
                <w:szCs w:val="18"/>
              </w:rPr>
            </w:pPr>
            <w:r w:rsidRPr="007837CC">
              <w:rPr>
                <w:rFonts w:cs="Calibri"/>
                <w:b/>
                <w:bCs/>
                <w:szCs w:val="18"/>
              </w:rPr>
              <w:t>0</w:t>
            </w:r>
          </w:p>
          <w:p w14:paraId="33A19CF8" w14:textId="5F0055D1" w:rsidR="00162C79" w:rsidRPr="007837CC" w:rsidRDefault="00162C79" w:rsidP="000C2C73">
            <w:pPr>
              <w:pStyle w:val="TableText"/>
              <w:spacing w:before="40" w:after="40"/>
              <w:rPr>
                <w:rFonts w:cs="Calibri"/>
                <w:szCs w:val="18"/>
              </w:rPr>
            </w:pPr>
            <w:r w:rsidRPr="007837CC">
              <w:rPr>
                <w:bCs/>
                <w:szCs w:val="18"/>
              </w:rPr>
              <w:t>No impact on NZ ETS participants or operation</w:t>
            </w:r>
            <w:r w:rsidR="007E1E31">
              <w:rPr>
                <w:bCs/>
                <w:szCs w:val="18"/>
              </w:rPr>
              <w:t>.</w:t>
            </w:r>
          </w:p>
        </w:tc>
      </w:tr>
      <w:tr w:rsidR="00162C79" w:rsidRPr="007837CC" w14:paraId="6F7EEBFB" w14:textId="77777777" w:rsidTr="0086275B">
        <w:tc>
          <w:tcPr>
            <w:tcW w:w="2835" w:type="dxa"/>
            <w:shd w:val="clear" w:color="auto" w:fill="FFFFFF" w:themeFill="background1"/>
          </w:tcPr>
          <w:p w14:paraId="44B06683" w14:textId="77777777" w:rsidR="00162C79" w:rsidRPr="007837CC" w:rsidRDefault="00162C79" w:rsidP="000C2C73">
            <w:pPr>
              <w:pStyle w:val="TableText"/>
              <w:spacing w:before="40" w:after="40"/>
              <w:rPr>
                <w:rFonts w:cs="Calibri"/>
                <w:bCs/>
                <w:color w:val="000000"/>
                <w:szCs w:val="18"/>
              </w:rPr>
            </w:pPr>
            <w:r w:rsidRPr="007837CC">
              <w:rPr>
                <w:rFonts w:cs="Calibri"/>
                <w:szCs w:val="18"/>
              </w:rPr>
              <w:t>Improves regulatory certainty and predictability</w:t>
            </w:r>
          </w:p>
        </w:tc>
        <w:tc>
          <w:tcPr>
            <w:tcW w:w="1985" w:type="dxa"/>
            <w:shd w:val="clear" w:color="auto" w:fill="FFFFFF" w:themeFill="background1"/>
          </w:tcPr>
          <w:p w14:paraId="3E598FB9" w14:textId="15E5328A" w:rsidR="00162C79" w:rsidRPr="007837CC" w:rsidRDefault="009C7850" w:rsidP="000C2C73">
            <w:pPr>
              <w:pStyle w:val="TableText"/>
              <w:spacing w:before="40" w:after="40"/>
              <w:rPr>
                <w:rFonts w:cs="Calibri"/>
                <w:szCs w:val="18"/>
              </w:rPr>
            </w:pPr>
            <w:r w:rsidRPr="007837CC">
              <w:rPr>
                <w:rFonts w:cs="Calibri"/>
                <w:b/>
                <w:bCs/>
                <w:szCs w:val="18"/>
              </w:rPr>
              <w:t>0</w:t>
            </w:r>
          </w:p>
        </w:tc>
        <w:tc>
          <w:tcPr>
            <w:tcW w:w="3685" w:type="dxa"/>
            <w:shd w:val="clear" w:color="auto" w:fill="FFFFFF" w:themeFill="background1"/>
          </w:tcPr>
          <w:p w14:paraId="12AD29E7" w14:textId="0B104999" w:rsidR="004C01F8" w:rsidRPr="007837CC" w:rsidRDefault="004C01F8" w:rsidP="000C2C73">
            <w:pPr>
              <w:pStyle w:val="TableText"/>
              <w:spacing w:before="40" w:after="0"/>
              <w:rPr>
                <w:rFonts w:cs="Calibri"/>
                <w:szCs w:val="18"/>
              </w:rPr>
            </w:pPr>
            <w:r w:rsidRPr="007837CC">
              <w:rPr>
                <w:rFonts w:cs="Tahoma"/>
                <w:b/>
                <w:color w:val="FF0000"/>
                <w:szCs w:val="18"/>
              </w:rPr>
              <w:t>–</w:t>
            </w:r>
            <w:r w:rsidR="00CE2641" w:rsidRPr="007837CC">
              <w:rPr>
                <w:rFonts w:cs="Tahoma"/>
                <w:b/>
                <w:color w:val="FF0000"/>
                <w:szCs w:val="18"/>
              </w:rPr>
              <w:t xml:space="preserve"> </w:t>
            </w:r>
            <w:r w:rsidRPr="007837CC">
              <w:rPr>
                <w:rFonts w:cs="Tahoma"/>
                <w:b/>
                <w:color w:val="FF0000"/>
                <w:szCs w:val="18"/>
              </w:rPr>
              <w:t>–</w:t>
            </w:r>
          </w:p>
          <w:p w14:paraId="42C4690F" w14:textId="7811ECF2" w:rsidR="00162C79" w:rsidRPr="007837CC" w:rsidRDefault="00162C79" w:rsidP="000C2C73">
            <w:pPr>
              <w:pStyle w:val="TableText"/>
              <w:spacing w:before="40" w:after="40"/>
              <w:rPr>
                <w:szCs w:val="18"/>
              </w:rPr>
            </w:pPr>
            <w:r w:rsidRPr="007837CC">
              <w:rPr>
                <w:szCs w:val="18"/>
              </w:rPr>
              <w:t>New approach</w:t>
            </w:r>
            <w:r w:rsidR="00BE711B" w:rsidRPr="007837CC">
              <w:rPr>
                <w:szCs w:val="18"/>
              </w:rPr>
              <w:t xml:space="preserve"> (and one-off)</w:t>
            </w:r>
            <w:r w:rsidRPr="007837CC">
              <w:rPr>
                <w:szCs w:val="18"/>
              </w:rPr>
              <w:t>, and significant step-change in auction volumes in 2026</w:t>
            </w:r>
            <w:r w:rsidR="007E1E31">
              <w:rPr>
                <w:szCs w:val="18"/>
              </w:rPr>
              <w:t>.</w:t>
            </w:r>
          </w:p>
        </w:tc>
      </w:tr>
      <w:tr w:rsidR="00162C79" w:rsidRPr="007837CC" w14:paraId="398ADFD7" w14:textId="77777777" w:rsidTr="0086275B">
        <w:tc>
          <w:tcPr>
            <w:tcW w:w="2835" w:type="dxa"/>
            <w:shd w:val="clear" w:color="auto" w:fill="FFFFFF" w:themeFill="background1"/>
            <w:vAlign w:val="center"/>
          </w:tcPr>
          <w:p w14:paraId="732FE11C" w14:textId="77777777" w:rsidR="00162C79" w:rsidRPr="007837CC" w:rsidRDefault="00162C79" w:rsidP="000C2C73">
            <w:pPr>
              <w:pStyle w:val="TableText"/>
              <w:spacing w:before="40" w:after="40"/>
              <w:rPr>
                <w:rFonts w:cs="Calibri"/>
                <w:b/>
                <w:color w:val="000000"/>
                <w:szCs w:val="18"/>
              </w:rPr>
            </w:pPr>
            <w:r w:rsidRPr="007837CC">
              <w:rPr>
                <w:rFonts w:cs="Calibri"/>
                <w:b/>
                <w:color w:val="000000"/>
                <w:szCs w:val="18"/>
              </w:rPr>
              <w:t>Overall assessment</w:t>
            </w:r>
          </w:p>
        </w:tc>
        <w:tc>
          <w:tcPr>
            <w:tcW w:w="1985" w:type="dxa"/>
            <w:shd w:val="clear" w:color="auto" w:fill="FFFFFF" w:themeFill="background1"/>
          </w:tcPr>
          <w:p w14:paraId="0EDBE2CA" w14:textId="2ACB9633" w:rsidR="00162C79" w:rsidRPr="007837CC" w:rsidRDefault="009C7850" w:rsidP="000C2C73">
            <w:pPr>
              <w:pStyle w:val="TableText"/>
              <w:spacing w:before="40" w:after="40"/>
              <w:rPr>
                <w:rFonts w:cs="Calibri"/>
                <w:szCs w:val="18"/>
              </w:rPr>
            </w:pPr>
            <w:r w:rsidRPr="007837CC">
              <w:rPr>
                <w:rFonts w:cs="Calibri"/>
                <w:b/>
                <w:bCs/>
                <w:szCs w:val="18"/>
              </w:rPr>
              <w:t>0</w:t>
            </w:r>
          </w:p>
        </w:tc>
        <w:tc>
          <w:tcPr>
            <w:tcW w:w="3685" w:type="dxa"/>
            <w:shd w:val="clear" w:color="auto" w:fill="FFFFFF" w:themeFill="background1"/>
          </w:tcPr>
          <w:p w14:paraId="7AAAC17C" w14:textId="6B24CEE4" w:rsidR="00162C79" w:rsidRPr="007837CC" w:rsidRDefault="00263EAD" w:rsidP="000C2C73">
            <w:pPr>
              <w:pStyle w:val="TableText"/>
              <w:spacing w:before="40" w:after="40"/>
              <w:rPr>
                <w:rFonts w:cs="Calibri"/>
                <w:szCs w:val="18"/>
              </w:rPr>
            </w:pPr>
            <w:r w:rsidRPr="007837CC">
              <w:rPr>
                <w:rFonts w:cs="Tahoma"/>
                <w:b/>
                <w:color w:val="FF0000"/>
                <w:szCs w:val="18"/>
              </w:rPr>
              <w:t>–</w:t>
            </w:r>
          </w:p>
        </w:tc>
      </w:tr>
    </w:tbl>
    <w:p w14:paraId="4ABE1487" w14:textId="77777777" w:rsidR="00603CC6" w:rsidRPr="007837CC" w:rsidRDefault="00603CC6" w:rsidP="00EB0155">
      <w:pPr>
        <w:pStyle w:val="BodyText"/>
        <w:spacing w:before="0"/>
      </w:pP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603CC6" w:rsidRPr="007837CC" w14:paraId="51DA3889" w14:textId="77777777">
        <w:tc>
          <w:tcPr>
            <w:tcW w:w="0" w:type="auto"/>
            <w:shd w:val="clear" w:color="auto" w:fill="D2DDE2"/>
          </w:tcPr>
          <w:p w14:paraId="79265A27" w14:textId="5B739699" w:rsidR="00603CC6" w:rsidRPr="007837CC" w:rsidRDefault="00603CC6" w:rsidP="0086275B">
            <w:pPr>
              <w:pStyle w:val="Boxheading"/>
              <w:rPr>
                <w:rFonts w:cs="Calibri"/>
              </w:rPr>
            </w:pPr>
            <w:r w:rsidRPr="007837CC">
              <w:rPr>
                <w:rFonts w:cs="Calibri"/>
              </w:rPr>
              <w:t>Questions</w:t>
            </w:r>
          </w:p>
          <w:p w14:paraId="51E49FC4" w14:textId="2196F93B" w:rsidR="00603CC6" w:rsidRPr="007837CC" w:rsidRDefault="00603CC6" w:rsidP="00FF613E">
            <w:pPr>
              <w:pStyle w:val="Boxquestion"/>
              <w:spacing w:before="80" w:after="0"/>
              <w:ind w:left="681" w:hanging="397"/>
            </w:pPr>
            <w:r w:rsidRPr="007837CC">
              <w:t xml:space="preserve">Should a new sub-step be added </w:t>
            </w:r>
            <w:r w:rsidR="00481664" w:rsidRPr="007837CC">
              <w:t xml:space="preserve">this year </w:t>
            </w:r>
            <w:r w:rsidRPr="007837CC">
              <w:t>to address projected impacts on surplus stockpile liquidity rather than addressing it through annual updates to estimates of surplus stockpile liquidity?</w:t>
            </w:r>
          </w:p>
          <w:p w14:paraId="4F5D8593" w14:textId="3416D6C2" w:rsidR="00603CC6" w:rsidRPr="007837CC" w:rsidRDefault="00603CC6" w:rsidP="000C2C73">
            <w:pPr>
              <w:pStyle w:val="Boxquestion"/>
            </w:pPr>
            <w:r w:rsidRPr="007837CC">
              <w:t>Should adjustments to auction volumes be made to address historic actions?</w:t>
            </w:r>
          </w:p>
        </w:tc>
      </w:tr>
    </w:tbl>
    <w:p w14:paraId="055026CC" w14:textId="77777777" w:rsidR="0086275B" w:rsidRPr="007837CC" w:rsidRDefault="0086275B" w:rsidP="0086275B">
      <w:pPr>
        <w:pStyle w:val="BodyText"/>
        <w:spacing w:before="0" w:after="0"/>
      </w:pPr>
    </w:p>
    <w:p w14:paraId="63F50011" w14:textId="1DD16659" w:rsidR="00DE1D73" w:rsidRPr="007837CC" w:rsidRDefault="009C5804" w:rsidP="001A2D91">
      <w:pPr>
        <w:pStyle w:val="Heading4"/>
        <w:tabs>
          <w:tab w:val="clear" w:pos="851"/>
          <w:tab w:val="left" w:pos="426"/>
        </w:tabs>
      </w:pPr>
      <w:r w:rsidRPr="007837CC">
        <w:lastRenderedPageBreak/>
        <w:t>6</w:t>
      </w:r>
      <w:r w:rsidR="00ED450F" w:rsidRPr="007837CC">
        <w:t>.</w:t>
      </w:r>
      <w:r w:rsidRPr="007837CC">
        <w:t xml:space="preserve"> </w:t>
      </w:r>
      <w:r w:rsidR="00B846F9" w:rsidRPr="007837CC">
        <w:tab/>
      </w:r>
      <w:r w:rsidR="00DE1D73" w:rsidRPr="007837CC">
        <w:t xml:space="preserve">Set </w:t>
      </w:r>
      <w:r w:rsidR="00512874" w:rsidRPr="007837CC">
        <w:t xml:space="preserve">the </w:t>
      </w:r>
      <w:r w:rsidR="00DE1D73" w:rsidRPr="007837CC">
        <w:t>approved overseas unit limit</w:t>
      </w:r>
    </w:p>
    <w:p w14:paraId="30814B25" w14:textId="5F6130D2" w:rsidR="00DE1D73" w:rsidRPr="007837CC" w:rsidRDefault="005C6248" w:rsidP="00A71C0E">
      <w:pPr>
        <w:pStyle w:val="BodyText"/>
      </w:pPr>
      <w:r w:rsidRPr="007837CC">
        <w:t xml:space="preserve">International mitigation </w:t>
      </w:r>
      <w:r w:rsidR="00AB47D6" w:rsidRPr="007837CC">
        <w:t>will be</w:t>
      </w:r>
      <w:r w:rsidRPr="007837CC">
        <w:t xml:space="preserve"> required</w:t>
      </w:r>
      <w:r w:rsidR="00D168F5" w:rsidRPr="007837CC">
        <w:t xml:space="preserve"> for</w:t>
      </w:r>
      <w:r w:rsidRPr="007837CC">
        <w:t xml:space="preserve"> New Zealand </w:t>
      </w:r>
      <w:r w:rsidR="00D168F5" w:rsidRPr="007837CC">
        <w:t xml:space="preserve">to achieve its </w:t>
      </w:r>
      <w:r w:rsidR="002A7B53" w:rsidRPr="007837CC">
        <w:t>2021</w:t>
      </w:r>
      <w:r w:rsidR="00A71C0E" w:rsidRPr="007837CC">
        <w:t>–</w:t>
      </w:r>
      <w:r w:rsidR="002A7B53" w:rsidRPr="007837CC">
        <w:t>30</w:t>
      </w:r>
      <w:r w:rsidR="003534BC" w:rsidRPr="007837CC">
        <w:t xml:space="preserve"> </w:t>
      </w:r>
      <w:r w:rsidRPr="007837CC">
        <w:t xml:space="preserve">NDC. </w:t>
      </w:r>
      <w:r w:rsidR="00083A06" w:rsidRPr="007837CC">
        <w:t>Although the Act allows for</w:t>
      </w:r>
      <w:r w:rsidR="00621A4F" w:rsidRPr="007837CC">
        <w:t xml:space="preserve"> limits on the use of</w:t>
      </w:r>
      <w:r w:rsidR="00083A06" w:rsidRPr="007837CC">
        <w:t xml:space="preserve"> approved overseas units to be </w:t>
      </w:r>
      <w:r w:rsidR="00F45922" w:rsidRPr="007837CC">
        <w:t xml:space="preserve">prescribed, </w:t>
      </w:r>
      <w:r w:rsidR="001135F0" w:rsidRPr="007837CC">
        <w:t>agreements f</w:t>
      </w:r>
      <w:r w:rsidR="00621A4F" w:rsidRPr="007837CC">
        <w:t>or the import of th</w:t>
      </w:r>
      <w:r w:rsidR="001135F0" w:rsidRPr="007837CC">
        <w:t xml:space="preserve">ose units have </w:t>
      </w:r>
      <w:r w:rsidR="00F45922" w:rsidRPr="007837CC">
        <w:t>not occurred</w:t>
      </w:r>
      <w:r w:rsidR="00A71C0E" w:rsidRPr="007837CC">
        <w:t>.</w:t>
      </w:r>
      <w:r w:rsidR="004E1999" w:rsidRPr="007837CC">
        <w:rPr>
          <w:rStyle w:val="FootnoteReference"/>
        </w:rPr>
        <w:footnoteReference w:id="18"/>
      </w:r>
      <w:r w:rsidR="009A7E5A" w:rsidRPr="007837CC">
        <w:t xml:space="preserve"> Therefore, consistent with current regulations, the proposed approved overseas </w:t>
      </w:r>
      <w:r w:rsidR="003F6346" w:rsidRPr="007837CC">
        <w:t xml:space="preserve">unit </w:t>
      </w:r>
      <w:r w:rsidR="009A7E5A" w:rsidRPr="007837CC">
        <w:t>limit will remain at zero units per</w:t>
      </w:r>
      <w:r w:rsidR="00A71C0E" w:rsidRPr="007837CC">
        <w:t> </w:t>
      </w:r>
      <w:r w:rsidR="009A7E5A" w:rsidRPr="007837CC">
        <w:t>year</w:t>
      </w:r>
      <w:r w:rsidR="00F45922" w:rsidRPr="007837CC">
        <w:t>.</w:t>
      </w:r>
    </w:p>
    <w:p w14:paraId="49106DCF" w14:textId="4E02CE0F" w:rsidR="00DE1D73" w:rsidRPr="007837CC" w:rsidRDefault="009C5804" w:rsidP="001A2D91">
      <w:pPr>
        <w:pStyle w:val="Heading4"/>
        <w:tabs>
          <w:tab w:val="clear" w:pos="851"/>
          <w:tab w:val="left" w:pos="426"/>
        </w:tabs>
        <w:ind w:left="426" w:hanging="426"/>
      </w:pPr>
      <w:r w:rsidRPr="007837CC">
        <w:t>7</w:t>
      </w:r>
      <w:r w:rsidR="00ED450F" w:rsidRPr="007837CC">
        <w:t>.</w:t>
      </w:r>
      <w:r w:rsidRPr="007837CC">
        <w:t xml:space="preserve"> </w:t>
      </w:r>
      <w:r w:rsidR="00B846F9" w:rsidRPr="007837CC">
        <w:tab/>
      </w:r>
      <w:r w:rsidR="00DE1D73" w:rsidRPr="007837CC">
        <w:t xml:space="preserve">Calculate the </w:t>
      </w:r>
      <w:r w:rsidRPr="007837CC">
        <w:t xml:space="preserve">annual </w:t>
      </w:r>
      <w:r w:rsidR="00DE1D73" w:rsidRPr="007837CC">
        <w:t>auction volume</w:t>
      </w:r>
      <w:r w:rsidR="004A393C" w:rsidRPr="007837CC">
        <w:t xml:space="preserve"> and assess sensitivity</w:t>
      </w:r>
      <w:r w:rsidR="001A2D91">
        <w:t xml:space="preserve"> </w:t>
      </w:r>
      <w:r w:rsidR="004A393C" w:rsidRPr="007837CC">
        <w:t>and</w:t>
      </w:r>
      <w:r w:rsidR="001A2D91">
        <w:t> </w:t>
      </w:r>
      <w:r w:rsidR="004A393C" w:rsidRPr="007837CC">
        <w:t>risks</w:t>
      </w:r>
    </w:p>
    <w:p w14:paraId="1B142C75" w14:textId="016FA920" w:rsidR="009A7E5A" w:rsidRPr="007837CC" w:rsidRDefault="005B01B1" w:rsidP="00573718">
      <w:pPr>
        <w:pStyle w:val="BodyText"/>
      </w:pPr>
      <w:r w:rsidRPr="007837CC">
        <w:t>This step calculates the annual auction volumes for the 202</w:t>
      </w:r>
      <w:r w:rsidR="00414BAC" w:rsidRPr="007837CC">
        <w:t>4</w:t>
      </w:r>
      <w:r w:rsidR="004B660A" w:rsidRPr="007837CC">
        <w:t>–</w:t>
      </w:r>
      <w:r w:rsidRPr="007837CC">
        <w:t>2</w:t>
      </w:r>
      <w:r w:rsidR="00414BAC" w:rsidRPr="007837CC">
        <w:t>8</w:t>
      </w:r>
      <w:r w:rsidRPr="007837CC">
        <w:t xml:space="preserve">. </w:t>
      </w:r>
    </w:p>
    <w:p w14:paraId="521C17E2" w14:textId="5B5005A1" w:rsidR="005B01B1" w:rsidRPr="007837CC" w:rsidRDefault="00EE0D74" w:rsidP="00573718">
      <w:pPr>
        <w:pStyle w:val="BodyText"/>
      </w:pPr>
      <w:r w:rsidRPr="007837CC">
        <w:t>T</w:t>
      </w:r>
      <w:r w:rsidR="004B660A" w:rsidRPr="007837CC">
        <w:t xml:space="preserve">able </w:t>
      </w:r>
      <w:r w:rsidR="00603CC6" w:rsidRPr="007837CC">
        <w:t>1</w:t>
      </w:r>
      <w:r w:rsidR="00D64223" w:rsidRPr="007837CC">
        <w:t>1</w:t>
      </w:r>
      <w:r w:rsidR="004B660A" w:rsidRPr="007837CC">
        <w:t xml:space="preserve"> shows t</w:t>
      </w:r>
      <w:r w:rsidRPr="007837CC">
        <w:t xml:space="preserve">hese </w:t>
      </w:r>
      <w:r w:rsidR="00D02475" w:rsidRPr="007837CC">
        <w:t>calculations</w:t>
      </w:r>
      <w:r w:rsidRPr="007837CC">
        <w:t xml:space="preserve"> </w:t>
      </w:r>
      <w:r w:rsidR="004B660A" w:rsidRPr="007837CC">
        <w:t>based on</w:t>
      </w:r>
      <w:r w:rsidRPr="007837CC">
        <w:t xml:space="preserve"> the Commission’s </w:t>
      </w:r>
      <w:r w:rsidR="00D02475" w:rsidRPr="007837CC">
        <w:t>recommendations</w:t>
      </w:r>
      <w:r w:rsidR="00DB34D8" w:rsidRPr="007837CC">
        <w:t xml:space="preserve"> alongside status quo calculations</w:t>
      </w:r>
      <w:r w:rsidR="00D02475" w:rsidRPr="007837CC">
        <w:t xml:space="preserve">. </w:t>
      </w:r>
    </w:p>
    <w:p w14:paraId="7D971274" w14:textId="599E0020" w:rsidR="00DC1338" w:rsidRPr="007837CC" w:rsidRDefault="00DC1338" w:rsidP="00573718">
      <w:pPr>
        <w:pStyle w:val="BodyText"/>
      </w:pPr>
      <w:r w:rsidRPr="007837CC">
        <w:t xml:space="preserve">Notably, the Commission’s advice is that updates are not made to settings for 2024 and 2025, so the Commission’s recommendations for these years match the status quo. However, this would change if updates to 2024 and 2025 were made. </w:t>
      </w:r>
    </w:p>
    <w:p w14:paraId="56390877" w14:textId="1EE6816C" w:rsidR="000C3526" w:rsidRPr="007837CC" w:rsidRDefault="000C3526" w:rsidP="00573718">
      <w:pPr>
        <w:pStyle w:val="BodyText"/>
      </w:pPr>
      <w:r w:rsidRPr="007837CC">
        <w:t xml:space="preserve">The Commission has also recommended </w:t>
      </w:r>
      <w:r w:rsidR="00DE668A" w:rsidRPr="007837CC">
        <w:t xml:space="preserve">that any sale of cost containment reserve volume at the June 2023 NZ ETS auction is considered as part of the calculation </w:t>
      </w:r>
      <w:r w:rsidR="008B2AD1" w:rsidRPr="007837CC">
        <w:t>of final auction volumes.</w:t>
      </w:r>
    </w:p>
    <w:p w14:paraId="2686B8D6" w14:textId="27F4DB37" w:rsidR="00301B29" w:rsidRPr="007837CC" w:rsidRDefault="00301B29" w:rsidP="00573718">
      <w:pPr>
        <w:pStyle w:val="Tableheading"/>
      </w:pPr>
      <w:bookmarkStart w:id="46" w:name="_Toc133927345"/>
      <w:r w:rsidRPr="007837CC">
        <w:t xml:space="preserve">Table </w:t>
      </w:r>
      <w:r w:rsidR="00603CC6" w:rsidRPr="007837CC">
        <w:t>1</w:t>
      </w:r>
      <w:r w:rsidR="00D64223" w:rsidRPr="007837CC">
        <w:t>1</w:t>
      </w:r>
      <w:r w:rsidR="0015395C" w:rsidRPr="007837CC">
        <w:t>:</w:t>
      </w:r>
      <w:r w:rsidR="0026157C" w:rsidRPr="007837CC">
        <w:t xml:space="preserve"> </w:t>
      </w:r>
      <w:r w:rsidR="00573718" w:rsidRPr="007837CC">
        <w:tab/>
      </w:r>
      <w:r w:rsidR="00DB34D8" w:rsidRPr="007837CC">
        <w:t>C</w:t>
      </w:r>
      <w:r w:rsidR="0026157C" w:rsidRPr="007837CC">
        <w:t xml:space="preserve">alculated annual auction volumes, </w:t>
      </w:r>
      <w:r w:rsidR="00DB34D8" w:rsidRPr="007837CC">
        <w:t>status quo</w:t>
      </w:r>
      <w:r w:rsidR="00E820F9" w:rsidRPr="007837CC">
        <w:t xml:space="preserve"> extended to 2028,</w:t>
      </w:r>
      <w:r w:rsidR="00DB34D8" w:rsidRPr="007837CC">
        <w:t xml:space="preserve"> and </w:t>
      </w:r>
      <w:r w:rsidR="0026157C" w:rsidRPr="007837CC">
        <w:t xml:space="preserve">based on </w:t>
      </w:r>
      <w:r w:rsidR="00BA4503" w:rsidRPr="007837CC">
        <w:t xml:space="preserve">the </w:t>
      </w:r>
      <w:r w:rsidR="0026157C" w:rsidRPr="007837CC">
        <w:t>Commission’s</w:t>
      </w:r>
      <w:r w:rsidR="005663CA" w:rsidRPr="007837CC">
        <w:t> </w:t>
      </w:r>
      <w:proofErr w:type="gramStart"/>
      <w:r w:rsidR="0026157C" w:rsidRPr="007837CC">
        <w:t>recommendations</w:t>
      </w:r>
      <w:bookmarkEnd w:id="46"/>
      <w:proofErr w:type="gramEnd"/>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Look w:val="04A0" w:firstRow="1" w:lastRow="0" w:firstColumn="1" w:lastColumn="0" w:noHBand="0" w:noVBand="1"/>
      </w:tblPr>
      <w:tblGrid>
        <w:gridCol w:w="2079"/>
        <w:gridCol w:w="641"/>
        <w:gridCol w:w="641"/>
        <w:gridCol w:w="642"/>
        <w:gridCol w:w="644"/>
        <w:gridCol w:w="642"/>
        <w:gridCol w:w="642"/>
        <w:gridCol w:w="642"/>
        <w:gridCol w:w="644"/>
        <w:gridCol w:w="644"/>
        <w:gridCol w:w="644"/>
      </w:tblGrid>
      <w:tr w:rsidR="00603CC6" w:rsidRPr="007837CC" w14:paraId="0A960E1A" w14:textId="058AF09D" w:rsidTr="00800148">
        <w:trPr>
          <w:tblHeader/>
        </w:trPr>
        <w:tc>
          <w:tcPr>
            <w:tcW w:w="2052" w:type="dxa"/>
            <w:tcBorders>
              <w:bottom w:val="single" w:sz="4" w:space="0" w:color="1B556B" w:themeColor="text2"/>
            </w:tcBorders>
            <w:shd w:val="clear" w:color="auto" w:fill="1B556B" w:themeFill="text2"/>
            <w:noWrap/>
            <w:vAlign w:val="bottom"/>
            <w:hideMark/>
          </w:tcPr>
          <w:p w14:paraId="4A1887D1" w14:textId="77777777" w:rsidR="00603CC6" w:rsidRPr="007837CC" w:rsidRDefault="00603CC6" w:rsidP="00500FC7">
            <w:pPr>
              <w:pStyle w:val="TableTextbold"/>
              <w:keepNext/>
              <w:spacing w:before="40" w:after="40" w:line="230" w:lineRule="atLeast"/>
              <w:jc w:val="center"/>
              <w:rPr>
                <w:rFonts w:cs="Calibri"/>
                <w:color w:val="FFFFFF" w:themeColor="background1"/>
                <w:szCs w:val="18"/>
              </w:rPr>
            </w:pPr>
          </w:p>
        </w:tc>
        <w:tc>
          <w:tcPr>
            <w:tcW w:w="6338" w:type="dxa"/>
            <w:gridSpan w:val="10"/>
            <w:tcBorders>
              <w:bottom w:val="single" w:sz="4" w:space="0" w:color="1B556B" w:themeColor="text2"/>
            </w:tcBorders>
            <w:shd w:val="clear" w:color="auto" w:fill="1B556B" w:themeFill="text2"/>
          </w:tcPr>
          <w:p w14:paraId="3E3D7C58" w14:textId="3BE447E8" w:rsidR="00603CC6" w:rsidRPr="007837CC" w:rsidRDefault="00D407B3" w:rsidP="00500FC7">
            <w:pPr>
              <w:pStyle w:val="TableTextbold"/>
              <w:keepNext/>
              <w:spacing w:before="40" w:after="40" w:line="230" w:lineRule="atLeast"/>
              <w:jc w:val="center"/>
              <w:rPr>
                <w:rFonts w:cs="Calibri"/>
                <w:bCs/>
                <w:color w:val="FFFFFF" w:themeColor="background1"/>
                <w:szCs w:val="18"/>
              </w:rPr>
            </w:pPr>
            <w:r>
              <w:rPr>
                <w:rFonts w:cs="Calibri"/>
                <w:bCs/>
                <w:color w:val="FFFFFF" w:themeColor="background1"/>
                <w:szCs w:val="18"/>
              </w:rPr>
              <w:t>M</w:t>
            </w:r>
            <w:r w:rsidR="00603CC6" w:rsidRPr="007837CC">
              <w:rPr>
                <w:rFonts w:cs="Calibri"/>
                <w:bCs/>
                <w:color w:val="FFFFFF" w:themeColor="background1"/>
                <w:szCs w:val="18"/>
              </w:rPr>
              <w:t xml:space="preserve">illions of </w:t>
            </w:r>
            <w:r w:rsidR="009E0382" w:rsidRPr="007837CC">
              <w:rPr>
                <w:rFonts w:cs="Calibri"/>
                <w:bCs/>
                <w:color w:val="FFFFFF" w:themeColor="background1"/>
                <w:szCs w:val="18"/>
              </w:rPr>
              <w:t>NZUs</w:t>
            </w:r>
          </w:p>
        </w:tc>
      </w:tr>
      <w:tr w:rsidR="00800148" w:rsidRPr="00800148" w14:paraId="1D7F48AF" w14:textId="0782386C" w:rsidTr="00800148">
        <w:trPr>
          <w:tblHeader/>
        </w:trPr>
        <w:tc>
          <w:tcPr>
            <w:tcW w:w="2052" w:type="dxa"/>
            <w:shd w:val="clear" w:color="auto" w:fill="1B556B"/>
            <w:noWrap/>
            <w:vAlign w:val="bottom"/>
            <w:hideMark/>
          </w:tcPr>
          <w:p w14:paraId="39A7BC1C" w14:textId="5B6DC7D3" w:rsidR="00E820F9" w:rsidRPr="00800148" w:rsidRDefault="00E820F9" w:rsidP="00500FC7">
            <w:pPr>
              <w:pStyle w:val="TableTextbold"/>
              <w:keepNext/>
              <w:spacing w:before="40" w:after="30" w:line="230" w:lineRule="atLeast"/>
              <w:rPr>
                <w:rFonts w:cs="Calibri"/>
                <w:bCs/>
                <w:color w:val="FFFFFF" w:themeColor="background1"/>
                <w:szCs w:val="18"/>
              </w:rPr>
            </w:pPr>
          </w:p>
        </w:tc>
        <w:tc>
          <w:tcPr>
            <w:tcW w:w="1266" w:type="dxa"/>
            <w:gridSpan w:val="2"/>
            <w:shd w:val="clear" w:color="auto" w:fill="1B556B"/>
            <w:noWrap/>
            <w:vAlign w:val="bottom"/>
            <w:hideMark/>
          </w:tcPr>
          <w:p w14:paraId="7B755CCA" w14:textId="35D19E1D" w:rsidR="00E820F9" w:rsidRPr="00800148" w:rsidRDefault="00E820F9" w:rsidP="00500FC7">
            <w:pPr>
              <w:pStyle w:val="TableTextbold"/>
              <w:keepNext/>
              <w:spacing w:before="40" w:after="30" w:line="230" w:lineRule="atLeast"/>
              <w:jc w:val="center"/>
              <w:rPr>
                <w:rFonts w:cs="Calibri"/>
                <w:bCs/>
                <w:color w:val="FFFFFF" w:themeColor="background1"/>
                <w:szCs w:val="18"/>
              </w:rPr>
            </w:pPr>
            <w:r w:rsidRPr="00800148">
              <w:rPr>
                <w:rFonts w:cs="Calibri"/>
                <w:bCs/>
                <w:color w:val="FFFFFF" w:themeColor="background1"/>
                <w:szCs w:val="18"/>
              </w:rPr>
              <w:t>2024</w:t>
            </w:r>
          </w:p>
        </w:tc>
        <w:tc>
          <w:tcPr>
            <w:tcW w:w="1268" w:type="dxa"/>
            <w:gridSpan w:val="2"/>
            <w:shd w:val="clear" w:color="auto" w:fill="1B556B"/>
            <w:noWrap/>
            <w:vAlign w:val="bottom"/>
            <w:hideMark/>
          </w:tcPr>
          <w:p w14:paraId="21EDE8FC" w14:textId="404FEBD5" w:rsidR="00E820F9" w:rsidRPr="00800148" w:rsidRDefault="00E820F9" w:rsidP="00500FC7">
            <w:pPr>
              <w:pStyle w:val="TableTextbold"/>
              <w:keepNext/>
              <w:spacing w:before="40" w:after="30" w:line="230" w:lineRule="atLeast"/>
              <w:jc w:val="center"/>
              <w:rPr>
                <w:rFonts w:cs="Calibri"/>
                <w:bCs/>
                <w:color w:val="FFFFFF" w:themeColor="background1"/>
                <w:szCs w:val="18"/>
              </w:rPr>
            </w:pPr>
            <w:r w:rsidRPr="00800148">
              <w:rPr>
                <w:rFonts w:cs="Calibri"/>
                <w:bCs/>
                <w:color w:val="FFFFFF" w:themeColor="background1"/>
                <w:szCs w:val="18"/>
              </w:rPr>
              <w:t>2025</w:t>
            </w:r>
          </w:p>
        </w:tc>
        <w:tc>
          <w:tcPr>
            <w:tcW w:w="1266" w:type="dxa"/>
            <w:gridSpan w:val="2"/>
            <w:shd w:val="clear" w:color="auto" w:fill="1B556B"/>
            <w:noWrap/>
            <w:vAlign w:val="bottom"/>
            <w:hideMark/>
          </w:tcPr>
          <w:p w14:paraId="70285498" w14:textId="060770B1" w:rsidR="00E820F9" w:rsidRPr="00800148" w:rsidRDefault="00E820F9" w:rsidP="00500FC7">
            <w:pPr>
              <w:pStyle w:val="TableTextbold"/>
              <w:keepNext/>
              <w:spacing w:before="40" w:after="30" w:line="230" w:lineRule="atLeast"/>
              <w:jc w:val="center"/>
              <w:rPr>
                <w:rFonts w:cs="Calibri"/>
                <w:bCs/>
                <w:color w:val="FFFFFF" w:themeColor="background1"/>
                <w:szCs w:val="18"/>
              </w:rPr>
            </w:pPr>
            <w:r w:rsidRPr="00800148">
              <w:rPr>
                <w:rFonts w:cs="Calibri"/>
                <w:bCs/>
                <w:color w:val="FFFFFF" w:themeColor="background1"/>
                <w:szCs w:val="18"/>
              </w:rPr>
              <w:t>2026</w:t>
            </w:r>
          </w:p>
        </w:tc>
        <w:tc>
          <w:tcPr>
            <w:tcW w:w="1268" w:type="dxa"/>
            <w:gridSpan w:val="2"/>
            <w:shd w:val="clear" w:color="auto" w:fill="1B556B"/>
            <w:noWrap/>
            <w:vAlign w:val="bottom"/>
            <w:hideMark/>
          </w:tcPr>
          <w:p w14:paraId="2DB3647E" w14:textId="3F701380" w:rsidR="00E820F9" w:rsidRPr="00800148" w:rsidRDefault="00E820F9" w:rsidP="00500FC7">
            <w:pPr>
              <w:pStyle w:val="TableTextbold"/>
              <w:keepNext/>
              <w:spacing w:before="40" w:after="30" w:line="230" w:lineRule="atLeast"/>
              <w:jc w:val="center"/>
              <w:rPr>
                <w:rFonts w:cs="Calibri"/>
                <w:bCs/>
                <w:color w:val="FFFFFF" w:themeColor="background1"/>
                <w:szCs w:val="18"/>
              </w:rPr>
            </w:pPr>
            <w:r w:rsidRPr="00800148">
              <w:rPr>
                <w:rFonts w:cs="Calibri"/>
                <w:bCs/>
                <w:color w:val="FFFFFF" w:themeColor="background1"/>
                <w:szCs w:val="18"/>
              </w:rPr>
              <w:t>2027</w:t>
            </w:r>
          </w:p>
        </w:tc>
        <w:tc>
          <w:tcPr>
            <w:tcW w:w="1270" w:type="dxa"/>
            <w:gridSpan w:val="2"/>
            <w:shd w:val="clear" w:color="auto" w:fill="1B556B"/>
            <w:noWrap/>
            <w:vAlign w:val="bottom"/>
            <w:hideMark/>
          </w:tcPr>
          <w:p w14:paraId="29BB3278" w14:textId="1D503259" w:rsidR="00E820F9" w:rsidRPr="00800148" w:rsidRDefault="00E820F9" w:rsidP="00500FC7">
            <w:pPr>
              <w:pStyle w:val="TableTextbold"/>
              <w:keepNext/>
              <w:spacing w:before="40" w:after="30" w:line="230" w:lineRule="atLeast"/>
              <w:jc w:val="center"/>
              <w:rPr>
                <w:rFonts w:cs="Calibri"/>
                <w:bCs/>
                <w:color w:val="FFFFFF" w:themeColor="background1"/>
                <w:szCs w:val="18"/>
              </w:rPr>
            </w:pPr>
            <w:r w:rsidRPr="00800148">
              <w:rPr>
                <w:rFonts w:cs="Calibri"/>
                <w:bCs/>
                <w:color w:val="FFFFFF" w:themeColor="background1"/>
                <w:szCs w:val="18"/>
              </w:rPr>
              <w:t>2028</w:t>
            </w:r>
          </w:p>
        </w:tc>
      </w:tr>
      <w:tr w:rsidR="00CE437D" w:rsidRPr="007837CC" w14:paraId="401A1614" w14:textId="6DEB1AD9" w:rsidTr="00BA06ED">
        <w:tc>
          <w:tcPr>
            <w:tcW w:w="2052" w:type="dxa"/>
            <w:shd w:val="clear" w:color="auto" w:fill="auto"/>
            <w:noWrap/>
            <w:vAlign w:val="bottom"/>
          </w:tcPr>
          <w:p w14:paraId="07341C06" w14:textId="21F56DA3" w:rsidR="00CE437D" w:rsidRPr="007837CC" w:rsidRDefault="00603CC6" w:rsidP="00500FC7">
            <w:pPr>
              <w:pStyle w:val="TableText"/>
              <w:keepNext/>
              <w:spacing w:before="40" w:after="30" w:line="230" w:lineRule="atLeast"/>
              <w:rPr>
                <w:rFonts w:cs="Calibri"/>
                <w:b/>
                <w:szCs w:val="18"/>
              </w:rPr>
            </w:pPr>
            <w:r w:rsidRPr="007837CC">
              <w:rPr>
                <w:rFonts w:cs="Calibri"/>
                <w:b/>
                <w:color w:val="000000"/>
                <w:szCs w:val="18"/>
              </w:rPr>
              <w:t>Step</w:t>
            </w:r>
          </w:p>
        </w:tc>
        <w:tc>
          <w:tcPr>
            <w:tcW w:w="633" w:type="dxa"/>
            <w:shd w:val="clear" w:color="auto" w:fill="auto"/>
            <w:noWrap/>
            <w:vAlign w:val="bottom"/>
          </w:tcPr>
          <w:p w14:paraId="7523C3DB" w14:textId="1208C62D" w:rsidR="00CE437D" w:rsidRPr="007837CC" w:rsidRDefault="00CE437D" w:rsidP="00500FC7">
            <w:pPr>
              <w:pStyle w:val="TableText"/>
              <w:keepNext/>
              <w:spacing w:before="40" w:after="30" w:line="230" w:lineRule="atLeast"/>
              <w:jc w:val="center"/>
              <w:rPr>
                <w:rFonts w:cs="Calibri"/>
                <w:szCs w:val="18"/>
              </w:rPr>
            </w:pPr>
            <w:r w:rsidRPr="007837CC">
              <w:rPr>
                <w:rFonts w:cs="Calibri"/>
                <w:szCs w:val="18"/>
              </w:rPr>
              <w:t>Status quo</w:t>
            </w:r>
          </w:p>
        </w:tc>
        <w:tc>
          <w:tcPr>
            <w:tcW w:w="633" w:type="dxa"/>
            <w:vAlign w:val="bottom"/>
          </w:tcPr>
          <w:p w14:paraId="3E83E56A" w14:textId="3B8809A4" w:rsidR="00CE437D" w:rsidRPr="007837CC" w:rsidRDefault="00CE437D" w:rsidP="00500FC7">
            <w:pPr>
              <w:pStyle w:val="TableText"/>
              <w:keepNext/>
              <w:spacing w:before="40" w:after="30" w:line="230" w:lineRule="atLeast"/>
              <w:jc w:val="center"/>
              <w:rPr>
                <w:rFonts w:cs="Calibri"/>
                <w:szCs w:val="18"/>
              </w:rPr>
            </w:pPr>
            <w:r w:rsidRPr="007837CC">
              <w:rPr>
                <w:rFonts w:cs="Calibri"/>
                <w:szCs w:val="18"/>
              </w:rPr>
              <w:t>CCC</w:t>
            </w:r>
          </w:p>
        </w:tc>
        <w:tc>
          <w:tcPr>
            <w:tcW w:w="633" w:type="dxa"/>
            <w:shd w:val="clear" w:color="auto" w:fill="auto"/>
            <w:noWrap/>
            <w:vAlign w:val="bottom"/>
          </w:tcPr>
          <w:p w14:paraId="781D92CE" w14:textId="721ACC0E" w:rsidR="00CE437D" w:rsidRPr="007837CC" w:rsidRDefault="00CE437D" w:rsidP="00500FC7">
            <w:pPr>
              <w:pStyle w:val="TableText"/>
              <w:keepNext/>
              <w:spacing w:before="40" w:after="30" w:line="230" w:lineRule="atLeast"/>
              <w:jc w:val="center"/>
              <w:rPr>
                <w:rFonts w:cs="Calibri"/>
                <w:szCs w:val="18"/>
              </w:rPr>
            </w:pPr>
            <w:r w:rsidRPr="007837CC">
              <w:rPr>
                <w:rFonts w:cs="Calibri"/>
                <w:szCs w:val="18"/>
              </w:rPr>
              <w:t>Status quo</w:t>
            </w:r>
          </w:p>
        </w:tc>
        <w:tc>
          <w:tcPr>
            <w:tcW w:w="635" w:type="dxa"/>
            <w:vAlign w:val="bottom"/>
          </w:tcPr>
          <w:p w14:paraId="202D459D" w14:textId="09133BBC" w:rsidR="00CE437D" w:rsidRPr="007837CC" w:rsidRDefault="00CE437D" w:rsidP="00500FC7">
            <w:pPr>
              <w:pStyle w:val="TableText"/>
              <w:keepNext/>
              <w:spacing w:before="40" w:after="30" w:line="230" w:lineRule="atLeast"/>
              <w:jc w:val="center"/>
              <w:rPr>
                <w:rFonts w:cs="Calibri"/>
                <w:szCs w:val="18"/>
              </w:rPr>
            </w:pPr>
            <w:r w:rsidRPr="007837CC">
              <w:rPr>
                <w:rFonts w:cs="Calibri"/>
                <w:szCs w:val="18"/>
              </w:rPr>
              <w:t>CCC</w:t>
            </w:r>
          </w:p>
        </w:tc>
        <w:tc>
          <w:tcPr>
            <w:tcW w:w="633" w:type="dxa"/>
            <w:shd w:val="clear" w:color="auto" w:fill="auto"/>
            <w:noWrap/>
            <w:vAlign w:val="bottom"/>
          </w:tcPr>
          <w:p w14:paraId="2195D88E" w14:textId="30274621" w:rsidR="00CE437D" w:rsidRPr="007837CC" w:rsidRDefault="00CE437D" w:rsidP="00500FC7">
            <w:pPr>
              <w:pStyle w:val="TableText"/>
              <w:keepNext/>
              <w:spacing w:before="40" w:after="30" w:line="230" w:lineRule="atLeast"/>
              <w:jc w:val="center"/>
              <w:rPr>
                <w:rFonts w:cs="Calibri"/>
                <w:szCs w:val="18"/>
              </w:rPr>
            </w:pPr>
            <w:r w:rsidRPr="007837CC">
              <w:rPr>
                <w:rFonts w:cs="Calibri"/>
                <w:szCs w:val="18"/>
              </w:rPr>
              <w:t>Status quo</w:t>
            </w:r>
          </w:p>
        </w:tc>
        <w:tc>
          <w:tcPr>
            <w:tcW w:w="633" w:type="dxa"/>
            <w:vAlign w:val="bottom"/>
          </w:tcPr>
          <w:p w14:paraId="209E1D15" w14:textId="6DBA1EED" w:rsidR="00CE437D" w:rsidRPr="007837CC" w:rsidRDefault="00CE437D" w:rsidP="00500FC7">
            <w:pPr>
              <w:pStyle w:val="TableText"/>
              <w:keepNext/>
              <w:spacing w:before="40" w:after="30" w:line="230" w:lineRule="atLeast"/>
              <w:jc w:val="center"/>
              <w:rPr>
                <w:rFonts w:cs="Calibri"/>
                <w:szCs w:val="18"/>
              </w:rPr>
            </w:pPr>
            <w:r w:rsidRPr="007837CC">
              <w:rPr>
                <w:rFonts w:cs="Calibri"/>
                <w:szCs w:val="18"/>
              </w:rPr>
              <w:t>CCC</w:t>
            </w:r>
          </w:p>
        </w:tc>
        <w:tc>
          <w:tcPr>
            <w:tcW w:w="633" w:type="dxa"/>
            <w:shd w:val="clear" w:color="auto" w:fill="auto"/>
            <w:noWrap/>
            <w:vAlign w:val="bottom"/>
          </w:tcPr>
          <w:p w14:paraId="0CA192D6" w14:textId="152EF58B" w:rsidR="00CE437D" w:rsidRPr="007837CC" w:rsidRDefault="00CE437D" w:rsidP="00500FC7">
            <w:pPr>
              <w:pStyle w:val="TableText"/>
              <w:keepNext/>
              <w:spacing w:before="40" w:after="30" w:line="230" w:lineRule="atLeast"/>
              <w:jc w:val="center"/>
              <w:rPr>
                <w:rFonts w:cs="Calibri"/>
                <w:szCs w:val="18"/>
              </w:rPr>
            </w:pPr>
            <w:r w:rsidRPr="007837CC">
              <w:rPr>
                <w:rFonts w:cs="Calibri"/>
                <w:szCs w:val="18"/>
              </w:rPr>
              <w:t>Status quo</w:t>
            </w:r>
          </w:p>
        </w:tc>
        <w:tc>
          <w:tcPr>
            <w:tcW w:w="635" w:type="dxa"/>
            <w:vAlign w:val="bottom"/>
          </w:tcPr>
          <w:p w14:paraId="169B622F" w14:textId="458E84DA" w:rsidR="00CE437D" w:rsidRPr="007837CC" w:rsidRDefault="00CE437D" w:rsidP="00500FC7">
            <w:pPr>
              <w:pStyle w:val="TableText"/>
              <w:keepNext/>
              <w:spacing w:before="40" w:after="30" w:line="230" w:lineRule="atLeast"/>
              <w:jc w:val="center"/>
              <w:rPr>
                <w:rFonts w:cs="Calibri"/>
                <w:szCs w:val="18"/>
              </w:rPr>
            </w:pPr>
            <w:r w:rsidRPr="007837CC">
              <w:rPr>
                <w:rFonts w:cs="Calibri"/>
                <w:szCs w:val="18"/>
              </w:rPr>
              <w:t>CCC</w:t>
            </w:r>
          </w:p>
        </w:tc>
        <w:tc>
          <w:tcPr>
            <w:tcW w:w="635" w:type="dxa"/>
            <w:shd w:val="clear" w:color="auto" w:fill="auto"/>
            <w:noWrap/>
            <w:vAlign w:val="bottom"/>
          </w:tcPr>
          <w:p w14:paraId="2D8AC7A7" w14:textId="44417506" w:rsidR="00CE437D" w:rsidRPr="007837CC" w:rsidRDefault="00CE437D" w:rsidP="00500FC7">
            <w:pPr>
              <w:pStyle w:val="TableText"/>
              <w:keepNext/>
              <w:spacing w:before="40" w:after="30" w:line="230" w:lineRule="atLeast"/>
              <w:jc w:val="center"/>
              <w:rPr>
                <w:rFonts w:cs="Calibri"/>
                <w:szCs w:val="18"/>
              </w:rPr>
            </w:pPr>
            <w:r w:rsidRPr="007837CC">
              <w:rPr>
                <w:rFonts w:cs="Calibri"/>
                <w:szCs w:val="18"/>
              </w:rPr>
              <w:t>Status quo</w:t>
            </w:r>
          </w:p>
        </w:tc>
        <w:tc>
          <w:tcPr>
            <w:tcW w:w="635" w:type="dxa"/>
            <w:vAlign w:val="bottom"/>
          </w:tcPr>
          <w:p w14:paraId="6F71ECB1" w14:textId="1E33400C" w:rsidR="00CE437D" w:rsidRPr="007837CC" w:rsidRDefault="00CE437D" w:rsidP="00500FC7">
            <w:pPr>
              <w:pStyle w:val="TableText"/>
              <w:keepNext/>
              <w:spacing w:before="40" w:after="30" w:line="230" w:lineRule="atLeast"/>
              <w:jc w:val="center"/>
              <w:rPr>
                <w:rFonts w:cs="Calibri"/>
                <w:szCs w:val="18"/>
              </w:rPr>
            </w:pPr>
            <w:r w:rsidRPr="007837CC">
              <w:rPr>
                <w:rFonts w:cs="Calibri"/>
                <w:szCs w:val="18"/>
              </w:rPr>
              <w:t>CCC</w:t>
            </w:r>
          </w:p>
        </w:tc>
      </w:tr>
      <w:tr w:rsidR="00CE437D" w:rsidRPr="007837CC" w14:paraId="472B0575" w14:textId="3BF7248F" w:rsidTr="007C5179">
        <w:tc>
          <w:tcPr>
            <w:tcW w:w="2052" w:type="dxa"/>
            <w:shd w:val="clear" w:color="auto" w:fill="auto"/>
            <w:noWrap/>
            <w:vAlign w:val="bottom"/>
            <w:hideMark/>
          </w:tcPr>
          <w:p w14:paraId="3714149A" w14:textId="1C4A3B1B" w:rsidR="00CE437D" w:rsidRPr="007837CC" w:rsidRDefault="00CE437D" w:rsidP="00500FC7">
            <w:pPr>
              <w:pStyle w:val="TableText"/>
              <w:keepNext/>
              <w:spacing w:before="40" w:after="30" w:line="230" w:lineRule="atLeast"/>
              <w:rPr>
                <w:rFonts w:cs="Calibri"/>
                <w:szCs w:val="18"/>
              </w:rPr>
            </w:pPr>
            <w:r w:rsidRPr="007837CC">
              <w:rPr>
                <w:rFonts w:cs="Calibri"/>
                <w:szCs w:val="18"/>
              </w:rPr>
              <w:t xml:space="preserve">Step 1 </w:t>
            </w:r>
            <w:r w:rsidR="007E1E31">
              <w:rPr>
                <w:rFonts w:cs="Calibri"/>
                <w:szCs w:val="18"/>
              </w:rPr>
              <w:t>–</w:t>
            </w:r>
            <w:r w:rsidR="0033150B" w:rsidRPr="007837CC">
              <w:rPr>
                <w:rFonts w:cs="Calibri"/>
                <w:szCs w:val="18"/>
              </w:rPr>
              <w:t xml:space="preserve"> accord</w:t>
            </w:r>
          </w:p>
        </w:tc>
        <w:tc>
          <w:tcPr>
            <w:tcW w:w="633" w:type="dxa"/>
            <w:shd w:val="clear" w:color="auto" w:fill="auto"/>
            <w:noWrap/>
            <w:vAlign w:val="center"/>
          </w:tcPr>
          <w:p w14:paraId="1867262C" w14:textId="79E876FF" w:rsidR="00CE437D" w:rsidRPr="007837CC" w:rsidRDefault="000B6036" w:rsidP="00500FC7">
            <w:pPr>
              <w:pStyle w:val="TableText"/>
              <w:keepNext/>
              <w:spacing w:before="40" w:after="30" w:line="230" w:lineRule="atLeast"/>
              <w:jc w:val="center"/>
              <w:rPr>
                <w:rFonts w:cs="Calibri"/>
                <w:szCs w:val="18"/>
              </w:rPr>
            </w:pPr>
            <w:r w:rsidRPr="007837CC">
              <w:rPr>
                <w:rFonts w:cs="Calibri"/>
                <w:szCs w:val="18"/>
              </w:rPr>
              <w:t>72.1</w:t>
            </w:r>
          </w:p>
        </w:tc>
        <w:tc>
          <w:tcPr>
            <w:tcW w:w="633" w:type="dxa"/>
            <w:vAlign w:val="center"/>
          </w:tcPr>
          <w:p w14:paraId="11A80104" w14:textId="38DFB9AD" w:rsidR="00CE437D" w:rsidRPr="007837CC" w:rsidRDefault="0039498A" w:rsidP="00500FC7">
            <w:pPr>
              <w:pStyle w:val="TableText"/>
              <w:keepNext/>
              <w:spacing w:before="40" w:after="30" w:line="230" w:lineRule="atLeast"/>
              <w:jc w:val="center"/>
              <w:rPr>
                <w:rFonts w:cs="Calibri"/>
                <w:szCs w:val="18"/>
              </w:rPr>
            </w:pPr>
            <w:r w:rsidRPr="007837CC">
              <w:rPr>
                <w:rFonts w:cs="Calibri"/>
                <w:szCs w:val="18"/>
              </w:rPr>
              <w:t>72.1</w:t>
            </w:r>
          </w:p>
        </w:tc>
        <w:tc>
          <w:tcPr>
            <w:tcW w:w="633" w:type="dxa"/>
            <w:shd w:val="clear" w:color="auto" w:fill="auto"/>
            <w:noWrap/>
            <w:vAlign w:val="center"/>
          </w:tcPr>
          <w:p w14:paraId="483031BD" w14:textId="6BBD848D" w:rsidR="00CE437D" w:rsidRPr="007837CC" w:rsidRDefault="00717780" w:rsidP="00500FC7">
            <w:pPr>
              <w:pStyle w:val="TableText"/>
              <w:keepNext/>
              <w:spacing w:before="40" w:after="30" w:line="230" w:lineRule="atLeast"/>
              <w:jc w:val="center"/>
              <w:rPr>
                <w:rFonts w:cs="Calibri"/>
                <w:szCs w:val="18"/>
              </w:rPr>
            </w:pPr>
            <w:r w:rsidRPr="007837CC">
              <w:rPr>
                <w:rFonts w:cs="Calibri"/>
                <w:szCs w:val="18"/>
              </w:rPr>
              <w:t>69.7</w:t>
            </w:r>
          </w:p>
        </w:tc>
        <w:tc>
          <w:tcPr>
            <w:tcW w:w="635" w:type="dxa"/>
            <w:vAlign w:val="center"/>
          </w:tcPr>
          <w:p w14:paraId="13D5D2EA" w14:textId="3D9FBAA7" w:rsidR="00CE437D" w:rsidRPr="007837CC" w:rsidRDefault="0039498A" w:rsidP="00500FC7">
            <w:pPr>
              <w:pStyle w:val="TableText"/>
              <w:keepNext/>
              <w:spacing w:before="40" w:after="30" w:line="230" w:lineRule="atLeast"/>
              <w:jc w:val="center"/>
              <w:rPr>
                <w:rFonts w:cs="Calibri"/>
                <w:szCs w:val="18"/>
              </w:rPr>
            </w:pPr>
            <w:r w:rsidRPr="007837CC">
              <w:rPr>
                <w:rFonts w:cs="Calibri"/>
                <w:szCs w:val="18"/>
              </w:rPr>
              <w:t>69.7</w:t>
            </w:r>
          </w:p>
        </w:tc>
        <w:tc>
          <w:tcPr>
            <w:tcW w:w="633" w:type="dxa"/>
            <w:shd w:val="clear" w:color="auto" w:fill="auto"/>
            <w:noWrap/>
            <w:vAlign w:val="center"/>
          </w:tcPr>
          <w:p w14:paraId="7BF0EBA2" w14:textId="1CCA0099" w:rsidR="00CE437D" w:rsidRPr="007837CC" w:rsidRDefault="00296FCF" w:rsidP="00500FC7">
            <w:pPr>
              <w:pStyle w:val="TableText"/>
              <w:keepNext/>
              <w:spacing w:before="40" w:after="30" w:line="230" w:lineRule="atLeast"/>
              <w:jc w:val="center"/>
              <w:rPr>
                <w:rFonts w:cs="Calibri"/>
                <w:szCs w:val="18"/>
              </w:rPr>
            </w:pPr>
            <w:r w:rsidRPr="007837CC">
              <w:rPr>
                <w:rFonts w:cs="Calibri"/>
                <w:szCs w:val="18"/>
              </w:rPr>
              <w:t>66.5</w:t>
            </w:r>
          </w:p>
        </w:tc>
        <w:tc>
          <w:tcPr>
            <w:tcW w:w="633" w:type="dxa"/>
            <w:vAlign w:val="center"/>
          </w:tcPr>
          <w:p w14:paraId="71E226F9" w14:textId="462D3CDF" w:rsidR="00CE437D" w:rsidRPr="007837CC" w:rsidRDefault="0039498A" w:rsidP="00500FC7">
            <w:pPr>
              <w:pStyle w:val="TableText"/>
              <w:keepNext/>
              <w:spacing w:before="40" w:after="30" w:line="230" w:lineRule="atLeast"/>
              <w:jc w:val="center"/>
              <w:rPr>
                <w:rFonts w:cs="Calibri"/>
                <w:szCs w:val="18"/>
              </w:rPr>
            </w:pPr>
            <w:r w:rsidRPr="007837CC">
              <w:rPr>
                <w:rFonts w:cs="Calibri"/>
                <w:szCs w:val="18"/>
              </w:rPr>
              <w:t>66.5</w:t>
            </w:r>
          </w:p>
        </w:tc>
        <w:tc>
          <w:tcPr>
            <w:tcW w:w="633" w:type="dxa"/>
            <w:shd w:val="clear" w:color="auto" w:fill="auto"/>
            <w:noWrap/>
            <w:vAlign w:val="center"/>
          </w:tcPr>
          <w:p w14:paraId="648CAD18" w14:textId="3E25314D" w:rsidR="00CE437D" w:rsidRPr="007837CC" w:rsidRDefault="00296FCF" w:rsidP="00500FC7">
            <w:pPr>
              <w:pStyle w:val="TableText"/>
              <w:keepNext/>
              <w:spacing w:before="40" w:after="30" w:line="230" w:lineRule="atLeast"/>
              <w:jc w:val="center"/>
              <w:rPr>
                <w:rFonts w:cs="Calibri"/>
                <w:szCs w:val="18"/>
              </w:rPr>
            </w:pPr>
            <w:r w:rsidRPr="007837CC">
              <w:rPr>
                <w:rFonts w:cs="Calibri"/>
                <w:szCs w:val="18"/>
              </w:rPr>
              <w:t>6</w:t>
            </w:r>
            <w:r w:rsidR="00936BD2" w:rsidRPr="007837CC">
              <w:rPr>
                <w:rFonts w:cs="Calibri"/>
                <w:szCs w:val="18"/>
              </w:rPr>
              <w:t>3.9</w:t>
            </w:r>
          </w:p>
        </w:tc>
        <w:tc>
          <w:tcPr>
            <w:tcW w:w="635" w:type="dxa"/>
            <w:vAlign w:val="center"/>
          </w:tcPr>
          <w:p w14:paraId="40211E81" w14:textId="6B19DA9A" w:rsidR="00CE437D" w:rsidRPr="007837CC" w:rsidRDefault="0039498A" w:rsidP="00500FC7">
            <w:pPr>
              <w:pStyle w:val="TableText"/>
              <w:keepNext/>
              <w:spacing w:before="40" w:after="30" w:line="230" w:lineRule="atLeast"/>
              <w:jc w:val="center"/>
              <w:rPr>
                <w:rFonts w:cs="Calibri"/>
                <w:szCs w:val="18"/>
              </w:rPr>
            </w:pPr>
            <w:r w:rsidRPr="007837CC">
              <w:rPr>
                <w:rFonts w:cs="Calibri"/>
                <w:szCs w:val="18"/>
              </w:rPr>
              <w:t>63.9</w:t>
            </w:r>
          </w:p>
        </w:tc>
        <w:tc>
          <w:tcPr>
            <w:tcW w:w="635" w:type="dxa"/>
            <w:shd w:val="clear" w:color="auto" w:fill="auto"/>
            <w:noWrap/>
            <w:vAlign w:val="center"/>
          </w:tcPr>
          <w:p w14:paraId="03D96CAE" w14:textId="63F1B75A" w:rsidR="00CE437D" w:rsidRPr="007837CC" w:rsidRDefault="0039498A" w:rsidP="00500FC7">
            <w:pPr>
              <w:pStyle w:val="TableText"/>
              <w:keepNext/>
              <w:spacing w:before="40" w:after="30" w:line="230" w:lineRule="atLeast"/>
              <w:jc w:val="center"/>
              <w:rPr>
                <w:rFonts w:cs="Calibri"/>
                <w:szCs w:val="18"/>
              </w:rPr>
            </w:pPr>
            <w:r w:rsidRPr="007837CC">
              <w:rPr>
                <w:rFonts w:cs="Calibri"/>
                <w:szCs w:val="18"/>
              </w:rPr>
              <w:t>60.7</w:t>
            </w:r>
          </w:p>
        </w:tc>
        <w:tc>
          <w:tcPr>
            <w:tcW w:w="635" w:type="dxa"/>
            <w:vAlign w:val="center"/>
          </w:tcPr>
          <w:p w14:paraId="134248B8" w14:textId="6748640F" w:rsidR="00CE437D" w:rsidRPr="007837CC" w:rsidRDefault="0039498A" w:rsidP="00500FC7">
            <w:pPr>
              <w:pStyle w:val="TableText"/>
              <w:keepNext/>
              <w:spacing w:before="40" w:after="30" w:line="230" w:lineRule="atLeast"/>
              <w:jc w:val="center"/>
              <w:rPr>
                <w:rFonts w:cs="Calibri"/>
                <w:szCs w:val="18"/>
              </w:rPr>
            </w:pPr>
            <w:r w:rsidRPr="007837CC">
              <w:rPr>
                <w:rFonts w:cs="Calibri"/>
                <w:szCs w:val="18"/>
              </w:rPr>
              <w:t>60.7</w:t>
            </w:r>
          </w:p>
        </w:tc>
      </w:tr>
      <w:tr w:rsidR="00CE437D" w:rsidRPr="007837CC" w14:paraId="578FB3FF" w14:textId="60905718" w:rsidTr="007C5179">
        <w:tc>
          <w:tcPr>
            <w:tcW w:w="2052" w:type="dxa"/>
            <w:shd w:val="clear" w:color="auto" w:fill="auto"/>
            <w:noWrap/>
            <w:vAlign w:val="bottom"/>
            <w:hideMark/>
          </w:tcPr>
          <w:p w14:paraId="587D46D3" w14:textId="24300348" w:rsidR="00CE437D" w:rsidRPr="007837CC" w:rsidRDefault="00CE437D" w:rsidP="00500FC7">
            <w:pPr>
              <w:pStyle w:val="TableText"/>
              <w:keepNext/>
              <w:spacing w:before="40" w:after="30" w:line="230" w:lineRule="atLeast"/>
              <w:rPr>
                <w:rFonts w:cs="Calibri"/>
                <w:szCs w:val="18"/>
              </w:rPr>
            </w:pPr>
            <w:r w:rsidRPr="007837CC">
              <w:rPr>
                <w:rFonts w:cs="Calibri"/>
                <w:szCs w:val="18"/>
              </w:rPr>
              <w:t>Step 2 – allocate</w:t>
            </w:r>
          </w:p>
        </w:tc>
        <w:tc>
          <w:tcPr>
            <w:tcW w:w="633" w:type="dxa"/>
            <w:shd w:val="clear" w:color="auto" w:fill="auto"/>
            <w:noWrap/>
            <w:vAlign w:val="center"/>
          </w:tcPr>
          <w:p w14:paraId="5912E704" w14:textId="38E4257F" w:rsidR="00CE437D" w:rsidRPr="007837CC" w:rsidRDefault="007772C0" w:rsidP="00500FC7">
            <w:pPr>
              <w:pStyle w:val="TableText"/>
              <w:keepNext/>
              <w:spacing w:before="40" w:after="30" w:line="230" w:lineRule="atLeast"/>
              <w:jc w:val="center"/>
              <w:rPr>
                <w:rFonts w:cs="Calibri"/>
                <w:szCs w:val="18"/>
              </w:rPr>
            </w:pPr>
            <w:r w:rsidRPr="007837CC">
              <w:rPr>
                <w:rFonts w:cs="Calibri"/>
                <w:szCs w:val="18"/>
              </w:rPr>
              <w:t>-41.0</w:t>
            </w:r>
          </w:p>
        </w:tc>
        <w:tc>
          <w:tcPr>
            <w:tcW w:w="633" w:type="dxa"/>
            <w:vAlign w:val="center"/>
          </w:tcPr>
          <w:p w14:paraId="78FE55CC" w14:textId="1E115062" w:rsidR="00CE437D" w:rsidRPr="007837CC" w:rsidRDefault="00C66EB7" w:rsidP="00500FC7">
            <w:pPr>
              <w:pStyle w:val="TableText"/>
              <w:keepNext/>
              <w:spacing w:before="40" w:after="30" w:line="230" w:lineRule="atLeast"/>
              <w:jc w:val="center"/>
              <w:rPr>
                <w:rFonts w:cs="Calibri"/>
                <w:szCs w:val="18"/>
              </w:rPr>
            </w:pPr>
            <w:r w:rsidRPr="007837CC">
              <w:rPr>
                <w:rFonts w:cs="Calibri"/>
                <w:szCs w:val="18"/>
              </w:rPr>
              <w:t>-41</w:t>
            </w:r>
          </w:p>
        </w:tc>
        <w:tc>
          <w:tcPr>
            <w:tcW w:w="633" w:type="dxa"/>
            <w:shd w:val="clear" w:color="auto" w:fill="auto"/>
            <w:noWrap/>
            <w:vAlign w:val="center"/>
          </w:tcPr>
          <w:p w14:paraId="4535608A" w14:textId="1C6D1401" w:rsidR="00CE437D" w:rsidRPr="007837CC" w:rsidRDefault="00CB3547" w:rsidP="00500FC7">
            <w:pPr>
              <w:pStyle w:val="TableText"/>
              <w:keepNext/>
              <w:spacing w:before="40" w:after="30" w:line="230" w:lineRule="atLeast"/>
              <w:jc w:val="center"/>
              <w:rPr>
                <w:rFonts w:cs="Calibri"/>
                <w:szCs w:val="18"/>
              </w:rPr>
            </w:pPr>
            <w:r w:rsidRPr="007837CC">
              <w:rPr>
                <w:rFonts w:cs="Calibri"/>
                <w:szCs w:val="18"/>
              </w:rPr>
              <w:t>-41</w:t>
            </w:r>
          </w:p>
        </w:tc>
        <w:tc>
          <w:tcPr>
            <w:tcW w:w="635" w:type="dxa"/>
            <w:vAlign w:val="center"/>
          </w:tcPr>
          <w:p w14:paraId="473829B3" w14:textId="35D453A2" w:rsidR="00CE437D" w:rsidRPr="007837CC" w:rsidRDefault="002C3FA8" w:rsidP="00500FC7">
            <w:pPr>
              <w:pStyle w:val="TableText"/>
              <w:keepNext/>
              <w:spacing w:before="40" w:after="30" w:line="230" w:lineRule="atLeast"/>
              <w:jc w:val="center"/>
              <w:rPr>
                <w:rFonts w:cs="Calibri"/>
                <w:szCs w:val="18"/>
              </w:rPr>
            </w:pPr>
            <w:r w:rsidRPr="007837CC">
              <w:rPr>
                <w:rFonts w:cs="Calibri"/>
                <w:szCs w:val="18"/>
              </w:rPr>
              <w:t>-41</w:t>
            </w:r>
          </w:p>
        </w:tc>
        <w:tc>
          <w:tcPr>
            <w:tcW w:w="633" w:type="dxa"/>
            <w:shd w:val="clear" w:color="auto" w:fill="auto"/>
            <w:noWrap/>
            <w:vAlign w:val="center"/>
          </w:tcPr>
          <w:p w14:paraId="2BC5710A" w14:textId="70304A84" w:rsidR="00CE437D" w:rsidRPr="007837CC" w:rsidRDefault="00CB3547" w:rsidP="00500FC7">
            <w:pPr>
              <w:pStyle w:val="TableText"/>
              <w:keepNext/>
              <w:spacing w:before="40" w:after="30" w:line="230" w:lineRule="atLeast"/>
              <w:jc w:val="center"/>
              <w:rPr>
                <w:rFonts w:cs="Calibri"/>
                <w:szCs w:val="18"/>
              </w:rPr>
            </w:pPr>
            <w:r w:rsidRPr="007837CC">
              <w:rPr>
                <w:rFonts w:cs="Calibri"/>
                <w:szCs w:val="18"/>
              </w:rPr>
              <w:t>-40.3</w:t>
            </w:r>
          </w:p>
        </w:tc>
        <w:tc>
          <w:tcPr>
            <w:tcW w:w="633" w:type="dxa"/>
            <w:vAlign w:val="center"/>
          </w:tcPr>
          <w:p w14:paraId="72860ACF" w14:textId="59FE2D4F" w:rsidR="00CE437D" w:rsidRPr="007837CC" w:rsidRDefault="00B622B1" w:rsidP="00500FC7">
            <w:pPr>
              <w:pStyle w:val="TableText"/>
              <w:keepNext/>
              <w:spacing w:before="40" w:after="30" w:line="230" w:lineRule="atLeast"/>
              <w:jc w:val="center"/>
              <w:rPr>
                <w:rFonts w:cs="Calibri"/>
                <w:szCs w:val="18"/>
              </w:rPr>
            </w:pPr>
            <w:r w:rsidRPr="007837CC">
              <w:rPr>
                <w:rFonts w:cs="Calibri"/>
                <w:szCs w:val="18"/>
              </w:rPr>
              <w:t>-42</w:t>
            </w:r>
          </w:p>
        </w:tc>
        <w:tc>
          <w:tcPr>
            <w:tcW w:w="633" w:type="dxa"/>
            <w:shd w:val="clear" w:color="auto" w:fill="auto"/>
            <w:noWrap/>
            <w:vAlign w:val="center"/>
          </w:tcPr>
          <w:p w14:paraId="508E5D7B" w14:textId="15F85B35" w:rsidR="00CE437D" w:rsidRPr="007837CC" w:rsidRDefault="00CB3547" w:rsidP="00500FC7">
            <w:pPr>
              <w:pStyle w:val="TableText"/>
              <w:keepNext/>
              <w:spacing w:before="40" w:after="30" w:line="230" w:lineRule="atLeast"/>
              <w:jc w:val="center"/>
              <w:rPr>
                <w:rFonts w:cs="Calibri"/>
                <w:szCs w:val="18"/>
              </w:rPr>
            </w:pPr>
            <w:r w:rsidRPr="007837CC">
              <w:rPr>
                <w:rFonts w:cs="Calibri"/>
                <w:szCs w:val="18"/>
              </w:rPr>
              <w:t>-40.2</w:t>
            </w:r>
          </w:p>
        </w:tc>
        <w:tc>
          <w:tcPr>
            <w:tcW w:w="635" w:type="dxa"/>
            <w:vAlign w:val="center"/>
          </w:tcPr>
          <w:p w14:paraId="183F3F0B" w14:textId="72BDF325" w:rsidR="00CE437D" w:rsidRPr="007837CC" w:rsidRDefault="00B622B1" w:rsidP="00500FC7">
            <w:pPr>
              <w:pStyle w:val="TableText"/>
              <w:keepNext/>
              <w:spacing w:before="40" w:after="30" w:line="230" w:lineRule="atLeast"/>
              <w:jc w:val="center"/>
              <w:rPr>
                <w:rFonts w:cs="Calibri"/>
                <w:szCs w:val="18"/>
              </w:rPr>
            </w:pPr>
            <w:r w:rsidRPr="007837CC">
              <w:rPr>
                <w:rFonts w:cs="Calibri"/>
                <w:szCs w:val="18"/>
              </w:rPr>
              <w:t>-41.6</w:t>
            </w:r>
          </w:p>
        </w:tc>
        <w:tc>
          <w:tcPr>
            <w:tcW w:w="635" w:type="dxa"/>
            <w:shd w:val="clear" w:color="auto" w:fill="auto"/>
            <w:noWrap/>
            <w:vAlign w:val="center"/>
          </w:tcPr>
          <w:p w14:paraId="00A51127" w14:textId="3AE23724" w:rsidR="00CE437D" w:rsidRPr="007837CC" w:rsidRDefault="00365A60" w:rsidP="00500FC7">
            <w:pPr>
              <w:pStyle w:val="TableText"/>
              <w:keepNext/>
              <w:spacing w:before="40" w:after="30" w:line="230" w:lineRule="atLeast"/>
              <w:jc w:val="center"/>
              <w:rPr>
                <w:rFonts w:cs="Calibri"/>
                <w:szCs w:val="18"/>
              </w:rPr>
            </w:pPr>
            <w:r w:rsidRPr="007837CC">
              <w:rPr>
                <w:rFonts w:cs="Calibri"/>
                <w:szCs w:val="18"/>
              </w:rPr>
              <w:t>-39.8</w:t>
            </w:r>
          </w:p>
        </w:tc>
        <w:tc>
          <w:tcPr>
            <w:tcW w:w="635" w:type="dxa"/>
            <w:vAlign w:val="center"/>
          </w:tcPr>
          <w:p w14:paraId="1C6A14AE" w14:textId="4EF28A9C" w:rsidR="00CE437D" w:rsidRPr="007837CC" w:rsidRDefault="003C5B0D" w:rsidP="00500FC7">
            <w:pPr>
              <w:pStyle w:val="TableText"/>
              <w:keepNext/>
              <w:spacing w:before="40" w:after="30" w:line="230" w:lineRule="atLeast"/>
              <w:jc w:val="center"/>
              <w:rPr>
                <w:rFonts w:cs="Calibri"/>
                <w:szCs w:val="18"/>
              </w:rPr>
            </w:pPr>
            <w:r w:rsidRPr="007837CC">
              <w:rPr>
                <w:rFonts w:cs="Calibri"/>
                <w:szCs w:val="18"/>
              </w:rPr>
              <w:t>-41.3</w:t>
            </w:r>
          </w:p>
        </w:tc>
      </w:tr>
      <w:tr w:rsidR="00CE437D" w:rsidRPr="007837CC" w14:paraId="2B1A137D" w14:textId="5905FAA8" w:rsidTr="00BA06ED">
        <w:tc>
          <w:tcPr>
            <w:tcW w:w="2052" w:type="dxa"/>
            <w:shd w:val="clear" w:color="auto" w:fill="auto"/>
            <w:noWrap/>
            <w:vAlign w:val="bottom"/>
            <w:hideMark/>
          </w:tcPr>
          <w:p w14:paraId="3EF92BA2" w14:textId="79F16171" w:rsidR="00CE437D" w:rsidRPr="007837CC" w:rsidRDefault="00CE437D" w:rsidP="00500FC7">
            <w:pPr>
              <w:pStyle w:val="TableText"/>
              <w:keepNext/>
              <w:spacing w:before="40" w:after="30" w:line="230" w:lineRule="atLeast"/>
              <w:rPr>
                <w:rFonts w:cs="Calibri"/>
                <w:szCs w:val="18"/>
              </w:rPr>
            </w:pPr>
            <w:r w:rsidRPr="007837CC">
              <w:rPr>
                <w:rFonts w:cs="Calibri"/>
                <w:szCs w:val="18"/>
              </w:rPr>
              <w:t>Step 3 – technical adjustments</w:t>
            </w:r>
          </w:p>
        </w:tc>
        <w:tc>
          <w:tcPr>
            <w:tcW w:w="633" w:type="dxa"/>
            <w:shd w:val="clear" w:color="auto" w:fill="auto"/>
            <w:noWrap/>
          </w:tcPr>
          <w:p w14:paraId="780BBDAA" w14:textId="36794BDF" w:rsidR="00CE437D" w:rsidRPr="007837CC" w:rsidRDefault="00E5491A" w:rsidP="00500FC7">
            <w:pPr>
              <w:pStyle w:val="TableText"/>
              <w:keepNext/>
              <w:spacing w:before="40" w:after="30" w:line="230" w:lineRule="atLeast"/>
              <w:jc w:val="center"/>
              <w:rPr>
                <w:rFonts w:cs="Calibri"/>
                <w:szCs w:val="18"/>
              </w:rPr>
            </w:pPr>
            <w:r w:rsidRPr="007837CC">
              <w:rPr>
                <w:rFonts w:cs="Calibri"/>
                <w:szCs w:val="18"/>
              </w:rPr>
              <w:t>0</w:t>
            </w:r>
          </w:p>
        </w:tc>
        <w:tc>
          <w:tcPr>
            <w:tcW w:w="633" w:type="dxa"/>
          </w:tcPr>
          <w:p w14:paraId="74E78E91" w14:textId="5CCCDF6C" w:rsidR="00CE437D" w:rsidRPr="007837CC" w:rsidRDefault="002E344A" w:rsidP="00500FC7">
            <w:pPr>
              <w:pStyle w:val="TableText"/>
              <w:keepNext/>
              <w:spacing w:before="40" w:after="30" w:line="230" w:lineRule="atLeast"/>
              <w:jc w:val="center"/>
              <w:rPr>
                <w:rFonts w:cs="Calibri"/>
                <w:szCs w:val="18"/>
              </w:rPr>
            </w:pPr>
            <w:r w:rsidRPr="007837CC">
              <w:rPr>
                <w:rFonts w:cs="Calibri"/>
                <w:szCs w:val="18"/>
              </w:rPr>
              <w:t>0</w:t>
            </w:r>
          </w:p>
        </w:tc>
        <w:tc>
          <w:tcPr>
            <w:tcW w:w="633" w:type="dxa"/>
            <w:shd w:val="clear" w:color="auto" w:fill="auto"/>
            <w:noWrap/>
          </w:tcPr>
          <w:p w14:paraId="75781E76" w14:textId="646F58F6" w:rsidR="00CE437D" w:rsidRPr="007837CC" w:rsidRDefault="006D58E4" w:rsidP="00500FC7">
            <w:pPr>
              <w:pStyle w:val="TableText"/>
              <w:keepNext/>
              <w:spacing w:before="40" w:after="30" w:line="230" w:lineRule="atLeast"/>
              <w:jc w:val="center"/>
              <w:rPr>
                <w:rFonts w:cs="Calibri"/>
                <w:szCs w:val="18"/>
              </w:rPr>
            </w:pPr>
            <w:r w:rsidRPr="007837CC">
              <w:rPr>
                <w:rFonts w:cs="Calibri"/>
                <w:szCs w:val="18"/>
              </w:rPr>
              <w:t>0</w:t>
            </w:r>
          </w:p>
        </w:tc>
        <w:tc>
          <w:tcPr>
            <w:tcW w:w="635" w:type="dxa"/>
          </w:tcPr>
          <w:p w14:paraId="06DD8B6E" w14:textId="439240CD" w:rsidR="00CE437D" w:rsidRPr="007837CC" w:rsidRDefault="002E344A" w:rsidP="00500FC7">
            <w:pPr>
              <w:pStyle w:val="TableText"/>
              <w:keepNext/>
              <w:spacing w:before="40" w:after="30" w:line="230" w:lineRule="atLeast"/>
              <w:jc w:val="center"/>
              <w:rPr>
                <w:rFonts w:cs="Calibri"/>
                <w:szCs w:val="18"/>
              </w:rPr>
            </w:pPr>
            <w:r w:rsidRPr="007837CC">
              <w:rPr>
                <w:rFonts w:cs="Calibri"/>
                <w:szCs w:val="18"/>
              </w:rPr>
              <w:t>0</w:t>
            </w:r>
          </w:p>
        </w:tc>
        <w:tc>
          <w:tcPr>
            <w:tcW w:w="633" w:type="dxa"/>
            <w:shd w:val="clear" w:color="auto" w:fill="auto"/>
            <w:noWrap/>
          </w:tcPr>
          <w:p w14:paraId="1C3590E0" w14:textId="6B4446A0" w:rsidR="00CE437D" w:rsidRPr="007837CC" w:rsidRDefault="006D58E4" w:rsidP="00500FC7">
            <w:pPr>
              <w:pStyle w:val="TableText"/>
              <w:keepNext/>
              <w:spacing w:before="40" w:after="30" w:line="230" w:lineRule="atLeast"/>
              <w:jc w:val="center"/>
              <w:rPr>
                <w:rFonts w:cs="Calibri"/>
                <w:szCs w:val="18"/>
              </w:rPr>
            </w:pPr>
            <w:r w:rsidRPr="007837CC">
              <w:rPr>
                <w:rFonts w:cs="Calibri"/>
                <w:szCs w:val="18"/>
              </w:rPr>
              <w:t>0</w:t>
            </w:r>
          </w:p>
        </w:tc>
        <w:tc>
          <w:tcPr>
            <w:tcW w:w="633" w:type="dxa"/>
          </w:tcPr>
          <w:p w14:paraId="07ED34D2" w14:textId="37991AF9" w:rsidR="00CE437D" w:rsidRPr="007837CC" w:rsidRDefault="00B870D7" w:rsidP="00500FC7">
            <w:pPr>
              <w:pStyle w:val="TableText"/>
              <w:keepNext/>
              <w:spacing w:before="40" w:after="30" w:line="230" w:lineRule="atLeast"/>
              <w:jc w:val="center"/>
              <w:rPr>
                <w:rFonts w:cs="Calibri"/>
                <w:szCs w:val="18"/>
              </w:rPr>
            </w:pPr>
            <w:r w:rsidRPr="007837CC">
              <w:rPr>
                <w:rFonts w:cs="Calibri"/>
                <w:szCs w:val="18"/>
              </w:rPr>
              <w:t>-1.3</w:t>
            </w:r>
          </w:p>
        </w:tc>
        <w:tc>
          <w:tcPr>
            <w:tcW w:w="633" w:type="dxa"/>
            <w:shd w:val="clear" w:color="auto" w:fill="auto"/>
            <w:noWrap/>
          </w:tcPr>
          <w:p w14:paraId="4E03AC87" w14:textId="35566315" w:rsidR="00CE437D" w:rsidRPr="007837CC" w:rsidRDefault="006D58E4" w:rsidP="00500FC7">
            <w:pPr>
              <w:pStyle w:val="TableText"/>
              <w:keepNext/>
              <w:spacing w:before="40" w:after="30" w:line="230" w:lineRule="atLeast"/>
              <w:jc w:val="center"/>
              <w:rPr>
                <w:rFonts w:cs="Calibri"/>
                <w:szCs w:val="18"/>
              </w:rPr>
            </w:pPr>
            <w:r w:rsidRPr="007837CC">
              <w:rPr>
                <w:rFonts w:cs="Calibri"/>
                <w:szCs w:val="18"/>
              </w:rPr>
              <w:t>0</w:t>
            </w:r>
          </w:p>
        </w:tc>
        <w:tc>
          <w:tcPr>
            <w:tcW w:w="635" w:type="dxa"/>
          </w:tcPr>
          <w:p w14:paraId="605DDCFC" w14:textId="6C04CBF0" w:rsidR="00CE437D" w:rsidRPr="007837CC" w:rsidRDefault="00B870D7" w:rsidP="00500FC7">
            <w:pPr>
              <w:pStyle w:val="TableText"/>
              <w:keepNext/>
              <w:spacing w:before="40" w:after="30" w:line="230" w:lineRule="atLeast"/>
              <w:jc w:val="center"/>
              <w:rPr>
                <w:rFonts w:cs="Calibri"/>
                <w:szCs w:val="18"/>
              </w:rPr>
            </w:pPr>
            <w:r w:rsidRPr="007837CC">
              <w:rPr>
                <w:rFonts w:cs="Calibri"/>
                <w:szCs w:val="18"/>
              </w:rPr>
              <w:t>-1.3</w:t>
            </w:r>
          </w:p>
        </w:tc>
        <w:tc>
          <w:tcPr>
            <w:tcW w:w="635" w:type="dxa"/>
            <w:shd w:val="clear" w:color="auto" w:fill="auto"/>
            <w:noWrap/>
          </w:tcPr>
          <w:p w14:paraId="7DFE97FF" w14:textId="4E23F951" w:rsidR="00CE437D" w:rsidRPr="007837CC" w:rsidRDefault="006D58E4" w:rsidP="00500FC7">
            <w:pPr>
              <w:pStyle w:val="TableText"/>
              <w:keepNext/>
              <w:spacing w:before="40" w:after="30" w:line="230" w:lineRule="atLeast"/>
              <w:jc w:val="center"/>
              <w:rPr>
                <w:rFonts w:cs="Calibri"/>
                <w:szCs w:val="18"/>
              </w:rPr>
            </w:pPr>
            <w:r w:rsidRPr="007837CC">
              <w:rPr>
                <w:rFonts w:cs="Calibri"/>
                <w:szCs w:val="18"/>
              </w:rPr>
              <w:t>0</w:t>
            </w:r>
          </w:p>
        </w:tc>
        <w:tc>
          <w:tcPr>
            <w:tcW w:w="635" w:type="dxa"/>
          </w:tcPr>
          <w:p w14:paraId="556DD57F" w14:textId="4798FF95" w:rsidR="00CE437D" w:rsidRPr="007837CC" w:rsidRDefault="00B870D7" w:rsidP="00500FC7">
            <w:pPr>
              <w:pStyle w:val="TableText"/>
              <w:keepNext/>
              <w:spacing w:before="40" w:after="30" w:line="230" w:lineRule="atLeast"/>
              <w:jc w:val="center"/>
              <w:rPr>
                <w:rFonts w:cs="Calibri"/>
                <w:szCs w:val="18"/>
              </w:rPr>
            </w:pPr>
            <w:r w:rsidRPr="007837CC">
              <w:rPr>
                <w:rFonts w:cs="Calibri"/>
                <w:szCs w:val="18"/>
              </w:rPr>
              <w:t>-1.3</w:t>
            </w:r>
          </w:p>
        </w:tc>
      </w:tr>
      <w:tr w:rsidR="00CE437D" w:rsidRPr="007837CC" w14:paraId="37829982" w14:textId="722396D4" w:rsidTr="00BA06ED">
        <w:tc>
          <w:tcPr>
            <w:tcW w:w="2052" w:type="dxa"/>
            <w:shd w:val="clear" w:color="auto" w:fill="auto"/>
            <w:noWrap/>
            <w:vAlign w:val="bottom"/>
            <w:hideMark/>
          </w:tcPr>
          <w:p w14:paraId="226A7402" w14:textId="4C9B27DA" w:rsidR="00CE437D" w:rsidRPr="007837CC" w:rsidRDefault="00CE437D" w:rsidP="00500FC7">
            <w:pPr>
              <w:pStyle w:val="TableText"/>
              <w:keepNext/>
              <w:spacing w:before="40" w:after="30" w:line="230" w:lineRule="atLeast"/>
              <w:rPr>
                <w:rFonts w:cs="Calibri"/>
                <w:szCs w:val="18"/>
              </w:rPr>
            </w:pPr>
            <w:r w:rsidRPr="007837CC">
              <w:rPr>
                <w:rFonts w:cs="Calibri"/>
                <w:szCs w:val="18"/>
              </w:rPr>
              <w:t>Step 4 – free allocation</w:t>
            </w:r>
          </w:p>
        </w:tc>
        <w:tc>
          <w:tcPr>
            <w:tcW w:w="633" w:type="dxa"/>
            <w:shd w:val="clear" w:color="auto" w:fill="auto"/>
            <w:noWrap/>
          </w:tcPr>
          <w:p w14:paraId="68F14325" w14:textId="092A1A4A" w:rsidR="00CE437D" w:rsidRPr="007837CC" w:rsidRDefault="00D470DA" w:rsidP="00500FC7">
            <w:pPr>
              <w:pStyle w:val="TableText"/>
              <w:keepNext/>
              <w:spacing w:before="40" w:after="30" w:line="230" w:lineRule="atLeast"/>
              <w:jc w:val="center"/>
              <w:rPr>
                <w:rFonts w:cs="Calibri"/>
                <w:szCs w:val="18"/>
              </w:rPr>
            </w:pPr>
            <w:r w:rsidRPr="007837CC">
              <w:rPr>
                <w:rFonts w:cs="Calibri"/>
                <w:szCs w:val="18"/>
              </w:rPr>
              <w:t>-6.3</w:t>
            </w:r>
          </w:p>
        </w:tc>
        <w:tc>
          <w:tcPr>
            <w:tcW w:w="633" w:type="dxa"/>
          </w:tcPr>
          <w:p w14:paraId="638C258B" w14:textId="5465DDD4" w:rsidR="00CE437D" w:rsidRPr="007837CC" w:rsidRDefault="000E28B1" w:rsidP="00500FC7">
            <w:pPr>
              <w:pStyle w:val="TableText"/>
              <w:keepNext/>
              <w:spacing w:before="40" w:after="30" w:line="230" w:lineRule="atLeast"/>
              <w:jc w:val="center"/>
              <w:rPr>
                <w:rFonts w:cs="Calibri"/>
                <w:szCs w:val="18"/>
              </w:rPr>
            </w:pPr>
            <w:r w:rsidRPr="007837CC">
              <w:rPr>
                <w:rFonts w:cs="Calibri"/>
                <w:szCs w:val="18"/>
              </w:rPr>
              <w:t>-6.3</w:t>
            </w:r>
          </w:p>
        </w:tc>
        <w:tc>
          <w:tcPr>
            <w:tcW w:w="633" w:type="dxa"/>
            <w:shd w:val="clear" w:color="auto" w:fill="auto"/>
            <w:noWrap/>
          </w:tcPr>
          <w:p w14:paraId="0AA9DB28" w14:textId="2ABAC6B1" w:rsidR="00CE437D" w:rsidRPr="007837CC" w:rsidRDefault="006D58E4" w:rsidP="00500FC7">
            <w:pPr>
              <w:pStyle w:val="TableText"/>
              <w:keepNext/>
              <w:spacing w:before="40" w:after="30" w:line="230" w:lineRule="atLeast"/>
              <w:jc w:val="center"/>
              <w:rPr>
                <w:rFonts w:cs="Calibri"/>
                <w:szCs w:val="18"/>
              </w:rPr>
            </w:pPr>
            <w:r w:rsidRPr="007837CC">
              <w:rPr>
                <w:rFonts w:cs="Calibri"/>
                <w:szCs w:val="18"/>
              </w:rPr>
              <w:t>-6.3</w:t>
            </w:r>
          </w:p>
        </w:tc>
        <w:tc>
          <w:tcPr>
            <w:tcW w:w="635" w:type="dxa"/>
          </w:tcPr>
          <w:p w14:paraId="1F6F03FA" w14:textId="18BC45DE" w:rsidR="00CE437D" w:rsidRPr="007837CC" w:rsidRDefault="000E28B1" w:rsidP="00500FC7">
            <w:pPr>
              <w:pStyle w:val="TableText"/>
              <w:keepNext/>
              <w:spacing w:before="40" w:after="30" w:line="230" w:lineRule="atLeast"/>
              <w:jc w:val="center"/>
              <w:rPr>
                <w:rFonts w:cs="Calibri"/>
                <w:szCs w:val="18"/>
              </w:rPr>
            </w:pPr>
            <w:r w:rsidRPr="007837CC">
              <w:rPr>
                <w:rFonts w:cs="Calibri"/>
                <w:szCs w:val="18"/>
              </w:rPr>
              <w:t>-6.3</w:t>
            </w:r>
          </w:p>
        </w:tc>
        <w:tc>
          <w:tcPr>
            <w:tcW w:w="633" w:type="dxa"/>
            <w:shd w:val="clear" w:color="auto" w:fill="auto"/>
            <w:noWrap/>
          </w:tcPr>
          <w:p w14:paraId="3149328C" w14:textId="41EF721B" w:rsidR="00CE437D" w:rsidRPr="007837CC" w:rsidRDefault="00DF456F" w:rsidP="00500FC7">
            <w:pPr>
              <w:pStyle w:val="TableText"/>
              <w:keepNext/>
              <w:spacing w:before="40" w:after="30" w:line="230" w:lineRule="atLeast"/>
              <w:jc w:val="center"/>
              <w:rPr>
                <w:rFonts w:cs="Calibri"/>
                <w:szCs w:val="18"/>
              </w:rPr>
            </w:pPr>
            <w:r w:rsidRPr="007837CC">
              <w:rPr>
                <w:rFonts w:cs="Calibri"/>
                <w:szCs w:val="18"/>
              </w:rPr>
              <w:t>-6.2</w:t>
            </w:r>
          </w:p>
        </w:tc>
        <w:tc>
          <w:tcPr>
            <w:tcW w:w="633" w:type="dxa"/>
          </w:tcPr>
          <w:p w14:paraId="6AFFC04E" w14:textId="4135AEF1" w:rsidR="00CE437D" w:rsidRPr="007837CC" w:rsidRDefault="000E28B1" w:rsidP="00500FC7">
            <w:pPr>
              <w:pStyle w:val="TableText"/>
              <w:keepNext/>
              <w:spacing w:before="40" w:after="30" w:line="230" w:lineRule="atLeast"/>
              <w:jc w:val="center"/>
              <w:rPr>
                <w:rFonts w:cs="Calibri"/>
                <w:szCs w:val="18"/>
              </w:rPr>
            </w:pPr>
            <w:r w:rsidRPr="007837CC">
              <w:rPr>
                <w:rFonts w:cs="Calibri"/>
                <w:szCs w:val="18"/>
              </w:rPr>
              <w:t>-6.0</w:t>
            </w:r>
          </w:p>
        </w:tc>
        <w:tc>
          <w:tcPr>
            <w:tcW w:w="633" w:type="dxa"/>
            <w:shd w:val="clear" w:color="auto" w:fill="auto"/>
            <w:noWrap/>
          </w:tcPr>
          <w:p w14:paraId="6024F45B" w14:textId="236BB963" w:rsidR="00CE437D" w:rsidRPr="007837CC" w:rsidRDefault="00D063AB" w:rsidP="00500FC7">
            <w:pPr>
              <w:pStyle w:val="TableText"/>
              <w:keepNext/>
              <w:spacing w:before="40" w:after="30" w:line="230" w:lineRule="atLeast"/>
              <w:jc w:val="center"/>
              <w:rPr>
                <w:rFonts w:cs="Calibri"/>
                <w:szCs w:val="18"/>
              </w:rPr>
            </w:pPr>
            <w:r w:rsidRPr="007837CC">
              <w:rPr>
                <w:rFonts w:cs="Calibri"/>
                <w:szCs w:val="18"/>
              </w:rPr>
              <w:t>-6.1</w:t>
            </w:r>
          </w:p>
        </w:tc>
        <w:tc>
          <w:tcPr>
            <w:tcW w:w="635" w:type="dxa"/>
          </w:tcPr>
          <w:p w14:paraId="2469084A" w14:textId="78A70B2B" w:rsidR="00CE437D" w:rsidRPr="007837CC" w:rsidRDefault="00C4685A" w:rsidP="00500FC7">
            <w:pPr>
              <w:pStyle w:val="TableText"/>
              <w:keepNext/>
              <w:spacing w:before="40" w:after="30" w:line="230" w:lineRule="atLeast"/>
              <w:jc w:val="center"/>
              <w:rPr>
                <w:rFonts w:cs="Calibri"/>
                <w:szCs w:val="18"/>
              </w:rPr>
            </w:pPr>
            <w:r w:rsidRPr="007837CC">
              <w:rPr>
                <w:rFonts w:cs="Calibri"/>
                <w:szCs w:val="18"/>
              </w:rPr>
              <w:t>-5.9</w:t>
            </w:r>
          </w:p>
        </w:tc>
        <w:tc>
          <w:tcPr>
            <w:tcW w:w="635" w:type="dxa"/>
            <w:shd w:val="clear" w:color="auto" w:fill="auto"/>
            <w:noWrap/>
          </w:tcPr>
          <w:p w14:paraId="04BF3C8D" w14:textId="33D9090F" w:rsidR="00CE437D" w:rsidRPr="007837CC" w:rsidRDefault="00C4685A" w:rsidP="00500FC7">
            <w:pPr>
              <w:pStyle w:val="TableText"/>
              <w:keepNext/>
              <w:spacing w:before="40" w:after="30" w:line="230" w:lineRule="atLeast"/>
              <w:jc w:val="center"/>
              <w:rPr>
                <w:rFonts w:cs="Calibri"/>
                <w:szCs w:val="18"/>
              </w:rPr>
            </w:pPr>
            <w:r w:rsidRPr="007837CC">
              <w:rPr>
                <w:rFonts w:cs="Calibri"/>
                <w:szCs w:val="18"/>
              </w:rPr>
              <w:t>-6.0</w:t>
            </w:r>
          </w:p>
        </w:tc>
        <w:tc>
          <w:tcPr>
            <w:tcW w:w="635" w:type="dxa"/>
          </w:tcPr>
          <w:p w14:paraId="5A5E3A26" w14:textId="2BEDA543" w:rsidR="00CE437D" w:rsidRPr="007837CC" w:rsidRDefault="00C4685A" w:rsidP="00500FC7">
            <w:pPr>
              <w:pStyle w:val="TableText"/>
              <w:keepNext/>
              <w:spacing w:before="40" w:after="30" w:line="230" w:lineRule="atLeast"/>
              <w:jc w:val="center"/>
              <w:rPr>
                <w:rFonts w:cs="Calibri"/>
                <w:szCs w:val="18"/>
              </w:rPr>
            </w:pPr>
            <w:r w:rsidRPr="007837CC">
              <w:rPr>
                <w:rFonts w:cs="Calibri"/>
                <w:szCs w:val="18"/>
              </w:rPr>
              <w:t>-5.</w:t>
            </w:r>
            <w:r w:rsidR="008F5BCE" w:rsidRPr="007837CC">
              <w:rPr>
                <w:rFonts w:cs="Calibri"/>
                <w:szCs w:val="18"/>
              </w:rPr>
              <w:t>8</w:t>
            </w:r>
          </w:p>
        </w:tc>
      </w:tr>
      <w:tr w:rsidR="00CE437D" w:rsidRPr="007837CC" w14:paraId="15DDC079" w14:textId="132B3718" w:rsidTr="00BA06ED">
        <w:tc>
          <w:tcPr>
            <w:tcW w:w="2052" w:type="dxa"/>
            <w:shd w:val="clear" w:color="auto" w:fill="auto"/>
            <w:noWrap/>
            <w:vAlign w:val="bottom"/>
            <w:hideMark/>
          </w:tcPr>
          <w:p w14:paraId="2847D11E" w14:textId="2D9E169C" w:rsidR="00CE437D" w:rsidRPr="007837CC" w:rsidRDefault="00CE437D" w:rsidP="00500FC7">
            <w:pPr>
              <w:pStyle w:val="TableText"/>
              <w:spacing w:before="40" w:after="30" w:line="230" w:lineRule="atLeast"/>
              <w:rPr>
                <w:rFonts w:cs="Calibri"/>
                <w:szCs w:val="18"/>
              </w:rPr>
            </w:pPr>
            <w:r w:rsidRPr="007837CC">
              <w:rPr>
                <w:rFonts w:cs="Calibri"/>
                <w:szCs w:val="18"/>
              </w:rPr>
              <w:t>Step 5 – surplus reduction</w:t>
            </w:r>
          </w:p>
        </w:tc>
        <w:tc>
          <w:tcPr>
            <w:tcW w:w="633" w:type="dxa"/>
            <w:shd w:val="clear" w:color="auto" w:fill="auto"/>
            <w:noWrap/>
          </w:tcPr>
          <w:p w14:paraId="662E2AE9" w14:textId="43DBCA3E" w:rsidR="00CE437D" w:rsidRPr="007837CC" w:rsidRDefault="000A126C" w:rsidP="00500FC7">
            <w:pPr>
              <w:pStyle w:val="TableText"/>
              <w:spacing w:before="40" w:after="30" w:line="230" w:lineRule="atLeast"/>
              <w:jc w:val="center"/>
              <w:rPr>
                <w:rFonts w:cs="Calibri"/>
                <w:szCs w:val="18"/>
              </w:rPr>
            </w:pPr>
            <w:r w:rsidRPr="007837CC">
              <w:rPr>
                <w:rFonts w:cs="Calibri"/>
                <w:szCs w:val="18"/>
              </w:rPr>
              <w:t>-7.7</w:t>
            </w:r>
          </w:p>
        </w:tc>
        <w:tc>
          <w:tcPr>
            <w:tcW w:w="633" w:type="dxa"/>
          </w:tcPr>
          <w:p w14:paraId="51486176" w14:textId="23AB49B7" w:rsidR="00CE437D" w:rsidRPr="007837CC" w:rsidRDefault="002C3FA8" w:rsidP="00500FC7">
            <w:pPr>
              <w:pStyle w:val="TableText"/>
              <w:spacing w:before="40" w:after="30" w:line="230" w:lineRule="atLeast"/>
              <w:jc w:val="center"/>
              <w:rPr>
                <w:rFonts w:cs="Calibri"/>
                <w:szCs w:val="18"/>
              </w:rPr>
            </w:pPr>
            <w:r w:rsidRPr="007837CC">
              <w:rPr>
                <w:rFonts w:cs="Calibri"/>
                <w:szCs w:val="18"/>
              </w:rPr>
              <w:t>-7.</w:t>
            </w:r>
            <w:r w:rsidR="0025120E">
              <w:rPr>
                <w:rFonts w:cs="Calibri"/>
                <w:szCs w:val="18"/>
              </w:rPr>
              <w:t>7</w:t>
            </w:r>
          </w:p>
        </w:tc>
        <w:tc>
          <w:tcPr>
            <w:tcW w:w="633" w:type="dxa"/>
            <w:shd w:val="clear" w:color="auto" w:fill="auto"/>
            <w:noWrap/>
          </w:tcPr>
          <w:p w14:paraId="143123A2" w14:textId="3D22DEAC" w:rsidR="00CE437D" w:rsidRPr="007837CC" w:rsidRDefault="00F26ACD" w:rsidP="00500FC7">
            <w:pPr>
              <w:pStyle w:val="TableText"/>
              <w:spacing w:before="40" w:after="30" w:line="230" w:lineRule="atLeast"/>
              <w:jc w:val="center"/>
              <w:rPr>
                <w:rFonts w:cs="Calibri"/>
                <w:szCs w:val="18"/>
              </w:rPr>
            </w:pPr>
            <w:r w:rsidRPr="007837CC">
              <w:rPr>
                <w:rFonts w:cs="Calibri"/>
                <w:szCs w:val="18"/>
              </w:rPr>
              <w:t>-7.2</w:t>
            </w:r>
          </w:p>
        </w:tc>
        <w:tc>
          <w:tcPr>
            <w:tcW w:w="635" w:type="dxa"/>
          </w:tcPr>
          <w:p w14:paraId="2875153D" w14:textId="461D6B96" w:rsidR="00CE437D" w:rsidRPr="007837CC" w:rsidRDefault="002E344A" w:rsidP="00500FC7">
            <w:pPr>
              <w:pStyle w:val="TableText"/>
              <w:spacing w:before="40" w:after="30" w:line="230" w:lineRule="atLeast"/>
              <w:jc w:val="center"/>
              <w:rPr>
                <w:rFonts w:cs="Calibri"/>
                <w:szCs w:val="18"/>
              </w:rPr>
            </w:pPr>
            <w:r w:rsidRPr="007837CC">
              <w:rPr>
                <w:rFonts w:cs="Calibri"/>
                <w:szCs w:val="18"/>
              </w:rPr>
              <w:t>-7.2</w:t>
            </w:r>
          </w:p>
        </w:tc>
        <w:tc>
          <w:tcPr>
            <w:tcW w:w="633" w:type="dxa"/>
            <w:shd w:val="clear" w:color="auto" w:fill="auto"/>
            <w:noWrap/>
          </w:tcPr>
          <w:p w14:paraId="3C30C269" w14:textId="20481987" w:rsidR="00CE437D" w:rsidRPr="007837CC" w:rsidRDefault="00F26ACD" w:rsidP="00500FC7">
            <w:pPr>
              <w:pStyle w:val="TableText"/>
              <w:spacing w:before="40" w:after="30" w:line="230" w:lineRule="atLeast"/>
              <w:jc w:val="center"/>
              <w:rPr>
                <w:rFonts w:cs="Calibri"/>
                <w:szCs w:val="18"/>
              </w:rPr>
            </w:pPr>
            <w:r w:rsidRPr="007837CC">
              <w:rPr>
                <w:rFonts w:cs="Calibri"/>
                <w:szCs w:val="18"/>
              </w:rPr>
              <w:t>-6.5</w:t>
            </w:r>
          </w:p>
        </w:tc>
        <w:tc>
          <w:tcPr>
            <w:tcW w:w="633" w:type="dxa"/>
          </w:tcPr>
          <w:p w14:paraId="30E86B20" w14:textId="1B702D92" w:rsidR="00CE437D" w:rsidRPr="007837CC" w:rsidRDefault="007941AE" w:rsidP="00500FC7">
            <w:pPr>
              <w:pStyle w:val="TableText"/>
              <w:spacing w:before="40" w:after="30" w:line="230" w:lineRule="atLeast"/>
              <w:jc w:val="center"/>
              <w:rPr>
                <w:rFonts w:cs="Calibri"/>
                <w:szCs w:val="18"/>
              </w:rPr>
            </w:pPr>
            <w:r w:rsidRPr="007837CC">
              <w:rPr>
                <w:rFonts w:cs="Calibri"/>
                <w:szCs w:val="18"/>
              </w:rPr>
              <w:t>-6.5</w:t>
            </w:r>
          </w:p>
        </w:tc>
        <w:tc>
          <w:tcPr>
            <w:tcW w:w="633" w:type="dxa"/>
            <w:shd w:val="clear" w:color="auto" w:fill="auto"/>
            <w:noWrap/>
          </w:tcPr>
          <w:p w14:paraId="359F17B4" w14:textId="6B9C5551" w:rsidR="00CE437D" w:rsidRPr="007837CC" w:rsidRDefault="00F26ACD" w:rsidP="00500FC7">
            <w:pPr>
              <w:pStyle w:val="TableText"/>
              <w:spacing w:before="40" w:after="30" w:line="230" w:lineRule="atLeast"/>
              <w:jc w:val="center"/>
              <w:rPr>
                <w:rFonts w:cs="Calibri"/>
                <w:szCs w:val="18"/>
              </w:rPr>
            </w:pPr>
            <w:r w:rsidRPr="007837CC">
              <w:rPr>
                <w:rFonts w:cs="Calibri"/>
                <w:szCs w:val="18"/>
              </w:rPr>
              <w:t>-5.9</w:t>
            </w:r>
          </w:p>
        </w:tc>
        <w:tc>
          <w:tcPr>
            <w:tcW w:w="635" w:type="dxa"/>
          </w:tcPr>
          <w:p w14:paraId="65E61CD0" w14:textId="28D5CB69" w:rsidR="00CE437D" w:rsidRPr="007837CC" w:rsidRDefault="007941AE" w:rsidP="00500FC7">
            <w:pPr>
              <w:pStyle w:val="TableText"/>
              <w:spacing w:before="40" w:after="30" w:line="230" w:lineRule="atLeast"/>
              <w:jc w:val="center"/>
              <w:rPr>
                <w:rFonts w:cs="Calibri"/>
                <w:szCs w:val="18"/>
              </w:rPr>
            </w:pPr>
            <w:r w:rsidRPr="007837CC">
              <w:rPr>
                <w:rFonts w:cs="Calibri"/>
                <w:szCs w:val="18"/>
              </w:rPr>
              <w:t>-5.9</w:t>
            </w:r>
          </w:p>
        </w:tc>
        <w:tc>
          <w:tcPr>
            <w:tcW w:w="635" w:type="dxa"/>
            <w:shd w:val="clear" w:color="auto" w:fill="auto"/>
            <w:noWrap/>
          </w:tcPr>
          <w:p w14:paraId="335D1AE6" w14:textId="0BA7B4A5" w:rsidR="00CE437D" w:rsidRPr="007837CC" w:rsidRDefault="007941AE" w:rsidP="00500FC7">
            <w:pPr>
              <w:pStyle w:val="TableText"/>
              <w:spacing w:before="40" w:after="30" w:line="230" w:lineRule="atLeast"/>
              <w:jc w:val="center"/>
              <w:rPr>
                <w:rFonts w:cs="Calibri"/>
                <w:szCs w:val="18"/>
              </w:rPr>
            </w:pPr>
            <w:r w:rsidRPr="007837CC">
              <w:rPr>
                <w:rFonts w:cs="Calibri"/>
                <w:szCs w:val="18"/>
              </w:rPr>
              <w:t>-5.3</w:t>
            </w:r>
          </w:p>
        </w:tc>
        <w:tc>
          <w:tcPr>
            <w:tcW w:w="635" w:type="dxa"/>
          </w:tcPr>
          <w:p w14:paraId="7BED4BEA" w14:textId="607A2F86" w:rsidR="00CE437D" w:rsidRPr="007837CC" w:rsidRDefault="007941AE" w:rsidP="00500FC7">
            <w:pPr>
              <w:pStyle w:val="TableText"/>
              <w:spacing w:before="40" w:after="30" w:line="230" w:lineRule="atLeast"/>
              <w:jc w:val="center"/>
              <w:rPr>
                <w:rFonts w:cs="Calibri"/>
                <w:szCs w:val="18"/>
              </w:rPr>
            </w:pPr>
            <w:r w:rsidRPr="007837CC">
              <w:rPr>
                <w:rFonts w:cs="Calibri"/>
                <w:szCs w:val="18"/>
              </w:rPr>
              <w:t>-5.3</w:t>
            </w:r>
          </w:p>
        </w:tc>
      </w:tr>
      <w:tr w:rsidR="00CE437D" w:rsidRPr="007837CC" w14:paraId="6B07E432" w14:textId="77777777" w:rsidTr="00BA06ED">
        <w:tc>
          <w:tcPr>
            <w:tcW w:w="2052" w:type="dxa"/>
            <w:shd w:val="clear" w:color="auto" w:fill="auto"/>
            <w:noWrap/>
            <w:vAlign w:val="bottom"/>
          </w:tcPr>
          <w:p w14:paraId="38A58D7D" w14:textId="08B1ADB8" w:rsidR="00CE437D" w:rsidRPr="007837CC" w:rsidRDefault="00CE437D" w:rsidP="00500FC7">
            <w:pPr>
              <w:pStyle w:val="TableText"/>
              <w:spacing w:before="40" w:after="30" w:line="230" w:lineRule="atLeast"/>
              <w:rPr>
                <w:rFonts w:cs="Calibri"/>
                <w:szCs w:val="18"/>
              </w:rPr>
            </w:pPr>
            <w:r w:rsidRPr="007837CC">
              <w:rPr>
                <w:rFonts w:cs="Calibri"/>
                <w:szCs w:val="18"/>
              </w:rPr>
              <w:t>Step 5b – additional step recommended by the Commission in 2023</w:t>
            </w:r>
          </w:p>
        </w:tc>
        <w:tc>
          <w:tcPr>
            <w:tcW w:w="633" w:type="dxa"/>
            <w:shd w:val="clear" w:color="auto" w:fill="auto"/>
            <w:noWrap/>
          </w:tcPr>
          <w:p w14:paraId="4231C003" w14:textId="7BAB1A29" w:rsidR="00CE437D" w:rsidRPr="007837CC" w:rsidRDefault="000A126C" w:rsidP="00500FC7">
            <w:pPr>
              <w:pStyle w:val="TableText"/>
              <w:spacing w:before="40" w:after="30" w:line="230" w:lineRule="atLeast"/>
              <w:jc w:val="center"/>
              <w:rPr>
                <w:rFonts w:cs="Calibri"/>
                <w:szCs w:val="18"/>
              </w:rPr>
            </w:pPr>
            <w:r w:rsidRPr="007837CC">
              <w:rPr>
                <w:rFonts w:cs="Calibri"/>
                <w:szCs w:val="18"/>
              </w:rPr>
              <w:t>NA</w:t>
            </w:r>
          </w:p>
        </w:tc>
        <w:tc>
          <w:tcPr>
            <w:tcW w:w="633" w:type="dxa"/>
          </w:tcPr>
          <w:p w14:paraId="09A0177F" w14:textId="119F9F5C" w:rsidR="00CE437D" w:rsidRPr="007837CC" w:rsidRDefault="002E344A" w:rsidP="00500FC7">
            <w:pPr>
              <w:pStyle w:val="TableText"/>
              <w:spacing w:before="40" w:after="30" w:line="230" w:lineRule="atLeast"/>
              <w:jc w:val="center"/>
              <w:rPr>
                <w:rFonts w:cs="Calibri"/>
                <w:szCs w:val="18"/>
              </w:rPr>
            </w:pPr>
            <w:r w:rsidRPr="007837CC">
              <w:rPr>
                <w:rFonts w:cs="Calibri"/>
                <w:szCs w:val="18"/>
              </w:rPr>
              <w:t>NA</w:t>
            </w:r>
          </w:p>
        </w:tc>
        <w:tc>
          <w:tcPr>
            <w:tcW w:w="633" w:type="dxa"/>
            <w:shd w:val="clear" w:color="auto" w:fill="auto"/>
            <w:noWrap/>
          </w:tcPr>
          <w:p w14:paraId="5DB225E5" w14:textId="7EF32918" w:rsidR="00CE437D" w:rsidRPr="007837CC" w:rsidRDefault="00F26ACD" w:rsidP="00500FC7">
            <w:pPr>
              <w:pStyle w:val="TableText"/>
              <w:spacing w:before="40" w:after="30" w:line="230" w:lineRule="atLeast"/>
              <w:jc w:val="center"/>
              <w:rPr>
                <w:rFonts w:cs="Calibri"/>
                <w:szCs w:val="18"/>
              </w:rPr>
            </w:pPr>
            <w:r w:rsidRPr="007837CC">
              <w:rPr>
                <w:rFonts w:cs="Calibri"/>
                <w:szCs w:val="18"/>
              </w:rPr>
              <w:t>NA</w:t>
            </w:r>
          </w:p>
        </w:tc>
        <w:tc>
          <w:tcPr>
            <w:tcW w:w="635" w:type="dxa"/>
          </w:tcPr>
          <w:p w14:paraId="1664BC54" w14:textId="4D73ED16" w:rsidR="00CE437D" w:rsidRPr="007837CC" w:rsidRDefault="002E344A" w:rsidP="00500FC7">
            <w:pPr>
              <w:pStyle w:val="TableText"/>
              <w:spacing w:before="40" w:after="30" w:line="230" w:lineRule="atLeast"/>
              <w:jc w:val="center"/>
              <w:rPr>
                <w:rFonts w:cs="Calibri"/>
                <w:szCs w:val="18"/>
              </w:rPr>
            </w:pPr>
            <w:r w:rsidRPr="007837CC">
              <w:rPr>
                <w:rFonts w:cs="Calibri"/>
                <w:szCs w:val="18"/>
              </w:rPr>
              <w:t>NA</w:t>
            </w:r>
          </w:p>
        </w:tc>
        <w:tc>
          <w:tcPr>
            <w:tcW w:w="633" w:type="dxa"/>
            <w:shd w:val="clear" w:color="auto" w:fill="auto"/>
            <w:noWrap/>
          </w:tcPr>
          <w:p w14:paraId="319998D7" w14:textId="517C8770" w:rsidR="00CE437D" w:rsidRPr="007837CC" w:rsidRDefault="00F26ACD" w:rsidP="00500FC7">
            <w:pPr>
              <w:pStyle w:val="TableText"/>
              <w:spacing w:before="40" w:after="30" w:line="230" w:lineRule="atLeast"/>
              <w:jc w:val="center"/>
              <w:rPr>
                <w:rFonts w:cs="Calibri"/>
                <w:szCs w:val="18"/>
              </w:rPr>
            </w:pPr>
            <w:r w:rsidRPr="007837CC">
              <w:rPr>
                <w:rFonts w:cs="Calibri"/>
                <w:szCs w:val="18"/>
              </w:rPr>
              <w:t>NA</w:t>
            </w:r>
          </w:p>
        </w:tc>
        <w:tc>
          <w:tcPr>
            <w:tcW w:w="633" w:type="dxa"/>
          </w:tcPr>
          <w:p w14:paraId="6C893E07" w14:textId="095E0CBC" w:rsidR="00CE437D" w:rsidRPr="007837CC" w:rsidRDefault="00C52248" w:rsidP="00500FC7">
            <w:pPr>
              <w:pStyle w:val="TableText"/>
              <w:spacing w:before="40" w:after="30" w:line="230" w:lineRule="atLeast"/>
              <w:jc w:val="center"/>
              <w:rPr>
                <w:rFonts w:cs="Calibri"/>
                <w:szCs w:val="18"/>
              </w:rPr>
            </w:pPr>
            <w:r w:rsidRPr="007837CC">
              <w:rPr>
                <w:rFonts w:cs="Calibri"/>
                <w:szCs w:val="18"/>
              </w:rPr>
              <w:t>-2.2</w:t>
            </w:r>
          </w:p>
        </w:tc>
        <w:tc>
          <w:tcPr>
            <w:tcW w:w="633" w:type="dxa"/>
            <w:shd w:val="clear" w:color="auto" w:fill="auto"/>
            <w:noWrap/>
          </w:tcPr>
          <w:p w14:paraId="681D8F26" w14:textId="3164A822" w:rsidR="00CE437D" w:rsidRPr="007837CC" w:rsidRDefault="00F26ACD" w:rsidP="00500FC7">
            <w:pPr>
              <w:pStyle w:val="TableText"/>
              <w:spacing w:before="40" w:after="30" w:line="230" w:lineRule="atLeast"/>
              <w:jc w:val="center"/>
              <w:rPr>
                <w:rFonts w:cs="Calibri"/>
                <w:szCs w:val="18"/>
              </w:rPr>
            </w:pPr>
            <w:r w:rsidRPr="007837CC">
              <w:rPr>
                <w:rFonts w:cs="Calibri"/>
                <w:szCs w:val="18"/>
              </w:rPr>
              <w:t>NA</w:t>
            </w:r>
          </w:p>
        </w:tc>
        <w:tc>
          <w:tcPr>
            <w:tcW w:w="635" w:type="dxa"/>
          </w:tcPr>
          <w:p w14:paraId="51098157" w14:textId="3A206929" w:rsidR="00CE437D" w:rsidRPr="007837CC" w:rsidRDefault="00C52248" w:rsidP="00500FC7">
            <w:pPr>
              <w:pStyle w:val="TableText"/>
              <w:spacing w:before="40" w:after="30" w:line="230" w:lineRule="atLeast"/>
              <w:jc w:val="center"/>
              <w:rPr>
                <w:rFonts w:cs="Calibri"/>
                <w:szCs w:val="18"/>
              </w:rPr>
            </w:pPr>
            <w:r w:rsidRPr="007837CC">
              <w:rPr>
                <w:rFonts w:cs="Calibri"/>
                <w:szCs w:val="18"/>
              </w:rPr>
              <w:t>-2.0</w:t>
            </w:r>
          </w:p>
        </w:tc>
        <w:tc>
          <w:tcPr>
            <w:tcW w:w="635" w:type="dxa"/>
            <w:shd w:val="clear" w:color="auto" w:fill="auto"/>
            <w:noWrap/>
          </w:tcPr>
          <w:p w14:paraId="74B3CCF4" w14:textId="7D92EF06" w:rsidR="00CE437D" w:rsidRPr="007837CC" w:rsidRDefault="00F26ACD" w:rsidP="00500FC7">
            <w:pPr>
              <w:pStyle w:val="TableText"/>
              <w:spacing w:before="40" w:after="30" w:line="230" w:lineRule="atLeast"/>
              <w:jc w:val="center"/>
              <w:rPr>
                <w:rFonts w:cs="Calibri"/>
                <w:szCs w:val="18"/>
              </w:rPr>
            </w:pPr>
            <w:r w:rsidRPr="007837CC">
              <w:rPr>
                <w:rFonts w:cs="Calibri"/>
                <w:szCs w:val="18"/>
              </w:rPr>
              <w:t>NA</w:t>
            </w:r>
          </w:p>
        </w:tc>
        <w:tc>
          <w:tcPr>
            <w:tcW w:w="635" w:type="dxa"/>
          </w:tcPr>
          <w:p w14:paraId="30CAB17D" w14:textId="6B41F5EA" w:rsidR="00CE437D" w:rsidRPr="007837CC" w:rsidRDefault="003E7086" w:rsidP="00500FC7">
            <w:pPr>
              <w:pStyle w:val="TableText"/>
              <w:spacing w:before="40" w:after="30" w:line="230" w:lineRule="atLeast"/>
              <w:jc w:val="center"/>
              <w:rPr>
                <w:rFonts w:cs="Calibri"/>
                <w:szCs w:val="18"/>
              </w:rPr>
            </w:pPr>
            <w:r w:rsidRPr="007837CC">
              <w:rPr>
                <w:rFonts w:cs="Calibri"/>
                <w:szCs w:val="18"/>
              </w:rPr>
              <w:t>-1.7</w:t>
            </w:r>
          </w:p>
        </w:tc>
      </w:tr>
      <w:tr w:rsidR="00CE437D" w:rsidRPr="007837CC" w14:paraId="11CBB66E" w14:textId="16A93A60" w:rsidTr="00BA06ED">
        <w:tc>
          <w:tcPr>
            <w:tcW w:w="2052" w:type="dxa"/>
            <w:shd w:val="clear" w:color="auto" w:fill="auto"/>
            <w:noWrap/>
            <w:vAlign w:val="bottom"/>
            <w:hideMark/>
          </w:tcPr>
          <w:p w14:paraId="772DB067" w14:textId="62EB8FE5" w:rsidR="00CE437D" w:rsidRPr="007837CC" w:rsidRDefault="00CE437D" w:rsidP="00500FC7">
            <w:pPr>
              <w:pStyle w:val="TableText"/>
              <w:spacing w:before="40" w:after="30" w:line="230" w:lineRule="atLeast"/>
              <w:rPr>
                <w:rFonts w:cs="Calibri"/>
                <w:szCs w:val="18"/>
              </w:rPr>
            </w:pPr>
            <w:r w:rsidRPr="007837CC">
              <w:rPr>
                <w:rFonts w:cs="Calibri"/>
                <w:color w:val="000000" w:themeColor="text1"/>
                <w:szCs w:val="18"/>
              </w:rPr>
              <w:t>Step 6</w:t>
            </w:r>
            <w:r w:rsidRPr="007837CC">
              <w:rPr>
                <w:rFonts w:cs="Calibri"/>
                <w:szCs w:val="18"/>
              </w:rPr>
              <w:t xml:space="preserve"> –</w:t>
            </w:r>
            <w:r w:rsidRPr="007837CC">
              <w:rPr>
                <w:rFonts w:cs="Calibri"/>
                <w:color w:val="000000" w:themeColor="text1"/>
                <w:szCs w:val="18"/>
              </w:rPr>
              <w:t xml:space="preserve"> approved overseas units</w:t>
            </w:r>
          </w:p>
        </w:tc>
        <w:tc>
          <w:tcPr>
            <w:tcW w:w="633" w:type="dxa"/>
            <w:shd w:val="clear" w:color="auto" w:fill="auto"/>
            <w:noWrap/>
          </w:tcPr>
          <w:p w14:paraId="2ED56671" w14:textId="6E179885" w:rsidR="00CE437D" w:rsidRPr="007837CC" w:rsidRDefault="000A126C" w:rsidP="00500FC7">
            <w:pPr>
              <w:pStyle w:val="TableText"/>
              <w:spacing w:before="40" w:after="30" w:line="230" w:lineRule="atLeast"/>
              <w:jc w:val="center"/>
              <w:rPr>
                <w:rFonts w:cs="Calibri"/>
                <w:szCs w:val="18"/>
              </w:rPr>
            </w:pPr>
            <w:r w:rsidRPr="007837CC">
              <w:rPr>
                <w:rFonts w:cs="Calibri"/>
                <w:szCs w:val="18"/>
              </w:rPr>
              <w:t>0</w:t>
            </w:r>
          </w:p>
        </w:tc>
        <w:tc>
          <w:tcPr>
            <w:tcW w:w="633" w:type="dxa"/>
          </w:tcPr>
          <w:p w14:paraId="501FC5C6" w14:textId="7ABFF53B" w:rsidR="00CE437D" w:rsidRPr="007837CC" w:rsidRDefault="0039498A" w:rsidP="00500FC7">
            <w:pPr>
              <w:pStyle w:val="TableText"/>
              <w:spacing w:before="40" w:after="30" w:line="230" w:lineRule="atLeast"/>
              <w:jc w:val="center"/>
              <w:rPr>
                <w:rFonts w:cs="Calibri"/>
                <w:szCs w:val="18"/>
              </w:rPr>
            </w:pPr>
            <w:r w:rsidRPr="007837CC">
              <w:rPr>
                <w:rFonts w:cs="Calibri"/>
                <w:szCs w:val="18"/>
              </w:rPr>
              <w:t>0</w:t>
            </w:r>
          </w:p>
        </w:tc>
        <w:tc>
          <w:tcPr>
            <w:tcW w:w="633" w:type="dxa"/>
            <w:shd w:val="clear" w:color="auto" w:fill="auto"/>
            <w:noWrap/>
          </w:tcPr>
          <w:p w14:paraId="4BC7BCD0" w14:textId="08E8AEBF" w:rsidR="00CE437D" w:rsidRPr="007837CC" w:rsidRDefault="00F26ACD" w:rsidP="00500FC7">
            <w:pPr>
              <w:pStyle w:val="TableText"/>
              <w:spacing w:before="40" w:after="30" w:line="230" w:lineRule="atLeast"/>
              <w:jc w:val="center"/>
              <w:rPr>
                <w:rFonts w:cs="Calibri"/>
                <w:szCs w:val="18"/>
              </w:rPr>
            </w:pPr>
            <w:r w:rsidRPr="007837CC">
              <w:rPr>
                <w:rFonts w:cs="Calibri"/>
                <w:szCs w:val="18"/>
              </w:rPr>
              <w:t>0</w:t>
            </w:r>
          </w:p>
        </w:tc>
        <w:tc>
          <w:tcPr>
            <w:tcW w:w="635" w:type="dxa"/>
          </w:tcPr>
          <w:p w14:paraId="4D120240" w14:textId="30C7C43C" w:rsidR="00CE437D" w:rsidRPr="007837CC" w:rsidRDefault="0039498A" w:rsidP="00500FC7">
            <w:pPr>
              <w:pStyle w:val="TableText"/>
              <w:spacing w:before="40" w:after="30" w:line="230" w:lineRule="atLeast"/>
              <w:jc w:val="center"/>
              <w:rPr>
                <w:rFonts w:cs="Calibri"/>
                <w:szCs w:val="18"/>
              </w:rPr>
            </w:pPr>
            <w:r w:rsidRPr="007837CC">
              <w:rPr>
                <w:rFonts w:cs="Calibri"/>
                <w:szCs w:val="18"/>
              </w:rPr>
              <w:t>0</w:t>
            </w:r>
          </w:p>
        </w:tc>
        <w:tc>
          <w:tcPr>
            <w:tcW w:w="633" w:type="dxa"/>
            <w:shd w:val="clear" w:color="auto" w:fill="auto"/>
            <w:noWrap/>
          </w:tcPr>
          <w:p w14:paraId="48A36781" w14:textId="618488B6" w:rsidR="00CE437D" w:rsidRPr="007837CC" w:rsidRDefault="00F26ACD" w:rsidP="00500FC7">
            <w:pPr>
              <w:pStyle w:val="TableText"/>
              <w:spacing w:before="40" w:after="30" w:line="230" w:lineRule="atLeast"/>
              <w:jc w:val="center"/>
              <w:rPr>
                <w:rFonts w:cs="Calibri"/>
                <w:szCs w:val="18"/>
              </w:rPr>
            </w:pPr>
            <w:r w:rsidRPr="007837CC">
              <w:rPr>
                <w:rFonts w:cs="Calibri"/>
                <w:szCs w:val="18"/>
              </w:rPr>
              <w:t>0</w:t>
            </w:r>
          </w:p>
        </w:tc>
        <w:tc>
          <w:tcPr>
            <w:tcW w:w="633" w:type="dxa"/>
          </w:tcPr>
          <w:p w14:paraId="4E5CC031" w14:textId="50DFB24B" w:rsidR="00CE437D" w:rsidRPr="007837CC" w:rsidRDefault="0039498A" w:rsidP="00500FC7">
            <w:pPr>
              <w:pStyle w:val="TableText"/>
              <w:spacing w:before="40" w:after="30" w:line="230" w:lineRule="atLeast"/>
              <w:jc w:val="center"/>
              <w:rPr>
                <w:rFonts w:cs="Calibri"/>
                <w:szCs w:val="18"/>
              </w:rPr>
            </w:pPr>
            <w:r w:rsidRPr="007837CC">
              <w:rPr>
                <w:rFonts w:cs="Calibri"/>
                <w:szCs w:val="18"/>
              </w:rPr>
              <w:t>0</w:t>
            </w:r>
          </w:p>
        </w:tc>
        <w:tc>
          <w:tcPr>
            <w:tcW w:w="633" w:type="dxa"/>
            <w:shd w:val="clear" w:color="auto" w:fill="auto"/>
            <w:noWrap/>
          </w:tcPr>
          <w:p w14:paraId="3FC6A7F0" w14:textId="347D9837" w:rsidR="00CE437D" w:rsidRPr="007837CC" w:rsidRDefault="00F26ACD" w:rsidP="00500FC7">
            <w:pPr>
              <w:pStyle w:val="TableText"/>
              <w:spacing w:before="40" w:after="30" w:line="230" w:lineRule="atLeast"/>
              <w:jc w:val="center"/>
              <w:rPr>
                <w:rFonts w:cs="Calibri"/>
                <w:szCs w:val="18"/>
              </w:rPr>
            </w:pPr>
            <w:r w:rsidRPr="007837CC">
              <w:rPr>
                <w:rFonts w:cs="Calibri"/>
                <w:szCs w:val="18"/>
              </w:rPr>
              <w:t>0</w:t>
            </w:r>
          </w:p>
        </w:tc>
        <w:tc>
          <w:tcPr>
            <w:tcW w:w="635" w:type="dxa"/>
          </w:tcPr>
          <w:p w14:paraId="67A7A29C" w14:textId="14D9A21A" w:rsidR="00CE437D" w:rsidRPr="007837CC" w:rsidRDefault="0039498A" w:rsidP="00500FC7">
            <w:pPr>
              <w:pStyle w:val="TableText"/>
              <w:spacing w:before="40" w:after="30" w:line="230" w:lineRule="atLeast"/>
              <w:jc w:val="center"/>
              <w:rPr>
                <w:rFonts w:cs="Calibri"/>
                <w:szCs w:val="18"/>
              </w:rPr>
            </w:pPr>
            <w:r w:rsidRPr="007837CC">
              <w:rPr>
                <w:rFonts w:cs="Calibri"/>
                <w:szCs w:val="18"/>
              </w:rPr>
              <w:t>0</w:t>
            </w:r>
          </w:p>
        </w:tc>
        <w:tc>
          <w:tcPr>
            <w:tcW w:w="635" w:type="dxa"/>
            <w:shd w:val="clear" w:color="auto" w:fill="auto"/>
            <w:noWrap/>
          </w:tcPr>
          <w:p w14:paraId="4325877E" w14:textId="5145579C" w:rsidR="00CE437D" w:rsidRPr="007837CC" w:rsidRDefault="00F26ACD" w:rsidP="00500FC7">
            <w:pPr>
              <w:pStyle w:val="TableText"/>
              <w:spacing w:before="40" w:after="30" w:line="230" w:lineRule="atLeast"/>
              <w:jc w:val="center"/>
              <w:rPr>
                <w:rFonts w:cs="Calibri"/>
                <w:szCs w:val="18"/>
              </w:rPr>
            </w:pPr>
            <w:r w:rsidRPr="007837CC">
              <w:rPr>
                <w:rFonts w:cs="Calibri"/>
                <w:szCs w:val="18"/>
              </w:rPr>
              <w:t>0</w:t>
            </w:r>
          </w:p>
        </w:tc>
        <w:tc>
          <w:tcPr>
            <w:tcW w:w="635" w:type="dxa"/>
          </w:tcPr>
          <w:p w14:paraId="753142B9" w14:textId="7C2C770A" w:rsidR="00CE437D" w:rsidRPr="007837CC" w:rsidRDefault="0039498A" w:rsidP="00500FC7">
            <w:pPr>
              <w:pStyle w:val="TableText"/>
              <w:spacing w:before="40" w:after="30" w:line="230" w:lineRule="atLeast"/>
              <w:jc w:val="center"/>
              <w:rPr>
                <w:rFonts w:cs="Calibri"/>
                <w:szCs w:val="18"/>
              </w:rPr>
            </w:pPr>
            <w:r w:rsidRPr="007837CC">
              <w:rPr>
                <w:rFonts w:cs="Calibri"/>
                <w:szCs w:val="18"/>
              </w:rPr>
              <w:t>0</w:t>
            </w:r>
          </w:p>
        </w:tc>
      </w:tr>
      <w:tr w:rsidR="00CE437D" w:rsidRPr="007837CC" w14:paraId="503803E5" w14:textId="0ACB5C8D" w:rsidTr="00BA06ED">
        <w:tc>
          <w:tcPr>
            <w:tcW w:w="2052" w:type="dxa"/>
            <w:shd w:val="clear" w:color="auto" w:fill="auto"/>
            <w:noWrap/>
            <w:vAlign w:val="bottom"/>
            <w:hideMark/>
          </w:tcPr>
          <w:p w14:paraId="4F2262A4" w14:textId="01FC3B68" w:rsidR="00CE437D" w:rsidRPr="007837CC" w:rsidRDefault="00CE437D" w:rsidP="00500FC7">
            <w:pPr>
              <w:pStyle w:val="TableTextbold"/>
              <w:spacing w:before="40" w:after="30" w:line="230" w:lineRule="atLeast"/>
              <w:rPr>
                <w:rFonts w:cs="Calibri"/>
                <w:szCs w:val="18"/>
              </w:rPr>
            </w:pPr>
            <w:r w:rsidRPr="007837CC">
              <w:rPr>
                <w:rFonts w:cs="Calibri"/>
                <w:szCs w:val="18"/>
              </w:rPr>
              <w:t>Step 7 – NZU auction volumes</w:t>
            </w:r>
          </w:p>
        </w:tc>
        <w:tc>
          <w:tcPr>
            <w:tcW w:w="633" w:type="dxa"/>
            <w:shd w:val="clear" w:color="auto" w:fill="auto"/>
            <w:noWrap/>
          </w:tcPr>
          <w:p w14:paraId="752F0EC2" w14:textId="5A63F021" w:rsidR="00CE437D" w:rsidRPr="007837CC" w:rsidRDefault="00961ABD" w:rsidP="00500FC7">
            <w:pPr>
              <w:pStyle w:val="TableTextbold"/>
              <w:spacing w:before="40" w:after="30" w:line="230" w:lineRule="atLeast"/>
              <w:jc w:val="center"/>
              <w:rPr>
                <w:rFonts w:cs="Calibri"/>
                <w:szCs w:val="18"/>
              </w:rPr>
            </w:pPr>
            <w:r w:rsidRPr="007837CC">
              <w:rPr>
                <w:rFonts w:cs="Calibri"/>
                <w:szCs w:val="18"/>
              </w:rPr>
              <w:t>17.1</w:t>
            </w:r>
          </w:p>
        </w:tc>
        <w:tc>
          <w:tcPr>
            <w:tcW w:w="633" w:type="dxa"/>
          </w:tcPr>
          <w:p w14:paraId="22887041" w14:textId="4B5E9F21" w:rsidR="00CE437D" w:rsidRPr="007837CC" w:rsidRDefault="00781A82" w:rsidP="00500FC7">
            <w:pPr>
              <w:pStyle w:val="TableTextbold"/>
              <w:spacing w:before="40" w:after="30" w:line="230" w:lineRule="atLeast"/>
              <w:jc w:val="center"/>
              <w:rPr>
                <w:rFonts w:cs="Calibri"/>
                <w:szCs w:val="18"/>
              </w:rPr>
            </w:pPr>
            <w:r w:rsidRPr="007837CC">
              <w:rPr>
                <w:rFonts w:cs="Calibri"/>
                <w:szCs w:val="18"/>
              </w:rPr>
              <w:t>17.1</w:t>
            </w:r>
          </w:p>
        </w:tc>
        <w:tc>
          <w:tcPr>
            <w:tcW w:w="633" w:type="dxa"/>
            <w:shd w:val="clear" w:color="auto" w:fill="auto"/>
            <w:noWrap/>
          </w:tcPr>
          <w:p w14:paraId="295618DF" w14:textId="7865E5E3" w:rsidR="00CE437D" w:rsidRPr="007837CC" w:rsidRDefault="00921B89" w:rsidP="00500FC7">
            <w:pPr>
              <w:pStyle w:val="TableTextbold"/>
              <w:spacing w:before="40" w:after="30" w:line="230" w:lineRule="atLeast"/>
              <w:jc w:val="center"/>
              <w:rPr>
                <w:rFonts w:cs="Calibri"/>
                <w:szCs w:val="18"/>
              </w:rPr>
            </w:pPr>
            <w:r w:rsidRPr="007837CC">
              <w:rPr>
                <w:rFonts w:cs="Calibri"/>
                <w:szCs w:val="18"/>
              </w:rPr>
              <w:t>15.3</w:t>
            </w:r>
          </w:p>
        </w:tc>
        <w:tc>
          <w:tcPr>
            <w:tcW w:w="635" w:type="dxa"/>
          </w:tcPr>
          <w:p w14:paraId="6B013864" w14:textId="01014227" w:rsidR="00CE437D" w:rsidRPr="007837CC" w:rsidRDefault="00781A82" w:rsidP="00500FC7">
            <w:pPr>
              <w:pStyle w:val="TableTextbold"/>
              <w:spacing w:before="40" w:after="30" w:line="230" w:lineRule="atLeast"/>
              <w:jc w:val="center"/>
              <w:rPr>
                <w:rFonts w:cs="Calibri"/>
                <w:szCs w:val="18"/>
              </w:rPr>
            </w:pPr>
            <w:r w:rsidRPr="007837CC">
              <w:rPr>
                <w:rFonts w:cs="Calibri"/>
                <w:szCs w:val="18"/>
              </w:rPr>
              <w:t>15.3</w:t>
            </w:r>
          </w:p>
        </w:tc>
        <w:tc>
          <w:tcPr>
            <w:tcW w:w="633" w:type="dxa"/>
            <w:shd w:val="clear" w:color="auto" w:fill="auto"/>
            <w:noWrap/>
          </w:tcPr>
          <w:p w14:paraId="6704E82B" w14:textId="05509CC4" w:rsidR="00CE437D" w:rsidRPr="007837CC" w:rsidRDefault="00921B89" w:rsidP="00500FC7">
            <w:pPr>
              <w:pStyle w:val="TableTextbold"/>
              <w:spacing w:before="40" w:after="30" w:line="230" w:lineRule="atLeast"/>
              <w:jc w:val="center"/>
              <w:rPr>
                <w:rFonts w:cs="Calibri"/>
                <w:szCs w:val="18"/>
              </w:rPr>
            </w:pPr>
            <w:r w:rsidRPr="007837CC">
              <w:rPr>
                <w:rFonts w:cs="Calibri"/>
                <w:szCs w:val="18"/>
              </w:rPr>
              <w:t>13.5</w:t>
            </w:r>
          </w:p>
        </w:tc>
        <w:tc>
          <w:tcPr>
            <w:tcW w:w="633" w:type="dxa"/>
          </w:tcPr>
          <w:p w14:paraId="4B7557DC" w14:textId="47E4A847" w:rsidR="00CE437D" w:rsidRPr="007837CC" w:rsidRDefault="00781A82" w:rsidP="00500FC7">
            <w:pPr>
              <w:pStyle w:val="TableTextbold"/>
              <w:spacing w:before="40" w:after="30" w:line="230" w:lineRule="atLeast"/>
              <w:jc w:val="center"/>
              <w:rPr>
                <w:rFonts w:cs="Calibri"/>
                <w:szCs w:val="18"/>
              </w:rPr>
            </w:pPr>
            <w:r w:rsidRPr="007837CC">
              <w:rPr>
                <w:rFonts w:cs="Calibri"/>
                <w:szCs w:val="18"/>
              </w:rPr>
              <w:t>8.5</w:t>
            </w:r>
          </w:p>
        </w:tc>
        <w:tc>
          <w:tcPr>
            <w:tcW w:w="633" w:type="dxa"/>
            <w:shd w:val="clear" w:color="auto" w:fill="auto"/>
            <w:noWrap/>
          </w:tcPr>
          <w:p w14:paraId="424BAC90" w14:textId="7145E6BA" w:rsidR="00CE437D" w:rsidRPr="007837CC" w:rsidRDefault="00921B89" w:rsidP="00500FC7">
            <w:pPr>
              <w:pStyle w:val="TableTextbold"/>
              <w:spacing w:before="40" w:after="30" w:line="230" w:lineRule="atLeast"/>
              <w:jc w:val="center"/>
              <w:rPr>
                <w:rFonts w:cs="Calibri"/>
                <w:szCs w:val="18"/>
              </w:rPr>
            </w:pPr>
            <w:r w:rsidRPr="007837CC">
              <w:rPr>
                <w:rFonts w:cs="Calibri"/>
                <w:szCs w:val="18"/>
              </w:rPr>
              <w:t>11.7</w:t>
            </w:r>
          </w:p>
        </w:tc>
        <w:tc>
          <w:tcPr>
            <w:tcW w:w="635" w:type="dxa"/>
          </w:tcPr>
          <w:p w14:paraId="7EB775C0" w14:textId="55F8655E" w:rsidR="00CE437D" w:rsidRPr="007837CC" w:rsidRDefault="00781A82" w:rsidP="00500FC7">
            <w:pPr>
              <w:pStyle w:val="TableTextbold"/>
              <w:spacing w:before="40" w:after="30" w:line="230" w:lineRule="atLeast"/>
              <w:jc w:val="center"/>
              <w:rPr>
                <w:rFonts w:cs="Calibri"/>
                <w:szCs w:val="18"/>
              </w:rPr>
            </w:pPr>
            <w:r w:rsidRPr="007837CC">
              <w:rPr>
                <w:rFonts w:cs="Calibri"/>
                <w:szCs w:val="18"/>
              </w:rPr>
              <w:t>7.1</w:t>
            </w:r>
          </w:p>
        </w:tc>
        <w:tc>
          <w:tcPr>
            <w:tcW w:w="635" w:type="dxa"/>
            <w:shd w:val="clear" w:color="auto" w:fill="auto"/>
            <w:noWrap/>
          </w:tcPr>
          <w:p w14:paraId="6C27DC36" w14:textId="662A1B99" w:rsidR="00CE437D" w:rsidRPr="007837CC" w:rsidRDefault="00D67EDF" w:rsidP="00500FC7">
            <w:pPr>
              <w:pStyle w:val="TableTextbold"/>
              <w:spacing w:before="40" w:after="30" w:line="230" w:lineRule="atLeast"/>
              <w:jc w:val="center"/>
              <w:rPr>
                <w:rFonts w:cs="Calibri"/>
                <w:szCs w:val="18"/>
              </w:rPr>
            </w:pPr>
            <w:r w:rsidRPr="007837CC">
              <w:rPr>
                <w:rFonts w:cs="Calibri"/>
                <w:szCs w:val="18"/>
              </w:rPr>
              <w:t>9.6</w:t>
            </w:r>
          </w:p>
        </w:tc>
        <w:tc>
          <w:tcPr>
            <w:tcW w:w="635" w:type="dxa"/>
          </w:tcPr>
          <w:p w14:paraId="36AA4BB7" w14:textId="5A51F2BA" w:rsidR="00CE437D" w:rsidRPr="007837CC" w:rsidRDefault="0039498A" w:rsidP="00500FC7">
            <w:pPr>
              <w:pStyle w:val="TableTextbold"/>
              <w:spacing w:before="40" w:after="30" w:line="230" w:lineRule="atLeast"/>
              <w:jc w:val="center"/>
              <w:rPr>
                <w:rFonts w:cs="Calibri"/>
                <w:szCs w:val="18"/>
              </w:rPr>
            </w:pPr>
            <w:r w:rsidRPr="007837CC">
              <w:rPr>
                <w:rFonts w:cs="Calibri"/>
                <w:szCs w:val="18"/>
              </w:rPr>
              <w:t>5.2</w:t>
            </w:r>
          </w:p>
        </w:tc>
      </w:tr>
    </w:tbl>
    <w:p w14:paraId="23DF3448" w14:textId="57C7AAE1" w:rsidR="00400DC2" w:rsidRPr="007837CC" w:rsidRDefault="00400DC2" w:rsidP="00183676">
      <w:pPr>
        <w:pStyle w:val="Note"/>
        <w:spacing w:before="120"/>
      </w:pPr>
      <w:r w:rsidRPr="007837CC">
        <w:t xml:space="preserve">Note: CCC = </w:t>
      </w:r>
      <w:r w:rsidR="00CD0296" w:rsidRPr="007837CC">
        <w:t>Climate Change Commission recommendation</w:t>
      </w:r>
    </w:p>
    <w:p w14:paraId="40247E59" w14:textId="77777777" w:rsidR="00EC74CA" w:rsidRDefault="00EC74CA">
      <w:pPr>
        <w:spacing w:before="0" w:after="0" w:line="240" w:lineRule="auto"/>
        <w:jc w:val="left"/>
        <w:rPr>
          <w:rFonts w:eastAsiaTheme="minorEastAsia" w:cstheme="minorBidi"/>
        </w:rPr>
      </w:pPr>
      <w:r>
        <w:br w:type="page"/>
      </w:r>
    </w:p>
    <w:p w14:paraId="4048C211" w14:textId="40BD7B00" w:rsidR="009A7E5A" w:rsidRPr="007837CC" w:rsidRDefault="0046717C" w:rsidP="00BA06ED">
      <w:pPr>
        <w:pStyle w:val="BodyText"/>
      </w:pPr>
      <w:r w:rsidRPr="007837CC">
        <w:lastRenderedPageBreak/>
        <w:t xml:space="preserve">The resulting auction volumes will vary depending on the options chosen at steps </w:t>
      </w:r>
      <w:r w:rsidR="005B4390" w:rsidRPr="007837CC">
        <w:t>2</w:t>
      </w:r>
      <w:r w:rsidRPr="007837CC">
        <w:t xml:space="preserve"> (</w:t>
      </w:r>
      <w:r w:rsidR="005B4390" w:rsidRPr="007837CC">
        <w:t xml:space="preserve">allocating </w:t>
      </w:r>
      <w:r w:rsidR="005B4390" w:rsidRPr="007837CC">
        <w:rPr>
          <w:spacing w:val="-2"/>
        </w:rPr>
        <w:t>emissions budget</w:t>
      </w:r>
      <w:r w:rsidRPr="007837CC">
        <w:rPr>
          <w:spacing w:val="-2"/>
        </w:rPr>
        <w:t>)</w:t>
      </w:r>
      <w:r w:rsidR="005B4390" w:rsidRPr="007837CC">
        <w:rPr>
          <w:spacing w:val="-2"/>
        </w:rPr>
        <w:t>, 3 (technical adjustment</w:t>
      </w:r>
      <w:r w:rsidR="009A2136" w:rsidRPr="007837CC">
        <w:rPr>
          <w:spacing w:val="-2"/>
        </w:rPr>
        <w:t>s)</w:t>
      </w:r>
      <w:r w:rsidR="00400DC2" w:rsidRPr="007837CC">
        <w:rPr>
          <w:spacing w:val="-2"/>
        </w:rPr>
        <w:t>,</w:t>
      </w:r>
      <w:r w:rsidR="009A2136" w:rsidRPr="007837CC">
        <w:rPr>
          <w:spacing w:val="-2"/>
        </w:rPr>
        <w:t xml:space="preserve"> </w:t>
      </w:r>
      <w:r w:rsidRPr="007837CC">
        <w:rPr>
          <w:spacing w:val="-2"/>
        </w:rPr>
        <w:t xml:space="preserve">and </w:t>
      </w:r>
      <w:r w:rsidR="009A2136" w:rsidRPr="007837CC">
        <w:rPr>
          <w:spacing w:val="-2"/>
        </w:rPr>
        <w:t xml:space="preserve">the </w:t>
      </w:r>
      <w:r w:rsidR="00A9074E" w:rsidRPr="007837CC">
        <w:rPr>
          <w:spacing w:val="-2"/>
        </w:rPr>
        <w:t xml:space="preserve">new </w:t>
      </w:r>
      <w:r w:rsidR="009A2136" w:rsidRPr="007837CC">
        <w:rPr>
          <w:spacing w:val="-2"/>
        </w:rPr>
        <w:t xml:space="preserve">step </w:t>
      </w:r>
      <w:r w:rsidRPr="007837CC">
        <w:rPr>
          <w:spacing w:val="-2"/>
        </w:rPr>
        <w:t>5</w:t>
      </w:r>
      <w:r w:rsidR="009A2136" w:rsidRPr="007837CC">
        <w:rPr>
          <w:spacing w:val="-2"/>
        </w:rPr>
        <w:t>b proposed by the Commission</w:t>
      </w:r>
      <w:r w:rsidRPr="007837CC">
        <w:t xml:space="preserve"> (</w:t>
      </w:r>
      <w:r w:rsidR="009A2136" w:rsidRPr="007837CC">
        <w:t>discrepancy adjustment</w:t>
      </w:r>
      <w:r w:rsidRPr="007837CC">
        <w:t>). T</w:t>
      </w:r>
      <w:r w:rsidR="007F33CE" w:rsidRPr="007837CC">
        <w:t xml:space="preserve">able </w:t>
      </w:r>
      <w:r w:rsidR="00D705A4" w:rsidRPr="007837CC">
        <w:t>12</w:t>
      </w:r>
      <w:r w:rsidR="007F33CE" w:rsidRPr="007837CC">
        <w:t xml:space="preserve"> presents t</w:t>
      </w:r>
      <w:r w:rsidRPr="007837CC">
        <w:t>he range of auction volumes resulting from these</w:t>
      </w:r>
      <w:r w:rsidR="00BA06ED" w:rsidRPr="007837CC">
        <w:t> </w:t>
      </w:r>
      <w:r w:rsidRPr="007837CC">
        <w:t>options</w:t>
      </w:r>
      <w:r w:rsidR="008233FC" w:rsidRPr="007837CC">
        <w:t xml:space="preserve">. </w:t>
      </w:r>
    </w:p>
    <w:p w14:paraId="54820764" w14:textId="483E2AC5" w:rsidR="00AC5A31" w:rsidRPr="007837CC" w:rsidRDefault="00AC5A31" w:rsidP="00D1413F">
      <w:pPr>
        <w:pStyle w:val="Tableheading"/>
      </w:pPr>
      <w:bookmarkStart w:id="47" w:name="_Toc133927346"/>
      <w:r w:rsidRPr="007837CC">
        <w:t xml:space="preserve">Table </w:t>
      </w:r>
      <w:r w:rsidR="00D705A4" w:rsidRPr="007837CC">
        <w:t>12</w:t>
      </w:r>
      <w:r w:rsidR="00400DC2" w:rsidRPr="007837CC">
        <w:t>:</w:t>
      </w:r>
      <w:r w:rsidRPr="007837CC">
        <w:t xml:space="preserve"> </w:t>
      </w:r>
      <w:r w:rsidR="00EC56D5" w:rsidRPr="007837CC">
        <w:tab/>
      </w:r>
      <w:r w:rsidRPr="007837CC">
        <w:t xml:space="preserve">Commission and </w:t>
      </w:r>
      <w:r w:rsidR="00400DC2" w:rsidRPr="007837CC">
        <w:t>s</w:t>
      </w:r>
      <w:r w:rsidRPr="007837CC">
        <w:t>tatus quo extended auction volumes</w:t>
      </w:r>
      <w:bookmarkEnd w:id="47"/>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ayout w:type="fixed"/>
        <w:tblLook w:val="04A0" w:firstRow="1" w:lastRow="0" w:firstColumn="1" w:lastColumn="0" w:noHBand="0" w:noVBand="1"/>
      </w:tblPr>
      <w:tblGrid>
        <w:gridCol w:w="5221"/>
        <w:gridCol w:w="656"/>
        <w:gridCol w:w="657"/>
        <w:gridCol w:w="657"/>
        <w:gridCol w:w="657"/>
        <w:gridCol w:w="657"/>
      </w:tblGrid>
      <w:tr w:rsidR="00A85C99" w:rsidRPr="007837CC" w14:paraId="69F38431" w14:textId="77777777">
        <w:trPr>
          <w:tblHeader/>
        </w:trPr>
        <w:tc>
          <w:tcPr>
            <w:tcW w:w="5221" w:type="dxa"/>
            <w:shd w:val="clear" w:color="auto" w:fill="1B556B" w:themeFill="text2"/>
            <w:noWrap/>
            <w:vAlign w:val="bottom"/>
            <w:hideMark/>
          </w:tcPr>
          <w:p w14:paraId="22CFFB26" w14:textId="77777777" w:rsidR="00A85C99" w:rsidRPr="007837CC" w:rsidRDefault="00A85C99">
            <w:pPr>
              <w:pStyle w:val="TableTextbold"/>
              <w:keepNext/>
              <w:spacing w:before="40" w:after="30"/>
              <w:rPr>
                <w:rFonts w:cs="Calibri"/>
                <w:bCs/>
                <w:color w:val="FFFFFF" w:themeColor="background1"/>
              </w:rPr>
            </w:pPr>
          </w:p>
        </w:tc>
        <w:tc>
          <w:tcPr>
            <w:tcW w:w="3284" w:type="dxa"/>
            <w:gridSpan w:val="5"/>
            <w:shd w:val="clear" w:color="auto" w:fill="1B556B" w:themeFill="text2"/>
            <w:noWrap/>
            <w:vAlign w:val="bottom"/>
            <w:hideMark/>
          </w:tcPr>
          <w:p w14:paraId="64AD5DC7" w14:textId="77B00B12" w:rsidR="00A85C99" w:rsidRPr="007837CC" w:rsidRDefault="00A85C99" w:rsidP="00A85C99">
            <w:pPr>
              <w:pStyle w:val="TableTextbold"/>
              <w:keepNext/>
              <w:spacing w:before="40" w:after="30"/>
              <w:jc w:val="center"/>
              <w:rPr>
                <w:rFonts w:cs="Calibri"/>
                <w:bCs/>
                <w:color w:val="FFFFFF" w:themeColor="background1"/>
              </w:rPr>
            </w:pPr>
            <w:r>
              <w:rPr>
                <w:rFonts w:cs="Calibri"/>
                <w:bCs/>
                <w:color w:val="FFFFFF" w:themeColor="background1"/>
              </w:rPr>
              <w:t xml:space="preserve">Millions of </w:t>
            </w:r>
            <w:r w:rsidR="00541298">
              <w:rPr>
                <w:rFonts w:cs="Calibri"/>
                <w:bCs/>
                <w:color w:val="FFFFFF" w:themeColor="background1"/>
              </w:rPr>
              <w:t>NZUs</w:t>
            </w:r>
          </w:p>
        </w:tc>
      </w:tr>
      <w:tr w:rsidR="00005E45" w:rsidRPr="007837CC" w14:paraId="7D755909" w14:textId="77777777" w:rsidTr="00A85C99">
        <w:trPr>
          <w:tblHeader/>
        </w:trPr>
        <w:tc>
          <w:tcPr>
            <w:tcW w:w="5221" w:type="dxa"/>
            <w:shd w:val="clear" w:color="auto" w:fill="1B556B" w:themeFill="text2"/>
            <w:noWrap/>
            <w:vAlign w:val="bottom"/>
            <w:hideMark/>
          </w:tcPr>
          <w:p w14:paraId="745540F4" w14:textId="01FE9CC0" w:rsidR="002F05C5" w:rsidRPr="007837CC" w:rsidRDefault="002F05C5" w:rsidP="006C6D34">
            <w:pPr>
              <w:pStyle w:val="TableTextbold"/>
              <w:keepNext/>
              <w:spacing w:before="40" w:after="30"/>
              <w:rPr>
                <w:rFonts w:cs="Calibri"/>
                <w:bCs/>
                <w:color w:val="FFFFFF" w:themeColor="background1"/>
              </w:rPr>
            </w:pPr>
          </w:p>
        </w:tc>
        <w:tc>
          <w:tcPr>
            <w:tcW w:w="656" w:type="dxa"/>
            <w:shd w:val="clear" w:color="auto" w:fill="1B556B" w:themeFill="text2"/>
            <w:noWrap/>
            <w:vAlign w:val="bottom"/>
            <w:hideMark/>
          </w:tcPr>
          <w:p w14:paraId="5D3788DD" w14:textId="77777777" w:rsidR="002F05C5" w:rsidRPr="007837CC" w:rsidRDefault="002F05C5" w:rsidP="006C6D34">
            <w:pPr>
              <w:pStyle w:val="TableTextbold"/>
              <w:keepNext/>
              <w:spacing w:before="40" w:after="30"/>
              <w:jc w:val="center"/>
              <w:rPr>
                <w:rFonts w:cs="Calibri"/>
                <w:bCs/>
                <w:color w:val="FFFFFF" w:themeColor="background1"/>
              </w:rPr>
            </w:pPr>
            <w:r w:rsidRPr="007837CC">
              <w:rPr>
                <w:rFonts w:cs="Calibri"/>
                <w:bCs/>
                <w:color w:val="FFFFFF" w:themeColor="background1"/>
              </w:rPr>
              <w:t>2024</w:t>
            </w:r>
          </w:p>
        </w:tc>
        <w:tc>
          <w:tcPr>
            <w:tcW w:w="657" w:type="dxa"/>
            <w:shd w:val="clear" w:color="auto" w:fill="1B556B" w:themeFill="text2"/>
            <w:noWrap/>
            <w:vAlign w:val="bottom"/>
            <w:hideMark/>
          </w:tcPr>
          <w:p w14:paraId="192C8A04" w14:textId="77777777" w:rsidR="002F05C5" w:rsidRPr="007837CC" w:rsidRDefault="002F05C5" w:rsidP="006C6D34">
            <w:pPr>
              <w:pStyle w:val="TableTextbold"/>
              <w:keepNext/>
              <w:spacing w:before="40" w:after="30"/>
              <w:jc w:val="center"/>
              <w:rPr>
                <w:rFonts w:cs="Calibri"/>
                <w:bCs/>
                <w:color w:val="FFFFFF" w:themeColor="background1"/>
              </w:rPr>
            </w:pPr>
            <w:r w:rsidRPr="007837CC">
              <w:rPr>
                <w:rFonts w:cs="Calibri"/>
                <w:bCs/>
                <w:color w:val="FFFFFF" w:themeColor="background1"/>
              </w:rPr>
              <w:t>2025</w:t>
            </w:r>
          </w:p>
        </w:tc>
        <w:tc>
          <w:tcPr>
            <w:tcW w:w="657" w:type="dxa"/>
            <w:shd w:val="clear" w:color="auto" w:fill="1B556B" w:themeFill="text2"/>
            <w:noWrap/>
            <w:vAlign w:val="bottom"/>
            <w:hideMark/>
          </w:tcPr>
          <w:p w14:paraId="5F8198F0" w14:textId="77777777" w:rsidR="002F05C5" w:rsidRPr="007837CC" w:rsidRDefault="002F05C5" w:rsidP="006C6D34">
            <w:pPr>
              <w:pStyle w:val="TableTextbold"/>
              <w:keepNext/>
              <w:spacing w:before="40" w:after="30"/>
              <w:jc w:val="center"/>
              <w:rPr>
                <w:rFonts w:cs="Calibri"/>
                <w:bCs/>
                <w:color w:val="FFFFFF" w:themeColor="background1"/>
              </w:rPr>
            </w:pPr>
            <w:r w:rsidRPr="007837CC">
              <w:rPr>
                <w:rFonts w:cs="Calibri"/>
                <w:bCs/>
                <w:color w:val="FFFFFF" w:themeColor="background1"/>
              </w:rPr>
              <w:t>2026</w:t>
            </w:r>
          </w:p>
        </w:tc>
        <w:tc>
          <w:tcPr>
            <w:tcW w:w="657" w:type="dxa"/>
            <w:shd w:val="clear" w:color="auto" w:fill="1B556B" w:themeFill="text2"/>
            <w:noWrap/>
            <w:vAlign w:val="bottom"/>
            <w:hideMark/>
          </w:tcPr>
          <w:p w14:paraId="4FB8AA23" w14:textId="77777777" w:rsidR="002F05C5" w:rsidRPr="007837CC" w:rsidRDefault="002F05C5" w:rsidP="006C6D34">
            <w:pPr>
              <w:pStyle w:val="TableTextbold"/>
              <w:keepNext/>
              <w:spacing w:before="40" w:after="30"/>
              <w:jc w:val="center"/>
              <w:rPr>
                <w:rFonts w:cs="Calibri"/>
                <w:bCs/>
                <w:color w:val="FFFFFF" w:themeColor="background1"/>
              </w:rPr>
            </w:pPr>
            <w:r w:rsidRPr="007837CC">
              <w:rPr>
                <w:rFonts w:cs="Calibri"/>
                <w:bCs/>
                <w:color w:val="FFFFFF" w:themeColor="background1"/>
              </w:rPr>
              <w:t>2027</w:t>
            </w:r>
          </w:p>
        </w:tc>
        <w:tc>
          <w:tcPr>
            <w:tcW w:w="657" w:type="dxa"/>
            <w:shd w:val="clear" w:color="auto" w:fill="1B556B" w:themeFill="text2"/>
            <w:noWrap/>
            <w:vAlign w:val="bottom"/>
            <w:hideMark/>
          </w:tcPr>
          <w:p w14:paraId="2DCDAB7E" w14:textId="77777777" w:rsidR="002F05C5" w:rsidRPr="007837CC" w:rsidRDefault="002F05C5" w:rsidP="006C6D34">
            <w:pPr>
              <w:pStyle w:val="TableTextbold"/>
              <w:keepNext/>
              <w:spacing w:before="40" w:after="30"/>
              <w:jc w:val="center"/>
              <w:rPr>
                <w:rFonts w:cs="Calibri"/>
                <w:bCs/>
                <w:color w:val="FFFFFF" w:themeColor="background1"/>
              </w:rPr>
            </w:pPr>
            <w:r w:rsidRPr="007837CC">
              <w:rPr>
                <w:rFonts w:cs="Calibri"/>
                <w:bCs/>
                <w:color w:val="FFFFFF" w:themeColor="background1"/>
              </w:rPr>
              <w:t>2028</w:t>
            </w:r>
          </w:p>
        </w:tc>
      </w:tr>
      <w:tr w:rsidR="002F05C5" w:rsidRPr="007837CC" w14:paraId="14E77771" w14:textId="77777777" w:rsidTr="00A85C99">
        <w:tc>
          <w:tcPr>
            <w:tcW w:w="5221" w:type="dxa"/>
            <w:shd w:val="clear" w:color="auto" w:fill="auto"/>
            <w:noWrap/>
            <w:hideMark/>
          </w:tcPr>
          <w:p w14:paraId="5E3DC4FE" w14:textId="4FC90D39" w:rsidR="002F05C5" w:rsidRPr="007837CC" w:rsidRDefault="002F05C5" w:rsidP="006C6D34">
            <w:pPr>
              <w:pStyle w:val="TableText"/>
              <w:spacing w:before="40" w:after="30"/>
              <w:rPr>
                <w:color w:val="000000" w:themeColor="text1"/>
              </w:rPr>
            </w:pPr>
            <w:r w:rsidRPr="007837CC">
              <w:rPr>
                <w:color w:val="000000" w:themeColor="text1"/>
              </w:rPr>
              <w:t>Status quo auction volumes</w:t>
            </w:r>
          </w:p>
        </w:tc>
        <w:tc>
          <w:tcPr>
            <w:tcW w:w="656" w:type="dxa"/>
            <w:shd w:val="clear" w:color="auto" w:fill="auto"/>
            <w:noWrap/>
          </w:tcPr>
          <w:p w14:paraId="02BB326C" w14:textId="62CEA20D" w:rsidR="002F05C5" w:rsidRPr="007837CC" w:rsidRDefault="00A9074E" w:rsidP="006C6D34">
            <w:pPr>
              <w:pStyle w:val="TableText"/>
              <w:spacing w:before="40" w:after="30"/>
              <w:jc w:val="center"/>
            </w:pPr>
            <w:r w:rsidRPr="007837CC">
              <w:t>17.1</w:t>
            </w:r>
          </w:p>
        </w:tc>
        <w:tc>
          <w:tcPr>
            <w:tcW w:w="657" w:type="dxa"/>
            <w:shd w:val="clear" w:color="auto" w:fill="auto"/>
            <w:noWrap/>
          </w:tcPr>
          <w:p w14:paraId="6527B303" w14:textId="6D4D7949" w:rsidR="002F05C5" w:rsidRPr="007837CC" w:rsidRDefault="00A9074E" w:rsidP="006C6D34">
            <w:pPr>
              <w:pStyle w:val="TableText"/>
              <w:spacing w:before="40" w:after="30"/>
              <w:jc w:val="center"/>
            </w:pPr>
            <w:r w:rsidRPr="007837CC">
              <w:t>15.3</w:t>
            </w:r>
          </w:p>
        </w:tc>
        <w:tc>
          <w:tcPr>
            <w:tcW w:w="657" w:type="dxa"/>
            <w:shd w:val="clear" w:color="auto" w:fill="auto"/>
            <w:noWrap/>
          </w:tcPr>
          <w:p w14:paraId="360C04AB" w14:textId="43D6EC03" w:rsidR="002F05C5" w:rsidRPr="007837CC" w:rsidRDefault="00A9074E" w:rsidP="006C6D34">
            <w:pPr>
              <w:pStyle w:val="TableText"/>
              <w:spacing w:before="40" w:after="30"/>
              <w:jc w:val="center"/>
            </w:pPr>
            <w:r w:rsidRPr="007837CC">
              <w:t>13.5</w:t>
            </w:r>
          </w:p>
        </w:tc>
        <w:tc>
          <w:tcPr>
            <w:tcW w:w="657" w:type="dxa"/>
            <w:shd w:val="clear" w:color="auto" w:fill="auto"/>
            <w:noWrap/>
          </w:tcPr>
          <w:p w14:paraId="791D212E" w14:textId="078AD429" w:rsidR="002F05C5" w:rsidRPr="007837CC" w:rsidRDefault="00A9074E" w:rsidP="006C6D34">
            <w:pPr>
              <w:pStyle w:val="TableText"/>
              <w:spacing w:before="40" w:after="30"/>
              <w:jc w:val="center"/>
            </w:pPr>
            <w:r w:rsidRPr="007837CC">
              <w:t>11.7</w:t>
            </w:r>
          </w:p>
        </w:tc>
        <w:tc>
          <w:tcPr>
            <w:tcW w:w="657" w:type="dxa"/>
            <w:shd w:val="clear" w:color="auto" w:fill="auto"/>
            <w:noWrap/>
          </w:tcPr>
          <w:p w14:paraId="1F2FAC4E" w14:textId="5576B8CA" w:rsidR="002F05C5" w:rsidRPr="007837CC" w:rsidRDefault="00A9074E" w:rsidP="006C6D34">
            <w:pPr>
              <w:pStyle w:val="TableText"/>
              <w:spacing w:before="40" w:after="30"/>
              <w:jc w:val="center"/>
            </w:pPr>
            <w:r w:rsidRPr="007837CC">
              <w:t>9.6</w:t>
            </w:r>
          </w:p>
        </w:tc>
      </w:tr>
      <w:tr w:rsidR="00C00F92" w:rsidRPr="007837CC" w14:paraId="31378479" w14:textId="77777777" w:rsidTr="00A85C99">
        <w:tc>
          <w:tcPr>
            <w:tcW w:w="5221" w:type="dxa"/>
            <w:shd w:val="clear" w:color="auto" w:fill="auto"/>
            <w:noWrap/>
          </w:tcPr>
          <w:p w14:paraId="6D11D167" w14:textId="06C363DB" w:rsidR="00C00F92" w:rsidRPr="007837CC" w:rsidRDefault="00655BB1" w:rsidP="006C6D34">
            <w:pPr>
              <w:pStyle w:val="TableTextbold"/>
              <w:spacing w:before="40" w:after="30"/>
              <w:rPr>
                <w:b w:val="0"/>
              </w:rPr>
            </w:pPr>
            <w:r w:rsidRPr="007837CC">
              <w:rPr>
                <w:b w:val="0"/>
              </w:rPr>
              <w:t>Commission calculations, applied to auction volumes for all years</w:t>
            </w:r>
          </w:p>
        </w:tc>
        <w:tc>
          <w:tcPr>
            <w:tcW w:w="656" w:type="dxa"/>
            <w:shd w:val="clear" w:color="auto" w:fill="auto"/>
            <w:noWrap/>
          </w:tcPr>
          <w:p w14:paraId="5F9B4D7C" w14:textId="69F830D3" w:rsidR="00C00F92" w:rsidRPr="007837CC" w:rsidRDefault="003B4941" w:rsidP="006C6D34">
            <w:pPr>
              <w:pStyle w:val="TableTextbold"/>
              <w:spacing w:before="40" w:after="30"/>
              <w:jc w:val="center"/>
              <w:rPr>
                <w:b w:val="0"/>
              </w:rPr>
            </w:pPr>
            <w:r w:rsidRPr="007837CC">
              <w:rPr>
                <w:b w:val="0"/>
              </w:rPr>
              <w:t>13.6</w:t>
            </w:r>
          </w:p>
        </w:tc>
        <w:tc>
          <w:tcPr>
            <w:tcW w:w="657" w:type="dxa"/>
            <w:shd w:val="clear" w:color="auto" w:fill="auto"/>
            <w:noWrap/>
          </w:tcPr>
          <w:p w14:paraId="63F86BA1" w14:textId="246C4D58" w:rsidR="00C00F92" w:rsidRPr="007837CC" w:rsidRDefault="003B4941" w:rsidP="006C6D34">
            <w:pPr>
              <w:pStyle w:val="TableTextbold"/>
              <w:spacing w:before="40" w:after="30"/>
              <w:jc w:val="center"/>
              <w:rPr>
                <w:b w:val="0"/>
              </w:rPr>
            </w:pPr>
            <w:r w:rsidRPr="007837CC">
              <w:rPr>
                <w:b w:val="0"/>
              </w:rPr>
              <w:t>12.0</w:t>
            </w:r>
          </w:p>
        </w:tc>
        <w:tc>
          <w:tcPr>
            <w:tcW w:w="657" w:type="dxa"/>
            <w:shd w:val="clear" w:color="auto" w:fill="auto"/>
            <w:noWrap/>
          </w:tcPr>
          <w:p w14:paraId="4C45FAAC" w14:textId="12F7A5D9" w:rsidR="00C00F92" w:rsidRPr="007837CC" w:rsidRDefault="00175100" w:rsidP="006C6D34">
            <w:pPr>
              <w:pStyle w:val="TableTextbold"/>
              <w:spacing w:before="40" w:after="30"/>
              <w:jc w:val="center"/>
              <w:rPr>
                <w:b w:val="0"/>
              </w:rPr>
            </w:pPr>
            <w:r w:rsidRPr="007837CC">
              <w:rPr>
                <w:b w:val="0"/>
              </w:rPr>
              <w:t>10.2</w:t>
            </w:r>
          </w:p>
        </w:tc>
        <w:tc>
          <w:tcPr>
            <w:tcW w:w="657" w:type="dxa"/>
            <w:shd w:val="clear" w:color="auto" w:fill="auto"/>
            <w:noWrap/>
          </w:tcPr>
          <w:p w14:paraId="33AE63A3" w14:textId="27C21A47" w:rsidR="00C00F92" w:rsidRPr="007837CC" w:rsidRDefault="00175100" w:rsidP="006C6D34">
            <w:pPr>
              <w:pStyle w:val="TableTextbold"/>
              <w:spacing w:before="40" w:after="30"/>
              <w:jc w:val="center"/>
              <w:rPr>
                <w:b w:val="0"/>
              </w:rPr>
            </w:pPr>
            <w:r w:rsidRPr="007837CC">
              <w:rPr>
                <w:b w:val="0"/>
              </w:rPr>
              <w:t>8.7</w:t>
            </w:r>
          </w:p>
        </w:tc>
        <w:tc>
          <w:tcPr>
            <w:tcW w:w="657" w:type="dxa"/>
            <w:shd w:val="clear" w:color="auto" w:fill="auto"/>
            <w:noWrap/>
          </w:tcPr>
          <w:p w14:paraId="4431452C" w14:textId="77F84B00" w:rsidR="00C00F92" w:rsidRPr="007837CC" w:rsidRDefault="00175100" w:rsidP="006C6D34">
            <w:pPr>
              <w:pStyle w:val="TableTextbold"/>
              <w:spacing w:before="40" w:after="30"/>
              <w:jc w:val="center"/>
              <w:rPr>
                <w:b w:val="0"/>
              </w:rPr>
            </w:pPr>
            <w:r w:rsidRPr="007837CC">
              <w:rPr>
                <w:b w:val="0"/>
              </w:rPr>
              <w:t>6.6</w:t>
            </w:r>
          </w:p>
        </w:tc>
      </w:tr>
      <w:tr w:rsidR="002F05C5" w:rsidRPr="007837CC" w14:paraId="511064E4" w14:textId="77777777" w:rsidTr="00A85C99">
        <w:tc>
          <w:tcPr>
            <w:tcW w:w="5221" w:type="dxa"/>
            <w:shd w:val="clear" w:color="auto" w:fill="auto"/>
            <w:noWrap/>
            <w:hideMark/>
          </w:tcPr>
          <w:p w14:paraId="0EDDF7C2" w14:textId="7702DA82" w:rsidR="002F05C5" w:rsidRPr="007837CC" w:rsidRDefault="002F05C5" w:rsidP="006C6D34">
            <w:pPr>
              <w:pStyle w:val="TableTextbold"/>
              <w:spacing w:before="40" w:after="30"/>
              <w:rPr>
                <w:b w:val="0"/>
              </w:rPr>
            </w:pPr>
            <w:r w:rsidRPr="007837CC">
              <w:rPr>
                <w:b w:val="0"/>
              </w:rPr>
              <w:t>Commission recommended auction volumes</w:t>
            </w:r>
          </w:p>
        </w:tc>
        <w:tc>
          <w:tcPr>
            <w:tcW w:w="656" w:type="dxa"/>
            <w:shd w:val="clear" w:color="auto" w:fill="auto"/>
            <w:noWrap/>
          </w:tcPr>
          <w:p w14:paraId="74767F73" w14:textId="77777777" w:rsidR="002F05C5" w:rsidRPr="007837CC" w:rsidRDefault="002F05C5" w:rsidP="006C6D34">
            <w:pPr>
              <w:pStyle w:val="TableTextbold"/>
              <w:spacing w:before="40" w:after="30"/>
              <w:jc w:val="center"/>
              <w:rPr>
                <w:b w:val="0"/>
              </w:rPr>
            </w:pPr>
            <w:r w:rsidRPr="007837CC">
              <w:rPr>
                <w:b w:val="0"/>
              </w:rPr>
              <w:t>17.1</w:t>
            </w:r>
          </w:p>
        </w:tc>
        <w:tc>
          <w:tcPr>
            <w:tcW w:w="657" w:type="dxa"/>
            <w:shd w:val="clear" w:color="auto" w:fill="auto"/>
            <w:noWrap/>
          </w:tcPr>
          <w:p w14:paraId="209FAACA" w14:textId="77777777" w:rsidR="002F05C5" w:rsidRPr="007837CC" w:rsidRDefault="002F05C5" w:rsidP="006C6D34">
            <w:pPr>
              <w:pStyle w:val="TableTextbold"/>
              <w:spacing w:before="40" w:after="30"/>
              <w:jc w:val="center"/>
              <w:rPr>
                <w:b w:val="0"/>
              </w:rPr>
            </w:pPr>
            <w:r w:rsidRPr="007837CC">
              <w:rPr>
                <w:b w:val="0"/>
              </w:rPr>
              <w:t>15.3</w:t>
            </w:r>
          </w:p>
        </w:tc>
        <w:tc>
          <w:tcPr>
            <w:tcW w:w="657" w:type="dxa"/>
            <w:shd w:val="clear" w:color="auto" w:fill="auto"/>
            <w:noWrap/>
          </w:tcPr>
          <w:p w14:paraId="3371CDCE" w14:textId="10E63A81" w:rsidR="002F05C5" w:rsidRPr="007837CC" w:rsidRDefault="00A9074E" w:rsidP="006C6D34">
            <w:pPr>
              <w:pStyle w:val="TableTextbold"/>
              <w:spacing w:before="40" w:after="30"/>
              <w:jc w:val="center"/>
              <w:rPr>
                <w:b w:val="0"/>
              </w:rPr>
            </w:pPr>
            <w:r w:rsidRPr="007837CC">
              <w:rPr>
                <w:b w:val="0"/>
              </w:rPr>
              <w:t>8</w:t>
            </w:r>
            <w:r w:rsidR="002F05C5" w:rsidRPr="007837CC">
              <w:rPr>
                <w:b w:val="0"/>
              </w:rPr>
              <w:t>.5</w:t>
            </w:r>
          </w:p>
        </w:tc>
        <w:tc>
          <w:tcPr>
            <w:tcW w:w="657" w:type="dxa"/>
            <w:shd w:val="clear" w:color="auto" w:fill="auto"/>
            <w:noWrap/>
          </w:tcPr>
          <w:p w14:paraId="51CB09F0" w14:textId="28822D92" w:rsidR="002F05C5" w:rsidRPr="007837CC" w:rsidRDefault="00A9074E" w:rsidP="006C6D34">
            <w:pPr>
              <w:pStyle w:val="TableTextbold"/>
              <w:spacing w:before="40" w:after="30"/>
              <w:jc w:val="center"/>
              <w:rPr>
                <w:b w:val="0"/>
              </w:rPr>
            </w:pPr>
            <w:r w:rsidRPr="007837CC">
              <w:rPr>
                <w:b w:val="0"/>
              </w:rPr>
              <w:t>7.1</w:t>
            </w:r>
          </w:p>
        </w:tc>
        <w:tc>
          <w:tcPr>
            <w:tcW w:w="657" w:type="dxa"/>
            <w:shd w:val="clear" w:color="auto" w:fill="auto"/>
            <w:noWrap/>
          </w:tcPr>
          <w:p w14:paraId="128C6D56" w14:textId="03CA467B" w:rsidR="002F05C5" w:rsidRPr="007837CC" w:rsidRDefault="00A9074E" w:rsidP="006C6D34">
            <w:pPr>
              <w:pStyle w:val="TableTextbold"/>
              <w:spacing w:before="40" w:after="30"/>
              <w:jc w:val="center"/>
              <w:rPr>
                <w:b w:val="0"/>
              </w:rPr>
            </w:pPr>
            <w:r w:rsidRPr="007837CC">
              <w:rPr>
                <w:b w:val="0"/>
              </w:rPr>
              <w:t>5.2</w:t>
            </w:r>
          </w:p>
        </w:tc>
      </w:tr>
    </w:tbl>
    <w:p w14:paraId="262F761F" w14:textId="23B61BF6" w:rsidR="009A7E5A" w:rsidRPr="007837CC" w:rsidRDefault="009A7E5A" w:rsidP="00646459">
      <w:pPr>
        <w:pStyle w:val="Heading3"/>
        <w:spacing w:before="400"/>
      </w:pPr>
      <w:r w:rsidRPr="007837CC">
        <w:t xml:space="preserve">Limits </w:t>
      </w:r>
      <w:r w:rsidR="000E6D80" w:rsidRPr="007837CC">
        <w:t>for</w:t>
      </w:r>
      <w:r w:rsidRPr="007837CC">
        <w:t xml:space="preserve"> regulations</w:t>
      </w:r>
      <w:r w:rsidR="000E6D80" w:rsidRPr="007837CC">
        <w:t xml:space="preserve"> to </w:t>
      </w:r>
      <w:proofErr w:type="gramStart"/>
      <w:r w:rsidR="000E6D80" w:rsidRPr="007837CC">
        <w:t>prescribe</w:t>
      </w:r>
      <w:proofErr w:type="gramEnd"/>
    </w:p>
    <w:p w14:paraId="1FF1B806" w14:textId="5F502B81" w:rsidR="00AC2CF1" w:rsidRPr="007837CC" w:rsidRDefault="00952E5C" w:rsidP="003205D1">
      <w:pPr>
        <w:pStyle w:val="BodyText"/>
        <w:spacing w:after="100"/>
      </w:pPr>
      <w:r w:rsidRPr="007837CC">
        <w:t xml:space="preserve">To set the </w:t>
      </w:r>
      <w:r w:rsidR="00AC2CF1" w:rsidRPr="007837CC">
        <w:t>limit on NZUs available by auction and</w:t>
      </w:r>
      <w:r w:rsidR="0008599C" w:rsidRPr="007837CC">
        <w:t xml:space="preserve"> the</w:t>
      </w:r>
      <w:r w:rsidR="00AC2CF1" w:rsidRPr="007837CC">
        <w:t xml:space="preserve"> overall limit </w:t>
      </w:r>
      <w:r w:rsidR="00D15AD2" w:rsidRPr="007837CC">
        <w:t>that regulations</w:t>
      </w:r>
      <w:r w:rsidRPr="007837CC">
        <w:t xml:space="preserve"> must prescribe, it is necessary to</w:t>
      </w:r>
      <w:r w:rsidR="00AC2CF1" w:rsidRPr="007837CC">
        <w:t xml:space="preserve"> consider the cost containment reserve volume, in addition to the</w:t>
      </w:r>
      <w:r w:rsidR="000B3433" w:rsidRPr="007837CC">
        <w:t> </w:t>
      </w:r>
      <w:r w:rsidR="00AC2CF1" w:rsidRPr="007837CC">
        <w:t>elements described above.</w:t>
      </w:r>
      <w:r w:rsidR="005B5949" w:rsidRPr="007837CC">
        <w:t xml:space="preserve"> The following section, ‘Update price control settings for units’</w:t>
      </w:r>
      <w:r w:rsidR="000E6D80" w:rsidRPr="007837CC">
        <w:t>,</w:t>
      </w:r>
      <w:r w:rsidR="00AC2CF1" w:rsidRPr="007837CC">
        <w:t xml:space="preserve"> </w:t>
      </w:r>
      <w:r w:rsidR="005B5949" w:rsidRPr="007837CC">
        <w:t>describes</w:t>
      </w:r>
      <w:r w:rsidR="000B5F6A" w:rsidRPr="007837CC">
        <w:t xml:space="preserve"> the cost containment reserve volume </w:t>
      </w:r>
      <w:r w:rsidR="005B5949" w:rsidRPr="007837CC">
        <w:t xml:space="preserve">and </w:t>
      </w:r>
      <w:r w:rsidR="000B5F6A" w:rsidRPr="007837CC">
        <w:t>present</w:t>
      </w:r>
      <w:r w:rsidR="005B5949" w:rsidRPr="007837CC">
        <w:t>s options for it</w:t>
      </w:r>
      <w:r w:rsidR="00D11D68" w:rsidRPr="007837CC">
        <w:t xml:space="preserve">. </w:t>
      </w:r>
    </w:p>
    <w:p w14:paraId="73ABAA1C" w14:textId="72A19C29" w:rsidR="00AC2CF1" w:rsidRPr="007837CC" w:rsidRDefault="00AC2CF1" w:rsidP="003205D1">
      <w:pPr>
        <w:pStyle w:val="BodyText"/>
        <w:spacing w:after="100"/>
      </w:pPr>
      <w:r w:rsidRPr="007837CC">
        <w:rPr>
          <w:b/>
          <w:bCs/>
        </w:rPr>
        <w:t>The limit on approved overseas units</w:t>
      </w:r>
      <w:r w:rsidRPr="007837CC">
        <w:t xml:space="preserve"> </w:t>
      </w:r>
      <w:r w:rsidR="00D67088" w:rsidRPr="007837CC">
        <w:t>will be</w:t>
      </w:r>
      <w:r w:rsidRPr="007837CC">
        <w:t xml:space="preserve"> set to zero for each year</w:t>
      </w:r>
      <w:r w:rsidR="0008599C" w:rsidRPr="007837CC">
        <w:t>.</w:t>
      </w:r>
    </w:p>
    <w:p w14:paraId="3AAA3D49" w14:textId="097BD2B9" w:rsidR="00CD418B" w:rsidRPr="007837CC" w:rsidRDefault="0094178B" w:rsidP="003205D1">
      <w:pPr>
        <w:pStyle w:val="BodyText"/>
        <w:spacing w:after="100"/>
      </w:pPr>
      <w:r w:rsidRPr="007837CC">
        <w:rPr>
          <w:b/>
          <w:bCs/>
        </w:rPr>
        <w:t xml:space="preserve">The limit on units available </w:t>
      </w:r>
      <w:r w:rsidR="005B5949" w:rsidRPr="007837CC">
        <w:rPr>
          <w:b/>
          <w:bCs/>
        </w:rPr>
        <w:t>for</w:t>
      </w:r>
      <w:r w:rsidRPr="007837CC">
        <w:rPr>
          <w:b/>
          <w:bCs/>
        </w:rPr>
        <w:t xml:space="preserve"> auction</w:t>
      </w:r>
      <w:r w:rsidRPr="007837CC">
        <w:t xml:space="preserve"> is </w:t>
      </w:r>
      <w:r w:rsidR="008F0141" w:rsidRPr="007837CC">
        <w:t>made up of:</w:t>
      </w:r>
    </w:p>
    <w:p w14:paraId="6FCECC8F" w14:textId="77777777" w:rsidR="008F0141" w:rsidRPr="007837CC" w:rsidRDefault="008F0141" w:rsidP="003205D1">
      <w:pPr>
        <w:pStyle w:val="Bullet"/>
        <w:spacing w:after="100"/>
      </w:pPr>
      <w:r w:rsidRPr="007837CC">
        <w:t>annual auction volume</w:t>
      </w:r>
    </w:p>
    <w:p w14:paraId="6B8A8BCC" w14:textId="395A9D40" w:rsidR="008F0141" w:rsidRPr="007837CC" w:rsidRDefault="008F0141" w:rsidP="003205D1">
      <w:pPr>
        <w:pStyle w:val="Bullet"/>
        <w:spacing w:after="100"/>
      </w:pPr>
      <w:r w:rsidRPr="007837CC">
        <w:t>cost containment reserve volume</w:t>
      </w:r>
      <w:r w:rsidR="008108D4" w:rsidRPr="007837CC">
        <w:t>.</w:t>
      </w:r>
    </w:p>
    <w:p w14:paraId="07398905" w14:textId="2E5DFF83" w:rsidR="00757754" w:rsidRPr="007837CC" w:rsidRDefault="00EE1119" w:rsidP="003205D1">
      <w:pPr>
        <w:pStyle w:val="BodyText"/>
        <w:spacing w:after="100"/>
      </w:pPr>
      <w:r w:rsidRPr="007837CC">
        <w:t>Th</w:t>
      </w:r>
      <w:r w:rsidR="005B5949" w:rsidRPr="007837CC">
        <w:t>e resulting limit</w:t>
      </w:r>
      <w:r w:rsidRPr="007837CC">
        <w:t xml:space="preserve"> depend</w:t>
      </w:r>
      <w:r w:rsidR="005B5949" w:rsidRPr="007837CC">
        <w:t>s</w:t>
      </w:r>
      <w:r w:rsidRPr="007837CC">
        <w:t xml:space="preserve"> on</w:t>
      </w:r>
      <w:r w:rsidR="005B5949" w:rsidRPr="007837CC">
        <w:t xml:space="preserve"> choices made among</w:t>
      </w:r>
      <w:r w:rsidRPr="007837CC">
        <w:t xml:space="preserve"> the range of options </w:t>
      </w:r>
      <w:r w:rsidR="00915FC2" w:rsidRPr="007837CC">
        <w:t xml:space="preserve">presented elsewhere in this </w:t>
      </w:r>
      <w:r w:rsidR="001657E2">
        <w:t>consultation</w:t>
      </w:r>
      <w:r w:rsidR="001657E2" w:rsidRPr="007837CC">
        <w:t xml:space="preserve"> </w:t>
      </w:r>
      <w:r w:rsidR="00915FC2" w:rsidRPr="007837CC">
        <w:t>document</w:t>
      </w:r>
      <w:r w:rsidRPr="007837CC">
        <w:t xml:space="preserve">. </w:t>
      </w:r>
    </w:p>
    <w:p w14:paraId="2EAC8D38" w14:textId="5F0B40D5" w:rsidR="007123B3" w:rsidRPr="007837CC" w:rsidRDefault="00CD418B" w:rsidP="003205D1">
      <w:pPr>
        <w:pStyle w:val="BodyText"/>
        <w:spacing w:after="100"/>
      </w:pPr>
      <w:r w:rsidRPr="007837CC">
        <w:rPr>
          <w:b/>
          <w:bCs/>
        </w:rPr>
        <w:t>T</w:t>
      </w:r>
      <w:r w:rsidR="00816486" w:rsidRPr="007837CC">
        <w:rPr>
          <w:b/>
          <w:bCs/>
        </w:rPr>
        <w:t xml:space="preserve">he overall </w:t>
      </w:r>
      <w:r w:rsidR="00AA7948" w:rsidRPr="007837CC">
        <w:rPr>
          <w:b/>
          <w:bCs/>
        </w:rPr>
        <w:t>limit for units</w:t>
      </w:r>
      <w:r w:rsidR="00AA7948" w:rsidRPr="007837CC">
        <w:t xml:space="preserve"> is arrived at using the same methodology as </w:t>
      </w:r>
      <w:r w:rsidR="004962DC" w:rsidRPr="007837CC">
        <w:t xml:space="preserve">in previous years and is consistent with the methodology used to calculate annual auction volumes. </w:t>
      </w:r>
      <w:r w:rsidR="008B5116" w:rsidRPr="007837CC">
        <w:t>This overall limit is made up of</w:t>
      </w:r>
      <w:r w:rsidR="007123B3" w:rsidRPr="007837CC">
        <w:t>:</w:t>
      </w:r>
    </w:p>
    <w:p w14:paraId="2D06D7E4" w14:textId="77777777" w:rsidR="007123B3" w:rsidRPr="007837CC" w:rsidRDefault="008B5116" w:rsidP="003205D1">
      <w:pPr>
        <w:pStyle w:val="Bullet"/>
        <w:spacing w:after="100"/>
      </w:pPr>
      <w:r w:rsidRPr="007837CC">
        <w:t>annual auction volume</w:t>
      </w:r>
    </w:p>
    <w:p w14:paraId="6529D90D" w14:textId="266363D0" w:rsidR="007123B3" w:rsidRPr="007837CC" w:rsidRDefault="008B5116" w:rsidP="003205D1">
      <w:pPr>
        <w:pStyle w:val="Bullet"/>
        <w:spacing w:after="100"/>
      </w:pPr>
      <w:r w:rsidRPr="007837CC">
        <w:t>cost containment reserve volume</w:t>
      </w:r>
    </w:p>
    <w:p w14:paraId="67D6B115" w14:textId="77777777" w:rsidR="007123B3" w:rsidRPr="007837CC" w:rsidRDefault="008B5116" w:rsidP="003205D1">
      <w:pPr>
        <w:pStyle w:val="Bullet"/>
        <w:spacing w:after="100"/>
      </w:pPr>
      <w:r w:rsidRPr="007837CC">
        <w:t>a projected free allocation volume</w:t>
      </w:r>
    </w:p>
    <w:p w14:paraId="1DF0EFC0" w14:textId="2734F085" w:rsidR="00EE1119" w:rsidRPr="007837CC" w:rsidRDefault="008B5116" w:rsidP="003205D1">
      <w:pPr>
        <w:pStyle w:val="Bullet"/>
        <w:spacing w:after="100"/>
      </w:pPr>
      <w:r w:rsidRPr="007837CC">
        <w:t xml:space="preserve">approved overseas units. </w:t>
      </w:r>
    </w:p>
    <w:p w14:paraId="46250C79" w14:textId="66F3C1CA" w:rsidR="00EE1119" w:rsidRPr="007837CC" w:rsidRDefault="00EE1119" w:rsidP="003205D1">
      <w:pPr>
        <w:pStyle w:val="BodyText"/>
        <w:spacing w:before="100" w:after="240"/>
      </w:pPr>
      <w:r w:rsidRPr="007837CC">
        <w:t>Th</w:t>
      </w:r>
      <w:r w:rsidR="00965627" w:rsidRPr="007837CC">
        <w:t>e</w:t>
      </w:r>
      <w:r w:rsidRPr="007837CC">
        <w:t xml:space="preserve"> </w:t>
      </w:r>
      <w:r w:rsidR="00A44E93" w:rsidRPr="007837CC">
        <w:t>resu</w:t>
      </w:r>
      <w:r w:rsidR="00965627" w:rsidRPr="007837CC">
        <w:t>l</w:t>
      </w:r>
      <w:r w:rsidR="00A44E93" w:rsidRPr="007837CC">
        <w:t>ting overall limit</w:t>
      </w:r>
      <w:r w:rsidRPr="007837CC">
        <w:t xml:space="preserve"> depend</w:t>
      </w:r>
      <w:r w:rsidR="00A44E93" w:rsidRPr="007837CC">
        <w:t>s</w:t>
      </w:r>
      <w:r w:rsidRPr="007837CC">
        <w:t xml:space="preserve"> on the range of options chosen </w:t>
      </w:r>
      <w:r w:rsidR="00915FC2" w:rsidRPr="007837CC">
        <w:t xml:space="preserve">presented elsewhere in this </w:t>
      </w:r>
      <w:r w:rsidR="001657E2">
        <w:t>consultation</w:t>
      </w:r>
      <w:r w:rsidR="001657E2" w:rsidRPr="007837CC">
        <w:t xml:space="preserve"> </w:t>
      </w:r>
      <w:r w:rsidR="00915FC2" w:rsidRPr="007837CC">
        <w:t>document</w:t>
      </w:r>
      <w:r w:rsidR="000B3433" w:rsidRPr="007837CC">
        <w:t>.</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907230" w:rsidRPr="007837CC" w14:paraId="6B657A7C" w14:textId="77777777" w:rsidTr="00CE1496">
        <w:tc>
          <w:tcPr>
            <w:tcW w:w="0" w:type="auto"/>
            <w:shd w:val="clear" w:color="auto" w:fill="D2DDE2"/>
          </w:tcPr>
          <w:p w14:paraId="4C9C51E3" w14:textId="77777777" w:rsidR="00907230" w:rsidRPr="007837CC" w:rsidRDefault="00907230" w:rsidP="00C060E1">
            <w:pPr>
              <w:pStyle w:val="Boxheading"/>
              <w:spacing w:before="180"/>
              <w:rPr>
                <w:rFonts w:cs="Calibri"/>
              </w:rPr>
            </w:pPr>
            <w:r w:rsidRPr="007837CC">
              <w:rPr>
                <w:rFonts w:cs="Calibri"/>
              </w:rPr>
              <w:t>Question</w:t>
            </w:r>
          </w:p>
          <w:p w14:paraId="23FE3C8C" w14:textId="4E2F417A" w:rsidR="00907230" w:rsidRPr="007837CC" w:rsidRDefault="00B46DD5" w:rsidP="003205D1">
            <w:pPr>
              <w:pStyle w:val="Boxquestion"/>
              <w:spacing w:before="80" w:after="180"/>
            </w:pPr>
            <w:r w:rsidRPr="007837CC">
              <w:t>What do you think of the methodology used to calculate auction volumes, including on each specific step?</w:t>
            </w:r>
          </w:p>
        </w:tc>
      </w:tr>
    </w:tbl>
    <w:p w14:paraId="704B99D8" w14:textId="59897A41" w:rsidR="00E61F89" w:rsidRPr="007837CC" w:rsidRDefault="00E61F89" w:rsidP="00C060E1">
      <w:pPr>
        <w:pStyle w:val="Heading1"/>
        <w:pageBreakBefore/>
      </w:pPr>
      <w:bookmarkStart w:id="48" w:name="_Toc135300671"/>
      <w:r w:rsidRPr="007837CC">
        <w:lastRenderedPageBreak/>
        <w:t xml:space="preserve">Update </w:t>
      </w:r>
      <w:r w:rsidR="00E624B5" w:rsidRPr="007837CC">
        <w:t>price control</w:t>
      </w:r>
      <w:r w:rsidRPr="007837CC">
        <w:t xml:space="preserve"> settings</w:t>
      </w:r>
      <w:r w:rsidR="00BA1158" w:rsidRPr="007837CC">
        <w:t xml:space="preserve"> for</w:t>
      </w:r>
      <w:r w:rsidR="00646459" w:rsidRPr="007837CC">
        <w:t> </w:t>
      </w:r>
      <w:r w:rsidR="00BA1158" w:rsidRPr="007837CC">
        <w:t>units</w:t>
      </w:r>
      <w:bookmarkEnd w:id="48"/>
    </w:p>
    <w:p w14:paraId="68590772" w14:textId="79AF011F" w:rsidR="003843C7" w:rsidRPr="007837CC" w:rsidRDefault="00952E5C" w:rsidP="00646459">
      <w:pPr>
        <w:pStyle w:val="Heading2"/>
        <w:spacing w:before="240"/>
      </w:pPr>
      <w:bookmarkStart w:id="49" w:name="_Toc135300672"/>
      <w:r w:rsidRPr="007837CC">
        <w:t xml:space="preserve">Purpose of </w:t>
      </w:r>
      <w:r w:rsidR="007F685E" w:rsidRPr="007837CC">
        <w:t>price controls</w:t>
      </w:r>
      <w:bookmarkEnd w:id="49"/>
    </w:p>
    <w:p w14:paraId="14DB0318" w14:textId="24B7BCDB" w:rsidR="00FF2CB2" w:rsidRPr="007837CC" w:rsidRDefault="00FF2CB2" w:rsidP="00646459">
      <w:pPr>
        <w:pStyle w:val="BodyText"/>
      </w:pPr>
      <w:r w:rsidRPr="007837CC">
        <w:t xml:space="preserve">Price controls provide the </w:t>
      </w:r>
      <w:r w:rsidR="00C12402" w:rsidRPr="007837CC">
        <w:t>G</w:t>
      </w:r>
      <w:r w:rsidRPr="007837CC">
        <w:t>overnment with a mechanism to help manage unacceptably low or high prices in the NZ ETS and limit the risk of prices falling outside of a range needed to meet emissions budget</w:t>
      </w:r>
      <w:r w:rsidR="000719F7" w:rsidRPr="007837CC">
        <w:t>s</w:t>
      </w:r>
      <w:r w:rsidRPr="007837CC">
        <w:t>. All emissions trading schemes</w:t>
      </w:r>
      <w:r w:rsidR="001E4B5B" w:rsidRPr="007837CC">
        <w:t xml:space="preserve"> in </w:t>
      </w:r>
      <w:r w:rsidR="00014B48" w:rsidRPr="007837CC">
        <w:t>the world</w:t>
      </w:r>
      <w:r w:rsidRPr="007837CC">
        <w:t xml:space="preserve"> currently include some price control features. </w:t>
      </w:r>
    </w:p>
    <w:p w14:paraId="1C742D2D" w14:textId="5D4737DF" w:rsidR="00FF2CB2" w:rsidRPr="007837CC" w:rsidRDefault="00FF2CB2" w:rsidP="00646459">
      <w:pPr>
        <w:pStyle w:val="BodyText"/>
      </w:pPr>
      <w:r w:rsidRPr="007837CC">
        <w:t xml:space="preserve">Price controls also enable businesses to develop long-term expectations </w:t>
      </w:r>
      <w:r w:rsidR="001E4B5B" w:rsidRPr="007837CC">
        <w:t xml:space="preserve">about </w:t>
      </w:r>
      <w:r w:rsidRPr="007837CC">
        <w:t>their costs of participating in the NZ ETS</w:t>
      </w:r>
      <w:r w:rsidR="001E4B5B" w:rsidRPr="007837CC">
        <w:t xml:space="preserve">, </w:t>
      </w:r>
      <w:r w:rsidRPr="007837CC">
        <w:t>better inform</w:t>
      </w:r>
      <w:r w:rsidR="001E4B5B" w:rsidRPr="007837CC">
        <w:t>ing</w:t>
      </w:r>
      <w:r w:rsidRPr="007837CC">
        <w:t xml:space="preserve"> their investment decisions and business planning.</w:t>
      </w:r>
      <w:r w:rsidR="00DF4F88" w:rsidRPr="007837CC">
        <w:t xml:space="preserve"> Price control settings </w:t>
      </w:r>
      <w:r w:rsidR="00A3268E" w:rsidRPr="007837CC">
        <w:t>have historically been set</w:t>
      </w:r>
      <w:r w:rsidR="00DF4F88" w:rsidRPr="007837CC">
        <w:t xml:space="preserve"> outside the bounds we </w:t>
      </w:r>
      <w:r w:rsidR="005671EF" w:rsidRPr="007837CC">
        <w:t xml:space="preserve">expect prices </w:t>
      </w:r>
      <w:r w:rsidR="00683CFA" w:rsidRPr="007837CC">
        <w:t>need to be to meet emissions budgets and targets</w:t>
      </w:r>
      <w:r w:rsidR="00DF4F88" w:rsidRPr="007837CC">
        <w:t>.</w:t>
      </w:r>
      <w:r w:rsidR="00906796" w:rsidRPr="007837CC">
        <w:t xml:space="preserve"> </w:t>
      </w:r>
    </w:p>
    <w:p w14:paraId="0A6545C9" w14:textId="362D943D" w:rsidR="007F685E" w:rsidRPr="007837CC" w:rsidRDefault="00C12402" w:rsidP="00413CD8">
      <w:pPr>
        <w:pStyle w:val="Heading2"/>
      </w:pPr>
      <w:bookmarkStart w:id="50" w:name="_Toc135300673"/>
      <w:r w:rsidRPr="007837CC">
        <w:t xml:space="preserve">Reason for </w:t>
      </w:r>
      <w:r w:rsidR="007F685E" w:rsidRPr="007837CC">
        <w:t>updat</w:t>
      </w:r>
      <w:r w:rsidRPr="007837CC">
        <w:t>ing</w:t>
      </w:r>
      <w:r w:rsidR="007F685E" w:rsidRPr="007837CC">
        <w:t xml:space="preserve"> price </w:t>
      </w:r>
      <w:proofErr w:type="gramStart"/>
      <w:r w:rsidR="007F685E" w:rsidRPr="007837CC">
        <w:t>controls</w:t>
      </w:r>
      <w:bookmarkEnd w:id="50"/>
      <w:proofErr w:type="gramEnd"/>
    </w:p>
    <w:p w14:paraId="6DACB61F" w14:textId="144C4306" w:rsidR="002F43C6" w:rsidRPr="007837CC" w:rsidRDefault="003843C7" w:rsidP="00646459">
      <w:pPr>
        <w:pStyle w:val="BodyText"/>
      </w:pPr>
      <w:r w:rsidRPr="007837CC">
        <w:t>The Act requires annual updates</w:t>
      </w:r>
      <w:r w:rsidR="001E4B5B" w:rsidRPr="007837CC">
        <w:t xml:space="preserve"> to regulations</w:t>
      </w:r>
      <w:r w:rsidRPr="007837CC">
        <w:t xml:space="preserve"> to </w:t>
      </w:r>
      <w:r w:rsidR="00972BAC" w:rsidRPr="007837CC">
        <w:t xml:space="preserve">ensure </w:t>
      </w:r>
      <w:r w:rsidRPr="007837CC">
        <w:t xml:space="preserve">price controls </w:t>
      </w:r>
      <w:r w:rsidR="00972BAC" w:rsidRPr="007837CC">
        <w:t>are set for each of</w:t>
      </w:r>
      <w:r w:rsidRPr="007837CC">
        <w:t xml:space="preserve"> the next five calendar years </w:t>
      </w:r>
      <w:r w:rsidR="001E4B5B" w:rsidRPr="007837CC">
        <w:t xml:space="preserve">on </w:t>
      </w:r>
      <w:r w:rsidRPr="007837CC">
        <w:t xml:space="preserve">the: </w:t>
      </w:r>
    </w:p>
    <w:p w14:paraId="0F718C6E" w14:textId="77777777" w:rsidR="002F43C6" w:rsidRPr="007837CC" w:rsidRDefault="003843C7" w:rsidP="00646459">
      <w:pPr>
        <w:pStyle w:val="Bullet"/>
      </w:pPr>
      <w:r w:rsidRPr="007837CC">
        <w:t>minimum price that units can be sold at auction (price floor)</w:t>
      </w:r>
    </w:p>
    <w:p w14:paraId="54278877" w14:textId="6B94BC83" w:rsidR="002F43C6" w:rsidRPr="007837CC" w:rsidRDefault="003843C7" w:rsidP="00646459">
      <w:pPr>
        <w:pStyle w:val="Bullet"/>
      </w:pPr>
      <w:r w:rsidRPr="007837CC">
        <w:t>cost containment reserve trigger price</w:t>
      </w:r>
      <w:r w:rsidR="002F366B" w:rsidRPr="007837CC">
        <w:t>(s)</w:t>
      </w:r>
      <w:r w:rsidRPr="007837CC">
        <w:t xml:space="preserve"> </w:t>
      </w:r>
    </w:p>
    <w:p w14:paraId="3CF1871A" w14:textId="11541659" w:rsidR="002F43C6" w:rsidRPr="007837CC" w:rsidRDefault="001657E2" w:rsidP="00646459">
      <w:pPr>
        <w:pStyle w:val="Bullet"/>
      </w:pPr>
      <w:r w:rsidRPr="007837CC">
        <w:t>cost containment reserve</w:t>
      </w:r>
      <w:r w:rsidRPr="007837CC" w:rsidDel="001657E2">
        <w:t xml:space="preserve"> </w:t>
      </w:r>
      <w:r w:rsidR="003843C7" w:rsidRPr="007837CC">
        <w:t>unit volume</w:t>
      </w:r>
      <w:r w:rsidR="002F366B" w:rsidRPr="007837CC">
        <w:t>(s)</w:t>
      </w:r>
      <w:r w:rsidR="003843C7" w:rsidRPr="007837CC">
        <w:t>.</w:t>
      </w:r>
    </w:p>
    <w:p w14:paraId="0C306D0B" w14:textId="5C5E9CA0" w:rsidR="007F685E" w:rsidRPr="007837CC" w:rsidRDefault="007F685E" w:rsidP="00646459">
      <w:pPr>
        <w:pStyle w:val="Heading2"/>
      </w:pPr>
      <w:bookmarkStart w:id="51" w:name="_Toc135300674"/>
      <w:r w:rsidRPr="007837CC">
        <w:t>History of price c</w:t>
      </w:r>
      <w:r w:rsidR="008C646D" w:rsidRPr="007837CC">
        <w:t>ontrols</w:t>
      </w:r>
      <w:bookmarkEnd w:id="51"/>
    </w:p>
    <w:p w14:paraId="7F06B244" w14:textId="58582E9D" w:rsidR="007505A4" w:rsidRPr="007837CC" w:rsidRDefault="003843C7" w:rsidP="00646459">
      <w:pPr>
        <w:pStyle w:val="BodyText"/>
      </w:pPr>
      <w:r w:rsidRPr="007837CC">
        <w:t>The</w:t>
      </w:r>
      <w:r w:rsidR="00EC2725" w:rsidRPr="007837CC">
        <w:t>se</w:t>
      </w:r>
      <w:r w:rsidRPr="007837CC">
        <w:t xml:space="preserve"> price controls were </w:t>
      </w:r>
      <w:r w:rsidR="00EC2725" w:rsidRPr="007837CC">
        <w:t>first</w:t>
      </w:r>
      <w:r w:rsidRPr="007837CC">
        <w:t xml:space="preserve"> set in regulation in September 2020, and the first NZ ETS unit auction took place in March 2021. </w:t>
      </w:r>
      <w:r w:rsidR="007505A4" w:rsidRPr="007837CC">
        <w:t xml:space="preserve">Price control settings </w:t>
      </w:r>
      <w:r w:rsidR="0027473B" w:rsidRPr="007837CC">
        <w:t>have since been updated in 2021 and again in 2022</w:t>
      </w:r>
      <w:r w:rsidR="007505A4" w:rsidRPr="007837CC">
        <w:t xml:space="preserve">. </w:t>
      </w:r>
    </w:p>
    <w:p w14:paraId="5F8C5973" w14:textId="43CB53D4" w:rsidR="00DF66DE" w:rsidRPr="007837CC" w:rsidRDefault="001E4B5B" w:rsidP="00646459">
      <w:pPr>
        <w:pStyle w:val="BodyText"/>
      </w:pPr>
      <w:r w:rsidRPr="007837CC">
        <w:t>Before</w:t>
      </w:r>
      <w:r w:rsidR="00B60222" w:rsidRPr="007837CC">
        <w:t xml:space="preserve"> th</w:t>
      </w:r>
      <w:r w:rsidR="006531B0" w:rsidRPr="007837CC">
        <w:t>e introduction of NZ ETS auctions</w:t>
      </w:r>
      <w:r w:rsidR="00B60222" w:rsidRPr="007837CC">
        <w:t xml:space="preserve">, </w:t>
      </w:r>
      <w:r w:rsidR="002A5846" w:rsidRPr="007837CC">
        <w:t xml:space="preserve">the NZ ETS had an effective price ceiling in place </w:t>
      </w:r>
      <w:r w:rsidR="00CA5605" w:rsidRPr="007837CC">
        <w:t>in</w:t>
      </w:r>
      <w:r w:rsidR="00646459" w:rsidRPr="007837CC">
        <w:t> </w:t>
      </w:r>
      <w:r w:rsidR="00CA5605" w:rsidRPr="007837CC">
        <w:t>the form</w:t>
      </w:r>
      <w:r w:rsidR="006531B0" w:rsidRPr="007837CC">
        <w:t xml:space="preserve"> of the ‘fixed price option’</w:t>
      </w:r>
      <w:r w:rsidR="00CA5605" w:rsidRPr="007837CC">
        <w:t xml:space="preserve">. This option allowed </w:t>
      </w:r>
      <w:r w:rsidR="00DF66DE" w:rsidRPr="007837CC">
        <w:t>NZ ETS participants to pay a fixed price to meet surrender obligations</w:t>
      </w:r>
      <w:r w:rsidR="00CA5605" w:rsidRPr="007837CC">
        <w:t>, which</w:t>
      </w:r>
      <w:r w:rsidR="00DF66DE" w:rsidRPr="007837CC">
        <w:t xml:space="preserve"> also meant that the NZ ETS functioned as a </w:t>
      </w:r>
      <w:r w:rsidR="009F719C" w:rsidRPr="007837CC">
        <w:t>‘</w:t>
      </w:r>
      <w:r w:rsidR="00DF66DE" w:rsidRPr="007837CC">
        <w:t>cap</w:t>
      </w:r>
      <w:r w:rsidR="00646459" w:rsidRPr="007837CC">
        <w:noBreakHyphen/>
      </w:r>
      <w:r w:rsidR="00DF66DE" w:rsidRPr="007837CC">
        <w:t>and-trade scheme without a cap</w:t>
      </w:r>
      <w:r w:rsidR="00EB6BF4" w:rsidRPr="007837CC">
        <w:t>’</w:t>
      </w:r>
      <w:r w:rsidR="00DF66DE" w:rsidRPr="007837CC">
        <w:t xml:space="preserve">. </w:t>
      </w:r>
    </w:p>
    <w:p w14:paraId="3A71BD32" w14:textId="78C73639" w:rsidR="00683CFA" w:rsidRPr="007837CC" w:rsidRDefault="00791D7C" w:rsidP="00646459">
      <w:pPr>
        <w:pStyle w:val="BodyText"/>
      </w:pPr>
      <w:r w:rsidRPr="007837CC">
        <w:t xml:space="preserve">The upper price control, the cost containment reserve, </w:t>
      </w:r>
      <w:r w:rsidR="00324AB1" w:rsidRPr="007837CC">
        <w:t xml:space="preserve">was triggered at auctions in both 2021 and 2022. This has not occurred in auctions to date in 2023. </w:t>
      </w:r>
    </w:p>
    <w:p w14:paraId="37FBA7EE" w14:textId="4CC251E3" w:rsidR="00D52102" w:rsidRPr="007837CC" w:rsidRDefault="0044194A" w:rsidP="00646459">
      <w:pPr>
        <w:pStyle w:val="BodyText"/>
      </w:pPr>
      <w:r w:rsidRPr="007837CC">
        <w:rPr>
          <w:rFonts w:cs="Arial"/>
        </w:rPr>
        <w:t xml:space="preserve">No </w:t>
      </w:r>
      <w:r w:rsidR="00901227" w:rsidRPr="007837CC">
        <w:rPr>
          <w:rFonts w:cs="Arial"/>
        </w:rPr>
        <w:t>NZUs</w:t>
      </w:r>
      <w:r w:rsidRPr="007837CC">
        <w:rPr>
          <w:rFonts w:cs="Arial"/>
        </w:rPr>
        <w:t xml:space="preserve"> were sold at the March 2023 NZ ETS auction as the clearing price was below the confidential reserve price. This confidential reserve price is not a price control setting, instead being an additional mechanism to prevent sales by auction at prices significantly below prices of NZUs on secondary markets.</w:t>
      </w:r>
    </w:p>
    <w:p w14:paraId="76F7B782" w14:textId="280A3BA8" w:rsidR="008C646D" w:rsidRPr="007837CC" w:rsidRDefault="00A0686A" w:rsidP="00384217">
      <w:pPr>
        <w:pStyle w:val="Heading2"/>
      </w:pPr>
      <w:bookmarkStart w:id="52" w:name="_Toc135300675"/>
      <w:r w:rsidRPr="007837CC">
        <w:lastRenderedPageBreak/>
        <w:t>R</w:t>
      </w:r>
      <w:r w:rsidR="008C646D" w:rsidRPr="007837CC">
        <w:t xml:space="preserve">ole </w:t>
      </w:r>
      <w:r w:rsidRPr="007837CC">
        <w:t xml:space="preserve">of </w:t>
      </w:r>
      <w:r w:rsidR="008C646D" w:rsidRPr="007837CC">
        <w:t>price control settings</w:t>
      </w:r>
      <w:bookmarkEnd w:id="52"/>
    </w:p>
    <w:p w14:paraId="7A4917E4" w14:textId="30256F30" w:rsidR="008142AC" w:rsidRPr="007837CC" w:rsidRDefault="008142AC" w:rsidP="00646459">
      <w:pPr>
        <w:pStyle w:val="BodyText"/>
      </w:pPr>
      <w:r w:rsidRPr="007837CC">
        <w:t xml:space="preserve">While </w:t>
      </w:r>
      <w:r w:rsidR="00B40723" w:rsidRPr="007837CC">
        <w:t>t</w:t>
      </w:r>
      <w:r w:rsidR="006810AB" w:rsidRPr="007837CC">
        <w:t xml:space="preserve">he </w:t>
      </w:r>
      <w:r w:rsidR="008551B2" w:rsidRPr="007837CC">
        <w:t>auction reserve and CCR trigger price</w:t>
      </w:r>
      <w:r w:rsidR="006810AB" w:rsidRPr="007837CC">
        <w:t xml:space="preserve"> signal the </w:t>
      </w:r>
      <w:r w:rsidR="00CA5605" w:rsidRPr="007837CC">
        <w:t>limits</w:t>
      </w:r>
      <w:r w:rsidR="00CA5605" w:rsidRPr="007837CC" w:rsidDel="00CA5605">
        <w:t xml:space="preserve"> </w:t>
      </w:r>
      <w:r w:rsidR="006810AB" w:rsidRPr="007837CC">
        <w:t xml:space="preserve">of expected and acceptable prices in the NZ ETS, they are not intended to be the key driver for the market price. When </w:t>
      </w:r>
      <w:r w:rsidR="00CA5605" w:rsidRPr="007837CC">
        <w:t xml:space="preserve">the 2020 reforms </w:t>
      </w:r>
      <w:r w:rsidR="006810AB" w:rsidRPr="007837CC">
        <w:t xml:space="preserve">introduced </w:t>
      </w:r>
      <w:r w:rsidR="00CA5605" w:rsidRPr="007837CC">
        <w:t xml:space="preserve">them </w:t>
      </w:r>
      <w:r w:rsidR="006810AB" w:rsidRPr="007837CC">
        <w:t>into the NZ ETS, it was stated that the price controls should rarely be triggered</w:t>
      </w:r>
      <w:r w:rsidR="00FF2CB2" w:rsidRPr="007837CC">
        <w:t>.</w:t>
      </w:r>
      <w:r w:rsidR="0028041B" w:rsidRPr="007837CC">
        <w:t xml:space="preserve"> </w:t>
      </w:r>
    </w:p>
    <w:p w14:paraId="29A0FAC3" w14:textId="711BA85C" w:rsidR="0028041B" w:rsidRPr="007837CC" w:rsidRDefault="00741E2E" w:rsidP="00646459">
      <w:pPr>
        <w:pStyle w:val="BodyText"/>
      </w:pPr>
      <w:r w:rsidRPr="007837CC">
        <w:t xml:space="preserve">The </w:t>
      </w:r>
      <w:r w:rsidR="00D62A66" w:rsidRPr="007837CC">
        <w:t xml:space="preserve">upper price control is specifically designed to mitigate against </w:t>
      </w:r>
      <w:r w:rsidR="00432A89" w:rsidRPr="007837CC">
        <w:t xml:space="preserve">prices that are </w:t>
      </w:r>
      <w:r w:rsidR="005726E5" w:rsidRPr="007837CC">
        <w:t>‘too high’</w:t>
      </w:r>
      <w:r w:rsidR="00432A89" w:rsidRPr="007837CC">
        <w:t xml:space="preserve"> and</w:t>
      </w:r>
      <w:r w:rsidR="006F459F" w:rsidRPr="007837CC">
        <w:t xml:space="preserve"> result in unacceptable impacts of emissions prices on households and the economy. The more that</w:t>
      </w:r>
      <w:r w:rsidR="00650661" w:rsidRPr="007837CC">
        <w:t xml:space="preserve"> other policies address</w:t>
      </w:r>
      <w:r w:rsidR="005726E5" w:rsidRPr="007837CC">
        <w:t xml:space="preserve"> these</w:t>
      </w:r>
      <w:r w:rsidR="00650661" w:rsidRPr="007837CC">
        <w:t xml:space="preserve"> impacts, the higher NZU prices can be without resulting in impacts that are deemed unacceptable. </w:t>
      </w:r>
    </w:p>
    <w:p w14:paraId="7B70312B" w14:textId="7E1CE498" w:rsidR="0058259C" w:rsidRPr="007837CC" w:rsidRDefault="002B7A41" w:rsidP="004E3EA1">
      <w:pPr>
        <w:pStyle w:val="BodyText"/>
        <w:spacing w:after="0"/>
      </w:pPr>
      <w:r w:rsidRPr="007837CC">
        <w:t>T</w:t>
      </w:r>
      <w:r w:rsidR="00916619" w:rsidRPr="007837CC">
        <w:t xml:space="preserve">he Commission states </w:t>
      </w:r>
      <w:r w:rsidR="005726E5" w:rsidRPr="007837CC">
        <w:t>in its advice that:</w:t>
      </w:r>
    </w:p>
    <w:p w14:paraId="0CDC699B" w14:textId="18B8E742" w:rsidR="005726E5" w:rsidRPr="007837CC" w:rsidRDefault="005726E5" w:rsidP="00252E57">
      <w:pPr>
        <w:pStyle w:val="Quote"/>
      </w:pPr>
      <w:r w:rsidRPr="007837CC">
        <w:t>“</w:t>
      </w:r>
      <w:proofErr w:type="gramStart"/>
      <w:r w:rsidRPr="007837CC">
        <w:t>we</w:t>
      </w:r>
      <w:proofErr w:type="gramEnd"/>
      <w:r w:rsidRPr="007837CC">
        <w:t xml:space="preserve"> conclude the price control settings are not the appropriate tool for addressing domestic distributional impacts or other equity considerations in the transition, as the Government can act on climate change and manage impacts to households or businesses through policies outside the NZ ETS”.</w:t>
      </w:r>
    </w:p>
    <w:p w14:paraId="39508B16" w14:textId="7912785D" w:rsidR="002B7A41" w:rsidRPr="007837CC" w:rsidRDefault="002B7A41" w:rsidP="00D1413F">
      <w:pPr>
        <w:pStyle w:val="Heading3"/>
      </w:pPr>
      <w:r w:rsidRPr="007837CC">
        <w:t>Operation of price control settings</w:t>
      </w:r>
    </w:p>
    <w:p w14:paraId="3BB6D46C" w14:textId="7B52726C" w:rsidR="4D8320F1" w:rsidRPr="007837CC" w:rsidRDefault="006810AB" w:rsidP="00646459">
      <w:pPr>
        <w:pStyle w:val="BodyText"/>
        <w:rPr>
          <w:rFonts w:asciiTheme="minorHAnsi" w:hAnsiTheme="minorHAnsi"/>
          <w:color w:val="000000"/>
          <w:shd w:val="clear" w:color="auto" w:fill="FFFFFF"/>
        </w:rPr>
      </w:pPr>
      <w:r w:rsidRPr="007837CC">
        <w:t xml:space="preserve">These price </w:t>
      </w:r>
      <w:r w:rsidR="00A846FE" w:rsidRPr="007837CC">
        <w:t xml:space="preserve">control </w:t>
      </w:r>
      <w:r w:rsidR="002B7A41" w:rsidRPr="007837CC">
        <w:t>settings</w:t>
      </w:r>
      <w:r w:rsidRPr="007837CC">
        <w:t xml:space="preserve"> operate at the</w:t>
      </w:r>
      <w:r w:rsidR="00DC7DE5" w:rsidRPr="007837CC">
        <w:t xml:space="preserve"> Government’s</w:t>
      </w:r>
      <w:r w:rsidRPr="007837CC">
        <w:t xml:space="preserve"> quarterly auctions of NZUs. They do not prevent secondary market prices from going above or below the </w:t>
      </w:r>
      <w:r w:rsidR="00400BEC" w:rsidRPr="007837CC">
        <w:t>price floor</w:t>
      </w:r>
      <w:r w:rsidRPr="007837CC">
        <w:t xml:space="preserve"> or CCR trigger prices</w:t>
      </w:r>
      <w:r w:rsidR="001F60A2" w:rsidRPr="007837CC">
        <w:t>, nor do they prevent auctions clearing at prices above the upper price control</w:t>
      </w:r>
      <w:r w:rsidRPr="007837CC">
        <w:t>. Rather, they provide an automatic response mechanism to increase or reduce the amount of NZUs the</w:t>
      </w:r>
      <w:r w:rsidR="00252E57" w:rsidRPr="007837CC">
        <w:t> </w:t>
      </w:r>
      <w:r w:rsidRPr="007837CC">
        <w:t>Government</w:t>
      </w:r>
      <w:r w:rsidR="00DC7DE5" w:rsidRPr="007837CC">
        <w:t xml:space="preserve"> supplies</w:t>
      </w:r>
      <w:r w:rsidRPr="007837CC">
        <w:t xml:space="preserve"> into the NZ ETS, when the auction clearing price is above or below specified levels. In this way, these price controls can help </w:t>
      </w:r>
      <w:r w:rsidR="75B6E39E" w:rsidRPr="007837CC">
        <w:t xml:space="preserve">limit the extent of </w:t>
      </w:r>
      <w:r w:rsidR="001F60A2" w:rsidRPr="007837CC">
        <w:t>in</w:t>
      </w:r>
      <w:r w:rsidRPr="007837CC">
        <w:t>creases or declines in the NZU price.</w:t>
      </w:r>
      <w:r w:rsidR="002A4107" w:rsidRPr="007837CC">
        <w:t xml:space="preserve"> </w:t>
      </w:r>
    </w:p>
    <w:p w14:paraId="352DCBA4" w14:textId="0D093F60" w:rsidR="005E20E4" w:rsidRPr="007837CC" w:rsidDel="009968F7" w:rsidRDefault="00FF2CB2" w:rsidP="00646459">
      <w:pPr>
        <w:pStyle w:val="BodyText"/>
        <w:spacing w:before="100"/>
      </w:pPr>
      <w:r w:rsidRPr="007837CC" w:rsidDel="009968F7">
        <w:t>T</w:t>
      </w:r>
      <w:r w:rsidR="00064668" w:rsidRPr="007837CC" w:rsidDel="009968F7">
        <w:t xml:space="preserve">he settings for the auction reserve and CCR trigger price </w:t>
      </w:r>
      <w:r w:rsidR="1C6CA1D7" w:rsidRPr="007837CC">
        <w:t xml:space="preserve">can </w:t>
      </w:r>
      <w:r w:rsidR="00064668" w:rsidRPr="007837CC" w:rsidDel="009968F7">
        <w:t xml:space="preserve">act as a proxy for what </w:t>
      </w:r>
      <w:r w:rsidR="005B7B65" w:rsidRPr="007837CC" w:rsidDel="009968F7">
        <w:t>are</w:t>
      </w:r>
      <w:r w:rsidR="00064668" w:rsidRPr="007837CC" w:rsidDel="009968F7">
        <w:t xml:space="preserve"> </w:t>
      </w:r>
      <w:r w:rsidR="00DC7DE5" w:rsidRPr="007837CC">
        <w:t>seen</w:t>
      </w:r>
      <w:r w:rsidR="00252E57" w:rsidRPr="007837CC">
        <w:t> </w:t>
      </w:r>
      <w:r w:rsidR="00DC7DE5" w:rsidRPr="007837CC">
        <w:t>as</w:t>
      </w:r>
      <w:r w:rsidR="00064668" w:rsidRPr="007837CC" w:rsidDel="009968F7">
        <w:t xml:space="preserve"> the </w:t>
      </w:r>
      <w:r w:rsidR="005B7B65" w:rsidRPr="007837CC" w:rsidDel="009968F7">
        <w:t xml:space="preserve">lower and upper ends of the </w:t>
      </w:r>
      <w:r w:rsidR="00064668" w:rsidRPr="007837CC" w:rsidDel="009968F7">
        <w:t xml:space="preserve">acceptable range </w:t>
      </w:r>
      <w:r w:rsidR="005B7B65" w:rsidRPr="007837CC" w:rsidDel="009968F7">
        <w:t>for</w:t>
      </w:r>
      <w:r w:rsidR="00064668" w:rsidRPr="007837CC" w:rsidDel="009968F7">
        <w:t xml:space="preserve"> NZU prices</w:t>
      </w:r>
      <w:r w:rsidR="6E43B86A" w:rsidRPr="007837CC">
        <w:t>, but they do not necessarily provide any guidance on what prices should be within this range</w:t>
      </w:r>
      <w:r w:rsidR="2B1E8F88" w:rsidRPr="007837CC">
        <w:t>.</w:t>
      </w:r>
      <w:r w:rsidR="00064668" w:rsidRPr="007837CC" w:rsidDel="009968F7">
        <w:t xml:space="preserve"> </w:t>
      </w:r>
    </w:p>
    <w:p w14:paraId="2CFAD165" w14:textId="0A53DF5D" w:rsidR="00EE03A3" w:rsidRPr="007837CC" w:rsidRDefault="6EE7A581" w:rsidP="004E3EA1">
      <w:pPr>
        <w:pStyle w:val="BodyText"/>
        <w:spacing w:before="100" w:after="0"/>
      </w:pPr>
      <w:r w:rsidRPr="007837CC">
        <w:t xml:space="preserve">The Commission </w:t>
      </w:r>
      <w:r w:rsidR="009B2FC0" w:rsidRPr="007837CC">
        <w:t>has retained the price components of its price control settings recommendations from 2022</w:t>
      </w:r>
      <w:r w:rsidR="00C303F4" w:rsidRPr="007837CC">
        <w:t xml:space="preserve">, </w:t>
      </w:r>
      <w:r w:rsidR="008B5094" w:rsidRPr="007837CC">
        <w:t xml:space="preserve">with a recommendation for minor changes to reflect </w:t>
      </w:r>
      <w:r w:rsidR="00106AA0" w:rsidRPr="007837CC">
        <w:t>more recent projections of inflation</w:t>
      </w:r>
      <w:r w:rsidR="009B2FC0" w:rsidRPr="007837CC">
        <w:t>. I</w:t>
      </w:r>
      <w:r w:rsidRPr="007837CC">
        <w:t xml:space="preserve">n its </w:t>
      </w:r>
      <w:r w:rsidR="001F60A2" w:rsidRPr="007837CC">
        <w:t xml:space="preserve">2022 </w:t>
      </w:r>
      <w:r w:rsidRPr="007837CC">
        <w:t xml:space="preserve">advice </w:t>
      </w:r>
      <w:r w:rsidR="00EE03A3" w:rsidRPr="007837CC">
        <w:t xml:space="preserve">the Commission </w:t>
      </w:r>
      <w:r w:rsidRPr="007837CC">
        <w:t>made clear that it did not</w:t>
      </w:r>
      <w:r w:rsidR="00252E57" w:rsidRPr="007837CC">
        <w:t> </w:t>
      </w:r>
      <w:r w:rsidRPr="007837CC">
        <w:t>see</w:t>
      </w:r>
      <w:r w:rsidR="00252E57" w:rsidRPr="007837CC">
        <w:t> </w:t>
      </w:r>
      <w:r w:rsidRPr="007837CC">
        <w:t xml:space="preserve">the price control settings, particularly the trigger price, as providing any market guidance on expected prices. It stated </w:t>
      </w:r>
      <w:r w:rsidR="22086F28" w:rsidRPr="007837CC">
        <w:t>(p</w:t>
      </w:r>
      <w:r w:rsidR="00252E57" w:rsidRPr="007837CC">
        <w:t xml:space="preserve"> </w:t>
      </w:r>
      <w:r w:rsidR="48E8D40A" w:rsidRPr="007837CC">
        <w:t>66)</w:t>
      </w:r>
      <w:r w:rsidR="00252E57" w:rsidRPr="007837CC">
        <w:t>:</w:t>
      </w:r>
      <w:r w:rsidR="002671B0" w:rsidRPr="007837CC">
        <w:rPr>
          <w:rStyle w:val="FootnoteReference"/>
        </w:rPr>
        <w:footnoteReference w:id="19"/>
      </w:r>
    </w:p>
    <w:p w14:paraId="2DDD445C" w14:textId="2D3FE988" w:rsidR="6EE7A581" w:rsidRPr="007837CC" w:rsidRDefault="6EE7A581" w:rsidP="00252E57">
      <w:pPr>
        <w:pStyle w:val="Quote"/>
      </w:pPr>
      <w:r w:rsidRPr="007837CC">
        <w:t>“</w:t>
      </w:r>
      <w:r w:rsidR="7B19D12B" w:rsidRPr="007837CC">
        <w:t>We wish to emphasise that our recommended price control settings are deliberately outside the bounds we would currently expect price discovery to occur” and “</w:t>
      </w:r>
      <w:r w:rsidRPr="007837CC">
        <w:t xml:space="preserve">For the avoidance of doubt, we would like to state clearly that the recommended CCR trigger prices do not constitute </w:t>
      </w:r>
      <w:r w:rsidR="325EAE25" w:rsidRPr="007837CC">
        <w:t>‘</w:t>
      </w:r>
      <w:r w:rsidRPr="007837CC">
        <w:t>any desirable emissions price path</w:t>
      </w:r>
      <w:r w:rsidR="6A8CE09B" w:rsidRPr="007837CC">
        <w:t>’</w:t>
      </w:r>
      <w:r w:rsidRPr="007837CC">
        <w:t>. We have heard that market participants may potentially see the CCR trigger prices as a ‘target’ or anchor for price expectations in the absence of clearer signals being available. The CCR is intended to only be triggered in rare or exceptional circumstances, and our recommendations reflect this intent. We expect the increased trigger prices to add considerable headroom to allow for price discovery, rather than unduly influencing market price expectations.</w:t>
      </w:r>
      <w:r w:rsidR="3BAEFD72" w:rsidRPr="007837CC">
        <w:t>”</w:t>
      </w:r>
    </w:p>
    <w:p w14:paraId="4A65089A" w14:textId="594653BF" w:rsidR="00DF66DE" w:rsidRPr="007837CC" w:rsidRDefault="00DF66DE" w:rsidP="00646459">
      <w:pPr>
        <w:pStyle w:val="Heading3"/>
        <w:spacing w:before="320"/>
      </w:pPr>
      <w:r w:rsidRPr="007837CC">
        <w:lastRenderedPageBreak/>
        <w:t xml:space="preserve">Observed relationship between </w:t>
      </w:r>
      <w:r w:rsidR="003A7B32" w:rsidRPr="007837CC">
        <w:t>market price and</w:t>
      </w:r>
      <w:r w:rsidR="000866DD" w:rsidRPr="007837CC">
        <w:t> </w:t>
      </w:r>
      <w:r w:rsidR="003A7B32" w:rsidRPr="007837CC">
        <w:t>price</w:t>
      </w:r>
      <w:r w:rsidR="00646459" w:rsidRPr="007837CC">
        <w:t> </w:t>
      </w:r>
      <w:proofErr w:type="gramStart"/>
      <w:r w:rsidR="003A7B32" w:rsidRPr="007837CC">
        <w:t>controls</w:t>
      </w:r>
      <w:proofErr w:type="gramEnd"/>
    </w:p>
    <w:p w14:paraId="505EBE1D" w14:textId="109AD36F" w:rsidR="008270D7" w:rsidRPr="007837CC" w:rsidRDefault="008270D7" w:rsidP="00646459">
      <w:pPr>
        <w:pStyle w:val="BodyText"/>
      </w:pPr>
      <w:r w:rsidRPr="007837CC">
        <w:t>Since</w:t>
      </w:r>
      <w:r w:rsidR="00855BC9" w:rsidRPr="007837CC">
        <w:t xml:space="preserve"> the NZ ETS </w:t>
      </w:r>
      <w:r w:rsidR="00C20D98" w:rsidRPr="007837CC">
        <w:t xml:space="preserve">closed </w:t>
      </w:r>
      <w:r w:rsidR="00855BC9" w:rsidRPr="007837CC">
        <w:t xml:space="preserve">to international markets </w:t>
      </w:r>
      <w:r w:rsidR="00A66992" w:rsidRPr="007837CC">
        <w:t xml:space="preserve">in 2015, the market price of NZUs has closely tracked the </w:t>
      </w:r>
      <w:r w:rsidR="001A67A3" w:rsidRPr="007837CC">
        <w:t xml:space="preserve">upper limit price controls, the $25 and then $35 fixed price option, and the more recent $50 and then $70 cost containment reserve trigger price. </w:t>
      </w:r>
    </w:p>
    <w:p w14:paraId="6DC4032E" w14:textId="5DFE25DF" w:rsidR="00CD5770" w:rsidRPr="007837CC" w:rsidRDefault="005629A5" w:rsidP="00646459">
      <w:pPr>
        <w:pStyle w:val="BodyText"/>
      </w:pPr>
      <w:r w:rsidRPr="007837CC">
        <w:t xml:space="preserve">Secondary market prices </w:t>
      </w:r>
      <w:r w:rsidR="00F334CA" w:rsidRPr="007837CC">
        <w:t xml:space="preserve">for NZUs </w:t>
      </w:r>
      <w:r w:rsidRPr="007837CC">
        <w:t xml:space="preserve">spiked upwards </w:t>
      </w:r>
      <w:r w:rsidR="00F334CA" w:rsidRPr="007837CC">
        <w:t xml:space="preserve">from $73 </w:t>
      </w:r>
      <w:r w:rsidR="00982285" w:rsidRPr="007837CC">
        <w:t xml:space="preserve">to </w:t>
      </w:r>
      <w:r w:rsidR="00F334CA" w:rsidRPr="007837CC">
        <w:t>$83</w:t>
      </w:r>
      <w:r w:rsidR="00982285" w:rsidRPr="007837CC">
        <w:t xml:space="preserve"> immediately following the public release of the Commission’s 2022 advice to significantly adjust price control settings. </w:t>
      </w:r>
      <w:r w:rsidR="00284210" w:rsidRPr="007837CC">
        <w:t xml:space="preserve">When </w:t>
      </w:r>
      <w:r w:rsidR="005C3083">
        <w:t xml:space="preserve">the </w:t>
      </w:r>
      <w:r w:rsidR="00284210" w:rsidRPr="007837CC">
        <w:t xml:space="preserve">Government announced </w:t>
      </w:r>
      <w:r w:rsidR="00F95B99" w:rsidRPr="007837CC">
        <w:t xml:space="preserve">in December </w:t>
      </w:r>
      <w:r w:rsidR="00A03DF6" w:rsidRPr="007837CC">
        <w:t xml:space="preserve">2022 </w:t>
      </w:r>
      <w:r w:rsidR="00284210" w:rsidRPr="007837CC">
        <w:t xml:space="preserve">that </w:t>
      </w:r>
      <w:r w:rsidR="006D74DB" w:rsidRPr="007837CC">
        <w:t xml:space="preserve">status quo price control settings </w:t>
      </w:r>
      <w:r w:rsidR="00F95B99" w:rsidRPr="007837CC">
        <w:t xml:space="preserve">would </w:t>
      </w:r>
      <w:r w:rsidR="00581E88" w:rsidRPr="007837CC">
        <w:t xml:space="preserve">largely </w:t>
      </w:r>
      <w:r w:rsidR="00F95B99" w:rsidRPr="007837CC">
        <w:t xml:space="preserve">be retained, the </w:t>
      </w:r>
      <w:r w:rsidR="00E60B77" w:rsidRPr="007837CC">
        <w:t xml:space="preserve">secondary market price of NZUs </w:t>
      </w:r>
      <w:r w:rsidR="00736BF8" w:rsidRPr="007837CC">
        <w:t xml:space="preserve">immediately slumped </w:t>
      </w:r>
      <w:r w:rsidR="002755BF" w:rsidRPr="007837CC">
        <w:t>from $</w:t>
      </w:r>
      <w:r w:rsidR="00561CE7" w:rsidRPr="007837CC">
        <w:t>86 to around $70. NZUs have this year largely traded in a range between $55 and $65</w:t>
      </w:r>
      <w:r w:rsidR="00E60B77" w:rsidRPr="007837CC">
        <w:t>. These responses further highlight the unintended role that price control settings have played in secondary market prices for NZUs.</w:t>
      </w:r>
    </w:p>
    <w:p w14:paraId="659DAFB5" w14:textId="4E7C20A5" w:rsidR="00760C41" w:rsidRPr="007837CC" w:rsidRDefault="00760C41" w:rsidP="00252E57">
      <w:pPr>
        <w:pStyle w:val="BodyText"/>
        <w:spacing w:after="240"/>
      </w:pPr>
      <w:r w:rsidRPr="007837CC">
        <w:t xml:space="preserve">The risk of significant increases in NZU prices in response to any significant increase in CCR trigger prices is a reason that </w:t>
      </w:r>
      <w:r w:rsidR="004D6204" w:rsidRPr="007837CC">
        <w:t>only minor modifications to the CCR</w:t>
      </w:r>
      <w:r w:rsidR="00E12D26" w:rsidRPr="007837CC">
        <w:t xml:space="preserve"> trigger prices</w:t>
      </w:r>
      <w:r w:rsidR="004D6204" w:rsidRPr="007837CC">
        <w:t xml:space="preserve"> were made in</w:t>
      </w:r>
      <w:r w:rsidR="00252E57" w:rsidRPr="007837CC">
        <w:t> </w:t>
      </w:r>
      <w:r w:rsidR="004D6204" w:rsidRPr="007837CC">
        <w:t xml:space="preserve">2022.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581E88" w:rsidRPr="007837CC" w14:paraId="0E403C24" w14:textId="77777777">
        <w:tc>
          <w:tcPr>
            <w:tcW w:w="0" w:type="auto"/>
            <w:shd w:val="clear" w:color="auto" w:fill="D2DDE2"/>
          </w:tcPr>
          <w:p w14:paraId="377D1BE5" w14:textId="77777777" w:rsidR="00581E88" w:rsidRPr="007837CC" w:rsidRDefault="00581E88">
            <w:pPr>
              <w:pStyle w:val="Boxheading"/>
              <w:rPr>
                <w:rFonts w:cs="Calibri"/>
              </w:rPr>
            </w:pPr>
            <w:r w:rsidRPr="007837CC">
              <w:rPr>
                <w:rFonts w:cs="Calibri"/>
              </w:rPr>
              <w:t>Question</w:t>
            </w:r>
          </w:p>
          <w:p w14:paraId="55A3F6CF" w14:textId="2109C13A" w:rsidR="00581E88" w:rsidRPr="007837CC" w:rsidRDefault="00581E88">
            <w:pPr>
              <w:pStyle w:val="Boxquestion"/>
            </w:pPr>
            <w:r w:rsidRPr="007837CC">
              <w:t>To what extent do you believe that increasing the CCR trigger price would influence NZU prices? Do you think that this influence would remain if CCR trigger prices were increased more significantly?</w:t>
            </w:r>
          </w:p>
        </w:tc>
      </w:tr>
    </w:tbl>
    <w:p w14:paraId="69E4A1FE" w14:textId="76A25CAE" w:rsidR="005A0B3C" w:rsidRPr="007837CC" w:rsidRDefault="005A0B3C" w:rsidP="000866DD">
      <w:pPr>
        <w:pStyle w:val="Heading3"/>
        <w:spacing w:before="400"/>
      </w:pPr>
      <w:r w:rsidRPr="007837CC">
        <w:t>NZU demand elasticity and implications</w:t>
      </w:r>
      <w:r w:rsidR="00AA21AB" w:rsidRPr="007837CC">
        <w:t xml:space="preserve"> for the cost</w:t>
      </w:r>
      <w:r w:rsidR="002B798B" w:rsidRPr="007837CC">
        <w:t> </w:t>
      </w:r>
      <w:r w:rsidR="00AA21AB" w:rsidRPr="007837CC">
        <w:t>containment reserve</w:t>
      </w:r>
    </w:p>
    <w:p w14:paraId="55E11D1B" w14:textId="2D7EFF6D" w:rsidR="00242DE2" w:rsidRPr="007837CC" w:rsidRDefault="00007C4D" w:rsidP="00646459">
      <w:pPr>
        <w:pStyle w:val="BodyText"/>
      </w:pPr>
      <w:r w:rsidRPr="007837CC">
        <w:t>Part of the reason for t</w:t>
      </w:r>
      <w:r w:rsidR="001A67A3" w:rsidRPr="007837CC">
        <w:t xml:space="preserve">his </w:t>
      </w:r>
      <w:r w:rsidR="00AA43E6" w:rsidRPr="007837CC">
        <w:t>correlation between price control settings and market prices</w:t>
      </w:r>
      <w:r w:rsidR="001A67A3" w:rsidRPr="007837CC">
        <w:t xml:space="preserve"> is </w:t>
      </w:r>
      <w:r w:rsidR="00090B0C" w:rsidRPr="007837CC">
        <w:t>likely</w:t>
      </w:r>
      <w:r w:rsidR="00B45779" w:rsidRPr="007837CC">
        <w:t xml:space="preserve"> </w:t>
      </w:r>
      <w:r w:rsidRPr="007837CC">
        <w:t>to be that changes in price do not influence</w:t>
      </w:r>
      <w:r w:rsidR="001A67A3" w:rsidRPr="007837CC">
        <w:t xml:space="preserve"> </w:t>
      </w:r>
      <w:r w:rsidR="001F2DF9" w:rsidRPr="007837CC">
        <w:t xml:space="preserve">compliance </w:t>
      </w:r>
      <w:r w:rsidR="00E6035D" w:rsidRPr="007837CC">
        <w:t xml:space="preserve">demand for </w:t>
      </w:r>
      <w:r w:rsidR="00117DB6" w:rsidRPr="007837CC">
        <w:t xml:space="preserve">NZUs </w:t>
      </w:r>
      <w:r w:rsidR="000B46DD" w:rsidRPr="007837CC">
        <w:t>in</w:t>
      </w:r>
      <w:r w:rsidR="00465680" w:rsidRPr="007837CC">
        <w:t xml:space="preserve"> the short</w:t>
      </w:r>
      <w:r w:rsidRPr="007837CC">
        <w:t xml:space="preserve"> </w:t>
      </w:r>
      <w:r w:rsidR="00465680" w:rsidRPr="007837CC">
        <w:t>term</w:t>
      </w:r>
      <w:r w:rsidR="00252E57" w:rsidRPr="007837CC">
        <w:t>.</w:t>
      </w:r>
      <w:r w:rsidR="00242DE2" w:rsidRPr="007837CC">
        <w:rPr>
          <w:rStyle w:val="FootnoteReference"/>
        </w:rPr>
        <w:footnoteReference w:id="20"/>
      </w:r>
      <w:r w:rsidR="00242DE2" w:rsidRPr="007837CC">
        <w:t xml:space="preserve"> and marginal abatement costs are difficult to identify</w:t>
      </w:r>
      <w:r w:rsidRPr="007837CC">
        <w:t>.</w:t>
      </w:r>
    </w:p>
    <w:p w14:paraId="08A38DA1" w14:textId="24A2FF98" w:rsidR="005E4DE9" w:rsidRPr="007837CC" w:rsidRDefault="00BF1893" w:rsidP="00646459">
      <w:pPr>
        <w:pStyle w:val="BodyText"/>
      </w:pPr>
      <w:r w:rsidRPr="007837CC">
        <w:t>NZ</w:t>
      </w:r>
      <w:r w:rsidR="001C03A2">
        <w:t xml:space="preserve"> </w:t>
      </w:r>
      <w:r w:rsidRPr="007837CC">
        <w:t>ETS</w:t>
      </w:r>
      <w:r w:rsidR="00B45779" w:rsidRPr="007837CC">
        <w:t xml:space="preserve"> </w:t>
      </w:r>
      <w:r w:rsidRPr="007837CC">
        <w:t>participants need</w:t>
      </w:r>
      <w:r w:rsidR="00007FB4" w:rsidRPr="007837CC">
        <w:t xml:space="preserve"> to acquire and surrender NZUs to meet </w:t>
      </w:r>
      <w:r w:rsidRPr="007837CC">
        <w:t xml:space="preserve">NZ ETS obligations. </w:t>
      </w:r>
      <w:r w:rsidR="00021881" w:rsidRPr="007837CC">
        <w:t>If they fail</w:t>
      </w:r>
      <w:r w:rsidR="00B45779" w:rsidRPr="007837CC">
        <w:t xml:space="preserve"> </w:t>
      </w:r>
      <w:r w:rsidR="00021881" w:rsidRPr="007837CC">
        <w:t xml:space="preserve">to </w:t>
      </w:r>
      <w:r w:rsidRPr="007837CC">
        <w:t>surrender NZUs by the deadline</w:t>
      </w:r>
      <w:r w:rsidR="00021881" w:rsidRPr="007837CC">
        <w:t>, they receive</w:t>
      </w:r>
      <w:r w:rsidR="00B338AD" w:rsidRPr="007837CC">
        <w:t xml:space="preserve"> a</w:t>
      </w:r>
      <w:r w:rsidR="009B3401" w:rsidRPr="007837CC">
        <w:t xml:space="preserve"> financial penalty </w:t>
      </w:r>
      <w:r w:rsidR="00C10290" w:rsidRPr="007837CC">
        <w:t>of three times the price</w:t>
      </w:r>
      <w:r w:rsidR="00B45779" w:rsidRPr="007837CC">
        <w:t xml:space="preserve"> </w:t>
      </w:r>
      <w:r w:rsidR="00C10290" w:rsidRPr="007837CC">
        <w:t xml:space="preserve">of </w:t>
      </w:r>
      <w:r w:rsidR="00C10290" w:rsidRPr="007837CC">
        <w:rPr>
          <w:spacing w:val="-2"/>
        </w:rPr>
        <w:t>carbon prescribed in regulations and used for assessing penalties</w:t>
      </w:r>
      <w:r w:rsidR="00B76044" w:rsidRPr="007837CC">
        <w:rPr>
          <w:spacing w:val="-2"/>
        </w:rPr>
        <w:t xml:space="preserve"> and calculating </w:t>
      </w:r>
      <w:r w:rsidR="00021881" w:rsidRPr="007837CC">
        <w:rPr>
          <w:spacing w:val="-2"/>
        </w:rPr>
        <w:t>SGG</w:t>
      </w:r>
      <w:r w:rsidR="00B45779" w:rsidRPr="007837CC">
        <w:rPr>
          <w:spacing w:val="-2"/>
        </w:rPr>
        <w:t xml:space="preserve"> </w:t>
      </w:r>
      <w:r w:rsidR="00B76044" w:rsidRPr="007837CC">
        <w:rPr>
          <w:spacing w:val="-2"/>
        </w:rPr>
        <w:t>levy rates.</w:t>
      </w:r>
      <w:r w:rsidR="00B76044" w:rsidRPr="007837CC">
        <w:t xml:space="preserve"> </w:t>
      </w:r>
    </w:p>
    <w:p w14:paraId="6C91F7C5" w14:textId="1263D9B1" w:rsidR="00DE3A3C" w:rsidRPr="007837CC" w:rsidRDefault="00882884" w:rsidP="00646459">
      <w:pPr>
        <w:pStyle w:val="BodyText"/>
      </w:pPr>
      <w:r w:rsidRPr="007837CC">
        <w:t xml:space="preserve">This penalty </w:t>
      </w:r>
      <w:r w:rsidR="00021881" w:rsidRPr="007837CC">
        <w:t>cannot</w:t>
      </w:r>
      <w:r w:rsidRPr="007837CC">
        <w:t xml:space="preserve"> </w:t>
      </w:r>
      <w:r w:rsidR="00C93912" w:rsidRPr="007837CC">
        <w:t xml:space="preserve">be </w:t>
      </w:r>
      <w:r w:rsidR="00A033EE" w:rsidRPr="007837CC">
        <w:t>reduced</w:t>
      </w:r>
      <w:r w:rsidR="00252E57" w:rsidRPr="007837CC">
        <w:t>,</w:t>
      </w:r>
      <w:r w:rsidR="00F2249E" w:rsidRPr="007837CC">
        <w:rPr>
          <w:rStyle w:val="FootnoteReference"/>
        </w:rPr>
        <w:footnoteReference w:id="21"/>
      </w:r>
      <w:r w:rsidR="008270D7" w:rsidRPr="007837CC">
        <w:t xml:space="preserve"> and is additional to the ongoing requirement to meet the</w:t>
      </w:r>
      <w:r w:rsidR="000866DD" w:rsidRPr="007837CC">
        <w:t> </w:t>
      </w:r>
      <w:r w:rsidR="008270D7" w:rsidRPr="007837CC">
        <w:t xml:space="preserve">original obligation to surrender </w:t>
      </w:r>
      <w:r w:rsidR="00117DB6" w:rsidRPr="007837CC">
        <w:t>NZUs</w:t>
      </w:r>
      <w:r w:rsidR="008270D7" w:rsidRPr="007837CC">
        <w:t xml:space="preserve">. </w:t>
      </w:r>
      <w:r w:rsidR="00090B0C" w:rsidRPr="007837CC">
        <w:t xml:space="preserve">As reference, the prescribed </w:t>
      </w:r>
      <w:r w:rsidR="00A033EE" w:rsidRPr="007837CC">
        <w:t xml:space="preserve">price </w:t>
      </w:r>
      <w:r w:rsidR="00090B0C" w:rsidRPr="007837CC">
        <w:t xml:space="preserve">of carbon </w:t>
      </w:r>
      <w:r w:rsidR="00E505E5" w:rsidRPr="007837CC">
        <w:t xml:space="preserve">in regulations that is used for calculating penalties </w:t>
      </w:r>
      <w:r w:rsidR="00090B0C" w:rsidRPr="007837CC">
        <w:t>for the 202</w:t>
      </w:r>
      <w:r w:rsidR="00E14328" w:rsidRPr="007837CC">
        <w:t>3</w:t>
      </w:r>
      <w:r w:rsidR="00090B0C" w:rsidRPr="007837CC">
        <w:t xml:space="preserve"> calendar year is $</w:t>
      </w:r>
      <w:r w:rsidR="00E14328" w:rsidRPr="007837CC">
        <w:t>67.63.</w:t>
      </w:r>
    </w:p>
    <w:p w14:paraId="1C107997" w14:textId="0105B77E" w:rsidR="00607FBE" w:rsidRPr="007837CC" w:rsidRDefault="00607FBE" w:rsidP="00646459">
      <w:pPr>
        <w:pStyle w:val="Heading3"/>
        <w:spacing w:before="320"/>
      </w:pPr>
      <w:r w:rsidRPr="007837CC">
        <w:t xml:space="preserve">Sale </w:t>
      </w:r>
      <w:r w:rsidR="00914E60" w:rsidRPr="007837CC">
        <w:t xml:space="preserve">of cost containment reserve volume </w:t>
      </w:r>
      <w:r w:rsidR="00FC1C94" w:rsidRPr="007837CC">
        <w:t>to date</w:t>
      </w:r>
    </w:p>
    <w:p w14:paraId="4CAF7748" w14:textId="173833C7" w:rsidR="00914E60" w:rsidRPr="007837CC" w:rsidRDefault="00914E60" w:rsidP="00646459">
      <w:pPr>
        <w:pStyle w:val="BodyText"/>
      </w:pPr>
      <w:r w:rsidRPr="007837CC">
        <w:t>As described above, the CCR trigger price</w:t>
      </w:r>
      <w:r w:rsidR="00DA0B5F" w:rsidRPr="007837CC">
        <w:t xml:space="preserve"> is intended to</w:t>
      </w:r>
      <w:r w:rsidRPr="007837CC">
        <w:t xml:space="preserve"> signal the upper </w:t>
      </w:r>
      <w:r w:rsidR="00BD2F05" w:rsidRPr="007837CC">
        <w:t xml:space="preserve">limit </w:t>
      </w:r>
      <w:r w:rsidRPr="007837CC">
        <w:t>of expected and acceptable prices in the NZ ETS. When</w:t>
      </w:r>
      <w:r w:rsidR="00BD2F05" w:rsidRPr="007837CC">
        <w:t xml:space="preserve"> the 2020 reforms</w:t>
      </w:r>
      <w:r w:rsidRPr="007837CC">
        <w:t xml:space="preserve"> introduced</w:t>
      </w:r>
      <w:r w:rsidR="00BD2F05" w:rsidRPr="007837CC">
        <w:t xml:space="preserve"> it</w:t>
      </w:r>
      <w:r w:rsidRPr="007837CC">
        <w:t xml:space="preserve"> into the NZ ETS, it was stated that the price controls should rarely be triggered.</w:t>
      </w:r>
    </w:p>
    <w:p w14:paraId="48C3E404" w14:textId="2DCFDC07" w:rsidR="00914E60" w:rsidRPr="007837CC" w:rsidRDefault="00914E60" w:rsidP="00252E57">
      <w:pPr>
        <w:pStyle w:val="BodyText"/>
      </w:pPr>
      <w:r w:rsidRPr="007837CC">
        <w:lastRenderedPageBreak/>
        <w:t>The entire CCR volume has sold in both 2021</w:t>
      </w:r>
      <w:r w:rsidR="00BD2F05" w:rsidRPr="007837CC">
        <w:t>, during one auction,</w:t>
      </w:r>
      <w:r w:rsidRPr="007837CC">
        <w:t xml:space="preserve"> and 2022, across two auctions. This has released an additional 14 million </w:t>
      </w:r>
      <w:r w:rsidR="00117DB6" w:rsidRPr="007837CC">
        <w:t xml:space="preserve">NZUs </w:t>
      </w:r>
      <w:r w:rsidRPr="007837CC">
        <w:t xml:space="preserve">into the stockpile, effectively nullifying the </w:t>
      </w:r>
      <w:r w:rsidR="00155825" w:rsidRPr="007837CC">
        <w:t>‘stockpile reduction’ component of setting annual auction volumes</w:t>
      </w:r>
      <w:r w:rsidR="00DA0B5F" w:rsidRPr="007837CC">
        <w:t xml:space="preserve"> in those years</w:t>
      </w:r>
      <w:r w:rsidR="00155825" w:rsidRPr="007837CC">
        <w:t xml:space="preserve">. </w:t>
      </w:r>
      <w:r w:rsidR="0061562D" w:rsidRPr="007837CC">
        <w:t>CCR volume</w:t>
      </w:r>
      <w:r w:rsidR="00642D0B" w:rsidRPr="007837CC">
        <w:t xml:space="preserve"> available at auctions in 2023</w:t>
      </w:r>
      <w:r w:rsidR="0061562D" w:rsidRPr="007837CC">
        <w:t xml:space="preserve"> has not been sold in 2023 auctions</w:t>
      </w:r>
      <w:r w:rsidR="00DA0B5F" w:rsidRPr="007837CC">
        <w:t xml:space="preserve"> to date</w:t>
      </w:r>
      <w:r w:rsidR="00DB7A52">
        <w:t>, which is aligned with the intent that sale of CCR volume is rare</w:t>
      </w:r>
      <w:r w:rsidR="00DA0B5F" w:rsidRPr="007837CC">
        <w:t>.</w:t>
      </w:r>
      <w:r w:rsidR="1A19A765" w:rsidRPr="007837CC">
        <w:t xml:space="preserve"> </w:t>
      </w:r>
    </w:p>
    <w:p w14:paraId="6CC4BA31" w14:textId="536796A5" w:rsidR="00155825" w:rsidRPr="007837CC" w:rsidRDefault="00155825" w:rsidP="00252E57">
      <w:pPr>
        <w:pStyle w:val="BodyText"/>
      </w:pPr>
      <w:r w:rsidRPr="007837CC">
        <w:t xml:space="preserve">The reasons for this are </w:t>
      </w:r>
      <w:r w:rsidR="741ABBC2" w:rsidRPr="007837CC">
        <w:t>uncertain</w:t>
      </w:r>
      <w:r w:rsidR="2B267238" w:rsidRPr="007837CC">
        <w:t>.</w:t>
      </w:r>
      <w:r w:rsidRPr="007837CC">
        <w:t xml:space="preserve"> </w:t>
      </w:r>
      <w:r w:rsidR="10042335" w:rsidRPr="007837CC">
        <w:t>Demand at prices above the trigger price has exceeded the</w:t>
      </w:r>
      <w:r w:rsidR="00252E57" w:rsidRPr="007837CC">
        <w:t> </w:t>
      </w:r>
      <w:r w:rsidR="10042335" w:rsidRPr="007837CC">
        <w:t>initial auction volume</w:t>
      </w:r>
      <w:r w:rsidR="43CF7F58" w:rsidRPr="007837CC">
        <w:t xml:space="preserve"> </w:t>
      </w:r>
      <w:r w:rsidR="6BDFBEC9" w:rsidRPr="007837CC">
        <w:t>either because of the near-term requirements of participants with surrender obligations or in anticipation of rising future prices</w:t>
      </w:r>
      <w:r w:rsidR="4B9EDB32" w:rsidRPr="007837CC">
        <w:t>.</w:t>
      </w:r>
    </w:p>
    <w:p w14:paraId="2A54FB2E" w14:textId="38F0C670" w:rsidR="00BB3208" w:rsidRPr="007837CC" w:rsidRDefault="0050767A" w:rsidP="00883860">
      <w:pPr>
        <w:pStyle w:val="Heading2"/>
        <w:spacing w:before="240"/>
      </w:pPr>
      <w:bookmarkStart w:id="53" w:name="_Toc135300676"/>
      <w:r w:rsidRPr="007837CC">
        <w:t>Factors to c</w:t>
      </w:r>
      <w:r w:rsidR="003843C7" w:rsidRPr="007837CC">
        <w:t xml:space="preserve">onsider in </w:t>
      </w:r>
      <w:r w:rsidR="00C34253" w:rsidRPr="007837CC">
        <w:t>making</w:t>
      </w:r>
      <w:r w:rsidR="003843C7" w:rsidRPr="007837CC">
        <w:t xml:space="preserve"> price control</w:t>
      </w:r>
      <w:r w:rsidR="00C34253" w:rsidRPr="007837CC">
        <w:t xml:space="preserve"> </w:t>
      </w:r>
      <w:r w:rsidR="003843C7" w:rsidRPr="007837CC">
        <w:t>s</w:t>
      </w:r>
      <w:r w:rsidR="00C34253" w:rsidRPr="007837CC">
        <w:t xml:space="preserve">ettings for </w:t>
      </w:r>
      <w:proofErr w:type="gramStart"/>
      <w:r w:rsidR="00C34253" w:rsidRPr="007837CC">
        <w:t>units</w:t>
      </w:r>
      <w:bookmarkEnd w:id="53"/>
      <w:proofErr w:type="gramEnd"/>
    </w:p>
    <w:p w14:paraId="7C3C9E17" w14:textId="0D583614" w:rsidR="00DA0B5F" w:rsidRPr="007837CC" w:rsidRDefault="003843C7" w:rsidP="00252E57">
      <w:pPr>
        <w:pStyle w:val="BodyText"/>
      </w:pPr>
      <w:r w:rsidRPr="007837CC">
        <w:t>The NZU price has a flow</w:t>
      </w:r>
      <w:r w:rsidR="0050767A" w:rsidRPr="007837CC">
        <w:t>-</w:t>
      </w:r>
      <w:r w:rsidRPr="007837CC">
        <w:t xml:space="preserve">on effect </w:t>
      </w:r>
      <w:r w:rsidR="00AF74B2" w:rsidRPr="007837CC">
        <w:t xml:space="preserve">on prices </w:t>
      </w:r>
      <w:r w:rsidRPr="007837CC">
        <w:t xml:space="preserve">across the New Zealand economy, </w:t>
      </w:r>
      <w:r w:rsidR="00BF4874" w:rsidRPr="007837CC">
        <w:t xml:space="preserve">ranging </w:t>
      </w:r>
      <w:r w:rsidRPr="007837CC">
        <w:t xml:space="preserve">from petrol and electricity to the food we eat. The main driver of the NZU price </w:t>
      </w:r>
      <w:r w:rsidR="0061562D" w:rsidRPr="007837CC">
        <w:t>should</w:t>
      </w:r>
      <w:r w:rsidRPr="007837CC">
        <w:t xml:space="preserve"> not</w:t>
      </w:r>
      <w:r w:rsidR="0061562D" w:rsidRPr="007837CC">
        <w:t xml:space="preserve"> be</w:t>
      </w:r>
      <w:r w:rsidRPr="007837CC">
        <w:t xml:space="preserve"> what</w:t>
      </w:r>
      <w:r w:rsidR="00252E57" w:rsidRPr="007837CC">
        <w:t> </w:t>
      </w:r>
      <w:r w:rsidRPr="007837CC">
        <w:t xml:space="preserve">the price controls are set at, but the pressure on </w:t>
      </w:r>
      <w:r w:rsidR="0050767A" w:rsidRPr="007837CC">
        <w:t xml:space="preserve">NZU </w:t>
      </w:r>
      <w:r w:rsidRPr="007837CC">
        <w:t>supply and demand within the NZ</w:t>
      </w:r>
      <w:r w:rsidR="00252E57" w:rsidRPr="007837CC">
        <w:t> </w:t>
      </w:r>
      <w:r w:rsidRPr="007837CC">
        <w:t>ETS market.</w:t>
      </w:r>
    </w:p>
    <w:p w14:paraId="03286FC2" w14:textId="6A89EA75" w:rsidR="00485FD4" w:rsidRPr="007837CC" w:rsidRDefault="003843C7" w:rsidP="00252E57">
      <w:pPr>
        <w:pStyle w:val="BodyText"/>
      </w:pPr>
      <w:r w:rsidRPr="007837CC">
        <w:t>The</w:t>
      </w:r>
      <w:r w:rsidR="00936F88">
        <w:t xml:space="preserve"> </w:t>
      </w:r>
      <w:r w:rsidRPr="007837CC">
        <w:t xml:space="preserve">annual review of the price control </w:t>
      </w:r>
      <w:r w:rsidR="00C34253" w:rsidRPr="007837CC">
        <w:t xml:space="preserve">settings </w:t>
      </w:r>
      <w:r w:rsidR="005E3303" w:rsidRPr="007837CC">
        <w:t>is intended to</w:t>
      </w:r>
      <w:r w:rsidR="00C34253" w:rsidRPr="007837CC">
        <w:t xml:space="preserve"> </w:t>
      </w:r>
      <w:r w:rsidRPr="007837CC">
        <w:t xml:space="preserve">give </w:t>
      </w:r>
      <w:r w:rsidR="00971DAE" w:rsidRPr="007837CC">
        <w:t xml:space="preserve">participants </w:t>
      </w:r>
      <w:r w:rsidRPr="007837CC">
        <w:t>a degree of predictability and stability</w:t>
      </w:r>
      <w:r w:rsidR="3FCFCE24" w:rsidRPr="007837CC">
        <w:t xml:space="preserve">, noting </w:t>
      </w:r>
      <w:r w:rsidR="219267E4" w:rsidRPr="007837CC">
        <w:t xml:space="preserve">that the price control settings should not be seen as representing desirable or expected </w:t>
      </w:r>
      <w:r w:rsidR="00547239" w:rsidRPr="007837CC">
        <w:t xml:space="preserve">secondary market NZU </w:t>
      </w:r>
      <w:r w:rsidR="219267E4" w:rsidRPr="007837CC">
        <w:t>price levels</w:t>
      </w:r>
      <w:r w:rsidR="257A039A" w:rsidRPr="007837CC">
        <w:t>.</w:t>
      </w:r>
      <w:r w:rsidRPr="007837CC">
        <w:t xml:space="preserve"> It also allows the </w:t>
      </w:r>
      <w:r w:rsidR="257A039A" w:rsidRPr="007837CC">
        <w:t>NZ</w:t>
      </w:r>
      <w:r w:rsidR="22C49601" w:rsidRPr="007837CC">
        <w:t>U</w:t>
      </w:r>
      <w:r w:rsidR="00252E57" w:rsidRPr="007837CC">
        <w:t> </w:t>
      </w:r>
      <w:r w:rsidRPr="007837CC">
        <w:t>market to respond to significant shifts in the New Zealand economy</w:t>
      </w:r>
      <w:r w:rsidR="00DD24BC" w:rsidRPr="007837CC">
        <w:t>.</w:t>
      </w:r>
    </w:p>
    <w:p w14:paraId="5EC58C5C" w14:textId="768CB874" w:rsidR="00EE004D" w:rsidRPr="007837CC" w:rsidRDefault="003843C7" w:rsidP="00252E57">
      <w:pPr>
        <w:pStyle w:val="BodyText"/>
      </w:pPr>
      <w:r w:rsidRPr="007837CC">
        <w:t>Updates to price control settings must meet specific requirements under the Act. These</w:t>
      </w:r>
      <w:r w:rsidR="00396755" w:rsidRPr="007837CC">
        <w:t xml:space="preserve"> requirements consist of</w:t>
      </w:r>
      <w:r w:rsidRPr="007837CC">
        <w:t xml:space="preserve"> the</w:t>
      </w:r>
      <w:r w:rsidR="008A6B3F" w:rsidRPr="007837CC">
        <w:t xml:space="preserve"> main</w:t>
      </w:r>
      <w:r w:rsidRPr="007837CC">
        <w:t xml:space="preserve"> </w:t>
      </w:r>
      <w:r w:rsidR="00396755" w:rsidRPr="007837CC">
        <w:t xml:space="preserve">requirements </w:t>
      </w:r>
      <w:r w:rsidRPr="007837CC">
        <w:t xml:space="preserve">for setting the unit limits under </w:t>
      </w:r>
      <w:r w:rsidR="0050767A" w:rsidRPr="007837CC">
        <w:t>s</w:t>
      </w:r>
      <w:r w:rsidRPr="007837CC">
        <w:t>ection 30GC, as</w:t>
      </w:r>
      <w:r w:rsidR="000C6254" w:rsidRPr="007837CC">
        <w:t xml:space="preserve"> </w:t>
      </w:r>
      <w:r w:rsidR="005E3303" w:rsidRPr="007837CC">
        <w:t xml:space="preserve">well as </w:t>
      </w:r>
      <w:r w:rsidR="000C6254" w:rsidRPr="007837CC">
        <w:t>three additional matters</w:t>
      </w:r>
      <w:r w:rsidR="00F3752A" w:rsidRPr="007837CC">
        <w:t xml:space="preserve"> (also described in section 30GC)</w:t>
      </w:r>
      <w:r w:rsidR="008D7A78">
        <w:t xml:space="preserve">. </w:t>
      </w:r>
      <w:proofErr w:type="gramStart"/>
      <w:r w:rsidR="008D7A78">
        <w:t>All of</w:t>
      </w:r>
      <w:proofErr w:type="gramEnd"/>
      <w:r w:rsidR="008D7A78">
        <w:t xml:space="preserve"> these matters are listed</w:t>
      </w:r>
      <w:r w:rsidR="008A6B3F" w:rsidRPr="007837CC">
        <w:t xml:space="preserve"> below</w:t>
      </w:r>
      <w:r w:rsidR="00BD1794" w:rsidRPr="007837CC">
        <w:t>.</w:t>
      </w:r>
    </w:p>
    <w:p w14:paraId="2BE8D8CE" w14:textId="7BCC2703" w:rsidR="00FF2CB2" w:rsidRPr="007837CC" w:rsidRDefault="00FF2CB2" w:rsidP="00252E57">
      <w:pPr>
        <w:pStyle w:val="BodyText"/>
      </w:pPr>
      <w:r w:rsidRPr="007837CC">
        <w:t>Price control</w:t>
      </w:r>
      <w:r w:rsidR="0044153F" w:rsidRPr="007837CC">
        <w:t xml:space="preserve"> settings</w:t>
      </w:r>
      <w:r w:rsidRPr="007837CC">
        <w:t xml:space="preserve"> must be </w:t>
      </w:r>
      <w:r w:rsidR="00B42FEF" w:rsidRPr="007837CC">
        <w:t xml:space="preserve">in </w:t>
      </w:r>
      <w:r w:rsidR="00EE004D" w:rsidRPr="007837CC">
        <w:t>accord</w:t>
      </w:r>
      <w:r w:rsidR="00B42FEF" w:rsidRPr="007837CC">
        <w:t>ance</w:t>
      </w:r>
      <w:r w:rsidR="00EE004D" w:rsidRPr="007837CC">
        <w:t xml:space="preserve"> with the </w:t>
      </w:r>
      <w:r w:rsidR="005D5DEA" w:rsidRPr="007837CC">
        <w:t>emissions budget, NDC and 2050 target</w:t>
      </w:r>
      <w:r w:rsidR="00396755" w:rsidRPr="007837CC">
        <w:t>.</w:t>
      </w:r>
      <w:r w:rsidR="0044153F" w:rsidRPr="007837CC">
        <w:t xml:space="preserve"> </w:t>
      </w:r>
      <w:r w:rsidR="00396755" w:rsidRPr="007837CC">
        <w:t>H</w:t>
      </w:r>
      <w:r w:rsidR="002621A6" w:rsidRPr="007837CC">
        <w:t>owever</w:t>
      </w:r>
      <w:r w:rsidR="00396755" w:rsidRPr="007837CC">
        <w:t>,</w:t>
      </w:r>
      <w:r w:rsidR="002621A6" w:rsidRPr="007837CC">
        <w:t xml:space="preserve"> they need not strictly accord with</w:t>
      </w:r>
      <w:r w:rsidR="00396755" w:rsidRPr="007837CC">
        <w:t xml:space="preserve"> emissions</w:t>
      </w:r>
      <w:r w:rsidR="002621A6" w:rsidRPr="007837CC">
        <w:t xml:space="preserve"> budgets or NDC if a discrepancy is justified after </w:t>
      </w:r>
      <w:r w:rsidR="00C84AAC" w:rsidRPr="007837CC">
        <w:t xml:space="preserve">the Minister has </w:t>
      </w:r>
      <w:r w:rsidR="002621A6" w:rsidRPr="007837CC">
        <w:t>consider</w:t>
      </w:r>
      <w:r w:rsidR="00C84AAC" w:rsidRPr="007837CC">
        <w:t>ed</w:t>
      </w:r>
      <w:r w:rsidR="002621A6" w:rsidRPr="007837CC">
        <w:t xml:space="preserve"> relevant matters</w:t>
      </w:r>
      <w:r w:rsidR="005D5DEA" w:rsidRPr="007837CC">
        <w:t xml:space="preserve">. </w:t>
      </w:r>
      <w:r w:rsidR="007C06D8" w:rsidRPr="007837CC">
        <w:t xml:space="preserve">The following </w:t>
      </w:r>
      <w:r w:rsidR="00C84AAC" w:rsidRPr="007837CC">
        <w:t xml:space="preserve">are the relevant </w:t>
      </w:r>
      <w:r w:rsidR="007C06D8" w:rsidRPr="007837CC">
        <w:t xml:space="preserve">matters </w:t>
      </w:r>
      <w:r w:rsidR="00C84AAC" w:rsidRPr="007837CC">
        <w:t xml:space="preserve">the Minister </w:t>
      </w:r>
      <w:r w:rsidR="007C06D8" w:rsidRPr="007837CC">
        <w:t>must consider when making recommendations on price control settings</w:t>
      </w:r>
      <w:r w:rsidR="00252E57" w:rsidRPr="007837CC">
        <w:t>:</w:t>
      </w:r>
      <w:r w:rsidR="002864EF" w:rsidRPr="007837CC">
        <w:rPr>
          <w:rStyle w:val="FootnoteReference"/>
        </w:rPr>
        <w:footnoteReference w:id="22"/>
      </w:r>
    </w:p>
    <w:p w14:paraId="74FA8DED" w14:textId="09C0D14A" w:rsidR="00064668" w:rsidRPr="007837CC" w:rsidRDefault="00064668" w:rsidP="00252E57">
      <w:pPr>
        <w:pStyle w:val="Bullet"/>
      </w:pPr>
      <w:r w:rsidRPr="007837CC">
        <w:t xml:space="preserve">the projected trends for New Zealand’s greenhouse gas emissions in the </w:t>
      </w:r>
      <w:r w:rsidR="004003A2" w:rsidRPr="007837CC">
        <w:t xml:space="preserve">five </w:t>
      </w:r>
      <w:r w:rsidRPr="007837CC">
        <w:t>years after the current year</w:t>
      </w:r>
    </w:p>
    <w:p w14:paraId="4CD8B5D7" w14:textId="3D453AC0" w:rsidR="00064668" w:rsidRPr="007837CC" w:rsidRDefault="00064668" w:rsidP="00252E57">
      <w:pPr>
        <w:pStyle w:val="Bullet"/>
      </w:pPr>
      <w:r w:rsidRPr="007837CC">
        <w:t xml:space="preserve">the proper functioning of the </w:t>
      </w:r>
      <w:r w:rsidR="00A4135B" w:rsidRPr="007837CC">
        <w:t>E</w:t>
      </w:r>
      <w:r w:rsidRPr="007837CC">
        <w:t xml:space="preserve">missions </w:t>
      </w:r>
      <w:r w:rsidR="00A4135B" w:rsidRPr="007837CC">
        <w:t>T</w:t>
      </w:r>
      <w:r w:rsidRPr="007837CC">
        <w:t xml:space="preserve">rading </w:t>
      </w:r>
      <w:r w:rsidR="00A4135B" w:rsidRPr="007837CC">
        <w:t>S</w:t>
      </w:r>
      <w:r w:rsidRPr="007837CC">
        <w:t>cheme</w:t>
      </w:r>
    </w:p>
    <w:p w14:paraId="09C9407F" w14:textId="3F5AB51F" w:rsidR="00064668" w:rsidRPr="007837CC" w:rsidRDefault="00064668" w:rsidP="00252E57">
      <w:pPr>
        <w:pStyle w:val="Bullet"/>
      </w:pPr>
      <w:r w:rsidRPr="007837CC">
        <w:t xml:space="preserve">international climate change obligations and instruments or contracts that New Zealand has with other jurisdictions to access emissions reductions in their carbon </w:t>
      </w:r>
      <w:proofErr w:type="gramStart"/>
      <w:r w:rsidRPr="007837CC">
        <w:t>markets</w:t>
      </w:r>
      <w:proofErr w:type="gramEnd"/>
    </w:p>
    <w:p w14:paraId="2D3238E9" w14:textId="1FD935AF" w:rsidR="00064668" w:rsidRPr="007837CC" w:rsidRDefault="00064668" w:rsidP="00252E57">
      <w:pPr>
        <w:pStyle w:val="Bullet"/>
      </w:pPr>
      <w:r w:rsidRPr="007837CC">
        <w:t xml:space="preserve">the forecast availability and cost of ways to reduce greenhouse gas emissions that may be needed for New Zealand to meet its targets for the reduction of </w:t>
      </w:r>
      <w:proofErr w:type="gramStart"/>
      <w:r w:rsidRPr="007837CC">
        <w:t>emissions</w:t>
      </w:r>
      <w:proofErr w:type="gramEnd"/>
    </w:p>
    <w:p w14:paraId="662D22B2" w14:textId="00CD000A" w:rsidR="00064668" w:rsidRPr="007837CC" w:rsidRDefault="00064668" w:rsidP="00252E57">
      <w:pPr>
        <w:pStyle w:val="Bullet"/>
      </w:pPr>
      <w:r w:rsidRPr="007837CC">
        <w:t>the recommendations made by the Climate Change Commission under </w:t>
      </w:r>
      <w:bookmarkStart w:id="54" w:name="LMS363540"/>
      <w:r w:rsidRPr="007837CC">
        <w:fldChar w:fldCharType="begin"/>
      </w:r>
      <w:r w:rsidRPr="007837CC">
        <w:instrText xml:space="preserve"> HYPERLINK "https://legislation.govt.nz/act/public/2002/0040/latest/link.aspx?search=ts_act%40bill%40regulation%40deemedreg_climate_resel_25_a&amp;p=1&amp;id=LMS363540" \l "LMS363540" </w:instrText>
      </w:r>
      <w:r w:rsidRPr="007837CC">
        <w:fldChar w:fldCharType="separate"/>
      </w:r>
      <w:r w:rsidRPr="007837CC">
        <w:rPr>
          <w:rStyle w:val="Hyperlink"/>
          <w:bdr w:val="none" w:sz="0" w:space="0" w:color="auto" w:frame="1"/>
        </w:rPr>
        <w:t>section 5ZOA</w:t>
      </w:r>
      <w:r w:rsidRPr="007837CC">
        <w:fldChar w:fldCharType="end"/>
      </w:r>
      <w:bookmarkEnd w:id="54"/>
    </w:p>
    <w:p w14:paraId="0D1903D5" w14:textId="7C1F1234" w:rsidR="005B2AAC" w:rsidRPr="007837CC" w:rsidRDefault="00064668" w:rsidP="00252E57">
      <w:pPr>
        <w:pStyle w:val="Bullet"/>
      </w:pPr>
      <w:r w:rsidRPr="007837CC">
        <w:t xml:space="preserve">any other matters that the Minister considers </w:t>
      </w:r>
      <w:proofErr w:type="gramStart"/>
      <w:r w:rsidRPr="007837CC">
        <w:t>relevant</w:t>
      </w:r>
      <w:proofErr w:type="gramEnd"/>
    </w:p>
    <w:p w14:paraId="4039AE16" w14:textId="77777777" w:rsidR="005B2AAC" w:rsidRPr="007837CC" w:rsidRDefault="003843C7" w:rsidP="00252E57">
      <w:pPr>
        <w:pStyle w:val="Bullet"/>
      </w:pPr>
      <w:r w:rsidRPr="007837CC">
        <w:t>the impact of emissions prices on households and the economy</w:t>
      </w:r>
    </w:p>
    <w:p w14:paraId="0E718622" w14:textId="77777777" w:rsidR="005B2AAC" w:rsidRPr="007837CC" w:rsidRDefault="003843C7" w:rsidP="00252E57">
      <w:pPr>
        <w:pStyle w:val="Bullet"/>
      </w:pPr>
      <w:r w:rsidRPr="007837CC">
        <w:t>the level and trajectory of emissions prices</w:t>
      </w:r>
    </w:p>
    <w:p w14:paraId="0094EF72" w14:textId="62A00FEB" w:rsidR="007E2471" w:rsidRPr="007837CC" w:rsidRDefault="003843C7" w:rsidP="00252E57">
      <w:pPr>
        <w:pStyle w:val="Bullet"/>
      </w:pPr>
      <w:r w:rsidRPr="007837CC">
        <w:t xml:space="preserve">inflation. </w:t>
      </w:r>
    </w:p>
    <w:p w14:paraId="1C466197" w14:textId="05F1FC4D" w:rsidR="00714438" w:rsidRPr="007837CC" w:rsidRDefault="00714438" w:rsidP="00816BC8">
      <w:pPr>
        <w:pStyle w:val="Heading2"/>
        <w:spacing w:before="320"/>
      </w:pPr>
      <w:bookmarkStart w:id="55" w:name="_Considering_gross_or"/>
      <w:bookmarkStart w:id="56" w:name="_Toc135300677"/>
      <w:bookmarkEnd w:id="55"/>
      <w:r w:rsidRPr="007837CC">
        <w:lastRenderedPageBreak/>
        <w:t>Considering gross or net emissions reductions in setting price controls</w:t>
      </w:r>
      <w:bookmarkEnd w:id="56"/>
    </w:p>
    <w:p w14:paraId="3C4A7152" w14:textId="5C2FD431" w:rsidR="00F92647" w:rsidRPr="007837CC" w:rsidRDefault="00714438" w:rsidP="00EC325B">
      <w:pPr>
        <w:pStyle w:val="BodyText"/>
      </w:pPr>
      <w:r w:rsidRPr="007837CC">
        <w:t xml:space="preserve">In </w:t>
      </w:r>
      <w:proofErr w:type="spellStart"/>
      <w:r w:rsidR="00D6683E" w:rsidRPr="007837CC">
        <w:rPr>
          <w:i/>
          <w:iCs/>
        </w:rPr>
        <w:t>Ināia</w:t>
      </w:r>
      <w:proofErr w:type="spellEnd"/>
      <w:r w:rsidR="00D6683E" w:rsidRPr="007837CC">
        <w:rPr>
          <w:i/>
          <w:iCs/>
        </w:rPr>
        <w:t xml:space="preserve"> </w:t>
      </w:r>
      <w:proofErr w:type="spellStart"/>
      <w:r w:rsidR="00D6683E" w:rsidRPr="007837CC">
        <w:rPr>
          <w:i/>
          <w:iCs/>
        </w:rPr>
        <w:t>tonu</w:t>
      </w:r>
      <w:proofErr w:type="spellEnd"/>
      <w:r w:rsidR="00D6683E" w:rsidRPr="007837CC">
        <w:rPr>
          <w:i/>
          <w:iCs/>
        </w:rPr>
        <w:t xml:space="preserve"> </w:t>
      </w:r>
      <w:proofErr w:type="spellStart"/>
      <w:r w:rsidR="00D6683E" w:rsidRPr="007837CC">
        <w:rPr>
          <w:i/>
          <w:iCs/>
        </w:rPr>
        <w:t>nei</w:t>
      </w:r>
      <w:proofErr w:type="spellEnd"/>
      <w:r w:rsidR="00D6683E" w:rsidRPr="007837CC">
        <w:rPr>
          <w:i/>
          <w:iCs/>
        </w:rPr>
        <w:t>: a low emissions future for Aotearoa</w:t>
      </w:r>
      <w:r w:rsidRPr="007837CC">
        <w:t>,</w:t>
      </w:r>
      <w:r w:rsidR="00474FCE" w:rsidRPr="007837CC">
        <w:rPr>
          <w:rStyle w:val="FootnoteReference"/>
        </w:rPr>
        <w:footnoteReference w:id="23"/>
      </w:r>
      <w:r w:rsidRPr="007837CC">
        <w:t xml:space="preserve"> the Commission state</w:t>
      </w:r>
      <w:r w:rsidR="007669CC" w:rsidRPr="007837CC">
        <w:t>s</w:t>
      </w:r>
      <w:r w:rsidRPr="007837CC">
        <w:t xml:space="preserve"> that its </w:t>
      </w:r>
      <w:r w:rsidR="7259833E" w:rsidRPr="007837CC">
        <w:t>modelled</w:t>
      </w:r>
      <w:r w:rsidRPr="007837CC">
        <w:t xml:space="preserve"> </w:t>
      </w:r>
      <w:r w:rsidR="6EEACC65" w:rsidRPr="007837CC">
        <w:t xml:space="preserve">demonstration path </w:t>
      </w:r>
      <w:r w:rsidR="276D79B7" w:rsidRPr="007837CC">
        <w:t xml:space="preserve">represents </w:t>
      </w:r>
      <w:r w:rsidR="6EEACC65" w:rsidRPr="007837CC">
        <w:t xml:space="preserve">one </w:t>
      </w:r>
      <w:r w:rsidR="554E0EAE" w:rsidRPr="007837CC">
        <w:t xml:space="preserve">scenario that would be expected to </w:t>
      </w:r>
      <w:r w:rsidRPr="007837CC">
        <w:t>meet the</w:t>
      </w:r>
      <w:r w:rsidR="00252E57" w:rsidRPr="007837CC">
        <w:t> </w:t>
      </w:r>
      <w:r w:rsidRPr="007837CC">
        <w:t>2050 target</w:t>
      </w:r>
      <w:r w:rsidR="2DE205DB" w:rsidRPr="007837CC">
        <w:t xml:space="preserve">. </w:t>
      </w:r>
    </w:p>
    <w:p w14:paraId="422E6309" w14:textId="7045AEA9" w:rsidR="00714438" w:rsidRPr="007837CC" w:rsidRDefault="00714438" w:rsidP="00EC325B">
      <w:pPr>
        <w:pStyle w:val="BodyText"/>
      </w:pPr>
      <w:r w:rsidRPr="007837CC">
        <w:t xml:space="preserve">In arriving at </w:t>
      </w:r>
      <w:r w:rsidR="001A707A" w:rsidRPr="007837CC">
        <w:t>its</w:t>
      </w:r>
      <w:r w:rsidRPr="007837CC">
        <w:t xml:space="preserve"> recommendations for price control settings, the Commission considers gross emissions reductions</w:t>
      </w:r>
      <w:r w:rsidR="001C5B4F" w:rsidRPr="007837CC">
        <w:t xml:space="preserve"> independently</w:t>
      </w:r>
      <w:r w:rsidRPr="007837CC">
        <w:t>. To do this, the Commission established a target level of gross NZ ETS emissions. This is based on its demonstration path and aligns with the sector sub</w:t>
      </w:r>
      <w:r w:rsidR="00F97162" w:rsidRPr="007837CC">
        <w:noBreakHyphen/>
      </w:r>
      <w:r w:rsidRPr="007837CC">
        <w:t xml:space="preserve">targets described in </w:t>
      </w:r>
      <w:r w:rsidR="00AA2DA3" w:rsidRPr="007837CC">
        <w:t>t</w:t>
      </w:r>
      <w:r w:rsidRPr="007837CC">
        <w:t xml:space="preserve">able 1.2 of the </w:t>
      </w:r>
      <w:r w:rsidR="00F104C1" w:rsidRPr="007837CC">
        <w:t>emissions reduction plan (</w:t>
      </w:r>
      <w:r w:rsidRPr="007837CC">
        <w:t>ERP</w:t>
      </w:r>
      <w:r w:rsidR="00F104C1" w:rsidRPr="007837CC">
        <w:t>)</w:t>
      </w:r>
      <w:r w:rsidRPr="007837CC">
        <w:t xml:space="preserve">. </w:t>
      </w:r>
      <w:r w:rsidR="000E7738" w:rsidRPr="007837CC">
        <w:t>The</w:t>
      </w:r>
      <w:r w:rsidR="00AA2DA3" w:rsidRPr="007837CC">
        <w:t xml:space="preserve"> ERP set these</w:t>
      </w:r>
      <w:r w:rsidR="000E7738" w:rsidRPr="007837CC">
        <w:t xml:space="preserve"> sector sub-targets as a tool for monitoring sectoral progress. </w:t>
      </w:r>
    </w:p>
    <w:p w14:paraId="1D9062DF" w14:textId="15ED5BC9" w:rsidR="00714438" w:rsidRPr="007837CC" w:rsidRDefault="00714438" w:rsidP="00EC325B">
      <w:pPr>
        <w:pStyle w:val="BodyText"/>
      </w:pPr>
      <w:r w:rsidRPr="007837CC">
        <w:t xml:space="preserve">The Commission then tested for the emissions price path required to meet this overall target level under different scenarios created to reflect the baseline and policy uncertainty. This allowed for under- or over-achievement of the sector sub-targets so long as total NZ ETS emissions meet the target level. </w:t>
      </w:r>
    </w:p>
    <w:p w14:paraId="430522D0" w14:textId="31EC5662" w:rsidR="00714438" w:rsidRPr="007837CC" w:rsidRDefault="00714438" w:rsidP="00EC325B">
      <w:pPr>
        <w:pStyle w:val="BodyText"/>
      </w:pPr>
      <w:r w:rsidRPr="007837CC">
        <w:t xml:space="preserve">The Commission describes this in </w:t>
      </w:r>
      <w:r w:rsidR="00474FCE" w:rsidRPr="007837CC">
        <w:t xml:space="preserve">its </w:t>
      </w:r>
      <w:r w:rsidRPr="007837CC">
        <w:t>advice as</w:t>
      </w:r>
      <w:r w:rsidR="009E6217" w:rsidRPr="007837CC">
        <w:t xml:space="preserve"> </w:t>
      </w:r>
      <w:r w:rsidRPr="007837CC">
        <w:t>“testing uncertainty around the emissions prices needed to deliver the intended gross emissions reductions for NZ ETS sectors”</w:t>
      </w:r>
      <w:r w:rsidR="00252E57" w:rsidRPr="007837CC">
        <w:t>.</w:t>
      </w:r>
      <w:r w:rsidR="00061676" w:rsidRPr="007837CC">
        <w:rPr>
          <w:rStyle w:val="FootnoteReference"/>
        </w:rPr>
        <w:footnoteReference w:id="24"/>
      </w:r>
    </w:p>
    <w:p w14:paraId="37154D0C" w14:textId="595C0813" w:rsidR="00714438" w:rsidRPr="007837CC" w:rsidRDefault="00714438" w:rsidP="00252E57">
      <w:pPr>
        <w:pStyle w:val="BodyText"/>
      </w:pPr>
      <w:r w:rsidRPr="007837CC">
        <w:t>NZ ETS unit settings are required to accord with emissions budgets, the NDC</w:t>
      </w:r>
      <w:r w:rsidR="00F104C1" w:rsidRPr="007837CC">
        <w:t>,</w:t>
      </w:r>
      <w:r w:rsidRPr="007837CC">
        <w:t xml:space="preserve"> and the 2050 target. These are all defined in terms of net emissions, with no reference to the relative contributions </w:t>
      </w:r>
      <w:r w:rsidR="00474FCE" w:rsidRPr="007837CC">
        <w:t xml:space="preserve">that </w:t>
      </w:r>
      <w:r w:rsidRPr="007837CC">
        <w:t>gross emissions reductions and carbon sequestration/removals</w:t>
      </w:r>
      <w:r w:rsidR="00474FCE" w:rsidRPr="007837CC">
        <w:t xml:space="preserve"> make</w:t>
      </w:r>
      <w:r w:rsidRPr="007837CC">
        <w:t>.</w:t>
      </w:r>
    </w:p>
    <w:p w14:paraId="2AF00066" w14:textId="31EC899D" w:rsidR="001F1AA4" w:rsidRPr="007837CC" w:rsidRDefault="00714438" w:rsidP="00714438">
      <w:pPr>
        <w:pStyle w:val="BodyText"/>
      </w:pPr>
      <w:r w:rsidRPr="007837CC">
        <w:t>The ERP includes an action to review the NZ ETS to drive a balance of gross and net emissions reductions.</w:t>
      </w:r>
    </w:p>
    <w:p w14:paraId="473983C6" w14:textId="7C6882AC" w:rsidR="00714438" w:rsidRPr="007837CC" w:rsidRDefault="001F1AA4" w:rsidP="00714438">
      <w:pPr>
        <w:pStyle w:val="BodyText"/>
        <w:rPr>
          <w:rFonts w:asciiTheme="minorHAnsi" w:hAnsiTheme="minorHAnsi" w:cstheme="minorHAnsi"/>
        </w:rPr>
      </w:pPr>
      <w:r w:rsidRPr="007837CC">
        <w:rPr>
          <w:rFonts w:asciiTheme="minorHAnsi" w:eastAsia="Times New Roman" w:hAnsiTheme="minorHAnsi" w:cstheme="minorHAnsi"/>
        </w:rPr>
        <w:t xml:space="preserve">The </w:t>
      </w:r>
      <w:r w:rsidR="005F1090">
        <w:rPr>
          <w:rFonts w:asciiTheme="minorHAnsi" w:eastAsia="Times New Roman" w:hAnsiTheme="minorHAnsi" w:cstheme="minorHAnsi"/>
        </w:rPr>
        <w:t>G</w:t>
      </w:r>
      <w:r w:rsidRPr="007837CC">
        <w:rPr>
          <w:rFonts w:asciiTheme="minorHAnsi" w:eastAsia="Times New Roman" w:hAnsiTheme="minorHAnsi" w:cstheme="minorHAnsi"/>
        </w:rPr>
        <w:t>overnment recently announced a review of the NZ ETS. A focus for the review will be</w:t>
      </w:r>
      <w:r w:rsidR="00252E57" w:rsidRPr="007837CC">
        <w:rPr>
          <w:rFonts w:asciiTheme="minorHAnsi" w:eastAsia="Times New Roman" w:hAnsiTheme="minorHAnsi" w:cstheme="minorHAnsi"/>
        </w:rPr>
        <w:t> </w:t>
      </w:r>
      <w:r w:rsidRPr="007837CC">
        <w:rPr>
          <w:rFonts w:asciiTheme="minorHAnsi" w:eastAsia="Times New Roman" w:hAnsiTheme="minorHAnsi" w:cstheme="minorHAnsi"/>
        </w:rPr>
        <w:t>what balance of gross emissions reductions and emissions removals should be incentivised by the NZ ETS in future. It will also canvas high-level proposals to amend the NZ ETS to support emissions reductions and removals. Public consultation is currently expected to take place in</w:t>
      </w:r>
      <w:r w:rsidR="00252E57" w:rsidRPr="007837CC">
        <w:rPr>
          <w:rFonts w:asciiTheme="minorHAnsi" w:eastAsia="Times New Roman" w:hAnsiTheme="minorHAnsi" w:cstheme="minorHAnsi"/>
        </w:rPr>
        <w:t> </w:t>
      </w:r>
      <w:r w:rsidRPr="007837CC">
        <w:rPr>
          <w:rFonts w:asciiTheme="minorHAnsi" w:eastAsia="Times New Roman" w:hAnsiTheme="minorHAnsi" w:cstheme="minorHAnsi"/>
        </w:rPr>
        <w:t>mid-2023</w:t>
      </w:r>
      <w:r w:rsidR="005A3F4F">
        <w:rPr>
          <w:rFonts w:asciiTheme="minorHAnsi" w:eastAsia="Times New Roman" w:hAnsiTheme="minorHAnsi" w:cstheme="minorHAnsi"/>
        </w:rPr>
        <w:t>.</w:t>
      </w:r>
      <w:r w:rsidR="005D332C" w:rsidRPr="007837CC">
        <w:rPr>
          <w:rFonts w:asciiTheme="minorHAnsi" w:hAnsiTheme="minorHAnsi" w:cstheme="minorHAnsi"/>
        </w:rPr>
        <w:t xml:space="preserve"> </w:t>
      </w:r>
    </w:p>
    <w:p w14:paraId="710D91B5" w14:textId="6AFDE122" w:rsidR="00E74326" w:rsidRPr="007837CC" w:rsidRDefault="00E253C2" w:rsidP="00252E57">
      <w:pPr>
        <w:pStyle w:val="BodyText"/>
        <w:spacing w:after="240"/>
      </w:pPr>
      <w:r w:rsidRPr="007837CC">
        <w:t>T</w:t>
      </w:r>
      <w:r w:rsidR="00232CE7" w:rsidRPr="007837CC">
        <w:t xml:space="preserve">he </w:t>
      </w:r>
      <w:r w:rsidR="00E74326" w:rsidRPr="007837CC">
        <w:t>Commission</w:t>
      </w:r>
      <w:r w:rsidRPr="007837CC">
        <w:t>’s use of gross em</w:t>
      </w:r>
      <w:r w:rsidR="00E74326" w:rsidRPr="007837CC">
        <w:t>issions reduction ‘targets’ as the fundamental input to its recommendations on price control settings</w:t>
      </w:r>
      <w:r w:rsidR="004325C6" w:rsidRPr="007837CC">
        <w:t xml:space="preserve"> </w:t>
      </w:r>
      <w:r w:rsidR="004F2D16" w:rsidRPr="007837CC">
        <w:t xml:space="preserve">reflects the </w:t>
      </w:r>
      <w:r w:rsidR="008D2403" w:rsidRPr="007837CC">
        <w:t xml:space="preserve">sector sub-targets described in the ERP. It does not </w:t>
      </w:r>
      <w:r w:rsidR="00F92647" w:rsidRPr="007837CC">
        <w:t>reflect</w:t>
      </w:r>
      <w:r w:rsidR="008D2403" w:rsidRPr="007837CC">
        <w:t xml:space="preserve"> possible reductions in required gross emissions reductions if </w:t>
      </w:r>
      <w:r w:rsidR="00BF447D" w:rsidRPr="007837CC">
        <w:t xml:space="preserve">emissions removals from forestry are higher than are modelled in the demonstration path and reflected in the </w:t>
      </w:r>
      <w:r w:rsidR="004E628C" w:rsidRPr="007837CC">
        <w:t>forestry sector sub-targets</w:t>
      </w:r>
      <w:r w:rsidR="009546B3" w:rsidRPr="007837CC">
        <w:t>.</w:t>
      </w:r>
      <w:r w:rsidR="00E74326" w:rsidRPr="007837CC">
        <w:t xml:space="preserve">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156820" w:rsidRPr="007837CC" w14:paraId="4242A485" w14:textId="77777777" w:rsidTr="00CE1496">
        <w:tc>
          <w:tcPr>
            <w:tcW w:w="0" w:type="auto"/>
            <w:shd w:val="clear" w:color="auto" w:fill="D2DDE2"/>
          </w:tcPr>
          <w:p w14:paraId="51B2CC03" w14:textId="77777777" w:rsidR="00156820" w:rsidRPr="007837CC" w:rsidRDefault="00156820" w:rsidP="00252E57">
            <w:pPr>
              <w:pStyle w:val="Boxheading"/>
            </w:pPr>
            <w:r w:rsidRPr="007837CC">
              <w:t>Question</w:t>
            </w:r>
          </w:p>
          <w:p w14:paraId="534968B4" w14:textId="30093844" w:rsidR="00156820" w:rsidRPr="007837CC" w:rsidRDefault="00156820" w:rsidP="00156820">
            <w:pPr>
              <w:pStyle w:val="Boxquestion"/>
            </w:pPr>
            <w:r w:rsidRPr="007837CC">
              <w:t>What do you think of the approach of setting price controls with reference to prices required to deliver gross emissions reductions?</w:t>
            </w:r>
          </w:p>
        </w:tc>
      </w:tr>
    </w:tbl>
    <w:p w14:paraId="5F05603A" w14:textId="77777777" w:rsidR="00252E57" w:rsidRPr="007837CC" w:rsidRDefault="00252E57" w:rsidP="00252E57">
      <w:pPr>
        <w:pStyle w:val="BodyText"/>
        <w:spacing w:before="0" w:after="0"/>
      </w:pPr>
    </w:p>
    <w:p w14:paraId="485FB5D1" w14:textId="78FEB8D3" w:rsidR="005E3303" w:rsidRPr="007837CC" w:rsidRDefault="00A92A55" w:rsidP="00036C9F">
      <w:pPr>
        <w:pStyle w:val="Heading2"/>
      </w:pPr>
      <w:bookmarkStart w:id="57" w:name="_Toc135300678"/>
      <w:r w:rsidRPr="007837CC">
        <w:lastRenderedPageBreak/>
        <w:t>Overview of p</w:t>
      </w:r>
      <w:r w:rsidR="005A0B3C" w:rsidRPr="007837CC">
        <w:t>rice control settings</w:t>
      </w:r>
      <w:bookmarkEnd w:id="57"/>
    </w:p>
    <w:p w14:paraId="7DF3D89E" w14:textId="4FDC2448" w:rsidR="005A0B3C" w:rsidRPr="007837CC" w:rsidRDefault="00620898" w:rsidP="00EC325B">
      <w:pPr>
        <w:pStyle w:val="BodyText"/>
      </w:pPr>
      <w:r w:rsidRPr="007837CC">
        <w:t>In addition to</w:t>
      </w:r>
      <w:r w:rsidR="00574376" w:rsidRPr="007837CC">
        <w:t xml:space="preserve"> the three </w:t>
      </w:r>
      <w:r w:rsidR="005009E4" w:rsidRPr="007837CC">
        <w:t xml:space="preserve">prescribed </w:t>
      </w:r>
      <w:r w:rsidR="00574376" w:rsidRPr="007837CC">
        <w:t>price control settings listed above, a fourth</w:t>
      </w:r>
      <w:r w:rsidRPr="007837CC">
        <w:t xml:space="preserve"> concerns </w:t>
      </w:r>
      <w:r w:rsidR="00574376" w:rsidRPr="007837CC">
        <w:t>the</w:t>
      </w:r>
      <w:r w:rsidR="00753ABC" w:rsidRPr="007837CC">
        <w:t> </w:t>
      </w:r>
      <w:r w:rsidR="00574376" w:rsidRPr="007837CC" w:rsidDel="00B44DCC">
        <w:t xml:space="preserve">structure </w:t>
      </w:r>
      <w:r w:rsidR="00574376" w:rsidRPr="007837CC">
        <w:t xml:space="preserve">of the cost containment reserve. </w:t>
      </w:r>
      <w:r w:rsidRPr="007837CC">
        <w:t>We discuss t</w:t>
      </w:r>
      <w:r w:rsidR="005A505B" w:rsidRPr="007837CC">
        <w:t>hese settings below in the following</w:t>
      </w:r>
      <w:r w:rsidR="00753ABC" w:rsidRPr="007837CC">
        <w:t> </w:t>
      </w:r>
      <w:r w:rsidR="005A505B" w:rsidRPr="007837CC">
        <w:t>order:</w:t>
      </w:r>
    </w:p>
    <w:p w14:paraId="5E91AAFD" w14:textId="73B3560E" w:rsidR="005A505B" w:rsidRPr="007837CC" w:rsidRDefault="00620898" w:rsidP="00E97706">
      <w:pPr>
        <w:pStyle w:val="Numberedparagraph"/>
        <w:numPr>
          <w:ilvl w:val="0"/>
          <w:numId w:val="22"/>
        </w:numPr>
      </w:pPr>
      <w:r w:rsidRPr="007837CC">
        <w:t>p</w:t>
      </w:r>
      <w:r w:rsidR="005A505B" w:rsidRPr="007837CC">
        <w:t>rice floor</w:t>
      </w:r>
    </w:p>
    <w:p w14:paraId="2667D857" w14:textId="7649C9C9" w:rsidR="005A505B" w:rsidRPr="007837CC" w:rsidRDefault="005A505B" w:rsidP="00EC325B">
      <w:pPr>
        <w:pStyle w:val="Numberedparagraph"/>
      </w:pPr>
      <w:r w:rsidRPr="007837CC">
        <w:t>CCR structure</w:t>
      </w:r>
    </w:p>
    <w:p w14:paraId="2048808E" w14:textId="10704526" w:rsidR="005A505B" w:rsidRPr="007837CC" w:rsidRDefault="005A505B" w:rsidP="00EC325B">
      <w:pPr>
        <w:pStyle w:val="Numberedparagraph"/>
      </w:pPr>
      <w:r w:rsidRPr="007837CC">
        <w:t>CCR trigger price</w:t>
      </w:r>
    </w:p>
    <w:p w14:paraId="21E1AE77" w14:textId="286B6059" w:rsidR="005A505B" w:rsidRPr="007837CC" w:rsidRDefault="005A505B" w:rsidP="00EC325B">
      <w:pPr>
        <w:pStyle w:val="Numberedparagraph"/>
      </w:pPr>
      <w:r w:rsidRPr="007837CC">
        <w:t>CCR volume</w:t>
      </w:r>
      <w:r w:rsidR="00620898" w:rsidRPr="007837CC">
        <w:t>.</w:t>
      </w:r>
    </w:p>
    <w:p w14:paraId="11C07120" w14:textId="78755518" w:rsidR="005A505B" w:rsidRPr="007837CC" w:rsidRDefault="005A505B" w:rsidP="00EC325B">
      <w:pPr>
        <w:pStyle w:val="Heading2"/>
      </w:pPr>
      <w:bookmarkStart w:id="58" w:name="_Toc135300679"/>
      <w:r w:rsidRPr="007837CC">
        <w:t>Price floor</w:t>
      </w:r>
      <w:bookmarkEnd w:id="58"/>
    </w:p>
    <w:p w14:paraId="1EC08655" w14:textId="5A68226D" w:rsidR="005A505B" w:rsidRPr="007837CC" w:rsidRDefault="005A505B" w:rsidP="005A505B">
      <w:pPr>
        <w:pStyle w:val="BodyText"/>
      </w:pPr>
      <w:r w:rsidRPr="007837CC">
        <w:t>To avoid unacceptably low auction prices</w:t>
      </w:r>
      <w:r w:rsidR="00F64009" w:rsidRPr="007837CC">
        <w:t>,</w:t>
      </w:r>
      <w:r w:rsidRPr="007837CC">
        <w:t xml:space="preserve"> regulations must set the minimum price </w:t>
      </w:r>
      <w:r w:rsidR="00D76441" w:rsidRPr="007837CC">
        <w:t>below which</w:t>
      </w:r>
      <w:r w:rsidRPr="007837CC">
        <w:t xml:space="preserve"> </w:t>
      </w:r>
      <w:r w:rsidR="00117DB6" w:rsidRPr="007837CC">
        <w:t xml:space="preserve">NZUs </w:t>
      </w:r>
      <w:r w:rsidR="00D76441" w:rsidRPr="007837CC">
        <w:t>must not be sold at auction (auction reserve price)</w:t>
      </w:r>
      <w:r w:rsidRPr="007837CC">
        <w:t xml:space="preserve"> for the next five calendar years. </w:t>
      </w:r>
    </w:p>
    <w:p w14:paraId="5AEE3D13" w14:textId="67FD99FE" w:rsidR="005A505B" w:rsidRPr="007837CC" w:rsidRDefault="005A505B" w:rsidP="005A505B">
      <w:pPr>
        <w:pStyle w:val="BodyText"/>
      </w:pPr>
      <w:r w:rsidRPr="007837CC">
        <w:rPr>
          <w:spacing w:val="-2"/>
        </w:rPr>
        <w:t>Th</w:t>
      </w:r>
      <w:r w:rsidR="00C71121" w:rsidRPr="007837CC">
        <w:rPr>
          <w:spacing w:val="-2"/>
        </w:rPr>
        <w:t>is</w:t>
      </w:r>
      <w:r w:rsidRPr="007837CC">
        <w:rPr>
          <w:spacing w:val="-2"/>
        </w:rPr>
        <w:t xml:space="preserve"> auction reserve price is the price below which the Government will not sell </w:t>
      </w:r>
      <w:r w:rsidR="00117DB6" w:rsidRPr="007837CC">
        <w:rPr>
          <w:spacing w:val="-2"/>
        </w:rPr>
        <w:t xml:space="preserve">NZUs </w:t>
      </w:r>
      <w:r w:rsidRPr="007837CC">
        <w:rPr>
          <w:spacing w:val="-2"/>
        </w:rPr>
        <w:t>at auction.</w:t>
      </w:r>
      <w:r w:rsidRPr="007837CC">
        <w:t xml:space="preserve"> Its stated purpose is to act as a safety valve that helps guard against NZU prices dropping below </w:t>
      </w:r>
      <w:r w:rsidR="00F4293D" w:rsidRPr="007837CC">
        <w:t>the level</w:t>
      </w:r>
      <w:r w:rsidRPr="007837CC">
        <w:t xml:space="preserve"> needed </w:t>
      </w:r>
      <w:r w:rsidR="00F4293D" w:rsidRPr="007837CC">
        <w:t xml:space="preserve">to </w:t>
      </w:r>
      <w:r w:rsidRPr="007837CC">
        <w:t xml:space="preserve">meet emissions budgets. </w:t>
      </w:r>
      <w:r w:rsidR="00F4293D" w:rsidRPr="007837CC">
        <w:t>Under the r</w:t>
      </w:r>
      <w:r w:rsidR="00C71121" w:rsidRPr="007837CC">
        <w:t>egulations</w:t>
      </w:r>
      <w:r w:rsidR="00F4293D" w:rsidRPr="007837CC">
        <w:t>,</w:t>
      </w:r>
      <w:r w:rsidR="00424921" w:rsidRPr="007837CC">
        <w:t xml:space="preserve"> bids </w:t>
      </w:r>
      <w:r w:rsidR="00F87575" w:rsidRPr="007837CC">
        <w:t xml:space="preserve">in an NZ ETS auction cannot be made at prices below the auction reserve price that applies at that auction. </w:t>
      </w:r>
    </w:p>
    <w:p w14:paraId="00A9E5B6" w14:textId="7A38B29B" w:rsidR="005A505B" w:rsidRPr="007837CC" w:rsidDel="00312FE6" w:rsidRDefault="005A505B" w:rsidP="005A505B">
      <w:pPr>
        <w:pStyle w:val="BodyText"/>
      </w:pPr>
      <w:r w:rsidRPr="007837CC" w:rsidDel="00312FE6">
        <w:t xml:space="preserve">The </w:t>
      </w:r>
      <w:r w:rsidR="00FE4764" w:rsidRPr="007837CC">
        <w:t>auction reserve price</w:t>
      </w:r>
      <w:r w:rsidRPr="007837CC" w:rsidDel="00312FE6">
        <w:t xml:space="preserve"> is not a hard price floor as secondary market prices can fall below it. Instead, it prevents the </w:t>
      </w:r>
      <w:r w:rsidR="00F4293D" w:rsidRPr="007837CC">
        <w:t>G</w:t>
      </w:r>
      <w:r w:rsidRPr="007837CC" w:rsidDel="00312FE6">
        <w:t>overnment from adding further NZUs into the market when prices are low</w:t>
      </w:r>
      <w:r w:rsidR="00F4293D" w:rsidRPr="007837CC">
        <w:t>.</w:t>
      </w:r>
    </w:p>
    <w:p w14:paraId="10DE2880" w14:textId="47F633C9" w:rsidR="005A505B" w:rsidRPr="007837CC" w:rsidRDefault="000606D9" w:rsidP="005A505B">
      <w:pPr>
        <w:pStyle w:val="BodyText"/>
      </w:pPr>
      <w:r w:rsidRPr="007837CC">
        <w:t xml:space="preserve">Each </w:t>
      </w:r>
      <w:r w:rsidR="005A505B" w:rsidRPr="007837CC">
        <w:t xml:space="preserve">NZ ETS </w:t>
      </w:r>
      <w:r w:rsidRPr="007837CC">
        <w:t xml:space="preserve">auction </w:t>
      </w:r>
      <w:r w:rsidR="005A505B" w:rsidRPr="007837CC">
        <w:t>also includes a confidential reserve price</w:t>
      </w:r>
      <w:r w:rsidRPr="007837CC">
        <w:t xml:space="preserve"> that is calculated for that specific </w:t>
      </w:r>
      <w:r w:rsidRPr="007837CC">
        <w:rPr>
          <w:spacing w:val="-2"/>
        </w:rPr>
        <w:t xml:space="preserve">auction. This </w:t>
      </w:r>
      <w:r w:rsidR="007B0327" w:rsidRPr="007837CC">
        <w:rPr>
          <w:spacing w:val="-2"/>
        </w:rPr>
        <w:t xml:space="preserve">confidential reserve price is set in </w:t>
      </w:r>
      <w:r w:rsidR="003100AE" w:rsidRPr="007837CC">
        <w:rPr>
          <w:spacing w:val="-2"/>
        </w:rPr>
        <w:t>reference to representative prices for NZUs sold</w:t>
      </w:r>
      <w:r w:rsidR="003100AE" w:rsidRPr="007837CC">
        <w:t xml:space="preserve"> on secondary markets recently before that auction</w:t>
      </w:r>
      <w:r w:rsidR="009B0720" w:rsidRPr="007837CC">
        <w:t>. It</w:t>
      </w:r>
      <w:r w:rsidR="003100AE" w:rsidRPr="007837CC">
        <w:t xml:space="preserve"> </w:t>
      </w:r>
      <w:r w:rsidR="008B1088" w:rsidRPr="007837CC">
        <w:t>us</w:t>
      </w:r>
      <w:r w:rsidR="009B0720" w:rsidRPr="007837CC">
        <w:t>es</w:t>
      </w:r>
      <w:r w:rsidR="008B1088" w:rsidRPr="007837CC">
        <w:t xml:space="preserve"> a methodology that prevents </w:t>
      </w:r>
      <w:r w:rsidR="009B0720" w:rsidRPr="007837CC">
        <w:t xml:space="preserve">sales by auctions at prices significantly below the prices of NZUs sold at the time in other ways, on </w:t>
      </w:r>
      <w:r w:rsidR="009B0720" w:rsidRPr="007837CC">
        <w:rPr>
          <w:spacing w:val="-2"/>
        </w:rPr>
        <w:t xml:space="preserve">secondary markets. This </w:t>
      </w:r>
      <w:r w:rsidR="009941EF" w:rsidRPr="007837CC">
        <w:rPr>
          <w:spacing w:val="-2"/>
        </w:rPr>
        <w:t xml:space="preserve">means the </w:t>
      </w:r>
      <w:r w:rsidR="004769D1" w:rsidRPr="007837CC">
        <w:rPr>
          <w:spacing w:val="-2"/>
        </w:rPr>
        <w:t>price floor only influence</w:t>
      </w:r>
      <w:r w:rsidR="00F4293D" w:rsidRPr="007837CC">
        <w:rPr>
          <w:spacing w:val="-2"/>
        </w:rPr>
        <w:t>s</w:t>
      </w:r>
      <w:r w:rsidR="004769D1" w:rsidRPr="007837CC">
        <w:rPr>
          <w:spacing w:val="-2"/>
        </w:rPr>
        <w:t xml:space="preserve"> auction outcomes when secondary</w:t>
      </w:r>
      <w:r w:rsidR="004769D1" w:rsidRPr="007837CC">
        <w:t xml:space="preserve"> </w:t>
      </w:r>
      <w:r w:rsidR="73276907" w:rsidRPr="007837CC">
        <w:t xml:space="preserve">market </w:t>
      </w:r>
      <w:r w:rsidR="004769D1" w:rsidRPr="007837CC">
        <w:t>price</w:t>
      </w:r>
      <w:r w:rsidR="5279DBA0" w:rsidRPr="007837CC">
        <w:t>s</w:t>
      </w:r>
      <w:r w:rsidR="5BCAE443" w:rsidRPr="007837CC">
        <w:t>, and thus the confidential reserve price,</w:t>
      </w:r>
      <w:r w:rsidR="004769D1" w:rsidRPr="007837CC">
        <w:t xml:space="preserve"> </w:t>
      </w:r>
      <w:r w:rsidR="43174980" w:rsidRPr="007837CC">
        <w:t>are</w:t>
      </w:r>
      <w:r w:rsidR="004769D1" w:rsidRPr="007837CC">
        <w:t xml:space="preserve"> already close </w:t>
      </w:r>
      <w:r w:rsidR="00C914E7" w:rsidRPr="007837CC">
        <w:t>to</w:t>
      </w:r>
      <w:r w:rsidR="004769D1" w:rsidRPr="007837CC">
        <w:t xml:space="preserve"> or below</w:t>
      </w:r>
      <w:r w:rsidR="004C7908">
        <w:t xml:space="preserve"> </w:t>
      </w:r>
      <w:r w:rsidR="004769D1" w:rsidRPr="007837CC">
        <w:t>it.</w:t>
      </w:r>
    </w:p>
    <w:p w14:paraId="0BA307E6" w14:textId="17B68FA7" w:rsidR="00F14E02" w:rsidRPr="007837CC" w:rsidRDefault="00F14E02" w:rsidP="005A505B">
      <w:pPr>
        <w:pStyle w:val="BodyText"/>
      </w:pPr>
      <w:r w:rsidRPr="007837CC">
        <w:t xml:space="preserve">No </w:t>
      </w:r>
      <w:r w:rsidR="00117DB6" w:rsidRPr="007837CC">
        <w:t>NZUs</w:t>
      </w:r>
      <w:r w:rsidRPr="007837CC">
        <w:t xml:space="preserve"> were sold at the March 2023 </w:t>
      </w:r>
      <w:r w:rsidR="0066786E" w:rsidRPr="007837CC">
        <w:t xml:space="preserve">auction as the clearing price was below the confidential reserve price calculated for that auction. This is unrelated to the price floor set in regulations. </w:t>
      </w:r>
    </w:p>
    <w:p w14:paraId="0DC010F7" w14:textId="7E183D00" w:rsidR="002F3FBB" w:rsidRPr="007837CC" w:rsidRDefault="0039377E" w:rsidP="0064075D">
      <w:pPr>
        <w:pStyle w:val="Heading3"/>
      </w:pPr>
      <w:r w:rsidRPr="007837CC">
        <w:t>Updating price floor settings</w:t>
      </w:r>
    </w:p>
    <w:p w14:paraId="286F3BF5" w14:textId="53D7F52C" w:rsidR="00D57784" w:rsidRPr="007837CC" w:rsidRDefault="00343CBD" w:rsidP="00746900">
      <w:pPr>
        <w:pStyle w:val="BodyText"/>
        <w:spacing w:before="100" w:after="100"/>
      </w:pPr>
      <w:r w:rsidRPr="007837CC">
        <w:t xml:space="preserve">The existing values are calculated </w:t>
      </w:r>
      <w:proofErr w:type="gramStart"/>
      <w:r w:rsidRPr="007837CC">
        <w:t>on the basis of</w:t>
      </w:r>
      <w:proofErr w:type="gramEnd"/>
      <w:r w:rsidRPr="007837CC">
        <w:t xml:space="preserve"> a</w:t>
      </w:r>
      <w:r w:rsidR="00BA209D" w:rsidRPr="007837CC">
        <w:t xml:space="preserve"> start point of $30 in 2022 and a</w:t>
      </w:r>
      <w:r w:rsidRPr="007837CC">
        <w:t xml:space="preserve">n annual </w:t>
      </w:r>
      <w:r w:rsidR="00A5252A" w:rsidRPr="007837CC">
        <w:t>increase of 5</w:t>
      </w:r>
      <w:r w:rsidR="0068335D" w:rsidRPr="007837CC">
        <w:t xml:space="preserve"> per cent</w:t>
      </w:r>
      <w:r w:rsidR="00A5252A" w:rsidRPr="007837CC">
        <w:t xml:space="preserve"> plus inflation. The</w:t>
      </w:r>
      <w:r w:rsidR="00B33A79" w:rsidRPr="007837CC">
        <w:t xml:space="preserve"> </w:t>
      </w:r>
      <w:r w:rsidRPr="007837CC">
        <w:t xml:space="preserve">inflation rate </w:t>
      </w:r>
      <w:r w:rsidR="00B33A79" w:rsidRPr="007837CC">
        <w:t>used is the</w:t>
      </w:r>
      <w:r w:rsidR="00D5382F" w:rsidRPr="007837CC">
        <w:t xml:space="preserve"> </w:t>
      </w:r>
      <w:r w:rsidR="00864D55" w:rsidRPr="007837CC">
        <w:t xml:space="preserve">Treasury’s projected inflation rates </w:t>
      </w:r>
      <w:r w:rsidR="00E02ACD" w:rsidRPr="007837CC">
        <w:t>in its</w:t>
      </w:r>
      <w:r w:rsidR="00864D55" w:rsidRPr="007837CC">
        <w:t xml:space="preserve"> </w:t>
      </w:r>
      <w:r w:rsidR="00864D55" w:rsidRPr="007837CC">
        <w:rPr>
          <w:i/>
          <w:iCs/>
        </w:rPr>
        <w:t>Budget Economic and Fiscal Update 2022</w:t>
      </w:r>
      <w:r w:rsidR="00E02ACD" w:rsidRPr="007837CC">
        <w:t>.</w:t>
      </w:r>
      <w:r w:rsidR="00864D55" w:rsidRPr="007837CC">
        <w:rPr>
          <w:rStyle w:val="FootnoteReference"/>
        </w:rPr>
        <w:footnoteReference w:id="25"/>
      </w:r>
      <w:r w:rsidR="00864D55" w:rsidRPr="007837CC">
        <w:t xml:space="preserve"> </w:t>
      </w:r>
    </w:p>
    <w:p w14:paraId="392915C5" w14:textId="1FA8BC72" w:rsidR="00C81A2F" w:rsidRPr="007837CC" w:rsidRDefault="00C81A2F" w:rsidP="0001217C">
      <w:pPr>
        <w:pStyle w:val="Heading4"/>
        <w:spacing w:before="360"/>
      </w:pPr>
      <w:r w:rsidRPr="007837CC">
        <w:t>What the Commission recommend</w:t>
      </w:r>
      <w:r w:rsidR="00A92A55" w:rsidRPr="007837CC">
        <w:t>s</w:t>
      </w:r>
    </w:p>
    <w:p w14:paraId="40AFEDDD" w14:textId="77777777" w:rsidR="00C8601D" w:rsidRPr="007837CC" w:rsidRDefault="0039377E">
      <w:pPr>
        <w:pStyle w:val="BodyText"/>
      </w:pPr>
      <w:r w:rsidRPr="007837CC">
        <w:t xml:space="preserve">The Commission recommends </w:t>
      </w:r>
      <w:r w:rsidR="009A2630" w:rsidRPr="007837CC">
        <w:t xml:space="preserve">updating the price floor </w:t>
      </w:r>
      <w:r w:rsidR="00576EA0" w:rsidRPr="007837CC">
        <w:t>as recommended in its 2022</w:t>
      </w:r>
      <w:r w:rsidR="0018671B" w:rsidRPr="007837CC">
        <w:t xml:space="preserve"> advice</w:t>
      </w:r>
      <w:r w:rsidR="00463962" w:rsidRPr="007837CC">
        <w:t xml:space="preserve">, with minor adjustments </w:t>
      </w:r>
      <w:r w:rsidR="0018671B" w:rsidRPr="007837CC">
        <w:t xml:space="preserve">to reflect more recent inflation projections. </w:t>
      </w:r>
    </w:p>
    <w:p w14:paraId="1FF5FD6E" w14:textId="34202E6D" w:rsidR="008F18FD" w:rsidRPr="007837CC" w:rsidRDefault="008F18FD">
      <w:pPr>
        <w:pStyle w:val="BodyText"/>
      </w:pPr>
      <w:r w:rsidRPr="007837CC">
        <w:lastRenderedPageBreak/>
        <w:t xml:space="preserve">Notably, the Commission </w:t>
      </w:r>
      <w:r w:rsidR="00A51606" w:rsidRPr="007837CC">
        <w:t xml:space="preserve">has recommended not </w:t>
      </w:r>
      <w:r w:rsidR="00263901" w:rsidRPr="007837CC">
        <w:t xml:space="preserve">updating the auction reserve price </w:t>
      </w:r>
      <w:r w:rsidR="004C1289" w:rsidRPr="007837CC">
        <w:t xml:space="preserve">unless the cost containment reserve price is </w:t>
      </w:r>
      <w:r w:rsidR="001A78CA" w:rsidRPr="007837CC">
        <w:t xml:space="preserve">also updated. </w:t>
      </w:r>
    </w:p>
    <w:p w14:paraId="153935E2" w14:textId="706FDBED" w:rsidR="009A2630" w:rsidRPr="007837CC" w:rsidRDefault="00107435" w:rsidP="0001217C">
      <w:pPr>
        <w:pStyle w:val="BodyText"/>
      </w:pPr>
      <w:r w:rsidRPr="007837CC">
        <w:t>The C</w:t>
      </w:r>
      <w:r w:rsidR="00E76E70" w:rsidRPr="007837CC">
        <w:t xml:space="preserve">ommission based its recommendation on </w:t>
      </w:r>
      <w:r w:rsidR="00F83FB7" w:rsidRPr="007837CC">
        <w:t>assessment</w:t>
      </w:r>
      <w:r w:rsidR="00FE35E2" w:rsidRPr="007837CC">
        <w:t xml:space="preserve"> </w:t>
      </w:r>
      <w:r w:rsidR="00E5447C" w:rsidRPr="007837CC">
        <w:t xml:space="preserve">of </w:t>
      </w:r>
      <w:r w:rsidR="00F83FB7" w:rsidRPr="007837CC">
        <w:t xml:space="preserve">three </w:t>
      </w:r>
      <w:r w:rsidR="00E5447C" w:rsidRPr="007837CC">
        <w:t>options</w:t>
      </w:r>
      <w:r w:rsidR="00F83FB7" w:rsidRPr="007837CC">
        <w:t xml:space="preserve"> (status quo</w:t>
      </w:r>
      <w:r w:rsidR="000E1C62" w:rsidRPr="007837CC">
        <w:t>,</w:t>
      </w:r>
      <w:r w:rsidR="00F83FB7" w:rsidRPr="007837CC">
        <w:t xml:space="preserve"> </w:t>
      </w:r>
      <w:r w:rsidR="00A82E01" w:rsidRPr="007837CC">
        <w:t>a trajectory resulting in an inflation</w:t>
      </w:r>
      <w:r w:rsidR="000E1C62" w:rsidRPr="007837CC">
        <w:t>-</w:t>
      </w:r>
      <w:r w:rsidR="00A82E01" w:rsidRPr="007837CC">
        <w:t>adjusted $70 in 2030, and a trajectory resulting in an inflation</w:t>
      </w:r>
      <w:r w:rsidR="000E1C62" w:rsidRPr="007837CC">
        <w:t>-</w:t>
      </w:r>
      <w:r w:rsidR="00A82E01" w:rsidRPr="007837CC">
        <w:t>adjusted $100 in 2030)</w:t>
      </w:r>
      <w:r w:rsidR="00B46081" w:rsidRPr="007837CC">
        <w:t xml:space="preserve"> </w:t>
      </w:r>
      <w:r w:rsidR="00FE35E2" w:rsidRPr="007837CC">
        <w:t>against the following five criteria:</w:t>
      </w:r>
    </w:p>
    <w:p w14:paraId="035CAF8B" w14:textId="2D722397" w:rsidR="00FE35E2" w:rsidRPr="007837CC" w:rsidRDefault="000E1C62" w:rsidP="0001217C">
      <w:pPr>
        <w:pStyle w:val="Bullet"/>
      </w:pPr>
      <w:r w:rsidRPr="007837CC">
        <w:t>a</w:t>
      </w:r>
      <w:r w:rsidR="00843E95" w:rsidRPr="007837CC">
        <w:t xml:space="preserve">lignment with minimum NZU prices modelled to meet emissions </w:t>
      </w:r>
      <w:proofErr w:type="gramStart"/>
      <w:r w:rsidR="00843E95" w:rsidRPr="007837CC">
        <w:t>budgets</w:t>
      </w:r>
      <w:proofErr w:type="gramEnd"/>
    </w:p>
    <w:p w14:paraId="30FFA840" w14:textId="0ECC25B6" w:rsidR="006305DC" w:rsidRPr="007837CC" w:rsidRDefault="000E1C62" w:rsidP="0001217C">
      <w:pPr>
        <w:pStyle w:val="Bullet"/>
      </w:pPr>
      <w:r w:rsidRPr="007837CC">
        <w:t>r</w:t>
      </w:r>
      <w:r w:rsidR="006305DC" w:rsidRPr="007837CC">
        <w:t>isks to mitigation investments</w:t>
      </w:r>
    </w:p>
    <w:p w14:paraId="0E44FC68" w14:textId="07A8CB22" w:rsidR="009500F2" w:rsidRPr="007837CC" w:rsidRDefault="000E1C62" w:rsidP="0001217C">
      <w:pPr>
        <w:pStyle w:val="Bullet"/>
      </w:pPr>
      <w:r w:rsidRPr="007837CC">
        <w:t>c</w:t>
      </w:r>
      <w:r w:rsidR="009500F2" w:rsidRPr="007837CC">
        <w:t>onsistency with international emissions prices</w:t>
      </w:r>
    </w:p>
    <w:p w14:paraId="7D367977" w14:textId="30557EA0" w:rsidR="000E6B8F" w:rsidRPr="007837CC" w:rsidRDefault="000E1C62" w:rsidP="0001217C">
      <w:pPr>
        <w:pStyle w:val="Bullet"/>
      </w:pPr>
      <w:r w:rsidRPr="007837CC">
        <w:t>c</w:t>
      </w:r>
      <w:r w:rsidR="001D5255" w:rsidRPr="007837CC">
        <w:t xml:space="preserve">omparison </w:t>
      </w:r>
      <w:r w:rsidR="00473306" w:rsidRPr="007837CC">
        <w:t xml:space="preserve">with </w:t>
      </w:r>
      <w:r w:rsidR="001D5255" w:rsidRPr="007837CC">
        <w:t xml:space="preserve">potential cost of offshore mitigation to meet </w:t>
      </w:r>
      <w:r w:rsidR="00473306" w:rsidRPr="007837CC">
        <w:t xml:space="preserve">the </w:t>
      </w:r>
      <w:proofErr w:type="gramStart"/>
      <w:r w:rsidR="001D5255" w:rsidRPr="007837CC">
        <w:t>NDC</w:t>
      </w:r>
      <w:proofErr w:type="gramEnd"/>
    </w:p>
    <w:p w14:paraId="1B9B8978" w14:textId="5031329C" w:rsidR="001D5255" w:rsidRPr="007837CC" w:rsidRDefault="000E1C62" w:rsidP="0001217C">
      <w:pPr>
        <w:pStyle w:val="Bullet"/>
      </w:pPr>
      <w:r w:rsidRPr="007837CC">
        <w:t>p</w:t>
      </w:r>
      <w:r w:rsidR="00374080" w:rsidRPr="007837CC">
        <w:t>roper functioning of the NZ ETS</w:t>
      </w:r>
      <w:r w:rsidRPr="007837CC">
        <w:t>.</w:t>
      </w:r>
    </w:p>
    <w:p w14:paraId="342FAB32" w14:textId="1FEFB7B4" w:rsidR="0062502D" w:rsidRPr="007837CC" w:rsidRDefault="00C227F9" w:rsidP="0001217C">
      <w:pPr>
        <w:pStyle w:val="BodyText"/>
      </w:pPr>
      <w:r w:rsidRPr="007837CC">
        <w:t>The C</w:t>
      </w:r>
      <w:r w:rsidR="00DA288C" w:rsidRPr="007837CC">
        <w:t xml:space="preserve">ommission </w:t>
      </w:r>
      <w:r w:rsidR="006E4267" w:rsidRPr="007837CC">
        <w:t xml:space="preserve">uses </w:t>
      </w:r>
      <w:r w:rsidR="00DA288C" w:rsidRPr="007837CC">
        <w:t xml:space="preserve">modelling </w:t>
      </w:r>
      <w:r w:rsidR="003026D5" w:rsidRPr="007837CC">
        <w:t xml:space="preserve">to identify the </w:t>
      </w:r>
      <w:r w:rsidR="00FA34EA" w:rsidRPr="007837CC">
        <w:t xml:space="preserve">emissions </w:t>
      </w:r>
      <w:r w:rsidR="005F7BD4" w:rsidRPr="007837CC">
        <w:t>prices</w:t>
      </w:r>
      <w:r w:rsidR="00FA34EA" w:rsidRPr="007837CC">
        <w:t xml:space="preserve"> required to meet gross </w:t>
      </w:r>
      <w:r w:rsidR="006233A5" w:rsidRPr="007837CC">
        <w:t xml:space="preserve">sectoral </w:t>
      </w:r>
      <w:r w:rsidR="00DA70C0" w:rsidRPr="007837CC">
        <w:t>sub-</w:t>
      </w:r>
      <w:r w:rsidR="00FA34EA" w:rsidRPr="007837CC">
        <w:t>targets</w:t>
      </w:r>
      <w:r w:rsidR="000E6B8F" w:rsidRPr="007837CC">
        <w:t xml:space="preserve">. </w:t>
      </w:r>
      <w:r w:rsidR="0062502D" w:rsidRPr="007837CC">
        <w:t>The Commission states:</w:t>
      </w:r>
      <w:r w:rsidR="00473306" w:rsidRPr="007837CC">
        <w:t xml:space="preserve"> </w:t>
      </w:r>
      <w:r w:rsidR="0062502D" w:rsidRPr="007837CC">
        <w:t xml:space="preserve">“Our recommended settings are </w:t>
      </w:r>
      <w:r w:rsidR="0062502D" w:rsidRPr="007837CC">
        <w:rPr>
          <w:b/>
          <w:bCs/>
        </w:rPr>
        <w:t>predicated on delivering reductions in gross emissions</w:t>
      </w:r>
      <w:r w:rsidR="0062502D" w:rsidRPr="007837CC">
        <w:t xml:space="preserve"> in line with the Commission’s </w:t>
      </w:r>
      <w:proofErr w:type="spellStart"/>
      <w:r w:rsidR="0062502D" w:rsidRPr="007837CC">
        <w:rPr>
          <w:i/>
          <w:iCs/>
        </w:rPr>
        <w:t>Ināia</w:t>
      </w:r>
      <w:proofErr w:type="spellEnd"/>
      <w:r w:rsidR="0062502D" w:rsidRPr="007837CC">
        <w:rPr>
          <w:i/>
          <w:iCs/>
        </w:rPr>
        <w:t xml:space="preserve"> </w:t>
      </w:r>
      <w:proofErr w:type="spellStart"/>
      <w:r w:rsidR="0062502D" w:rsidRPr="007837CC">
        <w:rPr>
          <w:i/>
          <w:iCs/>
        </w:rPr>
        <w:t>Tonu</w:t>
      </w:r>
      <w:proofErr w:type="spellEnd"/>
      <w:r w:rsidR="0062502D" w:rsidRPr="007837CC">
        <w:rPr>
          <w:i/>
          <w:iCs/>
        </w:rPr>
        <w:t xml:space="preserve"> </w:t>
      </w:r>
      <w:proofErr w:type="spellStart"/>
      <w:r w:rsidR="0062502D" w:rsidRPr="007837CC">
        <w:rPr>
          <w:i/>
          <w:iCs/>
        </w:rPr>
        <w:t>Nei</w:t>
      </w:r>
      <w:proofErr w:type="spellEnd"/>
      <w:r w:rsidR="0062502D" w:rsidRPr="007837CC">
        <w:t xml:space="preserve"> advice and the emissions reduction plan’s sector sub-targets”</w:t>
      </w:r>
      <w:r w:rsidR="00473306" w:rsidRPr="007837CC">
        <w:t xml:space="preserve"> (emphasis added).</w:t>
      </w:r>
      <w:r w:rsidR="00473306" w:rsidRPr="007837CC">
        <w:rPr>
          <w:rStyle w:val="FootnoteReference"/>
        </w:rPr>
        <w:footnoteReference w:id="26"/>
      </w:r>
    </w:p>
    <w:p w14:paraId="33974FFB" w14:textId="6DCB33D0" w:rsidR="000E6B8F" w:rsidRPr="007837CC" w:rsidRDefault="000E6B8F" w:rsidP="000E6B8F">
      <w:pPr>
        <w:pStyle w:val="BodyText"/>
        <w:rPr>
          <w:highlight w:val="yellow"/>
        </w:rPr>
      </w:pPr>
      <w:r w:rsidRPr="007837CC">
        <w:rPr>
          <w:spacing w:val="-2"/>
        </w:rPr>
        <w:t>This</w:t>
      </w:r>
      <w:r w:rsidR="00485206" w:rsidRPr="007837CC">
        <w:rPr>
          <w:spacing w:val="-2"/>
        </w:rPr>
        <w:t xml:space="preserve"> consideration of gross emissions reductions applies to the Commission’s recommendations</w:t>
      </w:r>
      <w:r w:rsidR="00485206" w:rsidRPr="007837CC">
        <w:t xml:space="preserve"> on both </w:t>
      </w:r>
      <w:r w:rsidR="00D60981" w:rsidRPr="007837CC">
        <w:t>auction reserve price and cost containment reserve trigger price</w:t>
      </w:r>
      <w:r w:rsidR="003026D5" w:rsidRPr="007837CC">
        <w:t>.</w:t>
      </w:r>
      <w:r w:rsidR="00A10294" w:rsidRPr="007837CC">
        <w:t xml:space="preserve"> </w:t>
      </w:r>
      <w:r w:rsidR="003026D5" w:rsidRPr="007837CC">
        <w:t>For</w:t>
      </w:r>
      <w:r w:rsidRPr="007837CC">
        <w:t xml:space="preserve"> more detail</w:t>
      </w:r>
      <w:r w:rsidR="003026D5" w:rsidRPr="007837CC">
        <w:t>, see</w:t>
      </w:r>
      <w:r w:rsidRPr="007837CC">
        <w:t xml:space="preserve"> </w:t>
      </w:r>
      <w:hyperlink w:anchor="_Considering_gross_or" w:history="1">
        <w:r w:rsidRPr="007837CC">
          <w:rPr>
            <w:rStyle w:val="Hyperlink"/>
          </w:rPr>
          <w:t>Considering gross or net emissions reductions</w:t>
        </w:r>
        <w:r w:rsidR="003026D5" w:rsidRPr="007837CC">
          <w:rPr>
            <w:rStyle w:val="Hyperlink"/>
          </w:rPr>
          <w:t xml:space="preserve"> in setting price controls</w:t>
        </w:r>
      </w:hyperlink>
      <w:r w:rsidR="00186FF7" w:rsidRPr="007837CC">
        <w:t>.</w:t>
      </w:r>
    </w:p>
    <w:p w14:paraId="12CEF636" w14:textId="21EBCB3B" w:rsidR="00723DB7" w:rsidRPr="007837CC" w:rsidRDefault="00D83504" w:rsidP="0001217C">
      <w:pPr>
        <w:pStyle w:val="BodyText"/>
      </w:pPr>
      <w:r w:rsidRPr="007837CC">
        <w:t>Notably, extending the Commission’s methodology</w:t>
      </w:r>
      <w:r w:rsidR="0071178A" w:rsidRPr="007837CC">
        <w:t xml:space="preserve"> of including inflation</w:t>
      </w:r>
      <w:r w:rsidRPr="007837CC">
        <w:t xml:space="preserve"> </w:t>
      </w:r>
      <w:r w:rsidR="00071CEA" w:rsidRPr="007837CC">
        <w:t xml:space="preserve">in </w:t>
      </w:r>
      <w:r w:rsidRPr="007837CC">
        <w:t>calculating auction reserve settings w</w:t>
      </w:r>
      <w:r w:rsidR="0071178A" w:rsidRPr="007837CC">
        <w:t>ould</w:t>
      </w:r>
      <w:r w:rsidRPr="007837CC">
        <w:t xml:space="preserve"> result in a price floor of $8</w:t>
      </w:r>
      <w:r w:rsidR="00DC34D0" w:rsidRPr="007837CC">
        <w:t>7</w:t>
      </w:r>
      <w:r w:rsidRPr="007837CC">
        <w:t xml:space="preserve"> in 2030</w:t>
      </w:r>
      <w:r w:rsidR="00D6683E" w:rsidRPr="007837CC">
        <w:t>.</w:t>
      </w:r>
      <w:r w:rsidR="00DC34D0" w:rsidRPr="007837CC">
        <w:rPr>
          <w:rStyle w:val="FootnoteReference"/>
        </w:rPr>
        <w:footnoteReference w:id="27"/>
      </w:r>
      <w:r w:rsidRPr="007837CC">
        <w:t xml:space="preserve"> </w:t>
      </w:r>
    </w:p>
    <w:p w14:paraId="64A4A0F9" w14:textId="0B212D2E" w:rsidR="00236AB9" w:rsidRPr="007837CC" w:rsidRDefault="003418A2" w:rsidP="004F6838">
      <w:pPr>
        <w:pStyle w:val="Heading4"/>
      </w:pPr>
      <w:r w:rsidRPr="007837CC">
        <w:t>Options</w:t>
      </w:r>
    </w:p>
    <w:p w14:paraId="76C99874" w14:textId="5D14127A" w:rsidR="00940F45" w:rsidRPr="007837CC" w:rsidRDefault="005E6F46" w:rsidP="004F6838">
      <w:pPr>
        <w:pStyle w:val="BodyText"/>
      </w:pPr>
      <w:r w:rsidRPr="007837CC">
        <w:t>T</w:t>
      </w:r>
      <w:r w:rsidR="00B41CAF" w:rsidRPr="007837CC">
        <w:t>able</w:t>
      </w:r>
      <w:r w:rsidR="008C40AD" w:rsidRPr="007837CC">
        <w:t xml:space="preserve"> </w:t>
      </w:r>
      <w:r w:rsidR="009B0848" w:rsidRPr="007837CC">
        <w:t xml:space="preserve">13 </w:t>
      </w:r>
      <w:r w:rsidRPr="007837CC">
        <w:t xml:space="preserve">presents </w:t>
      </w:r>
      <w:r w:rsidR="0041582E">
        <w:t>four</w:t>
      </w:r>
      <w:r w:rsidRPr="007837CC">
        <w:t xml:space="preserve"> options</w:t>
      </w:r>
      <w:r w:rsidR="0041582E">
        <w:t xml:space="preserve"> for the </w:t>
      </w:r>
      <w:r w:rsidR="00431F95">
        <w:t xml:space="preserve">auction reserve price. All options presented in table </w:t>
      </w:r>
      <w:r w:rsidR="00FF5CE6">
        <w:t>13 show</w:t>
      </w:r>
      <w:r w:rsidR="0041582E">
        <w:t xml:space="preserve"> updated </w:t>
      </w:r>
      <w:r w:rsidR="00754C94">
        <w:t>figures</w:t>
      </w:r>
      <w:r w:rsidR="0041582E">
        <w:t xml:space="preserve"> from 2024 onwards</w:t>
      </w:r>
      <w:r w:rsidR="00FF5CE6">
        <w:t xml:space="preserve">. </w:t>
      </w:r>
      <w:r w:rsidR="00282491">
        <w:t xml:space="preserve">Figures for </w:t>
      </w:r>
      <w:r w:rsidR="009E7027">
        <w:t xml:space="preserve">2024 and 2025 </w:t>
      </w:r>
      <w:r w:rsidR="006C6D82">
        <w:t>would only be updated if there are circum</w:t>
      </w:r>
      <w:r w:rsidR="006952E8">
        <w:t>stances that enable changes to be made to the first two years</w:t>
      </w:r>
      <w:r w:rsidR="00ED5AA6">
        <w:t>. The options are</w:t>
      </w:r>
      <w:r w:rsidR="00D413A3" w:rsidRPr="007837CC">
        <w:t>:</w:t>
      </w:r>
    </w:p>
    <w:p w14:paraId="6CB75536" w14:textId="2AAC0402" w:rsidR="00DC34D0" w:rsidRPr="007837CC" w:rsidRDefault="007F1976" w:rsidP="004F6838">
      <w:pPr>
        <w:pStyle w:val="Numberedparagraph"/>
        <w:numPr>
          <w:ilvl w:val="0"/>
          <w:numId w:val="56"/>
        </w:numPr>
      </w:pPr>
      <w:r w:rsidRPr="007837CC">
        <w:t>O</w:t>
      </w:r>
      <w:r w:rsidR="006F182D" w:rsidRPr="007837CC">
        <w:t xml:space="preserve">ption one </w:t>
      </w:r>
      <w:r w:rsidR="00D413A3" w:rsidRPr="007837CC">
        <w:t xml:space="preserve">– </w:t>
      </w:r>
      <w:r w:rsidR="002712DA" w:rsidRPr="007837CC">
        <w:t>S</w:t>
      </w:r>
      <w:r w:rsidR="003418A2" w:rsidRPr="007837CC">
        <w:t>tatus quo</w:t>
      </w:r>
      <w:r w:rsidR="00B01621" w:rsidRPr="007837CC">
        <w:t xml:space="preserve"> </w:t>
      </w:r>
      <w:r w:rsidR="005712B8">
        <w:t>(i</w:t>
      </w:r>
      <w:r w:rsidR="00382C28">
        <w:t xml:space="preserve">ncreasing at </w:t>
      </w:r>
      <w:r w:rsidR="00451219">
        <w:t xml:space="preserve">5 per cent and adjusted for </w:t>
      </w:r>
      <w:r w:rsidR="00DC34D0" w:rsidRPr="007837CC">
        <w:t>more recent inflation projections</w:t>
      </w:r>
      <w:r w:rsidR="005F5F76">
        <w:t>).</w:t>
      </w:r>
    </w:p>
    <w:p w14:paraId="12C6AE40" w14:textId="1E4DB466" w:rsidR="00940F45" w:rsidRPr="007837CC" w:rsidRDefault="007F1976" w:rsidP="004F6838">
      <w:pPr>
        <w:pStyle w:val="Numberedparagraph"/>
      </w:pPr>
      <w:r w:rsidRPr="007837CC">
        <w:t>O</w:t>
      </w:r>
      <w:r w:rsidR="00B41CAF" w:rsidRPr="007837CC">
        <w:t xml:space="preserve">ption </w:t>
      </w:r>
      <w:r w:rsidR="003524DB" w:rsidRPr="007837CC">
        <w:t>two</w:t>
      </w:r>
      <w:r w:rsidR="003524DB" w:rsidRPr="007837CC">
        <w:t xml:space="preserve"> </w:t>
      </w:r>
      <w:r w:rsidR="00766B06" w:rsidRPr="007837CC">
        <w:t>–</w:t>
      </w:r>
      <w:r w:rsidR="00B41CAF" w:rsidRPr="007837CC">
        <w:t xml:space="preserve"> </w:t>
      </w:r>
      <w:r w:rsidR="00AF564D">
        <w:t>‘Delayed ramp’</w:t>
      </w:r>
      <w:r w:rsidR="000D77A6">
        <w:t xml:space="preserve"> t</w:t>
      </w:r>
      <w:r w:rsidR="00766B06" w:rsidRPr="007837CC">
        <w:t>wo</w:t>
      </w:r>
      <w:r w:rsidR="00766B06" w:rsidRPr="007837CC">
        <w:t xml:space="preserve"> years of status quo settings</w:t>
      </w:r>
      <w:r w:rsidR="003E2CE2">
        <w:t xml:space="preserve"> (increasing at 5 per cent and adjusted for </w:t>
      </w:r>
      <w:r w:rsidR="009D4218">
        <w:t>inflation)</w:t>
      </w:r>
      <w:r w:rsidR="00766B06" w:rsidRPr="007837CC">
        <w:t xml:space="preserve">, then increasing in a linear </w:t>
      </w:r>
      <w:r w:rsidR="00D413A3" w:rsidRPr="007837CC">
        <w:t xml:space="preserve">way </w:t>
      </w:r>
      <w:r w:rsidR="00766B06" w:rsidRPr="007837CC">
        <w:t>towards th</w:t>
      </w:r>
      <w:r w:rsidR="00766B06" w:rsidRPr="007837CC">
        <w:t>e Commission</w:t>
      </w:r>
      <w:r w:rsidR="00D413A3" w:rsidRPr="007837CC">
        <w:t>’</w:t>
      </w:r>
      <w:r w:rsidR="00766B06" w:rsidRPr="007837CC">
        <w:t>s recommended 2030 auc</w:t>
      </w:r>
      <w:r w:rsidR="00766B06" w:rsidRPr="007837CC">
        <w:t>tion reserve</w:t>
      </w:r>
      <w:r w:rsidR="00D6683E" w:rsidRPr="007837CC">
        <w:t>.</w:t>
      </w:r>
    </w:p>
    <w:p w14:paraId="7BCDFB9F" w14:textId="7D3EE2BC" w:rsidR="00281128" w:rsidRPr="007837CC" w:rsidRDefault="007F1976" w:rsidP="004F6838">
      <w:pPr>
        <w:pStyle w:val="Numberedparagraph"/>
      </w:pPr>
      <w:r w:rsidRPr="007837CC">
        <w:t>O</w:t>
      </w:r>
      <w:r w:rsidR="00281128" w:rsidRPr="007837CC">
        <w:t xml:space="preserve">ption </w:t>
      </w:r>
      <w:r w:rsidR="003524DB" w:rsidRPr="007837CC">
        <w:t xml:space="preserve">three </w:t>
      </w:r>
      <w:r w:rsidR="00281128" w:rsidRPr="007837CC">
        <w:t xml:space="preserve">– </w:t>
      </w:r>
      <w:r w:rsidR="001B3CFE">
        <w:t>I</w:t>
      </w:r>
      <w:r w:rsidR="00281128" w:rsidRPr="007837CC">
        <w:t xml:space="preserve">mmediate </w:t>
      </w:r>
      <w:r w:rsidR="007E585A">
        <w:t>step</w:t>
      </w:r>
      <w:r w:rsidR="001E3660" w:rsidRPr="007837CC">
        <w:t xml:space="preserve"> to $45, then </w:t>
      </w:r>
      <w:r w:rsidR="00D335CC" w:rsidRPr="007837CC">
        <w:t>increasing at the same rate as status quo settings</w:t>
      </w:r>
      <w:r w:rsidR="00650892">
        <w:t xml:space="preserve"> (</w:t>
      </w:r>
      <w:r w:rsidR="001557D9">
        <w:t>increasing at 5 per cent and adjusted for inflation)</w:t>
      </w:r>
      <w:r w:rsidR="00D6683E" w:rsidRPr="007837CC">
        <w:t>.</w:t>
      </w:r>
    </w:p>
    <w:p w14:paraId="076A73E1" w14:textId="7FB1F114" w:rsidR="003418A2" w:rsidRPr="007837CC" w:rsidRDefault="007F1976" w:rsidP="004F6838">
      <w:pPr>
        <w:pStyle w:val="Numberedparagraph"/>
      </w:pPr>
      <w:r w:rsidRPr="007837CC">
        <w:t>O</w:t>
      </w:r>
      <w:r w:rsidR="006F182D" w:rsidRPr="007837CC">
        <w:t xml:space="preserve">ption </w:t>
      </w:r>
      <w:r w:rsidR="003524DB" w:rsidRPr="007837CC">
        <w:t xml:space="preserve">four </w:t>
      </w:r>
      <w:r w:rsidR="00B41CAF" w:rsidRPr="007837CC">
        <w:t>–</w:t>
      </w:r>
      <w:r w:rsidR="00F07519" w:rsidRPr="007837CC">
        <w:t xml:space="preserve"> </w:t>
      </w:r>
      <w:r w:rsidR="00B41CAF" w:rsidRPr="007837CC">
        <w:t>Commission</w:t>
      </w:r>
      <w:r w:rsidR="00D413A3" w:rsidRPr="007837CC">
        <w:t>’s</w:t>
      </w:r>
      <w:r w:rsidR="00B41CAF" w:rsidRPr="007837CC">
        <w:t xml:space="preserve"> </w:t>
      </w:r>
      <w:r w:rsidR="00AC2A0F" w:rsidRPr="007837CC">
        <w:t>recommendations</w:t>
      </w:r>
      <w:r w:rsidR="00BD0DBF" w:rsidRPr="007837CC">
        <w:t xml:space="preserve"> if all years are updated. Note, the Commission has recommended that status quo settings are retained for 2024 and 2025</w:t>
      </w:r>
      <w:r w:rsidR="00B41CAF" w:rsidRPr="007837CC">
        <w:t>.</w:t>
      </w:r>
      <w:r w:rsidR="005D3339" w:rsidRPr="007837CC">
        <w:t xml:space="preserve"> </w:t>
      </w:r>
    </w:p>
    <w:p w14:paraId="036FD040" w14:textId="188E543E" w:rsidR="00BE1BA3" w:rsidRPr="007837CC" w:rsidRDefault="009D34E4" w:rsidP="004F6838">
      <w:pPr>
        <w:pStyle w:val="BodyText"/>
      </w:pPr>
      <w:r w:rsidRPr="007837CC">
        <w:rPr>
          <w:rStyle w:val="Heading3Char"/>
          <w:rFonts w:ascii="Calibri" w:hAnsi="Calibri"/>
          <w:b w:val="0"/>
          <w:bCs w:val="0"/>
          <w:sz w:val="22"/>
        </w:rPr>
        <w:t xml:space="preserve">We considered </w:t>
      </w:r>
      <w:r w:rsidRPr="007837CC">
        <w:t>presenting an option for auction reserve prices at higher prices than recommended by the Commission. This was discounted as it is the intent of price control settings that they do not directly influence price</w:t>
      </w:r>
      <w:r w:rsidR="00D6683E" w:rsidRPr="007837CC">
        <w:t>;</w:t>
      </w:r>
      <w:r w:rsidRPr="007837CC">
        <w:t xml:space="preserve"> however</w:t>
      </w:r>
      <w:r w:rsidR="00D6683E" w:rsidRPr="007837CC">
        <w:t>,</w:t>
      </w:r>
      <w:r w:rsidRPr="007837CC">
        <w:t xml:space="preserve"> </w:t>
      </w:r>
      <w:r w:rsidR="009D26C5" w:rsidRPr="007837CC">
        <w:t xml:space="preserve">auction reserve prices above the </w:t>
      </w:r>
      <w:r w:rsidR="009D26C5" w:rsidRPr="007837CC">
        <w:lastRenderedPageBreak/>
        <w:t>Commission’s recommended settings would be above currently observed NZU prices and would have a direct influence on market price.</w:t>
      </w:r>
    </w:p>
    <w:p w14:paraId="4B4F85C8" w14:textId="039B6957" w:rsidR="000E7ACD" w:rsidRPr="007837CC" w:rsidRDefault="00D413A3" w:rsidP="004F6838">
      <w:pPr>
        <w:pStyle w:val="BodyText"/>
      </w:pPr>
      <w:r w:rsidRPr="007837CC">
        <w:t>We are interested in hearing your views on this range of options and any alternatives you propose</w:t>
      </w:r>
      <w:r w:rsidR="000E7ACD" w:rsidRPr="007837CC">
        <w:t xml:space="preserve">. </w:t>
      </w:r>
    </w:p>
    <w:p w14:paraId="5AA5F4D3" w14:textId="18129872" w:rsidR="00BC05E2" w:rsidRPr="007837CC" w:rsidRDefault="00BC05E2" w:rsidP="000E641E">
      <w:pPr>
        <w:pStyle w:val="Tableheading"/>
      </w:pPr>
      <w:bookmarkStart w:id="59" w:name="_Toc133927347"/>
      <w:r w:rsidRPr="007837CC">
        <w:t xml:space="preserve">Table </w:t>
      </w:r>
      <w:r w:rsidR="009B0848" w:rsidRPr="007837CC">
        <w:t>13</w:t>
      </w:r>
      <w:r w:rsidR="008C40AD" w:rsidRPr="007837CC">
        <w:t>:</w:t>
      </w:r>
      <w:r w:rsidR="00003266" w:rsidRPr="007837CC">
        <w:t xml:space="preserve"> </w:t>
      </w:r>
      <w:r w:rsidR="000E641E" w:rsidRPr="007837CC">
        <w:tab/>
      </w:r>
      <w:r w:rsidR="005216AF" w:rsidRPr="007837CC">
        <w:t>A</w:t>
      </w:r>
      <w:r w:rsidR="00003266" w:rsidRPr="007837CC">
        <w:t>uction reserve</w:t>
      </w:r>
      <w:r w:rsidR="005216AF" w:rsidRPr="007837CC">
        <w:t xml:space="preserve"> </w:t>
      </w:r>
      <w:r w:rsidR="00E66828" w:rsidRPr="007837CC">
        <w:t>price</w:t>
      </w:r>
      <w:r w:rsidR="005216AF" w:rsidRPr="007837CC">
        <w:t xml:space="preserve"> under each</w:t>
      </w:r>
      <w:r w:rsidR="00003266" w:rsidRPr="007837CC">
        <w:t xml:space="preserve"> option</w:t>
      </w:r>
      <w:bookmarkEnd w:id="59"/>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ayout w:type="fixed"/>
        <w:tblLook w:val="04A0" w:firstRow="1" w:lastRow="0" w:firstColumn="1" w:lastColumn="0" w:noHBand="0" w:noVBand="1"/>
      </w:tblPr>
      <w:tblGrid>
        <w:gridCol w:w="3781"/>
        <w:gridCol w:w="946"/>
        <w:gridCol w:w="944"/>
        <w:gridCol w:w="945"/>
        <w:gridCol w:w="944"/>
        <w:gridCol w:w="945"/>
      </w:tblGrid>
      <w:tr w:rsidR="004F6838" w:rsidRPr="007837CC" w14:paraId="6C11266B" w14:textId="77777777" w:rsidTr="003E490F">
        <w:tc>
          <w:tcPr>
            <w:tcW w:w="3781" w:type="dxa"/>
            <w:shd w:val="clear" w:color="auto" w:fill="1B556B" w:themeFill="text2"/>
            <w:noWrap/>
            <w:vAlign w:val="bottom"/>
          </w:tcPr>
          <w:p w14:paraId="6F066D13" w14:textId="1800107F" w:rsidR="004F6838" w:rsidRPr="007837CC" w:rsidRDefault="004F6838" w:rsidP="004F6838">
            <w:pPr>
              <w:pStyle w:val="TableTextbold"/>
              <w:rPr>
                <w:color w:val="FFFFFF" w:themeColor="background1"/>
              </w:rPr>
            </w:pPr>
            <w:r w:rsidRPr="007837CC">
              <w:rPr>
                <w:color w:val="FFFFFF" w:themeColor="background1"/>
              </w:rPr>
              <w:t>Option</w:t>
            </w:r>
          </w:p>
        </w:tc>
        <w:tc>
          <w:tcPr>
            <w:tcW w:w="946" w:type="dxa"/>
            <w:shd w:val="clear" w:color="auto" w:fill="1B556B" w:themeFill="text2"/>
            <w:noWrap/>
            <w:vAlign w:val="bottom"/>
          </w:tcPr>
          <w:p w14:paraId="64936E0E" w14:textId="7D03A48D" w:rsidR="004F6838" w:rsidRPr="007837CC" w:rsidRDefault="004F6838" w:rsidP="00FB04FD">
            <w:pPr>
              <w:pStyle w:val="TableTextbold"/>
              <w:jc w:val="center"/>
              <w:rPr>
                <w:color w:val="FFFFFF" w:themeColor="background1"/>
              </w:rPr>
            </w:pPr>
            <w:r w:rsidRPr="007837CC">
              <w:rPr>
                <w:color w:val="FFFFFF" w:themeColor="background1"/>
              </w:rPr>
              <w:t>2024</w:t>
            </w:r>
          </w:p>
        </w:tc>
        <w:tc>
          <w:tcPr>
            <w:tcW w:w="944" w:type="dxa"/>
            <w:shd w:val="clear" w:color="auto" w:fill="1B556B" w:themeFill="text2"/>
            <w:noWrap/>
            <w:vAlign w:val="bottom"/>
          </w:tcPr>
          <w:p w14:paraId="06F20E8B" w14:textId="29DF90FF" w:rsidR="004F6838" w:rsidRPr="007837CC" w:rsidRDefault="004F6838" w:rsidP="00FB04FD">
            <w:pPr>
              <w:pStyle w:val="TableTextbold"/>
              <w:jc w:val="center"/>
              <w:rPr>
                <w:color w:val="FFFFFF" w:themeColor="background1"/>
              </w:rPr>
            </w:pPr>
            <w:r w:rsidRPr="007837CC">
              <w:rPr>
                <w:color w:val="FFFFFF" w:themeColor="background1"/>
              </w:rPr>
              <w:t>2025</w:t>
            </w:r>
          </w:p>
        </w:tc>
        <w:tc>
          <w:tcPr>
            <w:tcW w:w="945" w:type="dxa"/>
            <w:shd w:val="clear" w:color="auto" w:fill="1B556B" w:themeFill="text2"/>
            <w:noWrap/>
            <w:vAlign w:val="bottom"/>
          </w:tcPr>
          <w:p w14:paraId="0F249CDA" w14:textId="7F040FC0" w:rsidR="004F6838" w:rsidRPr="007837CC" w:rsidRDefault="004F6838" w:rsidP="00FB04FD">
            <w:pPr>
              <w:pStyle w:val="TableTextbold"/>
              <w:jc w:val="center"/>
              <w:rPr>
                <w:color w:val="FFFFFF" w:themeColor="background1"/>
              </w:rPr>
            </w:pPr>
            <w:r w:rsidRPr="007837CC">
              <w:rPr>
                <w:color w:val="FFFFFF" w:themeColor="background1"/>
              </w:rPr>
              <w:t>2026</w:t>
            </w:r>
          </w:p>
        </w:tc>
        <w:tc>
          <w:tcPr>
            <w:tcW w:w="944" w:type="dxa"/>
            <w:shd w:val="clear" w:color="auto" w:fill="1B556B" w:themeFill="text2"/>
            <w:noWrap/>
            <w:vAlign w:val="bottom"/>
          </w:tcPr>
          <w:p w14:paraId="0AA20D13" w14:textId="380ABF2D" w:rsidR="004F6838" w:rsidRPr="007837CC" w:rsidRDefault="004F6838" w:rsidP="00FB04FD">
            <w:pPr>
              <w:pStyle w:val="TableTextbold"/>
              <w:jc w:val="center"/>
              <w:rPr>
                <w:color w:val="FFFFFF" w:themeColor="background1"/>
              </w:rPr>
            </w:pPr>
            <w:r w:rsidRPr="007837CC">
              <w:rPr>
                <w:color w:val="FFFFFF" w:themeColor="background1"/>
              </w:rPr>
              <w:t>2027</w:t>
            </w:r>
          </w:p>
        </w:tc>
        <w:tc>
          <w:tcPr>
            <w:tcW w:w="945" w:type="dxa"/>
            <w:shd w:val="clear" w:color="auto" w:fill="1B556B" w:themeFill="text2"/>
            <w:noWrap/>
            <w:vAlign w:val="bottom"/>
          </w:tcPr>
          <w:p w14:paraId="05DC3606" w14:textId="01567469" w:rsidR="004F6838" w:rsidRPr="007837CC" w:rsidRDefault="004F6838" w:rsidP="00FB04FD">
            <w:pPr>
              <w:pStyle w:val="TableTextbold"/>
              <w:jc w:val="center"/>
              <w:rPr>
                <w:color w:val="FFFFFF" w:themeColor="background1"/>
              </w:rPr>
            </w:pPr>
            <w:r w:rsidRPr="007837CC">
              <w:rPr>
                <w:color w:val="FFFFFF" w:themeColor="background1"/>
              </w:rPr>
              <w:t>2028</w:t>
            </w:r>
          </w:p>
        </w:tc>
      </w:tr>
      <w:tr w:rsidR="004D50B2" w:rsidRPr="007837CC" w14:paraId="6946C980" w14:textId="10E71D59" w:rsidTr="003E490F">
        <w:tc>
          <w:tcPr>
            <w:tcW w:w="3781" w:type="dxa"/>
            <w:shd w:val="clear" w:color="auto" w:fill="auto"/>
            <w:noWrap/>
            <w:vAlign w:val="bottom"/>
            <w:hideMark/>
          </w:tcPr>
          <w:p w14:paraId="2AAADD6E" w14:textId="68479338" w:rsidR="004D50B2" w:rsidRPr="007837CC" w:rsidRDefault="004D50B2" w:rsidP="000E641E">
            <w:pPr>
              <w:pStyle w:val="TableText"/>
            </w:pPr>
            <w:r w:rsidRPr="007837CC">
              <w:t xml:space="preserve">Option one – </w:t>
            </w:r>
            <w:r w:rsidR="002712DA" w:rsidRPr="007837CC">
              <w:t>S</w:t>
            </w:r>
            <w:r w:rsidRPr="007837CC">
              <w:t>tatus quo</w:t>
            </w:r>
          </w:p>
        </w:tc>
        <w:tc>
          <w:tcPr>
            <w:tcW w:w="946" w:type="dxa"/>
            <w:shd w:val="clear" w:color="auto" w:fill="auto"/>
            <w:noWrap/>
            <w:vAlign w:val="bottom"/>
            <w:hideMark/>
          </w:tcPr>
          <w:p w14:paraId="52BD09F4" w14:textId="708D3377" w:rsidR="004D50B2" w:rsidRPr="007837CC" w:rsidRDefault="004D50B2" w:rsidP="000E641E">
            <w:pPr>
              <w:pStyle w:val="TableText"/>
              <w:jc w:val="center"/>
            </w:pPr>
            <w:r w:rsidRPr="007837CC">
              <w:t>$</w:t>
            </w:r>
            <w:r w:rsidR="000D52E7" w:rsidRPr="007837CC">
              <w:t>3</w:t>
            </w:r>
            <w:r w:rsidR="00964CE1" w:rsidRPr="007837CC">
              <w:t>5.9</w:t>
            </w:r>
            <w:r w:rsidR="008D4539">
              <w:t>3</w:t>
            </w:r>
          </w:p>
        </w:tc>
        <w:tc>
          <w:tcPr>
            <w:tcW w:w="944" w:type="dxa"/>
            <w:shd w:val="clear" w:color="auto" w:fill="auto"/>
            <w:noWrap/>
            <w:vAlign w:val="bottom"/>
            <w:hideMark/>
          </w:tcPr>
          <w:p w14:paraId="3933AFC8" w14:textId="56415E4F" w:rsidR="004D50B2" w:rsidRPr="007837CC" w:rsidRDefault="004D50B2" w:rsidP="000E641E">
            <w:pPr>
              <w:pStyle w:val="TableText"/>
              <w:jc w:val="center"/>
            </w:pPr>
            <w:r w:rsidRPr="007837CC">
              <w:t>$3</w:t>
            </w:r>
            <w:r w:rsidR="00964CE1" w:rsidRPr="007837CC">
              <w:t>8.67</w:t>
            </w:r>
          </w:p>
        </w:tc>
        <w:tc>
          <w:tcPr>
            <w:tcW w:w="945" w:type="dxa"/>
            <w:shd w:val="clear" w:color="auto" w:fill="auto"/>
            <w:noWrap/>
            <w:vAlign w:val="bottom"/>
            <w:hideMark/>
          </w:tcPr>
          <w:p w14:paraId="0EEB52D7" w14:textId="73FC4F18" w:rsidR="004D50B2" w:rsidRPr="007837CC" w:rsidRDefault="004D50B2" w:rsidP="000E641E">
            <w:pPr>
              <w:pStyle w:val="TableText"/>
              <w:jc w:val="center"/>
            </w:pPr>
            <w:r w:rsidRPr="007837CC">
              <w:t>$</w:t>
            </w:r>
            <w:r w:rsidR="00EB60B2" w:rsidRPr="007837CC">
              <w:t>41.4</w:t>
            </w:r>
            <w:r w:rsidR="00436FB9">
              <w:t>1</w:t>
            </w:r>
          </w:p>
        </w:tc>
        <w:tc>
          <w:tcPr>
            <w:tcW w:w="944" w:type="dxa"/>
            <w:shd w:val="clear" w:color="auto" w:fill="auto"/>
            <w:noWrap/>
            <w:vAlign w:val="bottom"/>
            <w:hideMark/>
          </w:tcPr>
          <w:p w14:paraId="74D5CB02" w14:textId="017D0CEC" w:rsidR="004D50B2" w:rsidRPr="007837CC" w:rsidRDefault="004D50B2" w:rsidP="000E641E">
            <w:pPr>
              <w:pStyle w:val="TableText"/>
              <w:jc w:val="center"/>
            </w:pPr>
            <w:r w:rsidRPr="007837CC">
              <w:t>$</w:t>
            </w:r>
            <w:r w:rsidR="00EB60B2" w:rsidRPr="007837CC">
              <w:t>44.35</w:t>
            </w:r>
          </w:p>
        </w:tc>
        <w:tc>
          <w:tcPr>
            <w:tcW w:w="945" w:type="dxa"/>
            <w:shd w:val="clear" w:color="auto" w:fill="auto"/>
            <w:noWrap/>
            <w:vAlign w:val="bottom"/>
            <w:hideMark/>
          </w:tcPr>
          <w:p w14:paraId="48DA01D0" w14:textId="31733718" w:rsidR="004D50B2" w:rsidRPr="007837CC" w:rsidRDefault="00A43CBD" w:rsidP="000E641E">
            <w:pPr>
              <w:pStyle w:val="TableText"/>
              <w:jc w:val="center"/>
            </w:pPr>
            <w:r w:rsidRPr="007837CC">
              <w:t>$4</w:t>
            </w:r>
            <w:r w:rsidR="008775A0">
              <w:t>7.50</w:t>
            </w:r>
          </w:p>
        </w:tc>
      </w:tr>
      <w:tr w:rsidR="00E356AE" w:rsidRPr="007837CC" w14:paraId="06C743F2" w14:textId="0CC1B3F7" w:rsidTr="003E490F">
        <w:tc>
          <w:tcPr>
            <w:tcW w:w="3781" w:type="dxa"/>
            <w:shd w:val="clear" w:color="auto" w:fill="auto"/>
            <w:noWrap/>
            <w:vAlign w:val="bottom"/>
          </w:tcPr>
          <w:p w14:paraId="725E910F" w14:textId="1CE7B3CC" w:rsidR="00E356AE" w:rsidRPr="007837CC" w:rsidRDefault="00E356AE" w:rsidP="00E356AE">
            <w:pPr>
              <w:pStyle w:val="TableText"/>
            </w:pPr>
            <w:r w:rsidRPr="007837CC">
              <w:t>Option two – ‘</w:t>
            </w:r>
            <w:r w:rsidR="002712DA" w:rsidRPr="007837CC">
              <w:t>D</w:t>
            </w:r>
            <w:r w:rsidRPr="007837CC">
              <w:t xml:space="preserve">elayed ramp’ </w:t>
            </w:r>
          </w:p>
        </w:tc>
        <w:tc>
          <w:tcPr>
            <w:tcW w:w="946" w:type="dxa"/>
            <w:shd w:val="clear" w:color="auto" w:fill="auto"/>
            <w:noWrap/>
            <w:vAlign w:val="bottom"/>
          </w:tcPr>
          <w:p w14:paraId="7B967F9B" w14:textId="2C15526F" w:rsidR="00E356AE" w:rsidRPr="007837CC" w:rsidRDefault="00E356AE" w:rsidP="00E356AE">
            <w:pPr>
              <w:pStyle w:val="TableText"/>
              <w:jc w:val="center"/>
            </w:pPr>
            <w:r w:rsidRPr="007837CC">
              <w:t>$35.9</w:t>
            </w:r>
            <w:r w:rsidR="00552D33">
              <w:t>3</w:t>
            </w:r>
          </w:p>
        </w:tc>
        <w:tc>
          <w:tcPr>
            <w:tcW w:w="944" w:type="dxa"/>
            <w:shd w:val="clear" w:color="auto" w:fill="auto"/>
            <w:noWrap/>
            <w:vAlign w:val="bottom"/>
          </w:tcPr>
          <w:p w14:paraId="57AA5F62" w14:textId="5FE1FD40" w:rsidR="00E356AE" w:rsidRPr="007837CC" w:rsidRDefault="00E356AE" w:rsidP="00E356AE">
            <w:pPr>
              <w:pStyle w:val="TableText"/>
              <w:jc w:val="center"/>
            </w:pPr>
            <w:r w:rsidRPr="007837CC">
              <w:t>$38.67</w:t>
            </w:r>
          </w:p>
        </w:tc>
        <w:tc>
          <w:tcPr>
            <w:tcW w:w="945" w:type="dxa"/>
            <w:shd w:val="clear" w:color="auto" w:fill="auto"/>
            <w:noWrap/>
            <w:vAlign w:val="bottom"/>
          </w:tcPr>
          <w:p w14:paraId="3E1A1907" w14:textId="5DA968BB" w:rsidR="00E356AE" w:rsidRPr="007837CC" w:rsidRDefault="00056F0A" w:rsidP="00E356AE">
            <w:pPr>
              <w:pStyle w:val="TableText"/>
              <w:jc w:val="center"/>
            </w:pPr>
            <w:r w:rsidRPr="007837CC">
              <w:t>$</w:t>
            </w:r>
            <w:r w:rsidR="00D67D7F">
              <w:t>48</w:t>
            </w:r>
            <w:r w:rsidR="00CC1F1F">
              <w:t>.33</w:t>
            </w:r>
          </w:p>
        </w:tc>
        <w:tc>
          <w:tcPr>
            <w:tcW w:w="944" w:type="dxa"/>
            <w:shd w:val="clear" w:color="auto" w:fill="auto"/>
            <w:noWrap/>
            <w:vAlign w:val="bottom"/>
          </w:tcPr>
          <w:p w14:paraId="0A3F0700" w14:textId="4723ADFE" w:rsidR="00E356AE" w:rsidRPr="007837CC" w:rsidRDefault="00154A06" w:rsidP="00E356AE">
            <w:pPr>
              <w:pStyle w:val="TableText"/>
              <w:jc w:val="center"/>
            </w:pPr>
            <w:r>
              <w:t>$58</w:t>
            </w:r>
            <w:r w:rsidR="00B11607">
              <w:t>.00</w:t>
            </w:r>
          </w:p>
        </w:tc>
        <w:tc>
          <w:tcPr>
            <w:tcW w:w="945" w:type="dxa"/>
            <w:shd w:val="clear" w:color="auto" w:fill="auto"/>
            <w:noWrap/>
            <w:vAlign w:val="bottom"/>
          </w:tcPr>
          <w:p w14:paraId="2EFC3C3B" w14:textId="3ED6BDDE" w:rsidR="00E356AE" w:rsidRPr="007837CC" w:rsidRDefault="00451C1C" w:rsidP="00E356AE">
            <w:pPr>
              <w:pStyle w:val="TableText"/>
              <w:jc w:val="center"/>
            </w:pPr>
            <w:r>
              <w:t>$67.67</w:t>
            </w:r>
          </w:p>
        </w:tc>
      </w:tr>
      <w:tr w:rsidR="00E356AE" w:rsidRPr="007837CC" w14:paraId="65BC4428" w14:textId="77777777" w:rsidTr="003E490F">
        <w:tc>
          <w:tcPr>
            <w:tcW w:w="3781" w:type="dxa"/>
            <w:shd w:val="clear" w:color="auto" w:fill="auto"/>
            <w:noWrap/>
            <w:vAlign w:val="bottom"/>
          </w:tcPr>
          <w:p w14:paraId="565A4E80" w14:textId="7FE95486" w:rsidR="00E356AE" w:rsidRPr="007837CC" w:rsidRDefault="00E356AE" w:rsidP="00E356AE">
            <w:pPr>
              <w:pStyle w:val="TableText"/>
            </w:pPr>
            <w:r w:rsidRPr="007837CC">
              <w:t xml:space="preserve">Option three – </w:t>
            </w:r>
            <w:r w:rsidR="002712DA" w:rsidRPr="007837CC">
              <w:t>I</w:t>
            </w:r>
            <w:r w:rsidR="00D46577" w:rsidRPr="007837CC">
              <w:t>mmediate step to $45</w:t>
            </w:r>
          </w:p>
        </w:tc>
        <w:tc>
          <w:tcPr>
            <w:tcW w:w="946" w:type="dxa"/>
            <w:shd w:val="clear" w:color="auto" w:fill="auto"/>
            <w:noWrap/>
            <w:vAlign w:val="bottom"/>
          </w:tcPr>
          <w:p w14:paraId="6182629C" w14:textId="4F904151" w:rsidR="00E356AE" w:rsidRPr="007837CC" w:rsidRDefault="00D335CC" w:rsidP="00E356AE">
            <w:pPr>
              <w:pStyle w:val="TableText"/>
              <w:jc w:val="center"/>
            </w:pPr>
            <w:r w:rsidRPr="007837CC">
              <w:t>$45</w:t>
            </w:r>
          </w:p>
        </w:tc>
        <w:tc>
          <w:tcPr>
            <w:tcW w:w="944" w:type="dxa"/>
            <w:shd w:val="clear" w:color="auto" w:fill="auto"/>
            <w:noWrap/>
            <w:vAlign w:val="bottom"/>
          </w:tcPr>
          <w:p w14:paraId="620DD9E7" w14:textId="4F3ECA42" w:rsidR="00E356AE" w:rsidRPr="007837CC" w:rsidRDefault="00C21466" w:rsidP="00E356AE">
            <w:pPr>
              <w:pStyle w:val="TableText"/>
              <w:jc w:val="center"/>
            </w:pPr>
            <w:r w:rsidRPr="007837CC">
              <w:t>$</w:t>
            </w:r>
            <w:r w:rsidR="003726D7" w:rsidRPr="007837CC">
              <w:t>4</w:t>
            </w:r>
            <w:r w:rsidR="00B332E8">
              <w:t>8.43</w:t>
            </w:r>
          </w:p>
        </w:tc>
        <w:tc>
          <w:tcPr>
            <w:tcW w:w="945" w:type="dxa"/>
            <w:shd w:val="clear" w:color="auto" w:fill="auto"/>
            <w:noWrap/>
            <w:vAlign w:val="bottom"/>
          </w:tcPr>
          <w:p w14:paraId="486D6DF3" w14:textId="36E2334C" w:rsidR="00E356AE" w:rsidRPr="007837CC" w:rsidRDefault="00C21466" w:rsidP="00E356AE">
            <w:pPr>
              <w:pStyle w:val="TableText"/>
              <w:jc w:val="center"/>
            </w:pPr>
            <w:r w:rsidRPr="007837CC">
              <w:t>$</w:t>
            </w:r>
            <w:r w:rsidR="00541B2E">
              <w:t>51.87</w:t>
            </w:r>
          </w:p>
        </w:tc>
        <w:tc>
          <w:tcPr>
            <w:tcW w:w="944" w:type="dxa"/>
            <w:shd w:val="clear" w:color="auto" w:fill="auto"/>
            <w:noWrap/>
            <w:vAlign w:val="bottom"/>
          </w:tcPr>
          <w:p w14:paraId="291FE6DC" w14:textId="1ED6C4FA" w:rsidR="00E356AE" w:rsidRPr="007837CC" w:rsidRDefault="00C21466" w:rsidP="00E356AE">
            <w:pPr>
              <w:pStyle w:val="TableText"/>
              <w:jc w:val="center"/>
            </w:pPr>
            <w:r w:rsidRPr="007837CC">
              <w:t>$</w:t>
            </w:r>
            <w:r w:rsidR="00FF2147">
              <w:t>55.55</w:t>
            </w:r>
          </w:p>
        </w:tc>
        <w:tc>
          <w:tcPr>
            <w:tcW w:w="945" w:type="dxa"/>
            <w:shd w:val="clear" w:color="auto" w:fill="auto"/>
            <w:noWrap/>
            <w:vAlign w:val="bottom"/>
          </w:tcPr>
          <w:p w14:paraId="47E848C2" w14:textId="304F608C" w:rsidR="00E356AE" w:rsidRPr="007837CC" w:rsidRDefault="00FF2147" w:rsidP="00E356AE">
            <w:pPr>
              <w:pStyle w:val="TableText"/>
              <w:jc w:val="center"/>
            </w:pPr>
            <w:r>
              <w:t>$</w:t>
            </w:r>
            <w:r w:rsidR="00955B25">
              <w:t>59.50</w:t>
            </w:r>
          </w:p>
        </w:tc>
      </w:tr>
      <w:tr w:rsidR="00E356AE" w:rsidRPr="007837CC" w14:paraId="1173C41B" w14:textId="5C873129" w:rsidTr="003E490F">
        <w:tc>
          <w:tcPr>
            <w:tcW w:w="3781" w:type="dxa"/>
            <w:shd w:val="clear" w:color="auto" w:fill="auto"/>
            <w:noWrap/>
            <w:vAlign w:val="bottom"/>
            <w:hideMark/>
          </w:tcPr>
          <w:p w14:paraId="1F6FE4B5" w14:textId="68D3226C" w:rsidR="00E356AE" w:rsidRPr="007837CC" w:rsidRDefault="00E356AE" w:rsidP="00E356AE">
            <w:pPr>
              <w:pStyle w:val="TableText"/>
            </w:pPr>
            <w:r w:rsidRPr="007837CC">
              <w:t>Option four – Commission’s recommendations</w:t>
            </w:r>
            <w:r w:rsidR="00BD0DBF" w:rsidRPr="007837CC">
              <w:t xml:space="preserve"> if</w:t>
            </w:r>
            <w:r w:rsidR="002C5DF6">
              <w:t> </w:t>
            </w:r>
            <w:r w:rsidR="00BD0DBF" w:rsidRPr="007837CC">
              <w:t>all years are updated</w:t>
            </w:r>
          </w:p>
        </w:tc>
        <w:tc>
          <w:tcPr>
            <w:tcW w:w="946" w:type="dxa"/>
            <w:shd w:val="clear" w:color="auto" w:fill="auto"/>
            <w:noWrap/>
            <w:vAlign w:val="bottom"/>
          </w:tcPr>
          <w:p w14:paraId="4BDEA822" w14:textId="470A70BC" w:rsidR="00E356AE" w:rsidRPr="007837CC" w:rsidRDefault="000E5D76" w:rsidP="00E356AE">
            <w:pPr>
              <w:pStyle w:val="TableText"/>
              <w:jc w:val="center"/>
            </w:pPr>
            <w:r w:rsidRPr="007837CC">
              <w:t>$6</w:t>
            </w:r>
            <w:r w:rsidR="00304051">
              <w:t>5</w:t>
            </w:r>
          </w:p>
        </w:tc>
        <w:tc>
          <w:tcPr>
            <w:tcW w:w="944" w:type="dxa"/>
            <w:shd w:val="clear" w:color="auto" w:fill="auto"/>
            <w:noWrap/>
            <w:vAlign w:val="bottom"/>
          </w:tcPr>
          <w:p w14:paraId="37E50C06" w14:textId="02B5CF9F" w:rsidR="00E356AE" w:rsidRPr="007837CC" w:rsidRDefault="00056F0A" w:rsidP="00E356AE">
            <w:pPr>
              <w:pStyle w:val="TableText"/>
              <w:jc w:val="center"/>
            </w:pPr>
            <w:r w:rsidRPr="007837CC">
              <w:t>$68</w:t>
            </w:r>
          </w:p>
        </w:tc>
        <w:tc>
          <w:tcPr>
            <w:tcW w:w="945" w:type="dxa"/>
            <w:shd w:val="clear" w:color="auto" w:fill="auto"/>
            <w:noWrap/>
            <w:vAlign w:val="bottom"/>
          </w:tcPr>
          <w:p w14:paraId="690B1CB1" w14:textId="745D8435" w:rsidR="00E356AE" w:rsidRPr="007837CC" w:rsidRDefault="00056F0A" w:rsidP="00E356AE">
            <w:pPr>
              <w:pStyle w:val="TableText"/>
              <w:jc w:val="center"/>
            </w:pPr>
            <w:r w:rsidRPr="007837CC">
              <w:t>$7</w:t>
            </w:r>
            <w:r w:rsidR="004D451C" w:rsidRPr="007837CC">
              <w:t>2</w:t>
            </w:r>
          </w:p>
        </w:tc>
        <w:tc>
          <w:tcPr>
            <w:tcW w:w="944" w:type="dxa"/>
            <w:shd w:val="clear" w:color="auto" w:fill="auto"/>
            <w:noWrap/>
            <w:vAlign w:val="bottom"/>
          </w:tcPr>
          <w:p w14:paraId="6A589C52" w14:textId="3192B839" w:rsidR="00E356AE" w:rsidRPr="007837CC" w:rsidRDefault="00056F0A" w:rsidP="00E356AE">
            <w:pPr>
              <w:pStyle w:val="TableText"/>
              <w:jc w:val="center"/>
            </w:pPr>
            <w:r w:rsidRPr="007837CC">
              <w:t>$75</w:t>
            </w:r>
          </w:p>
        </w:tc>
        <w:tc>
          <w:tcPr>
            <w:tcW w:w="945" w:type="dxa"/>
            <w:shd w:val="clear" w:color="auto" w:fill="auto"/>
            <w:noWrap/>
            <w:vAlign w:val="bottom"/>
          </w:tcPr>
          <w:p w14:paraId="6471F6D0" w14:textId="20B83DDD" w:rsidR="00E356AE" w:rsidRPr="007837CC" w:rsidRDefault="004D451C" w:rsidP="00E356AE">
            <w:pPr>
              <w:pStyle w:val="TableText"/>
              <w:jc w:val="center"/>
            </w:pPr>
            <w:r w:rsidRPr="007837CC">
              <w:t>$79</w:t>
            </w:r>
          </w:p>
        </w:tc>
      </w:tr>
    </w:tbl>
    <w:p w14:paraId="4DDD35ED" w14:textId="6E2B4212" w:rsidR="00964D2C" w:rsidRPr="007837CC" w:rsidRDefault="00964D2C" w:rsidP="00725C4E">
      <w:pPr>
        <w:pStyle w:val="BodyText"/>
        <w:spacing w:before="240"/>
      </w:pPr>
      <w:r w:rsidRPr="007837CC">
        <w:t>T</w:t>
      </w:r>
      <w:r w:rsidR="00BE09B5" w:rsidRPr="007837CC">
        <w:t xml:space="preserve">able </w:t>
      </w:r>
      <w:r w:rsidR="009B0848" w:rsidRPr="007837CC">
        <w:t xml:space="preserve">14 </w:t>
      </w:r>
      <w:r w:rsidR="00BE09B5" w:rsidRPr="007837CC">
        <w:t>assesse</w:t>
      </w:r>
      <w:r w:rsidR="0051353A" w:rsidRPr="007837CC">
        <w:t>s</w:t>
      </w:r>
      <w:r w:rsidR="00BE09B5" w:rsidRPr="007837CC">
        <w:t xml:space="preserve"> t</w:t>
      </w:r>
      <w:r w:rsidRPr="007837CC">
        <w:t xml:space="preserve">he options </w:t>
      </w:r>
      <w:r w:rsidR="00BE09B5" w:rsidRPr="007837CC">
        <w:t xml:space="preserve">outlined </w:t>
      </w:r>
      <w:r w:rsidRPr="007837CC">
        <w:t>above. We are interested in your views on our assessment</w:t>
      </w:r>
      <w:r w:rsidR="00897998" w:rsidRPr="007837CC">
        <w:t xml:space="preserve">, </w:t>
      </w:r>
      <w:r w:rsidR="0098673C" w:rsidRPr="007837CC">
        <w:t>which</w:t>
      </w:r>
      <w:r w:rsidR="00897998" w:rsidRPr="007837CC">
        <w:t xml:space="preserve"> will help us </w:t>
      </w:r>
      <w:r w:rsidRPr="007837CC">
        <w:t>prepar</w:t>
      </w:r>
      <w:r w:rsidR="00897998" w:rsidRPr="007837CC">
        <w:t>e</w:t>
      </w:r>
      <w:r w:rsidRPr="007837CC">
        <w:t xml:space="preserve"> recommendations for policy decisions.</w:t>
      </w:r>
      <w:r w:rsidR="005D3339" w:rsidRPr="007837CC">
        <w:t xml:space="preserve"> </w:t>
      </w:r>
    </w:p>
    <w:p w14:paraId="62DD548F" w14:textId="08E25711" w:rsidR="00BC05E2" w:rsidRPr="007837CC" w:rsidRDefault="009F411D" w:rsidP="00573718">
      <w:pPr>
        <w:pStyle w:val="Tableheading"/>
        <w:rPr>
          <w:rStyle w:val="Heading3Char"/>
          <w:rFonts w:ascii="Calibri" w:hAnsi="Calibri"/>
          <w:b/>
          <w:bCs w:val="0"/>
          <w:sz w:val="22"/>
        </w:rPr>
      </w:pPr>
      <w:bookmarkStart w:id="60" w:name="_Toc133927348"/>
      <w:r w:rsidRPr="007837CC">
        <w:t xml:space="preserve">Table </w:t>
      </w:r>
      <w:r w:rsidR="009B0848" w:rsidRPr="007837CC">
        <w:t>14</w:t>
      </w:r>
      <w:r w:rsidRPr="007837CC">
        <w:t xml:space="preserve">: </w:t>
      </w:r>
      <w:r w:rsidR="00725C4E" w:rsidRPr="007837CC">
        <w:tab/>
      </w:r>
      <w:r w:rsidR="00723DB7" w:rsidRPr="007837CC">
        <w:t xml:space="preserve">Assessing options for </w:t>
      </w:r>
      <w:r w:rsidR="00E66828" w:rsidRPr="007837CC">
        <w:t>auction reserve price against</w:t>
      </w:r>
      <w:r w:rsidR="00723DB7" w:rsidRPr="007837CC">
        <w:t xml:space="preserve"> the </w:t>
      </w:r>
      <w:proofErr w:type="gramStart"/>
      <w:r w:rsidR="00723DB7" w:rsidRPr="007837CC">
        <w:t>status quo</w:t>
      </w:r>
      <w:bookmarkEnd w:id="60"/>
      <w:proofErr w:type="gramEnd"/>
      <w:r w:rsidR="00E556DC" w:rsidRPr="007837CC">
        <w:t xml:space="preserve"> </w:t>
      </w:r>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shd w:val="clear" w:color="auto" w:fill="FFFFFF" w:themeFill="background1"/>
        <w:tblLayout w:type="fixed"/>
        <w:tblCellMar>
          <w:left w:w="85" w:type="dxa"/>
          <w:right w:w="57" w:type="dxa"/>
        </w:tblCellMar>
        <w:tblLook w:val="04A0" w:firstRow="1" w:lastRow="0" w:firstColumn="1" w:lastColumn="0" w:noHBand="0" w:noVBand="1"/>
      </w:tblPr>
      <w:tblGrid>
        <w:gridCol w:w="1790"/>
        <w:gridCol w:w="1176"/>
        <w:gridCol w:w="2014"/>
        <w:gridCol w:w="1735"/>
        <w:gridCol w:w="1790"/>
      </w:tblGrid>
      <w:tr w:rsidR="00CE3CB7" w:rsidRPr="007837CC" w14:paraId="50E7C0B2" w14:textId="4BBE3FD4" w:rsidTr="0021404C">
        <w:trPr>
          <w:tblHeader/>
        </w:trPr>
        <w:tc>
          <w:tcPr>
            <w:tcW w:w="1814" w:type="dxa"/>
            <w:shd w:val="clear" w:color="auto" w:fill="1B556B" w:themeFill="text2"/>
            <w:vAlign w:val="bottom"/>
          </w:tcPr>
          <w:p w14:paraId="629B2821" w14:textId="30068541" w:rsidR="00CE3CB7" w:rsidRPr="007837CC" w:rsidRDefault="00CE3CB7" w:rsidP="00D21341">
            <w:pPr>
              <w:pStyle w:val="TableTextbold"/>
              <w:keepNext/>
              <w:spacing w:before="40" w:after="40"/>
              <w:rPr>
                <w:rFonts w:cs="Calibri"/>
                <w:color w:val="FFFFFF" w:themeColor="background1"/>
                <w:szCs w:val="18"/>
              </w:rPr>
            </w:pPr>
            <w:r w:rsidRPr="007837CC">
              <w:rPr>
                <w:rFonts w:cs="Calibri"/>
                <w:color w:val="FFFFFF" w:themeColor="background1"/>
                <w:szCs w:val="18"/>
              </w:rPr>
              <w:t>Criterion</w:t>
            </w:r>
          </w:p>
        </w:tc>
        <w:tc>
          <w:tcPr>
            <w:tcW w:w="1191" w:type="dxa"/>
            <w:shd w:val="clear" w:color="auto" w:fill="1B556B" w:themeFill="text2"/>
            <w:vAlign w:val="bottom"/>
          </w:tcPr>
          <w:p w14:paraId="755F6655" w14:textId="33E1A5AC" w:rsidR="00CE3CB7" w:rsidRPr="007837CC" w:rsidRDefault="00CE3CB7" w:rsidP="00D21341">
            <w:pPr>
              <w:pStyle w:val="TableTextbold"/>
              <w:keepNext/>
              <w:spacing w:before="40" w:after="40"/>
              <w:rPr>
                <w:rFonts w:cs="Calibri"/>
                <w:color w:val="FFFFFF" w:themeColor="background1"/>
                <w:szCs w:val="18"/>
              </w:rPr>
            </w:pPr>
            <w:r w:rsidRPr="007837CC">
              <w:rPr>
                <w:rFonts w:cs="Calibri"/>
                <w:color w:val="FFFFFF" w:themeColor="background1"/>
                <w:szCs w:val="18"/>
              </w:rPr>
              <w:t>Option one</w:t>
            </w:r>
            <w:r w:rsidR="00D6683E" w:rsidRPr="007837CC">
              <w:rPr>
                <w:rFonts w:cs="Calibri"/>
                <w:color w:val="FFFFFF" w:themeColor="background1"/>
                <w:szCs w:val="18"/>
              </w:rPr>
              <w:t xml:space="preserve"> –</w:t>
            </w:r>
            <w:r w:rsidRPr="007837CC">
              <w:rPr>
                <w:rFonts w:cs="Calibri"/>
                <w:color w:val="FFFFFF" w:themeColor="background1"/>
                <w:szCs w:val="18"/>
              </w:rPr>
              <w:t xml:space="preserve"> Status quo</w:t>
            </w:r>
          </w:p>
        </w:tc>
        <w:tc>
          <w:tcPr>
            <w:tcW w:w="2041" w:type="dxa"/>
            <w:shd w:val="clear" w:color="auto" w:fill="1B556B" w:themeFill="text2"/>
            <w:vAlign w:val="bottom"/>
          </w:tcPr>
          <w:p w14:paraId="67E5BDBE" w14:textId="729D8C00" w:rsidR="00CE3CB7" w:rsidRPr="007837CC" w:rsidRDefault="00CE3CB7" w:rsidP="00D21341">
            <w:pPr>
              <w:pStyle w:val="TableTextbold"/>
              <w:keepNext/>
              <w:spacing w:before="40" w:after="40"/>
              <w:rPr>
                <w:rFonts w:cs="Calibri"/>
                <w:color w:val="FFFFFF" w:themeColor="background1"/>
                <w:szCs w:val="18"/>
              </w:rPr>
            </w:pPr>
            <w:r w:rsidRPr="007837CC">
              <w:rPr>
                <w:rFonts w:cs="Calibri"/>
                <w:color w:val="FFFFFF" w:themeColor="background1"/>
                <w:szCs w:val="18"/>
              </w:rPr>
              <w:t>Option two – ‘</w:t>
            </w:r>
            <w:r w:rsidR="002712DA" w:rsidRPr="007837CC">
              <w:rPr>
                <w:rFonts w:cs="Calibri"/>
                <w:color w:val="FFFFFF" w:themeColor="background1"/>
                <w:szCs w:val="18"/>
              </w:rPr>
              <w:t>D</w:t>
            </w:r>
            <w:r w:rsidRPr="007837CC">
              <w:rPr>
                <w:rFonts w:cs="Calibri"/>
                <w:color w:val="FFFFFF" w:themeColor="background1"/>
                <w:szCs w:val="18"/>
              </w:rPr>
              <w:t>elayed ramp’</w:t>
            </w:r>
          </w:p>
        </w:tc>
        <w:tc>
          <w:tcPr>
            <w:tcW w:w="1758" w:type="dxa"/>
            <w:shd w:val="clear" w:color="auto" w:fill="1B556B" w:themeFill="text2"/>
            <w:vAlign w:val="bottom"/>
          </w:tcPr>
          <w:p w14:paraId="73AD0D65" w14:textId="2110D802" w:rsidR="00CE3CB7" w:rsidRPr="007837CC" w:rsidRDefault="00CE3CB7" w:rsidP="00D21341">
            <w:pPr>
              <w:pStyle w:val="TableTextbold"/>
              <w:keepNext/>
              <w:spacing w:before="40" w:after="40"/>
              <w:rPr>
                <w:rFonts w:cs="Calibri"/>
                <w:color w:val="FFFFFF" w:themeColor="background1"/>
                <w:szCs w:val="18"/>
              </w:rPr>
            </w:pPr>
            <w:r w:rsidRPr="007837CC">
              <w:rPr>
                <w:rFonts w:cs="Calibri"/>
                <w:color w:val="FFFFFF" w:themeColor="background1"/>
                <w:szCs w:val="18"/>
              </w:rPr>
              <w:t xml:space="preserve">Option three – </w:t>
            </w:r>
            <w:r w:rsidR="002712DA" w:rsidRPr="007837CC">
              <w:rPr>
                <w:rFonts w:cs="Calibri"/>
                <w:color w:val="FFFFFF" w:themeColor="background1"/>
                <w:szCs w:val="18"/>
              </w:rPr>
              <w:t>I</w:t>
            </w:r>
            <w:r w:rsidRPr="007837CC">
              <w:rPr>
                <w:rFonts w:cs="Calibri"/>
                <w:color w:val="FFFFFF" w:themeColor="background1"/>
                <w:szCs w:val="18"/>
              </w:rPr>
              <w:t>ntermediate</w:t>
            </w:r>
            <w:r w:rsidR="0061562D" w:rsidRPr="007837CC">
              <w:rPr>
                <w:rFonts w:cs="Calibri"/>
                <w:color w:val="FFFFFF" w:themeColor="background1"/>
                <w:szCs w:val="18"/>
              </w:rPr>
              <w:t xml:space="preserve"> $45</w:t>
            </w:r>
          </w:p>
        </w:tc>
        <w:tc>
          <w:tcPr>
            <w:tcW w:w="1814" w:type="dxa"/>
            <w:shd w:val="clear" w:color="auto" w:fill="1B556B" w:themeFill="text2"/>
            <w:vAlign w:val="bottom"/>
          </w:tcPr>
          <w:p w14:paraId="0281C7C6" w14:textId="228B01E3" w:rsidR="00CE3CB7" w:rsidRPr="007837CC" w:rsidRDefault="00CE3CB7" w:rsidP="00D21341">
            <w:pPr>
              <w:pStyle w:val="TableTextbold"/>
              <w:keepNext/>
              <w:spacing w:before="40" w:after="40"/>
              <w:rPr>
                <w:rFonts w:cs="Calibri"/>
                <w:color w:val="FFFFFF" w:themeColor="background1"/>
                <w:szCs w:val="18"/>
              </w:rPr>
            </w:pPr>
            <w:r w:rsidRPr="007837CC">
              <w:rPr>
                <w:rFonts w:cs="Calibri"/>
                <w:color w:val="FFFFFF" w:themeColor="background1"/>
                <w:szCs w:val="18"/>
              </w:rPr>
              <w:t>Option four – Commission’s advice</w:t>
            </w:r>
          </w:p>
        </w:tc>
      </w:tr>
      <w:tr w:rsidR="00CE3CB7" w:rsidRPr="007837CC" w14:paraId="7B23D4F8" w14:textId="20562B7F" w:rsidTr="0021404C">
        <w:tc>
          <w:tcPr>
            <w:tcW w:w="1814" w:type="dxa"/>
            <w:shd w:val="clear" w:color="auto" w:fill="FFFFFF" w:themeFill="background1"/>
          </w:tcPr>
          <w:p w14:paraId="65D840CE" w14:textId="440ECC76" w:rsidR="00CE3CB7" w:rsidRPr="007837CC" w:rsidRDefault="00CE3CB7" w:rsidP="008C1263">
            <w:pPr>
              <w:pStyle w:val="TableText"/>
              <w:keepNext/>
              <w:rPr>
                <w:rFonts w:cs="Calibri"/>
                <w:bCs/>
                <w:color w:val="000000"/>
                <w:szCs w:val="18"/>
              </w:rPr>
            </w:pPr>
            <w:r w:rsidRPr="007837CC">
              <w:rPr>
                <w:rFonts w:cs="Calibri"/>
                <w:szCs w:val="18"/>
              </w:rPr>
              <w:t>Accords with New Zealand’s emissions budgets, NDC and 2050 target</w:t>
            </w:r>
          </w:p>
        </w:tc>
        <w:tc>
          <w:tcPr>
            <w:tcW w:w="1191" w:type="dxa"/>
            <w:shd w:val="clear" w:color="auto" w:fill="FFFFFF" w:themeFill="background1"/>
          </w:tcPr>
          <w:p w14:paraId="343B1E5D" w14:textId="77777777" w:rsidR="00CE3CB7" w:rsidRPr="007837CC" w:rsidRDefault="00CE3CB7" w:rsidP="008C1263">
            <w:pPr>
              <w:pStyle w:val="TableText"/>
              <w:keepNext/>
              <w:rPr>
                <w:rFonts w:cs="Calibri"/>
                <w:b/>
                <w:bCs/>
                <w:szCs w:val="18"/>
              </w:rPr>
            </w:pPr>
            <w:r w:rsidRPr="007837CC">
              <w:rPr>
                <w:rFonts w:cs="Calibri"/>
                <w:b/>
                <w:bCs/>
                <w:szCs w:val="18"/>
              </w:rPr>
              <w:t>0</w:t>
            </w:r>
          </w:p>
        </w:tc>
        <w:tc>
          <w:tcPr>
            <w:tcW w:w="2041" w:type="dxa"/>
            <w:shd w:val="clear" w:color="auto" w:fill="FFFFFF" w:themeFill="background1"/>
          </w:tcPr>
          <w:p w14:paraId="651CB2F3" w14:textId="77777777" w:rsidR="008351FC" w:rsidRPr="007837CC" w:rsidRDefault="008351FC" w:rsidP="00E556DC">
            <w:pPr>
              <w:spacing w:before="60" w:after="0" w:line="276" w:lineRule="auto"/>
              <w:rPr>
                <w:rFonts w:cs="Calibri"/>
                <w:b/>
                <w:bCs/>
                <w:color w:val="00B050"/>
                <w:sz w:val="18"/>
                <w:szCs w:val="18"/>
              </w:rPr>
            </w:pPr>
            <w:r w:rsidRPr="007837CC">
              <w:rPr>
                <w:rFonts w:cs="Calibri"/>
                <w:b/>
                <w:bCs/>
                <w:color w:val="00B050"/>
                <w:sz w:val="18"/>
                <w:szCs w:val="18"/>
              </w:rPr>
              <w:t>+</w:t>
            </w:r>
          </w:p>
          <w:p w14:paraId="5B08B578" w14:textId="1B23C15D" w:rsidR="00CE3CB7" w:rsidRPr="007837CC" w:rsidRDefault="008351FC" w:rsidP="008351FC">
            <w:pPr>
              <w:pStyle w:val="TableText"/>
              <w:keepNext/>
              <w:spacing w:before="0"/>
              <w:rPr>
                <w:rFonts w:cs="Calibri"/>
                <w:szCs w:val="18"/>
              </w:rPr>
            </w:pPr>
            <w:r w:rsidRPr="007837CC">
              <w:rPr>
                <w:rFonts w:cs="Calibri"/>
                <w:szCs w:val="18"/>
              </w:rPr>
              <w:t>Allows some management of the risk of misalignment between emission unit prices and those needed to incentivise abatement, but risk of delay</w:t>
            </w:r>
            <w:r w:rsidR="002C5DF6">
              <w:rPr>
                <w:rFonts w:cs="Calibri"/>
                <w:szCs w:val="18"/>
              </w:rPr>
              <w:t>.</w:t>
            </w:r>
          </w:p>
        </w:tc>
        <w:tc>
          <w:tcPr>
            <w:tcW w:w="1758" w:type="dxa"/>
            <w:shd w:val="clear" w:color="auto" w:fill="FFFFFF" w:themeFill="background1"/>
          </w:tcPr>
          <w:p w14:paraId="0DEF235C" w14:textId="77777777" w:rsidR="000F6D5B" w:rsidRPr="007837CC" w:rsidRDefault="000F6D5B" w:rsidP="00E556DC">
            <w:pPr>
              <w:spacing w:before="60" w:after="0" w:line="276" w:lineRule="auto"/>
              <w:rPr>
                <w:rFonts w:cs="Calibri"/>
                <w:b/>
                <w:bCs/>
                <w:color w:val="00B050"/>
                <w:sz w:val="18"/>
                <w:szCs w:val="18"/>
              </w:rPr>
            </w:pPr>
            <w:r w:rsidRPr="007837CC">
              <w:rPr>
                <w:rFonts w:cs="Calibri"/>
                <w:b/>
                <w:bCs/>
                <w:color w:val="00B050"/>
                <w:sz w:val="18"/>
                <w:szCs w:val="18"/>
              </w:rPr>
              <w:t>++</w:t>
            </w:r>
          </w:p>
          <w:p w14:paraId="782694B5" w14:textId="73901775" w:rsidR="00CE3CB7" w:rsidRPr="007837CC" w:rsidRDefault="000F6D5B" w:rsidP="000F6D5B">
            <w:pPr>
              <w:pStyle w:val="TableText"/>
              <w:keepNext/>
              <w:spacing w:before="0"/>
              <w:rPr>
                <w:rFonts w:cs="Calibri"/>
                <w:szCs w:val="18"/>
                <w:lang w:eastAsia="en-AU"/>
              </w:rPr>
            </w:pPr>
            <w:r w:rsidRPr="007837CC">
              <w:rPr>
                <w:rFonts w:cs="Calibri"/>
                <w:szCs w:val="18"/>
              </w:rPr>
              <w:t>Closer relationship between emission unit prices and abatement incentives</w:t>
            </w:r>
            <w:r w:rsidR="002C5DF6">
              <w:rPr>
                <w:rFonts w:cs="Calibri"/>
                <w:szCs w:val="18"/>
              </w:rPr>
              <w:t>.</w:t>
            </w:r>
          </w:p>
        </w:tc>
        <w:tc>
          <w:tcPr>
            <w:tcW w:w="1814" w:type="dxa"/>
            <w:shd w:val="clear" w:color="auto" w:fill="FFFFFF" w:themeFill="background1"/>
          </w:tcPr>
          <w:p w14:paraId="17F9AE3D" w14:textId="77777777" w:rsidR="00072448" w:rsidRPr="007837CC" w:rsidRDefault="00072448" w:rsidP="00E556DC">
            <w:pPr>
              <w:spacing w:before="60" w:after="0" w:line="276" w:lineRule="auto"/>
              <w:rPr>
                <w:rFonts w:cs="Calibri"/>
                <w:b/>
                <w:bCs/>
                <w:color w:val="00B050"/>
                <w:sz w:val="18"/>
                <w:szCs w:val="18"/>
              </w:rPr>
            </w:pPr>
            <w:r w:rsidRPr="007837CC">
              <w:rPr>
                <w:rFonts w:cs="Calibri"/>
                <w:b/>
                <w:bCs/>
                <w:color w:val="00B050"/>
                <w:sz w:val="18"/>
                <w:szCs w:val="18"/>
              </w:rPr>
              <w:t>++</w:t>
            </w:r>
          </w:p>
          <w:p w14:paraId="52668A66" w14:textId="4CBD93CE" w:rsidR="00CE3CB7" w:rsidRPr="007837CC" w:rsidRDefault="00072448" w:rsidP="00072448">
            <w:pPr>
              <w:pStyle w:val="TableText"/>
              <w:keepNext/>
              <w:spacing w:before="0"/>
              <w:rPr>
                <w:rFonts w:cs="Calibri"/>
                <w:szCs w:val="18"/>
                <w:lang w:eastAsia="en-AU"/>
              </w:rPr>
            </w:pPr>
            <w:r w:rsidRPr="007837CC">
              <w:rPr>
                <w:rFonts w:cs="Calibri"/>
                <w:szCs w:val="18"/>
              </w:rPr>
              <w:t>Closer relationship between emission unit prices and abatement incentives</w:t>
            </w:r>
            <w:r w:rsidR="002C5DF6">
              <w:rPr>
                <w:rFonts w:cs="Calibri"/>
                <w:szCs w:val="18"/>
              </w:rPr>
              <w:t>.</w:t>
            </w:r>
          </w:p>
        </w:tc>
      </w:tr>
      <w:tr w:rsidR="003434B0" w:rsidRPr="007837CC" w14:paraId="588CCD1B" w14:textId="3277B8F7" w:rsidTr="0021404C">
        <w:tc>
          <w:tcPr>
            <w:tcW w:w="1814" w:type="dxa"/>
            <w:shd w:val="clear" w:color="auto" w:fill="FFFFFF" w:themeFill="background1"/>
          </w:tcPr>
          <w:p w14:paraId="28AE199E" w14:textId="3C20F90D" w:rsidR="003434B0" w:rsidRPr="007837CC" w:rsidRDefault="003434B0" w:rsidP="003434B0">
            <w:pPr>
              <w:pStyle w:val="TableText"/>
              <w:rPr>
                <w:rFonts w:cs="Calibri"/>
                <w:bCs/>
                <w:color w:val="000000"/>
                <w:szCs w:val="18"/>
              </w:rPr>
            </w:pPr>
            <w:r w:rsidRPr="007837CC">
              <w:rPr>
                <w:rFonts w:cs="Calibri"/>
                <w:szCs w:val="18"/>
              </w:rPr>
              <w:t>Supports the proper functioning of the</w:t>
            </w:r>
            <w:r w:rsidR="00E556DC" w:rsidRPr="007837CC">
              <w:rPr>
                <w:rFonts w:cs="Calibri"/>
                <w:szCs w:val="18"/>
              </w:rPr>
              <w:t xml:space="preserve"> </w:t>
            </w:r>
            <w:r w:rsidRPr="007837CC">
              <w:rPr>
                <w:rFonts w:cs="Calibri"/>
                <w:szCs w:val="18"/>
              </w:rPr>
              <w:t>NZ</w:t>
            </w:r>
            <w:r w:rsidR="00E556DC" w:rsidRPr="007837CC">
              <w:rPr>
                <w:rFonts w:cs="Calibri"/>
                <w:szCs w:val="18"/>
              </w:rPr>
              <w:t> </w:t>
            </w:r>
            <w:r w:rsidRPr="007837CC">
              <w:rPr>
                <w:rFonts w:cs="Calibri"/>
                <w:szCs w:val="18"/>
              </w:rPr>
              <w:t>ETS</w:t>
            </w:r>
          </w:p>
        </w:tc>
        <w:tc>
          <w:tcPr>
            <w:tcW w:w="1191" w:type="dxa"/>
            <w:shd w:val="clear" w:color="auto" w:fill="FFFFFF" w:themeFill="background1"/>
          </w:tcPr>
          <w:p w14:paraId="3A198F0D" w14:textId="77777777" w:rsidR="003434B0" w:rsidRPr="007837CC" w:rsidRDefault="003434B0" w:rsidP="003434B0">
            <w:pPr>
              <w:pStyle w:val="TableText"/>
              <w:rPr>
                <w:rFonts w:cs="Calibri"/>
                <w:b/>
                <w:bCs/>
                <w:szCs w:val="18"/>
              </w:rPr>
            </w:pPr>
            <w:r w:rsidRPr="007837CC">
              <w:rPr>
                <w:rFonts w:cs="Calibri"/>
                <w:b/>
                <w:bCs/>
                <w:szCs w:val="18"/>
              </w:rPr>
              <w:t>0</w:t>
            </w:r>
          </w:p>
        </w:tc>
        <w:tc>
          <w:tcPr>
            <w:tcW w:w="2041" w:type="dxa"/>
            <w:shd w:val="clear" w:color="auto" w:fill="FFFFFF" w:themeFill="background1"/>
          </w:tcPr>
          <w:p w14:paraId="3A4E811D" w14:textId="77777777" w:rsidR="008E7474" w:rsidRPr="007837CC" w:rsidRDefault="008E7474" w:rsidP="00E556DC">
            <w:pPr>
              <w:spacing w:before="60" w:after="0" w:line="276" w:lineRule="auto"/>
              <w:rPr>
                <w:rFonts w:cs="Calibri"/>
                <w:b/>
                <w:bCs/>
                <w:color w:val="00B050"/>
                <w:sz w:val="18"/>
                <w:szCs w:val="18"/>
              </w:rPr>
            </w:pPr>
            <w:r w:rsidRPr="007837CC">
              <w:rPr>
                <w:rFonts w:cs="Calibri"/>
                <w:b/>
                <w:bCs/>
                <w:color w:val="00B050"/>
                <w:sz w:val="18"/>
                <w:szCs w:val="18"/>
              </w:rPr>
              <w:t>+</w:t>
            </w:r>
          </w:p>
          <w:p w14:paraId="70BC1597" w14:textId="79BB6830" w:rsidR="008E7474" w:rsidRPr="007837CC" w:rsidRDefault="008E7474" w:rsidP="00E556DC">
            <w:pPr>
              <w:pStyle w:val="TableText"/>
              <w:rPr>
                <w:rFonts w:cs="Calibri"/>
                <w:szCs w:val="18"/>
              </w:rPr>
            </w:pPr>
            <w:r w:rsidRPr="007837CC">
              <w:rPr>
                <w:rFonts w:cs="Calibri"/>
                <w:szCs w:val="18"/>
              </w:rPr>
              <w:t>No change to the NZ</w:t>
            </w:r>
            <w:r w:rsidR="00783E66" w:rsidRPr="007837CC">
              <w:rPr>
                <w:rFonts w:cs="Calibri"/>
                <w:szCs w:val="18"/>
              </w:rPr>
              <w:t> </w:t>
            </w:r>
            <w:r w:rsidRPr="007837CC">
              <w:rPr>
                <w:rFonts w:cs="Calibri"/>
                <w:szCs w:val="18"/>
              </w:rPr>
              <w:t>ETS operation or complexity</w:t>
            </w:r>
            <w:r w:rsidR="002C5DF6">
              <w:rPr>
                <w:rFonts w:cs="Calibri"/>
                <w:szCs w:val="18"/>
              </w:rPr>
              <w:t>.</w:t>
            </w:r>
            <w:r w:rsidRPr="007837CC">
              <w:rPr>
                <w:rFonts w:cs="Calibri"/>
                <w:szCs w:val="18"/>
              </w:rPr>
              <w:t xml:space="preserve"> </w:t>
            </w:r>
          </w:p>
          <w:p w14:paraId="0191B899" w14:textId="220DD349" w:rsidR="003434B0" w:rsidRPr="007837CC" w:rsidRDefault="008E7474" w:rsidP="00E556DC">
            <w:pPr>
              <w:pStyle w:val="TableText"/>
              <w:rPr>
                <w:rFonts w:cs="Calibri"/>
                <w:szCs w:val="18"/>
              </w:rPr>
            </w:pPr>
            <w:r w:rsidRPr="007837CC">
              <w:rPr>
                <w:rFonts w:cs="Calibri"/>
                <w:szCs w:val="18"/>
              </w:rPr>
              <w:t>Steep ramp rewards speculation and this interferes with the compliance needs of participants</w:t>
            </w:r>
            <w:r w:rsidR="002C5DF6">
              <w:rPr>
                <w:rFonts w:cs="Calibri"/>
                <w:szCs w:val="18"/>
              </w:rPr>
              <w:t>.</w:t>
            </w:r>
          </w:p>
        </w:tc>
        <w:tc>
          <w:tcPr>
            <w:tcW w:w="1758" w:type="dxa"/>
            <w:shd w:val="clear" w:color="auto" w:fill="FFFFFF" w:themeFill="background1"/>
          </w:tcPr>
          <w:p w14:paraId="50FD4DDA" w14:textId="77777777" w:rsidR="003434B0" w:rsidRPr="007837CC" w:rsidRDefault="003434B0" w:rsidP="00E556DC">
            <w:pPr>
              <w:spacing w:before="60" w:after="0" w:line="276" w:lineRule="auto"/>
              <w:rPr>
                <w:rFonts w:cs="Calibri"/>
                <w:b/>
                <w:color w:val="00B050"/>
                <w:sz w:val="18"/>
                <w:szCs w:val="18"/>
              </w:rPr>
            </w:pPr>
            <w:r w:rsidRPr="007837CC">
              <w:rPr>
                <w:rFonts w:cs="Calibri"/>
                <w:b/>
                <w:color w:val="00B050"/>
                <w:sz w:val="18"/>
                <w:szCs w:val="18"/>
              </w:rPr>
              <w:t>++</w:t>
            </w:r>
          </w:p>
          <w:p w14:paraId="20A090FE" w14:textId="36F4A45E" w:rsidR="003434B0" w:rsidRPr="007837CC" w:rsidRDefault="003434B0" w:rsidP="00E556DC">
            <w:pPr>
              <w:pStyle w:val="TableText"/>
              <w:rPr>
                <w:rFonts w:cs="Calibri"/>
                <w:szCs w:val="18"/>
              </w:rPr>
            </w:pPr>
            <w:r w:rsidRPr="007837CC">
              <w:rPr>
                <w:rFonts w:cs="Calibri"/>
                <w:szCs w:val="18"/>
              </w:rPr>
              <w:t>No change to the NZ</w:t>
            </w:r>
            <w:r w:rsidR="00783E66" w:rsidRPr="007837CC">
              <w:rPr>
                <w:rFonts w:cs="Calibri"/>
                <w:szCs w:val="18"/>
              </w:rPr>
              <w:t> </w:t>
            </w:r>
            <w:r w:rsidRPr="007837CC">
              <w:rPr>
                <w:rFonts w:cs="Calibri"/>
                <w:szCs w:val="18"/>
              </w:rPr>
              <w:t>ETS operation or complexity</w:t>
            </w:r>
            <w:r w:rsidR="002C5DF6">
              <w:rPr>
                <w:rFonts w:cs="Calibri"/>
                <w:szCs w:val="18"/>
              </w:rPr>
              <w:t>.</w:t>
            </w:r>
          </w:p>
          <w:p w14:paraId="4E637503" w14:textId="1043DD72" w:rsidR="003434B0" w:rsidRPr="007837CC" w:rsidRDefault="003434B0" w:rsidP="00E556DC">
            <w:pPr>
              <w:pStyle w:val="TableText"/>
              <w:rPr>
                <w:rFonts w:cs="Calibri"/>
                <w:szCs w:val="18"/>
                <w:lang w:eastAsia="en-AU"/>
              </w:rPr>
            </w:pPr>
            <w:r w:rsidRPr="007837CC">
              <w:rPr>
                <w:rFonts w:cs="Calibri"/>
                <w:szCs w:val="18"/>
              </w:rPr>
              <w:t>Better supports investment in emissions reductions – both afforestation and gross reductions</w:t>
            </w:r>
            <w:r w:rsidR="002C5DF6">
              <w:rPr>
                <w:rFonts w:cs="Calibri"/>
                <w:szCs w:val="18"/>
              </w:rPr>
              <w:t>.</w:t>
            </w:r>
          </w:p>
        </w:tc>
        <w:tc>
          <w:tcPr>
            <w:tcW w:w="1814" w:type="dxa"/>
            <w:shd w:val="clear" w:color="auto" w:fill="FFFFFF" w:themeFill="background1"/>
          </w:tcPr>
          <w:p w14:paraId="0C355AF3" w14:textId="12DD8E5A" w:rsidR="003434B0" w:rsidRPr="007837CC" w:rsidRDefault="003434B0" w:rsidP="00E556DC">
            <w:pPr>
              <w:spacing w:before="60" w:after="0" w:line="276" w:lineRule="auto"/>
              <w:rPr>
                <w:rFonts w:cs="Calibri"/>
                <w:b/>
                <w:bCs/>
                <w:color w:val="00B050"/>
                <w:sz w:val="18"/>
                <w:szCs w:val="18"/>
              </w:rPr>
            </w:pPr>
            <w:r w:rsidRPr="007837CC">
              <w:rPr>
                <w:rFonts w:cs="Calibri"/>
                <w:b/>
                <w:bCs/>
                <w:color w:val="00B050"/>
                <w:sz w:val="18"/>
                <w:szCs w:val="18"/>
              </w:rPr>
              <w:t>+</w:t>
            </w:r>
            <w:r w:rsidR="00C669AC" w:rsidRPr="007837CC">
              <w:rPr>
                <w:rFonts w:cs="Calibri"/>
                <w:b/>
                <w:bCs/>
                <w:color w:val="00B050"/>
                <w:sz w:val="18"/>
                <w:szCs w:val="18"/>
              </w:rPr>
              <w:t xml:space="preserve"> </w:t>
            </w:r>
          </w:p>
          <w:p w14:paraId="3B8E73AB" w14:textId="1E586138" w:rsidR="003434B0" w:rsidRPr="007837CC" w:rsidRDefault="003434B0" w:rsidP="00E556DC">
            <w:pPr>
              <w:pStyle w:val="TableText"/>
              <w:rPr>
                <w:rFonts w:cs="Calibri"/>
                <w:szCs w:val="18"/>
              </w:rPr>
            </w:pPr>
            <w:r w:rsidRPr="007837CC">
              <w:rPr>
                <w:rFonts w:cs="Calibri"/>
                <w:szCs w:val="18"/>
              </w:rPr>
              <w:t>No change to the NZ</w:t>
            </w:r>
            <w:r w:rsidR="00783E66" w:rsidRPr="007837CC">
              <w:rPr>
                <w:rFonts w:cs="Calibri"/>
                <w:szCs w:val="18"/>
              </w:rPr>
              <w:t> </w:t>
            </w:r>
            <w:r w:rsidRPr="007837CC">
              <w:rPr>
                <w:rFonts w:cs="Calibri"/>
                <w:szCs w:val="18"/>
              </w:rPr>
              <w:t>ETS operation or complexity</w:t>
            </w:r>
            <w:r w:rsidR="002C5DF6">
              <w:rPr>
                <w:rFonts w:cs="Calibri"/>
                <w:szCs w:val="18"/>
              </w:rPr>
              <w:t>.</w:t>
            </w:r>
          </w:p>
          <w:p w14:paraId="62F83BF0" w14:textId="32BE2E95" w:rsidR="003434B0" w:rsidRPr="007837CC" w:rsidRDefault="003434B0" w:rsidP="00E556DC">
            <w:pPr>
              <w:pStyle w:val="TableText"/>
              <w:rPr>
                <w:rFonts w:cs="Calibri"/>
                <w:szCs w:val="18"/>
              </w:rPr>
            </w:pPr>
            <w:r w:rsidRPr="007837CC">
              <w:rPr>
                <w:rFonts w:cs="Calibri"/>
                <w:szCs w:val="18"/>
              </w:rPr>
              <w:t>Better supports investment in emissions reductions – both afforestation and gross reductions</w:t>
            </w:r>
            <w:r w:rsidR="002C5DF6">
              <w:rPr>
                <w:rFonts w:cs="Calibri"/>
                <w:szCs w:val="18"/>
              </w:rPr>
              <w:t>.</w:t>
            </w:r>
          </w:p>
          <w:p w14:paraId="716C514A" w14:textId="1699BB6D" w:rsidR="003434B0" w:rsidRPr="007837CC" w:rsidRDefault="0062229A" w:rsidP="00E556DC">
            <w:pPr>
              <w:pStyle w:val="TableText"/>
              <w:rPr>
                <w:rFonts w:cs="Calibri"/>
                <w:szCs w:val="18"/>
              </w:rPr>
            </w:pPr>
            <w:r w:rsidRPr="007837CC">
              <w:rPr>
                <w:rFonts w:cs="Calibri"/>
                <w:szCs w:val="18"/>
              </w:rPr>
              <w:t>Likely to influence secondary market prices</w:t>
            </w:r>
            <w:r w:rsidR="0066565C" w:rsidRPr="007837CC">
              <w:rPr>
                <w:rFonts w:cs="Calibri"/>
                <w:szCs w:val="18"/>
              </w:rPr>
              <w:t xml:space="preserve"> as above recently observed prices</w:t>
            </w:r>
            <w:r w:rsidR="002C5DF6">
              <w:rPr>
                <w:rFonts w:cs="Calibri"/>
                <w:szCs w:val="18"/>
              </w:rPr>
              <w:t>.</w:t>
            </w:r>
          </w:p>
        </w:tc>
      </w:tr>
      <w:tr w:rsidR="003434B0" w:rsidRPr="007837CC" w14:paraId="7E7139D3" w14:textId="6BA88CD5" w:rsidTr="0021404C">
        <w:tc>
          <w:tcPr>
            <w:tcW w:w="1814" w:type="dxa"/>
            <w:shd w:val="clear" w:color="auto" w:fill="FFFFFF" w:themeFill="background1"/>
          </w:tcPr>
          <w:p w14:paraId="2CA56205" w14:textId="6929B43F" w:rsidR="003434B0" w:rsidRPr="007837CC" w:rsidRDefault="003434B0" w:rsidP="003434B0">
            <w:pPr>
              <w:pStyle w:val="TableText"/>
              <w:rPr>
                <w:rFonts w:cs="Calibri"/>
                <w:bCs/>
                <w:color w:val="000000"/>
                <w:szCs w:val="18"/>
              </w:rPr>
            </w:pPr>
            <w:r w:rsidRPr="007837CC">
              <w:rPr>
                <w:rFonts w:cs="Calibri"/>
                <w:szCs w:val="18"/>
              </w:rPr>
              <w:t>Improves regulatory certainty and predictability</w:t>
            </w:r>
          </w:p>
        </w:tc>
        <w:tc>
          <w:tcPr>
            <w:tcW w:w="1191" w:type="dxa"/>
            <w:shd w:val="clear" w:color="auto" w:fill="FFFFFF" w:themeFill="background1"/>
          </w:tcPr>
          <w:p w14:paraId="5FAE3228" w14:textId="77777777" w:rsidR="003434B0" w:rsidRPr="007837CC" w:rsidRDefault="003434B0" w:rsidP="003434B0">
            <w:pPr>
              <w:pStyle w:val="TableText"/>
              <w:rPr>
                <w:rFonts w:cs="Calibri"/>
                <w:b/>
                <w:bCs/>
                <w:szCs w:val="18"/>
              </w:rPr>
            </w:pPr>
            <w:r w:rsidRPr="007837CC">
              <w:rPr>
                <w:rFonts w:cs="Calibri"/>
                <w:b/>
                <w:bCs/>
                <w:szCs w:val="18"/>
              </w:rPr>
              <w:t>0</w:t>
            </w:r>
          </w:p>
        </w:tc>
        <w:tc>
          <w:tcPr>
            <w:tcW w:w="2041" w:type="dxa"/>
            <w:shd w:val="clear" w:color="auto" w:fill="FFFFFF" w:themeFill="background1"/>
          </w:tcPr>
          <w:p w14:paraId="405BB820" w14:textId="3D89EF7C" w:rsidR="003434B0" w:rsidRPr="007837CC" w:rsidRDefault="00263EAD" w:rsidP="00E556DC">
            <w:pPr>
              <w:spacing w:before="60" w:after="0" w:line="276" w:lineRule="auto"/>
              <w:rPr>
                <w:rFonts w:cs="Calibri"/>
                <w:b/>
                <w:color w:val="FF0000"/>
                <w:sz w:val="18"/>
                <w:szCs w:val="18"/>
              </w:rPr>
            </w:pPr>
            <w:r w:rsidRPr="007837CC">
              <w:rPr>
                <w:rFonts w:cs="Calibri"/>
                <w:b/>
                <w:color w:val="FF0000"/>
                <w:sz w:val="18"/>
                <w:szCs w:val="18"/>
              </w:rPr>
              <w:t>–</w:t>
            </w:r>
          </w:p>
          <w:p w14:paraId="6F419573" w14:textId="74527B35" w:rsidR="003434B0" w:rsidRPr="007837CC" w:rsidRDefault="003434B0" w:rsidP="00E556DC">
            <w:pPr>
              <w:pStyle w:val="TableText"/>
              <w:rPr>
                <w:rFonts w:cs="Calibri"/>
                <w:szCs w:val="18"/>
              </w:rPr>
            </w:pPr>
            <w:r w:rsidRPr="007837CC">
              <w:rPr>
                <w:rFonts w:cs="Calibri"/>
                <w:szCs w:val="18"/>
              </w:rPr>
              <w:t>Some risk of regulatory change in future due to non-linear approach</w:t>
            </w:r>
            <w:r w:rsidR="002C5DF6">
              <w:rPr>
                <w:rFonts w:cs="Calibri"/>
                <w:szCs w:val="18"/>
              </w:rPr>
              <w:t>.</w:t>
            </w:r>
          </w:p>
          <w:p w14:paraId="38C7084A" w14:textId="379333AF" w:rsidR="003434B0" w:rsidRPr="007837CC" w:rsidRDefault="003434B0" w:rsidP="00E556DC">
            <w:pPr>
              <w:pStyle w:val="TableText"/>
              <w:rPr>
                <w:rFonts w:cs="Calibri"/>
                <w:szCs w:val="18"/>
              </w:rPr>
            </w:pPr>
            <w:r w:rsidRPr="007837CC">
              <w:rPr>
                <w:rFonts w:cs="Calibri"/>
                <w:szCs w:val="18"/>
              </w:rPr>
              <w:t>Signalled change several years in advance</w:t>
            </w:r>
            <w:r w:rsidR="002C5DF6">
              <w:rPr>
                <w:rFonts w:cs="Calibri"/>
                <w:szCs w:val="18"/>
              </w:rPr>
              <w:t>.</w:t>
            </w:r>
          </w:p>
        </w:tc>
        <w:tc>
          <w:tcPr>
            <w:tcW w:w="1758" w:type="dxa"/>
            <w:shd w:val="clear" w:color="auto" w:fill="FFFFFF" w:themeFill="background1"/>
          </w:tcPr>
          <w:p w14:paraId="30EFF83A" w14:textId="5276CDF1" w:rsidR="00783E66" w:rsidRPr="007837CC" w:rsidRDefault="00263EAD" w:rsidP="00E556DC">
            <w:pPr>
              <w:spacing w:before="60" w:after="0" w:line="276" w:lineRule="auto"/>
              <w:rPr>
                <w:rFonts w:cs="Calibri"/>
                <w:b/>
                <w:color w:val="FF0000"/>
                <w:sz w:val="18"/>
                <w:szCs w:val="18"/>
              </w:rPr>
            </w:pPr>
            <w:r w:rsidRPr="007837CC">
              <w:rPr>
                <w:rFonts w:cs="Calibri"/>
                <w:b/>
                <w:color w:val="FF0000"/>
                <w:sz w:val="18"/>
                <w:szCs w:val="18"/>
              </w:rPr>
              <w:t>–</w:t>
            </w:r>
          </w:p>
          <w:p w14:paraId="5D49DD9C" w14:textId="4287E564" w:rsidR="003434B0" w:rsidRPr="007837CC" w:rsidRDefault="003434B0" w:rsidP="00E556DC">
            <w:pPr>
              <w:pStyle w:val="TableText"/>
              <w:rPr>
                <w:rFonts w:cs="Calibri"/>
                <w:szCs w:val="18"/>
              </w:rPr>
            </w:pPr>
            <w:r w:rsidRPr="007837CC">
              <w:rPr>
                <w:rFonts w:cs="Calibri"/>
                <w:szCs w:val="18"/>
              </w:rPr>
              <w:t>Some risk of regulatory change in future as reserve price close to recently observed market prices</w:t>
            </w:r>
            <w:r w:rsidR="002C5DF6">
              <w:rPr>
                <w:rFonts w:cs="Calibri"/>
                <w:szCs w:val="18"/>
              </w:rPr>
              <w:t>.</w:t>
            </w:r>
          </w:p>
          <w:p w14:paraId="4695DDF7" w14:textId="5D9557F6" w:rsidR="003434B0" w:rsidRPr="007837CC" w:rsidRDefault="003434B0" w:rsidP="00E556DC">
            <w:pPr>
              <w:pStyle w:val="TableText"/>
              <w:rPr>
                <w:rFonts w:cs="Calibri"/>
                <w:szCs w:val="18"/>
                <w:lang w:eastAsia="en-AU"/>
              </w:rPr>
            </w:pPr>
            <w:r w:rsidRPr="007837CC">
              <w:rPr>
                <w:rFonts w:cs="Calibri"/>
                <w:szCs w:val="18"/>
              </w:rPr>
              <w:t xml:space="preserve">Abrupt and significant increase in </w:t>
            </w:r>
            <w:r w:rsidRPr="007837CC">
              <w:rPr>
                <w:rFonts w:cs="Calibri"/>
                <w:szCs w:val="18"/>
              </w:rPr>
              <w:lastRenderedPageBreak/>
              <w:t>auction reserve price level would undermine regulatory certainty</w:t>
            </w:r>
            <w:r w:rsidR="002C5DF6">
              <w:rPr>
                <w:rFonts w:cs="Calibri"/>
                <w:szCs w:val="18"/>
              </w:rPr>
              <w:t>.</w:t>
            </w:r>
          </w:p>
        </w:tc>
        <w:tc>
          <w:tcPr>
            <w:tcW w:w="1814" w:type="dxa"/>
            <w:shd w:val="clear" w:color="auto" w:fill="FFFFFF" w:themeFill="background1"/>
          </w:tcPr>
          <w:p w14:paraId="1F12F159" w14:textId="0E7767AF" w:rsidR="003434B0" w:rsidRPr="007837CC" w:rsidRDefault="00263EAD" w:rsidP="00E556DC">
            <w:pPr>
              <w:spacing w:before="60" w:after="0" w:line="276" w:lineRule="auto"/>
              <w:rPr>
                <w:rFonts w:cs="Calibri"/>
                <w:b/>
                <w:bCs/>
                <w:color w:val="FF0000"/>
                <w:sz w:val="18"/>
                <w:szCs w:val="18"/>
              </w:rPr>
            </w:pPr>
            <w:r w:rsidRPr="007837CC">
              <w:rPr>
                <w:rFonts w:cs="Calibri"/>
                <w:b/>
                <w:bCs/>
                <w:color w:val="FF0000"/>
                <w:sz w:val="18"/>
                <w:szCs w:val="18"/>
              </w:rPr>
              <w:lastRenderedPageBreak/>
              <w:t>–</w:t>
            </w:r>
            <w:r w:rsidR="003434B0" w:rsidRPr="007837CC">
              <w:rPr>
                <w:rFonts w:cs="Calibri"/>
                <w:b/>
                <w:bCs/>
                <w:color w:val="FF0000"/>
                <w:sz w:val="18"/>
                <w:szCs w:val="18"/>
              </w:rPr>
              <w:t xml:space="preserve"> </w:t>
            </w:r>
            <w:r w:rsidRPr="007837CC">
              <w:rPr>
                <w:rFonts w:cs="Calibri"/>
                <w:b/>
                <w:bCs/>
                <w:color w:val="FF0000"/>
                <w:sz w:val="18"/>
                <w:szCs w:val="18"/>
              </w:rPr>
              <w:t>–</w:t>
            </w:r>
          </w:p>
          <w:p w14:paraId="57A20D18" w14:textId="54FE8312" w:rsidR="003434B0" w:rsidRPr="007837CC" w:rsidRDefault="009D26C5" w:rsidP="00E556DC">
            <w:pPr>
              <w:pStyle w:val="TableText"/>
              <w:rPr>
                <w:rFonts w:cs="Calibri"/>
                <w:szCs w:val="18"/>
                <w:lang w:eastAsia="en-GB"/>
              </w:rPr>
            </w:pPr>
            <w:r w:rsidRPr="007837CC">
              <w:rPr>
                <w:rFonts w:cs="Calibri"/>
                <w:szCs w:val="18"/>
              </w:rPr>
              <w:t>High</w:t>
            </w:r>
            <w:r w:rsidR="0066565C" w:rsidRPr="007837CC">
              <w:rPr>
                <w:rFonts w:cs="Calibri"/>
                <w:szCs w:val="18"/>
              </w:rPr>
              <w:t>er</w:t>
            </w:r>
            <w:r w:rsidR="003434B0" w:rsidRPr="007837CC">
              <w:rPr>
                <w:rFonts w:cs="Calibri"/>
                <w:szCs w:val="18"/>
              </w:rPr>
              <w:t xml:space="preserve"> risk of regulatory change in future as reserve price close to recently observed market prices</w:t>
            </w:r>
            <w:r w:rsidR="002C5DF6">
              <w:rPr>
                <w:rFonts w:cs="Calibri"/>
                <w:szCs w:val="18"/>
              </w:rPr>
              <w:t>.</w:t>
            </w:r>
            <w:r w:rsidR="003434B0" w:rsidRPr="007837CC">
              <w:rPr>
                <w:rFonts w:cs="Calibri"/>
                <w:szCs w:val="18"/>
                <w:lang w:eastAsia="en-GB"/>
              </w:rPr>
              <w:t xml:space="preserve"> </w:t>
            </w:r>
          </w:p>
          <w:p w14:paraId="70C6E4EF" w14:textId="0AB7F333" w:rsidR="003434B0" w:rsidRPr="007837CC" w:rsidRDefault="003434B0" w:rsidP="00E556DC">
            <w:pPr>
              <w:pStyle w:val="TableText"/>
              <w:rPr>
                <w:rFonts w:cs="Calibri"/>
                <w:b/>
                <w:szCs w:val="18"/>
                <w:lang w:eastAsia="en-AU"/>
              </w:rPr>
            </w:pPr>
            <w:r w:rsidRPr="007837CC">
              <w:rPr>
                <w:rFonts w:cs="Calibri"/>
                <w:szCs w:val="18"/>
                <w:lang w:eastAsia="en-GB"/>
              </w:rPr>
              <w:t xml:space="preserve">Abrupt and precipitous increase </w:t>
            </w:r>
            <w:r w:rsidRPr="007837CC">
              <w:rPr>
                <w:rFonts w:cs="Calibri"/>
                <w:szCs w:val="18"/>
                <w:lang w:eastAsia="en-GB"/>
              </w:rPr>
              <w:lastRenderedPageBreak/>
              <w:t xml:space="preserve">in the </w:t>
            </w:r>
            <w:r w:rsidRPr="007837CC">
              <w:rPr>
                <w:rFonts w:cs="Calibri"/>
                <w:szCs w:val="18"/>
              </w:rPr>
              <w:t>auction reserve price</w:t>
            </w:r>
            <w:r w:rsidRPr="007837CC">
              <w:rPr>
                <w:rFonts w:cs="Calibri"/>
                <w:szCs w:val="18"/>
                <w:lang w:eastAsia="en-GB"/>
              </w:rPr>
              <w:t xml:space="preserve"> level would undermine reg</w:t>
            </w:r>
            <w:r w:rsidR="002C5DF6">
              <w:rPr>
                <w:rFonts w:cs="Calibri"/>
                <w:szCs w:val="18"/>
                <w:lang w:eastAsia="en-GB"/>
              </w:rPr>
              <w:t>ulatory</w:t>
            </w:r>
            <w:r w:rsidRPr="007837CC">
              <w:rPr>
                <w:rFonts w:cs="Calibri"/>
                <w:szCs w:val="18"/>
                <w:lang w:eastAsia="en-GB"/>
              </w:rPr>
              <w:t xml:space="preserve"> certainty</w:t>
            </w:r>
            <w:r w:rsidR="002C5DF6">
              <w:rPr>
                <w:rFonts w:cs="Calibri"/>
                <w:szCs w:val="18"/>
                <w:lang w:eastAsia="en-GB"/>
              </w:rPr>
              <w:t>.</w:t>
            </w:r>
          </w:p>
        </w:tc>
      </w:tr>
      <w:tr w:rsidR="003434B0" w:rsidRPr="007837CC" w14:paraId="7FA71D11" w14:textId="63AFF692" w:rsidTr="0021404C">
        <w:tc>
          <w:tcPr>
            <w:tcW w:w="1814" w:type="dxa"/>
            <w:shd w:val="clear" w:color="auto" w:fill="FFFFFF" w:themeFill="background1"/>
          </w:tcPr>
          <w:p w14:paraId="58C43F79" w14:textId="77777777" w:rsidR="003434B0" w:rsidRPr="007837CC" w:rsidRDefault="003434B0" w:rsidP="0021404C">
            <w:pPr>
              <w:pStyle w:val="TableText"/>
              <w:keepNext/>
              <w:spacing w:before="40" w:after="40"/>
              <w:rPr>
                <w:rFonts w:cs="Calibri"/>
                <w:bCs/>
                <w:color w:val="000000"/>
                <w:szCs w:val="18"/>
              </w:rPr>
            </w:pPr>
            <w:r w:rsidRPr="007837CC">
              <w:rPr>
                <w:rFonts w:cs="Calibri"/>
                <w:szCs w:val="18"/>
              </w:rPr>
              <w:lastRenderedPageBreak/>
              <w:t>Supports consistency of NZU prices with the level and trajectory of international emissions prices</w:t>
            </w:r>
          </w:p>
        </w:tc>
        <w:tc>
          <w:tcPr>
            <w:tcW w:w="1191" w:type="dxa"/>
            <w:shd w:val="clear" w:color="auto" w:fill="FFFFFF" w:themeFill="background1"/>
          </w:tcPr>
          <w:p w14:paraId="7BC3ED7B" w14:textId="77777777" w:rsidR="003434B0" w:rsidRPr="007837CC" w:rsidRDefault="003434B0" w:rsidP="003434B0">
            <w:pPr>
              <w:pStyle w:val="TableText"/>
              <w:spacing w:before="40"/>
              <w:rPr>
                <w:rFonts w:cs="Calibri"/>
                <w:b/>
                <w:bCs/>
                <w:szCs w:val="18"/>
              </w:rPr>
            </w:pPr>
            <w:r w:rsidRPr="007837CC">
              <w:rPr>
                <w:rFonts w:cs="Calibri"/>
                <w:b/>
                <w:bCs/>
                <w:szCs w:val="18"/>
              </w:rPr>
              <w:t>0</w:t>
            </w:r>
          </w:p>
        </w:tc>
        <w:tc>
          <w:tcPr>
            <w:tcW w:w="2041" w:type="dxa"/>
            <w:shd w:val="clear" w:color="auto" w:fill="FFFFFF" w:themeFill="background1"/>
          </w:tcPr>
          <w:p w14:paraId="205FF9B0" w14:textId="77777777" w:rsidR="001A2EC5" w:rsidRPr="007837CC" w:rsidRDefault="001A2EC5" w:rsidP="00E556DC">
            <w:pPr>
              <w:spacing w:before="40" w:after="0" w:line="276" w:lineRule="auto"/>
              <w:rPr>
                <w:rFonts w:cs="Calibri"/>
                <w:b/>
                <w:color w:val="00B050"/>
                <w:sz w:val="18"/>
                <w:szCs w:val="18"/>
              </w:rPr>
            </w:pPr>
            <w:r w:rsidRPr="007837CC">
              <w:rPr>
                <w:rFonts w:cs="Calibri"/>
                <w:b/>
                <w:color w:val="00B050"/>
                <w:sz w:val="18"/>
                <w:szCs w:val="18"/>
              </w:rPr>
              <w:t>+</w:t>
            </w:r>
          </w:p>
          <w:p w14:paraId="267A706F" w14:textId="1C446E3E" w:rsidR="003434B0" w:rsidRPr="007837CC" w:rsidRDefault="001A2EC5" w:rsidP="00E556DC">
            <w:pPr>
              <w:pStyle w:val="TableText"/>
              <w:spacing w:before="40"/>
              <w:rPr>
                <w:rFonts w:cs="Calibri"/>
                <w:b/>
                <w:szCs w:val="18"/>
              </w:rPr>
            </w:pPr>
            <w:r w:rsidRPr="007837CC">
              <w:rPr>
                <w:rFonts w:cs="Calibri"/>
                <w:szCs w:val="18"/>
              </w:rPr>
              <w:t xml:space="preserve">Remains well below current and expected international </w:t>
            </w:r>
            <w:proofErr w:type="gramStart"/>
            <w:r w:rsidRPr="007837CC">
              <w:rPr>
                <w:rFonts w:cs="Calibri"/>
                <w:szCs w:val="18"/>
              </w:rPr>
              <w:t>prices, but</w:t>
            </w:r>
            <w:proofErr w:type="gramEnd"/>
            <w:r w:rsidRPr="007837CC">
              <w:rPr>
                <w:rFonts w:cs="Calibri"/>
                <w:szCs w:val="18"/>
              </w:rPr>
              <w:t xml:space="preserve"> corrected over time</w:t>
            </w:r>
            <w:r w:rsidR="002C5DF6">
              <w:rPr>
                <w:rFonts w:cs="Calibri"/>
                <w:szCs w:val="18"/>
              </w:rPr>
              <w:t>.</w:t>
            </w:r>
          </w:p>
        </w:tc>
        <w:tc>
          <w:tcPr>
            <w:tcW w:w="1758" w:type="dxa"/>
            <w:shd w:val="clear" w:color="auto" w:fill="FFFFFF" w:themeFill="background1"/>
          </w:tcPr>
          <w:p w14:paraId="011D5DC3" w14:textId="77777777" w:rsidR="00EE39A4" w:rsidRPr="007837CC" w:rsidRDefault="00EE39A4" w:rsidP="0021404C">
            <w:pPr>
              <w:spacing w:before="40" w:after="40" w:line="276" w:lineRule="auto"/>
              <w:rPr>
                <w:rFonts w:cs="Calibri"/>
                <w:b/>
                <w:color w:val="00B050"/>
                <w:sz w:val="18"/>
                <w:szCs w:val="18"/>
              </w:rPr>
            </w:pPr>
            <w:r w:rsidRPr="007837CC">
              <w:rPr>
                <w:rFonts w:cs="Calibri"/>
                <w:b/>
                <w:color w:val="00B050"/>
                <w:sz w:val="18"/>
                <w:szCs w:val="18"/>
              </w:rPr>
              <w:t>++</w:t>
            </w:r>
          </w:p>
          <w:p w14:paraId="423829C4" w14:textId="7068C23B" w:rsidR="003434B0" w:rsidRPr="007837CC" w:rsidRDefault="00EE39A4" w:rsidP="00EE39A4">
            <w:pPr>
              <w:pStyle w:val="TableText"/>
              <w:spacing w:before="0" w:after="40"/>
              <w:rPr>
                <w:rFonts w:cs="Calibri"/>
                <w:bCs/>
                <w:szCs w:val="18"/>
                <w:lang w:eastAsia="en-AU"/>
              </w:rPr>
            </w:pPr>
            <w:r w:rsidRPr="007837CC">
              <w:rPr>
                <w:rFonts w:cs="Calibri"/>
                <w:szCs w:val="18"/>
              </w:rPr>
              <w:t xml:space="preserve">Closer to </w:t>
            </w:r>
            <w:r w:rsidRPr="007837CC">
              <w:rPr>
                <w:rFonts w:cs="Calibri"/>
                <w:bCs/>
                <w:szCs w:val="18"/>
              </w:rPr>
              <w:t>current and expected international prices</w:t>
            </w:r>
            <w:r w:rsidR="002C5DF6">
              <w:rPr>
                <w:rFonts w:cs="Calibri"/>
                <w:bCs/>
                <w:szCs w:val="18"/>
              </w:rPr>
              <w:t>.</w:t>
            </w:r>
          </w:p>
        </w:tc>
        <w:tc>
          <w:tcPr>
            <w:tcW w:w="1814" w:type="dxa"/>
            <w:shd w:val="clear" w:color="auto" w:fill="FFFFFF" w:themeFill="background1"/>
          </w:tcPr>
          <w:p w14:paraId="31C76F2B" w14:textId="77777777" w:rsidR="00EE39A4" w:rsidRPr="007837CC" w:rsidRDefault="00EE39A4" w:rsidP="0021404C">
            <w:pPr>
              <w:spacing w:before="40" w:after="40" w:line="276" w:lineRule="auto"/>
              <w:rPr>
                <w:rFonts w:cs="Calibri"/>
                <w:b/>
                <w:color w:val="00B050"/>
                <w:sz w:val="18"/>
                <w:szCs w:val="18"/>
              </w:rPr>
            </w:pPr>
            <w:r w:rsidRPr="007837CC">
              <w:rPr>
                <w:rFonts w:cs="Calibri"/>
                <w:b/>
                <w:color w:val="00B050"/>
                <w:sz w:val="18"/>
                <w:szCs w:val="18"/>
              </w:rPr>
              <w:t>++</w:t>
            </w:r>
          </w:p>
          <w:p w14:paraId="791A76CD" w14:textId="138E466F" w:rsidR="003434B0" w:rsidRPr="007837CC" w:rsidRDefault="00EE39A4" w:rsidP="00EE39A4">
            <w:pPr>
              <w:pStyle w:val="TableText"/>
              <w:spacing w:before="0" w:after="40"/>
              <w:rPr>
                <w:rFonts w:cs="Calibri"/>
                <w:b/>
                <w:szCs w:val="18"/>
                <w:lang w:eastAsia="en-AU"/>
              </w:rPr>
            </w:pPr>
            <w:r w:rsidRPr="007837CC">
              <w:rPr>
                <w:rFonts w:cs="Calibri"/>
                <w:szCs w:val="18"/>
              </w:rPr>
              <w:t xml:space="preserve">Closer to </w:t>
            </w:r>
            <w:r w:rsidRPr="007837CC">
              <w:rPr>
                <w:rFonts w:cs="Calibri"/>
                <w:bCs/>
                <w:szCs w:val="18"/>
              </w:rPr>
              <w:t>current and expected international prices</w:t>
            </w:r>
            <w:r w:rsidR="002C5DF6">
              <w:rPr>
                <w:rFonts w:cs="Calibri"/>
                <w:bCs/>
                <w:szCs w:val="18"/>
              </w:rPr>
              <w:t>.</w:t>
            </w:r>
          </w:p>
        </w:tc>
      </w:tr>
      <w:tr w:rsidR="003434B0" w:rsidRPr="007837CC" w14:paraId="5A412349" w14:textId="77777777" w:rsidTr="0021404C">
        <w:tc>
          <w:tcPr>
            <w:tcW w:w="1814" w:type="dxa"/>
            <w:shd w:val="clear" w:color="auto" w:fill="FFFFFF" w:themeFill="background1"/>
          </w:tcPr>
          <w:p w14:paraId="3EE35263" w14:textId="623D9490" w:rsidR="003434B0" w:rsidRPr="007837CC" w:rsidRDefault="003434B0" w:rsidP="003434B0">
            <w:pPr>
              <w:pStyle w:val="TableText"/>
              <w:spacing w:before="40" w:after="40"/>
              <w:rPr>
                <w:rFonts w:cs="Calibri"/>
                <w:szCs w:val="18"/>
              </w:rPr>
            </w:pPr>
            <w:r w:rsidRPr="007837CC">
              <w:rPr>
                <w:rFonts w:cs="Calibri"/>
                <w:szCs w:val="18"/>
              </w:rPr>
              <w:t>Considers the impact of emissions prices on households and the economy, and inflation</w:t>
            </w:r>
          </w:p>
        </w:tc>
        <w:tc>
          <w:tcPr>
            <w:tcW w:w="1191" w:type="dxa"/>
            <w:shd w:val="clear" w:color="auto" w:fill="FFFFFF" w:themeFill="background1"/>
          </w:tcPr>
          <w:p w14:paraId="31DC66A0" w14:textId="307BD174" w:rsidR="003434B0" w:rsidRPr="007837CC" w:rsidRDefault="003434B0" w:rsidP="003434B0">
            <w:pPr>
              <w:pStyle w:val="TableText"/>
              <w:spacing w:before="40" w:after="40"/>
              <w:rPr>
                <w:rFonts w:cs="Calibri"/>
                <w:b/>
                <w:szCs w:val="18"/>
                <w:lang w:eastAsia="en-AU"/>
              </w:rPr>
            </w:pPr>
            <w:r w:rsidRPr="007837CC">
              <w:rPr>
                <w:rFonts w:cs="Calibri"/>
                <w:b/>
                <w:szCs w:val="18"/>
                <w:lang w:eastAsia="en-AU"/>
              </w:rPr>
              <w:t>0</w:t>
            </w:r>
          </w:p>
        </w:tc>
        <w:tc>
          <w:tcPr>
            <w:tcW w:w="2041" w:type="dxa"/>
            <w:shd w:val="clear" w:color="auto" w:fill="FFFFFF" w:themeFill="background1"/>
          </w:tcPr>
          <w:p w14:paraId="37008750" w14:textId="77777777" w:rsidR="00796A10" w:rsidRPr="007837CC" w:rsidRDefault="00796A10" w:rsidP="00E556DC">
            <w:pPr>
              <w:spacing w:before="40" w:after="0" w:line="276" w:lineRule="auto"/>
              <w:rPr>
                <w:rFonts w:cs="Calibri"/>
                <w:b/>
                <w:bCs/>
                <w:sz w:val="18"/>
                <w:szCs w:val="18"/>
              </w:rPr>
            </w:pPr>
            <w:r w:rsidRPr="007837CC">
              <w:rPr>
                <w:rFonts w:cs="Calibri"/>
                <w:b/>
                <w:bCs/>
                <w:sz w:val="18"/>
                <w:szCs w:val="18"/>
              </w:rPr>
              <w:t>0</w:t>
            </w:r>
          </w:p>
          <w:p w14:paraId="1F6E5E25" w14:textId="02778750" w:rsidR="00D7193E" w:rsidRPr="007837CC" w:rsidRDefault="009C7850" w:rsidP="00796A10">
            <w:pPr>
              <w:pStyle w:val="TableText"/>
              <w:spacing w:before="0"/>
              <w:rPr>
                <w:rFonts w:cs="Calibri"/>
                <w:bCs/>
                <w:szCs w:val="18"/>
              </w:rPr>
            </w:pPr>
            <w:r w:rsidRPr="007837CC">
              <w:rPr>
                <w:rFonts w:cs="Calibri"/>
                <w:bCs/>
                <w:szCs w:val="18"/>
              </w:rPr>
              <w:t>R</w:t>
            </w:r>
            <w:r w:rsidR="00D7193E" w:rsidRPr="007837CC">
              <w:rPr>
                <w:rFonts w:cs="Calibri"/>
                <w:bCs/>
                <w:szCs w:val="18"/>
              </w:rPr>
              <w:t>isk to abatement investments from falling prices</w:t>
            </w:r>
            <w:r w:rsidR="002C5DF6">
              <w:rPr>
                <w:rFonts w:cs="Calibri"/>
                <w:bCs/>
                <w:szCs w:val="18"/>
              </w:rPr>
              <w:t>.</w:t>
            </w:r>
          </w:p>
          <w:p w14:paraId="6F59C69D" w14:textId="7B8DBEC2" w:rsidR="003434B0" w:rsidRPr="007837CC" w:rsidRDefault="00776B72" w:rsidP="00796A10">
            <w:pPr>
              <w:pStyle w:val="TableText"/>
              <w:spacing w:before="0"/>
              <w:rPr>
                <w:rFonts w:cs="Calibri"/>
                <w:szCs w:val="18"/>
              </w:rPr>
            </w:pPr>
            <w:r w:rsidRPr="007837CC">
              <w:rPr>
                <w:rFonts w:cs="Calibri"/>
                <w:bCs/>
                <w:szCs w:val="18"/>
              </w:rPr>
              <w:t>N</w:t>
            </w:r>
            <w:r w:rsidR="00796A10" w:rsidRPr="007837CC">
              <w:rPr>
                <w:rFonts w:cs="Calibri"/>
                <w:bCs/>
                <w:szCs w:val="18"/>
              </w:rPr>
              <w:t>o additional likely inflationary impact</w:t>
            </w:r>
            <w:r w:rsidR="002C5DF6">
              <w:rPr>
                <w:rFonts w:cs="Calibri"/>
                <w:bCs/>
                <w:szCs w:val="18"/>
              </w:rPr>
              <w:t>.</w:t>
            </w:r>
          </w:p>
        </w:tc>
        <w:tc>
          <w:tcPr>
            <w:tcW w:w="1758" w:type="dxa"/>
            <w:shd w:val="clear" w:color="auto" w:fill="FFFFFF" w:themeFill="background1"/>
          </w:tcPr>
          <w:p w14:paraId="44985FF5" w14:textId="08C69B5D" w:rsidR="00DA697D" w:rsidRPr="007837CC" w:rsidRDefault="00263EAD" w:rsidP="00E556DC">
            <w:pPr>
              <w:spacing w:before="40" w:after="0" w:line="276" w:lineRule="auto"/>
              <w:rPr>
                <w:rFonts w:cs="Calibri"/>
                <w:b/>
                <w:bCs/>
                <w:color w:val="FF0000"/>
                <w:sz w:val="18"/>
                <w:szCs w:val="18"/>
              </w:rPr>
            </w:pPr>
            <w:r w:rsidRPr="007837CC">
              <w:rPr>
                <w:rFonts w:cs="Calibri"/>
                <w:b/>
                <w:bCs/>
                <w:color w:val="FF0000"/>
                <w:sz w:val="18"/>
                <w:szCs w:val="18"/>
              </w:rPr>
              <w:t>–</w:t>
            </w:r>
          </w:p>
          <w:p w14:paraId="53A90BDF" w14:textId="0B968C32" w:rsidR="009D7681" w:rsidRPr="007837CC" w:rsidRDefault="009D7681" w:rsidP="00796A10">
            <w:pPr>
              <w:pStyle w:val="TableText"/>
              <w:spacing w:before="0"/>
              <w:rPr>
                <w:rFonts w:cs="Calibri"/>
                <w:bCs/>
                <w:szCs w:val="18"/>
              </w:rPr>
            </w:pPr>
            <w:r w:rsidRPr="007837CC">
              <w:rPr>
                <w:rFonts w:cs="Calibri"/>
                <w:szCs w:val="18"/>
              </w:rPr>
              <w:t>High signal for land-use change to forestry</w:t>
            </w:r>
            <w:r w:rsidR="002C5DF6">
              <w:rPr>
                <w:rFonts w:cs="Calibri"/>
                <w:szCs w:val="18"/>
              </w:rPr>
              <w:t>.</w:t>
            </w:r>
          </w:p>
          <w:p w14:paraId="6225619B" w14:textId="4B540D63" w:rsidR="003434B0" w:rsidRPr="007837CC" w:rsidRDefault="00776B72" w:rsidP="00796A10">
            <w:pPr>
              <w:pStyle w:val="TableText"/>
              <w:spacing w:before="0"/>
              <w:rPr>
                <w:rFonts w:cs="Calibri"/>
                <w:bCs/>
                <w:szCs w:val="18"/>
                <w:lang w:eastAsia="en-AU"/>
              </w:rPr>
            </w:pPr>
            <w:r w:rsidRPr="007837CC">
              <w:rPr>
                <w:rFonts w:cs="Calibri"/>
                <w:bCs/>
                <w:szCs w:val="18"/>
              </w:rPr>
              <w:t>N</w:t>
            </w:r>
            <w:r w:rsidR="00796A10" w:rsidRPr="007837CC">
              <w:rPr>
                <w:rFonts w:cs="Calibri"/>
                <w:bCs/>
                <w:szCs w:val="18"/>
              </w:rPr>
              <w:t>o additional likely inflationary impact</w:t>
            </w:r>
            <w:r w:rsidR="002C5DF6">
              <w:rPr>
                <w:rFonts w:cs="Calibri"/>
                <w:bCs/>
                <w:szCs w:val="18"/>
              </w:rPr>
              <w:t>.</w:t>
            </w:r>
          </w:p>
        </w:tc>
        <w:tc>
          <w:tcPr>
            <w:tcW w:w="1814" w:type="dxa"/>
            <w:shd w:val="clear" w:color="auto" w:fill="FFFFFF" w:themeFill="background1"/>
          </w:tcPr>
          <w:p w14:paraId="621E6E5D" w14:textId="616ACB72" w:rsidR="00DA697D" w:rsidRPr="007837CC" w:rsidRDefault="00263EAD" w:rsidP="00E556DC">
            <w:pPr>
              <w:spacing w:before="40" w:after="0" w:line="276" w:lineRule="auto"/>
              <w:rPr>
                <w:rFonts w:cs="Calibri"/>
                <w:b/>
                <w:bCs/>
                <w:color w:val="FF0000"/>
                <w:sz w:val="18"/>
                <w:szCs w:val="18"/>
              </w:rPr>
            </w:pPr>
            <w:r w:rsidRPr="007837CC">
              <w:rPr>
                <w:rFonts w:cs="Calibri"/>
                <w:b/>
                <w:bCs/>
                <w:color w:val="FF0000"/>
                <w:sz w:val="18"/>
                <w:szCs w:val="18"/>
              </w:rPr>
              <w:t>–</w:t>
            </w:r>
          </w:p>
          <w:p w14:paraId="117B0194" w14:textId="0FED8F58" w:rsidR="009D7681" w:rsidRPr="007837CC" w:rsidRDefault="009D7681" w:rsidP="009D7681">
            <w:pPr>
              <w:pStyle w:val="TableText"/>
              <w:spacing w:before="0"/>
              <w:rPr>
                <w:rFonts w:cs="Calibri"/>
                <w:bCs/>
                <w:szCs w:val="18"/>
              </w:rPr>
            </w:pPr>
            <w:r w:rsidRPr="007837CC">
              <w:rPr>
                <w:rFonts w:cs="Calibri"/>
                <w:szCs w:val="18"/>
              </w:rPr>
              <w:t>High signal for land-use change to forestry</w:t>
            </w:r>
            <w:r w:rsidR="002C5DF6">
              <w:rPr>
                <w:rFonts w:cs="Calibri"/>
                <w:szCs w:val="18"/>
              </w:rPr>
              <w:t>.</w:t>
            </w:r>
          </w:p>
          <w:p w14:paraId="54F7F8B9" w14:textId="53A03457" w:rsidR="003434B0" w:rsidRPr="007837CC" w:rsidRDefault="009D7681" w:rsidP="009D7681">
            <w:pPr>
              <w:pStyle w:val="TableText"/>
              <w:spacing w:before="0"/>
              <w:rPr>
                <w:rFonts w:cs="Calibri"/>
                <w:bCs/>
                <w:szCs w:val="18"/>
                <w:lang w:eastAsia="en-AU"/>
              </w:rPr>
            </w:pPr>
            <w:r w:rsidRPr="007837CC">
              <w:rPr>
                <w:rFonts w:cs="Calibri"/>
                <w:bCs/>
                <w:szCs w:val="18"/>
              </w:rPr>
              <w:t>No additional likely inflationary impact</w:t>
            </w:r>
            <w:r w:rsidR="002C5DF6">
              <w:rPr>
                <w:rFonts w:cs="Calibri"/>
                <w:bCs/>
                <w:szCs w:val="18"/>
              </w:rPr>
              <w:t>.</w:t>
            </w:r>
          </w:p>
        </w:tc>
      </w:tr>
      <w:tr w:rsidR="001E135F" w:rsidRPr="007837CC" w14:paraId="51B7C39C" w14:textId="37F4F30E" w:rsidTr="0021404C">
        <w:tc>
          <w:tcPr>
            <w:tcW w:w="1814" w:type="dxa"/>
            <w:shd w:val="clear" w:color="auto" w:fill="FFFFFF" w:themeFill="background1"/>
          </w:tcPr>
          <w:p w14:paraId="4912FF59" w14:textId="77777777" w:rsidR="001E135F" w:rsidRPr="007837CC" w:rsidRDefault="001E135F" w:rsidP="001E135F">
            <w:pPr>
              <w:pStyle w:val="TableText"/>
              <w:spacing w:before="40" w:after="40"/>
              <w:rPr>
                <w:rFonts w:cs="Calibri"/>
                <w:b/>
                <w:color w:val="000000"/>
                <w:szCs w:val="18"/>
              </w:rPr>
            </w:pPr>
            <w:r w:rsidRPr="007837CC">
              <w:rPr>
                <w:rFonts w:cs="Calibri"/>
                <w:b/>
                <w:color w:val="000000"/>
                <w:szCs w:val="18"/>
              </w:rPr>
              <w:t>Overall assessment</w:t>
            </w:r>
          </w:p>
        </w:tc>
        <w:tc>
          <w:tcPr>
            <w:tcW w:w="1191" w:type="dxa"/>
            <w:shd w:val="clear" w:color="auto" w:fill="FFFFFF" w:themeFill="background1"/>
          </w:tcPr>
          <w:p w14:paraId="78DAE201" w14:textId="2EBCFDDE" w:rsidR="001E135F" w:rsidRPr="007837CC" w:rsidRDefault="001E135F" w:rsidP="001E135F">
            <w:pPr>
              <w:pStyle w:val="TableText"/>
              <w:spacing w:before="40" w:after="40"/>
              <w:rPr>
                <w:rFonts w:cs="Calibri"/>
                <w:b/>
                <w:bCs/>
                <w:szCs w:val="18"/>
              </w:rPr>
            </w:pPr>
            <w:r w:rsidRPr="007837CC">
              <w:rPr>
                <w:rFonts w:cs="Calibri"/>
                <w:b/>
                <w:bCs/>
                <w:szCs w:val="18"/>
              </w:rPr>
              <w:t>0</w:t>
            </w:r>
          </w:p>
        </w:tc>
        <w:tc>
          <w:tcPr>
            <w:tcW w:w="2041" w:type="dxa"/>
            <w:shd w:val="clear" w:color="auto" w:fill="FFFFFF" w:themeFill="background1"/>
          </w:tcPr>
          <w:p w14:paraId="001D370E" w14:textId="0C382705" w:rsidR="001E135F" w:rsidRPr="007837CC" w:rsidRDefault="001E135F" w:rsidP="00E556DC">
            <w:pPr>
              <w:spacing w:before="40" w:after="40" w:line="276" w:lineRule="auto"/>
              <w:rPr>
                <w:rFonts w:cs="Calibri"/>
                <w:b/>
                <w:color w:val="00B050"/>
                <w:sz w:val="18"/>
                <w:szCs w:val="18"/>
              </w:rPr>
            </w:pPr>
            <w:r w:rsidRPr="007837CC">
              <w:rPr>
                <w:rFonts w:cs="Calibri"/>
                <w:b/>
                <w:color w:val="00B050"/>
                <w:sz w:val="18"/>
                <w:szCs w:val="18"/>
              </w:rPr>
              <w:t>+</w:t>
            </w:r>
          </w:p>
        </w:tc>
        <w:tc>
          <w:tcPr>
            <w:tcW w:w="1758" w:type="dxa"/>
            <w:shd w:val="clear" w:color="auto" w:fill="FFFFFF" w:themeFill="background1"/>
          </w:tcPr>
          <w:p w14:paraId="7BD5BCC5" w14:textId="3872A5AD" w:rsidR="001E135F" w:rsidRPr="007837CC" w:rsidRDefault="001E135F" w:rsidP="00E556DC">
            <w:pPr>
              <w:spacing w:before="40" w:after="40" w:line="276" w:lineRule="auto"/>
              <w:rPr>
                <w:rFonts w:cs="Calibri"/>
                <w:b/>
                <w:color w:val="00B050"/>
                <w:sz w:val="18"/>
                <w:szCs w:val="18"/>
              </w:rPr>
            </w:pPr>
            <w:r w:rsidRPr="007837CC">
              <w:rPr>
                <w:rFonts w:cs="Calibri"/>
                <w:b/>
                <w:color w:val="00B050"/>
                <w:sz w:val="18"/>
                <w:szCs w:val="18"/>
              </w:rPr>
              <w:t>++</w:t>
            </w:r>
          </w:p>
        </w:tc>
        <w:tc>
          <w:tcPr>
            <w:tcW w:w="1814" w:type="dxa"/>
            <w:shd w:val="clear" w:color="auto" w:fill="FFFFFF" w:themeFill="background1"/>
          </w:tcPr>
          <w:p w14:paraId="3A3B5AA0" w14:textId="58855D9F" w:rsidR="001E135F" w:rsidRPr="007837CC" w:rsidRDefault="001E135F" w:rsidP="00E556DC">
            <w:pPr>
              <w:spacing w:before="40" w:after="40" w:line="276" w:lineRule="auto"/>
              <w:rPr>
                <w:rFonts w:cs="Calibri"/>
                <w:b/>
                <w:color w:val="00B050"/>
                <w:sz w:val="18"/>
                <w:szCs w:val="18"/>
              </w:rPr>
            </w:pPr>
            <w:r w:rsidRPr="007837CC">
              <w:rPr>
                <w:rFonts w:cs="Calibri"/>
                <w:b/>
                <w:color w:val="00B050"/>
                <w:sz w:val="18"/>
                <w:szCs w:val="18"/>
              </w:rPr>
              <w:t>+</w:t>
            </w:r>
          </w:p>
        </w:tc>
      </w:tr>
    </w:tbl>
    <w:p w14:paraId="1251B0C7" w14:textId="77777777" w:rsidR="00F214D3" w:rsidRPr="007837CC" w:rsidRDefault="00F214D3" w:rsidP="00EB0155">
      <w:pPr>
        <w:spacing w:before="0"/>
      </w:pP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F214D3" w:rsidRPr="007837CC" w14:paraId="43572533" w14:textId="77777777" w:rsidTr="00CE1496">
        <w:tc>
          <w:tcPr>
            <w:tcW w:w="0" w:type="auto"/>
            <w:shd w:val="clear" w:color="auto" w:fill="D2DDE2"/>
          </w:tcPr>
          <w:p w14:paraId="62F787D3" w14:textId="77777777" w:rsidR="00F214D3" w:rsidRPr="007837CC" w:rsidRDefault="00F214D3" w:rsidP="00CE1496">
            <w:pPr>
              <w:pStyle w:val="Boxheading"/>
              <w:rPr>
                <w:rFonts w:cs="Calibri"/>
              </w:rPr>
            </w:pPr>
            <w:r w:rsidRPr="007837CC">
              <w:rPr>
                <w:rFonts w:cs="Calibri"/>
              </w:rPr>
              <w:t>Question</w:t>
            </w:r>
          </w:p>
          <w:p w14:paraId="4D229912" w14:textId="613D750B" w:rsidR="00F214D3" w:rsidRPr="007837CC" w:rsidRDefault="00F214D3" w:rsidP="00CE1496">
            <w:pPr>
              <w:pStyle w:val="Boxquestion"/>
            </w:pPr>
            <w:r w:rsidRPr="007837CC">
              <w:t xml:space="preserve">What do you think of the </w:t>
            </w:r>
            <w:r w:rsidR="007E792A" w:rsidRPr="007837CC">
              <w:t>proposed auction price floor settings</w:t>
            </w:r>
            <w:r w:rsidRPr="007837CC">
              <w:t>?</w:t>
            </w:r>
            <w:r w:rsidR="007E792A" w:rsidRPr="007837CC">
              <w:t xml:space="preserve"> What impacts do you think will result from different </w:t>
            </w:r>
            <w:r w:rsidR="0031724E" w:rsidRPr="007837CC">
              <w:t>settings?</w:t>
            </w:r>
          </w:p>
        </w:tc>
      </w:tr>
    </w:tbl>
    <w:p w14:paraId="2C425450" w14:textId="1538986E" w:rsidR="00B60FA8" w:rsidRPr="007837CC" w:rsidRDefault="005A505B" w:rsidP="00D21341">
      <w:pPr>
        <w:pStyle w:val="Heading2"/>
        <w:spacing w:before="400"/>
      </w:pPr>
      <w:bookmarkStart w:id="61" w:name="_Toc135300680"/>
      <w:r w:rsidRPr="007837CC">
        <w:t xml:space="preserve">Cost containment </w:t>
      </w:r>
      <w:r w:rsidR="00E87B6D" w:rsidRPr="007837CC">
        <w:t>reserve</w:t>
      </w:r>
      <w:bookmarkEnd w:id="61"/>
    </w:p>
    <w:p w14:paraId="45B08B28" w14:textId="41A50C4A" w:rsidR="00760B88" w:rsidRPr="007837CC" w:rsidRDefault="00760B88" w:rsidP="00760B88">
      <w:pPr>
        <w:pStyle w:val="BodyText"/>
      </w:pPr>
      <w:r w:rsidRPr="007837CC">
        <w:t xml:space="preserve">The CCR is an additional reserve of </w:t>
      </w:r>
      <w:r w:rsidR="00117DB6" w:rsidRPr="007837CC">
        <w:t xml:space="preserve">NZUs </w:t>
      </w:r>
      <w:r w:rsidRPr="007837CC">
        <w:t>that is released for sale at auction if the auction clearing price reaches or exceeds a specific ‘trigger price’. By increasing unit supply, it means</w:t>
      </w:r>
      <w:r w:rsidR="00A96DF1" w:rsidRPr="007837CC">
        <w:t> </w:t>
      </w:r>
      <w:r w:rsidRPr="007837CC">
        <w:t>demand can be met at a lower price than otherwise would result. The intent is that this</w:t>
      </w:r>
      <w:r w:rsidR="00A96DF1" w:rsidRPr="007837CC">
        <w:t> </w:t>
      </w:r>
      <w:r w:rsidRPr="007837CC">
        <w:t>increased supply will moderate secondary market prices that have spiked or otherwise reached levels that are regarded as unacceptably high. However, release of the CCR does not</w:t>
      </w:r>
      <w:r w:rsidR="00A96DF1" w:rsidRPr="007837CC">
        <w:t> </w:t>
      </w:r>
      <w:r w:rsidRPr="007837CC">
        <w:t>mean auction or secondary prices stay below the trigger price.</w:t>
      </w:r>
    </w:p>
    <w:p w14:paraId="7D8C9574" w14:textId="07F2BE8A" w:rsidR="00717388" w:rsidRPr="007837CC" w:rsidRDefault="00B41788" w:rsidP="00B60FA8">
      <w:pPr>
        <w:pStyle w:val="BodyText"/>
      </w:pPr>
      <w:r w:rsidRPr="007837CC">
        <w:t>The primary purpose of the CCR is to contain high NZU prices that could cause unacceptable economic and distributional impacts for New Zealand. It is, however, important that the CCR trigger price is set at a level that</w:t>
      </w:r>
      <w:r w:rsidR="00717388" w:rsidRPr="007837CC">
        <w:t>:</w:t>
      </w:r>
    </w:p>
    <w:p w14:paraId="01EBE34E" w14:textId="01E74083" w:rsidR="00717388" w:rsidRPr="007837CC" w:rsidRDefault="00717388" w:rsidP="00205966">
      <w:pPr>
        <w:pStyle w:val="Bullet"/>
      </w:pPr>
      <w:r w:rsidRPr="007837CC">
        <w:t xml:space="preserve">allows effective price discovery of the prices needed to achieve required emissions </w:t>
      </w:r>
      <w:proofErr w:type="gramStart"/>
      <w:r w:rsidRPr="007837CC">
        <w:t>reductions</w:t>
      </w:r>
      <w:proofErr w:type="gramEnd"/>
    </w:p>
    <w:p w14:paraId="190A3DC8" w14:textId="3B997AB6" w:rsidR="00717388" w:rsidRPr="007837CC" w:rsidRDefault="00717388" w:rsidP="00205966">
      <w:pPr>
        <w:pStyle w:val="Bullet"/>
      </w:pPr>
      <w:r w:rsidRPr="007837CC">
        <w:t xml:space="preserve">allows prices to rise to levels required to meet emissions </w:t>
      </w:r>
      <w:proofErr w:type="gramStart"/>
      <w:r w:rsidRPr="007837CC">
        <w:t>targets</w:t>
      </w:r>
      <w:proofErr w:type="gramEnd"/>
    </w:p>
    <w:p w14:paraId="0AABC556" w14:textId="3D5DE411" w:rsidR="00717388" w:rsidRPr="007837CC" w:rsidRDefault="00717388" w:rsidP="00205966">
      <w:pPr>
        <w:pStyle w:val="Bullet"/>
      </w:pPr>
      <w:r w:rsidRPr="007837CC">
        <w:t xml:space="preserve">does not simply function as a magnet for secondary market prices and </w:t>
      </w:r>
      <w:proofErr w:type="gramStart"/>
      <w:r w:rsidRPr="007837CC">
        <w:t>speculation</w:t>
      </w:r>
      <w:proofErr w:type="gramEnd"/>
      <w:r w:rsidRPr="007837CC">
        <w:t xml:space="preserve"> </w:t>
      </w:r>
    </w:p>
    <w:p w14:paraId="730E1191" w14:textId="39E7E93A" w:rsidR="00B41788" w:rsidRPr="007837CC" w:rsidRDefault="00717388" w:rsidP="00205966">
      <w:pPr>
        <w:pStyle w:val="Bullet"/>
      </w:pPr>
      <w:r w:rsidRPr="007837CC">
        <w:t>aligns with the intent that the CCR is rarely</w:t>
      </w:r>
      <w:r w:rsidR="002D4148" w:rsidRPr="007837CC">
        <w:t>, if ever, triggered.</w:t>
      </w:r>
    </w:p>
    <w:p w14:paraId="00A28521" w14:textId="4BAF76B5" w:rsidR="00B60FA8" w:rsidRPr="007837CC" w:rsidRDefault="00B60FA8" w:rsidP="00B60FA8">
      <w:pPr>
        <w:pStyle w:val="BodyText"/>
      </w:pPr>
      <w:r w:rsidRPr="007837CC">
        <w:t xml:space="preserve">The CCR trigger price signals the upper extreme of acceptable prices in the NZ ETS and, if it is triggered at all, such occasions should be rare. </w:t>
      </w:r>
    </w:p>
    <w:p w14:paraId="75D9E5FA" w14:textId="678F50F6" w:rsidR="00B60FA8" w:rsidRPr="007837CC" w:rsidRDefault="00B60FA8" w:rsidP="00B60FA8">
      <w:pPr>
        <w:pStyle w:val="BodyText"/>
      </w:pPr>
      <w:r w:rsidRPr="007837CC">
        <w:t xml:space="preserve">The CCR has been triggered three times since auctions began in 2021, with the entire CCR volume being sold in both 2021 and 2022. </w:t>
      </w:r>
      <w:r w:rsidR="0061562D" w:rsidRPr="007837CC">
        <w:t xml:space="preserve">The CCR has not been triggered in </w:t>
      </w:r>
      <w:r w:rsidR="39C04E47" w:rsidRPr="007837CC">
        <w:t xml:space="preserve">the first </w:t>
      </w:r>
      <w:r w:rsidR="0061562D" w:rsidRPr="007837CC">
        <w:t>2023 auction</w:t>
      </w:r>
      <w:r w:rsidR="5489591E" w:rsidRPr="007837CC">
        <w:t>; rather the market did not clear at a price above the confidential reserve price</w:t>
      </w:r>
      <w:r w:rsidR="0061562D" w:rsidRPr="007837CC">
        <w:t xml:space="preserve">. </w:t>
      </w:r>
    </w:p>
    <w:p w14:paraId="70B81928" w14:textId="3115C525" w:rsidR="005A505B" w:rsidRPr="007837CC" w:rsidRDefault="00B60FA8" w:rsidP="00D21341">
      <w:pPr>
        <w:pStyle w:val="Heading2"/>
        <w:spacing w:before="400"/>
      </w:pPr>
      <w:bookmarkStart w:id="62" w:name="_Toc135300681"/>
      <w:r w:rsidRPr="007837CC">
        <w:lastRenderedPageBreak/>
        <w:t xml:space="preserve">Cost containment reserve </w:t>
      </w:r>
      <w:r w:rsidR="005A505B" w:rsidRPr="007837CC">
        <w:t>structure</w:t>
      </w:r>
      <w:bookmarkEnd w:id="62"/>
    </w:p>
    <w:p w14:paraId="4743D058" w14:textId="59591DEA" w:rsidR="002D4148" w:rsidRPr="007837CC" w:rsidRDefault="002D4148" w:rsidP="00A75F3D">
      <w:pPr>
        <w:pStyle w:val="BodyText"/>
      </w:pPr>
      <w:r w:rsidRPr="007837CC">
        <w:t xml:space="preserve">The CCR currently has a single trigger price. When this is met the entire reserve volume of </w:t>
      </w:r>
      <w:r w:rsidR="00117DB6" w:rsidRPr="007837CC">
        <w:t xml:space="preserve">NZUs </w:t>
      </w:r>
      <w:r w:rsidRPr="007837CC">
        <w:t>becomes available for sale during the current auction</w:t>
      </w:r>
      <w:r w:rsidR="00CE6A78" w:rsidRPr="007837CC">
        <w:t>.</w:t>
      </w:r>
    </w:p>
    <w:p w14:paraId="61A9F948" w14:textId="4ADD7ABD" w:rsidR="005A505B" w:rsidRPr="007837CC" w:rsidRDefault="005A505B" w:rsidP="00A75F3D">
      <w:pPr>
        <w:pStyle w:val="BodyText"/>
        <w:rPr>
          <w:rStyle w:val="Heading3Char"/>
          <w:rFonts w:ascii="Calibri" w:hAnsi="Calibri"/>
          <w:b w:val="0"/>
          <w:bCs w:val="0"/>
          <w:sz w:val="22"/>
        </w:rPr>
      </w:pPr>
      <w:r w:rsidRPr="007837CC">
        <w:t>The Act allows for the CCR design to include one or more trigger prices unless the reserve amount is zero. For example, there could be two or three trigger prices, each with a tranche of</w:t>
      </w:r>
      <w:r w:rsidR="00D7361F" w:rsidRPr="007837CC">
        <w:t> </w:t>
      </w:r>
      <w:r w:rsidR="00117DB6" w:rsidRPr="007837CC">
        <w:t xml:space="preserve">NZUs </w:t>
      </w:r>
      <w:r w:rsidRPr="007837CC">
        <w:t>to release at that price</w:t>
      </w:r>
      <w:r w:rsidR="006D4004" w:rsidRPr="007837CC">
        <w:t>.</w:t>
      </w:r>
    </w:p>
    <w:p w14:paraId="4139ABDA" w14:textId="3D59168E" w:rsidR="008E1B1A" w:rsidRPr="007837CC" w:rsidRDefault="00923F0F" w:rsidP="00A75F3D">
      <w:pPr>
        <w:pStyle w:val="BodyText"/>
      </w:pPr>
      <w:r w:rsidRPr="007837CC">
        <w:rPr>
          <w:rStyle w:val="Heading3Char"/>
          <w:rFonts w:ascii="Calibri" w:hAnsi="Calibri"/>
          <w:b w:val="0"/>
          <w:bCs w:val="0"/>
          <w:sz w:val="22"/>
        </w:rPr>
        <w:t xml:space="preserve">Multiple price triggers were considered </w:t>
      </w:r>
      <w:r w:rsidR="00725C0B" w:rsidRPr="007837CC">
        <w:rPr>
          <w:rStyle w:val="Heading3Char"/>
          <w:rFonts w:ascii="Calibri" w:hAnsi="Calibri"/>
          <w:b w:val="0"/>
          <w:bCs w:val="0"/>
          <w:sz w:val="22"/>
        </w:rPr>
        <w:t>when</w:t>
      </w:r>
      <w:r w:rsidR="00EA21EC" w:rsidRPr="007837CC">
        <w:rPr>
          <w:rStyle w:val="Heading3Char"/>
          <w:rFonts w:ascii="Calibri" w:hAnsi="Calibri"/>
          <w:b w:val="0"/>
          <w:bCs w:val="0"/>
          <w:sz w:val="22"/>
        </w:rPr>
        <w:t xml:space="preserve"> introduc</w:t>
      </w:r>
      <w:r w:rsidR="00725C0B" w:rsidRPr="007837CC">
        <w:rPr>
          <w:rStyle w:val="Heading3Char"/>
          <w:rFonts w:ascii="Calibri" w:hAnsi="Calibri"/>
          <w:b w:val="0"/>
          <w:bCs w:val="0"/>
          <w:sz w:val="22"/>
        </w:rPr>
        <w:t>ing</w:t>
      </w:r>
      <w:r w:rsidR="00EA21EC" w:rsidRPr="007837CC">
        <w:rPr>
          <w:rStyle w:val="Heading3Char"/>
          <w:rFonts w:ascii="Calibri" w:hAnsi="Calibri"/>
          <w:b w:val="0"/>
          <w:bCs w:val="0"/>
          <w:sz w:val="22"/>
        </w:rPr>
        <w:t xml:space="preserve"> price control settings. </w:t>
      </w:r>
      <w:r w:rsidR="003D249C" w:rsidRPr="007837CC">
        <w:rPr>
          <w:rStyle w:val="Heading3Char"/>
          <w:rFonts w:ascii="Calibri" w:hAnsi="Calibri"/>
          <w:b w:val="0"/>
          <w:bCs w:val="0"/>
          <w:sz w:val="22"/>
        </w:rPr>
        <w:t>A</w:t>
      </w:r>
      <w:r w:rsidR="008E1B1A" w:rsidRPr="007837CC">
        <w:t xml:space="preserve"> single trigger price and reserve volume </w:t>
      </w:r>
      <w:r w:rsidR="00725C0B" w:rsidRPr="007837CC">
        <w:t>w</w:t>
      </w:r>
      <w:r w:rsidR="0061562D" w:rsidRPr="007837CC">
        <w:t>as</w:t>
      </w:r>
      <w:r w:rsidR="00725C0B" w:rsidRPr="007837CC">
        <w:t xml:space="preserve"> seen as </w:t>
      </w:r>
      <w:r w:rsidR="00D56E11" w:rsidRPr="007837CC">
        <w:t>the</w:t>
      </w:r>
      <w:r w:rsidR="008E1B1A" w:rsidRPr="007837CC">
        <w:t xml:space="preserve"> most appropriate choice </w:t>
      </w:r>
      <w:r w:rsidR="00725C0B" w:rsidRPr="007837CC">
        <w:t>because this approach is</w:t>
      </w:r>
      <w:r w:rsidR="008E1B1A" w:rsidRPr="007837CC">
        <w:t xml:space="preserve"> </w:t>
      </w:r>
      <w:r w:rsidR="00725C0B" w:rsidRPr="007837CC">
        <w:t xml:space="preserve">simple </w:t>
      </w:r>
      <w:r w:rsidR="008E1B1A" w:rsidRPr="007837CC">
        <w:t>and</w:t>
      </w:r>
      <w:r w:rsidR="00725C0B" w:rsidRPr="007837CC">
        <w:t xml:space="preserve"> provides a</w:t>
      </w:r>
      <w:r w:rsidR="008E1B1A" w:rsidRPr="007837CC">
        <w:t xml:space="preserve"> clearer market signal</w:t>
      </w:r>
      <w:r w:rsidR="003D249C" w:rsidRPr="007837CC">
        <w:t xml:space="preserve">, although </w:t>
      </w:r>
      <w:r w:rsidR="00E87B6D" w:rsidRPr="007837CC">
        <w:t>multiple price triggers were</w:t>
      </w:r>
      <w:r w:rsidR="00D7361F" w:rsidRPr="007837CC">
        <w:t> </w:t>
      </w:r>
      <w:r w:rsidR="003D249C" w:rsidRPr="007837CC">
        <w:t xml:space="preserve">not </w:t>
      </w:r>
      <w:r w:rsidR="00B074C7" w:rsidRPr="007837CC">
        <w:t>ruled out as an option</w:t>
      </w:r>
      <w:r w:rsidR="003D249C" w:rsidRPr="007837CC">
        <w:t xml:space="preserve"> to consider later</w:t>
      </w:r>
      <w:r w:rsidR="008E1B1A" w:rsidRPr="007837CC">
        <w:t xml:space="preserve">. </w:t>
      </w:r>
      <w:r w:rsidR="003D249C" w:rsidRPr="007837CC">
        <w:t xml:space="preserve">At that time, </w:t>
      </w:r>
      <w:proofErr w:type="gramStart"/>
      <w:r w:rsidR="003D249C" w:rsidRPr="007837CC">
        <w:t>the</w:t>
      </w:r>
      <w:r w:rsidR="008E1B1A" w:rsidRPr="007837CC">
        <w:t xml:space="preserve"> majority of</w:t>
      </w:r>
      <w:proofErr w:type="gramEnd"/>
      <w:r w:rsidR="008E1B1A" w:rsidRPr="007837CC">
        <w:t xml:space="preserve"> submitters </w:t>
      </w:r>
      <w:r w:rsidR="00725C0B" w:rsidRPr="007837CC">
        <w:t>who</w:t>
      </w:r>
      <w:r w:rsidR="002C7239" w:rsidRPr="007837CC">
        <w:t> </w:t>
      </w:r>
      <w:r w:rsidR="00725C0B" w:rsidRPr="007837CC">
        <w:t xml:space="preserve">commented </w:t>
      </w:r>
      <w:r w:rsidR="008E1B1A" w:rsidRPr="007837CC">
        <w:t>on the use of single or multiple trigger prices supported a single price trigger</w:t>
      </w:r>
      <w:r w:rsidR="00126069" w:rsidRPr="007837CC">
        <w:t>.</w:t>
      </w:r>
    </w:p>
    <w:p w14:paraId="4EA86789" w14:textId="07A773EE" w:rsidR="00907897" w:rsidRPr="007837CC" w:rsidRDefault="00AF4B2A" w:rsidP="00A75F3D">
      <w:pPr>
        <w:pStyle w:val="BodyText"/>
      </w:pPr>
      <w:r w:rsidRPr="007837CC">
        <w:t>The</w:t>
      </w:r>
      <w:r w:rsidR="001E322A" w:rsidRPr="007837CC">
        <w:t xml:space="preserve"> option of moving to a </w:t>
      </w:r>
      <w:proofErr w:type="gramStart"/>
      <w:r w:rsidR="001E322A" w:rsidRPr="007837CC">
        <w:t>two trigger</w:t>
      </w:r>
      <w:proofErr w:type="gramEnd"/>
      <w:r w:rsidR="001E322A" w:rsidRPr="007837CC">
        <w:t xml:space="preserve"> cost containment reserve was </w:t>
      </w:r>
      <w:r w:rsidR="007B0377" w:rsidRPr="007837CC">
        <w:t>consulted on</w:t>
      </w:r>
      <w:r w:rsidR="001E322A" w:rsidRPr="007837CC">
        <w:t xml:space="preserve"> in 2022</w:t>
      </w:r>
      <w:r w:rsidR="29CC04EA" w:rsidRPr="007837CC">
        <w:t xml:space="preserve"> and was recommended by the Commission</w:t>
      </w:r>
      <w:r w:rsidR="001E322A" w:rsidRPr="007837CC">
        <w:t xml:space="preserve">. </w:t>
      </w:r>
      <w:r w:rsidR="50E8AD60" w:rsidRPr="007837CC">
        <w:t>The</w:t>
      </w:r>
      <w:r w:rsidR="001E322A" w:rsidRPr="007837CC">
        <w:t xml:space="preserve"> G</w:t>
      </w:r>
      <w:r w:rsidRPr="007837CC">
        <w:t>overnment decided to retain the single tier cost</w:t>
      </w:r>
      <w:r w:rsidR="00336C74" w:rsidRPr="007837CC">
        <w:t xml:space="preserve"> </w:t>
      </w:r>
      <w:r w:rsidR="00336C74" w:rsidRPr="007837CC">
        <w:rPr>
          <w:spacing w:val="-2"/>
        </w:rPr>
        <w:t xml:space="preserve">containment reserve structure. </w:t>
      </w:r>
      <w:r w:rsidR="004C6A65" w:rsidRPr="007837CC">
        <w:rPr>
          <w:spacing w:val="-2"/>
        </w:rPr>
        <w:t>Just over half of the submitters who commented on the options</w:t>
      </w:r>
      <w:r w:rsidR="004C6A65" w:rsidRPr="007837CC">
        <w:t xml:space="preserve"> for</w:t>
      </w:r>
      <w:r w:rsidR="00566245" w:rsidRPr="007837CC">
        <w:t xml:space="preserve"> single or multi-tier trigger prices </w:t>
      </w:r>
      <w:r w:rsidR="00AB5D3D" w:rsidRPr="007837CC">
        <w:t xml:space="preserve">at this time </w:t>
      </w:r>
      <w:r w:rsidR="00566245" w:rsidRPr="007837CC">
        <w:t xml:space="preserve">supported </w:t>
      </w:r>
      <w:r w:rsidR="00BB2F53" w:rsidRPr="007837CC">
        <w:t xml:space="preserve">retaining the single price trigger. </w:t>
      </w:r>
    </w:p>
    <w:p w14:paraId="53951405" w14:textId="2E127020" w:rsidR="003562A3" w:rsidRPr="007837CC" w:rsidRDefault="003562A3" w:rsidP="00A75F3D">
      <w:pPr>
        <w:pStyle w:val="BodyText"/>
      </w:pPr>
      <w:r w:rsidRPr="007837CC">
        <w:t xml:space="preserve">Some submitters suggested removing the </w:t>
      </w:r>
      <w:r w:rsidR="00340266" w:rsidRPr="007837CC">
        <w:t xml:space="preserve">CCR, which is possible by having an available volume of zero units. This option is considered as part of the CCR structure, although it could equally be considered as part of the CCR volume section. </w:t>
      </w:r>
    </w:p>
    <w:p w14:paraId="567338D5" w14:textId="77777777" w:rsidR="00C55AED" w:rsidRPr="007837CC" w:rsidRDefault="00C55AED" w:rsidP="00C55AED">
      <w:pPr>
        <w:pStyle w:val="Heading4"/>
        <w:rPr>
          <w:rStyle w:val="Heading3Char"/>
          <w:b/>
          <w:sz w:val="24"/>
        </w:rPr>
      </w:pPr>
      <w:r w:rsidRPr="007837CC">
        <w:rPr>
          <w:rStyle w:val="Heading3Char"/>
          <w:b/>
          <w:bCs/>
          <w:sz w:val="24"/>
        </w:rPr>
        <w:t>Options</w:t>
      </w:r>
    </w:p>
    <w:p w14:paraId="1D58313A" w14:textId="6970C531" w:rsidR="00C55AED" w:rsidRPr="007837CC" w:rsidRDefault="00C55AED" w:rsidP="00C55AED">
      <w:pPr>
        <w:pStyle w:val="BodyText"/>
        <w:rPr>
          <w:rStyle w:val="Heading3Char"/>
          <w:rFonts w:ascii="Calibri" w:hAnsi="Calibri"/>
          <w:b w:val="0"/>
          <w:bCs w:val="0"/>
          <w:sz w:val="22"/>
        </w:rPr>
      </w:pPr>
      <w:r w:rsidRPr="007837CC">
        <w:rPr>
          <w:rStyle w:val="Heading3Char"/>
          <w:rFonts w:ascii="Calibri" w:hAnsi="Calibri"/>
          <w:b w:val="0"/>
          <w:bCs w:val="0"/>
          <w:sz w:val="22"/>
        </w:rPr>
        <w:t xml:space="preserve">Table </w:t>
      </w:r>
      <w:r w:rsidR="00327D14" w:rsidRPr="007837CC">
        <w:rPr>
          <w:rStyle w:val="Heading3Char"/>
          <w:rFonts w:ascii="Calibri" w:hAnsi="Calibri"/>
          <w:b w:val="0"/>
          <w:bCs w:val="0"/>
          <w:sz w:val="22"/>
        </w:rPr>
        <w:t xml:space="preserve">15 </w:t>
      </w:r>
      <w:r w:rsidRPr="007837CC">
        <w:rPr>
          <w:rStyle w:val="Heading3Char"/>
          <w:rFonts w:ascii="Calibri" w:hAnsi="Calibri"/>
          <w:b w:val="0"/>
          <w:bCs w:val="0"/>
          <w:sz w:val="22"/>
        </w:rPr>
        <w:t>presents the following options:</w:t>
      </w:r>
    </w:p>
    <w:p w14:paraId="5B653C7C" w14:textId="18F7B2D6" w:rsidR="00C55AED" w:rsidRPr="007837CC" w:rsidRDefault="00C55AED" w:rsidP="00E97706">
      <w:pPr>
        <w:pStyle w:val="Numberedparagraph"/>
        <w:numPr>
          <w:ilvl w:val="0"/>
          <w:numId w:val="28"/>
        </w:numPr>
        <w:rPr>
          <w:rStyle w:val="Heading3Char"/>
          <w:rFonts w:ascii="Calibri" w:hAnsi="Calibri"/>
          <w:b w:val="0"/>
          <w:bCs w:val="0"/>
          <w:sz w:val="22"/>
        </w:rPr>
      </w:pPr>
      <w:r w:rsidRPr="007837CC">
        <w:rPr>
          <w:rStyle w:val="Heading3Char"/>
          <w:rFonts w:ascii="Calibri" w:hAnsi="Calibri"/>
          <w:b w:val="0"/>
          <w:bCs w:val="0"/>
          <w:sz w:val="22"/>
        </w:rPr>
        <w:t xml:space="preserve">Option one – </w:t>
      </w:r>
      <w:r w:rsidR="000E75C5" w:rsidRPr="007837CC">
        <w:rPr>
          <w:rStyle w:val="Heading3Char"/>
          <w:rFonts w:ascii="Calibri" w:hAnsi="Calibri"/>
          <w:b w:val="0"/>
          <w:bCs w:val="0"/>
          <w:sz w:val="22"/>
        </w:rPr>
        <w:t>S</w:t>
      </w:r>
      <w:r w:rsidRPr="007837CC">
        <w:rPr>
          <w:rStyle w:val="Heading3Char"/>
          <w:rFonts w:ascii="Calibri" w:hAnsi="Calibri"/>
          <w:b w:val="0"/>
          <w:bCs w:val="0"/>
          <w:sz w:val="22"/>
        </w:rPr>
        <w:t>tatus quo of a single tier cost containment reserve</w:t>
      </w:r>
      <w:r w:rsidR="00A45932">
        <w:rPr>
          <w:rStyle w:val="Heading3Char"/>
          <w:rFonts w:ascii="Calibri" w:hAnsi="Calibri"/>
          <w:b w:val="0"/>
          <w:bCs w:val="0"/>
          <w:sz w:val="22"/>
        </w:rPr>
        <w:t>.</w:t>
      </w:r>
    </w:p>
    <w:p w14:paraId="55CE46A6" w14:textId="47D857EC" w:rsidR="00C55AED" w:rsidRPr="007837CC" w:rsidRDefault="00C55AED" w:rsidP="00C55AED">
      <w:pPr>
        <w:pStyle w:val="Numberedparagraph"/>
        <w:rPr>
          <w:rStyle w:val="Heading3Char"/>
          <w:rFonts w:ascii="Calibri" w:hAnsi="Calibri"/>
          <w:b w:val="0"/>
          <w:bCs w:val="0"/>
          <w:sz w:val="22"/>
        </w:rPr>
      </w:pPr>
      <w:r w:rsidRPr="007837CC">
        <w:rPr>
          <w:rStyle w:val="Heading3Char"/>
          <w:rFonts w:ascii="Calibri" w:hAnsi="Calibri"/>
          <w:b w:val="0"/>
          <w:bCs w:val="0"/>
          <w:sz w:val="22"/>
        </w:rPr>
        <w:t xml:space="preserve">Option two – </w:t>
      </w:r>
      <w:r w:rsidR="000E75C5" w:rsidRPr="007837CC">
        <w:rPr>
          <w:rStyle w:val="Heading3Char"/>
          <w:rFonts w:ascii="Calibri" w:hAnsi="Calibri"/>
          <w:b w:val="0"/>
          <w:bCs w:val="0"/>
          <w:sz w:val="22"/>
        </w:rPr>
        <w:t>N</w:t>
      </w:r>
      <w:r w:rsidRPr="007837CC">
        <w:rPr>
          <w:rStyle w:val="Heading3Char"/>
          <w:rFonts w:ascii="Calibri" w:hAnsi="Calibri"/>
          <w:b w:val="0"/>
          <w:bCs w:val="0"/>
          <w:sz w:val="22"/>
        </w:rPr>
        <w:t>o cost containment reserve</w:t>
      </w:r>
      <w:r w:rsidR="00A45932">
        <w:rPr>
          <w:rStyle w:val="Heading3Char"/>
          <w:rFonts w:ascii="Calibri" w:hAnsi="Calibri"/>
          <w:b w:val="0"/>
          <w:bCs w:val="0"/>
          <w:sz w:val="22"/>
        </w:rPr>
        <w:t>.</w:t>
      </w:r>
    </w:p>
    <w:p w14:paraId="657933D5" w14:textId="7284EF0B" w:rsidR="00C55AED" w:rsidRPr="007837CC" w:rsidRDefault="00C55AED" w:rsidP="00C55AED">
      <w:pPr>
        <w:pStyle w:val="Numberedparagraph"/>
        <w:rPr>
          <w:rStyle w:val="Heading3Char"/>
          <w:rFonts w:ascii="Calibri" w:hAnsi="Calibri"/>
          <w:b w:val="0"/>
          <w:bCs w:val="0"/>
          <w:sz w:val="22"/>
        </w:rPr>
      </w:pPr>
      <w:r w:rsidRPr="007837CC">
        <w:rPr>
          <w:rStyle w:val="Heading3Char"/>
          <w:rFonts w:ascii="Calibri" w:hAnsi="Calibri"/>
          <w:b w:val="0"/>
          <w:bCs w:val="0"/>
          <w:sz w:val="22"/>
        </w:rPr>
        <w:t xml:space="preserve">Option three – </w:t>
      </w:r>
      <w:r w:rsidR="000E75C5" w:rsidRPr="007837CC">
        <w:rPr>
          <w:rStyle w:val="Heading3Char"/>
          <w:rFonts w:ascii="Calibri" w:hAnsi="Calibri"/>
          <w:b w:val="0"/>
          <w:bCs w:val="0"/>
          <w:sz w:val="22"/>
        </w:rPr>
        <w:t>A</w:t>
      </w:r>
      <w:r w:rsidR="00BA04DB" w:rsidRPr="007837CC">
        <w:rPr>
          <w:rStyle w:val="Heading3Char"/>
          <w:rFonts w:ascii="Calibri" w:hAnsi="Calibri"/>
          <w:b w:val="0"/>
          <w:bCs w:val="0"/>
          <w:sz w:val="22"/>
        </w:rPr>
        <w:t xml:space="preserve"> cost containment reserve with a two</w:t>
      </w:r>
      <w:r w:rsidR="000E75C5" w:rsidRPr="007837CC">
        <w:rPr>
          <w:rStyle w:val="Heading3Char"/>
          <w:rFonts w:ascii="Calibri" w:hAnsi="Calibri"/>
          <w:b w:val="0"/>
          <w:bCs w:val="0"/>
          <w:sz w:val="22"/>
        </w:rPr>
        <w:t>-</w:t>
      </w:r>
      <w:r w:rsidR="00BA04DB" w:rsidRPr="007837CC">
        <w:rPr>
          <w:rStyle w:val="Heading3Char"/>
          <w:rFonts w:ascii="Calibri" w:hAnsi="Calibri"/>
          <w:b w:val="0"/>
          <w:bCs w:val="0"/>
          <w:sz w:val="22"/>
        </w:rPr>
        <w:t>tier structure.</w:t>
      </w:r>
    </w:p>
    <w:p w14:paraId="34199D65" w14:textId="77777777" w:rsidR="00C63A4A" w:rsidRPr="007837CC" w:rsidRDefault="00C63A4A" w:rsidP="00A75F3D">
      <w:pPr>
        <w:pStyle w:val="Heading5"/>
      </w:pPr>
      <w:r w:rsidRPr="007837CC">
        <w:t xml:space="preserve">Three volumes not </w:t>
      </w:r>
      <w:proofErr w:type="gramStart"/>
      <w:r w:rsidRPr="007837CC">
        <w:t>considered</w:t>
      </w:r>
      <w:proofErr w:type="gramEnd"/>
    </w:p>
    <w:p w14:paraId="55B80621" w14:textId="77777777" w:rsidR="00C63A4A" w:rsidRPr="007837CC" w:rsidRDefault="00C63A4A" w:rsidP="001A5DB0">
      <w:pPr>
        <w:pStyle w:val="BodyText"/>
      </w:pPr>
      <w:r w:rsidRPr="007837CC">
        <w:t>A third option of a three tier CCR was considered then discarded. It would require consideration and decisions on multiple trigger prices.</w:t>
      </w:r>
    </w:p>
    <w:p w14:paraId="7A01DA1E" w14:textId="65EB937A" w:rsidR="00C63A4A" w:rsidRPr="007837CC" w:rsidRDefault="00C63A4A" w:rsidP="001A5DB0">
      <w:pPr>
        <w:pStyle w:val="BodyText"/>
      </w:pPr>
      <w:r w:rsidRPr="007837CC">
        <w:t>Multiple reserves at increasing price levels could act to slow price increases during periods of increasing demand. It would require sufficient volume within each tier to have any material affect. Reducing reserve volumes would minimise impact</w:t>
      </w:r>
      <w:r w:rsidR="000E75C5" w:rsidRPr="007837CC">
        <w:t>;</w:t>
      </w:r>
      <w:r w:rsidRPr="007837CC">
        <w:t xml:space="preserve"> however</w:t>
      </w:r>
      <w:r w:rsidR="000E75C5" w:rsidRPr="007837CC">
        <w:t>,</w:t>
      </w:r>
      <w:r w:rsidRPr="007837CC">
        <w:t xml:space="preserve"> that impact is both on price dampening and on risk to budgets. Multiple tiers would also add complexity to the NZ</w:t>
      </w:r>
      <w:r w:rsidR="000E75C5" w:rsidRPr="007837CC">
        <w:t> </w:t>
      </w:r>
      <w:r w:rsidRPr="007837CC">
        <w:t>ETS auctions. The Commission considered any additional benefits to a three-tiered approach to be marginal, while imposing costs on both complexity and effectiveness in dampening price. On this basis it has not be</w:t>
      </w:r>
      <w:r w:rsidR="00D166C7" w:rsidRPr="007837CC">
        <w:t>en</w:t>
      </w:r>
      <w:r w:rsidRPr="007837CC">
        <w:t xml:space="preserve"> assessed</w:t>
      </w:r>
    </w:p>
    <w:p w14:paraId="33D9C806" w14:textId="40C5B6CC" w:rsidR="00964D2C" w:rsidRPr="007837CC" w:rsidRDefault="00964D2C" w:rsidP="001A5DB0">
      <w:pPr>
        <w:pStyle w:val="BodyText"/>
      </w:pPr>
      <w:r w:rsidRPr="007837CC">
        <w:t>T</w:t>
      </w:r>
      <w:r w:rsidR="007D6C58" w:rsidRPr="007837CC">
        <w:t xml:space="preserve">able </w:t>
      </w:r>
      <w:r w:rsidR="005C32D0" w:rsidRPr="007837CC">
        <w:t>1</w:t>
      </w:r>
      <w:r w:rsidR="003329C9" w:rsidRPr="007837CC">
        <w:t>5</w:t>
      </w:r>
      <w:r w:rsidR="007D6C58" w:rsidRPr="007837CC">
        <w:t xml:space="preserve"> </w:t>
      </w:r>
      <w:r w:rsidR="005D14C0" w:rsidRPr="007837CC">
        <w:t xml:space="preserve">presents </w:t>
      </w:r>
      <w:r w:rsidR="007D6C58" w:rsidRPr="007837CC">
        <w:t>assess</w:t>
      </w:r>
      <w:r w:rsidR="005D14C0" w:rsidRPr="007837CC">
        <w:t>ment of</w:t>
      </w:r>
      <w:r w:rsidR="007D6C58" w:rsidRPr="007837CC">
        <w:t xml:space="preserve"> t</w:t>
      </w:r>
      <w:r w:rsidRPr="007837CC">
        <w:t xml:space="preserve">he options above. </w:t>
      </w:r>
      <w:r w:rsidR="005D14C0" w:rsidRPr="007837CC">
        <w:t xml:space="preserve">More detail is provided in the section below this table. </w:t>
      </w:r>
      <w:r w:rsidRPr="007837CC">
        <w:t xml:space="preserve">We are interested in your views on our assessment, </w:t>
      </w:r>
      <w:r w:rsidR="00D7691F" w:rsidRPr="007837CC">
        <w:t xml:space="preserve">which we </w:t>
      </w:r>
      <w:r w:rsidRPr="007837CC">
        <w:t xml:space="preserve">will reconsider </w:t>
      </w:r>
      <w:r w:rsidR="007D6C58" w:rsidRPr="007837CC">
        <w:t>when we are</w:t>
      </w:r>
      <w:r w:rsidRPr="007837CC">
        <w:t xml:space="preserve"> preparing recommendations for policy decisions.</w:t>
      </w:r>
      <w:r w:rsidR="005D3339" w:rsidRPr="007837CC">
        <w:t xml:space="preserve"> </w:t>
      </w:r>
    </w:p>
    <w:p w14:paraId="54A48CDD" w14:textId="4F111811" w:rsidR="00287BDA" w:rsidRPr="007837CC" w:rsidRDefault="00791DCA" w:rsidP="000E75C5">
      <w:pPr>
        <w:pStyle w:val="Tableheading"/>
        <w:rPr>
          <w:rStyle w:val="Heading3Char"/>
          <w:rFonts w:ascii="Calibri" w:hAnsi="Calibri"/>
          <w:bCs w:val="0"/>
          <w:sz w:val="22"/>
        </w:rPr>
      </w:pPr>
      <w:bookmarkStart w:id="63" w:name="_Toc133927349"/>
      <w:r w:rsidRPr="007837CC">
        <w:lastRenderedPageBreak/>
        <w:t xml:space="preserve">Table </w:t>
      </w:r>
      <w:r w:rsidR="00327D14" w:rsidRPr="007837CC">
        <w:t>15</w:t>
      </w:r>
      <w:r w:rsidRPr="007837CC">
        <w:t xml:space="preserve">: </w:t>
      </w:r>
      <w:r w:rsidR="003C6C18" w:rsidRPr="007837CC">
        <w:tab/>
      </w:r>
      <w:r w:rsidRPr="007837CC">
        <w:t xml:space="preserve">Assessing options for cost containment reserve structure against the </w:t>
      </w:r>
      <w:proofErr w:type="gramStart"/>
      <w:r w:rsidRPr="007837CC">
        <w:t>status</w:t>
      </w:r>
      <w:r w:rsidR="00F560AC" w:rsidRPr="007837CC">
        <w:t> </w:t>
      </w:r>
      <w:r w:rsidRPr="007837CC">
        <w:t>quo</w:t>
      </w:r>
      <w:bookmarkEnd w:id="63"/>
      <w:proofErr w:type="gramEnd"/>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shd w:val="clear" w:color="auto" w:fill="FFFFFF" w:themeFill="background1"/>
        <w:tblLayout w:type="fixed"/>
        <w:tblLook w:val="04A0" w:firstRow="1" w:lastRow="0" w:firstColumn="1" w:lastColumn="0" w:noHBand="0" w:noVBand="1"/>
      </w:tblPr>
      <w:tblGrid>
        <w:gridCol w:w="2127"/>
        <w:gridCol w:w="2126"/>
        <w:gridCol w:w="2126"/>
        <w:gridCol w:w="2126"/>
      </w:tblGrid>
      <w:tr w:rsidR="00B53356" w:rsidRPr="007837CC" w14:paraId="1D51B9D1" w14:textId="77777777" w:rsidTr="001A5DB0">
        <w:trPr>
          <w:tblHeader/>
        </w:trPr>
        <w:tc>
          <w:tcPr>
            <w:tcW w:w="2353" w:type="dxa"/>
            <w:shd w:val="clear" w:color="auto" w:fill="1B556B" w:themeFill="text2"/>
            <w:vAlign w:val="bottom"/>
          </w:tcPr>
          <w:p w14:paraId="29C6B95F" w14:textId="77777777" w:rsidR="00B53356" w:rsidRPr="007837CC" w:rsidRDefault="00B53356" w:rsidP="0049306A">
            <w:pPr>
              <w:pStyle w:val="TableTextbold"/>
              <w:rPr>
                <w:rFonts w:cs="Calibri"/>
                <w:color w:val="FFFFFF" w:themeColor="background1"/>
                <w:szCs w:val="18"/>
              </w:rPr>
            </w:pPr>
          </w:p>
        </w:tc>
        <w:tc>
          <w:tcPr>
            <w:tcW w:w="2352" w:type="dxa"/>
            <w:shd w:val="clear" w:color="auto" w:fill="1B556B" w:themeFill="text2"/>
            <w:vAlign w:val="bottom"/>
          </w:tcPr>
          <w:p w14:paraId="47C22FC7" w14:textId="3C9D0B3A" w:rsidR="00B53356" w:rsidRPr="007837CC" w:rsidRDefault="00B53356" w:rsidP="0049306A">
            <w:pPr>
              <w:pStyle w:val="TableTextbold"/>
              <w:rPr>
                <w:rFonts w:cs="Calibri"/>
                <w:color w:val="FFFFFF" w:themeColor="background1"/>
                <w:szCs w:val="18"/>
              </w:rPr>
            </w:pPr>
            <w:r w:rsidRPr="007837CC">
              <w:rPr>
                <w:rFonts w:cs="Calibri"/>
                <w:color w:val="FFFFFF" w:themeColor="background1"/>
                <w:szCs w:val="18"/>
              </w:rPr>
              <w:t>Option one</w:t>
            </w:r>
            <w:r w:rsidR="000E75C5" w:rsidRPr="007837CC">
              <w:rPr>
                <w:rFonts w:cs="Calibri"/>
                <w:color w:val="FFFFFF" w:themeColor="background1"/>
                <w:szCs w:val="18"/>
              </w:rPr>
              <w:t xml:space="preserve"> –</w:t>
            </w:r>
            <w:r w:rsidRPr="007837CC">
              <w:rPr>
                <w:rFonts w:cs="Calibri"/>
                <w:color w:val="FFFFFF" w:themeColor="background1"/>
                <w:szCs w:val="18"/>
              </w:rPr>
              <w:t xml:space="preserve"> Status quo, single reserve volume</w:t>
            </w:r>
          </w:p>
        </w:tc>
        <w:tc>
          <w:tcPr>
            <w:tcW w:w="2353" w:type="dxa"/>
            <w:shd w:val="clear" w:color="auto" w:fill="1B556B" w:themeFill="text2"/>
          </w:tcPr>
          <w:p w14:paraId="3B422D94" w14:textId="5F78DD82" w:rsidR="00B53356" w:rsidRPr="007837CC" w:rsidRDefault="00B53356" w:rsidP="0049306A">
            <w:pPr>
              <w:pStyle w:val="TableTextbold"/>
              <w:rPr>
                <w:rFonts w:cs="Calibri"/>
                <w:color w:val="FFFFFF" w:themeColor="background1"/>
                <w:szCs w:val="18"/>
              </w:rPr>
            </w:pPr>
            <w:r w:rsidRPr="007837CC">
              <w:rPr>
                <w:rFonts w:cs="Calibri"/>
                <w:color w:val="FFFFFF" w:themeColor="background1"/>
                <w:szCs w:val="18"/>
              </w:rPr>
              <w:t>Option two</w:t>
            </w:r>
            <w:r w:rsidR="000E75C5" w:rsidRPr="007837CC">
              <w:rPr>
                <w:rFonts w:cs="Calibri"/>
                <w:color w:val="FFFFFF" w:themeColor="background1"/>
                <w:szCs w:val="18"/>
              </w:rPr>
              <w:t xml:space="preserve"> –</w:t>
            </w:r>
            <w:r w:rsidRPr="007837CC">
              <w:rPr>
                <w:rFonts w:cs="Calibri"/>
                <w:color w:val="FFFFFF" w:themeColor="background1"/>
                <w:szCs w:val="18"/>
              </w:rPr>
              <w:t xml:space="preserve"> </w:t>
            </w:r>
            <w:r w:rsidR="000E75C5" w:rsidRPr="007837CC">
              <w:rPr>
                <w:rFonts w:cs="Calibri"/>
                <w:color w:val="FFFFFF" w:themeColor="background1"/>
                <w:szCs w:val="18"/>
              </w:rPr>
              <w:t>N</w:t>
            </w:r>
            <w:r w:rsidRPr="007837CC">
              <w:rPr>
                <w:rFonts w:cs="Calibri"/>
                <w:color w:val="FFFFFF" w:themeColor="background1"/>
                <w:szCs w:val="18"/>
              </w:rPr>
              <w:t>o CCR volume</w:t>
            </w:r>
          </w:p>
        </w:tc>
        <w:tc>
          <w:tcPr>
            <w:tcW w:w="2353" w:type="dxa"/>
            <w:shd w:val="clear" w:color="auto" w:fill="1B556B" w:themeFill="text2"/>
            <w:vAlign w:val="bottom"/>
          </w:tcPr>
          <w:p w14:paraId="7FAFBCF5" w14:textId="3AD6ADA7" w:rsidR="00B53356" w:rsidRPr="007837CC" w:rsidRDefault="00B53356" w:rsidP="0049306A">
            <w:pPr>
              <w:pStyle w:val="TableTextbold"/>
              <w:rPr>
                <w:rFonts w:cs="Calibri"/>
                <w:color w:val="FFFFFF" w:themeColor="background1"/>
                <w:szCs w:val="18"/>
              </w:rPr>
            </w:pPr>
            <w:r w:rsidRPr="007837CC">
              <w:rPr>
                <w:rFonts w:cs="Calibri"/>
                <w:color w:val="FFFFFF" w:themeColor="background1"/>
                <w:szCs w:val="18"/>
              </w:rPr>
              <w:t>Option three</w:t>
            </w:r>
            <w:r w:rsidR="000E75C5" w:rsidRPr="007837CC">
              <w:rPr>
                <w:rFonts w:cs="Calibri"/>
                <w:color w:val="FFFFFF" w:themeColor="background1"/>
                <w:szCs w:val="18"/>
              </w:rPr>
              <w:t xml:space="preserve"> –</w:t>
            </w:r>
            <w:r w:rsidRPr="007837CC">
              <w:rPr>
                <w:rFonts w:cs="Calibri"/>
                <w:color w:val="FFFFFF" w:themeColor="background1"/>
                <w:szCs w:val="18"/>
              </w:rPr>
              <w:t xml:space="preserve"> Tw</w:t>
            </w:r>
            <w:r w:rsidR="00C55AED" w:rsidRPr="007837CC">
              <w:rPr>
                <w:rFonts w:cs="Calibri"/>
                <w:color w:val="FFFFFF" w:themeColor="background1"/>
                <w:szCs w:val="18"/>
              </w:rPr>
              <w:t>o</w:t>
            </w:r>
            <w:r w:rsidR="00CE3CB7" w:rsidRPr="007837CC">
              <w:rPr>
                <w:rFonts w:cs="Calibri"/>
                <w:color w:val="FFFFFF" w:themeColor="background1"/>
                <w:szCs w:val="18"/>
              </w:rPr>
              <w:t xml:space="preserve"> CCR</w:t>
            </w:r>
            <w:r w:rsidRPr="007837CC">
              <w:rPr>
                <w:rFonts w:cs="Calibri"/>
                <w:color w:val="FFFFFF" w:themeColor="background1"/>
                <w:szCs w:val="18"/>
              </w:rPr>
              <w:t xml:space="preserve"> volumes</w:t>
            </w:r>
          </w:p>
        </w:tc>
      </w:tr>
      <w:tr w:rsidR="00B53356" w:rsidRPr="007837CC" w14:paraId="59F60568" w14:textId="77777777" w:rsidTr="001A5DB0">
        <w:tc>
          <w:tcPr>
            <w:tcW w:w="2353" w:type="dxa"/>
            <w:shd w:val="clear" w:color="auto" w:fill="FFFFFF" w:themeFill="background1"/>
          </w:tcPr>
          <w:p w14:paraId="63525141" w14:textId="67E06E13" w:rsidR="00B53356" w:rsidRPr="007837CC" w:rsidRDefault="00B53356" w:rsidP="00132702">
            <w:pPr>
              <w:pStyle w:val="TableText"/>
              <w:spacing w:before="40" w:after="40"/>
              <w:rPr>
                <w:rFonts w:cs="Calibri"/>
                <w:bCs/>
                <w:color w:val="000000"/>
                <w:szCs w:val="18"/>
              </w:rPr>
            </w:pPr>
            <w:r w:rsidRPr="007837CC">
              <w:rPr>
                <w:rFonts w:cs="Calibri"/>
                <w:szCs w:val="18"/>
              </w:rPr>
              <w:t>Accords with New Zealand’s emissions budgets, NDC and 2050 target</w:t>
            </w:r>
          </w:p>
        </w:tc>
        <w:tc>
          <w:tcPr>
            <w:tcW w:w="2352" w:type="dxa"/>
            <w:shd w:val="clear" w:color="auto" w:fill="FFFFFF" w:themeFill="background1"/>
          </w:tcPr>
          <w:p w14:paraId="68040BA5" w14:textId="77777777" w:rsidR="00B53356" w:rsidRPr="007837CC" w:rsidRDefault="00B53356" w:rsidP="00132702">
            <w:pPr>
              <w:pStyle w:val="TableText"/>
              <w:spacing w:before="40" w:after="40"/>
              <w:rPr>
                <w:rFonts w:cs="Calibri"/>
                <w:b/>
                <w:bCs/>
                <w:szCs w:val="18"/>
                <w:lang w:eastAsia="en-AU"/>
              </w:rPr>
            </w:pPr>
            <w:r w:rsidRPr="007837CC">
              <w:rPr>
                <w:rFonts w:cs="Calibri"/>
                <w:b/>
                <w:bCs/>
                <w:szCs w:val="18"/>
                <w:lang w:eastAsia="en-AU"/>
              </w:rPr>
              <w:t>0</w:t>
            </w:r>
          </w:p>
        </w:tc>
        <w:tc>
          <w:tcPr>
            <w:tcW w:w="2353" w:type="dxa"/>
            <w:shd w:val="clear" w:color="auto" w:fill="FFFFFF" w:themeFill="background1"/>
          </w:tcPr>
          <w:p w14:paraId="3174619C" w14:textId="77777777" w:rsidR="00A45932" w:rsidRPr="007837CC" w:rsidRDefault="00A45932" w:rsidP="00A45932">
            <w:pPr>
              <w:spacing w:before="40" w:after="0" w:line="276" w:lineRule="auto"/>
              <w:rPr>
                <w:rFonts w:cs="Calibri"/>
                <w:color w:val="00B050"/>
                <w:sz w:val="18"/>
                <w:szCs w:val="18"/>
              </w:rPr>
            </w:pPr>
            <w:r w:rsidRPr="007837CC">
              <w:rPr>
                <w:rFonts w:cs="Calibri"/>
                <w:b/>
                <w:color w:val="00B050"/>
                <w:sz w:val="18"/>
                <w:szCs w:val="18"/>
              </w:rPr>
              <w:t>+</w:t>
            </w:r>
          </w:p>
          <w:p w14:paraId="52B4A5DA" w14:textId="2B4932AB" w:rsidR="00B53356" w:rsidRPr="00A45932" w:rsidRDefault="00CE63FB" w:rsidP="009E0B50">
            <w:pPr>
              <w:pStyle w:val="TableText"/>
              <w:spacing w:before="40" w:after="40"/>
              <w:rPr>
                <w:rFonts w:cs="Calibri"/>
                <w:b/>
                <w:szCs w:val="18"/>
              </w:rPr>
            </w:pPr>
            <w:r w:rsidRPr="00A45932">
              <w:rPr>
                <w:rFonts w:cs="Calibri"/>
                <w:szCs w:val="18"/>
              </w:rPr>
              <w:t xml:space="preserve">Removes risk of </w:t>
            </w:r>
            <w:r w:rsidR="0087355A" w:rsidRPr="00A45932">
              <w:rPr>
                <w:rFonts w:cs="Calibri"/>
                <w:szCs w:val="18"/>
              </w:rPr>
              <w:t>slowing stockpile reduction, in turn supporting achievement of emissions targets</w:t>
            </w:r>
            <w:r w:rsidR="00A45932" w:rsidRPr="00A45932">
              <w:rPr>
                <w:rFonts w:cs="Calibri"/>
                <w:szCs w:val="18"/>
              </w:rPr>
              <w:t>.</w:t>
            </w:r>
          </w:p>
        </w:tc>
        <w:tc>
          <w:tcPr>
            <w:tcW w:w="2353" w:type="dxa"/>
            <w:shd w:val="clear" w:color="auto" w:fill="FFFFFF" w:themeFill="background1"/>
          </w:tcPr>
          <w:p w14:paraId="3D9E8B9A" w14:textId="77777777" w:rsidR="009C7850" w:rsidRPr="007837CC" w:rsidRDefault="009C7850" w:rsidP="009E0B50">
            <w:pPr>
              <w:spacing w:before="40" w:after="0" w:line="276" w:lineRule="auto"/>
              <w:rPr>
                <w:rFonts w:cs="Calibri"/>
                <w:color w:val="00B050"/>
                <w:sz w:val="18"/>
                <w:szCs w:val="18"/>
              </w:rPr>
            </w:pPr>
            <w:r w:rsidRPr="007837CC">
              <w:rPr>
                <w:rFonts w:cs="Calibri"/>
                <w:b/>
                <w:color w:val="00B050"/>
                <w:sz w:val="18"/>
                <w:szCs w:val="18"/>
              </w:rPr>
              <w:t>+</w:t>
            </w:r>
          </w:p>
          <w:p w14:paraId="7E3F9B65" w14:textId="2B0FA82C" w:rsidR="00B53356" w:rsidRPr="007837CC" w:rsidRDefault="0036130D" w:rsidP="0049306A">
            <w:pPr>
              <w:pStyle w:val="TableText"/>
              <w:spacing w:before="0"/>
              <w:rPr>
                <w:rFonts w:cs="Calibri"/>
                <w:szCs w:val="18"/>
              </w:rPr>
            </w:pPr>
            <w:r w:rsidRPr="007837CC">
              <w:rPr>
                <w:rFonts w:cs="Calibri"/>
                <w:szCs w:val="18"/>
              </w:rPr>
              <w:t>Tiered volumes reduce the risk of slowing stockpile drawdown, in turn supporting achievement of emissions targets</w:t>
            </w:r>
            <w:r w:rsidR="00A45932">
              <w:rPr>
                <w:rFonts w:cs="Calibri"/>
                <w:szCs w:val="18"/>
              </w:rPr>
              <w:t>.</w:t>
            </w:r>
          </w:p>
        </w:tc>
      </w:tr>
      <w:tr w:rsidR="00B53356" w:rsidRPr="007837CC" w14:paraId="3FE3E0E1" w14:textId="77777777" w:rsidTr="001A5DB0">
        <w:tc>
          <w:tcPr>
            <w:tcW w:w="2353" w:type="dxa"/>
            <w:shd w:val="clear" w:color="auto" w:fill="FFFFFF" w:themeFill="background1"/>
          </w:tcPr>
          <w:p w14:paraId="4E3A40B2" w14:textId="18A92799" w:rsidR="00B53356" w:rsidRPr="007837CC" w:rsidRDefault="00B53356" w:rsidP="00132702">
            <w:pPr>
              <w:pStyle w:val="TableText"/>
              <w:spacing w:before="40" w:after="40"/>
              <w:rPr>
                <w:rFonts w:cs="Calibri"/>
                <w:bCs/>
                <w:color w:val="000000"/>
                <w:szCs w:val="18"/>
              </w:rPr>
            </w:pPr>
            <w:r w:rsidRPr="007837CC">
              <w:rPr>
                <w:rFonts w:cs="Calibri"/>
                <w:szCs w:val="18"/>
              </w:rPr>
              <w:t>Supports the proper functioning of the NZ ETS</w:t>
            </w:r>
          </w:p>
        </w:tc>
        <w:tc>
          <w:tcPr>
            <w:tcW w:w="2352" w:type="dxa"/>
            <w:shd w:val="clear" w:color="auto" w:fill="FFFFFF" w:themeFill="background1"/>
          </w:tcPr>
          <w:p w14:paraId="2BD0C54E" w14:textId="12F5273E" w:rsidR="00B53356" w:rsidRPr="007837CC" w:rsidRDefault="009C7850" w:rsidP="00132702">
            <w:pPr>
              <w:pStyle w:val="TableText"/>
              <w:spacing w:before="40" w:after="40"/>
              <w:rPr>
                <w:rFonts w:cs="Calibri"/>
                <w:szCs w:val="18"/>
                <w:lang w:eastAsia="en-AU"/>
              </w:rPr>
            </w:pPr>
            <w:r w:rsidRPr="007837CC">
              <w:rPr>
                <w:rFonts w:cs="Calibri"/>
                <w:b/>
                <w:bCs/>
                <w:szCs w:val="18"/>
                <w:lang w:eastAsia="en-AU"/>
              </w:rPr>
              <w:t>0</w:t>
            </w:r>
          </w:p>
        </w:tc>
        <w:tc>
          <w:tcPr>
            <w:tcW w:w="2353" w:type="dxa"/>
            <w:shd w:val="clear" w:color="auto" w:fill="FFFFFF" w:themeFill="background1"/>
          </w:tcPr>
          <w:p w14:paraId="36DA6917" w14:textId="2A9F2BB9" w:rsidR="00991E23" w:rsidRPr="00A45932" w:rsidRDefault="00263EAD" w:rsidP="009E0B50">
            <w:pPr>
              <w:spacing w:before="40" w:after="0" w:line="276" w:lineRule="auto"/>
              <w:rPr>
                <w:rFonts w:cs="Calibri"/>
                <w:b/>
                <w:color w:val="FF0000"/>
                <w:sz w:val="18"/>
                <w:szCs w:val="18"/>
              </w:rPr>
            </w:pPr>
            <w:r w:rsidRPr="00A45932">
              <w:rPr>
                <w:rFonts w:cs="Calibri"/>
                <w:b/>
                <w:color w:val="FF0000"/>
                <w:sz w:val="18"/>
                <w:szCs w:val="18"/>
              </w:rPr>
              <w:t>–</w:t>
            </w:r>
          </w:p>
          <w:p w14:paraId="56CF3126" w14:textId="69C0E174" w:rsidR="00B53356" w:rsidRPr="00A45932" w:rsidRDefault="00991E23" w:rsidP="009E0B50">
            <w:pPr>
              <w:pStyle w:val="TableText"/>
              <w:spacing w:before="40" w:after="40"/>
              <w:rPr>
                <w:rFonts w:cs="Calibri"/>
                <w:b/>
                <w:szCs w:val="18"/>
                <w:lang w:eastAsia="en-AU"/>
              </w:rPr>
            </w:pPr>
            <w:r w:rsidRPr="00A45932">
              <w:rPr>
                <w:rFonts w:cs="Calibri"/>
                <w:szCs w:val="18"/>
                <w:lang w:eastAsia="en-AU"/>
              </w:rPr>
              <w:t>Increas</w:t>
            </w:r>
            <w:r w:rsidR="0072494E" w:rsidRPr="00A45932">
              <w:rPr>
                <w:rFonts w:cs="Calibri"/>
                <w:szCs w:val="18"/>
                <w:lang w:eastAsia="en-AU"/>
              </w:rPr>
              <w:t xml:space="preserve">es the risk that </w:t>
            </w:r>
            <w:r w:rsidR="0072494E" w:rsidRPr="00A45932">
              <w:rPr>
                <w:rFonts w:cs="Calibri"/>
                <w:szCs w:val="18"/>
              </w:rPr>
              <w:t>participants</w:t>
            </w:r>
            <w:r w:rsidR="0072494E" w:rsidRPr="00A45932">
              <w:rPr>
                <w:rFonts w:cs="Calibri"/>
                <w:szCs w:val="18"/>
                <w:lang w:eastAsia="en-AU"/>
              </w:rPr>
              <w:t xml:space="preserve"> will not be able to access units </w:t>
            </w:r>
            <w:r w:rsidR="001C22B8" w:rsidRPr="00A45932">
              <w:rPr>
                <w:rFonts w:cs="Calibri"/>
                <w:szCs w:val="18"/>
                <w:lang w:eastAsia="en-AU"/>
              </w:rPr>
              <w:t>to meet surrender requirements if the NZU market becomes unexpectedly illiquid</w:t>
            </w:r>
            <w:r w:rsidR="00A45932">
              <w:rPr>
                <w:rFonts w:cs="Calibri"/>
                <w:szCs w:val="18"/>
                <w:lang w:eastAsia="en-AU"/>
              </w:rPr>
              <w:t>.</w:t>
            </w:r>
          </w:p>
        </w:tc>
        <w:tc>
          <w:tcPr>
            <w:tcW w:w="2353" w:type="dxa"/>
            <w:shd w:val="clear" w:color="auto" w:fill="FFFFFF" w:themeFill="background1"/>
          </w:tcPr>
          <w:p w14:paraId="7AE22839" w14:textId="5AFA1745" w:rsidR="009C7850" w:rsidRPr="00A45932" w:rsidRDefault="00263EAD" w:rsidP="009E0B50">
            <w:pPr>
              <w:spacing w:before="40" w:after="0" w:line="276" w:lineRule="auto"/>
              <w:rPr>
                <w:rFonts w:cs="Calibri"/>
                <w:b/>
                <w:color w:val="FF0000"/>
                <w:sz w:val="18"/>
                <w:szCs w:val="18"/>
              </w:rPr>
            </w:pPr>
            <w:r w:rsidRPr="00A45932">
              <w:rPr>
                <w:rFonts w:cs="Calibri"/>
                <w:b/>
                <w:color w:val="FF0000"/>
                <w:sz w:val="18"/>
                <w:szCs w:val="18"/>
              </w:rPr>
              <w:t>–</w:t>
            </w:r>
          </w:p>
          <w:p w14:paraId="032E169C" w14:textId="60876EC6" w:rsidR="00B53356" w:rsidRPr="00A45932" w:rsidRDefault="00CE63FB" w:rsidP="009E0B50">
            <w:pPr>
              <w:pStyle w:val="TableText"/>
              <w:spacing w:before="40"/>
              <w:rPr>
                <w:rFonts w:cs="Calibri"/>
                <w:szCs w:val="18"/>
              </w:rPr>
            </w:pPr>
            <w:r w:rsidRPr="00A45932">
              <w:rPr>
                <w:rFonts w:cs="Calibri"/>
                <w:szCs w:val="18"/>
              </w:rPr>
              <w:t>Having tiered volumes makes auctions marginally more complex</w:t>
            </w:r>
            <w:r w:rsidR="00A45932">
              <w:rPr>
                <w:rFonts w:cs="Calibri"/>
                <w:szCs w:val="18"/>
              </w:rPr>
              <w:t>.</w:t>
            </w:r>
          </w:p>
        </w:tc>
      </w:tr>
      <w:tr w:rsidR="00B53356" w:rsidRPr="007837CC" w14:paraId="32C15D12" w14:textId="77777777" w:rsidTr="001A5DB0">
        <w:tc>
          <w:tcPr>
            <w:tcW w:w="2353" w:type="dxa"/>
            <w:shd w:val="clear" w:color="auto" w:fill="FFFFFF" w:themeFill="background1"/>
          </w:tcPr>
          <w:p w14:paraId="2436E61E" w14:textId="547A59AE" w:rsidR="00B53356" w:rsidRPr="007837CC" w:rsidRDefault="00B53356" w:rsidP="00132702">
            <w:pPr>
              <w:pStyle w:val="TableText"/>
              <w:spacing w:before="40" w:after="40"/>
              <w:rPr>
                <w:rFonts w:cs="Calibri"/>
                <w:bCs/>
                <w:color w:val="000000"/>
                <w:szCs w:val="18"/>
              </w:rPr>
            </w:pPr>
            <w:r w:rsidRPr="007837CC">
              <w:rPr>
                <w:rFonts w:cs="Calibri"/>
                <w:szCs w:val="18"/>
              </w:rPr>
              <w:t>Improves regulatory certainty and predictability</w:t>
            </w:r>
          </w:p>
        </w:tc>
        <w:tc>
          <w:tcPr>
            <w:tcW w:w="2352" w:type="dxa"/>
            <w:shd w:val="clear" w:color="auto" w:fill="FFFFFF" w:themeFill="background1"/>
          </w:tcPr>
          <w:p w14:paraId="6926C039" w14:textId="78D8F22D" w:rsidR="00B53356" w:rsidRPr="007837CC" w:rsidRDefault="009C7850" w:rsidP="00132702">
            <w:pPr>
              <w:pStyle w:val="TableText"/>
              <w:spacing w:before="40" w:after="40"/>
              <w:rPr>
                <w:rFonts w:cs="Calibri"/>
                <w:szCs w:val="18"/>
              </w:rPr>
            </w:pPr>
            <w:r w:rsidRPr="007837CC">
              <w:rPr>
                <w:rFonts w:cs="Calibri"/>
                <w:b/>
                <w:bCs/>
                <w:szCs w:val="18"/>
                <w:lang w:eastAsia="en-AU"/>
              </w:rPr>
              <w:t>0</w:t>
            </w:r>
          </w:p>
        </w:tc>
        <w:tc>
          <w:tcPr>
            <w:tcW w:w="2353" w:type="dxa"/>
            <w:shd w:val="clear" w:color="auto" w:fill="FFFFFF" w:themeFill="background1"/>
          </w:tcPr>
          <w:p w14:paraId="3FCF305A" w14:textId="281F3F4B" w:rsidR="00991E23" w:rsidRPr="007837CC" w:rsidRDefault="00263EAD" w:rsidP="009E0B50">
            <w:pPr>
              <w:spacing w:before="60" w:after="0" w:line="276" w:lineRule="auto"/>
              <w:rPr>
                <w:rFonts w:cs="Calibri"/>
                <w:b/>
                <w:color w:val="FF0000"/>
                <w:sz w:val="18"/>
                <w:szCs w:val="18"/>
              </w:rPr>
            </w:pPr>
            <w:r w:rsidRPr="007837CC">
              <w:rPr>
                <w:rFonts w:cs="Calibri"/>
                <w:b/>
                <w:color w:val="FF0000"/>
                <w:sz w:val="18"/>
                <w:szCs w:val="18"/>
              </w:rPr>
              <w:t>–</w:t>
            </w:r>
            <w:r w:rsidR="00991E23" w:rsidRPr="007837CC">
              <w:rPr>
                <w:rFonts w:cs="Calibri"/>
                <w:b/>
                <w:color w:val="FF0000"/>
                <w:sz w:val="18"/>
                <w:szCs w:val="18"/>
              </w:rPr>
              <w:t xml:space="preserve"> </w:t>
            </w:r>
            <w:r w:rsidRPr="007837CC">
              <w:rPr>
                <w:rFonts w:cs="Calibri"/>
                <w:b/>
                <w:color w:val="FF0000"/>
                <w:sz w:val="18"/>
                <w:szCs w:val="18"/>
              </w:rPr>
              <w:t>–</w:t>
            </w:r>
            <w:r w:rsidR="00991E23" w:rsidRPr="007837CC">
              <w:rPr>
                <w:rFonts w:cs="Calibri"/>
                <w:b/>
                <w:color w:val="FF0000"/>
                <w:sz w:val="18"/>
                <w:szCs w:val="18"/>
              </w:rPr>
              <w:t xml:space="preserve"> </w:t>
            </w:r>
          </w:p>
          <w:p w14:paraId="306788F6" w14:textId="2168AB34" w:rsidR="00B53356" w:rsidRPr="007837CC" w:rsidRDefault="00991E23" w:rsidP="009E0B50">
            <w:pPr>
              <w:pStyle w:val="TableText"/>
              <w:spacing w:before="40" w:after="40"/>
              <w:rPr>
                <w:rFonts w:cs="Calibri"/>
                <w:szCs w:val="18"/>
              </w:rPr>
            </w:pPr>
            <w:r w:rsidRPr="007837CC">
              <w:rPr>
                <w:rFonts w:cs="Calibri"/>
                <w:szCs w:val="18"/>
              </w:rPr>
              <w:t>Removing the CCR would be a significant change, damaging regulatory confidence</w:t>
            </w:r>
            <w:r w:rsidR="00A45932">
              <w:rPr>
                <w:rFonts w:cs="Calibri"/>
                <w:szCs w:val="18"/>
              </w:rPr>
              <w:t>.</w:t>
            </w:r>
          </w:p>
        </w:tc>
        <w:tc>
          <w:tcPr>
            <w:tcW w:w="2353" w:type="dxa"/>
            <w:shd w:val="clear" w:color="auto" w:fill="FFFFFF" w:themeFill="background1"/>
          </w:tcPr>
          <w:p w14:paraId="7AEE1756" w14:textId="6FC1B933" w:rsidR="00A87429" w:rsidRPr="007837CC" w:rsidRDefault="00263EAD" w:rsidP="009E0B50">
            <w:pPr>
              <w:spacing w:before="60" w:after="0" w:line="276" w:lineRule="auto"/>
              <w:rPr>
                <w:rFonts w:cs="Calibri"/>
                <w:b/>
                <w:color w:val="FF0000"/>
                <w:sz w:val="18"/>
                <w:szCs w:val="18"/>
              </w:rPr>
            </w:pPr>
            <w:r w:rsidRPr="007837CC">
              <w:rPr>
                <w:rFonts w:cs="Calibri"/>
                <w:b/>
                <w:color w:val="FF0000"/>
                <w:sz w:val="18"/>
                <w:szCs w:val="18"/>
              </w:rPr>
              <w:t>–</w:t>
            </w:r>
          </w:p>
          <w:p w14:paraId="0EA934CF" w14:textId="0E02CCC1" w:rsidR="00B53356" w:rsidRPr="007837CC" w:rsidRDefault="00A87429" w:rsidP="009E0B50">
            <w:pPr>
              <w:pStyle w:val="TableText"/>
              <w:spacing w:before="40" w:after="40"/>
              <w:rPr>
                <w:rFonts w:cs="Calibri"/>
                <w:szCs w:val="18"/>
              </w:rPr>
            </w:pPr>
            <w:r w:rsidRPr="007837CC">
              <w:rPr>
                <w:rFonts w:cs="Calibri"/>
                <w:szCs w:val="18"/>
              </w:rPr>
              <w:t>Changes to the CCR structure reduce regulatory certainty</w:t>
            </w:r>
            <w:r w:rsidR="00A45932">
              <w:rPr>
                <w:rFonts w:cs="Calibri"/>
                <w:szCs w:val="18"/>
              </w:rPr>
              <w:t>.</w:t>
            </w:r>
          </w:p>
        </w:tc>
      </w:tr>
      <w:tr w:rsidR="00B53356" w:rsidRPr="007837CC" w14:paraId="1260F535" w14:textId="77777777" w:rsidTr="001A5DB0">
        <w:tc>
          <w:tcPr>
            <w:tcW w:w="2353" w:type="dxa"/>
            <w:shd w:val="clear" w:color="auto" w:fill="FFFFFF" w:themeFill="background1"/>
          </w:tcPr>
          <w:p w14:paraId="3F1C4E56" w14:textId="77777777" w:rsidR="00B53356" w:rsidRPr="007837CC" w:rsidRDefault="00B53356" w:rsidP="00132702">
            <w:pPr>
              <w:pStyle w:val="TableText"/>
              <w:spacing w:before="40" w:after="40"/>
              <w:rPr>
                <w:rFonts w:cs="Calibri"/>
                <w:bCs/>
                <w:color w:val="000000"/>
                <w:szCs w:val="18"/>
              </w:rPr>
            </w:pPr>
            <w:r w:rsidRPr="007837CC">
              <w:rPr>
                <w:rFonts w:cs="Calibri"/>
                <w:szCs w:val="18"/>
              </w:rPr>
              <w:t>Supports consistency of NZU prices with the level and trajectory of international emissions prices</w:t>
            </w:r>
          </w:p>
        </w:tc>
        <w:tc>
          <w:tcPr>
            <w:tcW w:w="2352" w:type="dxa"/>
            <w:shd w:val="clear" w:color="auto" w:fill="FFFFFF" w:themeFill="background1"/>
          </w:tcPr>
          <w:p w14:paraId="3BF60811" w14:textId="5E09AC34" w:rsidR="00B53356" w:rsidRPr="007837CC" w:rsidRDefault="009C7850" w:rsidP="00132702">
            <w:pPr>
              <w:pStyle w:val="TableText"/>
              <w:spacing w:before="40" w:after="40"/>
              <w:rPr>
                <w:rFonts w:cs="Calibri"/>
                <w:szCs w:val="18"/>
              </w:rPr>
            </w:pPr>
            <w:r w:rsidRPr="007837CC">
              <w:rPr>
                <w:rFonts w:cs="Calibri"/>
                <w:b/>
                <w:bCs/>
                <w:szCs w:val="18"/>
                <w:lang w:eastAsia="en-AU"/>
              </w:rPr>
              <w:t>0</w:t>
            </w:r>
          </w:p>
        </w:tc>
        <w:tc>
          <w:tcPr>
            <w:tcW w:w="2353" w:type="dxa"/>
            <w:shd w:val="clear" w:color="auto" w:fill="FFFFFF" w:themeFill="background1"/>
          </w:tcPr>
          <w:p w14:paraId="26C32419" w14:textId="1DAE5248" w:rsidR="00B53356" w:rsidRPr="007837CC" w:rsidRDefault="009C7850" w:rsidP="00132702">
            <w:pPr>
              <w:pStyle w:val="TableText"/>
              <w:spacing w:before="40" w:after="40"/>
              <w:rPr>
                <w:rFonts w:cs="Calibri"/>
                <w:szCs w:val="18"/>
              </w:rPr>
            </w:pPr>
            <w:r w:rsidRPr="007837CC">
              <w:rPr>
                <w:rFonts w:cs="Calibri"/>
                <w:b/>
                <w:bCs/>
                <w:szCs w:val="18"/>
                <w:lang w:eastAsia="en-AU"/>
              </w:rPr>
              <w:t>0</w:t>
            </w:r>
          </w:p>
        </w:tc>
        <w:tc>
          <w:tcPr>
            <w:tcW w:w="2353" w:type="dxa"/>
            <w:shd w:val="clear" w:color="auto" w:fill="FFFFFF" w:themeFill="background1"/>
          </w:tcPr>
          <w:p w14:paraId="68A0514F" w14:textId="4B513489" w:rsidR="00B53356" w:rsidRPr="007837CC" w:rsidRDefault="009C7850" w:rsidP="00132702">
            <w:pPr>
              <w:pStyle w:val="TableText"/>
              <w:spacing w:before="40" w:after="40"/>
              <w:rPr>
                <w:rFonts w:cs="Calibri"/>
                <w:szCs w:val="18"/>
              </w:rPr>
            </w:pPr>
            <w:r w:rsidRPr="007837CC">
              <w:rPr>
                <w:rFonts w:cs="Calibri"/>
                <w:b/>
                <w:bCs/>
                <w:szCs w:val="18"/>
                <w:lang w:eastAsia="en-AU"/>
              </w:rPr>
              <w:t>0</w:t>
            </w:r>
          </w:p>
        </w:tc>
      </w:tr>
      <w:tr w:rsidR="00B53356" w:rsidRPr="007837CC" w14:paraId="709A113E" w14:textId="77777777" w:rsidTr="001A5DB0">
        <w:tc>
          <w:tcPr>
            <w:tcW w:w="2353" w:type="dxa"/>
            <w:shd w:val="clear" w:color="auto" w:fill="FFFFFF" w:themeFill="background1"/>
          </w:tcPr>
          <w:p w14:paraId="19297D90" w14:textId="141E893D" w:rsidR="00B53356" w:rsidRPr="007837CC" w:rsidRDefault="00B53356" w:rsidP="00132702">
            <w:pPr>
              <w:pStyle w:val="TableText"/>
              <w:spacing w:before="40" w:after="40"/>
              <w:rPr>
                <w:rFonts w:cs="Calibri"/>
                <w:szCs w:val="18"/>
              </w:rPr>
            </w:pPr>
            <w:r w:rsidRPr="007837CC">
              <w:rPr>
                <w:rFonts w:cs="Calibri"/>
                <w:szCs w:val="18"/>
              </w:rPr>
              <w:t>Consider the impact of emissions prices on households and the economy, and inflation</w:t>
            </w:r>
          </w:p>
        </w:tc>
        <w:tc>
          <w:tcPr>
            <w:tcW w:w="2352" w:type="dxa"/>
            <w:shd w:val="clear" w:color="auto" w:fill="FFFFFF" w:themeFill="background1"/>
          </w:tcPr>
          <w:p w14:paraId="67C2B50F" w14:textId="44916F7E" w:rsidR="00B53356" w:rsidRPr="007837CC" w:rsidRDefault="009C7850" w:rsidP="00132702">
            <w:pPr>
              <w:pStyle w:val="TableText"/>
              <w:spacing w:before="40" w:after="40"/>
              <w:rPr>
                <w:rFonts w:cs="Calibri"/>
                <w:szCs w:val="18"/>
                <w:lang w:eastAsia="en-AU"/>
              </w:rPr>
            </w:pPr>
            <w:r w:rsidRPr="007837CC">
              <w:rPr>
                <w:rFonts w:cs="Calibri"/>
                <w:b/>
                <w:bCs/>
                <w:szCs w:val="18"/>
                <w:lang w:eastAsia="en-AU"/>
              </w:rPr>
              <w:t>0</w:t>
            </w:r>
          </w:p>
        </w:tc>
        <w:tc>
          <w:tcPr>
            <w:tcW w:w="2353" w:type="dxa"/>
            <w:shd w:val="clear" w:color="auto" w:fill="FFFFFF" w:themeFill="background1"/>
          </w:tcPr>
          <w:p w14:paraId="4BD23C79" w14:textId="7D055609" w:rsidR="00716BFD" w:rsidRPr="00A45932" w:rsidRDefault="00263EAD" w:rsidP="009E0B50">
            <w:pPr>
              <w:spacing w:before="40" w:after="0" w:line="276" w:lineRule="auto"/>
              <w:rPr>
                <w:rFonts w:cs="Calibri"/>
                <w:b/>
                <w:color w:val="FF0000"/>
                <w:sz w:val="18"/>
                <w:szCs w:val="18"/>
              </w:rPr>
            </w:pPr>
            <w:r w:rsidRPr="00A45932">
              <w:rPr>
                <w:rFonts w:cs="Calibri"/>
                <w:b/>
                <w:color w:val="FF0000"/>
                <w:sz w:val="18"/>
                <w:szCs w:val="18"/>
              </w:rPr>
              <w:t>–</w:t>
            </w:r>
            <w:r w:rsidR="0087355A" w:rsidRPr="00A45932">
              <w:rPr>
                <w:rFonts w:cs="Calibri"/>
                <w:b/>
                <w:color w:val="FF0000"/>
                <w:sz w:val="18"/>
                <w:szCs w:val="18"/>
              </w:rPr>
              <w:t xml:space="preserve"> </w:t>
            </w:r>
            <w:r w:rsidRPr="00A45932">
              <w:rPr>
                <w:rFonts w:cs="Calibri"/>
                <w:b/>
                <w:color w:val="FF0000"/>
                <w:sz w:val="18"/>
                <w:szCs w:val="18"/>
              </w:rPr>
              <w:t>–</w:t>
            </w:r>
            <w:r w:rsidR="0087355A" w:rsidRPr="00A45932">
              <w:rPr>
                <w:rFonts w:cs="Calibri"/>
                <w:b/>
                <w:color w:val="FF0000"/>
                <w:sz w:val="18"/>
                <w:szCs w:val="18"/>
              </w:rPr>
              <w:t xml:space="preserve"> </w:t>
            </w:r>
          </w:p>
          <w:p w14:paraId="0B42F411" w14:textId="1D3E6E67" w:rsidR="00B53356" w:rsidRPr="00A45932" w:rsidRDefault="0087355A" w:rsidP="009E0B50">
            <w:pPr>
              <w:pStyle w:val="TableText"/>
              <w:spacing w:before="40" w:after="40"/>
              <w:rPr>
                <w:rFonts w:cs="Calibri"/>
                <w:b/>
                <w:bCs/>
                <w:szCs w:val="18"/>
              </w:rPr>
            </w:pPr>
            <w:r w:rsidRPr="00A45932">
              <w:rPr>
                <w:rFonts w:cs="Calibri"/>
                <w:szCs w:val="18"/>
              </w:rPr>
              <w:t xml:space="preserve">Removing the CCR </w:t>
            </w:r>
            <w:r w:rsidR="00716BFD" w:rsidRPr="00A45932">
              <w:rPr>
                <w:rFonts w:cs="Calibri"/>
                <w:szCs w:val="18"/>
              </w:rPr>
              <w:t xml:space="preserve">would remove the </w:t>
            </w:r>
            <w:r w:rsidR="00A45932">
              <w:rPr>
                <w:rFonts w:cs="Calibri"/>
                <w:szCs w:val="18"/>
              </w:rPr>
              <w:t xml:space="preserve">NZ </w:t>
            </w:r>
            <w:r w:rsidR="00716BFD" w:rsidRPr="00A45932">
              <w:rPr>
                <w:rFonts w:cs="Calibri"/>
                <w:szCs w:val="18"/>
              </w:rPr>
              <w:t xml:space="preserve">ETS tool designed to mitigate unacceptable impacts </w:t>
            </w:r>
            <w:r w:rsidR="00991E23" w:rsidRPr="00A45932">
              <w:rPr>
                <w:rFonts w:cs="Calibri"/>
                <w:szCs w:val="18"/>
              </w:rPr>
              <w:t>due to too high prices</w:t>
            </w:r>
            <w:r w:rsidR="00A45932">
              <w:rPr>
                <w:rFonts w:cs="Calibri"/>
                <w:szCs w:val="18"/>
              </w:rPr>
              <w:t>.</w:t>
            </w:r>
          </w:p>
        </w:tc>
        <w:tc>
          <w:tcPr>
            <w:tcW w:w="2353" w:type="dxa"/>
            <w:shd w:val="clear" w:color="auto" w:fill="FFFFFF" w:themeFill="background1"/>
          </w:tcPr>
          <w:p w14:paraId="40DAD1BA" w14:textId="7B3C88AE" w:rsidR="00E84BC3" w:rsidRPr="007837CC" w:rsidRDefault="00263EAD" w:rsidP="009E0B50">
            <w:pPr>
              <w:spacing w:before="40" w:after="0" w:line="276" w:lineRule="auto"/>
              <w:rPr>
                <w:rFonts w:cs="Calibri"/>
                <w:b/>
                <w:color w:val="FF0000"/>
                <w:sz w:val="18"/>
                <w:szCs w:val="18"/>
              </w:rPr>
            </w:pPr>
            <w:r w:rsidRPr="007837CC">
              <w:rPr>
                <w:rFonts w:cs="Calibri"/>
                <w:b/>
                <w:color w:val="FF0000"/>
                <w:sz w:val="18"/>
                <w:szCs w:val="18"/>
              </w:rPr>
              <w:t>–</w:t>
            </w:r>
            <w:r w:rsidR="009C7850" w:rsidRPr="007837CC">
              <w:rPr>
                <w:rFonts w:cs="Calibri"/>
                <w:b/>
                <w:color w:val="FF0000"/>
                <w:sz w:val="18"/>
                <w:szCs w:val="18"/>
              </w:rPr>
              <w:t xml:space="preserve"> </w:t>
            </w:r>
          </w:p>
          <w:p w14:paraId="33A8DFAF" w14:textId="24C88FEA" w:rsidR="00B53356" w:rsidRPr="007837CC" w:rsidRDefault="008B548E" w:rsidP="009E0B50">
            <w:pPr>
              <w:pStyle w:val="TableText"/>
              <w:spacing w:before="40"/>
              <w:rPr>
                <w:rFonts w:cs="Calibri"/>
                <w:szCs w:val="18"/>
              </w:rPr>
            </w:pPr>
            <w:r w:rsidRPr="007837CC">
              <w:rPr>
                <w:rFonts w:cs="Calibri"/>
                <w:szCs w:val="18"/>
              </w:rPr>
              <w:t xml:space="preserve">A </w:t>
            </w:r>
            <w:proofErr w:type="gramStart"/>
            <w:r w:rsidRPr="007837CC">
              <w:rPr>
                <w:rFonts w:cs="Calibri"/>
                <w:szCs w:val="18"/>
              </w:rPr>
              <w:t>two tiered</w:t>
            </w:r>
            <w:proofErr w:type="gramEnd"/>
            <w:r w:rsidRPr="007837CC">
              <w:rPr>
                <w:rFonts w:cs="Calibri"/>
                <w:szCs w:val="18"/>
              </w:rPr>
              <w:t xml:space="preserve"> CCR is less effective at dampening prices</w:t>
            </w:r>
            <w:r w:rsidR="00A45932">
              <w:rPr>
                <w:rFonts w:cs="Calibri"/>
                <w:szCs w:val="18"/>
              </w:rPr>
              <w:t>.</w:t>
            </w:r>
          </w:p>
        </w:tc>
      </w:tr>
      <w:tr w:rsidR="00B53356" w:rsidRPr="007837CC" w14:paraId="73DB886C" w14:textId="77777777" w:rsidTr="001A5DB0">
        <w:tc>
          <w:tcPr>
            <w:tcW w:w="2353" w:type="dxa"/>
            <w:shd w:val="clear" w:color="auto" w:fill="FFFFFF" w:themeFill="background1"/>
            <w:vAlign w:val="center"/>
          </w:tcPr>
          <w:p w14:paraId="2CABAA9A" w14:textId="77777777" w:rsidR="00B53356" w:rsidRPr="007837CC" w:rsidRDefault="00B53356" w:rsidP="00132702">
            <w:pPr>
              <w:pStyle w:val="TableText"/>
              <w:spacing w:before="40" w:after="40"/>
              <w:rPr>
                <w:rFonts w:cs="Calibri"/>
                <w:b/>
                <w:szCs w:val="18"/>
              </w:rPr>
            </w:pPr>
            <w:r w:rsidRPr="007837CC">
              <w:rPr>
                <w:rFonts w:cs="Calibri"/>
                <w:b/>
                <w:szCs w:val="18"/>
              </w:rPr>
              <w:t>Overall assessment</w:t>
            </w:r>
          </w:p>
        </w:tc>
        <w:tc>
          <w:tcPr>
            <w:tcW w:w="2352" w:type="dxa"/>
            <w:shd w:val="clear" w:color="auto" w:fill="FFFFFF" w:themeFill="background1"/>
          </w:tcPr>
          <w:p w14:paraId="50BCA033" w14:textId="48B25AF2" w:rsidR="00B53356" w:rsidRPr="007837CC" w:rsidRDefault="009C7850" w:rsidP="00132702">
            <w:pPr>
              <w:pStyle w:val="TableText"/>
              <w:spacing w:before="40" w:after="40"/>
              <w:rPr>
                <w:rFonts w:cs="Calibri"/>
                <w:b/>
                <w:szCs w:val="18"/>
                <w:lang w:eastAsia="en-AU"/>
              </w:rPr>
            </w:pPr>
            <w:r w:rsidRPr="007837CC">
              <w:rPr>
                <w:rFonts w:cs="Calibri"/>
                <w:b/>
                <w:bCs/>
                <w:szCs w:val="18"/>
                <w:lang w:eastAsia="en-AU"/>
              </w:rPr>
              <w:t>0</w:t>
            </w:r>
          </w:p>
        </w:tc>
        <w:tc>
          <w:tcPr>
            <w:tcW w:w="2353" w:type="dxa"/>
            <w:shd w:val="clear" w:color="auto" w:fill="FFFFFF" w:themeFill="background1"/>
          </w:tcPr>
          <w:p w14:paraId="5C493EA5" w14:textId="77777777" w:rsidR="00B53356" w:rsidRPr="007837CC" w:rsidRDefault="00263EAD" w:rsidP="009E0B50">
            <w:pPr>
              <w:spacing w:before="40" w:after="0" w:line="276" w:lineRule="auto"/>
              <w:rPr>
                <w:rFonts w:cs="Calibri"/>
                <w:b/>
                <w:color w:val="FF0000"/>
                <w:sz w:val="18"/>
                <w:szCs w:val="18"/>
              </w:rPr>
            </w:pPr>
            <w:r w:rsidRPr="007837CC">
              <w:rPr>
                <w:rFonts w:cs="Calibri"/>
                <w:b/>
                <w:color w:val="FF0000"/>
                <w:sz w:val="18"/>
                <w:szCs w:val="18"/>
              </w:rPr>
              <w:t>–</w:t>
            </w:r>
            <w:r w:rsidR="00345FDE" w:rsidRPr="007837CC">
              <w:rPr>
                <w:rFonts w:cs="Calibri"/>
                <w:b/>
                <w:color w:val="FF0000"/>
                <w:sz w:val="18"/>
                <w:szCs w:val="18"/>
              </w:rPr>
              <w:t xml:space="preserve"> </w:t>
            </w:r>
            <w:r w:rsidRPr="007837CC">
              <w:rPr>
                <w:rFonts w:cs="Calibri"/>
                <w:b/>
                <w:color w:val="FF0000"/>
                <w:sz w:val="18"/>
                <w:szCs w:val="18"/>
              </w:rPr>
              <w:t>–</w:t>
            </w:r>
          </w:p>
          <w:p w14:paraId="707771FD" w14:textId="5D7CB808" w:rsidR="00B53356" w:rsidRPr="007837CC" w:rsidRDefault="009A7BDF" w:rsidP="009E0B50">
            <w:pPr>
              <w:pStyle w:val="TableText"/>
              <w:spacing w:before="40" w:after="40"/>
              <w:rPr>
                <w:rFonts w:cs="Calibri"/>
                <w:szCs w:val="18"/>
              </w:rPr>
            </w:pPr>
            <w:r w:rsidRPr="007837CC">
              <w:rPr>
                <w:rFonts w:cs="Calibri"/>
                <w:szCs w:val="18"/>
              </w:rPr>
              <w:t xml:space="preserve">Rating applied to more clearly distinguish this </w:t>
            </w:r>
            <w:r w:rsidR="00AF12C4" w:rsidRPr="007837CC">
              <w:rPr>
                <w:rFonts w:cs="Calibri"/>
                <w:szCs w:val="18"/>
              </w:rPr>
              <w:t xml:space="preserve">option from the </w:t>
            </w:r>
            <w:proofErr w:type="gramStart"/>
            <w:r w:rsidR="00AF12C4" w:rsidRPr="007837CC">
              <w:rPr>
                <w:rFonts w:cs="Calibri"/>
                <w:szCs w:val="18"/>
              </w:rPr>
              <w:t>two volume</w:t>
            </w:r>
            <w:proofErr w:type="gramEnd"/>
            <w:r w:rsidR="00AF12C4" w:rsidRPr="007837CC">
              <w:rPr>
                <w:rFonts w:cs="Calibri"/>
                <w:szCs w:val="18"/>
              </w:rPr>
              <w:t xml:space="preserve"> option</w:t>
            </w:r>
            <w:r w:rsidR="00E23A72">
              <w:rPr>
                <w:rFonts w:cs="Calibri"/>
                <w:szCs w:val="18"/>
              </w:rPr>
              <w:t>.</w:t>
            </w:r>
          </w:p>
        </w:tc>
        <w:tc>
          <w:tcPr>
            <w:tcW w:w="2353" w:type="dxa"/>
            <w:shd w:val="clear" w:color="auto" w:fill="FFFFFF" w:themeFill="background1"/>
          </w:tcPr>
          <w:p w14:paraId="6F5A9E97" w14:textId="462C09F2" w:rsidR="00B53356" w:rsidRPr="00A45932" w:rsidRDefault="00A81472" w:rsidP="009E0B50">
            <w:pPr>
              <w:spacing w:before="40" w:after="0" w:line="276" w:lineRule="auto"/>
              <w:rPr>
                <w:rFonts w:cs="Calibri"/>
                <w:b/>
                <w:sz w:val="18"/>
                <w:szCs w:val="18"/>
              </w:rPr>
            </w:pPr>
            <w:r w:rsidRPr="00A45932">
              <w:rPr>
                <w:rFonts w:cs="Calibri"/>
                <w:b/>
                <w:bCs/>
                <w:sz w:val="18"/>
                <w:szCs w:val="18"/>
              </w:rPr>
              <w:t>0</w:t>
            </w:r>
          </w:p>
        </w:tc>
      </w:tr>
    </w:tbl>
    <w:p w14:paraId="4234A32E" w14:textId="2CC5022D" w:rsidR="000D7258" w:rsidRPr="007837CC" w:rsidRDefault="000D7258" w:rsidP="009E0B50">
      <w:pPr>
        <w:pStyle w:val="BodyText"/>
        <w:spacing w:before="0" w:after="0"/>
      </w:pPr>
    </w:p>
    <w:p w14:paraId="27879BE1" w14:textId="76BDEDEA" w:rsidR="00A45932" w:rsidRDefault="00A45932" w:rsidP="0044664B">
      <w:pPr>
        <w:pStyle w:val="BodyText"/>
      </w:pPr>
      <w:r w:rsidRPr="007837CC">
        <w:t>In its 2022 advice, the Commission considered disabling the CCR by setting the reserve volume at zero. The Commission’s view was that this should not occur. More detail is available in the Commission’s 2022 advice on page 54</w:t>
      </w:r>
      <w:r>
        <w:t>.</w:t>
      </w:r>
      <w:r w:rsidRPr="007837CC">
        <w:rPr>
          <w:rStyle w:val="FootnoteReference"/>
        </w:rPr>
        <w:footnoteReference w:id="28"/>
      </w:r>
      <w:r>
        <w:t xml:space="preserve"> </w:t>
      </w:r>
    </w:p>
    <w:p w14:paraId="58061CFC" w14:textId="694C19D3" w:rsidR="0044057E" w:rsidRPr="007837CC" w:rsidRDefault="009A4F86" w:rsidP="0044664B">
      <w:pPr>
        <w:pStyle w:val="BodyText"/>
      </w:pPr>
      <w:r w:rsidRPr="007837CC">
        <w:t>A single tier increases the likelihood that the full cost containment reserve volume will be sold when compared with a two</w:t>
      </w:r>
      <w:r w:rsidR="000E75C5" w:rsidRPr="007837CC">
        <w:t>-</w:t>
      </w:r>
      <w:r w:rsidRPr="007837CC">
        <w:t>tier system with a small initial volume and a larger volume only released at a higher price.</w:t>
      </w:r>
    </w:p>
    <w:p w14:paraId="076852F8" w14:textId="2274EDF3" w:rsidR="009A4F86" w:rsidRPr="007837CC" w:rsidRDefault="009A4F86" w:rsidP="0044664B">
      <w:pPr>
        <w:pStyle w:val="BodyText"/>
      </w:pPr>
      <w:r w:rsidRPr="007837CC">
        <w:lastRenderedPageBreak/>
        <w:t xml:space="preserve">The </w:t>
      </w:r>
      <w:r w:rsidR="0044057E" w:rsidRPr="007837CC">
        <w:t xml:space="preserve">way in which the </w:t>
      </w:r>
      <w:r w:rsidRPr="007837CC">
        <w:t xml:space="preserve">CCR volume </w:t>
      </w:r>
      <w:r w:rsidR="0044057E" w:rsidRPr="007837CC">
        <w:t xml:space="preserve">is calculated means that </w:t>
      </w:r>
      <w:r w:rsidRPr="007837CC">
        <w:t xml:space="preserve">volume </w:t>
      </w:r>
      <w:r w:rsidR="0044057E" w:rsidRPr="007837CC">
        <w:t>is</w:t>
      </w:r>
      <w:r w:rsidRPr="007837CC">
        <w:t xml:space="preserve"> entirely within the emissions budgets, meaning that although the sale of </w:t>
      </w:r>
      <w:r w:rsidR="009B67FF" w:rsidRPr="007837CC">
        <w:t xml:space="preserve">these </w:t>
      </w:r>
      <w:r w:rsidR="00BB117A" w:rsidRPr="007837CC">
        <w:t>NZUs</w:t>
      </w:r>
      <w:r w:rsidRPr="007837CC">
        <w:t xml:space="preserve"> will reduce the extent of stockpile reduction it will not introduce additional </w:t>
      </w:r>
      <w:r w:rsidR="00BB117A" w:rsidRPr="007837CC">
        <w:t xml:space="preserve">NZUs </w:t>
      </w:r>
      <w:r w:rsidRPr="007837CC">
        <w:t>above emissions budgets.</w:t>
      </w:r>
    </w:p>
    <w:p w14:paraId="67FC9538" w14:textId="7D101983" w:rsidR="00252828" w:rsidRPr="007837CC" w:rsidRDefault="009A4F86" w:rsidP="0044664B">
      <w:pPr>
        <w:pStyle w:val="BodyText"/>
      </w:pPr>
      <w:r w:rsidRPr="007837CC">
        <w:t xml:space="preserve">The CCR has been triggered repeatedly, whereas the intent was for this to be </w:t>
      </w:r>
      <w:r w:rsidR="0023739C" w:rsidRPr="007837CC">
        <w:t>rare</w:t>
      </w:r>
      <w:r w:rsidRPr="007837CC">
        <w:t>. This is a problem that has been addressed by adjusting the trigger prices and these could be further adjusted to reduce the probability.</w:t>
      </w:r>
    </w:p>
    <w:p w14:paraId="6857C880" w14:textId="6DAFA482" w:rsidR="009A4F86" w:rsidRPr="007837CC" w:rsidRDefault="009A4F86" w:rsidP="0044664B">
      <w:pPr>
        <w:pStyle w:val="BodyText"/>
      </w:pPr>
      <w:r w:rsidRPr="007837CC">
        <w:t>The purpose of the CCR is to mitigate against unacceptably high prices. Multiple trigger prices with a low initial volume are likely to be less effective in significantly dampening prices. Multiple prices would be better suited to a cost containment reserve intended to smooth prices by releasing a steady supply if NZU prices continued to rise.</w:t>
      </w:r>
    </w:p>
    <w:p w14:paraId="55CDB0FC" w14:textId="042750AD" w:rsidR="00252828" w:rsidRPr="007837CC" w:rsidRDefault="009A4F86" w:rsidP="0044664B">
      <w:pPr>
        <w:pStyle w:val="BodyText"/>
      </w:pPr>
      <w:r w:rsidRPr="007837CC">
        <w:t xml:space="preserve">Evidence from the auctions at which CCR volume has been sold to date indicates that volume is the key driver of effectiveness in dampening </w:t>
      </w:r>
      <w:r w:rsidR="38BEC4D6" w:rsidRPr="007837CC">
        <w:t xml:space="preserve">the </w:t>
      </w:r>
      <w:r w:rsidRPr="007837CC">
        <w:t>auction clearing price.</w:t>
      </w:r>
    </w:p>
    <w:p w14:paraId="2CA2F2B5" w14:textId="3A3925D6" w:rsidR="009A4F86" w:rsidRPr="007837CC" w:rsidRDefault="009A4F86" w:rsidP="0044664B">
      <w:pPr>
        <w:pStyle w:val="BodyText"/>
      </w:pPr>
      <w:r w:rsidRPr="007837CC">
        <w:t>The status quo of a single tier CCR equal to the stockpile reduction volume performs better against the criteria listed above.</w:t>
      </w:r>
    </w:p>
    <w:p w14:paraId="4BCC2BD3" w14:textId="0646FB0D" w:rsidR="009A4F86" w:rsidRPr="007837CC" w:rsidRDefault="009A4F86" w:rsidP="0044664B">
      <w:pPr>
        <w:pStyle w:val="BodyText"/>
      </w:pPr>
      <w:r w:rsidRPr="007837CC">
        <w:t xml:space="preserve">The Commission recommended a two-tiered CCR to provide for a more controlled release of reserve </w:t>
      </w:r>
      <w:r w:rsidR="00BB117A" w:rsidRPr="007837CC">
        <w:t xml:space="preserve">NZUs </w:t>
      </w:r>
      <w:r w:rsidRPr="007837CC">
        <w:t xml:space="preserve">compared to the status quo. While </w:t>
      </w:r>
      <w:r w:rsidR="002712DA" w:rsidRPr="007837CC">
        <w:t>o</w:t>
      </w:r>
      <w:r w:rsidRPr="007837CC">
        <w:t xml:space="preserve">ption </w:t>
      </w:r>
      <w:r w:rsidR="002712DA" w:rsidRPr="007837CC">
        <w:t>t</w:t>
      </w:r>
      <w:r w:rsidRPr="007837CC">
        <w:t>wo would have such an effect, it would also diminish the price dampening effect of the CCR.</w:t>
      </w:r>
    </w:p>
    <w:p w14:paraId="72BA1ED5" w14:textId="4DDA894C" w:rsidR="009A4F86" w:rsidRPr="007837CC" w:rsidRDefault="009A4F86" w:rsidP="0044664B">
      <w:pPr>
        <w:pStyle w:val="BodyText"/>
        <w:spacing w:after="240"/>
      </w:pPr>
      <w:r w:rsidRPr="007837CC">
        <w:t xml:space="preserve">The Commission also noted that two tiers could weaken the magnet effect of the trigger price on price expectations (that market NZU prices are pulled towards the CCR trigger prices as </w:t>
      </w:r>
      <w:r w:rsidRPr="007837CC">
        <w:rPr>
          <w:spacing w:val="-2"/>
        </w:rPr>
        <w:t>they change). There is limited evidence to support this. It is conceivable that market participants</w:t>
      </w:r>
      <w:r w:rsidRPr="007837CC">
        <w:t xml:space="preserve"> would simply target the higher second trigger, driving price expectations even higher.</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621B2E" w:rsidRPr="007837CC" w14:paraId="0C10D415" w14:textId="77777777" w:rsidTr="00CE1496">
        <w:tc>
          <w:tcPr>
            <w:tcW w:w="0" w:type="auto"/>
            <w:shd w:val="clear" w:color="auto" w:fill="D2DDE2"/>
          </w:tcPr>
          <w:p w14:paraId="14BDFFAE" w14:textId="5E92339E" w:rsidR="00621B2E" w:rsidRPr="007837CC" w:rsidRDefault="00621B2E" w:rsidP="007247B3">
            <w:pPr>
              <w:pStyle w:val="Boxheading"/>
              <w:spacing w:before="180"/>
              <w:rPr>
                <w:rFonts w:cs="Calibri"/>
              </w:rPr>
            </w:pPr>
            <w:r w:rsidRPr="007837CC">
              <w:rPr>
                <w:rFonts w:cs="Calibri"/>
              </w:rPr>
              <w:t>Question</w:t>
            </w:r>
            <w:r w:rsidR="002712DA" w:rsidRPr="007837CC">
              <w:rPr>
                <w:rFonts w:cs="Calibri"/>
              </w:rPr>
              <w:t>s</w:t>
            </w:r>
          </w:p>
          <w:p w14:paraId="5FB02FDD" w14:textId="139B80C0" w:rsidR="005D14C0" w:rsidRPr="007837CC" w:rsidRDefault="005D14C0" w:rsidP="002712DA">
            <w:pPr>
              <w:pStyle w:val="Boxquestion"/>
              <w:spacing w:after="0"/>
              <w:ind w:left="681" w:hanging="397"/>
            </w:pPr>
            <w:r w:rsidRPr="007837CC">
              <w:t>Do you think the cost containment reserve should be disabled by having no reserve volume?</w:t>
            </w:r>
          </w:p>
          <w:p w14:paraId="58067DB1" w14:textId="0C800F3C" w:rsidR="00621B2E" w:rsidRPr="007837CC" w:rsidRDefault="005D14C0" w:rsidP="007247B3">
            <w:pPr>
              <w:pStyle w:val="Boxquestion"/>
              <w:spacing w:after="180"/>
            </w:pPr>
            <w:r w:rsidRPr="007837CC">
              <w:t>If retained, d</w:t>
            </w:r>
            <w:r w:rsidR="00621B2E" w:rsidRPr="007837CC">
              <w:t>o you think the cost containment reserve should consist of one or two tiers?</w:t>
            </w:r>
          </w:p>
        </w:tc>
      </w:tr>
    </w:tbl>
    <w:p w14:paraId="27799113" w14:textId="45FDEFB5" w:rsidR="00DA72CF" w:rsidRPr="007837CC" w:rsidRDefault="00DA72CF" w:rsidP="00DA72CF">
      <w:pPr>
        <w:pStyle w:val="Heading2"/>
        <w:spacing w:before="400"/>
      </w:pPr>
      <w:bookmarkStart w:id="64" w:name="_Toc135300682"/>
      <w:r w:rsidRPr="007837CC">
        <w:t xml:space="preserve">Cost containment reserve </w:t>
      </w:r>
      <w:r w:rsidR="005D14C0" w:rsidRPr="007837CC">
        <w:t xml:space="preserve">total </w:t>
      </w:r>
      <w:r w:rsidRPr="007837CC">
        <w:t>volume</w:t>
      </w:r>
      <w:bookmarkEnd w:id="64"/>
    </w:p>
    <w:p w14:paraId="7DBF552C" w14:textId="6C19E3E2" w:rsidR="00DA72CF" w:rsidRPr="007837CC" w:rsidRDefault="00DA72CF" w:rsidP="00DA72CF">
      <w:pPr>
        <w:pStyle w:val="BodyText"/>
        <w:rPr>
          <w:spacing w:val="-2"/>
        </w:rPr>
      </w:pPr>
      <w:r w:rsidRPr="007837CC">
        <w:t xml:space="preserve">The CCR is the volume of </w:t>
      </w:r>
      <w:r w:rsidR="00BB117A" w:rsidRPr="007837CC">
        <w:t xml:space="preserve">NZUs </w:t>
      </w:r>
      <w:r w:rsidRPr="007837CC">
        <w:t xml:space="preserve">that is available for release when an auction reaches the trigger </w:t>
      </w:r>
      <w:r w:rsidRPr="007837CC">
        <w:rPr>
          <w:spacing w:val="-2"/>
        </w:rPr>
        <w:t>price. The volume in the reserve affects the CCR’s ability to effectively manage emissions prices.</w:t>
      </w:r>
    </w:p>
    <w:p w14:paraId="30337FEE" w14:textId="38483DDA" w:rsidR="00DA72CF" w:rsidRPr="007837CC" w:rsidRDefault="00DA72CF" w:rsidP="00DA72CF">
      <w:pPr>
        <w:pStyle w:val="BodyText"/>
      </w:pPr>
      <w:r w:rsidRPr="007837CC">
        <w:t xml:space="preserve">How effectively the cost containment reserve can dampen emission unit prices depends on the volume of </w:t>
      </w:r>
      <w:r w:rsidR="00BB117A" w:rsidRPr="007837CC">
        <w:t xml:space="preserve">NZUs </w:t>
      </w:r>
      <w:r w:rsidRPr="007837CC">
        <w:t>allowed for release, and the impact this additional supply has.</w:t>
      </w:r>
    </w:p>
    <w:p w14:paraId="42BFAC8C" w14:textId="135ABC8F" w:rsidR="00DA72CF" w:rsidRPr="007837CC" w:rsidRDefault="00DA72CF" w:rsidP="00DA72CF">
      <w:pPr>
        <w:pStyle w:val="BodyText"/>
      </w:pPr>
      <w:r w:rsidRPr="007837CC">
        <w:t>The status quo has the cost containment reserve volume set as equal to the stockpile reduction volume amount used in calculating auction volumes.</w:t>
      </w:r>
    </w:p>
    <w:p w14:paraId="4E4B3D97" w14:textId="44BA6514" w:rsidR="00DA72CF" w:rsidRPr="007837CC" w:rsidRDefault="00A83484" w:rsidP="00DA72CF">
      <w:pPr>
        <w:pStyle w:val="BodyText"/>
      </w:pPr>
      <w:r w:rsidRPr="007837CC">
        <w:t xml:space="preserve">The Commission has recommended an additional component </w:t>
      </w:r>
      <w:r w:rsidR="003348B9" w:rsidRPr="007837CC">
        <w:t xml:space="preserve">(step 5b) </w:t>
      </w:r>
      <w:r w:rsidRPr="007837CC">
        <w:t xml:space="preserve">of the stockpile reduction step, which is </w:t>
      </w:r>
      <w:r w:rsidR="00F31FE0" w:rsidRPr="007837CC">
        <w:t xml:space="preserve">discussed as part of this consultation. Two options are </w:t>
      </w:r>
      <w:r w:rsidR="009600B0" w:rsidRPr="007837CC">
        <w:t>discussed</w:t>
      </w:r>
      <w:r w:rsidR="00F31FE0" w:rsidRPr="007837CC">
        <w:t xml:space="preserve"> here</w:t>
      </w:r>
      <w:r w:rsidR="009600B0" w:rsidRPr="007837CC">
        <w:t xml:space="preserve"> for consideration. </w:t>
      </w:r>
      <w:r w:rsidR="00DA72CF" w:rsidRPr="007837CC">
        <w:t xml:space="preserve">Note, the option of having a CCR volume of zero </w:t>
      </w:r>
      <w:r w:rsidR="00BB117A" w:rsidRPr="007837CC">
        <w:t xml:space="preserve">NZUs </w:t>
      </w:r>
      <w:r w:rsidR="00DA72CF" w:rsidRPr="007837CC">
        <w:t xml:space="preserve">is </w:t>
      </w:r>
      <w:r w:rsidR="009600B0" w:rsidRPr="007837CC">
        <w:t>addressed</w:t>
      </w:r>
      <w:r w:rsidR="00DA72CF" w:rsidRPr="007837CC">
        <w:t xml:space="preserve"> earlier as an option for the CCR structure. </w:t>
      </w:r>
    </w:p>
    <w:p w14:paraId="1367F741" w14:textId="3DC49A71" w:rsidR="009600B0" w:rsidRPr="007837CC" w:rsidRDefault="008C4785" w:rsidP="0044664B">
      <w:pPr>
        <w:pStyle w:val="Numberedparagraph"/>
        <w:numPr>
          <w:ilvl w:val="0"/>
          <w:numId w:val="57"/>
        </w:numPr>
      </w:pPr>
      <w:r w:rsidRPr="007837CC">
        <w:t xml:space="preserve">Option 1 – Status quo, </w:t>
      </w:r>
      <w:r w:rsidR="00DB47C7" w:rsidRPr="007837CC">
        <w:t xml:space="preserve">CCR volume reflecting the total amount of </w:t>
      </w:r>
      <w:r w:rsidR="00BB117A" w:rsidRPr="007837CC">
        <w:t xml:space="preserve">NZUs </w:t>
      </w:r>
      <w:r w:rsidR="00DB47C7" w:rsidRPr="007837CC">
        <w:t>withheld from auction</w:t>
      </w:r>
      <w:r w:rsidRPr="007837CC">
        <w:t xml:space="preserve"> </w:t>
      </w:r>
      <w:r w:rsidR="003A613F" w:rsidRPr="007837CC">
        <w:t>as part of the stockpile reduction step of calculating auction volumes</w:t>
      </w:r>
      <w:r w:rsidR="002712DA" w:rsidRPr="007837CC">
        <w:t>.</w:t>
      </w:r>
    </w:p>
    <w:p w14:paraId="150BAC38" w14:textId="6493074E" w:rsidR="008C4785" w:rsidRPr="007837CC" w:rsidRDefault="008C4785" w:rsidP="0044664B">
      <w:pPr>
        <w:pStyle w:val="Numberedparagraph"/>
      </w:pPr>
      <w:r w:rsidRPr="007837CC">
        <w:lastRenderedPageBreak/>
        <w:t xml:space="preserve">Option 2 </w:t>
      </w:r>
      <w:r w:rsidR="00DF7DAA" w:rsidRPr="007837CC">
        <w:t>–</w:t>
      </w:r>
      <w:r w:rsidRPr="007837CC">
        <w:t xml:space="preserve"> </w:t>
      </w:r>
      <w:r w:rsidR="00DF7DAA" w:rsidRPr="007837CC">
        <w:t xml:space="preserve">CCR volume reflecting </w:t>
      </w:r>
      <w:r w:rsidR="008052FF" w:rsidRPr="007837CC">
        <w:t xml:space="preserve">the surplus reduction volume component of the stockpile reduction step only, without </w:t>
      </w:r>
      <w:r w:rsidR="003A502E" w:rsidRPr="007837CC">
        <w:t xml:space="preserve">also including the </w:t>
      </w:r>
      <w:r w:rsidR="00902015" w:rsidRPr="007837CC">
        <w:t>Commission’s proposed technical adjustment</w:t>
      </w:r>
      <w:r w:rsidR="0061768D" w:rsidRPr="007837CC">
        <w:t xml:space="preserve"> in</w:t>
      </w:r>
      <w:r w:rsidR="006436D0" w:rsidRPr="007837CC">
        <w:t xml:space="preserve"> step 5b</w:t>
      </w:r>
      <w:r w:rsidR="00902015" w:rsidRPr="007837CC">
        <w:t xml:space="preserve">. </w:t>
      </w:r>
    </w:p>
    <w:p w14:paraId="1F4975CA" w14:textId="3A65A34A" w:rsidR="009600B0" w:rsidRPr="007837CC" w:rsidRDefault="00FA28C4" w:rsidP="008E3CC5">
      <w:pPr>
        <w:pStyle w:val="BodyText"/>
        <w:spacing w:before="100" w:after="100"/>
      </w:pPr>
      <w:r w:rsidRPr="007837CC">
        <w:t xml:space="preserve">These options will be identical if a decision is made not to include a technical adjustment as part of the calculation of withholding </w:t>
      </w:r>
      <w:r w:rsidR="00BB117A" w:rsidRPr="007837CC">
        <w:t xml:space="preserve">NZUs </w:t>
      </w:r>
      <w:r w:rsidRPr="007837CC">
        <w:t xml:space="preserve">from auction volumes. </w:t>
      </w:r>
    </w:p>
    <w:p w14:paraId="04B32158" w14:textId="037E0274" w:rsidR="00FA28C4" w:rsidRPr="007837CC" w:rsidRDefault="00FA28C4" w:rsidP="0044664B">
      <w:pPr>
        <w:pStyle w:val="BodyText"/>
        <w:spacing w:after="240"/>
      </w:pPr>
      <w:r w:rsidRPr="007837CC">
        <w:t xml:space="preserve">Otherwise, they will differ by the degree to which a technical adjustment is made.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2712DA" w:rsidRPr="007837CC" w14:paraId="49F37344" w14:textId="77777777">
        <w:tc>
          <w:tcPr>
            <w:tcW w:w="0" w:type="auto"/>
            <w:shd w:val="clear" w:color="auto" w:fill="D2DDE2"/>
          </w:tcPr>
          <w:p w14:paraId="3282BB22" w14:textId="469B27FD" w:rsidR="002712DA" w:rsidRPr="007837CC" w:rsidRDefault="002712DA">
            <w:pPr>
              <w:pStyle w:val="Boxheading"/>
              <w:spacing w:before="180"/>
              <w:rPr>
                <w:rFonts w:cs="Calibri"/>
              </w:rPr>
            </w:pPr>
            <w:r w:rsidRPr="007837CC">
              <w:rPr>
                <w:rFonts w:cs="Calibri"/>
              </w:rPr>
              <w:t>Question</w:t>
            </w:r>
          </w:p>
          <w:p w14:paraId="4AFF9492" w14:textId="3D920132" w:rsidR="002712DA" w:rsidRPr="007837CC" w:rsidRDefault="002712DA" w:rsidP="008E3CC5">
            <w:pPr>
              <w:pStyle w:val="Boxquestion"/>
              <w:spacing w:before="80" w:after="180"/>
              <w:ind w:left="681" w:hanging="397"/>
            </w:pPr>
            <w:r w:rsidRPr="007837CC">
              <w:t>If a technical adjustment is included as part of the stockpile reduction component of auction volumes, should this technical adjustment amount be included in the total cost containment reserve volume?</w:t>
            </w:r>
          </w:p>
        </w:tc>
      </w:tr>
    </w:tbl>
    <w:p w14:paraId="72BAED6A" w14:textId="6FC5AB07" w:rsidR="00B668BF" w:rsidRPr="007837CC" w:rsidRDefault="00B668BF" w:rsidP="00F33833">
      <w:pPr>
        <w:pStyle w:val="Heading3"/>
      </w:pPr>
      <w:r w:rsidRPr="007837CC">
        <w:t>Cost containment reserve, tier volumes</w:t>
      </w:r>
    </w:p>
    <w:p w14:paraId="4BFF6A3D" w14:textId="38C9EC64" w:rsidR="00B668BF" w:rsidRPr="007837CC" w:rsidRDefault="00B668BF" w:rsidP="008E3CC5">
      <w:pPr>
        <w:pStyle w:val="BodyText"/>
        <w:spacing w:before="100" w:after="100"/>
      </w:pPr>
      <w:r w:rsidRPr="007837CC">
        <w:t>If a decision is made to modify the cost containment reserve to be comprised of two volumes</w:t>
      </w:r>
      <w:r w:rsidR="004373A0" w:rsidRPr="007837CC">
        <w:t xml:space="preserve">, decisions need to be made on how the volume should be split. </w:t>
      </w:r>
    </w:p>
    <w:p w14:paraId="6B0428B8" w14:textId="15E867FF" w:rsidR="00893AC8" w:rsidRPr="007837CC" w:rsidRDefault="00893AC8" w:rsidP="008E3CC5">
      <w:pPr>
        <w:pStyle w:val="BodyText"/>
        <w:spacing w:before="100" w:after="100"/>
      </w:pPr>
      <w:r w:rsidRPr="007837CC">
        <w:t xml:space="preserve">The Commission’s recommendation is for </w:t>
      </w:r>
      <w:r w:rsidR="0061295E" w:rsidRPr="007837CC">
        <w:t>the first tier to contain a portion based on an estimate of the average demand gap between the NZ ETS cap and forecast emissions under current policies for sectors covered by the NZ ETS.</w:t>
      </w:r>
    </w:p>
    <w:p w14:paraId="2D5F993B" w14:textId="48D58353" w:rsidR="0061295E" w:rsidRPr="007837CC" w:rsidRDefault="0061295E" w:rsidP="008E3CC5">
      <w:pPr>
        <w:pStyle w:val="BodyText"/>
        <w:spacing w:before="100" w:after="100"/>
      </w:pPr>
      <w:r w:rsidRPr="007837CC">
        <w:t xml:space="preserve">The Commission’s recommendation is for the second tier to </w:t>
      </w:r>
      <w:r w:rsidR="00B65B5E" w:rsidRPr="007837CC">
        <w:t xml:space="preserve">contain the remainder of the total cost containment reserve volume. </w:t>
      </w:r>
    </w:p>
    <w:p w14:paraId="51058C76" w14:textId="3E7BBE98" w:rsidR="004373A0" w:rsidRPr="007837CC" w:rsidRDefault="00624AC7" w:rsidP="008E3CC5">
      <w:pPr>
        <w:pStyle w:val="BodyText"/>
        <w:spacing w:after="240"/>
      </w:pPr>
      <w:r w:rsidRPr="007837CC">
        <w:t xml:space="preserve">Under this approach, the lower tier comprises around a third of the total CCR volume.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8E3CC5" w:rsidRPr="007837CC" w14:paraId="74368562" w14:textId="77777777" w:rsidTr="008E3CC5">
        <w:tc>
          <w:tcPr>
            <w:tcW w:w="0" w:type="auto"/>
            <w:shd w:val="clear" w:color="auto" w:fill="D2DDE2"/>
          </w:tcPr>
          <w:p w14:paraId="60D68727" w14:textId="77777777" w:rsidR="008E3CC5" w:rsidRPr="007837CC" w:rsidRDefault="008E3CC5" w:rsidP="008E3CC5">
            <w:pPr>
              <w:pStyle w:val="Boxheading"/>
              <w:spacing w:before="180"/>
              <w:rPr>
                <w:rFonts w:cs="Calibri"/>
              </w:rPr>
            </w:pPr>
            <w:r w:rsidRPr="007837CC">
              <w:rPr>
                <w:rFonts w:cs="Calibri"/>
              </w:rPr>
              <w:t>Question</w:t>
            </w:r>
          </w:p>
          <w:p w14:paraId="62DDDB64" w14:textId="2C539621" w:rsidR="008E3CC5" w:rsidRPr="007837CC" w:rsidRDefault="008E3CC5" w:rsidP="008E3CC5">
            <w:pPr>
              <w:pStyle w:val="Boxquestion"/>
              <w:spacing w:before="80" w:after="180"/>
              <w:ind w:left="681" w:hanging="397"/>
            </w:pPr>
            <w:r w:rsidRPr="007837CC">
              <w:t>If a multi-tier cost containment reserve is progressed, how should the volume of units in these tiers be decided on?</w:t>
            </w:r>
          </w:p>
        </w:tc>
      </w:tr>
    </w:tbl>
    <w:p w14:paraId="226EB669" w14:textId="78E9E2BE" w:rsidR="005A505B" w:rsidRPr="007837CC" w:rsidRDefault="005A505B" w:rsidP="00621B2E">
      <w:pPr>
        <w:pStyle w:val="Heading2"/>
        <w:spacing w:before="400"/>
      </w:pPr>
      <w:bookmarkStart w:id="65" w:name="_Toc135300683"/>
      <w:r w:rsidRPr="007837CC">
        <w:t>Cost containment reserve trigger price</w:t>
      </w:r>
      <w:bookmarkEnd w:id="65"/>
    </w:p>
    <w:p w14:paraId="0C5896B1" w14:textId="2471EB9F" w:rsidR="005A505B" w:rsidRPr="007837CC" w:rsidRDefault="005A505B" w:rsidP="005A505B">
      <w:pPr>
        <w:pStyle w:val="BodyText"/>
      </w:pPr>
      <w:r w:rsidRPr="007837CC">
        <w:t xml:space="preserve">The CCR is an additional reserve of </w:t>
      </w:r>
      <w:r w:rsidR="00E01148" w:rsidRPr="007837CC">
        <w:t xml:space="preserve">NZUs </w:t>
      </w:r>
      <w:r w:rsidRPr="007837CC">
        <w:t>that is released for sale at auction if the auction clearing price reaches or exceeds a specific ‘trigger price’. By increasing unit supply, it releases pressure on demand and reduces the clearing price. The CCR trigger price signals the upper extreme of acceptable prices in the NZ ETS and</w:t>
      </w:r>
      <w:r w:rsidR="00B20AE1" w:rsidRPr="007837CC">
        <w:t>, if it is triggered at all, such</w:t>
      </w:r>
      <w:r w:rsidR="00472AA0" w:rsidRPr="007837CC">
        <w:t xml:space="preserve"> occasions</w:t>
      </w:r>
      <w:r w:rsidRPr="007837CC">
        <w:t xml:space="preserve"> should be</w:t>
      </w:r>
      <w:r w:rsidR="007756C6" w:rsidRPr="007837CC">
        <w:t> </w:t>
      </w:r>
      <w:r w:rsidRPr="007837CC">
        <w:t xml:space="preserve">rare. </w:t>
      </w:r>
    </w:p>
    <w:p w14:paraId="48DD3406" w14:textId="5C436454" w:rsidR="00C17F4F" w:rsidRPr="007837CC" w:rsidRDefault="00C32B3B" w:rsidP="005A505B">
      <w:pPr>
        <w:pStyle w:val="BodyText"/>
      </w:pPr>
      <w:r w:rsidRPr="007837CC">
        <w:t xml:space="preserve">The CCR has been triggered </w:t>
      </w:r>
      <w:r w:rsidR="00AF6249" w:rsidRPr="007837CC">
        <w:t>three</w:t>
      </w:r>
      <w:r w:rsidR="00FB150F" w:rsidRPr="007837CC">
        <w:t xml:space="preserve"> times since </w:t>
      </w:r>
      <w:r w:rsidR="0051028E" w:rsidRPr="007837CC">
        <w:t xml:space="preserve">auctions began in </w:t>
      </w:r>
      <w:r w:rsidR="00D50A1A" w:rsidRPr="007837CC">
        <w:t>2021</w:t>
      </w:r>
      <w:r w:rsidR="00AF6249" w:rsidRPr="007837CC">
        <w:t xml:space="preserve">, with the entire CCR volume </w:t>
      </w:r>
      <w:r w:rsidR="00F00007" w:rsidRPr="007837CC">
        <w:t xml:space="preserve">being sold in both 2021 and 2022. </w:t>
      </w:r>
    </w:p>
    <w:p w14:paraId="42E6CA1D" w14:textId="33E21C97" w:rsidR="004A554E" w:rsidRPr="007837CC" w:rsidRDefault="004A554E" w:rsidP="008E3CC5">
      <w:pPr>
        <w:pStyle w:val="Heading3"/>
      </w:pPr>
      <w:r w:rsidRPr="007837CC">
        <w:t>What the Commission recommend</w:t>
      </w:r>
      <w:r w:rsidR="00A92A55" w:rsidRPr="007837CC">
        <w:t>s</w:t>
      </w:r>
    </w:p>
    <w:p w14:paraId="2AE4A35D" w14:textId="0138C713" w:rsidR="004A554E" w:rsidRPr="007837CC" w:rsidRDefault="004A554E" w:rsidP="007756C6">
      <w:pPr>
        <w:pStyle w:val="BodyText"/>
      </w:pPr>
      <w:r w:rsidRPr="007837CC">
        <w:t xml:space="preserve">The Commission recommends updating the </w:t>
      </w:r>
      <w:r w:rsidR="006466A0" w:rsidRPr="007837CC">
        <w:t>CCR</w:t>
      </w:r>
      <w:r w:rsidR="00D83504" w:rsidRPr="007837CC">
        <w:t xml:space="preserve"> trigger price</w:t>
      </w:r>
      <w:r w:rsidRPr="007837CC">
        <w:t xml:space="preserve"> </w:t>
      </w:r>
      <w:r w:rsidR="00424D65" w:rsidRPr="007837CC">
        <w:t>considering</w:t>
      </w:r>
      <w:r w:rsidRPr="007837CC">
        <w:t>:</w:t>
      </w:r>
    </w:p>
    <w:p w14:paraId="205BDEAF" w14:textId="352E8EED" w:rsidR="004A554E" w:rsidRPr="007837CC" w:rsidRDefault="008E3CC5" w:rsidP="007756C6">
      <w:pPr>
        <w:pStyle w:val="Bullet"/>
      </w:pPr>
      <w:r w:rsidRPr="007837CC">
        <w:t>u</w:t>
      </w:r>
      <w:r w:rsidR="00CF103C" w:rsidRPr="007837CC">
        <w:t xml:space="preserve">pdated </w:t>
      </w:r>
      <w:r w:rsidR="00424D65" w:rsidRPr="007837CC">
        <w:t>i</w:t>
      </w:r>
      <w:r w:rsidR="004A554E" w:rsidRPr="007837CC">
        <w:t xml:space="preserve">nflation forecasts </w:t>
      </w:r>
    </w:p>
    <w:p w14:paraId="7F7AA661" w14:textId="04722D8B" w:rsidR="004A554E" w:rsidRPr="007837CC" w:rsidRDefault="004A554E" w:rsidP="007756C6">
      <w:pPr>
        <w:pStyle w:val="Bullet"/>
      </w:pPr>
      <w:r w:rsidRPr="007837CC">
        <w:t xml:space="preserve">prices needed to meet </w:t>
      </w:r>
      <w:r w:rsidR="00E06535" w:rsidRPr="007837CC">
        <w:t xml:space="preserve">sectoral </w:t>
      </w:r>
      <w:r w:rsidRPr="007837CC">
        <w:t xml:space="preserve">gross emissions </w:t>
      </w:r>
      <w:r w:rsidR="00C1464F" w:rsidRPr="007837CC">
        <w:t>sub-</w:t>
      </w:r>
      <w:r w:rsidRPr="007837CC">
        <w:t xml:space="preserve">targets </w:t>
      </w:r>
      <w:r w:rsidR="00E06535" w:rsidRPr="007837CC">
        <w:t>published in</w:t>
      </w:r>
      <w:r w:rsidRPr="007837CC">
        <w:t xml:space="preserve"> the ERP. </w:t>
      </w:r>
    </w:p>
    <w:p w14:paraId="7112D099" w14:textId="1A41A7CE" w:rsidR="00582502" w:rsidRPr="007837CC" w:rsidRDefault="00582502" w:rsidP="007756C6">
      <w:pPr>
        <w:pStyle w:val="BodyText"/>
      </w:pPr>
      <w:r w:rsidRPr="007837CC">
        <w:lastRenderedPageBreak/>
        <w:t xml:space="preserve">The Commission recommends retaining status quo settings for 2024 and 2025 unless price controls are triggered, </w:t>
      </w:r>
      <w:proofErr w:type="spellStart"/>
      <w:r w:rsidR="002712DA" w:rsidRPr="007837CC">
        <w:t>eg</w:t>
      </w:r>
      <w:proofErr w:type="spellEnd"/>
      <w:r w:rsidR="002712DA" w:rsidRPr="007837CC">
        <w:t>,</w:t>
      </w:r>
      <w:r w:rsidRPr="007837CC">
        <w:t xml:space="preserve"> </w:t>
      </w:r>
      <w:r w:rsidR="002712DA" w:rsidRPr="007837CC">
        <w:t xml:space="preserve">through </w:t>
      </w:r>
      <w:r w:rsidRPr="007837CC">
        <w:t xml:space="preserve">sale of </w:t>
      </w:r>
      <w:r w:rsidR="00E01148" w:rsidRPr="007837CC">
        <w:t xml:space="preserve">NZUs </w:t>
      </w:r>
      <w:r w:rsidRPr="007837CC">
        <w:t>from the CCR, at the June 2023 NZ ETS auction</w:t>
      </w:r>
      <w:r w:rsidR="00275DF8" w:rsidRPr="007837CC">
        <w:t>.</w:t>
      </w:r>
    </w:p>
    <w:p w14:paraId="51D38BF1" w14:textId="63CF50A4" w:rsidR="00D83504" w:rsidRPr="007837CC" w:rsidRDefault="00D83504" w:rsidP="007756C6">
      <w:pPr>
        <w:pStyle w:val="BodyText"/>
      </w:pPr>
      <w:r w:rsidRPr="007837CC">
        <w:t xml:space="preserve">Notably, extending the Commission’s methodology for calculating </w:t>
      </w:r>
      <w:r w:rsidR="006466A0" w:rsidRPr="007837CC">
        <w:t>CCR</w:t>
      </w:r>
      <w:r w:rsidRPr="007837CC">
        <w:t xml:space="preserve"> reserve trigger settings would result in a tier 1 trigger of $24</w:t>
      </w:r>
      <w:r w:rsidR="000E73D7" w:rsidRPr="007837CC">
        <w:t>9</w:t>
      </w:r>
      <w:r w:rsidRPr="007837CC">
        <w:t xml:space="preserve"> in 2030, and a tier 2 trigger of $3</w:t>
      </w:r>
      <w:r w:rsidR="000E73D7" w:rsidRPr="007837CC">
        <w:t>12</w:t>
      </w:r>
      <w:r w:rsidRPr="007837CC">
        <w:t xml:space="preserve"> in</w:t>
      </w:r>
      <w:r w:rsidR="007756C6" w:rsidRPr="007837CC">
        <w:t> </w:t>
      </w:r>
      <w:r w:rsidRPr="007837CC">
        <w:t xml:space="preserve">2030. </w:t>
      </w:r>
    </w:p>
    <w:p w14:paraId="3E586146" w14:textId="77777777" w:rsidR="00287BDA" w:rsidRPr="007837CC" w:rsidRDefault="00287BDA" w:rsidP="00833F32">
      <w:pPr>
        <w:pStyle w:val="Heading4"/>
        <w:spacing w:before="120"/>
        <w:rPr>
          <w:rStyle w:val="Heading3Char"/>
          <w:b/>
          <w:bCs/>
          <w:sz w:val="24"/>
        </w:rPr>
      </w:pPr>
      <w:r w:rsidRPr="007837CC">
        <w:rPr>
          <w:rStyle w:val="Heading3Char"/>
          <w:b/>
          <w:bCs/>
          <w:sz w:val="24"/>
        </w:rPr>
        <w:t>Options</w:t>
      </w:r>
    </w:p>
    <w:p w14:paraId="401CA9C9" w14:textId="623F1474" w:rsidR="00AE03D3" w:rsidRPr="007837CC" w:rsidRDefault="000E73D7" w:rsidP="007756C6">
      <w:pPr>
        <w:pStyle w:val="BodyText"/>
        <w:rPr>
          <w:rStyle w:val="Heading3Char"/>
          <w:rFonts w:ascii="Calibri" w:hAnsi="Calibri"/>
          <w:b w:val="0"/>
          <w:bCs w:val="0"/>
          <w:sz w:val="22"/>
        </w:rPr>
      </w:pPr>
      <w:r w:rsidRPr="007837CC">
        <w:rPr>
          <w:rStyle w:val="Heading3Char"/>
          <w:rFonts w:ascii="Calibri" w:hAnsi="Calibri"/>
          <w:b w:val="0"/>
          <w:bCs w:val="0"/>
          <w:sz w:val="22"/>
        </w:rPr>
        <w:t>For</w:t>
      </w:r>
      <w:r w:rsidR="00AE03D3" w:rsidRPr="007837CC">
        <w:rPr>
          <w:rStyle w:val="Heading3Char"/>
          <w:rFonts w:ascii="Calibri" w:hAnsi="Calibri"/>
          <w:b w:val="0"/>
          <w:bCs w:val="0"/>
          <w:sz w:val="22"/>
        </w:rPr>
        <w:t xml:space="preserve"> ease of presentation, options have been presented </w:t>
      </w:r>
      <w:r w:rsidR="00311E4F" w:rsidRPr="007837CC">
        <w:rPr>
          <w:rStyle w:val="Heading3Char"/>
          <w:rFonts w:ascii="Calibri" w:hAnsi="Calibri"/>
          <w:b w:val="0"/>
          <w:bCs w:val="0"/>
          <w:sz w:val="22"/>
        </w:rPr>
        <w:t xml:space="preserve">as single tier </w:t>
      </w:r>
      <w:r w:rsidRPr="007837CC">
        <w:rPr>
          <w:rStyle w:val="Heading3Char"/>
          <w:rFonts w:ascii="Calibri" w:hAnsi="Calibri"/>
          <w:b w:val="0"/>
          <w:bCs w:val="0"/>
          <w:sz w:val="22"/>
        </w:rPr>
        <w:t>prices.</w:t>
      </w:r>
      <w:r w:rsidR="00B31D6F" w:rsidRPr="007837CC">
        <w:rPr>
          <w:rStyle w:val="Heading3Char"/>
          <w:rFonts w:ascii="Calibri" w:hAnsi="Calibri"/>
          <w:b w:val="0"/>
          <w:bCs w:val="0"/>
          <w:sz w:val="22"/>
        </w:rPr>
        <w:t xml:space="preserve"> This does not discount the </w:t>
      </w:r>
      <w:r w:rsidR="008252A4" w:rsidRPr="007837CC">
        <w:rPr>
          <w:rStyle w:val="Heading3Char"/>
          <w:rFonts w:ascii="Calibri" w:hAnsi="Calibri"/>
          <w:b w:val="0"/>
          <w:bCs w:val="0"/>
          <w:sz w:val="22"/>
        </w:rPr>
        <w:t xml:space="preserve">possibility that two tiers </w:t>
      </w:r>
      <w:r w:rsidR="002902EF" w:rsidRPr="007837CC">
        <w:rPr>
          <w:rStyle w:val="Heading3Char"/>
          <w:rFonts w:ascii="Calibri" w:hAnsi="Calibri"/>
          <w:b w:val="0"/>
          <w:bCs w:val="0"/>
          <w:sz w:val="22"/>
        </w:rPr>
        <w:t>could be implemented, and the Commission’s recommended two</w:t>
      </w:r>
      <w:r w:rsidR="000E75C5" w:rsidRPr="007837CC">
        <w:rPr>
          <w:rStyle w:val="Heading3Char"/>
          <w:rFonts w:ascii="Calibri" w:hAnsi="Calibri"/>
          <w:b w:val="0"/>
          <w:bCs w:val="0"/>
          <w:sz w:val="22"/>
        </w:rPr>
        <w:t>-</w:t>
      </w:r>
      <w:r w:rsidR="002902EF" w:rsidRPr="007837CC">
        <w:rPr>
          <w:rStyle w:val="Heading3Char"/>
          <w:rFonts w:ascii="Calibri" w:hAnsi="Calibri"/>
          <w:b w:val="0"/>
          <w:bCs w:val="0"/>
          <w:sz w:val="22"/>
        </w:rPr>
        <w:t xml:space="preserve">tier structure and prices </w:t>
      </w:r>
      <w:r w:rsidR="003749BB" w:rsidRPr="007837CC">
        <w:rPr>
          <w:rStyle w:val="Heading3Char"/>
          <w:rFonts w:ascii="Calibri" w:hAnsi="Calibri"/>
          <w:b w:val="0"/>
          <w:bCs w:val="0"/>
          <w:sz w:val="22"/>
        </w:rPr>
        <w:t>are</w:t>
      </w:r>
      <w:r w:rsidR="002902EF" w:rsidRPr="007837CC">
        <w:rPr>
          <w:rStyle w:val="Heading3Char"/>
          <w:rFonts w:ascii="Calibri" w:hAnsi="Calibri"/>
          <w:b w:val="0"/>
          <w:bCs w:val="0"/>
          <w:sz w:val="22"/>
        </w:rPr>
        <w:t xml:space="preserve"> included among these options.</w:t>
      </w:r>
      <w:r w:rsidRPr="007837CC">
        <w:rPr>
          <w:rStyle w:val="Heading3Char"/>
          <w:rFonts w:ascii="Calibri" w:hAnsi="Calibri"/>
          <w:b w:val="0"/>
          <w:bCs w:val="0"/>
          <w:sz w:val="22"/>
        </w:rPr>
        <w:t xml:space="preserve"> The Commission has advised that if a decision is made to apply a single tier only</w:t>
      </w:r>
      <w:r w:rsidR="00F45D31" w:rsidRPr="007837CC">
        <w:rPr>
          <w:lang w:eastAsia="en-GB"/>
        </w:rPr>
        <w:t xml:space="preserve"> the price triggers</w:t>
      </w:r>
      <w:r w:rsidR="008E3CC5" w:rsidRPr="007837CC">
        <w:rPr>
          <w:lang w:eastAsia="en-GB"/>
        </w:rPr>
        <w:t> </w:t>
      </w:r>
      <w:r w:rsidR="00F45D31" w:rsidRPr="007837CC">
        <w:rPr>
          <w:lang w:eastAsia="en-GB"/>
        </w:rPr>
        <w:t>and reserve volume from its recommended lower tier should be adopted</w:t>
      </w:r>
      <w:r w:rsidRPr="007837CC">
        <w:rPr>
          <w:rStyle w:val="Heading3Char"/>
          <w:rFonts w:ascii="Calibri" w:hAnsi="Calibri"/>
          <w:b w:val="0"/>
          <w:bCs w:val="0"/>
          <w:sz w:val="22"/>
        </w:rPr>
        <w:t xml:space="preserve">. </w:t>
      </w:r>
    </w:p>
    <w:p w14:paraId="70BA8462" w14:textId="66B16802" w:rsidR="002902EF" w:rsidRPr="007837CC" w:rsidRDefault="002902EF" w:rsidP="007756C6">
      <w:pPr>
        <w:pStyle w:val="BodyText"/>
        <w:rPr>
          <w:rStyle w:val="Heading3Char"/>
          <w:rFonts w:ascii="Calibri" w:hAnsi="Calibri"/>
          <w:b w:val="0"/>
          <w:bCs w:val="0"/>
          <w:sz w:val="22"/>
        </w:rPr>
      </w:pPr>
      <w:r w:rsidRPr="007837CC">
        <w:rPr>
          <w:rStyle w:val="Heading3Char"/>
          <w:rFonts w:ascii="Calibri" w:hAnsi="Calibri"/>
          <w:b w:val="0"/>
          <w:bCs w:val="0"/>
          <w:sz w:val="22"/>
        </w:rPr>
        <w:t xml:space="preserve">Prices </w:t>
      </w:r>
      <w:r w:rsidR="006327A9" w:rsidRPr="007837CC">
        <w:rPr>
          <w:rStyle w:val="Heading3Char"/>
          <w:rFonts w:ascii="Calibri" w:hAnsi="Calibri"/>
          <w:b w:val="0"/>
          <w:bCs w:val="0"/>
          <w:sz w:val="22"/>
        </w:rPr>
        <w:t xml:space="preserve">higher than the Commission’s suggested trigger prices are not presented. </w:t>
      </w:r>
      <w:r w:rsidR="00D16495" w:rsidRPr="007837CC">
        <w:rPr>
          <w:rStyle w:val="Heading3Char"/>
          <w:rFonts w:ascii="Calibri" w:hAnsi="Calibri"/>
          <w:b w:val="0"/>
          <w:bCs w:val="0"/>
          <w:sz w:val="22"/>
        </w:rPr>
        <w:t xml:space="preserve">This is </w:t>
      </w:r>
      <w:r w:rsidR="004137AB" w:rsidRPr="007837CC">
        <w:rPr>
          <w:rStyle w:val="Heading3Char"/>
          <w:rFonts w:ascii="Calibri" w:hAnsi="Calibri"/>
          <w:b w:val="0"/>
          <w:bCs w:val="0"/>
          <w:sz w:val="22"/>
        </w:rPr>
        <w:t xml:space="preserve">because there has been no </w:t>
      </w:r>
      <w:r w:rsidR="00203BD6" w:rsidRPr="007837CC">
        <w:rPr>
          <w:rStyle w:val="Heading3Char"/>
          <w:rFonts w:ascii="Calibri" w:hAnsi="Calibri"/>
          <w:b w:val="0"/>
          <w:bCs w:val="0"/>
          <w:sz w:val="22"/>
        </w:rPr>
        <w:t xml:space="preserve">suggestion by the Commission </w:t>
      </w:r>
      <w:r w:rsidR="004137AB" w:rsidRPr="007837CC">
        <w:rPr>
          <w:rStyle w:val="Heading3Char"/>
          <w:rFonts w:ascii="Calibri" w:hAnsi="Calibri"/>
          <w:b w:val="0"/>
          <w:bCs w:val="0"/>
          <w:sz w:val="22"/>
        </w:rPr>
        <w:t>that suggests that prices higher than</w:t>
      </w:r>
      <w:r w:rsidR="00B4279E" w:rsidRPr="007837CC">
        <w:rPr>
          <w:rStyle w:val="Heading3Char"/>
          <w:rFonts w:ascii="Calibri" w:hAnsi="Calibri"/>
          <w:b w:val="0"/>
          <w:bCs w:val="0"/>
          <w:sz w:val="22"/>
        </w:rPr>
        <w:t> </w:t>
      </w:r>
      <w:r w:rsidR="004137AB" w:rsidRPr="007837CC">
        <w:rPr>
          <w:rStyle w:val="Heading3Char"/>
          <w:rFonts w:ascii="Calibri" w:hAnsi="Calibri"/>
          <w:b w:val="0"/>
          <w:bCs w:val="0"/>
          <w:sz w:val="22"/>
        </w:rPr>
        <w:t xml:space="preserve">these </w:t>
      </w:r>
      <w:r w:rsidR="00203BD6" w:rsidRPr="007837CC">
        <w:rPr>
          <w:rStyle w:val="Heading3Char"/>
          <w:rFonts w:ascii="Calibri" w:hAnsi="Calibri"/>
          <w:b w:val="0"/>
          <w:bCs w:val="0"/>
          <w:sz w:val="22"/>
        </w:rPr>
        <w:t>would be required</w:t>
      </w:r>
      <w:r w:rsidR="004923A6" w:rsidRPr="007837CC">
        <w:rPr>
          <w:rStyle w:val="Heading3Char"/>
          <w:rFonts w:ascii="Calibri" w:hAnsi="Calibri"/>
          <w:b w:val="0"/>
          <w:bCs w:val="0"/>
          <w:sz w:val="22"/>
        </w:rPr>
        <w:t xml:space="preserve"> to meet emissions budgets. </w:t>
      </w:r>
    </w:p>
    <w:p w14:paraId="5F988116" w14:textId="1FB81B45" w:rsidR="00287BDA" w:rsidRPr="007837CC" w:rsidRDefault="00287BDA" w:rsidP="007756C6">
      <w:pPr>
        <w:pStyle w:val="BodyText"/>
        <w:rPr>
          <w:rStyle w:val="Heading3Char"/>
          <w:rFonts w:ascii="Calibri" w:hAnsi="Calibri"/>
          <w:b w:val="0"/>
          <w:bCs w:val="0"/>
          <w:sz w:val="22"/>
        </w:rPr>
      </w:pPr>
      <w:r w:rsidRPr="007837CC">
        <w:rPr>
          <w:rStyle w:val="Heading3Char"/>
          <w:rFonts w:ascii="Calibri" w:hAnsi="Calibri"/>
          <w:b w:val="0"/>
          <w:bCs w:val="0"/>
          <w:sz w:val="22"/>
        </w:rPr>
        <w:t xml:space="preserve">Four </w:t>
      </w:r>
      <w:r w:rsidR="00F45D31" w:rsidRPr="007837CC">
        <w:rPr>
          <w:rStyle w:val="Heading3Char"/>
          <w:rFonts w:ascii="Calibri" w:hAnsi="Calibri"/>
          <w:b w:val="0"/>
          <w:bCs w:val="0"/>
          <w:sz w:val="22"/>
        </w:rPr>
        <w:t xml:space="preserve">trigger price </w:t>
      </w:r>
      <w:r w:rsidRPr="007837CC">
        <w:rPr>
          <w:rStyle w:val="Heading3Char"/>
          <w:rFonts w:ascii="Calibri" w:hAnsi="Calibri"/>
          <w:b w:val="0"/>
          <w:bCs w:val="0"/>
          <w:sz w:val="22"/>
        </w:rPr>
        <w:t xml:space="preserve">options are presented in table </w:t>
      </w:r>
      <w:r w:rsidR="002712DA" w:rsidRPr="007837CC">
        <w:rPr>
          <w:rStyle w:val="Heading3Char"/>
          <w:rFonts w:ascii="Calibri" w:hAnsi="Calibri"/>
          <w:b w:val="0"/>
          <w:bCs w:val="0"/>
          <w:sz w:val="22"/>
        </w:rPr>
        <w:t>1</w:t>
      </w:r>
      <w:r w:rsidR="003329C9" w:rsidRPr="007837CC">
        <w:rPr>
          <w:rStyle w:val="Heading3Char"/>
          <w:rFonts w:ascii="Calibri" w:hAnsi="Calibri"/>
          <w:b w:val="0"/>
          <w:bCs w:val="0"/>
          <w:sz w:val="22"/>
        </w:rPr>
        <w:t>6</w:t>
      </w:r>
      <w:r w:rsidRPr="007837CC">
        <w:rPr>
          <w:rStyle w:val="Heading3Char"/>
          <w:rFonts w:ascii="Calibri" w:hAnsi="Calibri"/>
          <w:b w:val="0"/>
          <w:bCs w:val="0"/>
          <w:sz w:val="22"/>
        </w:rPr>
        <w:t xml:space="preserve">. This is a </w:t>
      </w:r>
      <w:r w:rsidRPr="007837CC">
        <w:t>range</w:t>
      </w:r>
      <w:r w:rsidRPr="007837CC">
        <w:rPr>
          <w:rStyle w:val="Heading3Char"/>
          <w:rFonts w:ascii="Calibri" w:hAnsi="Calibri"/>
          <w:b w:val="0"/>
          <w:bCs w:val="0"/>
          <w:sz w:val="22"/>
        </w:rPr>
        <w:t xml:space="preserve"> of options, and we are interested in hearing your views on these, and any alternatives. </w:t>
      </w:r>
      <w:r w:rsidR="00636371">
        <w:rPr>
          <w:rStyle w:val="Heading3Char"/>
          <w:rFonts w:ascii="Calibri" w:hAnsi="Calibri"/>
          <w:b w:val="0"/>
          <w:bCs w:val="0"/>
          <w:sz w:val="22"/>
        </w:rPr>
        <w:t>All options presented in table</w:t>
      </w:r>
      <w:r w:rsidR="00833F32">
        <w:rPr>
          <w:rStyle w:val="Heading3Char"/>
          <w:rFonts w:ascii="Calibri" w:hAnsi="Calibri"/>
          <w:b w:val="0"/>
          <w:bCs w:val="0"/>
          <w:sz w:val="22"/>
        </w:rPr>
        <w:t> </w:t>
      </w:r>
      <w:r w:rsidR="00636371">
        <w:rPr>
          <w:rStyle w:val="Heading3Char"/>
          <w:rFonts w:ascii="Calibri" w:hAnsi="Calibri"/>
          <w:b w:val="0"/>
          <w:bCs w:val="0"/>
          <w:sz w:val="22"/>
        </w:rPr>
        <w:t xml:space="preserve">16 </w:t>
      </w:r>
      <w:r w:rsidR="00A61D0A">
        <w:rPr>
          <w:rStyle w:val="Heading3Char"/>
          <w:rFonts w:ascii="Calibri" w:hAnsi="Calibri"/>
          <w:b w:val="0"/>
          <w:bCs w:val="0"/>
          <w:sz w:val="22"/>
        </w:rPr>
        <w:t xml:space="preserve">show updated figures from 2024 onwards. </w:t>
      </w:r>
      <w:r w:rsidR="00282491">
        <w:rPr>
          <w:rStyle w:val="Heading3Char"/>
          <w:rFonts w:ascii="Calibri" w:hAnsi="Calibri"/>
          <w:b w:val="0"/>
          <w:bCs w:val="0"/>
          <w:sz w:val="22"/>
        </w:rPr>
        <w:t xml:space="preserve">Figures for </w:t>
      </w:r>
      <w:r w:rsidR="00A61D0A">
        <w:rPr>
          <w:rStyle w:val="Heading3Char"/>
          <w:rFonts w:ascii="Calibri" w:hAnsi="Calibri"/>
          <w:b w:val="0"/>
          <w:bCs w:val="0"/>
          <w:sz w:val="22"/>
        </w:rPr>
        <w:t xml:space="preserve">2024 and 2025 would only be updated if </w:t>
      </w:r>
      <w:r w:rsidR="00D40E92">
        <w:rPr>
          <w:rStyle w:val="Heading3Char"/>
          <w:rFonts w:ascii="Calibri" w:hAnsi="Calibri"/>
          <w:b w:val="0"/>
          <w:bCs w:val="0"/>
          <w:sz w:val="22"/>
        </w:rPr>
        <w:t xml:space="preserve">there are </w:t>
      </w:r>
      <w:r w:rsidR="00040B0D">
        <w:rPr>
          <w:rStyle w:val="Heading3Char"/>
          <w:rFonts w:ascii="Calibri" w:hAnsi="Calibri"/>
          <w:b w:val="0"/>
          <w:bCs w:val="0"/>
          <w:sz w:val="22"/>
        </w:rPr>
        <w:t>circumstances that enable change to be made to the first two years. The options are:</w:t>
      </w:r>
    </w:p>
    <w:p w14:paraId="789D0DD8" w14:textId="161EA93A" w:rsidR="00287BDA" w:rsidRPr="007837CC" w:rsidRDefault="00287BDA" w:rsidP="00E97706">
      <w:pPr>
        <w:pStyle w:val="Numberedparagraph"/>
        <w:numPr>
          <w:ilvl w:val="0"/>
          <w:numId w:val="24"/>
        </w:numPr>
      </w:pPr>
      <w:r w:rsidRPr="007837CC">
        <w:t xml:space="preserve">Option one </w:t>
      </w:r>
      <w:r w:rsidR="00F3745F" w:rsidRPr="007837CC">
        <w:t>–</w:t>
      </w:r>
      <w:r w:rsidRPr="007837CC">
        <w:t xml:space="preserve"> </w:t>
      </w:r>
      <w:r w:rsidR="002712DA" w:rsidRPr="007837CC">
        <w:t>S</w:t>
      </w:r>
      <w:r w:rsidRPr="007837CC">
        <w:t>tatus quo</w:t>
      </w:r>
      <w:r w:rsidR="00850B21" w:rsidRPr="007837CC">
        <w:t xml:space="preserve"> </w:t>
      </w:r>
      <w:r w:rsidR="002727FA">
        <w:t xml:space="preserve">(increasing at </w:t>
      </w:r>
      <w:r w:rsidR="0039001B">
        <w:t xml:space="preserve">10 per cent and adjusted for </w:t>
      </w:r>
      <w:r w:rsidR="00714F25">
        <w:t>more recent inflation projections).</w:t>
      </w:r>
    </w:p>
    <w:p w14:paraId="0C8CD51E" w14:textId="602E0B8D" w:rsidR="00287BDA" w:rsidRPr="007837CC" w:rsidRDefault="00287BDA" w:rsidP="007756C6">
      <w:pPr>
        <w:pStyle w:val="Numberedparagraph"/>
      </w:pPr>
      <w:r w:rsidRPr="007837CC">
        <w:t xml:space="preserve">Option </w:t>
      </w:r>
      <w:r w:rsidR="004C4A22" w:rsidRPr="007837CC">
        <w:t>two</w:t>
      </w:r>
      <w:r w:rsidRPr="007837CC">
        <w:t xml:space="preserve"> – </w:t>
      </w:r>
      <w:r w:rsidR="00A747F8">
        <w:t xml:space="preserve">‘Delayed ramp’ </w:t>
      </w:r>
      <w:r w:rsidRPr="007837CC">
        <w:t xml:space="preserve">two years of status quo settings </w:t>
      </w:r>
      <w:r w:rsidR="00A747F8">
        <w:t xml:space="preserve">(increasing at 10 per cent </w:t>
      </w:r>
      <w:r w:rsidR="003B014A">
        <w:t>and adjusted for inflation</w:t>
      </w:r>
      <w:r w:rsidR="000E565E">
        <w:t>)</w:t>
      </w:r>
      <w:r w:rsidRPr="007837CC">
        <w:t xml:space="preserve">, then increasing in a linear </w:t>
      </w:r>
      <w:r w:rsidR="00DD656D">
        <w:t>way</w:t>
      </w:r>
      <w:r w:rsidRPr="007837CC">
        <w:t xml:space="preserve"> towards the Commission</w:t>
      </w:r>
      <w:r w:rsidR="00F33833">
        <w:t>’</w:t>
      </w:r>
      <w:r w:rsidRPr="007837CC">
        <w:t xml:space="preserve">s recommended 2030 </w:t>
      </w:r>
      <w:r w:rsidR="006466A0" w:rsidRPr="007837CC">
        <w:t>CCR</w:t>
      </w:r>
      <w:r w:rsidRPr="007837CC">
        <w:t xml:space="preserve"> trigger prices.</w:t>
      </w:r>
      <w:r w:rsidR="005D3339" w:rsidRPr="007837CC">
        <w:t xml:space="preserve"> </w:t>
      </w:r>
    </w:p>
    <w:p w14:paraId="5E659332" w14:textId="44BEB3C5" w:rsidR="00AF13B6" w:rsidRPr="007837CC" w:rsidRDefault="00A35B47" w:rsidP="007756C6">
      <w:pPr>
        <w:pStyle w:val="Numberedparagraph"/>
      </w:pPr>
      <w:r w:rsidRPr="007837CC">
        <w:t xml:space="preserve">Option </w:t>
      </w:r>
      <w:r w:rsidR="00850B21" w:rsidRPr="007837CC">
        <w:t xml:space="preserve">three </w:t>
      </w:r>
      <w:r w:rsidR="002712DA" w:rsidRPr="007837CC">
        <w:t>–</w:t>
      </w:r>
      <w:r w:rsidR="00850B21" w:rsidRPr="007837CC">
        <w:t xml:space="preserve"> </w:t>
      </w:r>
      <w:r w:rsidR="00763CFD">
        <w:t xml:space="preserve">An immediate increase to </w:t>
      </w:r>
      <w:r w:rsidR="00850B21" w:rsidRPr="007837CC">
        <w:t>$120</w:t>
      </w:r>
      <w:r w:rsidR="00763CFD">
        <w:t xml:space="preserve"> in 2024,</w:t>
      </w:r>
      <w:r w:rsidR="00850B21" w:rsidRPr="007837CC">
        <w:t xml:space="preserve"> then increasing</w:t>
      </w:r>
      <w:r w:rsidR="005C32D0" w:rsidRPr="007837CC">
        <w:t xml:space="preserve"> at </w:t>
      </w:r>
      <w:r w:rsidR="001835A9" w:rsidRPr="007837CC">
        <w:t xml:space="preserve">3 per cent </w:t>
      </w:r>
      <w:r w:rsidR="00C54F41">
        <w:t>and adjusted for inflation</w:t>
      </w:r>
      <w:r w:rsidR="002712DA" w:rsidRPr="007837CC">
        <w:t>.</w:t>
      </w:r>
      <w:r w:rsidR="00DD5E4B" w:rsidRPr="007837CC">
        <w:t xml:space="preserve"> </w:t>
      </w:r>
    </w:p>
    <w:p w14:paraId="0C69772B" w14:textId="39A6A304" w:rsidR="00424D65" w:rsidRPr="007837CC" w:rsidRDefault="00287BDA" w:rsidP="007756C6">
      <w:pPr>
        <w:pStyle w:val="Numberedparagraph"/>
        <w:rPr>
          <w:rStyle w:val="Heading3Char"/>
          <w:rFonts w:ascii="Calibri" w:hAnsi="Calibri"/>
          <w:b w:val="0"/>
          <w:bCs w:val="0"/>
          <w:sz w:val="22"/>
        </w:rPr>
      </w:pPr>
      <w:r w:rsidRPr="007837CC">
        <w:t xml:space="preserve">Option </w:t>
      </w:r>
      <w:r w:rsidR="00850B21" w:rsidRPr="007837CC">
        <w:t>four</w:t>
      </w:r>
      <w:r w:rsidRPr="007837CC">
        <w:rPr>
          <w:rStyle w:val="Heading3Char"/>
          <w:rFonts w:ascii="Calibri" w:hAnsi="Calibri"/>
          <w:b w:val="0"/>
          <w:bCs w:val="0"/>
          <w:sz w:val="22"/>
        </w:rPr>
        <w:t xml:space="preserve"> –</w:t>
      </w:r>
      <w:r w:rsidR="00282491">
        <w:rPr>
          <w:rStyle w:val="Heading3Char"/>
          <w:rFonts w:ascii="Calibri" w:hAnsi="Calibri"/>
          <w:b w:val="0"/>
          <w:bCs w:val="0"/>
          <w:sz w:val="22"/>
        </w:rPr>
        <w:t xml:space="preserve"> </w:t>
      </w:r>
      <w:r w:rsidRPr="007837CC">
        <w:rPr>
          <w:rStyle w:val="Heading3Char"/>
          <w:rFonts w:ascii="Calibri" w:hAnsi="Calibri"/>
          <w:b w:val="0"/>
          <w:bCs w:val="0"/>
          <w:sz w:val="22"/>
        </w:rPr>
        <w:t>Co</w:t>
      </w:r>
      <w:r w:rsidRPr="007837CC">
        <w:rPr>
          <w:rStyle w:val="Heading3Char"/>
          <w:rFonts w:ascii="Calibri" w:hAnsi="Calibri"/>
          <w:b w:val="0"/>
          <w:bCs w:val="0"/>
          <w:sz w:val="22"/>
        </w:rPr>
        <w:t>mmission</w:t>
      </w:r>
      <w:r w:rsidR="00CA2711" w:rsidRPr="007837CC">
        <w:rPr>
          <w:rStyle w:val="Heading3Char"/>
          <w:rFonts w:ascii="Calibri" w:hAnsi="Calibri"/>
          <w:b w:val="0"/>
          <w:bCs w:val="0"/>
          <w:sz w:val="22"/>
        </w:rPr>
        <w:t>’s recommended</w:t>
      </w:r>
      <w:r w:rsidRPr="007837CC">
        <w:rPr>
          <w:rStyle w:val="Heading3Char"/>
          <w:rFonts w:ascii="Calibri" w:hAnsi="Calibri"/>
          <w:b w:val="0"/>
          <w:bCs w:val="0"/>
          <w:sz w:val="22"/>
        </w:rPr>
        <w:t xml:space="preserve"> </w:t>
      </w:r>
      <w:r w:rsidR="00850B21" w:rsidRPr="007837CC">
        <w:rPr>
          <w:rStyle w:val="Heading3Char"/>
          <w:rFonts w:ascii="Calibri" w:hAnsi="Calibri"/>
          <w:b w:val="0"/>
          <w:bCs w:val="0"/>
          <w:sz w:val="22"/>
        </w:rPr>
        <w:t>low tier trigger</w:t>
      </w:r>
      <w:r w:rsidR="00DB40B5" w:rsidRPr="007837CC">
        <w:rPr>
          <w:rStyle w:val="Heading3Char"/>
          <w:rFonts w:ascii="Calibri" w:hAnsi="Calibri"/>
          <w:b w:val="0"/>
          <w:bCs w:val="0"/>
          <w:sz w:val="22"/>
        </w:rPr>
        <w:t xml:space="preserve"> (note, the Commission recommends retaining status quo settings for 2024 and 2025 </w:t>
      </w:r>
      <w:r w:rsidR="009E74D9" w:rsidRPr="007837CC">
        <w:rPr>
          <w:rStyle w:val="Heading3Char"/>
          <w:rFonts w:ascii="Calibri" w:hAnsi="Calibri"/>
          <w:b w:val="0"/>
          <w:bCs w:val="0"/>
          <w:sz w:val="22"/>
        </w:rPr>
        <w:t>unless settings for these</w:t>
      </w:r>
      <w:r w:rsidR="0020782D" w:rsidRPr="007837CC">
        <w:rPr>
          <w:rStyle w:val="Heading3Char"/>
          <w:rFonts w:ascii="Calibri" w:hAnsi="Calibri"/>
          <w:b w:val="0"/>
          <w:bCs w:val="0"/>
          <w:sz w:val="22"/>
        </w:rPr>
        <w:t> </w:t>
      </w:r>
      <w:r w:rsidR="009E74D9" w:rsidRPr="007837CC">
        <w:rPr>
          <w:rStyle w:val="Heading3Char"/>
          <w:rFonts w:ascii="Calibri" w:hAnsi="Calibri"/>
          <w:b w:val="0"/>
          <w:bCs w:val="0"/>
          <w:sz w:val="22"/>
        </w:rPr>
        <w:t xml:space="preserve">years </w:t>
      </w:r>
      <w:proofErr w:type="gramStart"/>
      <w:r w:rsidR="009E74D9" w:rsidRPr="007837CC">
        <w:rPr>
          <w:rStyle w:val="Heading3Char"/>
          <w:rFonts w:ascii="Calibri" w:hAnsi="Calibri"/>
          <w:b w:val="0"/>
          <w:bCs w:val="0"/>
          <w:sz w:val="22"/>
        </w:rPr>
        <w:t>are able to</w:t>
      </w:r>
      <w:proofErr w:type="gramEnd"/>
      <w:r w:rsidR="009E74D9" w:rsidRPr="007837CC">
        <w:rPr>
          <w:rStyle w:val="Heading3Char"/>
          <w:rFonts w:ascii="Calibri" w:hAnsi="Calibri"/>
          <w:b w:val="0"/>
          <w:bCs w:val="0"/>
          <w:sz w:val="22"/>
        </w:rPr>
        <w:t xml:space="preserve"> be updated)</w:t>
      </w:r>
      <w:r w:rsidR="002712DA" w:rsidRPr="007837CC">
        <w:rPr>
          <w:rStyle w:val="Heading3Char"/>
          <w:rFonts w:ascii="Calibri" w:hAnsi="Calibri"/>
          <w:b w:val="0"/>
          <w:bCs w:val="0"/>
          <w:sz w:val="22"/>
        </w:rPr>
        <w:t>.</w:t>
      </w:r>
    </w:p>
    <w:p w14:paraId="793CF225" w14:textId="096D673F" w:rsidR="00393B16" w:rsidRPr="007837CC" w:rsidRDefault="121B50DB" w:rsidP="007756C6">
      <w:pPr>
        <w:pStyle w:val="Numberedparagraph"/>
        <w:rPr>
          <w:rStyle w:val="Heading3Char"/>
          <w:rFonts w:ascii="Calibri" w:hAnsi="Calibri"/>
          <w:b w:val="0"/>
          <w:bCs w:val="0"/>
          <w:sz w:val="22"/>
        </w:rPr>
      </w:pPr>
      <w:r w:rsidRPr="10576F42">
        <w:rPr>
          <w:rStyle w:val="Heading3Char"/>
          <w:rFonts w:ascii="Calibri" w:hAnsi="Calibri"/>
          <w:b w:val="0"/>
          <w:bCs w:val="0"/>
          <w:sz w:val="22"/>
        </w:rPr>
        <w:t xml:space="preserve">Option </w:t>
      </w:r>
      <w:r w:rsidR="7F59572C" w:rsidRPr="10576F42">
        <w:rPr>
          <w:rStyle w:val="Heading3Char"/>
          <w:rFonts w:ascii="Calibri" w:hAnsi="Calibri"/>
          <w:b w:val="0"/>
          <w:bCs w:val="0"/>
          <w:sz w:val="22"/>
        </w:rPr>
        <w:t>five</w:t>
      </w:r>
      <w:r w:rsidRPr="10576F42">
        <w:rPr>
          <w:rStyle w:val="Heading3Char"/>
          <w:rFonts w:ascii="Calibri" w:hAnsi="Calibri"/>
          <w:b w:val="0"/>
          <w:bCs w:val="0"/>
          <w:sz w:val="22"/>
        </w:rPr>
        <w:t xml:space="preserve"> –</w:t>
      </w:r>
      <w:r w:rsidRPr="10576F42">
        <w:rPr>
          <w:rStyle w:val="Heading3Char"/>
          <w:rFonts w:ascii="Calibri" w:hAnsi="Calibri"/>
          <w:b w:val="0"/>
          <w:bCs w:val="0"/>
          <w:sz w:val="22"/>
        </w:rPr>
        <w:t xml:space="preserve"> </w:t>
      </w:r>
      <w:r w:rsidR="7F59572C" w:rsidRPr="10576F42">
        <w:rPr>
          <w:rStyle w:val="Heading3Char"/>
          <w:rFonts w:ascii="Calibri" w:hAnsi="Calibri"/>
          <w:b w:val="0"/>
          <w:bCs w:val="0"/>
          <w:sz w:val="22"/>
        </w:rPr>
        <w:t>Commission</w:t>
      </w:r>
      <w:r w:rsidR="7707C4FF" w:rsidRPr="10576F42">
        <w:rPr>
          <w:rStyle w:val="Heading3Char"/>
          <w:rFonts w:ascii="Calibri" w:hAnsi="Calibri"/>
          <w:b w:val="0"/>
          <w:bCs w:val="0"/>
          <w:sz w:val="22"/>
        </w:rPr>
        <w:t>’s recommended</w:t>
      </w:r>
      <w:r w:rsidR="7F59572C" w:rsidRPr="10576F42">
        <w:rPr>
          <w:rStyle w:val="Heading3Char"/>
          <w:rFonts w:ascii="Calibri" w:hAnsi="Calibri"/>
          <w:b w:val="0"/>
          <w:bCs w:val="0"/>
          <w:sz w:val="22"/>
        </w:rPr>
        <w:t xml:space="preserve"> high tier trigger</w:t>
      </w:r>
      <w:r w:rsidR="73800FC6" w:rsidRPr="10576F42">
        <w:rPr>
          <w:rStyle w:val="Heading3Char"/>
          <w:rFonts w:ascii="Calibri" w:hAnsi="Calibri"/>
          <w:b w:val="0"/>
          <w:bCs w:val="0"/>
          <w:sz w:val="22"/>
        </w:rPr>
        <w:t xml:space="preserve"> (note, the Commission recommends retaining status quo settings for 2024 and 2025 unless settings for these years </w:t>
      </w:r>
      <w:proofErr w:type="gramStart"/>
      <w:r w:rsidR="73800FC6" w:rsidRPr="10576F42">
        <w:rPr>
          <w:rStyle w:val="Heading3Char"/>
          <w:rFonts w:ascii="Calibri" w:hAnsi="Calibri"/>
          <w:b w:val="0"/>
          <w:bCs w:val="0"/>
          <w:sz w:val="22"/>
        </w:rPr>
        <w:t>are able to</w:t>
      </w:r>
      <w:proofErr w:type="gramEnd"/>
      <w:r w:rsidR="73800FC6" w:rsidRPr="10576F42">
        <w:rPr>
          <w:rStyle w:val="Heading3Char"/>
          <w:rFonts w:ascii="Calibri" w:hAnsi="Calibri"/>
          <w:b w:val="0"/>
          <w:bCs w:val="0"/>
          <w:sz w:val="22"/>
        </w:rPr>
        <w:t xml:space="preserve"> be updated</w:t>
      </w:r>
      <w:r w:rsidR="73800FC6" w:rsidRPr="69A420D9">
        <w:rPr>
          <w:rStyle w:val="Heading3Char"/>
          <w:rFonts w:ascii="Calibri" w:hAnsi="Calibri"/>
          <w:b w:val="0"/>
          <w:bCs w:val="0"/>
          <w:sz w:val="22"/>
        </w:rPr>
        <w:t>)</w:t>
      </w:r>
      <w:r w:rsidR="002712DA" w:rsidRPr="69A420D9">
        <w:rPr>
          <w:rStyle w:val="Heading3Char"/>
          <w:rFonts w:ascii="Calibri" w:hAnsi="Calibri"/>
          <w:b w:val="0"/>
          <w:bCs w:val="0"/>
          <w:sz w:val="22"/>
        </w:rPr>
        <w:t>.</w:t>
      </w:r>
    </w:p>
    <w:p w14:paraId="6BB2EE5B" w14:textId="4BBE8619" w:rsidR="00287BDA" w:rsidRPr="007837CC" w:rsidRDefault="00287BDA" w:rsidP="00833F32">
      <w:pPr>
        <w:pStyle w:val="Tableheading"/>
        <w:spacing w:before="60"/>
      </w:pPr>
      <w:bookmarkStart w:id="66" w:name="_Toc133927350"/>
      <w:r w:rsidRPr="007837CC">
        <w:t xml:space="preserve">Table </w:t>
      </w:r>
      <w:r w:rsidR="002712DA" w:rsidRPr="007837CC">
        <w:t>1</w:t>
      </w:r>
      <w:r w:rsidR="003329C9" w:rsidRPr="007837CC">
        <w:t>6</w:t>
      </w:r>
      <w:r w:rsidR="002A3654" w:rsidRPr="007837CC">
        <w:t xml:space="preserve">: </w:t>
      </w:r>
      <w:r w:rsidR="007756C6" w:rsidRPr="007837CC">
        <w:tab/>
      </w:r>
      <w:r w:rsidR="00F33833" w:rsidRPr="007837CC">
        <w:t>C</w:t>
      </w:r>
      <w:r w:rsidR="00F33833">
        <w:t xml:space="preserve">ost containment reserve </w:t>
      </w:r>
      <w:r w:rsidR="00C316C2" w:rsidRPr="007837CC">
        <w:t>trigger price options</w:t>
      </w:r>
      <w:bookmarkEnd w:id="66"/>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ayout w:type="fixed"/>
        <w:tblLook w:val="04A0" w:firstRow="1" w:lastRow="0" w:firstColumn="1" w:lastColumn="0" w:noHBand="0" w:noVBand="1"/>
      </w:tblPr>
      <w:tblGrid>
        <w:gridCol w:w="3371"/>
        <w:gridCol w:w="963"/>
        <w:gridCol w:w="962"/>
        <w:gridCol w:w="1124"/>
        <w:gridCol w:w="1123"/>
        <w:gridCol w:w="962"/>
      </w:tblGrid>
      <w:tr w:rsidR="0020782D" w:rsidRPr="007837CC" w14:paraId="5AC352F4" w14:textId="77777777" w:rsidTr="00017CFD">
        <w:tc>
          <w:tcPr>
            <w:tcW w:w="3371" w:type="dxa"/>
            <w:shd w:val="clear" w:color="auto" w:fill="1B556B" w:themeFill="text2"/>
            <w:noWrap/>
            <w:vAlign w:val="bottom"/>
          </w:tcPr>
          <w:p w14:paraId="77D05C2E" w14:textId="61D9F618" w:rsidR="0020782D" w:rsidRPr="007837CC" w:rsidRDefault="0020782D" w:rsidP="0020782D">
            <w:pPr>
              <w:pStyle w:val="TableTextbold"/>
              <w:rPr>
                <w:color w:val="FFFFFF" w:themeColor="background1"/>
              </w:rPr>
            </w:pPr>
            <w:r w:rsidRPr="007837CC">
              <w:rPr>
                <w:color w:val="FFFFFF" w:themeColor="background1"/>
              </w:rPr>
              <w:t>Option</w:t>
            </w:r>
          </w:p>
        </w:tc>
        <w:tc>
          <w:tcPr>
            <w:tcW w:w="963" w:type="dxa"/>
            <w:shd w:val="clear" w:color="auto" w:fill="1B556B" w:themeFill="text2"/>
            <w:noWrap/>
            <w:vAlign w:val="center"/>
          </w:tcPr>
          <w:p w14:paraId="0F6D3F75" w14:textId="37B50598" w:rsidR="0020782D" w:rsidRPr="007837CC" w:rsidRDefault="0020782D" w:rsidP="002C193A">
            <w:pPr>
              <w:pStyle w:val="TableTextbold"/>
              <w:jc w:val="center"/>
              <w:rPr>
                <w:color w:val="FFFFFF" w:themeColor="background1"/>
              </w:rPr>
            </w:pPr>
            <w:r w:rsidRPr="007837CC">
              <w:rPr>
                <w:color w:val="FFFFFF" w:themeColor="background1"/>
              </w:rPr>
              <w:t>2024</w:t>
            </w:r>
          </w:p>
        </w:tc>
        <w:tc>
          <w:tcPr>
            <w:tcW w:w="962" w:type="dxa"/>
            <w:shd w:val="clear" w:color="auto" w:fill="1B556B" w:themeFill="text2"/>
            <w:noWrap/>
            <w:vAlign w:val="center"/>
          </w:tcPr>
          <w:p w14:paraId="6D2830F6" w14:textId="1655DFDD" w:rsidR="0020782D" w:rsidRPr="007837CC" w:rsidRDefault="0020782D" w:rsidP="002C193A">
            <w:pPr>
              <w:pStyle w:val="TableTextbold"/>
              <w:jc w:val="center"/>
              <w:rPr>
                <w:color w:val="FFFFFF" w:themeColor="background1"/>
              </w:rPr>
            </w:pPr>
            <w:r w:rsidRPr="007837CC">
              <w:rPr>
                <w:color w:val="FFFFFF" w:themeColor="background1"/>
              </w:rPr>
              <w:t>2025</w:t>
            </w:r>
          </w:p>
        </w:tc>
        <w:tc>
          <w:tcPr>
            <w:tcW w:w="1124" w:type="dxa"/>
            <w:shd w:val="clear" w:color="auto" w:fill="1B556B" w:themeFill="text2"/>
            <w:noWrap/>
            <w:vAlign w:val="center"/>
          </w:tcPr>
          <w:p w14:paraId="39EB35D1" w14:textId="43207BE6" w:rsidR="0020782D" w:rsidRPr="007837CC" w:rsidRDefault="0020782D" w:rsidP="002C193A">
            <w:pPr>
              <w:pStyle w:val="TableTextbold"/>
              <w:jc w:val="center"/>
              <w:rPr>
                <w:color w:val="FFFFFF" w:themeColor="background1"/>
              </w:rPr>
            </w:pPr>
            <w:r w:rsidRPr="007837CC">
              <w:rPr>
                <w:color w:val="FFFFFF" w:themeColor="background1"/>
              </w:rPr>
              <w:t>2026</w:t>
            </w:r>
          </w:p>
        </w:tc>
        <w:tc>
          <w:tcPr>
            <w:tcW w:w="1123" w:type="dxa"/>
            <w:shd w:val="clear" w:color="auto" w:fill="1B556B" w:themeFill="text2"/>
            <w:noWrap/>
            <w:vAlign w:val="center"/>
          </w:tcPr>
          <w:p w14:paraId="0F7C74DC" w14:textId="18E29156" w:rsidR="0020782D" w:rsidRPr="007837CC" w:rsidRDefault="0020782D" w:rsidP="002C193A">
            <w:pPr>
              <w:pStyle w:val="TableTextbold"/>
              <w:jc w:val="center"/>
              <w:rPr>
                <w:color w:val="FFFFFF" w:themeColor="background1"/>
              </w:rPr>
            </w:pPr>
            <w:r w:rsidRPr="007837CC">
              <w:rPr>
                <w:color w:val="FFFFFF" w:themeColor="background1"/>
              </w:rPr>
              <w:t>2027</w:t>
            </w:r>
          </w:p>
        </w:tc>
        <w:tc>
          <w:tcPr>
            <w:tcW w:w="962" w:type="dxa"/>
            <w:shd w:val="clear" w:color="auto" w:fill="1B556B" w:themeFill="text2"/>
            <w:noWrap/>
            <w:vAlign w:val="center"/>
          </w:tcPr>
          <w:p w14:paraId="349BDEE9" w14:textId="40E2EDDC" w:rsidR="0020782D" w:rsidRPr="007837CC" w:rsidRDefault="0020782D" w:rsidP="002C193A">
            <w:pPr>
              <w:pStyle w:val="TableTextbold"/>
              <w:jc w:val="center"/>
              <w:rPr>
                <w:color w:val="FFFFFF" w:themeColor="background1"/>
              </w:rPr>
            </w:pPr>
            <w:r w:rsidRPr="007837CC">
              <w:rPr>
                <w:color w:val="FFFFFF" w:themeColor="background1"/>
              </w:rPr>
              <w:t>2028</w:t>
            </w:r>
          </w:p>
        </w:tc>
      </w:tr>
      <w:tr w:rsidR="00D55389" w:rsidRPr="007837CC" w14:paraId="66526499" w14:textId="77777777" w:rsidTr="00017CFD">
        <w:tc>
          <w:tcPr>
            <w:tcW w:w="3371" w:type="dxa"/>
            <w:shd w:val="clear" w:color="auto" w:fill="auto"/>
            <w:noWrap/>
            <w:vAlign w:val="bottom"/>
            <w:hideMark/>
          </w:tcPr>
          <w:p w14:paraId="6F5352F5" w14:textId="295790E9" w:rsidR="00D55389" w:rsidRPr="007837CC" w:rsidRDefault="00D55389" w:rsidP="000A2FFA">
            <w:pPr>
              <w:pStyle w:val="TableText"/>
            </w:pPr>
            <w:r w:rsidRPr="007837CC">
              <w:t xml:space="preserve">Option one – </w:t>
            </w:r>
            <w:r w:rsidR="002712DA" w:rsidRPr="007837CC">
              <w:t>S</w:t>
            </w:r>
            <w:r w:rsidRPr="007837CC">
              <w:t>tatus quo</w:t>
            </w:r>
            <w:r w:rsidR="00850B21" w:rsidRPr="007837CC">
              <w:t xml:space="preserve"> extended</w:t>
            </w:r>
          </w:p>
        </w:tc>
        <w:tc>
          <w:tcPr>
            <w:tcW w:w="963" w:type="dxa"/>
            <w:shd w:val="clear" w:color="auto" w:fill="auto"/>
            <w:noWrap/>
            <w:vAlign w:val="center"/>
            <w:hideMark/>
          </w:tcPr>
          <w:p w14:paraId="7366CC7C" w14:textId="63036A86" w:rsidR="00D55389" w:rsidRPr="007837CC" w:rsidRDefault="00D55389" w:rsidP="00C134A2">
            <w:pPr>
              <w:pStyle w:val="TableText"/>
              <w:jc w:val="center"/>
            </w:pPr>
            <w:r w:rsidRPr="007837CC">
              <w:t>$</w:t>
            </w:r>
            <w:r w:rsidR="00DB322B" w:rsidRPr="007837CC">
              <w:t>9</w:t>
            </w:r>
            <w:r w:rsidR="0076096B">
              <w:t>1.81</w:t>
            </w:r>
          </w:p>
        </w:tc>
        <w:tc>
          <w:tcPr>
            <w:tcW w:w="962" w:type="dxa"/>
            <w:shd w:val="clear" w:color="auto" w:fill="auto"/>
            <w:noWrap/>
            <w:vAlign w:val="center"/>
            <w:hideMark/>
          </w:tcPr>
          <w:p w14:paraId="49BFB5F8" w14:textId="151A8E58" w:rsidR="00D55389" w:rsidRPr="007837CC" w:rsidRDefault="00D55389" w:rsidP="00C134A2">
            <w:pPr>
              <w:pStyle w:val="TableText"/>
              <w:jc w:val="center"/>
            </w:pPr>
            <w:r w:rsidRPr="007837CC">
              <w:t>$</w:t>
            </w:r>
            <w:r w:rsidR="00B42E35">
              <w:t>103.51</w:t>
            </w:r>
          </w:p>
        </w:tc>
        <w:tc>
          <w:tcPr>
            <w:tcW w:w="1124" w:type="dxa"/>
            <w:shd w:val="clear" w:color="auto" w:fill="auto"/>
            <w:noWrap/>
            <w:vAlign w:val="center"/>
            <w:hideMark/>
          </w:tcPr>
          <w:p w14:paraId="5AB4CDEC" w14:textId="36D37C84" w:rsidR="00D55389" w:rsidRPr="007837CC" w:rsidRDefault="00D55389" w:rsidP="00C134A2">
            <w:pPr>
              <w:pStyle w:val="TableText"/>
              <w:jc w:val="center"/>
            </w:pPr>
            <w:r w:rsidRPr="007837CC">
              <w:t>$</w:t>
            </w:r>
            <w:r w:rsidR="00850B21" w:rsidRPr="007837CC">
              <w:t>11</w:t>
            </w:r>
            <w:r w:rsidR="00B42E35">
              <w:t>6.14</w:t>
            </w:r>
          </w:p>
        </w:tc>
        <w:tc>
          <w:tcPr>
            <w:tcW w:w="1123" w:type="dxa"/>
            <w:shd w:val="clear" w:color="auto" w:fill="auto"/>
            <w:noWrap/>
            <w:vAlign w:val="center"/>
            <w:hideMark/>
          </w:tcPr>
          <w:p w14:paraId="654CC6FA" w14:textId="6A5CB6C8" w:rsidR="00D55389" w:rsidRPr="007837CC" w:rsidRDefault="00D55389" w:rsidP="00C134A2">
            <w:pPr>
              <w:pStyle w:val="TableText"/>
              <w:jc w:val="center"/>
            </w:pPr>
            <w:r w:rsidRPr="007837CC">
              <w:t>$</w:t>
            </w:r>
            <w:r w:rsidR="00850B21" w:rsidRPr="007837CC">
              <w:t>1</w:t>
            </w:r>
            <w:r w:rsidR="002D6B79">
              <w:t>3</w:t>
            </w:r>
            <w:r w:rsidR="000E0F2F">
              <w:t>0.31</w:t>
            </w:r>
          </w:p>
        </w:tc>
        <w:tc>
          <w:tcPr>
            <w:tcW w:w="962" w:type="dxa"/>
            <w:shd w:val="clear" w:color="auto" w:fill="auto"/>
            <w:noWrap/>
            <w:vAlign w:val="center"/>
            <w:hideMark/>
          </w:tcPr>
          <w:p w14:paraId="4D7A4268" w14:textId="489548AA" w:rsidR="00D55389" w:rsidRPr="007837CC" w:rsidRDefault="00B00FDC" w:rsidP="00C134A2">
            <w:pPr>
              <w:pStyle w:val="TableText"/>
              <w:jc w:val="center"/>
            </w:pPr>
            <w:r w:rsidRPr="007837CC">
              <w:t>$</w:t>
            </w:r>
            <w:r w:rsidR="002D6B79" w:rsidRPr="007837CC">
              <w:t>14</w:t>
            </w:r>
            <w:r w:rsidR="002D6B79">
              <w:t>6</w:t>
            </w:r>
            <w:r w:rsidR="00902AD6">
              <w:t>.21</w:t>
            </w:r>
          </w:p>
        </w:tc>
      </w:tr>
      <w:tr w:rsidR="003957F6" w:rsidRPr="007837CC" w14:paraId="053205FC" w14:textId="77777777" w:rsidTr="00017CFD">
        <w:tc>
          <w:tcPr>
            <w:tcW w:w="3371" w:type="dxa"/>
            <w:vAlign w:val="center"/>
            <w:hideMark/>
          </w:tcPr>
          <w:p w14:paraId="4FA02F2F" w14:textId="62F05127" w:rsidR="003957F6" w:rsidRPr="007837CC" w:rsidRDefault="003957F6" w:rsidP="003957F6">
            <w:pPr>
              <w:pStyle w:val="TableText"/>
            </w:pPr>
            <w:r w:rsidRPr="007837CC">
              <w:t xml:space="preserve">Option two – </w:t>
            </w:r>
            <w:r w:rsidR="002712DA" w:rsidRPr="007837CC">
              <w:t>‘D</w:t>
            </w:r>
            <w:r w:rsidRPr="007837CC">
              <w:t>elayed ramp</w:t>
            </w:r>
            <w:r w:rsidR="002712DA" w:rsidRPr="007837CC">
              <w:t>’</w:t>
            </w:r>
          </w:p>
        </w:tc>
        <w:tc>
          <w:tcPr>
            <w:tcW w:w="963" w:type="dxa"/>
            <w:shd w:val="clear" w:color="auto" w:fill="auto"/>
            <w:noWrap/>
            <w:vAlign w:val="center"/>
          </w:tcPr>
          <w:p w14:paraId="3D943F5D" w14:textId="01DD06E7" w:rsidR="003957F6" w:rsidRPr="007837CC" w:rsidRDefault="003957F6" w:rsidP="003957F6">
            <w:pPr>
              <w:pStyle w:val="TableText"/>
              <w:jc w:val="center"/>
            </w:pPr>
            <w:r w:rsidRPr="007837CC">
              <w:t>$9</w:t>
            </w:r>
            <w:r w:rsidR="00E21F85">
              <w:t>1.81</w:t>
            </w:r>
          </w:p>
        </w:tc>
        <w:tc>
          <w:tcPr>
            <w:tcW w:w="962" w:type="dxa"/>
            <w:shd w:val="clear" w:color="auto" w:fill="auto"/>
            <w:noWrap/>
            <w:vAlign w:val="center"/>
          </w:tcPr>
          <w:p w14:paraId="7B4F9505" w14:textId="08B829C2" w:rsidR="003957F6" w:rsidRPr="007837CC" w:rsidRDefault="003957F6" w:rsidP="003957F6">
            <w:pPr>
              <w:pStyle w:val="TableText"/>
              <w:jc w:val="center"/>
            </w:pPr>
            <w:r w:rsidRPr="007837CC">
              <w:t>$103</w:t>
            </w:r>
            <w:r w:rsidR="005D6A0B">
              <w:t>.51</w:t>
            </w:r>
          </w:p>
        </w:tc>
        <w:tc>
          <w:tcPr>
            <w:tcW w:w="1124" w:type="dxa"/>
            <w:shd w:val="clear" w:color="auto" w:fill="auto"/>
            <w:noWrap/>
            <w:vAlign w:val="center"/>
          </w:tcPr>
          <w:p w14:paraId="3714D089" w14:textId="175E8325" w:rsidR="003957F6" w:rsidRPr="007837CC" w:rsidRDefault="002119C8" w:rsidP="003957F6">
            <w:pPr>
              <w:pStyle w:val="TableText"/>
              <w:jc w:val="center"/>
            </w:pPr>
            <w:r w:rsidRPr="007837CC">
              <w:t>$</w:t>
            </w:r>
            <w:r w:rsidR="00F539D4" w:rsidRPr="007837CC">
              <w:t>1</w:t>
            </w:r>
            <w:r w:rsidR="00F539D4">
              <w:t>3</w:t>
            </w:r>
            <w:r w:rsidR="00D9622C">
              <w:t>2.61</w:t>
            </w:r>
          </w:p>
        </w:tc>
        <w:tc>
          <w:tcPr>
            <w:tcW w:w="1123" w:type="dxa"/>
            <w:shd w:val="clear" w:color="auto" w:fill="auto"/>
            <w:noWrap/>
            <w:vAlign w:val="center"/>
          </w:tcPr>
          <w:p w14:paraId="3490EB04" w14:textId="022FE9B7" w:rsidR="003957F6" w:rsidRPr="007837CC" w:rsidRDefault="002119C8" w:rsidP="003957F6">
            <w:pPr>
              <w:pStyle w:val="TableText"/>
              <w:jc w:val="center"/>
            </w:pPr>
            <w:r w:rsidRPr="007837CC">
              <w:t>$</w:t>
            </w:r>
            <w:r w:rsidR="00D276C6">
              <w:t>161</w:t>
            </w:r>
            <w:r w:rsidR="00E872D7">
              <w:t>.71</w:t>
            </w:r>
          </w:p>
        </w:tc>
        <w:tc>
          <w:tcPr>
            <w:tcW w:w="962" w:type="dxa"/>
            <w:shd w:val="clear" w:color="auto" w:fill="auto"/>
            <w:noWrap/>
            <w:vAlign w:val="center"/>
          </w:tcPr>
          <w:p w14:paraId="3694CABA" w14:textId="5AB7000A" w:rsidR="003957F6" w:rsidRPr="007837CC" w:rsidRDefault="00B574A5" w:rsidP="003957F6">
            <w:pPr>
              <w:pStyle w:val="TableText"/>
              <w:jc w:val="center"/>
            </w:pPr>
            <w:r w:rsidRPr="007837CC">
              <w:t>$</w:t>
            </w:r>
            <w:r w:rsidR="002E4686">
              <w:t>190.81</w:t>
            </w:r>
          </w:p>
        </w:tc>
      </w:tr>
      <w:tr w:rsidR="003957F6" w:rsidRPr="007837CC" w14:paraId="5A08396A" w14:textId="77777777" w:rsidTr="00017CFD">
        <w:tc>
          <w:tcPr>
            <w:tcW w:w="3371" w:type="dxa"/>
            <w:shd w:val="clear" w:color="auto" w:fill="auto"/>
            <w:noWrap/>
            <w:vAlign w:val="center"/>
          </w:tcPr>
          <w:p w14:paraId="575DC9FE" w14:textId="7C0214DE" w:rsidR="003957F6" w:rsidRPr="007837CC" w:rsidRDefault="003957F6" w:rsidP="003957F6">
            <w:pPr>
              <w:pStyle w:val="TableText"/>
            </w:pPr>
            <w:r w:rsidRPr="007837CC">
              <w:t>Option three – $120 then increasing</w:t>
            </w:r>
          </w:p>
        </w:tc>
        <w:tc>
          <w:tcPr>
            <w:tcW w:w="963" w:type="dxa"/>
            <w:shd w:val="clear" w:color="auto" w:fill="auto"/>
            <w:noWrap/>
            <w:vAlign w:val="center"/>
          </w:tcPr>
          <w:p w14:paraId="07AEEC3D" w14:textId="4C94954F" w:rsidR="003957F6" w:rsidRPr="007837CC" w:rsidRDefault="003957F6" w:rsidP="003957F6">
            <w:pPr>
              <w:pStyle w:val="TableText"/>
              <w:jc w:val="center"/>
            </w:pPr>
            <w:r w:rsidRPr="007837CC">
              <w:t>$120</w:t>
            </w:r>
          </w:p>
        </w:tc>
        <w:tc>
          <w:tcPr>
            <w:tcW w:w="962" w:type="dxa"/>
            <w:shd w:val="clear" w:color="auto" w:fill="auto"/>
            <w:vAlign w:val="center"/>
          </w:tcPr>
          <w:p w14:paraId="5CA992BC" w14:textId="39896814" w:rsidR="003957F6" w:rsidRPr="007837CC" w:rsidRDefault="003957F6" w:rsidP="003957F6">
            <w:pPr>
              <w:pStyle w:val="TableText"/>
              <w:jc w:val="center"/>
            </w:pPr>
            <w:r w:rsidRPr="007837CC">
              <w:t>$12</w:t>
            </w:r>
            <w:r w:rsidR="00A36FF9">
              <w:t>6.69</w:t>
            </w:r>
          </w:p>
        </w:tc>
        <w:tc>
          <w:tcPr>
            <w:tcW w:w="1124" w:type="dxa"/>
            <w:shd w:val="clear" w:color="auto" w:fill="auto"/>
            <w:vAlign w:val="center"/>
          </w:tcPr>
          <w:p w14:paraId="706F2770" w14:textId="676AA167" w:rsidR="003957F6" w:rsidRPr="007837CC" w:rsidRDefault="003957F6" w:rsidP="003957F6">
            <w:pPr>
              <w:pStyle w:val="TableText"/>
              <w:jc w:val="center"/>
            </w:pPr>
            <w:r w:rsidRPr="007837CC">
              <w:t>$1</w:t>
            </w:r>
            <w:r w:rsidR="0089045C">
              <w:t>33.10</w:t>
            </w:r>
          </w:p>
        </w:tc>
        <w:tc>
          <w:tcPr>
            <w:tcW w:w="1123" w:type="dxa"/>
            <w:shd w:val="clear" w:color="auto" w:fill="auto"/>
            <w:vAlign w:val="center"/>
          </w:tcPr>
          <w:p w14:paraId="7348D82A" w14:textId="00BED9F8" w:rsidR="003957F6" w:rsidRPr="007837CC" w:rsidRDefault="00153E97" w:rsidP="003957F6">
            <w:pPr>
              <w:pStyle w:val="TableText"/>
              <w:jc w:val="center"/>
            </w:pPr>
            <w:r w:rsidRPr="007837CC">
              <w:t>$1</w:t>
            </w:r>
            <w:r w:rsidR="002B53FA">
              <w:t>39</w:t>
            </w:r>
            <w:r w:rsidR="00010C07">
              <w:t>.84</w:t>
            </w:r>
          </w:p>
        </w:tc>
        <w:tc>
          <w:tcPr>
            <w:tcW w:w="962" w:type="dxa"/>
            <w:shd w:val="clear" w:color="auto" w:fill="auto"/>
            <w:vAlign w:val="center"/>
          </w:tcPr>
          <w:p w14:paraId="5A67C548" w14:textId="34BCA1A3" w:rsidR="003957F6" w:rsidRPr="007837CC" w:rsidRDefault="00153E97" w:rsidP="003957F6">
            <w:pPr>
              <w:pStyle w:val="TableText"/>
              <w:jc w:val="center"/>
            </w:pPr>
            <w:r w:rsidRPr="007837CC">
              <w:t>$1</w:t>
            </w:r>
            <w:r w:rsidR="00F07511">
              <w:t>46</w:t>
            </w:r>
            <w:r w:rsidR="005F1DB8">
              <w:t>.91</w:t>
            </w:r>
          </w:p>
        </w:tc>
      </w:tr>
      <w:tr w:rsidR="003957F6" w:rsidRPr="007837CC" w14:paraId="2FCE2E24" w14:textId="77777777" w:rsidTr="00017CFD">
        <w:tc>
          <w:tcPr>
            <w:tcW w:w="3371" w:type="dxa"/>
            <w:vAlign w:val="center"/>
            <w:hideMark/>
          </w:tcPr>
          <w:p w14:paraId="60E9624E" w14:textId="70440A8B" w:rsidR="003957F6" w:rsidRPr="007837CC" w:rsidRDefault="003957F6" w:rsidP="003957F6">
            <w:pPr>
              <w:pStyle w:val="TableText"/>
              <w:rPr>
                <w:rFonts w:cs="Calibri"/>
                <w:color w:val="000000"/>
              </w:rPr>
            </w:pPr>
            <w:r w:rsidRPr="007837CC">
              <w:t>Option four – Commission’s low trigger</w:t>
            </w:r>
          </w:p>
        </w:tc>
        <w:tc>
          <w:tcPr>
            <w:tcW w:w="963" w:type="dxa"/>
            <w:shd w:val="clear" w:color="auto" w:fill="auto"/>
            <w:noWrap/>
            <w:vAlign w:val="center"/>
            <w:hideMark/>
          </w:tcPr>
          <w:p w14:paraId="1A2E62BB" w14:textId="10C350FF" w:rsidR="003957F6" w:rsidRPr="007837CC" w:rsidRDefault="003957F6" w:rsidP="003957F6">
            <w:pPr>
              <w:pStyle w:val="TableText"/>
              <w:jc w:val="center"/>
            </w:pPr>
            <w:r w:rsidRPr="007837CC">
              <w:t>$1</w:t>
            </w:r>
            <w:r w:rsidR="00A709FF" w:rsidRPr="007837CC">
              <w:t>8</w:t>
            </w:r>
            <w:r w:rsidR="001F7EDA" w:rsidRPr="007837CC">
              <w:t>4</w:t>
            </w:r>
          </w:p>
        </w:tc>
        <w:tc>
          <w:tcPr>
            <w:tcW w:w="962" w:type="dxa"/>
            <w:shd w:val="clear" w:color="auto" w:fill="auto"/>
            <w:noWrap/>
            <w:vAlign w:val="center"/>
            <w:hideMark/>
          </w:tcPr>
          <w:p w14:paraId="008E501E" w14:textId="3006FF5C" w:rsidR="003957F6" w:rsidRPr="007837CC" w:rsidRDefault="001F7EDA" w:rsidP="003957F6">
            <w:pPr>
              <w:pStyle w:val="TableText"/>
              <w:jc w:val="center"/>
            </w:pPr>
            <w:r w:rsidRPr="007837CC">
              <w:t>$195</w:t>
            </w:r>
          </w:p>
        </w:tc>
        <w:tc>
          <w:tcPr>
            <w:tcW w:w="1124" w:type="dxa"/>
            <w:shd w:val="clear" w:color="auto" w:fill="auto"/>
            <w:noWrap/>
            <w:vAlign w:val="center"/>
            <w:hideMark/>
          </w:tcPr>
          <w:p w14:paraId="6EA43A81" w14:textId="177F3328" w:rsidR="003957F6" w:rsidRPr="007837CC" w:rsidRDefault="001F7EDA" w:rsidP="003957F6">
            <w:pPr>
              <w:pStyle w:val="TableText"/>
              <w:jc w:val="center"/>
            </w:pPr>
            <w:r w:rsidRPr="007837CC">
              <w:t>$</w:t>
            </w:r>
            <w:r w:rsidR="00B848AE" w:rsidRPr="007837CC">
              <w:t>205</w:t>
            </w:r>
          </w:p>
        </w:tc>
        <w:tc>
          <w:tcPr>
            <w:tcW w:w="1123" w:type="dxa"/>
            <w:shd w:val="clear" w:color="auto" w:fill="auto"/>
            <w:noWrap/>
            <w:vAlign w:val="center"/>
            <w:hideMark/>
          </w:tcPr>
          <w:p w14:paraId="2D655C21" w14:textId="05DA4AFE" w:rsidR="003957F6" w:rsidRPr="007837CC" w:rsidRDefault="00B848AE" w:rsidP="003957F6">
            <w:pPr>
              <w:pStyle w:val="TableText"/>
              <w:jc w:val="center"/>
            </w:pPr>
            <w:r w:rsidRPr="007837CC">
              <w:t>$215</w:t>
            </w:r>
          </w:p>
        </w:tc>
        <w:tc>
          <w:tcPr>
            <w:tcW w:w="962" w:type="dxa"/>
            <w:shd w:val="clear" w:color="auto" w:fill="auto"/>
            <w:noWrap/>
            <w:vAlign w:val="center"/>
            <w:hideMark/>
          </w:tcPr>
          <w:p w14:paraId="248C2758" w14:textId="227BB45D" w:rsidR="003957F6" w:rsidRPr="007837CC" w:rsidRDefault="00B848AE" w:rsidP="003957F6">
            <w:pPr>
              <w:pStyle w:val="TableText"/>
              <w:jc w:val="center"/>
            </w:pPr>
            <w:r w:rsidRPr="007837CC">
              <w:t>$226</w:t>
            </w:r>
          </w:p>
        </w:tc>
      </w:tr>
      <w:tr w:rsidR="003957F6" w:rsidRPr="007837CC" w14:paraId="28B6EEE2" w14:textId="77777777" w:rsidTr="00017CFD">
        <w:tc>
          <w:tcPr>
            <w:tcW w:w="3371" w:type="dxa"/>
            <w:vAlign w:val="center"/>
          </w:tcPr>
          <w:p w14:paraId="746BC224" w14:textId="3FABD4A1" w:rsidR="003957F6" w:rsidRPr="007837CC" w:rsidRDefault="003957F6" w:rsidP="003957F6">
            <w:pPr>
              <w:spacing w:before="60" w:after="60" w:line="240" w:lineRule="auto"/>
              <w:jc w:val="left"/>
              <w:rPr>
                <w:rFonts w:cs="Calibri"/>
                <w:color w:val="000000"/>
                <w:sz w:val="18"/>
                <w:szCs w:val="18"/>
              </w:rPr>
            </w:pPr>
            <w:r w:rsidRPr="007837CC">
              <w:rPr>
                <w:rFonts w:cs="Calibri"/>
                <w:color w:val="000000"/>
                <w:sz w:val="18"/>
                <w:szCs w:val="18"/>
              </w:rPr>
              <w:t>Option five – Commission’s high trigger</w:t>
            </w:r>
          </w:p>
        </w:tc>
        <w:tc>
          <w:tcPr>
            <w:tcW w:w="963" w:type="dxa"/>
            <w:shd w:val="clear" w:color="auto" w:fill="auto"/>
            <w:noWrap/>
            <w:vAlign w:val="center"/>
          </w:tcPr>
          <w:p w14:paraId="5E15BBDF" w14:textId="7EC30F33" w:rsidR="003957F6" w:rsidRPr="007837CC" w:rsidRDefault="00B848AE" w:rsidP="003957F6">
            <w:pPr>
              <w:pStyle w:val="TableText"/>
              <w:jc w:val="center"/>
            </w:pPr>
            <w:r w:rsidRPr="007837CC">
              <w:t>$231</w:t>
            </w:r>
          </w:p>
        </w:tc>
        <w:tc>
          <w:tcPr>
            <w:tcW w:w="962" w:type="dxa"/>
            <w:shd w:val="clear" w:color="auto" w:fill="auto"/>
            <w:noWrap/>
            <w:vAlign w:val="center"/>
          </w:tcPr>
          <w:p w14:paraId="02D53CC5" w14:textId="1C2B194E" w:rsidR="003957F6" w:rsidRPr="007837CC" w:rsidRDefault="00B848AE" w:rsidP="003957F6">
            <w:pPr>
              <w:pStyle w:val="TableText"/>
              <w:jc w:val="center"/>
            </w:pPr>
            <w:r w:rsidRPr="007837CC">
              <w:t>$243</w:t>
            </w:r>
          </w:p>
        </w:tc>
        <w:tc>
          <w:tcPr>
            <w:tcW w:w="1124" w:type="dxa"/>
            <w:shd w:val="clear" w:color="auto" w:fill="auto"/>
            <w:noWrap/>
            <w:vAlign w:val="center"/>
          </w:tcPr>
          <w:p w14:paraId="4989147A" w14:textId="3C768FE4" w:rsidR="003957F6" w:rsidRPr="007837CC" w:rsidRDefault="00754A86" w:rsidP="003957F6">
            <w:pPr>
              <w:pStyle w:val="TableText"/>
              <w:jc w:val="center"/>
            </w:pPr>
            <w:r w:rsidRPr="007837CC">
              <w:t>$256</w:t>
            </w:r>
          </w:p>
        </w:tc>
        <w:tc>
          <w:tcPr>
            <w:tcW w:w="1123" w:type="dxa"/>
            <w:shd w:val="clear" w:color="auto" w:fill="auto"/>
            <w:noWrap/>
            <w:vAlign w:val="center"/>
          </w:tcPr>
          <w:p w14:paraId="2AE36E08" w14:textId="2B7AED67" w:rsidR="003957F6" w:rsidRPr="007837CC" w:rsidRDefault="00754A86" w:rsidP="003957F6">
            <w:pPr>
              <w:pStyle w:val="TableText"/>
              <w:jc w:val="center"/>
            </w:pPr>
            <w:r w:rsidRPr="007837CC">
              <w:t>$269</w:t>
            </w:r>
          </w:p>
        </w:tc>
        <w:tc>
          <w:tcPr>
            <w:tcW w:w="962" w:type="dxa"/>
            <w:shd w:val="clear" w:color="auto" w:fill="auto"/>
            <w:noWrap/>
            <w:vAlign w:val="center"/>
          </w:tcPr>
          <w:p w14:paraId="7200EDFD" w14:textId="25F25E83" w:rsidR="003957F6" w:rsidRPr="007837CC" w:rsidRDefault="00754A86" w:rsidP="003957F6">
            <w:pPr>
              <w:pStyle w:val="TableText"/>
              <w:jc w:val="center"/>
            </w:pPr>
            <w:r w:rsidRPr="007837CC">
              <w:t>$282</w:t>
            </w:r>
          </w:p>
        </w:tc>
      </w:tr>
    </w:tbl>
    <w:p w14:paraId="2CDB3258" w14:textId="398D588C" w:rsidR="00964D2C" w:rsidRPr="007837CC" w:rsidRDefault="00964D2C" w:rsidP="00C134A2">
      <w:pPr>
        <w:pStyle w:val="BodyText"/>
        <w:spacing w:before="240"/>
      </w:pPr>
      <w:r w:rsidRPr="007837CC">
        <w:t>T</w:t>
      </w:r>
      <w:r w:rsidR="00093B32" w:rsidRPr="007837CC">
        <w:t xml:space="preserve">able </w:t>
      </w:r>
      <w:r w:rsidR="003329C9" w:rsidRPr="007837CC">
        <w:t xml:space="preserve">17 </w:t>
      </w:r>
      <w:r w:rsidR="00093B32" w:rsidRPr="007837CC">
        <w:t>assesses the</w:t>
      </w:r>
      <w:r w:rsidRPr="007837CC">
        <w:t xml:space="preserve"> options above. We are interested in your views on our assessment</w:t>
      </w:r>
      <w:r w:rsidR="00C200E2" w:rsidRPr="007837CC">
        <w:t>, which we</w:t>
      </w:r>
      <w:r w:rsidRPr="007837CC">
        <w:t xml:space="preserve"> will reconsider </w:t>
      </w:r>
      <w:r w:rsidR="00C200E2" w:rsidRPr="007837CC">
        <w:t>when we are</w:t>
      </w:r>
      <w:r w:rsidRPr="007837CC">
        <w:t xml:space="preserve"> preparing recommendations for policy decisions.</w:t>
      </w:r>
      <w:r w:rsidR="005D3339" w:rsidRPr="007837CC">
        <w:t xml:space="preserve"> </w:t>
      </w:r>
    </w:p>
    <w:p w14:paraId="078C397F" w14:textId="69EABFBC" w:rsidR="00617FFD" w:rsidRPr="007837CC" w:rsidRDefault="00617FFD" w:rsidP="00617FFD">
      <w:pPr>
        <w:pStyle w:val="BodyText"/>
      </w:pPr>
      <w:r w:rsidRPr="007837CC">
        <w:t xml:space="preserve">Impacts at various emissions prices are described </w:t>
      </w:r>
      <w:r w:rsidR="00800148">
        <w:t xml:space="preserve">in </w:t>
      </w:r>
      <w:r w:rsidR="00211DFD" w:rsidRPr="007837CC">
        <w:t xml:space="preserve">the </w:t>
      </w:r>
      <w:hyperlink w:anchor="_Impacts_of_emissions" w:history="1">
        <w:r w:rsidR="00211DFD" w:rsidRPr="00800148">
          <w:rPr>
            <w:rStyle w:val="Hyperlink"/>
          </w:rPr>
          <w:t xml:space="preserve">Impacts </w:t>
        </w:r>
        <w:r w:rsidR="00B73B31" w:rsidRPr="00800148">
          <w:rPr>
            <w:rStyle w:val="Hyperlink"/>
          </w:rPr>
          <w:t>of emissions pricing</w:t>
        </w:r>
      </w:hyperlink>
      <w:r w:rsidR="00211DFD" w:rsidRPr="007837CC">
        <w:t xml:space="preserve"> section</w:t>
      </w:r>
      <w:r w:rsidR="007A713B" w:rsidRPr="007837CC">
        <w:t>.</w:t>
      </w:r>
    </w:p>
    <w:p w14:paraId="324DBF5C" w14:textId="2BDEF797" w:rsidR="00287BDA" w:rsidRPr="007837CC" w:rsidRDefault="00791DCA" w:rsidP="00C134A2">
      <w:pPr>
        <w:pStyle w:val="Tableheading"/>
      </w:pPr>
      <w:bookmarkStart w:id="67" w:name="_Toc133927351"/>
      <w:r w:rsidRPr="007837CC">
        <w:lastRenderedPageBreak/>
        <w:t xml:space="preserve">Table </w:t>
      </w:r>
      <w:r w:rsidR="003329C9" w:rsidRPr="007837CC">
        <w:t>17</w:t>
      </w:r>
      <w:r w:rsidR="005319FD" w:rsidRPr="007837CC">
        <w:t>:</w:t>
      </w:r>
      <w:r w:rsidRPr="007837CC">
        <w:t xml:space="preserve"> </w:t>
      </w:r>
      <w:r w:rsidR="00C134A2" w:rsidRPr="007837CC">
        <w:tab/>
      </w:r>
      <w:r w:rsidRPr="007837CC">
        <w:t>Assessing options for cost containment reserve</w:t>
      </w:r>
      <w:r w:rsidR="004F23CC" w:rsidRPr="007837CC">
        <w:t xml:space="preserve"> trigger</w:t>
      </w:r>
      <w:r w:rsidRPr="007837CC">
        <w:t xml:space="preserve"> price against the </w:t>
      </w:r>
      <w:proofErr w:type="gramStart"/>
      <w:r w:rsidRPr="007837CC">
        <w:t>status quo</w:t>
      </w:r>
      <w:bookmarkEnd w:id="67"/>
      <w:proofErr w:type="gramEnd"/>
    </w:p>
    <w:tbl>
      <w:tblPr>
        <w:tblW w:w="8647"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shd w:val="clear" w:color="auto" w:fill="FFFFFF" w:themeFill="background1"/>
        <w:tblLayout w:type="fixed"/>
        <w:tblCellMar>
          <w:left w:w="57" w:type="dxa"/>
          <w:right w:w="57" w:type="dxa"/>
        </w:tblCellMar>
        <w:tblLook w:val="04A0" w:firstRow="1" w:lastRow="0" w:firstColumn="1" w:lastColumn="0" w:noHBand="0" w:noVBand="1"/>
      </w:tblPr>
      <w:tblGrid>
        <w:gridCol w:w="1746"/>
        <w:gridCol w:w="1089"/>
        <w:gridCol w:w="1560"/>
        <w:gridCol w:w="1406"/>
        <w:gridCol w:w="1352"/>
        <w:gridCol w:w="1494"/>
      </w:tblGrid>
      <w:tr w:rsidR="007A1528" w:rsidRPr="007837CC" w14:paraId="5331B484" w14:textId="0415E0B8" w:rsidTr="00AA3BCC">
        <w:trPr>
          <w:tblHeader/>
        </w:trPr>
        <w:tc>
          <w:tcPr>
            <w:tcW w:w="1746" w:type="dxa"/>
            <w:shd w:val="clear" w:color="auto" w:fill="1B556B" w:themeFill="text2"/>
            <w:vAlign w:val="bottom"/>
          </w:tcPr>
          <w:p w14:paraId="49D22B7B" w14:textId="77777777" w:rsidR="00FE10EF" w:rsidRPr="007837CC" w:rsidRDefault="00FE10EF" w:rsidP="001947FD">
            <w:pPr>
              <w:pStyle w:val="TableTextbold"/>
              <w:keepNext/>
              <w:spacing w:before="40" w:after="40"/>
              <w:rPr>
                <w:rFonts w:cs="Calibri"/>
                <w:color w:val="FFFFFF" w:themeColor="background1"/>
                <w:szCs w:val="18"/>
              </w:rPr>
            </w:pPr>
          </w:p>
        </w:tc>
        <w:tc>
          <w:tcPr>
            <w:tcW w:w="1089" w:type="dxa"/>
            <w:shd w:val="clear" w:color="auto" w:fill="1B556B" w:themeFill="text2"/>
            <w:vAlign w:val="bottom"/>
          </w:tcPr>
          <w:p w14:paraId="1EDAFA7B" w14:textId="09EB6C18" w:rsidR="00FE10EF" w:rsidRPr="007837CC" w:rsidRDefault="00FE10EF" w:rsidP="001947FD">
            <w:pPr>
              <w:pStyle w:val="TableTextbold"/>
              <w:keepNext/>
              <w:spacing w:before="40" w:after="40"/>
              <w:rPr>
                <w:rFonts w:cs="Calibri"/>
                <w:color w:val="FFFFFF" w:themeColor="background1"/>
                <w:szCs w:val="18"/>
              </w:rPr>
            </w:pPr>
            <w:r w:rsidRPr="007837CC">
              <w:rPr>
                <w:rFonts w:cs="Calibri"/>
                <w:color w:val="FFFFFF" w:themeColor="background1"/>
                <w:szCs w:val="18"/>
              </w:rPr>
              <w:t>Option one</w:t>
            </w:r>
            <w:r w:rsidR="0088404B" w:rsidRPr="007837CC">
              <w:rPr>
                <w:rFonts w:cs="Calibri"/>
                <w:color w:val="FFFFFF" w:themeColor="background1"/>
                <w:szCs w:val="18"/>
              </w:rPr>
              <w:t xml:space="preserve"> –</w:t>
            </w:r>
            <w:r w:rsidR="007A1528" w:rsidRPr="007837CC">
              <w:rPr>
                <w:rFonts w:cs="Calibri"/>
                <w:color w:val="FFFFFF" w:themeColor="background1"/>
                <w:szCs w:val="18"/>
              </w:rPr>
              <w:t xml:space="preserve"> </w:t>
            </w:r>
            <w:r w:rsidRPr="007837CC">
              <w:rPr>
                <w:rFonts w:cs="Calibri"/>
                <w:color w:val="FFFFFF" w:themeColor="background1"/>
                <w:szCs w:val="18"/>
              </w:rPr>
              <w:t xml:space="preserve">Status </w:t>
            </w:r>
            <w:r w:rsidR="00BC6B8C" w:rsidRPr="007837CC">
              <w:rPr>
                <w:rFonts w:cs="Calibri"/>
                <w:color w:val="FFFFFF" w:themeColor="background1"/>
                <w:szCs w:val="18"/>
              </w:rPr>
              <w:t>q</w:t>
            </w:r>
            <w:r w:rsidRPr="007837CC">
              <w:rPr>
                <w:rFonts w:cs="Calibri"/>
                <w:color w:val="FFFFFF" w:themeColor="background1"/>
                <w:szCs w:val="18"/>
              </w:rPr>
              <w:t>uo</w:t>
            </w:r>
          </w:p>
        </w:tc>
        <w:tc>
          <w:tcPr>
            <w:tcW w:w="1560" w:type="dxa"/>
            <w:shd w:val="clear" w:color="auto" w:fill="1B556B" w:themeFill="text2"/>
            <w:vAlign w:val="bottom"/>
          </w:tcPr>
          <w:p w14:paraId="51C810A2" w14:textId="279E9BAD" w:rsidR="00FE10EF" w:rsidRPr="007837CC" w:rsidRDefault="00FE10EF" w:rsidP="001947FD">
            <w:pPr>
              <w:pStyle w:val="TableTextbold"/>
              <w:keepNext/>
              <w:spacing w:before="40" w:after="40"/>
              <w:rPr>
                <w:rFonts w:cs="Calibri"/>
                <w:color w:val="FFFFFF" w:themeColor="background1"/>
                <w:szCs w:val="18"/>
              </w:rPr>
            </w:pPr>
            <w:r w:rsidRPr="007837CC">
              <w:rPr>
                <w:rFonts w:cs="Calibri"/>
                <w:color w:val="FFFFFF" w:themeColor="background1"/>
                <w:szCs w:val="18"/>
              </w:rPr>
              <w:t>Option two</w:t>
            </w:r>
            <w:r w:rsidR="0088404B" w:rsidRPr="007837CC">
              <w:rPr>
                <w:rFonts w:cs="Calibri"/>
                <w:color w:val="FFFFFF" w:themeColor="background1"/>
                <w:szCs w:val="18"/>
              </w:rPr>
              <w:t xml:space="preserve"> –</w:t>
            </w:r>
            <w:r w:rsidR="007A1528" w:rsidRPr="007837CC">
              <w:rPr>
                <w:rFonts w:cs="Calibri"/>
                <w:color w:val="FFFFFF" w:themeColor="background1"/>
                <w:szCs w:val="18"/>
              </w:rPr>
              <w:t xml:space="preserve"> </w:t>
            </w:r>
            <w:r w:rsidR="002712DA" w:rsidRPr="007837CC">
              <w:rPr>
                <w:rFonts w:cs="Calibri"/>
                <w:color w:val="FFFFFF" w:themeColor="background1"/>
                <w:szCs w:val="18"/>
              </w:rPr>
              <w:t>‘</w:t>
            </w:r>
            <w:r w:rsidR="00B30BC8" w:rsidRPr="007837CC">
              <w:rPr>
                <w:rFonts w:cs="Calibri"/>
                <w:color w:val="FFFFFF" w:themeColor="background1"/>
                <w:szCs w:val="18"/>
              </w:rPr>
              <w:t>Delayed</w:t>
            </w:r>
            <w:r w:rsidR="009B45B9" w:rsidRPr="007837CC">
              <w:rPr>
                <w:rFonts w:cs="Calibri"/>
                <w:color w:val="FFFFFF" w:themeColor="background1"/>
                <w:szCs w:val="18"/>
              </w:rPr>
              <w:t xml:space="preserve"> ramp</w:t>
            </w:r>
            <w:r w:rsidR="002712DA" w:rsidRPr="007837CC">
              <w:rPr>
                <w:rFonts w:cs="Calibri"/>
                <w:color w:val="FFFFFF" w:themeColor="background1"/>
                <w:szCs w:val="18"/>
              </w:rPr>
              <w:t>’</w:t>
            </w:r>
          </w:p>
        </w:tc>
        <w:tc>
          <w:tcPr>
            <w:tcW w:w="1406" w:type="dxa"/>
            <w:shd w:val="clear" w:color="auto" w:fill="1B556B" w:themeFill="text2"/>
            <w:vAlign w:val="bottom"/>
          </w:tcPr>
          <w:p w14:paraId="0332E96D" w14:textId="0AC71637" w:rsidR="00FE10EF" w:rsidRPr="007837CC" w:rsidRDefault="00FE10EF" w:rsidP="001947FD">
            <w:pPr>
              <w:pStyle w:val="TableTextbold"/>
              <w:keepNext/>
              <w:spacing w:before="40" w:after="40"/>
              <w:rPr>
                <w:rFonts w:cs="Calibri"/>
                <w:color w:val="FFFFFF" w:themeColor="background1"/>
                <w:szCs w:val="18"/>
              </w:rPr>
            </w:pPr>
            <w:r w:rsidRPr="007837CC">
              <w:rPr>
                <w:rFonts w:cs="Calibri"/>
                <w:color w:val="FFFFFF" w:themeColor="background1"/>
                <w:szCs w:val="18"/>
              </w:rPr>
              <w:t>Option three</w:t>
            </w:r>
            <w:r w:rsidR="0088404B" w:rsidRPr="007837CC">
              <w:rPr>
                <w:rFonts w:cs="Calibri"/>
                <w:color w:val="FFFFFF" w:themeColor="background1"/>
                <w:szCs w:val="18"/>
              </w:rPr>
              <w:t xml:space="preserve"> –</w:t>
            </w:r>
            <w:r w:rsidR="007A1528" w:rsidRPr="007837CC">
              <w:rPr>
                <w:rFonts w:cs="Calibri"/>
                <w:color w:val="FFFFFF" w:themeColor="background1"/>
                <w:szCs w:val="18"/>
              </w:rPr>
              <w:t xml:space="preserve"> </w:t>
            </w:r>
            <w:r w:rsidR="009B45B9" w:rsidRPr="007837CC">
              <w:rPr>
                <w:rFonts w:cs="Calibri"/>
                <w:color w:val="FFFFFF" w:themeColor="background1"/>
                <w:szCs w:val="18"/>
              </w:rPr>
              <w:t>$120 +</w:t>
            </w:r>
          </w:p>
        </w:tc>
        <w:tc>
          <w:tcPr>
            <w:tcW w:w="1352" w:type="dxa"/>
            <w:shd w:val="clear" w:color="auto" w:fill="1B556B" w:themeFill="text2"/>
            <w:vAlign w:val="bottom"/>
          </w:tcPr>
          <w:p w14:paraId="5D9E0B55" w14:textId="6964694B" w:rsidR="00FE10EF" w:rsidRPr="007837CC" w:rsidRDefault="00FE10EF" w:rsidP="001947FD">
            <w:pPr>
              <w:pStyle w:val="TableTextbold"/>
              <w:keepNext/>
              <w:spacing w:before="40" w:after="40"/>
              <w:rPr>
                <w:rFonts w:cs="Calibri"/>
                <w:color w:val="FFFFFF" w:themeColor="background1"/>
                <w:szCs w:val="18"/>
              </w:rPr>
            </w:pPr>
            <w:r w:rsidRPr="007837CC">
              <w:rPr>
                <w:rFonts w:cs="Calibri"/>
                <w:color w:val="FFFFFF" w:themeColor="background1"/>
                <w:szCs w:val="18"/>
              </w:rPr>
              <w:t>Option four</w:t>
            </w:r>
            <w:r w:rsidR="0088404B" w:rsidRPr="007837CC">
              <w:rPr>
                <w:rFonts w:cs="Calibri"/>
                <w:color w:val="FFFFFF" w:themeColor="background1"/>
                <w:szCs w:val="18"/>
              </w:rPr>
              <w:t xml:space="preserve"> –</w:t>
            </w:r>
            <w:r w:rsidR="007A1528" w:rsidRPr="007837CC">
              <w:rPr>
                <w:rFonts w:cs="Calibri"/>
                <w:color w:val="FFFFFF" w:themeColor="background1"/>
                <w:szCs w:val="18"/>
              </w:rPr>
              <w:t xml:space="preserve"> </w:t>
            </w:r>
            <w:r w:rsidR="0088404B" w:rsidRPr="007837CC">
              <w:rPr>
                <w:rFonts w:cs="Calibri"/>
                <w:color w:val="FFFFFF" w:themeColor="background1"/>
                <w:szCs w:val="18"/>
              </w:rPr>
              <w:t>L</w:t>
            </w:r>
            <w:r w:rsidR="009B45B9" w:rsidRPr="007837CC">
              <w:rPr>
                <w:rFonts w:cs="Calibri"/>
                <w:color w:val="FFFFFF" w:themeColor="background1"/>
                <w:szCs w:val="18"/>
              </w:rPr>
              <w:t>ow CCC trigger</w:t>
            </w:r>
          </w:p>
        </w:tc>
        <w:tc>
          <w:tcPr>
            <w:tcW w:w="1494" w:type="dxa"/>
            <w:shd w:val="clear" w:color="auto" w:fill="1B556B" w:themeFill="text2"/>
            <w:vAlign w:val="bottom"/>
          </w:tcPr>
          <w:p w14:paraId="4494E82B" w14:textId="42FCB6F8" w:rsidR="00FE10EF" w:rsidRPr="007837CC" w:rsidRDefault="00FE10EF" w:rsidP="001947FD">
            <w:pPr>
              <w:pStyle w:val="TableTextbold"/>
              <w:keepNext/>
              <w:spacing w:before="40" w:after="40"/>
              <w:rPr>
                <w:rFonts w:cs="Calibri"/>
                <w:color w:val="FFFFFF" w:themeColor="background1"/>
                <w:szCs w:val="18"/>
              </w:rPr>
            </w:pPr>
            <w:r w:rsidRPr="007837CC">
              <w:rPr>
                <w:rFonts w:cs="Calibri"/>
                <w:color w:val="FFFFFF" w:themeColor="background1"/>
                <w:szCs w:val="18"/>
              </w:rPr>
              <w:t>Option five</w:t>
            </w:r>
            <w:r w:rsidR="0088404B" w:rsidRPr="007837CC">
              <w:rPr>
                <w:rFonts w:cs="Calibri"/>
                <w:color w:val="FFFFFF" w:themeColor="background1"/>
                <w:szCs w:val="18"/>
              </w:rPr>
              <w:t xml:space="preserve"> –</w:t>
            </w:r>
            <w:r w:rsidR="007A1528" w:rsidRPr="007837CC">
              <w:rPr>
                <w:rFonts w:cs="Calibri"/>
                <w:color w:val="FFFFFF" w:themeColor="background1"/>
                <w:szCs w:val="18"/>
              </w:rPr>
              <w:t xml:space="preserve"> </w:t>
            </w:r>
            <w:r w:rsidR="0088404B" w:rsidRPr="007837CC">
              <w:rPr>
                <w:rFonts w:cs="Calibri"/>
                <w:color w:val="FFFFFF" w:themeColor="background1"/>
                <w:szCs w:val="18"/>
              </w:rPr>
              <w:t>H</w:t>
            </w:r>
            <w:r w:rsidR="009B45B9" w:rsidRPr="007837CC">
              <w:rPr>
                <w:rFonts w:cs="Calibri"/>
                <w:color w:val="FFFFFF" w:themeColor="background1"/>
                <w:szCs w:val="18"/>
              </w:rPr>
              <w:t>igh CCC trigger</w:t>
            </w:r>
          </w:p>
        </w:tc>
      </w:tr>
      <w:tr w:rsidR="00FE10EF" w:rsidRPr="007837CC" w14:paraId="48F8B8CC" w14:textId="72D97D9E" w:rsidTr="00AA3BCC">
        <w:tc>
          <w:tcPr>
            <w:tcW w:w="1746" w:type="dxa"/>
            <w:shd w:val="clear" w:color="auto" w:fill="FFFFFF" w:themeFill="background1"/>
          </w:tcPr>
          <w:p w14:paraId="34E71575" w14:textId="7D028DBC" w:rsidR="00FE10EF" w:rsidRPr="007837CC" w:rsidRDefault="00C200E2" w:rsidP="001947FD">
            <w:pPr>
              <w:pStyle w:val="TableText"/>
              <w:spacing w:before="40" w:after="40"/>
              <w:rPr>
                <w:rFonts w:cs="Calibri"/>
                <w:bCs/>
                <w:color w:val="000000"/>
                <w:szCs w:val="18"/>
              </w:rPr>
            </w:pPr>
            <w:r w:rsidRPr="007837CC">
              <w:rPr>
                <w:rFonts w:cs="Calibri"/>
                <w:szCs w:val="18"/>
              </w:rPr>
              <w:t xml:space="preserve">Accords </w:t>
            </w:r>
            <w:r w:rsidR="00FE10EF" w:rsidRPr="007837CC">
              <w:rPr>
                <w:rFonts w:cs="Calibri"/>
                <w:szCs w:val="18"/>
              </w:rPr>
              <w:t>with New Zealand’s emissions budgets, NDC</w:t>
            </w:r>
            <w:r w:rsidRPr="007837CC">
              <w:rPr>
                <w:rFonts w:cs="Calibri"/>
                <w:szCs w:val="18"/>
              </w:rPr>
              <w:t xml:space="preserve"> and 2050 target</w:t>
            </w:r>
          </w:p>
        </w:tc>
        <w:tc>
          <w:tcPr>
            <w:tcW w:w="1089" w:type="dxa"/>
            <w:shd w:val="clear" w:color="auto" w:fill="FFFFFF" w:themeFill="background1"/>
          </w:tcPr>
          <w:p w14:paraId="202EEA65" w14:textId="77777777" w:rsidR="00FE10EF" w:rsidRPr="007837CC" w:rsidRDefault="00FE10EF" w:rsidP="001947FD">
            <w:pPr>
              <w:pStyle w:val="TableText"/>
              <w:spacing w:before="40" w:after="40"/>
              <w:rPr>
                <w:rFonts w:cs="Calibri"/>
                <w:b/>
                <w:szCs w:val="18"/>
                <w:lang w:eastAsia="en-AU"/>
              </w:rPr>
            </w:pPr>
            <w:r w:rsidRPr="007837CC">
              <w:rPr>
                <w:rFonts w:cs="Calibri"/>
                <w:b/>
                <w:szCs w:val="18"/>
                <w:lang w:eastAsia="en-AU"/>
              </w:rPr>
              <w:t>0</w:t>
            </w:r>
          </w:p>
        </w:tc>
        <w:tc>
          <w:tcPr>
            <w:tcW w:w="1560" w:type="dxa"/>
            <w:shd w:val="clear" w:color="auto" w:fill="FFFFFF" w:themeFill="background1"/>
          </w:tcPr>
          <w:p w14:paraId="41CD9E34" w14:textId="77777777" w:rsidR="00155FA3" w:rsidRPr="007837CC" w:rsidRDefault="00155FA3" w:rsidP="001947FD">
            <w:pPr>
              <w:pStyle w:val="TableText"/>
              <w:spacing w:before="40" w:after="0"/>
              <w:rPr>
                <w:rFonts w:cs="Calibri"/>
                <w:b/>
                <w:szCs w:val="18"/>
                <w:lang w:eastAsia="en-AU"/>
              </w:rPr>
            </w:pPr>
            <w:r w:rsidRPr="007837CC">
              <w:rPr>
                <w:rFonts w:cs="Calibri"/>
                <w:b/>
                <w:szCs w:val="18"/>
                <w:lang w:eastAsia="en-AU"/>
              </w:rPr>
              <w:t>0</w:t>
            </w:r>
          </w:p>
          <w:p w14:paraId="42E2E3B5" w14:textId="453B00C3" w:rsidR="00FE10EF" w:rsidRPr="007837CC" w:rsidRDefault="008D264C" w:rsidP="001947FD">
            <w:pPr>
              <w:pStyle w:val="TableText"/>
              <w:spacing w:before="40" w:after="40"/>
              <w:rPr>
                <w:rFonts w:cs="Calibri"/>
                <w:szCs w:val="18"/>
              </w:rPr>
            </w:pPr>
            <w:r w:rsidRPr="007837CC">
              <w:rPr>
                <w:rFonts w:cs="Calibri"/>
                <w:szCs w:val="18"/>
              </w:rPr>
              <w:t>Enables higher prices, however delayed if required to generate sufficient emissions reductions</w:t>
            </w:r>
            <w:r w:rsidR="00FB40E8">
              <w:rPr>
                <w:rFonts w:cs="Calibri"/>
                <w:szCs w:val="18"/>
              </w:rPr>
              <w:t>.</w:t>
            </w:r>
          </w:p>
        </w:tc>
        <w:tc>
          <w:tcPr>
            <w:tcW w:w="1406" w:type="dxa"/>
            <w:shd w:val="clear" w:color="auto" w:fill="FFFFFF" w:themeFill="background1"/>
          </w:tcPr>
          <w:p w14:paraId="1446938F" w14:textId="77777777" w:rsidR="00F751D7" w:rsidRPr="007837CC" w:rsidRDefault="00F751D7" w:rsidP="001947FD">
            <w:pPr>
              <w:spacing w:before="40" w:after="0" w:line="240" w:lineRule="atLeast"/>
              <w:rPr>
                <w:rFonts w:cs="Calibri"/>
                <w:b/>
                <w:color w:val="00B050"/>
                <w:sz w:val="18"/>
                <w:szCs w:val="18"/>
              </w:rPr>
            </w:pPr>
            <w:r w:rsidRPr="007837CC">
              <w:rPr>
                <w:rFonts w:cs="Calibri"/>
                <w:b/>
                <w:color w:val="00B050"/>
                <w:sz w:val="18"/>
                <w:szCs w:val="18"/>
              </w:rPr>
              <w:t>+</w:t>
            </w:r>
          </w:p>
          <w:p w14:paraId="10A0191F" w14:textId="1367AFDB" w:rsidR="009671BF" w:rsidRPr="007837CC" w:rsidRDefault="00F751D7" w:rsidP="001947FD">
            <w:pPr>
              <w:pStyle w:val="TableText"/>
              <w:spacing w:before="40" w:after="40"/>
              <w:rPr>
                <w:rFonts w:cs="Calibri"/>
                <w:szCs w:val="18"/>
              </w:rPr>
            </w:pPr>
            <w:r w:rsidRPr="007837CC">
              <w:rPr>
                <w:rFonts w:cs="Calibri"/>
                <w:szCs w:val="18"/>
              </w:rPr>
              <w:t>Enables higher prices if required to generate sufficient emissions reductions</w:t>
            </w:r>
            <w:r w:rsidR="00FB40E8">
              <w:rPr>
                <w:rFonts w:cs="Calibri"/>
                <w:szCs w:val="18"/>
              </w:rPr>
              <w:t>.</w:t>
            </w:r>
          </w:p>
          <w:p w14:paraId="15466761" w14:textId="77E9440E" w:rsidR="00FE10EF" w:rsidRPr="007837CC" w:rsidRDefault="008979C3" w:rsidP="001947FD">
            <w:pPr>
              <w:pStyle w:val="TableText"/>
              <w:spacing w:before="40" w:after="40"/>
              <w:rPr>
                <w:rFonts w:cs="Calibri"/>
                <w:szCs w:val="18"/>
              </w:rPr>
            </w:pPr>
            <w:r w:rsidRPr="007837CC">
              <w:rPr>
                <w:rFonts w:cs="Calibri"/>
                <w:szCs w:val="18"/>
              </w:rPr>
              <w:t>L</w:t>
            </w:r>
            <w:r w:rsidR="00573F9A" w:rsidRPr="007837CC">
              <w:rPr>
                <w:rFonts w:cs="Calibri"/>
                <w:szCs w:val="18"/>
              </w:rPr>
              <w:t>ower likelihood of sale of CCR volume</w:t>
            </w:r>
            <w:r w:rsidR="00FB40E8">
              <w:rPr>
                <w:rFonts w:cs="Calibri"/>
                <w:szCs w:val="18"/>
              </w:rPr>
              <w:t>.</w:t>
            </w:r>
          </w:p>
        </w:tc>
        <w:tc>
          <w:tcPr>
            <w:tcW w:w="1352" w:type="dxa"/>
            <w:shd w:val="clear" w:color="auto" w:fill="FFFFFF" w:themeFill="background1"/>
          </w:tcPr>
          <w:p w14:paraId="526AC43B" w14:textId="0AAF5A6D" w:rsidR="008D264C" w:rsidRPr="007837CC" w:rsidRDefault="008D264C" w:rsidP="001947FD">
            <w:pPr>
              <w:spacing w:before="40" w:after="0" w:line="240" w:lineRule="atLeast"/>
              <w:rPr>
                <w:rFonts w:cs="Calibri"/>
                <w:b/>
                <w:color w:val="00B050"/>
                <w:sz w:val="18"/>
                <w:szCs w:val="18"/>
              </w:rPr>
            </w:pPr>
            <w:r w:rsidRPr="007837CC">
              <w:rPr>
                <w:rFonts w:cs="Calibri"/>
                <w:b/>
                <w:color w:val="00B050"/>
                <w:sz w:val="18"/>
                <w:szCs w:val="18"/>
              </w:rPr>
              <w:t>+</w:t>
            </w:r>
            <w:r w:rsidR="00C81731" w:rsidRPr="007837CC">
              <w:rPr>
                <w:rFonts w:cs="Calibri"/>
                <w:b/>
                <w:color w:val="00B050"/>
                <w:sz w:val="18"/>
                <w:szCs w:val="18"/>
              </w:rPr>
              <w:t xml:space="preserve"> </w:t>
            </w:r>
            <w:r w:rsidRPr="007837CC">
              <w:rPr>
                <w:rFonts w:cs="Calibri"/>
                <w:b/>
                <w:color w:val="00B050"/>
                <w:sz w:val="18"/>
                <w:szCs w:val="18"/>
              </w:rPr>
              <w:t>+</w:t>
            </w:r>
          </w:p>
          <w:p w14:paraId="59C362E2" w14:textId="52A3418B" w:rsidR="00FE10EF" w:rsidRPr="007837CC" w:rsidRDefault="008D264C" w:rsidP="001947FD">
            <w:pPr>
              <w:pStyle w:val="TableText"/>
              <w:spacing w:before="40" w:after="40"/>
              <w:rPr>
                <w:rFonts w:cs="Calibri"/>
                <w:szCs w:val="18"/>
              </w:rPr>
            </w:pPr>
            <w:r w:rsidRPr="007837CC">
              <w:rPr>
                <w:rFonts w:cs="Calibri"/>
                <w:szCs w:val="18"/>
              </w:rPr>
              <w:t>Enables higher prices if required to generate sufficient emissions reductions</w:t>
            </w:r>
            <w:r w:rsidR="00FB40E8">
              <w:rPr>
                <w:rFonts w:cs="Calibri"/>
                <w:szCs w:val="18"/>
              </w:rPr>
              <w:t>.</w:t>
            </w:r>
          </w:p>
          <w:p w14:paraId="0593CE51" w14:textId="208FFD53" w:rsidR="00FE10EF" w:rsidRPr="007837CC" w:rsidRDefault="00573F9A" w:rsidP="001947FD">
            <w:pPr>
              <w:pStyle w:val="TableText"/>
              <w:spacing w:before="40" w:after="40"/>
              <w:rPr>
                <w:rFonts w:cs="Calibri"/>
                <w:szCs w:val="18"/>
              </w:rPr>
            </w:pPr>
            <w:r w:rsidRPr="007837CC">
              <w:rPr>
                <w:rFonts w:cs="Calibri"/>
                <w:szCs w:val="18"/>
              </w:rPr>
              <w:t>Much lower likelihood of sale of CCR volume</w:t>
            </w:r>
            <w:r w:rsidR="00FB40E8">
              <w:rPr>
                <w:rFonts w:cs="Calibri"/>
                <w:szCs w:val="18"/>
              </w:rPr>
              <w:t>.</w:t>
            </w:r>
          </w:p>
        </w:tc>
        <w:tc>
          <w:tcPr>
            <w:tcW w:w="1494" w:type="dxa"/>
            <w:shd w:val="clear" w:color="auto" w:fill="FFFFFF" w:themeFill="background1"/>
          </w:tcPr>
          <w:p w14:paraId="3AA086A1" w14:textId="0BA8C8A0" w:rsidR="00263EAD" w:rsidRPr="007837CC" w:rsidRDefault="00263EAD" w:rsidP="001947FD">
            <w:pPr>
              <w:spacing w:before="40" w:after="0" w:line="240" w:lineRule="atLeast"/>
              <w:rPr>
                <w:rFonts w:cs="Calibri"/>
                <w:b/>
                <w:color w:val="00B050"/>
                <w:sz w:val="18"/>
                <w:szCs w:val="18"/>
              </w:rPr>
            </w:pPr>
            <w:r w:rsidRPr="007837CC">
              <w:rPr>
                <w:rFonts w:cs="Calibri"/>
                <w:b/>
                <w:color w:val="00B050"/>
                <w:sz w:val="18"/>
                <w:szCs w:val="18"/>
              </w:rPr>
              <w:t>+</w:t>
            </w:r>
            <w:r w:rsidR="00C81731" w:rsidRPr="007837CC">
              <w:rPr>
                <w:rFonts w:cs="Calibri"/>
                <w:b/>
                <w:color w:val="00B050"/>
                <w:sz w:val="18"/>
                <w:szCs w:val="18"/>
              </w:rPr>
              <w:t xml:space="preserve"> </w:t>
            </w:r>
            <w:r w:rsidRPr="007837CC">
              <w:rPr>
                <w:rFonts w:cs="Calibri"/>
                <w:b/>
                <w:color w:val="00B050"/>
                <w:sz w:val="18"/>
                <w:szCs w:val="18"/>
              </w:rPr>
              <w:t>+</w:t>
            </w:r>
          </w:p>
          <w:p w14:paraId="4FE37B8C" w14:textId="682FD964" w:rsidR="00573F9A" w:rsidRPr="007837CC" w:rsidRDefault="008D264C" w:rsidP="001947FD">
            <w:pPr>
              <w:pStyle w:val="TableText"/>
              <w:spacing w:before="40" w:after="40"/>
              <w:rPr>
                <w:rFonts w:cs="Calibri"/>
                <w:szCs w:val="18"/>
              </w:rPr>
            </w:pPr>
            <w:r w:rsidRPr="007837CC">
              <w:rPr>
                <w:rFonts w:cs="Calibri"/>
                <w:szCs w:val="18"/>
              </w:rPr>
              <w:t>Enables higher prices if required to generate sufficient emissions reductions</w:t>
            </w:r>
            <w:r w:rsidR="00FB40E8">
              <w:rPr>
                <w:rFonts w:cs="Calibri"/>
                <w:szCs w:val="18"/>
              </w:rPr>
              <w:t>.</w:t>
            </w:r>
            <w:r w:rsidR="00573F9A" w:rsidRPr="007837CC">
              <w:rPr>
                <w:rFonts w:cs="Calibri"/>
                <w:szCs w:val="18"/>
              </w:rPr>
              <w:t xml:space="preserve"> </w:t>
            </w:r>
          </w:p>
          <w:p w14:paraId="439AFF31" w14:textId="007CF838" w:rsidR="00FE10EF" w:rsidRPr="007837CC" w:rsidRDefault="00573F9A" w:rsidP="001947FD">
            <w:pPr>
              <w:pStyle w:val="TableText"/>
              <w:spacing w:before="40" w:after="40"/>
              <w:rPr>
                <w:rFonts w:cs="Calibri"/>
                <w:szCs w:val="18"/>
              </w:rPr>
            </w:pPr>
            <w:r w:rsidRPr="007837CC">
              <w:rPr>
                <w:rFonts w:cs="Calibri"/>
                <w:szCs w:val="18"/>
              </w:rPr>
              <w:t>Much lower likelihood of sale of CCR volume</w:t>
            </w:r>
            <w:r w:rsidR="00FB40E8">
              <w:rPr>
                <w:rFonts w:cs="Calibri"/>
                <w:szCs w:val="18"/>
              </w:rPr>
              <w:t>.</w:t>
            </w:r>
          </w:p>
        </w:tc>
      </w:tr>
      <w:tr w:rsidR="00411DE2" w:rsidRPr="007837CC" w14:paraId="772F3417" w14:textId="2ADACAA8" w:rsidTr="00AA3BCC">
        <w:tc>
          <w:tcPr>
            <w:tcW w:w="1746" w:type="dxa"/>
            <w:shd w:val="clear" w:color="auto" w:fill="FFFFFF" w:themeFill="background1"/>
          </w:tcPr>
          <w:p w14:paraId="08D64BAB" w14:textId="6924CA24" w:rsidR="00411DE2" w:rsidRPr="007837CC" w:rsidRDefault="00411DE2" w:rsidP="001947FD">
            <w:pPr>
              <w:pStyle w:val="TableText"/>
              <w:spacing w:before="40" w:after="40"/>
              <w:rPr>
                <w:rFonts w:cs="Calibri"/>
                <w:bCs/>
                <w:color w:val="000000"/>
                <w:szCs w:val="18"/>
              </w:rPr>
            </w:pPr>
            <w:r w:rsidRPr="007837CC">
              <w:rPr>
                <w:rFonts w:cs="Calibri"/>
                <w:szCs w:val="18"/>
              </w:rPr>
              <w:t>Supports the proper functioning of the NZ ETS</w:t>
            </w:r>
          </w:p>
        </w:tc>
        <w:tc>
          <w:tcPr>
            <w:tcW w:w="1089" w:type="dxa"/>
            <w:shd w:val="clear" w:color="auto" w:fill="FFFFFF" w:themeFill="background1"/>
          </w:tcPr>
          <w:p w14:paraId="2021A5A2" w14:textId="3A3F8C60" w:rsidR="00411DE2" w:rsidRPr="007837CC" w:rsidRDefault="00263EAD" w:rsidP="001947FD">
            <w:pPr>
              <w:pStyle w:val="TableText"/>
              <w:spacing w:before="40" w:after="40"/>
              <w:rPr>
                <w:rFonts w:cs="Calibri"/>
                <w:bCs/>
                <w:szCs w:val="18"/>
                <w:lang w:eastAsia="en-AU"/>
              </w:rPr>
            </w:pPr>
            <w:r w:rsidRPr="007837CC">
              <w:rPr>
                <w:rFonts w:cs="Calibri"/>
                <w:b/>
                <w:szCs w:val="18"/>
                <w:lang w:eastAsia="en-AU"/>
              </w:rPr>
              <w:t>0</w:t>
            </w:r>
          </w:p>
        </w:tc>
        <w:tc>
          <w:tcPr>
            <w:tcW w:w="1560" w:type="dxa"/>
            <w:shd w:val="clear" w:color="auto" w:fill="FFFFFF" w:themeFill="background1"/>
          </w:tcPr>
          <w:p w14:paraId="6D10EC42" w14:textId="77777777" w:rsidR="00263EAD" w:rsidRPr="007837CC" w:rsidRDefault="00263EAD" w:rsidP="001947FD">
            <w:pPr>
              <w:pStyle w:val="TableText"/>
              <w:spacing w:before="40" w:after="0"/>
              <w:rPr>
                <w:rFonts w:cs="Calibri"/>
                <w:b/>
                <w:szCs w:val="18"/>
                <w:lang w:eastAsia="en-AU"/>
              </w:rPr>
            </w:pPr>
            <w:r w:rsidRPr="007837CC">
              <w:rPr>
                <w:rFonts w:cs="Calibri"/>
                <w:b/>
                <w:szCs w:val="18"/>
                <w:lang w:eastAsia="en-AU"/>
              </w:rPr>
              <w:t>0</w:t>
            </w:r>
          </w:p>
          <w:p w14:paraId="45DBE868" w14:textId="22CBE664" w:rsidR="00411DE2" w:rsidRPr="007837CC" w:rsidRDefault="00D369E2" w:rsidP="001947FD">
            <w:pPr>
              <w:pStyle w:val="TableText"/>
              <w:spacing w:before="40" w:after="40"/>
              <w:rPr>
                <w:rFonts w:cs="Calibri"/>
                <w:szCs w:val="18"/>
                <w:lang w:eastAsia="en-AU"/>
              </w:rPr>
            </w:pPr>
            <w:r w:rsidRPr="007837CC">
              <w:rPr>
                <w:rFonts w:cs="Calibri"/>
                <w:szCs w:val="18"/>
              </w:rPr>
              <w:t>Generally similar</w:t>
            </w:r>
            <w:r w:rsidR="00FB40E8">
              <w:rPr>
                <w:rFonts w:cs="Calibri"/>
                <w:szCs w:val="18"/>
              </w:rPr>
              <w:t>.</w:t>
            </w:r>
          </w:p>
        </w:tc>
        <w:tc>
          <w:tcPr>
            <w:tcW w:w="1406" w:type="dxa"/>
            <w:shd w:val="clear" w:color="auto" w:fill="FFFFFF" w:themeFill="background1"/>
            <w:tcMar>
              <w:right w:w="0" w:type="dxa"/>
            </w:tcMar>
          </w:tcPr>
          <w:p w14:paraId="4C030C21" w14:textId="77777777" w:rsidR="00263EAD" w:rsidRPr="007837CC" w:rsidRDefault="00263EAD" w:rsidP="001947FD">
            <w:pPr>
              <w:pStyle w:val="TableText"/>
              <w:spacing w:before="40" w:after="0"/>
              <w:rPr>
                <w:rFonts w:cs="Calibri"/>
                <w:b/>
                <w:szCs w:val="18"/>
                <w:lang w:eastAsia="en-AU"/>
              </w:rPr>
            </w:pPr>
            <w:r w:rsidRPr="007837CC">
              <w:rPr>
                <w:rFonts w:cs="Calibri"/>
                <w:b/>
                <w:szCs w:val="18"/>
                <w:lang w:eastAsia="en-AU"/>
              </w:rPr>
              <w:t>0</w:t>
            </w:r>
          </w:p>
          <w:p w14:paraId="206FAC3C" w14:textId="59112481" w:rsidR="00411DE2" w:rsidRPr="007837CC" w:rsidRDefault="00411DE2" w:rsidP="001947FD">
            <w:pPr>
              <w:pStyle w:val="TableText"/>
              <w:spacing w:before="40" w:after="40"/>
              <w:rPr>
                <w:rFonts w:cs="Calibri"/>
                <w:bCs/>
                <w:szCs w:val="18"/>
                <w:lang w:eastAsia="en-AU"/>
              </w:rPr>
            </w:pPr>
            <w:r w:rsidRPr="007837CC">
              <w:rPr>
                <w:rFonts w:cs="Calibri"/>
                <w:szCs w:val="18"/>
              </w:rPr>
              <w:t>Generally similar</w:t>
            </w:r>
            <w:r w:rsidR="00FB40E8">
              <w:rPr>
                <w:rFonts w:cs="Calibri"/>
                <w:szCs w:val="18"/>
              </w:rPr>
              <w:t>.</w:t>
            </w:r>
            <w:r w:rsidRPr="007837CC">
              <w:rPr>
                <w:rFonts w:cs="Calibri"/>
                <w:szCs w:val="18"/>
              </w:rPr>
              <w:t xml:space="preserve"> </w:t>
            </w:r>
          </w:p>
        </w:tc>
        <w:tc>
          <w:tcPr>
            <w:tcW w:w="1352" w:type="dxa"/>
            <w:shd w:val="clear" w:color="auto" w:fill="FFFFFF" w:themeFill="background1"/>
            <w:tcMar>
              <w:right w:w="0" w:type="dxa"/>
            </w:tcMar>
          </w:tcPr>
          <w:p w14:paraId="68FF7AC6" w14:textId="77777777" w:rsidR="00263EAD" w:rsidRPr="007837CC" w:rsidRDefault="00263EAD" w:rsidP="001947FD">
            <w:pPr>
              <w:pStyle w:val="TableText"/>
              <w:spacing w:before="40" w:after="0"/>
              <w:rPr>
                <w:rFonts w:cs="Calibri"/>
                <w:b/>
                <w:szCs w:val="18"/>
                <w:lang w:eastAsia="en-AU"/>
              </w:rPr>
            </w:pPr>
            <w:r w:rsidRPr="007837CC">
              <w:rPr>
                <w:rFonts w:cs="Calibri"/>
                <w:b/>
                <w:szCs w:val="18"/>
                <w:lang w:eastAsia="en-AU"/>
              </w:rPr>
              <w:t>0</w:t>
            </w:r>
          </w:p>
          <w:p w14:paraId="78BC3B0A" w14:textId="5439BEA9" w:rsidR="00411DE2" w:rsidRPr="007837CC" w:rsidRDefault="00411DE2" w:rsidP="001947FD">
            <w:pPr>
              <w:pStyle w:val="TableText"/>
              <w:spacing w:before="40" w:after="40"/>
              <w:rPr>
                <w:rFonts w:cs="Calibri"/>
                <w:bCs/>
                <w:szCs w:val="18"/>
                <w:lang w:eastAsia="en-AU"/>
              </w:rPr>
            </w:pPr>
            <w:r w:rsidRPr="007837CC">
              <w:rPr>
                <w:rFonts w:cs="Calibri"/>
                <w:szCs w:val="18"/>
              </w:rPr>
              <w:t>Generally similar</w:t>
            </w:r>
            <w:r w:rsidR="00FB40E8">
              <w:rPr>
                <w:rFonts w:cs="Calibri"/>
                <w:szCs w:val="18"/>
              </w:rPr>
              <w:t>.</w:t>
            </w:r>
          </w:p>
        </w:tc>
        <w:tc>
          <w:tcPr>
            <w:tcW w:w="1494" w:type="dxa"/>
            <w:shd w:val="clear" w:color="auto" w:fill="FFFFFF" w:themeFill="background1"/>
          </w:tcPr>
          <w:p w14:paraId="122F998E" w14:textId="77777777" w:rsidR="00263EAD" w:rsidRPr="007837CC" w:rsidRDefault="00263EAD" w:rsidP="001947FD">
            <w:pPr>
              <w:pStyle w:val="TableText"/>
              <w:spacing w:before="40" w:after="0"/>
              <w:rPr>
                <w:rFonts w:cs="Calibri"/>
                <w:b/>
                <w:szCs w:val="18"/>
                <w:lang w:eastAsia="en-AU"/>
              </w:rPr>
            </w:pPr>
            <w:r w:rsidRPr="007837CC">
              <w:rPr>
                <w:rFonts w:cs="Calibri"/>
                <w:b/>
                <w:szCs w:val="18"/>
                <w:lang w:eastAsia="en-AU"/>
              </w:rPr>
              <w:t>0</w:t>
            </w:r>
          </w:p>
          <w:p w14:paraId="4C643504" w14:textId="0C363C72" w:rsidR="00411DE2" w:rsidRPr="007837CC" w:rsidRDefault="00411DE2" w:rsidP="001947FD">
            <w:pPr>
              <w:pStyle w:val="TableText"/>
              <w:spacing w:before="40" w:after="40"/>
              <w:rPr>
                <w:rFonts w:cs="Calibri"/>
                <w:szCs w:val="18"/>
              </w:rPr>
            </w:pPr>
            <w:r w:rsidRPr="007837CC">
              <w:rPr>
                <w:rFonts w:cs="Calibri"/>
                <w:szCs w:val="18"/>
              </w:rPr>
              <w:t>Generally similar</w:t>
            </w:r>
            <w:r w:rsidR="00FB40E8">
              <w:rPr>
                <w:rFonts w:cs="Calibri"/>
                <w:szCs w:val="18"/>
              </w:rPr>
              <w:t>.</w:t>
            </w:r>
          </w:p>
        </w:tc>
      </w:tr>
      <w:tr w:rsidR="00411DE2" w:rsidRPr="007837CC" w14:paraId="24825F80" w14:textId="50B40DE0" w:rsidTr="00AA3BCC">
        <w:tc>
          <w:tcPr>
            <w:tcW w:w="1746" w:type="dxa"/>
            <w:shd w:val="clear" w:color="auto" w:fill="FFFFFF" w:themeFill="background1"/>
          </w:tcPr>
          <w:p w14:paraId="68EE3C55" w14:textId="25AECF27" w:rsidR="00411DE2" w:rsidRPr="007837CC" w:rsidRDefault="00411DE2" w:rsidP="001947FD">
            <w:pPr>
              <w:pStyle w:val="TableText"/>
              <w:spacing w:before="40" w:after="40"/>
              <w:rPr>
                <w:rFonts w:cs="Calibri"/>
                <w:bCs/>
                <w:color w:val="000000"/>
                <w:szCs w:val="18"/>
              </w:rPr>
            </w:pPr>
            <w:r w:rsidRPr="007837CC">
              <w:rPr>
                <w:rFonts w:cs="Calibri"/>
                <w:szCs w:val="18"/>
              </w:rPr>
              <w:t>Improves regulatory certainty and predictability</w:t>
            </w:r>
          </w:p>
        </w:tc>
        <w:tc>
          <w:tcPr>
            <w:tcW w:w="1089" w:type="dxa"/>
            <w:shd w:val="clear" w:color="auto" w:fill="FFFFFF" w:themeFill="background1"/>
          </w:tcPr>
          <w:p w14:paraId="168D6AF7" w14:textId="7E6F419F" w:rsidR="00411DE2" w:rsidRPr="007837CC" w:rsidRDefault="00263EAD" w:rsidP="001947FD">
            <w:pPr>
              <w:pStyle w:val="TableText"/>
              <w:spacing w:before="40" w:after="40"/>
              <w:rPr>
                <w:rFonts w:cs="Calibri"/>
                <w:bCs/>
                <w:szCs w:val="18"/>
                <w:lang w:eastAsia="en-AU"/>
              </w:rPr>
            </w:pPr>
            <w:r w:rsidRPr="007837CC">
              <w:rPr>
                <w:rFonts w:cs="Calibri"/>
                <w:b/>
                <w:szCs w:val="18"/>
                <w:lang w:eastAsia="en-AU"/>
              </w:rPr>
              <w:t>0</w:t>
            </w:r>
          </w:p>
        </w:tc>
        <w:tc>
          <w:tcPr>
            <w:tcW w:w="1560" w:type="dxa"/>
            <w:shd w:val="clear" w:color="auto" w:fill="FFFFFF" w:themeFill="background1"/>
          </w:tcPr>
          <w:p w14:paraId="22284D99" w14:textId="77777777" w:rsidR="00263EAD" w:rsidRPr="007837CC" w:rsidRDefault="00263EAD" w:rsidP="001947FD">
            <w:pPr>
              <w:spacing w:before="40" w:after="0" w:line="240" w:lineRule="atLeast"/>
              <w:rPr>
                <w:rFonts w:cs="Calibri"/>
                <w:b/>
                <w:sz w:val="18"/>
                <w:szCs w:val="18"/>
              </w:rPr>
            </w:pPr>
            <w:r w:rsidRPr="007837CC">
              <w:rPr>
                <w:rFonts w:cs="Calibri"/>
                <w:b/>
                <w:sz w:val="18"/>
                <w:szCs w:val="18"/>
              </w:rPr>
              <w:t>0</w:t>
            </w:r>
          </w:p>
          <w:p w14:paraId="4A4D304A" w14:textId="0FE1FEC4" w:rsidR="00411DE2" w:rsidRPr="007837CC" w:rsidRDefault="00703034" w:rsidP="001947FD">
            <w:pPr>
              <w:pStyle w:val="TableText"/>
              <w:spacing w:before="40" w:after="40"/>
              <w:rPr>
                <w:rFonts w:cs="Calibri"/>
                <w:szCs w:val="18"/>
              </w:rPr>
            </w:pPr>
            <w:r w:rsidRPr="007837CC">
              <w:rPr>
                <w:rFonts w:cs="Calibri"/>
                <w:szCs w:val="18"/>
              </w:rPr>
              <w:t>Generally similar</w:t>
            </w:r>
            <w:r w:rsidR="00FB40E8">
              <w:rPr>
                <w:rFonts w:cs="Calibri"/>
                <w:szCs w:val="18"/>
              </w:rPr>
              <w:t>.</w:t>
            </w:r>
          </w:p>
        </w:tc>
        <w:tc>
          <w:tcPr>
            <w:tcW w:w="1406" w:type="dxa"/>
            <w:shd w:val="clear" w:color="auto" w:fill="FFFFFF" w:themeFill="background1"/>
          </w:tcPr>
          <w:p w14:paraId="1BC96E1A" w14:textId="4DD8ED81" w:rsidR="00985ED4" w:rsidRPr="007837CC" w:rsidRDefault="00263EAD" w:rsidP="001947FD">
            <w:pPr>
              <w:spacing w:before="40" w:after="0" w:line="240" w:lineRule="atLeast"/>
              <w:rPr>
                <w:rFonts w:cs="Calibri"/>
                <w:b/>
                <w:color w:val="FF0000"/>
                <w:sz w:val="18"/>
                <w:szCs w:val="18"/>
              </w:rPr>
            </w:pPr>
            <w:r w:rsidRPr="007837CC">
              <w:rPr>
                <w:rFonts w:cs="Calibri"/>
                <w:b/>
                <w:color w:val="FF0000"/>
                <w:sz w:val="18"/>
                <w:szCs w:val="18"/>
              </w:rPr>
              <w:softHyphen/>
              <w:t>–</w:t>
            </w:r>
          </w:p>
          <w:p w14:paraId="5A384C00" w14:textId="682268F4" w:rsidR="00985ED4" w:rsidRPr="007837CC" w:rsidRDefault="00985ED4" w:rsidP="001947FD">
            <w:pPr>
              <w:pStyle w:val="TableText"/>
              <w:spacing w:before="40" w:after="40"/>
              <w:rPr>
                <w:rFonts w:cs="Calibri"/>
                <w:szCs w:val="18"/>
              </w:rPr>
            </w:pPr>
            <w:r w:rsidRPr="007837CC">
              <w:rPr>
                <w:rFonts w:cs="Calibri"/>
                <w:szCs w:val="18"/>
              </w:rPr>
              <w:t>Significant change after equivalent changes were not agreed to last year</w:t>
            </w:r>
            <w:r w:rsidR="00FB40E8">
              <w:rPr>
                <w:rFonts w:cs="Calibri"/>
                <w:szCs w:val="18"/>
              </w:rPr>
              <w:t>.</w:t>
            </w:r>
          </w:p>
          <w:p w14:paraId="0E426752" w14:textId="396F3BF1" w:rsidR="00411DE2" w:rsidRPr="007837CC" w:rsidRDefault="00985ED4" w:rsidP="001947FD">
            <w:pPr>
              <w:pStyle w:val="TableText"/>
              <w:spacing w:before="40" w:after="40"/>
              <w:rPr>
                <w:rFonts w:cs="Calibri"/>
                <w:szCs w:val="18"/>
              </w:rPr>
            </w:pPr>
            <w:r w:rsidRPr="007837CC">
              <w:rPr>
                <w:rFonts w:cs="Calibri"/>
                <w:szCs w:val="18"/>
              </w:rPr>
              <w:t xml:space="preserve">Reduced risk of being triggered (resulting in </w:t>
            </w:r>
            <w:r w:rsidR="007F2B2D" w:rsidRPr="007837CC">
              <w:rPr>
                <w:rFonts w:cs="Calibri"/>
                <w:szCs w:val="18"/>
              </w:rPr>
              <w:t>opportunity to make</w:t>
            </w:r>
            <w:r w:rsidRPr="007837CC">
              <w:rPr>
                <w:rFonts w:cs="Calibri"/>
                <w:szCs w:val="18"/>
              </w:rPr>
              <w:t xml:space="preserve"> updates to settings) as setting for </w:t>
            </w:r>
            <w:r w:rsidR="007F2B2D" w:rsidRPr="007837CC">
              <w:rPr>
                <w:rFonts w:cs="Calibri"/>
                <w:szCs w:val="18"/>
              </w:rPr>
              <w:t xml:space="preserve">2024 </w:t>
            </w:r>
            <w:r w:rsidRPr="007837CC">
              <w:rPr>
                <w:rFonts w:cs="Calibri"/>
                <w:szCs w:val="18"/>
              </w:rPr>
              <w:t>is far higher than recently observed prices</w:t>
            </w:r>
            <w:r w:rsidR="00FB40E8">
              <w:rPr>
                <w:rFonts w:cs="Calibri"/>
                <w:szCs w:val="18"/>
              </w:rPr>
              <w:t>.</w:t>
            </w:r>
          </w:p>
        </w:tc>
        <w:tc>
          <w:tcPr>
            <w:tcW w:w="1352" w:type="dxa"/>
            <w:shd w:val="clear" w:color="auto" w:fill="FFFFFF" w:themeFill="background1"/>
          </w:tcPr>
          <w:p w14:paraId="263120E8" w14:textId="1B086614" w:rsidR="00263EAD" w:rsidRPr="007837CC" w:rsidRDefault="00263EAD" w:rsidP="001947FD">
            <w:pPr>
              <w:spacing w:before="40" w:after="0" w:line="240" w:lineRule="atLeast"/>
              <w:rPr>
                <w:rFonts w:cs="Calibri"/>
                <w:b/>
                <w:color w:val="FF0000"/>
                <w:sz w:val="18"/>
                <w:szCs w:val="18"/>
              </w:rPr>
            </w:pPr>
            <w:r w:rsidRPr="007837CC">
              <w:rPr>
                <w:rFonts w:cs="Calibri"/>
                <w:b/>
                <w:color w:val="FF0000"/>
                <w:sz w:val="18"/>
                <w:szCs w:val="18"/>
              </w:rPr>
              <w:t>–</w:t>
            </w:r>
          </w:p>
          <w:p w14:paraId="6B444903" w14:textId="1502E3FC" w:rsidR="00985ED4" w:rsidRPr="007837CC" w:rsidRDefault="00985ED4" w:rsidP="001947FD">
            <w:pPr>
              <w:pStyle w:val="TableText"/>
              <w:spacing w:before="40" w:after="40"/>
              <w:rPr>
                <w:rFonts w:cs="Calibri"/>
                <w:szCs w:val="18"/>
              </w:rPr>
            </w:pPr>
            <w:r w:rsidRPr="007837CC">
              <w:rPr>
                <w:rFonts w:cs="Calibri"/>
                <w:szCs w:val="18"/>
              </w:rPr>
              <w:t>Significant change after equivalent changes were not agreed to last year</w:t>
            </w:r>
            <w:r w:rsidR="00FB40E8">
              <w:rPr>
                <w:rFonts w:cs="Calibri"/>
                <w:szCs w:val="18"/>
              </w:rPr>
              <w:t>.</w:t>
            </w:r>
          </w:p>
          <w:p w14:paraId="3F97C07B" w14:textId="7F21C0D0" w:rsidR="00411DE2" w:rsidRPr="007837CC" w:rsidRDefault="00985ED4" w:rsidP="001947FD">
            <w:pPr>
              <w:pStyle w:val="TableText"/>
              <w:spacing w:before="40" w:after="40"/>
              <w:rPr>
                <w:rFonts w:cs="Calibri"/>
                <w:szCs w:val="18"/>
              </w:rPr>
            </w:pPr>
            <w:r w:rsidRPr="007837CC">
              <w:rPr>
                <w:rFonts w:cs="Calibri"/>
                <w:szCs w:val="18"/>
              </w:rPr>
              <w:t xml:space="preserve">Reduced risk of being triggered (resulting in </w:t>
            </w:r>
            <w:r w:rsidR="007F2B2D" w:rsidRPr="007837CC">
              <w:rPr>
                <w:rFonts w:cs="Calibri"/>
                <w:szCs w:val="18"/>
              </w:rPr>
              <w:t xml:space="preserve">opportunity to make </w:t>
            </w:r>
            <w:r w:rsidRPr="007837CC">
              <w:rPr>
                <w:rFonts w:cs="Calibri"/>
                <w:szCs w:val="18"/>
              </w:rPr>
              <w:t xml:space="preserve">updates to settings) as setting for </w:t>
            </w:r>
            <w:r w:rsidR="007F2B2D" w:rsidRPr="007837CC">
              <w:rPr>
                <w:rFonts w:cs="Calibri"/>
                <w:szCs w:val="18"/>
              </w:rPr>
              <w:t xml:space="preserve">2024 </w:t>
            </w:r>
            <w:r w:rsidRPr="007837CC">
              <w:rPr>
                <w:rFonts w:cs="Calibri"/>
                <w:szCs w:val="18"/>
              </w:rPr>
              <w:t>is far higher than recently observed prices</w:t>
            </w:r>
            <w:r w:rsidR="00FB40E8">
              <w:rPr>
                <w:rFonts w:cs="Calibri"/>
                <w:szCs w:val="18"/>
              </w:rPr>
              <w:t>.</w:t>
            </w:r>
          </w:p>
        </w:tc>
        <w:tc>
          <w:tcPr>
            <w:tcW w:w="1494" w:type="dxa"/>
            <w:shd w:val="clear" w:color="auto" w:fill="FFFFFF" w:themeFill="background1"/>
          </w:tcPr>
          <w:p w14:paraId="6BEB2B7E" w14:textId="5CF4ED2A" w:rsidR="00263EAD" w:rsidRPr="007837CC" w:rsidRDefault="00263EAD" w:rsidP="001947FD">
            <w:pPr>
              <w:spacing w:before="40" w:after="0" w:line="240" w:lineRule="atLeast"/>
              <w:rPr>
                <w:rFonts w:cs="Calibri"/>
                <w:b/>
                <w:color w:val="FF0000"/>
                <w:sz w:val="18"/>
                <w:szCs w:val="18"/>
              </w:rPr>
            </w:pPr>
            <w:r w:rsidRPr="007837CC">
              <w:rPr>
                <w:rFonts w:cs="Calibri"/>
                <w:b/>
                <w:color w:val="FF0000"/>
                <w:sz w:val="18"/>
                <w:szCs w:val="18"/>
              </w:rPr>
              <w:t>–</w:t>
            </w:r>
          </w:p>
          <w:p w14:paraId="0336B8F9" w14:textId="38285948" w:rsidR="00985ED4" w:rsidRPr="007837CC" w:rsidRDefault="00985ED4" w:rsidP="001947FD">
            <w:pPr>
              <w:pStyle w:val="TableText"/>
              <w:spacing w:before="40" w:after="40"/>
              <w:rPr>
                <w:rFonts w:cs="Calibri"/>
                <w:szCs w:val="18"/>
              </w:rPr>
            </w:pPr>
            <w:r w:rsidRPr="007837CC">
              <w:rPr>
                <w:rFonts w:cs="Calibri"/>
                <w:szCs w:val="18"/>
              </w:rPr>
              <w:t>Significant change after equivalent changes were not agreed to last year</w:t>
            </w:r>
            <w:r w:rsidR="00FB40E8">
              <w:rPr>
                <w:rFonts w:cs="Calibri"/>
                <w:szCs w:val="18"/>
              </w:rPr>
              <w:t>.</w:t>
            </w:r>
          </w:p>
          <w:p w14:paraId="66624C29" w14:textId="6EB6192E" w:rsidR="00411DE2" w:rsidRPr="007837CC" w:rsidRDefault="00985ED4" w:rsidP="001947FD">
            <w:pPr>
              <w:pStyle w:val="TableText"/>
              <w:spacing w:before="40" w:after="40"/>
              <w:rPr>
                <w:rFonts w:cs="Calibri"/>
                <w:szCs w:val="18"/>
              </w:rPr>
            </w:pPr>
            <w:r w:rsidRPr="007837CC">
              <w:rPr>
                <w:rFonts w:cs="Calibri"/>
                <w:szCs w:val="18"/>
              </w:rPr>
              <w:t xml:space="preserve">Reduced risk of being triggered (resulting in </w:t>
            </w:r>
            <w:r w:rsidR="007F2B2D" w:rsidRPr="007837CC">
              <w:rPr>
                <w:rFonts w:cs="Calibri"/>
                <w:szCs w:val="18"/>
              </w:rPr>
              <w:t xml:space="preserve">opportunity to make </w:t>
            </w:r>
            <w:r w:rsidRPr="007837CC">
              <w:rPr>
                <w:rFonts w:cs="Calibri"/>
                <w:szCs w:val="18"/>
              </w:rPr>
              <w:t xml:space="preserve">updates to settings) as setting for </w:t>
            </w:r>
            <w:r w:rsidR="007F2B2D" w:rsidRPr="007837CC">
              <w:rPr>
                <w:rFonts w:cs="Calibri"/>
                <w:szCs w:val="18"/>
              </w:rPr>
              <w:t xml:space="preserve">2024 </w:t>
            </w:r>
            <w:r w:rsidRPr="007837CC">
              <w:rPr>
                <w:rFonts w:cs="Calibri"/>
                <w:szCs w:val="18"/>
              </w:rPr>
              <w:t>is far higher than recently observed prices</w:t>
            </w:r>
            <w:r w:rsidR="00FB40E8">
              <w:rPr>
                <w:rFonts w:cs="Calibri"/>
                <w:szCs w:val="18"/>
              </w:rPr>
              <w:t>.</w:t>
            </w:r>
          </w:p>
        </w:tc>
      </w:tr>
      <w:tr w:rsidR="00411DE2" w:rsidRPr="007837CC" w14:paraId="7A26B7C6" w14:textId="124BD949" w:rsidTr="00AA3BCC">
        <w:tc>
          <w:tcPr>
            <w:tcW w:w="1746" w:type="dxa"/>
            <w:shd w:val="clear" w:color="auto" w:fill="FFFFFF" w:themeFill="background1"/>
          </w:tcPr>
          <w:p w14:paraId="38967982" w14:textId="77777777" w:rsidR="00411DE2" w:rsidRPr="007837CC" w:rsidRDefault="00411DE2" w:rsidP="001947FD">
            <w:pPr>
              <w:pStyle w:val="TableText"/>
              <w:spacing w:before="40" w:after="40"/>
              <w:rPr>
                <w:rFonts w:cs="Calibri"/>
                <w:bCs/>
                <w:color w:val="000000"/>
                <w:szCs w:val="18"/>
              </w:rPr>
            </w:pPr>
            <w:r w:rsidRPr="007837CC">
              <w:rPr>
                <w:rFonts w:cs="Calibri"/>
                <w:szCs w:val="18"/>
              </w:rPr>
              <w:t>Supports consistency of NZU prices with the level and trajectory of international emissions prices</w:t>
            </w:r>
          </w:p>
        </w:tc>
        <w:tc>
          <w:tcPr>
            <w:tcW w:w="1089" w:type="dxa"/>
            <w:shd w:val="clear" w:color="auto" w:fill="FFFFFF" w:themeFill="background1"/>
          </w:tcPr>
          <w:p w14:paraId="7FC0390E" w14:textId="5B9F9024" w:rsidR="00411DE2" w:rsidRPr="007837CC" w:rsidRDefault="00263EAD" w:rsidP="001947FD">
            <w:pPr>
              <w:pStyle w:val="TableText"/>
              <w:spacing w:before="40" w:after="40"/>
              <w:rPr>
                <w:rFonts w:cs="Calibri"/>
                <w:bCs/>
                <w:szCs w:val="18"/>
                <w:lang w:eastAsia="en-AU"/>
              </w:rPr>
            </w:pPr>
            <w:r w:rsidRPr="007837CC">
              <w:rPr>
                <w:rFonts w:cs="Calibri"/>
                <w:b/>
                <w:szCs w:val="18"/>
                <w:lang w:eastAsia="en-AU"/>
              </w:rPr>
              <w:t>0</w:t>
            </w:r>
          </w:p>
        </w:tc>
        <w:tc>
          <w:tcPr>
            <w:tcW w:w="1560" w:type="dxa"/>
            <w:shd w:val="clear" w:color="auto" w:fill="FFFFFF" w:themeFill="background1"/>
          </w:tcPr>
          <w:p w14:paraId="5CD64E28" w14:textId="77777777" w:rsidR="00263EAD" w:rsidRPr="007837CC" w:rsidRDefault="00263EAD" w:rsidP="001947FD">
            <w:pPr>
              <w:spacing w:before="40" w:after="0" w:line="240" w:lineRule="atLeast"/>
              <w:rPr>
                <w:rFonts w:cs="Calibri"/>
                <w:b/>
                <w:color w:val="00B050"/>
                <w:sz w:val="18"/>
                <w:szCs w:val="18"/>
              </w:rPr>
            </w:pPr>
            <w:r w:rsidRPr="007837CC">
              <w:rPr>
                <w:rFonts w:cs="Calibri"/>
                <w:b/>
                <w:color w:val="00B050"/>
                <w:sz w:val="18"/>
                <w:szCs w:val="18"/>
              </w:rPr>
              <w:t>+</w:t>
            </w:r>
          </w:p>
          <w:p w14:paraId="0C59BD35" w14:textId="1D2D56F9" w:rsidR="00411DE2" w:rsidRPr="007837CC" w:rsidRDefault="00A336FB" w:rsidP="001947FD">
            <w:pPr>
              <w:pStyle w:val="TableText"/>
              <w:spacing w:before="40" w:after="40"/>
              <w:rPr>
                <w:rFonts w:cs="Calibri"/>
                <w:b/>
                <w:bCs/>
                <w:szCs w:val="18"/>
                <w:lang w:eastAsia="en-AU"/>
              </w:rPr>
            </w:pPr>
            <w:r w:rsidRPr="007837CC">
              <w:rPr>
                <w:rFonts w:cs="Calibri"/>
                <w:szCs w:val="18"/>
              </w:rPr>
              <w:t xml:space="preserve">Closer to </w:t>
            </w:r>
            <w:r w:rsidRPr="007837CC">
              <w:rPr>
                <w:rFonts w:cs="Calibri"/>
                <w:bCs/>
                <w:szCs w:val="18"/>
              </w:rPr>
              <w:t>current and expected international prices</w:t>
            </w:r>
            <w:r w:rsidR="00FB40E8">
              <w:rPr>
                <w:rFonts w:cs="Calibri"/>
                <w:bCs/>
                <w:szCs w:val="18"/>
              </w:rPr>
              <w:t>.</w:t>
            </w:r>
          </w:p>
        </w:tc>
        <w:tc>
          <w:tcPr>
            <w:tcW w:w="1406" w:type="dxa"/>
            <w:shd w:val="clear" w:color="auto" w:fill="FFFFFF" w:themeFill="background1"/>
          </w:tcPr>
          <w:p w14:paraId="34FEA02C" w14:textId="77777777" w:rsidR="00263EAD" w:rsidRPr="007837CC" w:rsidRDefault="00263EAD" w:rsidP="001947FD">
            <w:pPr>
              <w:spacing w:before="40" w:after="0" w:line="240" w:lineRule="atLeast"/>
              <w:rPr>
                <w:rFonts w:cs="Calibri"/>
                <w:b/>
                <w:color w:val="00B050"/>
                <w:sz w:val="18"/>
                <w:szCs w:val="18"/>
              </w:rPr>
            </w:pPr>
            <w:r w:rsidRPr="007837CC">
              <w:rPr>
                <w:rFonts w:cs="Calibri"/>
                <w:b/>
                <w:color w:val="00B050"/>
                <w:sz w:val="18"/>
                <w:szCs w:val="18"/>
              </w:rPr>
              <w:t>+</w:t>
            </w:r>
          </w:p>
          <w:p w14:paraId="69BC5C1D" w14:textId="2BA52B0F" w:rsidR="00411DE2" w:rsidRPr="007837CC" w:rsidRDefault="00A336FB" w:rsidP="001947FD">
            <w:pPr>
              <w:pStyle w:val="TableText"/>
              <w:spacing w:before="40" w:after="40"/>
              <w:rPr>
                <w:rFonts w:cs="Calibri"/>
                <w:bCs/>
                <w:szCs w:val="18"/>
                <w:lang w:eastAsia="en-AU"/>
              </w:rPr>
            </w:pPr>
            <w:r w:rsidRPr="007837CC">
              <w:rPr>
                <w:rFonts w:cs="Calibri"/>
                <w:szCs w:val="18"/>
              </w:rPr>
              <w:t xml:space="preserve">Closer to </w:t>
            </w:r>
            <w:r w:rsidRPr="007837CC">
              <w:rPr>
                <w:rFonts w:cs="Calibri"/>
                <w:bCs/>
                <w:szCs w:val="18"/>
              </w:rPr>
              <w:t>current and expected international prices</w:t>
            </w:r>
            <w:r w:rsidR="00FB40E8">
              <w:rPr>
                <w:rFonts w:cs="Calibri"/>
                <w:bCs/>
                <w:szCs w:val="18"/>
              </w:rPr>
              <w:t>.</w:t>
            </w:r>
          </w:p>
        </w:tc>
        <w:tc>
          <w:tcPr>
            <w:tcW w:w="1352" w:type="dxa"/>
            <w:shd w:val="clear" w:color="auto" w:fill="FFFFFF" w:themeFill="background1"/>
          </w:tcPr>
          <w:p w14:paraId="5ACFB8B6" w14:textId="77777777" w:rsidR="00263EAD" w:rsidRPr="007837CC" w:rsidRDefault="00263EAD" w:rsidP="001947FD">
            <w:pPr>
              <w:spacing w:before="40" w:after="0" w:line="240" w:lineRule="atLeast"/>
              <w:rPr>
                <w:rFonts w:cs="Calibri"/>
                <w:b/>
                <w:color w:val="00B050"/>
                <w:sz w:val="18"/>
                <w:szCs w:val="18"/>
              </w:rPr>
            </w:pPr>
            <w:r w:rsidRPr="007837CC">
              <w:rPr>
                <w:rFonts w:cs="Calibri"/>
                <w:b/>
                <w:color w:val="00B050"/>
                <w:sz w:val="18"/>
                <w:szCs w:val="18"/>
              </w:rPr>
              <w:t>+</w:t>
            </w:r>
          </w:p>
          <w:p w14:paraId="271042CF" w14:textId="4ECD95EE" w:rsidR="00411DE2" w:rsidRPr="007837CC" w:rsidRDefault="00A336FB" w:rsidP="001947FD">
            <w:pPr>
              <w:pStyle w:val="TableText"/>
              <w:spacing w:before="40" w:after="40"/>
              <w:rPr>
                <w:rFonts w:cs="Calibri"/>
                <w:bCs/>
                <w:szCs w:val="18"/>
                <w:lang w:eastAsia="en-AU"/>
              </w:rPr>
            </w:pPr>
            <w:r w:rsidRPr="007837CC">
              <w:rPr>
                <w:rFonts w:cs="Calibri"/>
                <w:szCs w:val="18"/>
              </w:rPr>
              <w:t xml:space="preserve">Closer to </w:t>
            </w:r>
            <w:r w:rsidRPr="007837CC">
              <w:rPr>
                <w:rFonts w:cs="Calibri"/>
                <w:bCs/>
                <w:szCs w:val="18"/>
              </w:rPr>
              <w:t>current and expected international prices</w:t>
            </w:r>
            <w:r w:rsidR="00FB40E8">
              <w:rPr>
                <w:rFonts w:cs="Calibri"/>
                <w:bCs/>
                <w:szCs w:val="18"/>
              </w:rPr>
              <w:t>.</w:t>
            </w:r>
          </w:p>
        </w:tc>
        <w:tc>
          <w:tcPr>
            <w:tcW w:w="1494" w:type="dxa"/>
            <w:shd w:val="clear" w:color="auto" w:fill="FFFFFF" w:themeFill="background1"/>
          </w:tcPr>
          <w:p w14:paraId="718FB338" w14:textId="77777777" w:rsidR="00263EAD" w:rsidRPr="007837CC" w:rsidRDefault="00263EAD" w:rsidP="001947FD">
            <w:pPr>
              <w:spacing w:before="40" w:after="0" w:line="240" w:lineRule="atLeast"/>
              <w:rPr>
                <w:rFonts w:cs="Calibri"/>
                <w:b/>
                <w:color w:val="00B050"/>
                <w:sz w:val="18"/>
                <w:szCs w:val="18"/>
              </w:rPr>
            </w:pPr>
            <w:r w:rsidRPr="007837CC">
              <w:rPr>
                <w:rFonts w:cs="Calibri"/>
                <w:b/>
                <w:color w:val="00B050"/>
                <w:sz w:val="18"/>
                <w:szCs w:val="18"/>
              </w:rPr>
              <w:t>+</w:t>
            </w:r>
          </w:p>
          <w:p w14:paraId="2891B900" w14:textId="77902201" w:rsidR="00411DE2" w:rsidRPr="007837CC" w:rsidRDefault="00A96EDC" w:rsidP="001947FD">
            <w:pPr>
              <w:pStyle w:val="TableText"/>
              <w:spacing w:before="40" w:after="40"/>
              <w:rPr>
                <w:rFonts w:cs="Calibri"/>
                <w:szCs w:val="18"/>
              </w:rPr>
            </w:pPr>
            <w:r w:rsidRPr="007837CC">
              <w:rPr>
                <w:rFonts w:cs="Calibri"/>
                <w:szCs w:val="18"/>
              </w:rPr>
              <w:t>Above current and expected international prices</w:t>
            </w:r>
            <w:r w:rsidR="00FB40E8">
              <w:rPr>
                <w:rFonts w:cs="Calibri"/>
                <w:szCs w:val="18"/>
              </w:rPr>
              <w:t>.</w:t>
            </w:r>
          </w:p>
        </w:tc>
      </w:tr>
      <w:tr w:rsidR="00411DE2" w:rsidRPr="007837CC" w14:paraId="7B5D3100" w14:textId="64B83CB0" w:rsidTr="00AA3BCC">
        <w:tc>
          <w:tcPr>
            <w:tcW w:w="1746" w:type="dxa"/>
            <w:shd w:val="clear" w:color="auto" w:fill="FFFFFF" w:themeFill="background1"/>
          </w:tcPr>
          <w:p w14:paraId="2EBE5B85" w14:textId="7B8F323D" w:rsidR="00411DE2" w:rsidRPr="007837CC" w:rsidRDefault="00411DE2" w:rsidP="001947FD">
            <w:pPr>
              <w:pStyle w:val="TableText"/>
              <w:spacing w:before="40" w:after="40"/>
              <w:rPr>
                <w:rFonts w:cs="Calibri"/>
                <w:szCs w:val="18"/>
              </w:rPr>
            </w:pPr>
            <w:r w:rsidRPr="007837CC">
              <w:rPr>
                <w:rFonts w:cs="Calibri"/>
                <w:szCs w:val="18"/>
              </w:rPr>
              <w:t>Considers the impact of emissions prices on households and the economy, and inflation</w:t>
            </w:r>
          </w:p>
        </w:tc>
        <w:tc>
          <w:tcPr>
            <w:tcW w:w="1089" w:type="dxa"/>
            <w:shd w:val="clear" w:color="auto" w:fill="FFFFFF" w:themeFill="background1"/>
          </w:tcPr>
          <w:p w14:paraId="57C9C014" w14:textId="77777777" w:rsidR="00411DE2" w:rsidRPr="007837CC" w:rsidRDefault="00411DE2" w:rsidP="001947FD">
            <w:pPr>
              <w:pStyle w:val="TableText"/>
              <w:spacing w:before="40" w:after="40"/>
              <w:rPr>
                <w:rFonts w:cs="Calibri"/>
                <w:bCs/>
                <w:szCs w:val="18"/>
                <w:lang w:eastAsia="en-AU"/>
              </w:rPr>
            </w:pPr>
          </w:p>
        </w:tc>
        <w:tc>
          <w:tcPr>
            <w:tcW w:w="1560" w:type="dxa"/>
            <w:shd w:val="clear" w:color="auto" w:fill="FFFFFF" w:themeFill="background1"/>
          </w:tcPr>
          <w:p w14:paraId="3B9921BD" w14:textId="6C8D9740" w:rsidR="00B30BC8" w:rsidRPr="007837CC" w:rsidRDefault="00B30BC8" w:rsidP="001947FD">
            <w:pPr>
              <w:spacing w:before="40" w:after="0" w:line="240" w:lineRule="atLeast"/>
              <w:rPr>
                <w:rFonts w:cs="Calibri"/>
                <w:b/>
                <w:color w:val="FF0000"/>
                <w:sz w:val="18"/>
                <w:szCs w:val="18"/>
              </w:rPr>
            </w:pPr>
            <w:r w:rsidRPr="007837CC">
              <w:rPr>
                <w:rFonts w:cs="Calibri"/>
                <w:b/>
                <w:sz w:val="18"/>
                <w:szCs w:val="18"/>
              </w:rPr>
              <w:t>0</w:t>
            </w:r>
          </w:p>
          <w:p w14:paraId="7CB02A9F" w14:textId="660A935F" w:rsidR="00B30BC8" w:rsidRPr="007837CC" w:rsidRDefault="00B30BC8" w:rsidP="001947FD">
            <w:pPr>
              <w:pStyle w:val="TableText"/>
              <w:spacing w:before="40" w:after="40"/>
              <w:rPr>
                <w:rFonts w:cs="Calibri"/>
                <w:szCs w:val="18"/>
              </w:rPr>
            </w:pPr>
            <w:r w:rsidRPr="007837CC">
              <w:rPr>
                <w:rFonts w:cs="Calibri"/>
                <w:szCs w:val="18"/>
              </w:rPr>
              <w:t>In 202</w:t>
            </w:r>
            <w:r w:rsidR="007729C5" w:rsidRPr="007837CC">
              <w:rPr>
                <w:rFonts w:cs="Calibri"/>
                <w:szCs w:val="18"/>
              </w:rPr>
              <w:t>4</w:t>
            </w:r>
            <w:r w:rsidRPr="007837CC">
              <w:rPr>
                <w:rFonts w:cs="Calibri"/>
                <w:szCs w:val="18"/>
              </w:rPr>
              <w:t xml:space="preserve"> and 202</w:t>
            </w:r>
            <w:r w:rsidR="007729C5" w:rsidRPr="007837CC">
              <w:rPr>
                <w:rFonts w:cs="Calibri"/>
                <w:szCs w:val="18"/>
              </w:rPr>
              <w:t>5</w:t>
            </w:r>
            <w:r w:rsidRPr="007837CC">
              <w:rPr>
                <w:rFonts w:cs="Calibri"/>
                <w:szCs w:val="18"/>
              </w:rPr>
              <w:t>, impacts are the same as the status quo</w:t>
            </w:r>
            <w:r w:rsidR="00FB40E8">
              <w:rPr>
                <w:rFonts w:cs="Calibri"/>
                <w:szCs w:val="18"/>
              </w:rPr>
              <w:t>.</w:t>
            </w:r>
          </w:p>
          <w:p w14:paraId="71DA9308" w14:textId="709FDCEE" w:rsidR="00411DE2" w:rsidRPr="007837CC" w:rsidRDefault="00B30BC8" w:rsidP="001947FD">
            <w:pPr>
              <w:pStyle w:val="TableText"/>
              <w:spacing w:before="40" w:after="40"/>
              <w:rPr>
                <w:rFonts w:cs="Calibri"/>
                <w:szCs w:val="18"/>
              </w:rPr>
            </w:pPr>
            <w:r w:rsidRPr="007837CC">
              <w:rPr>
                <w:rFonts w:cs="Calibri"/>
                <w:szCs w:val="18"/>
              </w:rPr>
              <w:t>From 202</w:t>
            </w:r>
            <w:r w:rsidR="007729C5" w:rsidRPr="007837CC">
              <w:rPr>
                <w:rFonts w:cs="Calibri"/>
                <w:szCs w:val="18"/>
              </w:rPr>
              <w:t>6</w:t>
            </w:r>
            <w:r w:rsidRPr="007837CC">
              <w:rPr>
                <w:rFonts w:cs="Calibri"/>
                <w:szCs w:val="18"/>
              </w:rPr>
              <w:t>, higher impacts on households and the economy including inflationary impacts, could occur before price controls take effect</w:t>
            </w:r>
            <w:r w:rsidR="00FB40E8">
              <w:rPr>
                <w:rFonts w:cs="Calibri"/>
                <w:szCs w:val="18"/>
              </w:rPr>
              <w:t>.</w:t>
            </w:r>
          </w:p>
        </w:tc>
        <w:tc>
          <w:tcPr>
            <w:tcW w:w="1406" w:type="dxa"/>
            <w:shd w:val="clear" w:color="auto" w:fill="FFFFFF" w:themeFill="background1"/>
          </w:tcPr>
          <w:p w14:paraId="65615EA4" w14:textId="7AC6A88D" w:rsidR="00263EAD" w:rsidRPr="007837CC" w:rsidRDefault="00263EAD" w:rsidP="001947FD">
            <w:pPr>
              <w:spacing w:before="40" w:after="0" w:line="240" w:lineRule="atLeast"/>
              <w:rPr>
                <w:rFonts w:cs="Calibri"/>
                <w:b/>
                <w:color w:val="FF0000"/>
                <w:sz w:val="18"/>
                <w:szCs w:val="18"/>
              </w:rPr>
            </w:pPr>
            <w:r w:rsidRPr="007837CC">
              <w:rPr>
                <w:rFonts w:cs="Calibri"/>
                <w:b/>
                <w:color w:val="FF0000"/>
                <w:sz w:val="18"/>
                <w:szCs w:val="18"/>
              </w:rPr>
              <w:t>–</w:t>
            </w:r>
          </w:p>
          <w:p w14:paraId="69479CF4" w14:textId="16D5497C" w:rsidR="00411DE2" w:rsidRPr="007837CC" w:rsidRDefault="00E509BC" w:rsidP="001947FD">
            <w:pPr>
              <w:pStyle w:val="TableText"/>
              <w:spacing w:before="40" w:after="40"/>
              <w:rPr>
                <w:rFonts w:cs="Calibri"/>
                <w:szCs w:val="18"/>
              </w:rPr>
            </w:pPr>
            <w:r w:rsidRPr="007837CC">
              <w:rPr>
                <w:rFonts w:cs="Calibri"/>
                <w:szCs w:val="18"/>
              </w:rPr>
              <w:t>Higher impacts on households and the economy, including inflationary impacts, could occur before price controls take effect</w:t>
            </w:r>
            <w:r w:rsidR="00FB40E8">
              <w:rPr>
                <w:rFonts w:cs="Calibri"/>
                <w:szCs w:val="18"/>
              </w:rPr>
              <w:t>.</w:t>
            </w:r>
          </w:p>
        </w:tc>
        <w:tc>
          <w:tcPr>
            <w:tcW w:w="1352" w:type="dxa"/>
            <w:shd w:val="clear" w:color="auto" w:fill="FFFFFF" w:themeFill="background1"/>
          </w:tcPr>
          <w:p w14:paraId="4EC63645" w14:textId="36393CB6" w:rsidR="005C26B6" w:rsidRPr="007837CC" w:rsidRDefault="00263EAD" w:rsidP="001947FD">
            <w:pPr>
              <w:spacing w:before="40" w:after="0" w:line="240" w:lineRule="atLeast"/>
              <w:rPr>
                <w:rFonts w:cs="Calibri"/>
                <w:b/>
                <w:color w:val="FF0000"/>
                <w:sz w:val="18"/>
                <w:szCs w:val="18"/>
              </w:rPr>
            </w:pPr>
            <w:r w:rsidRPr="007837CC">
              <w:rPr>
                <w:rFonts w:cs="Calibri"/>
                <w:b/>
                <w:color w:val="FF0000"/>
                <w:sz w:val="18"/>
                <w:szCs w:val="18"/>
              </w:rPr>
              <w:t>–</w:t>
            </w:r>
            <w:r w:rsidR="005C26B6" w:rsidRPr="007837CC">
              <w:rPr>
                <w:rFonts w:cs="Calibri"/>
                <w:b/>
                <w:color w:val="FF0000"/>
                <w:sz w:val="18"/>
                <w:szCs w:val="18"/>
              </w:rPr>
              <w:t xml:space="preserve"> </w:t>
            </w:r>
            <w:r w:rsidRPr="007837CC">
              <w:rPr>
                <w:rFonts w:cs="Calibri"/>
                <w:b/>
                <w:color w:val="FF0000"/>
                <w:sz w:val="18"/>
                <w:szCs w:val="18"/>
              </w:rPr>
              <w:t>–</w:t>
            </w:r>
          </w:p>
          <w:p w14:paraId="13F4788F" w14:textId="762978AB" w:rsidR="00411DE2" w:rsidRPr="007837CC" w:rsidRDefault="005C26B6" w:rsidP="001947FD">
            <w:pPr>
              <w:pStyle w:val="TableText"/>
              <w:spacing w:before="40" w:after="40"/>
              <w:rPr>
                <w:rFonts w:cs="Calibri"/>
                <w:szCs w:val="18"/>
              </w:rPr>
            </w:pPr>
            <w:r w:rsidRPr="007837CC">
              <w:rPr>
                <w:rFonts w:cs="Calibri"/>
                <w:szCs w:val="18"/>
              </w:rPr>
              <w:t>Significantly greater impacts on households and the economy, including inflationary impacts, could occur before price controls take effect</w:t>
            </w:r>
            <w:r w:rsidR="00FB40E8">
              <w:rPr>
                <w:rFonts w:cs="Calibri"/>
                <w:szCs w:val="18"/>
              </w:rPr>
              <w:t>.</w:t>
            </w:r>
          </w:p>
        </w:tc>
        <w:tc>
          <w:tcPr>
            <w:tcW w:w="1494" w:type="dxa"/>
            <w:shd w:val="clear" w:color="auto" w:fill="FFFFFF" w:themeFill="background1"/>
          </w:tcPr>
          <w:p w14:paraId="04418037" w14:textId="77777777" w:rsidR="00263EAD" w:rsidRPr="007837CC" w:rsidRDefault="00263EAD" w:rsidP="001947FD">
            <w:pPr>
              <w:spacing w:before="40" w:after="0" w:line="240" w:lineRule="atLeast"/>
              <w:rPr>
                <w:rFonts w:cs="Calibri"/>
                <w:b/>
                <w:color w:val="FF0000"/>
                <w:sz w:val="18"/>
                <w:szCs w:val="18"/>
              </w:rPr>
            </w:pPr>
            <w:r w:rsidRPr="007837CC">
              <w:rPr>
                <w:rFonts w:cs="Calibri"/>
                <w:b/>
                <w:color w:val="FF0000"/>
                <w:sz w:val="18"/>
                <w:szCs w:val="18"/>
              </w:rPr>
              <w:t>– –</w:t>
            </w:r>
          </w:p>
          <w:p w14:paraId="36EEE34B" w14:textId="209C907F" w:rsidR="00411DE2" w:rsidRPr="007837CC" w:rsidRDefault="001F3994" w:rsidP="001947FD">
            <w:pPr>
              <w:pStyle w:val="TableText"/>
              <w:spacing w:before="40" w:after="40"/>
              <w:rPr>
                <w:rFonts w:cs="Calibri"/>
                <w:szCs w:val="18"/>
              </w:rPr>
            </w:pPr>
            <w:r w:rsidRPr="007837CC">
              <w:rPr>
                <w:rFonts w:cs="Calibri"/>
                <w:szCs w:val="18"/>
              </w:rPr>
              <w:t>Significantly greater</w:t>
            </w:r>
            <w:r w:rsidR="00DD5E4B" w:rsidRPr="007837CC">
              <w:rPr>
                <w:rFonts w:cs="Calibri"/>
                <w:szCs w:val="18"/>
              </w:rPr>
              <w:t xml:space="preserve"> </w:t>
            </w:r>
            <w:r w:rsidRPr="007837CC">
              <w:rPr>
                <w:rFonts w:cs="Calibri"/>
                <w:szCs w:val="18"/>
              </w:rPr>
              <w:t>impacts on households and the economy, including inflationary impacts, could occur before price controls take effect</w:t>
            </w:r>
            <w:r w:rsidR="00FB40E8">
              <w:rPr>
                <w:rFonts w:cs="Calibri"/>
                <w:szCs w:val="18"/>
              </w:rPr>
              <w:t>.</w:t>
            </w:r>
          </w:p>
        </w:tc>
      </w:tr>
      <w:tr w:rsidR="00411DE2" w:rsidRPr="007837CC" w14:paraId="3761FD5E" w14:textId="41DEAE89" w:rsidTr="00AA3BCC">
        <w:tc>
          <w:tcPr>
            <w:tcW w:w="1746" w:type="dxa"/>
            <w:shd w:val="clear" w:color="auto" w:fill="FFFFFF" w:themeFill="background1"/>
          </w:tcPr>
          <w:p w14:paraId="3A650EB5" w14:textId="77777777" w:rsidR="00411DE2" w:rsidRPr="007837CC" w:rsidRDefault="00411DE2" w:rsidP="001947FD">
            <w:pPr>
              <w:pStyle w:val="TableText"/>
              <w:spacing w:before="40" w:after="40"/>
              <w:rPr>
                <w:rFonts w:cs="Calibri"/>
                <w:b/>
                <w:color w:val="000000"/>
                <w:szCs w:val="18"/>
              </w:rPr>
            </w:pPr>
            <w:r w:rsidRPr="007837CC">
              <w:rPr>
                <w:rFonts w:cs="Calibri"/>
                <w:b/>
                <w:color w:val="000000"/>
                <w:szCs w:val="18"/>
              </w:rPr>
              <w:t>Overall assessment</w:t>
            </w:r>
          </w:p>
        </w:tc>
        <w:tc>
          <w:tcPr>
            <w:tcW w:w="1089" w:type="dxa"/>
            <w:shd w:val="clear" w:color="auto" w:fill="FFFFFF" w:themeFill="background1"/>
          </w:tcPr>
          <w:p w14:paraId="51F1FF42" w14:textId="071C4286" w:rsidR="00411DE2" w:rsidRPr="007837CC" w:rsidRDefault="00263EAD" w:rsidP="001947FD">
            <w:pPr>
              <w:pStyle w:val="TableText"/>
              <w:spacing w:before="40" w:after="40"/>
              <w:rPr>
                <w:rFonts w:cs="Calibri"/>
                <w:b/>
                <w:color w:val="FF0000"/>
                <w:szCs w:val="18"/>
                <w:lang w:eastAsia="en-AU"/>
              </w:rPr>
            </w:pPr>
            <w:r w:rsidRPr="007837CC">
              <w:rPr>
                <w:rFonts w:cs="Calibri"/>
                <w:b/>
                <w:szCs w:val="18"/>
                <w:lang w:eastAsia="en-AU"/>
              </w:rPr>
              <w:t>0</w:t>
            </w:r>
          </w:p>
        </w:tc>
        <w:tc>
          <w:tcPr>
            <w:tcW w:w="1560" w:type="dxa"/>
            <w:shd w:val="clear" w:color="auto" w:fill="FFFFFF" w:themeFill="background1"/>
          </w:tcPr>
          <w:p w14:paraId="4BDA6815" w14:textId="392535AF" w:rsidR="00411DE2" w:rsidRPr="007837CC" w:rsidRDefault="00263EAD" w:rsidP="001947FD">
            <w:pPr>
              <w:spacing w:before="40" w:after="40" w:line="240" w:lineRule="atLeast"/>
              <w:rPr>
                <w:rFonts w:cs="Calibri"/>
                <w:sz w:val="18"/>
                <w:szCs w:val="18"/>
              </w:rPr>
            </w:pPr>
            <w:r w:rsidRPr="007837CC">
              <w:rPr>
                <w:rFonts w:cs="Calibri"/>
                <w:b/>
                <w:sz w:val="18"/>
                <w:szCs w:val="18"/>
              </w:rPr>
              <w:t>0</w:t>
            </w:r>
          </w:p>
        </w:tc>
        <w:tc>
          <w:tcPr>
            <w:tcW w:w="1406" w:type="dxa"/>
            <w:shd w:val="clear" w:color="auto" w:fill="FFFFFF" w:themeFill="background1"/>
          </w:tcPr>
          <w:p w14:paraId="14D7D70E" w14:textId="4041BF3E" w:rsidR="00411DE2" w:rsidRPr="007837CC" w:rsidRDefault="00263EAD" w:rsidP="001947FD">
            <w:pPr>
              <w:spacing w:before="40" w:after="40" w:line="240" w:lineRule="atLeast"/>
              <w:rPr>
                <w:rFonts w:cs="Calibri"/>
                <w:b/>
                <w:color w:val="00B050"/>
                <w:sz w:val="18"/>
                <w:szCs w:val="18"/>
              </w:rPr>
            </w:pPr>
            <w:r w:rsidRPr="007837CC">
              <w:rPr>
                <w:rFonts w:cs="Calibri"/>
                <w:b/>
                <w:color w:val="00B050"/>
                <w:sz w:val="18"/>
                <w:szCs w:val="18"/>
              </w:rPr>
              <w:t>+</w:t>
            </w:r>
          </w:p>
        </w:tc>
        <w:tc>
          <w:tcPr>
            <w:tcW w:w="1352" w:type="dxa"/>
            <w:shd w:val="clear" w:color="auto" w:fill="FFFFFF" w:themeFill="background1"/>
          </w:tcPr>
          <w:p w14:paraId="598AAA74" w14:textId="4266B35B" w:rsidR="00411DE2" w:rsidRPr="007837CC" w:rsidRDefault="00C658E9" w:rsidP="001947FD">
            <w:pPr>
              <w:pStyle w:val="TableText"/>
              <w:spacing w:before="40" w:after="40"/>
              <w:rPr>
                <w:rFonts w:cs="Calibri"/>
                <w:b/>
                <w:bCs/>
                <w:color w:val="FF0000"/>
                <w:szCs w:val="18"/>
                <w:lang w:eastAsia="en-AU"/>
              </w:rPr>
            </w:pPr>
            <w:r w:rsidRPr="007837CC">
              <w:rPr>
                <w:rFonts w:cs="Calibri"/>
                <w:b/>
                <w:color w:val="00B050"/>
                <w:szCs w:val="18"/>
              </w:rPr>
              <w:t>+</w:t>
            </w:r>
          </w:p>
        </w:tc>
        <w:tc>
          <w:tcPr>
            <w:tcW w:w="1494" w:type="dxa"/>
            <w:shd w:val="clear" w:color="auto" w:fill="FFFFFF" w:themeFill="background1"/>
          </w:tcPr>
          <w:p w14:paraId="2D0ED406" w14:textId="78FB8445" w:rsidR="00411DE2" w:rsidRPr="007837CC" w:rsidRDefault="00C658E9" w:rsidP="001947FD">
            <w:pPr>
              <w:pStyle w:val="TableText"/>
              <w:spacing w:before="40" w:after="40"/>
              <w:rPr>
                <w:rFonts w:cs="Calibri"/>
                <w:b/>
                <w:color w:val="00B050"/>
                <w:szCs w:val="18"/>
                <w:lang w:eastAsia="en-AU"/>
              </w:rPr>
            </w:pPr>
            <w:r w:rsidRPr="007837CC">
              <w:rPr>
                <w:rFonts w:cs="Calibri"/>
                <w:b/>
                <w:color w:val="00B050"/>
                <w:szCs w:val="18"/>
              </w:rPr>
              <w:t>+</w:t>
            </w:r>
          </w:p>
        </w:tc>
      </w:tr>
    </w:tbl>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7A1CE6" w:rsidRPr="007837CC" w14:paraId="02B79E3E" w14:textId="77777777" w:rsidTr="00CE1496">
        <w:tc>
          <w:tcPr>
            <w:tcW w:w="0" w:type="auto"/>
            <w:shd w:val="clear" w:color="auto" w:fill="D2DDE2"/>
          </w:tcPr>
          <w:p w14:paraId="631C340A" w14:textId="77777777" w:rsidR="007A1CE6" w:rsidRPr="007837CC" w:rsidRDefault="007A1CE6" w:rsidP="00CE1496">
            <w:pPr>
              <w:pStyle w:val="Boxheading"/>
              <w:rPr>
                <w:rFonts w:cs="Calibri"/>
              </w:rPr>
            </w:pPr>
            <w:r w:rsidRPr="007837CC">
              <w:rPr>
                <w:rFonts w:cs="Calibri"/>
              </w:rPr>
              <w:lastRenderedPageBreak/>
              <w:t>Question</w:t>
            </w:r>
          </w:p>
          <w:p w14:paraId="4C054F14" w14:textId="12AA3ED0" w:rsidR="007A1CE6" w:rsidRPr="007837CC" w:rsidRDefault="007A1CE6" w:rsidP="00CE1496">
            <w:pPr>
              <w:pStyle w:val="Boxquestion"/>
            </w:pPr>
            <w:r w:rsidRPr="007837CC">
              <w:t xml:space="preserve">What </w:t>
            </w:r>
            <w:r w:rsidR="00C816BC" w:rsidRPr="007837CC">
              <w:t>do you think of the proposed cost containment reserve trigger price settings</w:t>
            </w:r>
            <w:r w:rsidRPr="007837CC">
              <w:t>?</w:t>
            </w:r>
            <w:r w:rsidR="00C816BC" w:rsidRPr="007837CC">
              <w:t xml:space="preserve"> What impacts do you think will result from different settings?</w:t>
            </w:r>
          </w:p>
        </w:tc>
      </w:tr>
    </w:tbl>
    <w:p w14:paraId="462FAEF0" w14:textId="4E9C0480" w:rsidR="002C6D2E" w:rsidRPr="007837CC" w:rsidRDefault="005A0B3C" w:rsidP="00C62CFE">
      <w:pPr>
        <w:pStyle w:val="Heading2"/>
        <w:spacing w:before="400"/>
      </w:pPr>
      <w:bookmarkStart w:id="68" w:name="_Impacts_of_emissions"/>
      <w:bookmarkStart w:id="69" w:name="_Toc135300684"/>
      <w:bookmarkEnd w:id="68"/>
      <w:r w:rsidRPr="007837CC">
        <w:t xml:space="preserve">Impacts </w:t>
      </w:r>
      <w:r w:rsidR="004A2EA0" w:rsidRPr="007837CC">
        <w:t>of emissions pricing</w:t>
      </w:r>
      <w:bookmarkEnd w:id="69"/>
    </w:p>
    <w:p w14:paraId="2267F349" w14:textId="77777777" w:rsidR="009A0639" w:rsidRPr="007837CC" w:rsidRDefault="009A0639" w:rsidP="003B531B">
      <w:pPr>
        <w:pStyle w:val="Heading3"/>
        <w:spacing w:before="240"/>
      </w:pPr>
      <w:r w:rsidRPr="007837CC">
        <w:t>Impacts on Māori</w:t>
      </w:r>
    </w:p>
    <w:p w14:paraId="4F4C75CC" w14:textId="1543B2FA" w:rsidR="00D56B89" w:rsidRPr="007837CC" w:rsidRDefault="00D56B89" w:rsidP="002D6DC4">
      <w:pPr>
        <w:pStyle w:val="BodyText"/>
        <w:spacing w:before="100" w:after="100"/>
        <w:rPr>
          <w:rFonts w:cs="Calibri"/>
          <w:color w:val="000000"/>
          <w:shd w:val="clear" w:color="auto" w:fill="FFFFFF"/>
        </w:rPr>
      </w:pPr>
      <w:r w:rsidRPr="007837CC">
        <w:rPr>
          <w:rFonts w:cs="Calibri"/>
          <w:color w:val="000000"/>
          <w:shd w:val="clear" w:color="auto" w:fill="FFFFFF"/>
        </w:rPr>
        <w:t xml:space="preserve">Māori have made clear that they have a </w:t>
      </w:r>
      <w:r w:rsidR="006F2D7E" w:rsidRPr="007837CC">
        <w:rPr>
          <w:rFonts w:cs="Calibri"/>
          <w:color w:val="000000"/>
          <w:shd w:val="clear" w:color="auto" w:fill="FFFFFF"/>
        </w:rPr>
        <w:t>significant</w:t>
      </w:r>
      <w:r w:rsidRPr="007837CC">
        <w:rPr>
          <w:rFonts w:cs="Calibri"/>
          <w:color w:val="000000"/>
          <w:shd w:val="clear" w:color="auto" w:fill="FFFFFF"/>
        </w:rPr>
        <w:t xml:space="preserve"> interest in </w:t>
      </w:r>
      <w:r w:rsidR="00FB40E8">
        <w:rPr>
          <w:rFonts w:cs="Calibri"/>
          <w:color w:val="000000"/>
          <w:shd w:val="clear" w:color="auto" w:fill="FFFFFF"/>
        </w:rPr>
        <w:t>New Zealand</w:t>
      </w:r>
      <w:r w:rsidRPr="007837CC">
        <w:rPr>
          <w:rFonts w:cs="Calibri"/>
          <w:color w:val="000000"/>
          <w:shd w:val="clear" w:color="auto" w:fill="FFFFFF"/>
        </w:rPr>
        <w:t>’s climate response. This is</w:t>
      </w:r>
      <w:r w:rsidR="006F2D7E" w:rsidRPr="007837CC">
        <w:rPr>
          <w:rFonts w:cs="Calibri"/>
          <w:color w:val="000000"/>
          <w:shd w:val="clear" w:color="auto" w:fill="FFFFFF"/>
        </w:rPr>
        <w:t>,</w:t>
      </w:r>
      <w:r w:rsidRPr="007837CC">
        <w:rPr>
          <w:rFonts w:cs="Calibri"/>
          <w:color w:val="000000"/>
          <w:shd w:val="clear" w:color="auto" w:fill="FFFFFF"/>
        </w:rPr>
        <w:t xml:space="preserve"> </w:t>
      </w:r>
      <w:r w:rsidR="00A57CA4" w:rsidRPr="007837CC">
        <w:rPr>
          <w:rFonts w:cs="Calibri"/>
          <w:color w:val="000000"/>
          <w:shd w:val="clear" w:color="auto" w:fill="FFFFFF"/>
        </w:rPr>
        <w:t>in part</w:t>
      </w:r>
      <w:r w:rsidR="006F2D7E" w:rsidRPr="007837CC">
        <w:rPr>
          <w:rFonts w:cs="Calibri"/>
          <w:color w:val="000000"/>
          <w:shd w:val="clear" w:color="auto" w:fill="FFFFFF"/>
        </w:rPr>
        <w:t>,</w:t>
      </w:r>
      <w:r w:rsidR="00A57CA4" w:rsidRPr="007837CC">
        <w:rPr>
          <w:rFonts w:cs="Calibri"/>
          <w:color w:val="000000"/>
          <w:shd w:val="clear" w:color="auto" w:fill="FFFFFF"/>
        </w:rPr>
        <w:t xml:space="preserve"> </w:t>
      </w:r>
      <w:r w:rsidRPr="007837CC">
        <w:rPr>
          <w:rFonts w:cs="Calibri"/>
          <w:color w:val="000000"/>
          <w:shd w:val="clear" w:color="auto" w:fill="FFFFFF"/>
        </w:rPr>
        <w:t xml:space="preserve">because climate change, and </w:t>
      </w:r>
      <w:r w:rsidRPr="007837CC">
        <w:t>the</w:t>
      </w:r>
      <w:r w:rsidRPr="007837CC">
        <w:rPr>
          <w:rFonts w:cs="Calibri"/>
          <w:color w:val="000000"/>
          <w:shd w:val="clear" w:color="auto" w:fill="FFFFFF"/>
        </w:rPr>
        <w:t xml:space="preserve"> </w:t>
      </w:r>
      <w:r w:rsidRPr="007837CC">
        <w:t>actions</w:t>
      </w:r>
      <w:r w:rsidRPr="007837CC">
        <w:rPr>
          <w:rFonts w:cs="Calibri"/>
          <w:color w:val="000000"/>
          <w:shd w:val="clear" w:color="auto" w:fill="FFFFFF"/>
        </w:rPr>
        <w:t xml:space="preserve"> we take to mitigate climate change, have a </w:t>
      </w:r>
      <w:r w:rsidR="00801F65" w:rsidRPr="007837CC">
        <w:rPr>
          <w:rFonts w:cs="Calibri"/>
          <w:color w:val="000000"/>
          <w:shd w:val="clear" w:color="auto" w:fill="FFFFFF"/>
        </w:rPr>
        <w:t>material</w:t>
      </w:r>
      <w:r w:rsidRPr="007837CC">
        <w:rPr>
          <w:rFonts w:cs="Calibri"/>
          <w:color w:val="000000"/>
          <w:shd w:val="clear" w:color="auto" w:fill="FFFFFF"/>
        </w:rPr>
        <w:t xml:space="preserve"> impact on the relationship of Māori to their whenua, </w:t>
      </w:r>
      <w:proofErr w:type="spellStart"/>
      <w:r w:rsidRPr="007837CC">
        <w:rPr>
          <w:rFonts w:cs="Calibri"/>
          <w:color w:val="000000"/>
          <w:shd w:val="clear" w:color="auto" w:fill="FFFFFF"/>
        </w:rPr>
        <w:t>ngāhere</w:t>
      </w:r>
      <w:proofErr w:type="spellEnd"/>
      <w:r w:rsidRPr="007837CC">
        <w:rPr>
          <w:rFonts w:cs="Calibri"/>
          <w:color w:val="000000"/>
          <w:shd w:val="clear" w:color="auto" w:fill="FFFFFF"/>
        </w:rPr>
        <w:t xml:space="preserve">, moana and physical taonga. </w:t>
      </w:r>
    </w:p>
    <w:p w14:paraId="6AC7FB92" w14:textId="35486A99" w:rsidR="00D56B89" w:rsidRPr="007837CC" w:rsidRDefault="00D56B89" w:rsidP="002D6DC4">
      <w:pPr>
        <w:pStyle w:val="BodyText"/>
        <w:spacing w:before="100" w:after="100"/>
      </w:pPr>
      <w:r w:rsidRPr="007837CC">
        <w:rPr>
          <w:rFonts w:cs="Calibri"/>
          <w:color w:val="000000"/>
          <w:shd w:val="clear" w:color="auto" w:fill="FFFFFF"/>
        </w:rPr>
        <w:t xml:space="preserve">Māori have an interest in </w:t>
      </w:r>
      <w:r w:rsidR="00C9357E" w:rsidRPr="007837CC">
        <w:rPr>
          <w:rFonts w:cs="Calibri"/>
          <w:color w:val="000000"/>
          <w:shd w:val="clear" w:color="auto" w:fill="FFFFFF"/>
        </w:rPr>
        <w:t>the NZ ETS</w:t>
      </w:r>
      <w:r w:rsidRPr="007837CC">
        <w:rPr>
          <w:rFonts w:cs="Calibri"/>
          <w:color w:val="000000"/>
          <w:shd w:val="clear" w:color="auto" w:fill="FFFFFF"/>
        </w:rPr>
        <w:t xml:space="preserve"> as </w:t>
      </w:r>
      <w:proofErr w:type="spellStart"/>
      <w:r w:rsidRPr="007837CC">
        <w:rPr>
          <w:rFonts w:cs="Calibri"/>
          <w:color w:val="000000"/>
          <w:shd w:val="clear" w:color="auto" w:fill="FFFFFF"/>
        </w:rPr>
        <w:t>rangatira</w:t>
      </w:r>
      <w:proofErr w:type="spellEnd"/>
      <w:r w:rsidRPr="007837CC">
        <w:rPr>
          <w:rFonts w:cs="Calibri"/>
          <w:color w:val="000000"/>
          <w:shd w:val="clear" w:color="auto" w:fill="FFFFFF"/>
        </w:rPr>
        <w:t>, kaitiaki, land and forest owners, rural communities, workers, business owners</w:t>
      </w:r>
      <w:r w:rsidR="00FB40E8">
        <w:rPr>
          <w:rFonts w:cs="Calibri"/>
          <w:color w:val="000000"/>
          <w:shd w:val="clear" w:color="auto" w:fill="FFFFFF"/>
        </w:rPr>
        <w:t>,</w:t>
      </w:r>
      <w:r w:rsidRPr="007837CC">
        <w:rPr>
          <w:rFonts w:cs="Calibri"/>
          <w:color w:val="000000"/>
          <w:shd w:val="clear" w:color="auto" w:fill="FFFFFF"/>
        </w:rPr>
        <w:t xml:space="preserve"> and whānau, who are subject to rising costs of living. Previous consultations confirmed the views that an equitable transition needs to consider these interests, reduce existing barriers for Māori participation, and avoid creating new ones</w:t>
      </w:r>
      <w:r w:rsidR="00C56040" w:rsidRPr="007837CC">
        <w:rPr>
          <w:rFonts w:cs="Calibri"/>
          <w:color w:val="000000"/>
          <w:shd w:val="clear" w:color="auto" w:fill="FFFFFF"/>
        </w:rPr>
        <w:t>.</w:t>
      </w:r>
    </w:p>
    <w:p w14:paraId="34A973AB" w14:textId="6143D24C" w:rsidR="003F6AF5" w:rsidRPr="007837CC" w:rsidRDefault="00D94DAF" w:rsidP="002D6DC4">
      <w:pPr>
        <w:pStyle w:val="BodyText"/>
        <w:spacing w:before="100" w:after="100"/>
      </w:pPr>
      <w:r w:rsidRPr="007837CC">
        <w:t xml:space="preserve">Impacts on Māori are complex to assess. The multiple interests in the NZ ETS mean that options could have positive, </w:t>
      </w:r>
      <w:proofErr w:type="gramStart"/>
      <w:r w:rsidRPr="007837CC">
        <w:t>negative</w:t>
      </w:r>
      <w:proofErr w:type="gramEnd"/>
      <w:r w:rsidRPr="007837CC">
        <w:t xml:space="preserve"> and neutral impacts simultaneously. Two</w:t>
      </w:r>
      <w:r w:rsidR="00801F65" w:rsidRPr="007837CC">
        <w:t xml:space="preserve"> key</w:t>
      </w:r>
      <w:r w:rsidRPr="007837CC">
        <w:t xml:space="preserve"> examples are provided below. </w:t>
      </w:r>
    </w:p>
    <w:p w14:paraId="32B360C9" w14:textId="7D906165" w:rsidR="00D94DAF" w:rsidRPr="007837CC" w:rsidRDefault="00CF2066" w:rsidP="002D6DC4">
      <w:pPr>
        <w:pStyle w:val="BodyText"/>
        <w:spacing w:before="100" w:after="100"/>
      </w:pPr>
      <w:r w:rsidRPr="007837CC">
        <w:t>Any increase in NZU price, or an increase in auction reserve price</w:t>
      </w:r>
      <w:r w:rsidR="0027502F" w:rsidRPr="007837CC">
        <w:t>,</w:t>
      </w:r>
      <w:r w:rsidRPr="007837CC">
        <w:t xml:space="preserve"> </w:t>
      </w:r>
      <w:r w:rsidR="0098324E" w:rsidRPr="007837CC">
        <w:t>which could imply an NZU price guarantee</w:t>
      </w:r>
      <w:r w:rsidR="0027502F" w:rsidRPr="007837CC">
        <w:t>,</w:t>
      </w:r>
      <w:r w:rsidRPr="007837CC">
        <w:t xml:space="preserve"> could initially benefit Māori forest owners or owners of land suitable for afforestation, due to the</w:t>
      </w:r>
      <w:r w:rsidR="0098324E" w:rsidRPr="007837CC">
        <w:t xml:space="preserve"> possibility of</w:t>
      </w:r>
      <w:r w:rsidRPr="007837CC">
        <w:t xml:space="preserve"> increases in returns from carbon. This w</w:t>
      </w:r>
      <w:r w:rsidR="0098324E" w:rsidRPr="007837CC">
        <w:t>ould</w:t>
      </w:r>
      <w:r w:rsidRPr="007837CC">
        <w:t xml:space="preserve"> provide particular benefit to those entered in the post-1989 permanent forest category, as well as to participants who are registered under averaging accounting (as they no longer face surrender obligations when they harvest</w:t>
      </w:r>
      <w:r w:rsidR="003133D1" w:rsidRPr="007837CC">
        <w:t>)</w:t>
      </w:r>
      <w:r w:rsidR="0098324E" w:rsidRPr="007837CC">
        <w:t>.</w:t>
      </w:r>
      <w:r w:rsidR="0027502F" w:rsidRPr="007837CC">
        <w:t xml:space="preserve"> </w:t>
      </w:r>
    </w:p>
    <w:p w14:paraId="7F60A98C" w14:textId="6AF42E84" w:rsidR="008246C7" w:rsidRPr="007837CC" w:rsidRDefault="00C719A5" w:rsidP="002D6DC4">
      <w:pPr>
        <w:pStyle w:val="BodyText"/>
        <w:spacing w:before="100" w:after="100"/>
      </w:pPr>
      <w:r w:rsidRPr="007837CC">
        <w:rPr>
          <w:rFonts w:cs="Calibri"/>
        </w:rPr>
        <w:t xml:space="preserve">The intent of </w:t>
      </w:r>
      <w:r w:rsidR="008246C7" w:rsidRPr="007837CC">
        <w:rPr>
          <w:rFonts w:cs="Calibri"/>
        </w:rPr>
        <w:t>the upper price control setting is to mitigate against NZU prices high enough to result in unacceptable impacts. Any i</w:t>
      </w:r>
      <w:r w:rsidRPr="007837CC">
        <w:rPr>
          <w:rFonts w:cs="Calibri"/>
        </w:rPr>
        <w:t>ncreas</w:t>
      </w:r>
      <w:r w:rsidR="008246C7" w:rsidRPr="007837CC">
        <w:rPr>
          <w:rFonts w:cs="Calibri"/>
        </w:rPr>
        <w:t>e to</w:t>
      </w:r>
      <w:r w:rsidRPr="007837CC">
        <w:t xml:space="preserve"> the cost of emissions will have implications across the economy, with flow-on effects for households and communities.</w:t>
      </w:r>
      <w:r w:rsidRPr="007837CC">
        <w:rPr>
          <w:rStyle w:val="FootnoteReference"/>
        </w:rPr>
        <w:footnoteReference w:id="29"/>
      </w:r>
      <w:r w:rsidRPr="007837CC">
        <w:t xml:space="preserve"> Whānau Māori are disproportionately represented in lower-income groups with the most limited ability to absorb cost increases</w:t>
      </w:r>
      <w:r w:rsidR="008246C7" w:rsidRPr="007837CC">
        <w:t xml:space="preserve">. </w:t>
      </w:r>
      <w:r w:rsidR="00AE7963" w:rsidRPr="007837CC">
        <w:t xml:space="preserve">This is </w:t>
      </w:r>
      <w:r w:rsidR="008246C7" w:rsidRPr="007837CC">
        <w:t>considered</w:t>
      </w:r>
      <w:r w:rsidR="00AE7963" w:rsidRPr="007837CC">
        <w:t xml:space="preserve"> as part of our assessment using the criteria ‘manage the risk of unacceptable economic and inflationary impacts’ throughout this paper. </w:t>
      </w:r>
    </w:p>
    <w:p w14:paraId="05C07623" w14:textId="0F59DDC3" w:rsidR="009A0639" w:rsidRPr="007837CC" w:rsidRDefault="009A0639" w:rsidP="002D6DC4">
      <w:pPr>
        <w:pStyle w:val="BodyText"/>
        <w:spacing w:before="100" w:after="100"/>
      </w:pPr>
      <w:r w:rsidRPr="007837CC">
        <w:t>We acknowledge our analysis may contain gaps</w:t>
      </w:r>
      <w:r w:rsidR="0048768B" w:rsidRPr="007837CC">
        <w:t>, including on whether there are impacts specific to Māori</w:t>
      </w:r>
      <w:r w:rsidRPr="007837CC">
        <w:t xml:space="preserve">. </w:t>
      </w:r>
      <w:r w:rsidR="0089447A" w:rsidRPr="007837CC">
        <w:t>The</w:t>
      </w:r>
      <w:r w:rsidR="00790B6F" w:rsidRPr="007837CC">
        <w:t xml:space="preserve">se gaps will be addressed </w:t>
      </w:r>
      <w:r w:rsidR="00D02001" w:rsidRPr="007837CC">
        <w:t>through the T</w:t>
      </w:r>
      <w:r w:rsidR="00384F40">
        <w:t xml:space="preserve">reaty </w:t>
      </w:r>
      <w:r w:rsidR="00D02001" w:rsidRPr="007837CC">
        <w:t>o</w:t>
      </w:r>
      <w:r w:rsidR="00384F40">
        <w:t xml:space="preserve">f </w:t>
      </w:r>
      <w:r w:rsidR="00D02001" w:rsidRPr="007837CC">
        <w:t>W</w:t>
      </w:r>
      <w:r w:rsidR="00384F40">
        <w:t>aitangi</w:t>
      </w:r>
      <w:r w:rsidR="00D02001" w:rsidRPr="007837CC">
        <w:t xml:space="preserve"> analysis that will be completed </w:t>
      </w:r>
      <w:r w:rsidR="004564FE" w:rsidRPr="007837CC">
        <w:t xml:space="preserve">for the </w:t>
      </w:r>
      <w:r w:rsidR="00FB40E8">
        <w:t>regulatory impact statement</w:t>
      </w:r>
      <w:r w:rsidR="004564FE" w:rsidRPr="007837CC">
        <w:t>, which will inform final decisions on the consultation pro</w:t>
      </w:r>
      <w:r w:rsidR="0027502F" w:rsidRPr="007837CC">
        <w:t>posals.</w:t>
      </w:r>
      <w:r w:rsidR="00DD5E4B" w:rsidRPr="007837CC">
        <w:t xml:space="preserve"> </w:t>
      </w:r>
    </w:p>
    <w:p w14:paraId="72261CBA" w14:textId="77777777" w:rsidR="00210CBE" w:rsidRDefault="00210CBE">
      <w:pPr>
        <w:spacing w:before="0" w:after="0" w:line="240" w:lineRule="auto"/>
        <w:jc w:val="left"/>
        <w:rPr>
          <w:rFonts w:ascii="Georgia" w:eastAsiaTheme="majorEastAsia" w:hAnsi="Georgia" w:cstheme="majorBidi"/>
          <w:b/>
          <w:bCs/>
          <w:sz w:val="28"/>
        </w:rPr>
      </w:pPr>
      <w:r>
        <w:br w:type="page"/>
      </w:r>
    </w:p>
    <w:p w14:paraId="64E25DAD" w14:textId="227B6032" w:rsidR="009A0639" w:rsidRPr="007837CC" w:rsidRDefault="004A2EA0" w:rsidP="004A2EA0">
      <w:pPr>
        <w:pStyle w:val="Heading3"/>
      </w:pPr>
      <w:r w:rsidRPr="007837CC">
        <w:lastRenderedPageBreak/>
        <w:t>Specific impacts at different NZU price points</w:t>
      </w:r>
    </w:p>
    <w:p w14:paraId="2E570D8C" w14:textId="3A40D970" w:rsidR="002C6D2E" w:rsidRPr="007837CC" w:rsidRDefault="008169F7" w:rsidP="002D6DC4">
      <w:pPr>
        <w:pStyle w:val="BodyText"/>
        <w:spacing w:before="100" w:after="100"/>
      </w:pPr>
      <w:r w:rsidRPr="007837CC">
        <w:t xml:space="preserve">As discussed above, the </w:t>
      </w:r>
      <w:r w:rsidR="00771356" w:rsidRPr="007837CC">
        <w:t>CCR</w:t>
      </w:r>
      <w:r w:rsidRPr="007837CC">
        <w:t xml:space="preserve"> trigger is set at the level where NZU prices become unacceptably high.</w:t>
      </w:r>
      <w:r w:rsidRPr="007837CC" w:rsidDel="002C53DD">
        <w:t xml:space="preserve"> </w:t>
      </w:r>
    </w:p>
    <w:p w14:paraId="268FB1DF" w14:textId="77777777" w:rsidR="00D51EFA" w:rsidRPr="007837CC" w:rsidRDefault="003623DF" w:rsidP="002D6DC4">
      <w:pPr>
        <w:pStyle w:val="BodyText"/>
        <w:spacing w:before="100" w:after="100"/>
      </w:pPr>
      <w:r w:rsidRPr="007837CC">
        <w:t>This section describes impacts at various prices</w:t>
      </w:r>
      <w:r w:rsidR="00F80DAB" w:rsidRPr="007837CC" w:rsidDel="0013373E">
        <w:t xml:space="preserve"> and invites feedback on the impacts at </w:t>
      </w:r>
      <w:r w:rsidR="00E939F6" w:rsidRPr="007837CC">
        <w:t>various</w:t>
      </w:r>
      <w:r w:rsidR="00F80DAB" w:rsidRPr="007837CC" w:rsidDel="0013373E">
        <w:t xml:space="preserve"> price </w:t>
      </w:r>
      <w:r w:rsidR="00E939F6" w:rsidRPr="007837CC">
        <w:t>points</w:t>
      </w:r>
      <w:r w:rsidR="00D51EFA" w:rsidRPr="007837CC">
        <w:t>.</w:t>
      </w:r>
    </w:p>
    <w:p w14:paraId="72DEB5C6" w14:textId="4CAF4AD8" w:rsidR="00286E04" w:rsidRPr="007837CC" w:rsidRDefault="006C04A5" w:rsidP="00C62CFE">
      <w:pPr>
        <w:pStyle w:val="BodyText"/>
      </w:pPr>
      <w:r w:rsidRPr="007837CC">
        <w:t>As the ERP</w:t>
      </w:r>
      <w:r w:rsidR="004B1536" w:rsidRPr="007837CC">
        <w:t xml:space="preserve"> notes</w:t>
      </w:r>
      <w:r w:rsidRPr="007837CC">
        <w:t>,</w:t>
      </w:r>
      <w:r w:rsidR="004B1536" w:rsidRPr="007837CC">
        <w:t xml:space="preserve"> New Zealand needs</w:t>
      </w:r>
      <w:r w:rsidRPr="007837CC">
        <w:t xml:space="preserve"> </w:t>
      </w:r>
      <w:r w:rsidR="00BF12C8" w:rsidRPr="007837CC">
        <w:t>a mix of emissions pricing, well</w:t>
      </w:r>
      <w:r w:rsidR="00C62CFE" w:rsidRPr="007837CC">
        <w:noBreakHyphen/>
      </w:r>
      <w:r w:rsidR="00BF12C8" w:rsidRPr="007837CC">
        <w:t>targeted regulations, tailored sectoral policies, direct investment (public and private), innovation and</w:t>
      </w:r>
      <w:r w:rsidR="00A0573B">
        <w:t xml:space="preserve"> </w:t>
      </w:r>
      <w:r w:rsidR="00BF12C8" w:rsidRPr="007837CC">
        <w:t>mechanisms to meet our climate targets and support an equitable transition to</w:t>
      </w:r>
      <w:r w:rsidR="00A0573B">
        <w:t xml:space="preserve"> </w:t>
      </w:r>
      <w:r w:rsidR="00BF12C8" w:rsidRPr="007837CC">
        <w:t>a low</w:t>
      </w:r>
      <w:r w:rsidR="003B531B" w:rsidRPr="007837CC">
        <w:noBreakHyphen/>
      </w:r>
      <w:r w:rsidR="00BF12C8" w:rsidRPr="007837CC">
        <w:t>emissions economy. </w:t>
      </w:r>
      <w:r w:rsidR="00FF354A" w:rsidRPr="007837CC">
        <w:t>The</w:t>
      </w:r>
      <w:r w:rsidR="00BF12C8" w:rsidRPr="007837CC">
        <w:t> </w:t>
      </w:r>
      <w:r w:rsidR="0056356C" w:rsidRPr="007837CC">
        <w:t xml:space="preserve">ERP sets out these policies, </w:t>
      </w:r>
      <w:proofErr w:type="gramStart"/>
      <w:r w:rsidR="0056356C" w:rsidRPr="007837CC">
        <w:t>actions</w:t>
      </w:r>
      <w:proofErr w:type="gramEnd"/>
      <w:r w:rsidR="0056356C" w:rsidRPr="007837CC">
        <w:t xml:space="preserve"> and strategies a to meet the first emissions budget and the path for much deeper reductions out to 2030 and beyond. </w:t>
      </w:r>
    </w:p>
    <w:p w14:paraId="5CAF7DF6" w14:textId="70E616B7" w:rsidR="008169F7" w:rsidRPr="007837CC" w:rsidRDefault="0056356C" w:rsidP="002C6D2E">
      <w:pPr>
        <w:pStyle w:val="BodyText"/>
      </w:pPr>
      <w:r w:rsidRPr="007837CC">
        <w:t xml:space="preserve">Many of the complementary measures and actions in the ERP are designed to support firms, households, </w:t>
      </w:r>
      <w:proofErr w:type="gramStart"/>
      <w:r w:rsidR="00EE1993" w:rsidRPr="007837CC">
        <w:t>workers</w:t>
      </w:r>
      <w:proofErr w:type="gramEnd"/>
      <w:r w:rsidRPr="007837CC">
        <w:t xml:space="preserve"> and communities to meet the challenges and seize the opportunities that</w:t>
      </w:r>
      <w:r w:rsidR="003B531B" w:rsidRPr="007837CC">
        <w:t> </w:t>
      </w:r>
      <w:r w:rsidRPr="007837CC">
        <w:t>the transition brings.</w:t>
      </w:r>
      <w:r w:rsidR="00EE1993" w:rsidRPr="007837CC">
        <w:t xml:space="preserve"> </w:t>
      </w:r>
      <w:r w:rsidR="003F5028" w:rsidRPr="007837CC">
        <w:t xml:space="preserve">They act to address various market failures and information asymmetries, which in turn </w:t>
      </w:r>
      <w:r w:rsidR="007B2924" w:rsidRPr="007837CC">
        <w:t>makes the price signals from the NZ ETS more effective at incentivising emissions reductions.</w:t>
      </w:r>
      <w:r w:rsidR="003F5028" w:rsidRPr="007837CC">
        <w:t xml:space="preserve"> </w:t>
      </w:r>
      <w:r w:rsidR="00EE1993" w:rsidRPr="007837CC">
        <w:t>Such actions sit alongside broader measures to support workers and households to manage the impacts and seize the opportunities of New</w:t>
      </w:r>
      <w:r w:rsidR="003B531B" w:rsidRPr="007837CC">
        <w:t> </w:t>
      </w:r>
      <w:r w:rsidR="00EE1993" w:rsidRPr="007837CC">
        <w:t>Zealand’s transition to a low</w:t>
      </w:r>
      <w:r w:rsidR="00286E04" w:rsidRPr="007837CC">
        <w:t>-</w:t>
      </w:r>
      <w:r w:rsidR="00EE1993" w:rsidRPr="007837CC">
        <w:t>emissions economy.</w:t>
      </w:r>
    </w:p>
    <w:p w14:paraId="2B3D0934" w14:textId="2BF9428D" w:rsidR="0071413D" w:rsidRPr="007837CC" w:rsidRDefault="0071413D" w:rsidP="008C7978">
      <w:pPr>
        <w:pStyle w:val="Heading3"/>
      </w:pPr>
      <w:r w:rsidRPr="007837CC">
        <w:t xml:space="preserve">Emissions pricing has a direct impact on energy </w:t>
      </w:r>
      <w:proofErr w:type="gramStart"/>
      <w:r w:rsidRPr="007837CC">
        <w:t>prices</w:t>
      </w:r>
      <w:proofErr w:type="gramEnd"/>
    </w:p>
    <w:p w14:paraId="7351C559" w14:textId="5922C7CD" w:rsidR="0071413D" w:rsidRPr="007837CC" w:rsidRDefault="00771356" w:rsidP="005A0B3C">
      <w:pPr>
        <w:pStyle w:val="BodyText"/>
      </w:pPr>
      <w:r w:rsidRPr="007837CC">
        <w:t>Because</w:t>
      </w:r>
      <w:r w:rsidR="00862D89" w:rsidRPr="007837CC">
        <w:t xml:space="preserve"> e</w:t>
      </w:r>
      <w:r w:rsidR="00BD50BE" w:rsidRPr="007837CC">
        <w:t xml:space="preserve">lectricity generation </w:t>
      </w:r>
      <w:r w:rsidRPr="007837CC">
        <w:t xml:space="preserve">continues to rely on </w:t>
      </w:r>
      <w:r w:rsidR="00862D89" w:rsidRPr="007837CC">
        <w:t>sources that face an emissions cost (</w:t>
      </w:r>
      <w:proofErr w:type="spellStart"/>
      <w:r w:rsidR="00862D89" w:rsidRPr="007837CC">
        <w:t>eg</w:t>
      </w:r>
      <w:proofErr w:type="spellEnd"/>
      <w:r w:rsidRPr="007837CC">
        <w:t>,</w:t>
      </w:r>
      <w:r w:rsidR="00284F4E" w:rsidRPr="007837CC">
        <w:t> </w:t>
      </w:r>
      <w:r w:rsidR="00862D89" w:rsidRPr="007837CC">
        <w:t>coal</w:t>
      </w:r>
      <w:r w:rsidRPr="007837CC">
        <w:t xml:space="preserve"> and</w:t>
      </w:r>
      <w:r w:rsidR="00862D89" w:rsidRPr="007837CC">
        <w:t xml:space="preserve"> gas)</w:t>
      </w:r>
      <w:r w:rsidRPr="007837CC">
        <w:t>,</w:t>
      </w:r>
      <w:r w:rsidR="00BD50BE" w:rsidRPr="007837CC">
        <w:t xml:space="preserve"> electricity prices are sensitive to emissions pricing</w:t>
      </w:r>
      <w:r w:rsidR="00862D89" w:rsidRPr="007837CC">
        <w:t xml:space="preserve">. </w:t>
      </w:r>
    </w:p>
    <w:p w14:paraId="11918E28" w14:textId="428B1B1B" w:rsidR="005D7460" w:rsidRPr="007837CC" w:rsidRDefault="00771356" w:rsidP="009074C4">
      <w:pPr>
        <w:pStyle w:val="BodyText"/>
      </w:pPr>
      <w:r w:rsidRPr="007837CC">
        <w:rPr>
          <w:rFonts w:cs="Arial"/>
        </w:rPr>
        <w:t>D</w:t>
      </w:r>
      <w:r w:rsidRPr="007837CC">
        <w:t>rawing</w:t>
      </w:r>
      <w:r w:rsidRPr="007837CC">
        <w:rPr>
          <w:rFonts w:cs="Arial"/>
        </w:rPr>
        <w:t xml:space="preserve"> on </w:t>
      </w:r>
      <w:r w:rsidR="00986CFD" w:rsidRPr="007837CC">
        <w:rPr>
          <w:rFonts w:cs="Arial"/>
        </w:rPr>
        <w:t>work undertaken</w:t>
      </w:r>
      <w:r w:rsidR="009074C4" w:rsidRPr="007837CC">
        <w:rPr>
          <w:rFonts w:cs="Arial"/>
        </w:rPr>
        <w:t xml:space="preserve"> by the Treasury</w:t>
      </w:r>
      <w:r w:rsidRPr="007837CC">
        <w:rPr>
          <w:rFonts w:cs="Arial"/>
        </w:rPr>
        <w:t>, the Commission has identified</w:t>
      </w:r>
      <w:r w:rsidR="009074C4" w:rsidRPr="007837CC">
        <w:rPr>
          <w:rFonts w:cs="Arial"/>
        </w:rPr>
        <w:t xml:space="preserve"> impacts </w:t>
      </w:r>
      <w:r w:rsidR="00F1535B" w:rsidRPr="007837CC">
        <w:t>of</w:t>
      </w:r>
      <w:r w:rsidR="009074C4" w:rsidRPr="007837CC">
        <w:t xml:space="preserve"> various NZU prices</w:t>
      </w:r>
      <w:r w:rsidR="009D4B25" w:rsidRPr="007837CC">
        <w:t xml:space="preserve"> </w:t>
      </w:r>
      <w:r w:rsidR="00F1535B" w:rsidRPr="007837CC">
        <w:t xml:space="preserve">on </w:t>
      </w:r>
      <w:r w:rsidR="009D4B25" w:rsidRPr="007837CC">
        <w:t>the price of electricity</w:t>
      </w:r>
      <w:r w:rsidR="00F1535B" w:rsidRPr="007837CC">
        <w:t>, as</w:t>
      </w:r>
      <w:r w:rsidR="00FA7C00" w:rsidRPr="007837CC">
        <w:t xml:space="preserve"> table </w:t>
      </w:r>
      <w:r w:rsidR="00C21466" w:rsidRPr="007837CC">
        <w:t xml:space="preserve">21 </w:t>
      </w:r>
      <w:r w:rsidR="00F1535B" w:rsidRPr="007837CC">
        <w:t>shows.</w:t>
      </w:r>
    </w:p>
    <w:p w14:paraId="085BDABC" w14:textId="6D9BADAD" w:rsidR="00FA7C00" w:rsidRPr="007837CC" w:rsidRDefault="00FA7C00" w:rsidP="00C62CFE">
      <w:pPr>
        <w:pStyle w:val="Tableheading"/>
      </w:pPr>
      <w:bookmarkStart w:id="70" w:name="_Toc133927352"/>
      <w:r w:rsidRPr="007837CC">
        <w:t xml:space="preserve">Table </w:t>
      </w:r>
      <w:r w:rsidR="00C21466" w:rsidRPr="007837CC">
        <w:t>21</w:t>
      </w:r>
      <w:r w:rsidRPr="007837CC">
        <w:t xml:space="preserve">: </w:t>
      </w:r>
      <w:r w:rsidR="00C62CFE" w:rsidRPr="007837CC">
        <w:tab/>
      </w:r>
      <w:r w:rsidR="00C43910" w:rsidRPr="007837CC">
        <w:t>Impact of emissions price on</w:t>
      </w:r>
      <w:r w:rsidR="00F1535B" w:rsidRPr="007837CC">
        <w:t xml:space="preserve"> the price of</w:t>
      </w:r>
      <w:r w:rsidR="00C43910" w:rsidRPr="007837CC">
        <w:t xml:space="preserve"> electricity</w:t>
      </w:r>
      <w:r w:rsidR="0368C96E" w:rsidRPr="007837CC">
        <w:t xml:space="preserve"> (c/kWh)</w:t>
      </w:r>
      <w:bookmarkEnd w:id="70"/>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Look w:val="04A0" w:firstRow="1" w:lastRow="0" w:firstColumn="1" w:lastColumn="0" w:noHBand="0" w:noVBand="1"/>
      </w:tblPr>
      <w:tblGrid>
        <w:gridCol w:w="1079"/>
        <w:gridCol w:w="1048"/>
        <w:gridCol w:w="1417"/>
        <w:gridCol w:w="851"/>
        <w:gridCol w:w="722"/>
        <w:gridCol w:w="847"/>
        <w:gridCol w:w="847"/>
        <w:gridCol w:w="847"/>
        <w:gridCol w:w="847"/>
      </w:tblGrid>
      <w:tr w:rsidR="00C62CFE" w:rsidRPr="007837CC" w14:paraId="36AD9252" w14:textId="77777777" w:rsidTr="00B4279E">
        <w:tc>
          <w:tcPr>
            <w:tcW w:w="1079" w:type="dxa"/>
            <w:vMerge w:val="restart"/>
            <w:tcBorders>
              <w:bottom w:val="nil"/>
              <w:right w:val="nil"/>
            </w:tcBorders>
            <w:shd w:val="clear" w:color="auto" w:fill="1B556B" w:themeFill="text2"/>
            <w:noWrap/>
            <w:vAlign w:val="bottom"/>
            <w:hideMark/>
          </w:tcPr>
          <w:p w14:paraId="46BB61E5" w14:textId="62E8D396" w:rsidR="00F1535B" w:rsidRPr="007837CC" w:rsidRDefault="00F1535B" w:rsidP="002D6DC4">
            <w:pPr>
              <w:pStyle w:val="TableTextbold"/>
              <w:spacing w:before="40" w:after="40"/>
              <w:rPr>
                <w:color w:val="FFFFFF" w:themeColor="background1"/>
              </w:rPr>
            </w:pPr>
            <w:r w:rsidRPr="007837CC">
              <w:rPr>
                <w:color w:val="FFFFFF" w:themeColor="background1"/>
              </w:rPr>
              <w:t>Level of impact</w:t>
            </w:r>
          </w:p>
        </w:tc>
        <w:tc>
          <w:tcPr>
            <w:tcW w:w="1048" w:type="dxa"/>
            <w:vMerge w:val="restart"/>
            <w:tcBorders>
              <w:left w:val="nil"/>
              <w:bottom w:val="nil"/>
              <w:right w:val="nil"/>
            </w:tcBorders>
            <w:shd w:val="clear" w:color="auto" w:fill="1B556B" w:themeFill="text2"/>
            <w:noWrap/>
            <w:vAlign w:val="bottom"/>
            <w:hideMark/>
          </w:tcPr>
          <w:p w14:paraId="1DA76197" w14:textId="68B73BDF" w:rsidR="00F1535B" w:rsidRPr="007837CC" w:rsidRDefault="00F1535B" w:rsidP="002D6DC4">
            <w:pPr>
              <w:pStyle w:val="TableTextbold"/>
              <w:spacing w:before="40" w:after="40"/>
              <w:rPr>
                <w:color w:val="FFFFFF" w:themeColor="background1"/>
              </w:rPr>
            </w:pPr>
            <w:r w:rsidRPr="007837CC">
              <w:rPr>
                <w:color w:val="FFFFFF" w:themeColor="background1"/>
              </w:rPr>
              <w:t>Sector</w:t>
            </w:r>
          </w:p>
        </w:tc>
        <w:tc>
          <w:tcPr>
            <w:tcW w:w="1417" w:type="dxa"/>
            <w:vMerge w:val="restart"/>
            <w:tcBorders>
              <w:left w:val="nil"/>
              <w:bottom w:val="nil"/>
              <w:right w:val="nil"/>
            </w:tcBorders>
            <w:shd w:val="clear" w:color="auto" w:fill="1B556B" w:themeFill="text2"/>
            <w:noWrap/>
            <w:vAlign w:val="bottom"/>
            <w:hideMark/>
          </w:tcPr>
          <w:p w14:paraId="395797B3" w14:textId="413A17D5" w:rsidR="00F1535B" w:rsidRPr="007837CC" w:rsidRDefault="00F1535B" w:rsidP="002D6DC4">
            <w:pPr>
              <w:pStyle w:val="TableTextbold"/>
              <w:spacing w:before="40" w:after="40"/>
              <w:jc w:val="center"/>
              <w:rPr>
                <w:color w:val="FFFFFF" w:themeColor="background1"/>
              </w:rPr>
            </w:pPr>
            <w:r w:rsidRPr="007837CC">
              <w:rPr>
                <w:color w:val="FFFFFF" w:themeColor="background1"/>
              </w:rPr>
              <w:t>Electricity price 2021 (c/kWh)</w:t>
            </w:r>
          </w:p>
        </w:tc>
        <w:tc>
          <w:tcPr>
            <w:tcW w:w="4961" w:type="dxa"/>
            <w:gridSpan w:val="6"/>
            <w:tcBorders>
              <w:left w:val="nil"/>
              <w:bottom w:val="nil"/>
            </w:tcBorders>
            <w:shd w:val="clear" w:color="auto" w:fill="1B556B" w:themeFill="text2"/>
            <w:noWrap/>
            <w:vAlign w:val="bottom"/>
            <w:hideMark/>
          </w:tcPr>
          <w:p w14:paraId="7063908E" w14:textId="35B74F3A" w:rsidR="00F1535B" w:rsidRPr="007837CC" w:rsidRDefault="00F1535B" w:rsidP="002D6DC4">
            <w:pPr>
              <w:pStyle w:val="TableTextbold"/>
              <w:spacing w:before="40" w:after="40"/>
              <w:jc w:val="center"/>
              <w:rPr>
                <w:color w:val="FFFFFF" w:themeColor="background1"/>
              </w:rPr>
            </w:pPr>
            <w:r w:rsidRPr="007837CC">
              <w:rPr>
                <w:color w:val="FFFFFF" w:themeColor="background1"/>
              </w:rPr>
              <w:t>Emissions price</w:t>
            </w:r>
          </w:p>
        </w:tc>
      </w:tr>
      <w:tr w:rsidR="00C62CFE" w:rsidRPr="007837CC" w14:paraId="30EE8231" w14:textId="77777777" w:rsidTr="00B4279E">
        <w:tc>
          <w:tcPr>
            <w:tcW w:w="1079" w:type="dxa"/>
            <w:vMerge/>
            <w:tcBorders>
              <w:top w:val="nil"/>
              <w:right w:val="nil"/>
            </w:tcBorders>
            <w:shd w:val="clear" w:color="auto" w:fill="1B556B" w:themeFill="text2"/>
            <w:vAlign w:val="bottom"/>
            <w:hideMark/>
          </w:tcPr>
          <w:p w14:paraId="3BD31BA5" w14:textId="72C6BDA1" w:rsidR="00F1535B" w:rsidRPr="007837CC" w:rsidRDefault="00F1535B" w:rsidP="002D6DC4">
            <w:pPr>
              <w:pStyle w:val="TableTextbold"/>
              <w:spacing w:before="40" w:after="40"/>
              <w:rPr>
                <w:color w:val="FFFFFF" w:themeColor="background1"/>
              </w:rPr>
            </w:pPr>
          </w:p>
        </w:tc>
        <w:tc>
          <w:tcPr>
            <w:tcW w:w="1048" w:type="dxa"/>
            <w:vMerge/>
            <w:tcBorders>
              <w:top w:val="nil"/>
              <w:left w:val="nil"/>
              <w:right w:val="nil"/>
            </w:tcBorders>
            <w:shd w:val="clear" w:color="auto" w:fill="1B556B" w:themeFill="text2"/>
            <w:vAlign w:val="bottom"/>
            <w:hideMark/>
          </w:tcPr>
          <w:p w14:paraId="2CD86A33" w14:textId="1E8797EE" w:rsidR="00F1535B" w:rsidRPr="007837CC" w:rsidRDefault="00F1535B" w:rsidP="002D6DC4">
            <w:pPr>
              <w:pStyle w:val="TableTextbold"/>
              <w:spacing w:before="40" w:after="40"/>
              <w:rPr>
                <w:color w:val="FFFFFF" w:themeColor="background1"/>
              </w:rPr>
            </w:pPr>
          </w:p>
        </w:tc>
        <w:tc>
          <w:tcPr>
            <w:tcW w:w="1417" w:type="dxa"/>
            <w:vMerge/>
            <w:tcBorders>
              <w:top w:val="nil"/>
              <w:left w:val="nil"/>
              <w:right w:val="nil"/>
            </w:tcBorders>
            <w:shd w:val="clear" w:color="auto" w:fill="1B556B" w:themeFill="text2"/>
            <w:vAlign w:val="bottom"/>
            <w:hideMark/>
          </w:tcPr>
          <w:p w14:paraId="056EF787" w14:textId="2E304669" w:rsidR="00F1535B" w:rsidRPr="007837CC" w:rsidRDefault="00F1535B" w:rsidP="002D6DC4">
            <w:pPr>
              <w:pStyle w:val="TableTextbold"/>
              <w:spacing w:before="40" w:after="40"/>
              <w:rPr>
                <w:color w:val="FFFFFF" w:themeColor="background1"/>
              </w:rPr>
            </w:pPr>
          </w:p>
        </w:tc>
        <w:tc>
          <w:tcPr>
            <w:tcW w:w="851" w:type="dxa"/>
            <w:tcBorders>
              <w:top w:val="nil"/>
              <w:left w:val="nil"/>
              <w:right w:val="nil"/>
            </w:tcBorders>
            <w:shd w:val="clear" w:color="auto" w:fill="1B556B" w:themeFill="text2"/>
            <w:vAlign w:val="bottom"/>
            <w:hideMark/>
          </w:tcPr>
          <w:p w14:paraId="0D1AB716" w14:textId="77777777" w:rsidR="00F1535B" w:rsidRPr="007837CC" w:rsidRDefault="00F1535B" w:rsidP="002D6DC4">
            <w:pPr>
              <w:pStyle w:val="TableTextbold"/>
              <w:spacing w:before="40" w:after="40"/>
              <w:jc w:val="center"/>
              <w:rPr>
                <w:color w:val="FFFFFF" w:themeColor="background1"/>
              </w:rPr>
            </w:pPr>
            <w:r w:rsidRPr="007837CC">
              <w:rPr>
                <w:color w:val="FFFFFF" w:themeColor="background1"/>
              </w:rPr>
              <w:t>$50</w:t>
            </w:r>
          </w:p>
        </w:tc>
        <w:tc>
          <w:tcPr>
            <w:tcW w:w="722" w:type="dxa"/>
            <w:tcBorders>
              <w:top w:val="nil"/>
              <w:left w:val="nil"/>
              <w:right w:val="nil"/>
            </w:tcBorders>
            <w:shd w:val="clear" w:color="auto" w:fill="1B556B" w:themeFill="text2"/>
            <w:vAlign w:val="bottom"/>
            <w:hideMark/>
          </w:tcPr>
          <w:p w14:paraId="54EE6D94" w14:textId="77777777" w:rsidR="00F1535B" w:rsidRPr="007837CC" w:rsidRDefault="00F1535B" w:rsidP="002D6DC4">
            <w:pPr>
              <w:pStyle w:val="TableTextbold"/>
              <w:spacing w:before="40" w:after="40"/>
              <w:jc w:val="center"/>
              <w:rPr>
                <w:color w:val="FFFFFF" w:themeColor="background1"/>
              </w:rPr>
            </w:pPr>
            <w:r w:rsidRPr="007837CC">
              <w:rPr>
                <w:color w:val="FFFFFF" w:themeColor="background1"/>
              </w:rPr>
              <w:t>$75</w:t>
            </w:r>
          </w:p>
        </w:tc>
        <w:tc>
          <w:tcPr>
            <w:tcW w:w="847" w:type="dxa"/>
            <w:tcBorders>
              <w:top w:val="nil"/>
              <w:left w:val="nil"/>
              <w:right w:val="nil"/>
            </w:tcBorders>
            <w:shd w:val="clear" w:color="auto" w:fill="1B556B" w:themeFill="text2"/>
            <w:vAlign w:val="bottom"/>
            <w:hideMark/>
          </w:tcPr>
          <w:p w14:paraId="59EEB582" w14:textId="77777777" w:rsidR="00F1535B" w:rsidRPr="007837CC" w:rsidRDefault="00F1535B" w:rsidP="002D6DC4">
            <w:pPr>
              <w:pStyle w:val="TableTextbold"/>
              <w:spacing w:before="40" w:after="40"/>
              <w:jc w:val="center"/>
              <w:rPr>
                <w:color w:val="FFFFFF" w:themeColor="background1"/>
              </w:rPr>
            </w:pPr>
            <w:r w:rsidRPr="007837CC">
              <w:rPr>
                <w:color w:val="FFFFFF" w:themeColor="background1"/>
              </w:rPr>
              <w:t>$100</w:t>
            </w:r>
          </w:p>
        </w:tc>
        <w:tc>
          <w:tcPr>
            <w:tcW w:w="847" w:type="dxa"/>
            <w:tcBorders>
              <w:top w:val="nil"/>
              <w:left w:val="nil"/>
              <w:right w:val="nil"/>
            </w:tcBorders>
            <w:shd w:val="clear" w:color="auto" w:fill="1B556B" w:themeFill="text2"/>
            <w:vAlign w:val="bottom"/>
            <w:hideMark/>
          </w:tcPr>
          <w:p w14:paraId="35B627E6" w14:textId="77777777" w:rsidR="00F1535B" w:rsidRPr="007837CC" w:rsidRDefault="00F1535B" w:rsidP="002D6DC4">
            <w:pPr>
              <w:pStyle w:val="TableTextbold"/>
              <w:spacing w:before="40" w:after="40"/>
              <w:jc w:val="center"/>
              <w:rPr>
                <w:color w:val="FFFFFF" w:themeColor="background1"/>
              </w:rPr>
            </w:pPr>
            <w:r w:rsidRPr="007837CC">
              <w:rPr>
                <w:color w:val="FFFFFF" w:themeColor="background1"/>
              </w:rPr>
              <w:t>$150</w:t>
            </w:r>
          </w:p>
        </w:tc>
        <w:tc>
          <w:tcPr>
            <w:tcW w:w="847" w:type="dxa"/>
            <w:tcBorders>
              <w:top w:val="nil"/>
              <w:left w:val="nil"/>
              <w:right w:val="nil"/>
            </w:tcBorders>
            <w:shd w:val="clear" w:color="auto" w:fill="1B556B" w:themeFill="text2"/>
            <w:vAlign w:val="bottom"/>
            <w:hideMark/>
          </w:tcPr>
          <w:p w14:paraId="28257D12" w14:textId="77777777" w:rsidR="00F1535B" w:rsidRPr="007837CC" w:rsidRDefault="00F1535B" w:rsidP="002D6DC4">
            <w:pPr>
              <w:pStyle w:val="TableTextbold"/>
              <w:spacing w:before="40" w:after="40"/>
              <w:jc w:val="center"/>
              <w:rPr>
                <w:color w:val="FFFFFF" w:themeColor="background1"/>
              </w:rPr>
            </w:pPr>
            <w:r w:rsidRPr="007837CC">
              <w:rPr>
                <w:color w:val="FFFFFF" w:themeColor="background1"/>
              </w:rPr>
              <w:t>$200</w:t>
            </w:r>
          </w:p>
        </w:tc>
        <w:tc>
          <w:tcPr>
            <w:tcW w:w="847" w:type="dxa"/>
            <w:tcBorders>
              <w:top w:val="nil"/>
              <w:left w:val="nil"/>
            </w:tcBorders>
            <w:shd w:val="clear" w:color="auto" w:fill="1B556B" w:themeFill="text2"/>
            <w:vAlign w:val="bottom"/>
            <w:hideMark/>
          </w:tcPr>
          <w:p w14:paraId="413BDF33" w14:textId="77777777" w:rsidR="00F1535B" w:rsidRPr="007837CC" w:rsidRDefault="00F1535B" w:rsidP="002D6DC4">
            <w:pPr>
              <w:pStyle w:val="TableTextbold"/>
              <w:spacing w:before="40" w:after="40"/>
              <w:jc w:val="center"/>
              <w:rPr>
                <w:color w:val="FFFFFF" w:themeColor="background1"/>
              </w:rPr>
            </w:pPr>
            <w:r w:rsidRPr="007837CC">
              <w:rPr>
                <w:color w:val="FFFFFF" w:themeColor="background1"/>
              </w:rPr>
              <w:t>$250</w:t>
            </w:r>
          </w:p>
        </w:tc>
      </w:tr>
      <w:tr w:rsidR="009D4B25" w:rsidRPr="007837CC" w14:paraId="0CA0B63A" w14:textId="77777777" w:rsidTr="00B4279E">
        <w:tc>
          <w:tcPr>
            <w:tcW w:w="1079" w:type="dxa"/>
            <w:vMerge w:val="restart"/>
            <w:shd w:val="clear" w:color="auto" w:fill="auto"/>
            <w:noWrap/>
            <w:vAlign w:val="center"/>
            <w:hideMark/>
          </w:tcPr>
          <w:p w14:paraId="49056366" w14:textId="77777777" w:rsidR="009D4B25" w:rsidRPr="007837CC" w:rsidRDefault="009D4B25" w:rsidP="002D6DC4">
            <w:pPr>
              <w:pStyle w:val="TableText"/>
              <w:spacing w:before="40" w:after="40"/>
              <w:rPr>
                <w:rFonts w:cs="Calibri"/>
                <w:szCs w:val="18"/>
              </w:rPr>
            </w:pPr>
            <w:r w:rsidRPr="007837CC">
              <w:rPr>
                <w:rFonts w:cs="Calibri"/>
                <w:szCs w:val="18"/>
              </w:rPr>
              <w:t>High impact</w:t>
            </w:r>
          </w:p>
        </w:tc>
        <w:tc>
          <w:tcPr>
            <w:tcW w:w="1048" w:type="dxa"/>
            <w:shd w:val="clear" w:color="auto" w:fill="auto"/>
            <w:noWrap/>
            <w:vAlign w:val="bottom"/>
            <w:hideMark/>
          </w:tcPr>
          <w:p w14:paraId="6EC31279" w14:textId="77777777" w:rsidR="009D4B25" w:rsidRPr="007837CC" w:rsidRDefault="009D4B25" w:rsidP="002D6DC4">
            <w:pPr>
              <w:pStyle w:val="TableText"/>
              <w:spacing w:before="40" w:after="40"/>
              <w:rPr>
                <w:rFonts w:cs="Calibri"/>
                <w:szCs w:val="18"/>
              </w:rPr>
            </w:pPr>
            <w:r w:rsidRPr="007837CC">
              <w:rPr>
                <w:rFonts w:cs="Calibri"/>
                <w:szCs w:val="18"/>
              </w:rPr>
              <w:t>Residential</w:t>
            </w:r>
          </w:p>
        </w:tc>
        <w:tc>
          <w:tcPr>
            <w:tcW w:w="1417" w:type="dxa"/>
            <w:shd w:val="clear" w:color="auto" w:fill="auto"/>
            <w:noWrap/>
            <w:vAlign w:val="bottom"/>
            <w:hideMark/>
          </w:tcPr>
          <w:p w14:paraId="4CA8A4AB" w14:textId="77777777" w:rsidR="009D4B25" w:rsidRPr="007837CC" w:rsidRDefault="009D4B25" w:rsidP="002D6DC4">
            <w:pPr>
              <w:pStyle w:val="TableText"/>
              <w:spacing w:before="40" w:after="40"/>
              <w:jc w:val="center"/>
              <w:rPr>
                <w:rFonts w:cs="Calibri"/>
                <w:szCs w:val="18"/>
              </w:rPr>
            </w:pPr>
            <w:r w:rsidRPr="007837CC">
              <w:rPr>
                <w:rFonts w:cs="Calibri"/>
                <w:szCs w:val="18"/>
              </w:rPr>
              <w:t>30.6</w:t>
            </w:r>
          </w:p>
        </w:tc>
        <w:tc>
          <w:tcPr>
            <w:tcW w:w="851" w:type="dxa"/>
            <w:shd w:val="clear" w:color="auto" w:fill="auto"/>
            <w:noWrap/>
            <w:vAlign w:val="bottom"/>
            <w:hideMark/>
          </w:tcPr>
          <w:p w14:paraId="7CC1FF92" w14:textId="77777777" w:rsidR="009D4B25" w:rsidRPr="007837CC" w:rsidRDefault="009D4B25" w:rsidP="002D6DC4">
            <w:pPr>
              <w:pStyle w:val="TableText"/>
              <w:spacing w:before="40" w:after="40"/>
              <w:jc w:val="center"/>
              <w:rPr>
                <w:rFonts w:cs="Calibri"/>
                <w:szCs w:val="18"/>
              </w:rPr>
            </w:pPr>
            <w:r w:rsidRPr="007837CC">
              <w:rPr>
                <w:rFonts w:cs="Calibri"/>
                <w:szCs w:val="18"/>
              </w:rPr>
              <w:t>1.9</w:t>
            </w:r>
          </w:p>
        </w:tc>
        <w:tc>
          <w:tcPr>
            <w:tcW w:w="722" w:type="dxa"/>
            <w:shd w:val="clear" w:color="auto" w:fill="auto"/>
            <w:noWrap/>
            <w:vAlign w:val="bottom"/>
            <w:hideMark/>
          </w:tcPr>
          <w:p w14:paraId="397680DF" w14:textId="77777777" w:rsidR="009D4B25" w:rsidRPr="007837CC" w:rsidRDefault="009D4B25" w:rsidP="002D6DC4">
            <w:pPr>
              <w:pStyle w:val="TableText"/>
              <w:spacing w:before="40" w:after="40"/>
              <w:jc w:val="center"/>
              <w:rPr>
                <w:rFonts w:cs="Calibri"/>
                <w:szCs w:val="18"/>
              </w:rPr>
            </w:pPr>
            <w:r w:rsidRPr="007837CC">
              <w:rPr>
                <w:rFonts w:cs="Calibri"/>
                <w:szCs w:val="18"/>
              </w:rPr>
              <w:t>2.9</w:t>
            </w:r>
          </w:p>
        </w:tc>
        <w:tc>
          <w:tcPr>
            <w:tcW w:w="847" w:type="dxa"/>
            <w:shd w:val="clear" w:color="auto" w:fill="auto"/>
            <w:noWrap/>
            <w:vAlign w:val="bottom"/>
            <w:hideMark/>
          </w:tcPr>
          <w:p w14:paraId="123AB62B" w14:textId="77777777" w:rsidR="009D4B25" w:rsidRPr="007837CC" w:rsidRDefault="009D4B25" w:rsidP="002D6DC4">
            <w:pPr>
              <w:pStyle w:val="TableText"/>
              <w:spacing w:before="40" w:after="40"/>
              <w:jc w:val="center"/>
              <w:rPr>
                <w:rFonts w:cs="Calibri"/>
                <w:szCs w:val="18"/>
              </w:rPr>
            </w:pPr>
            <w:r w:rsidRPr="007837CC">
              <w:rPr>
                <w:rFonts w:cs="Calibri"/>
                <w:szCs w:val="18"/>
              </w:rPr>
              <w:t>3.8</w:t>
            </w:r>
          </w:p>
        </w:tc>
        <w:tc>
          <w:tcPr>
            <w:tcW w:w="847" w:type="dxa"/>
            <w:shd w:val="clear" w:color="auto" w:fill="auto"/>
            <w:noWrap/>
            <w:vAlign w:val="bottom"/>
            <w:hideMark/>
          </w:tcPr>
          <w:p w14:paraId="716B4A36" w14:textId="77777777" w:rsidR="009D4B25" w:rsidRPr="007837CC" w:rsidRDefault="009D4B25" w:rsidP="002D6DC4">
            <w:pPr>
              <w:pStyle w:val="TableText"/>
              <w:spacing w:before="40" w:after="40"/>
              <w:jc w:val="center"/>
              <w:rPr>
                <w:rFonts w:cs="Calibri"/>
                <w:szCs w:val="18"/>
              </w:rPr>
            </w:pPr>
            <w:r w:rsidRPr="007837CC">
              <w:rPr>
                <w:rFonts w:cs="Calibri"/>
                <w:szCs w:val="18"/>
              </w:rPr>
              <w:t>5.7</w:t>
            </w:r>
          </w:p>
        </w:tc>
        <w:tc>
          <w:tcPr>
            <w:tcW w:w="847" w:type="dxa"/>
            <w:shd w:val="clear" w:color="auto" w:fill="auto"/>
            <w:noWrap/>
            <w:vAlign w:val="bottom"/>
            <w:hideMark/>
          </w:tcPr>
          <w:p w14:paraId="3C0AFB78" w14:textId="77777777" w:rsidR="009D4B25" w:rsidRPr="007837CC" w:rsidRDefault="009D4B25" w:rsidP="002D6DC4">
            <w:pPr>
              <w:pStyle w:val="TableText"/>
              <w:spacing w:before="40" w:after="40"/>
              <w:jc w:val="center"/>
              <w:rPr>
                <w:rFonts w:cs="Calibri"/>
                <w:szCs w:val="18"/>
              </w:rPr>
            </w:pPr>
            <w:r w:rsidRPr="007837CC">
              <w:rPr>
                <w:rFonts w:cs="Calibri"/>
                <w:szCs w:val="18"/>
              </w:rPr>
              <w:t>7.6</w:t>
            </w:r>
          </w:p>
        </w:tc>
        <w:tc>
          <w:tcPr>
            <w:tcW w:w="847" w:type="dxa"/>
            <w:shd w:val="clear" w:color="auto" w:fill="auto"/>
            <w:noWrap/>
            <w:vAlign w:val="bottom"/>
            <w:hideMark/>
          </w:tcPr>
          <w:p w14:paraId="0C5DFC32" w14:textId="77777777" w:rsidR="009D4B25" w:rsidRPr="007837CC" w:rsidRDefault="009D4B25" w:rsidP="002D6DC4">
            <w:pPr>
              <w:pStyle w:val="TableText"/>
              <w:spacing w:before="40" w:after="40"/>
              <w:jc w:val="center"/>
              <w:rPr>
                <w:rFonts w:cs="Calibri"/>
                <w:szCs w:val="18"/>
              </w:rPr>
            </w:pPr>
            <w:r w:rsidRPr="007837CC">
              <w:rPr>
                <w:rFonts w:cs="Calibri"/>
                <w:szCs w:val="18"/>
              </w:rPr>
              <w:t>9.5</w:t>
            </w:r>
          </w:p>
        </w:tc>
      </w:tr>
      <w:tr w:rsidR="009D4B25" w:rsidRPr="007837CC" w14:paraId="462D13A6" w14:textId="77777777" w:rsidTr="00B4279E">
        <w:tc>
          <w:tcPr>
            <w:tcW w:w="1079" w:type="dxa"/>
            <w:vMerge/>
            <w:vAlign w:val="center"/>
            <w:hideMark/>
          </w:tcPr>
          <w:p w14:paraId="0C7B7B0F" w14:textId="77777777" w:rsidR="009D4B25" w:rsidRPr="007837CC" w:rsidRDefault="009D4B25" w:rsidP="002D6DC4">
            <w:pPr>
              <w:pStyle w:val="TableText"/>
              <w:spacing w:before="40" w:after="40"/>
              <w:rPr>
                <w:rFonts w:cs="Calibri"/>
                <w:szCs w:val="18"/>
              </w:rPr>
            </w:pPr>
          </w:p>
        </w:tc>
        <w:tc>
          <w:tcPr>
            <w:tcW w:w="1048" w:type="dxa"/>
            <w:shd w:val="clear" w:color="auto" w:fill="auto"/>
            <w:noWrap/>
            <w:vAlign w:val="bottom"/>
            <w:hideMark/>
          </w:tcPr>
          <w:p w14:paraId="782C9376" w14:textId="77777777" w:rsidR="009D4B25" w:rsidRPr="007837CC" w:rsidRDefault="009D4B25" w:rsidP="002D6DC4">
            <w:pPr>
              <w:pStyle w:val="TableText"/>
              <w:spacing w:before="40" w:after="40"/>
              <w:rPr>
                <w:rFonts w:cs="Calibri"/>
                <w:szCs w:val="18"/>
              </w:rPr>
            </w:pPr>
            <w:r w:rsidRPr="007837CC">
              <w:rPr>
                <w:rFonts w:cs="Calibri"/>
                <w:szCs w:val="18"/>
              </w:rPr>
              <w:t xml:space="preserve">Commercial </w:t>
            </w:r>
          </w:p>
        </w:tc>
        <w:tc>
          <w:tcPr>
            <w:tcW w:w="1417" w:type="dxa"/>
            <w:shd w:val="clear" w:color="auto" w:fill="auto"/>
            <w:noWrap/>
            <w:vAlign w:val="bottom"/>
            <w:hideMark/>
          </w:tcPr>
          <w:p w14:paraId="61220BBA" w14:textId="77777777" w:rsidR="009D4B25" w:rsidRPr="007837CC" w:rsidRDefault="009D4B25" w:rsidP="002D6DC4">
            <w:pPr>
              <w:pStyle w:val="TableText"/>
              <w:spacing w:before="40" w:after="40"/>
              <w:jc w:val="center"/>
              <w:rPr>
                <w:rFonts w:cs="Calibri"/>
                <w:szCs w:val="18"/>
              </w:rPr>
            </w:pPr>
            <w:r w:rsidRPr="007837CC">
              <w:rPr>
                <w:rFonts w:cs="Calibri"/>
                <w:szCs w:val="18"/>
              </w:rPr>
              <w:t>18.5</w:t>
            </w:r>
          </w:p>
        </w:tc>
        <w:tc>
          <w:tcPr>
            <w:tcW w:w="851" w:type="dxa"/>
            <w:shd w:val="clear" w:color="auto" w:fill="auto"/>
            <w:noWrap/>
            <w:vAlign w:val="bottom"/>
            <w:hideMark/>
          </w:tcPr>
          <w:p w14:paraId="7228D421" w14:textId="77777777" w:rsidR="009D4B25" w:rsidRPr="007837CC" w:rsidRDefault="009D4B25" w:rsidP="002D6DC4">
            <w:pPr>
              <w:pStyle w:val="TableText"/>
              <w:spacing w:before="40" w:after="40"/>
              <w:jc w:val="center"/>
              <w:rPr>
                <w:rFonts w:cs="Calibri"/>
                <w:szCs w:val="18"/>
              </w:rPr>
            </w:pPr>
            <w:r w:rsidRPr="007837CC">
              <w:rPr>
                <w:rFonts w:cs="Calibri"/>
                <w:szCs w:val="18"/>
              </w:rPr>
              <w:t>1.7</w:t>
            </w:r>
          </w:p>
        </w:tc>
        <w:tc>
          <w:tcPr>
            <w:tcW w:w="722" w:type="dxa"/>
            <w:shd w:val="clear" w:color="auto" w:fill="auto"/>
            <w:noWrap/>
            <w:vAlign w:val="bottom"/>
            <w:hideMark/>
          </w:tcPr>
          <w:p w14:paraId="235EF5F8" w14:textId="77777777" w:rsidR="009D4B25" w:rsidRPr="007837CC" w:rsidRDefault="009D4B25" w:rsidP="002D6DC4">
            <w:pPr>
              <w:pStyle w:val="TableText"/>
              <w:spacing w:before="40" w:after="40"/>
              <w:jc w:val="center"/>
              <w:rPr>
                <w:rFonts w:cs="Calibri"/>
                <w:szCs w:val="18"/>
              </w:rPr>
            </w:pPr>
            <w:r w:rsidRPr="007837CC">
              <w:rPr>
                <w:rFonts w:cs="Calibri"/>
                <w:szCs w:val="18"/>
              </w:rPr>
              <w:t>2.5</w:t>
            </w:r>
          </w:p>
        </w:tc>
        <w:tc>
          <w:tcPr>
            <w:tcW w:w="847" w:type="dxa"/>
            <w:shd w:val="clear" w:color="auto" w:fill="auto"/>
            <w:noWrap/>
            <w:vAlign w:val="bottom"/>
            <w:hideMark/>
          </w:tcPr>
          <w:p w14:paraId="0D0EE7DD" w14:textId="77777777" w:rsidR="009D4B25" w:rsidRPr="007837CC" w:rsidRDefault="009D4B25" w:rsidP="002D6DC4">
            <w:pPr>
              <w:pStyle w:val="TableText"/>
              <w:spacing w:before="40" w:after="40"/>
              <w:jc w:val="center"/>
              <w:rPr>
                <w:rFonts w:cs="Calibri"/>
                <w:szCs w:val="18"/>
              </w:rPr>
            </w:pPr>
            <w:r w:rsidRPr="007837CC">
              <w:rPr>
                <w:rFonts w:cs="Calibri"/>
                <w:szCs w:val="18"/>
              </w:rPr>
              <w:t>3.3</w:t>
            </w:r>
          </w:p>
        </w:tc>
        <w:tc>
          <w:tcPr>
            <w:tcW w:w="847" w:type="dxa"/>
            <w:shd w:val="clear" w:color="auto" w:fill="auto"/>
            <w:noWrap/>
            <w:vAlign w:val="bottom"/>
            <w:hideMark/>
          </w:tcPr>
          <w:p w14:paraId="0FE1C8AE" w14:textId="77777777" w:rsidR="009D4B25" w:rsidRPr="007837CC" w:rsidRDefault="009D4B25" w:rsidP="002D6DC4">
            <w:pPr>
              <w:pStyle w:val="TableText"/>
              <w:spacing w:before="40" w:after="40"/>
              <w:jc w:val="center"/>
              <w:rPr>
                <w:rFonts w:cs="Calibri"/>
                <w:szCs w:val="18"/>
              </w:rPr>
            </w:pPr>
            <w:r w:rsidRPr="007837CC">
              <w:rPr>
                <w:rFonts w:cs="Calibri"/>
                <w:szCs w:val="18"/>
              </w:rPr>
              <w:t>5.0</w:t>
            </w:r>
          </w:p>
        </w:tc>
        <w:tc>
          <w:tcPr>
            <w:tcW w:w="847" w:type="dxa"/>
            <w:shd w:val="clear" w:color="auto" w:fill="auto"/>
            <w:noWrap/>
            <w:vAlign w:val="bottom"/>
            <w:hideMark/>
          </w:tcPr>
          <w:p w14:paraId="63DC61F2" w14:textId="77777777" w:rsidR="009D4B25" w:rsidRPr="007837CC" w:rsidRDefault="009D4B25" w:rsidP="002D6DC4">
            <w:pPr>
              <w:pStyle w:val="TableText"/>
              <w:spacing w:before="40" w:after="40"/>
              <w:jc w:val="center"/>
              <w:rPr>
                <w:rFonts w:cs="Calibri"/>
                <w:szCs w:val="18"/>
              </w:rPr>
            </w:pPr>
            <w:r w:rsidRPr="007837CC">
              <w:rPr>
                <w:rFonts w:cs="Calibri"/>
                <w:szCs w:val="18"/>
              </w:rPr>
              <w:t>6.6</w:t>
            </w:r>
          </w:p>
        </w:tc>
        <w:tc>
          <w:tcPr>
            <w:tcW w:w="847" w:type="dxa"/>
            <w:shd w:val="clear" w:color="auto" w:fill="auto"/>
            <w:noWrap/>
            <w:vAlign w:val="bottom"/>
            <w:hideMark/>
          </w:tcPr>
          <w:p w14:paraId="18A67D99" w14:textId="77777777" w:rsidR="009D4B25" w:rsidRPr="007837CC" w:rsidRDefault="009D4B25" w:rsidP="002D6DC4">
            <w:pPr>
              <w:pStyle w:val="TableText"/>
              <w:spacing w:before="40" w:after="40"/>
              <w:jc w:val="center"/>
              <w:rPr>
                <w:rFonts w:cs="Calibri"/>
                <w:szCs w:val="18"/>
              </w:rPr>
            </w:pPr>
            <w:r w:rsidRPr="007837CC">
              <w:rPr>
                <w:rFonts w:cs="Calibri"/>
                <w:szCs w:val="18"/>
              </w:rPr>
              <w:t>8.3</w:t>
            </w:r>
          </w:p>
        </w:tc>
      </w:tr>
      <w:tr w:rsidR="009D4B25" w:rsidRPr="007837CC" w14:paraId="314008A6" w14:textId="77777777" w:rsidTr="00B4279E">
        <w:tc>
          <w:tcPr>
            <w:tcW w:w="1079" w:type="dxa"/>
            <w:vMerge/>
            <w:vAlign w:val="center"/>
            <w:hideMark/>
          </w:tcPr>
          <w:p w14:paraId="4A57A291" w14:textId="77777777" w:rsidR="009D4B25" w:rsidRPr="007837CC" w:rsidRDefault="009D4B25" w:rsidP="002D6DC4">
            <w:pPr>
              <w:pStyle w:val="TableText"/>
              <w:spacing w:before="40" w:after="40"/>
              <w:rPr>
                <w:rFonts w:cs="Calibri"/>
                <w:szCs w:val="18"/>
              </w:rPr>
            </w:pPr>
          </w:p>
        </w:tc>
        <w:tc>
          <w:tcPr>
            <w:tcW w:w="1048" w:type="dxa"/>
            <w:shd w:val="clear" w:color="auto" w:fill="auto"/>
            <w:noWrap/>
            <w:vAlign w:val="bottom"/>
            <w:hideMark/>
          </w:tcPr>
          <w:p w14:paraId="1F0477A9" w14:textId="77777777" w:rsidR="009D4B25" w:rsidRPr="007837CC" w:rsidRDefault="009D4B25" w:rsidP="002D6DC4">
            <w:pPr>
              <w:pStyle w:val="TableText"/>
              <w:spacing w:before="40" w:after="40"/>
              <w:rPr>
                <w:rFonts w:cs="Calibri"/>
                <w:szCs w:val="18"/>
              </w:rPr>
            </w:pPr>
            <w:r w:rsidRPr="007837CC">
              <w:rPr>
                <w:rFonts w:cs="Calibri"/>
                <w:szCs w:val="18"/>
              </w:rPr>
              <w:t>Industrial</w:t>
            </w:r>
          </w:p>
        </w:tc>
        <w:tc>
          <w:tcPr>
            <w:tcW w:w="1417" w:type="dxa"/>
            <w:shd w:val="clear" w:color="auto" w:fill="auto"/>
            <w:noWrap/>
            <w:vAlign w:val="bottom"/>
            <w:hideMark/>
          </w:tcPr>
          <w:p w14:paraId="096F3FDA" w14:textId="77777777" w:rsidR="009D4B25" w:rsidRPr="007837CC" w:rsidRDefault="009D4B25" w:rsidP="002D6DC4">
            <w:pPr>
              <w:pStyle w:val="TableText"/>
              <w:spacing w:before="40" w:after="40"/>
              <w:jc w:val="center"/>
              <w:rPr>
                <w:rFonts w:cs="Calibri"/>
                <w:szCs w:val="18"/>
              </w:rPr>
            </w:pPr>
            <w:r w:rsidRPr="007837CC">
              <w:rPr>
                <w:rFonts w:cs="Calibri"/>
                <w:szCs w:val="18"/>
              </w:rPr>
              <w:t>17.1</w:t>
            </w:r>
          </w:p>
        </w:tc>
        <w:tc>
          <w:tcPr>
            <w:tcW w:w="851" w:type="dxa"/>
            <w:shd w:val="clear" w:color="auto" w:fill="auto"/>
            <w:noWrap/>
            <w:vAlign w:val="bottom"/>
            <w:hideMark/>
          </w:tcPr>
          <w:p w14:paraId="0BF13D2E" w14:textId="77777777" w:rsidR="009D4B25" w:rsidRPr="007837CC" w:rsidRDefault="009D4B25" w:rsidP="002D6DC4">
            <w:pPr>
              <w:pStyle w:val="TableText"/>
              <w:spacing w:before="40" w:after="40"/>
              <w:jc w:val="center"/>
              <w:rPr>
                <w:rFonts w:cs="Calibri"/>
                <w:szCs w:val="18"/>
              </w:rPr>
            </w:pPr>
            <w:r w:rsidRPr="007837CC">
              <w:rPr>
                <w:rFonts w:cs="Calibri"/>
                <w:szCs w:val="18"/>
              </w:rPr>
              <w:t>1.6</w:t>
            </w:r>
          </w:p>
        </w:tc>
        <w:tc>
          <w:tcPr>
            <w:tcW w:w="722" w:type="dxa"/>
            <w:shd w:val="clear" w:color="auto" w:fill="auto"/>
            <w:noWrap/>
            <w:vAlign w:val="bottom"/>
            <w:hideMark/>
          </w:tcPr>
          <w:p w14:paraId="40C4BCEB" w14:textId="77777777" w:rsidR="009D4B25" w:rsidRPr="007837CC" w:rsidRDefault="009D4B25" w:rsidP="002D6DC4">
            <w:pPr>
              <w:pStyle w:val="TableText"/>
              <w:spacing w:before="40" w:after="40"/>
              <w:jc w:val="center"/>
              <w:rPr>
                <w:rFonts w:cs="Calibri"/>
                <w:szCs w:val="18"/>
              </w:rPr>
            </w:pPr>
            <w:r w:rsidRPr="007837CC">
              <w:rPr>
                <w:rFonts w:cs="Calibri"/>
                <w:szCs w:val="18"/>
              </w:rPr>
              <w:t>2.4</w:t>
            </w:r>
          </w:p>
        </w:tc>
        <w:tc>
          <w:tcPr>
            <w:tcW w:w="847" w:type="dxa"/>
            <w:shd w:val="clear" w:color="auto" w:fill="auto"/>
            <w:noWrap/>
            <w:vAlign w:val="bottom"/>
            <w:hideMark/>
          </w:tcPr>
          <w:p w14:paraId="5690477B" w14:textId="77777777" w:rsidR="009D4B25" w:rsidRPr="007837CC" w:rsidRDefault="009D4B25" w:rsidP="002D6DC4">
            <w:pPr>
              <w:pStyle w:val="TableText"/>
              <w:spacing w:before="40" w:after="40"/>
              <w:jc w:val="center"/>
              <w:rPr>
                <w:rFonts w:cs="Calibri"/>
                <w:szCs w:val="18"/>
              </w:rPr>
            </w:pPr>
            <w:r w:rsidRPr="007837CC">
              <w:rPr>
                <w:rFonts w:cs="Calibri"/>
                <w:szCs w:val="18"/>
              </w:rPr>
              <w:t>3.1</w:t>
            </w:r>
          </w:p>
        </w:tc>
        <w:tc>
          <w:tcPr>
            <w:tcW w:w="847" w:type="dxa"/>
            <w:shd w:val="clear" w:color="auto" w:fill="auto"/>
            <w:noWrap/>
            <w:vAlign w:val="bottom"/>
            <w:hideMark/>
          </w:tcPr>
          <w:p w14:paraId="781317CA" w14:textId="77777777" w:rsidR="009D4B25" w:rsidRPr="007837CC" w:rsidRDefault="009D4B25" w:rsidP="002D6DC4">
            <w:pPr>
              <w:pStyle w:val="TableText"/>
              <w:spacing w:before="40" w:after="40"/>
              <w:jc w:val="center"/>
              <w:rPr>
                <w:rFonts w:cs="Calibri"/>
                <w:szCs w:val="18"/>
              </w:rPr>
            </w:pPr>
            <w:r w:rsidRPr="007837CC">
              <w:rPr>
                <w:rFonts w:cs="Calibri"/>
                <w:szCs w:val="18"/>
              </w:rPr>
              <w:t>4.7</w:t>
            </w:r>
          </w:p>
        </w:tc>
        <w:tc>
          <w:tcPr>
            <w:tcW w:w="847" w:type="dxa"/>
            <w:shd w:val="clear" w:color="auto" w:fill="auto"/>
            <w:noWrap/>
            <w:vAlign w:val="bottom"/>
            <w:hideMark/>
          </w:tcPr>
          <w:p w14:paraId="0F84A5FC" w14:textId="77777777" w:rsidR="009D4B25" w:rsidRPr="007837CC" w:rsidRDefault="009D4B25" w:rsidP="002D6DC4">
            <w:pPr>
              <w:pStyle w:val="TableText"/>
              <w:spacing w:before="40" w:after="40"/>
              <w:jc w:val="center"/>
              <w:rPr>
                <w:rFonts w:cs="Calibri"/>
                <w:szCs w:val="18"/>
              </w:rPr>
            </w:pPr>
            <w:r w:rsidRPr="007837CC">
              <w:rPr>
                <w:rFonts w:cs="Calibri"/>
                <w:szCs w:val="18"/>
              </w:rPr>
              <w:t>6.2</w:t>
            </w:r>
          </w:p>
        </w:tc>
        <w:tc>
          <w:tcPr>
            <w:tcW w:w="847" w:type="dxa"/>
            <w:shd w:val="clear" w:color="auto" w:fill="auto"/>
            <w:noWrap/>
            <w:vAlign w:val="bottom"/>
            <w:hideMark/>
          </w:tcPr>
          <w:p w14:paraId="6EE062ED" w14:textId="77777777" w:rsidR="009D4B25" w:rsidRPr="007837CC" w:rsidRDefault="009D4B25" w:rsidP="002D6DC4">
            <w:pPr>
              <w:pStyle w:val="TableText"/>
              <w:spacing w:before="40" w:after="40"/>
              <w:jc w:val="center"/>
              <w:rPr>
                <w:rFonts w:cs="Calibri"/>
                <w:szCs w:val="18"/>
              </w:rPr>
            </w:pPr>
            <w:r w:rsidRPr="007837CC">
              <w:rPr>
                <w:rFonts w:cs="Calibri"/>
                <w:szCs w:val="18"/>
              </w:rPr>
              <w:t>7.8</w:t>
            </w:r>
          </w:p>
        </w:tc>
      </w:tr>
      <w:tr w:rsidR="009D4B25" w:rsidRPr="007837CC" w14:paraId="01BB45B0" w14:textId="77777777" w:rsidTr="00B4279E">
        <w:tc>
          <w:tcPr>
            <w:tcW w:w="1079" w:type="dxa"/>
            <w:vMerge w:val="restart"/>
            <w:shd w:val="clear" w:color="auto" w:fill="auto"/>
            <w:noWrap/>
            <w:vAlign w:val="center"/>
            <w:hideMark/>
          </w:tcPr>
          <w:p w14:paraId="0098872C" w14:textId="77777777" w:rsidR="009D4B25" w:rsidRPr="007837CC" w:rsidRDefault="009D4B25" w:rsidP="002D6DC4">
            <w:pPr>
              <w:pStyle w:val="TableText"/>
              <w:spacing w:before="40" w:after="40"/>
              <w:rPr>
                <w:rFonts w:cs="Calibri"/>
                <w:szCs w:val="18"/>
              </w:rPr>
            </w:pPr>
            <w:r w:rsidRPr="007837CC">
              <w:rPr>
                <w:rFonts w:cs="Calibri"/>
                <w:szCs w:val="18"/>
              </w:rPr>
              <w:t>Low impact</w:t>
            </w:r>
          </w:p>
        </w:tc>
        <w:tc>
          <w:tcPr>
            <w:tcW w:w="1048" w:type="dxa"/>
            <w:shd w:val="clear" w:color="auto" w:fill="auto"/>
            <w:noWrap/>
            <w:vAlign w:val="bottom"/>
            <w:hideMark/>
          </w:tcPr>
          <w:p w14:paraId="768665AB" w14:textId="77777777" w:rsidR="009D4B25" w:rsidRPr="007837CC" w:rsidRDefault="009D4B25" w:rsidP="002D6DC4">
            <w:pPr>
              <w:pStyle w:val="TableText"/>
              <w:spacing w:before="40" w:after="40"/>
              <w:rPr>
                <w:rFonts w:cs="Calibri"/>
                <w:szCs w:val="18"/>
              </w:rPr>
            </w:pPr>
            <w:r w:rsidRPr="007837CC">
              <w:rPr>
                <w:rFonts w:cs="Calibri"/>
                <w:szCs w:val="18"/>
              </w:rPr>
              <w:t>Residential</w:t>
            </w:r>
          </w:p>
        </w:tc>
        <w:tc>
          <w:tcPr>
            <w:tcW w:w="1417" w:type="dxa"/>
            <w:shd w:val="clear" w:color="auto" w:fill="auto"/>
            <w:noWrap/>
            <w:vAlign w:val="bottom"/>
            <w:hideMark/>
          </w:tcPr>
          <w:p w14:paraId="1CF7444A" w14:textId="77777777" w:rsidR="009D4B25" w:rsidRPr="007837CC" w:rsidRDefault="009D4B25" w:rsidP="002D6DC4">
            <w:pPr>
              <w:pStyle w:val="TableText"/>
              <w:spacing w:before="40" w:after="40"/>
              <w:jc w:val="center"/>
              <w:rPr>
                <w:rFonts w:cs="Calibri"/>
                <w:szCs w:val="18"/>
              </w:rPr>
            </w:pPr>
            <w:r w:rsidRPr="007837CC">
              <w:rPr>
                <w:rFonts w:cs="Calibri"/>
                <w:szCs w:val="18"/>
              </w:rPr>
              <w:t>30.6</w:t>
            </w:r>
          </w:p>
        </w:tc>
        <w:tc>
          <w:tcPr>
            <w:tcW w:w="851" w:type="dxa"/>
            <w:shd w:val="clear" w:color="auto" w:fill="auto"/>
            <w:noWrap/>
            <w:vAlign w:val="bottom"/>
            <w:hideMark/>
          </w:tcPr>
          <w:p w14:paraId="550390F1" w14:textId="77777777" w:rsidR="009D4B25" w:rsidRPr="007837CC" w:rsidRDefault="009D4B25" w:rsidP="002D6DC4">
            <w:pPr>
              <w:pStyle w:val="TableText"/>
              <w:spacing w:before="40" w:after="40"/>
              <w:jc w:val="center"/>
              <w:rPr>
                <w:rFonts w:cs="Calibri"/>
                <w:szCs w:val="18"/>
              </w:rPr>
            </w:pPr>
            <w:r w:rsidRPr="007837CC">
              <w:rPr>
                <w:rFonts w:cs="Calibri"/>
                <w:szCs w:val="18"/>
              </w:rPr>
              <w:t>1.1</w:t>
            </w:r>
          </w:p>
        </w:tc>
        <w:tc>
          <w:tcPr>
            <w:tcW w:w="722" w:type="dxa"/>
            <w:shd w:val="clear" w:color="auto" w:fill="auto"/>
            <w:noWrap/>
            <w:vAlign w:val="bottom"/>
            <w:hideMark/>
          </w:tcPr>
          <w:p w14:paraId="04DC4106" w14:textId="77777777" w:rsidR="009D4B25" w:rsidRPr="007837CC" w:rsidRDefault="009D4B25" w:rsidP="002D6DC4">
            <w:pPr>
              <w:pStyle w:val="TableText"/>
              <w:spacing w:before="40" w:after="40"/>
              <w:jc w:val="center"/>
              <w:rPr>
                <w:rFonts w:cs="Calibri"/>
                <w:szCs w:val="18"/>
              </w:rPr>
            </w:pPr>
            <w:r w:rsidRPr="007837CC">
              <w:rPr>
                <w:rFonts w:cs="Calibri"/>
                <w:szCs w:val="18"/>
              </w:rPr>
              <w:t>1.7</w:t>
            </w:r>
          </w:p>
        </w:tc>
        <w:tc>
          <w:tcPr>
            <w:tcW w:w="847" w:type="dxa"/>
            <w:shd w:val="clear" w:color="auto" w:fill="auto"/>
            <w:noWrap/>
            <w:vAlign w:val="bottom"/>
            <w:hideMark/>
          </w:tcPr>
          <w:p w14:paraId="10B743FF" w14:textId="77777777" w:rsidR="009D4B25" w:rsidRPr="007837CC" w:rsidRDefault="009D4B25" w:rsidP="002D6DC4">
            <w:pPr>
              <w:pStyle w:val="TableText"/>
              <w:spacing w:before="40" w:after="40"/>
              <w:jc w:val="center"/>
              <w:rPr>
                <w:rFonts w:cs="Calibri"/>
                <w:szCs w:val="18"/>
              </w:rPr>
            </w:pPr>
            <w:r w:rsidRPr="007837CC">
              <w:rPr>
                <w:rFonts w:cs="Calibri"/>
                <w:szCs w:val="18"/>
              </w:rPr>
              <w:t>2.2</w:t>
            </w:r>
          </w:p>
        </w:tc>
        <w:tc>
          <w:tcPr>
            <w:tcW w:w="847" w:type="dxa"/>
            <w:shd w:val="clear" w:color="auto" w:fill="auto"/>
            <w:noWrap/>
            <w:vAlign w:val="bottom"/>
            <w:hideMark/>
          </w:tcPr>
          <w:p w14:paraId="61B845AE" w14:textId="77777777" w:rsidR="009D4B25" w:rsidRPr="007837CC" w:rsidRDefault="009D4B25" w:rsidP="002D6DC4">
            <w:pPr>
              <w:pStyle w:val="TableText"/>
              <w:spacing w:before="40" w:after="40"/>
              <w:jc w:val="center"/>
              <w:rPr>
                <w:rFonts w:cs="Calibri"/>
                <w:szCs w:val="18"/>
              </w:rPr>
            </w:pPr>
            <w:r w:rsidRPr="007837CC">
              <w:rPr>
                <w:rFonts w:cs="Calibri"/>
                <w:szCs w:val="18"/>
              </w:rPr>
              <w:t>3.3</w:t>
            </w:r>
          </w:p>
        </w:tc>
        <w:tc>
          <w:tcPr>
            <w:tcW w:w="847" w:type="dxa"/>
            <w:shd w:val="clear" w:color="auto" w:fill="auto"/>
            <w:noWrap/>
            <w:vAlign w:val="bottom"/>
            <w:hideMark/>
          </w:tcPr>
          <w:p w14:paraId="75561F51" w14:textId="77777777" w:rsidR="009D4B25" w:rsidRPr="007837CC" w:rsidRDefault="009D4B25" w:rsidP="002D6DC4">
            <w:pPr>
              <w:pStyle w:val="TableText"/>
              <w:spacing w:before="40" w:after="40"/>
              <w:jc w:val="center"/>
              <w:rPr>
                <w:rFonts w:cs="Calibri"/>
                <w:szCs w:val="18"/>
              </w:rPr>
            </w:pPr>
            <w:r w:rsidRPr="007837CC">
              <w:rPr>
                <w:rFonts w:cs="Calibri"/>
                <w:szCs w:val="18"/>
              </w:rPr>
              <w:t>4.4</w:t>
            </w:r>
          </w:p>
        </w:tc>
        <w:tc>
          <w:tcPr>
            <w:tcW w:w="847" w:type="dxa"/>
            <w:shd w:val="clear" w:color="auto" w:fill="auto"/>
            <w:noWrap/>
            <w:vAlign w:val="bottom"/>
            <w:hideMark/>
          </w:tcPr>
          <w:p w14:paraId="03FC50FA" w14:textId="77777777" w:rsidR="009D4B25" w:rsidRPr="007837CC" w:rsidRDefault="009D4B25" w:rsidP="002D6DC4">
            <w:pPr>
              <w:pStyle w:val="TableText"/>
              <w:spacing w:before="40" w:after="40"/>
              <w:jc w:val="center"/>
              <w:rPr>
                <w:rFonts w:cs="Calibri"/>
                <w:szCs w:val="18"/>
              </w:rPr>
            </w:pPr>
            <w:r w:rsidRPr="007837CC">
              <w:rPr>
                <w:rFonts w:cs="Calibri"/>
                <w:szCs w:val="18"/>
              </w:rPr>
              <w:t>5.5</w:t>
            </w:r>
          </w:p>
        </w:tc>
      </w:tr>
      <w:tr w:rsidR="009D4B25" w:rsidRPr="007837CC" w14:paraId="1EA3D2BD" w14:textId="77777777" w:rsidTr="00B4279E">
        <w:tc>
          <w:tcPr>
            <w:tcW w:w="1079" w:type="dxa"/>
            <w:vMerge/>
            <w:vAlign w:val="center"/>
            <w:hideMark/>
          </w:tcPr>
          <w:p w14:paraId="086D33A1" w14:textId="77777777" w:rsidR="009D4B25" w:rsidRPr="007837CC" w:rsidRDefault="009D4B25" w:rsidP="002D6DC4">
            <w:pPr>
              <w:pStyle w:val="TableText"/>
              <w:spacing w:before="40" w:after="40"/>
              <w:rPr>
                <w:rFonts w:cs="Calibri"/>
                <w:szCs w:val="18"/>
              </w:rPr>
            </w:pPr>
          </w:p>
        </w:tc>
        <w:tc>
          <w:tcPr>
            <w:tcW w:w="1048" w:type="dxa"/>
            <w:shd w:val="clear" w:color="auto" w:fill="auto"/>
            <w:noWrap/>
            <w:vAlign w:val="bottom"/>
            <w:hideMark/>
          </w:tcPr>
          <w:p w14:paraId="60624DED" w14:textId="77777777" w:rsidR="009D4B25" w:rsidRPr="007837CC" w:rsidRDefault="009D4B25" w:rsidP="002D6DC4">
            <w:pPr>
              <w:pStyle w:val="TableText"/>
              <w:spacing w:before="40" w:after="40"/>
              <w:rPr>
                <w:rFonts w:cs="Calibri"/>
                <w:szCs w:val="18"/>
              </w:rPr>
            </w:pPr>
            <w:r w:rsidRPr="007837CC">
              <w:rPr>
                <w:rFonts w:cs="Calibri"/>
                <w:szCs w:val="18"/>
              </w:rPr>
              <w:t xml:space="preserve">Commercial </w:t>
            </w:r>
          </w:p>
        </w:tc>
        <w:tc>
          <w:tcPr>
            <w:tcW w:w="1417" w:type="dxa"/>
            <w:shd w:val="clear" w:color="auto" w:fill="auto"/>
            <w:noWrap/>
            <w:vAlign w:val="bottom"/>
            <w:hideMark/>
          </w:tcPr>
          <w:p w14:paraId="365474E6" w14:textId="77777777" w:rsidR="009D4B25" w:rsidRPr="007837CC" w:rsidRDefault="009D4B25" w:rsidP="002D6DC4">
            <w:pPr>
              <w:pStyle w:val="TableText"/>
              <w:spacing w:before="40" w:after="40"/>
              <w:jc w:val="center"/>
              <w:rPr>
                <w:rFonts w:cs="Calibri"/>
                <w:szCs w:val="18"/>
              </w:rPr>
            </w:pPr>
            <w:r w:rsidRPr="007837CC">
              <w:rPr>
                <w:rFonts w:cs="Calibri"/>
                <w:szCs w:val="18"/>
              </w:rPr>
              <w:t>18.5</w:t>
            </w:r>
          </w:p>
        </w:tc>
        <w:tc>
          <w:tcPr>
            <w:tcW w:w="851" w:type="dxa"/>
            <w:shd w:val="clear" w:color="auto" w:fill="auto"/>
            <w:noWrap/>
            <w:vAlign w:val="bottom"/>
            <w:hideMark/>
          </w:tcPr>
          <w:p w14:paraId="6115771E" w14:textId="77777777" w:rsidR="009D4B25" w:rsidRPr="007837CC" w:rsidRDefault="009D4B25" w:rsidP="002D6DC4">
            <w:pPr>
              <w:pStyle w:val="TableText"/>
              <w:spacing w:before="40" w:after="40"/>
              <w:jc w:val="center"/>
              <w:rPr>
                <w:rFonts w:cs="Calibri"/>
                <w:szCs w:val="18"/>
              </w:rPr>
            </w:pPr>
            <w:r w:rsidRPr="007837CC">
              <w:rPr>
                <w:rFonts w:cs="Calibri"/>
                <w:szCs w:val="18"/>
              </w:rPr>
              <w:t>1.0</w:t>
            </w:r>
          </w:p>
        </w:tc>
        <w:tc>
          <w:tcPr>
            <w:tcW w:w="722" w:type="dxa"/>
            <w:shd w:val="clear" w:color="auto" w:fill="auto"/>
            <w:noWrap/>
            <w:vAlign w:val="bottom"/>
            <w:hideMark/>
          </w:tcPr>
          <w:p w14:paraId="0F879264" w14:textId="77777777" w:rsidR="009D4B25" w:rsidRPr="007837CC" w:rsidRDefault="009D4B25" w:rsidP="002D6DC4">
            <w:pPr>
              <w:pStyle w:val="TableText"/>
              <w:spacing w:before="40" w:after="40"/>
              <w:jc w:val="center"/>
              <w:rPr>
                <w:rFonts w:cs="Calibri"/>
                <w:szCs w:val="18"/>
              </w:rPr>
            </w:pPr>
            <w:r w:rsidRPr="007837CC">
              <w:rPr>
                <w:rFonts w:cs="Calibri"/>
                <w:szCs w:val="18"/>
              </w:rPr>
              <w:t>1.5</w:t>
            </w:r>
          </w:p>
        </w:tc>
        <w:tc>
          <w:tcPr>
            <w:tcW w:w="847" w:type="dxa"/>
            <w:shd w:val="clear" w:color="auto" w:fill="auto"/>
            <w:noWrap/>
            <w:vAlign w:val="bottom"/>
            <w:hideMark/>
          </w:tcPr>
          <w:p w14:paraId="5F07CDA9" w14:textId="77777777" w:rsidR="009D4B25" w:rsidRPr="007837CC" w:rsidRDefault="009D4B25" w:rsidP="002D6DC4">
            <w:pPr>
              <w:pStyle w:val="TableText"/>
              <w:spacing w:before="40" w:after="40"/>
              <w:jc w:val="center"/>
              <w:rPr>
                <w:rFonts w:cs="Calibri"/>
                <w:szCs w:val="18"/>
              </w:rPr>
            </w:pPr>
            <w:r w:rsidRPr="007837CC">
              <w:rPr>
                <w:rFonts w:cs="Calibri"/>
                <w:szCs w:val="18"/>
              </w:rPr>
              <w:t>1.9</w:t>
            </w:r>
          </w:p>
        </w:tc>
        <w:tc>
          <w:tcPr>
            <w:tcW w:w="847" w:type="dxa"/>
            <w:shd w:val="clear" w:color="auto" w:fill="auto"/>
            <w:noWrap/>
            <w:vAlign w:val="bottom"/>
            <w:hideMark/>
          </w:tcPr>
          <w:p w14:paraId="4969A33C" w14:textId="77777777" w:rsidR="009D4B25" w:rsidRPr="007837CC" w:rsidRDefault="009D4B25" w:rsidP="002D6DC4">
            <w:pPr>
              <w:pStyle w:val="TableText"/>
              <w:spacing w:before="40" w:after="40"/>
              <w:jc w:val="center"/>
              <w:rPr>
                <w:rFonts w:cs="Calibri"/>
                <w:szCs w:val="18"/>
              </w:rPr>
            </w:pPr>
            <w:r w:rsidRPr="007837CC">
              <w:rPr>
                <w:rFonts w:cs="Calibri"/>
                <w:szCs w:val="18"/>
              </w:rPr>
              <w:t>2.9</w:t>
            </w:r>
          </w:p>
        </w:tc>
        <w:tc>
          <w:tcPr>
            <w:tcW w:w="847" w:type="dxa"/>
            <w:shd w:val="clear" w:color="auto" w:fill="auto"/>
            <w:noWrap/>
            <w:vAlign w:val="bottom"/>
            <w:hideMark/>
          </w:tcPr>
          <w:p w14:paraId="74A822A4" w14:textId="77777777" w:rsidR="009D4B25" w:rsidRPr="007837CC" w:rsidRDefault="009D4B25" w:rsidP="002D6DC4">
            <w:pPr>
              <w:pStyle w:val="TableText"/>
              <w:spacing w:before="40" w:after="40"/>
              <w:jc w:val="center"/>
              <w:rPr>
                <w:rFonts w:cs="Calibri"/>
                <w:szCs w:val="18"/>
              </w:rPr>
            </w:pPr>
            <w:r w:rsidRPr="007837CC">
              <w:rPr>
                <w:rFonts w:cs="Calibri"/>
                <w:szCs w:val="18"/>
              </w:rPr>
              <w:t>3.8</w:t>
            </w:r>
          </w:p>
        </w:tc>
        <w:tc>
          <w:tcPr>
            <w:tcW w:w="847" w:type="dxa"/>
            <w:shd w:val="clear" w:color="auto" w:fill="auto"/>
            <w:noWrap/>
            <w:vAlign w:val="bottom"/>
            <w:hideMark/>
          </w:tcPr>
          <w:p w14:paraId="7145D25B" w14:textId="77777777" w:rsidR="009D4B25" w:rsidRPr="007837CC" w:rsidRDefault="009D4B25" w:rsidP="002D6DC4">
            <w:pPr>
              <w:pStyle w:val="TableText"/>
              <w:spacing w:before="40" w:after="40"/>
              <w:jc w:val="center"/>
              <w:rPr>
                <w:rFonts w:cs="Calibri"/>
                <w:szCs w:val="18"/>
              </w:rPr>
            </w:pPr>
            <w:r w:rsidRPr="007837CC">
              <w:rPr>
                <w:rFonts w:cs="Calibri"/>
                <w:szCs w:val="18"/>
              </w:rPr>
              <w:t>4.8</w:t>
            </w:r>
          </w:p>
        </w:tc>
      </w:tr>
      <w:tr w:rsidR="009D4B25" w:rsidRPr="007837CC" w14:paraId="3BBEAC5C" w14:textId="77777777" w:rsidTr="00B4279E">
        <w:tc>
          <w:tcPr>
            <w:tcW w:w="1079" w:type="dxa"/>
            <w:vMerge/>
            <w:vAlign w:val="center"/>
            <w:hideMark/>
          </w:tcPr>
          <w:p w14:paraId="0DD862DF" w14:textId="77777777" w:rsidR="009D4B25" w:rsidRPr="007837CC" w:rsidRDefault="009D4B25" w:rsidP="002D6DC4">
            <w:pPr>
              <w:pStyle w:val="TableText"/>
              <w:spacing w:before="40" w:after="40"/>
              <w:rPr>
                <w:rFonts w:cs="Calibri"/>
                <w:szCs w:val="18"/>
              </w:rPr>
            </w:pPr>
          </w:p>
        </w:tc>
        <w:tc>
          <w:tcPr>
            <w:tcW w:w="1048" w:type="dxa"/>
            <w:shd w:val="clear" w:color="auto" w:fill="auto"/>
            <w:noWrap/>
            <w:vAlign w:val="bottom"/>
            <w:hideMark/>
          </w:tcPr>
          <w:p w14:paraId="4155C00E" w14:textId="77777777" w:rsidR="009D4B25" w:rsidRPr="007837CC" w:rsidRDefault="009D4B25" w:rsidP="002D6DC4">
            <w:pPr>
              <w:pStyle w:val="TableText"/>
              <w:spacing w:before="40" w:after="40"/>
              <w:rPr>
                <w:rFonts w:cs="Calibri"/>
                <w:szCs w:val="18"/>
              </w:rPr>
            </w:pPr>
            <w:r w:rsidRPr="007837CC">
              <w:rPr>
                <w:rFonts w:cs="Calibri"/>
                <w:szCs w:val="18"/>
              </w:rPr>
              <w:t>Industrial</w:t>
            </w:r>
          </w:p>
        </w:tc>
        <w:tc>
          <w:tcPr>
            <w:tcW w:w="1417" w:type="dxa"/>
            <w:shd w:val="clear" w:color="auto" w:fill="auto"/>
            <w:noWrap/>
            <w:vAlign w:val="bottom"/>
            <w:hideMark/>
          </w:tcPr>
          <w:p w14:paraId="11B5B806" w14:textId="77777777" w:rsidR="009D4B25" w:rsidRPr="007837CC" w:rsidRDefault="009D4B25" w:rsidP="002D6DC4">
            <w:pPr>
              <w:pStyle w:val="TableText"/>
              <w:spacing w:before="40" w:after="40"/>
              <w:jc w:val="center"/>
              <w:rPr>
                <w:rFonts w:cs="Calibri"/>
                <w:szCs w:val="18"/>
              </w:rPr>
            </w:pPr>
            <w:r w:rsidRPr="007837CC">
              <w:rPr>
                <w:rFonts w:cs="Calibri"/>
                <w:szCs w:val="18"/>
              </w:rPr>
              <w:t>17.1</w:t>
            </w:r>
          </w:p>
        </w:tc>
        <w:tc>
          <w:tcPr>
            <w:tcW w:w="851" w:type="dxa"/>
            <w:shd w:val="clear" w:color="auto" w:fill="auto"/>
            <w:noWrap/>
            <w:vAlign w:val="bottom"/>
            <w:hideMark/>
          </w:tcPr>
          <w:p w14:paraId="036176FB" w14:textId="77777777" w:rsidR="009D4B25" w:rsidRPr="007837CC" w:rsidRDefault="009D4B25" w:rsidP="002D6DC4">
            <w:pPr>
              <w:pStyle w:val="TableText"/>
              <w:spacing w:before="40" w:after="40"/>
              <w:jc w:val="center"/>
              <w:rPr>
                <w:rFonts w:cs="Calibri"/>
                <w:szCs w:val="18"/>
              </w:rPr>
            </w:pPr>
            <w:r w:rsidRPr="007837CC">
              <w:rPr>
                <w:rFonts w:cs="Calibri"/>
                <w:szCs w:val="18"/>
              </w:rPr>
              <w:t>0.9</w:t>
            </w:r>
          </w:p>
        </w:tc>
        <w:tc>
          <w:tcPr>
            <w:tcW w:w="722" w:type="dxa"/>
            <w:shd w:val="clear" w:color="auto" w:fill="auto"/>
            <w:noWrap/>
            <w:vAlign w:val="bottom"/>
            <w:hideMark/>
          </w:tcPr>
          <w:p w14:paraId="4D1E2285" w14:textId="77777777" w:rsidR="009D4B25" w:rsidRPr="007837CC" w:rsidRDefault="009D4B25" w:rsidP="002D6DC4">
            <w:pPr>
              <w:pStyle w:val="TableText"/>
              <w:spacing w:before="40" w:after="40"/>
              <w:jc w:val="center"/>
              <w:rPr>
                <w:rFonts w:cs="Calibri"/>
                <w:szCs w:val="18"/>
              </w:rPr>
            </w:pPr>
            <w:r w:rsidRPr="007837CC">
              <w:rPr>
                <w:rFonts w:cs="Calibri"/>
                <w:szCs w:val="18"/>
              </w:rPr>
              <w:t>1.4</w:t>
            </w:r>
          </w:p>
        </w:tc>
        <w:tc>
          <w:tcPr>
            <w:tcW w:w="847" w:type="dxa"/>
            <w:shd w:val="clear" w:color="auto" w:fill="auto"/>
            <w:noWrap/>
            <w:vAlign w:val="bottom"/>
            <w:hideMark/>
          </w:tcPr>
          <w:p w14:paraId="181F3005" w14:textId="77777777" w:rsidR="009D4B25" w:rsidRPr="007837CC" w:rsidRDefault="009D4B25" w:rsidP="002D6DC4">
            <w:pPr>
              <w:pStyle w:val="TableText"/>
              <w:spacing w:before="40" w:after="40"/>
              <w:jc w:val="center"/>
              <w:rPr>
                <w:rFonts w:cs="Calibri"/>
                <w:szCs w:val="18"/>
              </w:rPr>
            </w:pPr>
            <w:r w:rsidRPr="007837CC">
              <w:rPr>
                <w:rFonts w:cs="Calibri"/>
                <w:szCs w:val="18"/>
              </w:rPr>
              <w:t>1.8</w:t>
            </w:r>
          </w:p>
        </w:tc>
        <w:tc>
          <w:tcPr>
            <w:tcW w:w="847" w:type="dxa"/>
            <w:shd w:val="clear" w:color="auto" w:fill="auto"/>
            <w:noWrap/>
            <w:vAlign w:val="bottom"/>
            <w:hideMark/>
          </w:tcPr>
          <w:p w14:paraId="7F81F246" w14:textId="77777777" w:rsidR="009D4B25" w:rsidRPr="007837CC" w:rsidRDefault="009D4B25" w:rsidP="002D6DC4">
            <w:pPr>
              <w:pStyle w:val="TableText"/>
              <w:spacing w:before="40" w:after="40"/>
              <w:jc w:val="center"/>
              <w:rPr>
                <w:rFonts w:cs="Calibri"/>
                <w:szCs w:val="18"/>
              </w:rPr>
            </w:pPr>
            <w:r w:rsidRPr="007837CC">
              <w:rPr>
                <w:rFonts w:cs="Calibri"/>
                <w:szCs w:val="18"/>
              </w:rPr>
              <w:t>2.7</w:t>
            </w:r>
          </w:p>
        </w:tc>
        <w:tc>
          <w:tcPr>
            <w:tcW w:w="847" w:type="dxa"/>
            <w:shd w:val="clear" w:color="auto" w:fill="auto"/>
            <w:noWrap/>
            <w:vAlign w:val="bottom"/>
            <w:hideMark/>
          </w:tcPr>
          <w:p w14:paraId="37386C0E" w14:textId="77777777" w:rsidR="009D4B25" w:rsidRPr="007837CC" w:rsidRDefault="009D4B25" w:rsidP="002D6DC4">
            <w:pPr>
              <w:pStyle w:val="TableText"/>
              <w:spacing w:before="40" w:after="40"/>
              <w:jc w:val="center"/>
              <w:rPr>
                <w:rFonts w:cs="Calibri"/>
                <w:szCs w:val="18"/>
              </w:rPr>
            </w:pPr>
            <w:r w:rsidRPr="007837CC">
              <w:rPr>
                <w:rFonts w:cs="Calibri"/>
                <w:szCs w:val="18"/>
              </w:rPr>
              <w:t>3.6</w:t>
            </w:r>
          </w:p>
        </w:tc>
        <w:tc>
          <w:tcPr>
            <w:tcW w:w="847" w:type="dxa"/>
            <w:shd w:val="clear" w:color="auto" w:fill="auto"/>
            <w:noWrap/>
            <w:vAlign w:val="bottom"/>
            <w:hideMark/>
          </w:tcPr>
          <w:p w14:paraId="0A961C0C" w14:textId="77777777" w:rsidR="009D4B25" w:rsidRPr="007837CC" w:rsidRDefault="009D4B25" w:rsidP="002D6DC4">
            <w:pPr>
              <w:pStyle w:val="TableText"/>
              <w:spacing w:before="40" w:after="40"/>
              <w:jc w:val="center"/>
              <w:rPr>
                <w:rFonts w:cs="Calibri"/>
                <w:szCs w:val="18"/>
              </w:rPr>
            </w:pPr>
            <w:r w:rsidRPr="007837CC">
              <w:rPr>
                <w:rFonts w:cs="Calibri"/>
                <w:szCs w:val="18"/>
              </w:rPr>
              <w:t>4.5</w:t>
            </w:r>
          </w:p>
        </w:tc>
      </w:tr>
    </w:tbl>
    <w:p w14:paraId="6D32D9C6" w14:textId="29C8F460" w:rsidR="009074C4" w:rsidRPr="007837CC" w:rsidRDefault="001417AC" w:rsidP="00B4279E">
      <w:pPr>
        <w:pStyle w:val="Note"/>
        <w:spacing w:before="120"/>
      </w:pPr>
      <w:r w:rsidRPr="007837CC">
        <w:t>Note: c/kWh = cost per kilowatt hour.</w:t>
      </w:r>
    </w:p>
    <w:p w14:paraId="4EC5A2C3" w14:textId="4FB97974" w:rsidR="007050EF" w:rsidRPr="007837CC" w:rsidRDefault="007050EF" w:rsidP="00B80899">
      <w:pPr>
        <w:pStyle w:val="BodyText"/>
      </w:pPr>
      <w:r w:rsidRPr="007837CC">
        <w:t xml:space="preserve">The </w:t>
      </w:r>
      <w:r w:rsidR="004D0686" w:rsidRPr="007837CC">
        <w:t xml:space="preserve">Commission has used the </w:t>
      </w:r>
      <w:r w:rsidRPr="007837CC">
        <w:t xml:space="preserve">same work </w:t>
      </w:r>
      <w:r w:rsidR="004D0686" w:rsidRPr="007837CC">
        <w:t>from</w:t>
      </w:r>
      <w:r w:rsidR="001417AC" w:rsidRPr="007837CC">
        <w:t xml:space="preserve"> the</w:t>
      </w:r>
      <w:r w:rsidR="004D0686" w:rsidRPr="007837CC">
        <w:t xml:space="preserve"> Treasury </w:t>
      </w:r>
      <w:r w:rsidRPr="007837CC">
        <w:t xml:space="preserve">to </w:t>
      </w:r>
      <w:r w:rsidR="004D0686" w:rsidRPr="007837CC">
        <w:t xml:space="preserve">predict the </w:t>
      </w:r>
      <w:r w:rsidRPr="007837CC">
        <w:t xml:space="preserve">impacts </w:t>
      </w:r>
      <w:r w:rsidR="004D0686" w:rsidRPr="007837CC">
        <w:t>of emissions prices on the prices of</w:t>
      </w:r>
      <w:r w:rsidRPr="007837CC">
        <w:t xml:space="preserve"> fossil gas, diesel, </w:t>
      </w:r>
      <w:proofErr w:type="gramStart"/>
      <w:r w:rsidRPr="007837CC">
        <w:t>petrol</w:t>
      </w:r>
      <w:proofErr w:type="gramEnd"/>
      <w:r w:rsidRPr="007837CC">
        <w:t xml:space="preserve"> and </w:t>
      </w:r>
      <w:r w:rsidR="004E58F9" w:rsidRPr="007837CC">
        <w:t>coal</w:t>
      </w:r>
      <w:r w:rsidR="004D0686" w:rsidRPr="007837CC">
        <w:t xml:space="preserve"> (table </w:t>
      </w:r>
      <w:r w:rsidR="00C21466" w:rsidRPr="007837CC">
        <w:t>22</w:t>
      </w:r>
      <w:r w:rsidR="004D0686" w:rsidRPr="007837CC">
        <w:t>)</w:t>
      </w:r>
      <w:r w:rsidR="004E58F9" w:rsidRPr="007837CC">
        <w:t xml:space="preserve">. </w:t>
      </w:r>
    </w:p>
    <w:p w14:paraId="34FA44D1" w14:textId="77777777" w:rsidR="00210CBE" w:rsidRDefault="00210CBE">
      <w:pPr>
        <w:spacing w:before="0" w:after="0" w:line="240" w:lineRule="auto"/>
        <w:jc w:val="left"/>
        <w:rPr>
          <w:rFonts w:eastAsia="Calibri"/>
          <w:b/>
          <w:sz w:val="20"/>
        </w:rPr>
      </w:pPr>
      <w:bookmarkStart w:id="71" w:name="_Toc133927353"/>
      <w:r>
        <w:br w:type="page"/>
      </w:r>
    </w:p>
    <w:p w14:paraId="7A7E9D9D" w14:textId="6FCD6074" w:rsidR="005319FD" w:rsidRPr="007837CC" w:rsidRDefault="005319FD" w:rsidP="00B80899">
      <w:pPr>
        <w:pStyle w:val="Tableheading"/>
      </w:pPr>
      <w:r w:rsidRPr="007837CC">
        <w:lastRenderedPageBreak/>
        <w:t xml:space="preserve">Table </w:t>
      </w:r>
      <w:r w:rsidR="00C21466" w:rsidRPr="007837CC">
        <w:t>22</w:t>
      </w:r>
      <w:r w:rsidRPr="007837CC">
        <w:t xml:space="preserve">: </w:t>
      </w:r>
      <w:r w:rsidR="00B80899" w:rsidRPr="007837CC">
        <w:tab/>
      </w:r>
      <w:r w:rsidRPr="007837CC">
        <w:t>Impact of emissions price on</w:t>
      </w:r>
      <w:r w:rsidR="004D0686" w:rsidRPr="007837CC">
        <w:t xml:space="preserve"> the prices of</w:t>
      </w:r>
      <w:r w:rsidRPr="007837CC">
        <w:t xml:space="preserve"> fossil fuels</w:t>
      </w:r>
      <w:bookmarkEnd w:id="71"/>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1560"/>
        <w:gridCol w:w="1124"/>
        <w:gridCol w:w="1003"/>
        <w:gridCol w:w="803"/>
        <w:gridCol w:w="803"/>
        <w:gridCol w:w="803"/>
        <w:gridCol w:w="803"/>
        <w:gridCol w:w="803"/>
        <w:gridCol w:w="803"/>
      </w:tblGrid>
      <w:tr w:rsidR="00B80899" w:rsidRPr="007837CC" w14:paraId="0CB1CFCF" w14:textId="77777777" w:rsidTr="001A403A">
        <w:tc>
          <w:tcPr>
            <w:tcW w:w="1560" w:type="dxa"/>
            <w:vMerge w:val="restart"/>
            <w:tcBorders>
              <w:bottom w:val="nil"/>
              <w:right w:val="nil"/>
            </w:tcBorders>
            <w:shd w:val="clear" w:color="auto" w:fill="1B556B" w:themeFill="text2"/>
            <w:noWrap/>
            <w:vAlign w:val="bottom"/>
            <w:hideMark/>
          </w:tcPr>
          <w:p w14:paraId="737A9D77" w14:textId="3436B1BC" w:rsidR="004D0686" w:rsidRPr="007837CC" w:rsidRDefault="004D0686" w:rsidP="002D6DC4">
            <w:pPr>
              <w:pStyle w:val="TableTextbold"/>
              <w:spacing w:before="40" w:after="40"/>
              <w:rPr>
                <w:color w:val="FFFFFF" w:themeColor="background1"/>
              </w:rPr>
            </w:pPr>
            <w:r w:rsidRPr="007837CC">
              <w:rPr>
                <w:color w:val="FFFFFF" w:themeColor="background1"/>
              </w:rPr>
              <w:t>Type of fossil fuels</w:t>
            </w:r>
          </w:p>
        </w:tc>
        <w:tc>
          <w:tcPr>
            <w:tcW w:w="1124" w:type="dxa"/>
            <w:vMerge w:val="restart"/>
            <w:tcBorders>
              <w:left w:val="nil"/>
              <w:bottom w:val="nil"/>
              <w:right w:val="nil"/>
            </w:tcBorders>
            <w:shd w:val="clear" w:color="auto" w:fill="1B556B" w:themeFill="text2"/>
            <w:noWrap/>
            <w:vAlign w:val="bottom"/>
            <w:hideMark/>
          </w:tcPr>
          <w:p w14:paraId="41F7DA03" w14:textId="2E4FA21A" w:rsidR="004D0686" w:rsidRPr="007837CC" w:rsidRDefault="004D0686" w:rsidP="002D6DC4">
            <w:pPr>
              <w:pStyle w:val="TableTextbold"/>
              <w:spacing w:before="40" w:after="40"/>
              <w:rPr>
                <w:color w:val="FFFFFF" w:themeColor="background1"/>
              </w:rPr>
            </w:pPr>
            <w:r w:rsidRPr="007837CC">
              <w:rPr>
                <w:color w:val="FFFFFF" w:themeColor="background1"/>
              </w:rPr>
              <w:t>Sector</w:t>
            </w:r>
          </w:p>
        </w:tc>
        <w:tc>
          <w:tcPr>
            <w:tcW w:w="1003" w:type="dxa"/>
            <w:vMerge w:val="restart"/>
            <w:tcBorders>
              <w:left w:val="nil"/>
              <w:bottom w:val="nil"/>
              <w:right w:val="nil"/>
            </w:tcBorders>
            <w:shd w:val="clear" w:color="auto" w:fill="1B556B" w:themeFill="text2"/>
            <w:noWrap/>
            <w:vAlign w:val="bottom"/>
            <w:hideMark/>
          </w:tcPr>
          <w:p w14:paraId="5C7381A0" w14:textId="29131843" w:rsidR="004D0686" w:rsidRPr="007837CC" w:rsidRDefault="004D0686" w:rsidP="002D6DC4">
            <w:pPr>
              <w:pStyle w:val="TableTextbold"/>
              <w:spacing w:before="40" w:after="40"/>
              <w:jc w:val="center"/>
              <w:rPr>
                <w:color w:val="FFFFFF" w:themeColor="background1"/>
              </w:rPr>
            </w:pPr>
            <w:r w:rsidRPr="007837CC">
              <w:rPr>
                <w:color w:val="FFFFFF" w:themeColor="background1"/>
              </w:rPr>
              <w:t>2021 price</w:t>
            </w:r>
          </w:p>
        </w:tc>
        <w:tc>
          <w:tcPr>
            <w:tcW w:w="4818" w:type="dxa"/>
            <w:gridSpan w:val="6"/>
            <w:tcBorders>
              <w:left w:val="nil"/>
              <w:bottom w:val="nil"/>
            </w:tcBorders>
            <w:shd w:val="clear" w:color="auto" w:fill="1B556B" w:themeFill="text2"/>
            <w:noWrap/>
            <w:vAlign w:val="bottom"/>
            <w:hideMark/>
          </w:tcPr>
          <w:p w14:paraId="5640BD7A" w14:textId="77777777" w:rsidR="004D0686" w:rsidRPr="007837CC" w:rsidRDefault="004D0686" w:rsidP="002D6DC4">
            <w:pPr>
              <w:pStyle w:val="TableTextbold"/>
              <w:spacing w:before="40" w:after="40"/>
              <w:jc w:val="center"/>
              <w:rPr>
                <w:color w:val="FFFFFF" w:themeColor="background1"/>
              </w:rPr>
            </w:pPr>
            <w:r w:rsidRPr="007837CC">
              <w:rPr>
                <w:color w:val="FFFFFF" w:themeColor="background1"/>
              </w:rPr>
              <w:t>Emissions price</w:t>
            </w:r>
          </w:p>
        </w:tc>
      </w:tr>
      <w:tr w:rsidR="00B80899" w:rsidRPr="007837CC" w14:paraId="432F1809" w14:textId="77777777" w:rsidTr="001A403A">
        <w:tc>
          <w:tcPr>
            <w:tcW w:w="1560" w:type="dxa"/>
            <w:vMerge/>
            <w:tcBorders>
              <w:top w:val="nil"/>
              <w:right w:val="nil"/>
            </w:tcBorders>
            <w:shd w:val="clear" w:color="auto" w:fill="1B556B" w:themeFill="text2"/>
            <w:noWrap/>
            <w:vAlign w:val="bottom"/>
            <w:hideMark/>
          </w:tcPr>
          <w:p w14:paraId="1C7DED8D" w14:textId="6A1172C3" w:rsidR="004D0686" w:rsidRPr="007837CC" w:rsidRDefault="004D0686" w:rsidP="002D6DC4">
            <w:pPr>
              <w:pStyle w:val="TableTextbold"/>
              <w:spacing w:before="40" w:after="40"/>
              <w:rPr>
                <w:color w:val="FFFFFF" w:themeColor="background1"/>
              </w:rPr>
            </w:pPr>
          </w:p>
        </w:tc>
        <w:tc>
          <w:tcPr>
            <w:tcW w:w="1124" w:type="dxa"/>
            <w:vMerge/>
            <w:tcBorders>
              <w:top w:val="nil"/>
              <w:left w:val="nil"/>
              <w:right w:val="nil"/>
            </w:tcBorders>
            <w:shd w:val="clear" w:color="auto" w:fill="1B556B" w:themeFill="text2"/>
            <w:noWrap/>
            <w:vAlign w:val="bottom"/>
            <w:hideMark/>
          </w:tcPr>
          <w:p w14:paraId="260EFA4A" w14:textId="2BCD51DC" w:rsidR="004D0686" w:rsidRPr="007837CC" w:rsidRDefault="004D0686" w:rsidP="002D6DC4">
            <w:pPr>
              <w:pStyle w:val="TableTextbold"/>
              <w:spacing w:before="40" w:after="40"/>
              <w:rPr>
                <w:color w:val="FFFFFF" w:themeColor="background1"/>
              </w:rPr>
            </w:pPr>
          </w:p>
        </w:tc>
        <w:tc>
          <w:tcPr>
            <w:tcW w:w="1003" w:type="dxa"/>
            <w:vMerge/>
            <w:tcBorders>
              <w:top w:val="nil"/>
              <w:left w:val="nil"/>
              <w:right w:val="nil"/>
            </w:tcBorders>
            <w:shd w:val="clear" w:color="auto" w:fill="1B556B" w:themeFill="text2"/>
            <w:noWrap/>
            <w:vAlign w:val="bottom"/>
            <w:hideMark/>
          </w:tcPr>
          <w:p w14:paraId="27A4A7F9" w14:textId="5348726A" w:rsidR="004D0686" w:rsidRPr="007837CC" w:rsidRDefault="004D0686" w:rsidP="002D6DC4">
            <w:pPr>
              <w:pStyle w:val="TableTextbold"/>
              <w:spacing w:before="40" w:after="40"/>
              <w:jc w:val="center"/>
              <w:rPr>
                <w:color w:val="FFFFFF" w:themeColor="background1"/>
              </w:rPr>
            </w:pPr>
          </w:p>
        </w:tc>
        <w:tc>
          <w:tcPr>
            <w:tcW w:w="803" w:type="dxa"/>
            <w:tcBorders>
              <w:top w:val="nil"/>
              <w:left w:val="nil"/>
              <w:right w:val="nil"/>
            </w:tcBorders>
            <w:shd w:val="clear" w:color="auto" w:fill="1B556B" w:themeFill="text2"/>
            <w:vAlign w:val="bottom"/>
            <w:hideMark/>
          </w:tcPr>
          <w:p w14:paraId="72CCD30C" w14:textId="77777777" w:rsidR="004D0686" w:rsidRPr="007837CC" w:rsidRDefault="004D0686" w:rsidP="002D6DC4">
            <w:pPr>
              <w:pStyle w:val="TableTextbold"/>
              <w:spacing w:before="40" w:after="40"/>
              <w:jc w:val="center"/>
              <w:rPr>
                <w:color w:val="FFFFFF" w:themeColor="background1"/>
              </w:rPr>
            </w:pPr>
            <w:r w:rsidRPr="007837CC">
              <w:rPr>
                <w:color w:val="FFFFFF" w:themeColor="background1"/>
              </w:rPr>
              <w:t>$50</w:t>
            </w:r>
          </w:p>
        </w:tc>
        <w:tc>
          <w:tcPr>
            <w:tcW w:w="803" w:type="dxa"/>
            <w:tcBorders>
              <w:top w:val="nil"/>
              <w:left w:val="nil"/>
              <w:right w:val="nil"/>
            </w:tcBorders>
            <w:shd w:val="clear" w:color="auto" w:fill="1B556B" w:themeFill="text2"/>
            <w:vAlign w:val="bottom"/>
            <w:hideMark/>
          </w:tcPr>
          <w:p w14:paraId="36C95A29" w14:textId="77777777" w:rsidR="004D0686" w:rsidRPr="007837CC" w:rsidRDefault="004D0686" w:rsidP="002D6DC4">
            <w:pPr>
              <w:pStyle w:val="TableTextbold"/>
              <w:spacing w:before="40" w:after="40"/>
              <w:jc w:val="center"/>
              <w:rPr>
                <w:color w:val="FFFFFF" w:themeColor="background1"/>
              </w:rPr>
            </w:pPr>
            <w:r w:rsidRPr="007837CC">
              <w:rPr>
                <w:color w:val="FFFFFF" w:themeColor="background1"/>
              </w:rPr>
              <w:t>$75</w:t>
            </w:r>
          </w:p>
        </w:tc>
        <w:tc>
          <w:tcPr>
            <w:tcW w:w="803" w:type="dxa"/>
            <w:tcBorders>
              <w:top w:val="nil"/>
              <w:left w:val="nil"/>
              <w:right w:val="nil"/>
            </w:tcBorders>
            <w:shd w:val="clear" w:color="auto" w:fill="1B556B" w:themeFill="text2"/>
            <w:vAlign w:val="bottom"/>
            <w:hideMark/>
          </w:tcPr>
          <w:p w14:paraId="6594B8D3" w14:textId="77777777" w:rsidR="004D0686" w:rsidRPr="007837CC" w:rsidRDefault="004D0686" w:rsidP="002D6DC4">
            <w:pPr>
              <w:pStyle w:val="TableTextbold"/>
              <w:spacing w:before="40" w:after="40"/>
              <w:jc w:val="center"/>
              <w:rPr>
                <w:color w:val="FFFFFF" w:themeColor="background1"/>
              </w:rPr>
            </w:pPr>
            <w:r w:rsidRPr="007837CC">
              <w:rPr>
                <w:color w:val="FFFFFF" w:themeColor="background1"/>
              </w:rPr>
              <w:t>$100</w:t>
            </w:r>
          </w:p>
        </w:tc>
        <w:tc>
          <w:tcPr>
            <w:tcW w:w="803" w:type="dxa"/>
            <w:tcBorders>
              <w:top w:val="nil"/>
              <w:left w:val="nil"/>
              <w:right w:val="nil"/>
            </w:tcBorders>
            <w:shd w:val="clear" w:color="auto" w:fill="1B556B" w:themeFill="text2"/>
            <w:vAlign w:val="bottom"/>
            <w:hideMark/>
          </w:tcPr>
          <w:p w14:paraId="15836001" w14:textId="77777777" w:rsidR="004D0686" w:rsidRPr="007837CC" w:rsidRDefault="004D0686" w:rsidP="002D6DC4">
            <w:pPr>
              <w:pStyle w:val="TableTextbold"/>
              <w:spacing w:before="40" w:after="40"/>
              <w:jc w:val="center"/>
              <w:rPr>
                <w:color w:val="FFFFFF" w:themeColor="background1"/>
              </w:rPr>
            </w:pPr>
            <w:r w:rsidRPr="007837CC">
              <w:rPr>
                <w:color w:val="FFFFFF" w:themeColor="background1"/>
              </w:rPr>
              <w:t>$150</w:t>
            </w:r>
          </w:p>
        </w:tc>
        <w:tc>
          <w:tcPr>
            <w:tcW w:w="803" w:type="dxa"/>
            <w:tcBorders>
              <w:top w:val="nil"/>
              <w:left w:val="nil"/>
              <w:right w:val="nil"/>
            </w:tcBorders>
            <w:shd w:val="clear" w:color="auto" w:fill="1B556B" w:themeFill="text2"/>
            <w:vAlign w:val="bottom"/>
            <w:hideMark/>
          </w:tcPr>
          <w:p w14:paraId="6C06C8AC" w14:textId="77777777" w:rsidR="004D0686" w:rsidRPr="007837CC" w:rsidRDefault="004D0686" w:rsidP="002D6DC4">
            <w:pPr>
              <w:pStyle w:val="TableTextbold"/>
              <w:spacing w:before="40" w:after="40"/>
              <w:jc w:val="center"/>
              <w:rPr>
                <w:color w:val="FFFFFF" w:themeColor="background1"/>
              </w:rPr>
            </w:pPr>
            <w:r w:rsidRPr="007837CC">
              <w:rPr>
                <w:color w:val="FFFFFF" w:themeColor="background1"/>
              </w:rPr>
              <w:t>$200</w:t>
            </w:r>
          </w:p>
        </w:tc>
        <w:tc>
          <w:tcPr>
            <w:tcW w:w="803" w:type="dxa"/>
            <w:tcBorders>
              <w:top w:val="nil"/>
              <w:left w:val="nil"/>
            </w:tcBorders>
            <w:shd w:val="clear" w:color="auto" w:fill="1B556B" w:themeFill="text2"/>
            <w:vAlign w:val="bottom"/>
            <w:hideMark/>
          </w:tcPr>
          <w:p w14:paraId="5B4D652B" w14:textId="77777777" w:rsidR="004D0686" w:rsidRPr="007837CC" w:rsidRDefault="004D0686" w:rsidP="002D6DC4">
            <w:pPr>
              <w:pStyle w:val="TableTextbold"/>
              <w:spacing w:before="40" w:after="40"/>
              <w:jc w:val="center"/>
              <w:rPr>
                <w:color w:val="FFFFFF" w:themeColor="background1"/>
              </w:rPr>
            </w:pPr>
            <w:r w:rsidRPr="007837CC">
              <w:rPr>
                <w:color w:val="FFFFFF" w:themeColor="background1"/>
              </w:rPr>
              <w:t>$250</w:t>
            </w:r>
          </w:p>
        </w:tc>
      </w:tr>
      <w:tr w:rsidR="008E649F" w:rsidRPr="007837CC" w14:paraId="28E86349" w14:textId="77777777" w:rsidTr="001A403A">
        <w:tc>
          <w:tcPr>
            <w:tcW w:w="1560" w:type="dxa"/>
            <w:vMerge w:val="restart"/>
            <w:shd w:val="clear" w:color="auto" w:fill="auto"/>
            <w:noWrap/>
            <w:vAlign w:val="center"/>
            <w:hideMark/>
          </w:tcPr>
          <w:p w14:paraId="00B9DCF4" w14:textId="77777777" w:rsidR="008E649F" w:rsidRPr="007837CC" w:rsidRDefault="008E649F" w:rsidP="002D6DC4">
            <w:pPr>
              <w:pStyle w:val="TableText"/>
              <w:spacing w:before="40" w:after="40"/>
              <w:rPr>
                <w:rFonts w:cs="Calibri"/>
                <w:szCs w:val="18"/>
              </w:rPr>
            </w:pPr>
            <w:r w:rsidRPr="007837CC">
              <w:rPr>
                <w:rFonts w:cs="Calibri"/>
                <w:szCs w:val="18"/>
              </w:rPr>
              <w:t>Fossil gas (c/kWh)</w:t>
            </w:r>
          </w:p>
        </w:tc>
        <w:tc>
          <w:tcPr>
            <w:tcW w:w="1124" w:type="dxa"/>
            <w:shd w:val="clear" w:color="auto" w:fill="auto"/>
            <w:noWrap/>
            <w:vAlign w:val="bottom"/>
            <w:hideMark/>
          </w:tcPr>
          <w:p w14:paraId="755E1B49" w14:textId="77777777" w:rsidR="008E649F" w:rsidRPr="007837CC" w:rsidRDefault="008E649F" w:rsidP="002D6DC4">
            <w:pPr>
              <w:pStyle w:val="TableText"/>
              <w:spacing w:before="40" w:after="40"/>
              <w:rPr>
                <w:rFonts w:cs="Calibri"/>
                <w:szCs w:val="18"/>
              </w:rPr>
            </w:pPr>
            <w:r w:rsidRPr="007837CC">
              <w:rPr>
                <w:rFonts w:cs="Calibri"/>
                <w:szCs w:val="18"/>
              </w:rPr>
              <w:t>Residential</w:t>
            </w:r>
          </w:p>
        </w:tc>
        <w:tc>
          <w:tcPr>
            <w:tcW w:w="1003" w:type="dxa"/>
            <w:shd w:val="clear" w:color="auto" w:fill="auto"/>
            <w:noWrap/>
            <w:vAlign w:val="bottom"/>
            <w:hideMark/>
          </w:tcPr>
          <w:p w14:paraId="3649A486" w14:textId="77777777" w:rsidR="008E649F" w:rsidRPr="007837CC" w:rsidRDefault="008E649F" w:rsidP="002D6DC4">
            <w:pPr>
              <w:pStyle w:val="TableText"/>
              <w:spacing w:before="40" w:after="40"/>
              <w:jc w:val="center"/>
              <w:rPr>
                <w:rFonts w:cs="Calibri"/>
                <w:szCs w:val="18"/>
              </w:rPr>
            </w:pPr>
            <w:r w:rsidRPr="007837CC">
              <w:rPr>
                <w:rFonts w:cs="Calibri"/>
                <w:szCs w:val="18"/>
              </w:rPr>
              <w:t>14.7</w:t>
            </w:r>
          </w:p>
        </w:tc>
        <w:tc>
          <w:tcPr>
            <w:tcW w:w="803" w:type="dxa"/>
            <w:shd w:val="clear" w:color="auto" w:fill="auto"/>
            <w:noWrap/>
            <w:vAlign w:val="bottom"/>
            <w:hideMark/>
          </w:tcPr>
          <w:p w14:paraId="4239885D" w14:textId="77777777" w:rsidR="008E649F" w:rsidRPr="007837CC" w:rsidRDefault="008E649F" w:rsidP="002D6DC4">
            <w:pPr>
              <w:pStyle w:val="TableText"/>
              <w:spacing w:before="40" w:after="40"/>
              <w:jc w:val="center"/>
              <w:rPr>
                <w:rFonts w:cs="Calibri"/>
                <w:szCs w:val="18"/>
              </w:rPr>
            </w:pPr>
            <w:r w:rsidRPr="007837CC">
              <w:rPr>
                <w:rFonts w:cs="Calibri"/>
                <w:szCs w:val="18"/>
              </w:rPr>
              <w:t>1.2</w:t>
            </w:r>
          </w:p>
        </w:tc>
        <w:tc>
          <w:tcPr>
            <w:tcW w:w="803" w:type="dxa"/>
            <w:shd w:val="clear" w:color="auto" w:fill="auto"/>
            <w:noWrap/>
            <w:vAlign w:val="bottom"/>
            <w:hideMark/>
          </w:tcPr>
          <w:p w14:paraId="34312FE7" w14:textId="77777777" w:rsidR="008E649F" w:rsidRPr="007837CC" w:rsidRDefault="008E649F" w:rsidP="002D6DC4">
            <w:pPr>
              <w:pStyle w:val="TableText"/>
              <w:spacing w:before="40" w:after="40"/>
              <w:jc w:val="center"/>
              <w:rPr>
                <w:rFonts w:cs="Calibri"/>
                <w:szCs w:val="18"/>
              </w:rPr>
            </w:pPr>
            <w:r w:rsidRPr="007837CC">
              <w:rPr>
                <w:rFonts w:cs="Calibri"/>
                <w:szCs w:val="18"/>
              </w:rPr>
              <w:t>1.8</w:t>
            </w:r>
          </w:p>
        </w:tc>
        <w:tc>
          <w:tcPr>
            <w:tcW w:w="803" w:type="dxa"/>
            <w:shd w:val="clear" w:color="auto" w:fill="auto"/>
            <w:noWrap/>
            <w:vAlign w:val="bottom"/>
            <w:hideMark/>
          </w:tcPr>
          <w:p w14:paraId="5E077BC5" w14:textId="77777777" w:rsidR="008E649F" w:rsidRPr="007837CC" w:rsidRDefault="008E649F" w:rsidP="002D6DC4">
            <w:pPr>
              <w:pStyle w:val="TableText"/>
              <w:spacing w:before="40" w:after="40"/>
              <w:jc w:val="center"/>
              <w:rPr>
                <w:rFonts w:cs="Calibri"/>
                <w:szCs w:val="18"/>
              </w:rPr>
            </w:pPr>
            <w:r w:rsidRPr="007837CC">
              <w:rPr>
                <w:rFonts w:cs="Calibri"/>
                <w:szCs w:val="18"/>
              </w:rPr>
              <w:t>2.3</w:t>
            </w:r>
          </w:p>
        </w:tc>
        <w:tc>
          <w:tcPr>
            <w:tcW w:w="803" w:type="dxa"/>
            <w:shd w:val="clear" w:color="auto" w:fill="auto"/>
            <w:noWrap/>
            <w:vAlign w:val="bottom"/>
            <w:hideMark/>
          </w:tcPr>
          <w:p w14:paraId="60242003" w14:textId="77777777" w:rsidR="008E649F" w:rsidRPr="007837CC" w:rsidRDefault="008E649F" w:rsidP="002D6DC4">
            <w:pPr>
              <w:pStyle w:val="TableText"/>
              <w:spacing w:before="40" w:after="40"/>
              <w:jc w:val="center"/>
              <w:rPr>
                <w:rFonts w:cs="Calibri"/>
                <w:szCs w:val="18"/>
              </w:rPr>
            </w:pPr>
            <w:r w:rsidRPr="007837CC">
              <w:rPr>
                <w:rFonts w:cs="Calibri"/>
                <w:szCs w:val="18"/>
              </w:rPr>
              <w:t>3.5</w:t>
            </w:r>
          </w:p>
        </w:tc>
        <w:tc>
          <w:tcPr>
            <w:tcW w:w="803" w:type="dxa"/>
            <w:shd w:val="clear" w:color="auto" w:fill="auto"/>
            <w:noWrap/>
            <w:vAlign w:val="bottom"/>
            <w:hideMark/>
          </w:tcPr>
          <w:p w14:paraId="64ECFF0F" w14:textId="77777777" w:rsidR="008E649F" w:rsidRPr="007837CC" w:rsidRDefault="008E649F" w:rsidP="002D6DC4">
            <w:pPr>
              <w:pStyle w:val="TableText"/>
              <w:spacing w:before="40" w:after="40"/>
              <w:jc w:val="center"/>
              <w:rPr>
                <w:rFonts w:cs="Calibri"/>
                <w:szCs w:val="18"/>
              </w:rPr>
            </w:pPr>
            <w:r w:rsidRPr="007837CC">
              <w:rPr>
                <w:rFonts w:cs="Calibri"/>
                <w:szCs w:val="18"/>
              </w:rPr>
              <w:t>4.6</w:t>
            </w:r>
          </w:p>
        </w:tc>
        <w:tc>
          <w:tcPr>
            <w:tcW w:w="803" w:type="dxa"/>
            <w:shd w:val="clear" w:color="auto" w:fill="auto"/>
            <w:noWrap/>
            <w:vAlign w:val="bottom"/>
            <w:hideMark/>
          </w:tcPr>
          <w:p w14:paraId="7301D8D5" w14:textId="77777777" w:rsidR="008E649F" w:rsidRPr="007837CC" w:rsidRDefault="008E649F" w:rsidP="002D6DC4">
            <w:pPr>
              <w:pStyle w:val="TableText"/>
              <w:spacing w:before="40" w:after="40"/>
              <w:jc w:val="center"/>
              <w:rPr>
                <w:rFonts w:cs="Calibri"/>
                <w:szCs w:val="18"/>
              </w:rPr>
            </w:pPr>
            <w:r w:rsidRPr="007837CC">
              <w:rPr>
                <w:rFonts w:cs="Calibri"/>
                <w:szCs w:val="18"/>
              </w:rPr>
              <w:t>5.8</w:t>
            </w:r>
          </w:p>
        </w:tc>
      </w:tr>
      <w:tr w:rsidR="008E649F" w:rsidRPr="007837CC" w14:paraId="4DC29086" w14:textId="77777777" w:rsidTr="001A403A">
        <w:tc>
          <w:tcPr>
            <w:tcW w:w="1560" w:type="dxa"/>
            <w:vMerge/>
            <w:vAlign w:val="center"/>
            <w:hideMark/>
          </w:tcPr>
          <w:p w14:paraId="76359D64" w14:textId="77777777" w:rsidR="008E649F" w:rsidRPr="007837CC" w:rsidRDefault="008E649F" w:rsidP="002D6DC4">
            <w:pPr>
              <w:pStyle w:val="TableText"/>
              <w:spacing w:before="40" w:after="40"/>
              <w:rPr>
                <w:rFonts w:cs="Calibri"/>
                <w:szCs w:val="18"/>
              </w:rPr>
            </w:pPr>
          </w:p>
        </w:tc>
        <w:tc>
          <w:tcPr>
            <w:tcW w:w="1124" w:type="dxa"/>
            <w:shd w:val="clear" w:color="auto" w:fill="auto"/>
            <w:noWrap/>
            <w:vAlign w:val="bottom"/>
            <w:hideMark/>
          </w:tcPr>
          <w:p w14:paraId="01E3F62D" w14:textId="77777777" w:rsidR="008E649F" w:rsidRPr="007837CC" w:rsidRDefault="008E649F" w:rsidP="002D6DC4">
            <w:pPr>
              <w:pStyle w:val="TableText"/>
              <w:spacing w:before="40" w:after="40"/>
              <w:rPr>
                <w:rFonts w:cs="Calibri"/>
                <w:szCs w:val="18"/>
              </w:rPr>
            </w:pPr>
            <w:r w:rsidRPr="007837CC">
              <w:rPr>
                <w:rFonts w:cs="Calibri"/>
                <w:szCs w:val="18"/>
              </w:rPr>
              <w:t xml:space="preserve">Commercial </w:t>
            </w:r>
          </w:p>
        </w:tc>
        <w:tc>
          <w:tcPr>
            <w:tcW w:w="1003" w:type="dxa"/>
            <w:shd w:val="clear" w:color="auto" w:fill="auto"/>
            <w:noWrap/>
            <w:vAlign w:val="bottom"/>
            <w:hideMark/>
          </w:tcPr>
          <w:p w14:paraId="2167BEBE" w14:textId="77777777" w:rsidR="008E649F" w:rsidRPr="007837CC" w:rsidRDefault="008E649F" w:rsidP="002D6DC4">
            <w:pPr>
              <w:pStyle w:val="TableText"/>
              <w:spacing w:before="40" w:after="40"/>
              <w:jc w:val="center"/>
              <w:rPr>
                <w:rFonts w:cs="Calibri"/>
                <w:szCs w:val="18"/>
              </w:rPr>
            </w:pPr>
            <w:r w:rsidRPr="007837CC">
              <w:rPr>
                <w:rFonts w:cs="Calibri"/>
                <w:szCs w:val="18"/>
              </w:rPr>
              <w:t>6.6</w:t>
            </w:r>
          </w:p>
        </w:tc>
        <w:tc>
          <w:tcPr>
            <w:tcW w:w="803" w:type="dxa"/>
            <w:shd w:val="clear" w:color="auto" w:fill="auto"/>
            <w:noWrap/>
            <w:vAlign w:val="bottom"/>
            <w:hideMark/>
          </w:tcPr>
          <w:p w14:paraId="240D40D1" w14:textId="77777777" w:rsidR="008E649F" w:rsidRPr="007837CC" w:rsidRDefault="008E649F" w:rsidP="002D6DC4">
            <w:pPr>
              <w:pStyle w:val="TableText"/>
              <w:spacing w:before="40" w:after="40"/>
              <w:jc w:val="center"/>
              <w:rPr>
                <w:rFonts w:cs="Calibri"/>
                <w:szCs w:val="18"/>
              </w:rPr>
            </w:pPr>
            <w:r w:rsidRPr="007837CC">
              <w:rPr>
                <w:rFonts w:cs="Calibri"/>
                <w:szCs w:val="18"/>
              </w:rPr>
              <w:t>1.0</w:t>
            </w:r>
          </w:p>
        </w:tc>
        <w:tc>
          <w:tcPr>
            <w:tcW w:w="803" w:type="dxa"/>
            <w:shd w:val="clear" w:color="auto" w:fill="auto"/>
            <w:noWrap/>
            <w:vAlign w:val="bottom"/>
            <w:hideMark/>
          </w:tcPr>
          <w:p w14:paraId="2B7C487A" w14:textId="77777777" w:rsidR="008E649F" w:rsidRPr="007837CC" w:rsidRDefault="008E649F" w:rsidP="002D6DC4">
            <w:pPr>
              <w:pStyle w:val="TableText"/>
              <w:spacing w:before="40" w:after="40"/>
              <w:jc w:val="center"/>
              <w:rPr>
                <w:rFonts w:cs="Calibri"/>
                <w:szCs w:val="18"/>
              </w:rPr>
            </w:pPr>
            <w:r w:rsidRPr="007837CC">
              <w:rPr>
                <w:rFonts w:cs="Calibri"/>
                <w:szCs w:val="18"/>
              </w:rPr>
              <w:t>1.5</w:t>
            </w:r>
          </w:p>
        </w:tc>
        <w:tc>
          <w:tcPr>
            <w:tcW w:w="803" w:type="dxa"/>
            <w:shd w:val="clear" w:color="auto" w:fill="auto"/>
            <w:noWrap/>
            <w:vAlign w:val="bottom"/>
            <w:hideMark/>
          </w:tcPr>
          <w:p w14:paraId="59F52CC9" w14:textId="77777777" w:rsidR="008E649F" w:rsidRPr="007837CC" w:rsidRDefault="008E649F" w:rsidP="002D6DC4">
            <w:pPr>
              <w:pStyle w:val="TableText"/>
              <w:spacing w:before="40" w:after="40"/>
              <w:jc w:val="center"/>
              <w:rPr>
                <w:rFonts w:cs="Calibri"/>
                <w:szCs w:val="18"/>
              </w:rPr>
            </w:pPr>
            <w:r w:rsidRPr="007837CC">
              <w:rPr>
                <w:rFonts w:cs="Calibri"/>
                <w:szCs w:val="18"/>
              </w:rPr>
              <w:t>2.0</w:t>
            </w:r>
          </w:p>
        </w:tc>
        <w:tc>
          <w:tcPr>
            <w:tcW w:w="803" w:type="dxa"/>
            <w:shd w:val="clear" w:color="auto" w:fill="auto"/>
            <w:noWrap/>
            <w:vAlign w:val="bottom"/>
            <w:hideMark/>
          </w:tcPr>
          <w:p w14:paraId="2DC40B43" w14:textId="77777777" w:rsidR="008E649F" w:rsidRPr="007837CC" w:rsidRDefault="008E649F" w:rsidP="002D6DC4">
            <w:pPr>
              <w:pStyle w:val="TableText"/>
              <w:spacing w:before="40" w:after="40"/>
              <w:jc w:val="center"/>
              <w:rPr>
                <w:rFonts w:cs="Calibri"/>
                <w:szCs w:val="18"/>
              </w:rPr>
            </w:pPr>
            <w:r w:rsidRPr="007837CC">
              <w:rPr>
                <w:rFonts w:cs="Calibri"/>
                <w:szCs w:val="18"/>
              </w:rPr>
              <w:t>3.0</w:t>
            </w:r>
          </w:p>
        </w:tc>
        <w:tc>
          <w:tcPr>
            <w:tcW w:w="803" w:type="dxa"/>
            <w:shd w:val="clear" w:color="auto" w:fill="auto"/>
            <w:noWrap/>
            <w:vAlign w:val="bottom"/>
            <w:hideMark/>
          </w:tcPr>
          <w:p w14:paraId="54F0E6ED" w14:textId="77777777" w:rsidR="008E649F" w:rsidRPr="007837CC" w:rsidRDefault="008E649F" w:rsidP="002D6DC4">
            <w:pPr>
              <w:pStyle w:val="TableText"/>
              <w:spacing w:before="40" w:after="40"/>
              <w:jc w:val="center"/>
              <w:rPr>
                <w:rFonts w:cs="Calibri"/>
                <w:szCs w:val="18"/>
              </w:rPr>
            </w:pPr>
            <w:r w:rsidRPr="007837CC">
              <w:rPr>
                <w:rFonts w:cs="Calibri"/>
                <w:szCs w:val="18"/>
              </w:rPr>
              <w:t>4.0</w:t>
            </w:r>
          </w:p>
        </w:tc>
        <w:tc>
          <w:tcPr>
            <w:tcW w:w="803" w:type="dxa"/>
            <w:shd w:val="clear" w:color="auto" w:fill="auto"/>
            <w:noWrap/>
            <w:vAlign w:val="bottom"/>
            <w:hideMark/>
          </w:tcPr>
          <w:p w14:paraId="38D7E6EB" w14:textId="77777777" w:rsidR="008E649F" w:rsidRPr="007837CC" w:rsidRDefault="008E649F" w:rsidP="002D6DC4">
            <w:pPr>
              <w:pStyle w:val="TableText"/>
              <w:spacing w:before="40" w:after="40"/>
              <w:jc w:val="center"/>
              <w:rPr>
                <w:rFonts w:cs="Calibri"/>
                <w:szCs w:val="18"/>
              </w:rPr>
            </w:pPr>
            <w:r w:rsidRPr="007837CC">
              <w:rPr>
                <w:rFonts w:cs="Calibri"/>
                <w:szCs w:val="18"/>
              </w:rPr>
              <w:t>5.0</w:t>
            </w:r>
          </w:p>
        </w:tc>
      </w:tr>
      <w:tr w:rsidR="008E649F" w:rsidRPr="007837CC" w14:paraId="1D56B4C9" w14:textId="77777777" w:rsidTr="001A403A">
        <w:tc>
          <w:tcPr>
            <w:tcW w:w="1560" w:type="dxa"/>
            <w:vMerge/>
            <w:vAlign w:val="center"/>
            <w:hideMark/>
          </w:tcPr>
          <w:p w14:paraId="3C2F45A3" w14:textId="77777777" w:rsidR="008E649F" w:rsidRPr="007837CC" w:rsidRDefault="008E649F" w:rsidP="002D6DC4">
            <w:pPr>
              <w:pStyle w:val="TableText"/>
              <w:spacing w:before="40" w:after="40"/>
              <w:rPr>
                <w:rFonts w:cs="Calibri"/>
                <w:szCs w:val="18"/>
              </w:rPr>
            </w:pPr>
          </w:p>
        </w:tc>
        <w:tc>
          <w:tcPr>
            <w:tcW w:w="1124" w:type="dxa"/>
            <w:shd w:val="clear" w:color="auto" w:fill="auto"/>
            <w:noWrap/>
            <w:vAlign w:val="bottom"/>
            <w:hideMark/>
          </w:tcPr>
          <w:p w14:paraId="7C8F59B3" w14:textId="77777777" w:rsidR="008E649F" w:rsidRPr="007837CC" w:rsidRDefault="008E649F" w:rsidP="002D6DC4">
            <w:pPr>
              <w:pStyle w:val="TableText"/>
              <w:spacing w:before="40" w:after="40"/>
              <w:rPr>
                <w:rFonts w:cs="Calibri"/>
                <w:szCs w:val="18"/>
              </w:rPr>
            </w:pPr>
            <w:r w:rsidRPr="007837CC">
              <w:rPr>
                <w:rFonts w:cs="Calibri"/>
                <w:szCs w:val="18"/>
              </w:rPr>
              <w:t>Industrial</w:t>
            </w:r>
          </w:p>
        </w:tc>
        <w:tc>
          <w:tcPr>
            <w:tcW w:w="1003" w:type="dxa"/>
            <w:shd w:val="clear" w:color="auto" w:fill="auto"/>
            <w:noWrap/>
            <w:vAlign w:val="bottom"/>
            <w:hideMark/>
          </w:tcPr>
          <w:p w14:paraId="22711FEA" w14:textId="77777777" w:rsidR="008E649F" w:rsidRPr="007837CC" w:rsidRDefault="008E649F" w:rsidP="002D6DC4">
            <w:pPr>
              <w:pStyle w:val="TableText"/>
              <w:spacing w:before="40" w:after="40"/>
              <w:jc w:val="center"/>
              <w:rPr>
                <w:rFonts w:cs="Calibri"/>
                <w:szCs w:val="18"/>
              </w:rPr>
            </w:pPr>
            <w:r w:rsidRPr="007837CC">
              <w:rPr>
                <w:rFonts w:cs="Calibri"/>
                <w:szCs w:val="18"/>
              </w:rPr>
              <w:t>3.2</w:t>
            </w:r>
          </w:p>
        </w:tc>
        <w:tc>
          <w:tcPr>
            <w:tcW w:w="803" w:type="dxa"/>
            <w:shd w:val="clear" w:color="auto" w:fill="auto"/>
            <w:noWrap/>
            <w:vAlign w:val="bottom"/>
            <w:hideMark/>
          </w:tcPr>
          <w:p w14:paraId="68E21F75" w14:textId="77777777" w:rsidR="008E649F" w:rsidRPr="007837CC" w:rsidRDefault="008E649F" w:rsidP="002D6DC4">
            <w:pPr>
              <w:pStyle w:val="TableText"/>
              <w:spacing w:before="40" w:after="40"/>
              <w:jc w:val="center"/>
              <w:rPr>
                <w:rFonts w:cs="Calibri"/>
                <w:szCs w:val="18"/>
              </w:rPr>
            </w:pPr>
            <w:r w:rsidRPr="007837CC">
              <w:rPr>
                <w:rFonts w:cs="Calibri"/>
                <w:szCs w:val="18"/>
              </w:rPr>
              <w:t>1.0</w:t>
            </w:r>
          </w:p>
        </w:tc>
        <w:tc>
          <w:tcPr>
            <w:tcW w:w="803" w:type="dxa"/>
            <w:shd w:val="clear" w:color="auto" w:fill="auto"/>
            <w:noWrap/>
            <w:vAlign w:val="bottom"/>
            <w:hideMark/>
          </w:tcPr>
          <w:p w14:paraId="45DDC856" w14:textId="77777777" w:rsidR="008E649F" w:rsidRPr="007837CC" w:rsidRDefault="008E649F" w:rsidP="002D6DC4">
            <w:pPr>
              <w:pStyle w:val="TableText"/>
              <w:spacing w:before="40" w:after="40"/>
              <w:jc w:val="center"/>
              <w:rPr>
                <w:rFonts w:cs="Calibri"/>
                <w:szCs w:val="18"/>
              </w:rPr>
            </w:pPr>
            <w:r w:rsidRPr="007837CC">
              <w:rPr>
                <w:rFonts w:cs="Calibri"/>
                <w:szCs w:val="18"/>
              </w:rPr>
              <w:t>1.5</w:t>
            </w:r>
          </w:p>
        </w:tc>
        <w:tc>
          <w:tcPr>
            <w:tcW w:w="803" w:type="dxa"/>
            <w:shd w:val="clear" w:color="auto" w:fill="auto"/>
            <w:noWrap/>
            <w:vAlign w:val="bottom"/>
            <w:hideMark/>
          </w:tcPr>
          <w:p w14:paraId="685B563E" w14:textId="77777777" w:rsidR="008E649F" w:rsidRPr="007837CC" w:rsidRDefault="008E649F" w:rsidP="002D6DC4">
            <w:pPr>
              <w:pStyle w:val="TableText"/>
              <w:spacing w:before="40" w:after="40"/>
              <w:jc w:val="center"/>
              <w:rPr>
                <w:rFonts w:cs="Calibri"/>
                <w:szCs w:val="18"/>
              </w:rPr>
            </w:pPr>
            <w:r w:rsidRPr="007837CC">
              <w:rPr>
                <w:rFonts w:cs="Calibri"/>
                <w:szCs w:val="18"/>
              </w:rPr>
              <w:t>2.0</w:t>
            </w:r>
          </w:p>
        </w:tc>
        <w:tc>
          <w:tcPr>
            <w:tcW w:w="803" w:type="dxa"/>
            <w:shd w:val="clear" w:color="auto" w:fill="auto"/>
            <w:noWrap/>
            <w:vAlign w:val="bottom"/>
            <w:hideMark/>
          </w:tcPr>
          <w:p w14:paraId="130881E9" w14:textId="77777777" w:rsidR="008E649F" w:rsidRPr="007837CC" w:rsidRDefault="008E649F" w:rsidP="002D6DC4">
            <w:pPr>
              <w:pStyle w:val="TableText"/>
              <w:spacing w:before="40" w:after="40"/>
              <w:jc w:val="center"/>
              <w:rPr>
                <w:rFonts w:cs="Calibri"/>
                <w:szCs w:val="18"/>
              </w:rPr>
            </w:pPr>
            <w:r w:rsidRPr="007837CC">
              <w:rPr>
                <w:rFonts w:cs="Calibri"/>
                <w:szCs w:val="18"/>
              </w:rPr>
              <w:t>3.0</w:t>
            </w:r>
          </w:p>
        </w:tc>
        <w:tc>
          <w:tcPr>
            <w:tcW w:w="803" w:type="dxa"/>
            <w:shd w:val="clear" w:color="auto" w:fill="auto"/>
            <w:noWrap/>
            <w:vAlign w:val="bottom"/>
            <w:hideMark/>
          </w:tcPr>
          <w:p w14:paraId="486C8503" w14:textId="77777777" w:rsidR="008E649F" w:rsidRPr="007837CC" w:rsidRDefault="008E649F" w:rsidP="002D6DC4">
            <w:pPr>
              <w:pStyle w:val="TableText"/>
              <w:spacing w:before="40" w:after="40"/>
              <w:jc w:val="center"/>
              <w:rPr>
                <w:rFonts w:cs="Calibri"/>
                <w:szCs w:val="18"/>
              </w:rPr>
            </w:pPr>
            <w:r w:rsidRPr="007837CC">
              <w:rPr>
                <w:rFonts w:cs="Calibri"/>
                <w:szCs w:val="18"/>
              </w:rPr>
              <w:t>4.0</w:t>
            </w:r>
          </w:p>
        </w:tc>
        <w:tc>
          <w:tcPr>
            <w:tcW w:w="803" w:type="dxa"/>
            <w:shd w:val="clear" w:color="auto" w:fill="auto"/>
            <w:noWrap/>
            <w:vAlign w:val="bottom"/>
            <w:hideMark/>
          </w:tcPr>
          <w:p w14:paraId="063794DE" w14:textId="77777777" w:rsidR="008E649F" w:rsidRPr="007837CC" w:rsidRDefault="008E649F" w:rsidP="002D6DC4">
            <w:pPr>
              <w:pStyle w:val="TableText"/>
              <w:spacing w:before="40" w:after="40"/>
              <w:jc w:val="center"/>
              <w:rPr>
                <w:rFonts w:cs="Calibri"/>
                <w:szCs w:val="18"/>
              </w:rPr>
            </w:pPr>
            <w:r w:rsidRPr="007837CC">
              <w:rPr>
                <w:rFonts w:cs="Calibri"/>
                <w:szCs w:val="18"/>
              </w:rPr>
              <w:t>5.0</w:t>
            </w:r>
          </w:p>
        </w:tc>
      </w:tr>
      <w:tr w:rsidR="009A3F00" w:rsidRPr="007837CC" w14:paraId="13870445" w14:textId="77777777" w:rsidTr="00CE1496">
        <w:tc>
          <w:tcPr>
            <w:tcW w:w="2684" w:type="dxa"/>
            <w:gridSpan w:val="2"/>
            <w:shd w:val="clear" w:color="auto" w:fill="auto"/>
            <w:noWrap/>
            <w:vAlign w:val="center"/>
            <w:hideMark/>
          </w:tcPr>
          <w:p w14:paraId="2CBD58B7" w14:textId="3780D2BB" w:rsidR="009A3F00" w:rsidRPr="007837CC" w:rsidRDefault="009A3F00" w:rsidP="002D6DC4">
            <w:pPr>
              <w:pStyle w:val="TableText"/>
              <w:spacing w:before="40" w:after="40"/>
              <w:rPr>
                <w:rFonts w:cs="Calibri"/>
                <w:szCs w:val="18"/>
              </w:rPr>
            </w:pPr>
            <w:r w:rsidRPr="007837CC">
              <w:rPr>
                <w:rFonts w:cs="Calibri"/>
                <w:szCs w:val="18"/>
              </w:rPr>
              <w:t>Diesel (c/l)</w:t>
            </w:r>
          </w:p>
        </w:tc>
        <w:tc>
          <w:tcPr>
            <w:tcW w:w="1003" w:type="dxa"/>
            <w:shd w:val="clear" w:color="auto" w:fill="auto"/>
            <w:noWrap/>
            <w:vAlign w:val="bottom"/>
            <w:hideMark/>
          </w:tcPr>
          <w:p w14:paraId="7701345A" w14:textId="77777777" w:rsidR="009A3F00" w:rsidRPr="007837CC" w:rsidRDefault="009A3F00" w:rsidP="002D6DC4">
            <w:pPr>
              <w:pStyle w:val="TableText"/>
              <w:spacing w:before="40" w:after="40"/>
              <w:jc w:val="center"/>
              <w:rPr>
                <w:rFonts w:cs="Calibri"/>
                <w:szCs w:val="18"/>
              </w:rPr>
            </w:pPr>
            <w:r w:rsidRPr="007837CC">
              <w:rPr>
                <w:rFonts w:cs="Calibri"/>
                <w:szCs w:val="18"/>
              </w:rPr>
              <w:t>150.6</w:t>
            </w:r>
          </w:p>
        </w:tc>
        <w:tc>
          <w:tcPr>
            <w:tcW w:w="803" w:type="dxa"/>
            <w:shd w:val="clear" w:color="auto" w:fill="auto"/>
            <w:noWrap/>
            <w:vAlign w:val="bottom"/>
            <w:hideMark/>
          </w:tcPr>
          <w:p w14:paraId="044252AA" w14:textId="77777777" w:rsidR="009A3F00" w:rsidRPr="007837CC" w:rsidRDefault="009A3F00" w:rsidP="002D6DC4">
            <w:pPr>
              <w:pStyle w:val="TableText"/>
              <w:spacing w:before="40" w:after="40"/>
              <w:jc w:val="center"/>
              <w:rPr>
                <w:rFonts w:cs="Calibri"/>
                <w:szCs w:val="18"/>
              </w:rPr>
            </w:pPr>
            <w:r w:rsidRPr="007837CC">
              <w:rPr>
                <w:rFonts w:cs="Calibri"/>
                <w:szCs w:val="18"/>
              </w:rPr>
              <w:t>15.4</w:t>
            </w:r>
          </w:p>
        </w:tc>
        <w:tc>
          <w:tcPr>
            <w:tcW w:w="803" w:type="dxa"/>
            <w:shd w:val="clear" w:color="auto" w:fill="auto"/>
            <w:noWrap/>
            <w:vAlign w:val="bottom"/>
            <w:hideMark/>
          </w:tcPr>
          <w:p w14:paraId="7F6A01DF" w14:textId="77777777" w:rsidR="009A3F00" w:rsidRPr="007837CC" w:rsidRDefault="009A3F00" w:rsidP="002D6DC4">
            <w:pPr>
              <w:pStyle w:val="TableText"/>
              <w:spacing w:before="40" w:after="40"/>
              <w:jc w:val="center"/>
              <w:rPr>
                <w:rFonts w:cs="Calibri"/>
                <w:szCs w:val="18"/>
              </w:rPr>
            </w:pPr>
            <w:r w:rsidRPr="007837CC">
              <w:rPr>
                <w:rFonts w:cs="Calibri"/>
                <w:szCs w:val="18"/>
              </w:rPr>
              <w:t>23.1</w:t>
            </w:r>
          </w:p>
        </w:tc>
        <w:tc>
          <w:tcPr>
            <w:tcW w:w="803" w:type="dxa"/>
            <w:shd w:val="clear" w:color="auto" w:fill="auto"/>
            <w:noWrap/>
            <w:vAlign w:val="bottom"/>
            <w:hideMark/>
          </w:tcPr>
          <w:p w14:paraId="20D6B81B" w14:textId="77777777" w:rsidR="009A3F00" w:rsidRPr="007837CC" w:rsidRDefault="009A3F00" w:rsidP="002D6DC4">
            <w:pPr>
              <w:pStyle w:val="TableText"/>
              <w:spacing w:before="40" w:after="40"/>
              <w:jc w:val="center"/>
              <w:rPr>
                <w:rFonts w:cs="Calibri"/>
                <w:szCs w:val="18"/>
              </w:rPr>
            </w:pPr>
            <w:r w:rsidRPr="007837CC">
              <w:rPr>
                <w:rFonts w:cs="Calibri"/>
                <w:szCs w:val="18"/>
              </w:rPr>
              <w:t>30.7</w:t>
            </w:r>
          </w:p>
        </w:tc>
        <w:tc>
          <w:tcPr>
            <w:tcW w:w="803" w:type="dxa"/>
            <w:shd w:val="clear" w:color="auto" w:fill="auto"/>
            <w:noWrap/>
            <w:vAlign w:val="bottom"/>
            <w:hideMark/>
          </w:tcPr>
          <w:p w14:paraId="6861B375" w14:textId="77777777" w:rsidR="009A3F00" w:rsidRPr="007837CC" w:rsidRDefault="009A3F00" w:rsidP="002D6DC4">
            <w:pPr>
              <w:pStyle w:val="TableText"/>
              <w:spacing w:before="40" w:after="40"/>
              <w:jc w:val="center"/>
              <w:rPr>
                <w:rFonts w:cs="Calibri"/>
                <w:szCs w:val="18"/>
              </w:rPr>
            </w:pPr>
            <w:r w:rsidRPr="007837CC">
              <w:rPr>
                <w:rFonts w:cs="Calibri"/>
                <w:szCs w:val="18"/>
              </w:rPr>
              <w:t>46.1</w:t>
            </w:r>
          </w:p>
        </w:tc>
        <w:tc>
          <w:tcPr>
            <w:tcW w:w="803" w:type="dxa"/>
            <w:shd w:val="clear" w:color="auto" w:fill="auto"/>
            <w:noWrap/>
            <w:vAlign w:val="bottom"/>
            <w:hideMark/>
          </w:tcPr>
          <w:p w14:paraId="072E6C92" w14:textId="77777777" w:rsidR="009A3F00" w:rsidRPr="007837CC" w:rsidRDefault="009A3F00" w:rsidP="002D6DC4">
            <w:pPr>
              <w:pStyle w:val="TableText"/>
              <w:spacing w:before="40" w:after="40"/>
              <w:jc w:val="center"/>
              <w:rPr>
                <w:rFonts w:cs="Calibri"/>
                <w:szCs w:val="18"/>
              </w:rPr>
            </w:pPr>
            <w:r w:rsidRPr="007837CC">
              <w:rPr>
                <w:rFonts w:cs="Calibri"/>
                <w:szCs w:val="18"/>
              </w:rPr>
              <w:t>61.5</w:t>
            </w:r>
          </w:p>
        </w:tc>
        <w:tc>
          <w:tcPr>
            <w:tcW w:w="803" w:type="dxa"/>
            <w:shd w:val="clear" w:color="auto" w:fill="auto"/>
            <w:noWrap/>
            <w:vAlign w:val="bottom"/>
            <w:hideMark/>
          </w:tcPr>
          <w:p w14:paraId="1B07C115" w14:textId="77777777" w:rsidR="009A3F00" w:rsidRPr="007837CC" w:rsidRDefault="009A3F00" w:rsidP="002D6DC4">
            <w:pPr>
              <w:pStyle w:val="TableText"/>
              <w:spacing w:before="40" w:after="40"/>
              <w:jc w:val="center"/>
              <w:rPr>
                <w:rFonts w:cs="Calibri"/>
                <w:szCs w:val="18"/>
              </w:rPr>
            </w:pPr>
            <w:r w:rsidRPr="007837CC">
              <w:rPr>
                <w:rFonts w:cs="Calibri"/>
                <w:szCs w:val="18"/>
              </w:rPr>
              <w:t>76.8</w:t>
            </w:r>
          </w:p>
        </w:tc>
      </w:tr>
      <w:tr w:rsidR="009A3F00" w:rsidRPr="007837CC" w14:paraId="46D0FCF6" w14:textId="77777777" w:rsidTr="00CE1496">
        <w:tc>
          <w:tcPr>
            <w:tcW w:w="2684" w:type="dxa"/>
            <w:gridSpan w:val="2"/>
            <w:shd w:val="clear" w:color="auto" w:fill="auto"/>
            <w:noWrap/>
            <w:vAlign w:val="center"/>
            <w:hideMark/>
          </w:tcPr>
          <w:p w14:paraId="5D9EE468" w14:textId="64211DEF" w:rsidR="009A3F00" w:rsidRPr="007837CC" w:rsidRDefault="009A3F00" w:rsidP="002D6DC4">
            <w:pPr>
              <w:pStyle w:val="TableText"/>
              <w:spacing w:before="40" w:after="40"/>
              <w:rPr>
                <w:rFonts w:cs="Calibri"/>
                <w:szCs w:val="18"/>
              </w:rPr>
            </w:pPr>
            <w:r w:rsidRPr="007837CC">
              <w:rPr>
                <w:rFonts w:cs="Calibri"/>
                <w:szCs w:val="18"/>
              </w:rPr>
              <w:t>Petrol (c/l)</w:t>
            </w:r>
          </w:p>
        </w:tc>
        <w:tc>
          <w:tcPr>
            <w:tcW w:w="1003" w:type="dxa"/>
            <w:shd w:val="clear" w:color="auto" w:fill="auto"/>
            <w:noWrap/>
            <w:vAlign w:val="bottom"/>
            <w:hideMark/>
          </w:tcPr>
          <w:p w14:paraId="33AD5874" w14:textId="77777777" w:rsidR="009A3F00" w:rsidRPr="007837CC" w:rsidRDefault="009A3F00" w:rsidP="002D6DC4">
            <w:pPr>
              <w:pStyle w:val="TableText"/>
              <w:spacing w:before="40" w:after="40"/>
              <w:jc w:val="center"/>
              <w:rPr>
                <w:rFonts w:cs="Calibri"/>
                <w:szCs w:val="18"/>
              </w:rPr>
            </w:pPr>
            <w:r w:rsidRPr="007837CC">
              <w:rPr>
                <w:rFonts w:cs="Calibri"/>
                <w:szCs w:val="18"/>
              </w:rPr>
              <w:t>224.7</w:t>
            </w:r>
          </w:p>
        </w:tc>
        <w:tc>
          <w:tcPr>
            <w:tcW w:w="803" w:type="dxa"/>
            <w:shd w:val="clear" w:color="auto" w:fill="auto"/>
            <w:noWrap/>
            <w:vAlign w:val="bottom"/>
            <w:hideMark/>
          </w:tcPr>
          <w:p w14:paraId="1C27187C" w14:textId="77777777" w:rsidR="009A3F00" w:rsidRPr="007837CC" w:rsidRDefault="009A3F00" w:rsidP="002D6DC4">
            <w:pPr>
              <w:pStyle w:val="TableText"/>
              <w:spacing w:before="40" w:after="40"/>
              <w:jc w:val="center"/>
              <w:rPr>
                <w:rFonts w:cs="Calibri"/>
                <w:szCs w:val="18"/>
              </w:rPr>
            </w:pPr>
            <w:r w:rsidRPr="007837CC">
              <w:rPr>
                <w:rFonts w:cs="Calibri"/>
                <w:szCs w:val="18"/>
              </w:rPr>
              <w:t>13.4</w:t>
            </w:r>
          </w:p>
        </w:tc>
        <w:tc>
          <w:tcPr>
            <w:tcW w:w="803" w:type="dxa"/>
            <w:shd w:val="clear" w:color="auto" w:fill="auto"/>
            <w:noWrap/>
            <w:vAlign w:val="bottom"/>
            <w:hideMark/>
          </w:tcPr>
          <w:p w14:paraId="22E30552" w14:textId="77777777" w:rsidR="009A3F00" w:rsidRPr="007837CC" w:rsidRDefault="009A3F00" w:rsidP="002D6DC4">
            <w:pPr>
              <w:pStyle w:val="TableText"/>
              <w:spacing w:before="40" w:after="40"/>
              <w:jc w:val="center"/>
              <w:rPr>
                <w:rFonts w:cs="Calibri"/>
                <w:szCs w:val="18"/>
              </w:rPr>
            </w:pPr>
            <w:r w:rsidRPr="007837CC">
              <w:rPr>
                <w:rFonts w:cs="Calibri"/>
                <w:szCs w:val="18"/>
              </w:rPr>
              <w:t>20.2</w:t>
            </w:r>
          </w:p>
        </w:tc>
        <w:tc>
          <w:tcPr>
            <w:tcW w:w="803" w:type="dxa"/>
            <w:shd w:val="clear" w:color="auto" w:fill="auto"/>
            <w:noWrap/>
            <w:vAlign w:val="bottom"/>
            <w:hideMark/>
          </w:tcPr>
          <w:p w14:paraId="7A4FDE12" w14:textId="77777777" w:rsidR="009A3F00" w:rsidRPr="007837CC" w:rsidRDefault="009A3F00" w:rsidP="002D6DC4">
            <w:pPr>
              <w:pStyle w:val="TableText"/>
              <w:spacing w:before="40" w:after="40"/>
              <w:jc w:val="center"/>
              <w:rPr>
                <w:rFonts w:cs="Calibri"/>
                <w:szCs w:val="18"/>
              </w:rPr>
            </w:pPr>
            <w:r w:rsidRPr="007837CC">
              <w:rPr>
                <w:rFonts w:cs="Calibri"/>
                <w:szCs w:val="18"/>
              </w:rPr>
              <w:t>26.9</w:t>
            </w:r>
          </w:p>
        </w:tc>
        <w:tc>
          <w:tcPr>
            <w:tcW w:w="803" w:type="dxa"/>
            <w:shd w:val="clear" w:color="auto" w:fill="auto"/>
            <w:noWrap/>
            <w:vAlign w:val="bottom"/>
            <w:hideMark/>
          </w:tcPr>
          <w:p w14:paraId="65075D16" w14:textId="77777777" w:rsidR="009A3F00" w:rsidRPr="007837CC" w:rsidRDefault="009A3F00" w:rsidP="002D6DC4">
            <w:pPr>
              <w:pStyle w:val="TableText"/>
              <w:spacing w:before="40" w:after="40"/>
              <w:jc w:val="center"/>
              <w:rPr>
                <w:rFonts w:cs="Calibri"/>
                <w:szCs w:val="18"/>
              </w:rPr>
            </w:pPr>
            <w:r w:rsidRPr="007837CC">
              <w:rPr>
                <w:rFonts w:cs="Calibri"/>
                <w:szCs w:val="18"/>
              </w:rPr>
              <w:t>40.3</w:t>
            </w:r>
          </w:p>
        </w:tc>
        <w:tc>
          <w:tcPr>
            <w:tcW w:w="803" w:type="dxa"/>
            <w:shd w:val="clear" w:color="auto" w:fill="auto"/>
            <w:noWrap/>
            <w:vAlign w:val="bottom"/>
            <w:hideMark/>
          </w:tcPr>
          <w:p w14:paraId="668AFB44" w14:textId="77777777" w:rsidR="009A3F00" w:rsidRPr="007837CC" w:rsidRDefault="009A3F00" w:rsidP="002D6DC4">
            <w:pPr>
              <w:pStyle w:val="TableText"/>
              <w:spacing w:before="40" w:after="40"/>
              <w:jc w:val="center"/>
              <w:rPr>
                <w:rFonts w:cs="Calibri"/>
                <w:szCs w:val="18"/>
              </w:rPr>
            </w:pPr>
            <w:r w:rsidRPr="007837CC">
              <w:rPr>
                <w:rFonts w:cs="Calibri"/>
                <w:szCs w:val="18"/>
              </w:rPr>
              <w:t>53.8</w:t>
            </w:r>
          </w:p>
        </w:tc>
        <w:tc>
          <w:tcPr>
            <w:tcW w:w="803" w:type="dxa"/>
            <w:shd w:val="clear" w:color="auto" w:fill="auto"/>
            <w:noWrap/>
            <w:vAlign w:val="bottom"/>
            <w:hideMark/>
          </w:tcPr>
          <w:p w14:paraId="7CD65D94" w14:textId="77777777" w:rsidR="009A3F00" w:rsidRPr="007837CC" w:rsidRDefault="009A3F00" w:rsidP="002D6DC4">
            <w:pPr>
              <w:pStyle w:val="TableText"/>
              <w:spacing w:before="40" w:after="40"/>
              <w:jc w:val="center"/>
              <w:rPr>
                <w:rFonts w:cs="Calibri"/>
                <w:szCs w:val="18"/>
              </w:rPr>
            </w:pPr>
            <w:r w:rsidRPr="007837CC">
              <w:rPr>
                <w:rFonts w:cs="Calibri"/>
                <w:szCs w:val="18"/>
              </w:rPr>
              <w:t>67.2</w:t>
            </w:r>
          </w:p>
        </w:tc>
      </w:tr>
      <w:tr w:rsidR="009A3F00" w:rsidRPr="007837CC" w14:paraId="11ED9B86" w14:textId="77777777" w:rsidTr="00CE1496">
        <w:tc>
          <w:tcPr>
            <w:tcW w:w="2684" w:type="dxa"/>
            <w:gridSpan w:val="2"/>
            <w:shd w:val="clear" w:color="auto" w:fill="auto"/>
            <w:noWrap/>
            <w:vAlign w:val="center"/>
            <w:hideMark/>
          </w:tcPr>
          <w:p w14:paraId="474784B7" w14:textId="65863708" w:rsidR="009A3F00" w:rsidRPr="007837CC" w:rsidRDefault="009A3F00" w:rsidP="002D6DC4">
            <w:pPr>
              <w:pStyle w:val="TableText"/>
              <w:spacing w:before="40" w:after="40"/>
              <w:rPr>
                <w:rFonts w:cs="Calibri"/>
                <w:szCs w:val="18"/>
              </w:rPr>
            </w:pPr>
            <w:r w:rsidRPr="007837CC">
              <w:rPr>
                <w:rFonts w:cs="Calibri"/>
                <w:szCs w:val="18"/>
              </w:rPr>
              <w:t>Coal (c/GJ)</w:t>
            </w:r>
          </w:p>
        </w:tc>
        <w:tc>
          <w:tcPr>
            <w:tcW w:w="1003" w:type="dxa"/>
            <w:shd w:val="clear" w:color="auto" w:fill="auto"/>
            <w:noWrap/>
            <w:vAlign w:val="bottom"/>
            <w:hideMark/>
          </w:tcPr>
          <w:p w14:paraId="1DBB488F" w14:textId="77777777" w:rsidR="009A3F00" w:rsidRPr="007837CC" w:rsidRDefault="009A3F00" w:rsidP="002D6DC4">
            <w:pPr>
              <w:pStyle w:val="TableText"/>
              <w:spacing w:before="40" w:after="40"/>
              <w:jc w:val="center"/>
              <w:rPr>
                <w:rFonts w:cs="Calibri"/>
                <w:szCs w:val="18"/>
              </w:rPr>
            </w:pPr>
            <w:r w:rsidRPr="007837CC">
              <w:rPr>
                <w:rFonts w:cs="Calibri"/>
                <w:szCs w:val="18"/>
              </w:rPr>
              <w:t>10.0</w:t>
            </w:r>
          </w:p>
        </w:tc>
        <w:tc>
          <w:tcPr>
            <w:tcW w:w="803" w:type="dxa"/>
            <w:shd w:val="clear" w:color="auto" w:fill="auto"/>
            <w:noWrap/>
            <w:vAlign w:val="bottom"/>
            <w:hideMark/>
          </w:tcPr>
          <w:p w14:paraId="34DB54E4" w14:textId="77777777" w:rsidR="009A3F00" w:rsidRPr="007837CC" w:rsidRDefault="009A3F00" w:rsidP="002D6DC4">
            <w:pPr>
              <w:pStyle w:val="TableText"/>
              <w:spacing w:before="40" w:after="40"/>
              <w:jc w:val="center"/>
              <w:rPr>
                <w:rFonts w:cs="Calibri"/>
                <w:szCs w:val="18"/>
              </w:rPr>
            </w:pPr>
            <w:r w:rsidRPr="007837CC">
              <w:rPr>
                <w:rFonts w:cs="Calibri"/>
                <w:szCs w:val="18"/>
              </w:rPr>
              <w:t>4.5</w:t>
            </w:r>
          </w:p>
        </w:tc>
        <w:tc>
          <w:tcPr>
            <w:tcW w:w="803" w:type="dxa"/>
            <w:shd w:val="clear" w:color="auto" w:fill="auto"/>
            <w:noWrap/>
            <w:vAlign w:val="bottom"/>
            <w:hideMark/>
          </w:tcPr>
          <w:p w14:paraId="5D54787B" w14:textId="77777777" w:rsidR="009A3F00" w:rsidRPr="007837CC" w:rsidRDefault="009A3F00" w:rsidP="002D6DC4">
            <w:pPr>
              <w:pStyle w:val="TableText"/>
              <w:spacing w:before="40" w:after="40"/>
              <w:jc w:val="center"/>
              <w:rPr>
                <w:rFonts w:cs="Calibri"/>
                <w:szCs w:val="18"/>
              </w:rPr>
            </w:pPr>
            <w:r w:rsidRPr="007837CC">
              <w:rPr>
                <w:rFonts w:cs="Calibri"/>
                <w:szCs w:val="18"/>
              </w:rPr>
              <w:t>6.8</w:t>
            </w:r>
          </w:p>
        </w:tc>
        <w:tc>
          <w:tcPr>
            <w:tcW w:w="803" w:type="dxa"/>
            <w:shd w:val="clear" w:color="auto" w:fill="auto"/>
            <w:noWrap/>
            <w:vAlign w:val="bottom"/>
            <w:hideMark/>
          </w:tcPr>
          <w:p w14:paraId="0C9EF5BB" w14:textId="77777777" w:rsidR="009A3F00" w:rsidRPr="007837CC" w:rsidRDefault="009A3F00" w:rsidP="002D6DC4">
            <w:pPr>
              <w:pStyle w:val="TableText"/>
              <w:spacing w:before="40" w:after="40"/>
              <w:jc w:val="center"/>
              <w:rPr>
                <w:rFonts w:cs="Calibri"/>
                <w:szCs w:val="18"/>
              </w:rPr>
            </w:pPr>
            <w:r w:rsidRPr="007837CC">
              <w:rPr>
                <w:rFonts w:cs="Calibri"/>
                <w:szCs w:val="18"/>
              </w:rPr>
              <w:t>9.0</w:t>
            </w:r>
          </w:p>
        </w:tc>
        <w:tc>
          <w:tcPr>
            <w:tcW w:w="803" w:type="dxa"/>
            <w:shd w:val="clear" w:color="auto" w:fill="auto"/>
            <w:noWrap/>
            <w:vAlign w:val="bottom"/>
            <w:hideMark/>
          </w:tcPr>
          <w:p w14:paraId="4945C1C1" w14:textId="77777777" w:rsidR="009A3F00" w:rsidRPr="007837CC" w:rsidRDefault="009A3F00" w:rsidP="002D6DC4">
            <w:pPr>
              <w:pStyle w:val="TableText"/>
              <w:spacing w:before="40" w:after="40"/>
              <w:jc w:val="center"/>
              <w:rPr>
                <w:rFonts w:cs="Calibri"/>
                <w:szCs w:val="18"/>
              </w:rPr>
            </w:pPr>
            <w:r w:rsidRPr="007837CC">
              <w:rPr>
                <w:rFonts w:cs="Calibri"/>
                <w:szCs w:val="18"/>
              </w:rPr>
              <w:t>13.6</w:t>
            </w:r>
          </w:p>
        </w:tc>
        <w:tc>
          <w:tcPr>
            <w:tcW w:w="803" w:type="dxa"/>
            <w:shd w:val="clear" w:color="auto" w:fill="auto"/>
            <w:noWrap/>
            <w:vAlign w:val="bottom"/>
            <w:hideMark/>
          </w:tcPr>
          <w:p w14:paraId="1426D325" w14:textId="77777777" w:rsidR="009A3F00" w:rsidRPr="007837CC" w:rsidRDefault="009A3F00" w:rsidP="002D6DC4">
            <w:pPr>
              <w:pStyle w:val="TableText"/>
              <w:spacing w:before="40" w:after="40"/>
              <w:jc w:val="center"/>
              <w:rPr>
                <w:rFonts w:cs="Calibri"/>
                <w:szCs w:val="18"/>
              </w:rPr>
            </w:pPr>
            <w:r w:rsidRPr="007837CC">
              <w:rPr>
                <w:rFonts w:cs="Calibri"/>
                <w:szCs w:val="18"/>
              </w:rPr>
              <w:t>18.1</w:t>
            </w:r>
          </w:p>
        </w:tc>
        <w:tc>
          <w:tcPr>
            <w:tcW w:w="803" w:type="dxa"/>
            <w:shd w:val="clear" w:color="auto" w:fill="auto"/>
            <w:noWrap/>
            <w:vAlign w:val="bottom"/>
            <w:hideMark/>
          </w:tcPr>
          <w:p w14:paraId="307EF79A" w14:textId="77777777" w:rsidR="009A3F00" w:rsidRPr="007837CC" w:rsidRDefault="009A3F00" w:rsidP="002D6DC4">
            <w:pPr>
              <w:pStyle w:val="TableText"/>
              <w:spacing w:before="40" w:after="40"/>
              <w:jc w:val="center"/>
              <w:rPr>
                <w:rFonts w:cs="Calibri"/>
                <w:szCs w:val="18"/>
              </w:rPr>
            </w:pPr>
            <w:r w:rsidRPr="007837CC">
              <w:rPr>
                <w:rFonts w:cs="Calibri"/>
                <w:szCs w:val="18"/>
              </w:rPr>
              <w:t>22.6</w:t>
            </w:r>
          </w:p>
        </w:tc>
      </w:tr>
    </w:tbl>
    <w:p w14:paraId="0664591E" w14:textId="68FA2C9C" w:rsidR="00C43910" w:rsidRPr="007837CC" w:rsidRDefault="00EE6E87" w:rsidP="00B4279E">
      <w:pPr>
        <w:pStyle w:val="Note"/>
        <w:spacing w:before="120"/>
      </w:pPr>
      <w:r w:rsidRPr="007837CC">
        <w:t>Note: c/kWh = cost per kilowatt hour; c/l = cost per litre</w:t>
      </w:r>
      <w:r w:rsidR="00AF704C" w:rsidRPr="007837CC">
        <w:t>; c/GJ = cost per gigajoule</w:t>
      </w:r>
      <w:r w:rsidRPr="007837CC">
        <w:t>.</w:t>
      </w:r>
    </w:p>
    <w:p w14:paraId="26D5E157" w14:textId="2F31A3DF" w:rsidR="00294EC3" w:rsidRPr="007837CC" w:rsidRDefault="00294EC3" w:rsidP="00575680">
      <w:r w:rsidRPr="007837CC">
        <w:t xml:space="preserve">Energy prices in tables </w:t>
      </w:r>
      <w:r w:rsidR="00210CBE">
        <w:t>21 and 22</w:t>
      </w:r>
      <w:r w:rsidR="00210CBE" w:rsidRPr="007837CC">
        <w:t xml:space="preserve"> </w:t>
      </w:r>
      <w:r w:rsidRPr="007837CC">
        <w:t xml:space="preserve">already include </w:t>
      </w:r>
      <w:r w:rsidR="00CA2E83" w:rsidRPr="007837CC">
        <w:t xml:space="preserve">a component that is attributable to the NZU price. Comparison with the impacts at </w:t>
      </w:r>
      <w:r w:rsidR="00575680" w:rsidRPr="007837CC">
        <w:t xml:space="preserve">current NZU prices is necessary to calculate the impact of any future changes to NZU prices. </w:t>
      </w:r>
    </w:p>
    <w:p w14:paraId="6B32218B" w14:textId="35E83CC7" w:rsidR="00AD70AD" w:rsidRPr="007837CC" w:rsidRDefault="006B5367" w:rsidP="00B4279E">
      <w:pPr>
        <w:pStyle w:val="Heading3"/>
      </w:pPr>
      <w:r w:rsidRPr="007837CC">
        <w:t xml:space="preserve">Impact </w:t>
      </w:r>
      <w:r w:rsidR="00AD70AD" w:rsidRPr="007837CC">
        <w:t>on household costs</w:t>
      </w:r>
    </w:p>
    <w:p w14:paraId="1EC0D9AE" w14:textId="2BA990A4" w:rsidR="00624A01" w:rsidRPr="007837CC" w:rsidRDefault="00624A01" w:rsidP="001A403A">
      <w:pPr>
        <w:pStyle w:val="BodyText"/>
      </w:pPr>
      <w:r w:rsidRPr="007837CC">
        <w:t>New Zealand households are exposed to the NZ ETS, largely through emission price impacts on fuel and energy costs. The impact of emissions prices on other goods and services is usually more indirect, often reflecting fuel and energy as an input into production of that good or service, or as part of freight costs.</w:t>
      </w:r>
    </w:p>
    <w:p w14:paraId="0BF3923F" w14:textId="533F1FB7" w:rsidR="00D33E14" w:rsidRPr="007837CC" w:rsidRDefault="004D0686" w:rsidP="001A403A">
      <w:pPr>
        <w:pStyle w:val="BodyText"/>
      </w:pPr>
      <w:r w:rsidRPr="007837CC">
        <w:t>In 2019</w:t>
      </w:r>
      <w:r w:rsidR="00AF704C" w:rsidRPr="007837CC">
        <w:t>,</w:t>
      </w:r>
      <w:r w:rsidRPr="007837CC">
        <w:t xml:space="preserve"> the Treasury led a </w:t>
      </w:r>
      <w:r w:rsidR="00D33E14" w:rsidRPr="007837CC">
        <w:t>preliminary analysis show</w:t>
      </w:r>
      <w:r w:rsidRPr="007837CC">
        <w:t>ing</w:t>
      </w:r>
      <w:r w:rsidR="00D33E14" w:rsidRPr="007837CC">
        <w:t xml:space="preserve"> that the direct impact of higher emissions prices on households was likely to be moderate, on average. For example, </w:t>
      </w:r>
      <w:r w:rsidRPr="007837CC">
        <w:t xml:space="preserve">the analysis predicted that </w:t>
      </w:r>
      <w:r w:rsidR="00D33E14" w:rsidRPr="007837CC">
        <w:t xml:space="preserve">doubling emissions prices (to $50) from the 2019 level ($25) </w:t>
      </w:r>
      <w:r w:rsidRPr="007837CC">
        <w:t>would</w:t>
      </w:r>
      <w:r w:rsidR="00D33E14" w:rsidRPr="007837CC">
        <w:t xml:space="preserve"> increase costs for middle-income households by $3.40 (0.3</w:t>
      </w:r>
      <w:r w:rsidR="0068335D" w:rsidRPr="007837CC">
        <w:t xml:space="preserve"> per cent</w:t>
      </w:r>
      <w:r w:rsidR="00D33E14" w:rsidRPr="007837CC">
        <w:t>) per week</w:t>
      </w:r>
      <w:r w:rsidRPr="007837CC">
        <w:t>.</w:t>
      </w:r>
    </w:p>
    <w:p w14:paraId="5AF48D7B" w14:textId="7E367B13" w:rsidR="0041562F" w:rsidRPr="007837CC" w:rsidRDefault="0041562F" w:rsidP="00311E9F">
      <w:pPr>
        <w:pStyle w:val="BodyText"/>
      </w:pPr>
      <w:r w:rsidRPr="007837CC">
        <w:t xml:space="preserve">Additionally, recent analysis has concluded that </w:t>
      </w:r>
      <w:r w:rsidR="00D77199" w:rsidRPr="007837CC">
        <w:t>for every</w:t>
      </w:r>
      <w:r w:rsidRPr="007837CC">
        <w:t xml:space="preserve"> $10 increase in NZU prices </w:t>
      </w:r>
      <w:r w:rsidR="00D77199" w:rsidRPr="007837CC">
        <w:t>there would be only an approximately 0.1</w:t>
      </w:r>
      <w:r w:rsidR="0068335D" w:rsidRPr="007837CC">
        <w:t xml:space="preserve"> per cent </w:t>
      </w:r>
      <w:r w:rsidR="00D77199" w:rsidRPr="007837CC">
        <w:t>impact on inflation as measured by the C</w:t>
      </w:r>
      <w:r w:rsidR="008F45DC" w:rsidRPr="007837CC">
        <w:t xml:space="preserve">onsumer </w:t>
      </w:r>
      <w:r w:rsidR="00D77199" w:rsidRPr="007837CC">
        <w:t>P</w:t>
      </w:r>
      <w:r w:rsidR="008F45DC" w:rsidRPr="007837CC">
        <w:t>rice Index</w:t>
      </w:r>
      <w:r w:rsidR="00F63024" w:rsidRPr="007837CC">
        <w:t>.</w:t>
      </w:r>
      <w:r w:rsidR="00DD5E4B" w:rsidRPr="007837CC">
        <w:t xml:space="preserve"> </w:t>
      </w:r>
    </w:p>
    <w:p w14:paraId="7A4CC2C5" w14:textId="4503A194" w:rsidR="005E1720" w:rsidRPr="007837CC" w:rsidRDefault="005E1720" w:rsidP="0068335D">
      <w:pPr>
        <w:pStyle w:val="BodyText"/>
      </w:pPr>
      <w:r w:rsidRPr="007837CC">
        <w:t>While absolute expenditure on emissions prices tends to rise with income, expenditure on emissions prices makes up a larger share of income of lower income households (</w:t>
      </w:r>
      <w:r w:rsidR="0068335D" w:rsidRPr="007837CC">
        <w:t>f</w:t>
      </w:r>
      <w:r w:rsidRPr="007837CC">
        <w:t xml:space="preserve">igure </w:t>
      </w:r>
      <w:r w:rsidR="0068335D" w:rsidRPr="007837CC">
        <w:t>2</w:t>
      </w:r>
      <w:r w:rsidRPr="007837CC">
        <w:t xml:space="preserve">). </w:t>
      </w:r>
      <w:r w:rsidR="0068335D" w:rsidRPr="007837CC">
        <w:t>We</w:t>
      </w:r>
      <w:r w:rsidR="00803761" w:rsidRPr="007837CC">
        <w:t> </w:t>
      </w:r>
      <w:r w:rsidRPr="007837CC">
        <w:t>estimate that at an emissions price of $75/tonne, expenditure on emissions makes up, on</w:t>
      </w:r>
      <w:r w:rsidR="00803761" w:rsidRPr="007837CC">
        <w:t> </w:t>
      </w:r>
      <w:r w:rsidRPr="007837CC">
        <w:t>average, about 0.5</w:t>
      </w:r>
      <w:r w:rsidR="0068335D" w:rsidRPr="007837CC">
        <w:t xml:space="preserve"> per cent</w:t>
      </w:r>
      <w:r w:rsidRPr="007837CC">
        <w:t xml:space="preserve"> of household gross income (just under $500 per annum per household).</w:t>
      </w:r>
    </w:p>
    <w:p w14:paraId="6DD8ECE2" w14:textId="375A7565" w:rsidR="005E1720" w:rsidRPr="007837CC" w:rsidRDefault="005E1720" w:rsidP="00803761">
      <w:pPr>
        <w:pStyle w:val="Figureheading"/>
        <w:spacing w:after="80"/>
      </w:pPr>
      <w:bookmarkStart w:id="72" w:name="_Toc132366192"/>
      <w:r w:rsidRPr="007837CC">
        <w:lastRenderedPageBreak/>
        <w:t xml:space="preserve">Figure </w:t>
      </w:r>
      <w:r w:rsidR="0068335D" w:rsidRPr="007837CC">
        <w:t>2</w:t>
      </w:r>
      <w:r w:rsidR="00A63A81" w:rsidRPr="007837CC">
        <w:t>:</w:t>
      </w:r>
      <w:r w:rsidR="00A63A81" w:rsidRPr="007837CC">
        <w:tab/>
      </w:r>
      <w:r w:rsidRPr="007837CC">
        <w:t xml:space="preserve">Estimated household expenditure on emissions prices at current levels </w:t>
      </w:r>
      <w:r w:rsidR="00803761" w:rsidRPr="007837CC">
        <w:br/>
      </w:r>
      <w:r w:rsidRPr="007837CC">
        <w:t>(NZU price of $75/tonne)</w:t>
      </w:r>
      <w:bookmarkEnd w:id="72"/>
    </w:p>
    <w:p w14:paraId="307C3C20" w14:textId="4097A215" w:rsidR="00803761" w:rsidRPr="007837CC" w:rsidRDefault="00782543" w:rsidP="00803761">
      <w:pPr>
        <w:pStyle w:val="BodyText"/>
      </w:pPr>
      <w:r>
        <w:rPr>
          <w:noProof/>
        </w:rPr>
        <w:drawing>
          <wp:inline distT="0" distB="0" distL="0" distR="0" wp14:anchorId="1431D7BF" wp14:editId="5AF5E98D">
            <wp:extent cx="5400675" cy="32423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675" cy="3242310"/>
                    </a:xfrm>
                    <a:prstGeom prst="rect">
                      <a:avLst/>
                    </a:prstGeom>
                  </pic:spPr>
                </pic:pic>
              </a:graphicData>
            </a:graphic>
          </wp:inline>
        </w:drawing>
      </w:r>
    </w:p>
    <w:p w14:paraId="6524D3AB" w14:textId="0A3BBADC" w:rsidR="00803761" w:rsidRPr="007837CC" w:rsidRDefault="005E1720" w:rsidP="0050027A">
      <w:pPr>
        <w:pStyle w:val="Note"/>
        <w:spacing w:before="40"/>
      </w:pPr>
      <w:r w:rsidRPr="007837CC">
        <w:t>Source: Stats NZ, MfE, MfE calculations</w:t>
      </w:r>
    </w:p>
    <w:p w14:paraId="36049AE7" w14:textId="3EFF3E74" w:rsidR="005E1720" w:rsidRPr="007837CC" w:rsidRDefault="005E1720" w:rsidP="00803761">
      <w:pPr>
        <w:pStyle w:val="Note"/>
      </w:pPr>
      <w:r w:rsidRPr="007837CC">
        <w:t xml:space="preserve">Vertical bars on the chart denote the change in expenditure as a </w:t>
      </w:r>
      <w:r w:rsidR="0068335D" w:rsidRPr="007837CC">
        <w:t xml:space="preserve">percentage </w:t>
      </w:r>
      <w:r w:rsidRPr="007837CC">
        <w:t xml:space="preserve">of the lower and upper brackets of each income decile, while the square denotes the change as a </w:t>
      </w:r>
      <w:r w:rsidR="0068335D" w:rsidRPr="007837CC">
        <w:t xml:space="preserve">percentage </w:t>
      </w:r>
      <w:r w:rsidRPr="007837CC">
        <w:t>of the mid</w:t>
      </w:r>
      <w:r w:rsidR="0068335D" w:rsidRPr="007837CC">
        <w:t>-</w:t>
      </w:r>
      <w:r w:rsidRPr="007837CC">
        <w:t xml:space="preserve">point of each income decile. </w:t>
      </w:r>
    </w:p>
    <w:p w14:paraId="76EE9EBF" w14:textId="0AFBB12F" w:rsidR="009B6ECA" w:rsidRPr="007837CC" w:rsidRDefault="009B6ECA" w:rsidP="009B6ECA">
      <w:pPr>
        <w:pStyle w:val="BodyText"/>
      </w:pPr>
      <w:r w:rsidRPr="007837CC">
        <w:t xml:space="preserve">In its analysis of impacts on households, the Commission reaches the overall conclusion that the potential impacts are moderate but not insignificant. It finds that: </w:t>
      </w:r>
    </w:p>
    <w:p w14:paraId="3B4D0909" w14:textId="77777777" w:rsidR="009B6ECA" w:rsidRPr="007837CC" w:rsidRDefault="009B6ECA" w:rsidP="009B6ECA">
      <w:pPr>
        <w:pStyle w:val="Quote"/>
      </w:pPr>
      <w:r w:rsidRPr="007837CC">
        <w:t xml:space="preserve">A rising emissions price risks exacerbating inequities already experienced by many people in socioeconomically disadvantaged groups – including Māori and Pasifika communities, </w:t>
      </w:r>
      <w:proofErr w:type="gramStart"/>
      <w:r w:rsidRPr="007837CC">
        <w:t>low income</w:t>
      </w:r>
      <w:proofErr w:type="gramEnd"/>
      <w:r w:rsidRPr="007837CC">
        <w:t xml:space="preserve"> New Zealanders, women, and people with disabilities …</w:t>
      </w:r>
    </w:p>
    <w:p w14:paraId="15607DA8" w14:textId="77777777" w:rsidR="009B6ECA" w:rsidRPr="007837CC" w:rsidRDefault="009B6ECA" w:rsidP="009B6ECA">
      <w:pPr>
        <w:pStyle w:val="Quote"/>
        <w:spacing w:after="120"/>
      </w:pPr>
      <w:r w:rsidRPr="007837CC">
        <w:t xml:space="preserve">While the magnitude of the impacts across households and the economy </w:t>
      </w:r>
      <w:proofErr w:type="gramStart"/>
      <w:r w:rsidRPr="007837CC">
        <w:t>appear</w:t>
      </w:r>
      <w:proofErr w:type="gramEnd"/>
      <w:r w:rsidRPr="007837CC">
        <w:t xml:space="preserve"> moderate, they are not insignificant or evenly distributed.</w:t>
      </w:r>
    </w:p>
    <w:p w14:paraId="6C9FDD8F" w14:textId="18073A95" w:rsidR="009B6ECA" w:rsidRPr="007837CC" w:rsidRDefault="009B6ECA" w:rsidP="00323165">
      <w:pPr>
        <w:pStyle w:val="BodyText"/>
      </w:pPr>
      <w:r w:rsidRPr="007837CC">
        <w:t>The Commission urges the Government to put in place complementary policies to deliver on a just transition. Doing so would reduce the need to address unacceptable impacts through the price controls in the NZ ETS.</w:t>
      </w:r>
    </w:p>
    <w:p w14:paraId="76BBB526" w14:textId="305BC057" w:rsidR="00AF2B5C" w:rsidRPr="007837CC" w:rsidRDefault="00AF2B5C" w:rsidP="00EB4A6F">
      <w:pPr>
        <w:pStyle w:val="Heading3"/>
      </w:pPr>
      <w:r w:rsidRPr="007837CC">
        <w:t>Impacts on emissions-intensive and trade-exposed firms</w:t>
      </w:r>
    </w:p>
    <w:p w14:paraId="7E7C9A65" w14:textId="68292568" w:rsidR="00851D6B" w:rsidRPr="007837CC" w:rsidRDefault="00906304" w:rsidP="00851D6B">
      <w:pPr>
        <w:pStyle w:val="BodyText"/>
      </w:pPr>
      <w:r w:rsidRPr="007837CC">
        <w:t xml:space="preserve">Some businesses are eligible to be </w:t>
      </w:r>
      <w:r w:rsidR="00B97EBB" w:rsidRPr="007837CC">
        <w:t xml:space="preserve">freely </w:t>
      </w:r>
      <w:r w:rsidRPr="007837CC">
        <w:t xml:space="preserve">allocated </w:t>
      </w:r>
      <w:r w:rsidR="00E01148" w:rsidRPr="007837CC">
        <w:t>NZUs</w:t>
      </w:r>
      <w:r w:rsidRPr="007837CC">
        <w:t xml:space="preserve"> under the NZ ETS. This ‘industrial allocation’ reduces the risk of emissions leakage – </w:t>
      </w:r>
      <w:r w:rsidR="008A28F5" w:rsidRPr="007837CC">
        <w:t xml:space="preserve">that is, </w:t>
      </w:r>
      <w:r w:rsidRPr="007837CC">
        <w:t xml:space="preserve">the risk </w:t>
      </w:r>
      <w:r w:rsidR="008A28F5" w:rsidRPr="007837CC">
        <w:t>that</w:t>
      </w:r>
      <w:r w:rsidRPr="007837CC">
        <w:t xml:space="preserve"> New Zealand companies </w:t>
      </w:r>
      <w:r w:rsidR="008A28F5" w:rsidRPr="007837CC">
        <w:t>wi</w:t>
      </w:r>
      <w:r w:rsidR="00B65128" w:rsidRPr="007837CC">
        <w:t>l</w:t>
      </w:r>
      <w:r w:rsidR="008A28F5" w:rsidRPr="007837CC">
        <w:t xml:space="preserve">l </w:t>
      </w:r>
      <w:r w:rsidRPr="007837CC">
        <w:t>los</w:t>
      </w:r>
      <w:r w:rsidR="008A28F5" w:rsidRPr="007837CC">
        <w:t>e</w:t>
      </w:r>
      <w:r w:rsidRPr="007837CC">
        <w:t xml:space="preserve"> market share </w:t>
      </w:r>
      <w:r w:rsidR="008A28F5" w:rsidRPr="007837CC">
        <w:t xml:space="preserve">through emissions pricing </w:t>
      </w:r>
      <w:r w:rsidRPr="007837CC">
        <w:t xml:space="preserve">or </w:t>
      </w:r>
      <w:r w:rsidR="00B65128" w:rsidRPr="007837CC">
        <w:t xml:space="preserve">will </w:t>
      </w:r>
      <w:r w:rsidRPr="007837CC">
        <w:t xml:space="preserve">shift overseas to avoid </w:t>
      </w:r>
      <w:r w:rsidR="008A28F5" w:rsidRPr="007837CC">
        <w:t>it</w:t>
      </w:r>
      <w:r w:rsidRPr="007837CC">
        <w:t>.</w:t>
      </w:r>
    </w:p>
    <w:p w14:paraId="353C5151" w14:textId="4BD37EB8" w:rsidR="004F5C67" w:rsidRPr="007837CC" w:rsidRDefault="00344A9A" w:rsidP="00AF2B5C">
      <w:pPr>
        <w:pStyle w:val="BodyText"/>
      </w:pPr>
      <w:r w:rsidRPr="007837CC">
        <w:t>Although</w:t>
      </w:r>
      <w:r w:rsidR="008A28F5" w:rsidRPr="007837CC">
        <w:t xml:space="preserve"> industrial allocation supports</w:t>
      </w:r>
      <w:r w:rsidRPr="007837CC">
        <w:t xml:space="preserve"> emissions-intensive and trade-exposed </w:t>
      </w:r>
      <w:r w:rsidR="005C6606" w:rsidRPr="007837CC">
        <w:t xml:space="preserve">(EITE) </w:t>
      </w:r>
      <w:r w:rsidRPr="007837CC">
        <w:t xml:space="preserve">firms by </w:t>
      </w:r>
      <w:r w:rsidR="008A28F5" w:rsidRPr="007837CC">
        <w:t xml:space="preserve">meeting </w:t>
      </w:r>
      <w:r w:rsidRPr="007837CC">
        <w:t>a portion of their emissions costs</w:t>
      </w:r>
      <w:r w:rsidR="004F5C67" w:rsidRPr="007837CC">
        <w:t xml:space="preserve">, </w:t>
      </w:r>
      <w:r w:rsidR="008A28F5" w:rsidRPr="007837CC">
        <w:t xml:space="preserve">these firms </w:t>
      </w:r>
      <w:r w:rsidR="004F5C67" w:rsidRPr="007837CC">
        <w:t xml:space="preserve">still face a net, or residual, </w:t>
      </w:r>
      <w:r w:rsidR="00A34045" w:rsidRPr="007837CC">
        <w:t xml:space="preserve">NZ </w:t>
      </w:r>
      <w:r w:rsidR="004F5C67" w:rsidRPr="007837CC">
        <w:t>ETS cost.</w:t>
      </w:r>
      <w:r w:rsidR="005C6606" w:rsidRPr="007837CC">
        <w:t xml:space="preserve"> As NZU prices rise, the net </w:t>
      </w:r>
      <w:r w:rsidR="00AA1FE0" w:rsidRPr="007837CC">
        <w:t xml:space="preserve">NZ </w:t>
      </w:r>
      <w:r w:rsidR="005C6606" w:rsidRPr="007837CC">
        <w:t>ETS costs EITE firms</w:t>
      </w:r>
      <w:r w:rsidR="008A28F5" w:rsidRPr="007837CC">
        <w:t xml:space="preserve"> face</w:t>
      </w:r>
      <w:r w:rsidR="005C6606" w:rsidRPr="007837CC">
        <w:t xml:space="preserve"> also rise. </w:t>
      </w:r>
    </w:p>
    <w:p w14:paraId="7E5277CC" w14:textId="6972C37E" w:rsidR="00BF5D7B" w:rsidRPr="007837CC" w:rsidRDefault="008A28F5" w:rsidP="00A709DD">
      <w:pPr>
        <w:pStyle w:val="BodyText"/>
      </w:pPr>
      <w:r w:rsidRPr="007837CC">
        <w:t>P</w:t>
      </w:r>
      <w:r w:rsidR="005C6606" w:rsidRPr="007837CC">
        <w:t xml:space="preserve">revious analysis on </w:t>
      </w:r>
      <w:r w:rsidR="00042202" w:rsidRPr="007837CC">
        <w:t xml:space="preserve">industrial allocation and profitability found that </w:t>
      </w:r>
      <w:proofErr w:type="gramStart"/>
      <w:r w:rsidR="00042202" w:rsidRPr="007837CC">
        <w:t>for the production of</w:t>
      </w:r>
      <w:proofErr w:type="gramEnd"/>
      <w:r w:rsidR="005F115E" w:rsidRPr="007837CC">
        <w:t> </w:t>
      </w:r>
      <w:r w:rsidR="00042202" w:rsidRPr="007837CC">
        <w:t xml:space="preserve">burnt lime, </w:t>
      </w:r>
      <w:proofErr w:type="spellStart"/>
      <w:r w:rsidR="00042202" w:rsidRPr="007837CC">
        <w:t>cartonboard</w:t>
      </w:r>
      <w:proofErr w:type="spellEnd"/>
      <w:r w:rsidR="00042202" w:rsidRPr="007837CC">
        <w:t xml:space="preserve"> and cement</w:t>
      </w:r>
      <w:r w:rsidR="0074005D" w:rsidRPr="007837CC">
        <w:t>,</w:t>
      </w:r>
      <w:r w:rsidR="00577D35" w:rsidRPr="007837CC">
        <w:t xml:space="preserve"> emissions leakage is expected to occur at </w:t>
      </w:r>
      <w:r w:rsidR="005F0FAF" w:rsidRPr="007837CC">
        <w:t xml:space="preserve">various </w:t>
      </w:r>
      <w:r w:rsidR="00577D35" w:rsidRPr="007837CC">
        <w:lastRenderedPageBreak/>
        <w:t>net</w:t>
      </w:r>
      <w:r w:rsidR="005F115E" w:rsidRPr="007837CC">
        <w:t> </w:t>
      </w:r>
      <w:r w:rsidR="00E4118E" w:rsidRPr="007837CC">
        <w:t>NZ</w:t>
      </w:r>
      <w:r w:rsidR="0050027A" w:rsidRPr="007837CC">
        <w:t> </w:t>
      </w:r>
      <w:r w:rsidR="00577D35" w:rsidRPr="007837CC">
        <w:t>ETS costs</w:t>
      </w:r>
      <w:r w:rsidR="0050027A" w:rsidRPr="007837CC">
        <w:t>.</w:t>
      </w:r>
      <w:r w:rsidR="00E939F6" w:rsidRPr="007837CC">
        <w:rPr>
          <w:rStyle w:val="FootnoteReference"/>
        </w:rPr>
        <w:footnoteReference w:id="30"/>
      </w:r>
      <w:r w:rsidR="00577D35" w:rsidRPr="007837CC">
        <w:t xml:space="preserve"> </w:t>
      </w:r>
      <w:r w:rsidR="00A302ED" w:rsidRPr="007837CC">
        <w:t xml:space="preserve">Table </w:t>
      </w:r>
      <w:r w:rsidR="0068335D" w:rsidRPr="007837CC">
        <w:t xml:space="preserve">23 shows </w:t>
      </w:r>
      <w:r w:rsidR="009A70CB" w:rsidRPr="007837CC">
        <w:t>the results of</w:t>
      </w:r>
      <w:r w:rsidR="00A302ED" w:rsidRPr="007837CC">
        <w:t xml:space="preserve"> this analysis, as well as the NZU price in 2030</w:t>
      </w:r>
      <w:r w:rsidR="005F115E" w:rsidRPr="007837CC">
        <w:t> </w:t>
      </w:r>
      <w:r w:rsidR="00A302ED" w:rsidRPr="007837CC">
        <w:t>at</w:t>
      </w:r>
      <w:r w:rsidR="0050027A" w:rsidRPr="007837CC">
        <w:t> </w:t>
      </w:r>
      <w:r w:rsidR="00A302ED" w:rsidRPr="007837CC">
        <w:t xml:space="preserve">which </w:t>
      </w:r>
      <w:r w:rsidR="009A70CB" w:rsidRPr="007837CC">
        <w:t xml:space="preserve">emissions leakage </w:t>
      </w:r>
      <w:r w:rsidR="00A302ED" w:rsidRPr="007837CC">
        <w:t xml:space="preserve">would occur, </w:t>
      </w:r>
      <w:r w:rsidR="00BA6D3F" w:rsidRPr="007837CC">
        <w:t>based on existing</w:t>
      </w:r>
      <w:r w:rsidR="009A70CB" w:rsidRPr="007837CC">
        <w:t xml:space="preserve"> phase-out rates for</w:t>
      </w:r>
      <w:r w:rsidR="00BA6D3F" w:rsidRPr="007837CC">
        <w:t xml:space="preserve"> industrial</w:t>
      </w:r>
      <w:r w:rsidR="005F115E" w:rsidRPr="007837CC">
        <w:t> </w:t>
      </w:r>
      <w:r w:rsidR="00BA6D3F" w:rsidRPr="007837CC">
        <w:t>allocation</w:t>
      </w:r>
      <w:r w:rsidR="00577D35" w:rsidRPr="007837CC">
        <w:t xml:space="preserve">. </w:t>
      </w:r>
    </w:p>
    <w:p w14:paraId="692259DD" w14:textId="6C7A2734" w:rsidR="0061086A" w:rsidRPr="007837CC" w:rsidRDefault="002C717C" w:rsidP="00AF2B5C">
      <w:pPr>
        <w:pStyle w:val="BodyText"/>
      </w:pPr>
      <w:r w:rsidRPr="007837CC">
        <w:t>In 2023, these industries will receive allocation to meet 87</w:t>
      </w:r>
      <w:r w:rsidR="009A70CB" w:rsidRPr="007837CC">
        <w:t xml:space="preserve"> per cent</w:t>
      </w:r>
      <w:r w:rsidRPr="007837CC">
        <w:t xml:space="preserve"> of</w:t>
      </w:r>
      <w:r w:rsidR="009510DE" w:rsidRPr="007837CC">
        <w:t xml:space="preserve"> their</w:t>
      </w:r>
      <w:r w:rsidRPr="007837CC">
        <w:t xml:space="preserve"> emissions costs. At</w:t>
      </w:r>
      <w:r w:rsidR="00FD4DC2" w:rsidRPr="007837CC">
        <w:t> </w:t>
      </w:r>
      <w:r w:rsidRPr="007837CC">
        <w:t>prices of $</w:t>
      </w:r>
      <w:r w:rsidR="12DDF2B9" w:rsidRPr="007837CC">
        <w:t>7</w:t>
      </w:r>
      <w:r w:rsidRPr="007837CC">
        <w:t xml:space="preserve">0, this </w:t>
      </w:r>
      <w:r w:rsidR="009510DE" w:rsidRPr="007837CC">
        <w:t>translate</w:t>
      </w:r>
      <w:r w:rsidR="005E1720" w:rsidRPr="007837CC">
        <w:t>d</w:t>
      </w:r>
      <w:r w:rsidR="009510DE" w:rsidRPr="007837CC">
        <w:t xml:space="preserve"> to</w:t>
      </w:r>
      <w:r w:rsidR="001C38F6" w:rsidRPr="007837CC">
        <w:t xml:space="preserve"> net ETS costs </w:t>
      </w:r>
      <w:r w:rsidR="084F6B98" w:rsidRPr="007837CC">
        <w:t xml:space="preserve">net of </w:t>
      </w:r>
      <w:r w:rsidR="001C38F6" w:rsidRPr="007837CC">
        <w:t>allocation of $</w:t>
      </w:r>
      <w:r w:rsidR="19824B91" w:rsidRPr="007837CC">
        <w:t>9</w:t>
      </w:r>
      <w:r w:rsidR="001C38F6" w:rsidRPr="007837CC">
        <w:t xml:space="preserve"> a tonne, and this will rise as industrial allocation is phased out. </w:t>
      </w:r>
    </w:p>
    <w:p w14:paraId="334BE5A1" w14:textId="314DD6DE" w:rsidR="005C6606" w:rsidRPr="007837CC" w:rsidRDefault="00121001" w:rsidP="00AF2B5C">
      <w:pPr>
        <w:pStyle w:val="BodyText"/>
      </w:pPr>
      <w:proofErr w:type="gramStart"/>
      <w:r w:rsidRPr="007837CC">
        <w:t>I</w:t>
      </w:r>
      <w:r w:rsidR="00614C31" w:rsidRPr="007837CC">
        <w:t>n the event that</w:t>
      </w:r>
      <w:proofErr w:type="gramEnd"/>
      <w:r w:rsidR="006E15CA" w:rsidRPr="007837CC">
        <w:t xml:space="preserve"> prices </w:t>
      </w:r>
      <w:r w:rsidR="00756147" w:rsidRPr="007837CC">
        <w:t xml:space="preserve">increased </w:t>
      </w:r>
      <w:r w:rsidR="00C37F93" w:rsidRPr="007837CC">
        <w:t xml:space="preserve">to reach the </w:t>
      </w:r>
      <w:r w:rsidR="001C38F6" w:rsidRPr="007837CC">
        <w:t xml:space="preserve">Commission’s recommended </w:t>
      </w:r>
      <w:r w:rsidR="009510DE" w:rsidRPr="007837CC">
        <w:t>CCR</w:t>
      </w:r>
      <w:r w:rsidR="00C37F93" w:rsidRPr="007837CC">
        <w:t xml:space="preserve"> trigger prices,</w:t>
      </w:r>
      <w:r w:rsidR="005F115E" w:rsidRPr="007837CC">
        <w:t> </w:t>
      </w:r>
      <w:r w:rsidR="00C37F93" w:rsidRPr="007837CC">
        <w:t>this</w:t>
      </w:r>
      <w:r w:rsidR="009510DE" w:rsidRPr="007837CC">
        <w:t xml:space="preserve"> price rise</w:t>
      </w:r>
      <w:r w:rsidR="002F6D67" w:rsidRPr="007837CC">
        <w:t>, in combination with the phase-out of industrial allocation,</w:t>
      </w:r>
      <w:r w:rsidR="00C37F93" w:rsidRPr="007837CC">
        <w:t xml:space="preserve"> </w:t>
      </w:r>
      <w:r w:rsidR="00556CA0" w:rsidRPr="007837CC">
        <w:t>might</w:t>
      </w:r>
      <w:r w:rsidR="001C38F6" w:rsidRPr="007837CC">
        <w:t xml:space="preserve"> have the impact of closing down </w:t>
      </w:r>
      <w:r w:rsidR="006D22F6" w:rsidRPr="007837CC">
        <w:t>firms in some</w:t>
      </w:r>
      <w:r w:rsidR="00C37F93" w:rsidRPr="007837CC">
        <w:t xml:space="preserve"> </w:t>
      </w:r>
      <w:r w:rsidR="001C38F6" w:rsidRPr="007837CC">
        <w:t>industries</w:t>
      </w:r>
      <w:r w:rsidR="00827D09" w:rsidRPr="007837CC">
        <w:t>,</w:t>
      </w:r>
      <w:r w:rsidR="001C38F6" w:rsidRPr="007837CC">
        <w:t xml:space="preserve"> </w:t>
      </w:r>
      <w:r w:rsidR="00556CA0" w:rsidRPr="007837CC">
        <w:t>unless they rapidly decarbonise</w:t>
      </w:r>
      <w:r w:rsidR="001C38F6" w:rsidRPr="007837CC">
        <w:t xml:space="preserve">. </w:t>
      </w:r>
      <w:r w:rsidR="009510DE" w:rsidRPr="007837CC">
        <w:t>While a</w:t>
      </w:r>
      <w:r w:rsidR="001C38F6" w:rsidRPr="007837CC">
        <w:t xml:space="preserve">nalysis </w:t>
      </w:r>
      <w:r w:rsidR="009510DE" w:rsidRPr="007837CC">
        <w:t xml:space="preserve">of </w:t>
      </w:r>
      <w:r w:rsidR="001C38F6" w:rsidRPr="007837CC">
        <w:t xml:space="preserve">other industries is less thorough, submissions and </w:t>
      </w:r>
      <w:r w:rsidR="00851D6B" w:rsidRPr="007837CC">
        <w:t xml:space="preserve">initial modelling as part of the recent work on </w:t>
      </w:r>
      <w:r w:rsidR="00827D09" w:rsidRPr="007837CC">
        <w:t>reforming</w:t>
      </w:r>
      <w:r w:rsidR="00851D6B" w:rsidRPr="007837CC">
        <w:t xml:space="preserve"> industrial allocation </w:t>
      </w:r>
      <w:r w:rsidR="00827D09" w:rsidRPr="007837CC">
        <w:t>policy</w:t>
      </w:r>
      <w:r w:rsidR="00851D6B" w:rsidRPr="007837CC">
        <w:t xml:space="preserve"> </w:t>
      </w:r>
      <w:r w:rsidR="00C37F93" w:rsidRPr="007837CC">
        <w:t xml:space="preserve">highlight </w:t>
      </w:r>
      <w:r w:rsidR="00851D6B" w:rsidRPr="007837CC">
        <w:t>that</w:t>
      </w:r>
      <w:r w:rsidR="009510DE" w:rsidRPr="007837CC">
        <w:t>, for</w:t>
      </w:r>
      <w:r w:rsidR="00851D6B" w:rsidRPr="007837CC">
        <w:t xml:space="preserve"> </w:t>
      </w:r>
      <w:r w:rsidR="00C37F93" w:rsidRPr="007837CC">
        <w:t>firms carrying out</w:t>
      </w:r>
      <w:r w:rsidR="00B65128" w:rsidRPr="007837CC">
        <w:t xml:space="preserve"> any of</w:t>
      </w:r>
      <w:r w:rsidR="00C37F93" w:rsidRPr="007837CC">
        <w:t xml:space="preserve"> the</w:t>
      </w:r>
      <w:r w:rsidR="00851D6B" w:rsidRPr="007837CC">
        <w:t xml:space="preserve"> 26 activities eligible for industrial allocation</w:t>
      </w:r>
      <w:r w:rsidR="009510DE" w:rsidRPr="007837CC">
        <w:t>,</w:t>
      </w:r>
      <w:r w:rsidR="00851D6B" w:rsidRPr="007837CC">
        <w:t xml:space="preserve"> </w:t>
      </w:r>
      <w:r w:rsidR="009510DE" w:rsidRPr="007837CC">
        <w:t>their</w:t>
      </w:r>
      <w:r w:rsidR="00851D6B" w:rsidRPr="007837CC">
        <w:t xml:space="preserve"> risk of closure </w:t>
      </w:r>
      <w:r w:rsidR="009510DE" w:rsidRPr="007837CC">
        <w:t xml:space="preserve">would increase </w:t>
      </w:r>
      <w:r w:rsidR="00C37F93" w:rsidRPr="007837CC">
        <w:t>if</w:t>
      </w:r>
      <w:r w:rsidR="00851D6B" w:rsidRPr="007837CC">
        <w:t xml:space="preserve"> NZU prices</w:t>
      </w:r>
      <w:r w:rsidR="00C37F93" w:rsidRPr="007837CC">
        <w:t xml:space="preserve"> rise towards these levels.</w:t>
      </w:r>
      <w:r w:rsidR="005D3339" w:rsidRPr="007837CC">
        <w:t xml:space="preserve"> </w:t>
      </w:r>
    </w:p>
    <w:p w14:paraId="2390AB6C" w14:textId="6E62EB74" w:rsidR="0053672E" w:rsidRPr="007837CC" w:rsidRDefault="00210CBE" w:rsidP="00AF2B5C">
      <w:pPr>
        <w:pStyle w:val="BodyText"/>
      </w:pPr>
      <w:r>
        <w:t xml:space="preserve">Table 23 </w:t>
      </w:r>
      <w:r w:rsidR="0053672E" w:rsidRPr="007837CC">
        <w:t xml:space="preserve">shows the NZU price at which </w:t>
      </w:r>
      <w:r w:rsidR="00A86C3F" w:rsidRPr="007837CC">
        <w:t xml:space="preserve">closure is expected to occur for </w:t>
      </w:r>
      <w:r w:rsidR="00B1626F" w:rsidRPr="007837CC">
        <w:t xml:space="preserve">production of </w:t>
      </w:r>
      <w:proofErr w:type="spellStart"/>
      <w:r w:rsidR="00787F5F" w:rsidRPr="007837CC">
        <w:t>cartonboard</w:t>
      </w:r>
      <w:proofErr w:type="spellEnd"/>
      <w:r w:rsidR="00787F5F" w:rsidRPr="007837CC">
        <w:t>, cement and burnt lime</w:t>
      </w:r>
      <w:r w:rsidR="003B2E6F" w:rsidRPr="007837CC">
        <w:t>, and the corresponding</w:t>
      </w:r>
      <w:r w:rsidR="00DD7603" w:rsidRPr="007837CC">
        <w:t xml:space="preserve"> ‘</w:t>
      </w:r>
      <w:r w:rsidR="003B2E6F" w:rsidRPr="007837CC">
        <w:t>residual</w:t>
      </w:r>
      <w:r w:rsidR="00DD7603" w:rsidRPr="007837CC">
        <w:t xml:space="preserve"> ETS cost’</w:t>
      </w:r>
      <w:r w:rsidR="003B2E6F" w:rsidRPr="007837CC">
        <w:t xml:space="preserve"> remaining at these NZU prices after industrial allocation is </w:t>
      </w:r>
      <w:proofErr w:type="gramStart"/>
      <w:r w:rsidR="003B2E6F" w:rsidRPr="007837CC">
        <w:t>taken into account</w:t>
      </w:r>
      <w:proofErr w:type="gramEnd"/>
      <w:r w:rsidR="003B2E6F" w:rsidRPr="007837CC">
        <w:t>.</w:t>
      </w:r>
      <w:r w:rsidR="00DD7603" w:rsidRPr="007837CC">
        <w:t xml:space="preserve"> </w:t>
      </w:r>
      <w:r w:rsidR="00185BA7" w:rsidRPr="007837CC">
        <w:t xml:space="preserve">It is likely that firms carrying out some other activities eligible for industrial allocation are similarly affected. </w:t>
      </w:r>
    </w:p>
    <w:p w14:paraId="265D6043" w14:textId="4E7511FA" w:rsidR="00A54419" w:rsidRPr="007837CC" w:rsidRDefault="004F23CC" w:rsidP="00573718">
      <w:pPr>
        <w:pStyle w:val="Tableheading"/>
      </w:pPr>
      <w:bookmarkStart w:id="73" w:name="_Toc133927354"/>
      <w:r w:rsidRPr="007837CC">
        <w:t xml:space="preserve">Table </w:t>
      </w:r>
      <w:r w:rsidR="0068335D" w:rsidRPr="007837CC">
        <w:t>23</w:t>
      </w:r>
      <w:r w:rsidR="005319FD" w:rsidRPr="007837CC">
        <w:t xml:space="preserve">: </w:t>
      </w:r>
      <w:r w:rsidR="00A709DD" w:rsidRPr="007837CC">
        <w:tab/>
      </w:r>
      <w:r w:rsidR="003B2E6F" w:rsidRPr="007837CC">
        <w:t xml:space="preserve">Residual </w:t>
      </w:r>
      <w:r w:rsidR="006B37B0" w:rsidRPr="007837CC">
        <w:t xml:space="preserve">NZ </w:t>
      </w:r>
      <w:r w:rsidR="00C41009" w:rsidRPr="007837CC">
        <w:t>ETS cost</w:t>
      </w:r>
      <w:r w:rsidR="003B2E6F" w:rsidRPr="007837CC">
        <w:t xml:space="preserve"> after industrial allocation</w:t>
      </w:r>
      <w:r w:rsidR="005319FD" w:rsidRPr="007837CC">
        <w:t>, and corresponding NZU price</w:t>
      </w:r>
      <w:r w:rsidR="00C41009" w:rsidRPr="007837CC">
        <w:t xml:space="preserve"> </w:t>
      </w:r>
      <w:r w:rsidR="003275A9" w:rsidRPr="007837CC">
        <w:t xml:space="preserve">in 2030 </w:t>
      </w:r>
      <w:r w:rsidR="00C41009" w:rsidRPr="007837CC">
        <w:t>at</w:t>
      </w:r>
      <w:r w:rsidR="006101B7" w:rsidRPr="007837CC">
        <w:t> </w:t>
      </w:r>
      <w:r w:rsidR="00C41009" w:rsidRPr="007837CC">
        <w:t xml:space="preserve">which activities eligible for </w:t>
      </w:r>
      <w:r w:rsidR="009F32C2" w:rsidRPr="007837CC">
        <w:t xml:space="preserve">industrial allocation </w:t>
      </w:r>
      <w:proofErr w:type="gramStart"/>
      <w:r w:rsidR="009F32C2" w:rsidRPr="007837CC">
        <w:t>close</w:t>
      </w:r>
      <w:bookmarkStart w:id="74" w:name="_Toc345760336"/>
      <w:bookmarkEnd w:id="73"/>
      <w:proofErr w:type="gramEnd"/>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Look w:val="04A0" w:firstRow="1" w:lastRow="0" w:firstColumn="1" w:lastColumn="0" w:noHBand="0" w:noVBand="1"/>
      </w:tblPr>
      <w:tblGrid>
        <w:gridCol w:w="2127"/>
        <w:gridCol w:w="943"/>
        <w:gridCol w:w="1087"/>
        <w:gridCol w:w="1087"/>
        <w:gridCol w:w="1087"/>
        <w:gridCol w:w="1087"/>
        <w:gridCol w:w="1087"/>
      </w:tblGrid>
      <w:tr w:rsidR="00A709DD" w:rsidRPr="007837CC" w14:paraId="7C1C0877" w14:textId="77777777" w:rsidTr="00A709DD">
        <w:tc>
          <w:tcPr>
            <w:tcW w:w="2127" w:type="dxa"/>
            <w:vMerge w:val="restart"/>
            <w:tcBorders>
              <w:bottom w:val="nil"/>
              <w:right w:val="nil"/>
            </w:tcBorders>
            <w:shd w:val="clear" w:color="auto" w:fill="1B556B" w:themeFill="text2"/>
            <w:noWrap/>
            <w:vAlign w:val="bottom"/>
            <w:hideMark/>
          </w:tcPr>
          <w:p w14:paraId="1DC3ED3C" w14:textId="360627D1" w:rsidR="003275A9" w:rsidRPr="007837CC" w:rsidRDefault="003275A9" w:rsidP="0045208F">
            <w:pPr>
              <w:pStyle w:val="TableTextbold"/>
              <w:keepNext/>
              <w:spacing w:before="40" w:after="40"/>
              <w:rPr>
                <w:color w:val="FFFFFF" w:themeColor="background1"/>
              </w:rPr>
            </w:pPr>
            <w:r w:rsidRPr="007837CC">
              <w:rPr>
                <w:color w:val="FFFFFF" w:themeColor="background1"/>
              </w:rPr>
              <w:t>Criterion</w:t>
            </w:r>
          </w:p>
        </w:tc>
        <w:tc>
          <w:tcPr>
            <w:tcW w:w="2030" w:type="dxa"/>
            <w:gridSpan w:val="2"/>
            <w:tcBorders>
              <w:left w:val="nil"/>
              <w:bottom w:val="nil"/>
              <w:right w:val="nil"/>
            </w:tcBorders>
            <w:shd w:val="clear" w:color="auto" w:fill="1B556B" w:themeFill="text2"/>
            <w:noWrap/>
            <w:vAlign w:val="bottom"/>
            <w:hideMark/>
          </w:tcPr>
          <w:p w14:paraId="04EC8FFF" w14:textId="127F8F29" w:rsidR="003275A9" w:rsidRPr="007837CC" w:rsidRDefault="003275A9" w:rsidP="0045208F">
            <w:pPr>
              <w:pStyle w:val="TableTextbold"/>
              <w:keepNext/>
              <w:spacing w:before="40" w:after="0"/>
              <w:jc w:val="center"/>
              <w:rPr>
                <w:color w:val="FFFFFF" w:themeColor="background1"/>
              </w:rPr>
            </w:pPr>
            <w:r w:rsidRPr="007837CC">
              <w:rPr>
                <w:color w:val="FFFFFF" w:themeColor="background1"/>
              </w:rPr>
              <w:t>Activity A</w:t>
            </w:r>
          </w:p>
        </w:tc>
        <w:tc>
          <w:tcPr>
            <w:tcW w:w="2174" w:type="dxa"/>
            <w:gridSpan w:val="2"/>
            <w:tcBorders>
              <w:left w:val="nil"/>
              <w:bottom w:val="nil"/>
              <w:right w:val="nil"/>
            </w:tcBorders>
            <w:shd w:val="clear" w:color="auto" w:fill="1B556B" w:themeFill="text2"/>
            <w:noWrap/>
            <w:vAlign w:val="bottom"/>
            <w:hideMark/>
          </w:tcPr>
          <w:p w14:paraId="025CEFDA" w14:textId="7F5ED050" w:rsidR="003275A9" w:rsidRPr="007837CC" w:rsidRDefault="003275A9" w:rsidP="0045208F">
            <w:pPr>
              <w:pStyle w:val="TableTextbold"/>
              <w:keepNext/>
              <w:spacing w:before="40" w:after="0"/>
              <w:jc w:val="center"/>
              <w:rPr>
                <w:color w:val="FFFFFF" w:themeColor="background1"/>
              </w:rPr>
            </w:pPr>
            <w:r w:rsidRPr="007837CC">
              <w:rPr>
                <w:color w:val="FFFFFF" w:themeColor="background1"/>
              </w:rPr>
              <w:t>Activity B</w:t>
            </w:r>
          </w:p>
        </w:tc>
        <w:tc>
          <w:tcPr>
            <w:tcW w:w="2174" w:type="dxa"/>
            <w:gridSpan w:val="2"/>
            <w:tcBorders>
              <w:left w:val="nil"/>
              <w:bottom w:val="nil"/>
            </w:tcBorders>
            <w:shd w:val="clear" w:color="auto" w:fill="1B556B" w:themeFill="text2"/>
            <w:noWrap/>
            <w:vAlign w:val="bottom"/>
            <w:hideMark/>
          </w:tcPr>
          <w:p w14:paraId="426A1E5F" w14:textId="5668141F" w:rsidR="003275A9" w:rsidRPr="007837CC" w:rsidRDefault="003275A9" w:rsidP="0045208F">
            <w:pPr>
              <w:pStyle w:val="TableTextbold"/>
              <w:keepNext/>
              <w:spacing w:before="40" w:after="0"/>
              <w:jc w:val="center"/>
              <w:rPr>
                <w:color w:val="FFFFFF" w:themeColor="background1"/>
              </w:rPr>
            </w:pPr>
            <w:r w:rsidRPr="007837CC">
              <w:rPr>
                <w:color w:val="FFFFFF" w:themeColor="background1"/>
              </w:rPr>
              <w:t>Activity C</w:t>
            </w:r>
          </w:p>
        </w:tc>
      </w:tr>
      <w:tr w:rsidR="00A709DD" w:rsidRPr="007837CC" w14:paraId="1DE33F43" w14:textId="77777777" w:rsidTr="00A709DD">
        <w:tc>
          <w:tcPr>
            <w:tcW w:w="2127" w:type="dxa"/>
            <w:vMerge/>
            <w:tcBorders>
              <w:top w:val="nil"/>
              <w:right w:val="nil"/>
            </w:tcBorders>
            <w:shd w:val="clear" w:color="auto" w:fill="1B556B" w:themeFill="text2"/>
            <w:vAlign w:val="bottom"/>
            <w:hideMark/>
          </w:tcPr>
          <w:p w14:paraId="5A7DB677" w14:textId="1538C6E3" w:rsidR="003275A9" w:rsidRPr="007837CC" w:rsidRDefault="003275A9" w:rsidP="0045208F">
            <w:pPr>
              <w:pStyle w:val="TableTextbold"/>
              <w:keepNext/>
              <w:spacing w:before="40" w:after="40"/>
              <w:rPr>
                <w:color w:val="FFFFFF" w:themeColor="background1"/>
              </w:rPr>
            </w:pPr>
          </w:p>
        </w:tc>
        <w:tc>
          <w:tcPr>
            <w:tcW w:w="943" w:type="dxa"/>
            <w:tcBorders>
              <w:top w:val="nil"/>
              <w:left w:val="nil"/>
              <w:right w:val="nil"/>
            </w:tcBorders>
            <w:shd w:val="clear" w:color="auto" w:fill="1B556B" w:themeFill="text2"/>
            <w:vAlign w:val="bottom"/>
            <w:hideMark/>
          </w:tcPr>
          <w:p w14:paraId="56F157B1" w14:textId="254B1781" w:rsidR="003275A9" w:rsidRPr="007837CC" w:rsidRDefault="003B2E6F" w:rsidP="0045208F">
            <w:pPr>
              <w:pStyle w:val="TableTextbold"/>
              <w:keepNext/>
              <w:spacing w:before="40" w:after="40"/>
              <w:jc w:val="center"/>
              <w:rPr>
                <w:color w:val="FFFFFF" w:themeColor="background1"/>
              </w:rPr>
            </w:pPr>
            <w:r w:rsidRPr="007837CC">
              <w:rPr>
                <w:color w:val="FFFFFF" w:themeColor="background1"/>
              </w:rPr>
              <w:t xml:space="preserve">Residual </w:t>
            </w:r>
            <w:r w:rsidR="003275A9" w:rsidRPr="007837CC">
              <w:rPr>
                <w:color w:val="FFFFFF" w:themeColor="background1"/>
              </w:rPr>
              <w:t>ETS cost</w:t>
            </w:r>
          </w:p>
        </w:tc>
        <w:tc>
          <w:tcPr>
            <w:tcW w:w="1087" w:type="dxa"/>
            <w:tcBorders>
              <w:top w:val="nil"/>
              <w:left w:val="nil"/>
              <w:right w:val="nil"/>
            </w:tcBorders>
            <w:shd w:val="clear" w:color="auto" w:fill="1B556B" w:themeFill="text2"/>
            <w:vAlign w:val="bottom"/>
            <w:hideMark/>
          </w:tcPr>
          <w:p w14:paraId="03BE0269" w14:textId="6F1875A8" w:rsidR="003275A9" w:rsidRPr="007837CC" w:rsidRDefault="003275A9" w:rsidP="0045208F">
            <w:pPr>
              <w:pStyle w:val="TableTextbold"/>
              <w:keepNext/>
              <w:spacing w:before="40" w:after="40"/>
              <w:jc w:val="center"/>
              <w:rPr>
                <w:color w:val="FFFFFF" w:themeColor="background1"/>
              </w:rPr>
            </w:pPr>
            <w:r w:rsidRPr="007837CC">
              <w:rPr>
                <w:color w:val="FFFFFF" w:themeColor="background1"/>
              </w:rPr>
              <w:t>NZU price</w:t>
            </w:r>
          </w:p>
        </w:tc>
        <w:tc>
          <w:tcPr>
            <w:tcW w:w="1087" w:type="dxa"/>
            <w:tcBorders>
              <w:top w:val="nil"/>
              <w:left w:val="nil"/>
              <w:right w:val="nil"/>
            </w:tcBorders>
            <w:shd w:val="clear" w:color="auto" w:fill="1B556B" w:themeFill="text2"/>
            <w:vAlign w:val="bottom"/>
            <w:hideMark/>
          </w:tcPr>
          <w:p w14:paraId="2B6F3935" w14:textId="1AA89214" w:rsidR="003275A9" w:rsidRPr="007837CC" w:rsidRDefault="003B2E6F" w:rsidP="0045208F">
            <w:pPr>
              <w:pStyle w:val="TableTextbold"/>
              <w:keepNext/>
              <w:spacing w:before="40" w:after="40"/>
              <w:jc w:val="center"/>
              <w:rPr>
                <w:color w:val="FFFFFF" w:themeColor="background1"/>
              </w:rPr>
            </w:pPr>
            <w:r w:rsidRPr="007837CC">
              <w:rPr>
                <w:color w:val="FFFFFF" w:themeColor="background1"/>
              </w:rPr>
              <w:t>Resi</w:t>
            </w:r>
            <w:r w:rsidR="00FA171F" w:rsidRPr="007837CC">
              <w:rPr>
                <w:color w:val="FFFFFF" w:themeColor="background1"/>
              </w:rPr>
              <w:t>d</w:t>
            </w:r>
            <w:r w:rsidRPr="007837CC">
              <w:rPr>
                <w:color w:val="FFFFFF" w:themeColor="background1"/>
              </w:rPr>
              <w:t xml:space="preserve">ual </w:t>
            </w:r>
            <w:r w:rsidR="003275A9" w:rsidRPr="007837CC">
              <w:rPr>
                <w:color w:val="FFFFFF" w:themeColor="background1"/>
              </w:rPr>
              <w:t>ETS cost</w:t>
            </w:r>
          </w:p>
        </w:tc>
        <w:tc>
          <w:tcPr>
            <w:tcW w:w="1087" w:type="dxa"/>
            <w:tcBorders>
              <w:top w:val="nil"/>
              <w:left w:val="nil"/>
              <w:right w:val="nil"/>
            </w:tcBorders>
            <w:shd w:val="clear" w:color="auto" w:fill="1B556B" w:themeFill="text2"/>
            <w:vAlign w:val="bottom"/>
            <w:hideMark/>
          </w:tcPr>
          <w:p w14:paraId="64F26F88" w14:textId="1866ACF6" w:rsidR="003275A9" w:rsidRPr="007837CC" w:rsidRDefault="003275A9" w:rsidP="0045208F">
            <w:pPr>
              <w:pStyle w:val="TableTextbold"/>
              <w:keepNext/>
              <w:spacing w:before="40" w:after="40"/>
              <w:jc w:val="center"/>
              <w:rPr>
                <w:color w:val="FFFFFF" w:themeColor="background1"/>
              </w:rPr>
            </w:pPr>
            <w:r w:rsidRPr="007837CC">
              <w:rPr>
                <w:color w:val="FFFFFF" w:themeColor="background1"/>
              </w:rPr>
              <w:t>NZU price</w:t>
            </w:r>
          </w:p>
        </w:tc>
        <w:tc>
          <w:tcPr>
            <w:tcW w:w="1087" w:type="dxa"/>
            <w:tcBorders>
              <w:top w:val="nil"/>
              <w:left w:val="nil"/>
              <w:right w:val="nil"/>
            </w:tcBorders>
            <w:shd w:val="clear" w:color="auto" w:fill="1B556B" w:themeFill="text2"/>
            <w:vAlign w:val="bottom"/>
            <w:hideMark/>
          </w:tcPr>
          <w:p w14:paraId="43ADA6F9" w14:textId="15CF26CB" w:rsidR="003275A9" w:rsidRPr="007837CC" w:rsidRDefault="003B2E6F" w:rsidP="0045208F">
            <w:pPr>
              <w:pStyle w:val="TableTextbold"/>
              <w:keepNext/>
              <w:spacing w:before="40" w:after="40"/>
              <w:jc w:val="center"/>
              <w:rPr>
                <w:color w:val="FFFFFF" w:themeColor="background1"/>
              </w:rPr>
            </w:pPr>
            <w:r w:rsidRPr="007837CC">
              <w:rPr>
                <w:color w:val="FFFFFF" w:themeColor="background1"/>
              </w:rPr>
              <w:t>Resi</w:t>
            </w:r>
            <w:r w:rsidR="00FA171F" w:rsidRPr="007837CC">
              <w:rPr>
                <w:color w:val="FFFFFF" w:themeColor="background1"/>
              </w:rPr>
              <w:t>d</w:t>
            </w:r>
            <w:r w:rsidRPr="007837CC">
              <w:rPr>
                <w:color w:val="FFFFFF" w:themeColor="background1"/>
              </w:rPr>
              <w:t xml:space="preserve">ual </w:t>
            </w:r>
            <w:r w:rsidR="003275A9" w:rsidRPr="007837CC">
              <w:rPr>
                <w:color w:val="FFFFFF" w:themeColor="background1"/>
              </w:rPr>
              <w:t>ETS cost</w:t>
            </w:r>
          </w:p>
        </w:tc>
        <w:tc>
          <w:tcPr>
            <w:tcW w:w="1087" w:type="dxa"/>
            <w:tcBorders>
              <w:top w:val="nil"/>
              <w:left w:val="nil"/>
            </w:tcBorders>
            <w:shd w:val="clear" w:color="auto" w:fill="1B556B" w:themeFill="text2"/>
            <w:vAlign w:val="bottom"/>
            <w:hideMark/>
          </w:tcPr>
          <w:p w14:paraId="77EB6DE1" w14:textId="518D3EFF" w:rsidR="003275A9" w:rsidRPr="007837CC" w:rsidRDefault="003275A9" w:rsidP="0045208F">
            <w:pPr>
              <w:pStyle w:val="TableTextbold"/>
              <w:keepNext/>
              <w:spacing w:before="40" w:after="40"/>
              <w:jc w:val="center"/>
              <w:rPr>
                <w:color w:val="FFFFFF" w:themeColor="background1"/>
              </w:rPr>
            </w:pPr>
            <w:r w:rsidRPr="007837CC">
              <w:rPr>
                <w:color w:val="FFFFFF" w:themeColor="background1"/>
              </w:rPr>
              <w:t>NZU price</w:t>
            </w:r>
          </w:p>
        </w:tc>
      </w:tr>
      <w:tr w:rsidR="003275A9" w:rsidRPr="007837CC" w14:paraId="41EAA01E" w14:textId="77777777" w:rsidTr="00A709DD">
        <w:tc>
          <w:tcPr>
            <w:tcW w:w="2127" w:type="dxa"/>
            <w:shd w:val="clear" w:color="auto" w:fill="auto"/>
            <w:vAlign w:val="bottom"/>
            <w:hideMark/>
          </w:tcPr>
          <w:p w14:paraId="31FE9DD2" w14:textId="77777777" w:rsidR="003275A9" w:rsidRPr="007837CC" w:rsidRDefault="003275A9" w:rsidP="0045208F">
            <w:pPr>
              <w:pStyle w:val="TableText"/>
              <w:keepNext/>
              <w:spacing w:before="40" w:after="40"/>
            </w:pPr>
            <w:r w:rsidRPr="007837CC">
              <w:t>EBIT falls to zero: activity expected to wind down</w:t>
            </w:r>
          </w:p>
        </w:tc>
        <w:tc>
          <w:tcPr>
            <w:tcW w:w="943" w:type="dxa"/>
            <w:shd w:val="clear" w:color="auto" w:fill="auto"/>
            <w:noWrap/>
            <w:vAlign w:val="bottom"/>
            <w:hideMark/>
          </w:tcPr>
          <w:p w14:paraId="12201F93" w14:textId="24EB04F3" w:rsidR="003275A9" w:rsidRPr="007837CC" w:rsidRDefault="003275A9" w:rsidP="0045208F">
            <w:pPr>
              <w:pStyle w:val="TableText"/>
              <w:keepNext/>
              <w:spacing w:before="40" w:after="40"/>
              <w:jc w:val="center"/>
            </w:pPr>
            <w:r w:rsidRPr="007837CC">
              <w:t>$30–$80</w:t>
            </w:r>
          </w:p>
        </w:tc>
        <w:tc>
          <w:tcPr>
            <w:tcW w:w="1087" w:type="dxa"/>
            <w:shd w:val="clear" w:color="auto" w:fill="auto"/>
            <w:noWrap/>
            <w:vAlign w:val="bottom"/>
            <w:hideMark/>
          </w:tcPr>
          <w:p w14:paraId="75680990" w14:textId="513FB53F" w:rsidR="003275A9" w:rsidRPr="007837CC" w:rsidRDefault="003275A9" w:rsidP="0045208F">
            <w:pPr>
              <w:pStyle w:val="TableText"/>
              <w:keepNext/>
              <w:spacing w:before="40" w:after="40"/>
              <w:jc w:val="center"/>
            </w:pPr>
            <w:r w:rsidRPr="007837CC">
              <w:t>$150–$400</w:t>
            </w:r>
          </w:p>
        </w:tc>
        <w:tc>
          <w:tcPr>
            <w:tcW w:w="1087" w:type="dxa"/>
            <w:shd w:val="clear" w:color="auto" w:fill="auto"/>
            <w:noWrap/>
            <w:vAlign w:val="bottom"/>
            <w:hideMark/>
          </w:tcPr>
          <w:p w14:paraId="3343DE3D" w14:textId="77777777" w:rsidR="003275A9" w:rsidRPr="007837CC" w:rsidRDefault="003275A9" w:rsidP="0045208F">
            <w:pPr>
              <w:pStyle w:val="TableText"/>
              <w:keepNext/>
              <w:spacing w:before="40" w:after="40"/>
              <w:jc w:val="center"/>
            </w:pPr>
            <w:r w:rsidRPr="007837CC">
              <w:t>$35</w:t>
            </w:r>
          </w:p>
        </w:tc>
        <w:tc>
          <w:tcPr>
            <w:tcW w:w="1087" w:type="dxa"/>
            <w:shd w:val="clear" w:color="auto" w:fill="auto"/>
            <w:noWrap/>
            <w:vAlign w:val="bottom"/>
            <w:hideMark/>
          </w:tcPr>
          <w:p w14:paraId="4DB186A0" w14:textId="77777777" w:rsidR="003275A9" w:rsidRPr="007837CC" w:rsidRDefault="003275A9" w:rsidP="0045208F">
            <w:pPr>
              <w:pStyle w:val="TableText"/>
              <w:keepNext/>
              <w:spacing w:before="40" w:after="40"/>
              <w:jc w:val="center"/>
            </w:pPr>
            <w:r w:rsidRPr="007837CC">
              <w:t>$175</w:t>
            </w:r>
          </w:p>
        </w:tc>
        <w:tc>
          <w:tcPr>
            <w:tcW w:w="1087" w:type="dxa"/>
            <w:shd w:val="clear" w:color="auto" w:fill="auto"/>
            <w:noWrap/>
            <w:vAlign w:val="bottom"/>
            <w:hideMark/>
          </w:tcPr>
          <w:p w14:paraId="2E86985E" w14:textId="77777777" w:rsidR="003275A9" w:rsidRPr="007837CC" w:rsidRDefault="003275A9" w:rsidP="0045208F">
            <w:pPr>
              <w:pStyle w:val="TableText"/>
              <w:keepNext/>
              <w:spacing w:before="40" w:after="40"/>
              <w:jc w:val="center"/>
            </w:pPr>
            <w:r w:rsidRPr="007837CC">
              <w:t>$20</w:t>
            </w:r>
          </w:p>
        </w:tc>
        <w:tc>
          <w:tcPr>
            <w:tcW w:w="1087" w:type="dxa"/>
            <w:shd w:val="clear" w:color="auto" w:fill="auto"/>
            <w:noWrap/>
            <w:vAlign w:val="bottom"/>
            <w:hideMark/>
          </w:tcPr>
          <w:p w14:paraId="7C902BBB" w14:textId="77777777" w:rsidR="003275A9" w:rsidRPr="007837CC" w:rsidRDefault="003275A9" w:rsidP="0045208F">
            <w:pPr>
              <w:pStyle w:val="TableText"/>
              <w:keepNext/>
              <w:spacing w:before="40" w:after="40"/>
              <w:jc w:val="center"/>
            </w:pPr>
            <w:r w:rsidRPr="007837CC">
              <w:t>$100</w:t>
            </w:r>
          </w:p>
        </w:tc>
      </w:tr>
      <w:tr w:rsidR="003275A9" w:rsidRPr="007837CC" w14:paraId="6FF8F3C7" w14:textId="77777777" w:rsidTr="00A709DD">
        <w:tc>
          <w:tcPr>
            <w:tcW w:w="2127" w:type="dxa"/>
            <w:shd w:val="clear" w:color="auto" w:fill="auto"/>
            <w:vAlign w:val="bottom"/>
            <w:hideMark/>
          </w:tcPr>
          <w:p w14:paraId="610D6A0D" w14:textId="77777777" w:rsidR="003275A9" w:rsidRPr="007837CC" w:rsidRDefault="003275A9" w:rsidP="0045208F">
            <w:pPr>
              <w:pStyle w:val="TableText"/>
              <w:spacing w:before="40" w:after="40"/>
            </w:pPr>
            <w:r w:rsidRPr="007837CC">
              <w:t>EBITDA falls to zero: activity expected to stop</w:t>
            </w:r>
          </w:p>
        </w:tc>
        <w:tc>
          <w:tcPr>
            <w:tcW w:w="943" w:type="dxa"/>
            <w:shd w:val="clear" w:color="auto" w:fill="auto"/>
            <w:noWrap/>
            <w:vAlign w:val="bottom"/>
            <w:hideMark/>
          </w:tcPr>
          <w:p w14:paraId="1B1DD78D" w14:textId="77777777" w:rsidR="003275A9" w:rsidRPr="007837CC" w:rsidRDefault="003275A9" w:rsidP="0045208F">
            <w:pPr>
              <w:pStyle w:val="TableText"/>
              <w:spacing w:before="40" w:after="40"/>
              <w:jc w:val="center"/>
            </w:pPr>
            <w:r w:rsidRPr="007837CC">
              <w:t>$130</w:t>
            </w:r>
          </w:p>
        </w:tc>
        <w:tc>
          <w:tcPr>
            <w:tcW w:w="1087" w:type="dxa"/>
            <w:shd w:val="clear" w:color="auto" w:fill="auto"/>
            <w:noWrap/>
            <w:vAlign w:val="bottom"/>
            <w:hideMark/>
          </w:tcPr>
          <w:p w14:paraId="62E307AC" w14:textId="77777777" w:rsidR="003275A9" w:rsidRPr="007837CC" w:rsidRDefault="003275A9" w:rsidP="0045208F">
            <w:pPr>
              <w:pStyle w:val="TableText"/>
              <w:spacing w:before="40" w:after="40"/>
              <w:jc w:val="center"/>
            </w:pPr>
            <w:r w:rsidRPr="007837CC">
              <w:t>$650</w:t>
            </w:r>
          </w:p>
        </w:tc>
        <w:tc>
          <w:tcPr>
            <w:tcW w:w="1087" w:type="dxa"/>
            <w:shd w:val="clear" w:color="auto" w:fill="auto"/>
            <w:noWrap/>
            <w:vAlign w:val="bottom"/>
            <w:hideMark/>
          </w:tcPr>
          <w:p w14:paraId="3AAA4E51" w14:textId="77777777" w:rsidR="003275A9" w:rsidRPr="007837CC" w:rsidRDefault="003275A9" w:rsidP="0045208F">
            <w:pPr>
              <w:pStyle w:val="TableText"/>
              <w:spacing w:before="40" w:after="40"/>
              <w:jc w:val="center"/>
            </w:pPr>
            <w:r w:rsidRPr="007837CC">
              <w:t>$50</w:t>
            </w:r>
          </w:p>
        </w:tc>
        <w:tc>
          <w:tcPr>
            <w:tcW w:w="1087" w:type="dxa"/>
            <w:shd w:val="clear" w:color="auto" w:fill="auto"/>
            <w:noWrap/>
            <w:vAlign w:val="bottom"/>
            <w:hideMark/>
          </w:tcPr>
          <w:p w14:paraId="328B446E" w14:textId="77777777" w:rsidR="003275A9" w:rsidRPr="007837CC" w:rsidRDefault="003275A9" w:rsidP="0045208F">
            <w:pPr>
              <w:pStyle w:val="TableText"/>
              <w:spacing w:before="40" w:after="40"/>
              <w:jc w:val="center"/>
            </w:pPr>
            <w:r w:rsidRPr="007837CC">
              <w:t>$250</w:t>
            </w:r>
          </w:p>
        </w:tc>
        <w:tc>
          <w:tcPr>
            <w:tcW w:w="1087" w:type="dxa"/>
            <w:shd w:val="clear" w:color="auto" w:fill="auto"/>
            <w:noWrap/>
            <w:vAlign w:val="bottom"/>
            <w:hideMark/>
          </w:tcPr>
          <w:p w14:paraId="23CD02FC" w14:textId="77777777" w:rsidR="003275A9" w:rsidRPr="007837CC" w:rsidRDefault="003275A9" w:rsidP="0045208F">
            <w:pPr>
              <w:pStyle w:val="TableText"/>
              <w:spacing w:before="40" w:after="40"/>
              <w:jc w:val="center"/>
            </w:pPr>
            <w:r w:rsidRPr="007837CC">
              <w:t>$30</w:t>
            </w:r>
          </w:p>
        </w:tc>
        <w:tc>
          <w:tcPr>
            <w:tcW w:w="1087" w:type="dxa"/>
            <w:shd w:val="clear" w:color="auto" w:fill="auto"/>
            <w:noWrap/>
            <w:vAlign w:val="bottom"/>
            <w:hideMark/>
          </w:tcPr>
          <w:p w14:paraId="0AF83AEB" w14:textId="77777777" w:rsidR="003275A9" w:rsidRPr="007837CC" w:rsidRDefault="003275A9" w:rsidP="0045208F">
            <w:pPr>
              <w:pStyle w:val="TableText"/>
              <w:spacing w:before="40" w:after="40"/>
              <w:jc w:val="center"/>
            </w:pPr>
            <w:r w:rsidRPr="007837CC">
              <w:t>$150</w:t>
            </w:r>
          </w:p>
        </w:tc>
      </w:tr>
    </w:tbl>
    <w:p w14:paraId="2A045681" w14:textId="6614A162" w:rsidR="00C82942" w:rsidRPr="007837CC" w:rsidRDefault="00C82942" w:rsidP="006101B7">
      <w:pPr>
        <w:pStyle w:val="Note"/>
        <w:spacing w:before="120"/>
      </w:pPr>
      <w:r w:rsidRPr="007837CC">
        <w:t>Note: EBIT = earnings before interest and tax; EBITDA = earning</w:t>
      </w:r>
      <w:r w:rsidR="00210CBE">
        <w:t>s</w:t>
      </w:r>
      <w:r w:rsidRPr="007837CC">
        <w:t xml:space="preserve"> before interest, tax, </w:t>
      </w:r>
      <w:proofErr w:type="gramStart"/>
      <w:r w:rsidRPr="007837CC">
        <w:t>depreciation</w:t>
      </w:r>
      <w:proofErr w:type="gramEnd"/>
      <w:r w:rsidRPr="007837CC">
        <w:t xml:space="preserve"> and amortisation.</w:t>
      </w:r>
    </w:p>
    <w:p w14:paraId="504E2678" w14:textId="0A278ACB" w:rsidR="001B115B" w:rsidRPr="007837CC" w:rsidRDefault="001B115B" w:rsidP="00207F07">
      <w:pPr>
        <w:pStyle w:val="Heading3"/>
      </w:pPr>
      <w:r w:rsidRPr="007837CC">
        <w:t>Impacts on land-use decisions</w:t>
      </w:r>
    </w:p>
    <w:p w14:paraId="093BF0F4" w14:textId="2BC01995" w:rsidR="00403E28" w:rsidRPr="007837CC" w:rsidRDefault="00CD0294" w:rsidP="008C270D">
      <w:pPr>
        <w:pStyle w:val="BodyText"/>
        <w:spacing w:before="100" w:after="100"/>
      </w:pPr>
      <w:r w:rsidRPr="007837CC">
        <w:t>Potentially</w:t>
      </w:r>
      <w:r w:rsidR="00120341" w:rsidRPr="007837CC">
        <w:t xml:space="preserve"> the emissions price </w:t>
      </w:r>
      <w:r w:rsidRPr="007837CC">
        <w:t xml:space="preserve">could have a material impact </w:t>
      </w:r>
      <w:r w:rsidR="00120341" w:rsidRPr="007837CC">
        <w:t xml:space="preserve">on land-use change, such as conversion of </w:t>
      </w:r>
      <w:proofErr w:type="gramStart"/>
      <w:r w:rsidR="00120341" w:rsidRPr="007837CC">
        <w:t>farm land</w:t>
      </w:r>
      <w:proofErr w:type="gramEnd"/>
      <w:r w:rsidR="00120341" w:rsidRPr="007837CC">
        <w:t xml:space="preserve"> to forestry.</w:t>
      </w:r>
      <w:r w:rsidR="00520B5E" w:rsidRPr="007837CC">
        <w:t xml:space="preserve"> Planting commercial forestry</w:t>
      </w:r>
      <w:r w:rsidR="00120341" w:rsidRPr="007837CC">
        <w:t xml:space="preserve"> </w:t>
      </w:r>
      <w:r w:rsidR="00520B5E" w:rsidRPr="007837CC">
        <w:t xml:space="preserve">could achieve a significant </w:t>
      </w:r>
      <w:r w:rsidR="00120341" w:rsidRPr="007837CC">
        <w:t>level of sequestration. The most likely changes in the short to medium</w:t>
      </w:r>
      <w:r w:rsidR="00DD085A" w:rsidRPr="007837CC">
        <w:t xml:space="preserve"> </w:t>
      </w:r>
      <w:r w:rsidR="00120341" w:rsidRPr="007837CC">
        <w:t>term are the conversion of sheep and beef farming land to forestry. The scale of such conversions and associated unit</w:t>
      </w:r>
      <w:r w:rsidR="00F23D99" w:rsidRPr="007837CC">
        <w:t> </w:t>
      </w:r>
      <w:r w:rsidR="00120341" w:rsidRPr="007837CC">
        <w:t xml:space="preserve">supply into the </w:t>
      </w:r>
      <w:r w:rsidR="00B92633" w:rsidRPr="007837CC">
        <w:t xml:space="preserve">NZ </w:t>
      </w:r>
      <w:r w:rsidR="00120341" w:rsidRPr="007837CC">
        <w:t xml:space="preserve">ETS </w:t>
      </w:r>
      <w:r w:rsidR="00F97E19" w:rsidRPr="007837CC">
        <w:t xml:space="preserve">over time </w:t>
      </w:r>
      <w:r w:rsidR="00F0660C" w:rsidRPr="007837CC">
        <w:t xml:space="preserve">is </w:t>
      </w:r>
      <w:r w:rsidR="00120341" w:rsidRPr="007837CC">
        <w:t>potentially large in comparison with New Zealand’s gross emissions.</w:t>
      </w:r>
      <w:r w:rsidR="001B5A14" w:rsidRPr="007837CC">
        <w:t xml:space="preserve"> </w:t>
      </w:r>
    </w:p>
    <w:p w14:paraId="7E2D6D9E" w14:textId="5D28ED63" w:rsidR="001B5A14" w:rsidRPr="007837CC" w:rsidRDefault="001B5A14" w:rsidP="008C270D">
      <w:pPr>
        <w:pStyle w:val="BodyText"/>
        <w:spacing w:before="100" w:after="100"/>
      </w:pPr>
      <w:r w:rsidRPr="007837CC">
        <w:t>NZ ETS prices are also likely to have impacts on harvest decisions for at least some NZ ETS registered land</w:t>
      </w:r>
      <w:r w:rsidR="00C153A4" w:rsidRPr="007837CC">
        <w:t>.</w:t>
      </w:r>
      <w:r w:rsidR="00DD5E4B" w:rsidRPr="007837CC">
        <w:t xml:space="preserve"> </w:t>
      </w:r>
    </w:p>
    <w:p w14:paraId="405DE7E4" w14:textId="71984344" w:rsidR="00120341" w:rsidRPr="007837CC" w:rsidRDefault="004E384C" w:rsidP="008C270D">
      <w:pPr>
        <w:pStyle w:val="BodyText"/>
        <w:spacing w:before="100" w:after="100"/>
      </w:pPr>
      <w:r w:rsidRPr="007837CC">
        <w:t>The level of supply from forestry removals at relatively low prices is likely to have a significant and downward influence on NZU prices</w:t>
      </w:r>
      <w:r w:rsidR="0041562F" w:rsidRPr="007837CC">
        <w:t>.</w:t>
      </w:r>
      <w:r w:rsidR="00120341" w:rsidRPr="007837CC">
        <w:t xml:space="preserve"> </w:t>
      </w:r>
    </w:p>
    <w:p w14:paraId="77DCB8E2" w14:textId="03EDA9E5" w:rsidR="00DB3782" w:rsidRPr="007837CC" w:rsidRDefault="00CB6FAB" w:rsidP="008C270D">
      <w:pPr>
        <w:pStyle w:val="BodyText"/>
        <w:spacing w:before="100" w:after="100"/>
      </w:pPr>
      <w:r w:rsidRPr="007837CC">
        <w:t xml:space="preserve">The Commission has repeatedly urged the </w:t>
      </w:r>
      <w:r w:rsidR="00E8798B" w:rsidRPr="007837CC">
        <w:t>G</w:t>
      </w:r>
      <w:r w:rsidRPr="007837CC">
        <w:t xml:space="preserve">overnment to develop a credible </w:t>
      </w:r>
      <w:r w:rsidR="005319FD" w:rsidRPr="007837CC">
        <w:t xml:space="preserve">response to the imbalance </w:t>
      </w:r>
      <w:r w:rsidR="0041562F" w:rsidRPr="007837CC">
        <w:t>between gross emissions reductions and emissions re</w:t>
      </w:r>
      <w:r w:rsidR="001F10EC" w:rsidRPr="007837CC">
        <w:t>movals</w:t>
      </w:r>
      <w:r w:rsidR="0041562F" w:rsidRPr="007837CC">
        <w:t xml:space="preserve"> </w:t>
      </w:r>
      <w:r w:rsidR="0068335D" w:rsidRPr="007837CC">
        <w:t xml:space="preserve">through </w:t>
      </w:r>
      <w:r w:rsidR="0041562F" w:rsidRPr="007837CC">
        <w:t>forestry</w:t>
      </w:r>
      <w:r w:rsidR="005319FD" w:rsidRPr="007837CC">
        <w:t xml:space="preserve">. </w:t>
      </w:r>
      <w:r w:rsidR="00B002DD" w:rsidRPr="007837CC">
        <w:t>T</w:t>
      </w:r>
      <w:r w:rsidR="005D18E0" w:rsidRPr="007837CC">
        <w:t xml:space="preserve">he </w:t>
      </w:r>
      <w:r w:rsidR="005D18E0" w:rsidRPr="007837CC">
        <w:lastRenderedPageBreak/>
        <w:t xml:space="preserve">redesign of the permanent forest category in the NZ ETS and the review of the NZ ETS </w:t>
      </w:r>
      <w:r w:rsidR="001864EE" w:rsidRPr="007837CC">
        <w:t>are considering these issues</w:t>
      </w:r>
      <w:r w:rsidR="001B2D13" w:rsidRPr="007837CC">
        <w:t>.</w:t>
      </w:r>
      <w:r w:rsidR="005319FD" w:rsidRPr="007837CC">
        <w:t xml:space="preserve"> </w:t>
      </w:r>
    </w:p>
    <w:p w14:paraId="0ADE5ACA" w14:textId="77777777" w:rsidR="00EA5C3F" w:rsidRPr="007837CC" w:rsidRDefault="00EA5C3F" w:rsidP="00505DA7">
      <w:pPr>
        <w:pStyle w:val="Heading3"/>
      </w:pPr>
      <w:r w:rsidRPr="007837CC">
        <w:t>Impacts on emissions reductions</w:t>
      </w:r>
    </w:p>
    <w:p w14:paraId="7F79C726" w14:textId="04888FCD" w:rsidR="00DB65DA" w:rsidRPr="007837CC" w:rsidRDefault="00DB65DA" w:rsidP="00F23D99">
      <w:pPr>
        <w:pStyle w:val="BodyText"/>
      </w:pPr>
      <w:r w:rsidRPr="007837CC">
        <w:rPr>
          <w:spacing w:val="-2"/>
        </w:rPr>
        <w:t xml:space="preserve">At this stage, the </w:t>
      </w:r>
      <w:r w:rsidR="00FD6D27" w:rsidRPr="007837CC">
        <w:rPr>
          <w:spacing w:val="-2"/>
        </w:rPr>
        <w:t>impacts o</w:t>
      </w:r>
      <w:r w:rsidR="00AB4277" w:rsidRPr="007837CC">
        <w:rPr>
          <w:spacing w:val="-2"/>
        </w:rPr>
        <w:t xml:space="preserve">f prices </w:t>
      </w:r>
      <w:r w:rsidR="00010723" w:rsidRPr="007837CC">
        <w:rPr>
          <w:spacing w:val="-2"/>
        </w:rPr>
        <w:t>on emissions reductions ha</w:t>
      </w:r>
      <w:r w:rsidR="00F71F1B" w:rsidRPr="007837CC">
        <w:rPr>
          <w:spacing w:val="-2"/>
        </w:rPr>
        <w:t>ve</w:t>
      </w:r>
      <w:r w:rsidR="00010723" w:rsidRPr="007837CC">
        <w:rPr>
          <w:spacing w:val="-2"/>
        </w:rPr>
        <w:t xml:space="preserve"> not been estimated. </w:t>
      </w:r>
      <w:r w:rsidR="009932F3" w:rsidRPr="007837CC">
        <w:rPr>
          <w:spacing w:val="-2"/>
        </w:rPr>
        <w:t>However</w:t>
      </w:r>
      <w:r w:rsidR="009932F3" w:rsidRPr="007837CC">
        <w:t>, the Commission</w:t>
      </w:r>
      <w:r w:rsidR="007D2BA1" w:rsidRPr="007837CC">
        <w:t>'s modelling</w:t>
      </w:r>
      <w:r w:rsidR="009932F3" w:rsidRPr="007837CC">
        <w:t xml:space="preserve"> and existing government analysis does give an indication</w:t>
      </w:r>
      <w:r w:rsidR="007D2BA1" w:rsidRPr="007837CC">
        <w:t xml:space="preserve"> of wh</w:t>
      </w:r>
      <w:r w:rsidR="00923136" w:rsidRPr="007837CC">
        <w:t>en</w:t>
      </w:r>
      <w:r w:rsidR="007D2BA1" w:rsidRPr="007837CC">
        <w:t xml:space="preserve"> </w:t>
      </w:r>
      <w:r w:rsidR="00973A54" w:rsidRPr="007837CC">
        <w:t xml:space="preserve">reductions may become </w:t>
      </w:r>
      <w:r w:rsidR="00005E5A" w:rsidRPr="007837CC">
        <w:t xml:space="preserve">economical and </w:t>
      </w:r>
      <w:r w:rsidR="00923136" w:rsidRPr="007837CC">
        <w:t xml:space="preserve">realised in response to higher NZU prices. </w:t>
      </w:r>
    </w:p>
    <w:p w14:paraId="528F4D64" w14:textId="093A6AF9" w:rsidR="00087941" w:rsidRPr="007837CC" w:rsidRDefault="00087941" w:rsidP="00EA5C3F">
      <w:pPr>
        <w:pStyle w:val="BodyText"/>
      </w:pPr>
      <w:r w:rsidRPr="007837CC">
        <w:t>The Commission’s modelling is based on emissions reductions to achieve gross emissions reductions equal to the sum of the sectoral sub-targets presented in the ERP</w:t>
      </w:r>
      <w:r w:rsidR="00D4017C" w:rsidRPr="007837CC">
        <w:t xml:space="preserve"> over the emissions </w:t>
      </w:r>
      <w:proofErr w:type="gramStart"/>
      <w:r w:rsidR="00D4017C" w:rsidRPr="007837CC">
        <w:t>budgets</w:t>
      </w:r>
      <w:proofErr w:type="gramEnd"/>
      <w:r w:rsidR="00D4017C" w:rsidRPr="007837CC">
        <w:t xml:space="preserve"> periods to 2035</w:t>
      </w:r>
      <w:r w:rsidRPr="007837CC">
        <w:t xml:space="preserve">. The </w:t>
      </w:r>
      <w:r w:rsidR="00FA5DCA" w:rsidRPr="007837CC">
        <w:t>Commission’s</w:t>
      </w:r>
      <w:r w:rsidRPr="007837CC">
        <w:t xml:space="preserve"> advice does not highlight specific additional sources of emissions reductions. </w:t>
      </w:r>
    </w:p>
    <w:p w14:paraId="597AEDBC" w14:textId="1A95AA4B" w:rsidR="00843B8C" w:rsidRPr="007837CC" w:rsidRDefault="0019624B" w:rsidP="00EA5C3F">
      <w:pPr>
        <w:pStyle w:val="BodyText"/>
      </w:pPr>
      <w:r>
        <w:t>We have</w:t>
      </w:r>
      <w:r w:rsidR="00E519DE" w:rsidRPr="007837CC">
        <w:t xml:space="preserve"> also developed </w:t>
      </w:r>
      <w:r w:rsidR="00997477" w:rsidRPr="007837CC">
        <w:t>marginal abatement cost curve analysi</w:t>
      </w:r>
      <w:r w:rsidR="00A852B7" w:rsidRPr="007837CC">
        <w:t xml:space="preserve">s, which shows </w:t>
      </w:r>
      <w:r w:rsidR="00E24879" w:rsidRPr="007837CC">
        <w:t>the abatement potential of greenhouse gas mitigation measures, and the relative costs associated with each of these measures.</w:t>
      </w:r>
    </w:p>
    <w:p w14:paraId="1248B90E" w14:textId="151871BA" w:rsidR="00EE4908" w:rsidRPr="007837CC" w:rsidRDefault="00171A9A" w:rsidP="00EA5C3F">
      <w:pPr>
        <w:pStyle w:val="BodyText"/>
      </w:pPr>
      <w:r w:rsidRPr="007837CC">
        <w:t xml:space="preserve">There is </w:t>
      </w:r>
      <w:r w:rsidR="007F20CD" w:rsidRPr="007837CC">
        <w:t>some</w:t>
      </w:r>
      <w:r w:rsidRPr="007837CC">
        <w:t xml:space="preserve"> uncertainty associated with all modelling of future emissions reductions in response to price and the prices required to meet emissions budgets and targets.</w:t>
      </w:r>
      <w:r w:rsidR="005C6C7F" w:rsidRPr="007837CC">
        <w:t xml:space="preserve"> When using</w:t>
      </w:r>
      <w:r w:rsidR="00314488" w:rsidRPr="007837CC">
        <w:t> </w:t>
      </w:r>
      <w:r w:rsidR="005C6C7F" w:rsidRPr="007837CC">
        <w:t xml:space="preserve">this modelling, </w:t>
      </w:r>
      <w:r w:rsidR="00717EB2" w:rsidRPr="007837CC">
        <w:t>it is important to</w:t>
      </w:r>
      <w:r w:rsidR="005C6C7F" w:rsidRPr="007837CC">
        <w:t xml:space="preserve"> understand its limitations. </w:t>
      </w:r>
      <w:r w:rsidR="009B19FF" w:rsidRPr="007837CC">
        <w:t>However, t</w:t>
      </w:r>
      <w:r w:rsidR="005C6C7F" w:rsidRPr="007837CC">
        <w:t>his uncertainty shouldn’t prevent the use of modelled data in making decisions. It does mean, though, that decisions should not be based solely, or even mostly, on modelled data.</w:t>
      </w:r>
    </w:p>
    <w:p w14:paraId="1F6758E5" w14:textId="77777777" w:rsidR="00AA0F12" w:rsidRPr="007837CC" w:rsidRDefault="00AA0F12" w:rsidP="00314488">
      <w:pPr>
        <w:pStyle w:val="Heading5"/>
      </w:pPr>
      <w:r w:rsidRPr="007837CC">
        <w:t>Emissions reductions (via carbon sequestration) from afforestation</w:t>
      </w:r>
    </w:p>
    <w:p w14:paraId="5ACA0B5A" w14:textId="3F3A37AC" w:rsidR="00AA0F12" w:rsidRPr="007837CC" w:rsidRDefault="00AA0F12" w:rsidP="00EE1819">
      <w:pPr>
        <w:pStyle w:val="BodyText"/>
        <w:spacing w:before="100" w:after="100"/>
      </w:pPr>
      <w:r w:rsidRPr="007837CC">
        <w:t xml:space="preserve">If NZU prices </w:t>
      </w:r>
      <w:r w:rsidR="0F458EF1" w:rsidRPr="007837CC">
        <w:t>are expected to be relatively high and increasing</w:t>
      </w:r>
      <w:r w:rsidRPr="007837CC">
        <w:t xml:space="preserve">, this </w:t>
      </w:r>
      <w:r w:rsidR="41926C92" w:rsidRPr="007837CC">
        <w:t xml:space="preserve">provides strong </w:t>
      </w:r>
      <w:r w:rsidRPr="007837CC">
        <w:t xml:space="preserve">incentives for exotic afforestation and for changing rotational forests to permanent forests. Any increase in afforestation </w:t>
      </w:r>
      <w:r w:rsidR="42BE8DE2" w:rsidRPr="007837CC">
        <w:t>not met by corresponding</w:t>
      </w:r>
      <w:r w:rsidR="2C273E50" w:rsidRPr="007837CC">
        <w:t>ly</w:t>
      </w:r>
      <w:r w:rsidR="42BE8DE2" w:rsidRPr="007837CC">
        <w:t xml:space="preserve"> </w:t>
      </w:r>
      <w:r w:rsidR="7EBFCEBE" w:rsidRPr="007837CC">
        <w:t>less</w:t>
      </w:r>
      <w:r w:rsidR="42BE8DE2" w:rsidRPr="007837CC">
        <w:t xml:space="preserve"> emis</w:t>
      </w:r>
      <w:r w:rsidR="4C2008F3" w:rsidRPr="007837CC">
        <w:t>s</w:t>
      </w:r>
      <w:r w:rsidR="42BE8DE2" w:rsidRPr="007837CC">
        <w:t xml:space="preserve">ion reductions, </w:t>
      </w:r>
      <w:r w:rsidR="4E725917" w:rsidRPr="007837CC">
        <w:t>will</w:t>
      </w:r>
      <w:r w:rsidRPr="007837CC">
        <w:t xml:space="preserve"> result in lower net emissions due to carbon sequestration as forests grow, although these reductions won’t be realised for several years. This will also result in higher numbers of NZUs being transferred for forestry</w:t>
      </w:r>
      <w:r w:rsidR="59536883" w:rsidRPr="007837CC">
        <w:t xml:space="preserve"> </w:t>
      </w:r>
      <w:r w:rsidRPr="007837CC">
        <w:t xml:space="preserve">and </w:t>
      </w:r>
      <w:r w:rsidR="293A5720" w:rsidRPr="007837CC">
        <w:t xml:space="preserve">is likely to result in </w:t>
      </w:r>
      <w:r w:rsidRPr="007837CC">
        <w:t xml:space="preserve">a corresponding higher number of stockpiled units. </w:t>
      </w:r>
      <w:r w:rsidR="7484C470" w:rsidRPr="007837CC">
        <w:t>The growth of the stockpile to high volumes or the expectation of this</w:t>
      </w:r>
      <w:r w:rsidRPr="007837CC">
        <w:t xml:space="preserve">, </w:t>
      </w:r>
      <w:r w:rsidR="00933A90" w:rsidRPr="007837CC">
        <w:t>may dampen</w:t>
      </w:r>
      <w:r w:rsidRPr="007837CC">
        <w:t xml:space="preserve"> NZU prices. </w:t>
      </w:r>
    </w:p>
    <w:p w14:paraId="14226473" w14:textId="37769F38" w:rsidR="00AA0F12" w:rsidRPr="007837CC" w:rsidRDefault="00AA0F12" w:rsidP="00EE1819">
      <w:pPr>
        <w:pStyle w:val="BodyText"/>
        <w:spacing w:before="100" w:after="100"/>
      </w:pPr>
      <w:r w:rsidRPr="007837CC">
        <w:t xml:space="preserve">The Commission has cited recent data that indicate significantly more exotic afforestation than </w:t>
      </w:r>
      <w:r w:rsidRPr="007837CC">
        <w:rPr>
          <w:spacing w:val="-2"/>
        </w:rPr>
        <w:t xml:space="preserve">previously forecast. Updated afforestation projections for 2022 alone indicate 11 </w:t>
      </w:r>
      <w:proofErr w:type="spellStart"/>
      <w:r w:rsidRPr="007837CC">
        <w:rPr>
          <w:spacing w:val="-2"/>
        </w:rPr>
        <w:t>megatonnes</w:t>
      </w:r>
      <w:proofErr w:type="spellEnd"/>
      <w:r w:rsidRPr="007837CC">
        <w:rPr>
          <w:rStyle w:val="FootnoteReference"/>
        </w:rPr>
        <w:footnoteReference w:id="31"/>
      </w:r>
      <w:r w:rsidRPr="007837CC">
        <w:t xml:space="preserve"> of additional carbon dioxide removals will occur between now and 2035. </w:t>
      </w:r>
    </w:p>
    <w:p w14:paraId="067440B6" w14:textId="38970A14" w:rsidR="00AA0F12" w:rsidRPr="007837CC" w:rsidRDefault="00AA0F12" w:rsidP="00EE1819">
      <w:pPr>
        <w:pStyle w:val="BodyText"/>
        <w:spacing w:before="100" w:after="100"/>
      </w:pPr>
      <w:r w:rsidRPr="007837CC">
        <w:t>In the short run, there is a ceiling for afforestation in N</w:t>
      </w:r>
      <w:r w:rsidR="00126CFA" w:rsidRPr="007837CC">
        <w:t xml:space="preserve">ew </w:t>
      </w:r>
      <w:r w:rsidRPr="007837CC">
        <w:t>Z</w:t>
      </w:r>
      <w:r w:rsidR="00126CFA" w:rsidRPr="007837CC">
        <w:t>ealand</w:t>
      </w:r>
      <w:r w:rsidRPr="007837CC">
        <w:t xml:space="preserve"> (given labour constraints, limited seedling supplies, and other factors) and</w:t>
      </w:r>
      <w:r w:rsidR="00126CFA" w:rsidRPr="007837CC">
        <w:t>,</w:t>
      </w:r>
      <w:r w:rsidRPr="007837CC">
        <w:t xml:space="preserve"> at a point</w:t>
      </w:r>
      <w:r w:rsidR="00126CFA" w:rsidRPr="007837CC">
        <w:t>,</w:t>
      </w:r>
      <w:r w:rsidRPr="007837CC">
        <w:t xml:space="preserve"> higher carbon prices </w:t>
      </w:r>
      <w:r w:rsidR="00126CFA" w:rsidRPr="007837CC">
        <w:t>will not</w:t>
      </w:r>
      <w:r w:rsidRPr="007837CC">
        <w:t xml:space="preserve"> drive more planting. </w:t>
      </w:r>
      <w:r w:rsidR="0019624B">
        <w:t>Ministry for Primary Industries</w:t>
      </w:r>
      <w:r w:rsidR="0019624B" w:rsidRPr="007837CC">
        <w:t xml:space="preserve"> </w:t>
      </w:r>
      <w:r w:rsidRPr="007837CC">
        <w:t>analysis</w:t>
      </w:r>
      <w:r w:rsidRPr="007837CC">
        <w:rPr>
          <w:rStyle w:val="FootnoteReference"/>
        </w:rPr>
        <w:footnoteReference w:id="32"/>
      </w:r>
      <w:r w:rsidRPr="007837CC">
        <w:t xml:space="preserve"> indicates that afforestation rate</w:t>
      </w:r>
      <w:r w:rsidR="00072CF9" w:rsidRPr="007837CC">
        <w:t>s</w:t>
      </w:r>
      <w:r w:rsidRPr="007837CC">
        <w:t xml:space="preserve"> increase at NZU prices up to around $100, and that at prices beyond that is reasonably insensitive due to other constraints.</w:t>
      </w:r>
    </w:p>
    <w:p w14:paraId="09E947A1" w14:textId="626A291C" w:rsidR="00AA0F12" w:rsidRPr="007837CC" w:rsidRDefault="00AA0F12" w:rsidP="00314488">
      <w:pPr>
        <w:pStyle w:val="Heading5"/>
      </w:pPr>
      <w:r w:rsidRPr="007837CC">
        <w:lastRenderedPageBreak/>
        <w:t>Emissions reductions from other sources</w:t>
      </w:r>
    </w:p>
    <w:p w14:paraId="556DACFA" w14:textId="6207303E" w:rsidR="00AA0F12" w:rsidRPr="007837CC" w:rsidRDefault="00AA0F12" w:rsidP="00EE1819">
      <w:pPr>
        <w:pStyle w:val="BodyText"/>
        <w:spacing w:after="100"/>
      </w:pPr>
      <w:r w:rsidRPr="007837CC">
        <w:t>The Commission has modelled prices required to achieve emissions reductions from the NZ</w:t>
      </w:r>
      <w:r w:rsidR="00314488" w:rsidRPr="007837CC">
        <w:t> </w:t>
      </w:r>
      <w:r w:rsidRPr="007837CC">
        <w:t>ETS covered sectors, excluding forestry, over the period 2022</w:t>
      </w:r>
      <w:r w:rsidR="00314488" w:rsidRPr="007837CC">
        <w:t>–</w:t>
      </w:r>
      <w:r w:rsidRPr="007837CC">
        <w:t>35.</w:t>
      </w:r>
      <w:r w:rsidR="00DD5E4B" w:rsidRPr="007837CC">
        <w:t xml:space="preserve"> </w:t>
      </w:r>
    </w:p>
    <w:p w14:paraId="51FB115C" w14:textId="03EC70F3" w:rsidR="00AA0F12" w:rsidRPr="007837CC" w:rsidRDefault="00AA0F12" w:rsidP="00EE1819">
      <w:pPr>
        <w:pStyle w:val="BodyText"/>
        <w:spacing w:after="100"/>
      </w:pPr>
      <w:r w:rsidRPr="007837CC">
        <w:t xml:space="preserve">The Commission’s modelling uses its proprietary ENZ model. </w:t>
      </w:r>
      <w:r w:rsidR="00271183" w:rsidRPr="007837CC">
        <w:t xml:space="preserve">The model </w:t>
      </w:r>
      <w:r w:rsidRPr="007837CC">
        <w:t>does not consider emissions pricing to have an impact on:</w:t>
      </w:r>
    </w:p>
    <w:p w14:paraId="27D5E458" w14:textId="31D7D10D" w:rsidR="00AA0F12" w:rsidRPr="007837CC" w:rsidRDefault="00AA0F12" w:rsidP="00E868FE">
      <w:pPr>
        <w:pStyle w:val="Sub-lista"/>
        <w:numPr>
          <w:ilvl w:val="0"/>
          <w:numId w:val="58"/>
        </w:numPr>
        <w:spacing w:after="100"/>
      </w:pPr>
      <w:r w:rsidRPr="007837CC">
        <w:t>energy and transport demand</w:t>
      </w:r>
    </w:p>
    <w:p w14:paraId="53A5C95A" w14:textId="3F7B9C7D" w:rsidR="00AA0F12" w:rsidRPr="007837CC" w:rsidRDefault="00AA0F12" w:rsidP="00E868FE">
      <w:pPr>
        <w:pStyle w:val="Sub-lista"/>
        <w:numPr>
          <w:ilvl w:val="0"/>
          <w:numId w:val="58"/>
        </w:numPr>
        <w:spacing w:after="100"/>
      </w:pPr>
      <w:r w:rsidRPr="007837CC">
        <w:t>energy efficiency measures</w:t>
      </w:r>
    </w:p>
    <w:p w14:paraId="1A2A632E" w14:textId="4901BE60" w:rsidR="00AA0F12" w:rsidRPr="007837CC" w:rsidRDefault="00AA0F12" w:rsidP="00E868FE">
      <w:pPr>
        <w:pStyle w:val="Sub-lista"/>
        <w:numPr>
          <w:ilvl w:val="0"/>
          <w:numId w:val="58"/>
        </w:numPr>
        <w:spacing w:after="100"/>
      </w:pPr>
      <w:r w:rsidRPr="007837CC">
        <w:t>mitigation (</w:t>
      </w:r>
      <w:proofErr w:type="spellStart"/>
      <w:r w:rsidR="0019624B">
        <w:t>ie</w:t>
      </w:r>
      <w:proofErr w:type="spellEnd"/>
      <w:r w:rsidR="0019624B">
        <w:t>,</w:t>
      </w:r>
      <w:r w:rsidRPr="007837CC">
        <w:t xml:space="preserve"> emissions) in the waste sector</w:t>
      </w:r>
    </w:p>
    <w:p w14:paraId="672B9B40" w14:textId="5C70CEEC" w:rsidR="00AA0F12" w:rsidRPr="007837CC" w:rsidRDefault="00AA0F12" w:rsidP="00E868FE">
      <w:pPr>
        <w:pStyle w:val="Sub-lista"/>
        <w:numPr>
          <w:ilvl w:val="0"/>
          <w:numId w:val="58"/>
        </w:numPr>
        <w:spacing w:after="100"/>
      </w:pPr>
      <w:r w:rsidRPr="007837CC">
        <w:t>mitigation (</w:t>
      </w:r>
      <w:proofErr w:type="spellStart"/>
      <w:r w:rsidR="0019624B">
        <w:t>ie</w:t>
      </w:r>
      <w:proofErr w:type="spellEnd"/>
      <w:r w:rsidR="0019624B">
        <w:t>,</w:t>
      </w:r>
      <w:r w:rsidRPr="007837CC">
        <w:t xml:space="preserve"> emissions) from industrial processes and product use </w:t>
      </w:r>
    </w:p>
    <w:p w14:paraId="0EEFC14B" w14:textId="6C6E9CB6" w:rsidR="00AA0F12" w:rsidRPr="007837CC" w:rsidRDefault="00AA0F12" w:rsidP="00E868FE">
      <w:pPr>
        <w:pStyle w:val="Sub-lista"/>
        <w:numPr>
          <w:ilvl w:val="0"/>
          <w:numId w:val="58"/>
        </w:numPr>
        <w:spacing w:after="100"/>
      </w:pPr>
      <w:r w:rsidRPr="007837CC">
        <w:t>update of liquid biofuels</w:t>
      </w:r>
    </w:p>
    <w:p w14:paraId="1ED701F6" w14:textId="6A7ED83E" w:rsidR="00AA0F12" w:rsidRPr="007837CC" w:rsidRDefault="00AA0F12" w:rsidP="00E868FE">
      <w:pPr>
        <w:pStyle w:val="Sub-lista"/>
        <w:numPr>
          <w:ilvl w:val="0"/>
          <w:numId w:val="58"/>
        </w:numPr>
        <w:spacing w:after="100"/>
      </w:pPr>
      <w:r w:rsidRPr="007837CC">
        <w:t xml:space="preserve">assumptions affecting how fast </w:t>
      </w:r>
      <w:r w:rsidR="0019624B">
        <w:t>electric vehicle</w:t>
      </w:r>
      <w:r w:rsidR="0019624B" w:rsidRPr="007837CC">
        <w:t xml:space="preserve"> </w:t>
      </w:r>
      <w:r w:rsidRPr="007837CC">
        <w:t>uptake and household fuel switching can occur.</w:t>
      </w:r>
      <w:r w:rsidRPr="007837CC">
        <w:rPr>
          <w:rStyle w:val="FootnoteReference"/>
          <w:rFonts w:asciiTheme="minorHAnsi" w:hAnsiTheme="minorHAnsi" w:cstheme="minorHAnsi"/>
        </w:rPr>
        <w:footnoteReference w:id="33"/>
      </w:r>
    </w:p>
    <w:p w14:paraId="3972F82F" w14:textId="7FE70B0B" w:rsidR="00AA0F12" w:rsidRPr="007837CC" w:rsidRDefault="00AA0F12" w:rsidP="00EE1819">
      <w:pPr>
        <w:pStyle w:val="BodyText"/>
        <w:spacing w:before="100" w:after="100"/>
      </w:pPr>
      <w:r w:rsidRPr="007837CC">
        <w:t>The Commission has modelled increased emissions reductions for transport energy and non-transport energy at higher NZU prices. When the price is increased from $80 to $170, this is modelled to result in around 1 million tonnes fewer emissions per annum from non-transport energy over the 2022</w:t>
      </w:r>
      <w:r w:rsidR="007E05EA" w:rsidRPr="007837CC">
        <w:t>–</w:t>
      </w:r>
      <w:r w:rsidRPr="007837CC">
        <w:t>35 period, and around 0.1 million tonnes fewer emissions per annum from transport energy.</w:t>
      </w:r>
    </w:p>
    <w:p w14:paraId="0F40C363" w14:textId="1F506E1E" w:rsidR="00AA0F12" w:rsidRPr="007837CC" w:rsidRDefault="00AA0F12" w:rsidP="00EE1819">
      <w:pPr>
        <w:pStyle w:val="BodyText"/>
        <w:spacing w:before="100"/>
        <w:rPr>
          <w:rFonts w:asciiTheme="minorHAnsi" w:hAnsiTheme="minorHAnsi" w:cstheme="minorHAnsi"/>
        </w:rPr>
      </w:pPr>
      <w:r w:rsidRPr="007837CC">
        <w:t>Recent analysis in support of the reduction of the fuel excise tax and road user charges suggested a material increase in transport emissions from a 25c reduction in petrol prices due to a change to vehicle kilometres travelled</w:t>
      </w:r>
      <w:r w:rsidR="007E05EA" w:rsidRPr="007837CC">
        <w:t>.</w:t>
      </w:r>
      <w:r w:rsidRPr="007837CC">
        <w:rPr>
          <w:rStyle w:val="FootnoteReference"/>
        </w:rPr>
        <w:footnoteReference w:id="34"/>
      </w:r>
      <w:r w:rsidRPr="007837CC">
        <w:t xml:space="preserve"> This is approximately the amount that petrol prices would rise by if the NZU price moved from current prices to $171</w:t>
      </w:r>
      <w:r w:rsidR="00271183" w:rsidRPr="007837CC">
        <w:t>.</w:t>
      </w:r>
    </w:p>
    <w:p w14:paraId="1CA1765F" w14:textId="154583EA" w:rsidR="00AF2B5C" w:rsidRPr="007837CC" w:rsidRDefault="001C2393" w:rsidP="00DD505C">
      <w:pPr>
        <w:pStyle w:val="Heading3"/>
      </w:pPr>
      <w:r w:rsidRPr="007837CC">
        <w:t>I</w:t>
      </w:r>
      <w:r w:rsidR="00AF2B5C" w:rsidRPr="007837CC">
        <w:t xml:space="preserve">mpacts </w:t>
      </w:r>
      <w:r w:rsidRPr="007837CC">
        <w:t xml:space="preserve">as </w:t>
      </w:r>
      <w:r w:rsidR="00AF2B5C" w:rsidRPr="007837CC">
        <w:t>a driver of price control settings</w:t>
      </w:r>
    </w:p>
    <w:p w14:paraId="55371E75" w14:textId="5D9FA559" w:rsidR="001B115B" w:rsidRPr="007837CC" w:rsidRDefault="001B115B" w:rsidP="00DD505C">
      <w:pPr>
        <w:pStyle w:val="BodyText"/>
      </w:pPr>
      <w:r w:rsidRPr="007837CC">
        <w:t xml:space="preserve">The </w:t>
      </w:r>
      <w:r w:rsidR="001C2393" w:rsidRPr="007837CC">
        <w:t>main</w:t>
      </w:r>
      <w:r w:rsidRPr="007837CC">
        <w:t xml:space="preserve"> purpose of price control settings is to help manage unacceptably low or high prices in the NZ ETS. </w:t>
      </w:r>
      <w:r w:rsidR="001C2393" w:rsidRPr="007837CC">
        <w:t>How much</w:t>
      </w:r>
      <w:r w:rsidRPr="007837CC">
        <w:t xml:space="preserve"> impact</w:t>
      </w:r>
      <w:r w:rsidR="00120341" w:rsidRPr="007837CC">
        <w:t xml:space="preserve"> these prices </w:t>
      </w:r>
      <w:r w:rsidR="001C2393" w:rsidRPr="007837CC">
        <w:t>have</w:t>
      </w:r>
      <w:r w:rsidR="00120341" w:rsidRPr="007837CC">
        <w:t xml:space="preserve">, including on </w:t>
      </w:r>
      <w:r w:rsidR="001C2393" w:rsidRPr="007837CC">
        <w:t xml:space="preserve">New Zealand’s </w:t>
      </w:r>
      <w:r w:rsidR="00120341" w:rsidRPr="007837CC">
        <w:t>ability to meet emissions budgets and targets</w:t>
      </w:r>
      <w:r w:rsidR="001C2393" w:rsidRPr="007837CC">
        <w:t>, establishes whether they are acceptable</w:t>
      </w:r>
      <w:r w:rsidR="00120341" w:rsidRPr="007837CC">
        <w:t xml:space="preserve">. </w:t>
      </w:r>
    </w:p>
    <w:p w14:paraId="50FB3D5B" w14:textId="1DB7FCED" w:rsidR="00311E9F" w:rsidRPr="007837CC" w:rsidRDefault="00DE124A" w:rsidP="00DD505C">
      <w:pPr>
        <w:pStyle w:val="BodyText"/>
      </w:pPr>
      <w:r w:rsidRPr="007837CC">
        <w:t xml:space="preserve">The Commission has considered the </w:t>
      </w:r>
      <w:r w:rsidR="00882F0B" w:rsidRPr="007837CC">
        <w:t>impact of prices on households and the economy</w:t>
      </w:r>
      <w:r w:rsidR="00311E9F" w:rsidRPr="007837CC">
        <w:t>, as well as the nature of the NZ ETS as a market mechanism</w:t>
      </w:r>
      <w:r w:rsidR="001C2393" w:rsidRPr="007837CC">
        <w:t>. Based on this analysis</w:t>
      </w:r>
      <w:r w:rsidR="00311E9F" w:rsidRPr="007837CC">
        <w:t xml:space="preserve">, </w:t>
      </w:r>
      <w:r w:rsidR="00882F0B" w:rsidRPr="007837CC">
        <w:t>its</w:t>
      </w:r>
      <w:r w:rsidR="00311E9F" w:rsidRPr="007837CC">
        <w:t xml:space="preserve"> view is that these impacts should not be a determinant for the NZ ETS price control settings</w:t>
      </w:r>
      <w:r w:rsidR="00882F0B" w:rsidRPr="007837CC">
        <w:t xml:space="preserve">. </w:t>
      </w:r>
    </w:p>
    <w:p w14:paraId="3416F1F9" w14:textId="76AAC673" w:rsidR="00882F0B" w:rsidRPr="007837CC" w:rsidRDefault="00DD43C4" w:rsidP="00DD505C">
      <w:pPr>
        <w:pStyle w:val="BodyText"/>
      </w:pPr>
      <w:r w:rsidRPr="007837CC">
        <w:t>The Commission states that:</w:t>
      </w:r>
    </w:p>
    <w:p w14:paraId="0F14031C" w14:textId="5ADAA9BB" w:rsidR="00882F0B" w:rsidRPr="007837CC" w:rsidRDefault="00DD43C4" w:rsidP="00DD505C">
      <w:pPr>
        <w:pStyle w:val="Quote"/>
      </w:pPr>
      <w:r w:rsidRPr="007837CC">
        <w:t>In the absence of complementary policies, higher emissions prices will result in disproportionate impacts on lower income households and those least able to adjust. The</w:t>
      </w:r>
      <w:r w:rsidR="0045208F" w:rsidRPr="007837CC">
        <w:t> </w:t>
      </w:r>
      <w:r w:rsidRPr="007837CC">
        <w:t>NZ ETS price control settings are not the appropriate tool for addressing domestic distributional impacts or other equity considerations in the transition. These distributional impacts can be best managed if the Government puts in place targeted policies alongside the NZ ETS to support those most disadvantaged and those least able to adjust.</w:t>
      </w:r>
      <w:r w:rsidR="001C46E4" w:rsidRPr="007837CC">
        <w:rPr>
          <w:rStyle w:val="FootnoteReference"/>
        </w:rPr>
        <w:footnoteReference w:id="35"/>
      </w:r>
    </w:p>
    <w:p w14:paraId="248A52BC" w14:textId="4369CD6A" w:rsidR="00600FC9" w:rsidRPr="007837CC" w:rsidRDefault="00600FC9" w:rsidP="009339C1">
      <w:pPr>
        <w:pStyle w:val="Heading3"/>
      </w:pPr>
      <w:r w:rsidRPr="007837CC">
        <w:lastRenderedPageBreak/>
        <w:t xml:space="preserve">Impacts are a key consideration when </w:t>
      </w:r>
      <w:r w:rsidR="0018721B" w:rsidRPr="007837CC">
        <w:t xml:space="preserve">deciding on </w:t>
      </w:r>
      <w:r w:rsidRPr="007837CC">
        <w:t>price</w:t>
      </w:r>
      <w:r w:rsidR="00DD505C" w:rsidRPr="007837CC">
        <w:t> </w:t>
      </w:r>
      <w:r w:rsidRPr="007837CC">
        <w:t xml:space="preserve">control </w:t>
      </w:r>
      <w:proofErr w:type="gramStart"/>
      <w:r w:rsidRPr="007837CC">
        <w:t>settings</w:t>
      </w:r>
      <w:proofErr w:type="gramEnd"/>
    </w:p>
    <w:p w14:paraId="1671FFCF" w14:textId="0BC968CA" w:rsidR="00600FC9" w:rsidRPr="007837CC" w:rsidRDefault="00600FC9" w:rsidP="00DD505C">
      <w:pPr>
        <w:pStyle w:val="BodyText"/>
      </w:pPr>
      <w:r w:rsidRPr="007837CC">
        <w:t>As the Act</w:t>
      </w:r>
      <w:r w:rsidR="001C46E4" w:rsidRPr="007837CC">
        <w:t xml:space="preserve"> requires</w:t>
      </w:r>
      <w:r w:rsidRPr="007837CC">
        <w:t xml:space="preserve">, the impacts of price control settings on households and the economy </w:t>
      </w:r>
      <w:r w:rsidR="000851D0" w:rsidRPr="007837CC">
        <w:t xml:space="preserve">are considerations for </w:t>
      </w:r>
      <w:r w:rsidRPr="007837CC">
        <w:t xml:space="preserve">decisions on these settings. </w:t>
      </w:r>
    </w:p>
    <w:p w14:paraId="598E15C3" w14:textId="4154309B" w:rsidR="00600FC9" w:rsidRPr="007837CC" w:rsidRDefault="00600FC9" w:rsidP="000E3A7C">
      <w:pPr>
        <w:pStyle w:val="BodyText"/>
        <w:spacing w:after="240"/>
      </w:pPr>
      <w:r w:rsidRPr="007837CC" w:rsidDel="000851D0">
        <w:t>We are interested in your view</w:t>
      </w:r>
      <w:r w:rsidR="002A397E" w:rsidRPr="007837CC" w:rsidDel="000851D0">
        <w:t xml:space="preserve">s on </w:t>
      </w:r>
      <w:r w:rsidR="00816E37" w:rsidRPr="007837CC">
        <w:t>these</w:t>
      </w:r>
      <w:r w:rsidR="002A397E" w:rsidRPr="007837CC">
        <w:t xml:space="preserve"> </w:t>
      </w:r>
      <w:r w:rsidR="002A397E" w:rsidRPr="007837CC" w:rsidDel="000851D0">
        <w:t>impacts</w:t>
      </w:r>
      <w:r w:rsidR="001C46E4" w:rsidRPr="007837CC">
        <w:t>, which will</w:t>
      </w:r>
      <w:r w:rsidRPr="007837CC" w:rsidDel="000851D0">
        <w:t xml:space="preserve"> help inform our analysis.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0E3A7C" w:rsidRPr="007837CC" w14:paraId="7006F303" w14:textId="77777777" w:rsidTr="00CE1496">
        <w:tc>
          <w:tcPr>
            <w:tcW w:w="0" w:type="auto"/>
            <w:shd w:val="clear" w:color="auto" w:fill="D2DDE2"/>
          </w:tcPr>
          <w:p w14:paraId="0A14D3AE" w14:textId="2BDB3BEF" w:rsidR="000E3A7C" w:rsidRPr="007837CC" w:rsidRDefault="000E3A7C" w:rsidP="00CE1496">
            <w:pPr>
              <w:pStyle w:val="Boxheading"/>
              <w:rPr>
                <w:rFonts w:cs="Calibri"/>
              </w:rPr>
            </w:pPr>
            <w:r w:rsidRPr="007837CC">
              <w:rPr>
                <w:rFonts w:cs="Calibri"/>
              </w:rPr>
              <w:t>Questions</w:t>
            </w:r>
          </w:p>
          <w:p w14:paraId="67649CEB" w14:textId="77777777" w:rsidR="000E3A7C" w:rsidRPr="007837CC" w:rsidRDefault="000E3A7C" w:rsidP="000E3A7C">
            <w:pPr>
              <w:pStyle w:val="Boxquestion"/>
              <w:spacing w:after="0"/>
            </w:pPr>
            <w:r w:rsidRPr="007837CC">
              <w:t>Are there further impacts at these prices that should be considered?</w:t>
            </w:r>
          </w:p>
          <w:p w14:paraId="00405AB5" w14:textId="624DE920" w:rsidR="0016296D" w:rsidRPr="007837CC" w:rsidRDefault="0016296D" w:rsidP="000E3A7C">
            <w:pPr>
              <w:pStyle w:val="Boxquestion"/>
              <w:spacing w:after="0"/>
            </w:pPr>
            <w:r w:rsidRPr="007837CC">
              <w:t>What role should price controls play in containing the level of impacts, and what price control settings would be required for this</w:t>
            </w:r>
            <w:r w:rsidR="00357355" w:rsidRPr="007837CC">
              <w:t>?</w:t>
            </w:r>
          </w:p>
          <w:p w14:paraId="19E4D9AF" w14:textId="71FFDFF9" w:rsidR="000E3A7C" w:rsidRPr="007837CC" w:rsidRDefault="000E3A7C" w:rsidP="000E3A7C">
            <w:pPr>
              <w:pStyle w:val="Boxquestion"/>
              <w:spacing w:after="0"/>
            </w:pPr>
            <w:r w:rsidRPr="007837CC">
              <w:t>If prices reached those presented in the cost containment reserve trigger price options above, do you feel that you have options to change behaviours or make new investments to address the impacts?</w:t>
            </w:r>
          </w:p>
          <w:p w14:paraId="5C0968D1" w14:textId="05233980" w:rsidR="000E3A7C" w:rsidRPr="007837CC" w:rsidRDefault="000E3A7C" w:rsidP="000E3A7C">
            <w:pPr>
              <w:pStyle w:val="Boxquestion"/>
            </w:pPr>
            <w:r w:rsidRPr="007837CC">
              <w:t>Could you change behaviours or make new investments to mitigate the impact of high</w:t>
            </w:r>
            <w:r w:rsidR="0016296D" w:rsidRPr="007837CC">
              <w:t>er</w:t>
            </w:r>
            <w:r w:rsidRPr="007837CC">
              <w:t xml:space="preserve"> prices on yourself?</w:t>
            </w:r>
          </w:p>
        </w:tc>
      </w:tr>
    </w:tbl>
    <w:p w14:paraId="55A5B92B" w14:textId="77777777" w:rsidR="000E3A7C" w:rsidRPr="007837CC" w:rsidRDefault="000E3A7C" w:rsidP="000E3A7C">
      <w:pPr>
        <w:pStyle w:val="BodyText"/>
        <w:spacing w:after="0"/>
      </w:pPr>
    </w:p>
    <w:p w14:paraId="12180538" w14:textId="77777777" w:rsidR="005A0B3C" w:rsidRPr="007837CC" w:rsidRDefault="005A0B3C" w:rsidP="000E3A7C">
      <w:pPr>
        <w:pStyle w:val="BodyText"/>
      </w:pPr>
      <w:r w:rsidRPr="007837CC">
        <w:br w:type="page"/>
      </w:r>
    </w:p>
    <w:p w14:paraId="66DE88FD" w14:textId="191DC75C" w:rsidR="00EA3B5D" w:rsidRDefault="00317C97" w:rsidP="00A2082C">
      <w:pPr>
        <w:pStyle w:val="Heading1"/>
      </w:pPr>
      <w:bookmarkStart w:id="75" w:name="_Toc135300685"/>
      <w:r w:rsidRPr="007837CC">
        <w:lastRenderedPageBreak/>
        <w:t>Consultation questions</w:t>
      </w:r>
      <w:r w:rsidR="002934F9" w:rsidRPr="007837CC">
        <w:t xml:space="preserve"> </w:t>
      </w:r>
      <w:r w:rsidR="00FE482F" w:rsidRPr="007837CC">
        <w:t xml:space="preserve">and providing </w:t>
      </w:r>
      <w:proofErr w:type="gramStart"/>
      <w:r w:rsidR="00FE482F" w:rsidRPr="007837CC">
        <w:t>feedback</w:t>
      </w:r>
      <w:bookmarkEnd w:id="75"/>
      <w:proofErr w:type="gramEnd"/>
    </w:p>
    <w:p w14:paraId="10FD3D31" w14:textId="05A4C4D8" w:rsidR="000E43D9" w:rsidRPr="000E43D9" w:rsidRDefault="000E43D9" w:rsidP="000E43D9">
      <w:pPr>
        <w:pStyle w:val="Heading2"/>
      </w:pPr>
      <w:bookmarkStart w:id="76" w:name="_Toc135300686"/>
      <w:r>
        <w:t>Consultation questions</w:t>
      </w:r>
      <w:bookmarkEnd w:id="76"/>
    </w:p>
    <w:p w14:paraId="293106EE" w14:textId="77777777" w:rsidR="00EA3B5D" w:rsidRDefault="00EA3B5D" w:rsidP="001D5723">
      <w:pPr>
        <w:pStyle w:val="BodyText"/>
        <w:numPr>
          <w:ilvl w:val="0"/>
          <w:numId w:val="60"/>
        </w:numPr>
        <w:ind w:left="357" w:hanging="357"/>
        <w:jc w:val="both"/>
      </w:pPr>
      <w:r w:rsidRPr="007837CC">
        <w:t>Do you think the decisions on NZ ETS unit settings announced in December 2022 had any impact on NZ ETS market behaviour?</w:t>
      </w:r>
    </w:p>
    <w:p w14:paraId="58E393A7" w14:textId="77777777" w:rsidR="00EA3B5D" w:rsidRDefault="00EA3B5D" w:rsidP="001D5723">
      <w:pPr>
        <w:pStyle w:val="BodyText"/>
        <w:numPr>
          <w:ilvl w:val="0"/>
          <w:numId w:val="60"/>
        </w:numPr>
        <w:spacing w:after="80"/>
        <w:ind w:left="357" w:hanging="357"/>
        <w:jc w:val="both"/>
      </w:pPr>
      <w:r>
        <w:t>Do you think that the proposed update to auction volumes to reflect a change in forestry emissions outside the NZ ETS is sufficient to allow unit settings for 2024 and 2025 to be updated?</w:t>
      </w:r>
    </w:p>
    <w:p w14:paraId="2DA45A8A" w14:textId="77777777" w:rsidR="00EA3B5D" w:rsidRDefault="00EA3B5D" w:rsidP="001D5723">
      <w:pPr>
        <w:pStyle w:val="BodyText"/>
        <w:numPr>
          <w:ilvl w:val="0"/>
          <w:numId w:val="60"/>
        </w:numPr>
        <w:spacing w:after="80"/>
        <w:ind w:left="357" w:hanging="357"/>
        <w:jc w:val="both"/>
      </w:pPr>
      <w:r>
        <w:t xml:space="preserve">What other special circumstances, if any, do you think exist that might enable updating NZ ETS unit settings for 2024 and 2025? </w:t>
      </w:r>
    </w:p>
    <w:p w14:paraId="1532370D" w14:textId="77777777" w:rsidR="00EA3B5D" w:rsidRDefault="00EA3B5D" w:rsidP="001D5723">
      <w:pPr>
        <w:pStyle w:val="BodyText"/>
        <w:numPr>
          <w:ilvl w:val="0"/>
          <w:numId w:val="60"/>
        </w:numPr>
        <w:spacing w:after="80"/>
        <w:ind w:left="357" w:hanging="357"/>
        <w:jc w:val="both"/>
      </w:pPr>
      <w:r>
        <w:t>If there are special circumstances, do you think updates to NZ ETS unit settings for 2024 and 2025 are justified and should be made?</w:t>
      </w:r>
    </w:p>
    <w:p w14:paraId="4276BC2C" w14:textId="77777777" w:rsidR="00EA3B5D" w:rsidRDefault="00EA3B5D" w:rsidP="001D5723">
      <w:pPr>
        <w:pStyle w:val="BodyText"/>
        <w:numPr>
          <w:ilvl w:val="0"/>
          <w:numId w:val="60"/>
        </w:numPr>
        <w:spacing w:after="80"/>
        <w:ind w:left="357" w:hanging="357"/>
        <w:jc w:val="both"/>
      </w:pPr>
      <w:r>
        <w:t>Do you think that updates to NZ ETS unit settings for 2024 and 2025 should occur if NZUs from the cost containment reserve are sold at the June NZ ETS auction? Note, the Commission recommends that settings for 2024 and 2025 are updated in this situation.</w:t>
      </w:r>
    </w:p>
    <w:p w14:paraId="601DC4A4" w14:textId="77777777" w:rsidR="00EA3B5D" w:rsidRDefault="00EA3B5D" w:rsidP="001D5723">
      <w:pPr>
        <w:pStyle w:val="BodyText"/>
        <w:numPr>
          <w:ilvl w:val="0"/>
          <w:numId w:val="60"/>
        </w:numPr>
        <w:spacing w:after="80"/>
        <w:ind w:left="357" w:hanging="357"/>
        <w:jc w:val="both"/>
      </w:pPr>
      <w:r>
        <w:t>Do you think the Commission’s updated estimates of forestry emissions outside the NZ ETS are accurate?</w:t>
      </w:r>
    </w:p>
    <w:p w14:paraId="710DAD8E" w14:textId="77777777" w:rsidR="00EA3B5D" w:rsidRDefault="00EA3B5D" w:rsidP="001D5723">
      <w:pPr>
        <w:pStyle w:val="BodyText"/>
        <w:numPr>
          <w:ilvl w:val="0"/>
          <w:numId w:val="60"/>
        </w:numPr>
        <w:spacing w:after="80"/>
        <w:ind w:left="357" w:hanging="357"/>
        <w:jc w:val="both"/>
      </w:pPr>
      <w:r>
        <w:t>Do you think that an update to calculations, and a corresponding reduction in auction volumes, should be made to reflect this updated estimate?</w:t>
      </w:r>
    </w:p>
    <w:p w14:paraId="34C80298" w14:textId="77777777" w:rsidR="00EA3B5D" w:rsidRDefault="00EA3B5D" w:rsidP="001D5723">
      <w:pPr>
        <w:pStyle w:val="BodyText"/>
        <w:numPr>
          <w:ilvl w:val="0"/>
          <w:numId w:val="60"/>
        </w:numPr>
        <w:spacing w:after="80"/>
        <w:ind w:left="357" w:hanging="357"/>
        <w:jc w:val="both"/>
      </w:pPr>
      <w:r w:rsidRPr="007837CC">
        <w:t>Do you think that reductions in auction volumes and limits should occur to reflect the identified discrepancies between emissions reported in the Greenhouse Gas Inventory and the NZ ETS?</w:t>
      </w:r>
    </w:p>
    <w:p w14:paraId="78184B2B" w14:textId="77777777" w:rsidR="00EA3B5D" w:rsidRDefault="00EA3B5D" w:rsidP="001D5723">
      <w:pPr>
        <w:pStyle w:val="BodyText"/>
        <w:numPr>
          <w:ilvl w:val="0"/>
          <w:numId w:val="60"/>
        </w:numPr>
        <w:spacing w:after="80"/>
        <w:ind w:left="357" w:hanging="357"/>
        <w:jc w:val="both"/>
      </w:pPr>
      <w:r w:rsidRPr="007837CC">
        <w:t>Do you think the status quo approach to stockpile reduction should be retained?</w:t>
      </w:r>
    </w:p>
    <w:p w14:paraId="5708BB89" w14:textId="77777777" w:rsidR="00EA3B5D" w:rsidRDefault="00EA3B5D" w:rsidP="001D5723">
      <w:pPr>
        <w:pStyle w:val="BodyText"/>
        <w:numPr>
          <w:ilvl w:val="0"/>
          <w:numId w:val="60"/>
        </w:numPr>
        <w:spacing w:after="80"/>
        <w:ind w:left="357" w:hanging="357"/>
        <w:jc w:val="both"/>
      </w:pPr>
      <w:r>
        <w:t>Should a new sub-step be added this year to address projected impacts on surplus stockpile liquidity rather than addressing it through annual updates to estimates of surplus stockpile liquidity?</w:t>
      </w:r>
    </w:p>
    <w:p w14:paraId="050F6DFC" w14:textId="77777777" w:rsidR="00EA3B5D" w:rsidRDefault="00EA3B5D" w:rsidP="001D5723">
      <w:pPr>
        <w:pStyle w:val="BodyText"/>
        <w:numPr>
          <w:ilvl w:val="0"/>
          <w:numId w:val="60"/>
        </w:numPr>
        <w:spacing w:after="80"/>
        <w:ind w:left="357" w:hanging="357"/>
        <w:jc w:val="both"/>
      </w:pPr>
      <w:r>
        <w:t>Should adjustments to auction volumes be made to address historic actions?</w:t>
      </w:r>
    </w:p>
    <w:p w14:paraId="3BFB0FA6" w14:textId="77777777" w:rsidR="00EA3B5D" w:rsidRDefault="00EA3B5D" w:rsidP="001D5723">
      <w:pPr>
        <w:pStyle w:val="BodyText"/>
        <w:numPr>
          <w:ilvl w:val="0"/>
          <w:numId w:val="60"/>
        </w:numPr>
        <w:spacing w:after="80"/>
        <w:ind w:left="357" w:hanging="357"/>
        <w:jc w:val="both"/>
      </w:pPr>
      <w:r w:rsidRPr="007837CC">
        <w:t>What do you think of the methodology used to calculate auction volumes, including on each specific step?</w:t>
      </w:r>
    </w:p>
    <w:p w14:paraId="29942880" w14:textId="77777777" w:rsidR="00EA3B5D" w:rsidRDefault="00EA3B5D" w:rsidP="001D5723">
      <w:pPr>
        <w:pStyle w:val="BodyText"/>
        <w:numPr>
          <w:ilvl w:val="0"/>
          <w:numId w:val="60"/>
        </w:numPr>
        <w:spacing w:after="80"/>
        <w:ind w:left="357" w:hanging="357"/>
        <w:jc w:val="both"/>
      </w:pPr>
      <w:r w:rsidRPr="007837CC">
        <w:t>To what extent do you believe that increasing the CCR trigger price would influence NZU prices? Do you think that this influence would remain if CCR trigger prices were increased more significantly?</w:t>
      </w:r>
    </w:p>
    <w:p w14:paraId="33E27E22" w14:textId="77777777" w:rsidR="00EA3B5D" w:rsidRDefault="00EA3B5D" w:rsidP="001D5723">
      <w:pPr>
        <w:pStyle w:val="BodyText"/>
        <w:numPr>
          <w:ilvl w:val="0"/>
          <w:numId w:val="60"/>
        </w:numPr>
        <w:spacing w:after="80"/>
        <w:ind w:left="357" w:hanging="357"/>
        <w:jc w:val="both"/>
      </w:pPr>
      <w:r w:rsidRPr="007837CC">
        <w:t>What do you think of the approach of setting price controls with reference to prices required to deliver gross emissions reductions?</w:t>
      </w:r>
    </w:p>
    <w:p w14:paraId="130DAAB5" w14:textId="77777777" w:rsidR="00EA3B5D" w:rsidRDefault="00EA3B5D" w:rsidP="000E4E3E">
      <w:pPr>
        <w:pStyle w:val="BodyText"/>
        <w:numPr>
          <w:ilvl w:val="0"/>
          <w:numId w:val="60"/>
        </w:numPr>
        <w:jc w:val="both"/>
      </w:pPr>
      <w:r w:rsidRPr="007837CC">
        <w:t>What do you think of the proposed auction price floor settings? What impacts do you think will result from different settings?</w:t>
      </w:r>
    </w:p>
    <w:p w14:paraId="0E5A98C1" w14:textId="77777777" w:rsidR="00EA3B5D" w:rsidRDefault="00EA3B5D" w:rsidP="001D5723">
      <w:pPr>
        <w:pStyle w:val="BodyText"/>
        <w:numPr>
          <w:ilvl w:val="0"/>
          <w:numId w:val="60"/>
        </w:numPr>
        <w:spacing w:after="80"/>
        <w:ind w:left="357" w:hanging="357"/>
        <w:jc w:val="both"/>
      </w:pPr>
      <w:r>
        <w:lastRenderedPageBreak/>
        <w:t>Do you think the cost containment reserve should be disabled by having no reserve volume?</w:t>
      </w:r>
    </w:p>
    <w:p w14:paraId="44A2E407" w14:textId="77777777" w:rsidR="00EA3B5D" w:rsidRDefault="00EA3B5D" w:rsidP="001D5723">
      <w:pPr>
        <w:pStyle w:val="BodyText"/>
        <w:numPr>
          <w:ilvl w:val="0"/>
          <w:numId w:val="60"/>
        </w:numPr>
        <w:spacing w:after="80"/>
        <w:ind w:left="357" w:hanging="357"/>
        <w:jc w:val="both"/>
      </w:pPr>
      <w:r>
        <w:t>If retained, do you think the cost containment reserve should consist of one or two tiers?</w:t>
      </w:r>
    </w:p>
    <w:p w14:paraId="3812B80F" w14:textId="77777777" w:rsidR="00EA3B5D" w:rsidRDefault="00EA3B5D" w:rsidP="001D5723">
      <w:pPr>
        <w:pStyle w:val="BodyText"/>
        <w:numPr>
          <w:ilvl w:val="0"/>
          <w:numId w:val="60"/>
        </w:numPr>
        <w:spacing w:after="80"/>
        <w:ind w:left="357" w:hanging="357"/>
        <w:jc w:val="both"/>
      </w:pPr>
      <w:r w:rsidRPr="007837CC">
        <w:t>If a technical adjustment is included as part of the stockpile reduction component of auction volumes, should this technical adjustment amount be included in the total cost containment reserve volume?</w:t>
      </w:r>
    </w:p>
    <w:p w14:paraId="412BF748" w14:textId="77777777" w:rsidR="00EA3B5D" w:rsidRDefault="00EA3B5D" w:rsidP="001D5723">
      <w:pPr>
        <w:pStyle w:val="BodyText"/>
        <w:numPr>
          <w:ilvl w:val="0"/>
          <w:numId w:val="60"/>
        </w:numPr>
        <w:spacing w:after="80"/>
        <w:ind w:left="357" w:hanging="357"/>
        <w:jc w:val="both"/>
      </w:pPr>
      <w:r w:rsidRPr="007837CC">
        <w:t>If a multi-tier cost containment reserve is progressed, how should the volume of units in these tiers be decided on?</w:t>
      </w:r>
    </w:p>
    <w:p w14:paraId="4EBA6B35" w14:textId="77777777" w:rsidR="00EA3B5D" w:rsidRDefault="00EA3B5D" w:rsidP="001D5723">
      <w:pPr>
        <w:pStyle w:val="BodyText"/>
        <w:numPr>
          <w:ilvl w:val="0"/>
          <w:numId w:val="60"/>
        </w:numPr>
        <w:spacing w:after="80"/>
        <w:ind w:left="357" w:hanging="357"/>
        <w:jc w:val="both"/>
      </w:pPr>
      <w:r w:rsidRPr="007837CC">
        <w:t>What do you think of the proposed cost containment reserve trigger price settings? What impacts do you think will result from different settings?</w:t>
      </w:r>
    </w:p>
    <w:p w14:paraId="60AFB93A" w14:textId="77777777" w:rsidR="00EA3B5D" w:rsidRDefault="00EA3B5D" w:rsidP="001D5723">
      <w:pPr>
        <w:pStyle w:val="BodyText"/>
        <w:numPr>
          <w:ilvl w:val="0"/>
          <w:numId w:val="60"/>
        </w:numPr>
        <w:spacing w:after="80"/>
        <w:ind w:left="357" w:hanging="357"/>
        <w:jc w:val="both"/>
      </w:pPr>
      <w:r>
        <w:t>Are there further impacts at these prices that should be considered?</w:t>
      </w:r>
    </w:p>
    <w:p w14:paraId="5061D244" w14:textId="77777777" w:rsidR="00EA3B5D" w:rsidRDefault="00EA3B5D" w:rsidP="001D5723">
      <w:pPr>
        <w:pStyle w:val="BodyText"/>
        <w:numPr>
          <w:ilvl w:val="0"/>
          <w:numId w:val="60"/>
        </w:numPr>
        <w:spacing w:after="80"/>
        <w:ind w:left="357" w:hanging="357"/>
        <w:jc w:val="both"/>
      </w:pPr>
      <w:r>
        <w:t>What role should price controls play in containing the level of impacts, and what price control settings would be required for this?</w:t>
      </w:r>
    </w:p>
    <w:p w14:paraId="53CC5FA1" w14:textId="77777777" w:rsidR="00EA3B5D" w:rsidRDefault="00EA3B5D" w:rsidP="001D5723">
      <w:pPr>
        <w:pStyle w:val="BodyText"/>
        <w:numPr>
          <w:ilvl w:val="0"/>
          <w:numId w:val="60"/>
        </w:numPr>
        <w:spacing w:after="80"/>
        <w:ind w:left="357" w:hanging="357"/>
        <w:jc w:val="both"/>
      </w:pPr>
      <w:r>
        <w:t>If prices reached those presented in the cost containment reserve trigger price options above, do you feel that you have options to change behaviours or make new investments to address the impacts?</w:t>
      </w:r>
    </w:p>
    <w:p w14:paraId="627D9707" w14:textId="77777777" w:rsidR="00EA3B5D" w:rsidRDefault="00EA3B5D" w:rsidP="001D5723">
      <w:pPr>
        <w:pStyle w:val="BodyText"/>
        <w:numPr>
          <w:ilvl w:val="0"/>
          <w:numId w:val="60"/>
        </w:numPr>
        <w:spacing w:after="80"/>
        <w:ind w:left="357" w:hanging="357"/>
        <w:jc w:val="both"/>
      </w:pPr>
      <w:r>
        <w:t>Could you change behaviours or make new investments to mitigate the impact of higher prices on yourself?</w:t>
      </w:r>
    </w:p>
    <w:p w14:paraId="2371CB86" w14:textId="3C1406D9" w:rsidR="00D23652" w:rsidRPr="007837CC" w:rsidRDefault="0004350F" w:rsidP="000E43D9">
      <w:pPr>
        <w:pStyle w:val="Heading2"/>
      </w:pPr>
      <w:bookmarkStart w:id="77" w:name="_How_to_have"/>
      <w:bookmarkStart w:id="78" w:name="_Toc135300687"/>
      <w:bookmarkEnd w:id="77"/>
      <w:r w:rsidRPr="007837CC">
        <w:t>How to have your say</w:t>
      </w:r>
      <w:bookmarkEnd w:id="78"/>
    </w:p>
    <w:p w14:paraId="2B4263C1" w14:textId="7C867257" w:rsidR="0CDB8991" w:rsidRPr="007837CC" w:rsidRDefault="0CDB8991" w:rsidP="000E3A7C">
      <w:pPr>
        <w:pStyle w:val="BodyText"/>
      </w:pPr>
      <w:r w:rsidRPr="007837CC">
        <w:t>The Government welcomes your feedback on th</w:t>
      </w:r>
      <w:r w:rsidR="00D67088" w:rsidRPr="007837CC">
        <w:t xml:space="preserve">e issues described in </w:t>
      </w:r>
      <w:r w:rsidRPr="007837CC">
        <w:t>this consultation document. The questions throughout the document and summarised here are a guide only. You do not have to answer them all and any additional comments are welcome.</w:t>
      </w:r>
    </w:p>
    <w:p w14:paraId="6AA08E1D" w14:textId="1B4722B5" w:rsidR="0CDB8991" w:rsidRPr="007837CC" w:rsidRDefault="0CDB8991" w:rsidP="000E3A7C">
      <w:pPr>
        <w:pStyle w:val="BodyText"/>
      </w:pPr>
      <w:r w:rsidRPr="007837CC">
        <w:t>To ensure others clearly understand your point of view, you should explain the reasons for your views and give any supporting evidence.</w:t>
      </w:r>
    </w:p>
    <w:p w14:paraId="196C53FE" w14:textId="3924B0B5" w:rsidR="0057672E" w:rsidRPr="007837CC" w:rsidRDefault="0057672E" w:rsidP="00FE482F">
      <w:pPr>
        <w:pStyle w:val="Heading3"/>
      </w:pPr>
      <w:r w:rsidRPr="007837CC">
        <w:t>Timeframes</w:t>
      </w:r>
    </w:p>
    <w:p w14:paraId="5A951B46" w14:textId="6471F900" w:rsidR="0CDB8991" w:rsidRPr="007837CC" w:rsidRDefault="0CDB8991" w:rsidP="0090471D">
      <w:pPr>
        <w:pStyle w:val="BodyText"/>
        <w:rPr>
          <w:rFonts w:eastAsia="Calibri" w:cs="Calibri"/>
          <w:color w:val="000000" w:themeColor="text1"/>
        </w:rPr>
      </w:pPr>
      <w:r w:rsidRPr="007837CC">
        <w:rPr>
          <w:rFonts w:eastAsia="Calibri" w:cs="Calibri"/>
          <w:color w:val="000000" w:themeColor="text1"/>
        </w:rPr>
        <w:t xml:space="preserve">This consultation starts on </w:t>
      </w:r>
      <w:r w:rsidR="00E93A9E" w:rsidRPr="007E4836">
        <w:rPr>
          <w:rFonts w:eastAsia="Calibri" w:cs="Calibri"/>
          <w:color w:val="000000" w:themeColor="text1"/>
        </w:rPr>
        <w:t>19 May</w:t>
      </w:r>
      <w:r w:rsidR="007E4836">
        <w:rPr>
          <w:rFonts w:eastAsia="Calibri" w:cs="Calibri"/>
          <w:color w:val="000000" w:themeColor="text1"/>
        </w:rPr>
        <w:t xml:space="preserve"> </w:t>
      </w:r>
      <w:r w:rsidR="00155D3B" w:rsidRPr="007E4836">
        <w:rPr>
          <w:rFonts w:eastAsia="Calibri" w:cs="Calibri"/>
          <w:color w:val="000000" w:themeColor="text1"/>
        </w:rPr>
        <w:t>2023</w:t>
      </w:r>
      <w:r w:rsidR="00D016A6" w:rsidRPr="007837CC">
        <w:rPr>
          <w:rFonts w:eastAsia="Calibri" w:cs="Calibri"/>
          <w:color w:val="000000" w:themeColor="text1"/>
        </w:rPr>
        <w:t xml:space="preserve"> and ends on </w:t>
      </w:r>
      <w:r w:rsidR="00912A35" w:rsidRPr="00C518B6">
        <w:rPr>
          <w:rFonts w:eastAsia="Calibri" w:cs="Calibri"/>
          <w:color w:val="000000" w:themeColor="text1"/>
        </w:rPr>
        <w:t>16 June</w:t>
      </w:r>
      <w:r w:rsidR="00155D3B" w:rsidRPr="00C518B6">
        <w:rPr>
          <w:rFonts w:eastAsia="Calibri" w:cs="Calibri"/>
          <w:color w:val="000000" w:themeColor="text1"/>
        </w:rPr>
        <w:t xml:space="preserve"> 2023</w:t>
      </w:r>
      <w:r w:rsidRPr="007837CC">
        <w:rPr>
          <w:rFonts w:eastAsia="Calibri" w:cs="Calibri"/>
          <w:color w:val="000000" w:themeColor="text1"/>
        </w:rPr>
        <w:t>.</w:t>
      </w:r>
    </w:p>
    <w:p w14:paraId="36B539F8" w14:textId="6FEAFDF3" w:rsidR="0CDB8991" w:rsidRPr="007837CC" w:rsidRDefault="0CDB8991" w:rsidP="0090471D">
      <w:pPr>
        <w:pStyle w:val="BodyText"/>
        <w:rPr>
          <w:rFonts w:eastAsia="Calibri" w:cs="Calibri"/>
          <w:color w:val="000000" w:themeColor="text1"/>
        </w:rPr>
      </w:pPr>
      <w:r w:rsidRPr="007837CC">
        <w:rPr>
          <w:rFonts w:eastAsia="Calibri" w:cs="Calibri"/>
          <w:color w:val="000000" w:themeColor="text1"/>
        </w:rPr>
        <w:t>When the consultation period has ended, we will develop recommendations on changes to regulations.</w:t>
      </w:r>
    </w:p>
    <w:p w14:paraId="4AF6FB43" w14:textId="0C965728" w:rsidR="00966687" w:rsidRPr="007837CC" w:rsidRDefault="00966687" w:rsidP="00FE482F">
      <w:pPr>
        <w:pStyle w:val="Heading3"/>
      </w:pPr>
      <w:r w:rsidRPr="007837CC">
        <w:t>How to provide feedback</w:t>
      </w:r>
    </w:p>
    <w:p w14:paraId="3BF6F972" w14:textId="1594F522" w:rsidR="0CDB8991" w:rsidRPr="007837CC" w:rsidRDefault="0CDB8991" w:rsidP="0090471D">
      <w:pPr>
        <w:pStyle w:val="BodyText"/>
        <w:rPr>
          <w:rFonts w:eastAsia="Calibri" w:cs="Calibri"/>
          <w:color w:val="000000" w:themeColor="text1"/>
        </w:rPr>
      </w:pPr>
      <w:r w:rsidRPr="007837CC">
        <w:rPr>
          <w:rFonts w:eastAsia="Calibri" w:cs="Calibri"/>
          <w:color w:val="000000" w:themeColor="text1"/>
        </w:rPr>
        <w:t>There are two ways you can make a submission.</w:t>
      </w:r>
    </w:p>
    <w:p w14:paraId="726418A7" w14:textId="3B3C474A" w:rsidR="004513F6" w:rsidRDefault="0CDB8991" w:rsidP="00E97706">
      <w:pPr>
        <w:pStyle w:val="Numberedparagraph"/>
        <w:numPr>
          <w:ilvl w:val="0"/>
          <w:numId w:val="27"/>
        </w:numPr>
        <w:rPr>
          <w:rFonts w:eastAsia="Calibri" w:cs="Calibri"/>
          <w:color w:val="000000" w:themeColor="text1"/>
        </w:rPr>
      </w:pPr>
      <w:r w:rsidRPr="007837CC">
        <w:rPr>
          <w:rFonts w:eastAsia="Calibri" w:cs="Calibri"/>
          <w:color w:val="000000" w:themeColor="text1"/>
        </w:rPr>
        <w:t>Via Citizen Space, our consultation hub:</w:t>
      </w:r>
      <w:r w:rsidR="00BB0916">
        <w:rPr>
          <w:rFonts w:eastAsia="Calibri" w:cs="Calibri"/>
          <w:color w:val="000000" w:themeColor="text1"/>
        </w:rPr>
        <w:t xml:space="preserve"> </w:t>
      </w:r>
      <w:hyperlink r:id="rId26" w:history="1">
        <w:r w:rsidR="004513F6" w:rsidRPr="004513F6">
          <w:rPr>
            <w:rStyle w:val="Hyperlink"/>
          </w:rPr>
          <w:t>https://consult.environment.govt.nz/climate/annual-updates-nz-ets-unit-settings-2023</w:t>
        </w:r>
      </w:hyperlink>
    </w:p>
    <w:p w14:paraId="4803C281" w14:textId="73084A1F" w:rsidR="0CDB8991" w:rsidRPr="007837CC" w:rsidRDefault="0CDB8991" w:rsidP="0090471D">
      <w:pPr>
        <w:pStyle w:val="Numberedparagraph"/>
        <w:ind w:left="426" w:hanging="426"/>
        <w:rPr>
          <w:rFonts w:eastAsia="Calibri" w:cs="Calibri"/>
          <w:color w:val="000000" w:themeColor="text1"/>
        </w:rPr>
      </w:pPr>
      <w:r w:rsidRPr="007837CC">
        <w:rPr>
          <w:rFonts w:eastAsia="Calibri" w:cs="Calibri"/>
          <w:color w:val="000000" w:themeColor="text1"/>
        </w:rPr>
        <w:t>Write your own submission.</w:t>
      </w:r>
    </w:p>
    <w:p w14:paraId="1CCC272B" w14:textId="4305F867" w:rsidR="0CDB8991" w:rsidRPr="007837CC" w:rsidRDefault="0CDB8991" w:rsidP="0090471D">
      <w:pPr>
        <w:pStyle w:val="BodyText"/>
        <w:rPr>
          <w:rFonts w:eastAsia="Calibri" w:cs="Calibri"/>
          <w:color w:val="000000" w:themeColor="text1"/>
        </w:rPr>
      </w:pPr>
      <w:r w:rsidRPr="007837CC">
        <w:rPr>
          <w:rFonts w:eastAsia="Calibri" w:cs="Calibri"/>
          <w:color w:val="000000" w:themeColor="text1"/>
        </w:rPr>
        <w:t>If you want to provide your own written submission</w:t>
      </w:r>
      <w:r w:rsidR="001C46E4" w:rsidRPr="007837CC">
        <w:rPr>
          <w:rFonts w:eastAsia="Calibri" w:cs="Calibri"/>
          <w:color w:val="000000" w:themeColor="text1"/>
        </w:rPr>
        <w:t>,</w:t>
      </w:r>
      <w:r w:rsidRPr="007837CC">
        <w:rPr>
          <w:rFonts w:eastAsia="Calibri" w:cs="Calibri"/>
          <w:color w:val="000000" w:themeColor="text1"/>
        </w:rPr>
        <w:t xml:space="preserve"> you can provide this as an uploaded file in</w:t>
      </w:r>
      <w:r w:rsidR="000E3A7C" w:rsidRPr="007837CC">
        <w:rPr>
          <w:rFonts w:eastAsia="Calibri" w:cs="Calibri"/>
          <w:color w:val="000000" w:themeColor="text1"/>
        </w:rPr>
        <w:t> </w:t>
      </w:r>
      <w:r w:rsidRPr="007837CC">
        <w:rPr>
          <w:rFonts w:eastAsia="Calibri" w:cs="Calibri"/>
          <w:color w:val="000000" w:themeColor="text1"/>
        </w:rPr>
        <w:t>Citizen Space.</w:t>
      </w:r>
    </w:p>
    <w:p w14:paraId="34A5C163" w14:textId="38E95C68" w:rsidR="0CDB8991" w:rsidRPr="007837CC" w:rsidRDefault="0CDB8991" w:rsidP="0090471D">
      <w:pPr>
        <w:pStyle w:val="BodyText"/>
        <w:rPr>
          <w:rFonts w:eastAsia="Calibri" w:cs="Calibri"/>
          <w:color w:val="000000" w:themeColor="text1"/>
        </w:rPr>
      </w:pPr>
      <w:r w:rsidRPr="007837CC">
        <w:rPr>
          <w:rFonts w:eastAsia="Calibri" w:cs="Calibri"/>
          <w:color w:val="000000" w:themeColor="text1"/>
        </w:rPr>
        <w:lastRenderedPageBreak/>
        <w:t xml:space="preserve">We </w:t>
      </w:r>
      <w:r w:rsidR="00315BEA" w:rsidRPr="007837CC">
        <w:rPr>
          <w:rFonts w:eastAsia="Calibri" w:cs="Calibri"/>
          <w:color w:val="000000" w:themeColor="text1"/>
        </w:rPr>
        <w:t>prefer</w:t>
      </w:r>
      <w:r w:rsidRPr="007837CC">
        <w:rPr>
          <w:rFonts w:eastAsia="Calibri" w:cs="Calibri"/>
          <w:color w:val="000000" w:themeColor="text1"/>
        </w:rPr>
        <w:t xml:space="preserve"> that you don’t email or post submissions as this makes analysis more difficult. However, if you need to please send written submissions to ETS regulation updates, Ministry</w:t>
      </w:r>
      <w:r w:rsidR="000E3A7C" w:rsidRPr="007837CC">
        <w:rPr>
          <w:rFonts w:eastAsia="Calibri" w:cs="Calibri"/>
          <w:color w:val="000000" w:themeColor="text1"/>
        </w:rPr>
        <w:t> </w:t>
      </w:r>
      <w:r w:rsidRPr="007837CC">
        <w:rPr>
          <w:rFonts w:eastAsia="Calibri" w:cs="Calibri"/>
          <w:color w:val="000000" w:themeColor="text1"/>
        </w:rPr>
        <w:t>for the Environment, PO Box 10362, Wellington 6143 and include:</w:t>
      </w:r>
    </w:p>
    <w:p w14:paraId="59EB85A1" w14:textId="5D0C7291" w:rsidR="0CDB8991" w:rsidRPr="007837CC" w:rsidRDefault="0CDB8991" w:rsidP="0090471D">
      <w:pPr>
        <w:pStyle w:val="Bullet"/>
        <w:rPr>
          <w:rFonts w:eastAsia="Calibri" w:cs="Calibri"/>
          <w:color w:val="000000" w:themeColor="text1"/>
          <w:szCs w:val="22"/>
        </w:rPr>
      </w:pPr>
      <w:r w:rsidRPr="007837CC">
        <w:rPr>
          <w:rFonts w:eastAsia="Calibri" w:cs="Calibri"/>
          <w:color w:val="000000" w:themeColor="text1"/>
          <w:szCs w:val="22"/>
        </w:rPr>
        <w:t>the title of the consultation</w:t>
      </w:r>
    </w:p>
    <w:p w14:paraId="49A8A36D" w14:textId="5EB3A2C5" w:rsidR="0CDB8991" w:rsidRPr="007837CC" w:rsidRDefault="0CDB8991" w:rsidP="0090471D">
      <w:pPr>
        <w:pStyle w:val="Bullet"/>
        <w:rPr>
          <w:rFonts w:eastAsia="Calibri" w:cs="Calibri"/>
          <w:color w:val="000000" w:themeColor="text1"/>
          <w:szCs w:val="22"/>
        </w:rPr>
      </w:pPr>
      <w:r w:rsidRPr="007837CC">
        <w:rPr>
          <w:rFonts w:eastAsia="Calibri" w:cs="Calibri"/>
          <w:color w:val="000000" w:themeColor="text1"/>
          <w:szCs w:val="22"/>
        </w:rPr>
        <w:t>your name or organisation</w:t>
      </w:r>
    </w:p>
    <w:p w14:paraId="4AB96859" w14:textId="7E2D1841" w:rsidR="0CDB8991" w:rsidRPr="007837CC" w:rsidRDefault="0CDB8991" w:rsidP="0090471D">
      <w:pPr>
        <w:pStyle w:val="Bullet"/>
        <w:rPr>
          <w:rFonts w:eastAsia="Calibri" w:cs="Calibri"/>
          <w:color w:val="000000" w:themeColor="text1"/>
          <w:szCs w:val="22"/>
        </w:rPr>
      </w:pPr>
      <w:r w:rsidRPr="007837CC">
        <w:rPr>
          <w:rFonts w:eastAsia="Calibri" w:cs="Calibri"/>
          <w:color w:val="000000" w:themeColor="text1"/>
          <w:szCs w:val="22"/>
        </w:rPr>
        <w:t>your postal address</w:t>
      </w:r>
    </w:p>
    <w:p w14:paraId="6464FCA0" w14:textId="6D55C750" w:rsidR="0CDB8991" w:rsidRPr="007837CC" w:rsidRDefault="0CDB8991" w:rsidP="0090471D">
      <w:pPr>
        <w:pStyle w:val="Bullet"/>
        <w:rPr>
          <w:rFonts w:eastAsia="Calibri" w:cs="Calibri"/>
          <w:color w:val="000000" w:themeColor="text1"/>
          <w:szCs w:val="22"/>
        </w:rPr>
      </w:pPr>
      <w:r w:rsidRPr="007837CC">
        <w:rPr>
          <w:rFonts w:eastAsia="Calibri" w:cs="Calibri"/>
          <w:color w:val="000000" w:themeColor="text1"/>
          <w:szCs w:val="22"/>
        </w:rPr>
        <w:t xml:space="preserve">your telephone </w:t>
      </w:r>
      <w:proofErr w:type="gramStart"/>
      <w:r w:rsidRPr="007837CC">
        <w:rPr>
          <w:rFonts w:eastAsia="Calibri" w:cs="Calibri"/>
          <w:color w:val="000000" w:themeColor="text1"/>
          <w:szCs w:val="22"/>
        </w:rPr>
        <w:t>number</w:t>
      </w:r>
      <w:proofErr w:type="gramEnd"/>
    </w:p>
    <w:p w14:paraId="05DC9E9F" w14:textId="3712FADE" w:rsidR="0CDB8991" w:rsidRPr="007837CC" w:rsidRDefault="0CDB8991" w:rsidP="0090471D">
      <w:pPr>
        <w:pStyle w:val="Bullet"/>
        <w:rPr>
          <w:rFonts w:eastAsia="Calibri" w:cs="Calibri"/>
          <w:color w:val="000000" w:themeColor="text1"/>
          <w:szCs w:val="22"/>
        </w:rPr>
      </w:pPr>
      <w:r w:rsidRPr="007837CC">
        <w:rPr>
          <w:rFonts w:eastAsia="Calibri" w:cs="Calibri"/>
          <w:color w:val="000000" w:themeColor="text1"/>
          <w:szCs w:val="22"/>
        </w:rPr>
        <w:t>your email address.</w:t>
      </w:r>
    </w:p>
    <w:p w14:paraId="6F8142C7" w14:textId="249C5870" w:rsidR="0CDB8991" w:rsidRPr="007837CC" w:rsidRDefault="0CDB8991" w:rsidP="00DD505C">
      <w:pPr>
        <w:pStyle w:val="BodyText"/>
        <w:keepNext/>
      </w:pPr>
      <w:r w:rsidRPr="007837CC">
        <w:t xml:space="preserve">If you are emailing your submission, send it to </w:t>
      </w:r>
      <w:hyperlink r:id="rId27" w:history="1">
        <w:r w:rsidRPr="007837CC">
          <w:rPr>
            <w:rStyle w:val="Hyperlink"/>
            <w:rFonts w:eastAsia="Calibri" w:cs="Calibri"/>
          </w:rPr>
          <w:t>etsconsultation@mfe.govt.nz</w:t>
        </w:r>
      </w:hyperlink>
      <w:r w:rsidRPr="007837CC">
        <w:t xml:space="preserve"> as a:</w:t>
      </w:r>
    </w:p>
    <w:p w14:paraId="0C97D3C3" w14:textId="60EB46EF" w:rsidR="0CDB8991" w:rsidRPr="007837CC" w:rsidRDefault="0CDB8991" w:rsidP="00DD505C">
      <w:pPr>
        <w:pStyle w:val="Bullet"/>
        <w:keepNext/>
        <w:rPr>
          <w:rFonts w:eastAsia="Calibri"/>
        </w:rPr>
      </w:pPr>
      <w:r w:rsidRPr="007837CC">
        <w:rPr>
          <w:rFonts w:eastAsia="Calibri"/>
        </w:rPr>
        <w:t>PDF</w:t>
      </w:r>
    </w:p>
    <w:p w14:paraId="69DBCACD" w14:textId="1088AA83" w:rsidR="0CDB8991" w:rsidRPr="007837CC" w:rsidRDefault="0CDB8991" w:rsidP="0090471D">
      <w:pPr>
        <w:pStyle w:val="Bullet"/>
        <w:rPr>
          <w:rFonts w:eastAsia="Calibri" w:cs="Calibri"/>
          <w:color w:val="000000" w:themeColor="text1"/>
          <w:szCs w:val="22"/>
        </w:rPr>
      </w:pPr>
      <w:r w:rsidRPr="007837CC">
        <w:rPr>
          <w:rFonts w:eastAsia="Calibri" w:cs="Calibri"/>
          <w:color w:val="000000" w:themeColor="text1"/>
          <w:szCs w:val="22"/>
        </w:rPr>
        <w:t>Microsoft Word document (2003 or later version).</w:t>
      </w:r>
    </w:p>
    <w:p w14:paraId="31F0239C" w14:textId="69D82F19" w:rsidR="0CDB8991" w:rsidRPr="007837CC" w:rsidRDefault="0CDB8991" w:rsidP="002140F1">
      <w:pPr>
        <w:pStyle w:val="BodyText"/>
        <w:rPr>
          <w:rFonts w:eastAsia="Calibri" w:cs="Calibri"/>
          <w:color w:val="000000" w:themeColor="text1"/>
        </w:rPr>
      </w:pPr>
      <w:r w:rsidRPr="007837CC">
        <w:rPr>
          <w:rFonts w:eastAsia="Calibri" w:cs="Calibri"/>
          <w:b/>
          <w:bCs/>
          <w:color w:val="000000" w:themeColor="text1"/>
        </w:rPr>
        <w:t xml:space="preserve">Submissions close on </w:t>
      </w:r>
      <w:r w:rsidR="006344F7" w:rsidRPr="007E4836">
        <w:rPr>
          <w:rFonts w:eastAsia="Calibri" w:cs="Calibri"/>
          <w:b/>
          <w:color w:val="000000" w:themeColor="text1"/>
        </w:rPr>
        <w:t>16 June</w:t>
      </w:r>
      <w:r w:rsidR="0057426F">
        <w:rPr>
          <w:rFonts w:eastAsia="Calibri" w:cs="Calibri"/>
          <w:b/>
          <w:color w:val="000000" w:themeColor="text1"/>
        </w:rPr>
        <w:t xml:space="preserve"> 2023</w:t>
      </w:r>
      <w:r w:rsidRPr="005444F5">
        <w:rPr>
          <w:rFonts w:eastAsia="Calibri" w:cs="Calibri"/>
          <w:b/>
          <w:bCs/>
          <w:color w:val="000000" w:themeColor="text1"/>
        </w:rPr>
        <w:t>.</w:t>
      </w:r>
    </w:p>
    <w:p w14:paraId="23807190" w14:textId="73C3A228" w:rsidR="00D23652" w:rsidRPr="007837CC" w:rsidRDefault="00D23652" w:rsidP="00550D66">
      <w:pPr>
        <w:pStyle w:val="Heading3"/>
      </w:pPr>
      <w:r w:rsidRPr="007837CC">
        <w:t>More information</w:t>
      </w:r>
    </w:p>
    <w:p w14:paraId="340F3C39" w14:textId="6811DDA5" w:rsidR="0CDB8991" w:rsidRPr="007837CC" w:rsidRDefault="0CDB8991" w:rsidP="0090471D">
      <w:pPr>
        <w:pStyle w:val="BodyText"/>
        <w:rPr>
          <w:rFonts w:eastAsia="Calibri" w:cs="Calibri"/>
          <w:color w:val="000000" w:themeColor="text1"/>
        </w:rPr>
      </w:pPr>
      <w:r w:rsidRPr="007837CC">
        <w:rPr>
          <w:rFonts w:eastAsia="Calibri" w:cs="Calibri"/>
          <w:color w:val="000000" w:themeColor="text1"/>
        </w:rPr>
        <w:t>Please direct any queries to:</w:t>
      </w:r>
    </w:p>
    <w:p w14:paraId="777F7EDB" w14:textId="50A21861" w:rsidR="0CDB8991" w:rsidRPr="007837CC" w:rsidRDefault="0CDB8991" w:rsidP="00AE0E0F">
      <w:pPr>
        <w:pStyle w:val="BodyText"/>
        <w:tabs>
          <w:tab w:val="left" w:pos="851"/>
        </w:tabs>
        <w:spacing w:before="0" w:after="0"/>
        <w:rPr>
          <w:rFonts w:eastAsia="Calibri" w:cs="Calibri"/>
          <w:color w:val="000000" w:themeColor="text1"/>
        </w:rPr>
      </w:pPr>
      <w:r w:rsidRPr="007837CC">
        <w:rPr>
          <w:rFonts w:eastAsia="Calibri" w:cs="Calibri"/>
          <w:color w:val="000000" w:themeColor="text1"/>
        </w:rPr>
        <w:t xml:space="preserve">Email: </w:t>
      </w:r>
      <w:r w:rsidRPr="007837CC">
        <w:tab/>
      </w:r>
      <w:hyperlink r:id="rId28" w:history="1">
        <w:r w:rsidRPr="007837CC">
          <w:rPr>
            <w:rStyle w:val="Hyperlink"/>
            <w:rFonts w:eastAsia="Calibri" w:cs="Calibri"/>
          </w:rPr>
          <w:t>etsconsultation@mfe.govt.nz</w:t>
        </w:r>
      </w:hyperlink>
    </w:p>
    <w:p w14:paraId="4CA1626C" w14:textId="5E8B9897" w:rsidR="0CDB8991" w:rsidRPr="007837CC" w:rsidRDefault="0CDB8991" w:rsidP="00AE0E0F">
      <w:pPr>
        <w:pStyle w:val="BodyText"/>
        <w:ind w:left="851" w:hanging="851"/>
        <w:rPr>
          <w:rFonts w:eastAsia="Calibri" w:cs="Calibri"/>
          <w:color w:val="000000" w:themeColor="text1"/>
        </w:rPr>
      </w:pPr>
      <w:r w:rsidRPr="007837CC">
        <w:rPr>
          <w:rFonts w:eastAsia="Calibri" w:cs="Calibri"/>
          <w:color w:val="000000" w:themeColor="text1"/>
        </w:rPr>
        <w:t xml:space="preserve">Postal: </w:t>
      </w:r>
      <w:r w:rsidRPr="007837CC">
        <w:tab/>
      </w:r>
      <w:r w:rsidRPr="007837CC">
        <w:rPr>
          <w:rFonts w:eastAsia="Calibri" w:cs="Calibri"/>
          <w:color w:val="000000" w:themeColor="text1"/>
        </w:rPr>
        <w:t xml:space="preserve">ETS regulation updates, Ministry for the Environment, </w:t>
      </w:r>
      <w:r w:rsidR="000E3A7C" w:rsidRPr="007837CC">
        <w:rPr>
          <w:rFonts w:eastAsia="Calibri" w:cs="Calibri"/>
          <w:color w:val="000000" w:themeColor="text1"/>
        </w:rPr>
        <w:br/>
      </w:r>
      <w:r w:rsidRPr="007837CC">
        <w:rPr>
          <w:rFonts w:eastAsia="Calibri" w:cs="Calibri"/>
          <w:color w:val="000000" w:themeColor="text1"/>
        </w:rPr>
        <w:t>PO Box 10362, Wellington 6143</w:t>
      </w:r>
    </w:p>
    <w:p w14:paraId="34BA9F8E" w14:textId="5F999F48" w:rsidR="005524E6" w:rsidRPr="007837CC" w:rsidRDefault="003378A8" w:rsidP="003378A8">
      <w:pPr>
        <w:pStyle w:val="Heading2"/>
      </w:pPr>
      <w:bookmarkStart w:id="79" w:name="_Toc135300688"/>
      <w:r w:rsidRPr="007837CC">
        <w:t xml:space="preserve">Publishing and releasing </w:t>
      </w:r>
      <w:proofErr w:type="gramStart"/>
      <w:r w:rsidRPr="007837CC">
        <w:t>submissions</w:t>
      </w:r>
      <w:bookmarkEnd w:id="79"/>
      <w:proofErr w:type="gramEnd"/>
    </w:p>
    <w:p w14:paraId="69C8B25B" w14:textId="481E6F4E" w:rsidR="0CDB8991" w:rsidRPr="007837CC" w:rsidRDefault="0CDB8991" w:rsidP="0090471D">
      <w:pPr>
        <w:pStyle w:val="BodyText"/>
        <w:rPr>
          <w:rFonts w:eastAsia="Calibri" w:cs="Calibri"/>
          <w:color w:val="000000" w:themeColor="text1"/>
        </w:rPr>
      </w:pPr>
      <w:r w:rsidRPr="007837CC">
        <w:rPr>
          <w:rFonts w:eastAsia="Calibri" w:cs="Calibri"/>
          <w:color w:val="000000" w:themeColor="text1"/>
        </w:rPr>
        <w:t>All or part of any written comments (including names of submitters), may be published on the</w:t>
      </w:r>
      <w:r w:rsidR="00FD4DC2" w:rsidRPr="007837CC">
        <w:rPr>
          <w:rFonts w:eastAsia="Calibri" w:cs="Calibri"/>
          <w:color w:val="000000" w:themeColor="text1"/>
        </w:rPr>
        <w:t> </w:t>
      </w:r>
      <w:r w:rsidRPr="007837CC">
        <w:rPr>
          <w:rFonts w:eastAsia="Calibri" w:cs="Calibri"/>
          <w:color w:val="000000" w:themeColor="text1"/>
        </w:rPr>
        <w:t xml:space="preserve">Ministry for the Environment’s website, </w:t>
      </w:r>
      <w:hyperlink r:id="rId29" w:history="1">
        <w:r w:rsidRPr="007837CC">
          <w:rPr>
            <w:rStyle w:val="Hyperlink"/>
            <w:rFonts w:eastAsia="Calibri" w:cs="Calibri"/>
          </w:rPr>
          <w:t>environment.govt.nz</w:t>
        </w:r>
      </w:hyperlink>
      <w:r w:rsidRPr="007837CC">
        <w:rPr>
          <w:rFonts w:eastAsia="Calibri" w:cs="Calibri"/>
          <w:color w:val="000000" w:themeColor="text1"/>
        </w:rPr>
        <w:t>. Unless you clearly specify otherwise in your submission, the Ministry will consider that you have consented to website posting of both your submission and your name.</w:t>
      </w:r>
    </w:p>
    <w:p w14:paraId="4767CEAC" w14:textId="02C75CB4" w:rsidR="0CDB8991" w:rsidRPr="007837CC" w:rsidRDefault="0CDB8991" w:rsidP="0090471D">
      <w:pPr>
        <w:pStyle w:val="BodyText"/>
        <w:rPr>
          <w:rFonts w:eastAsia="Calibri" w:cs="Calibri"/>
          <w:color w:val="000000" w:themeColor="text1"/>
        </w:rPr>
      </w:pPr>
      <w:r w:rsidRPr="007837CC">
        <w:rPr>
          <w:rFonts w:eastAsia="Calibri" w:cs="Calibri"/>
          <w:color w:val="000000" w:themeColor="text1"/>
        </w:rPr>
        <w:t>Contents of subm</w:t>
      </w:r>
      <w:r w:rsidR="00E63885" w:rsidRPr="007837CC">
        <w:rPr>
          <w:rFonts w:eastAsia="Calibri" w:cs="Calibri"/>
          <w:color w:val="000000" w:themeColor="text1"/>
        </w:rPr>
        <w:t>i</w:t>
      </w:r>
      <w:r w:rsidRPr="007837CC">
        <w:rPr>
          <w:rFonts w:eastAsia="Calibri" w:cs="Calibri"/>
          <w:color w:val="000000" w:themeColor="text1"/>
        </w:rPr>
        <w:t xml:space="preserve">ssions may be released to the public under the Official Information Act 1982 following requests to the Ministry for the Environment (including via email). Please advise if you have any objection to the release of any information contained in a submission and, </w:t>
      </w:r>
      <w:proofErr w:type="gramStart"/>
      <w:r w:rsidRPr="007837CC">
        <w:rPr>
          <w:rFonts w:eastAsia="Calibri" w:cs="Calibri"/>
          <w:color w:val="000000" w:themeColor="text1"/>
        </w:rPr>
        <w:t>in particular, which</w:t>
      </w:r>
      <w:proofErr w:type="gramEnd"/>
      <w:r w:rsidRPr="007837CC">
        <w:rPr>
          <w:rFonts w:eastAsia="Calibri" w:cs="Calibri"/>
          <w:color w:val="000000" w:themeColor="text1"/>
        </w:rPr>
        <w:t xml:space="preserve"> part(s) you consider should be withheld, together with the reason(s) for withholding the information. We will </w:t>
      </w:r>
      <w:proofErr w:type="gramStart"/>
      <w:r w:rsidRPr="007837CC">
        <w:rPr>
          <w:rFonts w:eastAsia="Calibri" w:cs="Calibri"/>
          <w:color w:val="000000" w:themeColor="text1"/>
        </w:rPr>
        <w:t>take into account</w:t>
      </w:r>
      <w:proofErr w:type="gramEnd"/>
      <w:r w:rsidRPr="007837CC">
        <w:rPr>
          <w:rFonts w:eastAsia="Calibri" w:cs="Calibri"/>
          <w:color w:val="000000" w:themeColor="text1"/>
        </w:rPr>
        <w:t xml:space="preserve"> all such objections when responding to</w:t>
      </w:r>
      <w:r w:rsidR="00FD4DC2" w:rsidRPr="007837CC">
        <w:rPr>
          <w:rFonts w:eastAsia="Calibri" w:cs="Calibri"/>
          <w:color w:val="000000" w:themeColor="text1"/>
        </w:rPr>
        <w:t> </w:t>
      </w:r>
      <w:r w:rsidRPr="007837CC">
        <w:rPr>
          <w:rFonts w:eastAsia="Calibri" w:cs="Calibri"/>
          <w:color w:val="000000" w:themeColor="text1"/>
        </w:rPr>
        <w:t>requests for copies of, and information on, submissions to this document under the Official Information Act.</w:t>
      </w:r>
    </w:p>
    <w:p w14:paraId="4202F429" w14:textId="2EA0CBE4" w:rsidR="0CDB8991" w:rsidRPr="007837CC" w:rsidRDefault="0CDB8991" w:rsidP="0090471D">
      <w:pPr>
        <w:pStyle w:val="BodyText"/>
        <w:rPr>
          <w:rFonts w:eastAsia="Calibri" w:cs="Calibri"/>
          <w:color w:val="000000" w:themeColor="text1"/>
        </w:rPr>
      </w:pPr>
      <w:r w:rsidRPr="007837CC">
        <w:rPr>
          <w:rFonts w:eastAsia="Calibri" w:cs="Calibri"/>
          <w:color w:val="000000" w:themeColor="text1"/>
        </w:rPr>
        <w:t xml:space="preserve">The Privacy Act 2020 applies certain principles about the collection, use and disclosure of information about individuals by various agencies, including the Ministry for the Environment. It governs access by individuals to information about themselves held by agencies. Any personal information you supply to the Ministry </w:t>
      </w:r>
      <w:proofErr w:type="gramStart"/>
      <w:r w:rsidRPr="007837CC">
        <w:rPr>
          <w:rFonts w:eastAsia="Calibri" w:cs="Calibri"/>
          <w:color w:val="000000" w:themeColor="text1"/>
        </w:rPr>
        <w:t>in the course of</w:t>
      </w:r>
      <w:proofErr w:type="gramEnd"/>
      <w:r w:rsidRPr="007837CC">
        <w:rPr>
          <w:rFonts w:eastAsia="Calibri" w:cs="Calibri"/>
          <w:color w:val="000000" w:themeColor="text1"/>
        </w:rPr>
        <w:t xml:space="preserve"> making a submission will be used by the Ministry only in relation to the matters covered by this document. Please clearly indicate in your submission if you do not wish your name to be included in any summary of submissions that the Ministry may publish.</w:t>
      </w:r>
    </w:p>
    <w:p w14:paraId="7F01CCCE" w14:textId="77777777" w:rsidR="00AE0E0F" w:rsidRPr="007837CC" w:rsidRDefault="0CDB8991" w:rsidP="00FE482F">
      <w:pPr>
        <w:pStyle w:val="BodyText"/>
        <w:rPr>
          <w:rStyle w:val="Hyperlink"/>
          <w:rFonts w:eastAsia="Calibri" w:cs="Calibri"/>
          <w:color w:val="auto"/>
        </w:rPr>
      </w:pPr>
      <w:r w:rsidRPr="007837CC">
        <w:rPr>
          <w:rFonts w:eastAsia="Calibri" w:cs="Calibri"/>
          <w:color w:val="000000" w:themeColor="text1"/>
        </w:rPr>
        <w:t xml:space="preserve">If you have any questions or want more information about the submission process, please email </w:t>
      </w:r>
      <w:hyperlink r:id="rId30" w:history="1">
        <w:r w:rsidRPr="007837CC">
          <w:rPr>
            <w:rStyle w:val="Hyperlink"/>
            <w:rFonts w:eastAsia="Calibri" w:cs="Calibri"/>
          </w:rPr>
          <w:t>etsconsultation@mfe.govt.nz</w:t>
        </w:r>
      </w:hyperlink>
      <w:r w:rsidRPr="007837CC">
        <w:rPr>
          <w:rStyle w:val="Hyperlink"/>
          <w:rFonts w:eastAsia="Calibri" w:cs="Calibri"/>
          <w:color w:val="auto"/>
        </w:rPr>
        <w:t>.</w:t>
      </w:r>
      <w:bookmarkEnd w:id="74"/>
    </w:p>
    <w:p w14:paraId="4A6618E8" w14:textId="675C4228" w:rsidR="003D66F2" w:rsidRPr="007837CC" w:rsidRDefault="001D1BAF" w:rsidP="00474E30">
      <w:pPr>
        <w:pStyle w:val="Heading1"/>
      </w:pPr>
      <w:bookmarkStart w:id="80" w:name="_Appendix:_How_businesses"/>
      <w:bookmarkStart w:id="81" w:name="_Toc135300689"/>
      <w:bookmarkEnd w:id="80"/>
      <w:r w:rsidRPr="007837CC">
        <w:lastRenderedPageBreak/>
        <w:t>Appendix</w:t>
      </w:r>
      <w:r w:rsidR="00474E30" w:rsidRPr="007837CC">
        <w:t xml:space="preserve">: </w:t>
      </w:r>
      <w:r w:rsidR="003D66F2" w:rsidRPr="007837CC">
        <w:t>How businesses interact with the NZ ETS</w:t>
      </w:r>
      <w:bookmarkEnd w:id="81"/>
    </w:p>
    <w:p w14:paraId="49D6499B" w14:textId="77777777" w:rsidR="003D66F2" w:rsidRPr="007837CC" w:rsidRDefault="003D66F2" w:rsidP="003D66F2">
      <w:pPr>
        <w:pStyle w:val="BodyText"/>
      </w:pPr>
      <w:r w:rsidRPr="007837CC">
        <w:t xml:space="preserve">Various people and businesses interact directly with the NZ ETS. These include the following activities. </w:t>
      </w:r>
    </w:p>
    <w:p w14:paraId="3CD2AA88" w14:textId="77777777" w:rsidR="003D66F2" w:rsidRPr="007837CC" w:rsidRDefault="003D66F2" w:rsidP="00770F41">
      <w:pPr>
        <w:pStyle w:val="Heading3"/>
        <w:spacing w:line="440" w:lineRule="exact"/>
        <w:rPr>
          <w:color w:val="1B556B" w:themeColor="text2"/>
          <w:sz w:val="36"/>
          <w:szCs w:val="36"/>
        </w:rPr>
      </w:pPr>
      <w:r w:rsidRPr="007837CC">
        <w:rPr>
          <w:color w:val="1B556B" w:themeColor="text2"/>
          <w:sz w:val="36"/>
          <w:szCs w:val="36"/>
        </w:rPr>
        <w:t>Reporting emissions and surrendering emission units</w:t>
      </w:r>
    </w:p>
    <w:p w14:paraId="78E4FA78" w14:textId="3156095D" w:rsidR="003D66F2" w:rsidRPr="007837CC" w:rsidRDefault="003D66F2" w:rsidP="00514AC3">
      <w:pPr>
        <w:pStyle w:val="BodyText"/>
      </w:pPr>
      <w:r w:rsidRPr="007837CC">
        <w:t xml:space="preserve">Some people and businesses have obligations to report their emissions. Some of them also </w:t>
      </w:r>
      <w:proofErr w:type="gramStart"/>
      <w:r w:rsidRPr="007837CC">
        <w:t>have to</w:t>
      </w:r>
      <w:proofErr w:type="gramEnd"/>
      <w:r w:rsidRPr="007837CC">
        <w:t xml:space="preserve"> surrender emission </w:t>
      </w:r>
      <w:r w:rsidR="00E01148" w:rsidRPr="007837CC">
        <w:t xml:space="preserve">NZUs </w:t>
      </w:r>
      <w:r w:rsidRPr="007837CC">
        <w:t xml:space="preserve">to cover their direct greenhouse gas emissions or the emissions associated with their products. </w:t>
      </w:r>
    </w:p>
    <w:p w14:paraId="0369D059" w14:textId="4CB1F1DA" w:rsidR="003D66F2" w:rsidRPr="007837CC" w:rsidRDefault="003D66F2" w:rsidP="00514AC3">
      <w:pPr>
        <w:pStyle w:val="BodyText"/>
      </w:pPr>
      <w:r w:rsidRPr="007837CC">
        <w:t xml:space="preserve">To do this, businesses need to calculate the emissions from their activity over a calendar year, report to the Environmental Protection Authority by the end of March the following year, and then acquire and surrender </w:t>
      </w:r>
      <w:r w:rsidR="00E01148" w:rsidRPr="007837CC">
        <w:t xml:space="preserve">NZUs </w:t>
      </w:r>
      <w:r w:rsidRPr="007837CC">
        <w:t xml:space="preserve">before the deadline. </w:t>
      </w:r>
    </w:p>
    <w:p w14:paraId="0D6A9876" w14:textId="77777777" w:rsidR="003D66F2" w:rsidRPr="007837CC" w:rsidRDefault="003D66F2" w:rsidP="00514AC3">
      <w:pPr>
        <w:pStyle w:val="BodyText"/>
      </w:pPr>
      <w:r w:rsidRPr="007837CC">
        <w:t xml:space="preserve">This puts a price on greenhouse gas emissions. </w:t>
      </w:r>
    </w:p>
    <w:p w14:paraId="4D67AE33" w14:textId="1642794C" w:rsidR="003D66F2" w:rsidRPr="007837CC" w:rsidRDefault="003D66F2" w:rsidP="00770F41">
      <w:pPr>
        <w:pStyle w:val="Heading3"/>
        <w:spacing w:line="440" w:lineRule="exact"/>
        <w:rPr>
          <w:color w:val="1B556B" w:themeColor="text2"/>
          <w:sz w:val="36"/>
          <w:szCs w:val="36"/>
        </w:rPr>
      </w:pPr>
      <w:r w:rsidRPr="007837CC">
        <w:rPr>
          <w:color w:val="1B556B" w:themeColor="text2"/>
          <w:sz w:val="36"/>
          <w:szCs w:val="36"/>
        </w:rPr>
        <w:t>Re</w:t>
      </w:r>
      <w:r w:rsidR="009A3E24" w:rsidRPr="007837CC">
        <w:rPr>
          <w:color w:val="1B556B" w:themeColor="text2"/>
          <w:sz w:val="36"/>
          <w:szCs w:val="36"/>
        </w:rPr>
        <w:t>ceiving units for re</w:t>
      </w:r>
      <w:r w:rsidRPr="007837CC">
        <w:rPr>
          <w:color w:val="1B556B" w:themeColor="text2"/>
          <w:sz w:val="36"/>
          <w:szCs w:val="36"/>
        </w:rPr>
        <w:t>moving greenhouse gases from the atmosphere or New Zealand’s reported emissions</w:t>
      </w:r>
    </w:p>
    <w:p w14:paraId="1D92B15F" w14:textId="61981375" w:rsidR="003D66F2" w:rsidRPr="007837CC" w:rsidRDefault="003D66F2" w:rsidP="003D66F2">
      <w:pPr>
        <w:pStyle w:val="BodyText"/>
      </w:pPr>
      <w:r w:rsidRPr="007837CC">
        <w:t xml:space="preserve">Some people and businesses may have opportunities to earn NZUs by carrying out an eligible removal activity. This activity must reduce emissions reported in New Zealand’s Greenhouse Gas Inventory, and the person or business earns </w:t>
      </w:r>
      <w:r w:rsidR="00E01148" w:rsidRPr="007837CC">
        <w:t xml:space="preserve">NZUs </w:t>
      </w:r>
      <w:r w:rsidRPr="007837CC">
        <w:t xml:space="preserve">to reflect this. </w:t>
      </w:r>
    </w:p>
    <w:p w14:paraId="1FAB50FF" w14:textId="77777777" w:rsidR="003D66F2" w:rsidRPr="007837CC" w:rsidRDefault="003D66F2" w:rsidP="003D66F2">
      <w:pPr>
        <w:pStyle w:val="BodyText"/>
      </w:pPr>
      <w:r w:rsidRPr="007837CC">
        <w:t>A ‘forestry removal activity’ is a removal activity in which post-1989 forest growth sequesters carbon dioxide from the atmosphere. An ‘other removal activity’ is one in which an eligible product embeds a substance permanently (or at least until it has been exported) where that substance would otherwise emit greenhouse gases to the atmosphere. An ‘other removal activity’ includes exporting synthetic greenhouse gases in bulk or in goods.</w:t>
      </w:r>
    </w:p>
    <w:p w14:paraId="0A4F050E" w14:textId="77777777" w:rsidR="003D66F2" w:rsidRPr="007837CC" w:rsidRDefault="003D66F2" w:rsidP="003D66F2">
      <w:pPr>
        <w:pStyle w:val="BodyText"/>
      </w:pPr>
      <w:r w:rsidRPr="007837CC">
        <w:t xml:space="preserve">This ensures that NZ ETS costs are not incurred for emissions that do not occur in New Zealand. </w:t>
      </w:r>
    </w:p>
    <w:p w14:paraId="1481A954" w14:textId="77777777" w:rsidR="003D66F2" w:rsidRPr="007837CC" w:rsidRDefault="003D66F2" w:rsidP="00770F41">
      <w:pPr>
        <w:pStyle w:val="Heading3"/>
        <w:spacing w:line="440" w:lineRule="exact"/>
        <w:rPr>
          <w:color w:val="1B556B" w:themeColor="text2"/>
          <w:sz w:val="36"/>
          <w:szCs w:val="36"/>
        </w:rPr>
      </w:pPr>
      <w:r w:rsidRPr="007837CC">
        <w:rPr>
          <w:color w:val="1B556B" w:themeColor="text2"/>
          <w:sz w:val="36"/>
          <w:szCs w:val="36"/>
        </w:rPr>
        <w:t>Receiving industrial allocation</w:t>
      </w:r>
    </w:p>
    <w:p w14:paraId="4D49BAAE" w14:textId="7D010027" w:rsidR="003D66F2" w:rsidRPr="007837CC" w:rsidRDefault="003D66F2" w:rsidP="003D66F2">
      <w:pPr>
        <w:pStyle w:val="BodyText"/>
      </w:pPr>
      <w:r w:rsidRPr="007837CC">
        <w:t>Some businesses estimated to be emissions-intensive and unable to pass emission</w:t>
      </w:r>
      <w:r w:rsidR="001657E2">
        <w:t>s</w:t>
      </w:r>
      <w:r w:rsidRPr="007837CC">
        <w:t xml:space="preserve"> prices on are eligible to be allocated </w:t>
      </w:r>
      <w:r w:rsidR="00E01148" w:rsidRPr="007837CC">
        <w:t>NZUs</w:t>
      </w:r>
      <w:r w:rsidRPr="007837CC">
        <w:t xml:space="preserve"> under the NZ ETS. This ‘industrial allocation’ reduces the risk of emissions leakage – the risk of New Zealand companies losing market share or shifting overseas to avoid emissions pricing. These companies are involved in the NZ ETS because, if</w:t>
      </w:r>
      <w:r w:rsidR="00514AC3" w:rsidRPr="007837CC">
        <w:t> </w:t>
      </w:r>
      <w:r w:rsidRPr="007837CC">
        <w:t>they apply for and receive an allocation, they can trade their units or use them to meet NZ</w:t>
      </w:r>
      <w:r w:rsidR="00514AC3" w:rsidRPr="007837CC">
        <w:t> </w:t>
      </w:r>
      <w:r w:rsidRPr="007837CC">
        <w:t xml:space="preserve">ETS obligations. </w:t>
      </w:r>
    </w:p>
    <w:p w14:paraId="208B83C6" w14:textId="77777777" w:rsidR="003D66F2" w:rsidRPr="007837CC" w:rsidRDefault="003D66F2" w:rsidP="00770F41">
      <w:pPr>
        <w:pStyle w:val="Heading3"/>
        <w:spacing w:line="440" w:lineRule="exact"/>
        <w:rPr>
          <w:color w:val="1B556B" w:themeColor="text2"/>
          <w:sz w:val="36"/>
          <w:szCs w:val="36"/>
        </w:rPr>
      </w:pPr>
      <w:r w:rsidRPr="007837CC">
        <w:rPr>
          <w:color w:val="1B556B" w:themeColor="text2"/>
          <w:sz w:val="36"/>
          <w:szCs w:val="36"/>
        </w:rPr>
        <w:lastRenderedPageBreak/>
        <w:t>Taking part in auctions</w:t>
      </w:r>
    </w:p>
    <w:p w14:paraId="3C19C8ED" w14:textId="77777777" w:rsidR="00D016A6" w:rsidRPr="007837CC" w:rsidRDefault="003D66F2" w:rsidP="003D66F2">
      <w:pPr>
        <w:pStyle w:val="BodyText"/>
      </w:pPr>
      <w:r w:rsidRPr="007837CC">
        <w:t xml:space="preserve">Auctions of NZUs take place in each quarter of the year. These auctions are a key feature of unit supply into the NZ ETS. </w:t>
      </w:r>
    </w:p>
    <w:p w14:paraId="2CA30808" w14:textId="77777777" w:rsidR="00D016A6" w:rsidRPr="007837CC" w:rsidRDefault="003D66F2" w:rsidP="00514AC3">
      <w:pPr>
        <w:pStyle w:val="BodyText"/>
      </w:pPr>
      <w:r w:rsidRPr="007837CC">
        <w:t xml:space="preserve">Anyone who holds an account in the New Zealand Emissions Trading Register can register to participate in these auctions. </w:t>
      </w:r>
    </w:p>
    <w:p w14:paraId="107E394C" w14:textId="145191A2" w:rsidR="00D016A6" w:rsidRPr="007837CC" w:rsidRDefault="003D66F2" w:rsidP="00514AC3">
      <w:pPr>
        <w:pStyle w:val="BodyText"/>
      </w:pPr>
      <w:r w:rsidRPr="007837CC">
        <w:t xml:space="preserve">Regulations set the volume of </w:t>
      </w:r>
      <w:r w:rsidR="00596D77" w:rsidRPr="007837CC">
        <w:t xml:space="preserve">NZUs </w:t>
      </w:r>
      <w:r w:rsidRPr="007837CC">
        <w:t xml:space="preserve">that are available for auction, along with auction price settings. </w:t>
      </w:r>
    </w:p>
    <w:p w14:paraId="234AFF40" w14:textId="184CA30F" w:rsidR="003D66F2" w:rsidRPr="007837CC" w:rsidRDefault="003D66F2" w:rsidP="00514AC3">
      <w:pPr>
        <w:pStyle w:val="BodyText"/>
      </w:pPr>
      <w:r w:rsidRPr="007837CC">
        <w:t xml:space="preserve">This consultation document contains proposals that affect unit volumes and price settings in NZ ETS auctions. An auction calendar must also be published by 30 September every year, which includes auction dates for the next calendar year and the number of </w:t>
      </w:r>
      <w:r w:rsidR="00596D77" w:rsidRPr="007837CC">
        <w:t xml:space="preserve">NZUs </w:t>
      </w:r>
      <w:r w:rsidRPr="007837CC">
        <w:t>for sale on each date.</w:t>
      </w:r>
    </w:p>
    <w:p w14:paraId="4AB53B29" w14:textId="49C0B9A4" w:rsidR="001D1BAF" w:rsidRPr="007837CC" w:rsidRDefault="001D1BAF" w:rsidP="001B374C">
      <w:pPr>
        <w:spacing w:before="0" w:after="0" w:line="240" w:lineRule="auto"/>
        <w:jc w:val="left"/>
        <w:rPr>
          <w:rStyle w:val="Hyperlink"/>
          <w:color w:val="auto"/>
        </w:rPr>
      </w:pPr>
    </w:p>
    <w:sectPr w:rsidR="001D1BAF" w:rsidRPr="007837CC" w:rsidSect="00A760B3">
      <w:footerReference w:type="even" r:id="rId31"/>
      <w:footerReference w:type="default" r:id="rId32"/>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E955" w14:textId="77777777" w:rsidR="00022560" w:rsidRDefault="00022560" w:rsidP="0080531E">
      <w:pPr>
        <w:spacing w:before="0" w:after="0" w:line="240" w:lineRule="auto"/>
      </w:pPr>
      <w:r>
        <w:separator/>
      </w:r>
    </w:p>
    <w:p w14:paraId="45C51880" w14:textId="77777777" w:rsidR="00022560" w:rsidRDefault="00022560"/>
  </w:endnote>
  <w:endnote w:type="continuationSeparator" w:id="0">
    <w:p w14:paraId="6BC8DFBB" w14:textId="77777777" w:rsidR="00022560" w:rsidRDefault="00022560" w:rsidP="0080531E">
      <w:pPr>
        <w:spacing w:before="0" w:after="0" w:line="240" w:lineRule="auto"/>
      </w:pPr>
      <w:r>
        <w:continuationSeparator/>
      </w:r>
    </w:p>
    <w:p w14:paraId="143BE6E6" w14:textId="77777777" w:rsidR="00022560" w:rsidRDefault="00022560"/>
  </w:endnote>
  <w:endnote w:type="continuationNotice" w:id="1">
    <w:p w14:paraId="30264810" w14:textId="77777777" w:rsidR="00022560" w:rsidRDefault="000225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54D224FC" w14:paraId="20579BC2" w14:textId="77777777" w:rsidTr="006C0997">
      <w:trPr>
        <w:trHeight w:val="300"/>
      </w:trPr>
      <w:tc>
        <w:tcPr>
          <w:tcW w:w="2835" w:type="dxa"/>
        </w:tcPr>
        <w:p w14:paraId="7F47C2B7" w14:textId="0A4F81AB" w:rsidR="54D224FC" w:rsidRDefault="54D224FC" w:rsidP="006C0997">
          <w:pPr>
            <w:pStyle w:val="Header"/>
            <w:ind w:left="-115"/>
            <w:jc w:val="left"/>
          </w:pPr>
        </w:p>
      </w:tc>
      <w:tc>
        <w:tcPr>
          <w:tcW w:w="2835" w:type="dxa"/>
        </w:tcPr>
        <w:p w14:paraId="052F16FB" w14:textId="56E019F5" w:rsidR="54D224FC" w:rsidRDefault="54D224FC" w:rsidP="006C0997">
          <w:pPr>
            <w:pStyle w:val="Header"/>
          </w:pPr>
        </w:p>
      </w:tc>
      <w:tc>
        <w:tcPr>
          <w:tcW w:w="2835" w:type="dxa"/>
        </w:tcPr>
        <w:p w14:paraId="6F0D6B75" w14:textId="5AB4956D" w:rsidR="54D224FC" w:rsidRDefault="54D224FC" w:rsidP="006C0997">
          <w:pPr>
            <w:pStyle w:val="Header"/>
            <w:ind w:right="-115"/>
            <w:jc w:val="right"/>
          </w:pPr>
        </w:p>
      </w:tc>
    </w:tr>
  </w:tbl>
  <w:p w14:paraId="0402A561" w14:textId="1B44B2E4" w:rsidR="0040237E" w:rsidRDefault="00402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854A" w14:textId="21FEAB24" w:rsidR="00E5210B" w:rsidRDefault="00E5210B" w:rsidP="00734B9A">
    <w:pPr>
      <w:spacing w:before="0" w:after="0" w:line="240" w:lineRule="auto"/>
      <w:ind w:left="-57"/>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ED08" w14:textId="77777777" w:rsidR="00E5210B" w:rsidRDefault="00E5210B" w:rsidP="00E65427">
    <w:pPr>
      <w:spacing w:before="24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CA26" w14:textId="77777777" w:rsidR="00E5210B" w:rsidRDefault="00E5210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117A" w14:textId="784E4627" w:rsidR="00E453AB" w:rsidRDefault="006B0B8F" w:rsidP="00CD25E1">
    <w:pPr>
      <w:pStyle w:val="Footereven"/>
    </w:pPr>
    <w:r>
      <w:fldChar w:fldCharType="begin"/>
    </w:r>
    <w:r>
      <w:instrText xml:space="preserve"> PAGE   \* MERGEFORMAT </w:instrText>
    </w:r>
    <w:r>
      <w:fldChar w:fldCharType="separate"/>
    </w:r>
    <w:r>
      <w:rPr>
        <w:noProof/>
      </w:rPr>
      <w:t>1</w:t>
    </w:r>
    <w:r>
      <w:rPr>
        <w:noProof/>
      </w:rPr>
      <w:fldChar w:fldCharType="end"/>
    </w:r>
    <w:r w:rsidR="00E5210B">
      <w:tab/>
    </w:r>
    <w:r w:rsidR="00D13DF3">
      <w:t>Annual updates</w:t>
    </w:r>
    <w:r w:rsidRPr="006B0B8F">
      <w:t xml:space="preserve"> to New Zealand Emissions Trading Scheme limit</w:t>
    </w:r>
    <w:r w:rsidR="00BE5457">
      <w:t>s</w:t>
    </w:r>
    <w:r w:rsidRPr="006B0B8F">
      <w:t xml:space="preserve"> and price control settings for units </w:t>
    </w:r>
    <w:r w:rsidRPr="00A73F5A">
      <w:t>202</w:t>
    </w:r>
    <w:r w:rsidR="00E730EB" w:rsidRPr="00A73F5A">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5D6" w14:textId="44E075D9" w:rsidR="00E453AB" w:rsidRPr="006B0B8F" w:rsidRDefault="00E5210B" w:rsidP="006B0B8F">
    <w:pPr>
      <w:pStyle w:val="Footerodd"/>
    </w:pPr>
    <w:r>
      <w:tab/>
    </w:r>
    <w:r w:rsidR="00D13DF3">
      <w:t>Annual updates</w:t>
    </w:r>
    <w:r w:rsidR="006B0B8F" w:rsidRPr="006B0B8F">
      <w:t xml:space="preserve"> to New Zealand Emissions Trading Scheme limit</w:t>
    </w:r>
    <w:r w:rsidR="00BE5457">
      <w:t>s</w:t>
    </w:r>
    <w:r w:rsidR="006B0B8F" w:rsidRPr="006B0B8F">
      <w:t xml:space="preserve"> and price control settings for units 202</w:t>
    </w:r>
    <w:r w:rsidR="00A73F5A">
      <w:t>3</w:t>
    </w:r>
    <w:r w:rsidR="006B0B8F">
      <w:tab/>
    </w:r>
    <w:r w:rsidR="006B0B8F">
      <w:fldChar w:fldCharType="begin"/>
    </w:r>
    <w:r w:rsidR="006B0B8F">
      <w:instrText xml:space="preserve"> PAGE   \* MERGEFORMAT </w:instrText>
    </w:r>
    <w:r w:rsidR="006B0B8F">
      <w:fldChar w:fldCharType="separate"/>
    </w:r>
    <w:r w:rsidR="006B0B8F">
      <w:rPr>
        <w:noProof/>
      </w:rPr>
      <w:t>1</w:t>
    </w:r>
    <w:r w:rsidR="006B0B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9D5F" w14:textId="77777777" w:rsidR="00022560" w:rsidRDefault="00022560" w:rsidP="00CB5C5F">
      <w:pPr>
        <w:spacing w:before="0" w:after="80" w:line="240" w:lineRule="auto"/>
      </w:pPr>
      <w:r>
        <w:separator/>
      </w:r>
    </w:p>
  </w:footnote>
  <w:footnote w:type="continuationSeparator" w:id="0">
    <w:p w14:paraId="6B19AA62" w14:textId="77777777" w:rsidR="00022560" w:rsidRDefault="00022560" w:rsidP="0080531E">
      <w:pPr>
        <w:spacing w:before="0" w:after="0" w:line="240" w:lineRule="auto"/>
      </w:pPr>
      <w:r>
        <w:continuationSeparator/>
      </w:r>
    </w:p>
    <w:p w14:paraId="52AA6763" w14:textId="77777777" w:rsidR="00022560" w:rsidRDefault="00022560"/>
  </w:footnote>
  <w:footnote w:type="continuationNotice" w:id="1">
    <w:p w14:paraId="22237ED1" w14:textId="77777777" w:rsidR="00022560" w:rsidRDefault="00022560">
      <w:pPr>
        <w:spacing w:before="0" w:after="0" w:line="240" w:lineRule="auto"/>
      </w:pPr>
    </w:p>
  </w:footnote>
  <w:footnote w:id="2">
    <w:p w14:paraId="1B890E39" w14:textId="2E61FB82" w:rsidR="007E2D7D" w:rsidRDefault="007E2D7D" w:rsidP="004E4ECE">
      <w:pPr>
        <w:pStyle w:val="FootnoteText"/>
      </w:pPr>
      <w:r>
        <w:rPr>
          <w:rStyle w:val="FootnoteReference"/>
        </w:rPr>
        <w:footnoteRef/>
      </w:r>
      <w:r>
        <w:t xml:space="preserve"> </w:t>
      </w:r>
      <w:r w:rsidR="005128D1">
        <w:tab/>
      </w:r>
      <w:r w:rsidR="003C28D1">
        <w:t xml:space="preserve">Details of </w:t>
      </w:r>
      <w:r w:rsidR="003C28D1" w:rsidRPr="004E4ECE">
        <w:t>updates</w:t>
      </w:r>
      <w:r w:rsidR="003C28D1">
        <w:t xml:space="preserve"> made to NZ ETS unit settings in 2022 are available </w:t>
      </w:r>
      <w:r w:rsidR="005128D1">
        <w:t>on our website</w:t>
      </w:r>
      <w:r w:rsidR="003C28D1">
        <w:t xml:space="preserve">: </w:t>
      </w:r>
      <w:hyperlink r:id="rId1" w:history="1">
        <w:r w:rsidR="00DB46C5">
          <w:rPr>
            <w:rStyle w:val="Hyperlink"/>
          </w:rPr>
          <w:t>Proposed changes to NZ ETS limit and price control settings for units for 2022</w:t>
        </w:r>
      </w:hyperlink>
      <w:r w:rsidR="005128D1" w:rsidRPr="001657E2">
        <w:rPr>
          <w:rStyle w:val="Hyperlink"/>
          <w:color w:val="auto"/>
        </w:rPr>
        <w:t>.</w:t>
      </w:r>
    </w:p>
  </w:footnote>
  <w:footnote w:id="3">
    <w:p w14:paraId="5E16CB78" w14:textId="24E6EE1B" w:rsidR="00711AD4" w:rsidRDefault="00711AD4" w:rsidP="0016510B">
      <w:pPr>
        <w:pStyle w:val="FootnoteText"/>
      </w:pPr>
      <w:r>
        <w:rPr>
          <w:rStyle w:val="FootnoteReference"/>
        </w:rPr>
        <w:footnoteRef/>
      </w:r>
      <w:r>
        <w:t xml:space="preserve"> </w:t>
      </w:r>
      <w:r w:rsidR="006B0B8F">
        <w:tab/>
      </w:r>
      <w:r w:rsidR="009F402F">
        <w:t>The SGG levy ensure</w:t>
      </w:r>
      <w:r w:rsidR="002957DA">
        <w:t>s</w:t>
      </w:r>
      <w:r w:rsidR="009F402F">
        <w:t xml:space="preserve"> import</w:t>
      </w:r>
      <w:r w:rsidR="00C55FE9">
        <w:t>er</w:t>
      </w:r>
      <w:r w:rsidR="009F402F">
        <w:t>s of synthetic greenhouse gases in goods and vehicles face comparable emission</w:t>
      </w:r>
      <w:r w:rsidR="001657E2">
        <w:t>s</w:t>
      </w:r>
      <w:r w:rsidR="009F402F">
        <w:t xml:space="preserve"> </w:t>
      </w:r>
      <w:r w:rsidR="009F402F" w:rsidRPr="0016510B">
        <w:t>costs</w:t>
      </w:r>
      <w:r w:rsidR="009F402F">
        <w:t xml:space="preserve"> to </w:t>
      </w:r>
      <w:r w:rsidR="00CE6274">
        <w:t>manufacture</w:t>
      </w:r>
      <w:r w:rsidR="00C55FE9">
        <w:t>rs</w:t>
      </w:r>
      <w:r w:rsidR="00CE6274">
        <w:t xml:space="preserve"> </w:t>
      </w:r>
      <w:r w:rsidR="007148AD">
        <w:t>of those items in New Zealand</w:t>
      </w:r>
      <w:r w:rsidR="00560AF0">
        <w:t xml:space="preserve">. Such manufacturers </w:t>
      </w:r>
      <w:r w:rsidR="00B5764D">
        <w:t xml:space="preserve">incur emissions costs from the </w:t>
      </w:r>
      <w:r w:rsidR="009F402F">
        <w:t>bulk imports of SGGs</w:t>
      </w:r>
      <w:r w:rsidR="00B5764D">
        <w:t>, which are</w:t>
      </w:r>
      <w:r w:rsidR="009F402F">
        <w:t xml:space="preserve"> subject to the NZ ETS. The SGG levy simplifies NZ</w:t>
      </w:r>
      <w:r w:rsidR="00DA245E">
        <w:t> </w:t>
      </w:r>
      <w:r w:rsidR="009F402F">
        <w:t>ETS obligations for the importers</w:t>
      </w:r>
      <w:r w:rsidR="00590DB7">
        <w:t>.</w:t>
      </w:r>
    </w:p>
  </w:footnote>
  <w:footnote w:id="4">
    <w:p w14:paraId="6B4C3FFC" w14:textId="64D0E4D6" w:rsidR="00664D30" w:rsidRDefault="00664D30" w:rsidP="0016510B">
      <w:pPr>
        <w:pStyle w:val="FootnoteText"/>
      </w:pPr>
      <w:r>
        <w:rPr>
          <w:rStyle w:val="FootnoteReference"/>
        </w:rPr>
        <w:footnoteRef/>
      </w:r>
      <w:r>
        <w:t xml:space="preserve"> </w:t>
      </w:r>
      <w:r w:rsidR="008B78FC">
        <w:tab/>
      </w:r>
      <w:r w:rsidR="00255038">
        <w:t xml:space="preserve">Advice available </w:t>
      </w:r>
      <w:r w:rsidR="00C47FEF">
        <w:t xml:space="preserve">on the </w:t>
      </w:r>
      <w:r w:rsidR="00C47FEF" w:rsidRPr="0016510B">
        <w:t>Commission’s</w:t>
      </w:r>
      <w:r w:rsidR="00C47FEF">
        <w:t xml:space="preserve"> website</w:t>
      </w:r>
      <w:r w:rsidR="00255038">
        <w:t xml:space="preserve">: </w:t>
      </w:r>
      <w:hyperlink r:id="rId2" w:history="1">
        <w:r w:rsidR="00255038">
          <w:rPr>
            <w:rStyle w:val="Hyperlink"/>
          </w:rPr>
          <w:t>Our advice on the NZ ETS » Climate Change Commission</w:t>
        </w:r>
        <w:r w:rsidR="00C47FEF" w:rsidRPr="00D55511">
          <w:t>.</w:t>
        </w:r>
        <w:r w:rsidR="00255038" w:rsidRPr="008A799A">
          <w:rPr>
            <w:rStyle w:val="Hyperlink"/>
            <w:color w:val="auto"/>
          </w:rPr>
          <w:t xml:space="preserve"> </w:t>
        </w:r>
      </w:hyperlink>
    </w:p>
  </w:footnote>
  <w:footnote w:id="5">
    <w:p w14:paraId="1E4581E6" w14:textId="20DB92D4" w:rsidR="00005C9E" w:rsidRPr="00C47FEF" w:rsidRDefault="00005C9E" w:rsidP="0016510B">
      <w:pPr>
        <w:pStyle w:val="FootnoteText"/>
      </w:pPr>
      <w:r>
        <w:rPr>
          <w:rStyle w:val="FootnoteReference"/>
        </w:rPr>
        <w:footnoteRef/>
      </w:r>
      <w:r>
        <w:t xml:space="preserve"> </w:t>
      </w:r>
      <w:r w:rsidR="00A0794B">
        <w:tab/>
      </w:r>
      <w:r w:rsidR="00FB7E7C">
        <w:t>An NDC is a communication by a Party to the Paris Agreement to the U</w:t>
      </w:r>
      <w:r w:rsidR="00EC08F3">
        <w:t xml:space="preserve">nited </w:t>
      </w:r>
      <w:r w:rsidR="00FB7E7C">
        <w:t>N</w:t>
      </w:r>
      <w:r w:rsidR="00EC08F3">
        <w:t xml:space="preserve">ations </w:t>
      </w:r>
      <w:r w:rsidR="00FB7E7C">
        <w:t>F</w:t>
      </w:r>
      <w:r w:rsidR="00EC08F3">
        <w:t xml:space="preserve">ramework </w:t>
      </w:r>
      <w:r w:rsidR="00FB7E7C">
        <w:t>C</w:t>
      </w:r>
      <w:r w:rsidR="00EC08F3">
        <w:t>onvention o</w:t>
      </w:r>
      <w:r w:rsidR="00E52E7A">
        <w:t>n</w:t>
      </w:r>
      <w:r w:rsidR="00EC08F3">
        <w:t xml:space="preserve"> </w:t>
      </w:r>
      <w:r w:rsidR="00FB7E7C">
        <w:t>C</w:t>
      </w:r>
      <w:r w:rsidR="00EC08F3">
        <w:t xml:space="preserve">limate </w:t>
      </w:r>
      <w:r w:rsidR="00FB7E7C">
        <w:t>C</w:t>
      </w:r>
      <w:r w:rsidR="00EC08F3">
        <w:t>hange</w:t>
      </w:r>
      <w:r w:rsidR="00FB7E7C">
        <w:t xml:space="preserve"> setting out its intended efforts to implement the Paris Agreement, including specified emissions reductions goals and </w:t>
      </w:r>
      <w:r w:rsidR="00FB7E7C" w:rsidRPr="0016510B">
        <w:t>targets</w:t>
      </w:r>
      <w:r w:rsidR="00FB7E7C">
        <w:t>.</w:t>
      </w:r>
      <w:r w:rsidR="00DD5E4B">
        <w:t xml:space="preserve"> </w:t>
      </w:r>
      <w:r w:rsidR="00FB7E7C">
        <w:t xml:space="preserve">New Zealand’s </w:t>
      </w:r>
      <w:r w:rsidR="008853C3">
        <w:t xml:space="preserve">first </w:t>
      </w:r>
      <w:r w:rsidR="00FB7E7C">
        <w:t>NDC comprises a target of a</w:t>
      </w:r>
      <w:r w:rsidR="00BD6974">
        <w:t> </w:t>
      </w:r>
      <w:r w:rsidR="00FB7E7C">
        <w:t>50</w:t>
      </w:r>
      <w:r w:rsidR="0016510B">
        <w:t> </w:t>
      </w:r>
      <w:r w:rsidR="00FB7E7C">
        <w:t>per</w:t>
      </w:r>
      <w:r w:rsidR="00156730">
        <w:t> </w:t>
      </w:r>
      <w:r w:rsidR="00FB7E7C">
        <w:t xml:space="preserve">cent reduction of net emissions below gross 2005 levels by </w:t>
      </w:r>
      <w:r w:rsidR="00E52E7A">
        <w:t>2030</w:t>
      </w:r>
      <w:r w:rsidR="00BD6974">
        <w:t>.</w:t>
      </w:r>
    </w:p>
  </w:footnote>
  <w:footnote w:id="6">
    <w:p w14:paraId="7200935A" w14:textId="2E168956" w:rsidR="008E3FBF" w:rsidRPr="00C24519" w:rsidRDefault="008E3FBF" w:rsidP="00C24519">
      <w:pPr>
        <w:pStyle w:val="FootnoteText"/>
      </w:pPr>
      <w:r>
        <w:rPr>
          <w:rStyle w:val="FootnoteReference"/>
        </w:rPr>
        <w:footnoteRef/>
      </w:r>
      <w:r>
        <w:t xml:space="preserve"> </w:t>
      </w:r>
      <w:r w:rsidR="004A393C">
        <w:tab/>
      </w:r>
      <w:hyperlink r:id="rId3" w:history="1">
        <w:r w:rsidR="0020255B" w:rsidRPr="00DC3372">
          <w:rPr>
            <w:rStyle w:val="Hyperlink"/>
          </w:rPr>
          <w:t>Section 30</w:t>
        </w:r>
        <w:proofErr w:type="gramStart"/>
        <w:r w:rsidR="0020255B" w:rsidRPr="00DC3372">
          <w:rPr>
            <w:rStyle w:val="Hyperlink"/>
          </w:rPr>
          <w:t>GB(</w:t>
        </w:r>
        <w:proofErr w:type="gramEnd"/>
        <w:r w:rsidR="001A0EA7" w:rsidRPr="00DC3372">
          <w:rPr>
            <w:rStyle w:val="Hyperlink"/>
          </w:rPr>
          <w:t>5)</w:t>
        </w:r>
      </w:hyperlink>
      <w:r w:rsidR="001A0EA7">
        <w:t xml:space="preserve"> describes these special circumstances</w:t>
      </w:r>
      <w:r w:rsidR="00113E20">
        <w:t>.</w:t>
      </w:r>
    </w:p>
  </w:footnote>
  <w:footnote w:id="7">
    <w:p w14:paraId="30507D59" w14:textId="5ECE9B0D" w:rsidR="00DF5635" w:rsidRDefault="00DF5635">
      <w:pPr>
        <w:pStyle w:val="FootnoteText"/>
      </w:pPr>
      <w:r>
        <w:rPr>
          <w:rStyle w:val="FootnoteReference"/>
        </w:rPr>
        <w:footnoteRef/>
      </w:r>
      <w:r>
        <w:t xml:space="preserve"> </w:t>
      </w:r>
      <w:r w:rsidR="00113E20">
        <w:tab/>
      </w:r>
      <w:r>
        <w:t xml:space="preserve">The Commission had previously provided recommendations on NZ ETS unit settings in </w:t>
      </w:r>
      <w:r w:rsidR="00C70F99">
        <w:t xml:space="preserve">2021 as part of its report </w:t>
      </w:r>
      <w:proofErr w:type="spellStart"/>
      <w:r w:rsidR="00C70F99" w:rsidRPr="0061562D">
        <w:rPr>
          <w:i/>
          <w:iCs/>
        </w:rPr>
        <w:t>Ināia</w:t>
      </w:r>
      <w:proofErr w:type="spellEnd"/>
      <w:r w:rsidR="00C70F99" w:rsidRPr="0061562D">
        <w:rPr>
          <w:i/>
          <w:iCs/>
        </w:rPr>
        <w:t xml:space="preserve"> </w:t>
      </w:r>
      <w:proofErr w:type="spellStart"/>
      <w:r w:rsidR="00C70F99" w:rsidRPr="0061562D">
        <w:rPr>
          <w:i/>
          <w:iCs/>
        </w:rPr>
        <w:t>tonu</w:t>
      </w:r>
      <w:proofErr w:type="spellEnd"/>
      <w:r w:rsidR="00C70F99" w:rsidRPr="0061562D">
        <w:rPr>
          <w:i/>
          <w:iCs/>
        </w:rPr>
        <w:t xml:space="preserve"> </w:t>
      </w:r>
      <w:proofErr w:type="spellStart"/>
      <w:r w:rsidR="00C70F99" w:rsidRPr="0061562D">
        <w:rPr>
          <w:i/>
          <w:iCs/>
        </w:rPr>
        <w:t>nei</w:t>
      </w:r>
      <w:proofErr w:type="spellEnd"/>
      <w:r w:rsidR="00C70F99" w:rsidRPr="0061562D">
        <w:rPr>
          <w:i/>
          <w:iCs/>
        </w:rPr>
        <w:t>: a low emissions future for Aotearoa</w:t>
      </w:r>
      <w:r w:rsidR="00113E20" w:rsidRPr="00113E20">
        <w:t>.</w:t>
      </w:r>
    </w:p>
  </w:footnote>
  <w:footnote w:id="8">
    <w:p w14:paraId="7DC76C05" w14:textId="1D121CBC" w:rsidR="0088373E" w:rsidRDefault="0088373E" w:rsidP="0088373E">
      <w:pPr>
        <w:pStyle w:val="FootnoteText"/>
      </w:pPr>
      <w:r>
        <w:rPr>
          <w:rStyle w:val="FootnoteReference"/>
        </w:rPr>
        <w:footnoteRef/>
      </w:r>
      <w:r>
        <w:t xml:space="preserve"> </w:t>
      </w:r>
      <w:r w:rsidR="00113E20">
        <w:tab/>
      </w:r>
      <w:hyperlink r:id="rId4" w:history="1">
        <w:r>
          <w:rPr>
            <w:rStyle w:val="Hyperlink"/>
          </w:rPr>
          <w:t xml:space="preserve">He </w:t>
        </w:r>
        <w:proofErr w:type="spellStart"/>
        <w:r>
          <w:rPr>
            <w:rStyle w:val="Hyperlink"/>
          </w:rPr>
          <w:t>Pou</w:t>
        </w:r>
        <w:proofErr w:type="spellEnd"/>
        <w:r>
          <w:rPr>
            <w:rStyle w:val="Hyperlink"/>
          </w:rPr>
          <w:t xml:space="preserve"> a </w:t>
        </w:r>
        <w:proofErr w:type="spellStart"/>
        <w:r>
          <w:rPr>
            <w:rStyle w:val="Hyperlink"/>
          </w:rPr>
          <w:t>Rangi</w:t>
        </w:r>
        <w:proofErr w:type="spellEnd"/>
        <w:r>
          <w:rPr>
            <w:rStyle w:val="Hyperlink"/>
          </w:rPr>
          <w:t xml:space="preserve"> Climate Change Commission, Report on reasons for differences between prescribed NZ</w:t>
        </w:r>
        <w:r w:rsidR="00113E20">
          <w:rPr>
            <w:rStyle w:val="Hyperlink"/>
          </w:rPr>
          <w:t> </w:t>
        </w:r>
        <w:r>
          <w:rPr>
            <w:rStyle w:val="Hyperlink"/>
          </w:rPr>
          <w:t>ETS limits and price control settings for units and the Climate Change Commission's advice on these settings, 14 December 2022</w:t>
        </w:r>
        <w:r w:rsidR="00113E20" w:rsidRPr="008853C3">
          <w:rPr>
            <w:rStyle w:val="Hyperlink"/>
            <w:color w:val="auto"/>
          </w:rPr>
          <w:t>.</w:t>
        </w:r>
      </w:hyperlink>
    </w:p>
  </w:footnote>
  <w:footnote w:id="9">
    <w:p w14:paraId="0E09F9B8" w14:textId="68A726EB" w:rsidR="00E25C96" w:rsidRDefault="00E25C96" w:rsidP="00390748">
      <w:pPr>
        <w:pStyle w:val="FootnoteText"/>
      </w:pPr>
      <w:r>
        <w:rPr>
          <w:rStyle w:val="FootnoteReference"/>
        </w:rPr>
        <w:footnoteRef/>
      </w:r>
      <w:r>
        <w:t xml:space="preserve"> </w:t>
      </w:r>
      <w:r w:rsidR="00390748">
        <w:tab/>
      </w:r>
      <w:r>
        <w:t xml:space="preserve">The cost containment reserve, or CCR, is a reserve volume of units that is available for sale at auction if the interim auction </w:t>
      </w:r>
      <w:r w:rsidR="002205F1">
        <w:t>clearing price is above a prescribed CCR ‘trigger’ price. Its intent is to mitigate against unacceptably high NZU prices</w:t>
      </w:r>
      <w:r w:rsidR="00390748">
        <w:t>.</w:t>
      </w:r>
    </w:p>
  </w:footnote>
  <w:footnote w:id="10">
    <w:p w14:paraId="2021C03B" w14:textId="77777777" w:rsidR="00C0377A" w:rsidRDefault="00C0377A" w:rsidP="00211D4E">
      <w:pPr>
        <w:pStyle w:val="FootnoteText"/>
      </w:pPr>
      <w:r>
        <w:rPr>
          <w:rStyle w:val="FootnoteReference"/>
        </w:rPr>
        <w:footnoteRef/>
      </w:r>
      <w:r>
        <w:t xml:space="preserve"> </w:t>
      </w:r>
      <w:r>
        <w:tab/>
      </w:r>
      <w:r w:rsidRPr="004F675A">
        <w:t>Section 30GB</w:t>
      </w:r>
      <w:r>
        <w:t xml:space="preserve">(3)(b) of the Act requires the amendment of unit limit and price control settings to ensure that, </w:t>
      </w:r>
      <w:proofErr w:type="gramStart"/>
      <w:r>
        <w:t>at all times</w:t>
      </w:r>
      <w:proofErr w:type="gramEnd"/>
      <w:r>
        <w:t>, they prescribe limits and price control settings for each of the next five calendar years.</w:t>
      </w:r>
    </w:p>
  </w:footnote>
  <w:footnote w:id="11">
    <w:p w14:paraId="6D0D3923" w14:textId="59B5AF77" w:rsidR="009D2BB8" w:rsidRDefault="009D2BB8">
      <w:pPr>
        <w:pStyle w:val="FootnoteText"/>
      </w:pPr>
      <w:r>
        <w:rPr>
          <w:rStyle w:val="FootnoteReference"/>
        </w:rPr>
        <w:footnoteRef/>
      </w:r>
      <w:r>
        <w:t xml:space="preserve"> </w:t>
      </w:r>
      <w:r w:rsidR="00AD0835">
        <w:tab/>
      </w:r>
      <w:hyperlink r:id="rId5" w:anchor="LMS364586" w:history="1">
        <w:r w:rsidR="00B47E97" w:rsidRPr="00F136B7">
          <w:rPr>
            <w:rStyle w:val="Hyperlink"/>
          </w:rPr>
          <w:t>Section 30GC(5)(a)(ii) Climate Change Response Act 2002 No 40</w:t>
        </w:r>
      </w:hyperlink>
      <w:r w:rsidR="00B47E97" w:rsidRPr="00F136B7">
        <w:t xml:space="preserve"> (as </w:t>
      </w:r>
      <w:proofErr w:type="gramStart"/>
      <w:r w:rsidR="00B47E97" w:rsidRPr="00F136B7">
        <w:t>at</w:t>
      </w:r>
      <w:proofErr w:type="gramEnd"/>
      <w:r w:rsidR="00B47E97" w:rsidRPr="00F136B7">
        <w:t xml:space="preserve"> 1 January 2023)</w:t>
      </w:r>
      <w:r w:rsidR="00AD0835" w:rsidRPr="00AD0835">
        <w:rPr>
          <w:rStyle w:val="Hyperlink"/>
          <w:color w:val="auto"/>
        </w:rPr>
        <w:t>.</w:t>
      </w:r>
    </w:p>
  </w:footnote>
  <w:footnote w:id="12">
    <w:p w14:paraId="221D9002" w14:textId="50022143" w:rsidR="006B5A4A" w:rsidRDefault="006B5A4A" w:rsidP="000D5143">
      <w:pPr>
        <w:pStyle w:val="FootnoteText"/>
      </w:pPr>
      <w:r>
        <w:rPr>
          <w:rStyle w:val="FootnoteReference"/>
        </w:rPr>
        <w:footnoteRef/>
      </w:r>
      <w:r>
        <w:t xml:space="preserve"> </w:t>
      </w:r>
      <w:r w:rsidR="00BD5223">
        <w:tab/>
      </w:r>
      <w:r w:rsidRPr="004F675A">
        <w:t>Section 30GB</w:t>
      </w:r>
      <w:r w:rsidR="00356BD8">
        <w:t>(</w:t>
      </w:r>
      <w:r w:rsidR="00BA22DC">
        <w:t>3)(b)</w:t>
      </w:r>
      <w:r w:rsidR="00B5122B">
        <w:t xml:space="preserve"> </w:t>
      </w:r>
      <w:r w:rsidR="00DB26B9">
        <w:t xml:space="preserve">of the Act </w:t>
      </w:r>
      <w:r w:rsidR="00B5122B">
        <w:t xml:space="preserve">requires </w:t>
      </w:r>
      <w:r w:rsidR="00BB1935">
        <w:t xml:space="preserve">the amendment of </w:t>
      </w:r>
      <w:r w:rsidR="00DB26B9">
        <w:t xml:space="preserve">unit limit and price control settings to ensure that, </w:t>
      </w:r>
      <w:proofErr w:type="gramStart"/>
      <w:r w:rsidR="00DB26B9">
        <w:t>at all times</w:t>
      </w:r>
      <w:proofErr w:type="gramEnd"/>
      <w:r w:rsidR="00DB26B9">
        <w:t>, they prescribe</w:t>
      </w:r>
      <w:r w:rsidR="002F199B">
        <w:t xml:space="preserve"> limits and price </w:t>
      </w:r>
      <w:r w:rsidR="002F199B" w:rsidRPr="000D5143">
        <w:t>control</w:t>
      </w:r>
      <w:r w:rsidR="002F199B">
        <w:t xml:space="preserve"> settings for each of the next </w:t>
      </w:r>
      <w:r w:rsidR="00BB1935">
        <w:t xml:space="preserve">five </w:t>
      </w:r>
      <w:r w:rsidR="00060CEC">
        <w:t>calendar years</w:t>
      </w:r>
      <w:r w:rsidR="00BB1935">
        <w:t>.</w:t>
      </w:r>
    </w:p>
  </w:footnote>
  <w:footnote w:id="13">
    <w:p w14:paraId="29BFF754" w14:textId="17E98145" w:rsidR="00C26285" w:rsidRDefault="00C26285" w:rsidP="000D5143">
      <w:pPr>
        <w:pStyle w:val="FootnoteText"/>
      </w:pPr>
      <w:r>
        <w:rPr>
          <w:rStyle w:val="FootnoteReference"/>
        </w:rPr>
        <w:footnoteRef/>
      </w:r>
      <w:r>
        <w:t xml:space="preserve"> </w:t>
      </w:r>
      <w:r w:rsidR="004A393C">
        <w:tab/>
      </w:r>
      <w:r>
        <w:t xml:space="preserve">The Act defines New Zealand </w:t>
      </w:r>
      <w:r w:rsidR="004A393C">
        <w:t>U</w:t>
      </w:r>
      <w:r>
        <w:t>nits available by other means as the number of NZUs that are allocated for eligible activities (industrial allocati</w:t>
      </w:r>
      <w:r w:rsidR="007067E1">
        <w:t>o</w:t>
      </w:r>
      <w:r>
        <w:t xml:space="preserve">n) </w:t>
      </w:r>
      <w:r w:rsidR="007067E1">
        <w:t xml:space="preserve">or provided under negotiated greenhouse agreements. </w:t>
      </w:r>
    </w:p>
  </w:footnote>
  <w:footnote w:id="14">
    <w:p w14:paraId="0C292588" w14:textId="79A69C11" w:rsidR="00DC6C81" w:rsidRDefault="00DC6C81">
      <w:pPr>
        <w:pStyle w:val="FootnoteText"/>
      </w:pPr>
      <w:r>
        <w:rPr>
          <w:rStyle w:val="FootnoteReference"/>
        </w:rPr>
        <w:footnoteRef/>
      </w:r>
      <w:r>
        <w:t xml:space="preserve"> </w:t>
      </w:r>
      <w:r w:rsidR="00BD5223">
        <w:tab/>
      </w:r>
      <w:r w:rsidR="00743A3A">
        <w:t>There is no limit on the number of units that can be transferred for carbon removal activities, and the limits do not cap industrial allocation.</w:t>
      </w:r>
      <w:r w:rsidR="005D3339">
        <w:t xml:space="preserve"> </w:t>
      </w:r>
    </w:p>
  </w:footnote>
  <w:footnote w:id="15">
    <w:p w14:paraId="656EA274" w14:textId="6649C0CC" w:rsidR="00A64752" w:rsidRDefault="00A64752" w:rsidP="00FF046F">
      <w:pPr>
        <w:pStyle w:val="FootnoteText"/>
      </w:pPr>
      <w:r>
        <w:rPr>
          <w:rStyle w:val="FootnoteReference"/>
        </w:rPr>
        <w:footnoteRef/>
      </w:r>
      <w:r>
        <w:t xml:space="preserve"> </w:t>
      </w:r>
      <w:r w:rsidR="00FF046F">
        <w:tab/>
      </w:r>
      <w:r w:rsidRPr="00522891">
        <w:t xml:space="preserve">Registration of post-1989 forest land established at rates higher than anticipated by the demonstration path is not relevant to this calculation. This is because net emissions from this ‘additional’ forest land </w:t>
      </w:r>
      <w:r w:rsidR="007E1E31">
        <w:t>were</w:t>
      </w:r>
      <w:r w:rsidR="007E1E31" w:rsidRPr="00522891">
        <w:t xml:space="preserve"> </w:t>
      </w:r>
      <w:r w:rsidRPr="00522891">
        <w:t>not considered as part of the demonstration path.</w:t>
      </w:r>
      <w:r>
        <w:t xml:space="preserve"> </w:t>
      </w:r>
    </w:p>
  </w:footnote>
  <w:footnote w:id="16">
    <w:p w14:paraId="76F0A164" w14:textId="13FD6D49" w:rsidR="00296012" w:rsidRDefault="00296012" w:rsidP="00296012">
      <w:pPr>
        <w:pStyle w:val="FootnoteText"/>
      </w:pPr>
      <w:r>
        <w:rPr>
          <w:rStyle w:val="FootnoteReference"/>
        </w:rPr>
        <w:footnoteRef/>
      </w:r>
      <w:r>
        <w:t xml:space="preserve"> </w:t>
      </w:r>
      <w:r w:rsidR="00DF6B08">
        <w:tab/>
      </w:r>
      <w:r>
        <w:t xml:space="preserve">Note, the Commission has recommended that no updates are made to NZ ETS unit settings for 2024 or 2025 unless price controls take effect by either the sale of units at the auction reserve price or sale of units from the cost containment reserve volume. This is discussed in </w:t>
      </w:r>
      <w:r w:rsidR="00DF6B08">
        <w:t>the</w:t>
      </w:r>
      <w:r>
        <w:t xml:space="preserve"> </w:t>
      </w:r>
      <w:hyperlink w:anchor="_Should_NZ_ETS" w:history="1">
        <w:r w:rsidR="00DF6B08" w:rsidRPr="00DF6B08">
          <w:rPr>
            <w:rStyle w:val="Hyperlink"/>
          </w:rPr>
          <w:t>S</w:t>
        </w:r>
        <w:r w:rsidRPr="00DF6B08">
          <w:rPr>
            <w:rStyle w:val="Hyperlink"/>
          </w:rPr>
          <w:t xml:space="preserve">hould NZ ETS unit settings be </w:t>
        </w:r>
        <w:r w:rsidR="00DF6B08" w:rsidRPr="00DF6B08">
          <w:rPr>
            <w:rStyle w:val="Hyperlink"/>
          </w:rPr>
          <w:t xml:space="preserve">updated </w:t>
        </w:r>
        <w:r w:rsidRPr="00DF6B08">
          <w:rPr>
            <w:rStyle w:val="Hyperlink"/>
          </w:rPr>
          <w:t>for 2024 and 2025</w:t>
        </w:r>
        <w:r w:rsidR="00DF6B08" w:rsidRPr="00DF6B08">
          <w:rPr>
            <w:rStyle w:val="Hyperlink"/>
          </w:rPr>
          <w:t>?</w:t>
        </w:r>
      </w:hyperlink>
      <w:r w:rsidR="00DF6B08">
        <w:t xml:space="preserve"> section.</w:t>
      </w:r>
    </w:p>
  </w:footnote>
  <w:footnote w:id="17">
    <w:p w14:paraId="6A55230A" w14:textId="41D9793C" w:rsidR="0010011E" w:rsidRDefault="0010011E" w:rsidP="00A77E84">
      <w:pPr>
        <w:pStyle w:val="FootnoteText"/>
      </w:pPr>
      <w:r>
        <w:rPr>
          <w:rStyle w:val="FootnoteReference"/>
        </w:rPr>
        <w:footnoteRef/>
      </w:r>
      <w:r>
        <w:t xml:space="preserve"> </w:t>
      </w:r>
      <w:r w:rsidR="00A77E84">
        <w:tab/>
      </w:r>
      <w:r>
        <w:t>A review of industrial allocation found that for some activities</w:t>
      </w:r>
      <w:r w:rsidR="00511578">
        <w:t>,</w:t>
      </w:r>
      <w:r>
        <w:t xml:space="preserve"> allocation is likely to exceed that intended, </w:t>
      </w:r>
      <w:r w:rsidR="00511578">
        <w:t xml:space="preserve">which </w:t>
      </w:r>
      <w:r>
        <w:t>in some cases result</w:t>
      </w:r>
      <w:r w:rsidR="00511578">
        <w:t>s</w:t>
      </w:r>
      <w:r>
        <w:t xml:space="preserve"> in a net ETS revenue rather than cost</w:t>
      </w:r>
      <w:r w:rsidR="00EC4A7B">
        <w:t xml:space="preserve"> to that firm</w:t>
      </w:r>
      <w:r>
        <w:t>. Policy decisions to address this were announced in July 2022</w:t>
      </w:r>
      <w:r w:rsidR="00B5657F">
        <w:t>, with legislation currently before Select Committee</w:t>
      </w:r>
      <w:r>
        <w:t xml:space="preserve">. </w:t>
      </w:r>
    </w:p>
  </w:footnote>
  <w:footnote w:id="18">
    <w:p w14:paraId="3F3BD827" w14:textId="68AD2AF3" w:rsidR="004E1999" w:rsidRDefault="004E1999">
      <w:pPr>
        <w:pStyle w:val="FootnoteText"/>
      </w:pPr>
      <w:r>
        <w:rPr>
          <w:rStyle w:val="FootnoteReference"/>
        </w:rPr>
        <w:footnoteRef/>
      </w:r>
      <w:r>
        <w:t xml:space="preserve"> </w:t>
      </w:r>
      <w:r w:rsidR="00BA06ED">
        <w:tab/>
      </w:r>
      <w:r>
        <w:t>The CCRA includes this provision to allow for opening the ETS to offshore units at some future time, but there is currently no policy to do so</w:t>
      </w:r>
      <w:r w:rsidR="00BA06ED">
        <w:t>.</w:t>
      </w:r>
    </w:p>
  </w:footnote>
  <w:footnote w:id="19">
    <w:p w14:paraId="03DE084B" w14:textId="50E7D8CA" w:rsidR="002671B0" w:rsidRDefault="002671B0">
      <w:pPr>
        <w:pStyle w:val="FootnoteText"/>
      </w:pPr>
      <w:r>
        <w:rPr>
          <w:rStyle w:val="FootnoteReference"/>
        </w:rPr>
        <w:footnoteRef/>
      </w:r>
      <w:r>
        <w:t xml:space="preserve"> </w:t>
      </w:r>
      <w:r w:rsidR="00252E57">
        <w:tab/>
      </w:r>
      <w:hyperlink r:id="rId6" w:history="1">
        <w:r w:rsidR="007C0DEE">
          <w:rPr>
            <w:rStyle w:val="Hyperlink"/>
          </w:rPr>
          <w:t>NZ ETS settings for 2023-2027</w:t>
        </w:r>
      </w:hyperlink>
      <w:r w:rsidR="00252E57" w:rsidRPr="00252E57">
        <w:t>.</w:t>
      </w:r>
    </w:p>
  </w:footnote>
  <w:footnote w:id="20">
    <w:p w14:paraId="338A9C95" w14:textId="436559D5" w:rsidR="00242DE2" w:rsidRDefault="00242DE2" w:rsidP="00252E57">
      <w:pPr>
        <w:pStyle w:val="FootnoteText"/>
      </w:pPr>
      <w:r>
        <w:rPr>
          <w:rStyle w:val="FootnoteReference"/>
        </w:rPr>
        <w:footnoteRef/>
      </w:r>
      <w:r>
        <w:t xml:space="preserve"> </w:t>
      </w:r>
      <w:r w:rsidR="00252E57">
        <w:tab/>
      </w:r>
      <w:r>
        <w:t>This is technically called demand inelasticity, meaning demand is largely independent of price.</w:t>
      </w:r>
    </w:p>
  </w:footnote>
  <w:footnote w:id="21">
    <w:p w14:paraId="5E3C96FB" w14:textId="302E08B0" w:rsidR="00F2249E" w:rsidRDefault="00F2249E">
      <w:pPr>
        <w:pStyle w:val="FootnoteText"/>
      </w:pPr>
      <w:r>
        <w:rPr>
          <w:rStyle w:val="FootnoteReference"/>
        </w:rPr>
        <w:footnoteRef/>
      </w:r>
      <w:r>
        <w:t xml:space="preserve"> </w:t>
      </w:r>
      <w:r w:rsidR="00252E57">
        <w:tab/>
      </w:r>
      <w:r w:rsidR="00A678B8">
        <w:t xml:space="preserve">A Bill is currently being progressed through the House to provide different penalties for small forestry </w:t>
      </w:r>
      <w:proofErr w:type="gramStart"/>
      <w:r w:rsidR="00A678B8">
        <w:t>obligations</w:t>
      </w:r>
      <w:r w:rsidR="00200565">
        <w:t xml:space="preserve"> </w:t>
      </w:r>
      <w:r w:rsidR="00F10A3C">
        <w:t xml:space="preserve"> </w:t>
      </w:r>
      <w:r w:rsidR="007121D8">
        <w:t>–</w:t>
      </w:r>
      <w:proofErr w:type="gramEnd"/>
      <w:r w:rsidR="00200565">
        <w:t xml:space="preserve"> </w:t>
      </w:r>
      <w:r w:rsidR="006273FB">
        <w:t>the Climate Change Response (late Payment Penalties and Industrial Allocation) Amendment Bill</w:t>
      </w:r>
      <w:r w:rsidR="007121D8">
        <w:t>.</w:t>
      </w:r>
      <w:r w:rsidR="00F10A3C">
        <w:t xml:space="preserve"> </w:t>
      </w:r>
    </w:p>
  </w:footnote>
  <w:footnote w:id="22">
    <w:p w14:paraId="0CAA4326" w14:textId="74E1015A" w:rsidR="002864EF" w:rsidRDefault="002864EF">
      <w:pPr>
        <w:pStyle w:val="FootnoteText"/>
      </w:pPr>
      <w:r>
        <w:rPr>
          <w:rStyle w:val="FootnoteReference"/>
        </w:rPr>
        <w:footnoteRef/>
      </w:r>
      <w:r>
        <w:t xml:space="preserve"> </w:t>
      </w:r>
      <w:r w:rsidR="00A4135B">
        <w:tab/>
      </w:r>
      <w:r>
        <w:t>These are listed in section 30GC of the Climate Change Response Act 2002</w:t>
      </w:r>
      <w:r w:rsidR="00A4135B">
        <w:t>.</w:t>
      </w:r>
    </w:p>
  </w:footnote>
  <w:footnote w:id="23">
    <w:p w14:paraId="0264DB5C" w14:textId="6F19795B" w:rsidR="00474FCE" w:rsidRPr="00474FCE" w:rsidRDefault="00474FCE" w:rsidP="00252E57">
      <w:pPr>
        <w:pStyle w:val="FootnoteText"/>
      </w:pPr>
      <w:r>
        <w:rPr>
          <w:rStyle w:val="FootnoteReference"/>
        </w:rPr>
        <w:footnoteRef/>
      </w:r>
      <w:r>
        <w:t xml:space="preserve"> </w:t>
      </w:r>
      <w:r w:rsidR="00EC325B">
        <w:tab/>
      </w:r>
      <w:proofErr w:type="spellStart"/>
      <w:r w:rsidR="00175790">
        <w:t>Te</w:t>
      </w:r>
      <w:proofErr w:type="spellEnd"/>
      <w:r w:rsidR="00175790">
        <w:t xml:space="preserve"> </w:t>
      </w:r>
      <w:proofErr w:type="spellStart"/>
      <w:r w:rsidR="00175790">
        <w:t>Pou</w:t>
      </w:r>
      <w:proofErr w:type="spellEnd"/>
      <w:r w:rsidR="00175790">
        <w:t xml:space="preserve"> a </w:t>
      </w:r>
      <w:proofErr w:type="spellStart"/>
      <w:r w:rsidR="00175790" w:rsidRPr="00252E57">
        <w:t>Rangi</w:t>
      </w:r>
      <w:proofErr w:type="spellEnd"/>
      <w:r w:rsidR="00175790">
        <w:t xml:space="preserve"> – </w:t>
      </w:r>
      <w:r>
        <w:t>Climate Change Commission. 2021.</w:t>
      </w:r>
      <w:r w:rsidRPr="001720E8">
        <w:t xml:space="preserve"> </w:t>
      </w:r>
      <w:proofErr w:type="spellStart"/>
      <w:r w:rsidRPr="003B718B">
        <w:rPr>
          <w:i/>
          <w:iCs/>
        </w:rPr>
        <w:t>Ināia</w:t>
      </w:r>
      <w:proofErr w:type="spellEnd"/>
      <w:r w:rsidRPr="003B718B">
        <w:rPr>
          <w:i/>
          <w:iCs/>
        </w:rPr>
        <w:t xml:space="preserve"> </w:t>
      </w:r>
      <w:proofErr w:type="spellStart"/>
      <w:r w:rsidRPr="003B718B">
        <w:rPr>
          <w:i/>
          <w:iCs/>
        </w:rPr>
        <w:t>tonu</w:t>
      </w:r>
      <w:proofErr w:type="spellEnd"/>
      <w:r w:rsidRPr="003B718B">
        <w:rPr>
          <w:i/>
          <w:iCs/>
        </w:rPr>
        <w:t xml:space="preserve"> </w:t>
      </w:r>
      <w:proofErr w:type="spellStart"/>
      <w:r w:rsidRPr="003B718B">
        <w:rPr>
          <w:i/>
          <w:iCs/>
        </w:rPr>
        <w:t>nei</w:t>
      </w:r>
      <w:proofErr w:type="spellEnd"/>
      <w:r w:rsidRPr="003B718B">
        <w:rPr>
          <w:i/>
          <w:iCs/>
        </w:rPr>
        <w:t>: a low emissions future for Aotearoa</w:t>
      </w:r>
      <w:r>
        <w:rPr>
          <w:i/>
          <w:iCs/>
        </w:rPr>
        <w:t xml:space="preserve">. </w:t>
      </w:r>
      <w:r>
        <w:t xml:space="preserve">Wellington: </w:t>
      </w:r>
      <w:proofErr w:type="spellStart"/>
      <w:r w:rsidR="00175790">
        <w:t>Te</w:t>
      </w:r>
      <w:proofErr w:type="spellEnd"/>
      <w:r w:rsidR="00175790">
        <w:t xml:space="preserve"> </w:t>
      </w:r>
      <w:proofErr w:type="spellStart"/>
      <w:r w:rsidR="00175790">
        <w:t>Pou</w:t>
      </w:r>
      <w:proofErr w:type="spellEnd"/>
      <w:r w:rsidR="00175790">
        <w:t xml:space="preserve"> a </w:t>
      </w:r>
      <w:proofErr w:type="spellStart"/>
      <w:r w:rsidR="00175790">
        <w:t>Rangi</w:t>
      </w:r>
      <w:proofErr w:type="spellEnd"/>
      <w:r w:rsidR="00175790">
        <w:t xml:space="preserve"> – </w:t>
      </w:r>
      <w:r>
        <w:t>Climate Change Commission.</w:t>
      </w:r>
    </w:p>
  </w:footnote>
  <w:footnote w:id="24">
    <w:p w14:paraId="5F62D24F" w14:textId="5434996A" w:rsidR="00061676" w:rsidRPr="00252E57" w:rsidRDefault="00061676" w:rsidP="00252E57">
      <w:pPr>
        <w:pStyle w:val="FootnoteText"/>
      </w:pPr>
      <w:r>
        <w:rPr>
          <w:rStyle w:val="FootnoteReference"/>
        </w:rPr>
        <w:footnoteRef/>
      </w:r>
      <w:r>
        <w:t xml:space="preserve"> </w:t>
      </w:r>
      <w:r w:rsidR="00EC325B">
        <w:tab/>
      </w:r>
      <w:hyperlink r:id="rId7" w:history="1">
        <w:r w:rsidR="008D7A78">
          <w:rPr>
            <w:rStyle w:val="Hyperlink"/>
          </w:rPr>
          <w:t>NZ ETS settings for 2023-2027 (climatecommission.govt.nz)</w:t>
        </w:r>
      </w:hyperlink>
      <w:r w:rsidR="004C7908">
        <w:t>.</w:t>
      </w:r>
      <w:r w:rsidR="00474FCE">
        <w:t xml:space="preserve"> p</w:t>
      </w:r>
      <w:r w:rsidR="009A1FEA">
        <w:t xml:space="preserve"> 49</w:t>
      </w:r>
      <w:r w:rsidR="00474FCE">
        <w:t>.</w:t>
      </w:r>
    </w:p>
  </w:footnote>
  <w:footnote w:id="25">
    <w:p w14:paraId="5E792FA9" w14:textId="38418412" w:rsidR="00864D55" w:rsidRDefault="00864D55">
      <w:pPr>
        <w:pStyle w:val="FootnoteText"/>
      </w:pPr>
      <w:r>
        <w:rPr>
          <w:rStyle w:val="FootnoteReference"/>
        </w:rPr>
        <w:footnoteRef/>
      </w:r>
      <w:r>
        <w:t xml:space="preserve"> </w:t>
      </w:r>
      <w:r w:rsidR="00746900">
        <w:tab/>
      </w:r>
      <w:r w:rsidR="00377AAE">
        <w:t>Treasury. 2022.</w:t>
      </w:r>
      <w:r w:rsidR="002639D6">
        <w:t xml:space="preserve"> </w:t>
      </w:r>
      <w:hyperlink r:id="rId8" w:history="1">
        <w:r w:rsidR="002639D6" w:rsidRPr="00B90CB7">
          <w:rPr>
            <w:rStyle w:val="Hyperlink"/>
            <w:i/>
            <w:iCs/>
          </w:rPr>
          <w:t>Budget Economic and Fiscal Update 2022</w:t>
        </w:r>
      </w:hyperlink>
      <w:r w:rsidR="00377AAE">
        <w:t>. Wellington: Treasury.</w:t>
      </w:r>
      <w:r w:rsidR="000E14D7">
        <w:t xml:space="preserve"> Retrieved from </w:t>
      </w:r>
      <w:hyperlink r:id="rId9" w:history="1">
        <w:r w:rsidR="000E14D7" w:rsidRPr="009730A7">
          <w:rPr>
            <w:rStyle w:val="Hyperlink"/>
          </w:rPr>
          <w:t>https://www.treasury.govt.nz/sites/default/files/2022-05/befu22.pdf</w:t>
        </w:r>
      </w:hyperlink>
      <w:r w:rsidR="000E14D7">
        <w:t xml:space="preserve"> (6 August 2022), p 158.</w:t>
      </w:r>
    </w:p>
  </w:footnote>
  <w:footnote w:id="26">
    <w:p w14:paraId="6F50A665" w14:textId="22F0D77B" w:rsidR="00473306" w:rsidRDefault="00473306">
      <w:pPr>
        <w:pStyle w:val="FootnoteText"/>
      </w:pPr>
      <w:r>
        <w:rPr>
          <w:rStyle w:val="FootnoteReference"/>
        </w:rPr>
        <w:footnoteRef/>
      </w:r>
      <w:r>
        <w:t xml:space="preserve"> </w:t>
      </w:r>
      <w:r w:rsidR="0001217C">
        <w:tab/>
      </w:r>
      <w:hyperlink r:id="rId10" w:history="1">
        <w:r w:rsidR="007571DB">
          <w:rPr>
            <w:rStyle w:val="Hyperlink"/>
          </w:rPr>
          <w:t>NZ ETS settings for 2023-2027 (climatecommission.govt.nz)</w:t>
        </w:r>
      </w:hyperlink>
      <w:r w:rsidR="004C7908">
        <w:t xml:space="preserve">. </w:t>
      </w:r>
      <w:r w:rsidR="00913CC0">
        <w:t>p 26.</w:t>
      </w:r>
    </w:p>
  </w:footnote>
  <w:footnote w:id="27">
    <w:p w14:paraId="1EDF632E" w14:textId="0F8D1FE6" w:rsidR="00DC34D0" w:rsidRDefault="00DC34D0">
      <w:pPr>
        <w:pStyle w:val="FootnoteText"/>
      </w:pPr>
      <w:r>
        <w:rPr>
          <w:rStyle w:val="FootnoteReference"/>
        </w:rPr>
        <w:footnoteRef/>
      </w:r>
      <w:r>
        <w:t xml:space="preserve"> </w:t>
      </w:r>
      <w:r w:rsidR="007352DF">
        <w:tab/>
      </w:r>
      <w:r>
        <w:t xml:space="preserve">From </w:t>
      </w:r>
      <w:r w:rsidR="00D6683E">
        <w:t>t</w:t>
      </w:r>
      <w:r>
        <w:t xml:space="preserve">able 12 of </w:t>
      </w:r>
      <w:hyperlink r:id="rId11" w:history="1">
        <w:r w:rsidR="003E490F">
          <w:rPr>
            <w:rStyle w:val="Hyperlink"/>
          </w:rPr>
          <w:t>2023-advice-on-NZ-ETS-unit-limit-and-price-control-settings.pdf (climatecommission.govt.nz)</w:t>
        </w:r>
      </w:hyperlink>
      <w:r w:rsidR="00D6683E">
        <w:t>.</w:t>
      </w:r>
    </w:p>
  </w:footnote>
  <w:footnote w:id="28">
    <w:p w14:paraId="6E1B5327" w14:textId="77777777" w:rsidR="00A45932" w:rsidRDefault="00A45932" w:rsidP="00A45932">
      <w:pPr>
        <w:pStyle w:val="FootnoteText"/>
      </w:pPr>
      <w:r>
        <w:rPr>
          <w:rStyle w:val="FootnoteReference"/>
        </w:rPr>
        <w:footnoteRef/>
      </w:r>
      <w:r>
        <w:t xml:space="preserve"> </w:t>
      </w:r>
      <w:r>
        <w:tab/>
      </w:r>
      <w:hyperlink r:id="rId12" w:history="1">
        <w:r>
          <w:rPr>
            <w:rStyle w:val="Hyperlink"/>
          </w:rPr>
          <w:t>NZ ETS settings for 2023-2027 (climatecommission.govt.nz)</w:t>
        </w:r>
      </w:hyperlink>
      <w:r w:rsidRPr="0044664B">
        <w:t>.</w:t>
      </w:r>
    </w:p>
  </w:footnote>
  <w:footnote w:id="29">
    <w:p w14:paraId="2DE995B2" w14:textId="77777777" w:rsidR="00C719A5" w:rsidRDefault="00C719A5" w:rsidP="00C719A5">
      <w:pPr>
        <w:pStyle w:val="FootnoteText"/>
      </w:pPr>
      <w:r>
        <w:rPr>
          <w:rStyle w:val="FootnoteReference"/>
        </w:rPr>
        <w:footnoteRef/>
      </w:r>
      <w:r>
        <w:t xml:space="preserve"> </w:t>
      </w:r>
      <w:r>
        <w:tab/>
        <w:t>For example, the fuel supplier sector may pass costs onto their consumers, which could increase the cost of transporting goods – in turn increasing food prices and the cost of other household items.</w:t>
      </w:r>
    </w:p>
  </w:footnote>
  <w:footnote w:id="30">
    <w:p w14:paraId="52ABA4B8" w14:textId="1CFD87DC" w:rsidR="00E939F6" w:rsidRDefault="00E939F6">
      <w:pPr>
        <w:pStyle w:val="FootnoteText"/>
      </w:pPr>
      <w:r>
        <w:rPr>
          <w:rStyle w:val="FootnoteReference"/>
        </w:rPr>
        <w:footnoteRef/>
      </w:r>
      <w:r>
        <w:t xml:space="preserve"> </w:t>
      </w:r>
      <w:r w:rsidR="00A709DD">
        <w:tab/>
      </w:r>
      <w:hyperlink r:id="rId13" w:history="1">
        <w:r w:rsidR="00821481">
          <w:rPr>
            <w:rStyle w:val="Hyperlink"/>
          </w:rPr>
          <w:t>Potential for emissions leakage from selected industries in the ETS | Ministry for the Environment</w:t>
        </w:r>
      </w:hyperlink>
      <w:r w:rsidR="00C76434">
        <w:t>.</w:t>
      </w:r>
    </w:p>
  </w:footnote>
  <w:footnote w:id="31">
    <w:p w14:paraId="2F67DCCD" w14:textId="1E006076" w:rsidR="00AA0F12" w:rsidRDefault="00AA0F12" w:rsidP="00EE1819">
      <w:pPr>
        <w:pStyle w:val="FootnoteText"/>
        <w:spacing w:after="40"/>
      </w:pPr>
      <w:r>
        <w:rPr>
          <w:rStyle w:val="FootnoteReference"/>
        </w:rPr>
        <w:footnoteRef/>
      </w:r>
      <w:r>
        <w:t xml:space="preserve"> </w:t>
      </w:r>
      <w:r w:rsidR="00314488">
        <w:tab/>
      </w:r>
      <w:r>
        <w:t>Calculation is based on the post-1989 planted forest yield table in the New Zealand Greenhouse Gas Inventory (1990</w:t>
      </w:r>
      <w:r w:rsidR="007E05EA">
        <w:t>–</w:t>
      </w:r>
      <w:r>
        <w:t>2020) and excludes any emissions associated with soils and emissions from the previous land use (such as scrub clearance to plant forests).</w:t>
      </w:r>
      <w:r w:rsidR="00DD5E4B">
        <w:t xml:space="preserve"> </w:t>
      </w:r>
      <w:hyperlink r:id="rId14" w:history="1">
        <w:r w:rsidRPr="001421D2">
          <w:rPr>
            <w:rStyle w:val="Hyperlink"/>
          </w:rPr>
          <w:t>https://environment.govt.nz/assets/publications/GhG-Inventory/New-Zealand-Greenhouse-Gas-Inventory-1990-2020-Annexes.pdf</w:t>
        </w:r>
      </w:hyperlink>
      <w:r>
        <w:t xml:space="preserve">. </w:t>
      </w:r>
    </w:p>
  </w:footnote>
  <w:footnote w:id="32">
    <w:p w14:paraId="3E8E7CF7" w14:textId="7C2EC9E4" w:rsidR="00AA0F12" w:rsidRPr="00142068" w:rsidRDefault="00AA0F12" w:rsidP="00EE1819">
      <w:pPr>
        <w:pStyle w:val="FootnoteText"/>
        <w:spacing w:after="40"/>
      </w:pPr>
      <w:r>
        <w:rPr>
          <w:rStyle w:val="FootnoteReference"/>
        </w:rPr>
        <w:footnoteRef/>
      </w:r>
      <w:r>
        <w:t xml:space="preserve"> </w:t>
      </w:r>
      <w:r w:rsidR="007E05EA">
        <w:tab/>
      </w:r>
      <w:r>
        <w:t xml:space="preserve">Section 3.3 </w:t>
      </w:r>
      <w:hyperlink r:id="rId15" w:history="1">
        <w:r>
          <w:rPr>
            <w:rStyle w:val="Hyperlink"/>
          </w:rPr>
          <w:t>Afforestation Economic Modelling</w:t>
        </w:r>
      </w:hyperlink>
      <w:r w:rsidR="007E05EA" w:rsidRPr="007E05EA">
        <w:t>.</w:t>
      </w:r>
    </w:p>
  </w:footnote>
  <w:footnote w:id="33">
    <w:p w14:paraId="7B5CD70F" w14:textId="535E0D1F" w:rsidR="00AA0F12" w:rsidRPr="004A1785" w:rsidRDefault="00AA0F12" w:rsidP="00EE1819">
      <w:pPr>
        <w:pStyle w:val="FootnoteText"/>
        <w:spacing w:after="40"/>
      </w:pPr>
      <w:r>
        <w:rPr>
          <w:rStyle w:val="FootnoteReference"/>
        </w:rPr>
        <w:footnoteRef/>
      </w:r>
      <w:r>
        <w:t xml:space="preserve"> </w:t>
      </w:r>
      <w:r w:rsidR="007E05EA">
        <w:tab/>
      </w:r>
      <w:r>
        <w:t xml:space="preserve">Detail taken from p14, </w:t>
      </w:r>
      <w:proofErr w:type="gramStart"/>
      <w:r>
        <w:t>Technical</w:t>
      </w:r>
      <w:proofErr w:type="gramEnd"/>
      <w:r>
        <w:t xml:space="preserve"> annex 2</w:t>
      </w:r>
      <w:r w:rsidR="007E05EA">
        <w:t>.</w:t>
      </w:r>
    </w:p>
  </w:footnote>
  <w:footnote w:id="34">
    <w:p w14:paraId="33B357A8" w14:textId="22A2F2C2" w:rsidR="00AA0F12" w:rsidRPr="002A4C4F" w:rsidRDefault="00AA0F12" w:rsidP="00AA0F12">
      <w:pPr>
        <w:pStyle w:val="FootnoteText"/>
      </w:pPr>
      <w:r>
        <w:rPr>
          <w:rStyle w:val="FootnoteReference"/>
        </w:rPr>
        <w:footnoteRef/>
      </w:r>
      <w:r>
        <w:t xml:space="preserve"> </w:t>
      </w:r>
      <w:r w:rsidR="007E05EA">
        <w:tab/>
      </w:r>
      <w:r>
        <w:t xml:space="preserve">Described here: </w:t>
      </w:r>
      <w:hyperlink r:id="rId16" w:history="1">
        <w:r>
          <w:rPr>
            <w:rStyle w:val="Hyperlink"/>
          </w:rPr>
          <w:t>'Significant' emissions from fuel tax cut (msn.com)</w:t>
        </w:r>
      </w:hyperlink>
      <w:r w:rsidR="00EE1819" w:rsidRPr="00EE1819">
        <w:t>.</w:t>
      </w:r>
    </w:p>
  </w:footnote>
  <w:footnote w:id="35">
    <w:p w14:paraId="669AC307" w14:textId="3EE9FFB2" w:rsidR="001C46E4" w:rsidRDefault="001C46E4">
      <w:pPr>
        <w:pStyle w:val="FootnoteText"/>
      </w:pPr>
      <w:r>
        <w:rPr>
          <w:rStyle w:val="FootnoteReference"/>
        </w:rPr>
        <w:footnoteRef/>
      </w:r>
      <w:r>
        <w:t xml:space="preserve"> </w:t>
      </w:r>
      <w:r w:rsidR="0045208F">
        <w:tab/>
      </w:r>
      <w:hyperlink r:id="rId17" w:history="1">
        <w:r w:rsidR="00964523">
          <w:rPr>
            <w:rStyle w:val="Hyperlink"/>
          </w:rPr>
          <w:t>NZ ETS settings for 2023-2027</w:t>
        </w:r>
      </w:hyperlink>
      <w:r w:rsidR="0019624B">
        <w:t>.</w:t>
      </w:r>
      <w:r w:rsidR="00DD5E4B">
        <w:t xml:space="preserve"> </w:t>
      </w:r>
      <w:r>
        <w:t>p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54D224FC" w14:paraId="1143BF64" w14:textId="77777777" w:rsidTr="006C0997">
      <w:trPr>
        <w:trHeight w:val="300"/>
      </w:trPr>
      <w:tc>
        <w:tcPr>
          <w:tcW w:w="2835" w:type="dxa"/>
        </w:tcPr>
        <w:p w14:paraId="48454F49" w14:textId="6FF92C6E" w:rsidR="54D224FC" w:rsidRDefault="54D224FC" w:rsidP="006C0997">
          <w:pPr>
            <w:pStyle w:val="Header"/>
            <w:ind w:left="-115"/>
            <w:jc w:val="left"/>
          </w:pPr>
        </w:p>
      </w:tc>
      <w:tc>
        <w:tcPr>
          <w:tcW w:w="2835" w:type="dxa"/>
        </w:tcPr>
        <w:p w14:paraId="35E7FEFC" w14:textId="1041BE05" w:rsidR="54D224FC" w:rsidRDefault="54D224FC" w:rsidP="006C0997">
          <w:pPr>
            <w:pStyle w:val="Header"/>
          </w:pPr>
        </w:p>
      </w:tc>
      <w:tc>
        <w:tcPr>
          <w:tcW w:w="2835" w:type="dxa"/>
        </w:tcPr>
        <w:p w14:paraId="70D8B212" w14:textId="5AAC5488" w:rsidR="54D224FC" w:rsidRDefault="54D224FC" w:rsidP="006C0997">
          <w:pPr>
            <w:pStyle w:val="Header"/>
            <w:ind w:right="-115"/>
            <w:jc w:val="right"/>
          </w:pPr>
        </w:p>
      </w:tc>
    </w:tr>
  </w:tbl>
  <w:p w14:paraId="5747D4ED" w14:textId="44E087D2" w:rsidR="0040237E" w:rsidRDefault="00402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02CD" w14:textId="6603BE11" w:rsidR="00DE7BF8" w:rsidRPr="00DE7BF8" w:rsidRDefault="00DE7BF8" w:rsidP="00734B9A">
    <w:pPr>
      <w:pStyle w:val="Header"/>
      <w:ind w:left="-57"/>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715A" w14:textId="77777777" w:rsidR="00E5210B" w:rsidRDefault="00E5210B" w:rsidP="0036151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1EDB" w14:textId="77777777" w:rsidR="00E5210B" w:rsidRDefault="00E5210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6CF5E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75ED8D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83AAC2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D94BC1"/>
    <w:multiLevelType w:val="hybridMultilevel"/>
    <w:tmpl w:val="CD721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10017F"/>
    <w:multiLevelType w:val="hybridMultilevel"/>
    <w:tmpl w:val="3C26DB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427144"/>
    <w:multiLevelType w:val="hybridMultilevel"/>
    <w:tmpl w:val="239C8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9F7DB9"/>
    <w:multiLevelType w:val="hybridMultilevel"/>
    <w:tmpl w:val="D66A2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8" w15:restartNumberingAfterBreak="0">
    <w:nsid w:val="0B0F5F0E"/>
    <w:multiLevelType w:val="multilevel"/>
    <w:tmpl w:val="184C629E"/>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13E973CA"/>
    <w:multiLevelType w:val="hybridMultilevel"/>
    <w:tmpl w:val="D2826D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1C9548E7"/>
    <w:multiLevelType w:val="hybridMultilevel"/>
    <w:tmpl w:val="0E5E9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208C5CF5"/>
    <w:multiLevelType w:val="multilevel"/>
    <w:tmpl w:val="70528E60"/>
    <w:lvl w:ilvl="0">
      <w:start w:val="1"/>
      <w:numFmt w:val="lowerLetter"/>
      <w:pStyle w:val="Sub-lista"/>
      <w:lvlText w:val="(%1)"/>
      <w:lvlJc w:val="left"/>
      <w:pPr>
        <w:ind w:left="794" w:hanging="397"/>
      </w:pPr>
      <w:rPr>
        <w:rFonts w:ascii="Calibri" w:hAnsi="Calibri"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09C2E3A"/>
    <w:multiLevelType w:val="multilevel"/>
    <w:tmpl w:val="20F4ADDC"/>
    <w:lvl w:ilvl="0">
      <w:start w:val="1"/>
      <w:numFmt w:val="bullet"/>
      <w:lvlText w:val=""/>
      <w:lvlJc w:val="left"/>
      <w:pPr>
        <w:tabs>
          <w:tab w:val="num" w:pos="720"/>
        </w:tabs>
        <w:ind w:left="720" w:hanging="360"/>
      </w:pPr>
      <w:rPr>
        <w:rFonts w:ascii="Segoe UI" w:hAnsi="Segoe UI" w:hint="default"/>
        <w:sz w:val="20"/>
      </w:rPr>
    </w:lvl>
    <w:lvl w:ilvl="1">
      <w:start w:val="1"/>
      <w:numFmt w:val="bullet"/>
      <w:lvlText w:val=""/>
      <w:lvlJc w:val="left"/>
      <w:pPr>
        <w:tabs>
          <w:tab w:val="num" w:pos="1440"/>
        </w:tabs>
        <w:ind w:left="1440" w:hanging="360"/>
      </w:pPr>
      <w:rPr>
        <w:rFonts w:ascii="Segoe UI" w:hAnsi="Segoe UI" w:hint="default"/>
        <w:sz w:val="20"/>
      </w:rPr>
    </w:lvl>
    <w:lvl w:ilvl="2">
      <w:start w:val="1"/>
      <w:numFmt w:val="bullet"/>
      <w:lvlText w:val=""/>
      <w:lvlJc w:val="left"/>
      <w:pPr>
        <w:tabs>
          <w:tab w:val="num" w:pos="2160"/>
        </w:tabs>
        <w:ind w:left="2160" w:hanging="360"/>
      </w:pPr>
      <w:rPr>
        <w:rFonts w:ascii="Segoe UI" w:hAnsi="Segoe UI" w:hint="default"/>
        <w:sz w:val="20"/>
      </w:rPr>
    </w:lvl>
    <w:lvl w:ilvl="3" w:tentative="1">
      <w:start w:val="1"/>
      <w:numFmt w:val="bullet"/>
      <w:lvlText w:val=""/>
      <w:lvlJc w:val="left"/>
      <w:pPr>
        <w:tabs>
          <w:tab w:val="num" w:pos="2880"/>
        </w:tabs>
        <w:ind w:left="2880" w:hanging="360"/>
      </w:pPr>
      <w:rPr>
        <w:rFonts w:ascii="Segoe UI" w:hAnsi="Segoe UI" w:hint="default"/>
        <w:sz w:val="20"/>
      </w:rPr>
    </w:lvl>
    <w:lvl w:ilvl="4" w:tentative="1">
      <w:start w:val="1"/>
      <w:numFmt w:val="bullet"/>
      <w:lvlText w:val=""/>
      <w:lvlJc w:val="left"/>
      <w:pPr>
        <w:tabs>
          <w:tab w:val="num" w:pos="3600"/>
        </w:tabs>
        <w:ind w:left="3600" w:hanging="360"/>
      </w:pPr>
      <w:rPr>
        <w:rFonts w:ascii="Segoe UI" w:hAnsi="Segoe UI" w:hint="default"/>
        <w:sz w:val="20"/>
      </w:rPr>
    </w:lvl>
    <w:lvl w:ilvl="5" w:tentative="1">
      <w:start w:val="1"/>
      <w:numFmt w:val="bullet"/>
      <w:lvlText w:val=""/>
      <w:lvlJc w:val="left"/>
      <w:pPr>
        <w:tabs>
          <w:tab w:val="num" w:pos="4320"/>
        </w:tabs>
        <w:ind w:left="4320" w:hanging="360"/>
      </w:pPr>
      <w:rPr>
        <w:rFonts w:ascii="Segoe UI" w:hAnsi="Segoe UI" w:hint="default"/>
        <w:sz w:val="20"/>
      </w:rPr>
    </w:lvl>
    <w:lvl w:ilvl="6" w:tentative="1">
      <w:start w:val="1"/>
      <w:numFmt w:val="bullet"/>
      <w:lvlText w:val=""/>
      <w:lvlJc w:val="left"/>
      <w:pPr>
        <w:tabs>
          <w:tab w:val="num" w:pos="5040"/>
        </w:tabs>
        <w:ind w:left="5040" w:hanging="360"/>
      </w:pPr>
      <w:rPr>
        <w:rFonts w:ascii="Segoe UI" w:hAnsi="Segoe UI" w:hint="default"/>
        <w:sz w:val="20"/>
      </w:rPr>
    </w:lvl>
    <w:lvl w:ilvl="7" w:tentative="1">
      <w:start w:val="1"/>
      <w:numFmt w:val="bullet"/>
      <w:lvlText w:val=""/>
      <w:lvlJc w:val="left"/>
      <w:pPr>
        <w:tabs>
          <w:tab w:val="num" w:pos="5760"/>
        </w:tabs>
        <w:ind w:left="5760" w:hanging="360"/>
      </w:pPr>
      <w:rPr>
        <w:rFonts w:ascii="Segoe UI" w:hAnsi="Segoe UI" w:hint="default"/>
        <w:sz w:val="20"/>
      </w:rPr>
    </w:lvl>
    <w:lvl w:ilvl="8" w:tentative="1">
      <w:start w:val="1"/>
      <w:numFmt w:val="bullet"/>
      <w:lvlText w:val=""/>
      <w:lvlJc w:val="left"/>
      <w:pPr>
        <w:tabs>
          <w:tab w:val="num" w:pos="6480"/>
        </w:tabs>
        <w:ind w:left="6480" w:hanging="360"/>
      </w:pPr>
      <w:rPr>
        <w:rFonts w:ascii="Segoe UI" w:hAnsi="Segoe UI" w:hint="default"/>
        <w:sz w:val="20"/>
      </w:rPr>
    </w:lvl>
  </w:abstractNum>
  <w:abstractNum w:abstractNumId="14" w15:restartNumberingAfterBreak="0">
    <w:nsid w:val="25167057"/>
    <w:multiLevelType w:val="multilevel"/>
    <w:tmpl w:val="BA6C3C32"/>
    <w:lvl w:ilvl="0">
      <w:start w:val="1"/>
      <w:numFmt w:val="upperLetter"/>
      <w:lvlText w:val="(%1)"/>
      <w:lvlJc w:val="left"/>
      <w:pPr>
        <w:ind w:left="2268" w:hanging="567"/>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E62F65"/>
    <w:multiLevelType w:val="hybridMultilevel"/>
    <w:tmpl w:val="E1446984"/>
    <w:lvl w:ilvl="0" w:tplc="58E4C02C">
      <w:start w:val="1"/>
      <w:numFmt w:val="decimal"/>
      <w:lvlText w:val="%1."/>
      <w:lvlJc w:val="left"/>
      <w:pPr>
        <w:ind w:left="360" w:hanging="360"/>
      </w:pPr>
      <w:rPr>
        <w:rFonts w:ascii="Arial" w:hAnsi="Arial" w:cs="Arial" w:hint="default"/>
        <w:b w:val="0"/>
        <w:bCs/>
        <w:i w:val="0"/>
        <w:iCs w:val="0"/>
        <w:color w:val="auto"/>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472136"/>
    <w:multiLevelType w:val="hybridMultilevel"/>
    <w:tmpl w:val="8862A1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C087BAF"/>
    <w:multiLevelType w:val="hybridMultilevel"/>
    <w:tmpl w:val="9AF2C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C6E464E"/>
    <w:multiLevelType w:val="hybridMultilevel"/>
    <w:tmpl w:val="C4CA03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22"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3" w15:restartNumberingAfterBreak="0">
    <w:nsid w:val="36B44E30"/>
    <w:multiLevelType w:val="hybridMultilevel"/>
    <w:tmpl w:val="913E72D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82D48CF"/>
    <w:multiLevelType w:val="hybridMultilevel"/>
    <w:tmpl w:val="4972EED2"/>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Minion Pro" w:hAnsi="Minion Pro" w:cs="Minion Pro" w:hint="default"/>
      </w:rPr>
    </w:lvl>
    <w:lvl w:ilvl="2" w:tplc="FFFFFFFF" w:tentative="1">
      <w:start w:val="1"/>
      <w:numFmt w:val="bullet"/>
      <w:lvlText w:val=""/>
      <w:lvlJc w:val="left"/>
      <w:pPr>
        <w:ind w:left="2160" w:hanging="360"/>
      </w:pPr>
      <w:rPr>
        <w:rFonts w:ascii="Montserrat" w:hAnsi="Montserrat" w:hint="default"/>
      </w:rPr>
    </w:lvl>
    <w:lvl w:ilvl="3" w:tplc="FFFFFFFF" w:tentative="1">
      <w:start w:val="1"/>
      <w:numFmt w:val="bullet"/>
      <w:lvlText w:val=""/>
      <w:lvlJc w:val="left"/>
      <w:pPr>
        <w:ind w:left="2880" w:hanging="360"/>
      </w:pPr>
      <w:rPr>
        <w:rFonts w:ascii="Segoe UI" w:hAnsi="Segoe UI" w:hint="default"/>
      </w:rPr>
    </w:lvl>
    <w:lvl w:ilvl="4" w:tplc="FFFFFFFF" w:tentative="1">
      <w:start w:val="1"/>
      <w:numFmt w:val="bullet"/>
      <w:lvlText w:val="o"/>
      <w:lvlJc w:val="left"/>
      <w:pPr>
        <w:ind w:left="3600" w:hanging="360"/>
      </w:pPr>
      <w:rPr>
        <w:rFonts w:ascii="Minion Pro" w:hAnsi="Minion Pro" w:cs="Minion Pro" w:hint="default"/>
      </w:rPr>
    </w:lvl>
    <w:lvl w:ilvl="5" w:tplc="FFFFFFFF" w:tentative="1">
      <w:start w:val="1"/>
      <w:numFmt w:val="bullet"/>
      <w:lvlText w:val=""/>
      <w:lvlJc w:val="left"/>
      <w:pPr>
        <w:ind w:left="4320" w:hanging="360"/>
      </w:pPr>
      <w:rPr>
        <w:rFonts w:ascii="Montserrat" w:hAnsi="Montserrat" w:hint="default"/>
      </w:rPr>
    </w:lvl>
    <w:lvl w:ilvl="6" w:tplc="FFFFFFFF" w:tentative="1">
      <w:start w:val="1"/>
      <w:numFmt w:val="bullet"/>
      <w:lvlText w:val=""/>
      <w:lvlJc w:val="left"/>
      <w:pPr>
        <w:ind w:left="5040" w:hanging="360"/>
      </w:pPr>
      <w:rPr>
        <w:rFonts w:ascii="Segoe UI" w:hAnsi="Segoe UI" w:hint="default"/>
      </w:rPr>
    </w:lvl>
    <w:lvl w:ilvl="7" w:tplc="FFFFFFFF" w:tentative="1">
      <w:start w:val="1"/>
      <w:numFmt w:val="bullet"/>
      <w:lvlText w:val="o"/>
      <w:lvlJc w:val="left"/>
      <w:pPr>
        <w:ind w:left="5760" w:hanging="360"/>
      </w:pPr>
      <w:rPr>
        <w:rFonts w:ascii="Minion Pro" w:hAnsi="Minion Pro" w:cs="Minion Pro" w:hint="default"/>
      </w:rPr>
    </w:lvl>
    <w:lvl w:ilvl="8" w:tplc="FFFFFFFF" w:tentative="1">
      <w:start w:val="1"/>
      <w:numFmt w:val="bullet"/>
      <w:lvlText w:val=""/>
      <w:lvlJc w:val="left"/>
      <w:pPr>
        <w:ind w:left="6480" w:hanging="360"/>
      </w:pPr>
      <w:rPr>
        <w:rFonts w:ascii="Montserrat" w:hAnsi="Montserrat" w:hint="default"/>
      </w:rPr>
    </w:lvl>
  </w:abstractNum>
  <w:abstractNum w:abstractNumId="25" w15:restartNumberingAfterBreak="0">
    <w:nsid w:val="38DE5A8D"/>
    <w:multiLevelType w:val="hybridMultilevel"/>
    <w:tmpl w:val="1BE440D0"/>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1786827"/>
    <w:multiLevelType w:val="hybridMultilevel"/>
    <w:tmpl w:val="574EA8B0"/>
    <w:lvl w:ilvl="0" w:tplc="F6A81EA4">
      <w:start w:val="1"/>
      <w:numFmt w:val="decimal"/>
      <w:lvlText w:val="%1."/>
      <w:lvlJc w:val="left"/>
      <w:pPr>
        <w:ind w:left="720" w:hanging="360"/>
      </w:pPr>
      <w:rPr>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E755B7"/>
    <w:multiLevelType w:val="hybridMultilevel"/>
    <w:tmpl w:val="275AFFCE"/>
    <w:lvl w:ilvl="0" w:tplc="14090003">
      <w:start w:val="1"/>
      <w:numFmt w:val="bullet"/>
      <w:lvlText w:val="o"/>
      <w:lvlJc w:val="left"/>
      <w:pPr>
        <w:ind w:left="774" w:hanging="360"/>
      </w:pPr>
      <w:rPr>
        <w:rFonts w:ascii="Courier New" w:hAnsi="Courier New" w:cs="Courier New"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3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32" w15:restartNumberingAfterBreak="0">
    <w:nsid w:val="48720A4B"/>
    <w:multiLevelType w:val="multilevel"/>
    <w:tmpl w:val="C038ADB4"/>
    <w:lvl w:ilvl="0">
      <w:start w:val="1"/>
      <w:numFmt w:val="lowerLetter"/>
      <w:lvlText w:val="%1."/>
      <w:lvlJc w:val="left"/>
      <w:pPr>
        <w:ind w:left="397" w:hanging="397"/>
      </w:pPr>
      <w:rPr>
        <w:rFonts w:hint="default"/>
        <w:b w:val="0"/>
        <w:i w:val="0"/>
        <w:sz w:val="22"/>
        <w:szCs w:val="22"/>
      </w:rPr>
    </w:lvl>
    <w:lvl w:ilvl="1">
      <w:start w:val="1"/>
      <w:numFmt w:val="lowerLetter"/>
      <w:lvlText w:val="%2."/>
      <w:lvlJc w:val="left"/>
      <w:pPr>
        <w:tabs>
          <w:tab w:val="num" w:pos="1043"/>
        </w:tabs>
        <w:ind w:left="1043" w:hanging="360"/>
      </w:pPr>
      <w:rPr>
        <w:rFonts w:hint="default"/>
      </w:rPr>
    </w:lvl>
    <w:lvl w:ilvl="2">
      <w:start w:val="1"/>
      <w:numFmt w:val="lowerRoman"/>
      <w:lvlText w:val="%3."/>
      <w:lvlJc w:val="right"/>
      <w:pPr>
        <w:tabs>
          <w:tab w:val="num" w:pos="1763"/>
        </w:tabs>
        <w:ind w:left="1763" w:hanging="180"/>
      </w:pPr>
      <w:rPr>
        <w:rFonts w:hint="default"/>
      </w:rPr>
    </w:lvl>
    <w:lvl w:ilvl="3">
      <w:start w:val="1"/>
      <w:numFmt w:val="decimal"/>
      <w:lvlText w:val="%4."/>
      <w:lvlJc w:val="left"/>
      <w:pPr>
        <w:tabs>
          <w:tab w:val="num" w:pos="2483"/>
        </w:tabs>
        <w:ind w:left="2483" w:hanging="360"/>
      </w:pPr>
      <w:rPr>
        <w:rFonts w:hint="default"/>
      </w:rPr>
    </w:lvl>
    <w:lvl w:ilvl="4">
      <w:start w:val="1"/>
      <w:numFmt w:val="lowerLetter"/>
      <w:lvlText w:val="%5."/>
      <w:lvlJc w:val="left"/>
      <w:pPr>
        <w:tabs>
          <w:tab w:val="num" w:pos="3203"/>
        </w:tabs>
        <w:ind w:left="3203" w:hanging="360"/>
      </w:pPr>
      <w:rPr>
        <w:rFonts w:hint="default"/>
      </w:rPr>
    </w:lvl>
    <w:lvl w:ilvl="5">
      <w:start w:val="1"/>
      <w:numFmt w:val="lowerRoman"/>
      <w:lvlText w:val="%6."/>
      <w:lvlJc w:val="right"/>
      <w:pPr>
        <w:tabs>
          <w:tab w:val="num" w:pos="3923"/>
        </w:tabs>
        <w:ind w:left="3923" w:hanging="180"/>
      </w:pPr>
      <w:rPr>
        <w:rFonts w:hint="default"/>
      </w:rPr>
    </w:lvl>
    <w:lvl w:ilvl="6">
      <w:start w:val="1"/>
      <w:numFmt w:val="decimal"/>
      <w:lvlText w:val="%7."/>
      <w:lvlJc w:val="left"/>
      <w:pPr>
        <w:tabs>
          <w:tab w:val="num" w:pos="4643"/>
        </w:tabs>
        <w:ind w:left="4643" w:hanging="360"/>
      </w:pPr>
      <w:rPr>
        <w:rFonts w:hint="default"/>
      </w:rPr>
    </w:lvl>
    <w:lvl w:ilvl="7">
      <w:start w:val="1"/>
      <w:numFmt w:val="lowerLetter"/>
      <w:lvlText w:val="%8."/>
      <w:lvlJc w:val="left"/>
      <w:pPr>
        <w:tabs>
          <w:tab w:val="num" w:pos="5363"/>
        </w:tabs>
        <w:ind w:left="5363" w:hanging="360"/>
      </w:pPr>
      <w:rPr>
        <w:rFonts w:hint="default"/>
      </w:rPr>
    </w:lvl>
    <w:lvl w:ilvl="8">
      <w:start w:val="1"/>
      <w:numFmt w:val="lowerRoman"/>
      <w:lvlText w:val="%9."/>
      <w:lvlJc w:val="right"/>
      <w:pPr>
        <w:tabs>
          <w:tab w:val="num" w:pos="6083"/>
        </w:tabs>
        <w:ind w:left="6083" w:hanging="180"/>
      </w:pPr>
      <w:rPr>
        <w:rFonts w:hint="default"/>
      </w:rPr>
    </w:lvl>
  </w:abstractNum>
  <w:abstractNum w:abstractNumId="33" w15:restartNumberingAfterBreak="0">
    <w:nsid w:val="4CF508FC"/>
    <w:multiLevelType w:val="hybridMultilevel"/>
    <w:tmpl w:val="B3FE8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ECE6788"/>
    <w:multiLevelType w:val="hybridMultilevel"/>
    <w:tmpl w:val="4364A35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36" w15:restartNumberingAfterBreak="0">
    <w:nsid w:val="5E5D7349"/>
    <w:multiLevelType w:val="multilevel"/>
    <w:tmpl w:val="E1367EE6"/>
    <w:lvl w:ilvl="0">
      <w:start w:val="1"/>
      <w:numFmt w:val="decimal"/>
      <w:pStyle w:val="Boxquestion"/>
      <w:lvlText w:val="%1"/>
      <w:lvlJc w:val="left"/>
      <w:pPr>
        <w:ind w:left="680" w:hanging="396"/>
      </w:pPr>
      <w:rPr>
        <w:rFonts w:ascii="Calibri" w:hAnsi="Calibri" w:hint="default"/>
        <w:b w:val="0"/>
        <w:i w:val="0"/>
        <w:sz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7" w15:restartNumberingAfterBreak="0">
    <w:nsid w:val="68E27806"/>
    <w:multiLevelType w:val="hybridMultilevel"/>
    <w:tmpl w:val="8EACFAB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BB421D6"/>
    <w:multiLevelType w:val="hybridMultilevel"/>
    <w:tmpl w:val="9D962CBC"/>
    <w:lvl w:ilvl="0" w:tplc="96140156">
      <w:start w:val="31"/>
      <w:numFmt w:val="bullet"/>
      <w:lvlText w:val="-"/>
      <w:lvlJc w:val="left"/>
      <w:pPr>
        <w:ind w:left="720" w:hanging="360"/>
      </w:pPr>
      <w:rPr>
        <w:rFonts w:asciiTheme="minorHAnsi" w:eastAsia="Times New Roman" w:hAnsiTheme="minorHAnsi" w:cstheme="minorHAnsi" w:hint="default"/>
        <w:b/>
        <w:bCs/>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F04315C"/>
    <w:multiLevelType w:val="multilevel"/>
    <w:tmpl w:val="A0346236"/>
    <w:lvl w:ilvl="0">
      <w:start w:val="1"/>
      <w:numFmt w:val="decimal"/>
      <w:pStyle w:val="NumberedHeading1"/>
      <w:lvlText w:val="%1."/>
      <w:lvlJc w:val="left"/>
      <w:pPr>
        <w:ind w:left="851" w:hanging="851"/>
      </w:pPr>
      <w:rPr>
        <w:rFonts w:asciiTheme="majorHAnsi" w:hAnsiTheme="majorHAnsi" w:hint="default"/>
        <w:b w:val="0"/>
        <w:bCs w:val="0"/>
        <w:i w:val="0"/>
      </w:rPr>
    </w:lvl>
    <w:lvl w:ilvl="1">
      <w:start w:val="1"/>
      <w:numFmt w:val="decimal"/>
      <w:pStyle w:val="NumberedHeading2"/>
      <w:lvlText w:val="%1.%2"/>
      <w:lvlJc w:val="left"/>
      <w:pPr>
        <w:ind w:left="851" w:hanging="851"/>
      </w:pPr>
      <w:rPr>
        <w:rFonts w:asciiTheme="majorHAnsi" w:hAnsiTheme="majorHAnsi"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FCB13B0"/>
    <w:multiLevelType w:val="hybridMultilevel"/>
    <w:tmpl w:val="D1900CC6"/>
    <w:lvl w:ilvl="0" w:tplc="68F288CA">
      <w:start w:val="1"/>
      <w:numFmt w:val="bullet"/>
      <w:pStyle w:val="Greensub-bullet-casestudytables"/>
      <w:lvlText w:val="‒"/>
      <w:lvlJc w:val="left"/>
      <w:pPr>
        <w:ind w:left="1004" w:hanging="360"/>
      </w:pPr>
      <w:rPr>
        <w:rFonts w:ascii="Calibri" w:hAnsi="Calibri" w:cs="Times New Roman" w:hint="default"/>
        <w:color w:val="1B556B"/>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2"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2B140A"/>
    <w:multiLevelType w:val="hybridMultilevel"/>
    <w:tmpl w:val="CB0285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816460948">
    <w:abstractNumId w:val="22"/>
  </w:num>
  <w:num w:numId="2" w16cid:durableId="85470197">
    <w:abstractNumId w:val="7"/>
  </w:num>
  <w:num w:numId="3" w16cid:durableId="262618033">
    <w:abstractNumId w:val="20"/>
  </w:num>
  <w:num w:numId="4" w16cid:durableId="243612471">
    <w:abstractNumId w:val="40"/>
  </w:num>
  <w:num w:numId="5" w16cid:durableId="100148807">
    <w:abstractNumId w:val="8"/>
  </w:num>
  <w:num w:numId="6" w16cid:durableId="1519540051">
    <w:abstractNumId w:val="16"/>
  </w:num>
  <w:num w:numId="7" w16cid:durableId="377556039">
    <w:abstractNumId w:val="41"/>
  </w:num>
  <w:num w:numId="8" w16cid:durableId="121727306">
    <w:abstractNumId w:val="9"/>
  </w:num>
  <w:num w:numId="9" w16cid:durableId="878782008">
    <w:abstractNumId w:val="39"/>
  </w:num>
  <w:num w:numId="10" w16cid:durableId="1939681101">
    <w:abstractNumId w:val="2"/>
  </w:num>
  <w:num w:numId="11" w16cid:durableId="1804346552">
    <w:abstractNumId w:val="0"/>
  </w:num>
  <w:num w:numId="12" w16cid:durableId="1137727448">
    <w:abstractNumId w:val="1"/>
  </w:num>
  <w:num w:numId="13" w16cid:durableId="283002653">
    <w:abstractNumId w:val="35"/>
  </w:num>
  <w:num w:numId="14" w16cid:durableId="1507524789">
    <w:abstractNumId w:val="11"/>
  </w:num>
  <w:num w:numId="15" w16cid:durableId="1373115522">
    <w:abstractNumId w:val="26"/>
  </w:num>
  <w:num w:numId="16" w16cid:durableId="1754857576">
    <w:abstractNumId w:val="21"/>
  </w:num>
  <w:num w:numId="17" w16cid:durableId="1037849379">
    <w:abstractNumId w:val="28"/>
  </w:num>
  <w:num w:numId="18" w16cid:durableId="978923647">
    <w:abstractNumId w:val="12"/>
  </w:num>
  <w:num w:numId="19" w16cid:durableId="683021389">
    <w:abstractNumId w:val="31"/>
  </w:num>
  <w:num w:numId="20" w16cid:durableId="298583014">
    <w:abstractNumId w:val="30"/>
  </w:num>
  <w:num w:numId="21" w16cid:durableId="808011097">
    <w:abstractNumId w:val="42"/>
  </w:num>
  <w:num w:numId="22" w16cid:durableId="8576980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69331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35595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4178890">
    <w:abstractNumId w:val="36"/>
  </w:num>
  <w:num w:numId="26" w16cid:durableId="115949883">
    <w:abstractNumId w:val="14"/>
  </w:num>
  <w:num w:numId="27" w16cid:durableId="10129567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98616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2406141">
    <w:abstractNumId w:val="10"/>
  </w:num>
  <w:num w:numId="30" w16cid:durableId="989751924">
    <w:abstractNumId w:val="18"/>
  </w:num>
  <w:num w:numId="31" w16cid:durableId="650796182">
    <w:abstractNumId w:val="15"/>
  </w:num>
  <w:num w:numId="32" w16cid:durableId="267011641">
    <w:abstractNumId w:val="25"/>
  </w:num>
  <w:num w:numId="33" w16cid:durableId="1287933103">
    <w:abstractNumId w:val="6"/>
  </w:num>
  <w:num w:numId="34" w16cid:durableId="778336315">
    <w:abstractNumId w:val="29"/>
  </w:num>
  <w:num w:numId="35" w16cid:durableId="769352643">
    <w:abstractNumId w:val="37"/>
  </w:num>
  <w:num w:numId="36" w16cid:durableId="1103456948">
    <w:abstractNumId w:val="23"/>
  </w:num>
  <w:num w:numId="37" w16cid:durableId="317222884">
    <w:abstractNumId w:val="13"/>
  </w:num>
  <w:num w:numId="38" w16cid:durableId="1021467168">
    <w:abstractNumId w:val="27"/>
  </w:num>
  <w:num w:numId="39" w16cid:durableId="1247962746">
    <w:abstractNumId w:val="24"/>
  </w:num>
  <w:num w:numId="40" w16cid:durableId="620653243">
    <w:abstractNumId w:val="33"/>
  </w:num>
  <w:num w:numId="41" w16cid:durableId="257325080">
    <w:abstractNumId w:val="38"/>
  </w:num>
  <w:num w:numId="42" w16cid:durableId="501504237">
    <w:abstractNumId w:val="5"/>
  </w:num>
  <w:num w:numId="43" w16cid:durableId="957687948">
    <w:abstractNumId w:val="3"/>
  </w:num>
  <w:num w:numId="44" w16cid:durableId="478307539">
    <w:abstractNumId w:val="5"/>
  </w:num>
  <w:num w:numId="45" w16cid:durableId="179008698">
    <w:abstractNumId w:val="3"/>
  </w:num>
  <w:num w:numId="46" w16cid:durableId="1473870116">
    <w:abstractNumId w:val="1"/>
    <w:lvlOverride w:ilvl="0">
      <w:startOverride w:val="1"/>
    </w:lvlOverride>
  </w:num>
  <w:num w:numId="47" w16cid:durableId="599457805">
    <w:abstractNumId w:val="36"/>
  </w:num>
  <w:num w:numId="48" w16cid:durableId="1029183742">
    <w:abstractNumId w:val="36"/>
  </w:num>
  <w:num w:numId="49" w16cid:durableId="1225021662">
    <w:abstractNumId w:val="36"/>
  </w:num>
  <w:num w:numId="50" w16cid:durableId="351418899">
    <w:abstractNumId w:val="4"/>
  </w:num>
  <w:num w:numId="51" w16cid:durableId="859010339">
    <w:abstractNumId w:val="19"/>
  </w:num>
  <w:num w:numId="52" w16cid:durableId="60258754">
    <w:abstractNumId w:val="43"/>
  </w:num>
  <w:num w:numId="53" w16cid:durableId="1296332697">
    <w:abstractNumId w:val="44"/>
  </w:num>
  <w:num w:numId="54" w16cid:durableId="616070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501164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019854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393194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09794369">
    <w:abstractNumId w:val="32"/>
  </w:num>
  <w:num w:numId="59" w16cid:durableId="1837498692">
    <w:abstractNumId w:val="17"/>
  </w:num>
  <w:num w:numId="60" w16cid:durableId="1001275645">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A5"/>
    <w:rsid w:val="00000792"/>
    <w:rsid w:val="00000D7B"/>
    <w:rsid w:val="00000E16"/>
    <w:rsid w:val="00000F04"/>
    <w:rsid w:val="00000F1F"/>
    <w:rsid w:val="00001D61"/>
    <w:rsid w:val="000023BC"/>
    <w:rsid w:val="000025F2"/>
    <w:rsid w:val="00002621"/>
    <w:rsid w:val="000028D1"/>
    <w:rsid w:val="00002ADF"/>
    <w:rsid w:val="0000314C"/>
    <w:rsid w:val="00003266"/>
    <w:rsid w:val="0000370D"/>
    <w:rsid w:val="00003C4F"/>
    <w:rsid w:val="00003DFF"/>
    <w:rsid w:val="0000488C"/>
    <w:rsid w:val="00004D48"/>
    <w:rsid w:val="00004E0A"/>
    <w:rsid w:val="00004F0D"/>
    <w:rsid w:val="00004FD3"/>
    <w:rsid w:val="00005086"/>
    <w:rsid w:val="00005947"/>
    <w:rsid w:val="00005C9E"/>
    <w:rsid w:val="00005E45"/>
    <w:rsid w:val="00005E5A"/>
    <w:rsid w:val="00005F2F"/>
    <w:rsid w:val="00006248"/>
    <w:rsid w:val="00006412"/>
    <w:rsid w:val="00006504"/>
    <w:rsid w:val="00006623"/>
    <w:rsid w:val="00006DF5"/>
    <w:rsid w:val="00006F95"/>
    <w:rsid w:val="00007023"/>
    <w:rsid w:val="0000709F"/>
    <w:rsid w:val="000071D6"/>
    <w:rsid w:val="000072B9"/>
    <w:rsid w:val="00007C4D"/>
    <w:rsid w:val="00007F2D"/>
    <w:rsid w:val="00007FAC"/>
    <w:rsid w:val="00007FB4"/>
    <w:rsid w:val="0001025B"/>
    <w:rsid w:val="00010526"/>
    <w:rsid w:val="00010723"/>
    <w:rsid w:val="000108E1"/>
    <w:rsid w:val="0001095D"/>
    <w:rsid w:val="00010A9C"/>
    <w:rsid w:val="00010ABA"/>
    <w:rsid w:val="00010BDF"/>
    <w:rsid w:val="00010C07"/>
    <w:rsid w:val="00010E15"/>
    <w:rsid w:val="00010F57"/>
    <w:rsid w:val="0001100C"/>
    <w:rsid w:val="00011188"/>
    <w:rsid w:val="0001147D"/>
    <w:rsid w:val="0001217C"/>
    <w:rsid w:val="000124B2"/>
    <w:rsid w:val="00012555"/>
    <w:rsid w:val="00013322"/>
    <w:rsid w:val="00014236"/>
    <w:rsid w:val="000144CE"/>
    <w:rsid w:val="000145D3"/>
    <w:rsid w:val="000148F6"/>
    <w:rsid w:val="0001490D"/>
    <w:rsid w:val="00014B48"/>
    <w:rsid w:val="00014C07"/>
    <w:rsid w:val="00015217"/>
    <w:rsid w:val="0001564C"/>
    <w:rsid w:val="000159D2"/>
    <w:rsid w:val="00015E4B"/>
    <w:rsid w:val="00016264"/>
    <w:rsid w:val="0001626A"/>
    <w:rsid w:val="00016612"/>
    <w:rsid w:val="00016993"/>
    <w:rsid w:val="00016A83"/>
    <w:rsid w:val="00016B27"/>
    <w:rsid w:val="00016CAB"/>
    <w:rsid w:val="00016E5B"/>
    <w:rsid w:val="0001714B"/>
    <w:rsid w:val="0001733B"/>
    <w:rsid w:val="0001749B"/>
    <w:rsid w:val="00017504"/>
    <w:rsid w:val="000175D2"/>
    <w:rsid w:val="00017CFD"/>
    <w:rsid w:val="00017D75"/>
    <w:rsid w:val="00017FE5"/>
    <w:rsid w:val="0002029F"/>
    <w:rsid w:val="0002097B"/>
    <w:rsid w:val="000212B2"/>
    <w:rsid w:val="000213FD"/>
    <w:rsid w:val="000215CE"/>
    <w:rsid w:val="00021881"/>
    <w:rsid w:val="00021910"/>
    <w:rsid w:val="000219F3"/>
    <w:rsid w:val="000222AC"/>
    <w:rsid w:val="00022560"/>
    <w:rsid w:val="000229A5"/>
    <w:rsid w:val="00022E8D"/>
    <w:rsid w:val="0002323A"/>
    <w:rsid w:val="000233D2"/>
    <w:rsid w:val="0002348A"/>
    <w:rsid w:val="000239E5"/>
    <w:rsid w:val="00024708"/>
    <w:rsid w:val="00024B77"/>
    <w:rsid w:val="00024C54"/>
    <w:rsid w:val="00024EE7"/>
    <w:rsid w:val="000250F5"/>
    <w:rsid w:val="000254CD"/>
    <w:rsid w:val="0002597A"/>
    <w:rsid w:val="00025F96"/>
    <w:rsid w:val="00025FAB"/>
    <w:rsid w:val="00026292"/>
    <w:rsid w:val="00026E89"/>
    <w:rsid w:val="0002714E"/>
    <w:rsid w:val="00027367"/>
    <w:rsid w:val="000275A3"/>
    <w:rsid w:val="000275A4"/>
    <w:rsid w:val="000277E0"/>
    <w:rsid w:val="000279D8"/>
    <w:rsid w:val="000279E0"/>
    <w:rsid w:val="00027EAC"/>
    <w:rsid w:val="00030552"/>
    <w:rsid w:val="00030558"/>
    <w:rsid w:val="00030699"/>
    <w:rsid w:val="00030725"/>
    <w:rsid w:val="0003093C"/>
    <w:rsid w:val="0003099A"/>
    <w:rsid w:val="00030BF7"/>
    <w:rsid w:val="00030CD0"/>
    <w:rsid w:val="00030DB8"/>
    <w:rsid w:val="00030F42"/>
    <w:rsid w:val="00030FEA"/>
    <w:rsid w:val="00030FFC"/>
    <w:rsid w:val="00031082"/>
    <w:rsid w:val="00031668"/>
    <w:rsid w:val="000316DD"/>
    <w:rsid w:val="0003175C"/>
    <w:rsid w:val="00031826"/>
    <w:rsid w:val="0003184D"/>
    <w:rsid w:val="0003186F"/>
    <w:rsid w:val="00031A83"/>
    <w:rsid w:val="0003213A"/>
    <w:rsid w:val="00032162"/>
    <w:rsid w:val="00032520"/>
    <w:rsid w:val="000327EA"/>
    <w:rsid w:val="00032A81"/>
    <w:rsid w:val="00032D81"/>
    <w:rsid w:val="0003395E"/>
    <w:rsid w:val="00033F25"/>
    <w:rsid w:val="00033FF0"/>
    <w:rsid w:val="000340D8"/>
    <w:rsid w:val="00034145"/>
    <w:rsid w:val="0003427D"/>
    <w:rsid w:val="00034816"/>
    <w:rsid w:val="00034DFA"/>
    <w:rsid w:val="0003512B"/>
    <w:rsid w:val="000357ED"/>
    <w:rsid w:val="00035AA1"/>
    <w:rsid w:val="00035C61"/>
    <w:rsid w:val="00035E15"/>
    <w:rsid w:val="00035EAC"/>
    <w:rsid w:val="00036320"/>
    <w:rsid w:val="0003640E"/>
    <w:rsid w:val="0003688A"/>
    <w:rsid w:val="000368B2"/>
    <w:rsid w:val="000368FC"/>
    <w:rsid w:val="00036C9F"/>
    <w:rsid w:val="00036DA3"/>
    <w:rsid w:val="000373DE"/>
    <w:rsid w:val="000376F5"/>
    <w:rsid w:val="000379BF"/>
    <w:rsid w:val="00037B8C"/>
    <w:rsid w:val="00037BEC"/>
    <w:rsid w:val="00037EE1"/>
    <w:rsid w:val="000400D9"/>
    <w:rsid w:val="0004035C"/>
    <w:rsid w:val="00040860"/>
    <w:rsid w:val="00040B0D"/>
    <w:rsid w:val="00040CED"/>
    <w:rsid w:val="00040EA1"/>
    <w:rsid w:val="000412E8"/>
    <w:rsid w:val="0004165A"/>
    <w:rsid w:val="00041929"/>
    <w:rsid w:val="00041947"/>
    <w:rsid w:val="00041FE4"/>
    <w:rsid w:val="0004205F"/>
    <w:rsid w:val="00042177"/>
    <w:rsid w:val="00042202"/>
    <w:rsid w:val="000423C6"/>
    <w:rsid w:val="000424F7"/>
    <w:rsid w:val="00042EDB"/>
    <w:rsid w:val="0004350F"/>
    <w:rsid w:val="00043822"/>
    <w:rsid w:val="0004399E"/>
    <w:rsid w:val="00044081"/>
    <w:rsid w:val="000449C7"/>
    <w:rsid w:val="00044A50"/>
    <w:rsid w:val="00044B59"/>
    <w:rsid w:val="00044C65"/>
    <w:rsid w:val="00044D95"/>
    <w:rsid w:val="00044E78"/>
    <w:rsid w:val="00044EF2"/>
    <w:rsid w:val="00045010"/>
    <w:rsid w:val="000458C7"/>
    <w:rsid w:val="00045991"/>
    <w:rsid w:val="00045E5C"/>
    <w:rsid w:val="00046288"/>
    <w:rsid w:val="000464B7"/>
    <w:rsid w:val="0004664D"/>
    <w:rsid w:val="00046719"/>
    <w:rsid w:val="00046E6A"/>
    <w:rsid w:val="000471EC"/>
    <w:rsid w:val="000478B3"/>
    <w:rsid w:val="00047941"/>
    <w:rsid w:val="00047951"/>
    <w:rsid w:val="00047C53"/>
    <w:rsid w:val="000508CC"/>
    <w:rsid w:val="00050966"/>
    <w:rsid w:val="00050A22"/>
    <w:rsid w:val="00050A61"/>
    <w:rsid w:val="00050BB2"/>
    <w:rsid w:val="00050C49"/>
    <w:rsid w:val="00050DE6"/>
    <w:rsid w:val="00050E27"/>
    <w:rsid w:val="000511CE"/>
    <w:rsid w:val="000512A4"/>
    <w:rsid w:val="000512FA"/>
    <w:rsid w:val="0005144F"/>
    <w:rsid w:val="00051614"/>
    <w:rsid w:val="000517C3"/>
    <w:rsid w:val="00051AF1"/>
    <w:rsid w:val="00051D42"/>
    <w:rsid w:val="00051DDC"/>
    <w:rsid w:val="00052121"/>
    <w:rsid w:val="00052763"/>
    <w:rsid w:val="00052850"/>
    <w:rsid w:val="00052C99"/>
    <w:rsid w:val="00052FF0"/>
    <w:rsid w:val="000538A1"/>
    <w:rsid w:val="0005445C"/>
    <w:rsid w:val="000546C0"/>
    <w:rsid w:val="00054969"/>
    <w:rsid w:val="0005519E"/>
    <w:rsid w:val="00055375"/>
    <w:rsid w:val="000558B7"/>
    <w:rsid w:val="00055B3B"/>
    <w:rsid w:val="00055CD3"/>
    <w:rsid w:val="00055DC5"/>
    <w:rsid w:val="00056319"/>
    <w:rsid w:val="000564E7"/>
    <w:rsid w:val="00056770"/>
    <w:rsid w:val="00056F0A"/>
    <w:rsid w:val="00056F32"/>
    <w:rsid w:val="00057386"/>
    <w:rsid w:val="000579BA"/>
    <w:rsid w:val="00057EEF"/>
    <w:rsid w:val="000602F3"/>
    <w:rsid w:val="00060601"/>
    <w:rsid w:val="000606D9"/>
    <w:rsid w:val="000609A8"/>
    <w:rsid w:val="00060C5E"/>
    <w:rsid w:val="00060CEC"/>
    <w:rsid w:val="00060E31"/>
    <w:rsid w:val="000613C6"/>
    <w:rsid w:val="00061676"/>
    <w:rsid w:val="00061872"/>
    <w:rsid w:val="000619A6"/>
    <w:rsid w:val="000619CB"/>
    <w:rsid w:val="00061C13"/>
    <w:rsid w:val="0006210A"/>
    <w:rsid w:val="00062387"/>
    <w:rsid w:val="0006254B"/>
    <w:rsid w:val="00062771"/>
    <w:rsid w:val="00062A91"/>
    <w:rsid w:val="0006316F"/>
    <w:rsid w:val="000632E3"/>
    <w:rsid w:val="0006381F"/>
    <w:rsid w:val="0006398B"/>
    <w:rsid w:val="00063C63"/>
    <w:rsid w:val="000640F0"/>
    <w:rsid w:val="0006434D"/>
    <w:rsid w:val="000643A1"/>
    <w:rsid w:val="00064668"/>
    <w:rsid w:val="00064679"/>
    <w:rsid w:val="00064A13"/>
    <w:rsid w:val="00064AF4"/>
    <w:rsid w:val="00064C3A"/>
    <w:rsid w:val="00064DB1"/>
    <w:rsid w:val="00064F14"/>
    <w:rsid w:val="00065302"/>
    <w:rsid w:val="00065974"/>
    <w:rsid w:val="00065BA3"/>
    <w:rsid w:val="00065D3B"/>
    <w:rsid w:val="000667E9"/>
    <w:rsid w:val="0006705B"/>
    <w:rsid w:val="00067128"/>
    <w:rsid w:val="0006718A"/>
    <w:rsid w:val="000671DE"/>
    <w:rsid w:val="000675CD"/>
    <w:rsid w:val="00067872"/>
    <w:rsid w:val="000678AC"/>
    <w:rsid w:val="00067C7C"/>
    <w:rsid w:val="00067D6C"/>
    <w:rsid w:val="000703B2"/>
    <w:rsid w:val="00070464"/>
    <w:rsid w:val="000705E1"/>
    <w:rsid w:val="00070677"/>
    <w:rsid w:val="0007087D"/>
    <w:rsid w:val="00070C03"/>
    <w:rsid w:val="00070C78"/>
    <w:rsid w:val="00070FBF"/>
    <w:rsid w:val="000711EE"/>
    <w:rsid w:val="00071645"/>
    <w:rsid w:val="0007180E"/>
    <w:rsid w:val="000719CD"/>
    <w:rsid w:val="000719F7"/>
    <w:rsid w:val="00071AE4"/>
    <w:rsid w:val="00071CB5"/>
    <w:rsid w:val="00071CCB"/>
    <w:rsid w:val="00071CEA"/>
    <w:rsid w:val="00071D03"/>
    <w:rsid w:val="00071D89"/>
    <w:rsid w:val="0007220C"/>
    <w:rsid w:val="0007232B"/>
    <w:rsid w:val="00072448"/>
    <w:rsid w:val="00072B1B"/>
    <w:rsid w:val="00072C8C"/>
    <w:rsid w:val="00072CF9"/>
    <w:rsid w:val="000735A2"/>
    <w:rsid w:val="0007418F"/>
    <w:rsid w:val="000742B0"/>
    <w:rsid w:val="00074824"/>
    <w:rsid w:val="0007492F"/>
    <w:rsid w:val="0007517E"/>
    <w:rsid w:val="0007589F"/>
    <w:rsid w:val="00075E77"/>
    <w:rsid w:val="00075FE1"/>
    <w:rsid w:val="00076667"/>
    <w:rsid w:val="000766D3"/>
    <w:rsid w:val="00076C56"/>
    <w:rsid w:val="00077473"/>
    <w:rsid w:val="00077481"/>
    <w:rsid w:val="00077531"/>
    <w:rsid w:val="000776F9"/>
    <w:rsid w:val="00077EE0"/>
    <w:rsid w:val="000802F9"/>
    <w:rsid w:val="0008095E"/>
    <w:rsid w:val="00080AD8"/>
    <w:rsid w:val="00080C15"/>
    <w:rsid w:val="00080F73"/>
    <w:rsid w:val="00081382"/>
    <w:rsid w:val="0008143B"/>
    <w:rsid w:val="0008145A"/>
    <w:rsid w:val="0008162D"/>
    <w:rsid w:val="00081A8E"/>
    <w:rsid w:val="00081F67"/>
    <w:rsid w:val="00082433"/>
    <w:rsid w:val="000825EC"/>
    <w:rsid w:val="00082BD8"/>
    <w:rsid w:val="00082D62"/>
    <w:rsid w:val="000831C8"/>
    <w:rsid w:val="000834B4"/>
    <w:rsid w:val="000835A7"/>
    <w:rsid w:val="00083A06"/>
    <w:rsid w:val="00083DC2"/>
    <w:rsid w:val="00083F5E"/>
    <w:rsid w:val="000842AD"/>
    <w:rsid w:val="00084FDB"/>
    <w:rsid w:val="0008505C"/>
    <w:rsid w:val="000851D0"/>
    <w:rsid w:val="0008599C"/>
    <w:rsid w:val="00085B34"/>
    <w:rsid w:val="00085C46"/>
    <w:rsid w:val="000866DD"/>
    <w:rsid w:val="000867AD"/>
    <w:rsid w:val="000867C0"/>
    <w:rsid w:val="0008686A"/>
    <w:rsid w:val="00086D70"/>
    <w:rsid w:val="00087175"/>
    <w:rsid w:val="000877D2"/>
    <w:rsid w:val="00087941"/>
    <w:rsid w:val="00087D35"/>
    <w:rsid w:val="00087E33"/>
    <w:rsid w:val="00090AB9"/>
    <w:rsid w:val="00090B0C"/>
    <w:rsid w:val="0009140D"/>
    <w:rsid w:val="0009148E"/>
    <w:rsid w:val="00091796"/>
    <w:rsid w:val="00091799"/>
    <w:rsid w:val="00091A0C"/>
    <w:rsid w:val="00091BA2"/>
    <w:rsid w:val="00091C6B"/>
    <w:rsid w:val="00091CB0"/>
    <w:rsid w:val="00091ECA"/>
    <w:rsid w:val="00091EE6"/>
    <w:rsid w:val="000923A3"/>
    <w:rsid w:val="000935C4"/>
    <w:rsid w:val="000936E4"/>
    <w:rsid w:val="00093B32"/>
    <w:rsid w:val="00093CF4"/>
    <w:rsid w:val="00093D28"/>
    <w:rsid w:val="00094344"/>
    <w:rsid w:val="000945A3"/>
    <w:rsid w:val="00094D8F"/>
    <w:rsid w:val="0009536B"/>
    <w:rsid w:val="000953C6"/>
    <w:rsid w:val="000953F4"/>
    <w:rsid w:val="000955BF"/>
    <w:rsid w:val="000955C0"/>
    <w:rsid w:val="0009590C"/>
    <w:rsid w:val="000959E7"/>
    <w:rsid w:val="00095AA4"/>
    <w:rsid w:val="00095E7D"/>
    <w:rsid w:val="0009607A"/>
    <w:rsid w:val="000964DE"/>
    <w:rsid w:val="00096E28"/>
    <w:rsid w:val="00097024"/>
    <w:rsid w:val="000972AB"/>
    <w:rsid w:val="000975D0"/>
    <w:rsid w:val="00097B40"/>
    <w:rsid w:val="00097BE1"/>
    <w:rsid w:val="00097D0E"/>
    <w:rsid w:val="000A0633"/>
    <w:rsid w:val="000A0A54"/>
    <w:rsid w:val="000A0B43"/>
    <w:rsid w:val="000A0DC9"/>
    <w:rsid w:val="000A0E0A"/>
    <w:rsid w:val="000A10D0"/>
    <w:rsid w:val="000A126C"/>
    <w:rsid w:val="000A17EA"/>
    <w:rsid w:val="000A188A"/>
    <w:rsid w:val="000A1A0B"/>
    <w:rsid w:val="000A1C7A"/>
    <w:rsid w:val="000A1E62"/>
    <w:rsid w:val="000A1EC8"/>
    <w:rsid w:val="000A2345"/>
    <w:rsid w:val="000A2394"/>
    <w:rsid w:val="000A23A6"/>
    <w:rsid w:val="000A24B7"/>
    <w:rsid w:val="000A2B66"/>
    <w:rsid w:val="000A2FFA"/>
    <w:rsid w:val="000A31C1"/>
    <w:rsid w:val="000A3225"/>
    <w:rsid w:val="000A32C5"/>
    <w:rsid w:val="000A3411"/>
    <w:rsid w:val="000A34CA"/>
    <w:rsid w:val="000A362E"/>
    <w:rsid w:val="000A3C18"/>
    <w:rsid w:val="000A426F"/>
    <w:rsid w:val="000A4559"/>
    <w:rsid w:val="000A45FD"/>
    <w:rsid w:val="000A46EC"/>
    <w:rsid w:val="000A477B"/>
    <w:rsid w:val="000A4A42"/>
    <w:rsid w:val="000A53EA"/>
    <w:rsid w:val="000A558D"/>
    <w:rsid w:val="000A55BE"/>
    <w:rsid w:val="000A5611"/>
    <w:rsid w:val="000A563C"/>
    <w:rsid w:val="000A59C5"/>
    <w:rsid w:val="000A5DEA"/>
    <w:rsid w:val="000A5EBD"/>
    <w:rsid w:val="000A606A"/>
    <w:rsid w:val="000A6755"/>
    <w:rsid w:val="000A6BD0"/>
    <w:rsid w:val="000A6EAB"/>
    <w:rsid w:val="000A7144"/>
    <w:rsid w:val="000A7658"/>
    <w:rsid w:val="000A782F"/>
    <w:rsid w:val="000A7D66"/>
    <w:rsid w:val="000A7E17"/>
    <w:rsid w:val="000A7E36"/>
    <w:rsid w:val="000A7EDE"/>
    <w:rsid w:val="000A7F0F"/>
    <w:rsid w:val="000A7F4C"/>
    <w:rsid w:val="000B02BC"/>
    <w:rsid w:val="000B0498"/>
    <w:rsid w:val="000B0A05"/>
    <w:rsid w:val="000B0F36"/>
    <w:rsid w:val="000B0FA0"/>
    <w:rsid w:val="000B0FEA"/>
    <w:rsid w:val="000B17B7"/>
    <w:rsid w:val="000B1942"/>
    <w:rsid w:val="000B19B1"/>
    <w:rsid w:val="000B1BED"/>
    <w:rsid w:val="000B21FB"/>
    <w:rsid w:val="000B2240"/>
    <w:rsid w:val="000B2458"/>
    <w:rsid w:val="000B2477"/>
    <w:rsid w:val="000B2600"/>
    <w:rsid w:val="000B2726"/>
    <w:rsid w:val="000B2847"/>
    <w:rsid w:val="000B3232"/>
    <w:rsid w:val="000B3433"/>
    <w:rsid w:val="000B36F9"/>
    <w:rsid w:val="000B3816"/>
    <w:rsid w:val="000B3CEE"/>
    <w:rsid w:val="000B3D74"/>
    <w:rsid w:val="000B4028"/>
    <w:rsid w:val="000B4074"/>
    <w:rsid w:val="000B46DD"/>
    <w:rsid w:val="000B4732"/>
    <w:rsid w:val="000B4BCD"/>
    <w:rsid w:val="000B4DC1"/>
    <w:rsid w:val="000B50F1"/>
    <w:rsid w:val="000B5447"/>
    <w:rsid w:val="000B5E8C"/>
    <w:rsid w:val="000B5F6A"/>
    <w:rsid w:val="000B6036"/>
    <w:rsid w:val="000B6686"/>
    <w:rsid w:val="000B66DC"/>
    <w:rsid w:val="000B66FD"/>
    <w:rsid w:val="000B6D1F"/>
    <w:rsid w:val="000B6D9E"/>
    <w:rsid w:val="000B6DBB"/>
    <w:rsid w:val="000B6EA7"/>
    <w:rsid w:val="000C062F"/>
    <w:rsid w:val="000C06BF"/>
    <w:rsid w:val="000C0835"/>
    <w:rsid w:val="000C0AA2"/>
    <w:rsid w:val="000C0BF5"/>
    <w:rsid w:val="000C0C76"/>
    <w:rsid w:val="000C0E81"/>
    <w:rsid w:val="000C103F"/>
    <w:rsid w:val="000C1094"/>
    <w:rsid w:val="000C10FC"/>
    <w:rsid w:val="000C17E7"/>
    <w:rsid w:val="000C1AB0"/>
    <w:rsid w:val="000C1B75"/>
    <w:rsid w:val="000C1E39"/>
    <w:rsid w:val="000C2770"/>
    <w:rsid w:val="000C2C73"/>
    <w:rsid w:val="000C2EB6"/>
    <w:rsid w:val="000C315F"/>
    <w:rsid w:val="000C3270"/>
    <w:rsid w:val="000C3526"/>
    <w:rsid w:val="000C35DB"/>
    <w:rsid w:val="000C36B7"/>
    <w:rsid w:val="000C39AC"/>
    <w:rsid w:val="000C3A5E"/>
    <w:rsid w:val="000C3CFF"/>
    <w:rsid w:val="000C3D52"/>
    <w:rsid w:val="000C3EC9"/>
    <w:rsid w:val="000C55D1"/>
    <w:rsid w:val="000C5704"/>
    <w:rsid w:val="000C577E"/>
    <w:rsid w:val="000C5ADD"/>
    <w:rsid w:val="000C6254"/>
    <w:rsid w:val="000C69F4"/>
    <w:rsid w:val="000C6AB4"/>
    <w:rsid w:val="000C6F5C"/>
    <w:rsid w:val="000C7ECA"/>
    <w:rsid w:val="000D01DD"/>
    <w:rsid w:val="000D04BA"/>
    <w:rsid w:val="000D0852"/>
    <w:rsid w:val="000D0A41"/>
    <w:rsid w:val="000D0B61"/>
    <w:rsid w:val="000D0B6E"/>
    <w:rsid w:val="000D0D65"/>
    <w:rsid w:val="000D0D7F"/>
    <w:rsid w:val="000D12E0"/>
    <w:rsid w:val="000D1944"/>
    <w:rsid w:val="000D1DB5"/>
    <w:rsid w:val="000D1DD9"/>
    <w:rsid w:val="000D1E14"/>
    <w:rsid w:val="000D1F18"/>
    <w:rsid w:val="000D1F8A"/>
    <w:rsid w:val="000D2172"/>
    <w:rsid w:val="000D23B9"/>
    <w:rsid w:val="000D293C"/>
    <w:rsid w:val="000D2BC1"/>
    <w:rsid w:val="000D2C84"/>
    <w:rsid w:val="000D337B"/>
    <w:rsid w:val="000D33E2"/>
    <w:rsid w:val="000D385A"/>
    <w:rsid w:val="000D38C2"/>
    <w:rsid w:val="000D3CA7"/>
    <w:rsid w:val="000D3E01"/>
    <w:rsid w:val="000D44C4"/>
    <w:rsid w:val="000D462C"/>
    <w:rsid w:val="000D4A63"/>
    <w:rsid w:val="000D5143"/>
    <w:rsid w:val="000D52E7"/>
    <w:rsid w:val="000D53CC"/>
    <w:rsid w:val="000D5715"/>
    <w:rsid w:val="000D5B16"/>
    <w:rsid w:val="000D5BB4"/>
    <w:rsid w:val="000D5FD6"/>
    <w:rsid w:val="000D6201"/>
    <w:rsid w:val="000D6488"/>
    <w:rsid w:val="000D6B89"/>
    <w:rsid w:val="000D7088"/>
    <w:rsid w:val="000D7258"/>
    <w:rsid w:val="000D73AD"/>
    <w:rsid w:val="000D770B"/>
    <w:rsid w:val="000D77A6"/>
    <w:rsid w:val="000D788E"/>
    <w:rsid w:val="000D795D"/>
    <w:rsid w:val="000E01B9"/>
    <w:rsid w:val="000E024A"/>
    <w:rsid w:val="000E0A8E"/>
    <w:rsid w:val="000E0DE2"/>
    <w:rsid w:val="000E0F2F"/>
    <w:rsid w:val="000E12B0"/>
    <w:rsid w:val="000E14D7"/>
    <w:rsid w:val="000E173A"/>
    <w:rsid w:val="000E1B4B"/>
    <w:rsid w:val="000E1BC8"/>
    <w:rsid w:val="000E1C62"/>
    <w:rsid w:val="000E1D32"/>
    <w:rsid w:val="000E1E7B"/>
    <w:rsid w:val="000E1F5F"/>
    <w:rsid w:val="000E21D1"/>
    <w:rsid w:val="000E2671"/>
    <w:rsid w:val="000E26D8"/>
    <w:rsid w:val="000E28B1"/>
    <w:rsid w:val="000E2A94"/>
    <w:rsid w:val="000E2B94"/>
    <w:rsid w:val="000E2C50"/>
    <w:rsid w:val="000E2D5E"/>
    <w:rsid w:val="000E2FE4"/>
    <w:rsid w:val="000E3156"/>
    <w:rsid w:val="000E323E"/>
    <w:rsid w:val="000E35B6"/>
    <w:rsid w:val="000E3A7C"/>
    <w:rsid w:val="000E3A9C"/>
    <w:rsid w:val="000E3BB8"/>
    <w:rsid w:val="000E3C6A"/>
    <w:rsid w:val="000E3D9B"/>
    <w:rsid w:val="000E3DFD"/>
    <w:rsid w:val="000E3F46"/>
    <w:rsid w:val="000E4261"/>
    <w:rsid w:val="000E43D9"/>
    <w:rsid w:val="000E463E"/>
    <w:rsid w:val="000E4697"/>
    <w:rsid w:val="000E4A49"/>
    <w:rsid w:val="000E4BB2"/>
    <w:rsid w:val="000E4E3E"/>
    <w:rsid w:val="000E4F6C"/>
    <w:rsid w:val="000E4FCC"/>
    <w:rsid w:val="000E50CE"/>
    <w:rsid w:val="000E51BB"/>
    <w:rsid w:val="000E565E"/>
    <w:rsid w:val="000E58B6"/>
    <w:rsid w:val="000E58C5"/>
    <w:rsid w:val="000E59A0"/>
    <w:rsid w:val="000E5B56"/>
    <w:rsid w:val="000E5D76"/>
    <w:rsid w:val="000E6203"/>
    <w:rsid w:val="000E641E"/>
    <w:rsid w:val="000E645D"/>
    <w:rsid w:val="000E64CB"/>
    <w:rsid w:val="000E6A5F"/>
    <w:rsid w:val="000E6B05"/>
    <w:rsid w:val="000E6B8F"/>
    <w:rsid w:val="000E6D80"/>
    <w:rsid w:val="000E7143"/>
    <w:rsid w:val="000E722C"/>
    <w:rsid w:val="000E73D7"/>
    <w:rsid w:val="000E755B"/>
    <w:rsid w:val="000E75C5"/>
    <w:rsid w:val="000E7738"/>
    <w:rsid w:val="000E786F"/>
    <w:rsid w:val="000E7ACD"/>
    <w:rsid w:val="000E7DA7"/>
    <w:rsid w:val="000E7FA0"/>
    <w:rsid w:val="000F00BA"/>
    <w:rsid w:val="000F0206"/>
    <w:rsid w:val="000F02F8"/>
    <w:rsid w:val="000F0409"/>
    <w:rsid w:val="000F049F"/>
    <w:rsid w:val="000F0642"/>
    <w:rsid w:val="000F07FA"/>
    <w:rsid w:val="000F09BC"/>
    <w:rsid w:val="000F0B5E"/>
    <w:rsid w:val="000F1178"/>
    <w:rsid w:val="000F1D43"/>
    <w:rsid w:val="000F1FFF"/>
    <w:rsid w:val="000F20AA"/>
    <w:rsid w:val="000F2266"/>
    <w:rsid w:val="000F2633"/>
    <w:rsid w:val="000F2651"/>
    <w:rsid w:val="000F2DCB"/>
    <w:rsid w:val="000F3410"/>
    <w:rsid w:val="000F348D"/>
    <w:rsid w:val="000F369A"/>
    <w:rsid w:val="000F3762"/>
    <w:rsid w:val="000F3863"/>
    <w:rsid w:val="000F4463"/>
    <w:rsid w:val="000F4479"/>
    <w:rsid w:val="000F4831"/>
    <w:rsid w:val="000F4AD4"/>
    <w:rsid w:val="000F4FE2"/>
    <w:rsid w:val="000F51C5"/>
    <w:rsid w:val="000F5285"/>
    <w:rsid w:val="000F52E0"/>
    <w:rsid w:val="000F531D"/>
    <w:rsid w:val="000F53A9"/>
    <w:rsid w:val="000F560A"/>
    <w:rsid w:val="000F5A9B"/>
    <w:rsid w:val="000F5E24"/>
    <w:rsid w:val="000F6246"/>
    <w:rsid w:val="000F62AE"/>
    <w:rsid w:val="000F63BE"/>
    <w:rsid w:val="000F6464"/>
    <w:rsid w:val="000F6628"/>
    <w:rsid w:val="000F673A"/>
    <w:rsid w:val="000F6ADB"/>
    <w:rsid w:val="000F6B54"/>
    <w:rsid w:val="000F6C25"/>
    <w:rsid w:val="000F6D5B"/>
    <w:rsid w:val="000F6E51"/>
    <w:rsid w:val="000F6F31"/>
    <w:rsid w:val="000F72D7"/>
    <w:rsid w:val="000F76EB"/>
    <w:rsid w:val="000F78AE"/>
    <w:rsid w:val="000F78E4"/>
    <w:rsid w:val="000F7B78"/>
    <w:rsid w:val="000F7E25"/>
    <w:rsid w:val="0010011E"/>
    <w:rsid w:val="0010022F"/>
    <w:rsid w:val="001004EB"/>
    <w:rsid w:val="00100579"/>
    <w:rsid w:val="0010075E"/>
    <w:rsid w:val="001007EE"/>
    <w:rsid w:val="00100A37"/>
    <w:rsid w:val="00100F76"/>
    <w:rsid w:val="0010109B"/>
    <w:rsid w:val="0010148E"/>
    <w:rsid w:val="0010159D"/>
    <w:rsid w:val="0010253C"/>
    <w:rsid w:val="00102B96"/>
    <w:rsid w:val="00102BAC"/>
    <w:rsid w:val="00102BD1"/>
    <w:rsid w:val="00102FEA"/>
    <w:rsid w:val="0010312E"/>
    <w:rsid w:val="0010373B"/>
    <w:rsid w:val="00103AFD"/>
    <w:rsid w:val="0010486A"/>
    <w:rsid w:val="00104AFA"/>
    <w:rsid w:val="00104C5F"/>
    <w:rsid w:val="00104D15"/>
    <w:rsid w:val="00104FED"/>
    <w:rsid w:val="001052AE"/>
    <w:rsid w:val="0010548E"/>
    <w:rsid w:val="00105590"/>
    <w:rsid w:val="0010561C"/>
    <w:rsid w:val="00105A26"/>
    <w:rsid w:val="00105C0B"/>
    <w:rsid w:val="00105C0F"/>
    <w:rsid w:val="00105E39"/>
    <w:rsid w:val="0010607C"/>
    <w:rsid w:val="0010608C"/>
    <w:rsid w:val="0010613F"/>
    <w:rsid w:val="001061D1"/>
    <w:rsid w:val="00106561"/>
    <w:rsid w:val="001067B7"/>
    <w:rsid w:val="00106891"/>
    <w:rsid w:val="00106A23"/>
    <w:rsid w:val="00106AA0"/>
    <w:rsid w:val="00106D63"/>
    <w:rsid w:val="00107048"/>
    <w:rsid w:val="001070D6"/>
    <w:rsid w:val="00107435"/>
    <w:rsid w:val="001075F3"/>
    <w:rsid w:val="00107984"/>
    <w:rsid w:val="00107A01"/>
    <w:rsid w:val="00107A64"/>
    <w:rsid w:val="00107C0F"/>
    <w:rsid w:val="00107C23"/>
    <w:rsid w:val="00107E15"/>
    <w:rsid w:val="00110307"/>
    <w:rsid w:val="00110771"/>
    <w:rsid w:val="001107FD"/>
    <w:rsid w:val="00110C7F"/>
    <w:rsid w:val="00110EE2"/>
    <w:rsid w:val="00111A88"/>
    <w:rsid w:val="00111C95"/>
    <w:rsid w:val="00111CAF"/>
    <w:rsid w:val="00111FB5"/>
    <w:rsid w:val="0011221A"/>
    <w:rsid w:val="001124D9"/>
    <w:rsid w:val="0011286A"/>
    <w:rsid w:val="0011299A"/>
    <w:rsid w:val="00113283"/>
    <w:rsid w:val="001134E2"/>
    <w:rsid w:val="001135F0"/>
    <w:rsid w:val="001137AE"/>
    <w:rsid w:val="00113B20"/>
    <w:rsid w:val="00113E20"/>
    <w:rsid w:val="0011464E"/>
    <w:rsid w:val="001147B3"/>
    <w:rsid w:val="001148F7"/>
    <w:rsid w:val="001149B2"/>
    <w:rsid w:val="00114A6B"/>
    <w:rsid w:val="00114A6F"/>
    <w:rsid w:val="00114BE9"/>
    <w:rsid w:val="00114C2D"/>
    <w:rsid w:val="00114CCA"/>
    <w:rsid w:val="00114D73"/>
    <w:rsid w:val="00114DA0"/>
    <w:rsid w:val="00115125"/>
    <w:rsid w:val="0011517E"/>
    <w:rsid w:val="001152F2"/>
    <w:rsid w:val="001154AF"/>
    <w:rsid w:val="00115761"/>
    <w:rsid w:val="001157D7"/>
    <w:rsid w:val="001159CF"/>
    <w:rsid w:val="001159E2"/>
    <w:rsid w:val="00115ACD"/>
    <w:rsid w:val="001161A4"/>
    <w:rsid w:val="00116382"/>
    <w:rsid w:val="00116484"/>
    <w:rsid w:val="00116495"/>
    <w:rsid w:val="00116523"/>
    <w:rsid w:val="00116ACF"/>
    <w:rsid w:val="00116D5C"/>
    <w:rsid w:val="00116F7F"/>
    <w:rsid w:val="0011726B"/>
    <w:rsid w:val="001172B2"/>
    <w:rsid w:val="00117DB6"/>
    <w:rsid w:val="00117F9B"/>
    <w:rsid w:val="00120341"/>
    <w:rsid w:val="001208AD"/>
    <w:rsid w:val="00120DFE"/>
    <w:rsid w:val="00120E59"/>
    <w:rsid w:val="00120ECF"/>
    <w:rsid w:val="00121001"/>
    <w:rsid w:val="001210EF"/>
    <w:rsid w:val="00121211"/>
    <w:rsid w:val="00121246"/>
    <w:rsid w:val="00121628"/>
    <w:rsid w:val="0012167D"/>
    <w:rsid w:val="00121723"/>
    <w:rsid w:val="00121B29"/>
    <w:rsid w:val="00121B6C"/>
    <w:rsid w:val="00121CD5"/>
    <w:rsid w:val="00121D15"/>
    <w:rsid w:val="00122189"/>
    <w:rsid w:val="00122280"/>
    <w:rsid w:val="001222DC"/>
    <w:rsid w:val="00122455"/>
    <w:rsid w:val="00122AC7"/>
    <w:rsid w:val="00122D42"/>
    <w:rsid w:val="001232FF"/>
    <w:rsid w:val="00123345"/>
    <w:rsid w:val="0012355B"/>
    <w:rsid w:val="00123B83"/>
    <w:rsid w:val="00123C46"/>
    <w:rsid w:val="00123FBC"/>
    <w:rsid w:val="00124075"/>
    <w:rsid w:val="00124569"/>
    <w:rsid w:val="0012470B"/>
    <w:rsid w:val="001247A4"/>
    <w:rsid w:val="00125795"/>
    <w:rsid w:val="001259BE"/>
    <w:rsid w:val="00125C75"/>
    <w:rsid w:val="00125C7E"/>
    <w:rsid w:val="00126069"/>
    <w:rsid w:val="00126222"/>
    <w:rsid w:val="00126585"/>
    <w:rsid w:val="0012683E"/>
    <w:rsid w:val="0012699D"/>
    <w:rsid w:val="00126BEE"/>
    <w:rsid w:val="00126CFA"/>
    <w:rsid w:val="00126D73"/>
    <w:rsid w:val="00127410"/>
    <w:rsid w:val="001275AF"/>
    <w:rsid w:val="00127945"/>
    <w:rsid w:val="00127B63"/>
    <w:rsid w:val="00127B99"/>
    <w:rsid w:val="00127D94"/>
    <w:rsid w:val="00127E90"/>
    <w:rsid w:val="001302C1"/>
    <w:rsid w:val="001306D3"/>
    <w:rsid w:val="00130C73"/>
    <w:rsid w:val="00130FBE"/>
    <w:rsid w:val="001310BF"/>
    <w:rsid w:val="001312C0"/>
    <w:rsid w:val="001317FE"/>
    <w:rsid w:val="00131914"/>
    <w:rsid w:val="00131D85"/>
    <w:rsid w:val="00132287"/>
    <w:rsid w:val="00132702"/>
    <w:rsid w:val="00132704"/>
    <w:rsid w:val="0013271B"/>
    <w:rsid w:val="00132D51"/>
    <w:rsid w:val="00132E6F"/>
    <w:rsid w:val="00132E72"/>
    <w:rsid w:val="00132ED1"/>
    <w:rsid w:val="00133035"/>
    <w:rsid w:val="001330E3"/>
    <w:rsid w:val="0013373E"/>
    <w:rsid w:val="001338FD"/>
    <w:rsid w:val="00133C7D"/>
    <w:rsid w:val="00133CD9"/>
    <w:rsid w:val="00133E73"/>
    <w:rsid w:val="00133FDB"/>
    <w:rsid w:val="00134337"/>
    <w:rsid w:val="00134C14"/>
    <w:rsid w:val="00134F42"/>
    <w:rsid w:val="00134F4A"/>
    <w:rsid w:val="001354D4"/>
    <w:rsid w:val="00135E4E"/>
    <w:rsid w:val="00136246"/>
    <w:rsid w:val="0013633D"/>
    <w:rsid w:val="001364D4"/>
    <w:rsid w:val="001367FD"/>
    <w:rsid w:val="00136DE5"/>
    <w:rsid w:val="001371C8"/>
    <w:rsid w:val="001372ED"/>
    <w:rsid w:val="00137ABC"/>
    <w:rsid w:val="00137B02"/>
    <w:rsid w:val="00137E3A"/>
    <w:rsid w:val="001407BA"/>
    <w:rsid w:val="001410E8"/>
    <w:rsid w:val="00141574"/>
    <w:rsid w:val="001416BF"/>
    <w:rsid w:val="001417AC"/>
    <w:rsid w:val="0014208D"/>
    <w:rsid w:val="001422A3"/>
    <w:rsid w:val="0014279B"/>
    <w:rsid w:val="00142B50"/>
    <w:rsid w:val="00142E8C"/>
    <w:rsid w:val="00143540"/>
    <w:rsid w:val="00143732"/>
    <w:rsid w:val="00143741"/>
    <w:rsid w:val="00143873"/>
    <w:rsid w:val="001439E9"/>
    <w:rsid w:val="00143C55"/>
    <w:rsid w:val="00144C6F"/>
    <w:rsid w:val="00144E03"/>
    <w:rsid w:val="00145089"/>
    <w:rsid w:val="001451E7"/>
    <w:rsid w:val="001455AA"/>
    <w:rsid w:val="0014572C"/>
    <w:rsid w:val="001457D7"/>
    <w:rsid w:val="00145F1D"/>
    <w:rsid w:val="00145FDF"/>
    <w:rsid w:val="001462E3"/>
    <w:rsid w:val="001467A5"/>
    <w:rsid w:val="00146AB3"/>
    <w:rsid w:val="00146E61"/>
    <w:rsid w:val="00146ED6"/>
    <w:rsid w:val="00147058"/>
    <w:rsid w:val="0014720C"/>
    <w:rsid w:val="001472BE"/>
    <w:rsid w:val="001472C2"/>
    <w:rsid w:val="00147458"/>
    <w:rsid w:val="001474DC"/>
    <w:rsid w:val="001475BE"/>
    <w:rsid w:val="00147C7C"/>
    <w:rsid w:val="00147E21"/>
    <w:rsid w:val="00147FB5"/>
    <w:rsid w:val="00150265"/>
    <w:rsid w:val="00150804"/>
    <w:rsid w:val="00150BA8"/>
    <w:rsid w:val="00150D19"/>
    <w:rsid w:val="00150D20"/>
    <w:rsid w:val="001513FA"/>
    <w:rsid w:val="0015172E"/>
    <w:rsid w:val="0015181B"/>
    <w:rsid w:val="0015195E"/>
    <w:rsid w:val="00151A9F"/>
    <w:rsid w:val="001526AD"/>
    <w:rsid w:val="001526F7"/>
    <w:rsid w:val="001528DD"/>
    <w:rsid w:val="001529C7"/>
    <w:rsid w:val="00152B87"/>
    <w:rsid w:val="00152E4F"/>
    <w:rsid w:val="00152FC1"/>
    <w:rsid w:val="001533E6"/>
    <w:rsid w:val="001537CD"/>
    <w:rsid w:val="0015395C"/>
    <w:rsid w:val="00153A96"/>
    <w:rsid w:val="00153D1C"/>
    <w:rsid w:val="00153E97"/>
    <w:rsid w:val="00154036"/>
    <w:rsid w:val="001540D8"/>
    <w:rsid w:val="0015412F"/>
    <w:rsid w:val="001543E2"/>
    <w:rsid w:val="001544A9"/>
    <w:rsid w:val="0015483F"/>
    <w:rsid w:val="00154844"/>
    <w:rsid w:val="00154A06"/>
    <w:rsid w:val="0015542A"/>
    <w:rsid w:val="001557D9"/>
    <w:rsid w:val="00155825"/>
    <w:rsid w:val="00155B43"/>
    <w:rsid w:val="00155D3B"/>
    <w:rsid w:val="00155FA3"/>
    <w:rsid w:val="00155FBB"/>
    <w:rsid w:val="0015631A"/>
    <w:rsid w:val="001565A2"/>
    <w:rsid w:val="00156730"/>
    <w:rsid w:val="001567C3"/>
    <w:rsid w:val="00156820"/>
    <w:rsid w:val="00156A12"/>
    <w:rsid w:val="00156A75"/>
    <w:rsid w:val="00156EB0"/>
    <w:rsid w:val="00157B3F"/>
    <w:rsid w:val="00157D98"/>
    <w:rsid w:val="00157E5E"/>
    <w:rsid w:val="00157F8A"/>
    <w:rsid w:val="001606FC"/>
    <w:rsid w:val="0016076F"/>
    <w:rsid w:val="00160C3D"/>
    <w:rsid w:val="00160DE8"/>
    <w:rsid w:val="00161B24"/>
    <w:rsid w:val="00161C41"/>
    <w:rsid w:val="00161DD5"/>
    <w:rsid w:val="00161DF6"/>
    <w:rsid w:val="0016296D"/>
    <w:rsid w:val="00162C79"/>
    <w:rsid w:val="00162EC6"/>
    <w:rsid w:val="001633A4"/>
    <w:rsid w:val="0016341D"/>
    <w:rsid w:val="001634D6"/>
    <w:rsid w:val="00163A1C"/>
    <w:rsid w:val="00163E51"/>
    <w:rsid w:val="001640BB"/>
    <w:rsid w:val="00164118"/>
    <w:rsid w:val="001648DD"/>
    <w:rsid w:val="00164A4C"/>
    <w:rsid w:val="0016510B"/>
    <w:rsid w:val="00165705"/>
    <w:rsid w:val="001657E2"/>
    <w:rsid w:val="001659BF"/>
    <w:rsid w:val="00166389"/>
    <w:rsid w:val="00166526"/>
    <w:rsid w:val="00166E03"/>
    <w:rsid w:val="0016730A"/>
    <w:rsid w:val="00167791"/>
    <w:rsid w:val="00167CD2"/>
    <w:rsid w:val="00167DCB"/>
    <w:rsid w:val="00167E4C"/>
    <w:rsid w:val="001700A3"/>
    <w:rsid w:val="00170268"/>
    <w:rsid w:val="0017080A"/>
    <w:rsid w:val="00170E96"/>
    <w:rsid w:val="00170F9D"/>
    <w:rsid w:val="00171449"/>
    <w:rsid w:val="0017157E"/>
    <w:rsid w:val="0017199C"/>
    <w:rsid w:val="001719EE"/>
    <w:rsid w:val="00171A9A"/>
    <w:rsid w:val="00171C16"/>
    <w:rsid w:val="00171C7E"/>
    <w:rsid w:val="00171F35"/>
    <w:rsid w:val="001720E8"/>
    <w:rsid w:val="0017245E"/>
    <w:rsid w:val="00172552"/>
    <w:rsid w:val="00172794"/>
    <w:rsid w:val="00172873"/>
    <w:rsid w:val="00172CF7"/>
    <w:rsid w:val="0017300A"/>
    <w:rsid w:val="0017300D"/>
    <w:rsid w:val="0017319E"/>
    <w:rsid w:val="00173A1F"/>
    <w:rsid w:val="00173B37"/>
    <w:rsid w:val="00173BC3"/>
    <w:rsid w:val="00174128"/>
    <w:rsid w:val="001744DD"/>
    <w:rsid w:val="001748AB"/>
    <w:rsid w:val="00174954"/>
    <w:rsid w:val="00175100"/>
    <w:rsid w:val="001752AA"/>
    <w:rsid w:val="00175790"/>
    <w:rsid w:val="00175C34"/>
    <w:rsid w:val="00175CD6"/>
    <w:rsid w:val="00175D0D"/>
    <w:rsid w:val="00175F9A"/>
    <w:rsid w:val="00176169"/>
    <w:rsid w:val="0017661C"/>
    <w:rsid w:val="00176AB3"/>
    <w:rsid w:val="00176E98"/>
    <w:rsid w:val="00176FFA"/>
    <w:rsid w:val="00177265"/>
    <w:rsid w:val="001774EC"/>
    <w:rsid w:val="001778A0"/>
    <w:rsid w:val="00177996"/>
    <w:rsid w:val="00177B56"/>
    <w:rsid w:val="00177F06"/>
    <w:rsid w:val="00177FBD"/>
    <w:rsid w:val="00180180"/>
    <w:rsid w:val="0018032E"/>
    <w:rsid w:val="00180AD2"/>
    <w:rsid w:val="00180B3F"/>
    <w:rsid w:val="00180C83"/>
    <w:rsid w:val="00180CE5"/>
    <w:rsid w:val="00181228"/>
    <w:rsid w:val="00181688"/>
    <w:rsid w:val="0018175B"/>
    <w:rsid w:val="00181F2E"/>
    <w:rsid w:val="001820A3"/>
    <w:rsid w:val="00182C6F"/>
    <w:rsid w:val="00182E2E"/>
    <w:rsid w:val="0018332A"/>
    <w:rsid w:val="001835A9"/>
    <w:rsid w:val="00183676"/>
    <w:rsid w:val="001837BA"/>
    <w:rsid w:val="0018393D"/>
    <w:rsid w:val="00183D80"/>
    <w:rsid w:val="001841C8"/>
    <w:rsid w:val="001842C8"/>
    <w:rsid w:val="00184568"/>
    <w:rsid w:val="0018458D"/>
    <w:rsid w:val="00184623"/>
    <w:rsid w:val="00184D33"/>
    <w:rsid w:val="0018500A"/>
    <w:rsid w:val="00185044"/>
    <w:rsid w:val="001850DB"/>
    <w:rsid w:val="0018518C"/>
    <w:rsid w:val="001854C4"/>
    <w:rsid w:val="0018599C"/>
    <w:rsid w:val="00185B40"/>
    <w:rsid w:val="00185BA7"/>
    <w:rsid w:val="00185FDB"/>
    <w:rsid w:val="001864EE"/>
    <w:rsid w:val="0018671B"/>
    <w:rsid w:val="00186785"/>
    <w:rsid w:val="001868BE"/>
    <w:rsid w:val="00186906"/>
    <w:rsid w:val="001869EE"/>
    <w:rsid w:val="00186D00"/>
    <w:rsid w:val="00186FF7"/>
    <w:rsid w:val="00187170"/>
    <w:rsid w:val="0018721B"/>
    <w:rsid w:val="001872C7"/>
    <w:rsid w:val="0018743A"/>
    <w:rsid w:val="0018765B"/>
    <w:rsid w:val="00187760"/>
    <w:rsid w:val="0019009A"/>
    <w:rsid w:val="0019011B"/>
    <w:rsid w:val="001906F9"/>
    <w:rsid w:val="00190801"/>
    <w:rsid w:val="00190A57"/>
    <w:rsid w:val="00190AF7"/>
    <w:rsid w:val="00190B3F"/>
    <w:rsid w:val="00190CF5"/>
    <w:rsid w:val="00190CFC"/>
    <w:rsid w:val="0019122C"/>
    <w:rsid w:val="00191660"/>
    <w:rsid w:val="00191908"/>
    <w:rsid w:val="00191A41"/>
    <w:rsid w:val="00191F29"/>
    <w:rsid w:val="00191FF0"/>
    <w:rsid w:val="001920BC"/>
    <w:rsid w:val="00192DF3"/>
    <w:rsid w:val="0019301F"/>
    <w:rsid w:val="00193286"/>
    <w:rsid w:val="001934D1"/>
    <w:rsid w:val="001937B8"/>
    <w:rsid w:val="001938C9"/>
    <w:rsid w:val="00193BA0"/>
    <w:rsid w:val="00193D1C"/>
    <w:rsid w:val="00194639"/>
    <w:rsid w:val="00194793"/>
    <w:rsid w:val="001947FD"/>
    <w:rsid w:val="00194BB7"/>
    <w:rsid w:val="00194CC5"/>
    <w:rsid w:val="001951B2"/>
    <w:rsid w:val="00195618"/>
    <w:rsid w:val="0019565D"/>
    <w:rsid w:val="00195661"/>
    <w:rsid w:val="00195935"/>
    <w:rsid w:val="00195AB6"/>
    <w:rsid w:val="0019624B"/>
    <w:rsid w:val="00196C62"/>
    <w:rsid w:val="00197051"/>
    <w:rsid w:val="00197339"/>
    <w:rsid w:val="001973BF"/>
    <w:rsid w:val="00197564"/>
    <w:rsid w:val="00197C81"/>
    <w:rsid w:val="00197EC2"/>
    <w:rsid w:val="00197ECE"/>
    <w:rsid w:val="001A03C7"/>
    <w:rsid w:val="001A04C7"/>
    <w:rsid w:val="001A05A8"/>
    <w:rsid w:val="001A0702"/>
    <w:rsid w:val="001A0AD0"/>
    <w:rsid w:val="001A0DFF"/>
    <w:rsid w:val="001A0EA7"/>
    <w:rsid w:val="001A1B61"/>
    <w:rsid w:val="001A1CED"/>
    <w:rsid w:val="001A2301"/>
    <w:rsid w:val="001A248B"/>
    <w:rsid w:val="001A279B"/>
    <w:rsid w:val="001A2A10"/>
    <w:rsid w:val="001A2D90"/>
    <w:rsid w:val="001A2D91"/>
    <w:rsid w:val="001A2DC3"/>
    <w:rsid w:val="001A2E87"/>
    <w:rsid w:val="001A2EC5"/>
    <w:rsid w:val="001A3188"/>
    <w:rsid w:val="001A338C"/>
    <w:rsid w:val="001A3453"/>
    <w:rsid w:val="001A3869"/>
    <w:rsid w:val="001A38C2"/>
    <w:rsid w:val="001A395B"/>
    <w:rsid w:val="001A4006"/>
    <w:rsid w:val="001A403A"/>
    <w:rsid w:val="001A41A0"/>
    <w:rsid w:val="001A471A"/>
    <w:rsid w:val="001A4A6C"/>
    <w:rsid w:val="001A4AEE"/>
    <w:rsid w:val="001A508D"/>
    <w:rsid w:val="001A5408"/>
    <w:rsid w:val="001A5564"/>
    <w:rsid w:val="001A5B6C"/>
    <w:rsid w:val="001A5D3E"/>
    <w:rsid w:val="001A5DB0"/>
    <w:rsid w:val="001A6527"/>
    <w:rsid w:val="001A65C8"/>
    <w:rsid w:val="001A67A3"/>
    <w:rsid w:val="001A696F"/>
    <w:rsid w:val="001A6C00"/>
    <w:rsid w:val="001A707A"/>
    <w:rsid w:val="001A7304"/>
    <w:rsid w:val="001A732E"/>
    <w:rsid w:val="001A78A5"/>
    <w:rsid w:val="001A78CA"/>
    <w:rsid w:val="001A7F30"/>
    <w:rsid w:val="001A7FAA"/>
    <w:rsid w:val="001B050F"/>
    <w:rsid w:val="001B0549"/>
    <w:rsid w:val="001B06E2"/>
    <w:rsid w:val="001B082D"/>
    <w:rsid w:val="001B09DE"/>
    <w:rsid w:val="001B0AB5"/>
    <w:rsid w:val="001B0BAF"/>
    <w:rsid w:val="001B0F7E"/>
    <w:rsid w:val="001B103A"/>
    <w:rsid w:val="001B103D"/>
    <w:rsid w:val="001B115B"/>
    <w:rsid w:val="001B1422"/>
    <w:rsid w:val="001B14F6"/>
    <w:rsid w:val="001B1513"/>
    <w:rsid w:val="001B1767"/>
    <w:rsid w:val="001B2363"/>
    <w:rsid w:val="001B2453"/>
    <w:rsid w:val="001B268F"/>
    <w:rsid w:val="001B2920"/>
    <w:rsid w:val="001B2A20"/>
    <w:rsid w:val="001B2D13"/>
    <w:rsid w:val="001B2EEF"/>
    <w:rsid w:val="001B2F2C"/>
    <w:rsid w:val="001B326D"/>
    <w:rsid w:val="001B361D"/>
    <w:rsid w:val="001B374C"/>
    <w:rsid w:val="001B3A59"/>
    <w:rsid w:val="001B3CFE"/>
    <w:rsid w:val="001B3D48"/>
    <w:rsid w:val="001B4380"/>
    <w:rsid w:val="001B4833"/>
    <w:rsid w:val="001B4991"/>
    <w:rsid w:val="001B5181"/>
    <w:rsid w:val="001B537E"/>
    <w:rsid w:val="001B5A14"/>
    <w:rsid w:val="001B5AF1"/>
    <w:rsid w:val="001B5AF9"/>
    <w:rsid w:val="001B60B3"/>
    <w:rsid w:val="001B6192"/>
    <w:rsid w:val="001B6368"/>
    <w:rsid w:val="001B63CA"/>
    <w:rsid w:val="001B6600"/>
    <w:rsid w:val="001B68E6"/>
    <w:rsid w:val="001B6B9B"/>
    <w:rsid w:val="001B6BB9"/>
    <w:rsid w:val="001B6C27"/>
    <w:rsid w:val="001B7144"/>
    <w:rsid w:val="001B7B7D"/>
    <w:rsid w:val="001B7CA4"/>
    <w:rsid w:val="001B7E91"/>
    <w:rsid w:val="001C03A2"/>
    <w:rsid w:val="001C0BD4"/>
    <w:rsid w:val="001C0D0D"/>
    <w:rsid w:val="001C0D1C"/>
    <w:rsid w:val="001C10F8"/>
    <w:rsid w:val="001C1381"/>
    <w:rsid w:val="001C147E"/>
    <w:rsid w:val="001C151B"/>
    <w:rsid w:val="001C18F0"/>
    <w:rsid w:val="001C19E5"/>
    <w:rsid w:val="001C1CA8"/>
    <w:rsid w:val="001C22B8"/>
    <w:rsid w:val="001C2393"/>
    <w:rsid w:val="001C276B"/>
    <w:rsid w:val="001C3375"/>
    <w:rsid w:val="001C3470"/>
    <w:rsid w:val="001C37A4"/>
    <w:rsid w:val="001C3800"/>
    <w:rsid w:val="001C384F"/>
    <w:rsid w:val="001C38F6"/>
    <w:rsid w:val="001C3C7B"/>
    <w:rsid w:val="001C3CA2"/>
    <w:rsid w:val="001C45EF"/>
    <w:rsid w:val="001C46E4"/>
    <w:rsid w:val="001C4729"/>
    <w:rsid w:val="001C4A0F"/>
    <w:rsid w:val="001C4E2A"/>
    <w:rsid w:val="001C52A8"/>
    <w:rsid w:val="001C52E5"/>
    <w:rsid w:val="001C5B4F"/>
    <w:rsid w:val="001C5B5E"/>
    <w:rsid w:val="001C5E2F"/>
    <w:rsid w:val="001C5E73"/>
    <w:rsid w:val="001C6122"/>
    <w:rsid w:val="001C6382"/>
    <w:rsid w:val="001C6587"/>
    <w:rsid w:val="001C69BE"/>
    <w:rsid w:val="001C6C00"/>
    <w:rsid w:val="001C6DB5"/>
    <w:rsid w:val="001C71AC"/>
    <w:rsid w:val="001C7316"/>
    <w:rsid w:val="001C7548"/>
    <w:rsid w:val="001C7873"/>
    <w:rsid w:val="001C7C24"/>
    <w:rsid w:val="001C7C56"/>
    <w:rsid w:val="001C7E5C"/>
    <w:rsid w:val="001D00CC"/>
    <w:rsid w:val="001D0494"/>
    <w:rsid w:val="001D0581"/>
    <w:rsid w:val="001D069F"/>
    <w:rsid w:val="001D07B7"/>
    <w:rsid w:val="001D1719"/>
    <w:rsid w:val="001D171B"/>
    <w:rsid w:val="001D1732"/>
    <w:rsid w:val="001D1A50"/>
    <w:rsid w:val="001D1B50"/>
    <w:rsid w:val="001D1BAF"/>
    <w:rsid w:val="001D1E2E"/>
    <w:rsid w:val="001D2203"/>
    <w:rsid w:val="001D22DD"/>
    <w:rsid w:val="001D255C"/>
    <w:rsid w:val="001D281D"/>
    <w:rsid w:val="001D2C47"/>
    <w:rsid w:val="001D2DEF"/>
    <w:rsid w:val="001D30BB"/>
    <w:rsid w:val="001D314E"/>
    <w:rsid w:val="001D3A6C"/>
    <w:rsid w:val="001D3E1E"/>
    <w:rsid w:val="001D4567"/>
    <w:rsid w:val="001D488C"/>
    <w:rsid w:val="001D4A99"/>
    <w:rsid w:val="001D4B0B"/>
    <w:rsid w:val="001D4CDF"/>
    <w:rsid w:val="001D4F46"/>
    <w:rsid w:val="001D4F88"/>
    <w:rsid w:val="001D51E2"/>
    <w:rsid w:val="001D5211"/>
    <w:rsid w:val="001D5255"/>
    <w:rsid w:val="001D5723"/>
    <w:rsid w:val="001D577B"/>
    <w:rsid w:val="001D578D"/>
    <w:rsid w:val="001D5818"/>
    <w:rsid w:val="001D653A"/>
    <w:rsid w:val="001D65A9"/>
    <w:rsid w:val="001D664A"/>
    <w:rsid w:val="001D7190"/>
    <w:rsid w:val="001D74BC"/>
    <w:rsid w:val="001D7B27"/>
    <w:rsid w:val="001D7DEE"/>
    <w:rsid w:val="001D7F13"/>
    <w:rsid w:val="001E02CB"/>
    <w:rsid w:val="001E069F"/>
    <w:rsid w:val="001E0871"/>
    <w:rsid w:val="001E09B6"/>
    <w:rsid w:val="001E0EE0"/>
    <w:rsid w:val="001E11E4"/>
    <w:rsid w:val="001E135F"/>
    <w:rsid w:val="001E14FD"/>
    <w:rsid w:val="001E15DD"/>
    <w:rsid w:val="001E15F1"/>
    <w:rsid w:val="001E180F"/>
    <w:rsid w:val="001E1B2E"/>
    <w:rsid w:val="001E1C64"/>
    <w:rsid w:val="001E1CEC"/>
    <w:rsid w:val="001E1E0A"/>
    <w:rsid w:val="001E1E12"/>
    <w:rsid w:val="001E2237"/>
    <w:rsid w:val="001E28DC"/>
    <w:rsid w:val="001E2ECB"/>
    <w:rsid w:val="001E30FD"/>
    <w:rsid w:val="001E3147"/>
    <w:rsid w:val="001E322A"/>
    <w:rsid w:val="001E33A0"/>
    <w:rsid w:val="001E3660"/>
    <w:rsid w:val="001E3EDB"/>
    <w:rsid w:val="001E41C7"/>
    <w:rsid w:val="001E46C8"/>
    <w:rsid w:val="001E48DA"/>
    <w:rsid w:val="001E4B5B"/>
    <w:rsid w:val="001E4B64"/>
    <w:rsid w:val="001E552A"/>
    <w:rsid w:val="001E57B9"/>
    <w:rsid w:val="001E673F"/>
    <w:rsid w:val="001E6C87"/>
    <w:rsid w:val="001E6E8D"/>
    <w:rsid w:val="001E7639"/>
    <w:rsid w:val="001E7B1C"/>
    <w:rsid w:val="001E7E7D"/>
    <w:rsid w:val="001E7EE4"/>
    <w:rsid w:val="001E7F76"/>
    <w:rsid w:val="001F025F"/>
    <w:rsid w:val="001F039B"/>
    <w:rsid w:val="001F0FAF"/>
    <w:rsid w:val="001F10EC"/>
    <w:rsid w:val="001F139F"/>
    <w:rsid w:val="001F1728"/>
    <w:rsid w:val="001F179D"/>
    <w:rsid w:val="001F1AA4"/>
    <w:rsid w:val="001F1D11"/>
    <w:rsid w:val="001F23D0"/>
    <w:rsid w:val="001F2420"/>
    <w:rsid w:val="001F2805"/>
    <w:rsid w:val="001F2814"/>
    <w:rsid w:val="001F2DF9"/>
    <w:rsid w:val="001F2E79"/>
    <w:rsid w:val="001F2F07"/>
    <w:rsid w:val="001F30AC"/>
    <w:rsid w:val="001F30FD"/>
    <w:rsid w:val="001F3123"/>
    <w:rsid w:val="001F376D"/>
    <w:rsid w:val="001F3994"/>
    <w:rsid w:val="001F3BE0"/>
    <w:rsid w:val="001F3D98"/>
    <w:rsid w:val="001F418C"/>
    <w:rsid w:val="001F42DC"/>
    <w:rsid w:val="001F480F"/>
    <w:rsid w:val="001F493D"/>
    <w:rsid w:val="001F4A63"/>
    <w:rsid w:val="001F4AEE"/>
    <w:rsid w:val="001F4B2D"/>
    <w:rsid w:val="001F4F40"/>
    <w:rsid w:val="001F50E0"/>
    <w:rsid w:val="001F56AF"/>
    <w:rsid w:val="001F5741"/>
    <w:rsid w:val="001F5881"/>
    <w:rsid w:val="001F594C"/>
    <w:rsid w:val="001F60A2"/>
    <w:rsid w:val="001F6115"/>
    <w:rsid w:val="001F66AA"/>
    <w:rsid w:val="001F69F2"/>
    <w:rsid w:val="001F69FC"/>
    <w:rsid w:val="001F6D62"/>
    <w:rsid w:val="001F725C"/>
    <w:rsid w:val="001F7340"/>
    <w:rsid w:val="001F766C"/>
    <w:rsid w:val="001F7675"/>
    <w:rsid w:val="001F7756"/>
    <w:rsid w:val="001F782B"/>
    <w:rsid w:val="001F7983"/>
    <w:rsid w:val="001F7D89"/>
    <w:rsid w:val="001F7EDA"/>
    <w:rsid w:val="00200063"/>
    <w:rsid w:val="0020025C"/>
    <w:rsid w:val="0020054D"/>
    <w:rsid w:val="00200565"/>
    <w:rsid w:val="00200FAE"/>
    <w:rsid w:val="0020102D"/>
    <w:rsid w:val="002010E2"/>
    <w:rsid w:val="0020127D"/>
    <w:rsid w:val="002013CC"/>
    <w:rsid w:val="002018C3"/>
    <w:rsid w:val="002018EF"/>
    <w:rsid w:val="00201B73"/>
    <w:rsid w:val="00202236"/>
    <w:rsid w:val="00202453"/>
    <w:rsid w:val="00202517"/>
    <w:rsid w:val="0020255B"/>
    <w:rsid w:val="00202ADB"/>
    <w:rsid w:val="00202BB7"/>
    <w:rsid w:val="00202E2B"/>
    <w:rsid w:val="00203649"/>
    <w:rsid w:val="002037E6"/>
    <w:rsid w:val="00203B02"/>
    <w:rsid w:val="00203BD6"/>
    <w:rsid w:val="00203F64"/>
    <w:rsid w:val="002040D8"/>
    <w:rsid w:val="002042A3"/>
    <w:rsid w:val="0020435B"/>
    <w:rsid w:val="00204533"/>
    <w:rsid w:val="00204553"/>
    <w:rsid w:val="00204B04"/>
    <w:rsid w:val="00204F2D"/>
    <w:rsid w:val="00205566"/>
    <w:rsid w:val="00205627"/>
    <w:rsid w:val="00205966"/>
    <w:rsid w:val="00205AD2"/>
    <w:rsid w:val="00205B15"/>
    <w:rsid w:val="002063AA"/>
    <w:rsid w:val="00206611"/>
    <w:rsid w:val="002069D9"/>
    <w:rsid w:val="00206BAC"/>
    <w:rsid w:val="00206BF5"/>
    <w:rsid w:val="00207473"/>
    <w:rsid w:val="0020782D"/>
    <w:rsid w:val="00207BFF"/>
    <w:rsid w:val="00207F07"/>
    <w:rsid w:val="00210549"/>
    <w:rsid w:val="0021059C"/>
    <w:rsid w:val="00210640"/>
    <w:rsid w:val="0021069E"/>
    <w:rsid w:val="002107D5"/>
    <w:rsid w:val="00210804"/>
    <w:rsid w:val="0021088F"/>
    <w:rsid w:val="00210CBE"/>
    <w:rsid w:val="00211359"/>
    <w:rsid w:val="002113FE"/>
    <w:rsid w:val="00211457"/>
    <w:rsid w:val="002114B0"/>
    <w:rsid w:val="00211737"/>
    <w:rsid w:val="002117E7"/>
    <w:rsid w:val="0021181B"/>
    <w:rsid w:val="002119C8"/>
    <w:rsid w:val="00211D4E"/>
    <w:rsid w:val="00211DFD"/>
    <w:rsid w:val="00212195"/>
    <w:rsid w:val="0021230F"/>
    <w:rsid w:val="002125B0"/>
    <w:rsid w:val="0021270F"/>
    <w:rsid w:val="0021283B"/>
    <w:rsid w:val="00212A82"/>
    <w:rsid w:val="002131D3"/>
    <w:rsid w:val="00213420"/>
    <w:rsid w:val="00213619"/>
    <w:rsid w:val="00213629"/>
    <w:rsid w:val="00213F1E"/>
    <w:rsid w:val="0021404C"/>
    <w:rsid w:val="002140F1"/>
    <w:rsid w:val="0021433B"/>
    <w:rsid w:val="002146B1"/>
    <w:rsid w:val="002148A1"/>
    <w:rsid w:val="00214EA2"/>
    <w:rsid w:val="00214F14"/>
    <w:rsid w:val="0021584B"/>
    <w:rsid w:val="00215E0B"/>
    <w:rsid w:val="002160DC"/>
    <w:rsid w:val="002160FA"/>
    <w:rsid w:val="002163BD"/>
    <w:rsid w:val="002164D0"/>
    <w:rsid w:val="002166DD"/>
    <w:rsid w:val="002168A2"/>
    <w:rsid w:val="002168C5"/>
    <w:rsid w:val="00216931"/>
    <w:rsid w:val="00216DB3"/>
    <w:rsid w:val="00217867"/>
    <w:rsid w:val="0021795F"/>
    <w:rsid w:val="002203ED"/>
    <w:rsid w:val="00220523"/>
    <w:rsid w:val="002205E4"/>
    <w:rsid w:val="002205F1"/>
    <w:rsid w:val="00220D67"/>
    <w:rsid w:val="00221335"/>
    <w:rsid w:val="00221512"/>
    <w:rsid w:val="002215F8"/>
    <w:rsid w:val="00221BE3"/>
    <w:rsid w:val="00221DAF"/>
    <w:rsid w:val="00221F80"/>
    <w:rsid w:val="00222447"/>
    <w:rsid w:val="0022273A"/>
    <w:rsid w:val="00222879"/>
    <w:rsid w:val="00222C72"/>
    <w:rsid w:val="00222CE0"/>
    <w:rsid w:val="00222D28"/>
    <w:rsid w:val="002232FF"/>
    <w:rsid w:val="00223CF4"/>
    <w:rsid w:val="00224220"/>
    <w:rsid w:val="00224398"/>
    <w:rsid w:val="00224599"/>
    <w:rsid w:val="002246BC"/>
    <w:rsid w:val="002247BA"/>
    <w:rsid w:val="00224A81"/>
    <w:rsid w:val="00224D6F"/>
    <w:rsid w:val="00224E91"/>
    <w:rsid w:val="00225027"/>
    <w:rsid w:val="002253CF"/>
    <w:rsid w:val="00225830"/>
    <w:rsid w:val="00225B4C"/>
    <w:rsid w:val="00225C2D"/>
    <w:rsid w:val="00225E1E"/>
    <w:rsid w:val="00226129"/>
    <w:rsid w:val="0022614D"/>
    <w:rsid w:val="002267A9"/>
    <w:rsid w:val="00226AA2"/>
    <w:rsid w:val="00227218"/>
    <w:rsid w:val="0022770A"/>
    <w:rsid w:val="00227BEE"/>
    <w:rsid w:val="00227C70"/>
    <w:rsid w:val="00227D1B"/>
    <w:rsid w:val="00227FB4"/>
    <w:rsid w:val="0023057E"/>
    <w:rsid w:val="00230939"/>
    <w:rsid w:val="00230AAF"/>
    <w:rsid w:val="00230E46"/>
    <w:rsid w:val="00230F16"/>
    <w:rsid w:val="002312BC"/>
    <w:rsid w:val="00231567"/>
    <w:rsid w:val="00231B36"/>
    <w:rsid w:val="00231B78"/>
    <w:rsid w:val="0023284B"/>
    <w:rsid w:val="00232953"/>
    <w:rsid w:val="00232CE7"/>
    <w:rsid w:val="00232F5F"/>
    <w:rsid w:val="00232F64"/>
    <w:rsid w:val="00232FE2"/>
    <w:rsid w:val="00233027"/>
    <w:rsid w:val="002337E5"/>
    <w:rsid w:val="00233C06"/>
    <w:rsid w:val="00233F24"/>
    <w:rsid w:val="002344DE"/>
    <w:rsid w:val="002347BA"/>
    <w:rsid w:val="00234BBB"/>
    <w:rsid w:val="002354EA"/>
    <w:rsid w:val="002356F4"/>
    <w:rsid w:val="00235BAA"/>
    <w:rsid w:val="00235F02"/>
    <w:rsid w:val="00236947"/>
    <w:rsid w:val="00236AB9"/>
    <w:rsid w:val="00236D28"/>
    <w:rsid w:val="00237086"/>
    <w:rsid w:val="0023739C"/>
    <w:rsid w:val="002375F2"/>
    <w:rsid w:val="00237FE4"/>
    <w:rsid w:val="00240160"/>
    <w:rsid w:val="00240656"/>
    <w:rsid w:val="0024076C"/>
    <w:rsid w:val="00240B23"/>
    <w:rsid w:val="00240FF9"/>
    <w:rsid w:val="00241610"/>
    <w:rsid w:val="002417EA"/>
    <w:rsid w:val="00241AED"/>
    <w:rsid w:val="00241D41"/>
    <w:rsid w:val="002424D9"/>
    <w:rsid w:val="002427B0"/>
    <w:rsid w:val="00242AE0"/>
    <w:rsid w:val="00242BF0"/>
    <w:rsid w:val="00242C82"/>
    <w:rsid w:val="00242DE2"/>
    <w:rsid w:val="00242F4D"/>
    <w:rsid w:val="00243182"/>
    <w:rsid w:val="0024334D"/>
    <w:rsid w:val="002434D7"/>
    <w:rsid w:val="0024356E"/>
    <w:rsid w:val="0024356F"/>
    <w:rsid w:val="002435E9"/>
    <w:rsid w:val="002437B4"/>
    <w:rsid w:val="00243928"/>
    <w:rsid w:val="00243946"/>
    <w:rsid w:val="00243A2F"/>
    <w:rsid w:val="00243BC5"/>
    <w:rsid w:val="00243C20"/>
    <w:rsid w:val="00243C7D"/>
    <w:rsid w:val="00243E9A"/>
    <w:rsid w:val="00243EB5"/>
    <w:rsid w:val="00243F8D"/>
    <w:rsid w:val="00244371"/>
    <w:rsid w:val="002443C0"/>
    <w:rsid w:val="0024474A"/>
    <w:rsid w:val="00244819"/>
    <w:rsid w:val="00244AF8"/>
    <w:rsid w:val="00244BA4"/>
    <w:rsid w:val="00244BC5"/>
    <w:rsid w:val="00244E68"/>
    <w:rsid w:val="00244FC5"/>
    <w:rsid w:val="002456C5"/>
    <w:rsid w:val="002458A2"/>
    <w:rsid w:val="002458D4"/>
    <w:rsid w:val="00245ABE"/>
    <w:rsid w:val="00245B28"/>
    <w:rsid w:val="00245BF3"/>
    <w:rsid w:val="00245C0B"/>
    <w:rsid w:val="00245D0A"/>
    <w:rsid w:val="00245D60"/>
    <w:rsid w:val="002460C9"/>
    <w:rsid w:val="00246DFA"/>
    <w:rsid w:val="00246EAE"/>
    <w:rsid w:val="00247116"/>
    <w:rsid w:val="00247147"/>
    <w:rsid w:val="002471E5"/>
    <w:rsid w:val="00247C63"/>
    <w:rsid w:val="00250382"/>
    <w:rsid w:val="00250B26"/>
    <w:rsid w:val="0025120E"/>
    <w:rsid w:val="002517A8"/>
    <w:rsid w:val="00251C72"/>
    <w:rsid w:val="00251E57"/>
    <w:rsid w:val="00251EEE"/>
    <w:rsid w:val="00251F6A"/>
    <w:rsid w:val="00252828"/>
    <w:rsid w:val="0025289B"/>
    <w:rsid w:val="0025299C"/>
    <w:rsid w:val="00252E57"/>
    <w:rsid w:val="00253177"/>
    <w:rsid w:val="002538B8"/>
    <w:rsid w:val="0025396F"/>
    <w:rsid w:val="00253DAD"/>
    <w:rsid w:val="00253F0A"/>
    <w:rsid w:val="002542AB"/>
    <w:rsid w:val="00254319"/>
    <w:rsid w:val="00254561"/>
    <w:rsid w:val="0025473F"/>
    <w:rsid w:val="0025494E"/>
    <w:rsid w:val="00254961"/>
    <w:rsid w:val="00255038"/>
    <w:rsid w:val="0025539F"/>
    <w:rsid w:val="00255C04"/>
    <w:rsid w:val="00255E8C"/>
    <w:rsid w:val="00255EA5"/>
    <w:rsid w:val="0025602F"/>
    <w:rsid w:val="00256388"/>
    <w:rsid w:val="00256E44"/>
    <w:rsid w:val="00256FA2"/>
    <w:rsid w:val="00257029"/>
    <w:rsid w:val="0025758D"/>
    <w:rsid w:val="0025791F"/>
    <w:rsid w:val="00260919"/>
    <w:rsid w:val="00260E04"/>
    <w:rsid w:val="00260FB2"/>
    <w:rsid w:val="002612FD"/>
    <w:rsid w:val="002613DC"/>
    <w:rsid w:val="0026157C"/>
    <w:rsid w:val="00261755"/>
    <w:rsid w:val="0026189C"/>
    <w:rsid w:val="00261AAA"/>
    <w:rsid w:val="00261BEA"/>
    <w:rsid w:val="00261DC5"/>
    <w:rsid w:val="00262097"/>
    <w:rsid w:val="002621A6"/>
    <w:rsid w:val="00262B20"/>
    <w:rsid w:val="00262D20"/>
    <w:rsid w:val="00262E85"/>
    <w:rsid w:val="002633A7"/>
    <w:rsid w:val="002634AB"/>
    <w:rsid w:val="002638E0"/>
    <w:rsid w:val="002638E8"/>
    <w:rsid w:val="00263901"/>
    <w:rsid w:val="002639D6"/>
    <w:rsid w:val="00263B32"/>
    <w:rsid w:val="00263BBF"/>
    <w:rsid w:val="00263C19"/>
    <w:rsid w:val="00263D62"/>
    <w:rsid w:val="00263E9F"/>
    <w:rsid w:val="00263EAD"/>
    <w:rsid w:val="0026440C"/>
    <w:rsid w:val="00264569"/>
    <w:rsid w:val="002645CB"/>
    <w:rsid w:val="00264DAD"/>
    <w:rsid w:val="00264F03"/>
    <w:rsid w:val="00264F8F"/>
    <w:rsid w:val="00265551"/>
    <w:rsid w:val="002655AE"/>
    <w:rsid w:val="0026578F"/>
    <w:rsid w:val="002657AC"/>
    <w:rsid w:val="0026591F"/>
    <w:rsid w:val="00265A65"/>
    <w:rsid w:val="002660F0"/>
    <w:rsid w:val="0026627B"/>
    <w:rsid w:val="002665AD"/>
    <w:rsid w:val="0026692B"/>
    <w:rsid w:val="00266D14"/>
    <w:rsid w:val="00266E9B"/>
    <w:rsid w:val="002671B0"/>
    <w:rsid w:val="002672FD"/>
    <w:rsid w:val="0026733E"/>
    <w:rsid w:val="002673DD"/>
    <w:rsid w:val="002675AA"/>
    <w:rsid w:val="002675B6"/>
    <w:rsid w:val="0026778D"/>
    <w:rsid w:val="00267A99"/>
    <w:rsid w:val="00267C62"/>
    <w:rsid w:val="00270271"/>
    <w:rsid w:val="0027081D"/>
    <w:rsid w:val="00271183"/>
    <w:rsid w:val="002712DA"/>
    <w:rsid w:val="00272174"/>
    <w:rsid w:val="002721A6"/>
    <w:rsid w:val="002722E0"/>
    <w:rsid w:val="002723CC"/>
    <w:rsid w:val="00272690"/>
    <w:rsid w:val="0027271E"/>
    <w:rsid w:val="002727E3"/>
    <w:rsid w:val="002727FA"/>
    <w:rsid w:val="00272D6F"/>
    <w:rsid w:val="002730EC"/>
    <w:rsid w:val="00273100"/>
    <w:rsid w:val="002735CC"/>
    <w:rsid w:val="00273782"/>
    <w:rsid w:val="00273A82"/>
    <w:rsid w:val="00273B1B"/>
    <w:rsid w:val="00273B7E"/>
    <w:rsid w:val="00273E2F"/>
    <w:rsid w:val="00274101"/>
    <w:rsid w:val="00274588"/>
    <w:rsid w:val="0027473B"/>
    <w:rsid w:val="0027498C"/>
    <w:rsid w:val="00274A67"/>
    <w:rsid w:val="00274AA2"/>
    <w:rsid w:val="0027502F"/>
    <w:rsid w:val="002750B2"/>
    <w:rsid w:val="00275364"/>
    <w:rsid w:val="002755BF"/>
    <w:rsid w:val="002756BB"/>
    <w:rsid w:val="002756EF"/>
    <w:rsid w:val="00275708"/>
    <w:rsid w:val="00275DF8"/>
    <w:rsid w:val="002768CF"/>
    <w:rsid w:val="00276F82"/>
    <w:rsid w:val="00277631"/>
    <w:rsid w:val="0028041B"/>
    <w:rsid w:val="00280453"/>
    <w:rsid w:val="002805DF"/>
    <w:rsid w:val="002808FF"/>
    <w:rsid w:val="0028092D"/>
    <w:rsid w:val="002810AE"/>
    <w:rsid w:val="00281128"/>
    <w:rsid w:val="002815D9"/>
    <w:rsid w:val="002819D7"/>
    <w:rsid w:val="00281BB0"/>
    <w:rsid w:val="00282317"/>
    <w:rsid w:val="0028240F"/>
    <w:rsid w:val="00282491"/>
    <w:rsid w:val="0028268C"/>
    <w:rsid w:val="00282938"/>
    <w:rsid w:val="00282D25"/>
    <w:rsid w:val="00282DF9"/>
    <w:rsid w:val="00283349"/>
    <w:rsid w:val="00283A44"/>
    <w:rsid w:val="00283EA2"/>
    <w:rsid w:val="00284210"/>
    <w:rsid w:val="00284322"/>
    <w:rsid w:val="0028483A"/>
    <w:rsid w:val="00284F4E"/>
    <w:rsid w:val="0028529F"/>
    <w:rsid w:val="00285687"/>
    <w:rsid w:val="0028589C"/>
    <w:rsid w:val="00286364"/>
    <w:rsid w:val="002864B1"/>
    <w:rsid w:val="002864EF"/>
    <w:rsid w:val="002866CF"/>
    <w:rsid w:val="00286A30"/>
    <w:rsid w:val="00286E04"/>
    <w:rsid w:val="00287110"/>
    <w:rsid w:val="00287428"/>
    <w:rsid w:val="00287649"/>
    <w:rsid w:val="00287BDA"/>
    <w:rsid w:val="00287DAB"/>
    <w:rsid w:val="00287FB6"/>
    <w:rsid w:val="002900C5"/>
    <w:rsid w:val="002901E0"/>
    <w:rsid w:val="002902EF"/>
    <w:rsid w:val="0029075B"/>
    <w:rsid w:val="00290808"/>
    <w:rsid w:val="002908FF"/>
    <w:rsid w:val="00290BB1"/>
    <w:rsid w:val="00290C4A"/>
    <w:rsid w:val="00290F25"/>
    <w:rsid w:val="002911DB"/>
    <w:rsid w:val="00291405"/>
    <w:rsid w:val="00291B3B"/>
    <w:rsid w:val="00291BC1"/>
    <w:rsid w:val="002922D5"/>
    <w:rsid w:val="00292395"/>
    <w:rsid w:val="002928FA"/>
    <w:rsid w:val="002929AE"/>
    <w:rsid w:val="00292A6A"/>
    <w:rsid w:val="0029331D"/>
    <w:rsid w:val="002933CA"/>
    <w:rsid w:val="002934F9"/>
    <w:rsid w:val="002939E5"/>
    <w:rsid w:val="00293A34"/>
    <w:rsid w:val="00293A8F"/>
    <w:rsid w:val="00293C51"/>
    <w:rsid w:val="00294644"/>
    <w:rsid w:val="00294738"/>
    <w:rsid w:val="00294D26"/>
    <w:rsid w:val="00294EC3"/>
    <w:rsid w:val="002950AC"/>
    <w:rsid w:val="00295155"/>
    <w:rsid w:val="002957DA"/>
    <w:rsid w:val="00295AD2"/>
    <w:rsid w:val="00295D1B"/>
    <w:rsid w:val="00295D51"/>
    <w:rsid w:val="00295F75"/>
    <w:rsid w:val="00296012"/>
    <w:rsid w:val="00296203"/>
    <w:rsid w:val="00296343"/>
    <w:rsid w:val="00296428"/>
    <w:rsid w:val="0029643D"/>
    <w:rsid w:val="0029695D"/>
    <w:rsid w:val="00296B28"/>
    <w:rsid w:val="00296D61"/>
    <w:rsid w:val="00296EB4"/>
    <w:rsid w:val="00296FCF"/>
    <w:rsid w:val="0029706A"/>
    <w:rsid w:val="00297136"/>
    <w:rsid w:val="002972EE"/>
    <w:rsid w:val="00297423"/>
    <w:rsid w:val="0029743E"/>
    <w:rsid w:val="00297C6A"/>
    <w:rsid w:val="00297D48"/>
    <w:rsid w:val="00297F01"/>
    <w:rsid w:val="00297F23"/>
    <w:rsid w:val="002A00D8"/>
    <w:rsid w:val="002A052D"/>
    <w:rsid w:val="002A0651"/>
    <w:rsid w:val="002A0915"/>
    <w:rsid w:val="002A0A03"/>
    <w:rsid w:val="002A0C4F"/>
    <w:rsid w:val="002A0DF8"/>
    <w:rsid w:val="002A121B"/>
    <w:rsid w:val="002A15A6"/>
    <w:rsid w:val="002A1928"/>
    <w:rsid w:val="002A1F1F"/>
    <w:rsid w:val="002A21B5"/>
    <w:rsid w:val="002A2631"/>
    <w:rsid w:val="002A26E3"/>
    <w:rsid w:val="002A2A0C"/>
    <w:rsid w:val="002A2A7F"/>
    <w:rsid w:val="002A2BB6"/>
    <w:rsid w:val="002A30E0"/>
    <w:rsid w:val="002A310C"/>
    <w:rsid w:val="002A3521"/>
    <w:rsid w:val="002A35C5"/>
    <w:rsid w:val="002A3654"/>
    <w:rsid w:val="002A37E1"/>
    <w:rsid w:val="002A397E"/>
    <w:rsid w:val="002A3B4C"/>
    <w:rsid w:val="002A3B61"/>
    <w:rsid w:val="002A3D1C"/>
    <w:rsid w:val="002A402A"/>
    <w:rsid w:val="002A4107"/>
    <w:rsid w:val="002A4450"/>
    <w:rsid w:val="002A45AA"/>
    <w:rsid w:val="002A4B0B"/>
    <w:rsid w:val="002A4B6F"/>
    <w:rsid w:val="002A4F38"/>
    <w:rsid w:val="002A4FD7"/>
    <w:rsid w:val="002A4FFF"/>
    <w:rsid w:val="002A533C"/>
    <w:rsid w:val="002A539F"/>
    <w:rsid w:val="002A56E1"/>
    <w:rsid w:val="002A57BF"/>
    <w:rsid w:val="002A5846"/>
    <w:rsid w:val="002A59BD"/>
    <w:rsid w:val="002A5B0D"/>
    <w:rsid w:val="002A6157"/>
    <w:rsid w:val="002A616C"/>
    <w:rsid w:val="002A6621"/>
    <w:rsid w:val="002A69A5"/>
    <w:rsid w:val="002A6BD2"/>
    <w:rsid w:val="002A6DF7"/>
    <w:rsid w:val="002A6F71"/>
    <w:rsid w:val="002A75CA"/>
    <w:rsid w:val="002A76D5"/>
    <w:rsid w:val="002A7889"/>
    <w:rsid w:val="002A799A"/>
    <w:rsid w:val="002A79FB"/>
    <w:rsid w:val="002A7B53"/>
    <w:rsid w:val="002A7B77"/>
    <w:rsid w:val="002B00D5"/>
    <w:rsid w:val="002B03BB"/>
    <w:rsid w:val="002B0415"/>
    <w:rsid w:val="002B0867"/>
    <w:rsid w:val="002B097D"/>
    <w:rsid w:val="002B0AE6"/>
    <w:rsid w:val="002B11B2"/>
    <w:rsid w:val="002B18F7"/>
    <w:rsid w:val="002B1F25"/>
    <w:rsid w:val="002B2715"/>
    <w:rsid w:val="002B29EC"/>
    <w:rsid w:val="002B2B23"/>
    <w:rsid w:val="002B2CB4"/>
    <w:rsid w:val="002B319D"/>
    <w:rsid w:val="002B349C"/>
    <w:rsid w:val="002B3ED7"/>
    <w:rsid w:val="002B4778"/>
    <w:rsid w:val="002B4F0C"/>
    <w:rsid w:val="002B53FA"/>
    <w:rsid w:val="002B5663"/>
    <w:rsid w:val="002B6082"/>
    <w:rsid w:val="002B60D4"/>
    <w:rsid w:val="002B6C8A"/>
    <w:rsid w:val="002B6DBE"/>
    <w:rsid w:val="002B7280"/>
    <w:rsid w:val="002B75B2"/>
    <w:rsid w:val="002B7954"/>
    <w:rsid w:val="002B798B"/>
    <w:rsid w:val="002B79B7"/>
    <w:rsid w:val="002B7A41"/>
    <w:rsid w:val="002C08D4"/>
    <w:rsid w:val="002C08F6"/>
    <w:rsid w:val="002C0AD0"/>
    <w:rsid w:val="002C0B41"/>
    <w:rsid w:val="002C11AD"/>
    <w:rsid w:val="002C141D"/>
    <w:rsid w:val="002C16E3"/>
    <w:rsid w:val="002C1795"/>
    <w:rsid w:val="002C193A"/>
    <w:rsid w:val="002C19C0"/>
    <w:rsid w:val="002C1D49"/>
    <w:rsid w:val="002C2485"/>
    <w:rsid w:val="002C25E0"/>
    <w:rsid w:val="002C2A2D"/>
    <w:rsid w:val="002C2DB6"/>
    <w:rsid w:val="002C329C"/>
    <w:rsid w:val="002C36C0"/>
    <w:rsid w:val="002C3928"/>
    <w:rsid w:val="002C3B33"/>
    <w:rsid w:val="002C3FA8"/>
    <w:rsid w:val="002C435E"/>
    <w:rsid w:val="002C4391"/>
    <w:rsid w:val="002C43BB"/>
    <w:rsid w:val="002C44AB"/>
    <w:rsid w:val="002C4C4A"/>
    <w:rsid w:val="002C53DD"/>
    <w:rsid w:val="002C5DF6"/>
    <w:rsid w:val="002C5E39"/>
    <w:rsid w:val="002C5E7B"/>
    <w:rsid w:val="002C5FA2"/>
    <w:rsid w:val="002C62D7"/>
    <w:rsid w:val="002C681A"/>
    <w:rsid w:val="002C6D2E"/>
    <w:rsid w:val="002C6FA7"/>
    <w:rsid w:val="002C717C"/>
    <w:rsid w:val="002C7239"/>
    <w:rsid w:val="002C72E3"/>
    <w:rsid w:val="002C7351"/>
    <w:rsid w:val="002C751D"/>
    <w:rsid w:val="002C753C"/>
    <w:rsid w:val="002C7A02"/>
    <w:rsid w:val="002C7BD4"/>
    <w:rsid w:val="002D0107"/>
    <w:rsid w:val="002D019B"/>
    <w:rsid w:val="002D062E"/>
    <w:rsid w:val="002D09FA"/>
    <w:rsid w:val="002D0BB8"/>
    <w:rsid w:val="002D0D43"/>
    <w:rsid w:val="002D0E86"/>
    <w:rsid w:val="002D15C2"/>
    <w:rsid w:val="002D1C4C"/>
    <w:rsid w:val="002D1D6B"/>
    <w:rsid w:val="002D1F7B"/>
    <w:rsid w:val="002D2B10"/>
    <w:rsid w:val="002D2E3A"/>
    <w:rsid w:val="002D33CF"/>
    <w:rsid w:val="002D36A3"/>
    <w:rsid w:val="002D386A"/>
    <w:rsid w:val="002D4100"/>
    <w:rsid w:val="002D4148"/>
    <w:rsid w:val="002D4597"/>
    <w:rsid w:val="002D477F"/>
    <w:rsid w:val="002D4F48"/>
    <w:rsid w:val="002D519B"/>
    <w:rsid w:val="002D56CB"/>
    <w:rsid w:val="002D589A"/>
    <w:rsid w:val="002D5B57"/>
    <w:rsid w:val="002D621E"/>
    <w:rsid w:val="002D63E9"/>
    <w:rsid w:val="002D6526"/>
    <w:rsid w:val="002D66A3"/>
    <w:rsid w:val="002D66AC"/>
    <w:rsid w:val="002D66DA"/>
    <w:rsid w:val="002D6B79"/>
    <w:rsid w:val="002D6DC4"/>
    <w:rsid w:val="002D6F0D"/>
    <w:rsid w:val="002D7027"/>
    <w:rsid w:val="002D70DC"/>
    <w:rsid w:val="002D71BF"/>
    <w:rsid w:val="002D758B"/>
    <w:rsid w:val="002D77E8"/>
    <w:rsid w:val="002D79BC"/>
    <w:rsid w:val="002D7CF9"/>
    <w:rsid w:val="002D7E58"/>
    <w:rsid w:val="002E0323"/>
    <w:rsid w:val="002E03BA"/>
    <w:rsid w:val="002E0BEF"/>
    <w:rsid w:val="002E0D31"/>
    <w:rsid w:val="002E0EFA"/>
    <w:rsid w:val="002E1073"/>
    <w:rsid w:val="002E12EC"/>
    <w:rsid w:val="002E146D"/>
    <w:rsid w:val="002E1760"/>
    <w:rsid w:val="002E1FC6"/>
    <w:rsid w:val="002E2073"/>
    <w:rsid w:val="002E272B"/>
    <w:rsid w:val="002E278C"/>
    <w:rsid w:val="002E29F8"/>
    <w:rsid w:val="002E2C52"/>
    <w:rsid w:val="002E2C99"/>
    <w:rsid w:val="002E2F1A"/>
    <w:rsid w:val="002E342B"/>
    <w:rsid w:val="002E344A"/>
    <w:rsid w:val="002E388D"/>
    <w:rsid w:val="002E3B81"/>
    <w:rsid w:val="002E3D08"/>
    <w:rsid w:val="002E3E1D"/>
    <w:rsid w:val="002E3EEA"/>
    <w:rsid w:val="002E3FE9"/>
    <w:rsid w:val="002E445E"/>
    <w:rsid w:val="002E4686"/>
    <w:rsid w:val="002E4922"/>
    <w:rsid w:val="002E4D08"/>
    <w:rsid w:val="002E4DA5"/>
    <w:rsid w:val="002E5062"/>
    <w:rsid w:val="002E50B7"/>
    <w:rsid w:val="002E5142"/>
    <w:rsid w:val="002E52B8"/>
    <w:rsid w:val="002E59E3"/>
    <w:rsid w:val="002E5CD1"/>
    <w:rsid w:val="002E5DBF"/>
    <w:rsid w:val="002E5E01"/>
    <w:rsid w:val="002E60F5"/>
    <w:rsid w:val="002E6289"/>
    <w:rsid w:val="002E6536"/>
    <w:rsid w:val="002E69F5"/>
    <w:rsid w:val="002E6C80"/>
    <w:rsid w:val="002E6CAA"/>
    <w:rsid w:val="002E7124"/>
    <w:rsid w:val="002E714A"/>
    <w:rsid w:val="002E73EC"/>
    <w:rsid w:val="002F0102"/>
    <w:rsid w:val="002F023D"/>
    <w:rsid w:val="002F0312"/>
    <w:rsid w:val="002F05C5"/>
    <w:rsid w:val="002F0908"/>
    <w:rsid w:val="002F0D75"/>
    <w:rsid w:val="002F10EC"/>
    <w:rsid w:val="002F1136"/>
    <w:rsid w:val="002F1231"/>
    <w:rsid w:val="002F1521"/>
    <w:rsid w:val="002F15EE"/>
    <w:rsid w:val="002F199B"/>
    <w:rsid w:val="002F22B2"/>
    <w:rsid w:val="002F24DE"/>
    <w:rsid w:val="002F257C"/>
    <w:rsid w:val="002F2C02"/>
    <w:rsid w:val="002F2C08"/>
    <w:rsid w:val="002F3578"/>
    <w:rsid w:val="002F3632"/>
    <w:rsid w:val="002F366B"/>
    <w:rsid w:val="002F383C"/>
    <w:rsid w:val="002F3AFB"/>
    <w:rsid w:val="002F3C41"/>
    <w:rsid w:val="002F3F04"/>
    <w:rsid w:val="002F3FAC"/>
    <w:rsid w:val="002F3FBB"/>
    <w:rsid w:val="002F43C6"/>
    <w:rsid w:val="002F4A25"/>
    <w:rsid w:val="002F4C8E"/>
    <w:rsid w:val="002F5076"/>
    <w:rsid w:val="002F5839"/>
    <w:rsid w:val="002F5A11"/>
    <w:rsid w:val="002F5A3B"/>
    <w:rsid w:val="002F5E7A"/>
    <w:rsid w:val="002F5E8E"/>
    <w:rsid w:val="002F5F69"/>
    <w:rsid w:val="002F64D9"/>
    <w:rsid w:val="002F64E7"/>
    <w:rsid w:val="002F6519"/>
    <w:rsid w:val="002F651D"/>
    <w:rsid w:val="002F6648"/>
    <w:rsid w:val="002F6C4E"/>
    <w:rsid w:val="002F6D67"/>
    <w:rsid w:val="002F6E44"/>
    <w:rsid w:val="002F6EE3"/>
    <w:rsid w:val="002F70A8"/>
    <w:rsid w:val="002F74FD"/>
    <w:rsid w:val="002F7735"/>
    <w:rsid w:val="002F787B"/>
    <w:rsid w:val="002F7974"/>
    <w:rsid w:val="002F79BD"/>
    <w:rsid w:val="002F7C63"/>
    <w:rsid w:val="002F7CD3"/>
    <w:rsid w:val="002F7D01"/>
    <w:rsid w:val="0030005C"/>
    <w:rsid w:val="0030012E"/>
    <w:rsid w:val="00300369"/>
    <w:rsid w:val="0030108E"/>
    <w:rsid w:val="003016A7"/>
    <w:rsid w:val="00301AC8"/>
    <w:rsid w:val="00301B29"/>
    <w:rsid w:val="00301D0A"/>
    <w:rsid w:val="00301F20"/>
    <w:rsid w:val="003020B1"/>
    <w:rsid w:val="003026D5"/>
    <w:rsid w:val="00302736"/>
    <w:rsid w:val="00302748"/>
    <w:rsid w:val="003027B8"/>
    <w:rsid w:val="0030293F"/>
    <w:rsid w:val="00302947"/>
    <w:rsid w:val="00302968"/>
    <w:rsid w:val="00302A95"/>
    <w:rsid w:val="00302C50"/>
    <w:rsid w:val="00302CBE"/>
    <w:rsid w:val="00302F41"/>
    <w:rsid w:val="00302FEB"/>
    <w:rsid w:val="00303023"/>
    <w:rsid w:val="003031C2"/>
    <w:rsid w:val="00303861"/>
    <w:rsid w:val="00303EC6"/>
    <w:rsid w:val="00304051"/>
    <w:rsid w:val="003044E8"/>
    <w:rsid w:val="00304874"/>
    <w:rsid w:val="003048B4"/>
    <w:rsid w:val="00304BC4"/>
    <w:rsid w:val="00304FFF"/>
    <w:rsid w:val="00305557"/>
    <w:rsid w:val="0030561F"/>
    <w:rsid w:val="00305A98"/>
    <w:rsid w:val="00305CA3"/>
    <w:rsid w:val="00306926"/>
    <w:rsid w:val="00306E5C"/>
    <w:rsid w:val="003075FE"/>
    <w:rsid w:val="003079E0"/>
    <w:rsid w:val="00307C19"/>
    <w:rsid w:val="003100AE"/>
    <w:rsid w:val="00310335"/>
    <w:rsid w:val="00310732"/>
    <w:rsid w:val="00310A20"/>
    <w:rsid w:val="00310BC9"/>
    <w:rsid w:val="003110C4"/>
    <w:rsid w:val="00311715"/>
    <w:rsid w:val="00311762"/>
    <w:rsid w:val="00311D51"/>
    <w:rsid w:val="00311E4F"/>
    <w:rsid w:val="00311E98"/>
    <w:rsid w:val="00311E9F"/>
    <w:rsid w:val="00312215"/>
    <w:rsid w:val="00312394"/>
    <w:rsid w:val="0031249C"/>
    <w:rsid w:val="003125C3"/>
    <w:rsid w:val="0031269D"/>
    <w:rsid w:val="00312896"/>
    <w:rsid w:val="00312B17"/>
    <w:rsid w:val="00312FCE"/>
    <w:rsid w:val="00312FE6"/>
    <w:rsid w:val="003133D1"/>
    <w:rsid w:val="00313A1C"/>
    <w:rsid w:val="00313BCE"/>
    <w:rsid w:val="00313D8B"/>
    <w:rsid w:val="00313EA4"/>
    <w:rsid w:val="00313EA8"/>
    <w:rsid w:val="00313EAC"/>
    <w:rsid w:val="003140EA"/>
    <w:rsid w:val="0031411C"/>
    <w:rsid w:val="003142F4"/>
    <w:rsid w:val="00314488"/>
    <w:rsid w:val="0031454E"/>
    <w:rsid w:val="00314A37"/>
    <w:rsid w:val="00315929"/>
    <w:rsid w:val="00315953"/>
    <w:rsid w:val="003159BB"/>
    <w:rsid w:val="00315BEA"/>
    <w:rsid w:val="003160D4"/>
    <w:rsid w:val="0031611F"/>
    <w:rsid w:val="0031643D"/>
    <w:rsid w:val="003169C5"/>
    <w:rsid w:val="00316ABC"/>
    <w:rsid w:val="00316AEF"/>
    <w:rsid w:val="0031724E"/>
    <w:rsid w:val="00317394"/>
    <w:rsid w:val="003179BA"/>
    <w:rsid w:val="00317A33"/>
    <w:rsid w:val="00317B7B"/>
    <w:rsid w:val="00317C97"/>
    <w:rsid w:val="003201CC"/>
    <w:rsid w:val="00320339"/>
    <w:rsid w:val="003205D1"/>
    <w:rsid w:val="00320C12"/>
    <w:rsid w:val="00320D39"/>
    <w:rsid w:val="00320FC7"/>
    <w:rsid w:val="00321214"/>
    <w:rsid w:val="003213D5"/>
    <w:rsid w:val="00321BBD"/>
    <w:rsid w:val="003224EA"/>
    <w:rsid w:val="00322B48"/>
    <w:rsid w:val="00323165"/>
    <w:rsid w:val="00323183"/>
    <w:rsid w:val="00323640"/>
    <w:rsid w:val="00323737"/>
    <w:rsid w:val="00323AD6"/>
    <w:rsid w:val="00323F27"/>
    <w:rsid w:val="00323F42"/>
    <w:rsid w:val="00324124"/>
    <w:rsid w:val="003242EF"/>
    <w:rsid w:val="003247D1"/>
    <w:rsid w:val="00324AB1"/>
    <w:rsid w:val="00325339"/>
    <w:rsid w:val="00325552"/>
    <w:rsid w:val="003255AA"/>
    <w:rsid w:val="00325BB9"/>
    <w:rsid w:val="00326585"/>
    <w:rsid w:val="00326A6F"/>
    <w:rsid w:val="00326AFC"/>
    <w:rsid w:val="00326EB7"/>
    <w:rsid w:val="00326F4E"/>
    <w:rsid w:val="00326F81"/>
    <w:rsid w:val="003274E9"/>
    <w:rsid w:val="003275A9"/>
    <w:rsid w:val="00327A47"/>
    <w:rsid w:val="00327D14"/>
    <w:rsid w:val="0033007D"/>
    <w:rsid w:val="003314B6"/>
    <w:rsid w:val="0033150B"/>
    <w:rsid w:val="00331692"/>
    <w:rsid w:val="003316F0"/>
    <w:rsid w:val="0033174B"/>
    <w:rsid w:val="0033194A"/>
    <w:rsid w:val="00331A20"/>
    <w:rsid w:val="00331DB8"/>
    <w:rsid w:val="00331E3A"/>
    <w:rsid w:val="00331E65"/>
    <w:rsid w:val="00331E6A"/>
    <w:rsid w:val="00332002"/>
    <w:rsid w:val="0033253D"/>
    <w:rsid w:val="0033257A"/>
    <w:rsid w:val="003327CF"/>
    <w:rsid w:val="003329C9"/>
    <w:rsid w:val="00332E21"/>
    <w:rsid w:val="00332E49"/>
    <w:rsid w:val="00333107"/>
    <w:rsid w:val="0033343B"/>
    <w:rsid w:val="00333611"/>
    <w:rsid w:val="003336F9"/>
    <w:rsid w:val="0033393C"/>
    <w:rsid w:val="00334220"/>
    <w:rsid w:val="003345C1"/>
    <w:rsid w:val="00334606"/>
    <w:rsid w:val="003348B9"/>
    <w:rsid w:val="00334953"/>
    <w:rsid w:val="00335041"/>
    <w:rsid w:val="003350FA"/>
    <w:rsid w:val="00335477"/>
    <w:rsid w:val="003357EE"/>
    <w:rsid w:val="0033588F"/>
    <w:rsid w:val="00335E54"/>
    <w:rsid w:val="003363D5"/>
    <w:rsid w:val="00336694"/>
    <w:rsid w:val="00336C74"/>
    <w:rsid w:val="00336D91"/>
    <w:rsid w:val="0033711B"/>
    <w:rsid w:val="00337368"/>
    <w:rsid w:val="003378A8"/>
    <w:rsid w:val="003379B3"/>
    <w:rsid w:val="00337B09"/>
    <w:rsid w:val="00337B4D"/>
    <w:rsid w:val="00337F61"/>
    <w:rsid w:val="00340266"/>
    <w:rsid w:val="003407A9"/>
    <w:rsid w:val="0034084E"/>
    <w:rsid w:val="00340BA3"/>
    <w:rsid w:val="00340BAF"/>
    <w:rsid w:val="00340C2B"/>
    <w:rsid w:val="00340F9A"/>
    <w:rsid w:val="00341018"/>
    <w:rsid w:val="00341124"/>
    <w:rsid w:val="00341164"/>
    <w:rsid w:val="00341779"/>
    <w:rsid w:val="003417F8"/>
    <w:rsid w:val="003418A2"/>
    <w:rsid w:val="003418F4"/>
    <w:rsid w:val="003420D9"/>
    <w:rsid w:val="00342140"/>
    <w:rsid w:val="003421F8"/>
    <w:rsid w:val="00342349"/>
    <w:rsid w:val="003423E0"/>
    <w:rsid w:val="003424E5"/>
    <w:rsid w:val="00342B8F"/>
    <w:rsid w:val="00342FE5"/>
    <w:rsid w:val="0034301A"/>
    <w:rsid w:val="003434B0"/>
    <w:rsid w:val="00343698"/>
    <w:rsid w:val="00343CBD"/>
    <w:rsid w:val="00343D76"/>
    <w:rsid w:val="0034425C"/>
    <w:rsid w:val="00344524"/>
    <w:rsid w:val="003447E4"/>
    <w:rsid w:val="00344A9A"/>
    <w:rsid w:val="00344AC3"/>
    <w:rsid w:val="00344DB8"/>
    <w:rsid w:val="00344DFD"/>
    <w:rsid w:val="003451D3"/>
    <w:rsid w:val="003456B6"/>
    <w:rsid w:val="00345D98"/>
    <w:rsid w:val="00345DB2"/>
    <w:rsid w:val="00345FDE"/>
    <w:rsid w:val="00346631"/>
    <w:rsid w:val="00346AAD"/>
    <w:rsid w:val="00346C33"/>
    <w:rsid w:val="00346D96"/>
    <w:rsid w:val="0034736A"/>
    <w:rsid w:val="0034747C"/>
    <w:rsid w:val="00347762"/>
    <w:rsid w:val="00347986"/>
    <w:rsid w:val="00347B6C"/>
    <w:rsid w:val="00350C54"/>
    <w:rsid w:val="00350E4F"/>
    <w:rsid w:val="00350E60"/>
    <w:rsid w:val="0035151C"/>
    <w:rsid w:val="0035171A"/>
    <w:rsid w:val="00351966"/>
    <w:rsid w:val="00352254"/>
    <w:rsid w:val="003522A3"/>
    <w:rsid w:val="003524DB"/>
    <w:rsid w:val="0035255A"/>
    <w:rsid w:val="00352C68"/>
    <w:rsid w:val="003534BC"/>
    <w:rsid w:val="00353929"/>
    <w:rsid w:val="00353B69"/>
    <w:rsid w:val="00353F9E"/>
    <w:rsid w:val="003540D1"/>
    <w:rsid w:val="003544FE"/>
    <w:rsid w:val="003545A5"/>
    <w:rsid w:val="003545BF"/>
    <w:rsid w:val="003555BA"/>
    <w:rsid w:val="0035586A"/>
    <w:rsid w:val="00355C04"/>
    <w:rsid w:val="00355E80"/>
    <w:rsid w:val="0035611A"/>
    <w:rsid w:val="003562A3"/>
    <w:rsid w:val="003563E0"/>
    <w:rsid w:val="003568C2"/>
    <w:rsid w:val="00356A1D"/>
    <w:rsid w:val="00356BD8"/>
    <w:rsid w:val="00356C3D"/>
    <w:rsid w:val="00356CA8"/>
    <w:rsid w:val="00357355"/>
    <w:rsid w:val="003575E0"/>
    <w:rsid w:val="00357753"/>
    <w:rsid w:val="0035792B"/>
    <w:rsid w:val="00360066"/>
    <w:rsid w:val="00360085"/>
    <w:rsid w:val="003601A5"/>
    <w:rsid w:val="00360476"/>
    <w:rsid w:val="00360591"/>
    <w:rsid w:val="003606A6"/>
    <w:rsid w:val="00360A82"/>
    <w:rsid w:val="00360AC0"/>
    <w:rsid w:val="00360B5B"/>
    <w:rsid w:val="00360B75"/>
    <w:rsid w:val="00360B7D"/>
    <w:rsid w:val="00360DEE"/>
    <w:rsid w:val="00360E9D"/>
    <w:rsid w:val="0036130D"/>
    <w:rsid w:val="0036151C"/>
    <w:rsid w:val="003616BC"/>
    <w:rsid w:val="00361A9B"/>
    <w:rsid w:val="00361C89"/>
    <w:rsid w:val="00361D69"/>
    <w:rsid w:val="003623DF"/>
    <w:rsid w:val="00362504"/>
    <w:rsid w:val="0036284C"/>
    <w:rsid w:val="00362996"/>
    <w:rsid w:val="00362CCF"/>
    <w:rsid w:val="003631DB"/>
    <w:rsid w:val="00363424"/>
    <w:rsid w:val="00363522"/>
    <w:rsid w:val="00363543"/>
    <w:rsid w:val="003636A8"/>
    <w:rsid w:val="003644CF"/>
    <w:rsid w:val="00364524"/>
    <w:rsid w:val="00364D76"/>
    <w:rsid w:val="0036513A"/>
    <w:rsid w:val="00365237"/>
    <w:rsid w:val="0036559C"/>
    <w:rsid w:val="0036587E"/>
    <w:rsid w:val="00365A60"/>
    <w:rsid w:val="00365E12"/>
    <w:rsid w:val="00365F23"/>
    <w:rsid w:val="003660CD"/>
    <w:rsid w:val="00366193"/>
    <w:rsid w:val="00366B08"/>
    <w:rsid w:val="00366DEC"/>
    <w:rsid w:val="00366F11"/>
    <w:rsid w:val="00367231"/>
    <w:rsid w:val="00367496"/>
    <w:rsid w:val="00367545"/>
    <w:rsid w:val="00367608"/>
    <w:rsid w:val="003676F6"/>
    <w:rsid w:val="003678BE"/>
    <w:rsid w:val="00367ADF"/>
    <w:rsid w:val="00367F97"/>
    <w:rsid w:val="003700A4"/>
    <w:rsid w:val="003700F8"/>
    <w:rsid w:val="003701CE"/>
    <w:rsid w:val="00370221"/>
    <w:rsid w:val="003704F2"/>
    <w:rsid w:val="00370949"/>
    <w:rsid w:val="00370BF0"/>
    <w:rsid w:val="00371461"/>
    <w:rsid w:val="0037163E"/>
    <w:rsid w:val="0037227B"/>
    <w:rsid w:val="0037243B"/>
    <w:rsid w:val="003724D9"/>
    <w:rsid w:val="0037251C"/>
    <w:rsid w:val="003726D7"/>
    <w:rsid w:val="0037272C"/>
    <w:rsid w:val="00372B9A"/>
    <w:rsid w:val="003731BF"/>
    <w:rsid w:val="003738B7"/>
    <w:rsid w:val="00374080"/>
    <w:rsid w:val="00374597"/>
    <w:rsid w:val="003749BB"/>
    <w:rsid w:val="00374A03"/>
    <w:rsid w:val="00374B9D"/>
    <w:rsid w:val="00374D76"/>
    <w:rsid w:val="00375287"/>
    <w:rsid w:val="0037575D"/>
    <w:rsid w:val="00375791"/>
    <w:rsid w:val="00375826"/>
    <w:rsid w:val="00375994"/>
    <w:rsid w:val="00375C59"/>
    <w:rsid w:val="00375E05"/>
    <w:rsid w:val="003760C6"/>
    <w:rsid w:val="0037612C"/>
    <w:rsid w:val="00376BB7"/>
    <w:rsid w:val="00376EEE"/>
    <w:rsid w:val="0037785F"/>
    <w:rsid w:val="00377AAE"/>
    <w:rsid w:val="00377B02"/>
    <w:rsid w:val="00377BA1"/>
    <w:rsid w:val="00377DFF"/>
    <w:rsid w:val="00377E3F"/>
    <w:rsid w:val="00377FF0"/>
    <w:rsid w:val="00380277"/>
    <w:rsid w:val="00380616"/>
    <w:rsid w:val="0038097F"/>
    <w:rsid w:val="00380FC3"/>
    <w:rsid w:val="00381022"/>
    <w:rsid w:val="0038128A"/>
    <w:rsid w:val="003814B8"/>
    <w:rsid w:val="00382282"/>
    <w:rsid w:val="003828D1"/>
    <w:rsid w:val="003828ED"/>
    <w:rsid w:val="00382909"/>
    <w:rsid w:val="00382C28"/>
    <w:rsid w:val="00382C49"/>
    <w:rsid w:val="00382EE1"/>
    <w:rsid w:val="00383206"/>
    <w:rsid w:val="003832F9"/>
    <w:rsid w:val="003837C5"/>
    <w:rsid w:val="00383A88"/>
    <w:rsid w:val="00383B2B"/>
    <w:rsid w:val="00384217"/>
    <w:rsid w:val="00384258"/>
    <w:rsid w:val="003843C7"/>
    <w:rsid w:val="0038469B"/>
    <w:rsid w:val="00384D14"/>
    <w:rsid w:val="00384F40"/>
    <w:rsid w:val="00385131"/>
    <w:rsid w:val="0038567D"/>
    <w:rsid w:val="00385A94"/>
    <w:rsid w:val="00386180"/>
    <w:rsid w:val="0038620B"/>
    <w:rsid w:val="003870D1"/>
    <w:rsid w:val="00387647"/>
    <w:rsid w:val="0038791A"/>
    <w:rsid w:val="00387A96"/>
    <w:rsid w:val="00387D66"/>
    <w:rsid w:val="0039001B"/>
    <w:rsid w:val="00390056"/>
    <w:rsid w:val="0039025C"/>
    <w:rsid w:val="0039055C"/>
    <w:rsid w:val="00390718"/>
    <w:rsid w:val="00390748"/>
    <w:rsid w:val="00390767"/>
    <w:rsid w:val="00390883"/>
    <w:rsid w:val="003911CC"/>
    <w:rsid w:val="00391470"/>
    <w:rsid w:val="00391863"/>
    <w:rsid w:val="00391983"/>
    <w:rsid w:val="003920C4"/>
    <w:rsid w:val="00392184"/>
    <w:rsid w:val="00392652"/>
    <w:rsid w:val="00392B41"/>
    <w:rsid w:val="00392DA2"/>
    <w:rsid w:val="00392EE7"/>
    <w:rsid w:val="0039377E"/>
    <w:rsid w:val="0039380D"/>
    <w:rsid w:val="00393B16"/>
    <w:rsid w:val="0039456F"/>
    <w:rsid w:val="003945C8"/>
    <w:rsid w:val="0039480D"/>
    <w:rsid w:val="0039498A"/>
    <w:rsid w:val="00394DCC"/>
    <w:rsid w:val="00394F2C"/>
    <w:rsid w:val="00395298"/>
    <w:rsid w:val="00395446"/>
    <w:rsid w:val="003957F6"/>
    <w:rsid w:val="00395855"/>
    <w:rsid w:val="00396051"/>
    <w:rsid w:val="00396725"/>
    <w:rsid w:val="00396755"/>
    <w:rsid w:val="0039683D"/>
    <w:rsid w:val="003968A0"/>
    <w:rsid w:val="00396ED5"/>
    <w:rsid w:val="00397A28"/>
    <w:rsid w:val="00397DB6"/>
    <w:rsid w:val="00397E94"/>
    <w:rsid w:val="00397F05"/>
    <w:rsid w:val="003A0442"/>
    <w:rsid w:val="003A0656"/>
    <w:rsid w:val="003A0899"/>
    <w:rsid w:val="003A0DD4"/>
    <w:rsid w:val="003A1495"/>
    <w:rsid w:val="003A1512"/>
    <w:rsid w:val="003A17F0"/>
    <w:rsid w:val="003A1B4C"/>
    <w:rsid w:val="003A1EB7"/>
    <w:rsid w:val="003A23F3"/>
    <w:rsid w:val="003A2A03"/>
    <w:rsid w:val="003A2BC8"/>
    <w:rsid w:val="003A2D82"/>
    <w:rsid w:val="003A2F11"/>
    <w:rsid w:val="003A31A4"/>
    <w:rsid w:val="003A337C"/>
    <w:rsid w:val="003A344F"/>
    <w:rsid w:val="003A3683"/>
    <w:rsid w:val="003A36DA"/>
    <w:rsid w:val="003A3792"/>
    <w:rsid w:val="003A384A"/>
    <w:rsid w:val="003A38B1"/>
    <w:rsid w:val="003A38F1"/>
    <w:rsid w:val="003A3D1B"/>
    <w:rsid w:val="003A3F09"/>
    <w:rsid w:val="003A3F39"/>
    <w:rsid w:val="003A4296"/>
    <w:rsid w:val="003A4549"/>
    <w:rsid w:val="003A45AF"/>
    <w:rsid w:val="003A49B3"/>
    <w:rsid w:val="003A4B57"/>
    <w:rsid w:val="003A4D5E"/>
    <w:rsid w:val="003A502E"/>
    <w:rsid w:val="003A529A"/>
    <w:rsid w:val="003A542A"/>
    <w:rsid w:val="003A551C"/>
    <w:rsid w:val="003A55B4"/>
    <w:rsid w:val="003A599E"/>
    <w:rsid w:val="003A60DE"/>
    <w:rsid w:val="003A613F"/>
    <w:rsid w:val="003A61B6"/>
    <w:rsid w:val="003A623F"/>
    <w:rsid w:val="003A6351"/>
    <w:rsid w:val="003A6513"/>
    <w:rsid w:val="003A68D2"/>
    <w:rsid w:val="003A71AD"/>
    <w:rsid w:val="003A7B32"/>
    <w:rsid w:val="003A7D1D"/>
    <w:rsid w:val="003ACA25"/>
    <w:rsid w:val="003B014A"/>
    <w:rsid w:val="003B04CA"/>
    <w:rsid w:val="003B04CE"/>
    <w:rsid w:val="003B05CA"/>
    <w:rsid w:val="003B099E"/>
    <w:rsid w:val="003B1688"/>
    <w:rsid w:val="003B1830"/>
    <w:rsid w:val="003B1F1A"/>
    <w:rsid w:val="003B1FA4"/>
    <w:rsid w:val="003B1FC2"/>
    <w:rsid w:val="003B1FE6"/>
    <w:rsid w:val="003B2368"/>
    <w:rsid w:val="003B28F5"/>
    <w:rsid w:val="003B28FB"/>
    <w:rsid w:val="003B2AFE"/>
    <w:rsid w:val="003B2E6F"/>
    <w:rsid w:val="003B2EDE"/>
    <w:rsid w:val="003B3106"/>
    <w:rsid w:val="003B3294"/>
    <w:rsid w:val="003B349A"/>
    <w:rsid w:val="003B378F"/>
    <w:rsid w:val="003B3974"/>
    <w:rsid w:val="003B39E0"/>
    <w:rsid w:val="003B3DAB"/>
    <w:rsid w:val="003B404D"/>
    <w:rsid w:val="003B45AA"/>
    <w:rsid w:val="003B46EF"/>
    <w:rsid w:val="003B4859"/>
    <w:rsid w:val="003B487F"/>
    <w:rsid w:val="003B4881"/>
    <w:rsid w:val="003B4941"/>
    <w:rsid w:val="003B4B34"/>
    <w:rsid w:val="003B4CDA"/>
    <w:rsid w:val="003B4EEB"/>
    <w:rsid w:val="003B4F2D"/>
    <w:rsid w:val="003B50A0"/>
    <w:rsid w:val="003B531B"/>
    <w:rsid w:val="003B53A9"/>
    <w:rsid w:val="003B55D7"/>
    <w:rsid w:val="003B5B25"/>
    <w:rsid w:val="003B5BD9"/>
    <w:rsid w:val="003B64A3"/>
    <w:rsid w:val="003B690B"/>
    <w:rsid w:val="003B6DB8"/>
    <w:rsid w:val="003B7264"/>
    <w:rsid w:val="003B72B9"/>
    <w:rsid w:val="003B744E"/>
    <w:rsid w:val="003B772B"/>
    <w:rsid w:val="003B787B"/>
    <w:rsid w:val="003B7D97"/>
    <w:rsid w:val="003C0042"/>
    <w:rsid w:val="003C0184"/>
    <w:rsid w:val="003C0887"/>
    <w:rsid w:val="003C08AF"/>
    <w:rsid w:val="003C0A8C"/>
    <w:rsid w:val="003C0CD9"/>
    <w:rsid w:val="003C0E97"/>
    <w:rsid w:val="003C0FC2"/>
    <w:rsid w:val="003C1107"/>
    <w:rsid w:val="003C133F"/>
    <w:rsid w:val="003C1C33"/>
    <w:rsid w:val="003C20BF"/>
    <w:rsid w:val="003C24E3"/>
    <w:rsid w:val="003C2621"/>
    <w:rsid w:val="003C28D1"/>
    <w:rsid w:val="003C2BB1"/>
    <w:rsid w:val="003C2C56"/>
    <w:rsid w:val="003C2C91"/>
    <w:rsid w:val="003C2EDD"/>
    <w:rsid w:val="003C2FE2"/>
    <w:rsid w:val="003C3220"/>
    <w:rsid w:val="003C32C5"/>
    <w:rsid w:val="003C3A47"/>
    <w:rsid w:val="003C3A79"/>
    <w:rsid w:val="003C471B"/>
    <w:rsid w:val="003C47AC"/>
    <w:rsid w:val="003C48F2"/>
    <w:rsid w:val="003C4C7A"/>
    <w:rsid w:val="003C5177"/>
    <w:rsid w:val="003C5195"/>
    <w:rsid w:val="003C52B0"/>
    <w:rsid w:val="003C577D"/>
    <w:rsid w:val="003C5911"/>
    <w:rsid w:val="003C5B0D"/>
    <w:rsid w:val="003C5CDB"/>
    <w:rsid w:val="003C6465"/>
    <w:rsid w:val="003C65E4"/>
    <w:rsid w:val="003C6C18"/>
    <w:rsid w:val="003C6EFE"/>
    <w:rsid w:val="003C7712"/>
    <w:rsid w:val="003C7862"/>
    <w:rsid w:val="003C7E45"/>
    <w:rsid w:val="003C7ECD"/>
    <w:rsid w:val="003D007D"/>
    <w:rsid w:val="003D01A1"/>
    <w:rsid w:val="003D03A5"/>
    <w:rsid w:val="003D04D6"/>
    <w:rsid w:val="003D04DA"/>
    <w:rsid w:val="003D04F6"/>
    <w:rsid w:val="003D0723"/>
    <w:rsid w:val="003D0B39"/>
    <w:rsid w:val="003D0C73"/>
    <w:rsid w:val="003D182D"/>
    <w:rsid w:val="003D18CC"/>
    <w:rsid w:val="003D19C1"/>
    <w:rsid w:val="003D249C"/>
    <w:rsid w:val="003D2DC5"/>
    <w:rsid w:val="003D3583"/>
    <w:rsid w:val="003D37A0"/>
    <w:rsid w:val="003D391E"/>
    <w:rsid w:val="003D3B6F"/>
    <w:rsid w:val="003D3C27"/>
    <w:rsid w:val="003D40E8"/>
    <w:rsid w:val="003D455E"/>
    <w:rsid w:val="003D4685"/>
    <w:rsid w:val="003D4BA0"/>
    <w:rsid w:val="003D4ED2"/>
    <w:rsid w:val="003D517E"/>
    <w:rsid w:val="003D5216"/>
    <w:rsid w:val="003D528D"/>
    <w:rsid w:val="003D52B3"/>
    <w:rsid w:val="003D561E"/>
    <w:rsid w:val="003D5785"/>
    <w:rsid w:val="003D5A2D"/>
    <w:rsid w:val="003D5A9D"/>
    <w:rsid w:val="003D62C0"/>
    <w:rsid w:val="003D65F6"/>
    <w:rsid w:val="003D66F2"/>
    <w:rsid w:val="003D6911"/>
    <w:rsid w:val="003D6930"/>
    <w:rsid w:val="003D79CC"/>
    <w:rsid w:val="003D7C2D"/>
    <w:rsid w:val="003D7E4B"/>
    <w:rsid w:val="003E0035"/>
    <w:rsid w:val="003E00C3"/>
    <w:rsid w:val="003E0253"/>
    <w:rsid w:val="003E0335"/>
    <w:rsid w:val="003E0C14"/>
    <w:rsid w:val="003E0D6F"/>
    <w:rsid w:val="003E13DC"/>
    <w:rsid w:val="003E1524"/>
    <w:rsid w:val="003E1591"/>
    <w:rsid w:val="003E1799"/>
    <w:rsid w:val="003E1ACF"/>
    <w:rsid w:val="003E1C5B"/>
    <w:rsid w:val="003E216C"/>
    <w:rsid w:val="003E22E9"/>
    <w:rsid w:val="003E236E"/>
    <w:rsid w:val="003E259D"/>
    <w:rsid w:val="003E26BA"/>
    <w:rsid w:val="003E2906"/>
    <w:rsid w:val="003E2969"/>
    <w:rsid w:val="003E2C1A"/>
    <w:rsid w:val="003E2CE2"/>
    <w:rsid w:val="003E2D09"/>
    <w:rsid w:val="003E3132"/>
    <w:rsid w:val="003E3209"/>
    <w:rsid w:val="003E330F"/>
    <w:rsid w:val="003E3478"/>
    <w:rsid w:val="003E3A63"/>
    <w:rsid w:val="003E3C99"/>
    <w:rsid w:val="003E3F7F"/>
    <w:rsid w:val="003E443D"/>
    <w:rsid w:val="003E48E6"/>
    <w:rsid w:val="003E490F"/>
    <w:rsid w:val="003E4B5B"/>
    <w:rsid w:val="003E4E74"/>
    <w:rsid w:val="003E50C7"/>
    <w:rsid w:val="003E51F7"/>
    <w:rsid w:val="003E53C3"/>
    <w:rsid w:val="003E5D13"/>
    <w:rsid w:val="003E5D30"/>
    <w:rsid w:val="003E5F00"/>
    <w:rsid w:val="003E5F7D"/>
    <w:rsid w:val="003E6520"/>
    <w:rsid w:val="003E67E7"/>
    <w:rsid w:val="003E6B3C"/>
    <w:rsid w:val="003E6B95"/>
    <w:rsid w:val="003E6DB7"/>
    <w:rsid w:val="003E6F59"/>
    <w:rsid w:val="003E7086"/>
    <w:rsid w:val="003E70FF"/>
    <w:rsid w:val="003E736C"/>
    <w:rsid w:val="003E7492"/>
    <w:rsid w:val="003E7536"/>
    <w:rsid w:val="003E768A"/>
    <w:rsid w:val="003E77A4"/>
    <w:rsid w:val="003E7BA9"/>
    <w:rsid w:val="003E7D47"/>
    <w:rsid w:val="003E7F1B"/>
    <w:rsid w:val="003F0798"/>
    <w:rsid w:val="003F085C"/>
    <w:rsid w:val="003F0B41"/>
    <w:rsid w:val="003F0C2A"/>
    <w:rsid w:val="003F0FDB"/>
    <w:rsid w:val="003F145F"/>
    <w:rsid w:val="003F1850"/>
    <w:rsid w:val="003F1D77"/>
    <w:rsid w:val="003F1E39"/>
    <w:rsid w:val="003F1FB5"/>
    <w:rsid w:val="003F2001"/>
    <w:rsid w:val="003F2055"/>
    <w:rsid w:val="003F229D"/>
    <w:rsid w:val="003F2526"/>
    <w:rsid w:val="003F25F0"/>
    <w:rsid w:val="003F2D5B"/>
    <w:rsid w:val="003F2E38"/>
    <w:rsid w:val="003F2F86"/>
    <w:rsid w:val="003F3138"/>
    <w:rsid w:val="003F3226"/>
    <w:rsid w:val="003F3328"/>
    <w:rsid w:val="003F3E40"/>
    <w:rsid w:val="003F421D"/>
    <w:rsid w:val="003F430A"/>
    <w:rsid w:val="003F44B5"/>
    <w:rsid w:val="003F45C5"/>
    <w:rsid w:val="003F5028"/>
    <w:rsid w:val="003F50E9"/>
    <w:rsid w:val="003F5325"/>
    <w:rsid w:val="003F5518"/>
    <w:rsid w:val="003F5AD2"/>
    <w:rsid w:val="003F5CA4"/>
    <w:rsid w:val="003F5E21"/>
    <w:rsid w:val="003F614D"/>
    <w:rsid w:val="003F6346"/>
    <w:rsid w:val="003F6488"/>
    <w:rsid w:val="003F6664"/>
    <w:rsid w:val="003F692A"/>
    <w:rsid w:val="003F6AF5"/>
    <w:rsid w:val="003F6D3E"/>
    <w:rsid w:val="003F6D50"/>
    <w:rsid w:val="003F7006"/>
    <w:rsid w:val="003F7507"/>
    <w:rsid w:val="003F7C52"/>
    <w:rsid w:val="003F7C72"/>
    <w:rsid w:val="003F7D10"/>
    <w:rsid w:val="0040017F"/>
    <w:rsid w:val="004003A2"/>
    <w:rsid w:val="00400BEC"/>
    <w:rsid w:val="00400DC2"/>
    <w:rsid w:val="00400DE0"/>
    <w:rsid w:val="00401000"/>
    <w:rsid w:val="004016C6"/>
    <w:rsid w:val="0040175A"/>
    <w:rsid w:val="0040179A"/>
    <w:rsid w:val="00401856"/>
    <w:rsid w:val="004018A4"/>
    <w:rsid w:val="00401A19"/>
    <w:rsid w:val="0040237E"/>
    <w:rsid w:val="0040240B"/>
    <w:rsid w:val="0040287A"/>
    <w:rsid w:val="004028A2"/>
    <w:rsid w:val="00402DE5"/>
    <w:rsid w:val="00402FEA"/>
    <w:rsid w:val="00402FEB"/>
    <w:rsid w:val="00403344"/>
    <w:rsid w:val="00403745"/>
    <w:rsid w:val="00403852"/>
    <w:rsid w:val="004038A1"/>
    <w:rsid w:val="00403BAA"/>
    <w:rsid w:val="00403C82"/>
    <w:rsid w:val="00403CF5"/>
    <w:rsid w:val="00403E28"/>
    <w:rsid w:val="00404497"/>
    <w:rsid w:val="004048C9"/>
    <w:rsid w:val="00404910"/>
    <w:rsid w:val="004049AA"/>
    <w:rsid w:val="00404C44"/>
    <w:rsid w:val="00404EE8"/>
    <w:rsid w:val="00404F5B"/>
    <w:rsid w:val="0040510D"/>
    <w:rsid w:val="0040512D"/>
    <w:rsid w:val="004052D4"/>
    <w:rsid w:val="0040564F"/>
    <w:rsid w:val="00405B3E"/>
    <w:rsid w:val="00405EC9"/>
    <w:rsid w:val="00405F6D"/>
    <w:rsid w:val="0040602F"/>
    <w:rsid w:val="0040638D"/>
    <w:rsid w:val="0040665B"/>
    <w:rsid w:val="00406829"/>
    <w:rsid w:val="00406AFB"/>
    <w:rsid w:val="00407177"/>
    <w:rsid w:val="00407382"/>
    <w:rsid w:val="00407508"/>
    <w:rsid w:val="00407534"/>
    <w:rsid w:val="004075E2"/>
    <w:rsid w:val="0040791B"/>
    <w:rsid w:val="0040793B"/>
    <w:rsid w:val="00407C65"/>
    <w:rsid w:val="004102EC"/>
    <w:rsid w:val="004105B5"/>
    <w:rsid w:val="004110BA"/>
    <w:rsid w:val="00411596"/>
    <w:rsid w:val="0041176D"/>
    <w:rsid w:val="00411958"/>
    <w:rsid w:val="004119BA"/>
    <w:rsid w:val="00411B2A"/>
    <w:rsid w:val="00411DE2"/>
    <w:rsid w:val="00412525"/>
    <w:rsid w:val="00412973"/>
    <w:rsid w:val="00412AAF"/>
    <w:rsid w:val="00412D42"/>
    <w:rsid w:val="00412DA4"/>
    <w:rsid w:val="00412EB6"/>
    <w:rsid w:val="0041351F"/>
    <w:rsid w:val="00413693"/>
    <w:rsid w:val="004137AB"/>
    <w:rsid w:val="004137C8"/>
    <w:rsid w:val="00413BF9"/>
    <w:rsid w:val="00413C25"/>
    <w:rsid w:val="00413CD8"/>
    <w:rsid w:val="004142B7"/>
    <w:rsid w:val="00414BAC"/>
    <w:rsid w:val="00415531"/>
    <w:rsid w:val="0041562F"/>
    <w:rsid w:val="0041577F"/>
    <w:rsid w:val="0041582E"/>
    <w:rsid w:val="00415B8D"/>
    <w:rsid w:val="00415DCD"/>
    <w:rsid w:val="00416330"/>
    <w:rsid w:val="00416D7E"/>
    <w:rsid w:val="004176C7"/>
    <w:rsid w:val="00417877"/>
    <w:rsid w:val="00417919"/>
    <w:rsid w:val="00417D9F"/>
    <w:rsid w:val="00420229"/>
    <w:rsid w:val="00420575"/>
    <w:rsid w:val="00420A16"/>
    <w:rsid w:val="00420DBA"/>
    <w:rsid w:val="00420F05"/>
    <w:rsid w:val="00420F55"/>
    <w:rsid w:val="00421311"/>
    <w:rsid w:val="00421480"/>
    <w:rsid w:val="0042156C"/>
    <w:rsid w:val="00421829"/>
    <w:rsid w:val="004219B6"/>
    <w:rsid w:val="0042209F"/>
    <w:rsid w:val="0042219B"/>
    <w:rsid w:val="004225B2"/>
    <w:rsid w:val="00422644"/>
    <w:rsid w:val="004226F3"/>
    <w:rsid w:val="004228DD"/>
    <w:rsid w:val="00422A32"/>
    <w:rsid w:val="00422E13"/>
    <w:rsid w:val="0042350F"/>
    <w:rsid w:val="00423599"/>
    <w:rsid w:val="0042384C"/>
    <w:rsid w:val="00423893"/>
    <w:rsid w:val="00423BC9"/>
    <w:rsid w:val="00423F90"/>
    <w:rsid w:val="004245D9"/>
    <w:rsid w:val="0042490F"/>
    <w:rsid w:val="00424921"/>
    <w:rsid w:val="00424D65"/>
    <w:rsid w:val="004255B4"/>
    <w:rsid w:val="00425F20"/>
    <w:rsid w:val="00426766"/>
    <w:rsid w:val="004267D0"/>
    <w:rsid w:val="0042686C"/>
    <w:rsid w:val="00427068"/>
    <w:rsid w:val="004276A9"/>
    <w:rsid w:val="004279CA"/>
    <w:rsid w:val="00427A82"/>
    <w:rsid w:val="00427EA2"/>
    <w:rsid w:val="00430115"/>
    <w:rsid w:val="0043046B"/>
    <w:rsid w:val="004307D3"/>
    <w:rsid w:val="00430A4B"/>
    <w:rsid w:val="00430CDE"/>
    <w:rsid w:val="00430F65"/>
    <w:rsid w:val="00431256"/>
    <w:rsid w:val="00431AB7"/>
    <w:rsid w:val="00431C35"/>
    <w:rsid w:val="00431C46"/>
    <w:rsid w:val="00431F95"/>
    <w:rsid w:val="00432086"/>
    <w:rsid w:val="004325C6"/>
    <w:rsid w:val="004327E6"/>
    <w:rsid w:val="004329DC"/>
    <w:rsid w:val="00432A89"/>
    <w:rsid w:val="00432AC6"/>
    <w:rsid w:val="00432D38"/>
    <w:rsid w:val="00432FD0"/>
    <w:rsid w:val="00432FEC"/>
    <w:rsid w:val="0043334B"/>
    <w:rsid w:val="00434932"/>
    <w:rsid w:val="00434B31"/>
    <w:rsid w:val="00434C59"/>
    <w:rsid w:val="00434C5E"/>
    <w:rsid w:val="00435434"/>
    <w:rsid w:val="00435765"/>
    <w:rsid w:val="00435ACD"/>
    <w:rsid w:val="00435FD9"/>
    <w:rsid w:val="004360B6"/>
    <w:rsid w:val="004362E5"/>
    <w:rsid w:val="00436356"/>
    <w:rsid w:val="004366CE"/>
    <w:rsid w:val="004366F1"/>
    <w:rsid w:val="00436FB9"/>
    <w:rsid w:val="004373A0"/>
    <w:rsid w:val="004375E5"/>
    <w:rsid w:val="0043774A"/>
    <w:rsid w:val="0043789D"/>
    <w:rsid w:val="00437B62"/>
    <w:rsid w:val="0044057E"/>
    <w:rsid w:val="004406FA"/>
    <w:rsid w:val="00440722"/>
    <w:rsid w:val="00440F2E"/>
    <w:rsid w:val="0044153F"/>
    <w:rsid w:val="004415D1"/>
    <w:rsid w:val="0044194A"/>
    <w:rsid w:val="00441EC7"/>
    <w:rsid w:val="00442031"/>
    <w:rsid w:val="0044222C"/>
    <w:rsid w:val="004425CD"/>
    <w:rsid w:val="004425D9"/>
    <w:rsid w:val="00442B95"/>
    <w:rsid w:val="00442D00"/>
    <w:rsid w:val="0044313F"/>
    <w:rsid w:val="00443244"/>
    <w:rsid w:val="00443974"/>
    <w:rsid w:val="004439BE"/>
    <w:rsid w:val="00443E87"/>
    <w:rsid w:val="004441BA"/>
    <w:rsid w:val="00444204"/>
    <w:rsid w:val="004448C0"/>
    <w:rsid w:val="00444AF6"/>
    <w:rsid w:val="00444FE0"/>
    <w:rsid w:val="004450D9"/>
    <w:rsid w:val="0044519D"/>
    <w:rsid w:val="00445544"/>
    <w:rsid w:val="00445AF1"/>
    <w:rsid w:val="00445C0B"/>
    <w:rsid w:val="00445CBF"/>
    <w:rsid w:val="00446195"/>
    <w:rsid w:val="004464C0"/>
    <w:rsid w:val="0044664B"/>
    <w:rsid w:val="0044685F"/>
    <w:rsid w:val="00447597"/>
    <w:rsid w:val="00447CD0"/>
    <w:rsid w:val="00447FC2"/>
    <w:rsid w:val="004502F4"/>
    <w:rsid w:val="004506F4"/>
    <w:rsid w:val="004509D1"/>
    <w:rsid w:val="00450A42"/>
    <w:rsid w:val="00450C0D"/>
    <w:rsid w:val="00451219"/>
    <w:rsid w:val="004513A5"/>
    <w:rsid w:val="004513F6"/>
    <w:rsid w:val="00451727"/>
    <w:rsid w:val="00451800"/>
    <w:rsid w:val="00451C1C"/>
    <w:rsid w:val="00451D50"/>
    <w:rsid w:val="00451E72"/>
    <w:rsid w:val="0045208F"/>
    <w:rsid w:val="00452783"/>
    <w:rsid w:val="00452DDC"/>
    <w:rsid w:val="00452EA2"/>
    <w:rsid w:val="00452EC4"/>
    <w:rsid w:val="0045330A"/>
    <w:rsid w:val="00453340"/>
    <w:rsid w:val="00453641"/>
    <w:rsid w:val="00453775"/>
    <w:rsid w:val="004537FB"/>
    <w:rsid w:val="00453830"/>
    <w:rsid w:val="00453890"/>
    <w:rsid w:val="00454380"/>
    <w:rsid w:val="0045470C"/>
    <w:rsid w:val="00454FF6"/>
    <w:rsid w:val="004552C8"/>
    <w:rsid w:val="0045531E"/>
    <w:rsid w:val="0045536C"/>
    <w:rsid w:val="00455720"/>
    <w:rsid w:val="00455A07"/>
    <w:rsid w:val="00455AEB"/>
    <w:rsid w:val="0045603C"/>
    <w:rsid w:val="00456053"/>
    <w:rsid w:val="00456068"/>
    <w:rsid w:val="004564FE"/>
    <w:rsid w:val="00456896"/>
    <w:rsid w:val="00456ADA"/>
    <w:rsid w:val="00456B09"/>
    <w:rsid w:val="00456B0D"/>
    <w:rsid w:val="00456F0F"/>
    <w:rsid w:val="00457042"/>
    <w:rsid w:val="00457246"/>
    <w:rsid w:val="0045770D"/>
    <w:rsid w:val="0045790F"/>
    <w:rsid w:val="00457D63"/>
    <w:rsid w:val="00457D9C"/>
    <w:rsid w:val="00457E21"/>
    <w:rsid w:val="0046007E"/>
    <w:rsid w:val="004600A5"/>
    <w:rsid w:val="00460130"/>
    <w:rsid w:val="0046024B"/>
    <w:rsid w:val="004609F0"/>
    <w:rsid w:val="00460AF9"/>
    <w:rsid w:val="00460E36"/>
    <w:rsid w:val="00461155"/>
    <w:rsid w:val="0046121F"/>
    <w:rsid w:val="00461556"/>
    <w:rsid w:val="00461787"/>
    <w:rsid w:val="00461911"/>
    <w:rsid w:val="00461D19"/>
    <w:rsid w:val="0046218C"/>
    <w:rsid w:val="0046219C"/>
    <w:rsid w:val="004623D4"/>
    <w:rsid w:val="00462469"/>
    <w:rsid w:val="004624F3"/>
    <w:rsid w:val="00462F01"/>
    <w:rsid w:val="00462F44"/>
    <w:rsid w:val="00463124"/>
    <w:rsid w:val="0046390A"/>
    <w:rsid w:val="00463944"/>
    <w:rsid w:val="00463962"/>
    <w:rsid w:val="00463FE0"/>
    <w:rsid w:val="00464431"/>
    <w:rsid w:val="0046454A"/>
    <w:rsid w:val="00464BA6"/>
    <w:rsid w:val="0046512A"/>
    <w:rsid w:val="00465234"/>
    <w:rsid w:val="004653B5"/>
    <w:rsid w:val="00465655"/>
    <w:rsid w:val="00465680"/>
    <w:rsid w:val="00465B24"/>
    <w:rsid w:val="00465BAF"/>
    <w:rsid w:val="00465C17"/>
    <w:rsid w:val="004660B8"/>
    <w:rsid w:val="0046626C"/>
    <w:rsid w:val="00466533"/>
    <w:rsid w:val="00466858"/>
    <w:rsid w:val="00466C23"/>
    <w:rsid w:val="00466D0F"/>
    <w:rsid w:val="00466DC1"/>
    <w:rsid w:val="00466EF6"/>
    <w:rsid w:val="0046717C"/>
    <w:rsid w:val="00467544"/>
    <w:rsid w:val="004676BA"/>
    <w:rsid w:val="0046784C"/>
    <w:rsid w:val="00467BFE"/>
    <w:rsid w:val="00467ECB"/>
    <w:rsid w:val="004700F9"/>
    <w:rsid w:val="00470354"/>
    <w:rsid w:val="00470537"/>
    <w:rsid w:val="004710C3"/>
    <w:rsid w:val="00471459"/>
    <w:rsid w:val="004720B6"/>
    <w:rsid w:val="00472274"/>
    <w:rsid w:val="004722D4"/>
    <w:rsid w:val="0047239C"/>
    <w:rsid w:val="004723FE"/>
    <w:rsid w:val="00472AA0"/>
    <w:rsid w:val="00472D9C"/>
    <w:rsid w:val="00472FB5"/>
    <w:rsid w:val="0047310D"/>
    <w:rsid w:val="00473306"/>
    <w:rsid w:val="00473A6C"/>
    <w:rsid w:val="00473B60"/>
    <w:rsid w:val="004740E8"/>
    <w:rsid w:val="0047499E"/>
    <w:rsid w:val="00474E30"/>
    <w:rsid w:val="00474FCE"/>
    <w:rsid w:val="00475043"/>
    <w:rsid w:val="004753EE"/>
    <w:rsid w:val="004753F1"/>
    <w:rsid w:val="0047599C"/>
    <w:rsid w:val="00475AFF"/>
    <w:rsid w:val="00475D30"/>
    <w:rsid w:val="004765F4"/>
    <w:rsid w:val="004769D1"/>
    <w:rsid w:val="00476B4D"/>
    <w:rsid w:val="00476CBC"/>
    <w:rsid w:val="00476D5B"/>
    <w:rsid w:val="00476E6C"/>
    <w:rsid w:val="00476E79"/>
    <w:rsid w:val="0047716D"/>
    <w:rsid w:val="00477282"/>
    <w:rsid w:val="00477442"/>
    <w:rsid w:val="00477599"/>
    <w:rsid w:val="00477947"/>
    <w:rsid w:val="00480ABA"/>
    <w:rsid w:val="00480D96"/>
    <w:rsid w:val="00480F32"/>
    <w:rsid w:val="00480FA1"/>
    <w:rsid w:val="004815C4"/>
    <w:rsid w:val="00481664"/>
    <w:rsid w:val="00481FD7"/>
    <w:rsid w:val="0048216F"/>
    <w:rsid w:val="00482760"/>
    <w:rsid w:val="00482DE5"/>
    <w:rsid w:val="00483266"/>
    <w:rsid w:val="0048352E"/>
    <w:rsid w:val="004835A4"/>
    <w:rsid w:val="004836A9"/>
    <w:rsid w:val="00483B23"/>
    <w:rsid w:val="004840D7"/>
    <w:rsid w:val="00484379"/>
    <w:rsid w:val="004846F4"/>
    <w:rsid w:val="004848E0"/>
    <w:rsid w:val="00484C3A"/>
    <w:rsid w:val="00484E22"/>
    <w:rsid w:val="00485206"/>
    <w:rsid w:val="00485C26"/>
    <w:rsid w:val="00485D97"/>
    <w:rsid w:val="00485EC0"/>
    <w:rsid w:val="00485FD4"/>
    <w:rsid w:val="00486743"/>
    <w:rsid w:val="004875E1"/>
    <w:rsid w:val="0048768B"/>
    <w:rsid w:val="0048771C"/>
    <w:rsid w:val="00487B37"/>
    <w:rsid w:val="00487D59"/>
    <w:rsid w:val="00490442"/>
    <w:rsid w:val="00490636"/>
    <w:rsid w:val="00490818"/>
    <w:rsid w:val="00490B1A"/>
    <w:rsid w:val="00490FF0"/>
    <w:rsid w:val="0049107A"/>
    <w:rsid w:val="004910FE"/>
    <w:rsid w:val="00491198"/>
    <w:rsid w:val="0049149F"/>
    <w:rsid w:val="004917E0"/>
    <w:rsid w:val="00491BF6"/>
    <w:rsid w:val="00491F59"/>
    <w:rsid w:val="00491FED"/>
    <w:rsid w:val="004920D1"/>
    <w:rsid w:val="004923A6"/>
    <w:rsid w:val="004923E5"/>
    <w:rsid w:val="0049243E"/>
    <w:rsid w:val="0049288B"/>
    <w:rsid w:val="00492B6C"/>
    <w:rsid w:val="00492E02"/>
    <w:rsid w:val="00492F82"/>
    <w:rsid w:val="0049306A"/>
    <w:rsid w:val="004930A6"/>
    <w:rsid w:val="00493804"/>
    <w:rsid w:val="00493996"/>
    <w:rsid w:val="004941AE"/>
    <w:rsid w:val="004943C2"/>
    <w:rsid w:val="0049481C"/>
    <w:rsid w:val="00494918"/>
    <w:rsid w:val="00494A3F"/>
    <w:rsid w:val="00494C65"/>
    <w:rsid w:val="00494F0C"/>
    <w:rsid w:val="004950AB"/>
    <w:rsid w:val="00495188"/>
    <w:rsid w:val="004954CF"/>
    <w:rsid w:val="00495557"/>
    <w:rsid w:val="00495827"/>
    <w:rsid w:val="00495953"/>
    <w:rsid w:val="00495D84"/>
    <w:rsid w:val="0049618D"/>
    <w:rsid w:val="004961FD"/>
    <w:rsid w:val="004962DC"/>
    <w:rsid w:val="004965EF"/>
    <w:rsid w:val="004966C0"/>
    <w:rsid w:val="00496A49"/>
    <w:rsid w:val="0049719D"/>
    <w:rsid w:val="00497261"/>
    <w:rsid w:val="004978BB"/>
    <w:rsid w:val="00497B0E"/>
    <w:rsid w:val="00497FCD"/>
    <w:rsid w:val="004A0037"/>
    <w:rsid w:val="004A00A6"/>
    <w:rsid w:val="004A053A"/>
    <w:rsid w:val="004A0813"/>
    <w:rsid w:val="004A09B9"/>
    <w:rsid w:val="004A0D1E"/>
    <w:rsid w:val="004A0E66"/>
    <w:rsid w:val="004A0EEC"/>
    <w:rsid w:val="004A130F"/>
    <w:rsid w:val="004A140F"/>
    <w:rsid w:val="004A17EF"/>
    <w:rsid w:val="004A19B3"/>
    <w:rsid w:val="004A1BDA"/>
    <w:rsid w:val="004A22DA"/>
    <w:rsid w:val="004A23FC"/>
    <w:rsid w:val="004A2558"/>
    <w:rsid w:val="004A2700"/>
    <w:rsid w:val="004A2EA0"/>
    <w:rsid w:val="004A300F"/>
    <w:rsid w:val="004A301B"/>
    <w:rsid w:val="004A3037"/>
    <w:rsid w:val="004A30D9"/>
    <w:rsid w:val="004A341C"/>
    <w:rsid w:val="004A34CE"/>
    <w:rsid w:val="004A36C8"/>
    <w:rsid w:val="004A3721"/>
    <w:rsid w:val="004A372B"/>
    <w:rsid w:val="004A3742"/>
    <w:rsid w:val="004A37B8"/>
    <w:rsid w:val="004A382D"/>
    <w:rsid w:val="004A393C"/>
    <w:rsid w:val="004A3ED3"/>
    <w:rsid w:val="004A40D2"/>
    <w:rsid w:val="004A4134"/>
    <w:rsid w:val="004A44FA"/>
    <w:rsid w:val="004A47BC"/>
    <w:rsid w:val="004A49A6"/>
    <w:rsid w:val="004A4AC6"/>
    <w:rsid w:val="004A5544"/>
    <w:rsid w:val="004A554E"/>
    <w:rsid w:val="004A5736"/>
    <w:rsid w:val="004A5ACC"/>
    <w:rsid w:val="004A5EBB"/>
    <w:rsid w:val="004A5FBA"/>
    <w:rsid w:val="004A5FBC"/>
    <w:rsid w:val="004A6451"/>
    <w:rsid w:val="004A6A90"/>
    <w:rsid w:val="004A6C96"/>
    <w:rsid w:val="004A6DB5"/>
    <w:rsid w:val="004A6F89"/>
    <w:rsid w:val="004A6F9C"/>
    <w:rsid w:val="004A713E"/>
    <w:rsid w:val="004A7710"/>
    <w:rsid w:val="004A7772"/>
    <w:rsid w:val="004A7815"/>
    <w:rsid w:val="004A7BE5"/>
    <w:rsid w:val="004A7FFC"/>
    <w:rsid w:val="004B0097"/>
    <w:rsid w:val="004B018C"/>
    <w:rsid w:val="004B0621"/>
    <w:rsid w:val="004B0DBA"/>
    <w:rsid w:val="004B0F4B"/>
    <w:rsid w:val="004B1199"/>
    <w:rsid w:val="004B1372"/>
    <w:rsid w:val="004B1536"/>
    <w:rsid w:val="004B16C4"/>
    <w:rsid w:val="004B16D6"/>
    <w:rsid w:val="004B17A5"/>
    <w:rsid w:val="004B1867"/>
    <w:rsid w:val="004B1C86"/>
    <w:rsid w:val="004B1E86"/>
    <w:rsid w:val="004B1F04"/>
    <w:rsid w:val="004B2368"/>
    <w:rsid w:val="004B2428"/>
    <w:rsid w:val="004B2A64"/>
    <w:rsid w:val="004B2CC2"/>
    <w:rsid w:val="004B41DA"/>
    <w:rsid w:val="004B425B"/>
    <w:rsid w:val="004B4658"/>
    <w:rsid w:val="004B470D"/>
    <w:rsid w:val="004B4764"/>
    <w:rsid w:val="004B4846"/>
    <w:rsid w:val="004B5394"/>
    <w:rsid w:val="004B53D7"/>
    <w:rsid w:val="004B55D6"/>
    <w:rsid w:val="004B5BDD"/>
    <w:rsid w:val="004B6489"/>
    <w:rsid w:val="004B660A"/>
    <w:rsid w:val="004B6731"/>
    <w:rsid w:val="004B6AF7"/>
    <w:rsid w:val="004B6E9E"/>
    <w:rsid w:val="004B6F83"/>
    <w:rsid w:val="004B70B2"/>
    <w:rsid w:val="004B777E"/>
    <w:rsid w:val="004B7C29"/>
    <w:rsid w:val="004B7CC1"/>
    <w:rsid w:val="004B7CD9"/>
    <w:rsid w:val="004C01F8"/>
    <w:rsid w:val="004C068F"/>
    <w:rsid w:val="004C06E5"/>
    <w:rsid w:val="004C07E8"/>
    <w:rsid w:val="004C0EEF"/>
    <w:rsid w:val="004C1187"/>
    <w:rsid w:val="004C119D"/>
    <w:rsid w:val="004C1289"/>
    <w:rsid w:val="004C1550"/>
    <w:rsid w:val="004C157B"/>
    <w:rsid w:val="004C15DF"/>
    <w:rsid w:val="004C18BD"/>
    <w:rsid w:val="004C18DF"/>
    <w:rsid w:val="004C1998"/>
    <w:rsid w:val="004C1B7D"/>
    <w:rsid w:val="004C1E3C"/>
    <w:rsid w:val="004C2241"/>
    <w:rsid w:val="004C2495"/>
    <w:rsid w:val="004C25F0"/>
    <w:rsid w:val="004C26DD"/>
    <w:rsid w:val="004C2AC2"/>
    <w:rsid w:val="004C2B5D"/>
    <w:rsid w:val="004C2D68"/>
    <w:rsid w:val="004C2E6E"/>
    <w:rsid w:val="004C2F56"/>
    <w:rsid w:val="004C316B"/>
    <w:rsid w:val="004C3243"/>
    <w:rsid w:val="004C339D"/>
    <w:rsid w:val="004C33E8"/>
    <w:rsid w:val="004C34BE"/>
    <w:rsid w:val="004C3A65"/>
    <w:rsid w:val="004C3F46"/>
    <w:rsid w:val="004C4307"/>
    <w:rsid w:val="004C4309"/>
    <w:rsid w:val="004C4333"/>
    <w:rsid w:val="004C448A"/>
    <w:rsid w:val="004C49E3"/>
    <w:rsid w:val="004C4A22"/>
    <w:rsid w:val="004C4E8A"/>
    <w:rsid w:val="004C514A"/>
    <w:rsid w:val="004C5311"/>
    <w:rsid w:val="004C5F58"/>
    <w:rsid w:val="004C6572"/>
    <w:rsid w:val="004C66E2"/>
    <w:rsid w:val="004C6760"/>
    <w:rsid w:val="004C697D"/>
    <w:rsid w:val="004C6A65"/>
    <w:rsid w:val="004C6D4F"/>
    <w:rsid w:val="004C6E53"/>
    <w:rsid w:val="004C6F7F"/>
    <w:rsid w:val="004C7422"/>
    <w:rsid w:val="004C7541"/>
    <w:rsid w:val="004C7608"/>
    <w:rsid w:val="004C7908"/>
    <w:rsid w:val="004C7E37"/>
    <w:rsid w:val="004D0686"/>
    <w:rsid w:val="004D069E"/>
    <w:rsid w:val="004D06A6"/>
    <w:rsid w:val="004D0D57"/>
    <w:rsid w:val="004D0EA1"/>
    <w:rsid w:val="004D1714"/>
    <w:rsid w:val="004D1E71"/>
    <w:rsid w:val="004D2CDF"/>
    <w:rsid w:val="004D2D70"/>
    <w:rsid w:val="004D33CE"/>
    <w:rsid w:val="004D36FC"/>
    <w:rsid w:val="004D3785"/>
    <w:rsid w:val="004D4026"/>
    <w:rsid w:val="004D451C"/>
    <w:rsid w:val="004D4955"/>
    <w:rsid w:val="004D4AAE"/>
    <w:rsid w:val="004D4C38"/>
    <w:rsid w:val="004D50B2"/>
    <w:rsid w:val="004D56F4"/>
    <w:rsid w:val="004D5806"/>
    <w:rsid w:val="004D6204"/>
    <w:rsid w:val="004D6217"/>
    <w:rsid w:val="004D622E"/>
    <w:rsid w:val="004D6B36"/>
    <w:rsid w:val="004D6D7E"/>
    <w:rsid w:val="004D7117"/>
    <w:rsid w:val="004D71CA"/>
    <w:rsid w:val="004D73AB"/>
    <w:rsid w:val="004D7C86"/>
    <w:rsid w:val="004D7E8D"/>
    <w:rsid w:val="004E0005"/>
    <w:rsid w:val="004E0197"/>
    <w:rsid w:val="004E038F"/>
    <w:rsid w:val="004E1116"/>
    <w:rsid w:val="004E1122"/>
    <w:rsid w:val="004E1409"/>
    <w:rsid w:val="004E15E2"/>
    <w:rsid w:val="004E1670"/>
    <w:rsid w:val="004E1999"/>
    <w:rsid w:val="004E1A87"/>
    <w:rsid w:val="004E1BA1"/>
    <w:rsid w:val="004E1BB0"/>
    <w:rsid w:val="004E1C49"/>
    <w:rsid w:val="004E25B5"/>
    <w:rsid w:val="004E29DB"/>
    <w:rsid w:val="004E2BEA"/>
    <w:rsid w:val="004E3030"/>
    <w:rsid w:val="004E3311"/>
    <w:rsid w:val="004E33E0"/>
    <w:rsid w:val="004E384C"/>
    <w:rsid w:val="004E38EC"/>
    <w:rsid w:val="004E3933"/>
    <w:rsid w:val="004E3EA1"/>
    <w:rsid w:val="004E3EB0"/>
    <w:rsid w:val="004E44B6"/>
    <w:rsid w:val="004E4549"/>
    <w:rsid w:val="004E47E6"/>
    <w:rsid w:val="004E4C83"/>
    <w:rsid w:val="004E4C95"/>
    <w:rsid w:val="004E4D53"/>
    <w:rsid w:val="004E4D84"/>
    <w:rsid w:val="004E4EBC"/>
    <w:rsid w:val="004E4ECE"/>
    <w:rsid w:val="004E5104"/>
    <w:rsid w:val="004E5315"/>
    <w:rsid w:val="004E58F9"/>
    <w:rsid w:val="004E5B06"/>
    <w:rsid w:val="004E5CE0"/>
    <w:rsid w:val="004E5EBA"/>
    <w:rsid w:val="004E5FA8"/>
    <w:rsid w:val="004E628C"/>
    <w:rsid w:val="004E63D3"/>
    <w:rsid w:val="004E64A1"/>
    <w:rsid w:val="004E684C"/>
    <w:rsid w:val="004E6D17"/>
    <w:rsid w:val="004E6EDF"/>
    <w:rsid w:val="004E6FF1"/>
    <w:rsid w:val="004E7207"/>
    <w:rsid w:val="004E76DB"/>
    <w:rsid w:val="004E7D44"/>
    <w:rsid w:val="004E7FCB"/>
    <w:rsid w:val="004F1134"/>
    <w:rsid w:val="004F16FA"/>
    <w:rsid w:val="004F17CB"/>
    <w:rsid w:val="004F1F87"/>
    <w:rsid w:val="004F1F90"/>
    <w:rsid w:val="004F2074"/>
    <w:rsid w:val="004F21BF"/>
    <w:rsid w:val="004F23CC"/>
    <w:rsid w:val="004F2401"/>
    <w:rsid w:val="004F2440"/>
    <w:rsid w:val="004F255D"/>
    <w:rsid w:val="004F2647"/>
    <w:rsid w:val="004F2915"/>
    <w:rsid w:val="004F2A44"/>
    <w:rsid w:val="004F2D16"/>
    <w:rsid w:val="004F2DAD"/>
    <w:rsid w:val="004F34F7"/>
    <w:rsid w:val="004F3785"/>
    <w:rsid w:val="004F3C11"/>
    <w:rsid w:val="004F4059"/>
    <w:rsid w:val="004F4520"/>
    <w:rsid w:val="004F46FB"/>
    <w:rsid w:val="004F4859"/>
    <w:rsid w:val="004F512E"/>
    <w:rsid w:val="004F51D5"/>
    <w:rsid w:val="004F55D6"/>
    <w:rsid w:val="004F562E"/>
    <w:rsid w:val="004F565A"/>
    <w:rsid w:val="004F571B"/>
    <w:rsid w:val="004F5AF0"/>
    <w:rsid w:val="004F5C67"/>
    <w:rsid w:val="004F5FA2"/>
    <w:rsid w:val="004F64EB"/>
    <w:rsid w:val="004F6550"/>
    <w:rsid w:val="004F65F5"/>
    <w:rsid w:val="004F6838"/>
    <w:rsid w:val="004F6C12"/>
    <w:rsid w:val="004F7002"/>
    <w:rsid w:val="004F7A74"/>
    <w:rsid w:val="004F7B25"/>
    <w:rsid w:val="004F7B34"/>
    <w:rsid w:val="00500250"/>
    <w:rsid w:val="00500264"/>
    <w:rsid w:val="0050027A"/>
    <w:rsid w:val="0050033D"/>
    <w:rsid w:val="00500526"/>
    <w:rsid w:val="005006D2"/>
    <w:rsid w:val="00500824"/>
    <w:rsid w:val="005009E4"/>
    <w:rsid w:val="00500A34"/>
    <w:rsid w:val="00500A65"/>
    <w:rsid w:val="00500D82"/>
    <w:rsid w:val="00500DAB"/>
    <w:rsid w:val="00500DC4"/>
    <w:rsid w:val="00500FC7"/>
    <w:rsid w:val="00501144"/>
    <w:rsid w:val="005013EF"/>
    <w:rsid w:val="005019E0"/>
    <w:rsid w:val="00501D69"/>
    <w:rsid w:val="00501DB6"/>
    <w:rsid w:val="0050211F"/>
    <w:rsid w:val="0050229B"/>
    <w:rsid w:val="005022E7"/>
    <w:rsid w:val="005024DD"/>
    <w:rsid w:val="005025CD"/>
    <w:rsid w:val="005027C5"/>
    <w:rsid w:val="00502905"/>
    <w:rsid w:val="00502A93"/>
    <w:rsid w:val="00502F28"/>
    <w:rsid w:val="00503045"/>
    <w:rsid w:val="005031CB"/>
    <w:rsid w:val="00503773"/>
    <w:rsid w:val="005037C9"/>
    <w:rsid w:val="005037F9"/>
    <w:rsid w:val="00503922"/>
    <w:rsid w:val="00503A6E"/>
    <w:rsid w:val="00503BC8"/>
    <w:rsid w:val="005043C0"/>
    <w:rsid w:val="005044A1"/>
    <w:rsid w:val="005045D0"/>
    <w:rsid w:val="00504B8D"/>
    <w:rsid w:val="00504C18"/>
    <w:rsid w:val="00505236"/>
    <w:rsid w:val="005055F5"/>
    <w:rsid w:val="00505DA7"/>
    <w:rsid w:val="00506083"/>
    <w:rsid w:val="005068D6"/>
    <w:rsid w:val="00506B86"/>
    <w:rsid w:val="00506D9B"/>
    <w:rsid w:val="00506EEC"/>
    <w:rsid w:val="00506FD4"/>
    <w:rsid w:val="005071A4"/>
    <w:rsid w:val="005073FD"/>
    <w:rsid w:val="0050767A"/>
    <w:rsid w:val="00507F2F"/>
    <w:rsid w:val="00510118"/>
    <w:rsid w:val="0051028E"/>
    <w:rsid w:val="005107FF"/>
    <w:rsid w:val="00510C7C"/>
    <w:rsid w:val="00510CBC"/>
    <w:rsid w:val="0051102D"/>
    <w:rsid w:val="00511268"/>
    <w:rsid w:val="005112A5"/>
    <w:rsid w:val="00511578"/>
    <w:rsid w:val="005117D0"/>
    <w:rsid w:val="00511C46"/>
    <w:rsid w:val="00511EF2"/>
    <w:rsid w:val="00511F48"/>
    <w:rsid w:val="00512448"/>
    <w:rsid w:val="005124F2"/>
    <w:rsid w:val="0051253A"/>
    <w:rsid w:val="0051266C"/>
    <w:rsid w:val="005127AC"/>
    <w:rsid w:val="00512874"/>
    <w:rsid w:val="005128D1"/>
    <w:rsid w:val="005128EE"/>
    <w:rsid w:val="00512B33"/>
    <w:rsid w:val="00513111"/>
    <w:rsid w:val="005132D3"/>
    <w:rsid w:val="0051353A"/>
    <w:rsid w:val="0051390F"/>
    <w:rsid w:val="00513B72"/>
    <w:rsid w:val="00513BAA"/>
    <w:rsid w:val="00513CF7"/>
    <w:rsid w:val="00514AC3"/>
    <w:rsid w:val="00514BF0"/>
    <w:rsid w:val="00515277"/>
    <w:rsid w:val="005156AA"/>
    <w:rsid w:val="005158C2"/>
    <w:rsid w:val="00515CC9"/>
    <w:rsid w:val="005166B5"/>
    <w:rsid w:val="00516770"/>
    <w:rsid w:val="0051682F"/>
    <w:rsid w:val="005169DE"/>
    <w:rsid w:val="00517066"/>
    <w:rsid w:val="0051735D"/>
    <w:rsid w:val="0051754D"/>
    <w:rsid w:val="0051785D"/>
    <w:rsid w:val="00517913"/>
    <w:rsid w:val="00517C7E"/>
    <w:rsid w:val="0052005F"/>
    <w:rsid w:val="00520156"/>
    <w:rsid w:val="00520200"/>
    <w:rsid w:val="00520763"/>
    <w:rsid w:val="005209FE"/>
    <w:rsid w:val="00520B5E"/>
    <w:rsid w:val="00520D21"/>
    <w:rsid w:val="00520E2D"/>
    <w:rsid w:val="00520F04"/>
    <w:rsid w:val="00521068"/>
    <w:rsid w:val="005212BB"/>
    <w:rsid w:val="005215E6"/>
    <w:rsid w:val="005216AF"/>
    <w:rsid w:val="00521717"/>
    <w:rsid w:val="00521768"/>
    <w:rsid w:val="00521C7C"/>
    <w:rsid w:val="005224B2"/>
    <w:rsid w:val="00522891"/>
    <w:rsid w:val="00522E83"/>
    <w:rsid w:val="00523488"/>
    <w:rsid w:val="005238AD"/>
    <w:rsid w:val="00523B23"/>
    <w:rsid w:val="00523DFA"/>
    <w:rsid w:val="00524686"/>
    <w:rsid w:val="00524E45"/>
    <w:rsid w:val="005254BC"/>
    <w:rsid w:val="005256FC"/>
    <w:rsid w:val="005258D3"/>
    <w:rsid w:val="00526536"/>
    <w:rsid w:val="00526A46"/>
    <w:rsid w:val="00526BA9"/>
    <w:rsid w:val="00526C27"/>
    <w:rsid w:val="00526DCA"/>
    <w:rsid w:val="00526DFF"/>
    <w:rsid w:val="00527236"/>
    <w:rsid w:val="005273BA"/>
    <w:rsid w:val="00527473"/>
    <w:rsid w:val="00527CF6"/>
    <w:rsid w:val="00527EF9"/>
    <w:rsid w:val="005303E8"/>
    <w:rsid w:val="00530481"/>
    <w:rsid w:val="005305FF"/>
    <w:rsid w:val="005309CE"/>
    <w:rsid w:val="00530C9B"/>
    <w:rsid w:val="00530E17"/>
    <w:rsid w:val="0053105E"/>
    <w:rsid w:val="005319FD"/>
    <w:rsid w:val="00531E2F"/>
    <w:rsid w:val="00532172"/>
    <w:rsid w:val="00532334"/>
    <w:rsid w:val="005323F2"/>
    <w:rsid w:val="005324AF"/>
    <w:rsid w:val="00533361"/>
    <w:rsid w:val="00533727"/>
    <w:rsid w:val="00533823"/>
    <w:rsid w:val="0053383A"/>
    <w:rsid w:val="0053402C"/>
    <w:rsid w:val="00534090"/>
    <w:rsid w:val="00534ABA"/>
    <w:rsid w:val="00534AC1"/>
    <w:rsid w:val="0053538D"/>
    <w:rsid w:val="005357AD"/>
    <w:rsid w:val="00535C6D"/>
    <w:rsid w:val="00535EDF"/>
    <w:rsid w:val="00535FFF"/>
    <w:rsid w:val="0053616F"/>
    <w:rsid w:val="0053632C"/>
    <w:rsid w:val="005365F5"/>
    <w:rsid w:val="0053672E"/>
    <w:rsid w:val="00536814"/>
    <w:rsid w:val="005368AD"/>
    <w:rsid w:val="005370BC"/>
    <w:rsid w:val="005372A1"/>
    <w:rsid w:val="0053750A"/>
    <w:rsid w:val="00537688"/>
    <w:rsid w:val="0053786F"/>
    <w:rsid w:val="005378A4"/>
    <w:rsid w:val="00537B35"/>
    <w:rsid w:val="00537DE7"/>
    <w:rsid w:val="00537EC4"/>
    <w:rsid w:val="00537FE4"/>
    <w:rsid w:val="0054025A"/>
    <w:rsid w:val="0054027D"/>
    <w:rsid w:val="005403D2"/>
    <w:rsid w:val="0054064B"/>
    <w:rsid w:val="00540E43"/>
    <w:rsid w:val="0054106D"/>
    <w:rsid w:val="00541189"/>
    <w:rsid w:val="005411DE"/>
    <w:rsid w:val="00541222"/>
    <w:rsid w:val="00541287"/>
    <w:rsid w:val="00541298"/>
    <w:rsid w:val="005416FC"/>
    <w:rsid w:val="0054180A"/>
    <w:rsid w:val="00541A39"/>
    <w:rsid w:val="00541A8D"/>
    <w:rsid w:val="00541B2E"/>
    <w:rsid w:val="00541D4D"/>
    <w:rsid w:val="00541DE1"/>
    <w:rsid w:val="005424DA"/>
    <w:rsid w:val="0054266B"/>
    <w:rsid w:val="00542F33"/>
    <w:rsid w:val="00542F6F"/>
    <w:rsid w:val="005432EF"/>
    <w:rsid w:val="00544331"/>
    <w:rsid w:val="005444F5"/>
    <w:rsid w:val="00544A69"/>
    <w:rsid w:val="00544DA0"/>
    <w:rsid w:val="005450E3"/>
    <w:rsid w:val="005454BD"/>
    <w:rsid w:val="00545515"/>
    <w:rsid w:val="005457E4"/>
    <w:rsid w:val="005458C7"/>
    <w:rsid w:val="00546797"/>
    <w:rsid w:val="00546C49"/>
    <w:rsid w:val="00546FF0"/>
    <w:rsid w:val="0054718D"/>
    <w:rsid w:val="0054720D"/>
    <w:rsid w:val="00547239"/>
    <w:rsid w:val="00547609"/>
    <w:rsid w:val="0054773B"/>
    <w:rsid w:val="00547B2C"/>
    <w:rsid w:val="0055010B"/>
    <w:rsid w:val="00550283"/>
    <w:rsid w:val="00550820"/>
    <w:rsid w:val="00550BA9"/>
    <w:rsid w:val="00550BC3"/>
    <w:rsid w:val="00550C38"/>
    <w:rsid w:val="00550D59"/>
    <w:rsid w:val="00550D66"/>
    <w:rsid w:val="00550F15"/>
    <w:rsid w:val="00550FB9"/>
    <w:rsid w:val="0055110D"/>
    <w:rsid w:val="0055110F"/>
    <w:rsid w:val="005516A1"/>
    <w:rsid w:val="00551838"/>
    <w:rsid w:val="00551F81"/>
    <w:rsid w:val="0055210F"/>
    <w:rsid w:val="005524E6"/>
    <w:rsid w:val="00552736"/>
    <w:rsid w:val="005529D5"/>
    <w:rsid w:val="00552CD7"/>
    <w:rsid w:val="00552D33"/>
    <w:rsid w:val="005533BE"/>
    <w:rsid w:val="0055353A"/>
    <w:rsid w:val="005535D2"/>
    <w:rsid w:val="005538A2"/>
    <w:rsid w:val="00553ED2"/>
    <w:rsid w:val="00553F88"/>
    <w:rsid w:val="00554B30"/>
    <w:rsid w:val="00554B7F"/>
    <w:rsid w:val="00554FFB"/>
    <w:rsid w:val="00555828"/>
    <w:rsid w:val="0055586B"/>
    <w:rsid w:val="005568DE"/>
    <w:rsid w:val="00556CA0"/>
    <w:rsid w:val="00556CE5"/>
    <w:rsid w:val="005570A9"/>
    <w:rsid w:val="005573E0"/>
    <w:rsid w:val="0055783F"/>
    <w:rsid w:val="00557C50"/>
    <w:rsid w:val="00557CFB"/>
    <w:rsid w:val="00560024"/>
    <w:rsid w:val="005601B9"/>
    <w:rsid w:val="005602D3"/>
    <w:rsid w:val="00560525"/>
    <w:rsid w:val="005606B6"/>
    <w:rsid w:val="005608D6"/>
    <w:rsid w:val="00560A89"/>
    <w:rsid w:val="00560AF0"/>
    <w:rsid w:val="00560F19"/>
    <w:rsid w:val="005610C8"/>
    <w:rsid w:val="00561211"/>
    <w:rsid w:val="00561703"/>
    <w:rsid w:val="005618ED"/>
    <w:rsid w:val="00561CE7"/>
    <w:rsid w:val="00561E6B"/>
    <w:rsid w:val="00562138"/>
    <w:rsid w:val="005621D2"/>
    <w:rsid w:val="005621E0"/>
    <w:rsid w:val="00562773"/>
    <w:rsid w:val="0056298B"/>
    <w:rsid w:val="005629A5"/>
    <w:rsid w:val="00562AC7"/>
    <w:rsid w:val="00562BA2"/>
    <w:rsid w:val="00562D90"/>
    <w:rsid w:val="00562F5B"/>
    <w:rsid w:val="0056301A"/>
    <w:rsid w:val="0056356C"/>
    <w:rsid w:val="005636AB"/>
    <w:rsid w:val="00563A23"/>
    <w:rsid w:val="00563A5A"/>
    <w:rsid w:val="00563C61"/>
    <w:rsid w:val="00563DCE"/>
    <w:rsid w:val="00563ECB"/>
    <w:rsid w:val="00563F47"/>
    <w:rsid w:val="005640BB"/>
    <w:rsid w:val="005649C8"/>
    <w:rsid w:val="005649F3"/>
    <w:rsid w:val="00564B03"/>
    <w:rsid w:val="00564C23"/>
    <w:rsid w:val="00565406"/>
    <w:rsid w:val="00565570"/>
    <w:rsid w:val="00565751"/>
    <w:rsid w:val="005657DD"/>
    <w:rsid w:val="00565945"/>
    <w:rsid w:val="00565B01"/>
    <w:rsid w:val="00565B29"/>
    <w:rsid w:val="00566198"/>
    <w:rsid w:val="00566245"/>
    <w:rsid w:val="005663CA"/>
    <w:rsid w:val="00566432"/>
    <w:rsid w:val="005664CC"/>
    <w:rsid w:val="0056664B"/>
    <w:rsid w:val="00566ACC"/>
    <w:rsid w:val="00566FA9"/>
    <w:rsid w:val="005671EF"/>
    <w:rsid w:val="0056750E"/>
    <w:rsid w:val="00567588"/>
    <w:rsid w:val="00567992"/>
    <w:rsid w:val="00567C3C"/>
    <w:rsid w:val="00567EEB"/>
    <w:rsid w:val="00570080"/>
    <w:rsid w:val="005702F8"/>
    <w:rsid w:val="0057094D"/>
    <w:rsid w:val="00571231"/>
    <w:rsid w:val="005712B8"/>
    <w:rsid w:val="005713D2"/>
    <w:rsid w:val="00571767"/>
    <w:rsid w:val="00571DC7"/>
    <w:rsid w:val="00571E44"/>
    <w:rsid w:val="00571E65"/>
    <w:rsid w:val="005721BA"/>
    <w:rsid w:val="005722E1"/>
    <w:rsid w:val="005725D2"/>
    <w:rsid w:val="005726E5"/>
    <w:rsid w:val="00572704"/>
    <w:rsid w:val="00572833"/>
    <w:rsid w:val="00573718"/>
    <w:rsid w:val="00573A83"/>
    <w:rsid w:val="00573E61"/>
    <w:rsid w:val="00573F9A"/>
    <w:rsid w:val="0057411B"/>
    <w:rsid w:val="005741D4"/>
    <w:rsid w:val="0057426F"/>
    <w:rsid w:val="00574376"/>
    <w:rsid w:val="005743A3"/>
    <w:rsid w:val="0057444E"/>
    <w:rsid w:val="00574525"/>
    <w:rsid w:val="005745E4"/>
    <w:rsid w:val="00574778"/>
    <w:rsid w:val="0057498F"/>
    <w:rsid w:val="005749DC"/>
    <w:rsid w:val="00574DE9"/>
    <w:rsid w:val="005753D7"/>
    <w:rsid w:val="00575680"/>
    <w:rsid w:val="00575CD6"/>
    <w:rsid w:val="00575DF4"/>
    <w:rsid w:val="0057623A"/>
    <w:rsid w:val="005762A6"/>
    <w:rsid w:val="005763BD"/>
    <w:rsid w:val="0057672E"/>
    <w:rsid w:val="00576EA0"/>
    <w:rsid w:val="0057765D"/>
    <w:rsid w:val="005777FC"/>
    <w:rsid w:val="00577D35"/>
    <w:rsid w:val="0058032F"/>
    <w:rsid w:val="005803B6"/>
    <w:rsid w:val="005808EB"/>
    <w:rsid w:val="00580D18"/>
    <w:rsid w:val="00580D37"/>
    <w:rsid w:val="00581063"/>
    <w:rsid w:val="00581231"/>
    <w:rsid w:val="00581B07"/>
    <w:rsid w:val="00581E88"/>
    <w:rsid w:val="00581FA0"/>
    <w:rsid w:val="005822B7"/>
    <w:rsid w:val="00582502"/>
    <w:rsid w:val="0058259C"/>
    <w:rsid w:val="005828A1"/>
    <w:rsid w:val="00582B90"/>
    <w:rsid w:val="0058302A"/>
    <w:rsid w:val="005831A7"/>
    <w:rsid w:val="00583321"/>
    <w:rsid w:val="0058341E"/>
    <w:rsid w:val="005834AD"/>
    <w:rsid w:val="005835EB"/>
    <w:rsid w:val="00583B87"/>
    <w:rsid w:val="00583BC6"/>
    <w:rsid w:val="00583EFD"/>
    <w:rsid w:val="00584DCD"/>
    <w:rsid w:val="00584E9C"/>
    <w:rsid w:val="00584F3A"/>
    <w:rsid w:val="00584F41"/>
    <w:rsid w:val="005853AB"/>
    <w:rsid w:val="00585748"/>
    <w:rsid w:val="005859C5"/>
    <w:rsid w:val="00585BDF"/>
    <w:rsid w:val="00585C79"/>
    <w:rsid w:val="00585E60"/>
    <w:rsid w:val="00586144"/>
    <w:rsid w:val="005861BF"/>
    <w:rsid w:val="00586D12"/>
    <w:rsid w:val="00587785"/>
    <w:rsid w:val="00587808"/>
    <w:rsid w:val="0058788D"/>
    <w:rsid w:val="00587C9E"/>
    <w:rsid w:val="00587E29"/>
    <w:rsid w:val="00587FE6"/>
    <w:rsid w:val="0059052A"/>
    <w:rsid w:val="0059056F"/>
    <w:rsid w:val="00590761"/>
    <w:rsid w:val="00590A4D"/>
    <w:rsid w:val="00590DB7"/>
    <w:rsid w:val="00590DBF"/>
    <w:rsid w:val="00590FDD"/>
    <w:rsid w:val="00591219"/>
    <w:rsid w:val="00591698"/>
    <w:rsid w:val="005916B2"/>
    <w:rsid w:val="005917AE"/>
    <w:rsid w:val="00591AB3"/>
    <w:rsid w:val="00591E64"/>
    <w:rsid w:val="0059201C"/>
    <w:rsid w:val="00592B59"/>
    <w:rsid w:val="005931BA"/>
    <w:rsid w:val="005932BC"/>
    <w:rsid w:val="00593317"/>
    <w:rsid w:val="00593439"/>
    <w:rsid w:val="005934F9"/>
    <w:rsid w:val="00593517"/>
    <w:rsid w:val="00593B87"/>
    <w:rsid w:val="00593C1C"/>
    <w:rsid w:val="00593E94"/>
    <w:rsid w:val="00593FBD"/>
    <w:rsid w:val="00594143"/>
    <w:rsid w:val="00594543"/>
    <w:rsid w:val="00594612"/>
    <w:rsid w:val="00594A96"/>
    <w:rsid w:val="00594AB5"/>
    <w:rsid w:val="00594AC5"/>
    <w:rsid w:val="00595540"/>
    <w:rsid w:val="00595873"/>
    <w:rsid w:val="00595CDD"/>
    <w:rsid w:val="00595E83"/>
    <w:rsid w:val="00595FA5"/>
    <w:rsid w:val="00595FB0"/>
    <w:rsid w:val="00596228"/>
    <w:rsid w:val="005964BB"/>
    <w:rsid w:val="00596A70"/>
    <w:rsid w:val="00596BD3"/>
    <w:rsid w:val="00596BE7"/>
    <w:rsid w:val="00596C3E"/>
    <w:rsid w:val="00596CD0"/>
    <w:rsid w:val="00596D77"/>
    <w:rsid w:val="005977DD"/>
    <w:rsid w:val="005A04BD"/>
    <w:rsid w:val="005A08CE"/>
    <w:rsid w:val="005A0A3F"/>
    <w:rsid w:val="005A0B3C"/>
    <w:rsid w:val="005A0FC5"/>
    <w:rsid w:val="005A114F"/>
    <w:rsid w:val="005A1917"/>
    <w:rsid w:val="005A1F49"/>
    <w:rsid w:val="005A2364"/>
    <w:rsid w:val="005A2480"/>
    <w:rsid w:val="005A254C"/>
    <w:rsid w:val="005A2B2C"/>
    <w:rsid w:val="005A2B6F"/>
    <w:rsid w:val="005A2D6B"/>
    <w:rsid w:val="005A3252"/>
    <w:rsid w:val="005A33F7"/>
    <w:rsid w:val="005A3A75"/>
    <w:rsid w:val="005A3BCD"/>
    <w:rsid w:val="005A3F4F"/>
    <w:rsid w:val="005A40CF"/>
    <w:rsid w:val="005A411A"/>
    <w:rsid w:val="005A41CD"/>
    <w:rsid w:val="005A4A9C"/>
    <w:rsid w:val="005A4BAE"/>
    <w:rsid w:val="005A4F39"/>
    <w:rsid w:val="005A505B"/>
    <w:rsid w:val="005A574D"/>
    <w:rsid w:val="005A5A72"/>
    <w:rsid w:val="005A5B5C"/>
    <w:rsid w:val="005A5C19"/>
    <w:rsid w:val="005A6A21"/>
    <w:rsid w:val="005A6AE9"/>
    <w:rsid w:val="005A6D7E"/>
    <w:rsid w:val="005A6E93"/>
    <w:rsid w:val="005A6F6D"/>
    <w:rsid w:val="005A707A"/>
    <w:rsid w:val="005A7252"/>
    <w:rsid w:val="005A7340"/>
    <w:rsid w:val="005A7F93"/>
    <w:rsid w:val="005A7FDC"/>
    <w:rsid w:val="005B01B1"/>
    <w:rsid w:val="005B05CF"/>
    <w:rsid w:val="005B07EA"/>
    <w:rsid w:val="005B0B20"/>
    <w:rsid w:val="005B0BD6"/>
    <w:rsid w:val="005B0CA5"/>
    <w:rsid w:val="005B0CFD"/>
    <w:rsid w:val="005B0EFB"/>
    <w:rsid w:val="005B1060"/>
    <w:rsid w:val="005B12B9"/>
    <w:rsid w:val="005B17C1"/>
    <w:rsid w:val="005B20B3"/>
    <w:rsid w:val="005B2283"/>
    <w:rsid w:val="005B2AAC"/>
    <w:rsid w:val="005B2B94"/>
    <w:rsid w:val="005B2C61"/>
    <w:rsid w:val="005B33E0"/>
    <w:rsid w:val="005B352B"/>
    <w:rsid w:val="005B3737"/>
    <w:rsid w:val="005B3A40"/>
    <w:rsid w:val="005B3A42"/>
    <w:rsid w:val="005B3DBC"/>
    <w:rsid w:val="005B3E12"/>
    <w:rsid w:val="005B3EF9"/>
    <w:rsid w:val="005B4323"/>
    <w:rsid w:val="005B4390"/>
    <w:rsid w:val="005B465F"/>
    <w:rsid w:val="005B48F8"/>
    <w:rsid w:val="005B4F3A"/>
    <w:rsid w:val="005B512A"/>
    <w:rsid w:val="005B51E6"/>
    <w:rsid w:val="005B5867"/>
    <w:rsid w:val="005B587C"/>
    <w:rsid w:val="005B5918"/>
    <w:rsid w:val="005B5949"/>
    <w:rsid w:val="005B5D40"/>
    <w:rsid w:val="005B5EFC"/>
    <w:rsid w:val="005B6412"/>
    <w:rsid w:val="005B6698"/>
    <w:rsid w:val="005B6885"/>
    <w:rsid w:val="005B68A7"/>
    <w:rsid w:val="005B6AC3"/>
    <w:rsid w:val="005B6B4D"/>
    <w:rsid w:val="005B6C32"/>
    <w:rsid w:val="005B6CA8"/>
    <w:rsid w:val="005B71B2"/>
    <w:rsid w:val="005B7926"/>
    <w:rsid w:val="005B7AD0"/>
    <w:rsid w:val="005B7B65"/>
    <w:rsid w:val="005B7CA9"/>
    <w:rsid w:val="005C055E"/>
    <w:rsid w:val="005C0F98"/>
    <w:rsid w:val="005C0FA1"/>
    <w:rsid w:val="005C152C"/>
    <w:rsid w:val="005C1615"/>
    <w:rsid w:val="005C17A0"/>
    <w:rsid w:val="005C1D98"/>
    <w:rsid w:val="005C1DA5"/>
    <w:rsid w:val="005C213D"/>
    <w:rsid w:val="005C218D"/>
    <w:rsid w:val="005C2294"/>
    <w:rsid w:val="005C2383"/>
    <w:rsid w:val="005C2559"/>
    <w:rsid w:val="005C26B6"/>
    <w:rsid w:val="005C278F"/>
    <w:rsid w:val="005C2873"/>
    <w:rsid w:val="005C296C"/>
    <w:rsid w:val="005C2AC0"/>
    <w:rsid w:val="005C2B1F"/>
    <w:rsid w:val="005C3083"/>
    <w:rsid w:val="005C32D0"/>
    <w:rsid w:val="005C34FC"/>
    <w:rsid w:val="005C365C"/>
    <w:rsid w:val="005C37BD"/>
    <w:rsid w:val="005C3B5C"/>
    <w:rsid w:val="005C3C7F"/>
    <w:rsid w:val="005C3CC6"/>
    <w:rsid w:val="005C3D55"/>
    <w:rsid w:val="005C4926"/>
    <w:rsid w:val="005C4B5A"/>
    <w:rsid w:val="005C4BCD"/>
    <w:rsid w:val="005C4D06"/>
    <w:rsid w:val="005C5143"/>
    <w:rsid w:val="005C5639"/>
    <w:rsid w:val="005C5742"/>
    <w:rsid w:val="005C590B"/>
    <w:rsid w:val="005C5F34"/>
    <w:rsid w:val="005C6055"/>
    <w:rsid w:val="005C6134"/>
    <w:rsid w:val="005C6248"/>
    <w:rsid w:val="005C6606"/>
    <w:rsid w:val="005C6808"/>
    <w:rsid w:val="005C6C7F"/>
    <w:rsid w:val="005C70F1"/>
    <w:rsid w:val="005C760E"/>
    <w:rsid w:val="005C7794"/>
    <w:rsid w:val="005C7BAE"/>
    <w:rsid w:val="005C7BD7"/>
    <w:rsid w:val="005C7E9E"/>
    <w:rsid w:val="005D030C"/>
    <w:rsid w:val="005D040A"/>
    <w:rsid w:val="005D0BAC"/>
    <w:rsid w:val="005D1464"/>
    <w:rsid w:val="005D14C0"/>
    <w:rsid w:val="005D156F"/>
    <w:rsid w:val="005D1575"/>
    <w:rsid w:val="005D1838"/>
    <w:rsid w:val="005D184D"/>
    <w:rsid w:val="005D1854"/>
    <w:rsid w:val="005D18C9"/>
    <w:rsid w:val="005D18E0"/>
    <w:rsid w:val="005D1B72"/>
    <w:rsid w:val="005D2471"/>
    <w:rsid w:val="005D25A3"/>
    <w:rsid w:val="005D2779"/>
    <w:rsid w:val="005D2B22"/>
    <w:rsid w:val="005D2C68"/>
    <w:rsid w:val="005D2DD2"/>
    <w:rsid w:val="005D3242"/>
    <w:rsid w:val="005D332C"/>
    <w:rsid w:val="005D3339"/>
    <w:rsid w:val="005D35BA"/>
    <w:rsid w:val="005D3B41"/>
    <w:rsid w:val="005D3CFC"/>
    <w:rsid w:val="005D4183"/>
    <w:rsid w:val="005D437D"/>
    <w:rsid w:val="005D538C"/>
    <w:rsid w:val="005D5A17"/>
    <w:rsid w:val="005D5C80"/>
    <w:rsid w:val="005D5DEA"/>
    <w:rsid w:val="005D610C"/>
    <w:rsid w:val="005D6356"/>
    <w:rsid w:val="005D6A0B"/>
    <w:rsid w:val="005D6D24"/>
    <w:rsid w:val="005D729C"/>
    <w:rsid w:val="005D7460"/>
    <w:rsid w:val="005D74E7"/>
    <w:rsid w:val="005D76D8"/>
    <w:rsid w:val="005D7798"/>
    <w:rsid w:val="005D7811"/>
    <w:rsid w:val="005D7A33"/>
    <w:rsid w:val="005D7F7B"/>
    <w:rsid w:val="005E000B"/>
    <w:rsid w:val="005E0369"/>
    <w:rsid w:val="005E0513"/>
    <w:rsid w:val="005E10B6"/>
    <w:rsid w:val="005E10E6"/>
    <w:rsid w:val="005E14C8"/>
    <w:rsid w:val="005E1720"/>
    <w:rsid w:val="005E1B3B"/>
    <w:rsid w:val="005E1EBA"/>
    <w:rsid w:val="005E2093"/>
    <w:rsid w:val="005E20E4"/>
    <w:rsid w:val="005E2644"/>
    <w:rsid w:val="005E2973"/>
    <w:rsid w:val="005E2C71"/>
    <w:rsid w:val="005E2F9D"/>
    <w:rsid w:val="005E2FB3"/>
    <w:rsid w:val="005E3303"/>
    <w:rsid w:val="005E3BCD"/>
    <w:rsid w:val="005E3CF0"/>
    <w:rsid w:val="005E3D59"/>
    <w:rsid w:val="005E3D83"/>
    <w:rsid w:val="005E4A87"/>
    <w:rsid w:val="005E4DA5"/>
    <w:rsid w:val="005E4DE9"/>
    <w:rsid w:val="005E4FF9"/>
    <w:rsid w:val="005E503E"/>
    <w:rsid w:val="005E56BB"/>
    <w:rsid w:val="005E583D"/>
    <w:rsid w:val="005E5932"/>
    <w:rsid w:val="005E5935"/>
    <w:rsid w:val="005E59C7"/>
    <w:rsid w:val="005E5E7B"/>
    <w:rsid w:val="005E5F2A"/>
    <w:rsid w:val="005E6095"/>
    <w:rsid w:val="005E610E"/>
    <w:rsid w:val="005E6A3F"/>
    <w:rsid w:val="005E6AE5"/>
    <w:rsid w:val="005E6DB8"/>
    <w:rsid w:val="005E6F46"/>
    <w:rsid w:val="005E7228"/>
    <w:rsid w:val="005E7284"/>
    <w:rsid w:val="005E72D4"/>
    <w:rsid w:val="005E7BAC"/>
    <w:rsid w:val="005F019D"/>
    <w:rsid w:val="005F0234"/>
    <w:rsid w:val="005F0910"/>
    <w:rsid w:val="005F0B5C"/>
    <w:rsid w:val="005F0E5C"/>
    <w:rsid w:val="005F0FAF"/>
    <w:rsid w:val="005F1090"/>
    <w:rsid w:val="005F115E"/>
    <w:rsid w:val="005F11C0"/>
    <w:rsid w:val="005F134E"/>
    <w:rsid w:val="005F1362"/>
    <w:rsid w:val="005F1365"/>
    <w:rsid w:val="005F1573"/>
    <w:rsid w:val="005F1C57"/>
    <w:rsid w:val="005F1C9D"/>
    <w:rsid w:val="005F1DB8"/>
    <w:rsid w:val="005F1DC5"/>
    <w:rsid w:val="005F1EE8"/>
    <w:rsid w:val="005F277F"/>
    <w:rsid w:val="005F2792"/>
    <w:rsid w:val="005F29A3"/>
    <w:rsid w:val="005F2C1F"/>
    <w:rsid w:val="005F2E44"/>
    <w:rsid w:val="005F2E76"/>
    <w:rsid w:val="005F303A"/>
    <w:rsid w:val="005F3690"/>
    <w:rsid w:val="005F386A"/>
    <w:rsid w:val="005F387E"/>
    <w:rsid w:val="005F3986"/>
    <w:rsid w:val="005F3A6D"/>
    <w:rsid w:val="005F3A8E"/>
    <w:rsid w:val="005F3CCB"/>
    <w:rsid w:val="005F4C57"/>
    <w:rsid w:val="005F4DB0"/>
    <w:rsid w:val="005F4F83"/>
    <w:rsid w:val="005F5426"/>
    <w:rsid w:val="005F57BB"/>
    <w:rsid w:val="005F5F76"/>
    <w:rsid w:val="005F65C9"/>
    <w:rsid w:val="005F6774"/>
    <w:rsid w:val="005F6C05"/>
    <w:rsid w:val="005F79AA"/>
    <w:rsid w:val="005F7BAA"/>
    <w:rsid w:val="005F7BD4"/>
    <w:rsid w:val="0060026C"/>
    <w:rsid w:val="0060044B"/>
    <w:rsid w:val="00600C4D"/>
    <w:rsid w:val="00600EEE"/>
    <w:rsid w:val="00600FC9"/>
    <w:rsid w:val="006013D7"/>
    <w:rsid w:val="006014DB"/>
    <w:rsid w:val="00601564"/>
    <w:rsid w:val="00601587"/>
    <w:rsid w:val="00602079"/>
    <w:rsid w:val="00602214"/>
    <w:rsid w:val="006022F3"/>
    <w:rsid w:val="00602549"/>
    <w:rsid w:val="00602579"/>
    <w:rsid w:val="006025E4"/>
    <w:rsid w:val="00602BA4"/>
    <w:rsid w:val="00602DA2"/>
    <w:rsid w:val="00602FF4"/>
    <w:rsid w:val="00603228"/>
    <w:rsid w:val="0060394C"/>
    <w:rsid w:val="00603CC6"/>
    <w:rsid w:val="006043B5"/>
    <w:rsid w:val="006049AA"/>
    <w:rsid w:val="00604ACD"/>
    <w:rsid w:val="00604C15"/>
    <w:rsid w:val="00604DC2"/>
    <w:rsid w:val="00605072"/>
    <w:rsid w:val="00605C15"/>
    <w:rsid w:val="00605D35"/>
    <w:rsid w:val="00605D71"/>
    <w:rsid w:val="006060C4"/>
    <w:rsid w:val="006067BF"/>
    <w:rsid w:val="00606934"/>
    <w:rsid w:val="00606FF9"/>
    <w:rsid w:val="006072CE"/>
    <w:rsid w:val="0060776A"/>
    <w:rsid w:val="00607C13"/>
    <w:rsid w:val="00607C35"/>
    <w:rsid w:val="00607FBE"/>
    <w:rsid w:val="00610068"/>
    <w:rsid w:val="006101B7"/>
    <w:rsid w:val="0061086A"/>
    <w:rsid w:val="006110ED"/>
    <w:rsid w:val="00611777"/>
    <w:rsid w:val="0061189F"/>
    <w:rsid w:val="0061219B"/>
    <w:rsid w:val="00612261"/>
    <w:rsid w:val="00612314"/>
    <w:rsid w:val="00612356"/>
    <w:rsid w:val="0061295E"/>
    <w:rsid w:val="00612D05"/>
    <w:rsid w:val="00612F3F"/>
    <w:rsid w:val="00613331"/>
    <w:rsid w:val="0061353C"/>
    <w:rsid w:val="00613894"/>
    <w:rsid w:val="00613B9B"/>
    <w:rsid w:val="00613C9C"/>
    <w:rsid w:val="00613FB6"/>
    <w:rsid w:val="006140C6"/>
    <w:rsid w:val="00614134"/>
    <w:rsid w:val="00614171"/>
    <w:rsid w:val="00614241"/>
    <w:rsid w:val="0061428D"/>
    <w:rsid w:val="006146A3"/>
    <w:rsid w:val="006148AE"/>
    <w:rsid w:val="00614C31"/>
    <w:rsid w:val="00614D2D"/>
    <w:rsid w:val="00614D94"/>
    <w:rsid w:val="0061518B"/>
    <w:rsid w:val="00615377"/>
    <w:rsid w:val="00615411"/>
    <w:rsid w:val="0061562D"/>
    <w:rsid w:val="006156B4"/>
    <w:rsid w:val="0061587A"/>
    <w:rsid w:val="0061599E"/>
    <w:rsid w:val="00615AC7"/>
    <w:rsid w:val="00615D17"/>
    <w:rsid w:val="00616201"/>
    <w:rsid w:val="006162E6"/>
    <w:rsid w:val="006163B0"/>
    <w:rsid w:val="0061691C"/>
    <w:rsid w:val="006171A5"/>
    <w:rsid w:val="0061768D"/>
    <w:rsid w:val="00617B01"/>
    <w:rsid w:val="00617D9D"/>
    <w:rsid w:val="00617FFD"/>
    <w:rsid w:val="00620309"/>
    <w:rsid w:val="006204B2"/>
    <w:rsid w:val="00620552"/>
    <w:rsid w:val="00620898"/>
    <w:rsid w:val="006209C4"/>
    <w:rsid w:val="00620AEE"/>
    <w:rsid w:val="0062159D"/>
    <w:rsid w:val="00621654"/>
    <w:rsid w:val="00621680"/>
    <w:rsid w:val="00621A4F"/>
    <w:rsid w:val="00621B2E"/>
    <w:rsid w:val="00621EC5"/>
    <w:rsid w:val="0062229A"/>
    <w:rsid w:val="006223E0"/>
    <w:rsid w:val="00622425"/>
    <w:rsid w:val="006224D0"/>
    <w:rsid w:val="0062299A"/>
    <w:rsid w:val="00622A04"/>
    <w:rsid w:val="00622AA7"/>
    <w:rsid w:val="00622BCE"/>
    <w:rsid w:val="00622C75"/>
    <w:rsid w:val="00622D5E"/>
    <w:rsid w:val="00622E29"/>
    <w:rsid w:val="0062310D"/>
    <w:rsid w:val="00623265"/>
    <w:rsid w:val="006233A5"/>
    <w:rsid w:val="0062340E"/>
    <w:rsid w:val="0062348D"/>
    <w:rsid w:val="00623643"/>
    <w:rsid w:val="0062397F"/>
    <w:rsid w:val="00623D27"/>
    <w:rsid w:val="00623D9D"/>
    <w:rsid w:val="00624018"/>
    <w:rsid w:val="006240C4"/>
    <w:rsid w:val="00624A01"/>
    <w:rsid w:val="00624AC7"/>
    <w:rsid w:val="0062502D"/>
    <w:rsid w:val="006251CC"/>
    <w:rsid w:val="00625304"/>
    <w:rsid w:val="0062581B"/>
    <w:rsid w:val="00625997"/>
    <w:rsid w:val="006261F4"/>
    <w:rsid w:val="00626664"/>
    <w:rsid w:val="0062672B"/>
    <w:rsid w:val="0062708B"/>
    <w:rsid w:val="006273FB"/>
    <w:rsid w:val="00627609"/>
    <w:rsid w:val="00627766"/>
    <w:rsid w:val="006277EE"/>
    <w:rsid w:val="00627858"/>
    <w:rsid w:val="00627BD7"/>
    <w:rsid w:val="006300E5"/>
    <w:rsid w:val="00630342"/>
    <w:rsid w:val="006305DC"/>
    <w:rsid w:val="00630886"/>
    <w:rsid w:val="00630891"/>
    <w:rsid w:val="00630B7C"/>
    <w:rsid w:val="00630C04"/>
    <w:rsid w:val="00631510"/>
    <w:rsid w:val="0063164E"/>
    <w:rsid w:val="0063191D"/>
    <w:rsid w:val="00631A7B"/>
    <w:rsid w:val="00631D1D"/>
    <w:rsid w:val="006320A7"/>
    <w:rsid w:val="0063214A"/>
    <w:rsid w:val="00632531"/>
    <w:rsid w:val="00632640"/>
    <w:rsid w:val="006327A9"/>
    <w:rsid w:val="006328FB"/>
    <w:rsid w:val="00632FCB"/>
    <w:rsid w:val="00633488"/>
    <w:rsid w:val="00633581"/>
    <w:rsid w:val="006339AF"/>
    <w:rsid w:val="006339C7"/>
    <w:rsid w:val="00633A09"/>
    <w:rsid w:val="00633C47"/>
    <w:rsid w:val="00633C90"/>
    <w:rsid w:val="00633E38"/>
    <w:rsid w:val="00634120"/>
    <w:rsid w:val="0063432C"/>
    <w:rsid w:val="006344F7"/>
    <w:rsid w:val="006345EC"/>
    <w:rsid w:val="006348F7"/>
    <w:rsid w:val="00634D58"/>
    <w:rsid w:val="0063504A"/>
    <w:rsid w:val="0063512D"/>
    <w:rsid w:val="0063527D"/>
    <w:rsid w:val="006354A5"/>
    <w:rsid w:val="00635526"/>
    <w:rsid w:val="006358FB"/>
    <w:rsid w:val="00635AE2"/>
    <w:rsid w:val="00635E1E"/>
    <w:rsid w:val="00636371"/>
    <w:rsid w:val="0063677C"/>
    <w:rsid w:val="00636967"/>
    <w:rsid w:val="00636972"/>
    <w:rsid w:val="00636B69"/>
    <w:rsid w:val="00636BC2"/>
    <w:rsid w:val="00636C9B"/>
    <w:rsid w:val="006370CA"/>
    <w:rsid w:val="00637175"/>
    <w:rsid w:val="00637223"/>
    <w:rsid w:val="00637296"/>
    <w:rsid w:val="006375E2"/>
    <w:rsid w:val="006379DE"/>
    <w:rsid w:val="00637B2A"/>
    <w:rsid w:val="00637D39"/>
    <w:rsid w:val="00637E12"/>
    <w:rsid w:val="006404D1"/>
    <w:rsid w:val="00640758"/>
    <w:rsid w:val="0064075D"/>
    <w:rsid w:val="00640B50"/>
    <w:rsid w:val="00640C1D"/>
    <w:rsid w:val="00640CC0"/>
    <w:rsid w:val="00640F43"/>
    <w:rsid w:val="0064125D"/>
    <w:rsid w:val="006412CA"/>
    <w:rsid w:val="00641698"/>
    <w:rsid w:val="006420DA"/>
    <w:rsid w:val="00642151"/>
    <w:rsid w:val="00642539"/>
    <w:rsid w:val="00642A0A"/>
    <w:rsid w:val="00642ADD"/>
    <w:rsid w:val="00642BF0"/>
    <w:rsid w:val="00642CF0"/>
    <w:rsid w:val="00642D0B"/>
    <w:rsid w:val="006436D0"/>
    <w:rsid w:val="006439D9"/>
    <w:rsid w:val="00643AC1"/>
    <w:rsid w:val="00643D4E"/>
    <w:rsid w:val="00643D62"/>
    <w:rsid w:val="00643EEF"/>
    <w:rsid w:val="0064483E"/>
    <w:rsid w:val="00644A4D"/>
    <w:rsid w:val="00644A5E"/>
    <w:rsid w:val="00644A6C"/>
    <w:rsid w:val="00644AC0"/>
    <w:rsid w:val="00644C25"/>
    <w:rsid w:val="00644C70"/>
    <w:rsid w:val="00644D69"/>
    <w:rsid w:val="00644D76"/>
    <w:rsid w:val="0064527C"/>
    <w:rsid w:val="006455A1"/>
    <w:rsid w:val="00645799"/>
    <w:rsid w:val="006457A8"/>
    <w:rsid w:val="00645A0B"/>
    <w:rsid w:val="00645A85"/>
    <w:rsid w:val="00645EA0"/>
    <w:rsid w:val="00645F76"/>
    <w:rsid w:val="00646459"/>
    <w:rsid w:val="006466A0"/>
    <w:rsid w:val="0064685F"/>
    <w:rsid w:val="00646C72"/>
    <w:rsid w:val="00646EB0"/>
    <w:rsid w:val="006470DD"/>
    <w:rsid w:val="0064714D"/>
    <w:rsid w:val="0064727D"/>
    <w:rsid w:val="00647523"/>
    <w:rsid w:val="00647B32"/>
    <w:rsid w:val="00647C27"/>
    <w:rsid w:val="00650661"/>
    <w:rsid w:val="00650892"/>
    <w:rsid w:val="00650CFA"/>
    <w:rsid w:val="006511E5"/>
    <w:rsid w:val="00651574"/>
    <w:rsid w:val="00651685"/>
    <w:rsid w:val="006519E6"/>
    <w:rsid w:val="00651CDE"/>
    <w:rsid w:val="00651D40"/>
    <w:rsid w:val="00652326"/>
    <w:rsid w:val="00652583"/>
    <w:rsid w:val="00652907"/>
    <w:rsid w:val="00652DFD"/>
    <w:rsid w:val="00652E06"/>
    <w:rsid w:val="00653059"/>
    <w:rsid w:val="006531B0"/>
    <w:rsid w:val="00653338"/>
    <w:rsid w:val="00653E5F"/>
    <w:rsid w:val="00653FC4"/>
    <w:rsid w:val="0065463A"/>
    <w:rsid w:val="00654F3D"/>
    <w:rsid w:val="00654F91"/>
    <w:rsid w:val="00655361"/>
    <w:rsid w:val="0065579A"/>
    <w:rsid w:val="0065595D"/>
    <w:rsid w:val="0065596B"/>
    <w:rsid w:val="00655B4C"/>
    <w:rsid w:val="00655BB1"/>
    <w:rsid w:val="00655EE8"/>
    <w:rsid w:val="0065614C"/>
    <w:rsid w:val="00656253"/>
    <w:rsid w:val="00656449"/>
    <w:rsid w:val="00656799"/>
    <w:rsid w:val="00656B77"/>
    <w:rsid w:val="00656D95"/>
    <w:rsid w:val="00656E5C"/>
    <w:rsid w:val="00656E72"/>
    <w:rsid w:val="006572DB"/>
    <w:rsid w:val="006576B4"/>
    <w:rsid w:val="0065779A"/>
    <w:rsid w:val="006578A1"/>
    <w:rsid w:val="00660009"/>
    <w:rsid w:val="0066085A"/>
    <w:rsid w:val="00660B90"/>
    <w:rsid w:val="0066137B"/>
    <w:rsid w:val="0066174E"/>
    <w:rsid w:val="0066186A"/>
    <w:rsid w:val="006618EA"/>
    <w:rsid w:val="00661BBB"/>
    <w:rsid w:val="00661E57"/>
    <w:rsid w:val="00662222"/>
    <w:rsid w:val="006628E4"/>
    <w:rsid w:val="006629DE"/>
    <w:rsid w:val="006629E4"/>
    <w:rsid w:val="00663783"/>
    <w:rsid w:val="00663906"/>
    <w:rsid w:val="00663A21"/>
    <w:rsid w:val="00663E47"/>
    <w:rsid w:val="00663EB2"/>
    <w:rsid w:val="00664182"/>
    <w:rsid w:val="006644A7"/>
    <w:rsid w:val="00664BDE"/>
    <w:rsid w:val="00664CEB"/>
    <w:rsid w:val="00664D30"/>
    <w:rsid w:val="00664DC7"/>
    <w:rsid w:val="0066565B"/>
    <w:rsid w:val="0066565C"/>
    <w:rsid w:val="00665C44"/>
    <w:rsid w:val="00665EA5"/>
    <w:rsid w:val="006660E1"/>
    <w:rsid w:val="00666284"/>
    <w:rsid w:val="00666290"/>
    <w:rsid w:val="0066637C"/>
    <w:rsid w:val="006663C7"/>
    <w:rsid w:val="006664E4"/>
    <w:rsid w:val="006667F3"/>
    <w:rsid w:val="00667135"/>
    <w:rsid w:val="0066713B"/>
    <w:rsid w:val="006674B3"/>
    <w:rsid w:val="006677BC"/>
    <w:rsid w:val="0066786E"/>
    <w:rsid w:val="00667AEA"/>
    <w:rsid w:val="00667E2A"/>
    <w:rsid w:val="00667F95"/>
    <w:rsid w:val="00670288"/>
    <w:rsid w:val="006704FA"/>
    <w:rsid w:val="00670687"/>
    <w:rsid w:val="0067068D"/>
    <w:rsid w:val="006708CA"/>
    <w:rsid w:val="00670AA0"/>
    <w:rsid w:val="00670DC5"/>
    <w:rsid w:val="00671098"/>
    <w:rsid w:val="006710AA"/>
    <w:rsid w:val="006713B6"/>
    <w:rsid w:val="006713DD"/>
    <w:rsid w:val="006714CF"/>
    <w:rsid w:val="00671652"/>
    <w:rsid w:val="006717C2"/>
    <w:rsid w:val="00671FAA"/>
    <w:rsid w:val="006723AE"/>
    <w:rsid w:val="0067279C"/>
    <w:rsid w:val="006728DA"/>
    <w:rsid w:val="00673140"/>
    <w:rsid w:val="00673647"/>
    <w:rsid w:val="00673D8D"/>
    <w:rsid w:val="00673E03"/>
    <w:rsid w:val="006743D1"/>
    <w:rsid w:val="00674588"/>
    <w:rsid w:val="00674DDB"/>
    <w:rsid w:val="00674F4C"/>
    <w:rsid w:val="0067572E"/>
    <w:rsid w:val="006759CC"/>
    <w:rsid w:val="00675AF1"/>
    <w:rsid w:val="00675D20"/>
    <w:rsid w:val="00675DA5"/>
    <w:rsid w:val="00675DC9"/>
    <w:rsid w:val="00676015"/>
    <w:rsid w:val="00676061"/>
    <w:rsid w:val="00676178"/>
    <w:rsid w:val="00676A07"/>
    <w:rsid w:val="00676F80"/>
    <w:rsid w:val="0067779F"/>
    <w:rsid w:val="0067792F"/>
    <w:rsid w:val="006802FE"/>
    <w:rsid w:val="00680482"/>
    <w:rsid w:val="00680857"/>
    <w:rsid w:val="0068086E"/>
    <w:rsid w:val="006808DC"/>
    <w:rsid w:val="00680A7C"/>
    <w:rsid w:val="00680C1C"/>
    <w:rsid w:val="00680D8C"/>
    <w:rsid w:val="00680EB2"/>
    <w:rsid w:val="006810AB"/>
    <w:rsid w:val="006816B6"/>
    <w:rsid w:val="00681E06"/>
    <w:rsid w:val="006820EB"/>
    <w:rsid w:val="00682128"/>
    <w:rsid w:val="0068220C"/>
    <w:rsid w:val="006824BA"/>
    <w:rsid w:val="00682821"/>
    <w:rsid w:val="00682865"/>
    <w:rsid w:val="00682A5F"/>
    <w:rsid w:val="00682AB1"/>
    <w:rsid w:val="00682B3C"/>
    <w:rsid w:val="00682B99"/>
    <w:rsid w:val="00682E72"/>
    <w:rsid w:val="00682E9F"/>
    <w:rsid w:val="00683063"/>
    <w:rsid w:val="00683252"/>
    <w:rsid w:val="0068335D"/>
    <w:rsid w:val="006833C4"/>
    <w:rsid w:val="0068343A"/>
    <w:rsid w:val="006834D4"/>
    <w:rsid w:val="006839FB"/>
    <w:rsid w:val="00683CFA"/>
    <w:rsid w:val="00683E68"/>
    <w:rsid w:val="0068413D"/>
    <w:rsid w:val="006844BA"/>
    <w:rsid w:val="006844ED"/>
    <w:rsid w:val="006845A2"/>
    <w:rsid w:val="0068462A"/>
    <w:rsid w:val="00684BF8"/>
    <w:rsid w:val="00684D9B"/>
    <w:rsid w:val="00684DF5"/>
    <w:rsid w:val="00684EDA"/>
    <w:rsid w:val="006858AA"/>
    <w:rsid w:val="006859C4"/>
    <w:rsid w:val="00685BCF"/>
    <w:rsid w:val="00685F40"/>
    <w:rsid w:val="00686007"/>
    <w:rsid w:val="00686F36"/>
    <w:rsid w:val="006871D0"/>
    <w:rsid w:val="0068751F"/>
    <w:rsid w:val="00687CB3"/>
    <w:rsid w:val="006900D1"/>
    <w:rsid w:val="00690297"/>
    <w:rsid w:val="006906E0"/>
    <w:rsid w:val="006907DB"/>
    <w:rsid w:val="006907F1"/>
    <w:rsid w:val="00690BCA"/>
    <w:rsid w:val="00690E31"/>
    <w:rsid w:val="0069115A"/>
    <w:rsid w:val="0069120A"/>
    <w:rsid w:val="0069126A"/>
    <w:rsid w:val="006912F1"/>
    <w:rsid w:val="00691387"/>
    <w:rsid w:val="006913BD"/>
    <w:rsid w:val="00691A25"/>
    <w:rsid w:val="00691C55"/>
    <w:rsid w:val="006927F2"/>
    <w:rsid w:val="00692CA6"/>
    <w:rsid w:val="006931E1"/>
    <w:rsid w:val="00693C76"/>
    <w:rsid w:val="00694310"/>
    <w:rsid w:val="00694700"/>
    <w:rsid w:val="00694803"/>
    <w:rsid w:val="006948D2"/>
    <w:rsid w:val="00694CE8"/>
    <w:rsid w:val="00694FB4"/>
    <w:rsid w:val="006952E8"/>
    <w:rsid w:val="0069569E"/>
    <w:rsid w:val="006956C6"/>
    <w:rsid w:val="00695A1E"/>
    <w:rsid w:val="00695D89"/>
    <w:rsid w:val="00695EFD"/>
    <w:rsid w:val="006962CB"/>
    <w:rsid w:val="00696847"/>
    <w:rsid w:val="0069692F"/>
    <w:rsid w:val="00696C68"/>
    <w:rsid w:val="00696DE5"/>
    <w:rsid w:val="00696EE3"/>
    <w:rsid w:val="00697002"/>
    <w:rsid w:val="006970D9"/>
    <w:rsid w:val="0069715D"/>
    <w:rsid w:val="0069719D"/>
    <w:rsid w:val="006971D5"/>
    <w:rsid w:val="0069731A"/>
    <w:rsid w:val="00697392"/>
    <w:rsid w:val="006973E5"/>
    <w:rsid w:val="00697580"/>
    <w:rsid w:val="00697664"/>
    <w:rsid w:val="00697681"/>
    <w:rsid w:val="0069770C"/>
    <w:rsid w:val="006977C3"/>
    <w:rsid w:val="0069781C"/>
    <w:rsid w:val="00697E4B"/>
    <w:rsid w:val="00697EFB"/>
    <w:rsid w:val="006A03C5"/>
    <w:rsid w:val="006A0427"/>
    <w:rsid w:val="006A064C"/>
    <w:rsid w:val="006A064D"/>
    <w:rsid w:val="006A08F2"/>
    <w:rsid w:val="006A151A"/>
    <w:rsid w:val="006A1E0C"/>
    <w:rsid w:val="006A1E62"/>
    <w:rsid w:val="006A1F23"/>
    <w:rsid w:val="006A2354"/>
    <w:rsid w:val="006A23EC"/>
    <w:rsid w:val="006A2A12"/>
    <w:rsid w:val="006A2B94"/>
    <w:rsid w:val="006A2E9C"/>
    <w:rsid w:val="006A35E0"/>
    <w:rsid w:val="006A377F"/>
    <w:rsid w:val="006A384A"/>
    <w:rsid w:val="006A3875"/>
    <w:rsid w:val="006A3D40"/>
    <w:rsid w:val="006A3E85"/>
    <w:rsid w:val="006A4A74"/>
    <w:rsid w:val="006A561D"/>
    <w:rsid w:val="006A5A0C"/>
    <w:rsid w:val="006A5B66"/>
    <w:rsid w:val="006A5BA0"/>
    <w:rsid w:val="006A5BB1"/>
    <w:rsid w:val="006A5F88"/>
    <w:rsid w:val="006A72C1"/>
    <w:rsid w:val="006A7890"/>
    <w:rsid w:val="006A7D95"/>
    <w:rsid w:val="006B0059"/>
    <w:rsid w:val="006B0AD9"/>
    <w:rsid w:val="006B0B8F"/>
    <w:rsid w:val="006B0E36"/>
    <w:rsid w:val="006B0E93"/>
    <w:rsid w:val="006B120D"/>
    <w:rsid w:val="006B12BB"/>
    <w:rsid w:val="006B13C1"/>
    <w:rsid w:val="006B1455"/>
    <w:rsid w:val="006B1E8B"/>
    <w:rsid w:val="006B2CC7"/>
    <w:rsid w:val="006B2E4E"/>
    <w:rsid w:val="006B31D4"/>
    <w:rsid w:val="006B3465"/>
    <w:rsid w:val="006B37B0"/>
    <w:rsid w:val="006B37ED"/>
    <w:rsid w:val="006B3AF9"/>
    <w:rsid w:val="006B404E"/>
    <w:rsid w:val="006B4299"/>
    <w:rsid w:val="006B44C5"/>
    <w:rsid w:val="006B4841"/>
    <w:rsid w:val="006B4CC4"/>
    <w:rsid w:val="006B4ED9"/>
    <w:rsid w:val="006B5367"/>
    <w:rsid w:val="006B555F"/>
    <w:rsid w:val="006B57F6"/>
    <w:rsid w:val="006B595B"/>
    <w:rsid w:val="006B59EA"/>
    <w:rsid w:val="006B5A4A"/>
    <w:rsid w:val="006B6242"/>
    <w:rsid w:val="006B64AE"/>
    <w:rsid w:val="006B6C7C"/>
    <w:rsid w:val="006B6EA4"/>
    <w:rsid w:val="006B6F37"/>
    <w:rsid w:val="006B706E"/>
    <w:rsid w:val="006B714F"/>
    <w:rsid w:val="006B757A"/>
    <w:rsid w:val="006B77BB"/>
    <w:rsid w:val="006B7EE3"/>
    <w:rsid w:val="006B7F8F"/>
    <w:rsid w:val="006B7FC5"/>
    <w:rsid w:val="006C00CF"/>
    <w:rsid w:val="006C04A5"/>
    <w:rsid w:val="006C055E"/>
    <w:rsid w:val="006C06FD"/>
    <w:rsid w:val="006C07B4"/>
    <w:rsid w:val="006C0807"/>
    <w:rsid w:val="006C0844"/>
    <w:rsid w:val="006C0997"/>
    <w:rsid w:val="006C0A7B"/>
    <w:rsid w:val="006C0AB4"/>
    <w:rsid w:val="006C0D13"/>
    <w:rsid w:val="006C1085"/>
    <w:rsid w:val="006C1127"/>
    <w:rsid w:val="006C187F"/>
    <w:rsid w:val="006C190B"/>
    <w:rsid w:val="006C19BC"/>
    <w:rsid w:val="006C19D5"/>
    <w:rsid w:val="006C1B44"/>
    <w:rsid w:val="006C1F77"/>
    <w:rsid w:val="006C20BF"/>
    <w:rsid w:val="006C2211"/>
    <w:rsid w:val="006C2523"/>
    <w:rsid w:val="006C3031"/>
    <w:rsid w:val="006C3105"/>
    <w:rsid w:val="006C3305"/>
    <w:rsid w:val="006C3607"/>
    <w:rsid w:val="006C38F5"/>
    <w:rsid w:val="006C3990"/>
    <w:rsid w:val="006C39C3"/>
    <w:rsid w:val="006C3AEC"/>
    <w:rsid w:val="006C3ED2"/>
    <w:rsid w:val="006C4233"/>
    <w:rsid w:val="006C42E7"/>
    <w:rsid w:val="006C4422"/>
    <w:rsid w:val="006C4B8C"/>
    <w:rsid w:val="006C5086"/>
    <w:rsid w:val="006C5491"/>
    <w:rsid w:val="006C596A"/>
    <w:rsid w:val="006C5972"/>
    <w:rsid w:val="006C5CCA"/>
    <w:rsid w:val="006C5D40"/>
    <w:rsid w:val="006C5DAB"/>
    <w:rsid w:val="006C5E2F"/>
    <w:rsid w:val="006C625F"/>
    <w:rsid w:val="006C660C"/>
    <w:rsid w:val="006C6632"/>
    <w:rsid w:val="006C6684"/>
    <w:rsid w:val="006C6935"/>
    <w:rsid w:val="006C6A63"/>
    <w:rsid w:val="006C6D34"/>
    <w:rsid w:val="006C6D82"/>
    <w:rsid w:val="006C712A"/>
    <w:rsid w:val="006C7418"/>
    <w:rsid w:val="006C7578"/>
    <w:rsid w:val="006C78A6"/>
    <w:rsid w:val="006C7920"/>
    <w:rsid w:val="006C7AB4"/>
    <w:rsid w:val="006D006B"/>
    <w:rsid w:val="006D038C"/>
    <w:rsid w:val="006D0773"/>
    <w:rsid w:val="006D0891"/>
    <w:rsid w:val="006D105C"/>
    <w:rsid w:val="006D131B"/>
    <w:rsid w:val="006D2009"/>
    <w:rsid w:val="006D2218"/>
    <w:rsid w:val="006D22F6"/>
    <w:rsid w:val="006D24A6"/>
    <w:rsid w:val="006D251D"/>
    <w:rsid w:val="006D2955"/>
    <w:rsid w:val="006D2DC0"/>
    <w:rsid w:val="006D30E7"/>
    <w:rsid w:val="006D3100"/>
    <w:rsid w:val="006D3257"/>
    <w:rsid w:val="006D39B2"/>
    <w:rsid w:val="006D4004"/>
    <w:rsid w:val="006D4319"/>
    <w:rsid w:val="006D443B"/>
    <w:rsid w:val="006D4882"/>
    <w:rsid w:val="006D48E7"/>
    <w:rsid w:val="006D4947"/>
    <w:rsid w:val="006D56D9"/>
    <w:rsid w:val="006D57D0"/>
    <w:rsid w:val="006D58E4"/>
    <w:rsid w:val="006D5DE1"/>
    <w:rsid w:val="006D5E05"/>
    <w:rsid w:val="006D5F16"/>
    <w:rsid w:val="006D6204"/>
    <w:rsid w:val="006D63AD"/>
    <w:rsid w:val="006D6611"/>
    <w:rsid w:val="006D6764"/>
    <w:rsid w:val="006D67D9"/>
    <w:rsid w:val="006D6C93"/>
    <w:rsid w:val="006D72C1"/>
    <w:rsid w:val="006D74C3"/>
    <w:rsid w:val="006D74DB"/>
    <w:rsid w:val="006D74E1"/>
    <w:rsid w:val="006D7573"/>
    <w:rsid w:val="006D7C5F"/>
    <w:rsid w:val="006E01C2"/>
    <w:rsid w:val="006E0340"/>
    <w:rsid w:val="006E06F9"/>
    <w:rsid w:val="006E07A9"/>
    <w:rsid w:val="006E07D2"/>
    <w:rsid w:val="006E0AC8"/>
    <w:rsid w:val="006E0CA0"/>
    <w:rsid w:val="006E0D4C"/>
    <w:rsid w:val="006E0D91"/>
    <w:rsid w:val="006E0F79"/>
    <w:rsid w:val="006E1029"/>
    <w:rsid w:val="006E11A7"/>
    <w:rsid w:val="006E15CA"/>
    <w:rsid w:val="006E1706"/>
    <w:rsid w:val="006E22D9"/>
    <w:rsid w:val="006E27E1"/>
    <w:rsid w:val="006E2B53"/>
    <w:rsid w:val="006E30CA"/>
    <w:rsid w:val="006E3560"/>
    <w:rsid w:val="006E3B23"/>
    <w:rsid w:val="006E3BF3"/>
    <w:rsid w:val="006E3CB2"/>
    <w:rsid w:val="006E3DA8"/>
    <w:rsid w:val="006E3DD3"/>
    <w:rsid w:val="006E4267"/>
    <w:rsid w:val="006E4659"/>
    <w:rsid w:val="006E4F12"/>
    <w:rsid w:val="006E51EF"/>
    <w:rsid w:val="006E5650"/>
    <w:rsid w:val="006E5C3D"/>
    <w:rsid w:val="006E5DAA"/>
    <w:rsid w:val="006E6413"/>
    <w:rsid w:val="006E698D"/>
    <w:rsid w:val="006E6D9B"/>
    <w:rsid w:val="006E7006"/>
    <w:rsid w:val="006E719A"/>
    <w:rsid w:val="006E7668"/>
    <w:rsid w:val="006E7CEE"/>
    <w:rsid w:val="006E7FAB"/>
    <w:rsid w:val="006F00E7"/>
    <w:rsid w:val="006F02AD"/>
    <w:rsid w:val="006F0F6E"/>
    <w:rsid w:val="006F0FBB"/>
    <w:rsid w:val="006F10F9"/>
    <w:rsid w:val="006F14A3"/>
    <w:rsid w:val="006F1569"/>
    <w:rsid w:val="006F182D"/>
    <w:rsid w:val="006F1A61"/>
    <w:rsid w:val="006F1B22"/>
    <w:rsid w:val="006F1BA4"/>
    <w:rsid w:val="006F2259"/>
    <w:rsid w:val="006F23E1"/>
    <w:rsid w:val="006F2D7E"/>
    <w:rsid w:val="006F2F8F"/>
    <w:rsid w:val="006F2FDA"/>
    <w:rsid w:val="006F2FE5"/>
    <w:rsid w:val="006F33D0"/>
    <w:rsid w:val="006F3460"/>
    <w:rsid w:val="006F34FE"/>
    <w:rsid w:val="006F3615"/>
    <w:rsid w:val="006F3AE0"/>
    <w:rsid w:val="006F3BB3"/>
    <w:rsid w:val="006F3FA3"/>
    <w:rsid w:val="006F4276"/>
    <w:rsid w:val="006F4373"/>
    <w:rsid w:val="006F459F"/>
    <w:rsid w:val="006F48BA"/>
    <w:rsid w:val="006F4AF9"/>
    <w:rsid w:val="006F4EC3"/>
    <w:rsid w:val="006F54EB"/>
    <w:rsid w:val="006F5CC1"/>
    <w:rsid w:val="006F65E1"/>
    <w:rsid w:val="006F661D"/>
    <w:rsid w:val="006F677C"/>
    <w:rsid w:val="006F67A5"/>
    <w:rsid w:val="006F6D54"/>
    <w:rsid w:val="006F7595"/>
    <w:rsid w:val="006F762D"/>
    <w:rsid w:val="006F7978"/>
    <w:rsid w:val="006F7E34"/>
    <w:rsid w:val="006F7F3E"/>
    <w:rsid w:val="007003D4"/>
    <w:rsid w:val="00700492"/>
    <w:rsid w:val="0070167E"/>
    <w:rsid w:val="00701B5F"/>
    <w:rsid w:val="00701E1B"/>
    <w:rsid w:val="00701ED9"/>
    <w:rsid w:val="007023D2"/>
    <w:rsid w:val="0070263F"/>
    <w:rsid w:val="00702A7A"/>
    <w:rsid w:val="00702B00"/>
    <w:rsid w:val="00702C71"/>
    <w:rsid w:val="00702CF7"/>
    <w:rsid w:val="00702ED0"/>
    <w:rsid w:val="00703034"/>
    <w:rsid w:val="007034B1"/>
    <w:rsid w:val="007036F8"/>
    <w:rsid w:val="007038C4"/>
    <w:rsid w:val="00703A38"/>
    <w:rsid w:val="00703AAD"/>
    <w:rsid w:val="00703C09"/>
    <w:rsid w:val="0070434A"/>
    <w:rsid w:val="007043C5"/>
    <w:rsid w:val="007047B8"/>
    <w:rsid w:val="0070487F"/>
    <w:rsid w:val="007048C4"/>
    <w:rsid w:val="00704CC4"/>
    <w:rsid w:val="007050EF"/>
    <w:rsid w:val="00705345"/>
    <w:rsid w:val="007054F6"/>
    <w:rsid w:val="00705B44"/>
    <w:rsid w:val="00705E08"/>
    <w:rsid w:val="00705F04"/>
    <w:rsid w:val="0070638D"/>
    <w:rsid w:val="007064F6"/>
    <w:rsid w:val="007067B6"/>
    <w:rsid w:val="007067E1"/>
    <w:rsid w:val="00706A92"/>
    <w:rsid w:val="00706DBD"/>
    <w:rsid w:val="00706DBF"/>
    <w:rsid w:val="00706DF4"/>
    <w:rsid w:val="007073AC"/>
    <w:rsid w:val="00707615"/>
    <w:rsid w:val="00707A59"/>
    <w:rsid w:val="00707EAE"/>
    <w:rsid w:val="00707ECA"/>
    <w:rsid w:val="00710242"/>
    <w:rsid w:val="0071046B"/>
    <w:rsid w:val="0071049B"/>
    <w:rsid w:val="00710611"/>
    <w:rsid w:val="007108A0"/>
    <w:rsid w:val="00710AC6"/>
    <w:rsid w:val="00710C13"/>
    <w:rsid w:val="00710C1D"/>
    <w:rsid w:val="00710CD7"/>
    <w:rsid w:val="00710E4E"/>
    <w:rsid w:val="007110A3"/>
    <w:rsid w:val="00711108"/>
    <w:rsid w:val="00711213"/>
    <w:rsid w:val="007112A1"/>
    <w:rsid w:val="007115D9"/>
    <w:rsid w:val="0071178A"/>
    <w:rsid w:val="0071195B"/>
    <w:rsid w:val="00711996"/>
    <w:rsid w:val="00711AD4"/>
    <w:rsid w:val="00711B3B"/>
    <w:rsid w:val="00711BA3"/>
    <w:rsid w:val="00711C9D"/>
    <w:rsid w:val="007121D8"/>
    <w:rsid w:val="007123B3"/>
    <w:rsid w:val="007128C3"/>
    <w:rsid w:val="00712A50"/>
    <w:rsid w:val="00712B71"/>
    <w:rsid w:val="00712E55"/>
    <w:rsid w:val="00712EDA"/>
    <w:rsid w:val="00713023"/>
    <w:rsid w:val="007130B9"/>
    <w:rsid w:val="0071322C"/>
    <w:rsid w:val="007132B4"/>
    <w:rsid w:val="00713779"/>
    <w:rsid w:val="00713989"/>
    <w:rsid w:val="00713C77"/>
    <w:rsid w:val="00713C9C"/>
    <w:rsid w:val="00713DCF"/>
    <w:rsid w:val="00713FD8"/>
    <w:rsid w:val="00714004"/>
    <w:rsid w:val="0071413D"/>
    <w:rsid w:val="00714349"/>
    <w:rsid w:val="00714438"/>
    <w:rsid w:val="007144FA"/>
    <w:rsid w:val="00714543"/>
    <w:rsid w:val="0071458E"/>
    <w:rsid w:val="007145C9"/>
    <w:rsid w:val="00714631"/>
    <w:rsid w:val="007147F7"/>
    <w:rsid w:val="007148AD"/>
    <w:rsid w:val="007148D5"/>
    <w:rsid w:val="00714B6E"/>
    <w:rsid w:val="00714B8B"/>
    <w:rsid w:val="00714C46"/>
    <w:rsid w:val="00714DB2"/>
    <w:rsid w:val="00714F25"/>
    <w:rsid w:val="0071512F"/>
    <w:rsid w:val="007156FC"/>
    <w:rsid w:val="00715D0F"/>
    <w:rsid w:val="00715F34"/>
    <w:rsid w:val="00716096"/>
    <w:rsid w:val="00716202"/>
    <w:rsid w:val="00716616"/>
    <w:rsid w:val="007166A3"/>
    <w:rsid w:val="007169AC"/>
    <w:rsid w:val="007169DD"/>
    <w:rsid w:val="00716AC2"/>
    <w:rsid w:val="00716BFD"/>
    <w:rsid w:val="00716FF2"/>
    <w:rsid w:val="00717388"/>
    <w:rsid w:val="00717679"/>
    <w:rsid w:val="00717780"/>
    <w:rsid w:val="00717973"/>
    <w:rsid w:val="00717B67"/>
    <w:rsid w:val="00717C21"/>
    <w:rsid w:val="00717EB2"/>
    <w:rsid w:val="007204AB"/>
    <w:rsid w:val="007205C3"/>
    <w:rsid w:val="00720669"/>
    <w:rsid w:val="007206A2"/>
    <w:rsid w:val="0072089E"/>
    <w:rsid w:val="00720B38"/>
    <w:rsid w:val="00720BCE"/>
    <w:rsid w:val="00720CA7"/>
    <w:rsid w:val="0072116A"/>
    <w:rsid w:val="007211E7"/>
    <w:rsid w:val="007212A3"/>
    <w:rsid w:val="007212F8"/>
    <w:rsid w:val="0072147B"/>
    <w:rsid w:val="0072181E"/>
    <w:rsid w:val="007218FB"/>
    <w:rsid w:val="00721BE5"/>
    <w:rsid w:val="00721F21"/>
    <w:rsid w:val="00722256"/>
    <w:rsid w:val="00722267"/>
    <w:rsid w:val="00722382"/>
    <w:rsid w:val="0072285E"/>
    <w:rsid w:val="00722AEF"/>
    <w:rsid w:val="00722C62"/>
    <w:rsid w:val="0072321F"/>
    <w:rsid w:val="00723295"/>
    <w:rsid w:val="00723609"/>
    <w:rsid w:val="007238E2"/>
    <w:rsid w:val="007239B4"/>
    <w:rsid w:val="00723DB7"/>
    <w:rsid w:val="007240CB"/>
    <w:rsid w:val="00724446"/>
    <w:rsid w:val="00724584"/>
    <w:rsid w:val="007247B3"/>
    <w:rsid w:val="0072494E"/>
    <w:rsid w:val="00724AA1"/>
    <w:rsid w:val="00724D39"/>
    <w:rsid w:val="00725A19"/>
    <w:rsid w:val="00725A3E"/>
    <w:rsid w:val="00725C0B"/>
    <w:rsid w:val="00725C4E"/>
    <w:rsid w:val="0072607B"/>
    <w:rsid w:val="00726356"/>
    <w:rsid w:val="0072677D"/>
    <w:rsid w:val="007268C7"/>
    <w:rsid w:val="007269A4"/>
    <w:rsid w:val="00726AAB"/>
    <w:rsid w:val="00727077"/>
    <w:rsid w:val="00727901"/>
    <w:rsid w:val="007279B0"/>
    <w:rsid w:val="00727A86"/>
    <w:rsid w:val="00727B35"/>
    <w:rsid w:val="00727DCC"/>
    <w:rsid w:val="007301C1"/>
    <w:rsid w:val="0073053B"/>
    <w:rsid w:val="0073060A"/>
    <w:rsid w:val="00730B16"/>
    <w:rsid w:val="00730EA6"/>
    <w:rsid w:val="0073157B"/>
    <w:rsid w:val="00731989"/>
    <w:rsid w:val="00731C15"/>
    <w:rsid w:val="00732045"/>
    <w:rsid w:val="007321C8"/>
    <w:rsid w:val="007322A0"/>
    <w:rsid w:val="00732738"/>
    <w:rsid w:val="00732C1A"/>
    <w:rsid w:val="00733CDC"/>
    <w:rsid w:val="00733FCA"/>
    <w:rsid w:val="00734B9A"/>
    <w:rsid w:val="00734C20"/>
    <w:rsid w:val="007350A5"/>
    <w:rsid w:val="007350E1"/>
    <w:rsid w:val="007352DF"/>
    <w:rsid w:val="00735695"/>
    <w:rsid w:val="007360CB"/>
    <w:rsid w:val="00736229"/>
    <w:rsid w:val="007364D5"/>
    <w:rsid w:val="00736BF8"/>
    <w:rsid w:val="00737161"/>
    <w:rsid w:val="00737209"/>
    <w:rsid w:val="00737566"/>
    <w:rsid w:val="007375C3"/>
    <w:rsid w:val="007379BB"/>
    <w:rsid w:val="00737BAC"/>
    <w:rsid w:val="00737E14"/>
    <w:rsid w:val="00737E43"/>
    <w:rsid w:val="00737E51"/>
    <w:rsid w:val="00737E6F"/>
    <w:rsid w:val="0074005D"/>
    <w:rsid w:val="00740FCE"/>
    <w:rsid w:val="007413CE"/>
    <w:rsid w:val="00741647"/>
    <w:rsid w:val="0074184D"/>
    <w:rsid w:val="00741BA2"/>
    <w:rsid w:val="00741BC9"/>
    <w:rsid w:val="00741CF4"/>
    <w:rsid w:val="00741DCC"/>
    <w:rsid w:val="00741DD4"/>
    <w:rsid w:val="00741DD8"/>
    <w:rsid w:val="00741DE2"/>
    <w:rsid w:val="00741E2E"/>
    <w:rsid w:val="00741F75"/>
    <w:rsid w:val="0074202A"/>
    <w:rsid w:val="007421A1"/>
    <w:rsid w:val="007422FF"/>
    <w:rsid w:val="007427FE"/>
    <w:rsid w:val="00742A11"/>
    <w:rsid w:val="00742AC3"/>
    <w:rsid w:val="00742C51"/>
    <w:rsid w:val="00743445"/>
    <w:rsid w:val="00743674"/>
    <w:rsid w:val="00743A3A"/>
    <w:rsid w:val="0074424A"/>
    <w:rsid w:val="00744365"/>
    <w:rsid w:val="007444AC"/>
    <w:rsid w:val="00744804"/>
    <w:rsid w:val="0074511B"/>
    <w:rsid w:val="007453C0"/>
    <w:rsid w:val="00745448"/>
    <w:rsid w:val="0074563D"/>
    <w:rsid w:val="00745E01"/>
    <w:rsid w:val="007464E6"/>
    <w:rsid w:val="0074666B"/>
    <w:rsid w:val="007468D6"/>
    <w:rsid w:val="00746900"/>
    <w:rsid w:val="00746BFF"/>
    <w:rsid w:val="00746CAB"/>
    <w:rsid w:val="0074726E"/>
    <w:rsid w:val="007473E1"/>
    <w:rsid w:val="0074757F"/>
    <w:rsid w:val="00747897"/>
    <w:rsid w:val="00747E47"/>
    <w:rsid w:val="00747F3C"/>
    <w:rsid w:val="0075014E"/>
    <w:rsid w:val="00750192"/>
    <w:rsid w:val="007504E1"/>
    <w:rsid w:val="00750544"/>
    <w:rsid w:val="007505A4"/>
    <w:rsid w:val="007505BF"/>
    <w:rsid w:val="0075065F"/>
    <w:rsid w:val="00750804"/>
    <w:rsid w:val="007509AB"/>
    <w:rsid w:val="00751183"/>
    <w:rsid w:val="007511E1"/>
    <w:rsid w:val="007515DF"/>
    <w:rsid w:val="00751689"/>
    <w:rsid w:val="00751832"/>
    <w:rsid w:val="007519F0"/>
    <w:rsid w:val="00751AFB"/>
    <w:rsid w:val="007524AA"/>
    <w:rsid w:val="007536B2"/>
    <w:rsid w:val="00753744"/>
    <w:rsid w:val="00753A93"/>
    <w:rsid w:val="00753ABC"/>
    <w:rsid w:val="00754945"/>
    <w:rsid w:val="00754A86"/>
    <w:rsid w:val="00754BBA"/>
    <w:rsid w:val="00754C94"/>
    <w:rsid w:val="00755663"/>
    <w:rsid w:val="0075574D"/>
    <w:rsid w:val="00755C05"/>
    <w:rsid w:val="007560B6"/>
    <w:rsid w:val="00756118"/>
    <w:rsid w:val="00756147"/>
    <w:rsid w:val="00756386"/>
    <w:rsid w:val="00756603"/>
    <w:rsid w:val="007567D5"/>
    <w:rsid w:val="00756A1D"/>
    <w:rsid w:val="00756E12"/>
    <w:rsid w:val="007571DB"/>
    <w:rsid w:val="007573A2"/>
    <w:rsid w:val="007575C0"/>
    <w:rsid w:val="00757754"/>
    <w:rsid w:val="0075791F"/>
    <w:rsid w:val="007579C8"/>
    <w:rsid w:val="00757C31"/>
    <w:rsid w:val="00757D2F"/>
    <w:rsid w:val="00757FAD"/>
    <w:rsid w:val="0076000E"/>
    <w:rsid w:val="0076096B"/>
    <w:rsid w:val="00760B88"/>
    <w:rsid w:val="00760C00"/>
    <w:rsid w:val="00760C41"/>
    <w:rsid w:val="00760D71"/>
    <w:rsid w:val="00760DBB"/>
    <w:rsid w:val="00760E5B"/>
    <w:rsid w:val="00760F09"/>
    <w:rsid w:val="007610E9"/>
    <w:rsid w:val="00761728"/>
    <w:rsid w:val="0076196E"/>
    <w:rsid w:val="00761984"/>
    <w:rsid w:val="00761A5F"/>
    <w:rsid w:val="00761ACB"/>
    <w:rsid w:val="00761B75"/>
    <w:rsid w:val="00761C6C"/>
    <w:rsid w:val="00761CDF"/>
    <w:rsid w:val="00762402"/>
    <w:rsid w:val="00762B22"/>
    <w:rsid w:val="00762B72"/>
    <w:rsid w:val="007631E5"/>
    <w:rsid w:val="0076320D"/>
    <w:rsid w:val="0076324C"/>
    <w:rsid w:val="00763815"/>
    <w:rsid w:val="00763CCB"/>
    <w:rsid w:val="00763CFD"/>
    <w:rsid w:val="007642B4"/>
    <w:rsid w:val="007648C0"/>
    <w:rsid w:val="00764C45"/>
    <w:rsid w:val="00765A13"/>
    <w:rsid w:val="00765C5B"/>
    <w:rsid w:val="00765D1E"/>
    <w:rsid w:val="00765F1D"/>
    <w:rsid w:val="00766048"/>
    <w:rsid w:val="00766277"/>
    <w:rsid w:val="0076656A"/>
    <w:rsid w:val="00766701"/>
    <w:rsid w:val="00766911"/>
    <w:rsid w:val="007669CC"/>
    <w:rsid w:val="00766B06"/>
    <w:rsid w:val="00767481"/>
    <w:rsid w:val="00767793"/>
    <w:rsid w:val="007679D8"/>
    <w:rsid w:val="00767D78"/>
    <w:rsid w:val="00770697"/>
    <w:rsid w:val="00770803"/>
    <w:rsid w:val="00770952"/>
    <w:rsid w:val="00770A57"/>
    <w:rsid w:val="00770C5A"/>
    <w:rsid w:val="00770D24"/>
    <w:rsid w:val="00770F41"/>
    <w:rsid w:val="00771319"/>
    <w:rsid w:val="00771356"/>
    <w:rsid w:val="007713E8"/>
    <w:rsid w:val="0077144D"/>
    <w:rsid w:val="00771794"/>
    <w:rsid w:val="00771BDB"/>
    <w:rsid w:val="00771CCF"/>
    <w:rsid w:val="00771EDF"/>
    <w:rsid w:val="00771F7D"/>
    <w:rsid w:val="00772662"/>
    <w:rsid w:val="007729C5"/>
    <w:rsid w:val="00772B36"/>
    <w:rsid w:val="00772BB0"/>
    <w:rsid w:val="00772C3E"/>
    <w:rsid w:val="0077360F"/>
    <w:rsid w:val="007736E8"/>
    <w:rsid w:val="007737E6"/>
    <w:rsid w:val="007738A6"/>
    <w:rsid w:val="007739D2"/>
    <w:rsid w:val="00773B77"/>
    <w:rsid w:val="0077402F"/>
    <w:rsid w:val="0077444E"/>
    <w:rsid w:val="0077464D"/>
    <w:rsid w:val="00774883"/>
    <w:rsid w:val="007749FD"/>
    <w:rsid w:val="00774A97"/>
    <w:rsid w:val="00774ACE"/>
    <w:rsid w:val="007756C6"/>
    <w:rsid w:val="00775823"/>
    <w:rsid w:val="00775F57"/>
    <w:rsid w:val="007761BB"/>
    <w:rsid w:val="00776323"/>
    <w:rsid w:val="00776417"/>
    <w:rsid w:val="00776584"/>
    <w:rsid w:val="00776875"/>
    <w:rsid w:val="00776904"/>
    <w:rsid w:val="007769EF"/>
    <w:rsid w:val="00776B6C"/>
    <w:rsid w:val="00776B72"/>
    <w:rsid w:val="00776D4F"/>
    <w:rsid w:val="00776DDC"/>
    <w:rsid w:val="007770F9"/>
    <w:rsid w:val="00777179"/>
    <w:rsid w:val="0077723B"/>
    <w:rsid w:val="007772C0"/>
    <w:rsid w:val="007772D1"/>
    <w:rsid w:val="00777945"/>
    <w:rsid w:val="00777CF1"/>
    <w:rsid w:val="00777D31"/>
    <w:rsid w:val="00777D40"/>
    <w:rsid w:val="007806B1"/>
    <w:rsid w:val="00780B8D"/>
    <w:rsid w:val="00780B8E"/>
    <w:rsid w:val="00780C56"/>
    <w:rsid w:val="00781521"/>
    <w:rsid w:val="00781649"/>
    <w:rsid w:val="007817A6"/>
    <w:rsid w:val="00781A82"/>
    <w:rsid w:val="007823D6"/>
    <w:rsid w:val="00782543"/>
    <w:rsid w:val="0078254E"/>
    <w:rsid w:val="00782628"/>
    <w:rsid w:val="007826AB"/>
    <w:rsid w:val="00782790"/>
    <w:rsid w:val="007837CC"/>
    <w:rsid w:val="007838B2"/>
    <w:rsid w:val="00783974"/>
    <w:rsid w:val="00783E66"/>
    <w:rsid w:val="007840E2"/>
    <w:rsid w:val="007844BE"/>
    <w:rsid w:val="007847BC"/>
    <w:rsid w:val="007848C5"/>
    <w:rsid w:val="007850AF"/>
    <w:rsid w:val="0078569F"/>
    <w:rsid w:val="00785803"/>
    <w:rsid w:val="00785EB4"/>
    <w:rsid w:val="0078609A"/>
    <w:rsid w:val="007863F6"/>
    <w:rsid w:val="0078667D"/>
    <w:rsid w:val="00786855"/>
    <w:rsid w:val="00786F85"/>
    <w:rsid w:val="0078731A"/>
    <w:rsid w:val="00787487"/>
    <w:rsid w:val="00787965"/>
    <w:rsid w:val="00787D36"/>
    <w:rsid w:val="00787F5F"/>
    <w:rsid w:val="00790011"/>
    <w:rsid w:val="0079058C"/>
    <w:rsid w:val="007906F1"/>
    <w:rsid w:val="00790845"/>
    <w:rsid w:val="0079098E"/>
    <w:rsid w:val="00790B6F"/>
    <w:rsid w:val="00790EDA"/>
    <w:rsid w:val="00791349"/>
    <w:rsid w:val="00791D7C"/>
    <w:rsid w:val="00791D85"/>
    <w:rsid w:val="00791DAF"/>
    <w:rsid w:val="00791DCA"/>
    <w:rsid w:val="00791E16"/>
    <w:rsid w:val="0079233A"/>
    <w:rsid w:val="00792400"/>
    <w:rsid w:val="007924CA"/>
    <w:rsid w:val="007924E3"/>
    <w:rsid w:val="0079256F"/>
    <w:rsid w:val="0079277E"/>
    <w:rsid w:val="007927B9"/>
    <w:rsid w:val="007928EF"/>
    <w:rsid w:val="00792C9A"/>
    <w:rsid w:val="00792E96"/>
    <w:rsid w:val="00792EA8"/>
    <w:rsid w:val="00792FE4"/>
    <w:rsid w:val="00793199"/>
    <w:rsid w:val="00793525"/>
    <w:rsid w:val="007936FC"/>
    <w:rsid w:val="00793E15"/>
    <w:rsid w:val="00793E8A"/>
    <w:rsid w:val="007940AF"/>
    <w:rsid w:val="007941AE"/>
    <w:rsid w:val="0079471A"/>
    <w:rsid w:val="00794ABD"/>
    <w:rsid w:val="00794C04"/>
    <w:rsid w:val="00794CBF"/>
    <w:rsid w:val="00794EE9"/>
    <w:rsid w:val="007950CC"/>
    <w:rsid w:val="00795115"/>
    <w:rsid w:val="00795199"/>
    <w:rsid w:val="00795365"/>
    <w:rsid w:val="0079567E"/>
    <w:rsid w:val="00795704"/>
    <w:rsid w:val="00795BF7"/>
    <w:rsid w:val="00795EAC"/>
    <w:rsid w:val="007961D5"/>
    <w:rsid w:val="007961F4"/>
    <w:rsid w:val="00796A10"/>
    <w:rsid w:val="00796A6F"/>
    <w:rsid w:val="00796C5D"/>
    <w:rsid w:val="00797060"/>
    <w:rsid w:val="007979FF"/>
    <w:rsid w:val="00797B06"/>
    <w:rsid w:val="00797B9C"/>
    <w:rsid w:val="007A0483"/>
    <w:rsid w:val="007A04D9"/>
    <w:rsid w:val="007A08FB"/>
    <w:rsid w:val="007A0C27"/>
    <w:rsid w:val="007A1065"/>
    <w:rsid w:val="007A1528"/>
    <w:rsid w:val="007A16C8"/>
    <w:rsid w:val="007A18D7"/>
    <w:rsid w:val="007A1CE6"/>
    <w:rsid w:val="007A1D86"/>
    <w:rsid w:val="007A21CF"/>
    <w:rsid w:val="007A2277"/>
    <w:rsid w:val="007A253E"/>
    <w:rsid w:val="007A2A97"/>
    <w:rsid w:val="007A2B38"/>
    <w:rsid w:val="007A2C6E"/>
    <w:rsid w:val="007A2CDC"/>
    <w:rsid w:val="007A2EFE"/>
    <w:rsid w:val="007A371B"/>
    <w:rsid w:val="007A3832"/>
    <w:rsid w:val="007A39A6"/>
    <w:rsid w:val="007A3A0F"/>
    <w:rsid w:val="007A3E60"/>
    <w:rsid w:val="007A3F6C"/>
    <w:rsid w:val="007A4000"/>
    <w:rsid w:val="007A407D"/>
    <w:rsid w:val="007A464F"/>
    <w:rsid w:val="007A4672"/>
    <w:rsid w:val="007A4C0C"/>
    <w:rsid w:val="007A4C7C"/>
    <w:rsid w:val="007A53D5"/>
    <w:rsid w:val="007A5454"/>
    <w:rsid w:val="007A57C4"/>
    <w:rsid w:val="007A5950"/>
    <w:rsid w:val="007A5B0B"/>
    <w:rsid w:val="007A60D9"/>
    <w:rsid w:val="007A6196"/>
    <w:rsid w:val="007A63D5"/>
    <w:rsid w:val="007A63E7"/>
    <w:rsid w:val="007A6693"/>
    <w:rsid w:val="007A689A"/>
    <w:rsid w:val="007A68EA"/>
    <w:rsid w:val="007A69AE"/>
    <w:rsid w:val="007A6B7D"/>
    <w:rsid w:val="007A6EF1"/>
    <w:rsid w:val="007A6F23"/>
    <w:rsid w:val="007A713B"/>
    <w:rsid w:val="007A71BD"/>
    <w:rsid w:val="007A7629"/>
    <w:rsid w:val="007A7A91"/>
    <w:rsid w:val="007A7EA3"/>
    <w:rsid w:val="007B0327"/>
    <w:rsid w:val="007B0377"/>
    <w:rsid w:val="007B0772"/>
    <w:rsid w:val="007B1027"/>
    <w:rsid w:val="007B1071"/>
    <w:rsid w:val="007B1691"/>
    <w:rsid w:val="007B174F"/>
    <w:rsid w:val="007B1838"/>
    <w:rsid w:val="007B1863"/>
    <w:rsid w:val="007B1A91"/>
    <w:rsid w:val="007B1DFE"/>
    <w:rsid w:val="007B22E0"/>
    <w:rsid w:val="007B261C"/>
    <w:rsid w:val="007B28CA"/>
    <w:rsid w:val="007B2924"/>
    <w:rsid w:val="007B29F5"/>
    <w:rsid w:val="007B2A7F"/>
    <w:rsid w:val="007B2D97"/>
    <w:rsid w:val="007B326C"/>
    <w:rsid w:val="007B32CE"/>
    <w:rsid w:val="007B358D"/>
    <w:rsid w:val="007B387D"/>
    <w:rsid w:val="007B3D37"/>
    <w:rsid w:val="007B40FB"/>
    <w:rsid w:val="007B4170"/>
    <w:rsid w:val="007B4B8E"/>
    <w:rsid w:val="007B539B"/>
    <w:rsid w:val="007B5401"/>
    <w:rsid w:val="007B5A87"/>
    <w:rsid w:val="007B5BD6"/>
    <w:rsid w:val="007B5D9A"/>
    <w:rsid w:val="007B5ECF"/>
    <w:rsid w:val="007B5FB4"/>
    <w:rsid w:val="007B6193"/>
    <w:rsid w:val="007B65C9"/>
    <w:rsid w:val="007B6B2B"/>
    <w:rsid w:val="007B6B70"/>
    <w:rsid w:val="007B6EBE"/>
    <w:rsid w:val="007B7326"/>
    <w:rsid w:val="007B732E"/>
    <w:rsid w:val="007B7504"/>
    <w:rsid w:val="007B77E2"/>
    <w:rsid w:val="007B7949"/>
    <w:rsid w:val="007B7D30"/>
    <w:rsid w:val="007B7EA2"/>
    <w:rsid w:val="007C0669"/>
    <w:rsid w:val="007C06D8"/>
    <w:rsid w:val="007C07E8"/>
    <w:rsid w:val="007C0DEE"/>
    <w:rsid w:val="007C0FA9"/>
    <w:rsid w:val="007C13B1"/>
    <w:rsid w:val="007C1F77"/>
    <w:rsid w:val="007C2413"/>
    <w:rsid w:val="007C245C"/>
    <w:rsid w:val="007C25AE"/>
    <w:rsid w:val="007C2EC3"/>
    <w:rsid w:val="007C3152"/>
    <w:rsid w:val="007C333B"/>
    <w:rsid w:val="007C349B"/>
    <w:rsid w:val="007C3750"/>
    <w:rsid w:val="007C3914"/>
    <w:rsid w:val="007C3CEA"/>
    <w:rsid w:val="007C3D92"/>
    <w:rsid w:val="007C3E98"/>
    <w:rsid w:val="007C41E2"/>
    <w:rsid w:val="007C4452"/>
    <w:rsid w:val="007C484B"/>
    <w:rsid w:val="007C4BA9"/>
    <w:rsid w:val="007C4C90"/>
    <w:rsid w:val="007C4D1A"/>
    <w:rsid w:val="007C4E57"/>
    <w:rsid w:val="007C5179"/>
    <w:rsid w:val="007C5A8F"/>
    <w:rsid w:val="007C5B38"/>
    <w:rsid w:val="007C5C45"/>
    <w:rsid w:val="007C5E94"/>
    <w:rsid w:val="007C6AD0"/>
    <w:rsid w:val="007C6EB6"/>
    <w:rsid w:val="007C708E"/>
    <w:rsid w:val="007C7429"/>
    <w:rsid w:val="007C76E8"/>
    <w:rsid w:val="007C7AF2"/>
    <w:rsid w:val="007C7EFF"/>
    <w:rsid w:val="007D01E6"/>
    <w:rsid w:val="007D035E"/>
    <w:rsid w:val="007D0396"/>
    <w:rsid w:val="007D05BC"/>
    <w:rsid w:val="007D0644"/>
    <w:rsid w:val="007D0754"/>
    <w:rsid w:val="007D09A5"/>
    <w:rsid w:val="007D0E8F"/>
    <w:rsid w:val="007D15AF"/>
    <w:rsid w:val="007D15CD"/>
    <w:rsid w:val="007D1634"/>
    <w:rsid w:val="007D1769"/>
    <w:rsid w:val="007D1801"/>
    <w:rsid w:val="007D1B3C"/>
    <w:rsid w:val="007D1BC7"/>
    <w:rsid w:val="007D1EF5"/>
    <w:rsid w:val="007D1F5C"/>
    <w:rsid w:val="007D1FE0"/>
    <w:rsid w:val="007D2008"/>
    <w:rsid w:val="007D20BB"/>
    <w:rsid w:val="007D2475"/>
    <w:rsid w:val="007D261E"/>
    <w:rsid w:val="007D2BA1"/>
    <w:rsid w:val="007D2F61"/>
    <w:rsid w:val="007D3004"/>
    <w:rsid w:val="007D301E"/>
    <w:rsid w:val="007D33E0"/>
    <w:rsid w:val="007D38BD"/>
    <w:rsid w:val="007D3D0E"/>
    <w:rsid w:val="007D3D33"/>
    <w:rsid w:val="007D3DCE"/>
    <w:rsid w:val="007D4062"/>
    <w:rsid w:val="007D41C2"/>
    <w:rsid w:val="007D425C"/>
    <w:rsid w:val="007D45B8"/>
    <w:rsid w:val="007D45C6"/>
    <w:rsid w:val="007D4815"/>
    <w:rsid w:val="007D4F02"/>
    <w:rsid w:val="007D656B"/>
    <w:rsid w:val="007D674C"/>
    <w:rsid w:val="007D6B7B"/>
    <w:rsid w:val="007D6C58"/>
    <w:rsid w:val="007D6CF1"/>
    <w:rsid w:val="007D7131"/>
    <w:rsid w:val="007D7164"/>
    <w:rsid w:val="007D7BEC"/>
    <w:rsid w:val="007D7CE3"/>
    <w:rsid w:val="007D7CFC"/>
    <w:rsid w:val="007D7EF2"/>
    <w:rsid w:val="007D7FD4"/>
    <w:rsid w:val="007E00BF"/>
    <w:rsid w:val="007E027B"/>
    <w:rsid w:val="007E0482"/>
    <w:rsid w:val="007E051A"/>
    <w:rsid w:val="007E05EA"/>
    <w:rsid w:val="007E0616"/>
    <w:rsid w:val="007E0798"/>
    <w:rsid w:val="007E15FB"/>
    <w:rsid w:val="007E1709"/>
    <w:rsid w:val="007E1B72"/>
    <w:rsid w:val="007E1D8B"/>
    <w:rsid w:val="007E1E31"/>
    <w:rsid w:val="007E2471"/>
    <w:rsid w:val="007E2D7D"/>
    <w:rsid w:val="007E3A3D"/>
    <w:rsid w:val="007E3CCB"/>
    <w:rsid w:val="007E3EE3"/>
    <w:rsid w:val="007E4444"/>
    <w:rsid w:val="007E4836"/>
    <w:rsid w:val="007E57DE"/>
    <w:rsid w:val="007E585A"/>
    <w:rsid w:val="007E5902"/>
    <w:rsid w:val="007E59C4"/>
    <w:rsid w:val="007E5E3F"/>
    <w:rsid w:val="007E640F"/>
    <w:rsid w:val="007E6719"/>
    <w:rsid w:val="007E68D0"/>
    <w:rsid w:val="007E68ED"/>
    <w:rsid w:val="007E69ED"/>
    <w:rsid w:val="007E6F02"/>
    <w:rsid w:val="007E6FA2"/>
    <w:rsid w:val="007E708F"/>
    <w:rsid w:val="007E73B9"/>
    <w:rsid w:val="007E792A"/>
    <w:rsid w:val="007E79DA"/>
    <w:rsid w:val="007E7B2D"/>
    <w:rsid w:val="007E7BDB"/>
    <w:rsid w:val="007F016E"/>
    <w:rsid w:val="007F0221"/>
    <w:rsid w:val="007F034B"/>
    <w:rsid w:val="007F0538"/>
    <w:rsid w:val="007F05CE"/>
    <w:rsid w:val="007F0682"/>
    <w:rsid w:val="007F07B9"/>
    <w:rsid w:val="007F0928"/>
    <w:rsid w:val="007F1072"/>
    <w:rsid w:val="007F13BF"/>
    <w:rsid w:val="007F15CE"/>
    <w:rsid w:val="007F1976"/>
    <w:rsid w:val="007F1E65"/>
    <w:rsid w:val="007F1E88"/>
    <w:rsid w:val="007F20CD"/>
    <w:rsid w:val="007F274E"/>
    <w:rsid w:val="007F29CF"/>
    <w:rsid w:val="007F2B2D"/>
    <w:rsid w:val="007F2B41"/>
    <w:rsid w:val="007F2CD7"/>
    <w:rsid w:val="007F30BB"/>
    <w:rsid w:val="007F33CE"/>
    <w:rsid w:val="007F3568"/>
    <w:rsid w:val="007F384A"/>
    <w:rsid w:val="007F3B48"/>
    <w:rsid w:val="007F422D"/>
    <w:rsid w:val="007F4324"/>
    <w:rsid w:val="007F4DBA"/>
    <w:rsid w:val="007F4E79"/>
    <w:rsid w:val="007F519C"/>
    <w:rsid w:val="007F534D"/>
    <w:rsid w:val="007F54A2"/>
    <w:rsid w:val="007F54FE"/>
    <w:rsid w:val="007F5535"/>
    <w:rsid w:val="007F5D32"/>
    <w:rsid w:val="007F5EED"/>
    <w:rsid w:val="007F5F2D"/>
    <w:rsid w:val="007F685E"/>
    <w:rsid w:val="007F6875"/>
    <w:rsid w:val="007F6A70"/>
    <w:rsid w:val="007F6BD4"/>
    <w:rsid w:val="007F72DC"/>
    <w:rsid w:val="007F7425"/>
    <w:rsid w:val="007F7937"/>
    <w:rsid w:val="007F795F"/>
    <w:rsid w:val="007F7A9E"/>
    <w:rsid w:val="00800148"/>
    <w:rsid w:val="0080069C"/>
    <w:rsid w:val="008006FD"/>
    <w:rsid w:val="00800CEE"/>
    <w:rsid w:val="00801064"/>
    <w:rsid w:val="0080148D"/>
    <w:rsid w:val="0080156B"/>
    <w:rsid w:val="00801A3A"/>
    <w:rsid w:val="00801AFB"/>
    <w:rsid w:val="00801F53"/>
    <w:rsid w:val="00801F65"/>
    <w:rsid w:val="008029C9"/>
    <w:rsid w:val="0080348F"/>
    <w:rsid w:val="008035E5"/>
    <w:rsid w:val="00803761"/>
    <w:rsid w:val="00803C4F"/>
    <w:rsid w:val="00804114"/>
    <w:rsid w:val="00804634"/>
    <w:rsid w:val="008047E8"/>
    <w:rsid w:val="00804A81"/>
    <w:rsid w:val="00804F51"/>
    <w:rsid w:val="008052FF"/>
    <w:rsid w:val="0080531E"/>
    <w:rsid w:val="00805351"/>
    <w:rsid w:val="0080577E"/>
    <w:rsid w:val="00805AE2"/>
    <w:rsid w:val="00805C3D"/>
    <w:rsid w:val="008063A4"/>
    <w:rsid w:val="00806826"/>
    <w:rsid w:val="00806A12"/>
    <w:rsid w:val="00806F1D"/>
    <w:rsid w:val="00806FFC"/>
    <w:rsid w:val="008074D1"/>
    <w:rsid w:val="008077ED"/>
    <w:rsid w:val="0080793E"/>
    <w:rsid w:val="00807A86"/>
    <w:rsid w:val="00807B6F"/>
    <w:rsid w:val="00807E93"/>
    <w:rsid w:val="00810172"/>
    <w:rsid w:val="008102DB"/>
    <w:rsid w:val="0081042E"/>
    <w:rsid w:val="008105D9"/>
    <w:rsid w:val="00810762"/>
    <w:rsid w:val="00810858"/>
    <w:rsid w:val="008108B6"/>
    <w:rsid w:val="008108D4"/>
    <w:rsid w:val="00810986"/>
    <w:rsid w:val="00810BB0"/>
    <w:rsid w:val="00810DBD"/>
    <w:rsid w:val="00810EFF"/>
    <w:rsid w:val="00811314"/>
    <w:rsid w:val="00811A39"/>
    <w:rsid w:val="00811B51"/>
    <w:rsid w:val="00811C8F"/>
    <w:rsid w:val="00811DDD"/>
    <w:rsid w:val="00811E6C"/>
    <w:rsid w:val="0081291B"/>
    <w:rsid w:val="00812A10"/>
    <w:rsid w:val="00812A8B"/>
    <w:rsid w:val="00812F22"/>
    <w:rsid w:val="00813622"/>
    <w:rsid w:val="00813A97"/>
    <w:rsid w:val="00813ACD"/>
    <w:rsid w:val="00813DCF"/>
    <w:rsid w:val="00813F74"/>
    <w:rsid w:val="00813FA7"/>
    <w:rsid w:val="00813FAB"/>
    <w:rsid w:val="008141F1"/>
    <w:rsid w:val="008142AC"/>
    <w:rsid w:val="0081498C"/>
    <w:rsid w:val="0081499C"/>
    <w:rsid w:val="00814AE1"/>
    <w:rsid w:val="00814BD8"/>
    <w:rsid w:val="00814D5A"/>
    <w:rsid w:val="00814DBD"/>
    <w:rsid w:val="00814DEE"/>
    <w:rsid w:val="00814E75"/>
    <w:rsid w:val="00815D31"/>
    <w:rsid w:val="0081601F"/>
    <w:rsid w:val="00816064"/>
    <w:rsid w:val="008163EC"/>
    <w:rsid w:val="00816486"/>
    <w:rsid w:val="00816551"/>
    <w:rsid w:val="008169F7"/>
    <w:rsid w:val="00816B23"/>
    <w:rsid w:val="00816BC8"/>
    <w:rsid w:val="00816E37"/>
    <w:rsid w:val="008174B2"/>
    <w:rsid w:val="0081777B"/>
    <w:rsid w:val="008177E6"/>
    <w:rsid w:val="008179CA"/>
    <w:rsid w:val="00817CDC"/>
    <w:rsid w:val="00817CFF"/>
    <w:rsid w:val="0082000D"/>
    <w:rsid w:val="0082037E"/>
    <w:rsid w:val="00820841"/>
    <w:rsid w:val="00820C9C"/>
    <w:rsid w:val="00820F55"/>
    <w:rsid w:val="008213B4"/>
    <w:rsid w:val="00821481"/>
    <w:rsid w:val="008214C8"/>
    <w:rsid w:val="00821572"/>
    <w:rsid w:val="0082181F"/>
    <w:rsid w:val="00821F3F"/>
    <w:rsid w:val="00821FFB"/>
    <w:rsid w:val="00822310"/>
    <w:rsid w:val="0082266F"/>
    <w:rsid w:val="008226C0"/>
    <w:rsid w:val="00822D63"/>
    <w:rsid w:val="008233FC"/>
    <w:rsid w:val="00823794"/>
    <w:rsid w:val="008237F4"/>
    <w:rsid w:val="00823DAC"/>
    <w:rsid w:val="00823F67"/>
    <w:rsid w:val="00824022"/>
    <w:rsid w:val="00824370"/>
    <w:rsid w:val="00824531"/>
    <w:rsid w:val="00824626"/>
    <w:rsid w:val="008246C7"/>
    <w:rsid w:val="0082483A"/>
    <w:rsid w:val="008248A0"/>
    <w:rsid w:val="00824A81"/>
    <w:rsid w:val="00824BFC"/>
    <w:rsid w:val="00824C8E"/>
    <w:rsid w:val="00824E9E"/>
    <w:rsid w:val="00824F87"/>
    <w:rsid w:val="00824F8E"/>
    <w:rsid w:val="008252A4"/>
    <w:rsid w:val="008252AB"/>
    <w:rsid w:val="008257B8"/>
    <w:rsid w:val="00826005"/>
    <w:rsid w:val="008260ED"/>
    <w:rsid w:val="00826891"/>
    <w:rsid w:val="0082699D"/>
    <w:rsid w:val="00826DCC"/>
    <w:rsid w:val="00826E6B"/>
    <w:rsid w:val="008270D7"/>
    <w:rsid w:val="008275FD"/>
    <w:rsid w:val="00827D09"/>
    <w:rsid w:val="00827E9C"/>
    <w:rsid w:val="00827EDD"/>
    <w:rsid w:val="0083034B"/>
    <w:rsid w:val="008308B5"/>
    <w:rsid w:val="00830BA1"/>
    <w:rsid w:val="00830EB2"/>
    <w:rsid w:val="008310DF"/>
    <w:rsid w:val="00831510"/>
    <w:rsid w:val="00831569"/>
    <w:rsid w:val="00831652"/>
    <w:rsid w:val="00831AD1"/>
    <w:rsid w:val="00831BE6"/>
    <w:rsid w:val="00831ED9"/>
    <w:rsid w:val="00831F89"/>
    <w:rsid w:val="0083202E"/>
    <w:rsid w:val="0083210E"/>
    <w:rsid w:val="0083304F"/>
    <w:rsid w:val="0083344A"/>
    <w:rsid w:val="008334C9"/>
    <w:rsid w:val="008338B4"/>
    <w:rsid w:val="00833F32"/>
    <w:rsid w:val="00834122"/>
    <w:rsid w:val="008341D5"/>
    <w:rsid w:val="00834258"/>
    <w:rsid w:val="00834526"/>
    <w:rsid w:val="008351FC"/>
    <w:rsid w:val="008352C5"/>
    <w:rsid w:val="008358A6"/>
    <w:rsid w:val="008359FB"/>
    <w:rsid w:val="00835A31"/>
    <w:rsid w:val="00835C56"/>
    <w:rsid w:val="008360B8"/>
    <w:rsid w:val="008360FC"/>
    <w:rsid w:val="0083619A"/>
    <w:rsid w:val="00836E81"/>
    <w:rsid w:val="008377C1"/>
    <w:rsid w:val="00837846"/>
    <w:rsid w:val="00837C90"/>
    <w:rsid w:val="00837EB1"/>
    <w:rsid w:val="00837FA5"/>
    <w:rsid w:val="0084042B"/>
    <w:rsid w:val="008407F7"/>
    <w:rsid w:val="008409BB"/>
    <w:rsid w:val="00840CAA"/>
    <w:rsid w:val="00840F38"/>
    <w:rsid w:val="00841209"/>
    <w:rsid w:val="0084184A"/>
    <w:rsid w:val="008422B9"/>
    <w:rsid w:val="008423F2"/>
    <w:rsid w:val="00842A30"/>
    <w:rsid w:val="00842F71"/>
    <w:rsid w:val="008430A2"/>
    <w:rsid w:val="00843179"/>
    <w:rsid w:val="0084336B"/>
    <w:rsid w:val="0084386A"/>
    <w:rsid w:val="0084396A"/>
    <w:rsid w:val="00843B3B"/>
    <w:rsid w:val="00843B8C"/>
    <w:rsid w:val="00843C1A"/>
    <w:rsid w:val="00843C69"/>
    <w:rsid w:val="00843E0E"/>
    <w:rsid w:val="00843E95"/>
    <w:rsid w:val="008441EC"/>
    <w:rsid w:val="008442D8"/>
    <w:rsid w:val="008442EA"/>
    <w:rsid w:val="00844360"/>
    <w:rsid w:val="00844405"/>
    <w:rsid w:val="00844589"/>
    <w:rsid w:val="00844794"/>
    <w:rsid w:val="00844836"/>
    <w:rsid w:val="00844981"/>
    <w:rsid w:val="00844A2D"/>
    <w:rsid w:val="00844FE7"/>
    <w:rsid w:val="00845306"/>
    <w:rsid w:val="00845969"/>
    <w:rsid w:val="00845BB3"/>
    <w:rsid w:val="00845C53"/>
    <w:rsid w:val="00845E22"/>
    <w:rsid w:val="00845F37"/>
    <w:rsid w:val="00845FF5"/>
    <w:rsid w:val="00846001"/>
    <w:rsid w:val="0084615D"/>
    <w:rsid w:val="008461FE"/>
    <w:rsid w:val="008462AC"/>
    <w:rsid w:val="0084642A"/>
    <w:rsid w:val="008465C0"/>
    <w:rsid w:val="008465C4"/>
    <w:rsid w:val="0084666E"/>
    <w:rsid w:val="00846710"/>
    <w:rsid w:val="00846958"/>
    <w:rsid w:val="00846F90"/>
    <w:rsid w:val="008476D8"/>
    <w:rsid w:val="008478ED"/>
    <w:rsid w:val="00847C2D"/>
    <w:rsid w:val="00847E62"/>
    <w:rsid w:val="00850294"/>
    <w:rsid w:val="00850407"/>
    <w:rsid w:val="00850855"/>
    <w:rsid w:val="008508AA"/>
    <w:rsid w:val="008508C9"/>
    <w:rsid w:val="0085097B"/>
    <w:rsid w:val="00850B21"/>
    <w:rsid w:val="00850EEB"/>
    <w:rsid w:val="00850EFB"/>
    <w:rsid w:val="008511B5"/>
    <w:rsid w:val="00851491"/>
    <w:rsid w:val="00851728"/>
    <w:rsid w:val="008518CD"/>
    <w:rsid w:val="00851D6B"/>
    <w:rsid w:val="00851DFF"/>
    <w:rsid w:val="00851FFE"/>
    <w:rsid w:val="008523A8"/>
    <w:rsid w:val="00852B65"/>
    <w:rsid w:val="00852C1A"/>
    <w:rsid w:val="00853084"/>
    <w:rsid w:val="00853142"/>
    <w:rsid w:val="00853293"/>
    <w:rsid w:val="008538B7"/>
    <w:rsid w:val="00853A0C"/>
    <w:rsid w:val="00853BAB"/>
    <w:rsid w:val="008540A6"/>
    <w:rsid w:val="00854254"/>
    <w:rsid w:val="00854420"/>
    <w:rsid w:val="00854481"/>
    <w:rsid w:val="008551B2"/>
    <w:rsid w:val="0085532E"/>
    <w:rsid w:val="0085578C"/>
    <w:rsid w:val="00855BC9"/>
    <w:rsid w:val="00855E0A"/>
    <w:rsid w:val="00856394"/>
    <w:rsid w:val="00856709"/>
    <w:rsid w:val="008568C5"/>
    <w:rsid w:val="008569B1"/>
    <w:rsid w:val="00856DBA"/>
    <w:rsid w:val="00857591"/>
    <w:rsid w:val="00857CA5"/>
    <w:rsid w:val="00857E88"/>
    <w:rsid w:val="00857F7A"/>
    <w:rsid w:val="00860480"/>
    <w:rsid w:val="00860557"/>
    <w:rsid w:val="00860C5C"/>
    <w:rsid w:val="00860CE3"/>
    <w:rsid w:val="00860EA1"/>
    <w:rsid w:val="00860F1F"/>
    <w:rsid w:val="00861258"/>
    <w:rsid w:val="008612DB"/>
    <w:rsid w:val="008617C9"/>
    <w:rsid w:val="00861AB8"/>
    <w:rsid w:val="00861B57"/>
    <w:rsid w:val="00861C9C"/>
    <w:rsid w:val="00861EA5"/>
    <w:rsid w:val="00861EBE"/>
    <w:rsid w:val="0086275B"/>
    <w:rsid w:val="0086279E"/>
    <w:rsid w:val="00862AC4"/>
    <w:rsid w:val="00862D89"/>
    <w:rsid w:val="008630F4"/>
    <w:rsid w:val="008633AC"/>
    <w:rsid w:val="008634E3"/>
    <w:rsid w:val="00864627"/>
    <w:rsid w:val="00864635"/>
    <w:rsid w:val="00864678"/>
    <w:rsid w:val="00864B1B"/>
    <w:rsid w:val="00864C1A"/>
    <w:rsid w:val="00864D55"/>
    <w:rsid w:val="00865217"/>
    <w:rsid w:val="008658AA"/>
    <w:rsid w:val="00865CBD"/>
    <w:rsid w:val="00866D99"/>
    <w:rsid w:val="00866E37"/>
    <w:rsid w:val="00866E5F"/>
    <w:rsid w:val="00866F9E"/>
    <w:rsid w:val="008672E2"/>
    <w:rsid w:val="0086782F"/>
    <w:rsid w:val="0086793D"/>
    <w:rsid w:val="00867B1C"/>
    <w:rsid w:val="00867BEE"/>
    <w:rsid w:val="00867FC2"/>
    <w:rsid w:val="008706A6"/>
    <w:rsid w:val="00870B78"/>
    <w:rsid w:val="00870E4E"/>
    <w:rsid w:val="00871191"/>
    <w:rsid w:val="008713D6"/>
    <w:rsid w:val="008714CB"/>
    <w:rsid w:val="00871643"/>
    <w:rsid w:val="0087164D"/>
    <w:rsid w:val="00872311"/>
    <w:rsid w:val="00872614"/>
    <w:rsid w:val="0087281D"/>
    <w:rsid w:val="00872A9C"/>
    <w:rsid w:val="00872C5B"/>
    <w:rsid w:val="00872C80"/>
    <w:rsid w:val="00872CC1"/>
    <w:rsid w:val="00872E16"/>
    <w:rsid w:val="008732D8"/>
    <w:rsid w:val="00873377"/>
    <w:rsid w:val="00873409"/>
    <w:rsid w:val="0087355A"/>
    <w:rsid w:val="00873577"/>
    <w:rsid w:val="00873A57"/>
    <w:rsid w:val="00873E60"/>
    <w:rsid w:val="0087409F"/>
    <w:rsid w:val="00874175"/>
    <w:rsid w:val="00874194"/>
    <w:rsid w:val="00874D58"/>
    <w:rsid w:val="008750D2"/>
    <w:rsid w:val="00875203"/>
    <w:rsid w:val="008757EA"/>
    <w:rsid w:val="00875AB5"/>
    <w:rsid w:val="00875C91"/>
    <w:rsid w:val="00875F85"/>
    <w:rsid w:val="008762D3"/>
    <w:rsid w:val="008763EA"/>
    <w:rsid w:val="00876778"/>
    <w:rsid w:val="0087682D"/>
    <w:rsid w:val="00876C6B"/>
    <w:rsid w:val="00876DC9"/>
    <w:rsid w:val="00876E01"/>
    <w:rsid w:val="008770BA"/>
    <w:rsid w:val="00877110"/>
    <w:rsid w:val="00877125"/>
    <w:rsid w:val="0087740D"/>
    <w:rsid w:val="008775A0"/>
    <w:rsid w:val="008777C2"/>
    <w:rsid w:val="0087781D"/>
    <w:rsid w:val="00880343"/>
    <w:rsid w:val="008812A6"/>
    <w:rsid w:val="008812FD"/>
    <w:rsid w:val="00881511"/>
    <w:rsid w:val="00881538"/>
    <w:rsid w:val="008817A8"/>
    <w:rsid w:val="00881DF4"/>
    <w:rsid w:val="00881F0F"/>
    <w:rsid w:val="00882448"/>
    <w:rsid w:val="00882884"/>
    <w:rsid w:val="008829A4"/>
    <w:rsid w:val="00882F0B"/>
    <w:rsid w:val="00882F1D"/>
    <w:rsid w:val="00882FF5"/>
    <w:rsid w:val="0088365A"/>
    <w:rsid w:val="0088373E"/>
    <w:rsid w:val="00883860"/>
    <w:rsid w:val="008839BD"/>
    <w:rsid w:val="00883A4D"/>
    <w:rsid w:val="00883AF0"/>
    <w:rsid w:val="00883B21"/>
    <w:rsid w:val="00883F8F"/>
    <w:rsid w:val="00883FCC"/>
    <w:rsid w:val="0088404B"/>
    <w:rsid w:val="00884235"/>
    <w:rsid w:val="00884713"/>
    <w:rsid w:val="00884C5C"/>
    <w:rsid w:val="00884D04"/>
    <w:rsid w:val="00885285"/>
    <w:rsid w:val="008853C3"/>
    <w:rsid w:val="00885985"/>
    <w:rsid w:val="00885BC8"/>
    <w:rsid w:val="008865D2"/>
    <w:rsid w:val="00886699"/>
    <w:rsid w:val="008867DA"/>
    <w:rsid w:val="00886C2D"/>
    <w:rsid w:val="0088709A"/>
    <w:rsid w:val="00887310"/>
    <w:rsid w:val="008878EC"/>
    <w:rsid w:val="0089021D"/>
    <w:rsid w:val="0089045C"/>
    <w:rsid w:val="00890771"/>
    <w:rsid w:val="00890B91"/>
    <w:rsid w:val="00890D3A"/>
    <w:rsid w:val="00890E73"/>
    <w:rsid w:val="0089131B"/>
    <w:rsid w:val="0089199F"/>
    <w:rsid w:val="00891AC6"/>
    <w:rsid w:val="00891C32"/>
    <w:rsid w:val="00891D7F"/>
    <w:rsid w:val="00892265"/>
    <w:rsid w:val="0089233E"/>
    <w:rsid w:val="008926BE"/>
    <w:rsid w:val="008931AB"/>
    <w:rsid w:val="008932C4"/>
    <w:rsid w:val="0089330E"/>
    <w:rsid w:val="00893430"/>
    <w:rsid w:val="00893892"/>
    <w:rsid w:val="00893A8E"/>
    <w:rsid w:val="00893AC8"/>
    <w:rsid w:val="00893CC4"/>
    <w:rsid w:val="00893E27"/>
    <w:rsid w:val="008940E6"/>
    <w:rsid w:val="008941D3"/>
    <w:rsid w:val="0089447A"/>
    <w:rsid w:val="00894522"/>
    <w:rsid w:val="008945F7"/>
    <w:rsid w:val="00894634"/>
    <w:rsid w:val="0089463D"/>
    <w:rsid w:val="0089548B"/>
    <w:rsid w:val="0089554F"/>
    <w:rsid w:val="008955E6"/>
    <w:rsid w:val="00895B5F"/>
    <w:rsid w:val="0089637C"/>
    <w:rsid w:val="00896575"/>
    <w:rsid w:val="00896712"/>
    <w:rsid w:val="00896870"/>
    <w:rsid w:val="008969BD"/>
    <w:rsid w:val="00896BDC"/>
    <w:rsid w:val="00897998"/>
    <w:rsid w:val="008979C3"/>
    <w:rsid w:val="00897A59"/>
    <w:rsid w:val="00897C1F"/>
    <w:rsid w:val="008A0157"/>
    <w:rsid w:val="008A1105"/>
    <w:rsid w:val="008A13BD"/>
    <w:rsid w:val="008A1596"/>
    <w:rsid w:val="008A15AC"/>
    <w:rsid w:val="008A1702"/>
    <w:rsid w:val="008A1EDF"/>
    <w:rsid w:val="008A207C"/>
    <w:rsid w:val="008A2695"/>
    <w:rsid w:val="008A28F5"/>
    <w:rsid w:val="008A2DA3"/>
    <w:rsid w:val="008A2DC9"/>
    <w:rsid w:val="008A2EBA"/>
    <w:rsid w:val="008A2FF1"/>
    <w:rsid w:val="008A32AC"/>
    <w:rsid w:val="008A32D4"/>
    <w:rsid w:val="008A367F"/>
    <w:rsid w:val="008A37AF"/>
    <w:rsid w:val="008A39FA"/>
    <w:rsid w:val="008A3AB0"/>
    <w:rsid w:val="008A3D62"/>
    <w:rsid w:val="008A41DC"/>
    <w:rsid w:val="008A448D"/>
    <w:rsid w:val="008A4A55"/>
    <w:rsid w:val="008A4B15"/>
    <w:rsid w:val="008A506F"/>
    <w:rsid w:val="008A528A"/>
    <w:rsid w:val="008A5298"/>
    <w:rsid w:val="008A535A"/>
    <w:rsid w:val="008A60BB"/>
    <w:rsid w:val="008A6186"/>
    <w:rsid w:val="008A6347"/>
    <w:rsid w:val="008A6A76"/>
    <w:rsid w:val="008A6B3F"/>
    <w:rsid w:val="008A7011"/>
    <w:rsid w:val="008A7209"/>
    <w:rsid w:val="008A720F"/>
    <w:rsid w:val="008A799A"/>
    <w:rsid w:val="008A7C72"/>
    <w:rsid w:val="008B0157"/>
    <w:rsid w:val="008B04F2"/>
    <w:rsid w:val="008B07B0"/>
    <w:rsid w:val="008B084D"/>
    <w:rsid w:val="008B0979"/>
    <w:rsid w:val="008B0D0E"/>
    <w:rsid w:val="008B1088"/>
    <w:rsid w:val="008B12BB"/>
    <w:rsid w:val="008B1411"/>
    <w:rsid w:val="008B17A2"/>
    <w:rsid w:val="008B1DBD"/>
    <w:rsid w:val="008B25F2"/>
    <w:rsid w:val="008B2643"/>
    <w:rsid w:val="008B2660"/>
    <w:rsid w:val="008B2AD1"/>
    <w:rsid w:val="008B2EE5"/>
    <w:rsid w:val="008B2FAE"/>
    <w:rsid w:val="008B32B4"/>
    <w:rsid w:val="008B32C2"/>
    <w:rsid w:val="008B3317"/>
    <w:rsid w:val="008B38AF"/>
    <w:rsid w:val="008B414B"/>
    <w:rsid w:val="008B46D5"/>
    <w:rsid w:val="008B4779"/>
    <w:rsid w:val="008B4C52"/>
    <w:rsid w:val="008B4CC6"/>
    <w:rsid w:val="008B4E0E"/>
    <w:rsid w:val="008B4EA5"/>
    <w:rsid w:val="008B4FB9"/>
    <w:rsid w:val="008B5094"/>
    <w:rsid w:val="008B5116"/>
    <w:rsid w:val="008B5135"/>
    <w:rsid w:val="008B52F7"/>
    <w:rsid w:val="008B548E"/>
    <w:rsid w:val="008B5715"/>
    <w:rsid w:val="008B5A2D"/>
    <w:rsid w:val="008B5BC2"/>
    <w:rsid w:val="008B5CA8"/>
    <w:rsid w:val="008B5F2C"/>
    <w:rsid w:val="008B602E"/>
    <w:rsid w:val="008B60BB"/>
    <w:rsid w:val="008B6732"/>
    <w:rsid w:val="008B68EC"/>
    <w:rsid w:val="008B711E"/>
    <w:rsid w:val="008B755B"/>
    <w:rsid w:val="008B78FC"/>
    <w:rsid w:val="008B7DCD"/>
    <w:rsid w:val="008C01B5"/>
    <w:rsid w:val="008C01D4"/>
    <w:rsid w:val="008C042F"/>
    <w:rsid w:val="008C057B"/>
    <w:rsid w:val="008C0991"/>
    <w:rsid w:val="008C0CAC"/>
    <w:rsid w:val="008C119F"/>
    <w:rsid w:val="008C1263"/>
    <w:rsid w:val="008C13B4"/>
    <w:rsid w:val="008C13CA"/>
    <w:rsid w:val="008C1425"/>
    <w:rsid w:val="008C148F"/>
    <w:rsid w:val="008C1526"/>
    <w:rsid w:val="008C1557"/>
    <w:rsid w:val="008C178B"/>
    <w:rsid w:val="008C1AD3"/>
    <w:rsid w:val="008C1B8C"/>
    <w:rsid w:val="008C216C"/>
    <w:rsid w:val="008C2306"/>
    <w:rsid w:val="008C26D1"/>
    <w:rsid w:val="008C270D"/>
    <w:rsid w:val="008C2B7F"/>
    <w:rsid w:val="008C2DEF"/>
    <w:rsid w:val="008C321E"/>
    <w:rsid w:val="008C3327"/>
    <w:rsid w:val="008C35A2"/>
    <w:rsid w:val="008C36AC"/>
    <w:rsid w:val="008C3A45"/>
    <w:rsid w:val="008C3A46"/>
    <w:rsid w:val="008C3E96"/>
    <w:rsid w:val="008C3EAE"/>
    <w:rsid w:val="008C3F9D"/>
    <w:rsid w:val="008C40AD"/>
    <w:rsid w:val="008C4370"/>
    <w:rsid w:val="008C4785"/>
    <w:rsid w:val="008C4953"/>
    <w:rsid w:val="008C4A60"/>
    <w:rsid w:val="008C4E44"/>
    <w:rsid w:val="008C56E0"/>
    <w:rsid w:val="008C5AF3"/>
    <w:rsid w:val="008C5CC6"/>
    <w:rsid w:val="008C6255"/>
    <w:rsid w:val="008C6396"/>
    <w:rsid w:val="008C646D"/>
    <w:rsid w:val="008C6531"/>
    <w:rsid w:val="008C669A"/>
    <w:rsid w:val="008C684B"/>
    <w:rsid w:val="008C6868"/>
    <w:rsid w:val="008C6ABD"/>
    <w:rsid w:val="008C6B11"/>
    <w:rsid w:val="008C6F18"/>
    <w:rsid w:val="008C7215"/>
    <w:rsid w:val="008C7685"/>
    <w:rsid w:val="008C7978"/>
    <w:rsid w:val="008C7AE1"/>
    <w:rsid w:val="008D0068"/>
    <w:rsid w:val="008D007A"/>
    <w:rsid w:val="008D071D"/>
    <w:rsid w:val="008D07DE"/>
    <w:rsid w:val="008D0831"/>
    <w:rsid w:val="008D0E40"/>
    <w:rsid w:val="008D10FB"/>
    <w:rsid w:val="008D127D"/>
    <w:rsid w:val="008D12D0"/>
    <w:rsid w:val="008D1853"/>
    <w:rsid w:val="008D1881"/>
    <w:rsid w:val="008D1E7C"/>
    <w:rsid w:val="008D1E7F"/>
    <w:rsid w:val="008D20E5"/>
    <w:rsid w:val="008D210A"/>
    <w:rsid w:val="008D2367"/>
    <w:rsid w:val="008D2403"/>
    <w:rsid w:val="008D264C"/>
    <w:rsid w:val="008D270D"/>
    <w:rsid w:val="008D2720"/>
    <w:rsid w:val="008D278F"/>
    <w:rsid w:val="008D3108"/>
    <w:rsid w:val="008D3162"/>
    <w:rsid w:val="008D316F"/>
    <w:rsid w:val="008D3846"/>
    <w:rsid w:val="008D3F6F"/>
    <w:rsid w:val="008D427A"/>
    <w:rsid w:val="008D443F"/>
    <w:rsid w:val="008D4539"/>
    <w:rsid w:val="008D4698"/>
    <w:rsid w:val="008D4DD5"/>
    <w:rsid w:val="008D4FEC"/>
    <w:rsid w:val="008D527C"/>
    <w:rsid w:val="008D5407"/>
    <w:rsid w:val="008D5657"/>
    <w:rsid w:val="008D61A8"/>
    <w:rsid w:val="008D66A6"/>
    <w:rsid w:val="008D6752"/>
    <w:rsid w:val="008D69E7"/>
    <w:rsid w:val="008D6FC1"/>
    <w:rsid w:val="008D724F"/>
    <w:rsid w:val="008D7A78"/>
    <w:rsid w:val="008D7FBF"/>
    <w:rsid w:val="008E0140"/>
    <w:rsid w:val="008E0252"/>
    <w:rsid w:val="008E03C9"/>
    <w:rsid w:val="008E054F"/>
    <w:rsid w:val="008E0622"/>
    <w:rsid w:val="008E0688"/>
    <w:rsid w:val="008E079F"/>
    <w:rsid w:val="008E0BEF"/>
    <w:rsid w:val="008E1929"/>
    <w:rsid w:val="008E1B1A"/>
    <w:rsid w:val="008E2402"/>
    <w:rsid w:val="008E266D"/>
    <w:rsid w:val="008E29B6"/>
    <w:rsid w:val="008E2CBC"/>
    <w:rsid w:val="008E2D9D"/>
    <w:rsid w:val="008E2DE2"/>
    <w:rsid w:val="008E2F0C"/>
    <w:rsid w:val="008E32E7"/>
    <w:rsid w:val="008E38A3"/>
    <w:rsid w:val="008E3CC5"/>
    <w:rsid w:val="008E3DD8"/>
    <w:rsid w:val="008E3E23"/>
    <w:rsid w:val="008E3FBF"/>
    <w:rsid w:val="008E439E"/>
    <w:rsid w:val="008E4485"/>
    <w:rsid w:val="008E4887"/>
    <w:rsid w:val="008E491B"/>
    <w:rsid w:val="008E4AF0"/>
    <w:rsid w:val="008E547B"/>
    <w:rsid w:val="008E57FE"/>
    <w:rsid w:val="008E5DF8"/>
    <w:rsid w:val="008E6041"/>
    <w:rsid w:val="008E632F"/>
    <w:rsid w:val="008E649F"/>
    <w:rsid w:val="008E6B6D"/>
    <w:rsid w:val="008E7474"/>
    <w:rsid w:val="008E751B"/>
    <w:rsid w:val="008E7873"/>
    <w:rsid w:val="008E78B1"/>
    <w:rsid w:val="008F0141"/>
    <w:rsid w:val="008F0250"/>
    <w:rsid w:val="008F0497"/>
    <w:rsid w:val="008F0FC2"/>
    <w:rsid w:val="008F11F4"/>
    <w:rsid w:val="008F13BD"/>
    <w:rsid w:val="008F18FD"/>
    <w:rsid w:val="008F1952"/>
    <w:rsid w:val="008F254D"/>
    <w:rsid w:val="008F254F"/>
    <w:rsid w:val="008F270A"/>
    <w:rsid w:val="008F2B9D"/>
    <w:rsid w:val="008F3011"/>
    <w:rsid w:val="008F3034"/>
    <w:rsid w:val="008F3054"/>
    <w:rsid w:val="008F310B"/>
    <w:rsid w:val="008F3190"/>
    <w:rsid w:val="008F322B"/>
    <w:rsid w:val="008F33A5"/>
    <w:rsid w:val="008F34CB"/>
    <w:rsid w:val="008F3519"/>
    <w:rsid w:val="008F38E3"/>
    <w:rsid w:val="008F3AD3"/>
    <w:rsid w:val="008F3B9B"/>
    <w:rsid w:val="008F3CA7"/>
    <w:rsid w:val="008F3DAD"/>
    <w:rsid w:val="008F3E64"/>
    <w:rsid w:val="008F443F"/>
    <w:rsid w:val="008F45DC"/>
    <w:rsid w:val="008F4B5C"/>
    <w:rsid w:val="008F53CD"/>
    <w:rsid w:val="008F5415"/>
    <w:rsid w:val="008F58A1"/>
    <w:rsid w:val="008F5BCE"/>
    <w:rsid w:val="008F5DE5"/>
    <w:rsid w:val="008F5E42"/>
    <w:rsid w:val="008F6381"/>
    <w:rsid w:val="008F63B1"/>
    <w:rsid w:val="008F65C2"/>
    <w:rsid w:val="008F6973"/>
    <w:rsid w:val="008F6E6A"/>
    <w:rsid w:val="008F6F5F"/>
    <w:rsid w:val="008F763F"/>
    <w:rsid w:val="008F7721"/>
    <w:rsid w:val="008F786A"/>
    <w:rsid w:val="008F797E"/>
    <w:rsid w:val="008F7AA7"/>
    <w:rsid w:val="008F7DE0"/>
    <w:rsid w:val="008F7E80"/>
    <w:rsid w:val="0090018B"/>
    <w:rsid w:val="00900453"/>
    <w:rsid w:val="00900723"/>
    <w:rsid w:val="00900777"/>
    <w:rsid w:val="0090082E"/>
    <w:rsid w:val="00900947"/>
    <w:rsid w:val="009009BB"/>
    <w:rsid w:val="00900DB4"/>
    <w:rsid w:val="00900EB8"/>
    <w:rsid w:val="00900FBA"/>
    <w:rsid w:val="00901227"/>
    <w:rsid w:val="0090149D"/>
    <w:rsid w:val="009017DE"/>
    <w:rsid w:val="00902015"/>
    <w:rsid w:val="00902AD6"/>
    <w:rsid w:val="00902DB0"/>
    <w:rsid w:val="00902E5B"/>
    <w:rsid w:val="00902E8A"/>
    <w:rsid w:val="00903D00"/>
    <w:rsid w:val="00903D74"/>
    <w:rsid w:val="00903FD9"/>
    <w:rsid w:val="00903FF0"/>
    <w:rsid w:val="00904272"/>
    <w:rsid w:val="0090471D"/>
    <w:rsid w:val="00904723"/>
    <w:rsid w:val="00904CF5"/>
    <w:rsid w:val="00905259"/>
    <w:rsid w:val="0090556C"/>
    <w:rsid w:val="00905601"/>
    <w:rsid w:val="00905633"/>
    <w:rsid w:val="0090578E"/>
    <w:rsid w:val="00905EAE"/>
    <w:rsid w:val="009060C4"/>
    <w:rsid w:val="00906284"/>
    <w:rsid w:val="00906304"/>
    <w:rsid w:val="00906796"/>
    <w:rsid w:val="00906B96"/>
    <w:rsid w:val="00906C42"/>
    <w:rsid w:val="00906C91"/>
    <w:rsid w:val="00906C95"/>
    <w:rsid w:val="00906FD9"/>
    <w:rsid w:val="00907230"/>
    <w:rsid w:val="009073EA"/>
    <w:rsid w:val="009074C4"/>
    <w:rsid w:val="0090758C"/>
    <w:rsid w:val="009075D6"/>
    <w:rsid w:val="009075FB"/>
    <w:rsid w:val="00907656"/>
    <w:rsid w:val="00907897"/>
    <w:rsid w:val="009078DE"/>
    <w:rsid w:val="009079B2"/>
    <w:rsid w:val="00907E47"/>
    <w:rsid w:val="00907F03"/>
    <w:rsid w:val="00910105"/>
    <w:rsid w:val="00910575"/>
    <w:rsid w:val="009109D8"/>
    <w:rsid w:val="00910BD1"/>
    <w:rsid w:val="00911185"/>
    <w:rsid w:val="009111B8"/>
    <w:rsid w:val="00911208"/>
    <w:rsid w:val="009115EF"/>
    <w:rsid w:val="009116DD"/>
    <w:rsid w:val="00912375"/>
    <w:rsid w:val="0091258A"/>
    <w:rsid w:val="009125E3"/>
    <w:rsid w:val="009127C8"/>
    <w:rsid w:val="00912882"/>
    <w:rsid w:val="00912A35"/>
    <w:rsid w:val="00912A49"/>
    <w:rsid w:val="00912C57"/>
    <w:rsid w:val="00912D1C"/>
    <w:rsid w:val="00913019"/>
    <w:rsid w:val="009132D5"/>
    <w:rsid w:val="0091331F"/>
    <w:rsid w:val="00913544"/>
    <w:rsid w:val="009138ED"/>
    <w:rsid w:val="00913CC0"/>
    <w:rsid w:val="00913F1E"/>
    <w:rsid w:val="00913FB2"/>
    <w:rsid w:val="009140C4"/>
    <w:rsid w:val="009142C8"/>
    <w:rsid w:val="009144A9"/>
    <w:rsid w:val="0091468B"/>
    <w:rsid w:val="00914B1F"/>
    <w:rsid w:val="00914C2D"/>
    <w:rsid w:val="00914D7C"/>
    <w:rsid w:val="00914E60"/>
    <w:rsid w:val="00915086"/>
    <w:rsid w:val="0091526F"/>
    <w:rsid w:val="00915287"/>
    <w:rsid w:val="009153D2"/>
    <w:rsid w:val="00915432"/>
    <w:rsid w:val="00915A79"/>
    <w:rsid w:val="00915FC2"/>
    <w:rsid w:val="00916286"/>
    <w:rsid w:val="00916595"/>
    <w:rsid w:val="00916619"/>
    <w:rsid w:val="0091671D"/>
    <w:rsid w:val="009169DC"/>
    <w:rsid w:val="00916C47"/>
    <w:rsid w:val="00916DBB"/>
    <w:rsid w:val="00916F2B"/>
    <w:rsid w:val="00916FCC"/>
    <w:rsid w:val="0091708A"/>
    <w:rsid w:val="009171AD"/>
    <w:rsid w:val="009173AD"/>
    <w:rsid w:val="00917569"/>
    <w:rsid w:val="00917587"/>
    <w:rsid w:val="009176A2"/>
    <w:rsid w:val="00917914"/>
    <w:rsid w:val="0091797E"/>
    <w:rsid w:val="009200C9"/>
    <w:rsid w:val="00920174"/>
    <w:rsid w:val="009205FB"/>
    <w:rsid w:val="0092071A"/>
    <w:rsid w:val="00920A1A"/>
    <w:rsid w:val="00920BFE"/>
    <w:rsid w:val="00920C71"/>
    <w:rsid w:val="00920EB7"/>
    <w:rsid w:val="00920FC6"/>
    <w:rsid w:val="0092146C"/>
    <w:rsid w:val="009219D2"/>
    <w:rsid w:val="00921A4E"/>
    <w:rsid w:val="00921B89"/>
    <w:rsid w:val="00921E37"/>
    <w:rsid w:val="00922511"/>
    <w:rsid w:val="00922F07"/>
    <w:rsid w:val="00923136"/>
    <w:rsid w:val="00923463"/>
    <w:rsid w:val="00923761"/>
    <w:rsid w:val="009237FA"/>
    <w:rsid w:val="00923F0F"/>
    <w:rsid w:val="009251C2"/>
    <w:rsid w:val="00925238"/>
    <w:rsid w:val="009256B6"/>
    <w:rsid w:val="00925ACF"/>
    <w:rsid w:val="00925CBE"/>
    <w:rsid w:val="0092615D"/>
    <w:rsid w:val="00926546"/>
    <w:rsid w:val="009265A1"/>
    <w:rsid w:val="009266C7"/>
    <w:rsid w:val="00926998"/>
    <w:rsid w:val="00926F13"/>
    <w:rsid w:val="00927688"/>
    <w:rsid w:val="00927700"/>
    <w:rsid w:val="00927BFD"/>
    <w:rsid w:val="00927D48"/>
    <w:rsid w:val="0093036E"/>
    <w:rsid w:val="0093053B"/>
    <w:rsid w:val="00930FBE"/>
    <w:rsid w:val="00931224"/>
    <w:rsid w:val="00931225"/>
    <w:rsid w:val="009313AE"/>
    <w:rsid w:val="00931453"/>
    <w:rsid w:val="009316B5"/>
    <w:rsid w:val="0093175F"/>
    <w:rsid w:val="00931EAB"/>
    <w:rsid w:val="009322E0"/>
    <w:rsid w:val="00932552"/>
    <w:rsid w:val="009329A7"/>
    <w:rsid w:val="00932B69"/>
    <w:rsid w:val="009330FE"/>
    <w:rsid w:val="00933275"/>
    <w:rsid w:val="009333D3"/>
    <w:rsid w:val="009333FF"/>
    <w:rsid w:val="00933423"/>
    <w:rsid w:val="009339B6"/>
    <w:rsid w:val="009339C1"/>
    <w:rsid w:val="00933A79"/>
    <w:rsid w:val="00933A90"/>
    <w:rsid w:val="00933B4C"/>
    <w:rsid w:val="00933C86"/>
    <w:rsid w:val="00933DC4"/>
    <w:rsid w:val="0093431B"/>
    <w:rsid w:val="009346D6"/>
    <w:rsid w:val="009346DC"/>
    <w:rsid w:val="00934743"/>
    <w:rsid w:val="0093487E"/>
    <w:rsid w:val="00934B86"/>
    <w:rsid w:val="00934FFE"/>
    <w:rsid w:val="0093538B"/>
    <w:rsid w:val="00935856"/>
    <w:rsid w:val="00936239"/>
    <w:rsid w:val="00936405"/>
    <w:rsid w:val="0093655E"/>
    <w:rsid w:val="009368A4"/>
    <w:rsid w:val="009369F6"/>
    <w:rsid w:val="00936B64"/>
    <w:rsid w:val="00936BD2"/>
    <w:rsid w:val="00936D5F"/>
    <w:rsid w:val="00936F88"/>
    <w:rsid w:val="0093725D"/>
    <w:rsid w:val="009379C4"/>
    <w:rsid w:val="00937D86"/>
    <w:rsid w:val="0094041A"/>
    <w:rsid w:val="009405A4"/>
    <w:rsid w:val="00940D32"/>
    <w:rsid w:val="00940ED6"/>
    <w:rsid w:val="00940F45"/>
    <w:rsid w:val="0094178B"/>
    <w:rsid w:val="0094190D"/>
    <w:rsid w:val="00941AAC"/>
    <w:rsid w:val="00941E83"/>
    <w:rsid w:val="00942265"/>
    <w:rsid w:val="00942354"/>
    <w:rsid w:val="00942681"/>
    <w:rsid w:val="00942781"/>
    <w:rsid w:val="00942B95"/>
    <w:rsid w:val="0094336D"/>
    <w:rsid w:val="00943A7E"/>
    <w:rsid w:val="00943E42"/>
    <w:rsid w:val="00943E5D"/>
    <w:rsid w:val="0094441C"/>
    <w:rsid w:val="00944728"/>
    <w:rsid w:val="009449B4"/>
    <w:rsid w:val="00944AF3"/>
    <w:rsid w:val="00944DD0"/>
    <w:rsid w:val="0094515F"/>
    <w:rsid w:val="009453E8"/>
    <w:rsid w:val="00945664"/>
    <w:rsid w:val="009456E3"/>
    <w:rsid w:val="00945835"/>
    <w:rsid w:val="00945AD1"/>
    <w:rsid w:val="00945DED"/>
    <w:rsid w:val="0094604B"/>
    <w:rsid w:val="0094612E"/>
    <w:rsid w:val="0094657E"/>
    <w:rsid w:val="0094675D"/>
    <w:rsid w:val="00946D19"/>
    <w:rsid w:val="00946E7C"/>
    <w:rsid w:val="00946ECB"/>
    <w:rsid w:val="00947258"/>
    <w:rsid w:val="00947268"/>
    <w:rsid w:val="0094750E"/>
    <w:rsid w:val="00947562"/>
    <w:rsid w:val="009478C9"/>
    <w:rsid w:val="00947C94"/>
    <w:rsid w:val="00947CAD"/>
    <w:rsid w:val="009500F2"/>
    <w:rsid w:val="009507C8"/>
    <w:rsid w:val="00950A9F"/>
    <w:rsid w:val="009510DE"/>
    <w:rsid w:val="0095115E"/>
    <w:rsid w:val="0095118A"/>
    <w:rsid w:val="00951355"/>
    <w:rsid w:val="009516A4"/>
    <w:rsid w:val="00951B54"/>
    <w:rsid w:val="00952468"/>
    <w:rsid w:val="00952ABC"/>
    <w:rsid w:val="00952B25"/>
    <w:rsid w:val="00952E0A"/>
    <w:rsid w:val="00952E5C"/>
    <w:rsid w:val="0095324D"/>
    <w:rsid w:val="009534B6"/>
    <w:rsid w:val="00953577"/>
    <w:rsid w:val="009546B3"/>
    <w:rsid w:val="00954767"/>
    <w:rsid w:val="0095487A"/>
    <w:rsid w:val="009548FB"/>
    <w:rsid w:val="0095538B"/>
    <w:rsid w:val="00955562"/>
    <w:rsid w:val="0095565C"/>
    <w:rsid w:val="00955B25"/>
    <w:rsid w:val="009567E5"/>
    <w:rsid w:val="00956B9B"/>
    <w:rsid w:val="00957053"/>
    <w:rsid w:val="009571E8"/>
    <w:rsid w:val="009571F1"/>
    <w:rsid w:val="0095720A"/>
    <w:rsid w:val="00957436"/>
    <w:rsid w:val="00957AF7"/>
    <w:rsid w:val="00957EBC"/>
    <w:rsid w:val="009600B0"/>
    <w:rsid w:val="00960ACA"/>
    <w:rsid w:val="00960C4F"/>
    <w:rsid w:val="00960E13"/>
    <w:rsid w:val="00960FB6"/>
    <w:rsid w:val="00961368"/>
    <w:rsid w:val="0096151E"/>
    <w:rsid w:val="00961927"/>
    <w:rsid w:val="009619AC"/>
    <w:rsid w:val="00961ABD"/>
    <w:rsid w:val="00961C3B"/>
    <w:rsid w:val="00961E78"/>
    <w:rsid w:val="00961FC4"/>
    <w:rsid w:val="0096217C"/>
    <w:rsid w:val="00962441"/>
    <w:rsid w:val="00962D00"/>
    <w:rsid w:val="00963236"/>
    <w:rsid w:val="00963277"/>
    <w:rsid w:val="009633BF"/>
    <w:rsid w:val="00963BCC"/>
    <w:rsid w:val="00963D1E"/>
    <w:rsid w:val="00963FC6"/>
    <w:rsid w:val="00963FF0"/>
    <w:rsid w:val="009642BC"/>
    <w:rsid w:val="009643E6"/>
    <w:rsid w:val="00964523"/>
    <w:rsid w:val="009647B4"/>
    <w:rsid w:val="009647B6"/>
    <w:rsid w:val="00964B53"/>
    <w:rsid w:val="00964B60"/>
    <w:rsid w:val="00964C3F"/>
    <w:rsid w:val="00964C6C"/>
    <w:rsid w:val="00964CE1"/>
    <w:rsid w:val="00964D2C"/>
    <w:rsid w:val="00965176"/>
    <w:rsid w:val="00965240"/>
    <w:rsid w:val="00965627"/>
    <w:rsid w:val="00965847"/>
    <w:rsid w:val="0096587E"/>
    <w:rsid w:val="00965A3E"/>
    <w:rsid w:val="00965C46"/>
    <w:rsid w:val="00965C48"/>
    <w:rsid w:val="00965CF2"/>
    <w:rsid w:val="00966136"/>
    <w:rsid w:val="00966228"/>
    <w:rsid w:val="00966594"/>
    <w:rsid w:val="00966687"/>
    <w:rsid w:val="00966D9D"/>
    <w:rsid w:val="00966E4A"/>
    <w:rsid w:val="00967041"/>
    <w:rsid w:val="009671BF"/>
    <w:rsid w:val="00967CB4"/>
    <w:rsid w:val="00967E8D"/>
    <w:rsid w:val="00967F8B"/>
    <w:rsid w:val="00970267"/>
    <w:rsid w:val="00970340"/>
    <w:rsid w:val="009706B7"/>
    <w:rsid w:val="00970918"/>
    <w:rsid w:val="0097099E"/>
    <w:rsid w:val="00970BD4"/>
    <w:rsid w:val="0097140E"/>
    <w:rsid w:val="00971761"/>
    <w:rsid w:val="0097184A"/>
    <w:rsid w:val="0097189F"/>
    <w:rsid w:val="00971C67"/>
    <w:rsid w:val="00971D8C"/>
    <w:rsid w:val="00971DAE"/>
    <w:rsid w:val="0097216F"/>
    <w:rsid w:val="009725C5"/>
    <w:rsid w:val="00972ADD"/>
    <w:rsid w:val="00972BAC"/>
    <w:rsid w:val="00972C3B"/>
    <w:rsid w:val="00972DD2"/>
    <w:rsid w:val="00973057"/>
    <w:rsid w:val="009739F3"/>
    <w:rsid w:val="00973A54"/>
    <w:rsid w:val="00974A3E"/>
    <w:rsid w:val="00974B97"/>
    <w:rsid w:val="00974D50"/>
    <w:rsid w:val="00974E6F"/>
    <w:rsid w:val="009751AF"/>
    <w:rsid w:val="00975326"/>
    <w:rsid w:val="009753FB"/>
    <w:rsid w:val="009755E3"/>
    <w:rsid w:val="00975B11"/>
    <w:rsid w:val="00975DEA"/>
    <w:rsid w:val="00975E03"/>
    <w:rsid w:val="00976000"/>
    <w:rsid w:val="00976265"/>
    <w:rsid w:val="00976838"/>
    <w:rsid w:val="00977A04"/>
    <w:rsid w:val="00977C52"/>
    <w:rsid w:val="00977CDF"/>
    <w:rsid w:val="0098043F"/>
    <w:rsid w:val="00980531"/>
    <w:rsid w:val="00980C69"/>
    <w:rsid w:val="0098102C"/>
    <w:rsid w:val="00981038"/>
    <w:rsid w:val="0098106E"/>
    <w:rsid w:val="00981511"/>
    <w:rsid w:val="009816A5"/>
    <w:rsid w:val="009817F6"/>
    <w:rsid w:val="00981D1C"/>
    <w:rsid w:val="00981E1C"/>
    <w:rsid w:val="00981FA6"/>
    <w:rsid w:val="00982118"/>
    <w:rsid w:val="009821AC"/>
    <w:rsid w:val="00982285"/>
    <w:rsid w:val="009829AB"/>
    <w:rsid w:val="00982A08"/>
    <w:rsid w:val="00982C62"/>
    <w:rsid w:val="00982C91"/>
    <w:rsid w:val="00982CBE"/>
    <w:rsid w:val="00982F76"/>
    <w:rsid w:val="00982FA3"/>
    <w:rsid w:val="0098324E"/>
    <w:rsid w:val="00983D1B"/>
    <w:rsid w:val="00983FED"/>
    <w:rsid w:val="009840FD"/>
    <w:rsid w:val="009844D5"/>
    <w:rsid w:val="00984701"/>
    <w:rsid w:val="00984847"/>
    <w:rsid w:val="009849F8"/>
    <w:rsid w:val="00984BEC"/>
    <w:rsid w:val="00984D91"/>
    <w:rsid w:val="009858BA"/>
    <w:rsid w:val="00985A4A"/>
    <w:rsid w:val="00985EB8"/>
    <w:rsid w:val="00985ED4"/>
    <w:rsid w:val="00985FB3"/>
    <w:rsid w:val="00986566"/>
    <w:rsid w:val="00986666"/>
    <w:rsid w:val="0098673C"/>
    <w:rsid w:val="00986CC1"/>
    <w:rsid w:val="00986CFD"/>
    <w:rsid w:val="00986F4E"/>
    <w:rsid w:val="00987191"/>
    <w:rsid w:val="00987413"/>
    <w:rsid w:val="009877F2"/>
    <w:rsid w:val="00987A5A"/>
    <w:rsid w:val="00987CB4"/>
    <w:rsid w:val="0099097E"/>
    <w:rsid w:val="00990D6D"/>
    <w:rsid w:val="00990EA6"/>
    <w:rsid w:val="00990F9D"/>
    <w:rsid w:val="009912F6"/>
    <w:rsid w:val="0099151F"/>
    <w:rsid w:val="009915A5"/>
    <w:rsid w:val="00991721"/>
    <w:rsid w:val="009917A2"/>
    <w:rsid w:val="00991E23"/>
    <w:rsid w:val="009920C9"/>
    <w:rsid w:val="00992113"/>
    <w:rsid w:val="009921E6"/>
    <w:rsid w:val="009921FC"/>
    <w:rsid w:val="00992247"/>
    <w:rsid w:val="009923CB"/>
    <w:rsid w:val="009924D1"/>
    <w:rsid w:val="0099272B"/>
    <w:rsid w:val="00992A0E"/>
    <w:rsid w:val="0099304F"/>
    <w:rsid w:val="009932F3"/>
    <w:rsid w:val="00993733"/>
    <w:rsid w:val="009937C5"/>
    <w:rsid w:val="00993889"/>
    <w:rsid w:val="0099399E"/>
    <w:rsid w:val="00993A69"/>
    <w:rsid w:val="00993BB4"/>
    <w:rsid w:val="00993E1D"/>
    <w:rsid w:val="0099413C"/>
    <w:rsid w:val="009941EF"/>
    <w:rsid w:val="00994230"/>
    <w:rsid w:val="0099426D"/>
    <w:rsid w:val="0099447C"/>
    <w:rsid w:val="009944B2"/>
    <w:rsid w:val="00994545"/>
    <w:rsid w:val="009946C1"/>
    <w:rsid w:val="0099479E"/>
    <w:rsid w:val="0099489C"/>
    <w:rsid w:val="009949A4"/>
    <w:rsid w:val="009951D8"/>
    <w:rsid w:val="00995355"/>
    <w:rsid w:val="0099586F"/>
    <w:rsid w:val="009960E7"/>
    <w:rsid w:val="009968F7"/>
    <w:rsid w:val="009968F8"/>
    <w:rsid w:val="00996CFA"/>
    <w:rsid w:val="00996F7A"/>
    <w:rsid w:val="0099719E"/>
    <w:rsid w:val="00997477"/>
    <w:rsid w:val="00997624"/>
    <w:rsid w:val="009A0169"/>
    <w:rsid w:val="009A0639"/>
    <w:rsid w:val="009A0FB2"/>
    <w:rsid w:val="009A18B7"/>
    <w:rsid w:val="009A1B56"/>
    <w:rsid w:val="009A1FEA"/>
    <w:rsid w:val="009A2060"/>
    <w:rsid w:val="009A2136"/>
    <w:rsid w:val="009A2491"/>
    <w:rsid w:val="009A2630"/>
    <w:rsid w:val="009A28EB"/>
    <w:rsid w:val="009A307F"/>
    <w:rsid w:val="009A3A59"/>
    <w:rsid w:val="009A3C93"/>
    <w:rsid w:val="009A3E24"/>
    <w:rsid w:val="009A3F00"/>
    <w:rsid w:val="009A3FD0"/>
    <w:rsid w:val="009A4357"/>
    <w:rsid w:val="009A4705"/>
    <w:rsid w:val="009A4F59"/>
    <w:rsid w:val="009A4F86"/>
    <w:rsid w:val="009A514F"/>
    <w:rsid w:val="009A51C7"/>
    <w:rsid w:val="009A5397"/>
    <w:rsid w:val="009A5721"/>
    <w:rsid w:val="009A59EC"/>
    <w:rsid w:val="009A5A6E"/>
    <w:rsid w:val="009A5C4C"/>
    <w:rsid w:val="009A5C56"/>
    <w:rsid w:val="009A5CA8"/>
    <w:rsid w:val="009A5E3F"/>
    <w:rsid w:val="009A637C"/>
    <w:rsid w:val="009A6ED0"/>
    <w:rsid w:val="009A706A"/>
    <w:rsid w:val="009A70CB"/>
    <w:rsid w:val="009A71AB"/>
    <w:rsid w:val="009A7605"/>
    <w:rsid w:val="009A7745"/>
    <w:rsid w:val="009A79EB"/>
    <w:rsid w:val="009A7BDF"/>
    <w:rsid w:val="009A7C3D"/>
    <w:rsid w:val="009A7D02"/>
    <w:rsid w:val="009A7E5A"/>
    <w:rsid w:val="009B0156"/>
    <w:rsid w:val="009B0295"/>
    <w:rsid w:val="009B04F1"/>
    <w:rsid w:val="009B05BA"/>
    <w:rsid w:val="009B0720"/>
    <w:rsid w:val="009B0848"/>
    <w:rsid w:val="009B0B42"/>
    <w:rsid w:val="009B1067"/>
    <w:rsid w:val="009B145C"/>
    <w:rsid w:val="009B1767"/>
    <w:rsid w:val="009B184B"/>
    <w:rsid w:val="009B19FF"/>
    <w:rsid w:val="009B1AD0"/>
    <w:rsid w:val="009B1ADA"/>
    <w:rsid w:val="009B1B0E"/>
    <w:rsid w:val="009B1B8C"/>
    <w:rsid w:val="009B1D59"/>
    <w:rsid w:val="009B2202"/>
    <w:rsid w:val="009B2596"/>
    <w:rsid w:val="009B2B6D"/>
    <w:rsid w:val="009B2B7B"/>
    <w:rsid w:val="009B2BB5"/>
    <w:rsid w:val="009B2FC0"/>
    <w:rsid w:val="009B33BF"/>
    <w:rsid w:val="009B3401"/>
    <w:rsid w:val="009B3EBF"/>
    <w:rsid w:val="009B42B6"/>
    <w:rsid w:val="009B42CC"/>
    <w:rsid w:val="009B4310"/>
    <w:rsid w:val="009B43D6"/>
    <w:rsid w:val="009B45B9"/>
    <w:rsid w:val="009B48F6"/>
    <w:rsid w:val="009B4CA2"/>
    <w:rsid w:val="009B5081"/>
    <w:rsid w:val="009B5329"/>
    <w:rsid w:val="009B5DCC"/>
    <w:rsid w:val="009B67FF"/>
    <w:rsid w:val="009B683A"/>
    <w:rsid w:val="009B68D1"/>
    <w:rsid w:val="009B6985"/>
    <w:rsid w:val="009B69B3"/>
    <w:rsid w:val="009B6A43"/>
    <w:rsid w:val="009B6DA9"/>
    <w:rsid w:val="009B6ECA"/>
    <w:rsid w:val="009B7011"/>
    <w:rsid w:val="009B71E4"/>
    <w:rsid w:val="009B7A38"/>
    <w:rsid w:val="009B7C74"/>
    <w:rsid w:val="009C03B0"/>
    <w:rsid w:val="009C04EE"/>
    <w:rsid w:val="009C087E"/>
    <w:rsid w:val="009C0A54"/>
    <w:rsid w:val="009C0B1D"/>
    <w:rsid w:val="009C0CD4"/>
    <w:rsid w:val="009C0CEC"/>
    <w:rsid w:val="009C15E7"/>
    <w:rsid w:val="009C1636"/>
    <w:rsid w:val="009C17C8"/>
    <w:rsid w:val="009C1A27"/>
    <w:rsid w:val="009C1E2E"/>
    <w:rsid w:val="009C2170"/>
    <w:rsid w:val="009C21B9"/>
    <w:rsid w:val="009C2BDF"/>
    <w:rsid w:val="009C2E01"/>
    <w:rsid w:val="009C32C6"/>
    <w:rsid w:val="009C34B6"/>
    <w:rsid w:val="009C3667"/>
    <w:rsid w:val="009C385B"/>
    <w:rsid w:val="009C3E3C"/>
    <w:rsid w:val="009C3EB0"/>
    <w:rsid w:val="009C426F"/>
    <w:rsid w:val="009C4353"/>
    <w:rsid w:val="009C457C"/>
    <w:rsid w:val="009C46CA"/>
    <w:rsid w:val="009C49C2"/>
    <w:rsid w:val="009C4C39"/>
    <w:rsid w:val="009C4E2D"/>
    <w:rsid w:val="009C5029"/>
    <w:rsid w:val="009C554E"/>
    <w:rsid w:val="009C5804"/>
    <w:rsid w:val="009C586D"/>
    <w:rsid w:val="009C62C0"/>
    <w:rsid w:val="009C6926"/>
    <w:rsid w:val="009C69BA"/>
    <w:rsid w:val="009C6A88"/>
    <w:rsid w:val="009C6E36"/>
    <w:rsid w:val="009C765D"/>
    <w:rsid w:val="009C7850"/>
    <w:rsid w:val="009C7ADA"/>
    <w:rsid w:val="009C7BCD"/>
    <w:rsid w:val="009C7C61"/>
    <w:rsid w:val="009C7EFE"/>
    <w:rsid w:val="009D000A"/>
    <w:rsid w:val="009D0083"/>
    <w:rsid w:val="009D00B8"/>
    <w:rsid w:val="009D05B0"/>
    <w:rsid w:val="009D05DB"/>
    <w:rsid w:val="009D0E29"/>
    <w:rsid w:val="009D1291"/>
    <w:rsid w:val="009D135E"/>
    <w:rsid w:val="009D1A86"/>
    <w:rsid w:val="009D1BEF"/>
    <w:rsid w:val="009D1E12"/>
    <w:rsid w:val="009D26C5"/>
    <w:rsid w:val="009D2A45"/>
    <w:rsid w:val="009D2BB8"/>
    <w:rsid w:val="009D2DA9"/>
    <w:rsid w:val="009D2E93"/>
    <w:rsid w:val="009D2EA9"/>
    <w:rsid w:val="009D3038"/>
    <w:rsid w:val="009D34C0"/>
    <w:rsid w:val="009D34E4"/>
    <w:rsid w:val="009D34F9"/>
    <w:rsid w:val="009D35FB"/>
    <w:rsid w:val="009D3936"/>
    <w:rsid w:val="009D3DD9"/>
    <w:rsid w:val="009D40A5"/>
    <w:rsid w:val="009D4218"/>
    <w:rsid w:val="009D4318"/>
    <w:rsid w:val="009D4B25"/>
    <w:rsid w:val="009D4BBE"/>
    <w:rsid w:val="009D4E16"/>
    <w:rsid w:val="009D5253"/>
    <w:rsid w:val="009D567E"/>
    <w:rsid w:val="009D5893"/>
    <w:rsid w:val="009D5D04"/>
    <w:rsid w:val="009D65EC"/>
    <w:rsid w:val="009D6620"/>
    <w:rsid w:val="009D6C54"/>
    <w:rsid w:val="009D72B0"/>
    <w:rsid w:val="009D747D"/>
    <w:rsid w:val="009D7490"/>
    <w:rsid w:val="009D7681"/>
    <w:rsid w:val="009D77CE"/>
    <w:rsid w:val="009D7D28"/>
    <w:rsid w:val="009D7DE3"/>
    <w:rsid w:val="009E004A"/>
    <w:rsid w:val="009E00EE"/>
    <w:rsid w:val="009E0229"/>
    <w:rsid w:val="009E0382"/>
    <w:rsid w:val="009E057C"/>
    <w:rsid w:val="009E066B"/>
    <w:rsid w:val="009E0B50"/>
    <w:rsid w:val="009E1192"/>
    <w:rsid w:val="009E1244"/>
    <w:rsid w:val="009E1448"/>
    <w:rsid w:val="009E1515"/>
    <w:rsid w:val="009E1A33"/>
    <w:rsid w:val="009E1CFF"/>
    <w:rsid w:val="009E1FEE"/>
    <w:rsid w:val="009E210C"/>
    <w:rsid w:val="009E2384"/>
    <w:rsid w:val="009E23EA"/>
    <w:rsid w:val="009E2462"/>
    <w:rsid w:val="009E2480"/>
    <w:rsid w:val="009E2D24"/>
    <w:rsid w:val="009E2EA0"/>
    <w:rsid w:val="009E305F"/>
    <w:rsid w:val="009E35AD"/>
    <w:rsid w:val="009E36FF"/>
    <w:rsid w:val="009E37D3"/>
    <w:rsid w:val="009E3EB0"/>
    <w:rsid w:val="009E457D"/>
    <w:rsid w:val="009E478E"/>
    <w:rsid w:val="009E4BF4"/>
    <w:rsid w:val="009E5028"/>
    <w:rsid w:val="009E50FB"/>
    <w:rsid w:val="009E51C9"/>
    <w:rsid w:val="009E5280"/>
    <w:rsid w:val="009E5386"/>
    <w:rsid w:val="009E5790"/>
    <w:rsid w:val="009E588A"/>
    <w:rsid w:val="009E5DD1"/>
    <w:rsid w:val="009E5F47"/>
    <w:rsid w:val="009E5F4D"/>
    <w:rsid w:val="009E60AD"/>
    <w:rsid w:val="009E61A8"/>
    <w:rsid w:val="009E6217"/>
    <w:rsid w:val="009E65CE"/>
    <w:rsid w:val="009E68C8"/>
    <w:rsid w:val="009E68F1"/>
    <w:rsid w:val="009E68F4"/>
    <w:rsid w:val="009E6AB5"/>
    <w:rsid w:val="009E6DAB"/>
    <w:rsid w:val="009E6EB2"/>
    <w:rsid w:val="009E6F4B"/>
    <w:rsid w:val="009E7027"/>
    <w:rsid w:val="009E703C"/>
    <w:rsid w:val="009E7098"/>
    <w:rsid w:val="009E7395"/>
    <w:rsid w:val="009E74D9"/>
    <w:rsid w:val="009E75BC"/>
    <w:rsid w:val="009E7743"/>
    <w:rsid w:val="009E7E4C"/>
    <w:rsid w:val="009F066F"/>
    <w:rsid w:val="009F08F5"/>
    <w:rsid w:val="009F0956"/>
    <w:rsid w:val="009F0EE5"/>
    <w:rsid w:val="009F1264"/>
    <w:rsid w:val="009F14AE"/>
    <w:rsid w:val="009F1B5D"/>
    <w:rsid w:val="009F1BDA"/>
    <w:rsid w:val="009F1DC2"/>
    <w:rsid w:val="009F245B"/>
    <w:rsid w:val="009F25E6"/>
    <w:rsid w:val="009F2618"/>
    <w:rsid w:val="009F2BE8"/>
    <w:rsid w:val="009F2E09"/>
    <w:rsid w:val="009F2F09"/>
    <w:rsid w:val="009F2F83"/>
    <w:rsid w:val="009F32C2"/>
    <w:rsid w:val="009F39A7"/>
    <w:rsid w:val="009F4001"/>
    <w:rsid w:val="009F402F"/>
    <w:rsid w:val="009F40B7"/>
    <w:rsid w:val="009F411D"/>
    <w:rsid w:val="009F4188"/>
    <w:rsid w:val="009F4302"/>
    <w:rsid w:val="009F4393"/>
    <w:rsid w:val="009F444E"/>
    <w:rsid w:val="009F4BE9"/>
    <w:rsid w:val="009F5176"/>
    <w:rsid w:val="009F55C8"/>
    <w:rsid w:val="009F5992"/>
    <w:rsid w:val="009F5EAA"/>
    <w:rsid w:val="009F62D3"/>
    <w:rsid w:val="009F6510"/>
    <w:rsid w:val="009F65AB"/>
    <w:rsid w:val="009F6650"/>
    <w:rsid w:val="009F719C"/>
    <w:rsid w:val="009F721C"/>
    <w:rsid w:val="009F72BE"/>
    <w:rsid w:val="00A00112"/>
    <w:rsid w:val="00A008B5"/>
    <w:rsid w:val="00A01420"/>
    <w:rsid w:val="00A017B4"/>
    <w:rsid w:val="00A01C53"/>
    <w:rsid w:val="00A01D38"/>
    <w:rsid w:val="00A01F03"/>
    <w:rsid w:val="00A0209D"/>
    <w:rsid w:val="00A02414"/>
    <w:rsid w:val="00A025B9"/>
    <w:rsid w:val="00A028B5"/>
    <w:rsid w:val="00A029FC"/>
    <w:rsid w:val="00A02D88"/>
    <w:rsid w:val="00A03058"/>
    <w:rsid w:val="00A033EE"/>
    <w:rsid w:val="00A0355C"/>
    <w:rsid w:val="00A036EB"/>
    <w:rsid w:val="00A03766"/>
    <w:rsid w:val="00A03A05"/>
    <w:rsid w:val="00A03A13"/>
    <w:rsid w:val="00A03DF6"/>
    <w:rsid w:val="00A040CD"/>
    <w:rsid w:val="00A04429"/>
    <w:rsid w:val="00A048A3"/>
    <w:rsid w:val="00A04BDF"/>
    <w:rsid w:val="00A0573B"/>
    <w:rsid w:val="00A05A95"/>
    <w:rsid w:val="00A06446"/>
    <w:rsid w:val="00A06493"/>
    <w:rsid w:val="00A06697"/>
    <w:rsid w:val="00A0686A"/>
    <w:rsid w:val="00A06C40"/>
    <w:rsid w:val="00A06DD0"/>
    <w:rsid w:val="00A07133"/>
    <w:rsid w:val="00A07600"/>
    <w:rsid w:val="00A0794B"/>
    <w:rsid w:val="00A079D4"/>
    <w:rsid w:val="00A07CD4"/>
    <w:rsid w:val="00A07EAD"/>
    <w:rsid w:val="00A10294"/>
    <w:rsid w:val="00A10586"/>
    <w:rsid w:val="00A10A48"/>
    <w:rsid w:val="00A110DA"/>
    <w:rsid w:val="00A11150"/>
    <w:rsid w:val="00A1132B"/>
    <w:rsid w:val="00A11930"/>
    <w:rsid w:val="00A11B54"/>
    <w:rsid w:val="00A11CDC"/>
    <w:rsid w:val="00A1238C"/>
    <w:rsid w:val="00A124AE"/>
    <w:rsid w:val="00A1263D"/>
    <w:rsid w:val="00A12664"/>
    <w:rsid w:val="00A12A74"/>
    <w:rsid w:val="00A12AA8"/>
    <w:rsid w:val="00A12AF2"/>
    <w:rsid w:val="00A12D8A"/>
    <w:rsid w:val="00A12DB0"/>
    <w:rsid w:val="00A12E6C"/>
    <w:rsid w:val="00A132C6"/>
    <w:rsid w:val="00A13592"/>
    <w:rsid w:val="00A136D0"/>
    <w:rsid w:val="00A13BCA"/>
    <w:rsid w:val="00A13D1A"/>
    <w:rsid w:val="00A13F97"/>
    <w:rsid w:val="00A14DC2"/>
    <w:rsid w:val="00A14DD6"/>
    <w:rsid w:val="00A14F79"/>
    <w:rsid w:val="00A1508C"/>
    <w:rsid w:val="00A15D5E"/>
    <w:rsid w:val="00A161F8"/>
    <w:rsid w:val="00A16649"/>
    <w:rsid w:val="00A167BD"/>
    <w:rsid w:val="00A169FA"/>
    <w:rsid w:val="00A16A1F"/>
    <w:rsid w:val="00A16ECE"/>
    <w:rsid w:val="00A16F41"/>
    <w:rsid w:val="00A16F79"/>
    <w:rsid w:val="00A1725D"/>
    <w:rsid w:val="00A173F4"/>
    <w:rsid w:val="00A17460"/>
    <w:rsid w:val="00A1766A"/>
    <w:rsid w:val="00A200F4"/>
    <w:rsid w:val="00A203D3"/>
    <w:rsid w:val="00A206C9"/>
    <w:rsid w:val="00A2082C"/>
    <w:rsid w:val="00A20C27"/>
    <w:rsid w:val="00A20D61"/>
    <w:rsid w:val="00A20DDD"/>
    <w:rsid w:val="00A20E7D"/>
    <w:rsid w:val="00A213AF"/>
    <w:rsid w:val="00A216BC"/>
    <w:rsid w:val="00A217B0"/>
    <w:rsid w:val="00A21F71"/>
    <w:rsid w:val="00A22890"/>
    <w:rsid w:val="00A22BF1"/>
    <w:rsid w:val="00A22F35"/>
    <w:rsid w:val="00A231B1"/>
    <w:rsid w:val="00A2341D"/>
    <w:rsid w:val="00A23931"/>
    <w:rsid w:val="00A23F91"/>
    <w:rsid w:val="00A23FD6"/>
    <w:rsid w:val="00A24A99"/>
    <w:rsid w:val="00A24AD6"/>
    <w:rsid w:val="00A24CBD"/>
    <w:rsid w:val="00A25317"/>
    <w:rsid w:val="00A25706"/>
    <w:rsid w:val="00A25D84"/>
    <w:rsid w:val="00A26029"/>
    <w:rsid w:val="00A262E4"/>
    <w:rsid w:val="00A268EA"/>
    <w:rsid w:val="00A2769E"/>
    <w:rsid w:val="00A27E7E"/>
    <w:rsid w:val="00A302ED"/>
    <w:rsid w:val="00A30784"/>
    <w:rsid w:val="00A30E5E"/>
    <w:rsid w:val="00A30EE3"/>
    <w:rsid w:val="00A31801"/>
    <w:rsid w:val="00A318DF"/>
    <w:rsid w:val="00A31CE0"/>
    <w:rsid w:val="00A31E31"/>
    <w:rsid w:val="00A31FA9"/>
    <w:rsid w:val="00A32338"/>
    <w:rsid w:val="00A32647"/>
    <w:rsid w:val="00A3268E"/>
    <w:rsid w:val="00A33151"/>
    <w:rsid w:val="00A333BF"/>
    <w:rsid w:val="00A336FB"/>
    <w:rsid w:val="00A33825"/>
    <w:rsid w:val="00A3398F"/>
    <w:rsid w:val="00A339A8"/>
    <w:rsid w:val="00A33EFF"/>
    <w:rsid w:val="00A34045"/>
    <w:rsid w:val="00A354E3"/>
    <w:rsid w:val="00A35583"/>
    <w:rsid w:val="00A35B47"/>
    <w:rsid w:val="00A35F8C"/>
    <w:rsid w:val="00A363AA"/>
    <w:rsid w:val="00A363EF"/>
    <w:rsid w:val="00A3669A"/>
    <w:rsid w:val="00A36B82"/>
    <w:rsid w:val="00A36CC7"/>
    <w:rsid w:val="00A36DFE"/>
    <w:rsid w:val="00A36FF9"/>
    <w:rsid w:val="00A370FD"/>
    <w:rsid w:val="00A37456"/>
    <w:rsid w:val="00A37534"/>
    <w:rsid w:val="00A3798C"/>
    <w:rsid w:val="00A37DD9"/>
    <w:rsid w:val="00A40043"/>
    <w:rsid w:val="00A40374"/>
    <w:rsid w:val="00A40494"/>
    <w:rsid w:val="00A4074F"/>
    <w:rsid w:val="00A40A6C"/>
    <w:rsid w:val="00A40ED7"/>
    <w:rsid w:val="00A40F83"/>
    <w:rsid w:val="00A412BA"/>
    <w:rsid w:val="00A4135B"/>
    <w:rsid w:val="00A41416"/>
    <w:rsid w:val="00A4168B"/>
    <w:rsid w:val="00A4188D"/>
    <w:rsid w:val="00A418C4"/>
    <w:rsid w:val="00A4200D"/>
    <w:rsid w:val="00A424BF"/>
    <w:rsid w:val="00A4250D"/>
    <w:rsid w:val="00A4258E"/>
    <w:rsid w:val="00A42B95"/>
    <w:rsid w:val="00A42C08"/>
    <w:rsid w:val="00A42F34"/>
    <w:rsid w:val="00A431AB"/>
    <w:rsid w:val="00A4325D"/>
    <w:rsid w:val="00A432D1"/>
    <w:rsid w:val="00A433BA"/>
    <w:rsid w:val="00A43440"/>
    <w:rsid w:val="00A436EB"/>
    <w:rsid w:val="00A43716"/>
    <w:rsid w:val="00A438FA"/>
    <w:rsid w:val="00A43965"/>
    <w:rsid w:val="00A43CBD"/>
    <w:rsid w:val="00A43FD3"/>
    <w:rsid w:val="00A442C5"/>
    <w:rsid w:val="00A4462E"/>
    <w:rsid w:val="00A44680"/>
    <w:rsid w:val="00A44712"/>
    <w:rsid w:val="00A448C5"/>
    <w:rsid w:val="00A44972"/>
    <w:rsid w:val="00A44AF5"/>
    <w:rsid w:val="00A44B8B"/>
    <w:rsid w:val="00A44E93"/>
    <w:rsid w:val="00A451A7"/>
    <w:rsid w:val="00A45713"/>
    <w:rsid w:val="00A45819"/>
    <w:rsid w:val="00A45932"/>
    <w:rsid w:val="00A45C41"/>
    <w:rsid w:val="00A45EC4"/>
    <w:rsid w:val="00A46181"/>
    <w:rsid w:val="00A46D1F"/>
    <w:rsid w:val="00A47212"/>
    <w:rsid w:val="00A474EA"/>
    <w:rsid w:val="00A47BEC"/>
    <w:rsid w:val="00A47BF7"/>
    <w:rsid w:val="00A4AE17"/>
    <w:rsid w:val="00A501B2"/>
    <w:rsid w:val="00A5034A"/>
    <w:rsid w:val="00A504E8"/>
    <w:rsid w:val="00A5095B"/>
    <w:rsid w:val="00A50CFB"/>
    <w:rsid w:val="00A50FE6"/>
    <w:rsid w:val="00A50FFA"/>
    <w:rsid w:val="00A510A1"/>
    <w:rsid w:val="00A51420"/>
    <w:rsid w:val="00A51491"/>
    <w:rsid w:val="00A51606"/>
    <w:rsid w:val="00A521F3"/>
    <w:rsid w:val="00A5252A"/>
    <w:rsid w:val="00A53399"/>
    <w:rsid w:val="00A537E8"/>
    <w:rsid w:val="00A539D1"/>
    <w:rsid w:val="00A54419"/>
    <w:rsid w:val="00A5457E"/>
    <w:rsid w:val="00A5491E"/>
    <w:rsid w:val="00A54953"/>
    <w:rsid w:val="00A54A58"/>
    <w:rsid w:val="00A54ACA"/>
    <w:rsid w:val="00A54DAE"/>
    <w:rsid w:val="00A55519"/>
    <w:rsid w:val="00A55F6B"/>
    <w:rsid w:val="00A561C0"/>
    <w:rsid w:val="00A5637B"/>
    <w:rsid w:val="00A56D3B"/>
    <w:rsid w:val="00A56FFC"/>
    <w:rsid w:val="00A571EC"/>
    <w:rsid w:val="00A57450"/>
    <w:rsid w:val="00A57479"/>
    <w:rsid w:val="00A574E6"/>
    <w:rsid w:val="00A575C0"/>
    <w:rsid w:val="00A57A30"/>
    <w:rsid w:val="00A57B53"/>
    <w:rsid w:val="00A57B93"/>
    <w:rsid w:val="00A57C08"/>
    <w:rsid w:val="00A57CA4"/>
    <w:rsid w:val="00A600D9"/>
    <w:rsid w:val="00A604CD"/>
    <w:rsid w:val="00A60646"/>
    <w:rsid w:val="00A6078C"/>
    <w:rsid w:val="00A607E3"/>
    <w:rsid w:val="00A60DD1"/>
    <w:rsid w:val="00A6147B"/>
    <w:rsid w:val="00A61919"/>
    <w:rsid w:val="00A619BE"/>
    <w:rsid w:val="00A61D0A"/>
    <w:rsid w:val="00A6234E"/>
    <w:rsid w:val="00A6324F"/>
    <w:rsid w:val="00A637A0"/>
    <w:rsid w:val="00A63A81"/>
    <w:rsid w:val="00A63ECD"/>
    <w:rsid w:val="00A63F4C"/>
    <w:rsid w:val="00A64093"/>
    <w:rsid w:val="00A640EB"/>
    <w:rsid w:val="00A64241"/>
    <w:rsid w:val="00A645FC"/>
    <w:rsid w:val="00A64752"/>
    <w:rsid w:val="00A64815"/>
    <w:rsid w:val="00A64EE1"/>
    <w:rsid w:val="00A65043"/>
    <w:rsid w:val="00A655D1"/>
    <w:rsid w:val="00A65BCD"/>
    <w:rsid w:val="00A6633B"/>
    <w:rsid w:val="00A66435"/>
    <w:rsid w:val="00A66992"/>
    <w:rsid w:val="00A66D8D"/>
    <w:rsid w:val="00A66DB3"/>
    <w:rsid w:val="00A66DF9"/>
    <w:rsid w:val="00A671BB"/>
    <w:rsid w:val="00A6732D"/>
    <w:rsid w:val="00A6738E"/>
    <w:rsid w:val="00A673F0"/>
    <w:rsid w:val="00A67618"/>
    <w:rsid w:val="00A67845"/>
    <w:rsid w:val="00A678B8"/>
    <w:rsid w:val="00A67FD1"/>
    <w:rsid w:val="00A70017"/>
    <w:rsid w:val="00A70259"/>
    <w:rsid w:val="00A704E4"/>
    <w:rsid w:val="00A70756"/>
    <w:rsid w:val="00A70870"/>
    <w:rsid w:val="00A709DD"/>
    <w:rsid w:val="00A709FF"/>
    <w:rsid w:val="00A7136A"/>
    <w:rsid w:val="00A715EE"/>
    <w:rsid w:val="00A71800"/>
    <w:rsid w:val="00A7191F"/>
    <w:rsid w:val="00A71C0E"/>
    <w:rsid w:val="00A71C44"/>
    <w:rsid w:val="00A71DA7"/>
    <w:rsid w:val="00A72224"/>
    <w:rsid w:val="00A72296"/>
    <w:rsid w:val="00A725E2"/>
    <w:rsid w:val="00A72C5F"/>
    <w:rsid w:val="00A72D76"/>
    <w:rsid w:val="00A7346C"/>
    <w:rsid w:val="00A735EC"/>
    <w:rsid w:val="00A7388E"/>
    <w:rsid w:val="00A739BC"/>
    <w:rsid w:val="00A73AC7"/>
    <w:rsid w:val="00A73BAC"/>
    <w:rsid w:val="00A73F5A"/>
    <w:rsid w:val="00A74435"/>
    <w:rsid w:val="00A74544"/>
    <w:rsid w:val="00A74548"/>
    <w:rsid w:val="00A747F8"/>
    <w:rsid w:val="00A74B5F"/>
    <w:rsid w:val="00A74BBD"/>
    <w:rsid w:val="00A74D7D"/>
    <w:rsid w:val="00A74DF2"/>
    <w:rsid w:val="00A74E4D"/>
    <w:rsid w:val="00A7520E"/>
    <w:rsid w:val="00A75483"/>
    <w:rsid w:val="00A7592E"/>
    <w:rsid w:val="00A75EBD"/>
    <w:rsid w:val="00A75F3D"/>
    <w:rsid w:val="00A75FD8"/>
    <w:rsid w:val="00A760B3"/>
    <w:rsid w:val="00A765D5"/>
    <w:rsid w:val="00A7661F"/>
    <w:rsid w:val="00A76920"/>
    <w:rsid w:val="00A76B12"/>
    <w:rsid w:val="00A76C1F"/>
    <w:rsid w:val="00A771FF"/>
    <w:rsid w:val="00A774FE"/>
    <w:rsid w:val="00A775F6"/>
    <w:rsid w:val="00A77A6E"/>
    <w:rsid w:val="00A77E84"/>
    <w:rsid w:val="00A8003F"/>
    <w:rsid w:val="00A803FC"/>
    <w:rsid w:val="00A8071A"/>
    <w:rsid w:val="00A80A7A"/>
    <w:rsid w:val="00A80B54"/>
    <w:rsid w:val="00A80C79"/>
    <w:rsid w:val="00A80DD9"/>
    <w:rsid w:val="00A80FCA"/>
    <w:rsid w:val="00A81472"/>
    <w:rsid w:val="00A81B43"/>
    <w:rsid w:val="00A81CBC"/>
    <w:rsid w:val="00A81F0D"/>
    <w:rsid w:val="00A82506"/>
    <w:rsid w:val="00A82E01"/>
    <w:rsid w:val="00A82F76"/>
    <w:rsid w:val="00A8338B"/>
    <w:rsid w:val="00A83484"/>
    <w:rsid w:val="00A837CE"/>
    <w:rsid w:val="00A837FB"/>
    <w:rsid w:val="00A83C74"/>
    <w:rsid w:val="00A83DB5"/>
    <w:rsid w:val="00A83E66"/>
    <w:rsid w:val="00A83FBA"/>
    <w:rsid w:val="00A84636"/>
    <w:rsid w:val="00A846FE"/>
    <w:rsid w:val="00A84BB5"/>
    <w:rsid w:val="00A84C92"/>
    <w:rsid w:val="00A84FE1"/>
    <w:rsid w:val="00A85080"/>
    <w:rsid w:val="00A852B7"/>
    <w:rsid w:val="00A85C99"/>
    <w:rsid w:val="00A86406"/>
    <w:rsid w:val="00A86518"/>
    <w:rsid w:val="00A86853"/>
    <w:rsid w:val="00A86B1E"/>
    <w:rsid w:val="00A86B75"/>
    <w:rsid w:val="00A86C10"/>
    <w:rsid w:val="00A86C3F"/>
    <w:rsid w:val="00A86D40"/>
    <w:rsid w:val="00A86E75"/>
    <w:rsid w:val="00A86F33"/>
    <w:rsid w:val="00A87145"/>
    <w:rsid w:val="00A87429"/>
    <w:rsid w:val="00A876E8"/>
    <w:rsid w:val="00A879D4"/>
    <w:rsid w:val="00A87F0A"/>
    <w:rsid w:val="00A902F6"/>
    <w:rsid w:val="00A903AA"/>
    <w:rsid w:val="00A9065F"/>
    <w:rsid w:val="00A906F7"/>
    <w:rsid w:val="00A9074E"/>
    <w:rsid w:val="00A90B0E"/>
    <w:rsid w:val="00A91189"/>
    <w:rsid w:val="00A914F8"/>
    <w:rsid w:val="00A91AA1"/>
    <w:rsid w:val="00A91C8C"/>
    <w:rsid w:val="00A91F0D"/>
    <w:rsid w:val="00A9231E"/>
    <w:rsid w:val="00A9235A"/>
    <w:rsid w:val="00A92406"/>
    <w:rsid w:val="00A9272A"/>
    <w:rsid w:val="00A9293C"/>
    <w:rsid w:val="00A92985"/>
    <w:rsid w:val="00A92A55"/>
    <w:rsid w:val="00A92B43"/>
    <w:rsid w:val="00A92FF7"/>
    <w:rsid w:val="00A93069"/>
    <w:rsid w:val="00A9350E"/>
    <w:rsid w:val="00A94171"/>
    <w:rsid w:val="00A9468F"/>
    <w:rsid w:val="00A9495C"/>
    <w:rsid w:val="00A9498D"/>
    <w:rsid w:val="00A94A22"/>
    <w:rsid w:val="00A94C96"/>
    <w:rsid w:val="00A94CCC"/>
    <w:rsid w:val="00A94E79"/>
    <w:rsid w:val="00A9509C"/>
    <w:rsid w:val="00A952AE"/>
    <w:rsid w:val="00A95335"/>
    <w:rsid w:val="00A95530"/>
    <w:rsid w:val="00A9566B"/>
    <w:rsid w:val="00A95773"/>
    <w:rsid w:val="00A9657F"/>
    <w:rsid w:val="00A96907"/>
    <w:rsid w:val="00A96C67"/>
    <w:rsid w:val="00A96DF1"/>
    <w:rsid w:val="00A96EDC"/>
    <w:rsid w:val="00A9797D"/>
    <w:rsid w:val="00A979D4"/>
    <w:rsid w:val="00AA015F"/>
    <w:rsid w:val="00AA0353"/>
    <w:rsid w:val="00AA040B"/>
    <w:rsid w:val="00AA0918"/>
    <w:rsid w:val="00AA0952"/>
    <w:rsid w:val="00AA0C3A"/>
    <w:rsid w:val="00AA0D5E"/>
    <w:rsid w:val="00AA0F12"/>
    <w:rsid w:val="00AA100B"/>
    <w:rsid w:val="00AA12C0"/>
    <w:rsid w:val="00AA1723"/>
    <w:rsid w:val="00AA17CA"/>
    <w:rsid w:val="00AA190D"/>
    <w:rsid w:val="00AA1AE7"/>
    <w:rsid w:val="00AA1FB0"/>
    <w:rsid w:val="00AA1FDD"/>
    <w:rsid w:val="00AA1FE0"/>
    <w:rsid w:val="00AA21AB"/>
    <w:rsid w:val="00AA22C3"/>
    <w:rsid w:val="00AA230D"/>
    <w:rsid w:val="00AA257B"/>
    <w:rsid w:val="00AA289D"/>
    <w:rsid w:val="00AA2DA3"/>
    <w:rsid w:val="00AA2EB2"/>
    <w:rsid w:val="00AA30A2"/>
    <w:rsid w:val="00AA3BCC"/>
    <w:rsid w:val="00AA43E6"/>
    <w:rsid w:val="00AA44B3"/>
    <w:rsid w:val="00AA45A3"/>
    <w:rsid w:val="00AA4838"/>
    <w:rsid w:val="00AA4941"/>
    <w:rsid w:val="00AA49E9"/>
    <w:rsid w:val="00AA528B"/>
    <w:rsid w:val="00AA5475"/>
    <w:rsid w:val="00AA5616"/>
    <w:rsid w:val="00AA5876"/>
    <w:rsid w:val="00AA5AF9"/>
    <w:rsid w:val="00AA5DC8"/>
    <w:rsid w:val="00AA5F27"/>
    <w:rsid w:val="00AA617A"/>
    <w:rsid w:val="00AA665F"/>
    <w:rsid w:val="00AA6992"/>
    <w:rsid w:val="00AA6A8A"/>
    <w:rsid w:val="00AA6DD8"/>
    <w:rsid w:val="00AA6FA3"/>
    <w:rsid w:val="00AA70BB"/>
    <w:rsid w:val="00AA757C"/>
    <w:rsid w:val="00AA7948"/>
    <w:rsid w:val="00AA7DAF"/>
    <w:rsid w:val="00AA7F10"/>
    <w:rsid w:val="00AB0391"/>
    <w:rsid w:val="00AB03CD"/>
    <w:rsid w:val="00AB04A8"/>
    <w:rsid w:val="00AB0B49"/>
    <w:rsid w:val="00AB1A71"/>
    <w:rsid w:val="00AB1FBA"/>
    <w:rsid w:val="00AB2151"/>
    <w:rsid w:val="00AB2244"/>
    <w:rsid w:val="00AB2C59"/>
    <w:rsid w:val="00AB2C8A"/>
    <w:rsid w:val="00AB3617"/>
    <w:rsid w:val="00AB40B8"/>
    <w:rsid w:val="00AB4277"/>
    <w:rsid w:val="00AB42B6"/>
    <w:rsid w:val="00AB43E1"/>
    <w:rsid w:val="00AB47D6"/>
    <w:rsid w:val="00AB486E"/>
    <w:rsid w:val="00AB4B1A"/>
    <w:rsid w:val="00AB4D67"/>
    <w:rsid w:val="00AB4FC5"/>
    <w:rsid w:val="00AB545D"/>
    <w:rsid w:val="00AB54D7"/>
    <w:rsid w:val="00AB5597"/>
    <w:rsid w:val="00AB57D3"/>
    <w:rsid w:val="00AB5D3D"/>
    <w:rsid w:val="00AB5DF1"/>
    <w:rsid w:val="00AB5E21"/>
    <w:rsid w:val="00AB6301"/>
    <w:rsid w:val="00AB63C6"/>
    <w:rsid w:val="00AB6563"/>
    <w:rsid w:val="00AB657C"/>
    <w:rsid w:val="00AB6886"/>
    <w:rsid w:val="00AB6AE4"/>
    <w:rsid w:val="00AB6C6C"/>
    <w:rsid w:val="00AB6E00"/>
    <w:rsid w:val="00AB6F37"/>
    <w:rsid w:val="00AB723E"/>
    <w:rsid w:val="00AB72F1"/>
    <w:rsid w:val="00AB7621"/>
    <w:rsid w:val="00AB769E"/>
    <w:rsid w:val="00AB7D55"/>
    <w:rsid w:val="00AC04BB"/>
    <w:rsid w:val="00AC050E"/>
    <w:rsid w:val="00AC0541"/>
    <w:rsid w:val="00AC0681"/>
    <w:rsid w:val="00AC0EDA"/>
    <w:rsid w:val="00AC154B"/>
    <w:rsid w:val="00AC1652"/>
    <w:rsid w:val="00AC1B72"/>
    <w:rsid w:val="00AC1BEB"/>
    <w:rsid w:val="00AC23C0"/>
    <w:rsid w:val="00AC23D7"/>
    <w:rsid w:val="00AC26FE"/>
    <w:rsid w:val="00AC2A0F"/>
    <w:rsid w:val="00AC2CF1"/>
    <w:rsid w:val="00AC350D"/>
    <w:rsid w:val="00AC3568"/>
    <w:rsid w:val="00AC3684"/>
    <w:rsid w:val="00AC3BA2"/>
    <w:rsid w:val="00AC3BAB"/>
    <w:rsid w:val="00AC3CF2"/>
    <w:rsid w:val="00AC426E"/>
    <w:rsid w:val="00AC47EC"/>
    <w:rsid w:val="00AC4805"/>
    <w:rsid w:val="00AC4BF6"/>
    <w:rsid w:val="00AC4D39"/>
    <w:rsid w:val="00AC4E5D"/>
    <w:rsid w:val="00AC51DA"/>
    <w:rsid w:val="00AC58A3"/>
    <w:rsid w:val="00AC5A31"/>
    <w:rsid w:val="00AC5BF4"/>
    <w:rsid w:val="00AC60E4"/>
    <w:rsid w:val="00AC6630"/>
    <w:rsid w:val="00AC6756"/>
    <w:rsid w:val="00AC6C53"/>
    <w:rsid w:val="00AC6D87"/>
    <w:rsid w:val="00AC6DD7"/>
    <w:rsid w:val="00AC6E85"/>
    <w:rsid w:val="00AC7225"/>
    <w:rsid w:val="00AC7284"/>
    <w:rsid w:val="00AC7304"/>
    <w:rsid w:val="00AC756C"/>
    <w:rsid w:val="00AC7CE6"/>
    <w:rsid w:val="00AD00CC"/>
    <w:rsid w:val="00AD0551"/>
    <w:rsid w:val="00AD0828"/>
    <w:rsid w:val="00AD0835"/>
    <w:rsid w:val="00AD0B13"/>
    <w:rsid w:val="00AD0C25"/>
    <w:rsid w:val="00AD0E69"/>
    <w:rsid w:val="00AD103D"/>
    <w:rsid w:val="00AD128E"/>
    <w:rsid w:val="00AD159C"/>
    <w:rsid w:val="00AD17FA"/>
    <w:rsid w:val="00AD19EC"/>
    <w:rsid w:val="00AD2376"/>
    <w:rsid w:val="00AD2717"/>
    <w:rsid w:val="00AD2964"/>
    <w:rsid w:val="00AD29E8"/>
    <w:rsid w:val="00AD341E"/>
    <w:rsid w:val="00AD3DC4"/>
    <w:rsid w:val="00AD401F"/>
    <w:rsid w:val="00AD4026"/>
    <w:rsid w:val="00AD4FF4"/>
    <w:rsid w:val="00AD50DB"/>
    <w:rsid w:val="00AD50F7"/>
    <w:rsid w:val="00AD531D"/>
    <w:rsid w:val="00AD53A0"/>
    <w:rsid w:val="00AD5CFD"/>
    <w:rsid w:val="00AD600C"/>
    <w:rsid w:val="00AD60D4"/>
    <w:rsid w:val="00AD63D6"/>
    <w:rsid w:val="00AD63F1"/>
    <w:rsid w:val="00AD67C2"/>
    <w:rsid w:val="00AD68BA"/>
    <w:rsid w:val="00AD68D5"/>
    <w:rsid w:val="00AD6A38"/>
    <w:rsid w:val="00AD6BC3"/>
    <w:rsid w:val="00AD6CD5"/>
    <w:rsid w:val="00AD6E43"/>
    <w:rsid w:val="00AD70AD"/>
    <w:rsid w:val="00AD70E3"/>
    <w:rsid w:val="00AD717D"/>
    <w:rsid w:val="00AD72C0"/>
    <w:rsid w:val="00AD733B"/>
    <w:rsid w:val="00AD7344"/>
    <w:rsid w:val="00AD7CA7"/>
    <w:rsid w:val="00AD7E84"/>
    <w:rsid w:val="00AE0024"/>
    <w:rsid w:val="00AE0040"/>
    <w:rsid w:val="00AE01F5"/>
    <w:rsid w:val="00AE03D3"/>
    <w:rsid w:val="00AE07DF"/>
    <w:rsid w:val="00AE08B5"/>
    <w:rsid w:val="00AE0E0F"/>
    <w:rsid w:val="00AE0E4E"/>
    <w:rsid w:val="00AE0FCF"/>
    <w:rsid w:val="00AE17E8"/>
    <w:rsid w:val="00AE184D"/>
    <w:rsid w:val="00AE1C03"/>
    <w:rsid w:val="00AE1D18"/>
    <w:rsid w:val="00AE1DFC"/>
    <w:rsid w:val="00AE1E74"/>
    <w:rsid w:val="00AE1EB1"/>
    <w:rsid w:val="00AE23E3"/>
    <w:rsid w:val="00AE26AA"/>
    <w:rsid w:val="00AE2A4A"/>
    <w:rsid w:val="00AE2DDA"/>
    <w:rsid w:val="00AE2E82"/>
    <w:rsid w:val="00AE2F65"/>
    <w:rsid w:val="00AE317E"/>
    <w:rsid w:val="00AE35A5"/>
    <w:rsid w:val="00AE35E4"/>
    <w:rsid w:val="00AE38BD"/>
    <w:rsid w:val="00AE3AD7"/>
    <w:rsid w:val="00AE4125"/>
    <w:rsid w:val="00AE46B5"/>
    <w:rsid w:val="00AE47CB"/>
    <w:rsid w:val="00AE4E2A"/>
    <w:rsid w:val="00AE4ECF"/>
    <w:rsid w:val="00AE534C"/>
    <w:rsid w:val="00AE55D9"/>
    <w:rsid w:val="00AE56B2"/>
    <w:rsid w:val="00AE5B4A"/>
    <w:rsid w:val="00AE5CF9"/>
    <w:rsid w:val="00AE5DB6"/>
    <w:rsid w:val="00AE6A74"/>
    <w:rsid w:val="00AE6C3C"/>
    <w:rsid w:val="00AE6C47"/>
    <w:rsid w:val="00AE702E"/>
    <w:rsid w:val="00AE7279"/>
    <w:rsid w:val="00AE7284"/>
    <w:rsid w:val="00AE73E0"/>
    <w:rsid w:val="00AE782D"/>
    <w:rsid w:val="00AE7963"/>
    <w:rsid w:val="00AE7D76"/>
    <w:rsid w:val="00AF03C0"/>
    <w:rsid w:val="00AF0430"/>
    <w:rsid w:val="00AF0A52"/>
    <w:rsid w:val="00AF12C4"/>
    <w:rsid w:val="00AF13B6"/>
    <w:rsid w:val="00AF14FF"/>
    <w:rsid w:val="00AF166F"/>
    <w:rsid w:val="00AF1C03"/>
    <w:rsid w:val="00AF2469"/>
    <w:rsid w:val="00AF2490"/>
    <w:rsid w:val="00AF28BB"/>
    <w:rsid w:val="00AF2B5C"/>
    <w:rsid w:val="00AF2BAD"/>
    <w:rsid w:val="00AF2F24"/>
    <w:rsid w:val="00AF3211"/>
    <w:rsid w:val="00AF39AF"/>
    <w:rsid w:val="00AF3C13"/>
    <w:rsid w:val="00AF3E3B"/>
    <w:rsid w:val="00AF3E5A"/>
    <w:rsid w:val="00AF40E7"/>
    <w:rsid w:val="00AF4106"/>
    <w:rsid w:val="00AF43B6"/>
    <w:rsid w:val="00AF45BA"/>
    <w:rsid w:val="00AF46FE"/>
    <w:rsid w:val="00AF486F"/>
    <w:rsid w:val="00AF4B2A"/>
    <w:rsid w:val="00AF4E29"/>
    <w:rsid w:val="00AF50B3"/>
    <w:rsid w:val="00AF53CB"/>
    <w:rsid w:val="00AF548B"/>
    <w:rsid w:val="00AF5569"/>
    <w:rsid w:val="00AF55E0"/>
    <w:rsid w:val="00AF564D"/>
    <w:rsid w:val="00AF5666"/>
    <w:rsid w:val="00AF56C9"/>
    <w:rsid w:val="00AF5781"/>
    <w:rsid w:val="00AF5870"/>
    <w:rsid w:val="00AF5BC4"/>
    <w:rsid w:val="00AF5DA0"/>
    <w:rsid w:val="00AF6249"/>
    <w:rsid w:val="00AF62BD"/>
    <w:rsid w:val="00AF6619"/>
    <w:rsid w:val="00AF6A27"/>
    <w:rsid w:val="00AF6CFD"/>
    <w:rsid w:val="00AF6E45"/>
    <w:rsid w:val="00AF6FC6"/>
    <w:rsid w:val="00AF704C"/>
    <w:rsid w:val="00AF7083"/>
    <w:rsid w:val="00AF74B2"/>
    <w:rsid w:val="00AF7CBC"/>
    <w:rsid w:val="00AF7DC1"/>
    <w:rsid w:val="00B000AE"/>
    <w:rsid w:val="00B002DD"/>
    <w:rsid w:val="00B0040B"/>
    <w:rsid w:val="00B005BC"/>
    <w:rsid w:val="00B007CF"/>
    <w:rsid w:val="00B00830"/>
    <w:rsid w:val="00B00AB5"/>
    <w:rsid w:val="00B00CC0"/>
    <w:rsid w:val="00B00D19"/>
    <w:rsid w:val="00B00D65"/>
    <w:rsid w:val="00B00DED"/>
    <w:rsid w:val="00B00E86"/>
    <w:rsid w:val="00B00F5C"/>
    <w:rsid w:val="00B00FBE"/>
    <w:rsid w:val="00B00FDC"/>
    <w:rsid w:val="00B0112B"/>
    <w:rsid w:val="00B0160B"/>
    <w:rsid w:val="00B01621"/>
    <w:rsid w:val="00B0184B"/>
    <w:rsid w:val="00B01953"/>
    <w:rsid w:val="00B019C1"/>
    <w:rsid w:val="00B01C1F"/>
    <w:rsid w:val="00B022B5"/>
    <w:rsid w:val="00B0236E"/>
    <w:rsid w:val="00B02506"/>
    <w:rsid w:val="00B028AC"/>
    <w:rsid w:val="00B02ACE"/>
    <w:rsid w:val="00B02ADC"/>
    <w:rsid w:val="00B02F51"/>
    <w:rsid w:val="00B030ED"/>
    <w:rsid w:val="00B031CF"/>
    <w:rsid w:val="00B03357"/>
    <w:rsid w:val="00B0377D"/>
    <w:rsid w:val="00B037DA"/>
    <w:rsid w:val="00B03911"/>
    <w:rsid w:val="00B03913"/>
    <w:rsid w:val="00B03C71"/>
    <w:rsid w:val="00B04661"/>
    <w:rsid w:val="00B04704"/>
    <w:rsid w:val="00B04813"/>
    <w:rsid w:val="00B04CEA"/>
    <w:rsid w:val="00B04EEE"/>
    <w:rsid w:val="00B0506F"/>
    <w:rsid w:val="00B05233"/>
    <w:rsid w:val="00B05607"/>
    <w:rsid w:val="00B05A08"/>
    <w:rsid w:val="00B05BDA"/>
    <w:rsid w:val="00B05F14"/>
    <w:rsid w:val="00B063C6"/>
    <w:rsid w:val="00B06737"/>
    <w:rsid w:val="00B074C7"/>
    <w:rsid w:val="00B0784C"/>
    <w:rsid w:val="00B07905"/>
    <w:rsid w:val="00B07CE9"/>
    <w:rsid w:val="00B101D5"/>
    <w:rsid w:val="00B10268"/>
    <w:rsid w:val="00B1038F"/>
    <w:rsid w:val="00B104D6"/>
    <w:rsid w:val="00B10633"/>
    <w:rsid w:val="00B10B08"/>
    <w:rsid w:val="00B10BC3"/>
    <w:rsid w:val="00B10E27"/>
    <w:rsid w:val="00B11425"/>
    <w:rsid w:val="00B11607"/>
    <w:rsid w:val="00B117B9"/>
    <w:rsid w:val="00B11A78"/>
    <w:rsid w:val="00B11CEB"/>
    <w:rsid w:val="00B11CFB"/>
    <w:rsid w:val="00B11F95"/>
    <w:rsid w:val="00B12111"/>
    <w:rsid w:val="00B12132"/>
    <w:rsid w:val="00B12A5A"/>
    <w:rsid w:val="00B12B9F"/>
    <w:rsid w:val="00B12F11"/>
    <w:rsid w:val="00B13739"/>
    <w:rsid w:val="00B137DF"/>
    <w:rsid w:val="00B13D17"/>
    <w:rsid w:val="00B13E18"/>
    <w:rsid w:val="00B13E48"/>
    <w:rsid w:val="00B14109"/>
    <w:rsid w:val="00B14410"/>
    <w:rsid w:val="00B1486D"/>
    <w:rsid w:val="00B150D6"/>
    <w:rsid w:val="00B1535B"/>
    <w:rsid w:val="00B15373"/>
    <w:rsid w:val="00B15639"/>
    <w:rsid w:val="00B15C63"/>
    <w:rsid w:val="00B15D15"/>
    <w:rsid w:val="00B15E42"/>
    <w:rsid w:val="00B15EEE"/>
    <w:rsid w:val="00B160EB"/>
    <w:rsid w:val="00B16198"/>
    <w:rsid w:val="00B1626F"/>
    <w:rsid w:val="00B16A2C"/>
    <w:rsid w:val="00B16B88"/>
    <w:rsid w:val="00B16DA6"/>
    <w:rsid w:val="00B16FB6"/>
    <w:rsid w:val="00B17022"/>
    <w:rsid w:val="00B172D6"/>
    <w:rsid w:val="00B173C4"/>
    <w:rsid w:val="00B17DE8"/>
    <w:rsid w:val="00B17F54"/>
    <w:rsid w:val="00B20664"/>
    <w:rsid w:val="00B20AE1"/>
    <w:rsid w:val="00B2116D"/>
    <w:rsid w:val="00B2133A"/>
    <w:rsid w:val="00B21345"/>
    <w:rsid w:val="00B21475"/>
    <w:rsid w:val="00B215D0"/>
    <w:rsid w:val="00B21736"/>
    <w:rsid w:val="00B218B1"/>
    <w:rsid w:val="00B2192B"/>
    <w:rsid w:val="00B21A33"/>
    <w:rsid w:val="00B21A85"/>
    <w:rsid w:val="00B2201B"/>
    <w:rsid w:val="00B224AA"/>
    <w:rsid w:val="00B22998"/>
    <w:rsid w:val="00B229FE"/>
    <w:rsid w:val="00B22A92"/>
    <w:rsid w:val="00B2302B"/>
    <w:rsid w:val="00B234E8"/>
    <w:rsid w:val="00B2352D"/>
    <w:rsid w:val="00B23700"/>
    <w:rsid w:val="00B24363"/>
    <w:rsid w:val="00B243F6"/>
    <w:rsid w:val="00B244EB"/>
    <w:rsid w:val="00B2456E"/>
    <w:rsid w:val="00B248E7"/>
    <w:rsid w:val="00B24979"/>
    <w:rsid w:val="00B2500A"/>
    <w:rsid w:val="00B250A5"/>
    <w:rsid w:val="00B250E3"/>
    <w:rsid w:val="00B25175"/>
    <w:rsid w:val="00B25651"/>
    <w:rsid w:val="00B25847"/>
    <w:rsid w:val="00B25A12"/>
    <w:rsid w:val="00B25B23"/>
    <w:rsid w:val="00B26399"/>
    <w:rsid w:val="00B2688A"/>
    <w:rsid w:val="00B26937"/>
    <w:rsid w:val="00B26C42"/>
    <w:rsid w:val="00B26DF0"/>
    <w:rsid w:val="00B26EA4"/>
    <w:rsid w:val="00B271BF"/>
    <w:rsid w:val="00B276EB"/>
    <w:rsid w:val="00B277E2"/>
    <w:rsid w:val="00B279F5"/>
    <w:rsid w:val="00B27C88"/>
    <w:rsid w:val="00B30243"/>
    <w:rsid w:val="00B302C4"/>
    <w:rsid w:val="00B30421"/>
    <w:rsid w:val="00B30BC8"/>
    <w:rsid w:val="00B30DC8"/>
    <w:rsid w:val="00B313D2"/>
    <w:rsid w:val="00B315BB"/>
    <w:rsid w:val="00B3176E"/>
    <w:rsid w:val="00B31977"/>
    <w:rsid w:val="00B31D6F"/>
    <w:rsid w:val="00B3220C"/>
    <w:rsid w:val="00B3235A"/>
    <w:rsid w:val="00B3316D"/>
    <w:rsid w:val="00B332E8"/>
    <w:rsid w:val="00B333FE"/>
    <w:rsid w:val="00B3356D"/>
    <w:rsid w:val="00B3382B"/>
    <w:rsid w:val="00B338AD"/>
    <w:rsid w:val="00B33991"/>
    <w:rsid w:val="00B33A79"/>
    <w:rsid w:val="00B33A7C"/>
    <w:rsid w:val="00B33AF9"/>
    <w:rsid w:val="00B33DCA"/>
    <w:rsid w:val="00B341AD"/>
    <w:rsid w:val="00B3461E"/>
    <w:rsid w:val="00B34A67"/>
    <w:rsid w:val="00B34CF7"/>
    <w:rsid w:val="00B34E1C"/>
    <w:rsid w:val="00B35094"/>
    <w:rsid w:val="00B350F0"/>
    <w:rsid w:val="00B357AC"/>
    <w:rsid w:val="00B35992"/>
    <w:rsid w:val="00B35B99"/>
    <w:rsid w:val="00B35E4B"/>
    <w:rsid w:val="00B35E6F"/>
    <w:rsid w:val="00B35FCC"/>
    <w:rsid w:val="00B364C9"/>
    <w:rsid w:val="00B36518"/>
    <w:rsid w:val="00B36ACC"/>
    <w:rsid w:val="00B37534"/>
    <w:rsid w:val="00B378CC"/>
    <w:rsid w:val="00B37BD3"/>
    <w:rsid w:val="00B40364"/>
    <w:rsid w:val="00B40579"/>
    <w:rsid w:val="00B40642"/>
    <w:rsid w:val="00B40723"/>
    <w:rsid w:val="00B4136D"/>
    <w:rsid w:val="00B41615"/>
    <w:rsid w:val="00B41788"/>
    <w:rsid w:val="00B417F3"/>
    <w:rsid w:val="00B41CAF"/>
    <w:rsid w:val="00B41D22"/>
    <w:rsid w:val="00B41FD8"/>
    <w:rsid w:val="00B420DF"/>
    <w:rsid w:val="00B42783"/>
    <w:rsid w:val="00B4279E"/>
    <w:rsid w:val="00B428E2"/>
    <w:rsid w:val="00B42A17"/>
    <w:rsid w:val="00B42A2C"/>
    <w:rsid w:val="00B42A5C"/>
    <w:rsid w:val="00B42A98"/>
    <w:rsid w:val="00B42C64"/>
    <w:rsid w:val="00B42E35"/>
    <w:rsid w:val="00B42E4F"/>
    <w:rsid w:val="00B42E89"/>
    <w:rsid w:val="00B42FEF"/>
    <w:rsid w:val="00B43676"/>
    <w:rsid w:val="00B43A2A"/>
    <w:rsid w:val="00B43C22"/>
    <w:rsid w:val="00B448EF"/>
    <w:rsid w:val="00B44C3D"/>
    <w:rsid w:val="00B44DCC"/>
    <w:rsid w:val="00B45779"/>
    <w:rsid w:val="00B46081"/>
    <w:rsid w:val="00B46DD5"/>
    <w:rsid w:val="00B47278"/>
    <w:rsid w:val="00B47493"/>
    <w:rsid w:val="00B474C8"/>
    <w:rsid w:val="00B474DF"/>
    <w:rsid w:val="00B476C4"/>
    <w:rsid w:val="00B47915"/>
    <w:rsid w:val="00B47E97"/>
    <w:rsid w:val="00B47E9A"/>
    <w:rsid w:val="00B47F21"/>
    <w:rsid w:val="00B50702"/>
    <w:rsid w:val="00B50E18"/>
    <w:rsid w:val="00B5122B"/>
    <w:rsid w:val="00B513A9"/>
    <w:rsid w:val="00B51568"/>
    <w:rsid w:val="00B51610"/>
    <w:rsid w:val="00B5167B"/>
    <w:rsid w:val="00B51AA8"/>
    <w:rsid w:val="00B51ADE"/>
    <w:rsid w:val="00B51CFD"/>
    <w:rsid w:val="00B51EDB"/>
    <w:rsid w:val="00B5208D"/>
    <w:rsid w:val="00B520E3"/>
    <w:rsid w:val="00B52236"/>
    <w:rsid w:val="00B52336"/>
    <w:rsid w:val="00B52358"/>
    <w:rsid w:val="00B52B6A"/>
    <w:rsid w:val="00B53185"/>
    <w:rsid w:val="00B531E9"/>
    <w:rsid w:val="00B53356"/>
    <w:rsid w:val="00B535C9"/>
    <w:rsid w:val="00B5388C"/>
    <w:rsid w:val="00B544F9"/>
    <w:rsid w:val="00B5498C"/>
    <w:rsid w:val="00B5518C"/>
    <w:rsid w:val="00B55579"/>
    <w:rsid w:val="00B555CF"/>
    <w:rsid w:val="00B558AC"/>
    <w:rsid w:val="00B55B1A"/>
    <w:rsid w:val="00B55CAC"/>
    <w:rsid w:val="00B55CED"/>
    <w:rsid w:val="00B55D57"/>
    <w:rsid w:val="00B55F80"/>
    <w:rsid w:val="00B562B5"/>
    <w:rsid w:val="00B56316"/>
    <w:rsid w:val="00B56480"/>
    <w:rsid w:val="00B564EA"/>
    <w:rsid w:val="00B56501"/>
    <w:rsid w:val="00B5657F"/>
    <w:rsid w:val="00B565D6"/>
    <w:rsid w:val="00B574A5"/>
    <w:rsid w:val="00B57502"/>
    <w:rsid w:val="00B5764D"/>
    <w:rsid w:val="00B576A4"/>
    <w:rsid w:val="00B57998"/>
    <w:rsid w:val="00B57BD8"/>
    <w:rsid w:val="00B57CD0"/>
    <w:rsid w:val="00B57DA9"/>
    <w:rsid w:val="00B57E60"/>
    <w:rsid w:val="00B60177"/>
    <w:rsid w:val="00B60222"/>
    <w:rsid w:val="00B60224"/>
    <w:rsid w:val="00B60639"/>
    <w:rsid w:val="00B6064E"/>
    <w:rsid w:val="00B60FA8"/>
    <w:rsid w:val="00B61A4A"/>
    <w:rsid w:val="00B61ECD"/>
    <w:rsid w:val="00B621C0"/>
    <w:rsid w:val="00B622B1"/>
    <w:rsid w:val="00B627FB"/>
    <w:rsid w:val="00B62805"/>
    <w:rsid w:val="00B6308E"/>
    <w:rsid w:val="00B630CC"/>
    <w:rsid w:val="00B6383F"/>
    <w:rsid w:val="00B63AA2"/>
    <w:rsid w:val="00B63AC9"/>
    <w:rsid w:val="00B63CE4"/>
    <w:rsid w:val="00B63D58"/>
    <w:rsid w:val="00B63EBE"/>
    <w:rsid w:val="00B640C6"/>
    <w:rsid w:val="00B6421C"/>
    <w:rsid w:val="00B6434E"/>
    <w:rsid w:val="00B643CD"/>
    <w:rsid w:val="00B64511"/>
    <w:rsid w:val="00B64712"/>
    <w:rsid w:val="00B64E8A"/>
    <w:rsid w:val="00B64FA2"/>
    <w:rsid w:val="00B65128"/>
    <w:rsid w:val="00B65156"/>
    <w:rsid w:val="00B65588"/>
    <w:rsid w:val="00B658D1"/>
    <w:rsid w:val="00B65AB3"/>
    <w:rsid w:val="00B65B5E"/>
    <w:rsid w:val="00B65EF7"/>
    <w:rsid w:val="00B66064"/>
    <w:rsid w:val="00B6634F"/>
    <w:rsid w:val="00B668A0"/>
    <w:rsid w:val="00B668BF"/>
    <w:rsid w:val="00B66995"/>
    <w:rsid w:val="00B66B29"/>
    <w:rsid w:val="00B66F9D"/>
    <w:rsid w:val="00B671A1"/>
    <w:rsid w:val="00B675A6"/>
    <w:rsid w:val="00B678A6"/>
    <w:rsid w:val="00B6794D"/>
    <w:rsid w:val="00B67B55"/>
    <w:rsid w:val="00B67C6C"/>
    <w:rsid w:val="00B67E01"/>
    <w:rsid w:val="00B70C61"/>
    <w:rsid w:val="00B70E5A"/>
    <w:rsid w:val="00B70E73"/>
    <w:rsid w:val="00B71221"/>
    <w:rsid w:val="00B7133D"/>
    <w:rsid w:val="00B71487"/>
    <w:rsid w:val="00B71645"/>
    <w:rsid w:val="00B71B3D"/>
    <w:rsid w:val="00B71BD1"/>
    <w:rsid w:val="00B71C84"/>
    <w:rsid w:val="00B71FF3"/>
    <w:rsid w:val="00B7220D"/>
    <w:rsid w:val="00B7265F"/>
    <w:rsid w:val="00B72753"/>
    <w:rsid w:val="00B729AF"/>
    <w:rsid w:val="00B73ABB"/>
    <w:rsid w:val="00B73B31"/>
    <w:rsid w:val="00B73BD7"/>
    <w:rsid w:val="00B73E22"/>
    <w:rsid w:val="00B741ED"/>
    <w:rsid w:val="00B742CF"/>
    <w:rsid w:val="00B749B6"/>
    <w:rsid w:val="00B74FB5"/>
    <w:rsid w:val="00B7509A"/>
    <w:rsid w:val="00B75366"/>
    <w:rsid w:val="00B759FB"/>
    <w:rsid w:val="00B75D91"/>
    <w:rsid w:val="00B75DD7"/>
    <w:rsid w:val="00B75E3F"/>
    <w:rsid w:val="00B76044"/>
    <w:rsid w:val="00B7613E"/>
    <w:rsid w:val="00B7627B"/>
    <w:rsid w:val="00B763CE"/>
    <w:rsid w:val="00B76633"/>
    <w:rsid w:val="00B766C1"/>
    <w:rsid w:val="00B76966"/>
    <w:rsid w:val="00B76AFB"/>
    <w:rsid w:val="00B76B96"/>
    <w:rsid w:val="00B76C3F"/>
    <w:rsid w:val="00B76EF6"/>
    <w:rsid w:val="00B76EFB"/>
    <w:rsid w:val="00B7708C"/>
    <w:rsid w:val="00B77129"/>
    <w:rsid w:val="00B772EA"/>
    <w:rsid w:val="00B77C37"/>
    <w:rsid w:val="00B77EF3"/>
    <w:rsid w:val="00B802FC"/>
    <w:rsid w:val="00B804B7"/>
    <w:rsid w:val="00B807BF"/>
    <w:rsid w:val="00B80899"/>
    <w:rsid w:val="00B809B1"/>
    <w:rsid w:val="00B809C4"/>
    <w:rsid w:val="00B80C1B"/>
    <w:rsid w:val="00B80D74"/>
    <w:rsid w:val="00B80D94"/>
    <w:rsid w:val="00B81654"/>
    <w:rsid w:val="00B81C08"/>
    <w:rsid w:val="00B81CA2"/>
    <w:rsid w:val="00B81E88"/>
    <w:rsid w:val="00B82365"/>
    <w:rsid w:val="00B82543"/>
    <w:rsid w:val="00B825B2"/>
    <w:rsid w:val="00B8277C"/>
    <w:rsid w:val="00B82998"/>
    <w:rsid w:val="00B829C3"/>
    <w:rsid w:val="00B82A4A"/>
    <w:rsid w:val="00B82D71"/>
    <w:rsid w:val="00B82DAD"/>
    <w:rsid w:val="00B82DB8"/>
    <w:rsid w:val="00B82E01"/>
    <w:rsid w:val="00B82FF6"/>
    <w:rsid w:val="00B830DC"/>
    <w:rsid w:val="00B83455"/>
    <w:rsid w:val="00B834B0"/>
    <w:rsid w:val="00B837F6"/>
    <w:rsid w:val="00B838AE"/>
    <w:rsid w:val="00B83DAE"/>
    <w:rsid w:val="00B83F30"/>
    <w:rsid w:val="00B84154"/>
    <w:rsid w:val="00B84179"/>
    <w:rsid w:val="00B842EA"/>
    <w:rsid w:val="00B844F6"/>
    <w:rsid w:val="00B846F9"/>
    <w:rsid w:val="00B848AE"/>
    <w:rsid w:val="00B84986"/>
    <w:rsid w:val="00B84B7C"/>
    <w:rsid w:val="00B84FB4"/>
    <w:rsid w:val="00B85258"/>
    <w:rsid w:val="00B854C2"/>
    <w:rsid w:val="00B855B0"/>
    <w:rsid w:val="00B86537"/>
    <w:rsid w:val="00B866F4"/>
    <w:rsid w:val="00B86817"/>
    <w:rsid w:val="00B870D7"/>
    <w:rsid w:val="00B8756E"/>
    <w:rsid w:val="00B8775A"/>
    <w:rsid w:val="00B87864"/>
    <w:rsid w:val="00B87A38"/>
    <w:rsid w:val="00B87ADE"/>
    <w:rsid w:val="00B87DF9"/>
    <w:rsid w:val="00B900B2"/>
    <w:rsid w:val="00B90CB7"/>
    <w:rsid w:val="00B91359"/>
    <w:rsid w:val="00B914C4"/>
    <w:rsid w:val="00B91951"/>
    <w:rsid w:val="00B919AF"/>
    <w:rsid w:val="00B91A58"/>
    <w:rsid w:val="00B91BE5"/>
    <w:rsid w:val="00B91EAD"/>
    <w:rsid w:val="00B920B9"/>
    <w:rsid w:val="00B92582"/>
    <w:rsid w:val="00B92633"/>
    <w:rsid w:val="00B930D2"/>
    <w:rsid w:val="00B9332E"/>
    <w:rsid w:val="00B93515"/>
    <w:rsid w:val="00B937CD"/>
    <w:rsid w:val="00B938BC"/>
    <w:rsid w:val="00B93997"/>
    <w:rsid w:val="00B93C98"/>
    <w:rsid w:val="00B93E37"/>
    <w:rsid w:val="00B941CF"/>
    <w:rsid w:val="00B94603"/>
    <w:rsid w:val="00B9477E"/>
    <w:rsid w:val="00B94C6D"/>
    <w:rsid w:val="00B94D00"/>
    <w:rsid w:val="00B94EEA"/>
    <w:rsid w:val="00B954F4"/>
    <w:rsid w:val="00B95AC8"/>
    <w:rsid w:val="00B95D17"/>
    <w:rsid w:val="00B962BD"/>
    <w:rsid w:val="00B966D8"/>
    <w:rsid w:val="00B96724"/>
    <w:rsid w:val="00B96D3A"/>
    <w:rsid w:val="00B96FAD"/>
    <w:rsid w:val="00B9718E"/>
    <w:rsid w:val="00B973B3"/>
    <w:rsid w:val="00B9767A"/>
    <w:rsid w:val="00B976BB"/>
    <w:rsid w:val="00B979DF"/>
    <w:rsid w:val="00B97A25"/>
    <w:rsid w:val="00B97D0A"/>
    <w:rsid w:val="00B97D39"/>
    <w:rsid w:val="00B97EBB"/>
    <w:rsid w:val="00BA01A7"/>
    <w:rsid w:val="00BA0224"/>
    <w:rsid w:val="00BA04DB"/>
    <w:rsid w:val="00BA04DF"/>
    <w:rsid w:val="00BA05C8"/>
    <w:rsid w:val="00BA06ED"/>
    <w:rsid w:val="00BA09AA"/>
    <w:rsid w:val="00BA0AD5"/>
    <w:rsid w:val="00BA0ADC"/>
    <w:rsid w:val="00BA0C72"/>
    <w:rsid w:val="00BA0CA0"/>
    <w:rsid w:val="00BA0D8B"/>
    <w:rsid w:val="00BA0E3C"/>
    <w:rsid w:val="00BA0F9C"/>
    <w:rsid w:val="00BA1158"/>
    <w:rsid w:val="00BA1C85"/>
    <w:rsid w:val="00BA1F03"/>
    <w:rsid w:val="00BA1F74"/>
    <w:rsid w:val="00BA1FE7"/>
    <w:rsid w:val="00BA209D"/>
    <w:rsid w:val="00BA2139"/>
    <w:rsid w:val="00BA22DC"/>
    <w:rsid w:val="00BA293F"/>
    <w:rsid w:val="00BA2953"/>
    <w:rsid w:val="00BA295B"/>
    <w:rsid w:val="00BA2B1D"/>
    <w:rsid w:val="00BA2C40"/>
    <w:rsid w:val="00BA304A"/>
    <w:rsid w:val="00BA32F7"/>
    <w:rsid w:val="00BA3D14"/>
    <w:rsid w:val="00BA435A"/>
    <w:rsid w:val="00BA4503"/>
    <w:rsid w:val="00BA4B19"/>
    <w:rsid w:val="00BA4BD4"/>
    <w:rsid w:val="00BA4D7F"/>
    <w:rsid w:val="00BA5024"/>
    <w:rsid w:val="00BA54BA"/>
    <w:rsid w:val="00BA54E6"/>
    <w:rsid w:val="00BA5603"/>
    <w:rsid w:val="00BA56D9"/>
    <w:rsid w:val="00BA5A37"/>
    <w:rsid w:val="00BA5EA6"/>
    <w:rsid w:val="00BA6194"/>
    <w:rsid w:val="00BA660B"/>
    <w:rsid w:val="00BA67FB"/>
    <w:rsid w:val="00BA6D3F"/>
    <w:rsid w:val="00BA72B7"/>
    <w:rsid w:val="00BA731E"/>
    <w:rsid w:val="00BA7802"/>
    <w:rsid w:val="00BA7B63"/>
    <w:rsid w:val="00BA7EEE"/>
    <w:rsid w:val="00BA7F19"/>
    <w:rsid w:val="00BB0146"/>
    <w:rsid w:val="00BB0916"/>
    <w:rsid w:val="00BB0A35"/>
    <w:rsid w:val="00BB0D04"/>
    <w:rsid w:val="00BB0E89"/>
    <w:rsid w:val="00BB117A"/>
    <w:rsid w:val="00BB1935"/>
    <w:rsid w:val="00BB1EA8"/>
    <w:rsid w:val="00BB2008"/>
    <w:rsid w:val="00BB2416"/>
    <w:rsid w:val="00BB2588"/>
    <w:rsid w:val="00BB274C"/>
    <w:rsid w:val="00BB29DF"/>
    <w:rsid w:val="00BB2CFC"/>
    <w:rsid w:val="00BB2F53"/>
    <w:rsid w:val="00BB3151"/>
    <w:rsid w:val="00BB3208"/>
    <w:rsid w:val="00BB34DC"/>
    <w:rsid w:val="00BB35D0"/>
    <w:rsid w:val="00BB3845"/>
    <w:rsid w:val="00BB3866"/>
    <w:rsid w:val="00BB38F8"/>
    <w:rsid w:val="00BB3AC4"/>
    <w:rsid w:val="00BB3BCA"/>
    <w:rsid w:val="00BB4093"/>
    <w:rsid w:val="00BB4999"/>
    <w:rsid w:val="00BB4BCD"/>
    <w:rsid w:val="00BB4D0A"/>
    <w:rsid w:val="00BB50BF"/>
    <w:rsid w:val="00BB5472"/>
    <w:rsid w:val="00BB54F1"/>
    <w:rsid w:val="00BB56C7"/>
    <w:rsid w:val="00BB56EE"/>
    <w:rsid w:val="00BB59D3"/>
    <w:rsid w:val="00BB5B62"/>
    <w:rsid w:val="00BB5EBD"/>
    <w:rsid w:val="00BB6037"/>
    <w:rsid w:val="00BB61E9"/>
    <w:rsid w:val="00BB6502"/>
    <w:rsid w:val="00BB667A"/>
    <w:rsid w:val="00BB6805"/>
    <w:rsid w:val="00BB6B85"/>
    <w:rsid w:val="00BB6BCD"/>
    <w:rsid w:val="00BB7042"/>
    <w:rsid w:val="00BB70F9"/>
    <w:rsid w:val="00BB7564"/>
    <w:rsid w:val="00BB7725"/>
    <w:rsid w:val="00BB797A"/>
    <w:rsid w:val="00BB7C9B"/>
    <w:rsid w:val="00BC0274"/>
    <w:rsid w:val="00BC05E2"/>
    <w:rsid w:val="00BC0784"/>
    <w:rsid w:val="00BC0D76"/>
    <w:rsid w:val="00BC10DA"/>
    <w:rsid w:val="00BC1126"/>
    <w:rsid w:val="00BC11B4"/>
    <w:rsid w:val="00BC124C"/>
    <w:rsid w:val="00BC146F"/>
    <w:rsid w:val="00BC1527"/>
    <w:rsid w:val="00BC1B05"/>
    <w:rsid w:val="00BC2306"/>
    <w:rsid w:val="00BC27CE"/>
    <w:rsid w:val="00BC2D61"/>
    <w:rsid w:val="00BC2F31"/>
    <w:rsid w:val="00BC3371"/>
    <w:rsid w:val="00BC342E"/>
    <w:rsid w:val="00BC34EA"/>
    <w:rsid w:val="00BC3523"/>
    <w:rsid w:val="00BC3555"/>
    <w:rsid w:val="00BC3758"/>
    <w:rsid w:val="00BC37D8"/>
    <w:rsid w:val="00BC38EA"/>
    <w:rsid w:val="00BC4021"/>
    <w:rsid w:val="00BC4036"/>
    <w:rsid w:val="00BC41A0"/>
    <w:rsid w:val="00BC462F"/>
    <w:rsid w:val="00BC4F0A"/>
    <w:rsid w:val="00BC4FF5"/>
    <w:rsid w:val="00BC500A"/>
    <w:rsid w:val="00BC5019"/>
    <w:rsid w:val="00BC509F"/>
    <w:rsid w:val="00BC51D2"/>
    <w:rsid w:val="00BC544A"/>
    <w:rsid w:val="00BC5569"/>
    <w:rsid w:val="00BC5A25"/>
    <w:rsid w:val="00BC5F61"/>
    <w:rsid w:val="00BC5FFE"/>
    <w:rsid w:val="00BC61D0"/>
    <w:rsid w:val="00BC64BE"/>
    <w:rsid w:val="00BC66AD"/>
    <w:rsid w:val="00BC6B8C"/>
    <w:rsid w:val="00BC6D53"/>
    <w:rsid w:val="00BC6ECB"/>
    <w:rsid w:val="00BC7155"/>
    <w:rsid w:val="00BC7445"/>
    <w:rsid w:val="00BC7550"/>
    <w:rsid w:val="00BC7716"/>
    <w:rsid w:val="00BC77E2"/>
    <w:rsid w:val="00BD0159"/>
    <w:rsid w:val="00BD0308"/>
    <w:rsid w:val="00BD0611"/>
    <w:rsid w:val="00BD090A"/>
    <w:rsid w:val="00BD0959"/>
    <w:rsid w:val="00BD0B72"/>
    <w:rsid w:val="00BD0D37"/>
    <w:rsid w:val="00BD0DBF"/>
    <w:rsid w:val="00BD1359"/>
    <w:rsid w:val="00BD13A1"/>
    <w:rsid w:val="00BD1794"/>
    <w:rsid w:val="00BD1818"/>
    <w:rsid w:val="00BD2668"/>
    <w:rsid w:val="00BD2AB6"/>
    <w:rsid w:val="00BD2B6C"/>
    <w:rsid w:val="00BD2F05"/>
    <w:rsid w:val="00BD3924"/>
    <w:rsid w:val="00BD450F"/>
    <w:rsid w:val="00BD4512"/>
    <w:rsid w:val="00BD45CF"/>
    <w:rsid w:val="00BD4C00"/>
    <w:rsid w:val="00BD4EFF"/>
    <w:rsid w:val="00BD50BE"/>
    <w:rsid w:val="00BD5223"/>
    <w:rsid w:val="00BD52AA"/>
    <w:rsid w:val="00BD581E"/>
    <w:rsid w:val="00BD5853"/>
    <w:rsid w:val="00BD5B07"/>
    <w:rsid w:val="00BD5B6C"/>
    <w:rsid w:val="00BD603B"/>
    <w:rsid w:val="00BD607B"/>
    <w:rsid w:val="00BD6165"/>
    <w:rsid w:val="00BD6864"/>
    <w:rsid w:val="00BD6974"/>
    <w:rsid w:val="00BD6E0F"/>
    <w:rsid w:val="00BD6E72"/>
    <w:rsid w:val="00BD6F94"/>
    <w:rsid w:val="00BD755A"/>
    <w:rsid w:val="00BD78A6"/>
    <w:rsid w:val="00BE0999"/>
    <w:rsid w:val="00BE09B5"/>
    <w:rsid w:val="00BE0D5F"/>
    <w:rsid w:val="00BE1061"/>
    <w:rsid w:val="00BE11C6"/>
    <w:rsid w:val="00BE1321"/>
    <w:rsid w:val="00BE1BA3"/>
    <w:rsid w:val="00BE2893"/>
    <w:rsid w:val="00BE2CB6"/>
    <w:rsid w:val="00BE2EB4"/>
    <w:rsid w:val="00BE2F5A"/>
    <w:rsid w:val="00BE310F"/>
    <w:rsid w:val="00BE37AC"/>
    <w:rsid w:val="00BE37D3"/>
    <w:rsid w:val="00BE4594"/>
    <w:rsid w:val="00BE4B6A"/>
    <w:rsid w:val="00BE5126"/>
    <w:rsid w:val="00BE522A"/>
    <w:rsid w:val="00BE5457"/>
    <w:rsid w:val="00BE551F"/>
    <w:rsid w:val="00BE57B5"/>
    <w:rsid w:val="00BE5969"/>
    <w:rsid w:val="00BE5ADF"/>
    <w:rsid w:val="00BE5B99"/>
    <w:rsid w:val="00BE5BBE"/>
    <w:rsid w:val="00BE5BFB"/>
    <w:rsid w:val="00BE5EDB"/>
    <w:rsid w:val="00BE61F1"/>
    <w:rsid w:val="00BE63CE"/>
    <w:rsid w:val="00BE6CA6"/>
    <w:rsid w:val="00BE6FAB"/>
    <w:rsid w:val="00BE706C"/>
    <w:rsid w:val="00BE711B"/>
    <w:rsid w:val="00BE7923"/>
    <w:rsid w:val="00BE7953"/>
    <w:rsid w:val="00BE7A7C"/>
    <w:rsid w:val="00BE7B80"/>
    <w:rsid w:val="00BE7E80"/>
    <w:rsid w:val="00BF077D"/>
    <w:rsid w:val="00BF0A44"/>
    <w:rsid w:val="00BF0CEC"/>
    <w:rsid w:val="00BF0EC1"/>
    <w:rsid w:val="00BF1256"/>
    <w:rsid w:val="00BF12C8"/>
    <w:rsid w:val="00BF1893"/>
    <w:rsid w:val="00BF1A44"/>
    <w:rsid w:val="00BF1EDF"/>
    <w:rsid w:val="00BF2400"/>
    <w:rsid w:val="00BF2F47"/>
    <w:rsid w:val="00BF2FBA"/>
    <w:rsid w:val="00BF304F"/>
    <w:rsid w:val="00BF3281"/>
    <w:rsid w:val="00BF3B1E"/>
    <w:rsid w:val="00BF3C24"/>
    <w:rsid w:val="00BF3F1B"/>
    <w:rsid w:val="00BF4460"/>
    <w:rsid w:val="00BF447D"/>
    <w:rsid w:val="00BF4874"/>
    <w:rsid w:val="00BF4B78"/>
    <w:rsid w:val="00BF4D3D"/>
    <w:rsid w:val="00BF58A1"/>
    <w:rsid w:val="00BF59C5"/>
    <w:rsid w:val="00BF5B8C"/>
    <w:rsid w:val="00BF5D7B"/>
    <w:rsid w:val="00BF650F"/>
    <w:rsid w:val="00BF66B7"/>
    <w:rsid w:val="00BF6A68"/>
    <w:rsid w:val="00BF6D4D"/>
    <w:rsid w:val="00BF7152"/>
    <w:rsid w:val="00BF73F0"/>
    <w:rsid w:val="00BF75B1"/>
    <w:rsid w:val="00BF75C9"/>
    <w:rsid w:val="00BF79C7"/>
    <w:rsid w:val="00BF7BD3"/>
    <w:rsid w:val="00C00352"/>
    <w:rsid w:val="00C007CE"/>
    <w:rsid w:val="00C00A22"/>
    <w:rsid w:val="00C00F18"/>
    <w:rsid w:val="00C00F92"/>
    <w:rsid w:val="00C017F9"/>
    <w:rsid w:val="00C01971"/>
    <w:rsid w:val="00C01D39"/>
    <w:rsid w:val="00C01DB5"/>
    <w:rsid w:val="00C01EFA"/>
    <w:rsid w:val="00C0200C"/>
    <w:rsid w:val="00C02054"/>
    <w:rsid w:val="00C020A8"/>
    <w:rsid w:val="00C02E51"/>
    <w:rsid w:val="00C030A3"/>
    <w:rsid w:val="00C034A4"/>
    <w:rsid w:val="00C0377A"/>
    <w:rsid w:val="00C037A9"/>
    <w:rsid w:val="00C037C6"/>
    <w:rsid w:val="00C03A7C"/>
    <w:rsid w:val="00C03B3E"/>
    <w:rsid w:val="00C03DD0"/>
    <w:rsid w:val="00C04445"/>
    <w:rsid w:val="00C04705"/>
    <w:rsid w:val="00C048A8"/>
    <w:rsid w:val="00C04937"/>
    <w:rsid w:val="00C04A7F"/>
    <w:rsid w:val="00C04E2B"/>
    <w:rsid w:val="00C051AA"/>
    <w:rsid w:val="00C0524C"/>
    <w:rsid w:val="00C055FC"/>
    <w:rsid w:val="00C057C2"/>
    <w:rsid w:val="00C05AFB"/>
    <w:rsid w:val="00C05FC7"/>
    <w:rsid w:val="00C060A0"/>
    <w:rsid w:val="00C060E1"/>
    <w:rsid w:val="00C069DC"/>
    <w:rsid w:val="00C06DA5"/>
    <w:rsid w:val="00C07014"/>
    <w:rsid w:val="00C07187"/>
    <w:rsid w:val="00C071FB"/>
    <w:rsid w:val="00C075C9"/>
    <w:rsid w:val="00C07667"/>
    <w:rsid w:val="00C077EC"/>
    <w:rsid w:val="00C07DF3"/>
    <w:rsid w:val="00C07FAD"/>
    <w:rsid w:val="00C10290"/>
    <w:rsid w:val="00C103F4"/>
    <w:rsid w:val="00C106C4"/>
    <w:rsid w:val="00C10952"/>
    <w:rsid w:val="00C10B96"/>
    <w:rsid w:val="00C10E15"/>
    <w:rsid w:val="00C11038"/>
    <w:rsid w:val="00C111EA"/>
    <w:rsid w:val="00C1125E"/>
    <w:rsid w:val="00C1179A"/>
    <w:rsid w:val="00C119AD"/>
    <w:rsid w:val="00C11FE8"/>
    <w:rsid w:val="00C1228D"/>
    <w:rsid w:val="00C12402"/>
    <w:rsid w:val="00C127A1"/>
    <w:rsid w:val="00C12AF1"/>
    <w:rsid w:val="00C130BD"/>
    <w:rsid w:val="00C13270"/>
    <w:rsid w:val="00C13325"/>
    <w:rsid w:val="00C1346D"/>
    <w:rsid w:val="00C134A2"/>
    <w:rsid w:val="00C13FED"/>
    <w:rsid w:val="00C140A7"/>
    <w:rsid w:val="00C1464F"/>
    <w:rsid w:val="00C14745"/>
    <w:rsid w:val="00C14CC1"/>
    <w:rsid w:val="00C14CD0"/>
    <w:rsid w:val="00C14DC3"/>
    <w:rsid w:val="00C14E7D"/>
    <w:rsid w:val="00C153A4"/>
    <w:rsid w:val="00C15451"/>
    <w:rsid w:val="00C15722"/>
    <w:rsid w:val="00C159A4"/>
    <w:rsid w:val="00C159B4"/>
    <w:rsid w:val="00C15C3A"/>
    <w:rsid w:val="00C16897"/>
    <w:rsid w:val="00C1689D"/>
    <w:rsid w:val="00C1690B"/>
    <w:rsid w:val="00C16D56"/>
    <w:rsid w:val="00C176A2"/>
    <w:rsid w:val="00C176E5"/>
    <w:rsid w:val="00C17773"/>
    <w:rsid w:val="00C1788D"/>
    <w:rsid w:val="00C17DD4"/>
    <w:rsid w:val="00C17F4F"/>
    <w:rsid w:val="00C200C9"/>
    <w:rsid w:val="00C200E2"/>
    <w:rsid w:val="00C20346"/>
    <w:rsid w:val="00C2038C"/>
    <w:rsid w:val="00C2068E"/>
    <w:rsid w:val="00C20D6F"/>
    <w:rsid w:val="00C20D98"/>
    <w:rsid w:val="00C20FDB"/>
    <w:rsid w:val="00C212FA"/>
    <w:rsid w:val="00C21466"/>
    <w:rsid w:val="00C21D8E"/>
    <w:rsid w:val="00C21DB3"/>
    <w:rsid w:val="00C21F17"/>
    <w:rsid w:val="00C220A1"/>
    <w:rsid w:val="00C22525"/>
    <w:rsid w:val="00C2268C"/>
    <w:rsid w:val="00C227F9"/>
    <w:rsid w:val="00C22A0E"/>
    <w:rsid w:val="00C22B66"/>
    <w:rsid w:val="00C22B9B"/>
    <w:rsid w:val="00C22D4F"/>
    <w:rsid w:val="00C22E08"/>
    <w:rsid w:val="00C234AE"/>
    <w:rsid w:val="00C23CDA"/>
    <w:rsid w:val="00C23DBB"/>
    <w:rsid w:val="00C23FE1"/>
    <w:rsid w:val="00C2410D"/>
    <w:rsid w:val="00C24445"/>
    <w:rsid w:val="00C24519"/>
    <w:rsid w:val="00C245E7"/>
    <w:rsid w:val="00C24831"/>
    <w:rsid w:val="00C24BAF"/>
    <w:rsid w:val="00C24E3B"/>
    <w:rsid w:val="00C24EE0"/>
    <w:rsid w:val="00C250AA"/>
    <w:rsid w:val="00C2562C"/>
    <w:rsid w:val="00C259F0"/>
    <w:rsid w:val="00C25F03"/>
    <w:rsid w:val="00C25F8B"/>
    <w:rsid w:val="00C261B5"/>
    <w:rsid w:val="00C26285"/>
    <w:rsid w:val="00C26325"/>
    <w:rsid w:val="00C265C0"/>
    <w:rsid w:val="00C268A1"/>
    <w:rsid w:val="00C26B9E"/>
    <w:rsid w:val="00C26EB2"/>
    <w:rsid w:val="00C272EF"/>
    <w:rsid w:val="00C27324"/>
    <w:rsid w:val="00C2732B"/>
    <w:rsid w:val="00C2753F"/>
    <w:rsid w:val="00C276A8"/>
    <w:rsid w:val="00C27975"/>
    <w:rsid w:val="00C27F11"/>
    <w:rsid w:val="00C300BC"/>
    <w:rsid w:val="00C30227"/>
    <w:rsid w:val="00C303F4"/>
    <w:rsid w:val="00C3045F"/>
    <w:rsid w:val="00C30586"/>
    <w:rsid w:val="00C30CB2"/>
    <w:rsid w:val="00C311D3"/>
    <w:rsid w:val="00C3126D"/>
    <w:rsid w:val="00C316C2"/>
    <w:rsid w:val="00C316DB"/>
    <w:rsid w:val="00C318F7"/>
    <w:rsid w:val="00C31976"/>
    <w:rsid w:val="00C319D2"/>
    <w:rsid w:val="00C31CE9"/>
    <w:rsid w:val="00C31F85"/>
    <w:rsid w:val="00C32534"/>
    <w:rsid w:val="00C32613"/>
    <w:rsid w:val="00C326EE"/>
    <w:rsid w:val="00C32930"/>
    <w:rsid w:val="00C32951"/>
    <w:rsid w:val="00C32B3B"/>
    <w:rsid w:val="00C32C02"/>
    <w:rsid w:val="00C33235"/>
    <w:rsid w:val="00C3341D"/>
    <w:rsid w:val="00C33677"/>
    <w:rsid w:val="00C33EE6"/>
    <w:rsid w:val="00C34137"/>
    <w:rsid w:val="00C34253"/>
    <w:rsid w:val="00C34436"/>
    <w:rsid w:val="00C3476B"/>
    <w:rsid w:val="00C34C76"/>
    <w:rsid w:val="00C34FEE"/>
    <w:rsid w:val="00C35240"/>
    <w:rsid w:val="00C35499"/>
    <w:rsid w:val="00C355A1"/>
    <w:rsid w:val="00C35D4A"/>
    <w:rsid w:val="00C368B3"/>
    <w:rsid w:val="00C36957"/>
    <w:rsid w:val="00C369FA"/>
    <w:rsid w:val="00C36CFF"/>
    <w:rsid w:val="00C36F07"/>
    <w:rsid w:val="00C37018"/>
    <w:rsid w:val="00C37214"/>
    <w:rsid w:val="00C372E8"/>
    <w:rsid w:val="00C37394"/>
    <w:rsid w:val="00C373C9"/>
    <w:rsid w:val="00C3747A"/>
    <w:rsid w:val="00C3749D"/>
    <w:rsid w:val="00C3759F"/>
    <w:rsid w:val="00C37F93"/>
    <w:rsid w:val="00C400A1"/>
    <w:rsid w:val="00C409DC"/>
    <w:rsid w:val="00C409FE"/>
    <w:rsid w:val="00C40AF2"/>
    <w:rsid w:val="00C40B1B"/>
    <w:rsid w:val="00C40DB2"/>
    <w:rsid w:val="00C40E50"/>
    <w:rsid w:val="00C40E88"/>
    <w:rsid w:val="00C41009"/>
    <w:rsid w:val="00C4136E"/>
    <w:rsid w:val="00C416A3"/>
    <w:rsid w:val="00C4172E"/>
    <w:rsid w:val="00C41785"/>
    <w:rsid w:val="00C41FC1"/>
    <w:rsid w:val="00C42E93"/>
    <w:rsid w:val="00C42EB2"/>
    <w:rsid w:val="00C4341B"/>
    <w:rsid w:val="00C434C2"/>
    <w:rsid w:val="00C4355E"/>
    <w:rsid w:val="00C43910"/>
    <w:rsid w:val="00C43940"/>
    <w:rsid w:val="00C4397D"/>
    <w:rsid w:val="00C43BED"/>
    <w:rsid w:val="00C44137"/>
    <w:rsid w:val="00C44342"/>
    <w:rsid w:val="00C44344"/>
    <w:rsid w:val="00C44694"/>
    <w:rsid w:val="00C44744"/>
    <w:rsid w:val="00C449F1"/>
    <w:rsid w:val="00C4523D"/>
    <w:rsid w:val="00C4552A"/>
    <w:rsid w:val="00C457C1"/>
    <w:rsid w:val="00C459D7"/>
    <w:rsid w:val="00C45DAC"/>
    <w:rsid w:val="00C45EEE"/>
    <w:rsid w:val="00C45F53"/>
    <w:rsid w:val="00C4602F"/>
    <w:rsid w:val="00C46625"/>
    <w:rsid w:val="00C4685A"/>
    <w:rsid w:val="00C46870"/>
    <w:rsid w:val="00C46AA5"/>
    <w:rsid w:val="00C46D4D"/>
    <w:rsid w:val="00C470B7"/>
    <w:rsid w:val="00C47545"/>
    <w:rsid w:val="00C47593"/>
    <w:rsid w:val="00C47B89"/>
    <w:rsid w:val="00C47C05"/>
    <w:rsid w:val="00C47FEF"/>
    <w:rsid w:val="00C500AE"/>
    <w:rsid w:val="00C5042E"/>
    <w:rsid w:val="00C5044B"/>
    <w:rsid w:val="00C5056C"/>
    <w:rsid w:val="00C506BD"/>
    <w:rsid w:val="00C50E55"/>
    <w:rsid w:val="00C50E96"/>
    <w:rsid w:val="00C510E8"/>
    <w:rsid w:val="00C51152"/>
    <w:rsid w:val="00C511C1"/>
    <w:rsid w:val="00C51426"/>
    <w:rsid w:val="00C51619"/>
    <w:rsid w:val="00C51622"/>
    <w:rsid w:val="00C51776"/>
    <w:rsid w:val="00C518B6"/>
    <w:rsid w:val="00C51AA3"/>
    <w:rsid w:val="00C51FB3"/>
    <w:rsid w:val="00C5223C"/>
    <w:rsid w:val="00C52248"/>
    <w:rsid w:val="00C52396"/>
    <w:rsid w:val="00C5285C"/>
    <w:rsid w:val="00C52A35"/>
    <w:rsid w:val="00C52AFE"/>
    <w:rsid w:val="00C53213"/>
    <w:rsid w:val="00C53917"/>
    <w:rsid w:val="00C53D80"/>
    <w:rsid w:val="00C54084"/>
    <w:rsid w:val="00C541DE"/>
    <w:rsid w:val="00C54448"/>
    <w:rsid w:val="00C54C11"/>
    <w:rsid w:val="00C54C67"/>
    <w:rsid w:val="00C54E65"/>
    <w:rsid w:val="00C54F41"/>
    <w:rsid w:val="00C55483"/>
    <w:rsid w:val="00C55AED"/>
    <w:rsid w:val="00C55B88"/>
    <w:rsid w:val="00C55FE9"/>
    <w:rsid w:val="00C56040"/>
    <w:rsid w:val="00C5606D"/>
    <w:rsid w:val="00C56324"/>
    <w:rsid w:val="00C5653B"/>
    <w:rsid w:val="00C565A3"/>
    <w:rsid w:val="00C567DF"/>
    <w:rsid w:val="00C5689F"/>
    <w:rsid w:val="00C574F1"/>
    <w:rsid w:val="00C575AE"/>
    <w:rsid w:val="00C575B5"/>
    <w:rsid w:val="00C577F7"/>
    <w:rsid w:val="00C578CA"/>
    <w:rsid w:val="00C578EC"/>
    <w:rsid w:val="00C57AC6"/>
    <w:rsid w:val="00C60667"/>
    <w:rsid w:val="00C60935"/>
    <w:rsid w:val="00C60C04"/>
    <w:rsid w:val="00C61AB9"/>
    <w:rsid w:val="00C61F7B"/>
    <w:rsid w:val="00C61F84"/>
    <w:rsid w:val="00C61F89"/>
    <w:rsid w:val="00C62CFE"/>
    <w:rsid w:val="00C62E21"/>
    <w:rsid w:val="00C62FF7"/>
    <w:rsid w:val="00C63135"/>
    <w:rsid w:val="00C6343C"/>
    <w:rsid w:val="00C637DC"/>
    <w:rsid w:val="00C63A4A"/>
    <w:rsid w:val="00C63E5C"/>
    <w:rsid w:val="00C63E70"/>
    <w:rsid w:val="00C63EE8"/>
    <w:rsid w:val="00C641CE"/>
    <w:rsid w:val="00C6432E"/>
    <w:rsid w:val="00C64554"/>
    <w:rsid w:val="00C64A19"/>
    <w:rsid w:val="00C65718"/>
    <w:rsid w:val="00C658E9"/>
    <w:rsid w:val="00C65BDC"/>
    <w:rsid w:val="00C65C81"/>
    <w:rsid w:val="00C65E90"/>
    <w:rsid w:val="00C65F63"/>
    <w:rsid w:val="00C66083"/>
    <w:rsid w:val="00C66659"/>
    <w:rsid w:val="00C66772"/>
    <w:rsid w:val="00C66774"/>
    <w:rsid w:val="00C66827"/>
    <w:rsid w:val="00C668DD"/>
    <w:rsid w:val="00C669AC"/>
    <w:rsid w:val="00C66BE0"/>
    <w:rsid w:val="00C66C91"/>
    <w:rsid w:val="00C66D2B"/>
    <w:rsid w:val="00C66D72"/>
    <w:rsid w:val="00C66EB7"/>
    <w:rsid w:val="00C6721A"/>
    <w:rsid w:val="00C67431"/>
    <w:rsid w:val="00C67539"/>
    <w:rsid w:val="00C67580"/>
    <w:rsid w:val="00C6769F"/>
    <w:rsid w:val="00C6781C"/>
    <w:rsid w:val="00C67EA1"/>
    <w:rsid w:val="00C7033B"/>
    <w:rsid w:val="00C704D4"/>
    <w:rsid w:val="00C7083C"/>
    <w:rsid w:val="00C70AEE"/>
    <w:rsid w:val="00C70D8E"/>
    <w:rsid w:val="00C70F99"/>
    <w:rsid w:val="00C71121"/>
    <w:rsid w:val="00C711E9"/>
    <w:rsid w:val="00C71358"/>
    <w:rsid w:val="00C71630"/>
    <w:rsid w:val="00C7178D"/>
    <w:rsid w:val="00C719A5"/>
    <w:rsid w:val="00C71BED"/>
    <w:rsid w:val="00C71D15"/>
    <w:rsid w:val="00C721E0"/>
    <w:rsid w:val="00C7234D"/>
    <w:rsid w:val="00C7244E"/>
    <w:rsid w:val="00C726C9"/>
    <w:rsid w:val="00C72801"/>
    <w:rsid w:val="00C72A1D"/>
    <w:rsid w:val="00C72C0A"/>
    <w:rsid w:val="00C73569"/>
    <w:rsid w:val="00C73982"/>
    <w:rsid w:val="00C73E43"/>
    <w:rsid w:val="00C73E67"/>
    <w:rsid w:val="00C73FAD"/>
    <w:rsid w:val="00C743F7"/>
    <w:rsid w:val="00C7451F"/>
    <w:rsid w:val="00C74AE1"/>
    <w:rsid w:val="00C74FB5"/>
    <w:rsid w:val="00C7531F"/>
    <w:rsid w:val="00C757B8"/>
    <w:rsid w:val="00C75C2B"/>
    <w:rsid w:val="00C7608F"/>
    <w:rsid w:val="00C76368"/>
    <w:rsid w:val="00C76434"/>
    <w:rsid w:val="00C764B2"/>
    <w:rsid w:val="00C764C6"/>
    <w:rsid w:val="00C7652B"/>
    <w:rsid w:val="00C765E8"/>
    <w:rsid w:val="00C76906"/>
    <w:rsid w:val="00C76B7C"/>
    <w:rsid w:val="00C76CC7"/>
    <w:rsid w:val="00C76F81"/>
    <w:rsid w:val="00C776A4"/>
    <w:rsid w:val="00C80081"/>
    <w:rsid w:val="00C800DD"/>
    <w:rsid w:val="00C80226"/>
    <w:rsid w:val="00C80232"/>
    <w:rsid w:val="00C80920"/>
    <w:rsid w:val="00C80B03"/>
    <w:rsid w:val="00C80C7E"/>
    <w:rsid w:val="00C80C88"/>
    <w:rsid w:val="00C80F05"/>
    <w:rsid w:val="00C814FD"/>
    <w:rsid w:val="00C816BC"/>
    <w:rsid w:val="00C81731"/>
    <w:rsid w:val="00C81A2F"/>
    <w:rsid w:val="00C81C36"/>
    <w:rsid w:val="00C82302"/>
    <w:rsid w:val="00C8243F"/>
    <w:rsid w:val="00C8289B"/>
    <w:rsid w:val="00C82942"/>
    <w:rsid w:val="00C82AAB"/>
    <w:rsid w:val="00C82CA6"/>
    <w:rsid w:val="00C82D54"/>
    <w:rsid w:val="00C82F3B"/>
    <w:rsid w:val="00C837C4"/>
    <w:rsid w:val="00C83829"/>
    <w:rsid w:val="00C83AC7"/>
    <w:rsid w:val="00C83EDD"/>
    <w:rsid w:val="00C84032"/>
    <w:rsid w:val="00C842DF"/>
    <w:rsid w:val="00C8439B"/>
    <w:rsid w:val="00C84875"/>
    <w:rsid w:val="00C84AAC"/>
    <w:rsid w:val="00C84BF1"/>
    <w:rsid w:val="00C84CA2"/>
    <w:rsid w:val="00C8584A"/>
    <w:rsid w:val="00C85A36"/>
    <w:rsid w:val="00C85CD1"/>
    <w:rsid w:val="00C85E93"/>
    <w:rsid w:val="00C8601D"/>
    <w:rsid w:val="00C869DE"/>
    <w:rsid w:val="00C86A6C"/>
    <w:rsid w:val="00C86C56"/>
    <w:rsid w:val="00C86FD6"/>
    <w:rsid w:val="00C8773E"/>
    <w:rsid w:val="00C87BD3"/>
    <w:rsid w:val="00C87E8E"/>
    <w:rsid w:val="00C87F47"/>
    <w:rsid w:val="00C90290"/>
    <w:rsid w:val="00C903B9"/>
    <w:rsid w:val="00C90601"/>
    <w:rsid w:val="00C907E2"/>
    <w:rsid w:val="00C90D16"/>
    <w:rsid w:val="00C90D87"/>
    <w:rsid w:val="00C9116A"/>
    <w:rsid w:val="00C91494"/>
    <w:rsid w:val="00C914E7"/>
    <w:rsid w:val="00C91EBB"/>
    <w:rsid w:val="00C92482"/>
    <w:rsid w:val="00C925C5"/>
    <w:rsid w:val="00C9265D"/>
    <w:rsid w:val="00C92824"/>
    <w:rsid w:val="00C931B6"/>
    <w:rsid w:val="00C9332F"/>
    <w:rsid w:val="00C9357E"/>
    <w:rsid w:val="00C937BA"/>
    <w:rsid w:val="00C93912"/>
    <w:rsid w:val="00C94869"/>
    <w:rsid w:val="00C949FC"/>
    <w:rsid w:val="00C94BD5"/>
    <w:rsid w:val="00C9534F"/>
    <w:rsid w:val="00C95D2C"/>
    <w:rsid w:val="00C960CF"/>
    <w:rsid w:val="00C962DB"/>
    <w:rsid w:val="00C964EE"/>
    <w:rsid w:val="00C96672"/>
    <w:rsid w:val="00C96678"/>
    <w:rsid w:val="00C966B9"/>
    <w:rsid w:val="00C96772"/>
    <w:rsid w:val="00C969C0"/>
    <w:rsid w:val="00C96C6C"/>
    <w:rsid w:val="00C96CF5"/>
    <w:rsid w:val="00C96CFA"/>
    <w:rsid w:val="00C96E5A"/>
    <w:rsid w:val="00C96EB5"/>
    <w:rsid w:val="00C977E9"/>
    <w:rsid w:val="00C97C17"/>
    <w:rsid w:val="00C97F95"/>
    <w:rsid w:val="00CA0257"/>
    <w:rsid w:val="00CA03A9"/>
    <w:rsid w:val="00CA0698"/>
    <w:rsid w:val="00CA071C"/>
    <w:rsid w:val="00CA0917"/>
    <w:rsid w:val="00CA102B"/>
    <w:rsid w:val="00CA17C1"/>
    <w:rsid w:val="00CA1CDA"/>
    <w:rsid w:val="00CA20F0"/>
    <w:rsid w:val="00CA270D"/>
    <w:rsid w:val="00CA2711"/>
    <w:rsid w:val="00CA283D"/>
    <w:rsid w:val="00CA29D1"/>
    <w:rsid w:val="00CA2DD6"/>
    <w:rsid w:val="00CA2E83"/>
    <w:rsid w:val="00CA3247"/>
    <w:rsid w:val="00CA341B"/>
    <w:rsid w:val="00CA3752"/>
    <w:rsid w:val="00CA382A"/>
    <w:rsid w:val="00CA3999"/>
    <w:rsid w:val="00CA39C0"/>
    <w:rsid w:val="00CA3C85"/>
    <w:rsid w:val="00CA3F14"/>
    <w:rsid w:val="00CA4368"/>
    <w:rsid w:val="00CA4553"/>
    <w:rsid w:val="00CA5605"/>
    <w:rsid w:val="00CA56C6"/>
    <w:rsid w:val="00CA5AD3"/>
    <w:rsid w:val="00CA5B83"/>
    <w:rsid w:val="00CA605A"/>
    <w:rsid w:val="00CA62DD"/>
    <w:rsid w:val="00CA63C9"/>
    <w:rsid w:val="00CA69BA"/>
    <w:rsid w:val="00CA6C1D"/>
    <w:rsid w:val="00CA6C28"/>
    <w:rsid w:val="00CA72F0"/>
    <w:rsid w:val="00CA7BD0"/>
    <w:rsid w:val="00CA7C71"/>
    <w:rsid w:val="00CA7D56"/>
    <w:rsid w:val="00CA7DE6"/>
    <w:rsid w:val="00CA7F06"/>
    <w:rsid w:val="00CA7FE6"/>
    <w:rsid w:val="00CB0339"/>
    <w:rsid w:val="00CB0FC5"/>
    <w:rsid w:val="00CB110E"/>
    <w:rsid w:val="00CB11F8"/>
    <w:rsid w:val="00CB1619"/>
    <w:rsid w:val="00CB1682"/>
    <w:rsid w:val="00CB19BB"/>
    <w:rsid w:val="00CB1A60"/>
    <w:rsid w:val="00CB1A67"/>
    <w:rsid w:val="00CB1BE6"/>
    <w:rsid w:val="00CB225B"/>
    <w:rsid w:val="00CB2EF5"/>
    <w:rsid w:val="00CB2FBA"/>
    <w:rsid w:val="00CB33E4"/>
    <w:rsid w:val="00CB3547"/>
    <w:rsid w:val="00CB364D"/>
    <w:rsid w:val="00CB3875"/>
    <w:rsid w:val="00CB39BB"/>
    <w:rsid w:val="00CB3E48"/>
    <w:rsid w:val="00CB4230"/>
    <w:rsid w:val="00CB431B"/>
    <w:rsid w:val="00CB4A77"/>
    <w:rsid w:val="00CB4AD4"/>
    <w:rsid w:val="00CB4DCB"/>
    <w:rsid w:val="00CB4EA5"/>
    <w:rsid w:val="00CB5020"/>
    <w:rsid w:val="00CB557F"/>
    <w:rsid w:val="00CB566D"/>
    <w:rsid w:val="00CB592B"/>
    <w:rsid w:val="00CB5C5F"/>
    <w:rsid w:val="00CB5CA0"/>
    <w:rsid w:val="00CB5D5A"/>
    <w:rsid w:val="00CB600E"/>
    <w:rsid w:val="00CB627D"/>
    <w:rsid w:val="00CB65B8"/>
    <w:rsid w:val="00CB67E4"/>
    <w:rsid w:val="00CB67EA"/>
    <w:rsid w:val="00CB6CDF"/>
    <w:rsid w:val="00CB6FAB"/>
    <w:rsid w:val="00CB7264"/>
    <w:rsid w:val="00CB730F"/>
    <w:rsid w:val="00CB741E"/>
    <w:rsid w:val="00CB74E9"/>
    <w:rsid w:val="00CB7513"/>
    <w:rsid w:val="00CB761C"/>
    <w:rsid w:val="00CB76B5"/>
    <w:rsid w:val="00CB779B"/>
    <w:rsid w:val="00CB7894"/>
    <w:rsid w:val="00CB7AD6"/>
    <w:rsid w:val="00CC0495"/>
    <w:rsid w:val="00CC0544"/>
    <w:rsid w:val="00CC0552"/>
    <w:rsid w:val="00CC0588"/>
    <w:rsid w:val="00CC0E12"/>
    <w:rsid w:val="00CC110F"/>
    <w:rsid w:val="00CC11B8"/>
    <w:rsid w:val="00CC1636"/>
    <w:rsid w:val="00CC1AF9"/>
    <w:rsid w:val="00CC1E1A"/>
    <w:rsid w:val="00CC1F1F"/>
    <w:rsid w:val="00CC20E0"/>
    <w:rsid w:val="00CC2104"/>
    <w:rsid w:val="00CC2112"/>
    <w:rsid w:val="00CC2131"/>
    <w:rsid w:val="00CC21EF"/>
    <w:rsid w:val="00CC23BC"/>
    <w:rsid w:val="00CC2587"/>
    <w:rsid w:val="00CC2612"/>
    <w:rsid w:val="00CC2818"/>
    <w:rsid w:val="00CC2A61"/>
    <w:rsid w:val="00CC2F56"/>
    <w:rsid w:val="00CC2F7A"/>
    <w:rsid w:val="00CC2FBA"/>
    <w:rsid w:val="00CC3A70"/>
    <w:rsid w:val="00CC3B4A"/>
    <w:rsid w:val="00CC4033"/>
    <w:rsid w:val="00CC40B8"/>
    <w:rsid w:val="00CC42DD"/>
    <w:rsid w:val="00CC479F"/>
    <w:rsid w:val="00CC5444"/>
    <w:rsid w:val="00CC5631"/>
    <w:rsid w:val="00CC5935"/>
    <w:rsid w:val="00CC5999"/>
    <w:rsid w:val="00CC5FAB"/>
    <w:rsid w:val="00CC62A6"/>
    <w:rsid w:val="00CC676C"/>
    <w:rsid w:val="00CC6AFF"/>
    <w:rsid w:val="00CC6BFC"/>
    <w:rsid w:val="00CC6CBE"/>
    <w:rsid w:val="00CC71A9"/>
    <w:rsid w:val="00CC720E"/>
    <w:rsid w:val="00CC74CD"/>
    <w:rsid w:val="00CC7A04"/>
    <w:rsid w:val="00CC7A11"/>
    <w:rsid w:val="00CC7CD4"/>
    <w:rsid w:val="00CD00FA"/>
    <w:rsid w:val="00CD0294"/>
    <w:rsid w:val="00CD0296"/>
    <w:rsid w:val="00CD04A8"/>
    <w:rsid w:val="00CD051B"/>
    <w:rsid w:val="00CD115A"/>
    <w:rsid w:val="00CD18FB"/>
    <w:rsid w:val="00CD1DB1"/>
    <w:rsid w:val="00CD208E"/>
    <w:rsid w:val="00CD22B5"/>
    <w:rsid w:val="00CD22F4"/>
    <w:rsid w:val="00CD25E1"/>
    <w:rsid w:val="00CD2D2A"/>
    <w:rsid w:val="00CD367C"/>
    <w:rsid w:val="00CD418B"/>
    <w:rsid w:val="00CD445B"/>
    <w:rsid w:val="00CD454A"/>
    <w:rsid w:val="00CD4736"/>
    <w:rsid w:val="00CD4DBB"/>
    <w:rsid w:val="00CD4F54"/>
    <w:rsid w:val="00CD4F99"/>
    <w:rsid w:val="00CD4FFE"/>
    <w:rsid w:val="00CD529E"/>
    <w:rsid w:val="00CD54B0"/>
    <w:rsid w:val="00CD5770"/>
    <w:rsid w:val="00CD57FA"/>
    <w:rsid w:val="00CD5A6E"/>
    <w:rsid w:val="00CD60AB"/>
    <w:rsid w:val="00CD686F"/>
    <w:rsid w:val="00CD6C91"/>
    <w:rsid w:val="00CD6F28"/>
    <w:rsid w:val="00CD711F"/>
    <w:rsid w:val="00CD71F5"/>
    <w:rsid w:val="00CD74A7"/>
    <w:rsid w:val="00CD79B2"/>
    <w:rsid w:val="00CD7A4F"/>
    <w:rsid w:val="00CD7BF3"/>
    <w:rsid w:val="00CE049D"/>
    <w:rsid w:val="00CE096B"/>
    <w:rsid w:val="00CE09CA"/>
    <w:rsid w:val="00CE0E1D"/>
    <w:rsid w:val="00CE0F75"/>
    <w:rsid w:val="00CE1135"/>
    <w:rsid w:val="00CE11E3"/>
    <w:rsid w:val="00CE1496"/>
    <w:rsid w:val="00CE157C"/>
    <w:rsid w:val="00CE1AF6"/>
    <w:rsid w:val="00CE1FD0"/>
    <w:rsid w:val="00CE2157"/>
    <w:rsid w:val="00CE220E"/>
    <w:rsid w:val="00CE2298"/>
    <w:rsid w:val="00CE2641"/>
    <w:rsid w:val="00CE3064"/>
    <w:rsid w:val="00CE3635"/>
    <w:rsid w:val="00CE39E4"/>
    <w:rsid w:val="00CE39E7"/>
    <w:rsid w:val="00CE3B91"/>
    <w:rsid w:val="00CE3CB7"/>
    <w:rsid w:val="00CE4231"/>
    <w:rsid w:val="00CE4282"/>
    <w:rsid w:val="00CE437D"/>
    <w:rsid w:val="00CE4627"/>
    <w:rsid w:val="00CE47E1"/>
    <w:rsid w:val="00CE4848"/>
    <w:rsid w:val="00CE5308"/>
    <w:rsid w:val="00CE54E1"/>
    <w:rsid w:val="00CE55B6"/>
    <w:rsid w:val="00CE55D4"/>
    <w:rsid w:val="00CE581C"/>
    <w:rsid w:val="00CE5856"/>
    <w:rsid w:val="00CE5946"/>
    <w:rsid w:val="00CE5BDE"/>
    <w:rsid w:val="00CE5E7A"/>
    <w:rsid w:val="00CE61CC"/>
    <w:rsid w:val="00CE6274"/>
    <w:rsid w:val="00CE63FB"/>
    <w:rsid w:val="00CE6A6D"/>
    <w:rsid w:val="00CE6A78"/>
    <w:rsid w:val="00CE6ECD"/>
    <w:rsid w:val="00CE728E"/>
    <w:rsid w:val="00CE7549"/>
    <w:rsid w:val="00CE76E7"/>
    <w:rsid w:val="00CE774C"/>
    <w:rsid w:val="00CE7FE9"/>
    <w:rsid w:val="00CF012E"/>
    <w:rsid w:val="00CF0225"/>
    <w:rsid w:val="00CF04D4"/>
    <w:rsid w:val="00CF0744"/>
    <w:rsid w:val="00CF0B4C"/>
    <w:rsid w:val="00CF103C"/>
    <w:rsid w:val="00CF11E2"/>
    <w:rsid w:val="00CF1680"/>
    <w:rsid w:val="00CF1BD7"/>
    <w:rsid w:val="00CF2066"/>
    <w:rsid w:val="00CF2141"/>
    <w:rsid w:val="00CF21A5"/>
    <w:rsid w:val="00CF22E0"/>
    <w:rsid w:val="00CF238C"/>
    <w:rsid w:val="00CF2518"/>
    <w:rsid w:val="00CF2C14"/>
    <w:rsid w:val="00CF2DDE"/>
    <w:rsid w:val="00CF2E7B"/>
    <w:rsid w:val="00CF2F88"/>
    <w:rsid w:val="00CF3139"/>
    <w:rsid w:val="00CF344A"/>
    <w:rsid w:val="00CF3659"/>
    <w:rsid w:val="00CF37D3"/>
    <w:rsid w:val="00CF39A0"/>
    <w:rsid w:val="00CF3ACA"/>
    <w:rsid w:val="00CF3D1C"/>
    <w:rsid w:val="00CF41EE"/>
    <w:rsid w:val="00CF4713"/>
    <w:rsid w:val="00CF4B12"/>
    <w:rsid w:val="00CF58FE"/>
    <w:rsid w:val="00CF5C50"/>
    <w:rsid w:val="00CF5D65"/>
    <w:rsid w:val="00CF5EBE"/>
    <w:rsid w:val="00CF63F6"/>
    <w:rsid w:val="00CF6A23"/>
    <w:rsid w:val="00CF6D57"/>
    <w:rsid w:val="00CF7349"/>
    <w:rsid w:val="00CF783B"/>
    <w:rsid w:val="00CF786C"/>
    <w:rsid w:val="00CF7A54"/>
    <w:rsid w:val="00CF7D97"/>
    <w:rsid w:val="00CF7EEC"/>
    <w:rsid w:val="00D0005A"/>
    <w:rsid w:val="00D001C2"/>
    <w:rsid w:val="00D00779"/>
    <w:rsid w:val="00D009D8"/>
    <w:rsid w:val="00D00A2F"/>
    <w:rsid w:val="00D00FFA"/>
    <w:rsid w:val="00D012E1"/>
    <w:rsid w:val="00D01318"/>
    <w:rsid w:val="00D01665"/>
    <w:rsid w:val="00D016A6"/>
    <w:rsid w:val="00D0174E"/>
    <w:rsid w:val="00D01D05"/>
    <w:rsid w:val="00D01D1E"/>
    <w:rsid w:val="00D01DB2"/>
    <w:rsid w:val="00D01E65"/>
    <w:rsid w:val="00D01F18"/>
    <w:rsid w:val="00D02001"/>
    <w:rsid w:val="00D02475"/>
    <w:rsid w:val="00D02580"/>
    <w:rsid w:val="00D028BC"/>
    <w:rsid w:val="00D03736"/>
    <w:rsid w:val="00D03BF7"/>
    <w:rsid w:val="00D03E31"/>
    <w:rsid w:val="00D03F1E"/>
    <w:rsid w:val="00D040B4"/>
    <w:rsid w:val="00D0428E"/>
    <w:rsid w:val="00D04426"/>
    <w:rsid w:val="00D04685"/>
    <w:rsid w:val="00D0482F"/>
    <w:rsid w:val="00D04A33"/>
    <w:rsid w:val="00D04BCE"/>
    <w:rsid w:val="00D05892"/>
    <w:rsid w:val="00D05C4B"/>
    <w:rsid w:val="00D0628B"/>
    <w:rsid w:val="00D063AB"/>
    <w:rsid w:val="00D06824"/>
    <w:rsid w:val="00D0696A"/>
    <w:rsid w:val="00D06BEE"/>
    <w:rsid w:val="00D06C03"/>
    <w:rsid w:val="00D0733A"/>
    <w:rsid w:val="00D0750E"/>
    <w:rsid w:val="00D07AF1"/>
    <w:rsid w:val="00D1037A"/>
    <w:rsid w:val="00D1073A"/>
    <w:rsid w:val="00D10932"/>
    <w:rsid w:val="00D109A8"/>
    <w:rsid w:val="00D10D09"/>
    <w:rsid w:val="00D10EC8"/>
    <w:rsid w:val="00D11036"/>
    <w:rsid w:val="00D114F6"/>
    <w:rsid w:val="00D1163E"/>
    <w:rsid w:val="00D1193E"/>
    <w:rsid w:val="00D11AC9"/>
    <w:rsid w:val="00D11D68"/>
    <w:rsid w:val="00D12072"/>
    <w:rsid w:val="00D1229D"/>
    <w:rsid w:val="00D12362"/>
    <w:rsid w:val="00D12484"/>
    <w:rsid w:val="00D12A4F"/>
    <w:rsid w:val="00D13068"/>
    <w:rsid w:val="00D130C5"/>
    <w:rsid w:val="00D13B35"/>
    <w:rsid w:val="00D13DD6"/>
    <w:rsid w:val="00D13DE3"/>
    <w:rsid w:val="00D13DF3"/>
    <w:rsid w:val="00D1413F"/>
    <w:rsid w:val="00D14481"/>
    <w:rsid w:val="00D14654"/>
    <w:rsid w:val="00D146EB"/>
    <w:rsid w:val="00D14944"/>
    <w:rsid w:val="00D14AA3"/>
    <w:rsid w:val="00D14AFC"/>
    <w:rsid w:val="00D14C15"/>
    <w:rsid w:val="00D14D68"/>
    <w:rsid w:val="00D15029"/>
    <w:rsid w:val="00D15408"/>
    <w:rsid w:val="00D154B8"/>
    <w:rsid w:val="00D15AD2"/>
    <w:rsid w:val="00D15CB3"/>
    <w:rsid w:val="00D15F51"/>
    <w:rsid w:val="00D16465"/>
    <w:rsid w:val="00D1647A"/>
    <w:rsid w:val="00D16495"/>
    <w:rsid w:val="00D166C7"/>
    <w:rsid w:val="00D168E5"/>
    <w:rsid w:val="00D168F5"/>
    <w:rsid w:val="00D16ED5"/>
    <w:rsid w:val="00D20145"/>
    <w:rsid w:val="00D202B1"/>
    <w:rsid w:val="00D20427"/>
    <w:rsid w:val="00D20635"/>
    <w:rsid w:val="00D20662"/>
    <w:rsid w:val="00D20CFD"/>
    <w:rsid w:val="00D21259"/>
    <w:rsid w:val="00D21291"/>
    <w:rsid w:val="00D21341"/>
    <w:rsid w:val="00D216F5"/>
    <w:rsid w:val="00D21C8A"/>
    <w:rsid w:val="00D21EFC"/>
    <w:rsid w:val="00D2206C"/>
    <w:rsid w:val="00D22193"/>
    <w:rsid w:val="00D221A3"/>
    <w:rsid w:val="00D224E5"/>
    <w:rsid w:val="00D226CC"/>
    <w:rsid w:val="00D2297E"/>
    <w:rsid w:val="00D22BFA"/>
    <w:rsid w:val="00D22C4B"/>
    <w:rsid w:val="00D22CD6"/>
    <w:rsid w:val="00D22DE5"/>
    <w:rsid w:val="00D2301E"/>
    <w:rsid w:val="00D233BD"/>
    <w:rsid w:val="00D233D7"/>
    <w:rsid w:val="00D23481"/>
    <w:rsid w:val="00D23509"/>
    <w:rsid w:val="00D23652"/>
    <w:rsid w:val="00D2373D"/>
    <w:rsid w:val="00D23A8D"/>
    <w:rsid w:val="00D23B25"/>
    <w:rsid w:val="00D23CBB"/>
    <w:rsid w:val="00D240F0"/>
    <w:rsid w:val="00D246B5"/>
    <w:rsid w:val="00D24FF7"/>
    <w:rsid w:val="00D250AD"/>
    <w:rsid w:val="00D252A6"/>
    <w:rsid w:val="00D256D2"/>
    <w:rsid w:val="00D25806"/>
    <w:rsid w:val="00D2587F"/>
    <w:rsid w:val="00D25AA5"/>
    <w:rsid w:val="00D25E9D"/>
    <w:rsid w:val="00D25F1C"/>
    <w:rsid w:val="00D26695"/>
    <w:rsid w:val="00D26A8F"/>
    <w:rsid w:val="00D26DE6"/>
    <w:rsid w:val="00D26EE7"/>
    <w:rsid w:val="00D2740B"/>
    <w:rsid w:val="00D27598"/>
    <w:rsid w:val="00D276C6"/>
    <w:rsid w:val="00D277AB"/>
    <w:rsid w:val="00D27D0A"/>
    <w:rsid w:val="00D303AC"/>
    <w:rsid w:val="00D3045C"/>
    <w:rsid w:val="00D30718"/>
    <w:rsid w:val="00D307DF"/>
    <w:rsid w:val="00D30C3F"/>
    <w:rsid w:val="00D31514"/>
    <w:rsid w:val="00D31E9F"/>
    <w:rsid w:val="00D31EC4"/>
    <w:rsid w:val="00D322FB"/>
    <w:rsid w:val="00D323DC"/>
    <w:rsid w:val="00D32475"/>
    <w:rsid w:val="00D32A4E"/>
    <w:rsid w:val="00D32EF4"/>
    <w:rsid w:val="00D331AA"/>
    <w:rsid w:val="00D335CC"/>
    <w:rsid w:val="00D336D0"/>
    <w:rsid w:val="00D33E14"/>
    <w:rsid w:val="00D33F81"/>
    <w:rsid w:val="00D34850"/>
    <w:rsid w:val="00D34B8D"/>
    <w:rsid w:val="00D35060"/>
    <w:rsid w:val="00D350A0"/>
    <w:rsid w:val="00D35225"/>
    <w:rsid w:val="00D357A1"/>
    <w:rsid w:val="00D369D4"/>
    <w:rsid w:val="00D369E2"/>
    <w:rsid w:val="00D36AD7"/>
    <w:rsid w:val="00D36F0C"/>
    <w:rsid w:val="00D371F3"/>
    <w:rsid w:val="00D37267"/>
    <w:rsid w:val="00D37344"/>
    <w:rsid w:val="00D373E9"/>
    <w:rsid w:val="00D37A27"/>
    <w:rsid w:val="00D37C61"/>
    <w:rsid w:val="00D37E69"/>
    <w:rsid w:val="00D4017C"/>
    <w:rsid w:val="00D403FF"/>
    <w:rsid w:val="00D404C4"/>
    <w:rsid w:val="00D407B3"/>
    <w:rsid w:val="00D40811"/>
    <w:rsid w:val="00D40CE9"/>
    <w:rsid w:val="00D40E92"/>
    <w:rsid w:val="00D40F61"/>
    <w:rsid w:val="00D41234"/>
    <w:rsid w:val="00D413A3"/>
    <w:rsid w:val="00D41653"/>
    <w:rsid w:val="00D41745"/>
    <w:rsid w:val="00D419F8"/>
    <w:rsid w:val="00D41ABC"/>
    <w:rsid w:val="00D41F09"/>
    <w:rsid w:val="00D42115"/>
    <w:rsid w:val="00D42663"/>
    <w:rsid w:val="00D42ADC"/>
    <w:rsid w:val="00D42EFD"/>
    <w:rsid w:val="00D437E3"/>
    <w:rsid w:val="00D438E0"/>
    <w:rsid w:val="00D4396D"/>
    <w:rsid w:val="00D43D76"/>
    <w:rsid w:val="00D446D2"/>
    <w:rsid w:val="00D44D79"/>
    <w:rsid w:val="00D457D1"/>
    <w:rsid w:val="00D458AA"/>
    <w:rsid w:val="00D45B86"/>
    <w:rsid w:val="00D4622E"/>
    <w:rsid w:val="00D46338"/>
    <w:rsid w:val="00D46577"/>
    <w:rsid w:val="00D469C7"/>
    <w:rsid w:val="00D46ADC"/>
    <w:rsid w:val="00D46BA2"/>
    <w:rsid w:val="00D470AD"/>
    <w:rsid w:val="00D470DA"/>
    <w:rsid w:val="00D47234"/>
    <w:rsid w:val="00D47281"/>
    <w:rsid w:val="00D47475"/>
    <w:rsid w:val="00D47581"/>
    <w:rsid w:val="00D47C03"/>
    <w:rsid w:val="00D501A8"/>
    <w:rsid w:val="00D50295"/>
    <w:rsid w:val="00D5069A"/>
    <w:rsid w:val="00D5074D"/>
    <w:rsid w:val="00D50A1A"/>
    <w:rsid w:val="00D50AAA"/>
    <w:rsid w:val="00D50E43"/>
    <w:rsid w:val="00D512F5"/>
    <w:rsid w:val="00D513F5"/>
    <w:rsid w:val="00D51469"/>
    <w:rsid w:val="00D5146C"/>
    <w:rsid w:val="00D515B0"/>
    <w:rsid w:val="00D51DF2"/>
    <w:rsid w:val="00D51EFA"/>
    <w:rsid w:val="00D52102"/>
    <w:rsid w:val="00D523A7"/>
    <w:rsid w:val="00D52B45"/>
    <w:rsid w:val="00D530EB"/>
    <w:rsid w:val="00D53273"/>
    <w:rsid w:val="00D53393"/>
    <w:rsid w:val="00D535B6"/>
    <w:rsid w:val="00D536AF"/>
    <w:rsid w:val="00D5382F"/>
    <w:rsid w:val="00D53D74"/>
    <w:rsid w:val="00D5400E"/>
    <w:rsid w:val="00D5403F"/>
    <w:rsid w:val="00D5443B"/>
    <w:rsid w:val="00D5462B"/>
    <w:rsid w:val="00D54699"/>
    <w:rsid w:val="00D54A7D"/>
    <w:rsid w:val="00D55145"/>
    <w:rsid w:val="00D55235"/>
    <w:rsid w:val="00D55389"/>
    <w:rsid w:val="00D55511"/>
    <w:rsid w:val="00D55D78"/>
    <w:rsid w:val="00D5606B"/>
    <w:rsid w:val="00D560B7"/>
    <w:rsid w:val="00D56548"/>
    <w:rsid w:val="00D56B89"/>
    <w:rsid w:val="00D56B8C"/>
    <w:rsid w:val="00D56E11"/>
    <w:rsid w:val="00D572B2"/>
    <w:rsid w:val="00D57784"/>
    <w:rsid w:val="00D57C20"/>
    <w:rsid w:val="00D57F53"/>
    <w:rsid w:val="00D606AE"/>
    <w:rsid w:val="00D6076B"/>
    <w:rsid w:val="00D60981"/>
    <w:rsid w:val="00D60ADF"/>
    <w:rsid w:val="00D60CAB"/>
    <w:rsid w:val="00D610FD"/>
    <w:rsid w:val="00D61128"/>
    <w:rsid w:val="00D612AF"/>
    <w:rsid w:val="00D6174B"/>
    <w:rsid w:val="00D619F3"/>
    <w:rsid w:val="00D62170"/>
    <w:rsid w:val="00D62216"/>
    <w:rsid w:val="00D62630"/>
    <w:rsid w:val="00D628D3"/>
    <w:rsid w:val="00D62A5B"/>
    <w:rsid w:val="00D62A66"/>
    <w:rsid w:val="00D62B11"/>
    <w:rsid w:val="00D62B43"/>
    <w:rsid w:val="00D62C8F"/>
    <w:rsid w:val="00D62ECD"/>
    <w:rsid w:val="00D633E3"/>
    <w:rsid w:val="00D63748"/>
    <w:rsid w:val="00D637A6"/>
    <w:rsid w:val="00D63980"/>
    <w:rsid w:val="00D639F0"/>
    <w:rsid w:val="00D63C1B"/>
    <w:rsid w:val="00D63D76"/>
    <w:rsid w:val="00D64155"/>
    <w:rsid w:val="00D64223"/>
    <w:rsid w:val="00D64699"/>
    <w:rsid w:val="00D647C6"/>
    <w:rsid w:val="00D64AA3"/>
    <w:rsid w:val="00D64AF1"/>
    <w:rsid w:val="00D64BFF"/>
    <w:rsid w:val="00D64DE1"/>
    <w:rsid w:val="00D64E3F"/>
    <w:rsid w:val="00D64F96"/>
    <w:rsid w:val="00D651EC"/>
    <w:rsid w:val="00D653D0"/>
    <w:rsid w:val="00D66473"/>
    <w:rsid w:val="00D6683E"/>
    <w:rsid w:val="00D6692A"/>
    <w:rsid w:val="00D66CC1"/>
    <w:rsid w:val="00D66E55"/>
    <w:rsid w:val="00D66FCA"/>
    <w:rsid w:val="00D67088"/>
    <w:rsid w:val="00D674E9"/>
    <w:rsid w:val="00D6799A"/>
    <w:rsid w:val="00D679A2"/>
    <w:rsid w:val="00D67D7F"/>
    <w:rsid w:val="00D67EDF"/>
    <w:rsid w:val="00D7009C"/>
    <w:rsid w:val="00D705A4"/>
    <w:rsid w:val="00D70E1A"/>
    <w:rsid w:val="00D70F17"/>
    <w:rsid w:val="00D712DA"/>
    <w:rsid w:val="00D714D9"/>
    <w:rsid w:val="00D714EB"/>
    <w:rsid w:val="00D7193E"/>
    <w:rsid w:val="00D719EF"/>
    <w:rsid w:val="00D71BBC"/>
    <w:rsid w:val="00D71BF0"/>
    <w:rsid w:val="00D71FA0"/>
    <w:rsid w:val="00D72327"/>
    <w:rsid w:val="00D726F1"/>
    <w:rsid w:val="00D727E0"/>
    <w:rsid w:val="00D72810"/>
    <w:rsid w:val="00D72B87"/>
    <w:rsid w:val="00D72BE9"/>
    <w:rsid w:val="00D72C11"/>
    <w:rsid w:val="00D72C72"/>
    <w:rsid w:val="00D732C1"/>
    <w:rsid w:val="00D73606"/>
    <w:rsid w:val="00D7361F"/>
    <w:rsid w:val="00D74160"/>
    <w:rsid w:val="00D74288"/>
    <w:rsid w:val="00D742FE"/>
    <w:rsid w:val="00D74BC3"/>
    <w:rsid w:val="00D750A8"/>
    <w:rsid w:val="00D75D22"/>
    <w:rsid w:val="00D75DA5"/>
    <w:rsid w:val="00D76441"/>
    <w:rsid w:val="00D7691F"/>
    <w:rsid w:val="00D76C58"/>
    <w:rsid w:val="00D76CF2"/>
    <w:rsid w:val="00D76E7C"/>
    <w:rsid w:val="00D7703D"/>
    <w:rsid w:val="00D77199"/>
    <w:rsid w:val="00D77354"/>
    <w:rsid w:val="00D775B9"/>
    <w:rsid w:val="00D77F07"/>
    <w:rsid w:val="00D77F36"/>
    <w:rsid w:val="00D80B29"/>
    <w:rsid w:val="00D80B40"/>
    <w:rsid w:val="00D81249"/>
    <w:rsid w:val="00D8155B"/>
    <w:rsid w:val="00D81DD9"/>
    <w:rsid w:val="00D81E79"/>
    <w:rsid w:val="00D81FD6"/>
    <w:rsid w:val="00D825A5"/>
    <w:rsid w:val="00D825B7"/>
    <w:rsid w:val="00D827FD"/>
    <w:rsid w:val="00D8290E"/>
    <w:rsid w:val="00D82AD1"/>
    <w:rsid w:val="00D82E6E"/>
    <w:rsid w:val="00D83040"/>
    <w:rsid w:val="00D8323B"/>
    <w:rsid w:val="00D83489"/>
    <w:rsid w:val="00D83504"/>
    <w:rsid w:val="00D83A05"/>
    <w:rsid w:val="00D83D13"/>
    <w:rsid w:val="00D83F4C"/>
    <w:rsid w:val="00D841AC"/>
    <w:rsid w:val="00D841F8"/>
    <w:rsid w:val="00D8444D"/>
    <w:rsid w:val="00D846E9"/>
    <w:rsid w:val="00D85695"/>
    <w:rsid w:val="00D85854"/>
    <w:rsid w:val="00D8589D"/>
    <w:rsid w:val="00D85977"/>
    <w:rsid w:val="00D85A81"/>
    <w:rsid w:val="00D85E99"/>
    <w:rsid w:val="00D86466"/>
    <w:rsid w:val="00D865A9"/>
    <w:rsid w:val="00D8665F"/>
    <w:rsid w:val="00D870E8"/>
    <w:rsid w:val="00D87423"/>
    <w:rsid w:val="00D87452"/>
    <w:rsid w:val="00D87485"/>
    <w:rsid w:val="00D87D9E"/>
    <w:rsid w:val="00D87E65"/>
    <w:rsid w:val="00D87F2A"/>
    <w:rsid w:val="00D9009F"/>
    <w:rsid w:val="00D9043A"/>
    <w:rsid w:val="00D90622"/>
    <w:rsid w:val="00D907CB"/>
    <w:rsid w:val="00D90942"/>
    <w:rsid w:val="00D90A8B"/>
    <w:rsid w:val="00D90BEB"/>
    <w:rsid w:val="00D90D79"/>
    <w:rsid w:val="00D90F8B"/>
    <w:rsid w:val="00D91BF2"/>
    <w:rsid w:val="00D91C16"/>
    <w:rsid w:val="00D9213C"/>
    <w:rsid w:val="00D923B6"/>
    <w:rsid w:val="00D9299F"/>
    <w:rsid w:val="00D92E81"/>
    <w:rsid w:val="00D939E0"/>
    <w:rsid w:val="00D93C1C"/>
    <w:rsid w:val="00D94001"/>
    <w:rsid w:val="00D94026"/>
    <w:rsid w:val="00D94120"/>
    <w:rsid w:val="00D94312"/>
    <w:rsid w:val="00D949C6"/>
    <w:rsid w:val="00D94DAF"/>
    <w:rsid w:val="00D951DD"/>
    <w:rsid w:val="00D952ED"/>
    <w:rsid w:val="00D9538B"/>
    <w:rsid w:val="00D95602"/>
    <w:rsid w:val="00D9567C"/>
    <w:rsid w:val="00D957FA"/>
    <w:rsid w:val="00D95966"/>
    <w:rsid w:val="00D95D74"/>
    <w:rsid w:val="00D95F31"/>
    <w:rsid w:val="00D9622C"/>
    <w:rsid w:val="00D96462"/>
    <w:rsid w:val="00D9664C"/>
    <w:rsid w:val="00D96B05"/>
    <w:rsid w:val="00D97404"/>
    <w:rsid w:val="00D975A3"/>
    <w:rsid w:val="00D97615"/>
    <w:rsid w:val="00D979D0"/>
    <w:rsid w:val="00D97B92"/>
    <w:rsid w:val="00DA08CA"/>
    <w:rsid w:val="00DA0B5F"/>
    <w:rsid w:val="00DA0BEA"/>
    <w:rsid w:val="00DA0BEC"/>
    <w:rsid w:val="00DA0F37"/>
    <w:rsid w:val="00DA101A"/>
    <w:rsid w:val="00DA122C"/>
    <w:rsid w:val="00DA17B9"/>
    <w:rsid w:val="00DA21B3"/>
    <w:rsid w:val="00DA245E"/>
    <w:rsid w:val="00DA257C"/>
    <w:rsid w:val="00DA288C"/>
    <w:rsid w:val="00DA2FD5"/>
    <w:rsid w:val="00DA3104"/>
    <w:rsid w:val="00DA3832"/>
    <w:rsid w:val="00DA3AEB"/>
    <w:rsid w:val="00DA44B1"/>
    <w:rsid w:val="00DA44FA"/>
    <w:rsid w:val="00DA4838"/>
    <w:rsid w:val="00DA4989"/>
    <w:rsid w:val="00DA49B8"/>
    <w:rsid w:val="00DA4EAB"/>
    <w:rsid w:val="00DA5041"/>
    <w:rsid w:val="00DA5267"/>
    <w:rsid w:val="00DA540D"/>
    <w:rsid w:val="00DA5721"/>
    <w:rsid w:val="00DA6173"/>
    <w:rsid w:val="00DA6831"/>
    <w:rsid w:val="00DA697D"/>
    <w:rsid w:val="00DA6D2A"/>
    <w:rsid w:val="00DA70C0"/>
    <w:rsid w:val="00DA72CF"/>
    <w:rsid w:val="00DA743A"/>
    <w:rsid w:val="00DA7477"/>
    <w:rsid w:val="00DA7573"/>
    <w:rsid w:val="00DA79EF"/>
    <w:rsid w:val="00DA7BD4"/>
    <w:rsid w:val="00DA7C5B"/>
    <w:rsid w:val="00DA7EC3"/>
    <w:rsid w:val="00DB0191"/>
    <w:rsid w:val="00DB0359"/>
    <w:rsid w:val="00DB05E3"/>
    <w:rsid w:val="00DB0DB5"/>
    <w:rsid w:val="00DB0EF6"/>
    <w:rsid w:val="00DB0F8A"/>
    <w:rsid w:val="00DB20AD"/>
    <w:rsid w:val="00DB26A8"/>
    <w:rsid w:val="00DB26B9"/>
    <w:rsid w:val="00DB2714"/>
    <w:rsid w:val="00DB27CF"/>
    <w:rsid w:val="00DB2B0A"/>
    <w:rsid w:val="00DB2BDB"/>
    <w:rsid w:val="00DB2FC2"/>
    <w:rsid w:val="00DB3197"/>
    <w:rsid w:val="00DB31F9"/>
    <w:rsid w:val="00DB322B"/>
    <w:rsid w:val="00DB324C"/>
    <w:rsid w:val="00DB34D8"/>
    <w:rsid w:val="00DB352F"/>
    <w:rsid w:val="00DB3782"/>
    <w:rsid w:val="00DB391F"/>
    <w:rsid w:val="00DB3FD3"/>
    <w:rsid w:val="00DB40B5"/>
    <w:rsid w:val="00DB46C5"/>
    <w:rsid w:val="00DB47C7"/>
    <w:rsid w:val="00DB4FFF"/>
    <w:rsid w:val="00DB5A4E"/>
    <w:rsid w:val="00DB5ACA"/>
    <w:rsid w:val="00DB5CE0"/>
    <w:rsid w:val="00DB5F2A"/>
    <w:rsid w:val="00DB62D2"/>
    <w:rsid w:val="00DB65DA"/>
    <w:rsid w:val="00DB6674"/>
    <w:rsid w:val="00DB689D"/>
    <w:rsid w:val="00DB6C08"/>
    <w:rsid w:val="00DB6F37"/>
    <w:rsid w:val="00DB6F45"/>
    <w:rsid w:val="00DB71DE"/>
    <w:rsid w:val="00DB72B7"/>
    <w:rsid w:val="00DB7546"/>
    <w:rsid w:val="00DB76EB"/>
    <w:rsid w:val="00DB7A52"/>
    <w:rsid w:val="00DB7B76"/>
    <w:rsid w:val="00DC0624"/>
    <w:rsid w:val="00DC093F"/>
    <w:rsid w:val="00DC0FC3"/>
    <w:rsid w:val="00DC1338"/>
    <w:rsid w:val="00DC1A58"/>
    <w:rsid w:val="00DC1AC0"/>
    <w:rsid w:val="00DC1CDD"/>
    <w:rsid w:val="00DC1D8E"/>
    <w:rsid w:val="00DC20C3"/>
    <w:rsid w:val="00DC227A"/>
    <w:rsid w:val="00DC2360"/>
    <w:rsid w:val="00DC2500"/>
    <w:rsid w:val="00DC26E4"/>
    <w:rsid w:val="00DC2AFC"/>
    <w:rsid w:val="00DC2BAE"/>
    <w:rsid w:val="00DC2CEE"/>
    <w:rsid w:val="00DC3257"/>
    <w:rsid w:val="00DC3279"/>
    <w:rsid w:val="00DC3372"/>
    <w:rsid w:val="00DC34D0"/>
    <w:rsid w:val="00DC3568"/>
    <w:rsid w:val="00DC3BA8"/>
    <w:rsid w:val="00DC3BF1"/>
    <w:rsid w:val="00DC4AD0"/>
    <w:rsid w:val="00DC4D1D"/>
    <w:rsid w:val="00DC4D87"/>
    <w:rsid w:val="00DC4E55"/>
    <w:rsid w:val="00DC53C1"/>
    <w:rsid w:val="00DC54EB"/>
    <w:rsid w:val="00DC580A"/>
    <w:rsid w:val="00DC5B50"/>
    <w:rsid w:val="00DC5BBD"/>
    <w:rsid w:val="00DC5EEF"/>
    <w:rsid w:val="00DC61AF"/>
    <w:rsid w:val="00DC61EA"/>
    <w:rsid w:val="00DC66BC"/>
    <w:rsid w:val="00DC690C"/>
    <w:rsid w:val="00DC6C81"/>
    <w:rsid w:val="00DC6E0F"/>
    <w:rsid w:val="00DC727F"/>
    <w:rsid w:val="00DC7591"/>
    <w:rsid w:val="00DC7961"/>
    <w:rsid w:val="00DC7B80"/>
    <w:rsid w:val="00DC7D66"/>
    <w:rsid w:val="00DC7DE5"/>
    <w:rsid w:val="00DC7E78"/>
    <w:rsid w:val="00DD0493"/>
    <w:rsid w:val="00DD085A"/>
    <w:rsid w:val="00DD0924"/>
    <w:rsid w:val="00DD0CBF"/>
    <w:rsid w:val="00DD0D78"/>
    <w:rsid w:val="00DD0E1A"/>
    <w:rsid w:val="00DD1071"/>
    <w:rsid w:val="00DD12FD"/>
    <w:rsid w:val="00DD1576"/>
    <w:rsid w:val="00DD1751"/>
    <w:rsid w:val="00DD1AE2"/>
    <w:rsid w:val="00DD20D1"/>
    <w:rsid w:val="00DD2148"/>
    <w:rsid w:val="00DD24BC"/>
    <w:rsid w:val="00DD25CB"/>
    <w:rsid w:val="00DD27C4"/>
    <w:rsid w:val="00DD2893"/>
    <w:rsid w:val="00DD2A8A"/>
    <w:rsid w:val="00DD2B0B"/>
    <w:rsid w:val="00DD2E85"/>
    <w:rsid w:val="00DD3045"/>
    <w:rsid w:val="00DD3527"/>
    <w:rsid w:val="00DD36FF"/>
    <w:rsid w:val="00DD3978"/>
    <w:rsid w:val="00DD43C2"/>
    <w:rsid w:val="00DD43C4"/>
    <w:rsid w:val="00DD4548"/>
    <w:rsid w:val="00DD46F7"/>
    <w:rsid w:val="00DD4717"/>
    <w:rsid w:val="00DD4E6C"/>
    <w:rsid w:val="00DD4F74"/>
    <w:rsid w:val="00DD505C"/>
    <w:rsid w:val="00DD5076"/>
    <w:rsid w:val="00DD531F"/>
    <w:rsid w:val="00DD5510"/>
    <w:rsid w:val="00DD556C"/>
    <w:rsid w:val="00DD5650"/>
    <w:rsid w:val="00DD5737"/>
    <w:rsid w:val="00DD589B"/>
    <w:rsid w:val="00DD5E4B"/>
    <w:rsid w:val="00DD5E81"/>
    <w:rsid w:val="00DD656D"/>
    <w:rsid w:val="00DD6C46"/>
    <w:rsid w:val="00DD6C7A"/>
    <w:rsid w:val="00DD6F44"/>
    <w:rsid w:val="00DD7089"/>
    <w:rsid w:val="00DD7603"/>
    <w:rsid w:val="00DD7B43"/>
    <w:rsid w:val="00DD7BB1"/>
    <w:rsid w:val="00DD7CCA"/>
    <w:rsid w:val="00DE005A"/>
    <w:rsid w:val="00DE0278"/>
    <w:rsid w:val="00DE060D"/>
    <w:rsid w:val="00DE06FA"/>
    <w:rsid w:val="00DE0973"/>
    <w:rsid w:val="00DE0BDE"/>
    <w:rsid w:val="00DE10CF"/>
    <w:rsid w:val="00DE124A"/>
    <w:rsid w:val="00DE1270"/>
    <w:rsid w:val="00DE1478"/>
    <w:rsid w:val="00DE18AD"/>
    <w:rsid w:val="00DE1A45"/>
    <w:rsid w:val="00DE1D73"/>
    <w:rsid w:val="00DE1E1E"/>
    <w:rsid w:val="00DE206F"/>
    <w:rsid w:val="00DE223E"/>
    <w:rsid w:val="00DE2B39"/>
    <w:rsid w:val="00DE2CED"/>
    <w:rsid w:val="00DE2D33"/>
    <w:rsid w:val="00DE34EB"/>
    <w:rsid w:val="00DE3592"/>
    <w:rsid w:val="00DE36D0"/>
    <w:rsid w:val="00DE3A3C"/>
    <w:rsid w:val="00DE3E78"/>
    <w:rsid w:val="00DE3F55"/>
    <w:rsid w:val="00DE41F8"/>
    <w:rsid w:val="00DE4811"/>
    <w:rsid w:val="00DE4A95"/>
    <w:rsid w:val="00DE4B9D"/>
    <w:rsid w:val="00DE50EA"/>
    <w:rsid w:val="00DE51A4"/>
    <w:rsid w:val="00DE52D6"/>
    <w:rsid w:val="00DE545C"/>
    <w:rsid w:val="00DE5C9F"/>
    <w:rsid w:val="00DE5F23"/>
    <w:rsid w:val="00DE62AE"/>
    <w:rsid w:val="00DE6351"/>
    <w:rsid w:val="00DE6416"/>
    <w:rsid w:val="00DE668A"/>
    <w:rsid w:val="00DE6B7E"/>
    <w:rsid w:val="00DE734E"/>
    <w:rsid w:val="00DE7887"/>
    <w:rsid w:val="00DE7AA8"/>
    <w:rsid w:val="00DE7BF8"/>
    <w:rsid w:val="00DE7C56"/>
    <w:rsid w:val="00DE7D59"/>
    <w:rsid w:val="00DE7DB1"/>
    <w:rsid w:val="00DF0274"/>
    <w:rsid w:val="00DF0277"/>
    <w:rsid w:val="00DF0335"/>
    <w:rsid w:val="00DF0DC3"/>
    <w:rsid w:val="00DF1254"/>
    <w:rsid w:val="00DF1443"/>
    <w:rsid w:val="00DF14F9"/>
    <w:rsid w:val="00DF1C2D"/>
    <w:rsid w:val="00DF1E39"/>
    <w:rsid w:val="00DF1FAE"/>
    <w:rsid w:val="00DF2157"/>
    <w:rsid w:val="00DF21BB"/>
    <w:rsid w:val="00DF233B"/>
    <w:rsid w:val="00DF240C"/>
    <w:rsid w:val="00DF257C"/>
    <w:rsid w:val="00DF2AD9"/>
    <w:rsid w:val="00DF2C92"/>
    <w:rsid w:val="00DF3B9B"/>
    <w:rsid w:val="00DF410D"/>
    <w:rsid w:val="00DF456F"/>
    <w:rsid w:val="00DF4977"/>
    <w:rsid w:val="00DF4F88"/>
    <w:rsid w:val="00DF52F2"/>
    <w:rsid w:val="00DF54D0"/>
    <w:rsid w:val="00DF560C"/>
    <w:rsid w:val="00DF5635"/>
    <w:rsid w:val="00DF580C"/>
    <w:rsid w:val="00DF5C06"/>
    <w:rsid w:val="00DF5C1A"/>
    <w:rsid w:val="00DF5CA0"/>
    <w:rsid w:val="00DF5DA9"/>
    <w:rsid w:val="00DF60E5"/>
    <w:rsid w:val="00DF66DE"/>
    <w:rsid w:val="00DF6B08"/>
    <w:rsid w:val="00DF6BCB"/>
    <w:rsid w:val="00DF6D45"/>
    <w:rsid w:val="00DF6E4E"/>
    <w:rsid w:val="00DF7042"/>
    <w:rsid w:val="00DF7203"/>
    <w:rsid w:val="00DF7223"/>
    <w:rsid w:val="00DF7634"/>
    <w:rsid w:val="00DF788C"/>
    <w:rsid w:val="00DF78FD"/>
    <w:rsid w:val="00DF791C"/>
    <w:rsid w:val="00DF7985"/>
    <w:rsid w:val="00DF7BA5"/>
    <w:rsid w:val="00DF7CD7"/>
    <w:rsid w:val="00DF7DAA"/>
    <w:rsid w:val="00DF7EFE"/>
    <w:rsid w:val="00DF7F00"/>
    <w:rsid w:val="00E0045A"/>
    <w:rsid w:val="00E00E15"/>
    <w:rsid w:val="00E00F63"/>
    <w:rsid w:val="00E01148"/>
    <w:rsid w:val="00E01210"/>
    <w:rsid w:val="00E0122D"/>
    <w:rsid w:val="00E01D50"/>
    <w:rsid w:val="00E0241F"/>
    <w:rsid w:val="00E02664"/>
    <w:rsid w:val="00E026A9"/>
    <w:rsid w:val="00E02785"/>
    <w:rsid w:val="00E02795"/>
    <w:rsid w:val="00E028FE"/>
    <w:rsid w:val="00E02ACD"/>
    <w:rsid w:val="00E02C14"/>
    <w:rsid w:val="00E02C4D"/>
    <w:rsid w:val="00E02EC6"/>
    <w:rsid w:val="00E02F50"/>
    <w:rsid w:val="00E031A5"/>
    <w:rsid w:val="00E0341B"/>
    <w:rsid w:val="00E0348F"/>
    <w:rsid w:val="00E035A6"/>
    <w:rsid w:val="00E038F5"/>
    <w:rsid w:val="00E03D31"/>
    <w:rsid w:val="00E03D67"/>
    <w:rsid w:val="00E04277"/>
    <w:rsid w:val="00E04510"/>
    <w:rsid w:val="00E046F1"/>
    <w:rsid w:val="00E04784"/>
    <w:rsid w:val="00E048BD"/>
    <w:rsid w:val="00E049A6"/>
    <w:rsid w:val="00E04D33"/>
    <w:rsid w:val="00E050A0"/>
    <w:rsid w:val="00E053C3"/>
    <w:rsid w:val="00E05436"/>
    <w:rsid w:val="00E05569"/>
    <w:rsid w:val="00E05A6C"/>
    <w:rsid w:val="00E05C75"/>
    <w:rsid w:val="00E05F59"/>
    <w:rsid w:val="00E0632A"/>
    <w:rsid w:val="00E06456"/>
    <w:rsid w:val="00E06535"/>
    <w:rsid w:val="00E0655D"/>
    <w:rsid w:val="00E067B8"/>
    <w:rsid w:val="00E0680F"/>
    <w:rsid w:val="00E069ED"/>
    <w:rsid w:val="00E07734"/>
    <w:rsid w:val="00E07870"/>
    <w:rsid w:val="00E079CC"/>
    <w:rsid w:val="00E1007E"/>
    <w:rsid w:val="00E1024A"/>
    <w:rsid w:val="00E10480"/>
    <w:rsid w:val="00E1068F"/>
    <w:rsid w:val="00E10B17"/>
    <w:rsid w:val="00E10B67"/>
    <w:rsid w:val="00E11089"/>
    <w:rsid w:val="00E113FD"/>
    <w:rsid w:val="00E11532"/>
    <w:rsid w:val="00E11A4C"/>
    <w:rsid w:val="00E11C92"/>
    <w:rsid w:val="00E11E7F"/>
    <w:rsid w:val="00E12742"/>
    <w:rsid w:val="00E1278B"/>
    <w:rsid w:val="00E12AB9"/>
    <w:rsid w:val="00E12B67"/>
    <w:rsid w:val="00E12D26"/>
    <w:rsid w:val="00E134B1"/>
    <w:rsid w:val="00E13970"/>
    <w:rsid w:val="00E141D3"/>
    <w:rsid w:val="00E14328"/>
    <w:rsid w:val="00E14719"/>
    <w:rsid w:val="00E147FA"/>
    <w:rsid w:val="00E1490D"/>
    <w:rsid w:val="00E14941"/>
    <w:rsid w:val="00E149B3"/>
    <w:rsid w:val="00E14C6F"/>
    <w:rsid w:val="00E14F5A"/>
    <w:rsid w:val="00E15014"/>
    <w:rsid w:val="00E1515C"/>
    <w:rsid w:val="00E1526B"/>
    <w:rsid w:val="00E1534B"/>
    <w:rsid w:val="00E153C2"/>
    <w:rsid w:val="00E15408"/>
    <w:rsid w:val="00E15725"/>
    <w:rsid w:val="00E15743"/>
    <w:rsid w:val="00E15ADF"/>
    <w:rsid w:val="00E15C52"/>
    <w:rsid w:val="00E15EDA"/>
    <w:rsid w:val="00E15F0B"/>
    <w:rsid w:val="00E16047"/>
    <w:rsid w:val="00E160E8"/>
    <w:rsid w:val="00E16199"/>
    <w:rsid w:val="00E16311"/>
    <w:rsid w:val="00E16475"/>
    <w:rsid w:val="00E164DC"/>
    <w:rsid w:val="00E16680"/>
    <w:rsid w:val="00E16760"/>
    <w:rsid w:val="00E1702C"/>
    <w:rsid w:val="00E171F8"/>
    <w:rsid w:val="00E17231"/>
    <w:rsid w:val="00E17C19"/>
    <w:rsid w:val="00E20350"/>
    <w:rsid w:val="00E205E4"/>
    <w:rsid w:val="00E20AD5"/>
    <w:rsid w:val="00E20CC5"/>
    <w:rsid w:val="00E20D83"/>
    <w:rsid w:val="00E21589"/>
    <w:rsid w:val="00E2169B"/>
    <w:rsid w:val="00E2190E"/>
    <w:rsid w:val="00E21ACA"/>
    <w:rsid w:val="00E21D4D"/>
    <w:rsid w:val="00E21F85"/>
    <w:rsid w:val="00E2210D"/>
    <w:rsid w:val="00E2225D"/>
    <w:rsid w:val="00E2231F"/>
    <w:rsid w:val="00E223B3"/>
    <w:rsid w:val="00E226E7"/>
    <w:rsid w:val="00E22B80"/>
    <w:rsid w:val="00E22C0E"/>
    <w:rsid w:val="00E22CFF"/>
    <w:rsid w:val="00E231CD"/>
    <w:rsid w:val="00E231E1"/>
    <w:rsid w:val="00E23449"/>
    <w:rsid w:val="00E23888"/>
    <w:rsid w:val="00E23A72"/>
    <w:rsid w:val="00E23B9C"/>
    <w:rsid w:val="00E23CE3"/>
    <w:rsid w:val="00E23CF7"/>
    <w:rsid w:val="00E23E76"/>
    <w:rsid w:val="00E24090"/>
    <w:rsid w:val="00E24879"/>
    <w:rsid w:val="00E249DB"/>
    <w:rsid w:val="00E253A3"/>
    <w:rsid w:val="00E253C2"/>
    <w:rsid w:val="00E25402"/>
    <w:rsid w:val="00E259B0"/>
    <w:rsid w:val="00E25AF8"/>
    <w:rsid w:val="00E25C96"/>
    <w:rsid w:val="00E25EC2"/>
    <w:rsid w:val="00E2607A"/>
    <w:rsid w:val="00E260E9"/>
    <w:rsid w:val="00E26AEC"/>
    <w:rsid w:val="00E26C9F"/>
    <w:rsid w:val="00E2757B"/>
    <w:rsid w:val="00E2792D"/>
    <w:rsid w:val="00E27F6F"/>
    <w:rsid w:val="00E300CB"/>
    <w:rsid w:val="00E30236"/>
    <w:rsid w:val="00E3054F"/>
    <w:rsid w:val="00E305BF"/>
    <w:rsid w:val="00E306A0"/>
    <w:rsid w:val="00E30828"/>
    <w:rsid w:val="00E309BB"/>
    <w:rsid w:val="00E30A27"/>
    <w:rsid w:val="00E30A3B"/>
    <w:rsid w:val="00E30B37"/>
    <w:rsid w:val="00E30C9A"/>
    <w:rsid w:val="00E30F8C"/>
    <w:rsid w:val="00E31050"/>
    <w:rsid w:val="00E3109C"/>
    <w:rsid w:val="00E311D1"/>
    <w:rsid w:val="00E31782"/>
    <w:rsid w:val="00E318EC"/>
    <w:rsid w:val="00E31C2D"/>
    <w:rsid w:val="00E31DC3"/>
    <w:rsid w:val="00E32432"/>
    <w:rsid w:val="00E32A5A"/>
    <w:rsid w:val="00E33568"/>
    <w:rsid w:val="00E33818"/>
    <w:rsid w:val="00E338FA"/>
    <w:rsid w:val="00E33B1E"/>
    <w:rsid w:val="00E33F5E"/>
    <w:rsid w:val="00E341FB"/>
    <w:rsid w:val="00E3423B"/>
    <w:rsid w:val="00E34277"/>
    <w:rsid w:val="00E348FB"/>
    <w:rsid w:val="00E348FC"/>
    <w:rsid w:val="00E34A77"/>
    <w:rsid w:val="00E3529F"/>
    <w:rsid w:val="00E356AE"/>
    <w:rsid w:val="00E357BA"/>
    <w:rsid w:val="00E35A4D"/>
    <w:rsid w:val="00E35AC7"/>
    <w:rsid w:val="00E35CEA"/>
    <w:rsid w:val="00E35DA3"/>
    <w:rsid w:val="00E3621B"/>
    <w:rsid w:val="00E3627A"/>
    <w:rsid w:val="00E3637B"/>
    <w:rsid w:val="00E36BCA"/>
    <w:rsid w:val="00E36F43"/>
    <w:rsid w:val="00E370CC"/>
    <w:rsid w:val="00E37438"/>
    <w:rsid w:val="00E3788A"/>
    <w:rsid w:val="00E37894"/>
    <w:rsid w:val="00E37A33"/>
    <w:rsid w:val="00E37BF2"/>
    <w:rsid w:val="00E37C36"/>
    <w:rsid w:val="00E37F0C"/>
    <w:rsid w:val="00E40ADF"/>
    <w:rsid w:val="00E40B25"/>
    <w:rsid w:val="00E4118E"/>
    <w:rsid w:val="00E41536"/>
    <w:rsid w:val="00E418E3"/>
    <w:rsid w:val="00E42326"/>
    <w:rsid w:val="00E423DE"/>
    <w:rsid w:val="00E42F07"/>
    <w:rsid w:val="00E431A5"/>
    <w:rsid w:val="00E4340F"/>
    <w:rsid w:val="00E43704"/>
    <w:rsid w:val="00E4370F"/>
    <w:rsid w:val="00E43B49"/>
    <w:rsid w:val="00E43C67"/>
    <w:rsid w:val="00E43E3A"/>
    <w:rsid w:val="00E4441D"/>
    <w:rsid w:val="00E453AB"/>
    <w:rsid w:val="00E45AE1"/>
    <w:rsid w:val="00E45D96"/>
    <w:rsid w:val="00E462E6"/>
    <w:rsid w:val="00E463A0"/>
    <w:rsid w:val="00E466B5"/>
    <w:rsid w:val="00E46ECA"/>
    <w:rsid w:val="00E46F10"/>
    <w:rsid w:val="00E46FE3"/>
    <w:rsid w:val="00E47399"/>
    <w:rsid w:val="00E4739B"/>
    <w:rsid w:val="00E47839"/>
    <w:rsid w:val="00E47D9D"/>
    <w:rsid w:val="00E50243"/>
    <w:rsid w:val="00E5027D"/>
    <w:rsid w:val="00E505E5"/>
    <w:rsid w:val="00E506BA"/>
    <w:rsid w:val="00E509BC"/>
    <w:rsid w:val="00E50BAA"/>
    <w:rsid w:val="00E50FEF"/>
    <w:rsid w:val="00E51528"/>
    <w:rsid w:val="00E515A6"/>
    <w:rsid w:val="00E516E0"/>
    <w:rsid w:val="00E51817"/>
    <w:rsid w:val="00E519DE"/>
    <w:rsid w:val="00E51CDE"/>
    <w:rsid w:val="00E51D8D"/>
    <w:rsid w:val="00E51DCB"/>
    <w:rsid w:val="00E5210B"/>
    <w:rsid w:val="00E52176"/>
    <w:rsid w:val="00E52667"/>
    <w:rsid w:val="00E52CD5"/>
    <w:rsid w:val="00E52E7A"/>
    <w:rsid w:val="00E52E9A"/>
    <w:rsid w:val="00E53631"/>
    <w:rsid w:val="00E53766"/>
    <w:rsid w:val="00E5388F"/>
    <w:rsid w:val="00E54032"/>
    <w:rsid w:val="00E54239"/>
    <w:rsid w:val="00E54272"/>
    <w:rsid w:val="00E542BC"/>
    <w:rsid w:val="00E5447C"/>
    <w:rsid w:val="00E54521"/>
    <w:rsid w:val="00E54617"/>
    <w:rsid w:val="00E5484B"/>
    <w:rsid w:val="00E5491A"/>
    <w:rsid w:val="00E54AFC"/>
    <w:rsid w:val="00E54EC1"/>
    <w:rsid w:val="00E552C5"/>
    <w:rsid w:val="00E5558F"/>
    <w:rsid w:val="00E556DC"/>
    <w:rsid w:val="00E559C0"/>
    <w:rsid w:val="00E56023"/>
    <w:rsid w:val="00E56087"/>
    <w:rsid w:val="00E564CC"/>
    <w:rsid w:val="00E56801"/>
    <w:rsid w:val="00E56953"/>
    <w:rsid w:val="00E56B73"/>
    <w:rsid w:val="00E56D6E"/>
    <w:rsid w:val="00E56FEF"/>
    <w:rsid w:val="00E575C8"/>
    <w:rsid w:val="00E577F9"/>
    <w:rsid w:val="00E57A1F"/>
    <w:rsid w:val="00E57FB5"/>
    <w:rsid w:val="00E5C21A"/>
    <w:rsid w:val="00E6035D"/>
    <w:rsid w:val="00E60A55"/>
    <w:rsid w:val="00E60B77"/>
    <w:rsid w:val="00E60EE9"/>
    <w:rsid w:val="00E60F14"/>
    <w:rsid w:val="00E61B23"/>
    <w:rsid w:val="00E61E82"/>
    <w:rsid w:val="00E61F89"/>
    <w:rsid w:val="00E6201B"/>
    <w:rsid w:val="00E6213E"/>
    <w:rsid w:val="00E624B5"/>
    <w:rsid w:val="00E625BE"/>
    <w:rsid w:val="00E62821"/>
    <w:rsid w:val="00E6284B"/>
    <w:rsid w:val="00E628ED"/>
    <w:rsid w:val="00E62B87"/>
    <w:rsid w:val="00E62C68"/>
    <w:rsid w:val="00E62D07"/>
    <w:rsid w:val="00E62DF6"/>
    <w:rsid w:val="00E63842"/>
    <w:rsid w:val="00E63885"/>
    <w:rsid w:val="00E638BD"/>
    <w:rsid w:val="00E63A22"/>
    <w:rsid w:val="00E63B8F"/>
    <w:rsid w:val="00E63CAE"/>
    <w:rsid w:val="00E63CC8"/>
    <w:rsid w:val="00E63F13"/>
    <w:rsid w:val="00E646B5"/>
    <w:rsid w:val="00E649DE"/>
    <w:rsid w:val="00E649E0"/>
    <w:rsid w:val="00E64A23"/>
    <w:rsid w:val="00E64B24"/>
    <w:rsid w:val="00E64EE4"/>
    <w:rsid w:val="00E65025"/>
    <w:rsid w:val="00E6508A"/>
    <w:rsid w:val="00E65202"/>
    <w:rsid w:val="00E65427"/>
    <w:rsid w:val="00E6543F"/>
    <w:rsid w:val="00E655D2"/>
    <w:rsid w:val="00E65901"/>
    <w:rsid w:val="00E65FC5"/>
    <w:rsid w:val="00E661C0"/>
    <w:rsid w:val="00E663F5"/>
    <w:rsid w:val="00E66495"/>
    <w:rsid w:val="00E66828"/>
    <w:rsid w:val="00E66CB7"/>
    <w:rsid w:val="00E66DCE"/>
    <w:rsid w:val="00E66E8A"/>
    <w:rsid w:val="00E66E97"/>
    <w:rsid w:val="00E675EF"/>
    <w:rsid w:val="00E70BD6"/>
    <w:rsid w:val="00E71305"/>
    <w:rsid w:val="00E71440"/>
    <w:rsid w:val="00E7186A"/>
    <w:rsid w:val="00E7200E"/>
    <w:rsid w:val="00E72295"/>
    <w:rsid w:val="00E72383"/>
    <w:rsid w:val="00E724D2"/>
    <w:rsid w:val="00E72BDE"/>
    <w:rsid w:val="00E72D9F"/>
    <w:rsid w:val="00E72DDB"/>
    <w:rsid w:val="00E73028"/>
    <w:rsid w:val="00E730EB"/>
    <w:rsid w:val="00E7353F"/>
    <w:rsid w:val="00E73C41"/>
    <w:rsid w:val="00E73DB6"/>
    <w:rsid w:val="00E73EF8"/>
    <w:rsid w:val="00E74326"/>
    <w:rsid w:val="00E74933"/>
    <w:rsid w:val="00E74B49"/>
    <w:rsid w:val="00E74CD3"/>
    <w:rsid w:val="00E74EDC"/>
    <w:rsid w:val="00E75227"/>
    <w:rsid w:val="00E7544E"/>
    <w:rsid w:val="00E75737"/>
    <w:rsid w:val="00E75875"/>
    <w:rsid w:val="00E75886"/>
    <w:rsid w:val="00E75A8A"/>
    <w:rsid w:val="00E75D6E"/>
    <w:rsid w:val="00E76007"/>
    <w:rsid w:val="00E76181"/>
    <w:rsid w:val="00E76430"/>
    <w:rsid w:val="00E7665C"/>
    <w:rsid w:val="00E76DCB"/>
    <w:rsid w:val="00E76E70"/>
    <w:rsid w:val="00E770F2"/>
    <w:rsid w:val="00E77223"/>
    <w:rsid w:val="00E77849"/>
    <w:rsid w:val="00E77EA6"/>
    <w:rsid w:val="00E77EAC"/>
    <w:rsid w:val="00E806D8"/>
    <w:rsid w:val="00E8086C"/>
    <w:rsid w:val="00E80B0A"/>
    <w:rsid w:val="00E80F5E"/>
    <w:rsid w:val="00E81069"/>
    <w:rsid w:val="00E81148"/>
    <w:rsid w:val="00E816FE"/>
    <w:rsid w:val="00E817AD"/>
    <w:rsid w:val="00E817EF"/>
    <w:rsid w:val="00E8184F"/>
    <w:rsid w:val="00E81B90"/>
    <w:rsid w:val="00E820F9"/>
    <w:rsid w:val="00E82194"/>
    <w:rsid w:val="00E82420"/>
    <w:rsid w:val="00E828D5"/>
    <w:rsid w:val="00E82D81"/>
    <w:rsid w:val="00E83092"/>
    <w:rsid w:val="00E83259"/>
    <w:rsid w:val="00E83899"/>
    <w:rsid w:val="00E839BE"/>
    <w:rsid w:val="00E83C10"/>
    <w:rsid w:val="00E83CAC"/>
    <w:rsid w:val="00E840E2"/>
    <w:rsid w:val="00E84AA6"/>
    <w:rsid w:val="00E84BC3"/>
    <w:rsid w:val="00E84C89"/>
    <w:rsid w:val="00E856EA"/>
    <w:rsid w:val="00E85788"/>
    <w:rsid w:val="00E85989"/>
    <w:rsid w:val="00E859F8"/>
    <w:rsid w:val="00E85A15"/>
    <w:rsid w:val="00E85E56"/>
    <w:rsid w:val="00E85F1B"/>
    <w:rsid w:val="00E860DD"/>
    <w:rsid w:val="00E8682E"/>
    <w:rsid w:val="00E868FE"/>
    <w:rsid w:val="00E869F3"/>
    <w:rsid w:val="00E8713D"/>
    <w:rsid w:val="00E87271"/>
    <w:rsid w:val="00E872D7"/>
    <w:rsid w:val="00E87406"/>
    <w:rsid w:val="00E874DC"/>
    <w:rsid w:val="00E87724"/>
    <w:rsid w:val="00E8798B"/>
    <w:rsid w:val="00E87B6D"/>
    <w:rsid w:val="00E87EBD"/>
    <w:rsid w:val="00E90006"/>
    <w:rsid w:val="00E90329"/>
    <w:rsid w:val="00E90681"/>
    <w:rsid w:val="00E910D5"/>
    <w:rsid w:val="00E91F58"/>
    <w:rsid w:val="00E922C4"/>
    <w:rsid w:val="00E92876"/>
    <w:rsid w:val="00E92C93"/>
    <w:rsid w:val="00E936BD"/>
    <w:rsid w:val="00E93752"/>
    <w:rsid w:val="00E9394C"/>
    <w:rsid w:val="00E939F6"/>
    <w:rsid w:val="00E93A9E"/>
    <w:rsid w:val="00E93EAC"/>
    <w:rsid w:val="00E94012"/>
    <w:rsid w:val="00E9423D"/>
    <w:rsid w:val="00E943AE"/>
    <w:rsid w:val="00E94445"/>
    <w:rsid w:val="00E944D8"/>
    <w:rsid w:val="00E947B0"/>
    <w:rsid w:val="00E949EF"/>
    <w:rsid w:val="00E950C3"/>
    <w:rsid w:val="00E95304"/>
    <w:rsid w:val="00E95D82"/>
    <w:rsid w:val="00E95F21"/>
    <w:rsid w:val="00E95FB5"/>
    <w:rsid w:val="00E96000"/>
    <w:rsid w:val="00E960E5"/>
    <w:rsid w:val="00E96273"/>
    <w:rsid w:val="00E96E97"/>
    <w:rsid w:val="00E97706"/>
    <w:rsid w:val="00E978F3"/>
    <w:rsid w:val="00E97CCC"/>
    <w:rsid w:val="00E97D49"/>
    <w:rsid w:val="00EA0251"/>
    <w:rsid w:val="00EA0604"/>
    <w:rsid w:val="00EA0CE5"/>
    <w:rsid w:val="00EA0E4F"/>
    <w:rsid w:val="00EA1065"/>
    <w:rsid w:val="00EA1434"/>
    <w:rsid w:val="00EA2166"/>
    <w:rsid w:val="00EA21EC"/>
    <w:rsid w:val="00EA2552"/>
    <w:rsid w:val="00EA25FB"/>
    <w:rsid w:val="00EA28DE"/>
    <w:rsid w:val="00EA3290"/>
    <w:rsid w:val="00EA359C"/>
    <w:rsid w:val="00EA3B5D"/>
    <w:rsid w:val="00EA3C3E"/>
    <w:rsid w:val="00EA40DB"/>
    <w:rsid w:val="00EA42FF"/>
    <w:rsid w:val="00EA4694"/>
    <w:rsid w:val="00EA48D3"/>
    <w:rsid w:val="00EA53A3"/>
    <w:rsid w:val="00EA53A6"/>
    <w:rsid w:val="00EA546B"/>
    <w:rsid w:val="00EA57C5"/>
    <w:rsid w:val="00EA58AC"/>
    <w:rsid w:val="00EA5C3F"/>
    <w:rsid w:val="00EA5D7E"/>
    <w:rsid w:val="00EA5F31"/>
    <w:rsid w:val="00EA5F92"/>
    <w:rsid w:val="00EA6351"/>
    <w:rsid w:val="00EA64B4"/>
    <w:rsid w:val="00EA65C8"/>
    <w:rsid w:val="00EA65F1"/>
    <w:rsid w:val="00EA6665"/>
    <w:rsid w:val="00EA6935"/>
    <w:rsid w:val="00EA6967"/>
    <w:rsid w:val="00EA69E5"/>
    <w:rsid w:val="00EA6EBC"/>
    <w:rsid w:val="00EA6F44"/>
    <w:rsid w:val="00EA70B4"/>
    <w:rsid w:val="00EA726A"/>
    <w:rsid w:val="00EA7613"/>
    <w:rsid w:val="00EA7801"/>
    <w:rsid w:val="00EA793B"/>
    <w:rsid w:val="00EA7A65"/>
    <w:rsid w:val="00EA7A7E"/>
    <w:rsid w:val="00EA7B54"/>
    <w:rsid w:val="00EA7E4B"/>
    <w:rsid w:val="00EB011E"/>
    <w:rsid w:val="00EB0155"/>
    <w:rsid w:val="00EB04BA"/>
    <w:rsid w:val="00EB05DA"/>
    <w:rsid w:val="00EB0A57"/>
    <w:rsid w:val="00EB0BDE"/>
    <w:rsid w:val="00EB0F0A"/>
    <w:rsid w:val="00EB190F"/>
    <w:rsid w:val="00EB19EF"/>
    <w:rsid w:val="00EB1EC7"/>
    <w:rsid w:val="00EB21FF"/>
    <w:rsid w:val="00EB235B"/>
    <w:rsid w:val="00EB2953"/>
    <w:rsid w:val="00EB2B4E"/>
    <w:rsid w:val="00EB2F2E"/>
    <w:rsid w:val="00EB31A3"/>
    <w:rsid w:val="00EB325B"/>
    <w:rsid w:val="00EB3323"/>
    <w:rsid w:val="00EB337B"/>
    <w:rsid w:val="00EB33AB"/>
    <w:rsid w:val="00EB3685"/>
    <w:rsid w:val="00EB3848"/>
    <w:rsid w:val="00EB3E22"/>
    <w:rsid w:val="00EB3E47"/>
    <w:rsid w:val="00EB4A6F"/>
    <w:rsid w:val="00EB55B3"/>
    <w:rsid w:val="00EB5631"/>
    <w:rsid w:val="00EB56B7"/>
    <w:rsid w:val="00EB60B2"/>
    <w:rsid w:val="00EB6798"/>
    <w:rsid w:val="00EB693B"/>
    <w:rsid w:val="00EB6BF4"/>
    <w:rsid w:val="00EB7266"/>
    <w:rsid w:val="00EB76C5"/>
    <w:rsid w:val="00EB7ACA"/>
    <w:rsid w:val="00EB7BA9"/>
    <w:rsid w:val="00EB7D75"/>
    <w:rsid w:val="00EB7EB0"/>
    <w:rsid w:val="00EC0116"/>
    <w:rsid w:val="00EC0472"/>
    <w:rsid w:val="00EC0714"/>
    <w:rsid w:val="00EC08F3"/>
    <w:rsid w:val="00EC0B20"/>
    <w:rsid w:val="00EC0CFD"/>
    <w:rsid w:val="00EC0EE7"/>
    <w:rsid w:val="00EC1230"/>
    <w:rsid w:val="00EC1718"/>
    <w:rsid w:val="00EC1C3A"/>
    <w:rsid w:val="00EC1E19"/>
    <w:rsid w:val="00EC1F51"/>
    <w:rsid w:val="00EC2725"/>
    <w:rsid w:val="00EC2B1D"/>
    <w:rsid w:val="00EC325B"/>
    <w:rsid w:val="00EC3A04"/>
    <w:rsid w:val="00EC4233"/>
    <w:rsid w:val="00EC4544"/>
    <w:rsid w:val="00EC47E2"/>
    <w:rsid w:val="00EC4A7B"/>
    <w:rsid w:val="00EC4A85"/>
    <w:rsid w:val="00EC4D07"/>
    <w:rsid w:val="00EC4E61"/>
    <w:rsid w:val="00EC51A2"/>
    <w:rsid w:val="00EC52B9"/>
    <w:rsid w:val="00EC56D5"/>
    <w:rsid w:val="00EC579A"/>
    <w:rsid w:val="00EC57B2"/>
    <w:rsid w:val="00EC58F4"/>
    <w:rsid w:val="00EC59E5"/>
    <w:rsid w:val="00EC5D14"/>
    <w:rsid w:val="00EC627E"/>
    <w:rsid w:val="00EC6314"/>
    <w:rsid w:val="00EC6478"/>
    <w:rsid w:val="00EC650B"/>
    <w:rsid w:val="00EC69C9"/>
    <w:rsid w:val="00EC6E28"/>
    <w:rsid w:val="00EC70E1"/>
    <w:rsid w:val="00EC73AB"/>
    <w:rsid w:val="00EC74CA"/>
    <w:rsid w:val="00EC75B7"/>
    <w:rsid w:val="00EC7808"/>
    <w:rsid w:val="00EC7BFA"/>
    <w:rsid w:val="00EC7EA2"/>
    <w:rsid w:val="00ED026A"/>
    <w:rsid w:val="00ED042E"/>
    <w:rsid w:val="00ED0518"/>
    <w:rsid w:val="00ED0651"/>
    <w:rsid w:val="00ED067E"/>
    <w:rsid w:val="00ED07EB"/>
    <w:rsid w:val="00ED09E0"/>
    <w:rsid w:val="00ED0E7D"/>
    <w:rsid w:val="00ED1295"/>
    <w:rsid w:val="00ED1583"/>
    <w:rsid w:val="00ED1EC6"/>
    <w:rsid w:val="00ED20BE"/>
    <w:rsid w:val="00ED2421"/>
    <w:rsid w:val="00ED264F"/>
    <w:rsid w:val="00ED2725"/>
    <w:rsid w:val="00ED28CB"/>
    <w:rsid w:val="00ED2D15"/>
    <w:rsid w:val="00ED33E6"/>
    <w:rsid w:val="00ED34D1"/>
    <w:rsid w:val="00ED367F"/>
    <w:rsid w:val="00ED36C7"/>
    <w:rsid w:val="00ED3CFC"/>
    <w:rsid w:val="00ED4206"/>
    <w:rsid w:val="00ED450F"/>
    <w:rsid w:val="00ED4B0E"/>
    <w:rsid w:val="00ED5069"/>
    <w:rsid w:val="00ED54E4"/>
    <w:rsid w:val="00ED55A5"/>
    <w:rsid w:val="00ED56D3"/>
    <w:rsid w:val="00ED58A2"/>
    <w:rsid w:val="00ED58C3"/>
    <w:rsid w:val="00ED59F8"/>
    <w:rsid w:val="00ED5AA6"/>
    <w:rsid w:val="00ED5AB5"/>
    <w:rsid w:val="00ED5C71"/>
    <w:rsid w:val="00ED5EEE"/>
    <w:rsid w:val="00ED667C"/>
    <w:rsid w:val="00ED6E81"/>
    <w:rsid w:val="00ED7677"/>
    <w:rsid w:val="00ED7966"/>
    <w:rsid w:val="00ED7F5F"/>
    <w:rsid w:val="00EE004D"/>
    <w:rsid w:val="00EE01CC"/>
    <w:rsid w:val="00EE03A3"/>
    <w:rsid w:val="00EE04EE"/>
    <w:rsid w:val="00EE0587"/>
    <w:rsid w:val="00EE09A9"/>
    <w:rsid w:val="00EE0D74"/>
    <w:rsid w:val="00EE0F4A"/>
    <w:rsid w:val="00EE1119"/>
    <w:rsid w:val="00EE13A0"/>
    <w:rsid w:val="00EE1760"/>
    <w:rsid w:val="00EE1819"/>
    <w:rsid w:val="00EE1993"/>
    <w:rsid w:val="00EE223B"/>
    <w:rsid w:val="00EE287D"/>
    <w:rsid w:val="00EE2A43"/>
    <w:rsid w:val="00EE3648"/>
    <w:rsid w:val="00EE3721"/>
    <w:rsid w:val="00EE388E"/>
    <w:rsid w:val="00EE39A4"/>
    <w:rsid w:val="00EE3B32"/>
    <w:rsid w:val="00EE3CFF"/>
    <w:rsid w:val="00EE3E27"/>
    <w:rsid w:val="00EE3F39"/>
    <w:rsid w:val="00EE414C"/>
    <w:rsid w:val="00EE44FE"/>
    <w:rsid w:val="00EE46B3"/>
    <w:rsid w:val="00EE4908"/>
    <w:rsid w:val="00EE491C"/>
    <w:rsid w:val="00EE4D47"/>
    <w:rsid w:val="00EE502B"/>
    <w:rsid w:val="00EE5406"/>
    <w:rsid w:val="00EE5EF8"/>
    <w:rsid w:val="00EE6355"/>
    <w:rsid w:val="00EE6964"/>
    <w:rsid w:val="00EE6A1D"/>
    <w:rsid w:val="00EE6AD0"/>
    <w:rsid w:val="00EE6C61"/>
    <w:rsid w:val="00EE6D18"/>
    <w:rsid w:val="00EE6E87"/>
    <w:rsid w:val="00EE6EFE"/>
    <w:rsid w:val="00EE70F6"/>
    <w:rsid w:val="00EE7BCD"/>
    <w:rsid w:val="00EE7D4B"/>
    <w:rsid w:val="00EE7E7A"/>
    <w:rsid w:val="00EF0642"/>
    <w:rsid w:val="00EF0E44"/>
    <w:rsid w:val="00EF1219"/>
    <w:rsid w:val="00EF1230"/>
    <w:rsid w:val="00EF18E0"/>
    <w:rsid w:val="00EF223B"/>
    <w:rsid w:val="00EF26D8"/>
    <w:rsid w:val="00EF284E"/>
    <w:rsid w:val="00EF29DE"/>
    <w:rsid w:val="00EF3216"/>
    <w:rsid w:val="00EF3978"/>
    <w:rsid w:val="00EF399E"/>
    <w:rsid w:val="00EF3AAC"/>
    <w:rsid w:val="00EF40A6"/>
    <w:rsid w:val="00EF4234"/>
    <w:rsid w:val="00EF44A8"/>
    <w:rsid w:val="00EF49EA"/>
    <w:rsid w:val="00EF4D42"/>
    <w:rsid w:val="00EF4FD1"/>
    <w:rsid w:val="00EF5318"/>
    <w:rsid w:val="00EF5822"/>
    <w:rsid w:val="00EF5D0A"/>
    <w:rsid w:val="00EF6189"/>
    <w:rsid w:val="00EF65C0"/>
    <w:rsid w:val="00EF697F"/>
    <w:rsid w:val="00EF6980"/>
    <w:rsid w:val="00EF6CBC"/>
    <w:rsid w:val="00EF6F3A"/>
    <w:rsid w:val="00EF708A"/>
    <w:rsid w:val="00EF70AB"/>
    <w:rsid w:val="00EF72C3"/>
    <w:rsid w:val="00EF79CE"/>
    <w:rsid w:val="00EF7A93"/>
    <w:rsid w:val="00F00007"/>
    <w:rsid w:val="00F00152"/>
    <w:rsid w:val="00F00352"/>
    <w:rsid w:val="00F003AB"/>
    <w:rsid w:val="00F003F9"/>
    <w:rsid w:val="00F007BB"/>
    <w:rsid w:val="00F00B1B"/>
    <w:rsid w:val="00F00E37"/>
    <w:rsid w:val="00F010EE"/>
    <w:rsid w:val="00F01383"/>
    <w:rsid w:val="00F0151B"/>
    <w:rsid w:val="00F015FC"/>
    <w:rsid w:val="00F0167D"/>
    <w:rsid w:val="00F01725"/>
    <w:rsid w:val="00F0177A"/>
    <w:rsid w:val="00F019A0"/>
    <w:rsid w:val="00F019D5"/>
    <w:rsid w:val="00F02500"/>
    <w:rsid w:val="00F028A1"/>
    <w:rsid w:val="00F02C14"/>
    <w:rsid w:val="00F032E2"/>
    <w:rsid w:val="00F033A4"/>
    <w:rsid w:val="00F037E3"/>
    <w:rsid w:val="00F03866"/>
    <w:rsid w:val="00F03C3A"/>
    <w:rsid w:val="00F03FF2"/>
    <w:rsid w:val="00F045C7"/>
    <w:rsid w:val="00F045F5"/>
    <w:rsid w:val="00F04651"/>
    <w:rsid w:val="00F04F3A"/>
    <w:rsid w:val="00F04F88"/>
    <w:rsid w:val="00F04F9E"/>
    <w:rsid w:val="00F05308"/>
    <w:rsid w:val="00F058CC"/>
    <w:rsid w:val="00F0596C"/>
    <w:rsid w:val="00F05B6C"/>
    <w:rsid w:val="00F0660C"/>
    <w:rsid w:val="00F069CF"/>
    <w:rsid w:val="00F06A47"/>
    <w:rsid w:val="00F06BA2"/>
    <w:rsid w:val="00F06C9F"/>
    <w:rsid w:val="00F06F4B"/>
    <w:rsid w:val="00F0717F"/>
    <w:rsid w:val="00F071A4"/>
    <w:rsid w:val="00F0721D"/>
    <w:rsid w:val="00F0747A"/>
    <w:rsid w:val="00F07511"/>
    <w:rsid w:val="00F07519"/>
    <w:rsid w:val="00F07849"/>
    <w:rsid w:val="00F07882"/>
    <w:rsid w:val="00F07883"/>
    <w:rsid w:val="00F07CC4"/>
    <w:rsid w:val="00F07F61"/>
    <w:rsid w:val="00F10177"/>
    <w:rsid w:val="00F102AA"/>
    <w:rsid w:val="00F104C1"/>
    <w:rsid w:val="00F10A3C"/>
    <w:rsid w:val="00F10C16"/>
    <w:rsid w:val="00F10D83"/>
    <w:rsid w:val="00F10E56"/>
    <w:rsid w:val="00F116D4"/>
    <w:rsid w:val="00F11856"/>
    <w:rsid w:val="00F1195F"/>
    <w:rsid w:val="00F1196B"/>
    <w:rsid w:val="00F11A6A"/>
    <w:rsid w:val="00F11B92"/>
    <w:rsid w:val="00F125D4"/>
    <w:rsid w:val="00F126BD"/>
    <w:rsid w:val="00F127AA"/>
    <w:rsid w:val="00F130F0"/>
    <w:rsid w:val="00F13433"/>
    <w:rsid w:val="00F134FC"/>
    <w:rsid w:val="00F1350E"/>
    <w:rsid w:val="00F136B7"/>
    <w:rsid w:val="00F13777"/>
    <w:rsid w:val="00F13AD3"/>
    <w:rsid w:val="00F13F08"/>
    <w:rsid w:val="00F14419"/>
    <w:rsid w:val="00F1470E"/>
    <w:rsid w:val="00F147A5"/>
    <w:rsid w:val="00F14AA7"/>
    <w:rsid w:val="00F14E02"/>
    <w:rsid w:val="00F15198"/>
    <w:rsid w:val="00F152C8"/>
    <w:rsid w:val="00F1535B"/>
    <w:rsid w:val="00F15561"/>
    <w:rsid w:val="00F15884"/>
    <w:rsid w:val="00F159C1"/>
    <w:rsid w:val="00F15A32"/>
    <w:rsid w:val="00F15B8E"/>
    <w:rsid w:val="00F16223"/>
    <w:rsid w:val="00F16665"/>
    <w:rsid w:val="00F1667C"/>
    <w:rsid w:val="00F166FE"/>
    <w:rsid w:val="00F1698F"/>
    <w:rsid w:val="00F16A40"/>
    <w:rsid w:val="00F16BA8"/>
    <w:rsid w:val="00F16FB0"/>
    <w:rsid w:val="00F1733B"/>
    <w:rsid w:val="00F17474"/>
    <w:rsid w:val="00F17A84"/>
    <w:rsid w:val="00F17AE4"/>
    <w:rsid w:val="00F17EE5"/>
    <w:rsid w:val="00F200C8"/>
    <w:rsid w:val="00F20196"/>
    <w:rsid w:val="00F201CC"/>
    <w:rsid w:val="00F202C2"/>
    <w:rsid w:val="00F20487"/>
    <w:rsid w:val="00F204DB"/>
    <w:rsid w:val="00F20F65"/>
    <w:rsid w:val="00F2106D"/>
    <w:rsid w:val="00F21309"/>
    <w:rsid w:val="00F214D3"/>
    <w:rsid w:val="00F219B3"/>
    <w:rsid w:val="00F219CD"/>
    <w:rsid w:val="00F219D2"/>
    <w:rsid w:val="00F21E46"/>
    <w:rsid w:val="00F21F84"/>
    <w:rsid w:val="00F22337"/>
    <w:rsid w:val="00F22457"/>
    <w:rsid w:val="00F2249E"/>
    <w:rsid w:val="00F22859"/>
    <w:rsid w:val="00F228E7"/>
    <w:rsid w:val="00F22C41"/>
    <w:rsid w:val="00F22D65"/>
    <w:rsid w:val="00F22EE6"/>
    <w:rsid w:val="00F23023"/>
    <w:rsid w:val="00F23175"/>
    <w:rsid w:val="00F231D2"/>
    <w:rsid w:val="00F23A1B"/>
    <w:rsid w:val="00F23BFC"/>
    <w:rsid w:val="00F23D99"/>
    <w:rsid w:val="00F23FB0"/>
    <w:rsid w:val="00F24277"/>
    <w:rsid w:val="00F2480A"/>
    <w:rsid w:val="00F24891"/>
    <w:rsid w:val="00F24B9F"/>
    <w:rsid w:val="00F24BA6"/>
    <w:rsid w:val="00F24CA6"/>
    <w:rsid w:val="00F250E4"/>
    <w:rsid w:val="00F2518D"/>
    <w:rsid w:val="00F256AE"/>
    <w:rsid w:val="00F25773"/>
    <w:rsid w:val="00F257FA"/>
    <w:rsid w:val="00F25812"/>
    <w:rsid w:val="00F26004"/>
    <w:rsid w:val="00F26690"/>
    <w:rsid w:val="00F26729"/>
    <w:rsid w:val="00F26A8B"/>
    <w:rsid w:val="00F26ACD"/>
    <w:rsid w:val="00F26C8B"/>
    <w:rsid w:val="00F26CC7"/>
    <w:rsid w:val="00F270E8"/>
    <w:rsid w:val="00F273D2"/>
    <w:rsid w:val="00F27EF5"/>
    <w:rsid w:val="00F27FDB"/>
    <w:rsid w:val="00F30251"/>
    <w:rsid w:val="00F305CC"/>
    <w:rsid w:val="00F30934"/>
    <w:rsid w:val="00F30BB1"/>
    <w:rsid w:val="00F30D70"/>
    <w:rsid w:val="00F3112B"/>
    <w:rsid w:val="00F3139D"/>
    <w:rsid w:val="00F3179A"/>
    <w:rsid w:val="00F31AC2"/>
    <w:rsid w:val="00F31D54"/>
    <w:rsid w:val="00F31FE0"/>
    <w:rsid w:val="00F320FA"/>
    <w:rsid w:val="00F32357"/>
    <w:rsid w:val="00F32C5C"/>
    <w:rsid w:val="00F32C70"/>
    <w:rsid w:val="00F334CA"/>
    <w:rsid w:val="00F33833"/>
    <w:rsid w:val="00F33A2E"/>
    <w:rsid w:val="00F33B0C"/>
    <w:rsid w:val="00F34625"/>
    <w:rsid w:val="00F34E02"/>
    <w:rsid w:val="00F3549E"/>
    <w:rsid w:val="00F3557C"/>
    <w:rsid w:val="00F35B0E"/>
    <w:rsid w:val="00F35B6F"/>
    <w:rsid w:val="00F360A4"/>
    <w:rsid w:val="00F365A7"/>
    <w:rsid w:val="00F3681C"/>
    <w:rsid w:val="00F36996"/>
    <w:rsid w:val="00F36B24"/>
    <w:rsid w:val="00F36B78"/>
    <w:rsid w:val="00F36EF5"/>
    <w:rsid w:val="00F37386"/>
    <w:rsid w:val="00F37415"/>
    <w:rsid w:val="00F3745F"/>
    <w:rsid w:val="00F3752A"/>
    <w:rsid w:val="00F37549"/>
    <w:rsid w:val="00F3769D"/>
    <w:rsid w:val="00F37CC7"/>
    <w:rsid w:val="00F404F4"/>
    <w:rsid w:val="00F40BFB"/>
    <w:rsid w:val="00F40D52"/>
    <w:rsid w:val="00F40DDB"/>
    <w:rsid w:val="00F40F66"/>
    <w:rsid w:val="00F4134E"/>
    <w:rsid w:val="00F4143E"/>
    <w:rsid w:val="00F41B24"/>
    <w:rsid w:val="00F41CC5"/>
    <w:rsid w:val="00F41D25"/>
    <w:rsid w:val="00F41E8A"/>
    <w:rsid w:val="00F423A2"/>
    <w:rsid w:val="00F423C2"/>
    <w:rsid w:val="00F42580"/>
    <w:rsid w:val="00F4259F"/>
    <w:rsid w:val="00F4293D"/>
    <w:rsid w:val="00F42C6C"/>
    <w:rsid w:val="00F433F8"/>
    <w:rsid w:val="00F433FE"/>
    <w:rsid w:val="00F43627"/>
    <w:rsid w:val="00F43781"/>
    <w:rsid w:val="00F43925"/>
    <w:rsid w:val="00F43CC5"/>
    <w:rsid w:val="00F43D15"/>
    <w:rsid w:val="00F44184"/>
    <w:rsid w:val="00F44347"/>
    <w:rsid w:val="00F445E3"/>
    <w:rsid w:val="00F4463C"/>
    <w:rsid w:val="00F44A77"/>
    <w:rsid w:val="00F44D5E"/>
    <w:rsid w:val="00F44FA1"/>
    <w:rsid w:val="00F45049"/>
    <w:rsid w:val="00F45139"/>
    <w:rsid w:val="00F45290"/>
    <w:rsid w:val="00F45571"/>
    <w:rsid w:val="00F45922"/>
    <w:rsid w:val="00F45BD4"/>
    <w:rsid w:val="00F45D31"/>
    <w:rsid w:val="00F45E7C"/>
    <w:rsid w:val="00F45FAA"/>
    <w:rsid w:val="00F46158"/>
    <w:rsid w:val="00F4680A"/>
    <w:rsid w:val="00F46978"/>
    <w:rsid w:val="00F472F3"/>
    <w:rsid w:val="00F473A5"/>
    <w:rsid w:val="00F473F3"/>
    <w:rsid w:val="00F47442"/>
    <w:rsid w:val="00F474B8"/>
    <w:rsid w:val="00F47580"/>
    <w:rsid w:val="00F478CA"/>
    <w:rsid w:val="00F479B7"/>
    <w:rsid w:val="00F47CE2"/>
    <w:rsid w:val="00F47CFC"/>
    <w:rsid w:val="00F47D1D"/>
    <w:rsid w:val="00F501F3"/>
    <w:rsid w:val="00F50A98"/>
    <w:rsid w:val="00F50E5F"/>
    <w:rsid w:val="00F51347"/>
    <w:rsid w:val="00F51460"/>
    <w:rsid w:val="00F514CF"/>
    <w:rsid w:val="00F51667"/>
    <w:rsid w:val="00F51730"/>
    <w:rsid w:val="00F521DC"/>
    <w:rsid w:val="00F52D0F"/>
    <w:rsid w:val="00F52E14"/>
    <w:rsid w:val="00F52ED5"/>
    <w:rsid w:val="00F5318C"/>
    <w:rsid w:val="00F53199"/>
    <w:rsid w:val="00F532A7"/>
    <w:rsid w:val="00F5331A"/>
    <w:rsid w:val="00F53467"/>
    <w:rsid w:val="00F539D4"/>
    <w:rsid w:val="00F53F9D"/>
    <w:rsid w:val="00F53FDD"/>
    <w:rsid w:val="00F541A1"/>
    <w:rsid w:val="00F5446E"/>
    <w:rsid w:val="00F54B09"/>
    <w:rsid w:val="00F54BEA"/>
    <w:rsid w:val="00F54DA6"/>
    <w:rsid w:val="00F54E8A"/>
    <w:rsid w:val="00F54EB8"/>
    <w:rsid w:val="00F55071"/>
    <w:rsid w:val="00F555C2"/>
    <w:rsid w:val="00F55698"/>
    <w:rsid w:val="00F559A8"/>
    <w:rsid w:val="00F55C14"/>
    <w:rsid w:val="00F55C21"/>
    <w:rsid w:val="00F55C2F"/>
    <w:rsid w:val="00F55E5F"/>
    <w:rsid w:val="00F55F6D"/>
    <w:rsid w:val="00F560AC"/>
    <w:rsid w:val="00F560CD"/>
    <w:rsid w:val="00F56251"/>
    <w:rsid w:val="00F56883"/>
    <w:rsid w:val="00F56A5D"/>
    <w:rsid w:val="00F56C34"/>
    <w:rsid w:val="00F5736B"/>
    <w:rsid w:val="00F577B9"/>
    <w:rsid w:val="00F57880"/>
    <w:rsid w:val="00F579F0"/>
    <w:rsid w:val="00F60348"/>
    <w:rsid w:val="00F604F6"/>
    <w:rsid w:val="00F608AB"/>
    <w:rsid w:val="00F60BE7"/>
    <w:rsid w:val="00F60D85"/>
    <w:rsid w:val="00F60E65"/>
    <w:rsid w:val="00F60FCA"/>
    <w:rsid w:val="00F6135C"/>
    <w:rsid w:val="00F6159C"/>
    <w:rsid w:val="00F61714"/>
    <w:rsid w:val="00F618CF"/>
    <w:rsid w:val="00F61983"/>
    <w:rsid w:val="00F61AAC"/>
    <w:rsid w:val="00F620F2"/>
    <w:rsid w:val="00F622F3"/>
    <w:rsid w:val="00F6238F"/>
    <w:rsid w:val="00F6274B"/>
    <w:rsid w:val="00F62F61"/>
    <w:rsid w:val="00F63024"/>
    <w:rsid w:val="00F63425"/>
    <w:rsid w:val="00F634CC"/>
    <w:rsid w:val="00F63817"/>
    <w:rsid w:val="00F63C79"/>
    <w:rsid w:val="00F63E59"/>
    <w:rsid w:val="00F64009"/>
    <w:rsid w:val="00F64153"/>
    <w:rsid w:val="00F6454B"/>
    <w:rsid w:val="00F64BE0"/>
    <w:rsid w:val="00F6572D"/>
    <w:rsid w:val="00F65B68"/>
    <w:rsid w:val="00F664E1"/>
    <w:rsid w:val="00F66600"/>
    <w:rsid w:val="00F666FC"/>
    <w:rsid w:val="00F66ABA"/>
    <w:rsid w:val="00F66CE0"/>
    <w:rsid w:val="00F66D66"/>
    <w:rsid w:val="00F670BF"/>
    <w:rsid w:val="00F6727E"/>
    <w:rsid w:val="00F674EB"/>
    <w:rsid w:val="00F6756D"/>
    <w:rsid w:val="00F675B6"/>
    <w:rsid w:val="00F67814"/>
    <w:rsid w:val="00F67846"/>
    <w:rsid w:val="00F67B42"/>
    <w:rsid w:val="00F67B54"/>
    <w:rsid w:val="00F67C74"/>
    <w:rsid w:val="00F70147"/>
    <w:rsid w:val="00F70165"/>
    <w:rsid w:val="00F706A4"/>
    <w:rsid w:val="00F70A49"/>
    <w:rsid w:val="00F70AD7"/>
    <w:rsid w:val="00F70B72"/>
    <w:rsid w:val="00F70DEF"/>
    <w:rsid w:val="00F70EA3"/>
    <w:rsid w:val="00F710DE"/>
    <w:rsid w:val="00F71374"/>
    <w:rsid w:val="00F71398"/>
    <w:rsid w:val="00F71613"/>
    <w:rsid w:val="00F717F5"/>
    <w:rsid w:val="00F71957"/>
    <w:rsid w:val="00F71A7A"/>
    <w:rsid w:val="00F71BB1"/>
    <w:rsid w:val="00F71F1B"/>
    <w:rsid w:val="00F7294C"/>
    <w:rsid w:val="00F72A6D"/>
    <w:rsid w:val="00F72C5F"/>
    <w:rsid w:val="00F732BE"/>
    <w:rsid w:val="00F73400"/>
    <w:rsid w:val="00F73549"/>
    <w:rsid w:val="00F736BE"/>
    <w:rsid w:val="00F747EA"/>
    <w:rsid w:val="00F74A09"/>
    <w:rsid w:val="00F751D7"/>
    <w:rsid w:val="00F752EA"/>
    <w:rsid w:val="00F75782"/>
    <w:rsid w:val="00F759EC"/>
    <w:rsid w:val="00F76064"/>
    <w:rsid w:val="00F7614F"/>
    <w:rsid w:val="00F76555"/>
    <w:rsid w:val="00F765EF"/>
    <w:rsid w:val="00F76692"/>
    <w:rsid w:val="00F769E9"/>
    <w:rsid w:val="00F76C69"/>
    <w:rsid w:val="00F76D00"/>
    <w:rsid w:val="00F7759C"/>
    <w:rsid w:val="00F7774E"/>
    <w:rsid w:val="00F77B2D"/>
    <w:rsid w:val="00F77EA1"/>
    <w:rsid w:val="00F80C1D"/>
    <w:rsid w:val="00F80DAB"/>
    <w:rsid w:val="00F8103B"/>
    <w:rsid w:val="00F81130"/>
    <w:rsid w:val="00F816F1"/>
    <w:rsid w:val="00F818F7"/>
    <w:rsid w:val="00F81F9A"/>
    <w:rsid w:val="00F8211B"/>
    <w:rsid w:val="00F8259B"/>
    <w:rsid w:val="00F829E2"/>
    <w:rsid w:val="00F8325D"/>
    <w:rsid w:val="00F832A9"/>
    <w:rsid w:val="00F832B0"/>
    <w:rsid w:val="00F83307"/>
    <w:rsid w:val="00F833A5"/>
    <w:rsid w:val="00F83545"/>
    <w:rsid w:val="00F83748"/>
    <w:rsid w:val="00F837C9"/>
    <w:rsid w:val="00F83EAE"/>
    <w:rsid w:val="00F83FB7"/>
    <w:rsid w:val="00F844D3"/>
    <w:rsid w:val="00F84629"/>
    <w:rsid w:val="00F84888"/>
    <w:rsid w:val="00F84B71"/>
    <w:rsid w:val="00F84F0E"/>
    <w:rsid w:val="00F8519E"/>
    <w:rsid w:val="00F8549C"/>
    <w:rsid w:val="00F85CF1"/>
    <w:rsid w:val="00F85E41"/>
    <w:rsid w:val="00F85FF5"/>
    <w:rsid w:val="00F8612B"/>
    <w:rsid w:val="00F86252"/>
    <w:rsid w:val="00F863FE"/>
    <w:rsid w:val="00F86595"/>
    <w:rsid w:val="00F86BB4"/>
    <w:rsid w:val="00F86E52"/>
    <w:rsid w:val="00F86E6B"/>
    <w:rsid w:val="00F870F5"/>
    <w:rsid w:val="00F874B0"/>
    <w:rsid w:val="00F87575"/>
    <w:rsid w:val="00F87B58"/>
    <w:rsid w:val="00F87FE9"/>
    <w:rsid w:val="00F902D2"/>
    <w:rsid w:val="00F9054B"/>
    <w:rsid w:val="00F90B12"/>
    <w:rsid w:val="00F90CBD"/>
    <w:rsid w:val="00F9109E"/>
    <w:rsid w:val="00F913A2"/>
    <w:rsid w:val="00F9177E"/>
    <w:rsid w:val="00F91AE5"/>
    <w:rsid w:val="00F91D19"/>
    <w:rsid w:val="00F91E4F"/>
    <w:rsid w:val="00F91FDF"/>
    <w:rsid w:val="00F9220E"/>
    <w:rsid w:val="00F9251C"/>
    <w:rsid w:val="00F92647"/>
    <w:rsid w:val="00F92AA1"/>
    <w:rsid w:val="00F92AD5"/>
    <w:rsid w:val="00F92FDC"/>
    <w:rsid w:val="00F930BB"/>
    <w:rsid w:val="00F931D2"/>
    <w:rsid w:val="00F93431"/>
    <w:rsid w:val="00F938AC"/>
    <w:rsid w:val="00F938B2"/>
    <w:rsid w:val="00F9399F"/>
    <w:rsid w:val="00F93A4A"/>
    <w:rsid w:val="00F93ABA"/>
    <w:rsid w:val="00F93C4F"/>
    <w:rsid w:val="00F93D27"/>
    <w:rsid w:val="00F9420C"/>
    <w:rsid w:val="00F94B70"/>
    <w:rsid w:val="00F94CD9"/>
    <w:rsid w:val="00F94FF3"/>
    <w:rsid w:val="00F9505A"/>
    <w:rsid w:val="00F9507E"/>
    <w:rsid w:val="00F953EA"/>
    <w:rsid w:val="00F9542F"/>
    <w:rsid w:val="00F95B99"/>
    <w:rsid w:val="00F95DD6"/>
    <w:rsid w:val="00F96060"/>
    <w:rsid w:val="00F96370"/>
    <w:rsid w:val="00F96F91"/>
    <w:rsid w:val="00F97162"/>
    <w:rsid w:val="00F97616"/>
    <w:rsid w:val="00F97940"/>
    <w:rsid w:val="00F97B9B"/>
    <w:rsid w:val="00F97BA3"/>
    <w:rsid w:val="00F97E19"/>
    <w:rsid w:val="00F97EA2"/>
    <w:rsid w:val="00F97EAE"/>
    <w:rsid w:val="00F97F0D"/>
    <w:rsid w:val="00FA03DE"/>
    <w:rsid w:val="00FA0B0A"/>
    <w:rsid w:val="00FA121C"/>
    <w:rsid w:val="00FA12F6"/>
    <w:rsid w:val="00FA1407"/>
    <w:rsid w:val="00FA171F"/>
    <w:rsid w:val="00FA1782"/>
    <w:rsid w:val="00FA19D2"/>
    <w:rsid w:val="00FA1A68"/>
    <w:rsid w:val="00FA1B1A"/>
    <w:rsid w:val="00FA204A"/>
    <w:rsid w:val="00FA2076"/>
    <w:rsid w:val="00FA24DD"/>
    <w:rsid w:val="00FA2747"/>
    <w:rsid w:val="00FA28C4"/>
    <w:rsid w:val="00FA2942"/>
    <w:rsid w:val="00FA2A33"/>
    <w:rsid w:val="00FA2C8F"/>
    <w:rsid w:val="00FA2CF7"/>
    <w:rsid w:val="00FA2D82"/>
    <w:rsid w:val="00FA30CA"/>
    <w:rsid w:val="00FA314B"/>
    <w:rsid w:val="00FA3410"/>
    <w:rsid w:val="00FA34CA"/>
    <w:rsid w:val="00FA34EA"/>
    <w:rsid w:val="00FA360B"/>
    <w:rsid w:val="00FA3860"/>
    <w:rsid w:val="00FA3A50"/>
    <w:rsid w:val="00FA3E5B"/>
    <w:rsid w:val="00FA45EE"/>
    <w:rsid w:val="00FA4763"/>
    <w:rsid w:val="00FA4830"/>
    <w:rsid w:val="00FA5032"/>
    <w:rsid w:val="00FA532E"/>
    <w:rsid w:val="00FA582D"/>
    <w:rsid w:val="00FA5DC7"/>
    <w:rsid w:val="00FA5DCA"/>
    <w:rsid w:val="00FA5FA8"/>
    <w:rsid w:val="00FA5FC3"/>
    <w:rsid w:val="00FA6252"/>
    <w:rsid w:val="00FA6980"/>
    <w:rsid w:val="00FA6CDF"/>
    <w:rsid w:val="00FA7137"/>
    <w:rsid w:val="00FA7BB5"/>
    <w:rsid w:val="00FA7C00"/>
    <w:rsid w:val="00FA7C3D"/>
    <w:rsid w:val="00FA7C85"/>
    <w:rsid w:val="00FA7F2D"/>
    <w:rsid w:val="00FB0176"/>
    <w:rsid w:val="00FB04FD"/>
    <w:rsid w:val="00FB05BC"/>
    <w:rsid w:val="00FB08EE"/>
    <w:rsid w:val="00FB0903"/>
    <w:rsid w:val="00FB1096"/>
    <w:rsid w:val="00FB11E5"/>
    <w:rsid w:val="00FB12D8"/>
    <w:rsid w:val="00FB150F"/>
    <w:rsid w:val="00FB1644"/>
    <w:rsid w:val="00FB176A"/>
    <w:rsid w:val="00FB1CDC"/>
    <w:rsid w:val="00FB234D"/>
    <w:rsid w:val="00FB238A"/>
    <w:rsid w:val="00FB2446"/>
    <w:rsid w:val="00FB2C81"/>
    <w:rsid w:val="00FB31CF"/>
    <w:rsid w:val="00FB335A"/>
    <w:rsid w:val="00FB35CB"/>
    <w:rsid w:val="00FB3BC4"/>
    <w:rsid w:val="00FB3F9C"/>
    <w:rsid w:val="00FB3FDE"/>
    <w:rsid w:val="00FB40E8"/>
    <w:rsid w:val="00FB43C2"/>
    <w:rsid w:val="00FB4676"/>
    <w:rsid w:val="00FB4A1B"/>
    <w:rsid w:val="00FB4AAE"/>
    <w:rsid w:val="00FB5402"/>
    <w:rsid w:val="00FB5552"/>
    <w:rsid w:val="00FB5789"/>
    <w:rsid w:val="00FB5CAB"/>
    <w:rsid w:val="00FB5F3A"/>
    <w:rsid w:val="00FB5F52"/>
    <w:rsid w:val="00FB609F"/>
    <w:rsid w:val="00FB652A"/>
    <w:rsid w:val="00FB6757"/>
    <w:rsid w:val="00FB675E"/>
    <w:rsid w:val="00FB68CD"/>
    <w:rsid w:val="00FB6A6B"/>
    <w:rsid w:val="00FB6AA9"/>
    <w:rsid w:val="00FB6AD4"/>
    <w:rsid w:val="00FB6C40"/>
    <w:rsid w:val="00FB7340"/>
    <w:rsid w:val="00FB7683"/>
    <w:rsid w:val="00FB7AF7"/>
    <w:rsid w:val="00FB7E7C"/>
    <w:rsid w:val="00FB7F22"/>
    <w:rsid w:val="00FC00F3"/>
    <w:rsid w:val="00FC0336"/>
    <w:rsid w:val="00FC0A33"/>
    <w:rsid w:val="00FC0E07"/>
    <w:rsid w:val="00FC10B0"/>
    <w:rsid w:val="00FC1416"/>
    <w:rsid w:val="00FC14B2"/>
    <w:rsid w:val="00FC1823"/>
    <w:rsid w:val="00FC1929"/>
    <w:rsid w:val="00FC1C94"/>
    <w:rsid w:val="00FC2182"/>
    <w:rsid w:val="00FC2198"/>
    <w:rsid w:val="00FC2286"/>
    <w:rsid w:val="00FC26A4"/>
    <w:rsid w:val="00FC2A57"/>
    <w:rsid w:val="00FC2ACB"/>
    <w:rsid w:val="00FC2C93"/>
    <w:rsid w:val="00FC325A"/>
    <w:rsid w:val="00FC331B"/>
    <w:rsid w:val="00FC33ED"/>
    <w:rsid w:val="00FC43AD"/>
    <w:rsid w:val="00FC486D"/>
    <w:rsid w:val="00FC4961"/>
    <w:rsid w:val="00FC5183"/>
    <w:rsid w:val="00FC5876"/>
    <w:rsid w:val="00FC5CFA"/>
    <w:rsid w:val="00FC62F5"/>
    <w:rsid w:val="00FC64DA"/>
    <w:rsid w:val="00FC6717"/>
    <w:rsid w:val="00FC6E98"/>
    <w:rsid w:val="00FC731E"/>
    <w:rsid w:val="00FC740C"/>
    <w:rsid w:val="00FC75AC"/>
    <w:rsid w:val="00FC7622"/>
    <w:rsid w:val="00FD01D1"/>
    <w:rsid w:val="00FD035A"/>
    <w:rsid w:val="00FD0ACD"/>
    <w:rsid w:val="00FD0CA3"/>
    <w:rsid w:val="00FD0E4A"/>
    <w:rsid w:val="00FD1813"/>
    <w:rsid w:val="00FD19F1"/>
    <w:rsid w:val="00FD1A7E"/>
    <w:rsid w:val="00FD1C4E"/>
    <w:rsid w:val="00FD1EBF"/>
    <w:rsid w:val="00FD1F7B"/>
    <w:rsid w:val="00FD255A"/>
    <w:rsid w:val="00FD279E"/>
    <w:rsid w:val="00FD293C"/>
    <w:rsid w:val="00FD2BB1"/>
    <w:rsid w:val="00FD2CC3"/>
    <w:rsid w:val="00FD2D80"/>
    <w:rsid w:val="00FD2F9F"/>
    <w:rsid w:val="00FD31BF"/>
    <w:rsid w:val="00FD3248"/>
    <w:rsid w:val="00FD35A1"/>
    <w:rsid w:val="00FD3CC7"/>
    <w:rsid w:val="00FD3F83"/>
    <w:rsid w:val="00FD4148"/>
    <w:rsid w:val="00FD4630"/>
    <w:rsid w:val="00FD47C8"/>
    <w:rsid w:val="00FD4D5B"/>
    <w:rsid w:val="00FD4DC2"/>
    <w:rsid w:val="00FD4EA3"/>
    <w:rsid w:val="00FD5BDE"/>
    <w:rsid w:val="00FD6453"/>
    <w:rsid w:val="00FD662C"/>
    <w:rsid w:val="00FD67FD"/>
    <w:rsid w:val="00FD6D27"/>
    <w:rsid w:val="00FD6E27"/>
    <w:rsid w:val="00FD6FE6"/>
    <w:rsid w:val="00FD714E"/>
    <w:rsid w:val="00FD71DE"/>
    <w:rsid w:val="00FD72AA"/>
    <w:rsid w:val="00FD7399"/>
    <w:rsid w:val="00FD768B"/>
    <w:rsid w:val="00FD77DF"/>
    <w:rsid w:val="00FD7CB2"/>
    <w:rsid w:val="00FD7D46"/>
    <w:rsid w:val="00FD7D8B"/>
    <w:rsid w:val="00FE0A68"/>
    <w:rsid w:val="00FE0AF2"/>
    <w:rsid w:val="00FE10EF"/>
    <w:rsid w:val="00FE17CB"/>
    <w:rsid w:val="00FE1C47"/>
    <w:rsid w:val="00FE2081"/>
    <w:rsid w:val="00FE21D1"/>
    <w:rsid w:val="00FE22DD"/>
    <w:rsid w:val="00FE239F"/>
    <w:rsid w:val="00FE27C5"/>
    <w:rsid w:val="00FE2B15"/>
    <w:rsid w:val="00FE2CFB"/>
    <w:rsid w:val="00FE2F6A"/>
    <w:rsid w:val="00FE345A"/>
    <w:rsid w:val="00FE35E2"/>
    <w:rsid w:val="00FE4191"/>
    <w:rsid w:val="00FE43D3"/>
    <w:rsid w:val="00FE45D4"/>
    <w:rsid w:val="00FE4764"/>
    <w:rsid w:val="00FE482F"/>
    <w:rsid w:val="00FE497D"/>
    <w:rsid w:val="00FE4A60"/>
    <w:rsid w:val="00FE4BF8"/>
    <w:rsid w:val="00FE4F85"/>
    <w:rsid w:val="00FE5027"/>
    <w:rsid w:val="00FE516E"/>
    <w:rsid w:val="00FE54E0"/>
    <w:rsid w:val="00FE558A"/>
    <w:rsid w:val="00FE55F0"/>
    <w:rsid w:val="00FE5834"/>
    <w:rsid w:val="00FE5B0A"/>
    <w:rsid w:val="00FE5D5A"/>
    <w:rsid w:val="00FE5ECA"/>
    <w:rsid w:val="00FE60CF"/>
    <w:rsid w:val="00FE6331"/>
    <w:rsid w:val="00FE65BC"/>
    <w:rsid w:val="00FE67C6"/>
    <w:rsid w:val="00FE685B"/>
    <w:rsid w:val="00FE6C12"/>
    <w:rsid w:val="00FE70DA"/>
    <w:rsid w:val="00FE7894"/>
    <w:rsid w:val="00FE7E88"/>
    <w:rsid w:val="00FF01FA"/>
    <w:rsid w:val="00FF046F"/>
    <w:rsid w:val="00FF0B20"/>
    <w:rsid w:val="00FF0D92"/>
    <w:rsid w:val="00FF0E37"/>
    <w:rsid w:val="00FF1614"/>
    <w:rsid w:val="00FF1A38"/>
    <w:rsid w:val="00FF2147"/>
    <w:rsid w:val="00FF21B5"/>
    <w:rsid w:val="00FF21C3"/>
    <w:rsid w:val="00FF2443"/>
    <w:rsid w:val="00FF27E3"/>
    <w:rsid w:val="00FF2A11"/>
    <w:rsid w:val="00FF2AA0"/>
    <w:rsid w:val="00FF2CA9"/>
    <w:rsid w:val="00FF2CB2"/>
    <w:rsid w:val="00FF2E08"/>
    <w:rsid w:val="00FF2F12"/>
    <w:rsid w:val="00FF354A"/>
    <w:rsid w:val="00FF3602"/>
    <w:rsid w:val="00FF386E"/>
    <w:rsid w:val="00FF3F6C"/>
    <w:rsid w:val="00FF408A"/>
    <w:rsid w:val="00FF427B"/>
    <w:rsid w:val="00FF4603"/>
    <w:rsid w:val="00FF497E"/>
    <w:rsid w:val="00FF4B07"/>
    <w:rsid w:val="00FF4BFC"/>
    <w:rsid w:val="00FF4C11"/>
    <w:rsid w:val="00FF56B9"/>
    <w:rsid w:val="00FF57E8"/>
    <w:rsid w:val="00FF58C0"/>
    <w:rsid w:val="00FF5948"/>
    <w:rsid w:val="00FF5CE6"/>
    <w:rsid w:val="00FF613E"/>
    <w:rsid w:val="00FF65F8"/>
    <w:rsid w:val="00FF6768"/>
    <w:rsid w:val="00FF685A"/>
    <w:rsid w:val="00FF69AB"/>
    <w:rsid w:val="00FF6B71"/>
    <w:rsid w:val="00FF6EDF"/>
    <w:rsid w:val="00FF6EEA"/>
    <w:rsid w:val="00FF7080"/>
    <w:rsid w:val="00FF7777"/>
    <w:rsid w:val="00FF77DF"/>
    <w:rsid w:val="00FF782D"/>
    <w:rsid w:val="00FF7A55"/>
    <w:rsid w:val="00FF7ABB"/>
    <w:rsid w:val="00FF7B99"/>
    <w:rsid w:val="00FF7C26"/>
    <w:rsid w:val="0114ADD0"/>
    <w:rsid w:val="01343F20"/>
    <w:rsid w:val="01F00396"/>
    <w:rsid w:val="01FA2D0C"/>
    <w:rsid w:val="01FE1E03"/>
    <w:rsid w:val="02112149"/>
    <w:rsid w:val="02512F52"/>
    <w:rsid w:val="0269C73C"/>
    <w:rsid w:val="027CDB1F"/>
    <w:rsid w:val="0368C96E"/>
    <w:rsid w:val="03AD87FC"/>
    <w:rsid w:val="03D55FA6"/>
    <w:rsid w:val="03F6B39D"/>
    <w:rsid w:val="049D6F42"/>
    <w:rsid w:val="049E0968"/>
    <w:rsid w:val="055F0B5D"/>
    <w:rsid w:val="05672AB9"/>
    <w:rsid w:val="0583159D"/>
    <w:rsid w:val="05A78359"/>
    <w:rsid w:val="05AB22E5"/>
    <w:rsid w:val="05E4268B"/>
    <w:rsid w:val="06415610"/>
    <w:rsid w:val="06C4260A"/>
    <w:rsid w:val="06E07830"/>
    <w:rsid w:val="070B616F"/>
    <w:rsid w:val="07555A57"/>
    <w:rsid w:val="079398B0"/>
    <w:rsid w:val="0796CEBC"/>
    <w:rsid w:val="07DEC2F7"/>
    <w:rsid w:val="07E2D5A1"/>
    <w:rsid w:val="084F6B98"/>
    <w:rsid w:val="0862BE31"/>
    <w:rsid w:val="08DC07B5"/>
    <w:rsid w:val="08EBEBC4"/>
    <w:rsid w:val="093E90A6"/>
    <w:rsid w:val="09753E3E"/>
    <w:rsid w:val="0979674F"/>
    <w:rsid w:val="09B837C7"/>
    <w:rsid w:val="0A1C12AC"/>
    <w:rsid w:val="0A26EBBC"/>
    <w:rsid w:val="0A2ECB14"/>
    <w:rsid w:val="0B37138B"/>
    <w:rsid w:val="0B49E411"/>
    <w:rsid w:val="0B739192"/>
    <w:rsid w:val="0B8F1B69"/>
    <w:rsid w:val="0C238C86"/>
    <w:rsid w:val="0C43E38F"/>
    <w:rsid w:val="0C53B5DF"/>
    <w:rsid w:val="0C74B6B6"/>
    <w:rsid w:val="0C8DE1D9"/>
    <w:rsid w:val="0CDB8991"/>
    <w:rsid w:val="0CF47952"/>
    <w:rsid w:val="0CF68692"/>
    <w:rsid w:val="0CF78354"/>
    <w:rsid w:val="0D11F09A"/>
    <w:rsid w:val="0D34AA0E"/>
    <w:rsid w:val="0DF728C4"/>
    <w:rsid w:val="0E3C293D"/>
    <w:rsid w:val="0E79ABCF"/>
    <w:rsid w:val="0EB55E41"/>
    <w:rsid w:val="0EBE09B4"/>
    <w:rsid w:val="0EC8262F"/>
    <w:rsid w:val="0F458EF1"/>
    <w:rsid w:val="10042335"/>
    <w:rsid w:val="104D9FD5"/>
    <w:rsid w:val="10576F42"/>
    <w:rsid w:val="1098457D"/>
    <w:rsid w:val="10C33CE7"/>
    <w:rsid w:val="10C68BEA"/>
    <w:rsid w:val="10D14621"/>
    <w:rsid w:val="10F9CBEC"/>
    <w:rsid w:val="10FE03A1"/>
    <w:rsid w:val="11365AF4"/>
    <w:rsid w:val="11508A08"/>
    <w:rsid w:val="11CABAC2"/>
    <w:rsid w:val="11F00A07"/>
    <w:rsid w:val="11F0342F"/>
    <w:rsid w:val="11F51AC8"/>
    <w:rsid w:val="12133EEA"/>
    <w:rsid w:val="1215EC2A"/>
    <w:rsid w:val="121B50DB"/>
    <w:rsid w:val="12D43E4D"/>
    <w:rsid w:val="12DDF2B9"/>
    <w:rsid w:val="134D06BE"/>
    <w:rsid w:val="14013A38"/>
    <w:rsid w:val="141F30D2"/>
    <w:rsid w:val="145B2D48"/>
    <w:rsid w:val="150DDE01"/>
    <w:rsid w:val="15AF83D3"/>
    <w:rsid w:val="15CA6ECC"/>
    <w:rsid w:val="15CEAC8E"/>
    <w:rsid w:val="160E2A48"/>
    <w:rsid w:val="1637A769"/>
    <w:rsid w:val="165B62A2"/>
    <w:rsid w:val="1664DD0B"/>
    <w:rsid w:val="16932B6C"/>
    <w:rsid w:val="1699B731"/>
    <w:rsid w:val="174B6240"/>
    <w:rsid w:val="1769C9F3"/>
    <w:rsid w:val="178D054D"/>
    <w:rsid w:val="179A2C0C"/>
    <w:rsid w:val="17B12A30"/>
    <w:rsid w:val="17C2E2E5"/>
    <w:rsid w:val="17EF26EE"/>
    <w:rsid w:val="17FEC1AB"/>
    <w:rsid w:val="18487639"/>
    <w:rsid w:val="18640524"/>
    <w:rsid w:val="1871EC8A"/>
    <w:rsid w:val="1871F18F"/>
    <w:rsid w:val="189075C6"/>
    <w:rsid w:val="18EB5964"/>
    <w:rsid w:val="190C9C8B"/>
    <w:rsid w:val="19824B91"/>
    <w:rsid w:val="1987A1FB"/>
    <w:rsid w:val="199B79EB"/>
    <w:rsid w:val="19A5C5CF"/>
    <w:rsid w:val="1A19A765"/>
    <w:rsid w:val="1A4B2021"/>
    <w:rsid w:val="1A62E807"/>
    <w:rsid w:val="1A650B4F"/>
    <w:rsid w:val="1AD643B9"/>
    <w:rsid w:val="1AF1EBAE"/>
    <w:rsid w:val="1AFE009C"/>
    <w:rsid w:val="1B398B86"/>
    <w:rsid w:val="1B7D5E1D"/>
    <w:rsid w:val="1B83FFE2"/>
    <w:rsid w:val="1BAFE439"/>
    <w:rsid w:val="1C042CC1"/>
    <w:rsid w:val="1C6CA1D7"/>
    <w:rsid w:val="1C903881"/>
    <w:rsid w:val="1D451254"/>
    <w:rsid w:val="1D54F572"/>
    <w:rsid w:val="1DBF10DD"/>
    <w:rsid w:val="1DC1B738"/>
    <w:rsid w:val="1E0164CF"/>
    <w:rsid w:val="1E03D5F6"/>
    <w:rsid w:val="1E27A282"/>
    <w:rsid w:val="1E802C34"/>
    <w:rsid w:val="1F363132"/>
    <w:rsid w:val="1F67A0D4"/>
    <w:rsid w:val="1F798193"/>
    <w:rsid w:val="1F9E142F"/>
    <w:rsid w:val="1FA21D8D"/>
    <w:rsid w:val="205F3310"/>
    <w:rsid w:val="20797DA5"/>
    <w:rsid w:val="20D7F525"/>
    <w:rsid w:val="20F69A86"/>
    <w:rsid w:val="211654D5"/>
    <w:rsid w:val="219267E4"/>
    <w:rsid w:val="21AB2859"/>
    <w:rsid w:val="21C9E3DB"/>
    <w:rsid w:val="2205947E"/>
    <w:rsid w:val="22086F28"/>
    <w:rsid w:val="22329D47"/>
    <w:rsid w:val="2232B064"/>
    <w:rsid w:val="22465112"/>
    <w:rsid w:val="2273FC0D"/>
    <w:rsid w:val="22C49601"/>
    <w:rsid w:val="22D37607"/>
    <w:rsid w:val="23093B40"/>
    <w:rsid w:val="23917082"/>
    <w:rsid w:val="23BBF949"/>
    <w:rsid w:val="23BCAA80"/>
    <w:rsid w:val="23C53CFD"/>
    <w:rsid w:val="2448DBFD"/>
    <w:rsid w:val="247CC0B5"/>
    <w:rsid w:val="24A2550F"/>
    <w:rsid w:val="24E57981"/>
    <w:rsid w:val="25465C39"/>
    <w:rsid w:val="2546FC69"/>
    <w:rsid w:val="254C3BCF"/>
    <w:rsid w:val="257A039A"/>
    <w:rsid w:val="25F38B09"/>
    <w:rsid w:val="25F8967E"/>
    <w:rsid w:val="2626710E"/>
    <w:rsid w:val="26447837"/>
    <w:rsid w:val="2649B3DA"/>
    <w:rsid w:val="2674AFD3"/>
    <w:rsid w:val="269FD645"/>
    <w:rsid w:val="26EE6FE0"/>
    <w:rsid w:val="272775AD"/>
    <w:rsid w:val="276D79B7"/>
    <w:rsid w:val="277D00C3"/>
    <w:rsid w:val="2802EB2F"/>
    <w:rsid w:val="281012CB"/>
    <w:rsid w:val="28277351"/>
    <w:rsid w:val="2880849A"/>
    <w:rsid w:val="2890CC2D"/>
    <w:rsid w:val="28DFB3B7"/>
    <w:rsid w:val="28FFF0DB"/>
    <w:rsid w:val="291C57C6"/>
    <w:rsid w:val="293A5720"/>
    <w:rsid w:val="293AC6B5"/>
    <w:rsid w:val="293BF17C"/>
    <w:rsid w:val="29730E31"/>
    <w:rsid w:val="29CC04EA"/>
    <w:rsid w:val="29D3F9A1"/>
    <w:rsid w:val="29E28538"/>
    <w:rsid w:val="29F2CDEE"/>
    <w:rsid w:val="2A551A10"/>
    <w:rsid w:val="2A838AEE"/>
    <w:rsid w:val="2AD4F053"/>
    <w:rsid w:val="2B1E8F88"/>
    <w:rsid w:val="2B267238"/>
    <w:rsid w:val="2B9A3808"/>
    <w:rsid w:val="2BA535FB"/>
    <w:rsid w:val="2BF178FA"/>
    <w:rsid w:val="2C273E50"/>
    <w:rsid w:val="2C32A6AB"/>
    <w:rsid w:val="2C8C2C63"/>
    <w:rsid w:val="2CE471A4"/>
    <w:rsid w:val="2D2A6EB0"/>
    <w:rsid w:val="2D688ABF"/>
    <w:rsid w:val="2DCEFE97"/>
    <w:rsid w:val="2DE205DB"/>
    <w:rsid w:val="2DEB709B"/>
    <w:rsid w:val="2E1D991C"/>
    <w:rsid w:val="2EA2C0C6"/>
    <w:rsid w:val="2ECA1473"/>
    <w:rsid w:val="2EEA36A9"/>
    <w:rsid w:val="2EFF0DDD"/>
    <w:rsid w:val="2F6FB637"/>
    <w:rsid w:val="2F7FC3B0"/>
    <w:rsid w:val="2FBFC53D"/>
    <w:rsid w:val="2FD7EAAA"/>
    <w:rsid w:val="2FFEA1D1"/>
    <w:rsid w:val="3022AD6C"/>
    <w:rsid w:val="3080A5BC"/>
    <w:rsid w:val="309486D8"/>
    <w:rsid w:val="30AE2660"/>
    <w:rsid w:val="30C3BB2D"/>
    <w:rsid w:val="31302B92"/>
    <w:rsid w:val="315E074D"/>
    <w:rsid w:val="31E64AF9"/>
    <w:rsid w:val="3214777F"/>
    <w:rsid w:val="322D37FC"/>
    <w:rsid w:val="325EAE25"/>
    <w:rsid w:val="32AF53D9"/>
    <w:rsid w:val="331DFED2"/>
    <w:rsid w:val="3326A424"/>
    <w:rsid w:val="3387D23E"/>
    <w:rsid w:val="33B64F87"/>
    <w:rsid w:val="340B22B9"/>
    <w:rsid w:val="34205903"/>
    <w:rsid w:val="3420CFE4"/>
    <w:rsid w:val="349E2FA7"/>
    <w:rsid w:val="34B2F3A8"/>
    <w:rsid w:val="351DD590"/>
    <w:rsid w:val="3543AA89"/>
    <w:rsid w:val="358AC50F"/>
    <w:rsid w:val="36515456"/>
    <w:rsid w:val="368B4A8D"/>
    <w:rsid w:val="36A067C5"/>
    <w:rsid w:val="36A36CE1"/>
    <w:rsid w:val="372FFEBB"/>
    <w:rsid w:val="3740E773"/>
    <w:rsid w:val="379D5CE4"/>
    <w:rsid w:val="38180C40"/>
    <w:rsid w:val="3846CB27"/>
    <w:rsid w:val="3851BA50"/>
    <w:rsid w:val="385D8FA3"/>
    <w:rsid w:val="387E40BC"/>
    <w:rsid w:val="38BEC4D6"/>
    <w:rsid w:val="39AD78A9"/>
    <w:rsid w:val="39C04E47"/>
    <w:rsid w:val="39FC0BF0"/>
    <w:rsid w:val="3A40C6EE"/>
    <w:rsid w:val="3A4C5D20"/>
    <w:rsid w:val="3A532116"/>
    <w:rsid w:val="3A5B50BC"/>
    <w:rsid w:val="3A8ADD7A"/>
    <w:rsid w:val="3AC99FCC"/>
    <w:rsid w:val="3AE8317A"/>
    <w:rsid w:val="3AF58D0C"/>
    <w:rsid w:val="3B56A5B1"/>
    <w:rsid w:val="3B6676D1"/>
    <w:rsid w:val="3B8403B3"/>
    <w:rsid w:val="3BA6CEAA"/>
    <w:rsid w:val="3BAEFD72"/>
    <w:rsid w:val="3BB44D0F"/>
    <w:rsid w:val="3BCD052E"/>
    <w:rsid w:val="3C06BDB8"/>
    <w:rsid w:val="3C5DD32D"/>
    <w:rsid w:val="3C7B3E58"/>
    <w:rsid w:val="3C93D7A4"/>
    <w:rsid w:val="3D5A2F3F"/>
    <w:rsid w:val="3E60F5B6"/>
    <w:rsid w:val="3EBC4903"/>
    <w:rsid w:val="3ED2A643"/>
    <w:rsid w:val="3EEA67B3"/>
    <w:rsid w:val="3F073C88"/>
    <w:rsid w:val="3F772328"/>
    <w:rsid w:val="3FCFCE24"/>
    <w:rsid w:val="40024D40"/>
    <w:rsid w:val="407DB175"/>
    <w:rsid w:val="40950792"/>
    <w:rsid w:val="40F948E3"/>
    <w:rsid w:val="41366F27"/>
    <w:rsid w:val="41926C92"/>
    <w:rsid w:val="41E48AB8"/>
    <w:rsid w:val="4216102E"/>
    <w:rsid w:val="4236A7BC"/>
    <w:rsid w:val="424FC6FA"/>
    <w:rsid w:val="426A28F4"/>
    <w:rsid w:val="42AB249C"/>
    <w:rsid w:val="42BBA266"/>
    <w:rsid w:val="42BE8DE2"/>
    <w:rsid w:val="42CF98DA"/>
    <w:rsid w:val="43085F6B"/>
    <w:rsid w:val="43174980"/>
    <w:rsid w:val="43CF7F58"/>
    <w:rsid w:val="440BF756"/>
    <w:rsid w:val="44169FB0"/>
    <w:rsid w:val="44768C4E"/>
    <w:rsid w:val="4485BEB6"/>
    <w:rsid w:val="448D41D7"/>
    <w:rsid w:val="44C80672"/>
    <w:rsid w:val="450EE890"/>
    <w:rsid w:val="451BF9E2"/>
    <w:rsid w:val="457994FD"/>
    <w:rsid w:val="45E22DE6"/>
    <w:rsid w:val="45F8D2CE"/>
    <w:rsid w:val="45FBA8DC"/>
    <w:rsid w:val="46990DC6"/>
    <w:rsid w:val="469D240A"/>
    <w:rsid w:val="46A816EF"/>
    <w:rsid w:val="46B7280A"/>
    <w:rsid w:val="4722CE48"/>
    <w:rsid w:val="4795DC56"/>
    <w:rsid w:val="47CD33CB"/>
    <w:rsid w:val="47DD4444"/>
    <w:rsid w:val="4853CC3C"/>
    <w:rsid w:val="48820D2E"/>
    <w:rsid w:val="48E8D40A"/>
    <w:rsid w:val="49419C1B"/>
    <w:rsid w:val="4A498877"/>
    <w:rsid w:val="4AAB99EB"/>
    <w:rsid w:val="4AB2CD14"/>
    <w:rsid w:val="4AE5CA7A"/>
    <w:rsid w:val="4B086E07"/>
    <w:rsid w:val="4B14E159"/>
    <w:rsid w:val="4B61DA55"/>
    <w:rsid w:val="4B95B2D7"/>
    <w:rsid w:val="4B9EDB32"/>
    <w:rsid w:val="4C2008F3"/>
    <w:rsid w:val="4CC52438"/>
    <w:rsid w:val="4D26A720"/>
    <w:rsid w:val="4D8320F1"/>
    <w:rsid w:val="4DA045E3"/>
    <w:rsid w:val="4DB9A476"/>
    <w:rsid w:val="4DEE6822"/>
    <w:rsid w:val="4E26594A"/>
    <w:rsid w:val="4E38CFBB"/>
    <w:rsid w:val="4E56A945"/>
    <w:rsid w:val="4E717A73"/>
    <w:rsid w:val="4E725917"/>
    <w:rsid w:val="4EAC24F2"/>
    <w:rsid w:val="4ED63719"/>
    <w:rsid w:val="4F049F67"/>
    <w:rsid w:val="4F511421"/>
    <w:rsid w:val="4F6C8513"/>
    <w:rsid w:val="4FDFC75C"/>
    <w:rsid w:val="5030726E"/>
    <w:rsid w:val="507D648C"/>
    <w:rsid w:val="50BAA0C6"/>
    <w:rsid w:val="50E8AD60"/>
    <w:rsid w:val="51070052"/>
    <w:rsid w:val="5126E337"/>
    <w:rsid w:val="5142EEBD"/>
    <w:rsid w:val="5170DF22"/>
    <w:rsid w:val="51BB4AF6"/>
    <w:rsid w:val="5228690F"/>
    <w:rsid w:val="5256846E"/>
    <w:rsid w:val="5279DBA0"/>
    <w:rsid w:val="5292298A"/>
    <w:rsid w:val="52C5F755"/>
    <w:rsid w:val="52D85909"/>
    <w:rsid w:val="53DBBC28"/>
    <w:rsid w:val="53E915AA"/>
    <w:rsid w:val="540793A9"/>
    <w:rsid w:val="5489591E"/>
    <w:rsid w:val="54C879A3"/>
    <w:rsid w:val="54D224FC"/>
    <w:rsid w:val="554E0EAE"/>
    <w:rsid w:val="554FF9B2"/>
    <w:rsid w:val="5556BD4C"/>
    <w:rsid w:val="555E84DD"/>
    <w:rsid w:val="5575617A"/>
    <w:rsid w:val="55AD9AEE"/>
    <w:rsid w:val="55DA28E4"/>
    <w:rsid w:val="560D0F52"/>
    <w:rsid w:val="56123EE3"/>
    <w:rsid w:val="5618B203"/>
    <w:rsid w:val="56445045"/>
    <w:rsid w:val="569EF282"/>
    <w:rsid w:val="56BAAA95"/>
    <w:rsid w:val="570D7E66"/>
    <w:rsid w:val="575D38C0"/>
    <w:rsid w:val="577ECDD7"/>
    <w:rsid w:val="57AB2C58"/>
    <w:rsid w:val="57CDD9BD"/>
    <w:rsid w:val="57DA3FB1"/>
    <w:rsid w:val="5805C753"/>
    <w:rsid w:val="58158016"/>
    <w:rsid w:val="586A3D8D"/>
    <w:rsid w:val="58DA1992"/>
    <w:rsid w:val="58E72B01"/>
    <w:rsid w:val="58FDC573"/>
    <w:rsid w:val="59536883"/>
    <w:rsid w:val="5970C70C"/>
    <w:rsid w:val="5A224D99"/>
    <w:rsid w:val="5A2829A5"/>
    <w:rsid w:val="5A3E51F9"/>
    <w:rsid w:val="5AC9B05D"/>
    <w:rsid w:val="5ADC440E"/>
    <w:rsid w:val="5AE85C08"/>
    <w:rsid w:val="5B0F53E9"/>
    <w:rsid w:val="5B60DA95"/>
    <w:rsid w:val="5BCAE443"/>
    <w:rsid w:val="5C0042FA"/>
    <w:rsid w:val="5CCA2975"/>
    <w:rsid w:val="5CD3D3B1"/>
    <w:rsid w:val="5D187E71"/>
    <w:rsid w:val="5D51E246"/>
    <w:rsid w:val="5D73CEA4"/>
    <w:rsid w:val="5DCFD30A"/>
    <w:rsid w:val="5DD6F1B5"/>
    <w:rsid w:val="5DE3EF80"/>
    <w:rsid w:val="5E7B7BB3"/>
    <w:rsid w:val="5E99239F"/>
    <w:rsid w:val="5F1B345A"/>
    <w:rsid w:val="5F9208B6"/>
    <w:rsid w:val="60A3CDD0"/>
    <w:rsid w:val="60CD72B0"/>
    <w:rsid w:val="6132ED2D"/>
    <w:rsid w:val="6177F11A"/>
    <w:rsid w:val="619D9A98"/>
    <w:rsid w:val="6263FEC7"/>
    <w:rsid w:val="6375F13D"/>
    <w:rsid w:val="637D7A1C"/>
    <w:rsid w:val="6386B306"/>
    <w:rsid w:val="641396EA"/>
    <w:rsid w:val="646AAE80"/>
    <w:rsid w:val="646FE374"/>
    <w:rsid w:val="64C9F9F9"/>
    <w:rsid w:val="650978B2"/>
    <w:rsid w:val="651BB727"/>
    <w:rsid w:val="654F4F47"/>
    <w:rsid w:val="656BC4E1"/>
    <w:rsid w:val="6576BA47"/>
    <w:rsid w:val="658599E6"/>
    <w:rsid w:val="65CC1AA3"/>
    <w:rsid w:val="662F0915"/>
    <w:rsid w:val="66424252"/>
    <w:rsid w:val="66C45EB0"/>
    <w:rsid w:val="68392BE7"/>
    <w:rsid w:val="6854C08F"/>
    <w:rsid w:val="68D236C9"/>
    <w:rsid w:val="69009F0F"/>
    <w:rsid w:val="698F484C"/>
    <w:rsid w:val="69A420D9"/>
    <w:rsid w:val="69D48428"/>
    <w:rsid w:val="6A573539"/>
    <w:rsid w:val="6A7FF6CF"/>
    <w:rsid w:val="6A890EB3"/>
    <w:rsid w:val="6A8CE09B"/>
    <w:rsid w:val="6AEFD35E"/>
    <w:rsid w:val="6B3B54ED"/>
    <w:rsid w:val="6B703531"/>
    <w:rsid w:val="6BBAF834"/>
    <w:rsid w:val="6BDFBEC9"/>
    <w:rsid w:val="6C0DCF20"/>
    <w:rsid w:val="6C21260C"/>
    <w:rsid w:val="6C383FD1"/>
    <w:rsid w:val="6C74C615"/>
    <w:rsid w:val="6C8BED1E"/>
    <w:rsid w:val="6C93B222"/>
    <w:rsid w:val="6D01DE5E"/>
    <w:rsid w:val="6D2B187C"/>
    <w:rsid w:val="6E109676"/>
    <w:rsid w:val="6E43B86A"/>
    <w:rsid w:val="6E80048A"/>
    <w:rsid w:val="6E8208EA"/>
    <w:rsid w:val="6E8BB04A"/>
    <w:rsid w:val="6E9D780E"/>
    <w:rsid w:val="6EE7A581"/>
    <w:rsid w:val="6EEACC65"/>
    <w:rsid w:val="6F2A0986"/>
    <w:rsid w:val="6F3199F3"/>
    <w:rsid w:val="6F3D5CB9"/>
    <w:rsid w:val="6F82C12B"/>
    <w:rsid w:val="6FAB9D89"/>
    <w:rsid w:val="70173A3F"/>
    <w:rsid w:val="7031EEC1"/>
    <w:rsid w:val="706D0F5F"/>
    <w:rsid w:val="707FF3AB"/>
    <w:rsid w:val="712F75B6"/>
    <w:rsid w:val="715970C7"/>
    <w:rsid w:val="71634D3E"/>
    <w:rsid w:val="71882C2A"/>
    <w:rsid w:val="71D96877"/>
    <w:rsid w:val="71EBBC02"/>
    <w:rsid w:val="723B455D"/>
    <w:rsid w:val="72480EF0"/>
    <w:rsid w:val="7259833E"/>
    <w:rsid w:val="727A099B"/>
    <w:rsid w:val="72921BA4"/>
    <w:rsid w:val="72945177"/>
    <w:rsid w:val="72C02692"/>
    <w:rsid w:val="72EB6E6F"/>
    <w:rsid w:val="72FFDEC4"/>
    <w:rsid w:val="731EC89D"/>
    <w:rsid w:val="73276907"/>
    <w:rsid w:val="73451173"/>
    <w:rsid w:val="735DBCB7"/>
    <w:rsid w:val="73800FC6"/>
    <w:rsid w:val="73CB1E9D"/>
    <w:rsid w:val="73D7D9CF"/>
    <w:rsid w:val="741ABBC2"/>
    <w:rsid w:val="7484C470"/>
    <w:rsid w:val="74E8B0F0"/>
    <w:rsid w:val="7500B6E0"/>
    <w:rsid w:val="7536E685"/>
    <w:rsid w:val="75B6E39E"/>
    <w:rsid w:val="75DC5592"/>
    <w:rsid w:val="75FB5EF5"/>
    <w:rsid w:val="766D31B0"/>
    <w:rsid w:val="76848151"/>
    <w:rsid w:val="7707C4FF"/>
    <w:rsid w:val="774810B0"/>
    <w:rsid w:val="77564519"/>
    <w:rsid w:val="778EADAE"/>
    <w:rsid w:val="77CDE3E6"/>
    <w:rsid w:val="788FC1EE"/>
    <w:rsid w:val="789D71F7"/>
    <w:rsid w:val="78CDDA73"/>
    <w:rsid w:val="78DAFE5B"/>
    <w:rsid w:val="78E0C19F"/>
    <w:rsid w:val="78F55CA2"/>
    <w:rsid w:val="792C2292"/>
    <w:rsid w:val="7972931A"/>
    <w:rsid w:val="7988836A"/>
    <w:rsid w:val="79A759BC"/>
    <w:rsid w:val="7A1F3C2D"/>
    <w:rsid w:val="7A6C1D07"/>
    <w:rsid w:val="7A7DBFF1"/>
    <w:rsid w:val="7AE02DE2"/>
    <w:rsid w:val="7B19D12B"/>
    <w:rsid w:val="7B264182"/>
    <w:rsid w:val="7B60F099"/>
    <w:rsid w:val="7B884A91"/>
    <w:rsid w:val="7BBD8C70"/>
    <w:rsid w:val="7BC4F89F"/>
    <w:rsid w:val="7BED4159"/>
    <w:rsid w:val="7BF3646E"/>
    <w:rsid w:val="7C1E9422"/>
    <w:rsid w:val="7C688964"/>
    <w:rsid w:val="7C90295E"/>
    <w:rsid w:val="7CC89975"/>
    <w:rsid w:val="7CE98CEA"/>
    <w:rsid w:val="7D0AD4A3"/>
    <w:rsid w:val="7D259E56"/>
    <w:rsid w:val="7D61C2AA"/>
    <w:rsid w:val="7D9DF142"/>
    <w:rsid w:val="7DFC9203"/>
    <w:rsid w:val="7E033803"/>
    <w:rsid w:val="7E1D03BF"/>
    <w:rsid w:val="7E3D9E21"/>
    <w:rsid w:val="7E6C528F"/>
    <w:rsid w:val="7EBC4091"/>
    <w:rsid w:val="7EBFCEBE"/>
    <w:rsid w:val="7ECE12E0"/>
    <w:rsid w:val="7EE6CCBC"/>
    <w:rsid w:val="7F42C791"/>
    <w:rsid w:val="7F566D27"/>
    <w:rsid w:val="7F577CCD"/>
    <w:rsid w:val="7F59572C"/>
    <w:rsid w:val="7F7394C0"/>
    <w:rsid w:val="7FA4247F"/>
    <w:rsid w:val="7FABD98D"/>
    <w:rsid w:val="7FDB5633"/>
    <w:rsid w:val="7FF55F1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49258"/>
  <w15:docId w15:val="{E0EA57C4-4430-4562-89F8-ED969FE7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qFormat="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52E57"/>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A760B3"/>
    <w:pPr>
      <w:keepNext/>
      <w:tabs>
        <w:tab w:val="left" w:pos="851"/>
      </w:tabs>
      <w:spacing w:before="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A760B3"/>
    <w:pPr>
      <w:keepNext/>
      <w:tabs>
        <w:tab w:val="left" w:pos="851"/>
      </w:tabs>
      <w:spacing w:before="360" w:after="0" w:line="440" w:lineRule="exac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A760B3"/>
    <w:pPr>
      <w:keepNext/>
      <w:tabs>
        <w:tab w:val="left" w:pos="851"/>
      </w:tabs>
      <w:spacing w:before="360" w:after="0" w:line="360" w:lineRule="exac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74184D"/>
    <w:pPr>
      <w:spacing w:before="240"/>
      <w:outlineLvl w:val="3"/>
    </w:pPr>
    <w:rPr>
      <w:sz w:val="24"/>
    </w:rPr>
  </w:style>
  <w:style w:type="paragraph" w:styleId="Heading5">
    <w:name w:val="heading 5"/>
    <w:basedOn w:val="Normal"/>
    <w:next w:val="BodyText"/>
    <w:link w:val="Heading5Char"/>
    <w:qFormat/>
    <w:rsid w:val="00C245E7"/>
    <w:pPr>
      <w:keepNext/>
      <w:spacing w:before="24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0B3"/>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A760B3"/>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A760B3"/>
    <w:rPr>
      <w:rFonts w:ascii="Georgia" w:eastAsiaTheme="majorEastAsia" w:hAnsi="Georgia" w:cstheme="majorBidi"/>
      <w:b/>
      <w:bCs/>
      <w:sz w:val="28"/>
      <w:szCs w:val="22"/>
    </w:rPr>
  </w:style>
  <w:style w:type="character" w:customStyle="1" w:styleId="Heading4Char">
    <w:name w:val="Heading 4 Char"/>
    <w:basedOn w:val="DefaultParagraphFont"/>
    <w:link w:val="Heading4"/>
    <w:rsid w:val="0074184D"/>
    <w:rPr>
      <w:rFonts w:ascii="Georgia" w:eastAsiaTheme="majorEastAsia" w:hAnsi="Georgia" w:cstheme="majorBidi"/>
      <w:b/>
      <w:bCs/>
      <w:sz w:val="24"/>
      <w:szCs w:val="22"/>
    </w:rPr>
  </w:style>
  <w:style w:type="character" w:customStyle="1" w:styleId="Heading5Char">
    <w:name w:val="Heading 5 Char"/>
    <w:basedOn w:val="DefaultParagraphFont"/>
    <w:link w:val="Heading5"/>
    <w:rsid w:val="00C245E7"/>
    <w:rPr>
      <w:rFonts w:eastAsiaTheme="majorEastAsia" w:cstheme="majorBidi"/>
      <w:i/>
      <w:sz w:val="24"/>
      <w:szCs w:val="22"/>
    </w:rPr>
  </w:style>
  <w:style w:type="paragraph" w:styleId="BodyText">
    <w:name w:val="Body Text"/>
    <w:basedOn w:val="Normal"/>
    <w:link w:val="BodyTextChar"/>
    <w:qFormat/>
    <w:rsid w:val="00A760B3"/>
    <w:pPr>
      <w:jc w:val="left"/>
    </w:pPr>
    <w:rPr>
      <w:rFonts w:eastAsiaTheme="minorEastAsia" w:cstheme="minorBidi"/>
    </w:rPr>
  </w:style>
  <w:style w:type="character" w:customStyle="1" w:styleId="BodyTextChar">
    <w:name w:val="Body Text Char"/>
    <w:basedOn w:val="DefaultParagraphFont"/>
    <w:link w:val="BodyText"/>
    <w:rsid w:val="00A760B3"/>
    <w:rPr>
      <w:rFonts w:eastAsiaTheme="minorEastAsia" w:cstheme="minorBidi"/>
      <w:sz w:val="22"/>
      <w:szCs w:val="22"/>
    </w:rPr>
  </w:style>
  <w:style w:type="table" w:styleId="TableGrid">
    <w:name w:val="Table Grid"/>
    <w:basedOn w:val="TableNormal"/>
    <w:uiPriority w:val="59"/>
    <w:rsid w:val="00AE3AD7"/>
    <w:pPr>
      <w:jc w:val="both"/>
    </w:pPr>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A760B3"/>
    <w:pPr>
      <w:spacing w:before="60" w:after="60"/>
      <w:ind w:left="567" w:right="567"/>
      <w:jc w:val="left"/>
    </w:pPr>
    <w:rPr>
      <w:rFonts w:eastAsiaTheme="minorEastAsia" w:cstheme="minorBidi"/>
      <w:sz w:val="20"/>
    </w:rPr>
  </w:style>
  <w:style w:type="character" w:customStyle="1" w:styleId="QuoteChar">
    <w:name w:val="Quote Char"/>
    <w:basedOn w:val="DefaultParagraphFont"/>
    <w:link w:val="Quote"/>
    <w:uiPriority w:val="1"/>
    <w:rsid w:val="00252E57"/>
    <w:rPr>
      <w:rFonts w:eastAsiaTheme="minorEastAsia" w:cstheme="minorBidi"/>
      <w:szCs w:val="22"/>
    </w:rPr>
  </w:style>
  <w:style w:type="paragraph" w:customStyle="1" w:styleId="Boxbullet">
    <w:name w:val="Box bullet"/>
    <w:basedOn w:val="Boxtext"/>
    <w:uiPriority w:val="1"/>
    <w:qFormat/>
    <w:rsid w:val="00A760B3"/>
    <w:pPr>
      <w:numPr>
        <w:numId w:val="13"/>
      </w:numPr>
      <w:tabs>
        <w:tab w:val="left" w:pos="680"/>
      </w:tabs>
      <w:spacing w:before="0"/>
    </w:pPr>
    <w:rPr>
      <w:rFonts w:cs="Times New Roman"/>
      <w:szCs w:val="20"/>
    </w:rPr>
  </w:style>
  <w:style w:type="paragraph" w:customStyle="1" w:styleId="Boxheading">
    <w:name w:val="Box heading"/>
    <w:basedOn w:val="Boxtext"/>
    <w:next w:val="Boxtext"/>
    <w:uiPriority w:val="1"/>
    <w:qFormat/>
    <w:rsid w:val="00A760B3"/>
    <w:pPr>
      <w:keepNext/>
      <w:spacing w:before="240" w:after="0"/>
    </w:pPr>
    <w:rPr>
      <w:rFonts w:cs="Times New Roman"/>
      <w:b/>
      <w:sz w:val="22"/>
      <w:szCs w:val="20"/>
    </w:rPr>
  </w:style>
  <w:style w:type="paragraph" w:customStyle="1" w:styleId="Bullet">
    <w:name w:val="Bullet"/>
    <w:basedOn w:val="Normal"/>
    <w:link w:val="BulletChar"/>
    <w:qFormat/>
    <w:rsid w:val="00A760B3"/>
    <w:pPr>
      <w:numPr>
        <w:numId w:val="15"/>
      </w:numPr>
      <w:tabs>
        <w:tab w:val="left" w:pos="397"/>
      </w:tabs>
      <w:spacing w:before="0"/>
      <w:jc w:val="left"/>
    </w:pPr>
    <w:rPr>
      <w:szCs w:val="20"/>
    </w:rPr>
  </w:style>
  <w:style w:type="paragraph" w:customStyle="1" w:styleId="Heading">
    <w:name w:val="Heading"/>
    <w:basedOn w:val="Heading1"/>
    <w:next w:val="Normal"/>
    <w:uiPriority w:val="3"/>
    <w:rsid w:val="00A760B3"/>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qFormat/>
    <w:rsid w:val="00A760B3"/>
    <w:pPr>
      <w:numPr>
        <w:numId w:val="17"/>
      </w:numPr>
      <w:tabs>
        <w:tab w:val="clear" w:pos="397"/>
        <w:tab w:val="left" w:pos="794"/>
      </w:tabs>
      <w:spacing w:before="0"/>
      <w:jc w:val="left"/>
    </w:pPr>
    <w:rPr>
      <w:rFonts w:eastAsiaTheme="minorEastAsia" w:cstheme="minorBidi"/>
    </w:rPr>
  </w:style>
  <w:style w:type="paragraph" w:customStyle="1" w:styleId="Figureheading">
    <w:name w:val="Figure heading"/>
    <w:basedOn w:val="Normal"/>
    <w:next w:val="BodyText"/>
    <w:qFormat/>
    <w:rsid w:val="00A760B3"/>
    <w:pPr>
      <w:keepNext/>
      <w:ind w:left="1134" w:hanging="1134"/>
      <w:jc w:val="left"/>
    </w:pPr>
    <w:rPr>
      <w:rFonts w:eastAsiaTheme="minorEastAsia" w:cstheme="minorBidi"/>
      <w:b/>
      <w:sz w:val="20"/>
    </w:rPr>
  </w:style>
  <w:style w:type="character" w:styleId="FootnoteReference">
    <w:name w:val="footnote reference"/>
    <w:uiPriority w:val="99"/>
    <w:rsid w:val="00A760B3"/>
    <w:rPr>
      <w:rFonts w:ascii="Calibri" w:hAnsi="Calibri"/>
      <w:color w:val="183C47"/>
      <w:sz w:val="22"/>
      <w:vertAlign w:val="superscript"/>
    </w:rPr>
  </w:style>
  <w:style w:type="paragraph" w:styleId="FootnoteText">
    <w:name w:val="footnote text"/>
    <w:basedOn w:val="Normal"/>
    <w:link w:val="FootnoteTextChar"/>
    <w:uiPriority w:val="99"/>
    <w:qFormat/>
    <w:rsid w:val="00A760B3"/>
    <w:pPr>
      <w:spacing w:before="0" w:after="60" w:line="240" w:lineRule="atLeast"/>
      <w:ind w:left="284" w:hanging="284"/>
      <w:jc w:val="left"/>
    </w:pPr>
    <w:rPr>
      <w:rFonts w:eastAsiaTheme="minorEastAsia" w:cstheme="minorBidi"/>
      <w:sz w:val="19"/>
    </w:rPr>
  </w:style>
  <w:style w:type="character" w:customStyle="1" w:styleId="FootnoteTextChar">
    <w:name w:val="Footnote Text Char"/>
    <w:basedOn w:val="DefaultParagraphFont"/>
    <w:link w:val="FootnoteText"/>
    <w:uiPriority w:val="99"/>
    <w:rsid w:val="00E21D4D"/>
    <w:rPr>
      <w:rFonts w:eastAsiaTheme="minorEastAsia" w:cstheme="minorBidi"/>
      <w:sz w:val="19"/>
      <w:szCs w:val="22"/>
    </w:rPr>
  </w:style>
  <w:style w:type="character" w:styleId="Hyperlink">
    <w:name w:val="Hyperlink"/>
    <w:uiPriority w:val="99"/>
    <w:qFormat/>
    <w:rsid w:val="00A760B3"/>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803761"/>
    <w:pPr>
      <w:spacing w:before="0" w:line="240" w:lineRule="atLeast"/>
    </w:pPr>
    <w:rPr>
      <w:sz w:val="18"/>
    </w:rPr>
  </w:style>
  <w:style w:type="paragraph" w:customStyle="1" w:styleId="References">
    <w:name w:val="References"/>
    <w:basedOn w:val="Normal"/>
    <w:uiPriority w:val="1"/>
    <w:semiHidden/>
    <w:qFormat/>
    <w:rsid w:val="00A760B3"/>
    <w:pPr>
      <w:spacing w:before="0" w:line="260" w:lineRule="atLeast"/>
      <w:jc w:val="left"/>
    </w:pPr>
    <w:rPr>
      <w:rFonts w:eastAsiaTheme="minorEastAsia" w:cstheme="minorBidi"/>
      <w:sz w:val="20"/>
    </w:rPr>
  </w:style>
  <w:style w:type="paragraph" w:customStyle="1" w:styleId="Source">
    <w:name w:val="Source"/>
    <w:basedOn w:val="Normal"/>
    <w:next w:val="Normal"/>
    <w:uiPriority w:val="1"/>
    <w:semiHidden/>
    <w:qFormat/>
    <w:rsid w:val="00A760B3"/>
    <w:pPr>
      <w:tabs>
        <w:tab w:val="left" w:pos="680"/>
      </w:tabs>
      <w:jc w:val="left"/>
    </w:pPr>
    <w:rPr>
      <w:rFonts w:eastAsiaTheme="minorEastAsia" w:cstheme="minorBidi"/>
      <w:sz w:val="18"/>
    </w:rPr>
  </w:style>
  <w:style w:type="paragraph" w:styleId="Title">
    <w:name w:val="Title"/>
    <w:basedOn w:val="Normal"/>
    <w:link w:val="TitleChar"/>
    <w:uiPriority w:val="2"/>
    <w:semiHidden/>
    <w:rsid w:val="00624018"/>
    <w:pPr>
      <w:spacing w:line="360" w:lineRule="auto"/>
      <w:jc w:val="center"/>
    </w:pPr>
    <w:rPr>
      <w:b/>
      <w:color w:val="17556C"/>
      <w:sz w:val="52"/>
    </w:rPr>
  </w:style>
  <w:style w:type="character" w:customStyle="1" w:styleId="TitleChar">
    <w:name w:val="Title Char"/>
    <w:link w:val="Title"/>
    <w:uiPriority w:val="2"/>
    <w:semiHidden/>
    <w:rsid w:val="00A760B3"/>
    <w:rPr>
      <w:rFonts w:eastAsia="Times New Roman"/>
      <w:b/>
      <w:color w:val="17556C"/>
      <w:sz w:val="52"/>
      <w:szCs w:val="22"/>
    </w:rPr>
  </w:style>
  <w:style w:type="paragraph" w:styleId="Subtitle">
    <w:name w:val="Subtitle"/>
    <w:basedOn w:val="Title"/>
    <w:link w:val="SubtitleChar"/>
    <w:uiPriority w:val="2"/>
    <w:semiHidden/>
    <w:rsid w:val="00D94120"/>
    <w:pPr>
      <w:spacing w:before="600" w:line="240" w:lineRule="auto"/>
    </w:pPr>
    <w:rPr>
      <w:sz w:val="36"/>
      <w:szCs w:val="36"/>
    </w:rPr>
  </w:style>
  <w:style w:type="character" w:customStyle="1" w:styleId="SubtitleChar">
    <w:name w:val="Subtitle Char"/>
    <w:link w:val="Subtitle"/>
    <w:uiPriority w:val="2"/>
    <w:semiHidden/>
    <w:rsid w:val="00A760B3"/>
    <w:rPr>
      <w:rFonts w:eastAsia="Times New Roman"/>
      <w:b/>
      <w:color w:val="17556C"/>
      <w:sz w:val="36"/>
      <w:szCs w:val="36"/>
    </w:rPr>
  </w:style>
  <w:style w:type="paragraph" w:customStyle="1" w:styleId="Tableheading">
    <w:name w:val="Table heading"/>
    <w:basedOn w:val="Normal"/>
    <w:next w:val="Normal"/>
    <w:qFormat/>
    <w:rsid w:val="00573718"/>
    <w:pPr>
      <w:keepNext/>
      <w:spacing w:line="240" w:lineRule="atLeast"/>
      <w:ind w:left="1134" w:hanging="1134"/>
      <w:jc w:val="left"/>
    </w:pPr>
    <w:rPr>
      <w:rFonts w:eastAsia="Calibri"/>
      <w:b/>
      <w:sz w:val="20"/>
    </w:rPr>
  </w:style>
  <w:style w:type="paragraph" w:customStyle="1" w:styleId="TableText">
    <w:name w:val="TableText"/>
    <w:basedOn w:val="Normal"/>
    <w:qFormat/>
    <w:rsid w:val="00A760B3"/>
    <w:pPr>
      <w:spacing w:before="60" w:after="60" w:line="240" w:lineRule="atLeast"/>
      <w:jc w:val="left"/>
    </w:pPr>
    <w:rPr>
      <w:rFonts w:eastAsiaTheme="minorEastAsia" w:cstheme="minorBidi"/>
      <w:sz w:val="18"/>
    </w:rPr>
  </w:style>
  <w:style w:type="paragraph" w:customStyle="1" w:styleId="TableTextbold">
    <w:name w:val="TableText bold"/>
    <w:basedOn w:val="TableText"/>
    <w:rsid w:val="00A760B3"/>
    <w:rPr>
      <w:b/>
    </w:rPr>
  </w:style>
  <w:style w:type="paragraph" w:styleId="TOC1">
    <w:name w:val="toc 1"/>
    <w:basedOn w:val="Normal"/>
    <w:next w:val="Normal"/>
    <w:uiPriority w:val="39"/>
    <w:rsid w:val="008C13CA"/>
    <w:pPr>
      <w:tabs>
        <w:tab w:val="right" w:pos="8505"/>
      </w:tabs>
      <w:spacing w:before="240" w:after="0" w:line="240" w:lineRule="auto"/>
      <w:ind w:right="567"/>
      <w:jc w:val="left"/>
    </w:pPr>
    <w:rPr>
      <w:noProof/>
    </w:r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A760B3"/>
    <w:pPr>
      <w:tabs>
        <w:tab w:val="left" w:pos="2835"/>
      </w:tabs>
      <w:spacing w:after="0"/>
      <w:jc w:val="left"/>
    </w:pPr>
    <w:rPr>
      <w:rFonts w:eastAsiaTheme="minorEastAsia" w:cstheme="minorBidi"/>
    </w:rPr>
  </w:style>
  <w:style w:type="paragraph" w:customStyle="1" w:styleId="Footerodd">
    <w:name w:val="Footer odd"/>
    <w:basedOn w:val="Normal"/>
    <w:uiPriority w:val="2"/>
    <w:semiHidden/>
    <w:rsid w:val="00A760B3"/>
    <w:pPr>
      <w:tabs>
        <w:tab w:val="right" w:pos="7938"/>
        <w:tab w:val="right" w:pos="8505"/>
      </w:tabs>
      <w:jc w:val="left"/>
    </w:pPr>
    <w:rPr>
      <w:rFonts w:eastAsiaTheme="minorEastAsia" w:cstheme="minorBidi"/>
      <w:sz w:val="16"/>
    </w:rPr>
  </w:style>
  <w:style w:type="paragraph" w:customStyle="1" w:styleId="Footereven">
    <w:name w:val="Footer even"/>
    <w:basedOn w:val="Normal"/>
    <w:uiPriority w:val="2"/>
    <w:semiHidden/>
    <w:rsid w:val="00A760B3"/>
    <w:pPr>
      <w:tabs>
        <w:tab w:val="left" w:pos="567"/>
      </w:tabs>
    </w:pPr>
    <w:rPr>
      <w:rFonts w:eastAsiaTheme="minorEastAsia" w:cstheme="minorBidi"/>
      <w:sz w:val="16"/>
    </w:rPr>
  </w:style>
  <w:style w:type="paragraph" w:customStyle="1" w:styleId="Numberedparagraph">
    <w:name w:val="Numbered paragraph"/>
    <w:basedOn w:val="Normal"/>
    <w:uiPriority w:val="1"/>
    <w:qFormat/>
    <w:rsid w:val="00A760B3"/>
    <w:pPr>
      <w:numPr>
        <w:numId w:val="16"/>
      </w:numPr>
      <w:spacing w:before="0"/>
      <w:jc w:val="left"/>
    </w:pPr>
    <w:rPr>
      <w:rFonts w:eastAsiaTheme="minorEastAsia" w:cstheme="minorBidi"/>
    </w:rPr>
  </w:style>
  <w:style w:type="paragraph" w:customStyle="1" w:styleId="Sub-lista">
    <w:name w:val="Sub-list a"/>
    <w:aliases w:val="b"/>
    <w:basedOn w:val="Normal"/>
    <w:uiPriority w:val="2"/>
    <w:rsid w:val="00A760B3"/>
    <w:pPr>
      <w:numPr>
        <w:numId w:val="18"/>
      </w:numPr>
      <w:spacing w:before="0"/>
      <w:jc w:val="left"/>
    </w:pPr>
    <w:rPr>
      <w:rFonts w:eastAsiaTheme="minorEastAsia" w:cstheme="minorBidi"/>
    </w:r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A760B3"/>
    <w:pPr>
      <w:numPr>
        <w:numId w:val="19"/>
      </w:numPr>
      <w:spacing w:before="60" w:after="60"/>
    </w:pPr>
  </w:style>
  <w:style w:type="paragraph" w:customStyle="1" w:styleId="TableBullet">
    <w:name w:val="TableBullet"/>
    <w:basedOn w:val="Normal"/>
    <w:qFormat/>
    <w:rsid w:val="00A760B3"/>
    <w:pPr>
      <w:numPr>
        <w:numId w:val="20"/>
      </w:numPr>
      <w:spacing w:before="0" w:after="60" w:line="240" w:lineRule="atLeast"/>
      <w:jc w:val="left"/>
    </w:pPr>
    <w:rPr>
      <w:rFonts w:eastAsiaTheme="minorEastAsia" w:cs="Arial"/>
      <w:sz w:val="18"/>
      <w:szCs w:val="16"/>
    </w:rPr>
  </w:style>
  <w:style w:type="paragraph" w:customStyle="1" w:styleId="TableDash">
    <w:name w:val="TableDash"/>
    <w:basedOn w:val="TableBullet"/>
    <w:qFormat/>
    <w:rsid w:val="00A760B3"/>
    <w:pPr>
      <w:numPr>
        <w:numId w:val="21"/>
      </w:numPr>
    </w:p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Narrow" w:eastAsia="Times New Roman" w:hAnsi="Arial Narrow"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Narrow" w:eastAsia="Times New Roman" w:hAnsi="Arial Narrow"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qFormat/>
    <w:rsid w:val="00EA64B4"/>
    <w:rPr>
      <w:b/>
      <w:bCs/>
    </w:rPr>
  </w:style>
  <w:style w:type="paragraph" w:customStyle="1" w:styleId="Boxa">
    <w:name w:val="Box a"/>
    <w:aliases w:val="b list"/>
    <w:basedOn w:val="Sub-listi"/>
    <w:semiHidden/>
    <w:qFormat/>
    <w:rsid w:val="00EA64B4"/>
    <w:pPr>
      <w:numPr>
        <w:ilvl w:val="1"/>
        <w:numId w:val="2"/>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Normal"/>
    <w:semiHidden/>
    <w:rsid w:val="00F32C5C"/>
    <w:pPr>
      <w:pBdr>
        <w:top w:val="single" w:sz="6" w:space="15" w:color="auto"/>
        <w:left w:val="single" w:sz="6" w:space="15" w:color="auto"/>
        <w:bottom w:val="single" w:sz="6" w:space="15" w:color="auto"/>
        <w:right w:val="single" w:sz="6" w:space="15" w:color="auto"/>
      </w:pBdr>
      <w:tabs>
        <w:tab w:val="num" w:pos="851"/>
      </w:tabs>
      <w:spacing w:after="0" w:line="240" w:lineRule="auto"/>
      <w:ind w:left="851" w:right="284" w:hanging="567"/>
      <w:jc w:val="left"/>
    </w:pPr>
    <w:rPr>
      <w:rFonts w:ascii="Arial" w:hAnsi="Arial"/>
      <w:sz w:val="20"/>
      <w:szCs w:val="20"/>
      <w:lang w:eastAsia="en-GB"/>
    </w:rPr>
  </w:style>
  <w:style w:type="paragraph" w:customStyle="1" w:styleId="BoxHeading0">
    <w:name w:val="BoxHeading"/>
    <w:basedOn w:val="Normal"/>
    <w:next w:val="Normal"/>
    <w:semiHidden/>
    <w:rsid w:val="00F32C5C"/>
    <w:pPr>
      <w:pBdr>
        <w:top w:val="single" w:sz="6" w:space="15" w:color="auto"/>
        <w:left w:val="single" w:sz="6" w:space="15" w:color="auto"/>
        <w:bottom w:val="single" w:sz="6" w:space="15" w:color="auto"/>
        <w:right w:val="single" w:sz="6" w:space="15" w:color="auto"/>
      </w:pBdr>
      <w:spacing w:before="0" w:after="240" w:line="240" w:lineRule="auto"/>
      <w:ind w:left="284" w:right="284"/>
    </w:pPr>
    <w:rPr>
      <w:rFonts w:ascii="Arial" w:hAnsi="Arial"/>
      <w:b/>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character" w:customStyle="1" w:styleId="BulletChar">
    <w:name w:val="Bullet Char"/>
    <w:basedOn w:val="DefaultParagraphFont"/>
    <w:link w:val="Bullet"/>
    <w:locked/>
    <w:rsid w:val="00A760B3"/>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3"/>
      </w:numPr>
    </w:pPr>
  </w:style>
  <w:style w:type="numbering" w:customStyle="1" w:styleId="Style2">
    <w:name w:val="Style2"/>
    <w:uiPriority w:val="99"/>
    <w:rsid w:val="008E0688"/>
    <w:pPr>
      <w:numPr>
        <w:numId w:val="4"/>
      </w:numPr>
    </w:pPr>
  </w:style>
  <w:style w:type="paragraph" w:customStyle="1" w:styleId="Greenbullet-casestudytables">
    <w:name w:val="Green bullet - case study tables"/>
    <w:basedOn w:val="Greentext-casestudytables"/>
    <w:uiPriority w:val="1"/>
    <w:semiHidden/>
    <w:rsid w:val="00C15722"/>
    <w:pPr>
      <w:numPr>
        <w:numId w:val="5"/>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6"/>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B73ABB"/>
    <w:pPr>
      <w:numPr>
        <w:numId w:val="7"/>
      </w:numPr>
      <w:spacing w:before="0"/>
    </w:pPr>
    <w:rPr>
      <w:bCs/>
      <w:color w:val="1B556B"/>
    </w:rPr>
  </w:style>
  <w:style w:type="character" w:styleId="UnresolvedMention">
    <w:name w:val="Unresolved Mention"/>
    <w:basedOn w:val="DefaultParagraphFont"/>
    <w:uiPriority w:val="99"/>
    <w:semiHidden/>
    <w:rsid w:val="00B73ABB"/>
    <w:rPr>
      <w:color w:val="605E5C"/>
      <w:shd w:val="clear" w:color="auto" w:fill="E1DFDD"/>
    </w:rPr>
  </w:style>
  <w:style w:type="paragraph" w:styleId="CommentText">
    <w:name w:val="annotation text"/>
    <w:basedOn w:val="Normal"/>
    <w:link w:val="CommentTextChar"/>
    <w:uiPriority w:val="99"/>
    <w:semiHidden/>
    <w:rsid w:val="004E63D3"/>
    <w:pPr>
      <w:spacing w:line="240" w:lineRule="auto"/>
    </w:pPr>
    <w:rPr>
      <w:sz w:val="20"/>
      <w:szCs w:val="20"/>
    </w:rPr>
  </w:style>
  <w:style w:type="character" w:customStyle="1" w:styleId="CommentTextChar">
    <w:name w:val="Comment Text Char"/>
    <w:basedOn w:val="DefaultParagraphFont"/>
    <w:link w:val="CommentText"/>
    <w:uiPriority w:val="99"/>
    <w:semiHidden/>
    <w:rsid w:val="00F6454B"/>
    <w:rPr>
      <w:rFonts w:eastAsia="Times New Roman"/>
    </w:rPr>
  </w:style>
  <w:style w:type="table" w:customStyle="1" w:styleId="MinistryfortheEnvironment">
    <w:name w:val="Ministry for the Environment"/>
    <w:basedOn w:val="TableNormal"/>
    <w:uiPriority w:val="99"/>
    <w:rsid w:val="00AF56C9"/>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NumberedHeading1">
    <w:name w:val="Numbered Heading 1"/>
    <w:basedOn w:val="Heading1"/>
    <w:semiHidden/>
    <w:qFormat/>
    <w:rsid w:val="006B5A4A"/>
    <w:pPr>
      <w:numPr>
        <w:numId w:val="9"/>
      </w:numPr>
      <w:spacing w:after="240"/>
    </w:pPr>
    <w:rPr>
      <w:color w:val="auto"/>
      <w:sz w:val="56"/>
      <w:szCs w:val="84"/>
    </w:rPr>
  </w:style>
  <w:style w:type="paragraph" w:customStyle="1" w:styleId="NumberedHeading2">
    <w:name w:val="Numbered Heading 2"/>
    <w:basedOn w:val="Heading2"/>
    <w:semiHidden/>
    <w:qFormat/>
    <w:rsid w:val="006B5A4A"/>
    <w:pPr>
      <w:numPr>
        <w:ilvl w:val="1"/>
        <w:numId w:val="9"/>
      </w:numPr>
    </w:pPr>
    <w:rPr>
      <w:color w:val="auto"/>
      <w:sz w:val="40"/>
      <w:szCs w:val="56"/>
    </w:rPr>
  </w:style>
  <w:style w:type="paragraph" w:customStyle="1" w:styleId="Boxtext">
    <w:name w:val="Box text"/>
    <w:basedOn w:val="Normal"/>
    <w:uiPriority w:val="1"/>
    <w:qFormat/>
    <w:rsid w:val="00A760B3"/>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A760B3"/>
    <w:pPr>
      <w:numPr>
        <w:numId w:val="14"/>
      </w:numPr>
      <w:spacing w:before="0"/>
    </w:pPr>
    <w:rPr>
      <w:rFonts w:cs="Times New Roman"/>
      <w:szCs w:val="20"/>
    </w:rPr>
  </w:style>
  <w:style w:type="character" w:styleId="HTMLDefinition">
    <w:name w:val="HTML Definition"/>
    <w:basedOn w:val="DefaultParagraphFont"/>
    <w:uiPriority w:val="99"/>
    <w:semiHidden/>
    <w:unhideWhenUsed/>
    <w:rsid w:val="00EF5822"/>
    <w:rPr>
      <w:i/>
      <w:iCs/>
    </w:rPr>
  </w:style>
  <w:style w:type="character" w:styleId="Mention">
    <w:name w:val="Mention"/>
    <w:basedOn w:val="DefaultParagraphFont"/>
    <w:uiPriority w:val="99"/>
    <w:semiHidden/>
    <w:rsid w:val="00335477"/>
    <w:rPr>
      <w:color w:val="2B579A"/>
      <w:shd w:val="clear" w:color="auto" w:fill="E6E6E6"/>
    </w:rPr>
  </w:style>
  <w:style w:type="paragraph" w:styleId="ListBullet">
    <w:name w:val="List Bullet"/>
    <w:basedOn w:val="Normal"/>
    <w:uiPriority w:val="99"/>
    <w:semiHidden/>
    <w:rsid w:val="003345C1"/>
    <w:pPr>
      <w:numPr>
        <w:numId w:val="10"/>
      </w:numPr>
      <w:contextualSpacing/>
    </w:pPr>
  </w:style>
  <w:style w:type="character" w:styleId="Emphasis">
    <w:name w:val="Emphasis"/>
    <w:basedOn w:val="DefaultParagraphFont"/>
    <w:uiPriority w:val="20"/>
    <w:semiHidden/>
    <w:qFormat/>
    <w:rsid w:val="00B83F30"/>
    <w:rPr>
      <w:i/>
      <w:iCs/>
    </w:rPr>
  </w:style>
  <w:style w:type="paragraph" w:styleId="ListBullet2">
    <w:name w:val="List Bullet 2"/>
    <w:basedOn w:val="Normal"/>
    <w:uiPriority w:val="99"/>
    <w:semiHidden/>
    <w:rsid w:val="00396755"/>
    <w:pPr>
      <w:numPr>
        <w:numId w:val="11"/>
      </w:numPr>
      <w:contextualSpacing/>
    </w:pPr>
  </w:style>
  <w:style w:type="paragraph" w:styleId="ListNumber">
    <w:name w:val="List Number"/>
    <w:basedOn w:val="Normal"/>
    <w:uiPriority w:val="99"/>
    <w:semiHidden/>
    <w:rsid w:val="00620898"/>
    <w:pPr>
      <w:numPr>
        <w:numId w:val="12"/>
      </w:numPr>
      <w:contextualSpacing/>
    </w:pPr>
  </w:style>
  <w:style w:type="paragraph" w:customStyle="1" w:styleId="Boxquestion">
    <w:name w:val="Box question"/>
    <w:basedOn w:val="Boxtext"/>
    <w:uiPriority w:val="1"/>
    <w:qFormat/>
    <w:rsid w:val="00AE3AD7"/>
    <w:pPr>
      <w:numPr>
        <w:numId w:val="25"/>
      </w:numPr>
      <w:spacing w:after="240"/>
    </w:pPr>
    <w:rPr>
      <w:rFonts w:cs="Calibri"/>
    </w:rPr>
  </w:style>
  <w:style w:type="character" w:customStyle="1" w:styleId="normaltextrun">
    <w:name w:val="normaltextrun"/>
    <w:basedOn w:val="DefaultParagraphFont"/>
    <w:rsid w:val="007212F8"/>
  </w:style>
  <w:style w:type="paragraph" w:styleId="ListParagraph">
    <w:name w:val="List Paragraph"/>
    <w:basedOn w:val="Normal"/>
    <w:uiPriority w:val="34"/>
    <w:qFormat/>
    <w:rsid w:val="000279E0"/>
    <w:pPr>
      <w:spacing w:before="0" w:after="160" w:line="259" w:lineRule="auto"/>
      <w:ind w:left="720"/>
      <w:contextualSpacing/>
      <w:jc w:val="left"/>
    </w:pPr>
    <w:rPr>
      <w:rFonts w:asciiTheme="minorHAnsi" w:eastAsiaTheme="minorHAnsi" w:hAnsiTheme="minorHAnsi" w:cstheme="minorBidi"/>
      <w:kern w:val="2"/>
      <w:lang w:eastAsia="en-US"/>
      <w14:ligatures w14:val="standardContextual"/>
    </w:rPr>
  </w:style>
  <w:style w:type="character" w:customStyle="1" w:styleId="ui-provider">
    <w:name w:val="ui-provider"/>
    <w:basedOn w:val="DefaultParagraphFont"/>
    <w:rsid w:val="0002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5486">
      <w:bodyDiv w:val="1"/>
      <w:marLeft w:val="0"/>
      <w:marRight w:val="0"/>
      <w:marTop w:val="0"/>
      <w:marBottom w:val="0"/>
      <w:divBdr>
        <w:top w:val="none" w:sz="0" w:space="0" w:color="auto"/>
        <w:left w:val="none" w:sz="0" w:space="0" w:color="auto"/>
        <w:bottom w:val="none" w:sz="0" w:space="0" w:color="auto"/>
        <w:right w:val="none" w:sz="0" w:space="0" w:color="auto"/>
      </w:divBdr>
    </w:div>
    <w:div w:id="135879076">
      <w:bodyDiv w:val="1"/>
      <w:marLeft w:val="0"/>
      <w:marRight w:val="0"/>
      <w:marTop w:val="0"/>
      <w:marBottom w:val="0"/>
      <w:divBdr>
        <w:top w:val="none" w:sz="0" w:space="0" w:color="auto"/>
        <w:left w:val="none" w:sz="0" w:space="0" w:color="auto"/>
        <w:bottom w:val="none" w:sz="0" w:space="0" w:color="auto"/>
        <w:right w:val="none" w:sz="0" w:space="0" w:color="auto"/>
      </w:divBdr>
    </w:div>
    <w:div w:id="160314822">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309091295">
      <w:bodyDiv w:val="1"/>
      <w:marLeft w:val="0"/>
      <w:marRight w:val="0"/>
      <w:marTop w:val="0"/>
      <w:marBottom w:val="0"/>
      <w:divBdr>
        <w:top w:val="none" w:sz="0" w:space="0" w:color="auto"/>
        <w:left w:val="none" w:sz="0" w:space="0" w:color="auto"/>
        <w:bottom w:val="none" w:sz="0" w:space="0" w:color="auto"/>
        <w:right w:val="none" w:sz="0" w:space="0" w:color="auto"/>
      </w:divBdr>
    </w:div>
    <w:div w:id="336615937">
      <w:bodyDiv w:val="1"/>
      <w:marLeft w:val="0"/>
      <w:marRight w:val="0"/>
      <w:marTop w:val="0"/>
      <w:marBottom w:val="0"/>
      <w:divBdr>
        <w:top w:val="none" w:sz="0" w:space="0" w:color="auto"/>
        <w:left w:val="none" w:sz="0" w:space="0" w:color="auto"/>
        <w:bottom w:val="none" w:sz="0" w:space="0" w:color="auto"/>
        <w:right w:val="none" w:sz="0" w:space="0" w:color="auto"/>
      </w:divBdr>
    </w:div>
    <w:div w:id="354891639">
      <w:bodyDiv w:val="1"/>
      <w:marLeft w:val="0"/>
      <w:marRight w:val="0"/>
      <w:marTop w:val="0"/>
      <w:marBottom w:val="0"/>
      <w:divBdr>
        <w:top w:val="none" w:sz="0" w:space="0" w:color="auto"/>
        <w:left w:val="none" w:sz="0" w:space="0" w:color="auto"/>
        <w:bottom w:val="none" w:sz="0" w:space="0" w:color="auto"/>
        <w:right w:val="none" w:sz="0" w:space="0" w:color="auto"/>
      </w:divBdr>
    </w:div>
    <w:div w:id="376121772">
      <w:bodyDiv w:val="1"/>
      <w:marLeft w:val="0"/>
      <w:marRight w:val="0"/>
      <w:marTop w:val="0"/>
      <w:marBottom w:val="0"/>
      <w:divBdr>
        <w:top w:val="none" w:sz="0" w:space="0" w:color="auto"/>
        <w:left w:val="none" w:sz="0" w:space="0" w:color="auto"/>
        <w:bottom w:val="none" w:sz="0" w:space="0" w:color="auto"/>
        <w:right w:val="none" w:sz="0" w:space="0" w:color="auto"/>
      </w:divBdr>
    </w:div>
    <w:div w:id="407070473">
      <w:bodyDiv w:val="1"/>
      <w:marLeft w:val="0"/>
      <w:marRight w:val="0"/>
      <w:marTop w:val="0"/>
      <w:marBottom w:val="0"/>
      <w:divBdr>
        <w:top w:val="none" w:sz="0" w:space="0" w:color="auto"/>
        <w:left w:val="none" w:sz="0" w:space="0" w:color="auto"/>
        <w:bottom w:val="none" w:sz="0" w:space="0" w:color="auto"/>
        <w:right w:val="none" w:sz="0" w:space="0" w:color="auto"/>
      </w:divBdr>
    </w:div>
    <w:div w:id="421341707">
      <w:bodyDiv w:val="1"/>
      <w:marLeft w:val="0"/>
      <w:marRight w:val="0"/>
      <w:marTop w:val="0"/>
      <w:marBottom w:val="0"/>
      <w:divBdr>
        <w:top w:val="none" w:sz="0" w:space="0" w:color="auto"/>
        <w:left w:val="none" w:sz="0" w:space="0" w:color="auto"/>
        <w:bottom w:val="none" w:sz="0" w:space="0" w:color="auto"/>
        <w:right w:val="none" w:sz="0" w:space="0" w:color="auto"/>
      </w:divBdr>
    </w:div>
    <w:div w:id="597300571">
      <w:bodyDiv w:val="1"/>
      <w:marLeft w:val="0"/>
      <w:marRight w:val="0"/>
      <w:marTop w:val="0"/>
      <w:marBottom w:val="0"/>
      <w:divBdr>
        <w:top w:val="none" w:sz="0" w:space="0" w:color="auto"/>
        <w:left w:val="none" w:sz="0" w:space="0" w:color="auto"/>
        <w:bottom w:val="none" w:sz="0" w:space="0" w:color="auto"/>
        <w:right w:val="none" w:sz="0" w:space="0" w:color="auto"/>
      </w:divBdr>
    </w:div>
    <w:div w:id="603076478">
      <w:bodyDiv w:val="1"/>
      <w:marLeft w:val="0"/>
      <w:marRight w:val="0"/>
      <w:marTop w:val="0"/>
      <w:marBottom w:val="0"/>
      <w:divBdr>
        <w:top w:val="none" w:sz="0" w:space="0" w:color="auto"/>
        <w:left w:val="none" w:sz="0" w:space="0" w:color="auto"/>
        <w:bottom w:val="none" w:sz="0" w:space="0" w:color="auto"/>
        <w:right w:val="none" w:sz="0" w:space="0" w:color="auto"/>
      </w:divBdr>
    </w:div>
    <w:div w:id="604847592">
      <w:bodyDiv w:val="1"/>
      <w:marLeft w:val="0"/>
      <w:marRight w:val="0"/>
      <w:marTop w:val="0"/>
      <w:marBottom w:val="0"/>
      <w:divBdr>
        <w:top w:val="none" w:sz="0" w:space="0" w:color="auto"/>
        <w:left w:val="none" w:sz="0" w:space="0" w:color="auto"/>
        <w:bottom w:val="none" w:sz="0" w:space="0" w:color="auto"/>
        <w:right w:val="none" w:sz="0" w:space="0" w:color="auto"/>
      </w:divBdr>
    </w:div>
    <w:div w:id="610622802">
      <w:bodyDiv w:val="1"/>
      <w:marLeft w:val="0"/>
      <w:marRight w:val="0"/>
      <w:marTop w:val="0"/>
      <w:marBottom w:val="0"/>
      <w:divBdr>
        <w:top w:val="none" w:sz="0" w:space="0" w:color="auto"/>
        <w:left w:val="none" w:sz="0" w:space="0" w:color="auto"/>
        <w:bottom w:val="none" w:sz="0" w:space="0" w:color="auto"/>
        <w:right w:val="none" w:sz="0" w:space="0" w:color="auto"/>
      </w:divBdr>
    </w:div>
    <w:div w:id="626937652">
      <w:bodyDiv w:val="1"/>
      <w:marLeft w:val="0"/>
      <w:marRight w:val="0"/>
      <w:marTop w:val="0"/>
      <w:marBottom w:val="0"/>
      <w:divBdr>
        <w:top w:val="none" w:sz="0" w:space="0" w:color="auto"/>
        <w:left w:val="none" w:sz="0" w:space="0" w:color="auto"/>
        <w:bottom w:val="none" w:sz="0" w:space="0" w:color="auto"/>
        <w:right w:val="none" w:sz="0" w:space="0" w:color="auto"/>
      </w:divBdr>
    </w:div>
    <w:div w:id="637146544">
      <w:bodyDiv w:val="1"/>
      <w:marLeft w:val="0"/>
      <w:marRight w:val="0"/>
      <w:marTop w:val="0"/>
      <w:marBottom w:val="0"/>
      <w:divBdr>
        <w:top w:val="none" w:sz="0" w:space="0" w:color="auto"/>
        <w:left w:val="none" w:sz="0" w:space="0" w:color="auto"/>
        <w:bottom w:val="none" w:sz="0" w:space="0" w:color="auto"/>
        <w:right w:val="none" w:sz="0" w:space="0" w:color="auto"/>
      </w:divBdr>
    </w:div>
    <w:div w:id="646469646">
      <w:bodyDiv w:val="1"/>
      <w:marLeft w:val="0"/>
      <w:marRight w:val="0"/>
      <w:marTop w:val="0"/>
      <w:marBottom w:val="0"/>
      <w:divBdr>
        <w:top w:val="none" w:sz="0" w:space="0" w:color="auto"/>
        <w:left w:val="none" w:sz="0" w:space="0" w:color="auto"/>
        <w:bottom w:val="none" w:sz="0" w:space="0" w:color="auto"/>
        <w:right w:val="none" w:sz="0" w:space="0" w:color="auto"/>
      </w:divBdr>
      <w:divsChild>
        <w:div w:id="188303217">
          <w:marLeft w:val="0"/>
          <w:marRight w:val="0"/>
          <w:marTop w:val="0"/>
          <w:marBottom w:val="0"/>
          <w:divBdr>
            <w:top w:val="none" w:sz="0" w:space="0" w:color="auto"/>
            <w:left w:val="none" w:sz="0" w:space="0" w:color="auto"/>
            <w:bottom w:val="none" w:sz="0" w:space="0" w:color="auto"/>
            <w:right w:val="none" w:sz="0" w:space="0" w:color="auto"/>
          </w:divBdr>
        </w:div>
        <w:div w:id="231084063">
          <w:marLeft w:val="0"/>
          <w:marRight w:val="0"/>
          <w:marTop w:val="0"/>
          <w:marBottom w:val="0"/>
          <w:divBdr>
            <w:top w:val="none" w:sz="0" w:space="0" w:color="auto"/>
            <w:left w:val="none" w:sz="0" w:space="0" w:color="auto"/>
            <w:bottom w:val="none" w:sz="0" w:space="0" w:color="auto"/>
            <w:right w:val="none" w:sz="0" w:space="0" w:color="auto"/>
          </w:divBdr>
        </w:div>
        <w:div w:id="642926194">
          <w:marLeft w:val="0"/>
          <w:marRight w:val="0"/>
          <w:marTop w:val="0"/>
          <w:marBottom w:val="0"/>
          <w:divBdr>
            <w:top w:val="none" w:sz="0" w:space="0" w:color="auto"/>
            <w:left w:val="none" w:sz="0" w:space="0" w:color="auto"/>
            <w:bottom w:val="none" w:sz="0" w:space="0" w:color="auto"/>
            <w:right w:val="none" w:sz="0" w:space="0" w:color="auto"/>
          </w:divBdr>
        </w:div>
        <w:div w:id="805122247">
          <w:marLeft w:val="0"/>
          <w:marRight w:val="0"/>
          <w:marTop w:val="0"/>
          <w:marBottom w:val="0"/>
          <w:divBdr>
            <w:top w:val="none" w:sz="0" w:space="0" w:color="auto"/>
            <w:left w:val="none" w:sz="0" w:space="0" w:color="auto"/>
            <w:bottom w:val="none" w:sz="0" w:space="0" w:color="auto"/>
            <w:right w:val="none" w:sz="0" w:space="0" w:color="auto"/>
          </w:divBdr>
        </w:div>
        <w:div w:id="1016468721">
          <w:marLeft w:val="0"/>
          <w:marRight w:val="0"/>
          <w:marTop w:val="0"/>
          <w:marBottom w:val="0"/>
          <w:divBdr>
            <w:top w:val="none" w:sz="0" w:space="0" w:color="auto"/>
            <w:left w:val="none" w:sz="0" w:space="0" w:color="auto"/>
            <w:bottom w:val="none" w:sz="0" w:space="0" w:color="auto"/>
            <w:right w:val="none" w:sz="0" w:space="0" w:color="auto"/>
          </w:divBdr>
        </w:div>
        <w:div w:id="1019625351">
          <w:marLeft w:val="0"/>
          <w:marRight w:val="0"/>
          <w:marTop w:val="0"/>
          <w:marBottom w:val="0"/>
          <w:divBdr>
            <w:top w:val="none" w:sz="0" w:space="0" w:color="auto"/>
            <w:left w:val="none" w:sz="0" w:space="0" w:color="auto"/>
            <w:bottom w:val="none" w:sz="0" w:space="0" w:color="auto"/>
            <w:right w:val="none" w:sz="0" w:space="0" w:color="auto"/>
          </w:divBdr>
        </w:div>
        <w:div w:id="1176306021">
          <w:marLeft w:val="0"/>
          <w:marRight w:val="0"/>
          <w:marTop w:val="0"/>
          <w:marBottom w:val="0"/>
          <w:divBdr>
            <w:top w:val="none" w:sz="0" w:space="0" w:color="auto"/>
            <w:left w:val="none" w:sz="0" w:space="0" w:color="auto"/>
            <w:bottom w:val="none" w:sz="0" w:space="0" w:color="auto"/>
            <w:right w:val="none" w:sz="0" w:space="0" w:color="auto"/>
          </w:divBdr>
        </w:div>
        <w:div w:id="1340893462">
          <w:marLeft w:val="0"/>
          <w:marRight w:val="0"/>
          <w:marTop w:val="0"/>
          <w:marBottom w:val="0"/>
          <w:divBdr>
            <w:top w:val="none" w:sz="0" w:space="0" w:color="auto"/>
            <w:left w:val="none" w:sz="0" w:space="0" w:color="auto"/>
            <w:bottom w:val="none" w:sz="0" w:space="0" w:color="auto"/>
            <w:right w:val="none" w:sz="0" w:space="0" w:color="auto"/>
          </w:divBdr>
        </w:div>
        <w:div w:id="1431779694">
          <w:marLeft w:val="0"/>
          <w:marRight w:val="0"/>
          <w:marTop w:val="0"/>
          <w:marBottom w:val="0"/>
          <w:divBdr>
            <w:top w:val="none" w:sz="0" w:space="0" w:color="auto"/>
            <w:left w:val="none" w:sz="0" w:space="0" w:color="auto"/>
            <w:bottom w:val="none" w:sz="0" w:space="0" w:color="auto"/>
            <w:right w:val="none" w:sz="0" w:space="0" w:color="auto"/>
          </w:divBdr>
        </w:div>
        <w:div w:id="1443378566">
          <w:marLeft w:val="0"/>
          <w:marRight w:val="0"/>
          <w:marTop w:val="0"/>
          <w:marBottom w:val="0"/>
          <w:divBdr>
            <w:top w:val="none" w:sz="0" w:space="0" w:color="auto"/>
            <w:left w:val="none" w:sz="0" w:space="0" w:color="auto"/>
            <w:bottom w:val="none" w:sz="0" w:space="0" w:color="auto"/>
            <w:right w:val="none" w:sz="0" w:space="0" w:color="auto"/>
          </w:divBdr>
        </w:div>
        <w:div w:id="1476996213">
          <w:marLeft w:val="0"/>
          <w:marRight w:val="0"/>
          <w:marTop w:val="0"/>
          <w:marBottom w:val="0"/>
          <w:divBdr>
            <w:top w:val="none" w:sz="0" w:space="0" w:color="auto"/>
            <w:left w:val="none" w:sz="0" w:space="0" w:color="auto"/>
            <w:bottom w:val="none" w:sz="0" w:space="0" w:color="auto"/>
            <w:right w:val="none" w:sz="0" w:space="0" w:color="auto"/>
          </w:divBdr>
        </w:div>
        <w:div w:id="1701973685">
          <w:marLeft w:val="0"/>
          <w:marRight w:val="0"/>
          <w:marTop w:val="0"/>
          <w:marBottom w:val="0"/>
          <w:divBdr>
            <w:top w:val="none" w:sz="0" w:space="0" w:color="auto"/>
            <w:left w:val="none" w:sz="0" w:space="0" w:color="auto"/>
            <w:bottom w:val="none" w:sz="0" w:space="0" w:color="auto"/>
            <w:right w:val="none" w:sz="0" w:space="0" w:color="auto"/>
          </w:divBdr>
        </w:div>
        <w:div w:id="1779792993">
          <w:marLeft w:val="0"/>
          <w:marRight w:val="0"/>
          <w:marTop w:val="0"/>
          <w:marBottom w:val="0"/>
          <w:divBdr>
            <w:top w:val="none" w:sz="0" w:space="0" w:color="auto"/>
            <w:left w:val="none" w:sz="0" w:space="0" w:color="auto"/>
            <w:bottom w:val="none" w:sz="0" w:space="0" w:color="auto"/>
            <w:right w:val="none" w:sz="0" w:space="0" w:color="auto"/>
          </w:divBdr>
        </w:div>
        <w:div w:id="1862670426">
          <w:marLeft w:val="0"/>
          <w:marRight w:val="0"/>
          <w:marTop w:val="0"/>
          <w:marBottom w:val="0"/>
          <w:divBdr>
            <w:top w:val="none" w:sz="0" w:space="0" w:color="auto"/>
            <w:left w:val="none" w:sz="0" w:space="0" w:color="auto"/>
            <w:bottom w:val="none" w:sz="0" w:space="0" w:color="auto"/>
            <w:right w:val="none" w:sz="0" w:space="0" w:color="auto"/>
          </w:divBdr>
        </w:div>
        <w:div w:id="1933318625">
          <w:marLeft w:val="0"/>
          <w:marRight w:val="0"/>
          <w:marTop w:val="0"/>
          <w:marBottom w:val="0"/>
          <w:divBdr>
            <w:top w:val="none" w:sz="0" w:space="0" w:color="auto"/>
            <w:left w:val="none" w:sz="0" w:space="0" w:color="auto"/>
            <w:bottom w:val="none" w:sz="0" w:space="0" w:color="auto"/>
            <w:right w:val="none" w:sz="0" w:space="0" w:color="auto"/>
          </w:divBdr>
        </w:div>
        <w:div w:id="1982340387">
          <w:marLeft w:val="0"/>
          <w:marRight w:val="0"/>
          <w:marTop w:val="0"/>
          <w:marBottom w:val="0"/>
          <w:divBdr>
            <w:top w:val="none" w:sz="0" w:space="0" w:color="auto"/>
            <w:left w:val="none" w:sz="0" w:space="0" w:color="auto"/>
            <w:bottom w:val="none" w:sz="0" w:space="0" w:color="auto"/>
            <w:right w:val="none" w:sz="0" w:space="0" w:color="auto"/>
          </w:divBdr>
        </w:div>
      </w:divsChild>
    </w:div>
    <w:div w:id="657538326">
      <w:bodyDiv w:val="1"/>
      <w:marLeft w:val="0"/>
      <w:marRight w:val="0"/>
      <w:marTop w:val="0"/>
      <w:marBottom w:val="0"/>
      <w:divBdr>
        <w:top w:val="none" w:sz="0" w:space="0" w:color="auto"/>
        <w:left w:val="none" w:sz="0" w:space="0" w:color="auto"/>
        <w:bottom w:val="none" w:sz="0" w:space="0" w:color="auto"/>
        <w:right w:val="none" w:sz="0" w:space="0" w:color="auto"/>
      </w:divBdr>
    </w:div>
    <w:div w:id="664087307">
      <w:bodyDiv w:val="1"/>
      <w:marLeft w:val="0"/>
      <w:marRight w:val="0"/>
      <w:marTop w:val="0"/>
      <w:marBottom w:val="0"/>
      <w:divBdr>
        <w:top w:val="none" w:sz="0" w:space="0" w:color="auto"/>
        <w:left w:val="none" w:sz="0" w:space="0" w:color="auto"/>
        <w:bottom w:val="none" w:sz="0" w:space="0" w:color="auto"/>
        <w:right w:val="none" w:sz="0" w:space="0" w:color="auto"/>
      </w:divBdr>
    </w:div>
    <w:div w:id="692536447">
      <w:bodyDiv w:val="1"/>
      <w:marLeft w:val="0"/>
      <w:marRight w:val="0"/>
      <w:marTop w:val="0"/>
      <w:marBottom w:val="0"/>
      <w:divBdr>
        <w:top w:val="none" w:sz="0" w:space="0" w:color="auto"/>
        <w:left w:val="none" w:sz="0" w:space="0" w:color="auto"/>
        <w:bottom w:val="none" w:sz="0" w:space="0" w:color="auto"/>
        <w:right w:val="none" w:sz="0" w:space="0" w:color="auto"/>
      </w:divBdr>
    </w:div>
    <w:div w:id="766577104">
      <w:bodyDiv w:val="1"/>
      <w:marLeft w:val="0"/>
      <w:marRight w:val="0"/>
      <w:marTop w:val="0"/>
      <w:marBottom w:val="0"/>
      <w:divBdr>
        <w:top w:val="none" w:sz="0" w:space="0" w:color="auto"/>
        <w:left w:val="none" w:sz="0" w:space="0" w:color="auto"/>
        <w:bottom w:val="none" w:sz="0" w:space="0" w:color="auto"/>
        <w:right w:val="none" w:sz="0" w:space="0" w:color="auto"/>
      </w:divBdr>
    </w:div>
    <w:div w:id="767963965">
      <w:bodyDiv w:val="1"/>
      <w:marLeft w:val="0"/>
      <w:marRight w:val="0"/>
      <w:marTop w:val="0"/>
      <w:marBottom w:val="0"/>
      <w:divBdr>
        <w:top w:val="none" w:sz="0" w:space="0" w:color="auto"/>
        <w:left w:val="none" w:sz="0" w:space="0" w:color="auto"/>
        <w:bottom w:val="none" w:sz="0" w:space="0" w:color="auto"/>
        <w:right w:val="none" w:sz="0" w:space="0" w:color="auto"/>
      </w:divBdr>
    </w:div>
    <w:div w:id="905653558">
      <w:bodyDiv w:val="1"/>
      <w:marLeft w:val="0"/>
      <w:marRight w:val="0"/>
      <w:marTop w:val="0"/>
      <w:marBottom w:val="0"/>
      <w:divBdr>
        <w:top w:val="none" w:sz="0" w:space="0" w:color="auto"/>
        <w:left w:val="none" w:sz="0" w:space="0" w:color="auto"/>
        <w:bottom w:val="none" w:sz="0" w:space="0" w:color="auto"/>
        <w:right w:val="none" w:sz="0" w:space="0" w:color="auto"/>
      </w:divBdr>
    </w:div>
    <w:div w:id="947002383">
      <w:bodyDiv w:val="1"/>
      <w:marLeft w:val="0"/>
      <w:marRight w:val="0"/>
      <w:marTop w:val="0"/>
      <w:marBottom w:val="0"/>
      <w:divBdr>
        <w:top w:val="none" w:sz="0" w:space="0" w:color="auto"/>
        <w:left w:val="none" w:sz="0" w:space="0" w:color="auto"/>
        <w:bottom w:val="none" w:sz="0" w:space="0" w:color="auto"/>
        <w:right w:val="none" w:sz="0" w:space="0" w:color="auto"/>
      </w:divBdr>
      <w:divsChild>
        <w:div w:id="453643093">
          <w:marLeft w:val="0"/>
          <w:marRight w:val="0"/>
          <w:marTop w:val="0"/>
          <w:marBottom w:val="0"/>
          <w:divBdr>
            <w:top w:val="none" w:sz="0" w:space="0" w:color="auto"/>
            <w:left w:val="none" w:sz="0" w:space="0" w:color="auto"/>
            <w:bottom w:val="none" w:sz="0" w:space="0" w:color="auto"/>
            <w:right w:val="none" w:sz="0" w:space="0" w:color="auto"/>
          </w:divBdr>
        </w:div>
      </w:divsChild>
    </w:div>
    <w:div w:id="953974044">
      <w:bodyDiv w:val="1"/>
      <w:marLeft w:val="0"/>
      <w:marRight w:val="0"/>
      <w:marTop w:val="0"/>
      <w:marBottom w:val="0"/>
      <w:divBdr>
        <w:top w:val="none" w:sz="0" w:space="0" w:color="auto"/>
        <w:left w:val="none" w:sz="0" w:space="0" w:color="auto"/>
        <w:bottom w:val="none" w:sz="0" w:space="0" w:color="auto"/>
        <w:right w:val="none" w:sz="0" w:space="0" w:color="auto"/>
      </w:divBdr>
    </w:div>
    <w:div w:id="981278433">
      <w:bodyDiv w:val="1"/>
      <w:marLeft w:val="0"/>
      <w:marRight w:val="0"/>
      <w:marTop w:val="0"/>
      <w:marBottom w:val="0"/>
      <w:divBdr>
        <w:top w:val="none" w:sz="0" w:space="0" w:color="auto"/>
        <w:left w:val="none" w:sz="0" w:space="0" w:color="auto"/>
        <w:bottom w:val="none" w:sz="0" w:space="0" w:color="auto"/>
        <w:right w:val="none" w:sz="0" w:space="0" w:color="auto"/>
      </w:divBdr>
    </w:div>
    <w:div w:id="991983128">
      <w:bodyDiv w:val="1"/>
      <w:marLeft w:val="0"/>
      <w:marRight w:val="0"/>
      <w:marTop w:val="0"/>
      <w:marBottom w:val="0"/>
      <w:divBdr>
        <w:top w:val="none" w:sz="0" w:space="0" w:color="auto"/>
        <w:left w:val="none" w:sz="0" w:space="0" w:color="auto"/>
        <w:bottom w:val="none" w:sz="0" w:space="0" w:color="auto"/>
        <w:right w:val="none" w:sz="0" w:space="0" w:color="auto"/>
      </w:divBdr>
    </w:div>
    <w:div w:id="1026757699">
      <w:bodyDiv w:val="1"/>
      <w:marLeft w:val="0"/>
      <w:marRight w:val="0"/>
      <w:marTop w:val="0"/>
      <w:marBottom w:val="0"/>
      <w:divBdr>
        <w:top w:val="none" w:sz="0" w:space="0" w:color="auto"/>
        <w:left w:val="none" w:sz="0" w:space="0" w:color="auto"/>
        <w:bottom w:val="none" w:sz="0" w:space="0" w:color="auto"/>
        <w:right w:val="none" w:sz="0" w:space="0" w:color="auto"/>
      </w:divBdr>
    </w:div>
    <w:div w:id="1035934293">
      <w:bodyDiv w:val="1"/>
      <w:marLeft w:val="0"/>
      <w:marRight w:val="0"/>
      <w:marTop w:val="0"/>
      <w:marBottom w:val="0"/>
      <w:divBdr>
        <w:top w:val="none" w:sz="0" w:space="0" w:color="auto"/>
        <w:left w:val="none" w:sz="0" w:space="0" w:color="auto"/>
        <w:bottom w:val="none" w:sz="0" w:space="0" w:color="auto"/>
        <w:right w:val="none" w:sz="0" w:space="0" w:color="auto"/>
      </w:divBdr>
    </w:div>
    <w:div w:id="1061758693">
      <w:bodyDiv w:val="1"/>
      <w:marLeft w:val="0"/>
      <w:marRight w:val="0"/>
      <w:marTop w:val="0"/>
      <w:marBottom w:val="0"/>
      <w:divBdr>
        <w:top w:val="none" w:sz="0" w:space="0" w:color="auto"/>
        <w:left w:val="none" w:sz="0" w:space="0" w:color="auto"/>
        <w:bottom w:val="none" w:sz="0" w:space="0" w:color="auto"/>
        <w:right w:val="none" w:sz="0" w:space="0" w:color="auto"/>
      </w:divBdr>
    </w:div>
    <w:div w:id="1079135116">
      <w:bodyDiv w:val="1"/>
      <w:marLeft w:val="0"/>
      <w:marRight w:val="0"/>
      <w:marTop w:val="0"/>
      <w:marBottom w:val="0"/>
      <w:divBdr>
        <w:top w:val="none" w:sz="0" w:space="0" w:color="auto"/>
        <w:left w:val="none" w:sz="0" w:space="0" w:color="auto"/>
        <w:bottom w:val="none" w:sz="0" w:space="0" w:color="auto"/>
        <w:right w:val="none" w:sz="0" w:space="0" w:color="auto"/>
      </w:divBdr>
    </w:div>
    <w:div w:id="1119641065">
      <w:bodyDiv w:val="1"/>
      <w:marLeft w:val="0"/>
      <w:marRight w:val="0"/>
      <w:marTop w:val="0"/>
      <w:marBottom w:val="0"/>
      <w:divBdr>
        <w:top w:val="none" w:sz="0" w:space="0" w:color="auto"/>
        <w:left w:val="none" w:sz="0" w:space="0" w:color="auto"/>
        <w:bottom w:val="none" w:sz="0" w:space="0" w:color="auto"/>
        <w:right w:val="none" w:sz="0" w:space="0" w:color="auto"/>
      </w:divBdr>
    </w:div>
    <w:div w:id="1141650772">
      <w:bodyDiv w:val="1"/>
      <w:marLeft w:val="0"/>
      <w:marRight w:val="0"/>
      <w:marTop w:val="0"/>
      <w:marBottom w:val="0"/>
      <w:divBdr>
        <w:top w:val="none" w:sz="0" w:space="0" w:color="auto"/>
        <w:left w:val="none" w:sz="0" w:space="0" w:color="auto"/>
        <w:bottom w:val="none" w:sz="0" w:space="0" w:color="auto"/>
        <w:right w:val="none" w:sz="0" w:space="0" w:color="auto"/>
      </w:divBdr>
    </w:div>
    <w:div w:id="1203207346">
      <w:bodyDiv w:val="1"/>
      <w:marLeft w:val="0"/>
      <w:marRight w:val="0"/>
      <w:marTop w:val="0"/>
      <w:marBottom w:val="0"/>
      <w:divBdr>
        <w:top w:val="none" w:sz="0" w:space="0" w:color="auto"/>
        <w:left w:val="none" w:sz="0" w:space="0" w:color="auto"/>
        <w:bottom w:val="none" w:sz="0" w:space="0" w:color="auto"/>
        <w:right w:val="none" w:sz="0" w:space="0" w:color="auto"/>
      </w:divBdr>
    </w:div>
    <w:div w:id="1225096694">
      <w:bodyDiv w:val="1"/>
      <w:marLeft w:val="0"/>
      <w:marRight w:val="0"/>
      <w:marTop w:val="0"/>
      <w:marBottom w:val="0"/>
      <w:divBdr>
        <w:top w:val="none" w:sz="0" w:space="0" w:color="auto"/>
        <w:left w:val="none" w:sz="0" w:space="0" w:color="auto"/>
        <w:bottom w:val="none" w:sz="0" w:space="0" w:color="auto"/>
        <w:right w:val="none" w:sz="0" w:space="0" w:color="auto"/>
      </w:divBdr>
      <w:divsChild>
        <w:div w:id="765081209">
          <w:marLeft w:val="0"/>
          <w:marRight w:val="0"/>
          <w:marTop w:val="83"/>
          <w:marBottom w:val="0"/>
          <w:divBdr>
            <w:top w:val="none" w:sz="0" w:space="0" w:color="auto"/>
            <w:left w:val="none" w:sz="0" w:space="0" w:color="auto"/>
            <w:bottom w:val="none" w:sz="0" w:space="0" w:color="auto"/>
            <w:right w:val="none" w:sz="0" w:space="0" w:color="auto"/>
          </w:divBdr>
          <w:divsChild>
            <w:div w:id="178930531">
              <w:marLeft w:val="0"/>
              <w:marRight w:val="0"/>
              <w:marTop w:val="83"/>
              <w:marBottom w:val="0"/>
              <w:divBdr>
                <w:top w:val="none" w:sz="0" w:space="0" w:color="auto"/>
                <w:left w:val="none" w:sz="0" w:space="0" w:color="auto"/>
                <w:bottom w:val="none" w:sz="0" w:space="0" w:color="auto"/>
                <w:right w:val="none" w:sz="0" w:space="0" w:color="auto"/>
              </w:divBdr>
              <w:divsChild>
                <w:div w:id="940189562">
                  <w:marLeft w:val="0"/>
                  <w:marRight w:val="0"/>
                  <w:marTop w:val="83"/>
                  <w:marBottom w:val="0"/>
                  <w:divBdr>
                    <w:top w:val="none" w:sz="0" w:space="0" w:color="auto"/>
                    <w:left w:val="none" w:sz="0" w:space="0" w:color="auto"/>
                    <w:bottom w:val="none" w:sz="0" w:space="0" w:color="auto"/>
                    <w:right w:val="none" w:sz="0" w:space="0" w:color="auto"/>
                  </w:divBdr>
                </w:div>
                <w:div w:id="1189560039">
                  <w:marLeft w:val="0"/>
                  <w:marRight w:val="0"/>
                  <w:marTop w:val="83"/>
                  <w:marBottom w:val="0"/>
                  <w:divBdr>
                    <w:top w:val="none" w:sz="0" w:space="0" w:color="auto"/>
                    <w:left w:val="none" w:sz="0" w:space="0" w:color="auto"/>
                    <w:bottom w:val="none" w:sz="0" w:space="0" w:color="auto"/>
                    <w:right w:val="none" w:sz="0" w:space="0" w:color="auto"/>
                  </w:divBdr>
                </w:div>
              </w:divsChild>
            </w:div>
            <w:div w:id="687176084">
              <w:marLeft w:val="0"/>
              <w:marRight w:val="0"/>
              <w:marTop w:val="83"/>
              <w:marBottom w:val="0"/>
              <w:divBdr>
                <w:top w:val="none" w:sz="0" w:space="0" w:color="auto"/>
                <w:left w:val="none" w:sz="0" w:space="0" w:color="auto"/>
                <w:bottom w:val="none" w:sz="0" w:space="0" w:color="auto"/>
                <w:right w:val="none" w:sz="0" w:space="0" w:color="auto"/>
              </w:divBdr>
            </w:div>
            <w:div w:id="1432622034">
              <w:marLeft w:val="0"/>
              <w:marRight w:val="0"/>
              <w:marTop w:val="83"/>
              <w:marBottom w:val="0"/>
              <w:divBdr>
                <w:top w:val="none" w:sz="0" w:space="0" w:color="auto"/>
                <w:left w:val="none" w:sz="0" w:space="0" w:color="auto"/>
                <w:bottom w:val="none" w:sz="0" w:space="0" w:color="auto"/>
                <w:right w:val="none" w:sz="0" w:space="0" w:color="auto"/>
              </w:divBdr>
            </w:div>
            <w:div w:id="1540584575">
              <w:marLeft w:val="0"/>
              <w:marRight w:val="0"/>
              <w:marTop w:val="83"/>
              <w:marBottom w:val="0"/>
              <w:divBdr>
                <w:top w:val="none" w:sz="0" w:space="0" w:color="auto"/>
                <w:left w:val="none" w:sz="0" w:space="0" w:color="auto"/>
                <w:bottom w:val="none" w:sz="0" w:space="0" w:color="auto"/>
                <w:right w:val="none" w:sz="0" w:space="0" w:color="auto"/>
              </w:divBdr>
            </w:div>
            <w:div w:id="1599681914">
              <w:marLeft w:val="0"/>
              <w:marRight w:val="0"/>
              <w:marTop w:val="83"/>
              <w:marBottom w:val="0"/>
              <w:divBdr>
                <w:top w:val="none" w:sz="0" w:space="0" w:color="auto"/>
                <w:left w:val="none" w:sz="0" w:space="0" w:color="auto"/>
                <w:bottom w:val="none" w:sz="0" w:space="0" w:color="auto"/>
                <w:right w:val="none" w:sz="0" w:space="0" w:color="auto"/>
              </w:divBdr>
            </w:div>
            <w:div w:id="1833374869">
              <w:marLeft w:val="0"/>
              <w:marRight w:val="0"/>
              <w:marTop w:val="83"/>
              <w:marBottom w:val="0"/>
              <w:divBdr>
                <w:top w:val="none" w:sz="0" w:space="0" w:color="auto"/>
                <w:left w:val="none" w:sz="0" w:space="0" w:color="auto"/>
                <w:bottom w:val="none" w:sz="0" w:space="0" w:color="auto"/>
                <w:right w:val="none" w:sz="0" w:space="0" w:color="auto"/>
              </w:divBdr>
            </w:div>
          </w:divsChild>
        </w:div>
        <w:div w:id="1504931830">
          <w:marLeft w:val="0"/>
          <w:marRight w:val="0"/>
          <w:marTop w:val="83"/>
          <w:marBottom w:val="0"/>
          <w:divBdr>
            <w:top w:val="none" w:sz="0" w:space="0" w:color="auto"/>
            <w:left w:val="none" w:sz="0" w:space="0" w:color="auto"/>
            <w:bottom w:val="none" w:sz="0" w:space="0" w:color="auto"/>
            <w:right w:val="none" w:sz="0" w:space="0" w:color="auto"/>
          </w:divBdr>
          <w:divsChild>
            <w:div w:id="615067120">
              <w:marLeft w:val="0"/>
              <w:marRight w:val="0"/>
              <w:marTop w:val="83"/>
              <w:marBottom w:val="0"/>
              <w:divBdr>
                <w:top w:val="none" w:sz="0" w:space="0" w:color="auto"/>
                <w:left w:val="none" w:sz="0" w:space="0" w:color="auto"/>
                <w:bottom w:val="none" w:sz="0" w:space="0" w:color="auto"/>
                <w:right w:val="none" w:sz="0" w:space="0" w:color="auto"/>
              </w:divBdr>
            </w:div>
            <w:div w:id="996497225">
              <w:marLeft w:val="0"/>
              <w:marRight w:val="0"/>
              <w:marTop w:val="83"/>
              <w:marBottom w:val="0"/>
              <w:divBdr>
                <w:top w:val="none" w:sz="0" w:space="0" w:color="auto"/>
                <w:left w:val="none" w:sz="0" w:space="0" w:color="auto"/>
                <w:bottom w:val="none" w:sz="0" w:space="0" w:color="auto"/>
                <w:right w:val="none" w:sz="0" w:space="0" w:color="auto"/>
              </w:divBdr>
            </w:div>
            <w:div w:id="128222614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33545875">
      <w:bodyDiv w:val="1"/>
      <w:marLeft w:val="0"/>
      <w:marRight w:val="0"/>
      <w:marTop w:val="0"/>
      <w:marBottom w:val="0"/>
      <w:divBdr>
        <w:top w:val="none" w:sz="0" w:space="0" w:color="auto"/>
        <w:left w:val="none" w:sz="0" w:space="0" w:color="auto"/>
        <w:bottom w:val="none" w:sz="0" w:space="0" w:color="auto"/>
        <w:right w:val="none" w:sz="0" w:space="0" w:color="auto"/>
      </w:divBdr>
      <w:divsChild>
        <w:div w:id="17434276">
          <w:marLeft w:val="0"/>
          <w:marRight w:val="0"/>
          <w:marTop w:val="0"/>
          <w:marBottom w:val="0"/>
          <w:divBdr>
            <w:top w:val="none" w:sz="0" w:space="0" w:color="auto"/>
            <w:left w:val="none" w:sz="0" w:space="0" w:color="auto"/>
            <w:bottom w:val="none" w:sz="0" w:space="0" w:color="auto"/>
            <w:right w:val="none" w:sz="0" w:space="0" w:color="auto"/>
          </w:divBdr>
          <w:divsChild>
            <w:div w:id="1884250629">
              <w:marLeft w:val="0"/>
              <w:marRight w:val="0"/>
              <w:marTop w:val="0"/>
              <w:marBottom w:val="0"/>
              <w:divBdr>
                <w:top w:val="none" w:sz="0" w:space="0" w:color="auto"/>
                <w:left w:val="none" w:sz="0" w:space="0" w:color="auto"/>
                <w:bottom w:val="none" w:sz="0" w:space="0" w:color="auto"/>
                <w:right w:val="none" w:sz="0" w:space="0" w:color="auto"/>
              </w:divBdr>
            </w:div>
          </w:divsChild>
        </w:div>
        <w:div w:id="108937874">
          <w:marLeft w:val="0"/>
          <w:marRight w:val="0"/>
          <w:marTop w:val="0"/>
          <w:marBottom w:val="0"/>
          <w:divBdr>
            <w:top w:val="none" w:sz="0" w:space="0" w:color="auto"/>
            <w:left w:val="none" w:sz="0" w:space="0" w:color="auto"/>
            <w:bottom w:val="none" w:sz="0" w:space="0" w:color="auto"/>
            <w:right w:val="none" w:sz="0" w:space="0" w:color="auto"/>
          </w:divBdr>
          <w:divsChild>
            <w:div w:id="923488682">
              <w:marLeft w:val="0"/>
              <w:marRight w:val="0"/>
              <w:marTop w:val="0"/>
              <w:marBottom w:val="0"/>
              <w:divBdr>
                <w:top w:val="none" w:sz="0" w:space="0" w:color="auto"/>
                <w:left w:val="none" w:sz="0" w:space="0" w:color="auto"/>
                <w:bottom w:val="none" w:sz="0" w:space="0" w:color="auto"/>
                <w:right w:val="none" w:sz="0" w:space="0" w:color="auto"/>
              </w:divBdr>
            </w:div>
          </w:divsChild>
        </w:div>
        <w:div w:id="139199670">
          <w:marLeft w:val="0"/>
          <w:marRight w:val="0"/>
          <w:marTop w:val="0"/>
          <w:marBottom w:val="0"/>
          <w:divBdr>
            <w:top w:val="none" w:sz="0" w:space="0" w:color="auto"/>
            <w:left w:val="none" w:sz="0" w:space="0" w:color="auto"/>
            <w:bottom w:val="none" w:sz="0" w:space="0" w:color="auto"/>
            <w:right w:val="none" w:sz="0" w:space="0" w:color="auto"/>
          </w:divBdr>
          <w:divsChild>
            <w:div w:id="877161633">
              <w:marLeft w:val="0"/>
              <w:marRight w:val="0"/>
              <w:marTop w:val="0"/>
              <w:marBottom w:val="0"/>
              <w:divBdr>
                <w:top w:val="none" w:sz="0" w:space="0" w:color="auto"/>
                <w:left w:val="none" w:sz="0" w:space="0" w:color="auto"/>
                <w:bottom w:val="none" w:sz="0" w:space="0" w:color="auto"/>
                <w:right w:val="none" w:sz="0" w:space="0" w:color="auto"/>
              </w:divBdr>
            </w:div>
          </w:divsChild>
        </w:div>
        <w:div w:id="215508561">
          <w:marLeft w:val="0"/>
          <w:marRight w:val="0"/>
          <w:marTop w:val="0"/>
          <w:marBottom w:val="0"/>
          <w:divBdr>
            <w:top w:val="none" w:sz="0" w:space="0" w:color="auto"/>
            <w:left w:val="none" w:sz="0" w:space="0" w:color="auto"/>
            <w:bottom w:val="none" w:sz="0" w:space="0" w:color="auto"/>
            <w:right w:val="none" w:sz="0" w:space="0" w:color="auto"/>
          </w:divBdr>
          <w:divsChild>
            <w:div w:id="1717386455">
              <w:marLeft w:val="0"/>
              <w:marRight w:val="0"/>
              <w:marTop w:val="0"/>
              <w:marBottom w:val="0"/>
              <w:divBdr>
                <w:top w:val="none" w:sz="0" w:space="0" w:color="auto"/>
                <w:left w:val="none" w:sz="0" w:space="0" w:color="auto"/>
                <w:bottom w:val="none" w:sz="0" w:space="0" w:color="auto"/>
                <w:right w:val="none" w:sz="0" w:space="0" w:color="auto"/>
              </w:divBdr>
            </w:div>
          </w:divsChild>
        </w:div>
        <w:div w:id="264189933">
          <w:marLeft w:val="0"/>
          <w:marRight w:val="0"/>
          <w:marTop w:val="0"/>
          <w:marBottom w:val="0"/>
          <w:divBdr>
            <w:top w:val="none" w:sz="0" w:space="0" w:color="auto"/>
            <w:left w:val="none" w:sz="0" w:space="0" w:color="auto"/>
            <w:bottom w:val="none" w:sz="0" w:space="0" w:color="auto"/>
            <w:right w:val="none" w:sz="0" w:space="0" w:color="auto"/>
          </w:divBdr>
          <w:divsChild>
            <w:div w:id="793014644">
              <w:marLeft w:val="0"/>
              <w:marRight w:val="0"/>
              <w:marTop w:val="0"/>
              <w:marBottom w:val="0"/>
              <w:divBdr>
                <w:top w:val="none" w:sz="0" w:space="0" w:color="auto"/>
                <w:left w:val="none" w:sz="0" w:space="0" w:color="auto"/>
                <w:bottom w:val="none" w:sz="0" w:space="0" w:color="auto"/>
                <w:right w:val="none" w:sz="0" w:space="0" w:color="auto"/>
              </w:divBdr>
            </w:div>
          </w:divsChild>
        </w:div>
        <w:div w:id="273294993">
          <w:marLeft w:val="0"/>
          <w:marRight w:val="0"/>
          <w:marTop w:val="0"/>
          <w:marBottom w:val="0"/>
          <w:divBdr>
            <w:top w:val="none" w:sz="0" w:space="0" w:color="auto"/>
            <w:left w:val="none" w:sz="0" w:space="0" w:color="auto"/>
            <w:bottom w:val="none" w:sz="0" w:space="0" w:color="auto"/>
            <w:right w:val="none" w:sz="0" w:space="0" w:color="auto"/>
          </w:divBdr>
          <w:divsChild>
            <w:div w:id="1385788251">
              <w:marLeft w:val="0"/>
              <w:marRight w:val="0"/>
              <w:marTop w:val="0"/>
              <w:marBottom w:val="0"/>
              <w:divBdr>
                <w:top w:val="none" w:sz="0" w:space="0" w:color="auto"/>
                <w:left w:val="none" w:sz="0" w:space="0" w:color="auto"/>
                <w:bottom w:val="none" w:sz="0" w:space="0" w:color="auto"/>
                <w:right w:val="none" w:sz="0" w:space="0" w:color="auto"/>
              </w:divBdr>
            </w:div>
          </w:divsChild>
        </w:div>
        <w:div w:id="383218624">
          <w:marLeft w:val="0"/>
          <w:marRight w:val="0"/>
          <w:marTop w:val="0"/>
          <w:marBottom w:val="0"/>
          <w:divBdr>
            <w:top w:val="none" w:sz="0" w:space="0" w:color="auto"/>
            <w:left w:val="none" w:sz="0" w:space="0" w:color="auto"/>
            <w:bottom w:val="none" w:sz="0" w:space="0" w:color="auto"/>
            <w:right w:val="none" w:sz="0" w:space="0" w:color="auto"/>
          </w:divBdr>
          <w:divsChild>
            <w:div w:id="923146596">
              <w:marLeft w:val="0"/>
              <w:marRight w:val="0"/>
              <w:marTop w:val="0"/>
              <w:marBottom w:val="0"/>
              <w:divBdr>
                <w:top w:val="none" w:sz="0" w:space="0" w:color="auto"/>
                <w:left w:val="none" w:sz="0" w:space="0" w:color="auto"/>
                <w:bottom w:val="none" w:sz="0" w:space="0" w:color="auto"/>
                <w:right w:val="none" w:sz="0" w:space="0" w:color="auto"/>
              </w:divBdr>
            </w:div>
          </w:divsChild>
        </w:div>
        <w:div w:id="676541928">
          <w:marLeft w:val="0"/>
          <w:marRight w:val="0"/>
          <w:marTop w:val="0"/>
          <w:marBottom w:val="0"/>
          <w:divBdr>
            <w:top w:val="none" w:sz="0" w:space="0" w:color="auto"/>
            <w:left w:val="none" w:sz="0" w:space="0" w:color="auto"/>
            <w:bottom w:val="none" w:sz="0" w:space="0" w:color="auto"/>
            <w:right w:val="none" w:sz="0" w:space="0" w:color="auto"/>
          </w:divBdr>
          <w:divsChild>
            <w:div w:id="1944991388">
              <w:marLeft w:val="0"/>
              <w:marRight w:val="0"/>
              <w:marTop w:val="0"/>
              <w:marBottom w:val="0"/>
              <w:divBdr>
                <w:top w:val="none" w:sz="0" w:space="0" w:color="auto"/>
                <w:left w:val="none" w:sz="0" w:space="0" w:color="auto"/>
                <w:bottom w:val="none" w:sz="0" w:space="0" w:color="auto"/>
                <w:right w:val="none" w:sz="0" w:space="0" w:color="auto"/>
              </w:divBdr>
            </w:div>
          </w:divsChild>
        </w:div>
        <w:div w:id="711923190">
          <w:marLeft w:val="0"/>
          <w:marRight w:val="0"/>
          <w:marTop w:val="0"/>
          <w:marBottom w:val="0"/>
          <w:divBdr>
            <w:top w:val="none" w:sz="0" w:space="0" w:color="auto"/>
            <w:left w:val="none" w:sz="0" w:space="0" w:color="auto"/>
            <w:bottom w:val="none" w:sz="0" w:space="0" w:color="auto"/>
            <w:right w:val="none" w:sz="0" w:space="0" w:color="auto"/>
          </w:divBdr>
          <w:divsChild>
            <w:div w:id="971865378">
              <w:marLeft w:val="0"/>
              <w:marRight w:val="0"/>
              <w:marTop w:val="0"/>
              <w:marBottom w:val="0"/>
              <w:divBdr>
                <w:top w:val="none" w:sz="0" w:space="0" w:color="auto"/>
                <w:left w:val="none" w:sz="0" w:space="0" w:color="auto"/>
                <w:bottom w:val="none" w:sz="0" w:space="0" w:color="auto"/>
                <w:right w:val="none" w:sz="0" w:space="0" w:color="auto"/>
              </w:divBdr>
            </w:div>
          </w:divsChild>
        </w:div>
        <w:div w:id="831914782">
          <w:marLeft w:val="0"/>
          <w:marRight w:val="0"/>
          <w:marTop w:val="0"/>
          <w:marBottom w:val="0"/>
          <w:divBdr>
            <w:top w:val="none" w:sz="0" w:space="0" w:color="auto"/>
            <w:left w:val="none" w:sz="0" w:space="0" w:color="auto"/>
            <w:bottom w:val="none" w:sz="0" w:space="0" w:color="auto"/>
            <w:right w:val="none" w:sz="0" w:space="0" w:color="auto"/>
          </w:divBdr>
          <w:divsChild>
            <w:div w:id="1571426316">
              <w:marLeft w:val="0"/>
              <w:marRight w:val="0"/>
              <w:marTop w:val="0"/>
              <w:marBottom w:val="0"/>
              <w:divBdr>
                <w:top w:val="none" w:sz="0" w:space="0" w:color="auto"/>
                <w:left w:val="none" w:sz="0" w:space="0" w:color="auto"/>
                <w:bottom w:val="none" w:sz="0" w:space="0" w:color="auto"/>
                <w:right w:val="none" w:sz="0" w:space="0" w:color="auto"/>
              </w:divBdr>
            </w:div>
          </w:divsChild>
        </w:div>
        <w:div w:id="843475116">
          <w:marLeft w:val="0"/>
          <w:marRight w:val="0"/>
          <w:marTop w:val="0"/>
          <w:marBottom w:val="0"/>
          <w:divBdr>
            <w:top w:val="none" w:sz="0" w:space="0" w:color="auto"/>
            <w:left w:val="none" w:sz="0" w:space="0" w:color="auto"/>
            <w:bottom w:val="none" w:sz="0" w:space="0" w:color="auto"/>
            <w:right w:val="none" w:sz="0" w:space="0" w:color="auto"/>
          </w:divBdr>
          <w:divsChild>
            <w:div w:id="326594265">
              <w:marLeft w:val="0"/>
              <w:marRight w:val="0"/>
              <w:marTop w:val="0"/>
              <w:marBottom w:val="0"/>
              <w:divBdr>
                <w:top w:val="none" w:sz="0" w:space="0" w:color="auto"/>
                <w:left w:val="none" w:sz="0" w:space="0" w:color="auto"/>
                <w:bottom w:val="none" w:sz="0" w:space="0" w:color="auto"/>
                <w:right w:val="none" w:sz="0" w:space="0" w:color="auto"/>
              </w:divBdr>
            </w:div>
          </w:divsChild>
        </w:div>
        <w:div w:id="873467936">
          <w:marLeft w:val="0"/>
          <w:marRight w:val="0"/>
          <w:marTop w:val="0"/>
          <w:marBottom w:val="0"/>
          <w:divBdr>
            <w:top w:val="none" w:sz="0" w:space="0" w:color="auto"/>
            <w:left w:val="none" w:sz="0" w:space="0" w:color="auto"/>
            <w:bottom w:val="none" w:sz="0" w:space="0" w:color="auto"/>
            <w:right w:val="none" w:sz="0" w:space="0" w:color="auto"/>
          </w:divBdr>
          <w:divsChild>
            <w:div w:id="2030140092">
              <w:marLeft w:val="0"/>
              <w:marRight w:val="0"/>
              <w:marTop w:val="0"/>
              <w:marBottom w:val="0"/>
              <w:divBdr>
                <w:top w:val="none" w:sz="0" w:space="0" w:color="auto"/>
                <w:left w:val="none" w:sz="0" w:space="0" w:color="auto"/>
                <w:bottom w:val="none" w:sz="0" w:space="0" w:color="auto"/>
                <w:right w:val="none" w:sz="0" w:space="0" w:color="auto"/>
              </w:divBdr>
            </w:div>
          </w:divsChild>
        </w:div>
        <w:div w:id="905384697">
          <w:marLeft w:val="0"/>
          <w:marRight w:val="0"/>
          <w:marTop w:val="0"/>
          <w:marBottom w:val="0"/>
          <w:divBdr>
            <w:top w:val="none" w:sz="0" w:space="0" w:color="auto"/>
            <w:left w:val="none" w:sz="0" w:space="0" w:color="auto"/>
            <w:bottom w:val="none" w:sz="0" w:space="0" w:color="auto"/>
            <w:right w:val="none" w:sz="0" w:space="0" w:color="auto"/>
          </w:divBdr>
          <w:divsChild>
            <w:div w:id="1097869516">
              <w:marLeft w:val="0"/>
              <w:marRight w:val="0"/>
              <w:marTop w:val="0"/>
              <w:marBottom w:val="0"/>
              <w:divBdr>
                <w:top w:val="none" w:sz="0" w:space="0" w:color="auto"/>
                <w:left w:val="none" w:sz="0" w:space="0" w:color="auto"/>
                <w:bottom w:val="none" w:sz="0" w:space="0" w:color="auto"/>
                <w:right w:val="none" w:sz="0" w:space="0" w:color="auto"/>
              </w:divBdr>
            </w:div>
          </w:divsChild>
        </w:div>
        <w:div w:id="1191529333">
          <w:marLeft w:val="0"/>
          <w:marRight w:val="0"/>
          <w:marTop w:val="0"/>
          <w:marBottom w:val="0"/>
          <w:divBdr>
            <w:top w:val="none" w:sz="0" w:space="0" w:color="auto"/>
            <w:left w:val="none" w:sz="0" w:space="0" w:color="auto"/>
            <w:bottom w:val="none" w:sz="0" w:space="0" w:color="auto"/>
            <w:right w:val="none" w:sz="0" w:space="0" w:color="auto"/>
          </w:divBdr>
          <w:divsChild>
            <w:div w:id="130102207">
              <w:marLeft w:val="0"/>
              <w:marRight w:val="0"/>
              <w:marTop w:val="0"/>
              <w:marBottom w:val="0"/>
              <w:divBdr>
                <w:top w:val="none" w:sz="0" w:space="0" w:color="auto"/>
                <w:left w:val="none" w:sz="0" w:space="0" w:color="auto"/>
                <w:bottom w:val="none" w:sz="0" w:space="0" w:color="auto"/>
                <w:right w:val="none" w:sz="0" w:space="0" w:color="auto"/>
              </w:divBdr>
            </w:div>
          </w:divsChild>
        </w:div>
        <w:div w:id="1328316288">
          <w:marLeft w:val="0"/>
          <w:marRight w:val="0"/>
          <w:marTop w:val="0"/>
          <w:marBottom w:val="0"/>
          <w:divBdr>
            <w:top w:val="none" w:sz="0" w:space="0" w:color="auto"/>
            <w:left w:val="none" w:sz="0" w:space="0" w:color="auto"/>
            <w:bottom w:val="none" w:sz="0" w:space="0" w:color="auto"/>
            <w:right w:val="none" w:sz="0" w:space="0" w:color="auto"/>
          </w:divBdr>
          <w:divsChild>
            <w:div w:id="1664359364">
              <w:marLeft w:val="0"/>
              <w:marRight w:val="0"/>
              <w:marTop w:val="0"/>
              <w:marBottom w:val="0"/>
              <w:divBdr>
                <w:top w:val="none" w:sz="0" w:space="0" w:color="auto"/>
                <w:left w:val="none" w:sz="0" w:space="0" w:color="auto"/>
                <w:bottom w:val="none" w:sz="0" w:space="0" w:color="auto"/>
                <w:right w:val="none" w:sz="0" w:space="0" w:color="auto"/>
              </w:divBdr>
            </w:div>
          </w:divsChild>
        </w:div>
        <w:div w:id="1401753493">
          <w:marLeft w:val="0"/>
          <w:marRight w:val="0"/>
          <w:marTop w:val="0"/>
          <w:marBottom w:val="0"/>
          <w:divBdr>
            <w:top w:val="none" w:sz="0" w:space="0" w:color="auto"/>
            <w:left w:val="none" w:sz="0" w:space="0" w:color="auto"/>
            <w:bottom w:val="none" w:sz="0" w:space="0" w:color="auto"/>
            <w:right w:val="none" w:sz="0" w:space="0" w:color="auto"/>
          </w:divBdr>
          <w:divsChild>
            <w:div w:id="1181702442">
              <w:marLeft w:val="0"/>
              <w:marRight w:val="0"/>
              <w:marTop w:val="0"/>
              <w:marBottom w:val="0"/>
              <w:divBdr>
                <w:top w:val="none" w:sz="0" w:space="0" w:color="auto"/>
                <w:left w:val="none" w:sz="0" w:space="0" w:color="auto"/>
                <w:bottom w:val="none" w:sz="0" w:space="0" w:color="auto"/>
                <w:right w:val="none" w:sz="0" w:space="0" w:color="auto"/>
              </w:divBdr>
            </w:div>
          </w:divsChild>
        </w:div>
        <w:div w:id="1413309266">
          <w:marLeft w:val="0"/>
          <w:marRight w:val="0"/>
          <w:marTop w:val="0"/>
          <w:marBottom w:val="0"/>
          <w:divBdr>
            <w:top w:val="none" w:sz="0" w:space="0" w:color="auto"/>
            <w:left w:val="none" w:sz="0" w:space="0" w:color="auto"/>
            <w:bottom w:val="none" w:sz="0" w:space="0" w:color="auto"/>
            <w:right w:val="none" w:sz="0" w:space="0" w:color="auto"/>
          </w:divBdr>
          <w:divsChild>
            <w:div w:id="2056812828">
              <w:marLeft w:val="0"/>
              <w:marRight w:val="0"/>
              <w:marTop w:val="0"/>
              <w:marBottom w:val="0"/>
              <w:divBdr>
                <w:top w:val="none" w:sz="0" w:space="0" w:color="auto"/>
                <w:left w:val="none" w:sz="0" w:space="0" w:color="auto"/>
                <w:bottom w:val="none" w:sz="0" w:space="0" w:color="auto"/>
                <w:right w:val="none" w:sz="0" w:space="0" w:color="auto"/>
              </w:divBdr>
            </w:div>
          </w:divsChild>
        </w:div>
        <w:div w:id="1437482141">
          <w:marLeft w:val="0"/>
          <w:marRight w:val="0"/>
          <w:marTop w:val="0"/>
          <w:marBottom w:val="0"/>
          <w:divBdr>
            <w:top w:val="none" w:sz="0" w:space="0" w:color="auto"/>
            <w:left w:val="none" w:sz="0" w:space="0" w:color="auto"/>
            <w:bottom w:val="none" w:sz="0" w:space="0" w:color="auto"/>
            <w:right w:val="none" w:sz="0" w:space="0" w:color="auto"/>
          </w:divBdr>
          <w:divsChild>
            <w:div w:id="1483621189">
              <w:marLeft w:val="0"/>
              <w:marRight w:val="0"/>
              <w:marTop w:val="0"/>
              <w:marBottom w:val="0"/>
              <w:divBdr>
                <w:top w:val="none" w:sz="0" w:space="0" w:color="auto"/>
                <w:left w:val="none" w:sz="0" w:space="0" w:color="auto"/>
                <w:bottom w:val="none" w:sz="0" w:space="0" w:color="auto"/>
                <w:right w:val="none" w:sz="0" w:space="0" w:color="auto"/>
              </w:divBdr>
            </w:div>
          </w:divsChild>
        </w:div>
        <w:div w:id="1514999608">
          <w:marLeft w:val="0"/>
          <w:marRight w:val="0"/>
          <w:marTop w:val="0"/>
          <w:marBottom w:val="0"/>
          <w:divBdr>
            <w:top w:val="none" w:sz="0" w:space="0" w:color="auto"/>
            <w:left w:val="none" w:sz="0" w:space="0" w:color="auto"/>
            <w:bottom w:val="none" w:sz="0" w:space="0" w:color="auto"/>
            <w:right w:val="none" w:sz="0" w:space="0" w:color="auto"/>
          </w:divBdr>
          <w:divsChild>
            <w:div w:id="768233737">
              <w:marLeft w:val="0"/>
              <w:marRight w:val="0"/>
              <w:marTop w:val="0"/>
              <w:marBottom w:val="0"/>
              <w:divBdr>
                <w:top w:val="none" w:sz="0" w:space="0" w:color="auto"/>
                <w:left w:val="none" w:sz="0" w:space="0" w:color="auto"/>
                <w:bottom w:val="none" w:sz="0" w:space="0" w:color="auto"/>
                <w:right w:val="none" w:sz="0" w:space="0" w:color="auto"/>
              </w:divBdr>
            </w:div>
          </w:divsChild>
        </w:div>
        <w:div w:id="1559631671">
          <w:marLeft w:val="0"/>
          <w:marRight w:val="0"/>
          <w:marTop w:val="0"/>
          <w:marBottom w:val="0"/>
          <w:divBdr>
            <w:top w:val="none" w:sz="0" w:space="0" w:color="auto"/>
            <w:left w:val="none" w:sz="0" w:space="0" w:color="auto"/>
            <w:bottom w:val="none" w:sz="0" w:space="0" w:color="auto"/>
            <w:right w:val="none" w:sz="0" w:space="0" w:color="auto"/>
          </w:divBdr>
          <w:divsChild>
            <w:div w:id="182403812">
              <w:marLeft w:val="0"/>
              <w:marRight w:val="0"/>
              <w:marTop w:val="0"/>
              <w:marBottom w:val="0"/>
              <w:divBdr>
                <w:top w:val="none" w:sz="0" w:space="0" w:color="auto"/>
                <w:left w:val="none" w:sz="0" w:space="0" w:color="auto"/>
                <w:bottom w:val="none" w:sz="0" w:space="0" w:color="auto"/>
                <w:right w:val="none" w:sz="0" w:space="0" w:color="auto"/>
              </w:divBdr>
            </w:div>
            <w:div w:id="207425539">
              <w:marLeft w:val="0"/>
              <w:marRight w:val="0"/>
              <w:marTop w:val="0"/>
              <w:marBottom w:val="0"/>
              <w:divBdr>
                <w:top w:val="none" w:sz="0" w:space="0" w:color="auto"/>
                <w:left w:val="none" w:sz="0" w:space="0" w:color="auto"/>
                <w:bottom w:val="none" w:sz="0" w:space="0" w:color="auto"/>
                <w:right w:val="none" w:sz="0" w:space="0" w:color="auto"/>
              </w:divBdr>
            </w:div>
            <w:div w:id="491527824">
              <w:marLeft w:val="0"/>
              <w:marRight w:val="0"/>
              <w:marTop w:val="0"/>
              <w:marBottom w:val="0"/>
              <w:divBdr>
                <w:top w:val="none" w:sz="0" w:space="0" w:color="auto"/>
                <w:left w:val="none" w:sz="0" w:space="0" w:color="auto"/>
                <w:bottom w:val="none" w:sz="0" w:space="0" w:color="auto"/>
                <w:right w:val="none" w:sz="0" w:space="0" w:color="auto"/>
              </w:divBdr>
            </w:div>
            <w:div w:id="865291313">
              <w:marLeft w:val="0"/>
              <w:marRight w:val="0"/>
              <w:marTop w:val="0"/>
              <w:marBottom w:val="0"/>
              <w:divBdr>
                <w:top w:val="none" w:sz="0" w:space="0" w:color="auto"/>
                <w:left w:val="none" w:sz="0" w:space="0" w:color="auto"/>
                <w:bottom w:val="none" w:sz="0" w:space="0" w:color="auto"/>
                <w:right w:val="none" w:sz="0" w:space="0" w:color="auto"/>
              </w:divBdr>
            </w:div>
            <w:div w:id="1813522696">
              <w:marLeft w:val="0"/>
              <w:marRight w:val="0"/>
              <w:marTop w:val="0"/>
              <w:marBottom w:val="0"/>
              <w:divBdr>
                <w:top w:val="none" w:sz="0" w:space="0" w:color="auto"/>
                <w:left w:val="none" w:sz="0" w:space="0" w:color="auto"/>
                <w:bottom w:val="none" w:sz="0" w:space="0" w:color="auto"/>
                <w:right w:val="none" w:sz="0" w:space="0" w:color="auto"/>
              </w:divBdr>
            </w:div>
          </w:divsChild>
        </w:div>
        <w:div w:id="1578634377">
          <w:marLeft w:val="0"/>
          <w:marRight w:val="0"/>
          <w:marTop w:val="0"/>
          <w:marBottom w:val="0"/>
          <w:divBdr>
            <w:top w:val="none" w:sz="0" w:space="0" w:color="auto"/>
            <w:left w:val="none" w:sz="0" w:space="0" w:color="auto"/>
            <w:bottom w:val="none" w:sz="0" w:space="0" w:color="auto"/>
            <w:right w:val="none" w:sz="0" w:space="0" w:color="auto"/>
          </w:divBdr>
          <w:divsChild>
            <w:div w:id="1902977946">
              <w:marLeft w:val="0"/>
              <w:marRight w:val="0"/>
              <w:marTop w:val="0"/>
              <w:marBottom w:val="0"/>
              <w:divBdr>
                <w:top w:val="none" w:sz="0" w:space="0" w:color="auto"/>
                <w:left w:val="none" w:sz="0" w:space="0" w:color="auto"/>
                <w:bottom w:val="none" w:sz="0" w:space="0" w:color="auto"/>
                <w:right w:val="none" w:sz="0" w:space="0" w:color="auto"/>
              </w:divBdr>
            </w:div>
          </w:divsChild>
        </w:div>
        <w:div w:id="1587615553">
          <w:marLeft w:val="0"/>
          <w:marRight w:val="0"/>
          <w:marTop w:val="0"/>
          <w:marBottom w:val="0"/>
          <w:divBdr>
            <w:top w:val="none" w:sz="0" w:space="0" w:color="auto"/>
            <w:left w:val="none" w:sz="0" w:space="0" w:color="auto"/>
            <w:bottom w:val="none" w:sz="0" w:space="0" w:color="auto"/>
            <w:right w:val="none" w:sz="0" w:space="0" w:color="auto"/>
          </w:divBdr>
          <w:divsChild>
            <w:div w:id="213858731">
              <w:marLeft w:val="0"/>
              <w:marRight w:val="0"/>
              <w:marTop w:val="0"/>
              <w:marBottom w:val="0"/>
              <w:divBdr>
                <w:top w:val="none" w:sz="0" w:space="0" w:color="auto"/>
                <w:left w:val="none" w:sz="0" w:space="0" w:color="auto"/>
                <w:bottom w:val="none" w:sz="0" w:space="0" w:color="auto"/>
                <w:right w:val="none" w:sz="0" w:space="0" w:color="auto"/>
              </w:divBdr>
            </w:div>
          </w:divsChild>
        </w:div>
        <w:div w:id="1677027641">
          <w:marLeft w:val="0"/>
          <w:marRight w:val="0"/>
          <w:marTop w:val="0"/>
          <w:marBottom w:val="0"/>
          <w:divBdr>
            <w:top w:val="none" w:sz="0" w:space="0" w:color="auto"/>
            <w:left w:val="none" w:sz="0" w:space="0" w:color="auto"/>
            <w:bottom w:val="none" w:sz="0" w:space="0" w:color="auto"/>
            <w:right w:val="none" w:sz="0" w:space="0" w:color="auto"/>
          </w:divBdr>
          <w:divsChild>
            <w:div w:id="2138832918">
              <w:marLeft w:val="0"/>
              <w:marRight w:val="0"/>
              <w:marTop w:val="0"/>
              <w:marBottom w:val="0"/>
              <w:divBdr>
                <w:top w:val="none" w:sz="0" w:space="0" w:color="auto"/>
                <w:left w:val="none" w:sz="0" w:space="0" w:color="auto"/>
                <w:bottom w:val="none" w:sz="0" w:space="0" w:color="auto"/>
                <w:right w:val="none" w:sz="0" w:space="0" w:color="auto"/>
              </w:divBdr>
            </w:div>
          </w:divsChild>
        </w:div>
        <w:div w:id="1775662528">
          <w:marLeft w:val="0"/>
          <w:marRight w:val="0"/>
          <w:marTop w:val="0"/>
          <w:marBottom w:val="0"/>
          <w:divBdr>
            <w:top w:val="none" w:sz="0" w:space="0" w:color="auto"/>
            <w:left w:val="none" w:sz="0" w:space="0" w:color="auto"/>
            <w:bottom w:val="none" w:sz="0" w:space="0" w:color="auto"/>
            <w:right w:val="none" w:sz="0" w:space="0" w:color="auto"/>
          </w:divBdr>
          <w:divsChild>
            <w:div w:id="1384133882">
              <w:marLeft w:val="0"/>
              <w:marRight w:val="0"/>
              <w:marTop w:val="0"/>
              <w:marBottom w:val="0"/>
              <w:divBdr>
                <w:top w:val="none" w:sz="0" w:space="0" w:color="auto"/>
                <w:left w:val="none" w:sz="0" w:space="0" w:color="auto"/>
                <w:bottom w:val="none" w:sz="0" w:space="0" w:color="auto"/>
                <w:right w:val="none" w:sz="0" w:space="0" w:color="auto"/>
              </w:divBdr>
            </w:div>
          </w:divsChild>
        </w:div>
        <w:div w:id="2050103505">
          <w:marLeft w:val="0"/>
          <w:marRight w:val="0"/>
          <w:marTop w:val="0"/>
          <w:marBottom w:val="0"/>
          <w:divBdr>
            <w:top w:val="none" w:sz="0" w:space="0" w:color="auto"/>
            <w:left w:val="none" w:sz="0" w:space="0" w:color="auto"/>
            <w:bottom w:val="none" w:sz="0" w:space="0" w:color="auto"/>
            <w:right w:val="none" w:sz="0" w:space="0" w:color="auto"/>
          </w:divBdr>
          <w:divsChild>
            <w:div w:id="545603908">
              <w:marLeft w:val="0"/>
              <w:marRight w:val="0"/>
              <w:marTop w:val="0"/>
              <w:marBottom w:val="0"/>
              <w:divBdr>
                <w:top w:val="none" w:sz="0" w:space="0" w:color="auto"/>
                <w:left w:val="none" w:sz="0" w:space="0" w:color="auto"/>
                <w:bottom w:val="none" w:sz="0" w:space="0" w:color="auto"/>
                <w:right w:val="none" w:sz="0" w:space="0" w:color="auto"/>
              </w:divBdr>
            </w:div>
          </w:divsChild>
        </w:div>
        <w:div w:id="2053649978">
          <w:marLeft w:val="0"/>
          <w:marRight w:val="0"/>
          <w:marTop w:val="0"/>
          <w:marBottom w:val="0"/>
          <w:divBdr>
            <w:top w:val="none" w:sz="0" w:space="0" w:color="auto"/>
            <w:left w:val="none" w:sz="0" w:space="0" w:color="auto"/>
            <w:bottom w:val="none" w:sz="0" w:space="0" w:color="auto"/>
            <w:right w:val="none" w:sz="0" w:space="0" w:color="auto"/>
          </w:divBdr>
          <w:divsChild>
            <w:div w:id="373968097">
              <w:marLeft w:val="0"/>
              <w:marRight w:val="0"/>
              <w:marTop w:val="0"/>
              <w:marBottom w:val="0"/>
              <w:divBdr>
                <w:top w:val="none" w:sz="0" w:space="0" w:color="auto"/>
                <w:left w:val="none" w:sz="0" w:space="0" w:color="auto"/>
                <w:bottom w:val="none" w:sz="0" w:space="0" w:color="auto"/>
                <w:right w:val="none" w:sz="0" w:space="0" w:color="auto"/>
              </w:divBdr>
            </w:div>
          </w:divsChild>
        </w:div>
        <w:div w:id="2074619218">
          <w:marLeft w:val="0"/>
          <w:marRight w:val="0"/>
          <w:marTop w:val="0"/>
          <w:marBottom w:val="0"/>
          <w:divBdr>
            <w:top w:val="none" w:sz="0" w:space="0" w:color="auto"/>
            <w:left w:val="none" w:sz="0" w:space="0" w:color="auto"/>
            <w:bottom w:val="none" w:sz="0" w:space="0" w:color="auto"/>
            <w:right w:val="none" w:sz="0" w:space="0" w:color="auto"/>
          </w:divBdr>
          <w:divsChild>
            <w:div w:id="1304429244">
              <w:marLeft w:val="0"/>
              <w:marRight w:val="0"/>
              <w:marTop w:val="0"/>
              <w:marBottom w:val="0"/>
              <w:divBdr>
                <w:top w:val="none" w:sz="0" w:space="0" w:color="auto"/>
                <w:left w:val="none" w:sz="0" w:space="0" w:color="auto"/>
                <w:bottom w:val="none" w:sz="0" w:space="0" w:color="auto"/>
                <w:right w:val="none" w:sz="0" w:space="0" w:color="auto"/>
              </w:divBdr>
            </w:div>
          </w:divsChild>
        </w:div>
        <w:div w:id="2120180399">
          <w:marLeft w:val="0"/>
          <w:marRight w:val="0"/>
          <w:marTop w:val="0"/>
          <w:marBottom w:val="0"/>
          <w:divBdr>
            <w:top w:val="none" w:sz="0" w:space="0" w:color="auto"/>
            <w:left w:val="none" w:sz="0" w:space="0" w:color="auto"/>
            <w:bottom w:val="none" w:sz="0" w:space="0" w:color="auto"/>
            <w:right w:val="none" w:sz="0" w:space="0" w:color="auto"/>
          </w:divBdr>
          <w:divsChild>
            <w:div w:id="4015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4799">
      <w:bodyDiv w:val="1"/>
      <w:marLeft w:val="0"/>
      <w:marRight w:val="0"/>
      <w:marTop w:val="0"/>
      <w:marBottom w:val="0"/>
      <w:divBdr>
        <w:top w:val="none" w:sz="0" w:space="0" w:color="auto"/>
        <w:left w:val="none" w:sz="0" w:space="0" w:color="auto"/>
        <w:bottom w:val="none" w:sz="0" w:space="0" w:color="auto"/>
        <w:right w:val="none" w:sz="0" w:space="0" w:color="auto"/>
      </w:divBdr>
      <w:divsChild>
        <w:div w:id="498890725">
          <w:marLeft w:val="0"/>
          <w:marRight w:val="0"/>
          <w:marTop w:val="83"/>
          <w:marBottom w:val="0"/>
          <w:divBdr>
            <w:top w:val="none" w:sz="0" w:space="0" w:color="auto"/>
            <w:left w:val="none" w:sz="0" w:space="0" w:color="auto"/>
            <w:bottom w:val="none" w:sz="0" w:space="0" w:color="auto"/>
            <w:right w:val="none" w:sz="0" w:space="0" w:color="auto"/>
          </w:divBdr>
          <w:divsChild>
            <w:div w:id="433094586">
              <w:marLeft w:val="0"/>
              <w:marRight w:val="0"/>
              <w:marTop w:val="83"/>
              <w:marBottom w:val="0"/>
              <w:divBdr>
                <w:top w:val="none" w:sz="0" w:space="0" w:color="auto"/>
                <w:left w:val="none" w:sz="0" w:space="0" w:color="auto"/>
                <w:bottom w:val="none" w:sz="0" w:space="0" w:color="auto"/>
                <w:right w:val="none" w:sz="0" w:space="0" w:color="auto"/>
              </w:divBdr>
            </w:div>
            <w:div w:id="1551377258">
              <w:marLeft w:val="0"/>
              <w:marRight w:val="0"/>
              <w:marTop w:val="83"/>
              <w:marBottom w:val="0"/>
              <w:divBdr>
                <w:top w:val="none" w:sz="0" w:space="0" w:color="auto"/>
                <w:left w:val="none" w:sz="0" w:space="0" w:color="auto"/>
                <w:bottom w:val="none" w:sz="0" w:space="0" w:color="auto"/>
                <w:right w:val="none" w:sz="0" w:space="0" w:color="auto"/>
              </w:divBdr>
            </w:div>
          </w:divsChild>
        </w:div>
        <w:div w:id="1079710089">
          <w:marLeft w:val="0"/>
          <w:marRight w:val="0"/>
          <w:marTop w:val="83"/>
          <w:marBottom w:val="0"/>
          <w:divBdr>
            <w:top w:val="none" w:sz="0" w:space="0" w:color="auto"/>
            <w:left w:val="none" w:sz="0" w:space="0" w:color="auto"/>
            <w:bottom w:val="none" w:sz="0" w:space="0" w:color="auto"/>
            <w:right w:val="none" w:sz="0" w:space="0" w:color="auto"/>
          </w:divBdr>
        </w:div>
      </w:divsChild>
    </w:div>
    <w:div w:id="1316179076">
      <w:bodyDiv w:val="1"/>
      <w:marLeft w:val="0"/>
      <w:marRight w:val="0"/>
      <w:marTop w:val="0"/>
      <w:marBottom w:val="0"/>
      <w:divBdr>
        <w:top w:val="none" w:sz="0" w:space="0" w:color="auto"/>
        <w:left w:val="none" w:sz="0" w:space="0" w:color="auto"/>
        <w:bottom w:val="none" w:sz="0" w:space="0" w:color="auto"/>
        <w:right w:val="none" w:sz="0" w:space="0" w:color="auto"/>
      </w:divBdr>
    </w:div>
    <w:div w:id="1326007823">
      <w:bodyDiv w:val="1"/>
      <w:marLeft w:val="0"/>
      <w:marRight w:val="0"/>
      <w:marTop w:val="0"/>
      <w:marBottom w:val="0"/>
      <w:divBdr>
        <w:top w:val="none" w:sz="0" w:space="0" w:color="auto"/>
        <w:left w:val="none" w:sz="0" w:space="0" w:color="auto"/>
        <w:bottom w:val="none" w:sz="0" w:space="0" w:color="auto"/>
        <w:right w:val="none" w:sz="0" w:space="0" w:color="auto"/>
      </w:divBdr>
    </w:div>
    <w:div w:id="1367099448">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54853945">
      <w:bodyDiv w:val="1"/>
      <w:marLeft w:val="0"/>
      <w:marRight w:val="0"/>
      <w:marTop w:val="0"/>
      <w:marBottom w:val="0"/>
      <w:divBdr>
        <w:top w:val="none" w:sz="0" w:space="0" w:color="auto"/>
        <w:left w:val="none" w:sz="0" w:space="0" w:color="auto"/>
        <w:bottom w:val="none" w:sz="0" w:space="0" w:color="auto"/>
        <w:right w:val="none" w:sz="0" w:space="0" w:color="auto"/>
      </w:divBdr>
    </w:div>
    <w:div w:id="1563636479">
      <w:bodyDiv w:val="1"/>
      <w:marLeft w:val="0"/>
      <w:marRight w:val="0"/>
      <w:marTop w:val="0"/>
      <w:marBottom w:val="0"/>
      <w:divBdr>
        <w:top w:val="none" w:sz="0" w:space="0" w:color="auto"/>
        <w:left w:val="none" w:sz="0" w:space="0" w:color="auto"/>
        <w:bottom w:val="none" w:sz="0" w:space="0" w:color="auto"/>
        <w:right w:val="none" w:sz="0" w:space="0" w:color="auto"/>
      </w:divBdr>
    </w:div>
    <w:div w:id="1564104417">
      <w:bodyDiv w:val="1"/>
      <w:marLeft w:val="0"/>
      <w:marRight w:val="0"/>
      <w:marTop w:val="0"/>
      <w:marBottom w:val="0"/>
      <w:divBdr>
        <w:top w:val="none" w:sz="0" w:space="0" w:color="auto"/>
        <w:left w:val="none" w:sz="0" w:space="0" w:color="auto"/>
        <w:bottom w:val="none" w:sz="0" w:space="0" w:color="auto"/>
        <w:right w:val="none" w:sz="0" w:space="0" w:color="auto"/>
      </w:divBdr>
    </w:div>
    <w:div w:id="1576235552">
      <w:bodyDiv w:val="1"/>
      <w:marLeft w:val="0"/>
      <w:marRight w:val="0"/>
      <w:marTop w:val="0"/>
      <w:marBottom w:val="0"/>
      <w:divBdr>
        <w:top w:val="none" w:sz="0" w:space="0" w:color="auto"/>
        <w:left w:val="none" w:sz="0" w:space="0" w:color="auto"/>
        <w:bottom w:val="none" w:sz="0" w:space="0" w:color="auto"/>
        <w:right w:val="none" w:sz="0" w:space="0" w:color="auto"/>
      </w:divBdr>
    </w:div>
    <w:div w:id="1585724352">
      <w:bodyDiv w:val="1"/>
      <w:marLeft w:val="0"/>
      <w:marRight w:val="0"/>
      <w:marTop w:val="0"/>
      <w:marBottom w:val="0"/>
      <w:divBdr>
        <w:top w:val="none" w:sz="0" w:space="0" w:color="auto"/>
        <w:left w:val="none" w:sz="0" w:space="0" w:color="auto"/>
        <w:bottom w:val="none" w:sz="0" w:space="0" w:color="auto"/>
        <w:right w:val="none" w:sz="0" w:space="0" w:color="auto"/>
      </w:divBdr>
      <w:divsChild>
        <w:div w:id="225603316">
          <w:marLeft w:val="0"/>
          <w:marRight w:val="0"/>
          <w:marTop w:val="83"/>
          <w:marBottom w:val="0"/>
          <w:divBdr>
            <w:top w:val="none" w:sz="0" w:space="0" w:color="auto"/>
            <w:left w:val="none" w:sz="0" w:space="0" w:color="auto"/>
            <w:bottom w:val="none" w:sz="0" w:space="0" w:color="auto"/>
            <w:right w:val="none" w:sz="0" w:space="0" w:color="auto"/>
          </w:divBdr>
        </w:div>
        <w:div w:id="980841199">
          <w:marLeft w:val="0"/>
          <w:marRight w:val="0"/>
          <w:marTop w:val="83"/>
          <w:marBottom w:val="0"/>
          <w:divBdr>
            <w:top w:val="none" w:sz="0" w:space="0" w:color="auto"/>
            <w:left w:val="none" w:sz="0" w:space="0" w:color="auto"/>
            <w:bottom w:val="none" w:sz="0" w:space="0" w:color="auto"/>
            <w:right w:val="none" w:sz="0" w:space="0" w:color="auto"/>
          </w:divBdr>
        </w:div>
        <w:div w:id="1092582886">
          <w:marLeft w:val="0"/>
          <w:marRight w:val="0"/>
          <w:marTop w:val="83"/>
          <w:marBottom w:val="0"/>
          <w:divBdr>
            <w:top w:val="none" w:sz="0" w:space="0" w:color="auto"/>
            <w:left w:val="none" w:sz="0" w:space="0" w:color="auto"/>
            <w:bottom w:val="none" w:sz="0" w:space="0" w:color="auto"/>
            <w:right w:val="none" w:sz="0" w:space="0" w:color="auto"/>
          </w:divBdr>
        </w:div>
        <w:div w:id="1628198429">
          <w:marLeft w:val="0"/>
          <w:marRight w:val="0"/>
          <w:marTop w:val="83"/>
          <w:marBottom w:val="0"/>
          <w:divBdr>
            <w:top w:val="none" w:sz="0" w:space="0" w:color="auto"/>
            <w:left w:val="none" w:sz="0" w:space="0" w:color="auto"/>
            <w:bottom w:val="none" w:sz="0" w:space="0" w:color="auto"/>
            <w:right w:val="none" w:sz="0" w:space="0" w:color="auto"/>
          </w:divBdr>
        </w:div>
        <w:div w:id="2005165574">
          <w:marLeft w:val="0"/>
          <w:marRight w:val="0"/>
          <w:marTop w:val="83"/>
          <w:marBottom w:val="0"/>
          <w:divBdr>
            <w:top w:val="none" w:sz="0" w:space="0" w:color="auto"/>
            <w:left w:val="none" w:sz="0" w:space="0" w:color="auto"/>
            <w:bottom w:val="none" w:sz="0" w:space="0" w:color="auto"/>
            <w:right w:val="none" w:sz="0" w:space="0" w:color="auto"/>
          </w:divBdr>
          <w:divsChild>
            <w:div w:id="274407361">
              <w:marLeft w:val="0"/>
              <w:marRight w:val="0"/>
              <w:marTop w:val="83"/>
              <w:marBottom w:val="0"/>
              <w:divBdr>
                <w:top w:val="none" w:sz="0" w:space="0" w:color="auto"/>
                <w:left w:val="none" w:sz="0" w:space="0" w:color="auto"/>
                <w:bottom w:val="none" w:sz="0" w:space="0" w:color="auto"/>
                <w:right w:val="none" w:sz="0" w:space="0" w:color="auto"/>
              </w:divBdr>
            </w:div>
            <w:div w:id="934097613">
              <w:marLeft w:val="0"/>
              <w:marRight w:val="0"/>
              <w:marTop w:val="83"/>
              <w:marBottom w:val="0"/>
              <w:divBdr>
                <w:top w:val="none" w:sz="0" w:space="0" w:color="auto"/>
                <w:left w:val="none" w:sz="0" w:space="0" w:color="auto"/>
                <w:bottom w:val="none" w:sz="0" w:space="0" w:color="auto"/>
                <w:right w:val="none" w:sz="0" w:space="0" w:color="auto"/>
              </w:divBdr>
            </w:div>
          </w:divsChild>
        </w:div>
        <w:div w:id="2066220829">
          <w:marLeft w:val="0"/>
          <w:marRight w:val="0"/>
          <w:marTop w:val="83"/>
          <w:marBottom w:val="0"/>
          <w:divBdr>
            <w:top w:val="none" w:sz="0" w:space="0" w:color="auto"/>
            <w:left w:val="none" w:sz="0" w:space="0" w:color="auto"/>
            <w:bottom w:val="none" w:sz="0" w:space="0" w:color="auto"/>
            <w:right w:val="none" w:sz="0" w:space="0" w:color="auto"/>
          </w:divBdr>
        </w:div>
      </w:divsChild>
    </w:div>
    <w:div w:id="1609199345">
      <w:bodyDiv w:val="1"/>
      <w:marLeft w:val="0"/>
      <w:marRight w:val="0"/>
      <w:marTop w:val="0"/>
      <w:marBottom w:val="0"/>
      <w:divBdr>
        <w:top w:val="none" w:sz="0" w:space="0" w:color="auto"/>
        <w:left w:val="none" w:sz="0" w:space="0" w:color="auto"/>
        <w:bottom w:val="none" w:sz="0" w:space="0" w:color="auto"/>
        <w:right w:val="none" w:sz="0" w:space="0" w:color="auto"/>
      </w:divBdr>
      <w:divsChild>
        <w:div w:id="6641967">
          <w:marLeft w:val="0"/>
          <w:marRight w:val="0"/>
          <w:marTop w:val="0"/>
          <w:marBottom w:val="0"/>
          <w:divBdr>
            <w:top w:val="none" w:sz="0" w:space="0" w:color="auto"/>
            <w:left w:val="none" w:sz="0" w:space="0" w:color="auto"/>
            <w:bottom w:val="none" w:sz="0" w:space="0" w:color="auto"/>
            <w:right w:val="none" w:sz="0" w:space="0" w:color="auto"/>
          </w:divBdr>
        </w:div>
        <w:div w:id="269246503">
          <w:marLeft w:val="0"/>
          <w:marRight w:val="0"/>
          <w:marTop w:val="0"/>
          <w:marBottom w:val="0"/>
          <w:divBdr>
            <w:top w:val="none" w:sz="0" w:space="0" w:color="auto"/>
            <w:left w:val="none" w:sz="0" w:space="0" w:color="auto"/>
            <w:bottom w:val="none" w:sz="0" w:space="0" w:color="auto"/>
            <w:right w:val="none" w:sz="0" w:space="0" w:color="auto"/>
          </w:divBdr>
        </w:div>
        <w:div w:id="369956102">
          <w:marLeft w:val="0"/>
          <w:marRight w:val="0"/>
          <w:marTop w:val="0"/>
          <w:marBottom w:val="0"/>
          <w:divBdr>
            <w:top w:val="none" w:sz="0" w:space="0" w:color="auto"/>
            <w:left w:val="none" w:sz="0" w:space="0" w:color="auto"/>
            <w:bottom w:val="none" w:sz="0" w:space="0" w:color="auto"/>
            <w:right w:val="none" w:sz="0" w:space="0" w:color="auto"/>
          </w:divBdr>
        </w:div>
        <w:div w:id="640577640">
          <w:marLeft w:val="0"/>
          <w:marRight w:val="0"/>
          <w:marTop w:val="0"/>
          <w:marBottom w:val="0"/>
          <w:divBdr>
            <w:top w:val="none" w:sz="0" w:space="0" w:color="auto"/>
            <w:left w:val="none" w:sz="0" w:space="0" w:color="auto"/>
            <w:bottom w:val="none" w:sz="0" w:space="0" w:color="auto"/>
            <w:right w:val="none" w:sz="0" w:space="0" w:color="auto"/>
          </w:divBdr>
        </w:div>
        <w:div w:id="754280742">
          <w:marLeft w:val="0"/>
          <w:marRight w:val="0"/>
          <w:marTop w:val="0"/>
          <w:marBottom w:val="0"/>
          <w:divBdr>
            <w:top w:val="none" w:sz="0" w:space="0" w:color="auto"/>
            <w:left w:val="none" w:sz="0" w:space="0" w:color="auto"/>
            <w:bottom w:val="none" w:sz="0" w:space="0" w:color="auto"/>
            <w:right w:val="none" w:sz="0" w:space="0" w:color="auto"/>
          </w:divBdr>
        </w:div>
        <w:div w:id="757484078">
          <w:marLeft w:val="0"/>
          <w:marRight w:val="0"/>
          <w:marTop w:val="0"/>
          <w:marBottom w:val="0"/>
          <w:divBdr>
            <w:top w:val="none" w:sz="0" w:space="0" w:color="auto"/>
            <w:left w:val="none" w:sz="0" w:space="0" w:color="auto"/>
            <w:bottom w:val="none" w:sz="0" w:space="0" w:color="auto"/>
            <w:right w:val="none" w:sz="0" w:space="0" w:color="auto"/>
          </w:divBdr>
        </w:div>
        <w:div w:id="830826609">
          <w:marLeft w:val="0"/>
          <w:marRight w:val="0"/>
          <w:marTop w:val="0"/>
          <w:marBottom w:val="0"/>
          <w:divBdr>
            <w:top w:val="none" w:sz="0" w:space="0" w:color="auto"/>
            <w:left w:val="none" w:sz="0" w:space="0" w:color="auto"/>
            <w:bottom w:val="none" w:sz="0" w:space="0" w:color="auto"/>
            <w:right w:val="none" w:sz="0" w:space="0" w:color="auto"/>
          </w:divBdr>
        </w:div>
        <w:div w:id="1172450868">
          <w:marLeft w:val="0"/>
          <w:marRight w:val="0"/>
          <w:marTop w:val="0"/>
          <w:marBottom w:val="0"/>
          <w:divBdr>
            <w:top w:val="none" w:sz="0" w:space="0" w:color="auto"/>
            <w:left w:val="none" w:sz="0" w:space="0" w:color="auto"/>
            <w:bottom w:val="none" w:sz="0" w:space="0" w:color="auto"/>
            <w:right w:val="none" w:sz="0" w:space="0" w:color="auto"/>
          </w:divBdr>
        </w:div>
        <w:div w:id="1265966764">
          <w:marLeft w:val="0"/>
          <w:marRight w:val="0"/>
          <w:marTop w:val="0"/>
          <w:marBottom w:val="0"/>
          <w:divBdr>
            <w:top w:val="none" w:sz="0" w:space="0" w:color="auto"/>
            <w:left w:val="none" w:sz="0" w:space="0" w:color="auto"/>
            <w:bottom w:val="none" w:sz="0" w:space="0" w:color="auto"/>
            <w:right w:val="none" w:sz="0" w:space="0" w:color="auto"/>
          </w:divBdr>
        </w:div>
        <w:div w:id="1676878557">
          <w:marLeft w:val="0"/>
          <w:marRight w:val="0"/>
          <w:marTop w:val="0"/>
          <w:marBottom w:val="0"/>
          <w:divBdr>
            <w:top w:val="none" w:sz="0" w:space="0" w:color="auto"/>
            <w:left w:val="none" w:sz="0" w:space="0" w:color="auto"/>
            <w:bottom w:val="none" w:sz="0" w:space="0" w:color="auto"/>
            <w:right w:val="none" w:sz="0" w:space="0" w:color="auto"/>
          </w:divBdr>
        </w:div>
        <w:div w:id="1837302442">
          <w:marLeft w:val="0"/>
          <w:marRight w:val="0"/>
          <w:marTop w:val="0"/>
          <w:marBottom w:val="0"/>
          <w:divBdr>
            <w:top w:val="none" w:sz="0" w:space="0" w:color="auto"/>
            <w:left w:val="none" w:sz="0" w:space="0" w:color="auto"/>
            <w:bottom w:val="none" w:sz="0" w:space="0" w:color="auto"/>
            <w:right w:val="none" w:sz="0" w:space="0" w:color="auto"/>
          </w:divBdr>
        </w:div>
        <w:div w:id="1954630769">
          <w:marLeft w:val="0"/>
          <w:marRight w:val="0"/>
          <w:marTop w:val="0"/>
          <w:marBottom w:val="0"/>
          <w:divBdr>
            <w:top w:val="none" w:sz="0" w:space="0" w:color="auto"/>
            <w:left w:val="none" w:sz="0" w:space="0" w:color="auto"/>
            <w:bottom w:val="none" w:sz="0" w:space="0" w:color="auto"/>
            <w:right w:val="none" w:sz="0" w:space="0" w:color="auto"/>
          </w:divBdr>
        </w:div>
        <w:div w:id="1960337851">
          <w:marLeft w:val="0"/>
          <w:marRight w:val="0"/>
          <w:marTop w:val="0"/>
          <w:marBottom w:val="0"/>
          <w:divBdr>
            <w:top w:val="none" w:sz="0" w:space="0" w:color="auto"/>
            <w:left w:val="none" w:sz="0" w:space="0" w:color="auto"/>
            <w:bottom w:val="none" w:sz="0" w:space="0" w:color="auto"/>
            <w:right w:val="none" w:sz="0" w:space="0" w:color="auto"/>
          </w:divBdr>
        </w:div>
        <w:div w:id="1979407821">
          <w:marLeft w:val="0"/>
          <w:marRight w:val="0"/>
          <w:marTop w:val="0"/>
          <w:marBottom w:val="0"/>
          <w:divBdr>
            <w:top w:val="none" w:sz="0" w:space="0" w:color="auto"/>
            <w:left w:val="none" w:sz="0" w:space="0" w:color="auto"/>
            <w:bottom w:val="none" w:sz="0" w:space="0" w:color="auto"/>
            <w:right w:val="none" w:sz="0" w:space="0" w:color="auto"/>
          </w:divBdr>
        </w:div>
        <w:div w:id="1994795630">
          <w:marLeft w:val="0"/>
          <w:marRight w:val="0"/>
          <w:marTop w:val="0"/>
          <w:marBottom w:val="0"/>
          <w:divBdr>
            <w:top w:val="none" w:sz="0" w:space="0" w:color="auto"/>
            <w:left w:val="none" w:sz="0" w:space="0" w:color="auto"/>
            <w:bottom w:val="none" w:sz="0" w:space="0" w:color="auto"/>
            <w:right w:val="none" w:sz="0" w:space="0" w:color="auto"/>
          </w:divBdr>
        </w:div>
        <w:div w:id="2025588060">
          <w:marLeft w:val="0"/>
          <w:marRight w:val="0"/>
          <w:marTop w:val="0"/>
          <w:marBottom w:val="0"/>
          <w:divBdr>
            <w:top w:val="none" w:sz="0" w:space="0" w:color="auto"/>
            <w:left w:val="none" w:sz="0" w:space="0" w:color="auto"/>
            <w:bottom w:val="none" w:sz="0" w:space="0" w:color="auto"/>
            <w:right w:val="none" w:sz="0" w:space="0" w:color="auto"/>
          </w:divBdr>
        </w:div>
      </w:divsChild>
    </w:div>
    <w:div w:id="1629511780">
      <w:bodyDiv w:val="1"/>
      <w:marLeft w:val="0"/>
      <w:marRight w:val="0"/>
      <w:marTop w:val="0"/>
      <w:marBottom w:val="0"/>
      <w:divBdr>
        <w:top w:val="none" w:sz="0" w:space="0" w:color="auto"/>
        <w:left w:val="none" w:sz="0" w:space="0" w:color="auto"/>
        <w:bottom w:val="none" w:sz="0" w:space="0" w:color="auto"/>
        <w:right w:val="none" w:sz="0" w:space="0" w:color="auto"/>
      </w:divBdr>
    </w:div>
    <w:div w:id="1660770825">
      <w:bodyDiv w:val="1"/>
      <w:marLeft w:val="0"/>
      <w:marRight w:val="0"/>
      <w:marTop w:val="0"/>
      <w:marBottom w:val="0"/>
      <w:divBdr>
        <w:top w:val="none" w:sz="0" w:space="0" w:color="auto"/>
        <w:left w:val="none" w:sz="0" w:space="0" w:color="auto"/>
        <w:bottom w:val="none" w:sz="0" w:space="0" w:color="auto"/>
        <w:right w:val="none" w:sz="0" w:space="0" w:color="auto"/>
      </w:divBdr>
    </w:div>
    <w:div w:id="1724207437">
      <w:bodyDiv w:val="1"/>
      <w:marLeft w:val="0"/>
      <w:marRight w:val="0"/>
      <w:marTop w:val="0"/>
      <w:marBottom w:val="0"/>
      <w:divBdr>
        <w:top w:val="none" w:sz="0" w:space="0" w:color="auto"/>
        <w:left w:val="none" w:sz="0" w:space="0" w:color="auto"/>
        <w:bottom w:val="none" w:sz="0" w:space="0" w:color="auto"/>
        <w:right w:val="none" w:sz="0" w:space="0" w:color="auto"/>
      </w:divBdr>
    </w:div>
    <w:div w:id="1809591253">
      <w:bodyDiv w:val="1"/>
      <w:marLeft w:val="0"/>
      <w:marRight w:val="0"/>
      <w:marTop w:val="0"/>
      <w:marBottom w:val="0"/>
      <w:divBdr>
        <w:top w:val="none" w:sz="0" w:space="0" w:color="auto"/>
        <w:left w:val="none" w:sz="0" w:space="0" w:color="auto"/>
        <w:bottom w:val="none" w:sz="0" w:space="0" w:color="auto"/>
        <w:right w:val="none" w:sz="0" w:space="0" w:color="auto"/>
      </w:divBdr>
    </w:div>
    <w:div w:id="1846096271">
      <w:bodyDiv w:val="1"/>
      <w:marLeft w:val="0"/>
      <w:marRight w:val="0"/>
      <w:marTop w:val="0"/>
      <w:marBottom w:val="0"/>
      <w:divBdr>
        <w:top w:val="none" w:sz="0" w:space="0" w:color="auto"/>
        <w:left w:val="none" w:sz="0" w:space="0" w:color="auto"/>
        <w:bottom w:val="none" w:sz="0" w:space="0" w:color="auto"/>
        <w:right w:val="none" w:sz="0" w:space="0" w:color="auto"/>
      </w:divBdr>
    </w:div>
    <w:div w:id="1873764355">
      <w:bodyDiv w:val="1"/>
      <w:marLeft w:val="0"/>
      <w:marRight w:val="0"/>
      <w:marTop w:val="0"/>
      <w:marBottom w:val="0"/>
      <w:divBdr>
        <w:top w:val="none" w:sz="0" w:space="0" w:color="auto"/>
        <w:left w:val="none" w:sz="0" w:space="0" w:color="auto"/>
        <w:bottom w:val="none" w:sz="0" w:space="0" w:color="auto"/>
        <w:right w:val="none" w:sz="0" w:space="0" w:color="auto"/>
      </w:divBdr>
      <w:divsChild>
        <w:div w:id="89474717">
          <w:marLeft w:val="0"/>
          <w:marRight w:val="0"/>
          <w:marTop w:val="0"/>
          <w:marBottom w:val="0"/>
          <w:divBdr>
            <w:top w:val="none" w:sz="0" w:space="0" w:color="auto"/>
            <w:left w:val="none" w:sz="0" w:space="0" w:color="auto"/>
            <w:bottom w:val="none" w:sz="0" w:space="0" w:color="auto"/>
            <w:right w:val="none" w:sz="0" w:space="0" w:color="auto"/>
          </w:divBdr>
        </w:div>
        <w:div w:id="362093362">
          <w:marLeft w:val="0"/>
          <w:marRight w:val="0"/>
          <w:marTop w:val="0"/>
          <w:marBottom w:val="0"/>
          <w:divBdr>
            <w:top w:val="none" w:sz="0" w:space="0" w:color="auto"/>
            <w:left w:val="none" w:sz="0" w:space="0" w:color="auto"/>
            <w:bottom w:val="none" w:sz="0" w:space="0" w:color="auto"/>
            <w:right w:val="none" w:sz="0" w:space="0" w:color="auto"/>
          </w:divBdr>
        </w:div>
        <w:div w:id="580023752">
          <w:marLeft w:val="0"/>
          <w:marRight w:val="0"/>
          <w:marTop w:val="0"/>
          <w:marBottom w:val="0"/>
          <w:divBdr>
            <w:top w:val="none" w:sz="0" w:space="0" w:color="auto"/>
            <w:left w:val="none" w:sz="0" w:space="0" w:color="auto"/>
            <w:bottom w:val="none" w:sz="0" w:space="0" w:color="auto"/>
            <w:right w:val="none" w:sz="0" w:space="0" w:color="auto"/>
          </w:divBdr>
        </w:div>
        <w:div w:id="688412047">
          <w:marLeft w:val="0"/>
          <w:marRight w:val="0"/>
          <w:marTop w:val="0"/>
          <w:marBottom w:val="0"/>
          <w:divBdr>
            <w:top w:val="none" w:sz="0" w:space="0" w:color="auto"/>
            <w:left w:val="none" w:sz="0" w:space="0" w:color="auto"/>
            <w:bottom w:val="none" w:sz="0" w:space="0" w:color="auto"/>
            <w:right w:val="none" w:sz="0" w:space="0" w:color="auto"/>
          </w:divBdr>
        </w:div>
        <w:div w:id="826091458">
          <w:marLeft w:val="0"/>
          <w:marRight w:val="0"/>
          <w:marTop w:val="0"/>
          <w:marBottom w:val="0"/>
          <w:divBdr>
            <w:top w:val="none" w:sz="0" w:space="0" w:color="auto"/>
            <w:left w:val="none" w:sz="0" w:space="0" w:color="auto"/>
            <w:bottom w:val="none" w:sz="0" w:space="0" w:color="auto"/>
            <w:right w:val="none" w:sz="0" w:space="0" w:color="auto"/>
          </w:divBdr>
        </w:div>
        <w:div w:id="841971691">
          <w:marLeft w:val="0"/>
          <w:marRight w:val="0"/>
          <w:marTop w:val="0"/>
          <w:marBottom w:val="0"/>
          <w:divBdr>
            <w:top w:val="none" w:sz="0" w:space="0" w:color="auto"/>
            <w:left w:val="none" w:sz="0" w:space="0" w:color="auto"/>
            <w:bottom w:val="none" w:sz="0" w:space="0" w:color="auto"/>
            <w:right w:val="none" w:sz="0" w:space="0" w:color="auto"/>
          </w:divBdr>
        </w:div>
        <w:div w:id="884876674">
          <w:marLeft w:val="0"/>
          <w:marRight w:val="0"/>
          <w:marTop w:val="0"/>
          <w:marBottom w:val="0"/>
          <w:divBdr>
            <w:top w:val="none" w:sz="0" w:space="0" w:color="auto"/>
            <w:left w:val="none" w:sz="0" w:space="0" w:color="auto"/>
            <w:bottom w:val="none" w:sz="0" w:space="0" w:color="auto"/>
            <w:right w:val="none" w:sz="0" w:space="0" w:color="auto"/>
          </w:divBdr>
        </w:div>
        <w:div w:id="1065881714">
          <w:marLeft w:val="0"/>
          <w:marRight w:val="0"/>
          <w:marTop w:val="0"/>
          <w:marBottom w:val="0"/>
          <w:divBdr>
            <w:top w:val="none" w:sz="0" w:space="0" w:color="auto"/>
            <w:left w:val="none" w:sz="0" w:space="0" w:color="auto"/>
            <w:bottom w:val="none" w:sz="0" w:space="0" w:color="auto"/>
            <w:right w:val="none" w:sz="0" w:space="0" w:color="auto"/>
          </w:divBdr>
        </w:div>
        <w:div w:id="1101485332">
          <w:marLeft w:val="0"/>
          <w:marRight w:val="0"/>
          <w:marTop w:val="0"/>
          <w:marBottom w:val="0"/>
          <w:divBdr>
            <w:top w:val="none" w:sz="0" w:space="0" w:color="auto"/>
            <w:left w:val="none" w:sz="0" w:space="0" w:color="auto"/>
            <w:bottom w:val="none" w:sz="0" w:space="0" w:color="auto"/>
            <w:right w:val="none" w:sz="0" w:space="0" w:color="auto"/>
          </w:divBdr>
        </w:div>
        <w:div w:id="1256473271">
          <w:marLeft w:val="0"/>
          <w:marRight w:val="0"/>
          <w:marTop w:val="0"/>
          <w:marBottom w:val="0"/>
          <w:divBdr>
            <w:top w:val="none" w:sz="0" w:space="0" w:color="auto"/>
            <w:left w:val="none" w:sz="0" w:space="0" w:color="auto"/>
            <w:bottom w:val="none" w:sz="0" w:space="0" w:color="auto"/>
            <w:right w:val="none" w:sz="0" w:space="0" w:color="auto"/>
          </w:divBdr>
        </w:div>
        <w:div w:id="1701591631">
          <w:marLeft w:val="0"/>
          <w:marRight w:val="0"/>
          <w:marTop w:val="0"/>
          <w:marBottom w:val="0"/>
          <w:divBdr>
            <w:top w:val="none" w:sz="0" w:space="0" w:color="auto"/>
            <w:left w:val="none" w:sz="0" w:space="0" w:color="auto"/>
            <w:bottom w:val="none" w:sz="0" w:space="0" w:color="auto"/>
            <w:right w:val="none" w:sz="0" w:space="0" w:color="auto"/>
          </w:divBdr>
        </w:div>
        <w:div w:id="1907832565">
          <w:marLeft w:val="0"/>
          <w:marRight w:val="0"/>
          <w:marTop w:val="0"/>
          <w:marBottom w:val="0"/>
          <w:divBdr>
            <w:top w:val="none" w:sz="0" w:space="0" w:color="auto"/>
            <w:left w:val="none" w:sz="0" w:space="0" w:color="auto"/>
            <w:bottom w:val="none" w:sz="0" w:space="0" w:color="auto"/>
            <w:right w:val="none" w:sz="0" w:space="0" w:color="auto"/>
          </w:divBdr>
        </w:div>
        <w:div w:id="1951743464">
          <w:marLeft w:val="0"/>
          <w:marRight w:val="0"/>
          <w:marTop w:val="0"/>
          <w:marBottom w:val="0"/>
          <w:divBdr>
            <w:top w:val="none" w:sz="0" w:space="0" w:color="auto"/>
            <w:left w:val="none" w:sz="0" w:space="0" w:color="auto"/>
            <w:bottom w:val="none" w:sz="0" w:space="0" w:color="auto"/>
            <w:right w:val="none" w:sz="0" w:space="0" w:color="auto"/>
          </w:divBdr>
        </w:div>
        <w:div w:id="1973173000">
          <w:marLeft w:val="0"/>
          <w:marRight w:val="0"/>
          <w:marTop w:val="0"/>
          <w:marBottom w:val="0"/>
          <w:divBdr>
            <w:top w:val="none" w:sz="0" w:space="0" w:color="auto"/>
            <w:left w:val="none" w:sz="0" w:space="0" w:color="auto"/>
            <w:bottom w:val="none" w:sz="0" w:space="0" w:color="auto"/>
            <w:right w:val="none" w:sz="0" w:space="0" w:color="auto"/>
          </w:divBdr>
        </w:div>
        <w:div w:id="2072343038">
          <w:marLeft w:val="0"/>
          <w:marRight w:val="0"/>
          <w:marTop w:val="0"/>
          <w:marBottom w:val="0"/>
          <w:divBdr>
            <w:top w:val="none" w:sz="0" w:space="0" w:color="auto"/>
            <w:left w:val="none" w:sz="0" w:space="0" w:color="auto"/>
            <w:bottom w:val="none" w:sz="0" w:space="0" w:color="auto"/>
            <w:right w:val="none" w:sz="0" w:space="0" w:color="auto"/>
          </w:divBdr>
        </w:div>
      </w:divsChild>
    </w:div>
    <w:div w:id="1873879820">
      <w:bodyDiv w:val="1"/>
      <w:marLeft w:val="0"/>
      <w:marRight w:val="0"/>
      <w:marTop w:val="0"/>
      <w:marBottom w:val="0"/>
      <w:divBdr>
        <w:top w:val="none" w:sz="0" w:space="0" w:color="auto"/>
        <w:left w:val="none" w:sz="0" w:space="0" w:color="auto"/>
        <w:bottom w:val="none" w:sz="0" w:space="0" w:color="auto"/>
        <w:right w:val="none" w:sz="0" w:space="0" w:color="auto"/>
      </w:divBdr>
    </w:div>
    <w:div w:id="1875001117">
      <w:bodyDiv w:val="1"/>
      <w:marLeft w:val="0"/>
      <w:marRight w:val="0"/>
      <w:marTop w:val="0"/>
      <w:marBottom w:val="0"/>
      <w:divBdr>
        <w:top w:val="none" w:sz="0" w:space="0" w:color="auto"/>
        <w:left w:val="none" w:sz="0" w:space="0" w:color="auto"/>
        <w:bottom w:val="none" w:sz="0" w:space="0" w:color="auto"/>
        <w:right w:val="none" w:sz="0" w:space="0" w:color="auto"/>
      </w:divBdr>
    </w:div>
    <w:div w:id="1936861415">
      <w:bodyDiv w:val="1"/>
      <w:marLeft w:val="0"/>
      <w:marRight w:val="0"/>
      <w:marTop w:val="0"/>
      <w:marBottom w:val="0"/>
      <w:divBdr>
        <w:top w:val="none" w:sz="0" w:space="0" w:color="auto"/>
        <w:left w:val="none" w:sz="0" w:space="0" w:color="auto"/>
        <w:bottom w:val="none" w:sz="0" w:space="0" w:color="auto"/>
        <w:right w:val="none" w:sz="0" w:space="0" w:color="auto"/>
      </w:divBdr>
    </w:div>
    <w:div w:id="1950891155">
      <w:bodyDiv w:val="1"/>
      <w:marLeft w:val="0"/>
      <w:marRight w:val="0"/>
      <w:marTop w:val="0"/>
      <w:marBottom w:val="0"/>
      <w:divBdr>
        <w:top w:val="none" w:sz="0" w:space="0" w:color="auto"/>
        <w:left w:val="none" w:sz="0" w:space="0" w:color="auto"/>
        <w:bottom w:val="none" w:sz="0" w:space="0" w:color="auto"/>
        <w:right w:val="none" w:sz="0" w:space="0" w:color="auto"/>
      </w:divBdr>
    </w:div>
    <w:div w:id="1955867676">
      <w:bodyDiv w:val="1"/>
      <w:marLeft w:val="0"/>
      <w:marRight w:val="0"/>
      <w:marTop w:val="0"/>
      <w:marBottom w:val="0"/>
      <w:divBdr>
        <w:top w:val="none" w:sz="0" w:space="0" w:color="auto"/>
        <w:left w:val="none" w:sz="0" w:space="0" w:color="auto"/>
        <w:bottom w:val="none" w:sz="0" w:space="0" w:color="auto"/>
        <w:right w:val="none" w:sz="0" w:space="0" w:color="auto"/>
      </w:divBdr>
    </w:div>
    <w:div w:id="1974940335">
      <w:bodyDiv w:val="1"/>
      <w:marLeft w:val="0"/>
      <w:marRight w:val="0"/>
      <w:marTop w:val="0"/>
      <w:marBottom w:val="0"/>
      <w:divBdr>
        <w:top w:val="none" w:sz="0" w:space="0" w:color="auto"/>
        <w:left w:val="none" w:sz="0" w:space="0" w:color="auto"/>
        <w:bottom w:val="none" w:sz="0" w:space="0" w:color="auto"/>
        <w:right w:val="none" w:sz="0" w:space="0" w:color="auto"/>
      </w:divBdr>
      <w:divsChild>
        <w:div w:id="1253515466">
          <w:marLeft w:val="0"/>
          <w:marRight w:val="0"/>
          <w:marTop w:val="0"/>
          <w:marBottom w:val="0"/>
          <w:divBdr>
            <w:top w:val="none" w:sz="0" w:space="0" w:color="auto"/>
            <w:left w:val="none" w:sz="0" w:space="0" w:color="auto"/>
            <w:bottom w:val="none" w:sz="0" w:space="0" w:color="auto"/>
            <w:right w:val="none" w:sz="0" w:space="0" w:color="auto"/>
          </w:divBdr>
        </w:div>
      </w:divsChild>
    </w:div>
    <w:div w:id="2072536493">
      <w:bodyDiv w:val="1"/>
      <w:marLeft w:val="0"/>
      <w:marRight w:val="0"/>
      <w:marTop w:val="0"/>
      <w:marBottom w:val="0"/>
      <w:divBdr>
        <w:top w:val="none" w:sz="0" w:space="0" w:color="auto"/>
        <w:left w:val="none" w:sz="0" w:space="0" w:color="auto"/>
        <w:bottom w:val="none" w:sz="0" w:space="0" w:color="auto"/>
        <w:right w:val="none" w:sz="0" w:space="0" w:color="auto"/>
      </w:divBdr>
    </w:div>
    <w:div w:id="2094475527">
      <w:bodyDiv w:val="1"/>
      <w:marLeft w:val="0"/>
      <w:marRight w:val="0"/>
      <w:marTop w:val="0"/>
      <w:marBottom w:val="0"/>
      <w:divBdr>
        <w:top w:val="none" w:sz="0" w:space="0" w:color="auto"/>
        <w:left w:val="none" w:sz="0" w:space="0" w:color="auto"/>
        <w:bottom w:val="none" w:sz="0" w:space="0" w:color="auto"/>
        <w:right w:val="none" w:sz="0" w:space="0" w:color="auto"/>
      </w:divBdr>
      <w:divsChild>
        <w:div w:id="1833720211">
          <w:marLeft w:val="0"/>
          <w:marRight w:val="0"/>
          <w:marTop w:val="83"/>
          <w:marBottom w:val="0"/>
          <w:divBdr>
            <w:top w:val="none" w:sz="0" w:space="0" w:color="auto"/>
            <w:left w:val="none" w:sz="0" w:space="0" w:color="auto"/>
            <w:bottom w:val="none" w:sz="0" w:space="0" w:color="auto"/>
            <w:right w:val="none" w:sz="0" w:space="0" w:color="auto"/>
          </w:divBdr>
          <w:divsChild>
            <w:div w:id="692271248">
              <w:marLeft w:val="0"/>
              <w:marRight w:val="0"/>
              <w:marTop w:val="83"/>
              <w:marBottom w:val="0"/>
              <w:divBdr>
                <w:top w:val="none" w:sz="0" w:space="0" w:color="auto"/>
                <w:left w:val="none" w:sz="0" w:space="0" w:color="auto"/>
                <w:bottom w:val="none" w:sz="0" w:space="0" w:color="auto"/>
                <w:right w:val="none" w:sz="0" w:space="0" w:color="auto"/>
              </w:divBdr>
            </w:div>
            <w:div w:id="1299149451">
              <w:marLeft w:val="0"/>
              <w:marRight w:val="0"/>
              <w:marTop w:val="83"/>
              <w:marBottom w:val="0"/>
              <w:divBdr>
                <w:top w:val="none" w:sz="0" w:space="0" w:color="auto"/>
                <w:left w:val="none" w:sz="0" w:space="0" w:color="auto"/>
                <w:bottom w:val="none" w:sz="0" w:space="0" w:color="auto"/>
                <w:right w:val="none" w:sz="0" w:space="0" w:color="auto"/>
              </w:divBdr>
              <w:divsChild>
                <w:div w:id="1556515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consult.environment.govt.nz/climate/annual-updates-nz-ets-unit-settings-2023"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vironment.govt.nz/"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www.environment.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limatecommission.govt.nz/public/ETS-advice/2023/2023-advice-on-NZ-ETS-unit-limit-and-price-control-settings.pdf"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limatecommission.govt.nz/our-work/advice-to-government-topic/nz-ets/our-advice-on-the-nz-ets/" TargetMode="External"/><Relationship Id="rId28" Type="http://schemas.openxmlformats.org/officeDocument/2006/relationships/hyperlink" Target="mailto:etsconsultation@mfe.govt.nz" TargetMode="External"/><Relationship Id="rId36"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yperlink" Target="mailto:etsconsultation@mfe.govt.nz" TargetMode="External"/><Relationship Id="rId30" Type="http://schemas.openxmlformats.org/officeDocument/2006/relationships/hyperlink" Target="mailto:etsconsultation@mfe.govt.nz" TargetMode="External"/><Relationship Id="rId35" Type="http://schemas.microsoft.com/office/2019/05/relationships/documenttasks" Target="documenttasks/documenttasks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treasury.govt.nz/sites/default/files/2022-05/befu22.pdf" TargetMode="External"/><Relationship Id="rId13" Type="http://schemas.openxmlformats.org/officeDocument/2006/relationships/hyperlink" Target="https://environment.govt.nz/publications/potential-for-emissions-leakage-from-selected-industries-in-the-ets/" TargetMode="External"/><Relationship Id="rId3" Type="http://schemas.openxmlformats.org/officeDocument/2006/relationships/hyperlink" Target="https://legislation.govt.nz/act/public/2002/0040/latest/DLM4970254.html" TargetMode="External"/><Relationship Id="rId7" Type="http://schemas.openxmlformats.org/officeDocument/2006/relationships/hyperlink" Target="https://www.climatecommission.govt.nz/public/ETS-advice-July-22/PDFs/NZ-ETS-settings-2023-2027-final-report-web-27-July-2022.pdf" TargetMode="External"/><Relationship Id="rId12" Type="http://schemas.openxmlformats.org/officeDocument/2006/relationships/hyperlink" Target="https://www.climatecommission.govt.nz/public/ETS-advice-July-22/PDFs/NZ-ETS-settings-2023-2027-final-report-web-27-July-2022.pdf" TargetMode="External"/><Relationship Id="rId17" Type="http://schemas.openxmlformats.org/officeDocument/2006/relationships/hyperlink" Target="https://www.climatecommission.govt.nz/public/ETS-advice-July-22/PDFs/NZ-ETS-settings-2023-2027-final-report-web-27-July-2022.pdf" TargetMode="External"/><Relationship Id="rId2" Type="http://schemas.openxmlformats.org/officeDocument/2006/relationships/hyperlink" Target="https://www.climatecommission.govt.nz/our-work/advice-to-government-topic/nz-ets/our-advice-on-the-nz-ets/" TargetMode="External"/><Relationship Id="rId16" Type="http://schemas.openxmlformats.org/officeDocument/2006/relationships/hyperlink" Target="https://www.msn.com/en-nz/news/national/significant-emissions-from-fuel-tax-cut/ar-AA12DjPA?ocid=entnewsntp&amp;cvid=69a5fc5b84b549c09fc19a83076e94f2" TargetMode="External"/><Relationship Id="rId1" Type="http://schemas.openxmlformats.org/officeDocument/2006/relationships/hyperlink" Target="https://consult.environment.govt.nz/climate/nz-ets-limit-and-price-settings-2022/" TargetMode="External"/><Relationship Id="rId6" Type="http://schemas.openxmlformats.org/officeDocument/2006/relationships/hyperlink" Target="https://www.climatecommission.govt.nz/public/ETS-advice-July-22/PDFs/NZ-ETS-settings-2023-2027-final-report-web-27-July-2022.pdf" TargetMode="External"/><Relationship Id="rId11" Type="http://schemas.openxmlformats.org/officeDocument/2006/relationships/hyperlink" Target="https://www.climatecommission.govt.nz/public/ETS-advice/2023/2023-advice-on-NZ-ETS-unit-limit-and-price-control-settings.pdf" TargetMode="External"/><Relationship Id="rId5" Type="http://schemas.openxmlformats.org/officeDocument/2006/relationships/hyperlink" Target="https://legislation.govt.nz/act/public/2002/0040/latest/whole.html" TargetMode="External"/><Relationship Id="rId15" Type="http://schemas.openxmlformats.org/officeDocument/2006/relationships/hyperlink" Target="https://www.mpi.govt.nz/dmsdocument/50302-Afforestation-Economic-Modelling-Report" TargetMode="External"/><Relationship Id="rId10" Type="http://schemas.openxmlformats.org/officeDocument/2006/relationships/hyperlink" Target="https://www.climatecommission.govt.nz/public/ETS-advice-July-22/PDFs/NZ-ETS-settings-2023-2027-final-report-web-27-July-2022.pdf" TargetMode="External"/><Relationship Id="rId4" Type="http://schemas.openxmlformats.org/officeDocument/2006/relationships/hyperlink" Target="https://bills.parliament.nz/v/4/5b9f226f-5bba-4aa5-b2c7-6e9086250608" TargetMode="External"/><Relationship Id="rId9" Type="http://schemas.openxmlformats.org/officeDocument/2006/relationships/hyperlink" Target="https://www.treasury.govt.nz/sites/default/files/2022-05/befu22.pdf" TargetMode="External"/><Relationship Id="rId14" Type="http://schemas.openxmlformats.org/officeDocument/2006/relationships/hyperlink" Target="https://environment.govt.nz/assets/publications/GhG-Inventory/New-Zealand-Greenhouse-Gas-Inventory-1990-2020-Annexes.pdf" TargetMode="External"/></Relationships>
</file>

<file path=word/documenttasks/documenttasks1.xml><?xml version="1.0" encoding="utf-8"?>
<t:Tasks xmlns:t="http://schemas.microsoft.com/office/tasks/2019/documenttasks" xmlns:oel="http://schemas.microsoft.com/office/2019/extlst">
  <t:Task id="{6D56F90F-CA08-40DB-BFBD-67CD44F0B7D6}">
    <t:Anchor>
      <t:Comment id="170986323"/>
    </t:Anchor>
    <t:History>
      <t:Event id="{8DABF785-8583-41A5-A4AD-1B5136341189}" time="2022-07-28T03:12:04.548Z">
        <t:Attribution userId="S::hemi.smiler@mfe.govt.nz::abcd15df-0f24-4fab-b244-4f255ff4783b" userProvider="AD" userName="Hemi Smiler"/>
        <t:Anchor>
          <t:Comment id="170986323"/>
        </t:Anchor>
        <t:Create/>
      </t:Event>
      <t:Event id="{1AADC907-68A0-4E6C-AD29-6FFEB5ABA331}" time="2022-07-28T03:12:04.548Z">
        <t:Attribution userId="S::hemi.smiler@mfe.govt.nz::abcd15df-0f24-4fab-b244-4f255ff4783b" userProvider="AD" userName="Hemi Smiler"/>
        <t:Anchor>
          <t:Comment id="170986323"/>
        </t:Anchor>
        <t:Assign userId="S::Dave.Hodson1@mfe.govt.nz::60ce8d1a-348a-4ac5-9c02-1056be03b8b9" userProvider="AD" userName="Dave Hodson"/>
      </t:Event>
      <t:Event id="{B523B5E2-DC08-4B7D-8A08-4BA605FA99BD}" time="2022-07-28T03:12:04.548Z">
        <t:Attribution userId="S::hemi.smiler@mfe.govt.nz::abcd15df-0f24-4fab-b244-4f255ff4783b" userProvider="AD" userName="Hemi Smiler"/>
        <t:Anchor>
          <t:Comment id="170986323"/>
        </t:Anchor>
        <t:SetTitle title="@Dave Hodson does the criteria need to assess options against the other factors that the Minister must assess the options through (can't remember the exact language) which included things like inflation and alike?"/>
      </t:Event>
    </t:History>
  </t:Task>
</t:Task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58a6f171-52cb-4404-b47d-af1c8daf8fd1">ECM-1122293896-96204</_dlc_DocId>
    <_dlc_DocIdUrl xmlns="58a6f171-52cb-4404-b47d-af1c8daf8fd1">
      <Url>https://ministryforenvironment.sharepoint.com/sites/ECM-ER-Comms/_layouts/15/DocIdRedir.aspx?ID=ECM-1122293896-96204</Url>
      <Description>ECM-1122293896-96204</Description>
    </_dlc_DocIdUrl>
    <IconOverlay xmlns="http://schemas.microsoft.com/sharepoint/v4" xsi:nil="true"/>
    <TaxCatchAll xmlns="58a6f171-52cb-4404-b47d-af1c8daf8fd1" xsi:nil="true"/>
    <Legacy_x0020_DocID xmlns="4a94300e-a927-4b92-9d3a-682523035cb6" xsi:nil="true"/>
    <Year xmlns="4a94300e-a927-4b92-9d3a-682523035cb6"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Receiver_x0020_Date xmlns="4a94300e-a927-4b92-9d3a-682523035cb6" xsi:nil="true"/>
    <Status xmlns="4a94300e-a927-4b92-9d3a-682523035cb6" xsi:nil="true"/>
    <Document_x0020_Type xmlns="4a94300e-a927-4b92-9d3a-682523035cb6" xsi:nil="true"/>
    <lcf76f155ced4ddcb4097134ff3c332f xmlns="4a94300e-a927-4b92-9d3a-682523035cb6">
      <Terms xmlns="http://schemas.microsoft.com/office/infopath/2007/PartnerControls"/>
    </lcf76f155ced4ddcb4097134ff3c332f>
    <From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1D50C-ED11-4ECD-AB42-91C50A393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13DB9FFE-89FE-4C07-ADC1-3AC10D9CFAD4}">
  <ds:schemaRefs>
    <ds:schemaRef ds:uri="http://schemas.microsoft.com/sharepoint/events"/>
  </ds:schemaRefs>
</ds:datastoreItem>
</file>

<file path=customXml/itemProps4.xml><?xml version="1.0" encoding="utf-8"?>
<ds:datastoreItem xmlns:ds="http://schemas.openxmlformats.org/officeDocument/2006/customXml" ds:itemID="{6F8783D4-912C-441D-BAD5-F7C2602BB184}">
  <ds:schemaRefs>
    <ds:schemaRef ds:uri="http://purl.org/dc/dcmitype/"/>
    <ds:schemaRef ds:uri="http://www.w3.org/XML/1998/namespace"/>
    <ds:schemaRef ds:uri="http://schemas.openxmlformats.org/package/2006/metadata/core-properties"/>
    <ds:schemaRef ds:uri="http://purl.org/dc/terms/"/>
    <ds:schemaRef ds:uri="http://schemas.microsoft.com/sharepoint/v4"/>
    <ds:schemaRef ds:uri="http://schemas.microsoft.com/sharepoint/v3"/>
    <ds:schemaRef ds:uri="http://purl.org/dc/elements/1.1/"/>
    <ds:schemaRef ds:uri="http://schemas.microsoft.com/office/2006/documentManagement/types"/>
    <ds:schemaRef ds:uri="58a6f171-52cb-4404-b47d-af1c8daf8fd1"/>
    <ds:schemaRef ds:uri="http://schemas.microsoft.com/office/2006/metadata/properties"/>
    <ds:schemaRef ds:uri="http://schemas.microsoft.com/office/infopath/2007/PartnerControls"/>
    <ds:schemaRef ds:uri="0a5b0190-e301-4766-933d-448c7c363fce"/>
    <ds:schemaRef ds:uri="4a94300e-a927-4b92-9d3a-682523035cb6"/>
  </ds:schemaRefs>
</ds:datastoreItem>
</file>

<file path=customXml/itemProps5.xml><?xml version="1.0" encoding="utf-8"?>
<ds:datastoreItem xmlns:ds="http://schemas.openxmlformats.org/officeDocument/2006/customXml" ds:itemID="{37F5448B-8825-4ABA-89DA-C3C55D959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56</Pages>
  <Words>18916</Words>
  <Characters>107823</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126487</CharactersWithSpaces>
  <SharedDoc>false</SharedDoc>
  <HLinks>
    <vt:vector size="546" baseType="variant">
      <vt:variant>
        <vt:i4>3080276</vt:i4>
      </vt:variant>
      <vt:variant>
        <vt:i4>402</vt:i4>
      </vt:variant>
      <vt:variant>
        <vt:i4>0</vt:i4>
      </vt:variant>
      <vt:variant>
        <vt:i4>5</vt:i4>
      </vt:variant>
      <vt:variant>
        <vt:lpwstr>mailto:etsconsultation@mfe.govt.nz</vt:lpwstr>
      </vt:variant>
      <vt:variant>
        <vt:lpwstr/>
      </vt:variant>
      <vt:variant>
        <vt:i4>7340128</vt:i4>
      </vt:variant>
      <vt:variant>
        <vt:i4>399</vt:i4>
      </vt:variant>
      <vt:variant>
        <vt:i4>0</vt:i4>
      </vt:variant>
      <vt:variant>
        <vt:i4>5</vt:i4>
      </vt:variant>
      <vt:variant>
        <vt:lpwstr>http://www.environment.govt.nz/</vt:lpwstr>
      </vt:variant>
      <vt:variant>
        <vt:lpwstr/>
      </vt:variant>
      <vt:variant>
        <vt:i4>3080276</vt:i4>
      </vt:variant>
      <vt:variant>
        <vt:i4>396</vt:i4>
      </vt:variant>
      <vt:variant>
        <vt:i4>0</vt:i4>
      </vt:variant>
      <vt:variant>
        <vt:i4>5</vt:i4>
      </vt:variant>
      <vt:variant>
        <vt:lpwstr>mailto:etsconsultation@mfe.govt.nz</vt:lpwstr>
      </vt:variant>
      <vt:variant>
        <vt:lpwstr/>
      </vt:variant>
      <vt:variant>
        <vt:i4>3080276</vt:i4>
      </vt:variant>
      <vt:variant>
        <vt:i4>393</vt:i4>
      </vt:variant>
      <vt:variant>
        <vt:i4>0</vt:i4>
      </vt:variant>
      <vt:variant>
        <vt:i4>5</vt:i4>
      </vt:variant>
      <vt:variant>
        <vt:lpwstr>mailto:etsconsultation@mfe.govt.nz</vt:lpwstr>
      </vt:variant>
      <vt:variant>
        <vt:lpwstr/>
      </vt:variant>
      <vt:variant>
        <vt:i4>4980818</vt:i4>
      </vt:variant>
      <vt:variant>
        <vt:i4>390</vt:i4>
      </vt:variant>
      <vt:variant>
        <vt:i4>0</vt:i4>
      </vt:variant>
      <vt:variant>
        <vt:i4>5</vt:i4>
      </vt:variant>
      <vt:variant>
        <vt:lpwstr>https://consult.environment.govt.nz/climate/annual-updates-nz-ets-unit-settings-2023</vt:lpwstr>
      </vt:variant>
      <vt:variant>
        <vt:lpwstr/>
      </vt:variant>
      <vt:variant>
        <vt:i4>2097166</vt:i4>
      </vt:variant>
      <vt:variant>
        <vt:i4>387</vt:i4>
      </vt:variant>
      <vt:variant>
        <vt:i4>0</vt:i4>
      </vt:variant>
      <vt:variant>
        <vt:i4>5</vt:i4>
      </vt:variant>
      <vt:variant>
        <vt:lpwstr/>
      </vt:variant>
      <vt:variant>
        <vt:lpwstr>_Impacts_of_emissions</vt:lpwstr>
      </vt:variant>
      <vt:variant>
        <vt:i4>1769530</vt:i4>
      </vt:variant>
      <vt:variant>
        <vt:i4>384</vt:i4>
      </vt:variant>
      <vt:variant>
        <vt:i4>0</vt:i4>
      </vt:variant>
      <vt:variant>
        <vt:i4>5</vt:i4>
      </vt:variant>
      <vt:variant>
        <vt:lpwstr/>
      </vt:variant>
      <vt:variant>
        <vt:lpwstr>_Considering_gross_or</vt:lpwstr>
      </vt:variant>
      <vt:variant>
        <vt:i4>7012421</vt:i4>
      </vt:variant>
      <vt:variant>
        <vt:i4>381</vt:i4>
      </vt:variant>
      <vt:variant>
        <vt:i4>0</vt:i4>
      </vt:variant>
      <vt:variant>
        <vt:i4>5</vt:i4>
      </vt:variant>
      <vt:variant>
        <vt:lpwstr>https://legislation.govt.nz/act/public/2002/0040/latest/link.aspx?search=ts_act%40bill%40regulation%40deemedreg_climate_resel_25_a&amp;p=1&amp;id=LMS363540</vt:lpwstr>
      </vt:variant>
      <vt:variant>
        <vt:lpwstr>LMS363540</vt:lpwstr>
      </vt:variant>
      <vt:variant>
        <vt:i4>5046367</vt:i4>
      </vt:variant>
      <vt:variant>
        <vt:i4>378</vt:i4>
      </vt:variant>
      <vt:variant>
        <vt:i4>0</vt:i4>
      </vt:variant>
      <vt:variant>
        <vt:i4>5</vt:i4>
      </vt:variant>
      <vt:variant>
        <vt:lpwstr>https://www.climatecommission.govt.nz/public/ETS-advice/2023/2023-advice-on-NZ-ETS-unit-limit-and-price-control-settings.pdf</vt:lpwstr>
      </vt:variant>
      <vt:variant>
        <vt:lpwstr/>
      </vt:variant>
      <vt:variant>
        <vt:i4>7798860</vt:i4>
      </vt:variant>
      <vt:variant>
        <vt:i4>375</vt:i4>
      </vt:variant>
      <vt:variant>
        <vt:i4>0</vt:i4>
      </vt:variant>
      <vt:variant>
        <vt:i4>5</vt:i4>
      </vt:variant>
      <vt:variant>
        <vt:lpwstr/>
      </vt:variant>
      <vt:variant>
        <vt:lpwstr>_2.__Allocate</vt:lpwstr>
      </vt:variant>
      <vt:variant>
        <vt:i4>7536682</vt:i4>
      </vt:variant>
      <vt:variant>
        <vt:i4>372</vt:i4>
      </vt:variant>
      <vt:variant>
        <vt:i4>0</vt:i4>
      </vt:variant>
      <vt:variant>
        <vt:i4>5</vt:i4>
      </vt:variant>
      <vt:variant>
        <vt:lpwstr>https://www.climatecommission.govt.nz/our-work/advice-to-government-topic/nz-ets/our-advice-on-the-nz-ets/</vt:lpwstr>
      </vt:variant>
      <vt:variant>
        <vt:lpwstr/>
      </vt:variant>
      <vt:variant>
        <vt:i4>3145758</vt:i4>
      </vt:variant>
      <vt:variant>
        <vt:i4>369</vt:i4>
      </vt:variant>
      <vt:variant>
        <vt:i4>0</vt:i4>
      </vt:variant>
      <vt:variant>
        <vt:i4>5</vt:i4>
      </vt:variant>
      <vt:variant>
        <vt:lpwstr/>
      </vt:variant>
      <vt:variant>
        <vt:lpwstr>_How_to_have</vt:lpwstr>
      </vt:variant>
      <vt:variant>
        <vt:i4>5898291</vt:i4>
      </vt:variant>
      <vt:variant>
        <vt:i4>366</vt:i4>
      </vt:variant>
      <vt:variant>
        <vt:i4>0</vt:i4>
      </vt:variant>
      <vt:variant>
        <vt:i4>5</vt:i4>
      </vt:variant>
      <vt:variant>
        <vt:lpwstr/>
      </vt:variant>
      <vt:variant>
        <vt:lpwstr>_Appendix:_How_businesses</vt:lpwstr>
      </vt:variant>
      <vt:variant>
        <vt:i4>2031667</vt:i4>
      </vt:variant>
      <vt:variant>
        <vt:i4>356</vt:i4>
      </vt:variant>
      <vt:variant>
        <vt:i4>0</vt:i4>
      </vt:variant>
      <vt:variant>
        <vt:i4>5</vt:i4>
      </vt:variant>
      <vt:variant>
        <vt:lpwstr/>
      </vt:variant>
      <vt:variant>
        <vt:lpwstr>_Toc133927354</vt:lpwstr>
      </vt:variant>
      <vt:variant>
        <vt:i4>2031667</vt:i4>
      </vt:variant>
      <vt:variant>
        <vt:i4>350</vt:i4>
      </vt:variant>
      <vt:variant>
        <vt:i4>0</vt:i4>
      </vt:variant>
      <vt:variant>
        <vt:i4>5</vt:i4>
      </vt:variant>
      <vt:variant>
        <vt:lpwstr/>
      </vt:variant>
      <vt:variant>
        <vt:lpwstr>_Toc133927353</vt:lpwstr>
      </vt:variant>
      <vt:variant>
        <vt:i4>2031667</vt:i4>
      </vt:variant>
      <vt:variant>
        <vt:i4>344</vt:i4>
      </vt:variant>
      <vt:variant>
        <vt:i4>0</vt:i4>
      </vt:variant>
      <vt:variant>
        <vt:i4>5</vt:i4>
      </vt:variant>
      <vt:variant>
        <vt:lpwstr/>
      </vt:variant>
      <vt:variant>
        <vt:lpwstr>_Toc133927352</vt:lpwstr>
      </vt:variant>
      <vt:variant>
        <vt:i4>2031667</vt:i4>
      </vt:variant>
      <vt:variant>
        <vt:i4>338</vt:i4>
      </vt:variant>
      <vt:variant>
        <vt:i4>0</vt:i4>
      </vt:variant>
      <vt:variant>
        <vt:i4>5</vt:i4>
      </vt:variant>
      <vt:variant>
        <vt:lpwstr/>
      </vt:variant>
      <vt:variant>
        <vt:lpwstr>_Toc133927351</vt:lpwstr>
      </vt:variant>
      <vt:variant>
        <vt:i4>2031667</vt:i4>
      </vt:variant>
      <vt:variant>
        <vt:i4>332</vt:i4>
      </vt:variant>
      <vt:variant>
        <vt:i4>0</vt:i4>
      </vt:variant>
      <vt:variant>
        <vt:i4>5</vt:i4>
      </vt:variant>
      <vt:variant>
        <vt:lpwstr/>
      </vt:variant>
      <vt:variant>
        <vt:lpwstr>_Toc133927350</vt:lpwstr>
      </vt:variant>
      <vt:variant>
        <vt:i4>1966131</vt:i4>
      </vt:variant>
      <vt:variant>
        <vt:i4>326</vt:i4>
      </vt:variant>
      <vt:variant>
        <vt:i4>0</vt:i4>
      </vt:variant>
      <vt:variant>
        <vt:i4>5</vt:i4>
      </vt:variant>
      <vt:variant>
        <vt:lpwstr/>
      </vt:variant>
      <vt:variant>
        <vt:lpwstr>_Toc133927349</vt:lpwstr>
      </vt:variant>
      <vt:variant>
        <vt:i4>1966131</vt:i4>
      </vt:variant>
      <vt:variant>
        <vt:i4>320</vt:i4>
      </vt:variant>
      <vt:variant>
        <vt:i4>0</vt:i4>
      </vt:variant>
      <vt:variant>
        <vt:i4>5</vt:i4>
      </vt:variant>
      <vt:variant>
        <vt:lpwstr/>
      </vt:variant>
      <vt:variant>
        <vt:lpwstr>_Toc133927348</vt:lpwstr>
      </vt:variant>
      <vt:variant>
        <vt:i4>1966131</vt:i4>
      </vt:variant>
      <vt:variant>
        <vt:i4>314</vt:i4>
      </vt:variant>
      <vt:variant>
        <vt:i4>0</vt:i4>
      </vt:variant>
      <vt:variant>
        <vt:i4>5</vt:i4>
      </vt:variant>
      <vt:variant>
        <vt:lpwstr/>
      </vt:variant>
      <vt:variant>
        <vt:lpwstr>_Toc133927347</vt:lpwstr>
      </vt:variant>
      <vt:variant>
        <vt:i4>1966131</vt:i4>
      </vt:variant>
      <vt:variant>
        <vt:i4>308</vt:i4>
      </vt:variant>
      <vt:variant>
        <vt:i4>0</vt:i4>
      </vt:variant>
      <vt:variant>
        <vt:i4>5</vt:i4>
      </vt:variant>
      <vt:variant>
        <vt:lpwstr/>
      </vt:variant>
      <vt:variant>
        <vt:lpwstr>_Toc133927346</vt:lpwstr>
      </vt:variant>
      <vt:variant>
        <vt:i4>1966131</vt:i4>
      </vt:variant>
      <vt:variant>
        <vt:i4>302</vt:i4>
      </vt:variant>
      <vt:variant>
        <vt:i4>0</vt:i4>
      </vt:variant>
      <vt:variant>
        <vt:i4>5</vt:i4>
      </vt:variant>
      <vt:variant>
        <vt:lpwstr/>
      </vt:variant>
      <vt:variant>
        <vt:lpwstr>_Toc133927345</vt:lpwstr>
      </vt:variant>
      <vt:variant>
        <vt:i4>1966131</vt:i4>
      </vt:variant>
      <vt:variant>
        <vt:i4>296</vt:i4>
      </vt:variant>
      <vt:variant>
        <vt:i4>0</vt:i4>
      </vt:variant>
      <vt:variant>
        <vt:i4>5</vt:i4>
      </vt:variant>
      <vt:variant>
        <vt:lpwstr/>
      </vt:variant>
      <vt:variant>
        <vt:lpwstr>_Toc133927344</vt:lpwstr>
      </vt:variant>
      <vt:variant>
        <vt:i4>1966131</vt:i4>
      </vt:variant>
      <vt:variant>
        <vt:i4>290</vt:i4>
      </vt:variant>
      <vt:variant>
        <vt:i4>0</vt:i4>
      </vt:variant>
      <vt:variant>
        <vt:i4>5</vt:i4>
      </vt:variant>
      <vt:variant>
        <vt:lpwstr/>
      </vt:variant>
      <vt:variant>
        <vt:lpwstr>_Toc133927343</vt:lpwstr>
      </vt:variant>
      <vt:variant>
        <vt:i4>1966131</vt:i4>
      </vt:variant>
      <vt:variant>
        <vt:i4>284</vt:i4>
      </vt:variant>
      <vt:variant>
        <vt:i4>0</vt:i4>
      </vt:variant>
      <vt:variant>
        <vt:i4>5</vt:i4>
      </vt:variant>
      <vt:variant>
        <vt:lpwstr/>
      </vt:variant>
      <vt:variant>
        <vt:lpwstr>_Toc133927342</vt:lpwstr>
      </vt:variant>
      <vt:variant>
        <vt:i4>1966131</vt:i4>
      </vt:variant>
      <vt:variant>
        <vt:i4>278</vt:i4>
      </vt:variant>
      <vt:variant>
        <vt:i4>0</vt:i4>
      </vt:variant>
      <vt:variant>
        <vt:i4>5</vt:i4>
      </vt:variant>
      <vt:variant>
        <vt:lpwstr/>
      </vt:variant>
      <vt:variant>
        <vt:lpwstr>_Toc133927341</vt:lpwstr>
      </vt:variant>
      <vt:variant>
        <vt:i4>1966131</vt:i4>
      </vt:variant>
      <vt:variant>
        <vt:i4>272</vt:i4>
      </vt:variant>
      <vt:variant>
        <vt:i4>0</vt:i4>
      </vt:variant>
      <vt:variant>
        <vt:i4>5</vt:i4>
      </vt:variant>
      <vt:variant>
        <vt:lpwstr/>
      </vt:variant>
      <vt:variant>
        <vt:lpwstr>_Toc133927340</vt:lpwstr>
      </vt:variant>
      <vt:variant>
        <vt:i4>1638451</vt:i4>
      </vt:variant>
      <vt:variant>
        <vt:i4>266</vt:i4>
      </vt:variant>
      <vt:variant>
        <vt:i4>0</vt:i4>
      </vt:variant>
      <vt:variant>
        <vt:i4>5</vt:i4>
      </vt:variant>
      <vt:variant>
        <vt:lpwstr/>
      </vt:variant>
      <vt:variant>
        <vt:lpwstr>_Toc133927339</vt:lpwstr>
      </vt:variant>
      <vt:variant>
        <vt:i4>1638451</vt:i4>
      </vt:variant>
      <vt:variant>
        <vt:i4>260</vt:i4>
      </vt:variant>
      <vt:variant>
        <vt:i4>0</vt:i4>
      </vt:variant>
      <vt:variant>
        <vt:i4>5</vt:i4>
      </vt:variant>
      <vt:variant>
        <vt:lpwstr/>
      </vt:variant>
      <vt:variant>
        <vt:lpwstr>_Toc133927338</vt:lpwstr>
      </vt:variant>
      <vt:variant>
        <vt:i4>1638451</vt:i4>
      </vt:variant>
      <vt:variant>
        <vt:i4>254</vt:i4>
      </vt:variant>
      <vt:variant>
        <vt:i4>0</vt:i4>
      </vt:variant>
      <vt:variant>
        <vt:i4>5</vt:i4>
      </vt:variant>
      <vt:variant>
        <vt:lpwstr/>
      </vt:variant>
      <vt:variant>
        <vt:lpwstr>_Toc133927337</vt:lpwstr>
      </vt:variant>
      <vt:variant>
        <vt:i4>1638451</vt:i4>
      </vt:variant>
      <vt:variant>
        <vt:i4>248</vt:i4>
      </vt:variant>
      <vt:variant>
        <vt:i4>0</vt:i4>
      </vt:variant>
      <vt:variant>
        <vt:i4>5</vt:i4>
      </vt:variant>
      <vt:variant>
        <vt:lpwstr/>
      </vt:variant>
      <vt:variant>
        <vt:lpwstr>_Toc133927336</vt:lpwstr>
      </vt:variant>
      <vt:variant>
        <vt:i4>1638451</vt:i4>
      </vt:variant>
      <vt:variant>
        <vt:i4>242</vt:i4>
      </vt:variant>
      <vt:variant>
        <vt:i4>0</vt:i4>
      </vt:variant>
      <vt:variant>
        <vt:i4>5</vt:i4>
      </vt:variant>
      <vt:variant>
        <vt:lpwstr/>
      </vt:variant>
      <vt:variant>
        <vt:lpwstr>_Toc133927335</vt:lpwstr>
      </vt:variant>
      <vt:variant>
        <vt:i4>2031666</vt:i4>
      </vt:variant>
      <vt:variant>
        <vt:i4>233</vt:i4>
      </vt:variant>
      <vt:variant>
        <vt:i4>0</vt:i4>
      </vt:variant>
      <vt:variant>
        <vt:i4>5</vt:i4>
      </vt:variant>
      <vt:variant>
        <vt:lpwstr/>
      </vt:variant>
      <vt:variant>
        <vt:lpwstr>_Toc135300689</vt:lpwstr>
      </vt:variant>
      <vt:variant>
        <vt:i4>2031666</vt:i4>
      </vt:variant>
      <vt:variant>
        <vt:i4>227</vt:i4>
      </vt:variant>
      <vt:variant>
        <vt:i4>0</vt:i4>
      </vt:variant>
      <vt:variant>
        <vt:i4>5</vt:i4>
      </vt:variant>
      <vt:variant>
        <vt:lpwstr/>
      </vt:variant>
      <vt:variant>
        <vt:lpwstr>_Toc135300688</vt:lpwstr>
      </vt:variant>
      <vt:variant>
        <vt:i4>2031666</vt:i4>
      </vt:variant>
      <vt:variant>
        <vt:i4>221</vt:i4>
      </vt:variant>
      <vt:variant>
        <vt:i4>0</vt:i4>
      </vt:variant>
      <vt:variant>
        <vt:i4>5</vt:i4>
      </vt:variant>
      <vt:variant>
        <vt:lpwstr/>
      </vt:variant>
      <vt:variant>
        <vt:lpwstr>_Toc135300687</vt:lpwstr>
      </vt:variant>
      <vt:variant>
        <vt:i4>2031666</vt:i4>
      </vt:variant>
      <vt:variant>
        <vt:i4>215</vt:i4>
      </vt:variant>
      <vt:variant>
        <vt:i4>0</vt:i4>
      </vt:variant>
      <vt:variant>
        <vt:i4>5</vt:i4>
      </vt:variant>
      <vt:variant>
        <vt:lpwstr/>
      </vt:variant>
      <vt:variant>
        <vt:lpwstr>_Toc135300686</vt:lpwstr>
      </vt:variant>
      <vt:variant>
        <vt:i4>2031666</vt:i4>
      </vt:variant>
      <vt:variant>
        <vt:i4>209</vt:i4>
      </vt:variant>
      <vt:variant>
        <vt:i4>0</vt:i4>
      </vt:variant>
      <vt:variant>
        <vt:i4>5</vt:i4>
      </vt:variant>
      <vt:variant>
        <vt:lpwstr/>
      </vt:variant>
      <vt:variant>
        <vt:lpwstr>_Toc135300685</vt:lpwstr>
      </vt:variant>
      <vt:variant>
        <vt:i4>2031666</vt:i4>
      </vt:variant>
      <vt:variant>
        <vt:i4>203</vt:i4>
      </vt:variant>
      <vt:variant>
        <vt:i4>0</vt:i4>
      </vt:variant>
      <vt:variant>
        <vt:i4>5</vt:i4>
      </vt:variant>
      <vt:variant>
        <vt:lpwstr/>
      </vt:variant>
      <vt:variant>
        <vt:lpwstr>_Toc135300684</vt:lpwstr>
      </vt:variant>
      <vt:variant>
        <vt:i4>2031666</vt:i4>
      </vt:variant>
      <vt:variant>
        <vt:i4>197</vt:i4>
      </vt:variant>
      <vt:variant>
        <vt:i4>0</vt:i4>
      </vt:variant>
      <vt:variant>
        <vt:i4>5</vt:i4>
      </vt:variant>
      <vt:variant>
        <vt:lpwstr/>
      </vt:variant>
      <vt:variant>
        <vt:lpwstr>_Toc135300683</vt:lpwstr>
      </vt:variant>
      <vt:variant>
        <vt:i4>2031666</vt:i4>
      </vt:variant>
      <vt:variant>
        <vt:i4>191</vt:i4>
      </vt:variant>
      <vt:variant>
        <vt:i4>0</vt:i4>
      </vt:variant>
      <vt:variant>
        <vt:i4>5</vt:i4>
      </vt:variant>
      <vt:variant>
        <vt:lpwstr/>
      </vt:variant>
      <vt:variant>
        <vt:lpwstr>_Toc135300682</vt:lpwstr>
      </vt:variant>
      <vt:variant>
        <vt:i4>2031666</vt:i4>
      </vt:variant>
      <vt:variant>
        <vt:i4>185</vt:i4>
      </vt:variant>
      <vt:variant>
        <vt:i4>0</vt:i4>
      </vt:variant>
      <vt:variant>
        <vt:i4>5</vt:i4>
      </vt:variant>
      <vt:variant>
        <vt:lpwstr/>
      </vt:variant>
      <vt:variant>
        <vt:lpwstr>_Toc135300681</vt:lpwstr>
      </vt:variant>
      <vt:variant>
        <vt:i4>2031666</vt:i4>
      </vt:variant>
      <vt:variant>
        <vt:i4>179</vt:i4>
      </vt:variant>
      <vt:variant>
        <vt:i4>0</vt:i4>
      </vt:variant>
      <vt:variant>
        <vt:i4>5</vt:i4>
      </vt:variant>
      <vt:variant>
        <vt:lpwstr/>
      </vt:variant>
      <vt:variant>
        <vt:lpwstr>_Toc135300680</vt:lpwstr>
      </vt:variant>
      <vt:variant>
        <vt:i4>1048626</vt:i4>
      </vt:variant>
      <vt:variant>
        <vt:i4>173</vt:i4>
      </vt:variant>
      <vt:variant>
        <vt:i4>0</vt:i4>
      </vt:variant>
      <vt:variant>
        <vt:i4>5</vt:i4>
      </vt:variant>
      <vt:variant>
        <vt:lpwstr/>
      </vt:variant>
      <vt:variant>
        <vt:lpwstr>_Toc135300679</vt:lpwstr>
      </vt:variant>
      <vt:variant>
        <vt:i4>1048626</vt:i4>
      </vt:variant>
      <vt:variant>
        <vt:i4>167</vt:i4>
      </vt:variant>
      <vt:variant>
        <vt:i4>0</vt:i4>
      </vt:variant>
      <vt:variant>
        <vt:i4>5</vt:i4>
      </vt:variant>
      <vt:variant>
        <vt:lpwstr/>
      </vt:variant>
      <vt:variant>
        <vt:lpwstr>_Toc135300678</vt:lpwstr>
      </vt:variant>
      <vt:variant>
        <vt:i4>1048626</vt:i4>
      </vt:variant>
      <vt:variant>
        <vt:i4>161</vt:i4>
      </vt:variant>
      <vt:variant>
        <vt:i4>0</vt:i4>
      </vt:variant>
      <vt:variant>
        <vt:i4>5</vt:i4>
      </vt:variant>
      <vt:variant>
        <vt:lpwstr/>
      </vt:variant>
      <vt:variant>
        <vt:lpwstr>_Toc135300677</vt:lpwstr>
      </vt:variant>
      <vt:variant>
        <vt:i4>1048626</vt:i4>
      </vt:variant>
      <vt:variant>
        <vt:i4>155</vt:i4>
      </vt:variant>
      <vt:variant>
        <vt:i4>0</vt:i4>
      </vt:variant>
      <vt:variant>
        <vt:i4>5</vt:i4>
      </vt:variant>
      <vt:variant>
        <vt:lpwstr/>
      </vt:variant>
      <vt:variant>
        <vt:lpwstr>_Toc135300676</vt:lpwstr>
      </vt:variant>
      <vt:variant>
        <vt:i4>1048626</vt:i4>
      </vt:variant>
      <vt:variant>
        <vt:i4>149</vt:i4>
      </vt:variant>
      <vt:variant>
        <vt:i4>0</vt:i4>
      </vt:variant>
      <vt:variant>
        <vt:i4>5</vt:i4>
      </vt:variant>
      <vt:variant>
        <vt:lpwstr/>
      </vt:variant>
      <vt:variant>
        <vt:lpwstr>_Toc135300675</vt:lpwstr>
      </vt:variant>
      <vt:variant>
        <vt:i4>1048626</vt:i4>
      </vt:variant>
      <vt:variant>
        <vt:i4>143</vt:i4>
      </vt:variant>
      <vt:variant>
        <vt:i4>0</vt:i4>
      </vt:variant>
      <vt:variant>
        <vt:i4>5</vt:i4>
      </vt:variant>
      <vt:variant>
        <vt:lpwstr/>
      </vt:variant>
      <vt:variant>
        <vt:lpwstr>_Toc135300674</vt:lpwstr>
      </vt:variant>
      <vt:variant>
        <vt:i4>1048626</vt:i4>
      </vt:variant>
      <vt:variant>
        <vt:i4>137</vt:i4>
      </vt:variant>
      <vt:variant>
        <vt:i4>0</vt:i4>
      </vt:variant>
      <vt:variant>
        <vt:i4>5</vt:i4>
      </vt:variant>
      <vt:variant>
        <vt:lpwstr/>
      </vt:variant>
      <vt:variant>
        <vt:lpwstr>_Toc135300673</vt:lpwstr>
      </vt:variant>
      <vt:variant>
        <vt:i4>1048626</vt:i4>
      </vt:variant>
      <vt:variant>
        <vt:i4>131</vt:i4>
      </vt:variant>
      <vt:variant>
        <vt:i4>0</vt:i4>
      </vt:variant>
      <vt:variant>
        <vt:i4>5</vt:i4>
      </vt:variant>
      <vt:variant>
        <vt:lpwstr/>
      </vt:variant>
      <vt:variant>
        <vt:lpwstr>_Toc135300672</vt:lpwstr>
      </vt:variant>
      <vt:variant>
        <vt:i4>1048626</vt:i4>
      </vt:variant>
      <vt:variant>
        <vt:i4>125</vt:i4>
      </vt:variant>
      <vt:variant>
        <vt:i4>0</vt:i4>
      </vt:variant>
      <vt:variant>
        <vt:i4>5</vt:i4>
      </vt:variant>
      <vt:variant>
        <vt:lpwstr/>
      </vt:variant>
      <vt:variant>
        <vt:lpwstr>_Toc135300671</vt:lpwstr>
      </vt:variant>
      <vt:variant>
        <vt:i4>1048626</vt:i4>
      </vt:variant>
      <vt:variant>
        <vt:i4>119</vt:i4>
      </vt:variant>
      <vt:variant>
        <vt:i4>0</vt:i4>
      </vt:variant>
      <vt:variant>
        <vt:i4>5</vt:i4>
      </vt:variant>
      <vt:variant>
        <vt:lpwstr/>
      </vt:variant>
      <vt:variant>
        <vt:lpwstr>_Toc135300670</vt:lpwstr>
      </vt:variant>
      <vt:variant>
        <vt:i4>1114162</vt:i4>
      </vt:variant>
      <vt:variant>
        <vt:i4>113</vt:i4>
      </vt:variant>
      <vt:variant>
        <vt:i4>0</vt:i4>
      </vt:variant>
      <vt:variant>
        <vt:i4>5</vt:i4>
      </vt:variant>
      <vt:variant>
        <vt:lpwstr/>
      </vt:variant>
      <vt:variant>
        <vt:lpwstr>_Toc135300669</vt:lpwstr>
      </vt:variant>
      <vt:variant>
        <vt:i4>1114162</vt:i4>
      </vt:variant>
      <vt:variant>
        <vt:i4>107</vt:i4>
      </vt:variant>
      <vt:variant>
        <vt:i4>0</vt:i4>
      </vt:variant>
      <vt:variant>
        <vt:i4>5</vt:i4>
      </vt:variant>
      <vt:variant>
        <vt:lpwstr/>
      </vt:variant>
      <vt:variant>
        <vt:lpwstr>_Toc135300668</vt:lpwstr>
      </vt:variant>
      <vt:variant>
        <vt:i4>1114162</vt:i4>
      </vt:variant>
      <vt:variant>
        <vt:i4>101</vt:i4>
      </vt:variant>
      <vt:variant>
        <vt:i4>0</vt:i4>
      </vt:variant>
      <vt:variant>
        <vt:i4>5</vt:i4>
      </vt:variant>
      <vt:variant>
        <vt:lpwstr/>
      </vt:variant>
      <vt:variant>
        <vt:lpwstr>_Toc135300667</vt:lpwstr>
      </vt:variant>
      <vt:variant>
        <vt:i4>1114162</vt:i4>
      </vt:variant>
      <vt:variant>
        <vt:i4>95</vt:i4>
      </vt:variant>
      <vt:variant>
        <vt:i4>0</vt:i4>
      </vt:variant>
      <vt:variant>
        <vt:i4>5</vt:i4>
      </vt:variant>
      <vt:variant>
        <vt:lpwstr/>
      </vt:variant>
      <vt:variant>
        <vt:lpwstr>_Toc135300666</vt:lpwstr>
      </vt:variant>
      <vt:variant>
        <vt:i4>1114162</vt:i4>
      </vt:variant>
      <vt:variant>
        <vt:i4>89</vt:i4>
      </vt:variant>
      <vt:variant>
        <vt:i4>0</vt:i4>
      </vt:variant>
      <vt:variant>
        <vt:i4>5</vt:i4>
      </vt:variant>
      <vt:variant>
        <vt:lpwstr/>
      </vt:variant>
      <vt:variant>
        <vt:lpwstr>_Toc135300665</vt:lpwstr>
      </vt:variant>
      <vt:variant>
        <vt:i4>1114162</vt:i4>
      </vt:variant>
      <vt:variant>
        <vt:i4>83</vt:i4>
      </vt:variant>
      <vt:variant>
        <vt:i4>0</vt:i4>
      </vt:variant>
      <vt:variant>
        <vt:i4>5</vt:i4>
      </vt:variant>
      <vt:variant>
        <vt:lpwstr/>
      </vt:variant>
      <vt:variant>
        <vt:lpwstr>_Toc135300663</vt:lpwstr>
      </vt:variant>
      <vt:variant>
        <vt:i4>1114162</vt:i4>
      </vt:variant>
      <vt:variant>
        <vt:i4>77</vt:i4>
      </vt:variant>
      <vt:variant>
        <vt:i4>0</vt:i4>
      </vt:variant>
      <vt:variant>
        <vt:i4>5</vt:i4>
      </vt:variant>
      <vt:variant>
        <vt:lpwstr/>
      </vt:variant>
      <vt:variant>
        <vt:lpwstr>_Toc135300662</vt:lpwstr>
      </vt:variant>
      <vt:variant>
        <vt:i4>1114162</vt:i4>
      </vt:variant>
      <vt:variant>
        <vt:i4>71</vt:i4>
      </vt:variant>
      <vt:variant>
        <vt:i4>0</vt:i4>
      </vt:variant>
      <vt:variant>
        <vt:i4>5</vt:i4>
      </vt:variant>
      <vt:variant>
        <vt:lpwstr/>
      </vt:variant>
      <vt:variant>
        <vt:lpwstr>_Toc135300661</vt:lpwstr>
      </vt:variant>
      <vt:variant>
        <vt:i4>1114162</vt:i4>
      </vt:variant>
      <vt:variant>
        <vt:i4>65</vt:i4>
      </vt:variant>
      <vt:variant>
        <vt:i4>0</vt:i4>
      </vt:variant>
      <vt:variant>
        <vt:i4>5</vt:i4>
      </vt:variant>
      <vt:variant>
        <vt:lpwstr/>
      </vt:variant>
      <vt:variant>
        <vt:lpwstr>_Toc135300660</vt:lpwstr>
      </vt:variant>
      <vt:variant>
        <vt:i4>1179698</vt:i4>
      </vt:variant>
      <vt:variant>
        <vt:i4>59</vt:i4>
      </vt:variant>
      <vt:variant>
        <vt:i4>0</vt:i4>
      </vt:variant>
      <vt:variant>
        <vt:i4>5</vt:i4>
      </vt:variant>
      <vt:variant>
        <vt:lpwstr/>
      </vt:variant>
      <vt:variant>
        <vt:lpwstr>_Toc135300659</vt:lpwstr>
      </vt:variant>
      <vt:variant>
        <vt:i4>1179698</vt:i4>
      </vt:variant>
      <vt:variant>
        <vt:i4>53</vt:i4>
      </vt:variant>
      <vt:variant>
        <vt:i4>0</vt:i4>
      </vt:variant>
      <vt:variant>
        <vt:i4>5</vt:i4>
      </vt:variant>
      <vt:variant>
        <vt:lpwstr/>
      </vt:variant>
      <vt:variant>
        <vt:lpwstr>_Toc135300658</vt:lpwstr>
      </vt:variant>
      <vt:variant>
        <vt:i4>1179698</vt:i4>
      </vt:variant>
      <vt:variant>
        <vt:i4>47</vt:i4>
      </vt:variant>
      <vt:variant>
        <vt:i4>0</vt:i4>
      </vt:variant>
      <vt:variant>
        <vt:i4>5</vt:i4>
      </vt:variant>
      <vt:variant>
        <vt:lpwstr/>
      </vt:variant>
      <vt:variant>
        <vt:lpwstr>_Toc135300657</vt:lpwstr>
      </vt:variant>
      <vt:variant>
        <vt:i4>1179698</vt:i4>
      </vt:variant>
      <vt:variant>
        <vt:i4>41</vt:i4>
      </vt:variant>
      <vt:variant>
        <vt:i4>0</vt:i4>
      </vt:variant>
      <vt:variant>
        <vt:i4>5</vt:i4>
      </vt:variant>
      <vt:variant>
        <vt:lpwstr/>
      </vt:variant>
      <vt:variant>
        <vt:lpwstr>_Toc135300656</vt:lpwstr>
      </vt:variant>
      <vt:variant>
        <vt:i4>1179698</vt:i4>
      </vt:variant>
      <vt:variant>
        <vt:i4>35</vt:i4>
      </vt:variant>
      <vt:variant>
        <vt:i4>0</vt:i4>
      </vt:variant>
      <vt:variant>
        <vt:i4>5</vt:i4>
      </vt:variant>
      <vt:variant>
        <vt:lpwstr/>
      </vt:variant>
      <vt:variant>
        <vt:lpwstr>_Toc135300655</vt:lpwstr>
      </vt:variant>
      <vt:variant>
        <vt:i4>1179698</vt:i4>
      </vt:variant>
      <vt:variant>
        <vt:i4>29</vt:i4>
      </vt:variant>
      <vt:variant>
        <vt:i4>0</vt:i4>
      </vt:variant>
      <vt:variant>
        <vt:i4>5</vt:i4>
      </vt:variant>
      <vt:variant>
        <vt:lpwstr/>
      </vt:variant>
      <vt:variant>
        <vt:lpwstr>_Toc135300654</vt:lpwstr>
      </vt:variant>
      <vt:variant>
        <vt:i4>1179698</vt:i4>
      </vt:variant>
      <vt:variant>
        <vt:i4>23</vt:i4>
      </vt:variant>
      <vt:variant>
        <vt:i4>0</vt:i4>
      </vt:variant>
      <vt:variant>
        <vt:i4>5</vt:i4>
      </vt:variant>
      <vt:variant>
        <vt:lpwstr/>
      </vt:variant>
      <vt:variant>
        <vt:lpwstr>_Toc135300653</vt:lpwstr>
      </vt:variant>
      <vt:variant>
        <vt:i4>1179698</vt:i4>
      </vt:variant>
      <vt:variant>
        <vt:i4>17</vt:i4>
      </vt:variant>
      <vt:variant>
        <vt:i4>0</vt:i4>
      </vt:variant>
      <vt:variant>
        <vt:i4>5</vt:i4>
      </vt:variant>
      <vt:variant>
        <vt:lpwstr/>
      </vt:variant>
      <vt:variant>
        <vt:lpwstr>_Toc135300652</vt:lpwstr>
      </vt:variant>
      <vt:variant>
        <vt:i4>1179698</vt:i4>
      </vt:variant>
      <vt:variant>
        <vt:i4>11</vt:i4>
      </vt:variant>
      <vt:variant>
        <vt:i4>0</vt:i4>
      </vt:variant>
      <vt:variant>
        <vt:i4>5</vt:i4>
      </vt:variant>
      <vt:variant>
        <vt:lpwstr/>
      </vt:variant>
      <vt:variant>
        <vt:lpwstr>_Toc135300651</vt:lpwstr>
      </vt:variant>
      <vt:variant>
        <vt:i4>1179698</vt:i4>
      </vt:variant>
      <vt:variant>
        <vt:i4>5</vt:i4>
      </vt:variant>
      <vt:variant>
        <vt:i4>0</vt:i4>
      </vt:variant>
      <vt:variant>
        <vt:i4>5</vt:i4>
      </vt:variant>
      <vt:variant>
        <vt:lpwstr/>
      </vt:variant>
      <vt:variant>
        <vt:lpwstr>_Toc135300650</vt:lpwstr>
      </vt:variant>
      <vt:variant>
        <vt:i4>917531</vt:i4>
      </vt:variant>
      <vt:variant>
        <vt:i4>0</vt:i4>
      </vt:variant>
      <vt:variant>
        <vt:i4>0</vt:i4>
      </vt:variant>
      <vt:variant>
        <vt:i4>5</vt:i4>
      </vt:variant>
      <vt:variant>
        <vt:lpwstr>https://environment.govt.nz/</vt:lpwstr>
      </vt:variant>
      <vt:variant>
        <vt:lpwstr/>
      </vt:variant>
      <vt:variant>
        <vt:i4>4456521</vt:i4>
      </vt:variant>
      <vt:variant>
        <vt:i4>51</vt:i4>
      </vt:variant>
      <vt:variant>
        <vt:i4>0</vt:i4>
      </vt:variant>
      <vt:variant>
        <vt:i4>5</vt:i4>
      </vt:variant>
      <vt:variant>
        <vt:lpwstr>https://www.climatecommission.govt.nz/public/ETS-advice-July-22/PDFs/NZ-ETS-settings-2023-2027-final-report-web-27-July-2022.pdf</vt:lpwstr>
      </vt:variant>
      <vt:variant>
        <vt:lpwstr/>
      </vt:variant>
      <vt:variant>
        <vt:i4>4653072</vt:i4>
      </vt:variant>
      <vt:variant>
        <vt:i4>48</vt:i4>
      </vt:variant>
      <vt:variant>
        <vt:i4>0</vt:i4>
      </vt:variant>
      <vt:variant>
        <vt:i4>5</vt:i4>
      </vt:variant>
      <vt:variant>
        <vt:lpwstr>https://www.msn.com/en-nz/news/national/significant-emissions-from-fuel-tax-cut/ar-AA12DjPA?ocid=entnewsntp&amp;cvid=69a5fc5b84b549c09fc19a83076e94f2</vt:lpwstr>
      </vt:variant>
      <vt:variant>
        <vt:lpwstr/>
      </vt:variant>
      <vt:variant>
        <vt:i4>1114183</vt:i4>
      </vt:variant>
      <vt:variant>
        <vt:i4>45</vt:i4>
      </vt:variant>
      <vt:variant>
        <vt:i4>0</vt:i4>
      </vt:variant>
      <vt:variant>
        <vt:i4>5</vt:i4>
      </vt:variant>
      <vt:variant>
        <vt:lpwstr>https://www.mpi.govt.nz/dmsdocument/50302-Afforestation-Economic-Modelling-Report</vt:lpwstr>
      </vt:variant>
      <vt:variant>
        <vt:lpwstr/>
      </vt:variant>
      <vt:variant>
        <vt:i4>1507345</vt:i4>
      </vt:variant>
      <vt:variant>
        <vt:i4>42</vt:i4>
      </vt:variant>
      <vt:variant>
        <vt:i4>0</vt:i4>
      </vt:variant>
      <vt:variant>
        <vt:i4>5</vt:i4>
      </vt:variant>
      <vt:variant>
        <vt:lpwstr>https://environment.govt.nz/assets/publications/GhG-Inventory/New-Zealand-Greenhouse-Gas-Inventory-1990-2020-Annexes.pdf</vt:lpwstr>
      </vt:variant>
      <vt:variant>
        <vt:lpwstr/>
      </vt:variant>
      <vt:variant>
        <vt:i4>1310722</vt:i4>
      </vt:variant>
      <vt:variant>
        <vt:i4>39</vt:i4>
      </vt:variant>
      <vt:variant>
        <vt:i4>0</vt:i4>
      </vt:variant>
      <vt:variant>
        <vt:i4>5</vt:i4>
      </vt:variant>
      <vt:variant>
        <vt:lpwstr>https://environment.govt.nz/publications/potential-for-emissions-leakage-from-selected-industries-in-the-ets/</vt:lpwstr>
      </vt:variant>
      <vt:variant>
        <vt:lpwstr/>
      </vt:variant>
      <vt:variant>
        <vt:i4>4456521</vt:i4>
      </vt:variant>
      <vt:variant>
        <vt:i4>36</vt:i4>
      </vt:variant>
      <vt:variant>
        <vt:i4>0</vt:i4>
      </vt:variant>
      <vt:variant>
        <vt:i4>5</vt:i4>
      </vt:variant>
      <vt:variant>
        <vt:lpwstr>https://www.climatecommission.govt.nz/public/ETS-advice-July-22/PDFs/NZ-ETS-settings-2023-2027-final-report-web-27-July-2022.pdf</vt:lpwstr>
      </vt:variant>
      <vt:variant>
        <vt:lpwstr/>
      </vt:variant>
      <vt:variant>
        <vt:i4>5046367</vt:i4>
      </vt:variant>
      <vt:variant>
        <vt:i4>33</vt:i4>
      </vt:variant>
      <vt:variant>
        <vt:i4>0</vt:i4>
      </vt:variant>
      <vt:variant>
        <vt:i4>5</vt:i4>
      </vt:variant>
      <vt:variant>
        <vt:lpwstr>https://www.climatecommission.govt.nz/public/ETS-advice/2023/2023-advice-on-NZ-ETS-unit-limit-and-price-control-settings.pdf</vt:lpwstr>
      </vt:variant>
      <vt:variant>
        <vt:lpwstr/>
      </vt:variant>
      <vt:variant>
        <vt:i4>4456521</vt:i4>
      </vt:variant>
      <vt:variant>
        <vt:i4>30</vt:i4>
      </vt:variant>
      <vt:variant>
        <vt:i4>0</vt:i4>
      </vt:variant>
      <vt:variant>
        <vt:i4>5</vt:i4>
      </vt:variant>
      <vt:variant>
        <vt:lpwstr>https://www.climatecommission.govt.nz/public/ETS-advice-July-22/PDFs/NZ-ETS-settings-2023-2027-final-report-web-27-July-2022.pdf</vt:lpwstr>
      </vt:variant>
      <vt:variant>
        <vt:lpwstr/>
      </vt:variant>
      <vt:variant>
        <vt:i4>7864364</vt:i4>
      </vt:variant>
      <vt:variant>
        <vt:i4>27</vt:i4>
      </vt:variant>
      <vt:variant>
        <vt:i4>0</vt:i4>
      </vt:variant>
      <vt:variant>
        <vt:i4>5</vt:i4>
      </vt:variant>
      <vt:variant>
        <vt:lpwstr>https://www.treasury.govt.nz/sites/default/files/2022-05/befu22.pdf</vt:lpwstr>
      </vt:variant>
      <vt:variant>
        <vt:lpwstr/>
      </vt:variant>
      <vt:variant>
        <vt:i4>7864364</vt:i4>
      </vt:variant>
      <vt:variant>
        <vt:i4>24</vt:i4>
      </vt:variant>
      <vt:variant>
        <vt:i4>0</vt:i4>
      </vt:variant>
      <vt:variant>
        <vt:i4>5</vt:i4>
      </vt:variant>
      <vt:variant>
        <vt:lpwstr>https://www.treasury.govt.nz/sites/default/files/2022-05/befu22.pdf</vt:lpwstr>
      </vt:variant>
      <vt:variant>
        <vt:lpwstr/>
      </vt:variant>
      <vt:variant>
        <vt:i4>4456521</vt:i4>
      </vt:variant>
      <vt:variant>
        <vt:i4>21</vt:i4>
      </vt:variant>
      <vt:variant>
        <vt:i4>0</vt:i4>
      </vt:variant>
      <vt:variant>
        <vt:i4>5</vt:i4>
      </vt:variant>
      <vt:variant>
        <vt:lpwstr>https://www.climatecommission.govt.nz/public/ETS-advice-July-22/PDFs/NZ-ETS-settings-2023-2027-final-report-web-27-July-2022.pdf</vt:lpwstr>
      </vt:variant>
      <vt:variant>
        <vt:lpwstr/>
      </vt:variant>
      <vt:variant>
        <vt:i4>4456521</vt:i4>
      </vt:variant>
      <vt:variant>
        <vt:i4>18</vt:i4>
      </vt:variant>
      <vt:variant>
        <vt:i4>0</vt:i4>
      </vt:variant>
      <vt:variant>
        <vt:i4>5</vt:i4>
      </vt:variant>
      <vt:variant>
        <vt:lpwstr>https://www.climatecommission.govt.nz/public/ETS-advice-July-22/PDFs/NZ-ETS-settings-2023-2027-final-report-web-27-July-2022.pdf</vt:lpwstr>
      </vt:variant>
      <vt:variant>
        <vt:lpwstr/>
      </vt:variant>
      <vt:variant>
        <vt:i4>4391011</vt:i4>
      </vt:variant>
      <vt:variant>
        <vt:i4>15</vt:i4>
      </vt:variant>
      <vt:variant>
        <vt:i4>0</vt:i4>
      </vt:variant>
      <vt:variant>
        <vt:i4>5</vt:i4>
      </vt:variant>
      <vt:variant>
        <vt:lpwstr/>
      </vt:variant>
      <vt:variant>
        <vt:lpwstr>_Should_NZ_ETS</vt:lpwstr>
      </vt:variant>
      <vt:variant>
        <vt:i4>2162791</vt:i4>
      </vt:variant>
      <vt:variant>
        <vt:i4>12</vt:i4>
      </vt:variant>
      <vt:variant>
        <vt:i4>0</vt:i4>
      </vt:variant>
      <vt:variant>
        <vt:i4>5</vt:i4>
      </vt:variant>
      <vt:variant>
        <vt:lpwstr>https://legislation.govt.nz/act/public/2002/0040/latest/whole.html</vt:lpwstr>
      </vt:variant>
      <vt:variant>
        <vt:lpwstr>LMS364586</vt:lpwstr>
      </vt:variant>
      <vt:variant>
        <vt:i4>786461</vt:i4>
      </vt:variant>
      <vt:variant>
        <vt:i4>9</vt:i4>
      </vt:variant>
      <vt:variant>
        <vt:i4>0</vt:i4>
      </vt:variant>
      <vt:variant>
        <vt:i4>5</vt:i4>
      </vt:variant>
      <vt:variant>
        <vt:lpwstr>https://bills.parliament.nz/v/4/5b9f226f-5bba-4aa5-b2c7-6e9086250608</vt:lpwstr>
      </vt:variant>
      <vt:variant>
        <vt:lpwstr/>
      </vt:variant>
      <vt:variant>
        <vt:i4>2949228</vt:i4>
      </vt:variant>
      <vt:variant>
        <vt:i4>6</vt:i4>
      </vt:variant>
      <vt:variant>
        <vt:i4>0</vt:i4>
      </vt:variant>
      <vt:variant>
        <vt:i4>5</vt:i4>
      </vt:variant>
      <vt:variant>
        <vt:lpwstr>https://legislation.govt.nz/act/public/2002/0040/latest/DLM4970254.html</vt:lpwstr>
      </vt:variant>
      <vt:variant>
        <vt:lpwstr/>
      </vt:variant>
      <vt:variant>
        <vt:i4>7536682</vt:i4>
      </vt:variant>
      <vt:variant>
        <vt:i4>3</vt:i4>
      </vt:variant>
      <vt:variant>
        <vt:i4>0</vt:i4>
      </vt:variant>
      <vt:variant>
        <vt:i4>5</vt:i4>
      </vt:variant>
      <vt:variant>
        <vt:lpwstr>https://www.climatecommission.govt.nz/our-work/advice-to-government-topic/nz-ets/our-advice-on-the-nz-ets/</vt:lpwstr>
      </vt:variant>
      <vt:variant>
        <vt:lpwstr/>
      </vt:variant>
      <vt:variant>
        <vt:i4>4980829</vt:i4>
      </vt:variant>
      <vt:variant>
        <vt:i4>0</vt:i4>
      </vt:variant>
      <vt:variant>
        <vt:i4>0</vt:i4>
      </vt:variant>
      <vt:variant>
        <vt:i4>5</vt:i4>
      </vt:variant>
      <vt:variant>
        <vt:lpwstr>https://consult.environment.govt.nz/climate/nz-ets-limit-and-price-settings-2022/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stirlingl</dc:creator>
  <cp:keywords/>
  <cp:lastModifiedBy>Linda Stirling</cp:lastModifiedBy>
  <cp:revision>3</cp:revision>
  <cp:lastPrinted>2023-03-16T10:47:00Z</cp:lastPrinted>
  <dcterms:created xsi:type="dcterms:W3CDTF">2023-05-24T03:20:00Z</dcterms:created>
  <dcterms:modified xsi:type="dcterms:W3CDTF">2023-05-24T03:27:00Z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MediaServiceImageTags">
    <vt:lpwstr/>
  </property>
  <property fmtid="{D5CDD505-2E9C-101B-9397-08002B2CF9AE}" pid="11" name="_dlc_DocIdItemGuid">
    <vt:lpwstr>5659c9d7-8542-4455-aa2f-78803e74a8ed</vt:lpwstr>
  </property>
</Properties>
</file>