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20959" w14:textId="6744C13C" w:rsidR="00E86BD7" w:rsidRPr="00B425EF" w:rsidRDefault="00FD6EC0">
      <w:pPr>
        <w:rPr>
          <w:b/>
          <w:bCs/>
        </w:rPr>
      </w:pPr>
      <w:r w:rsidRPr="00B425EF">
        <w:rPr>
          <w:b/>
          <w:bCs/>
          <w:noProof/>
        </w:rPr>
        <w:drawing>
          <wp:anchor distT="0" distB="0" distL="114300" distR="114300" simplePos="0" relativeHeight="251658240" behindDoc="0" locked="0" layoutInCell="1" allowOverlap="1" wp14:anchorId="7A00C977" wp14:editId="53B615C1">
            <wp:simplePos x="0" y="0"/>
            <wp:positionH relativeFrom="page">
              <wp:posOffset>0</wp:posOffset>
            </wp:positionH>
            <wp:positionV relativeFrom="page">
              <wp:posOffset>15875</wp:posOffset>
            </wp:positionV>
            <wp:extent cx="7548245" cy="10677525"/>
            <wp:effectExtent l="0" t="0" r="0" b="0"/>
            <wp:wrapSquare wrapText="bothSides"/>
            <wp:docPr id="512065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5048"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r w:rsidR="00E86BD7" w:rsidRPr="00B425EF">
        <w:rPr>
          <w:b/>
          <w:bCs/>
        </w:rPr>
        <w:br w:type="page"/>
      </w:r>
    </w:p>
    <w:p w14:paraId="5C769549" w14:textId="1E98D276" w:rsidR="00E86BD7" w:rsidRPr="00B425EF" w:rsidRDefault="00E86BD7" w:rsidP="00B27FFB">
      <w:pPr>
        <w:rPr>
          <w:b/>
          <w:bCs/>
        </w:rPr>
        <w:sectPr w:rsidR="00E86BD7" w:rsidRPr="00B425EF" w:rsidSect="00565F52">
          <w:headerReference w:type="even" r:id="rId13"/>
          <w:headerReference w:type="default" r:id="rId14"/>
          <w:footerReference w:type="even" r:id="rId15"/>
          <w:footerReference w:type="default" r:id="rId16"/>
          <w:pgSz w:w="11907" w:h="16839"/>
          <w:pgMar w:top="5670" w:right="1701" w:bottom="1701" w:left="1701" w:header="720" w:footer="720" w:gutter="0"/>
          <w:cols w:space="720"/>
          <w:docGrid w:linePitch="360"/>
        </w:sectPr>
      </w:pPr>
    </w:p>
    <w:p w14:paraId="34BB89DD" w14:textId="77777777" w:rsidR="002D05EC" w:rsidRPr="00B425EF" w:rsidRDefault="002D05EC" w:rsidP="002D05EC">
      <w:pPr>
        <w:pStyle w:val="Imprint"/>
        <w:spacing w:before="0" w:after="0"/>
        <w:rPr>
          <w:b/>
        </w:rPr>
      </w:pPr>
      <w:bookmarkStart w:id="0" w:name="_Toc210040564"/>
      <w:r w:rsidRPr="00B425EF">
        <w:rPr>
          <w:b/>
        </w:rPr>
        <w:lastRenderedPageBreak/>
        <w:t>Disclaimer</w:t>
      </w:r>
    </w:p>
    <w:p w14:paraId="5D29A6A0" w14:textId="746AC35F" w:rsidR="002D05EC" w:rsidRPr="00B425EF" w:rsidRDefault="002D05EC" w:rsidP="002D05EC">
      <w:pPr>
        <w:pStyle w:val="Imprint"/>
      </w:pPr>
      <w:r w:rsidRPr="00B425EF">
        <w:t>The information in this publication is, according to the Ministry for the Environment’s best efforts, accurate at the time of publication. The Ministry will make every reasonable effort to</w:t>
      </w:r>
      <w:r w:rsidR="00C02D7C" w:rsidRPr="00B425EF">
        <w:t> </w:t>
      </w:r>
      <w:r w:rsidRPr="00B425EF">
        <w:t xml:space="preserve">keep it current and accurate. However, users of this publication are advised that: </w:t>
      </w:r>
    </w:p>
    <w:p w14:paraId="21EA4256" w14:textId="50F3A16F" w:rsidR="002D05EC" w:rsidRPr="00B425EF" w:rsidRDefault="002D05EC" w:rsidP="002D05EC">
      <w:pPr>
        <w:pStyle w:val="Bullet"/>
      </w:pPr>
      <w:r w:rsidRPr="00B425EF">
        <w:t xml:space="preserve">the information does not alter the laws of New Zealand, other official guidelines, or requirements </w:t>
      </w:r>
    </w:p>
    <w:p w14:paraId="32FF9A89" w14:textId="1E2AAD66" w:rsidR="002D05EC" w:rsidRPr="00B425EF" w:rsidRDefault="002D05EC" w:rsidP="002D05EC">
      <w:pPr>
        <w:pStyle w:val="Bullet"/>
      </w:pPr>
      <w:r w:rsidRPr="00B425EF">
        <w:t xml:space="preserve">it does not constitute legal advice, and users should take specific advice from qualified professionals before taking any action based on information in this publication </w:t>
      </w:r>
    </w:p>
    <w:p w14:paraId="12D84394" w14:textId="4DAF42D5" w:rsidR="002D05EC" w:rsidRPr="00B425EF" w:rsidRDefault="002D05EC" w:rsidP="002D05EC">
      <w:pPr>
        <w:pStyle w:val="Bullet"/>
      </w:pPr>
      <w:r w:rsidRPr="00B425EF">
        <w:t>the Ministry does not accept any responsibility or liability whatsoever whether in contract, tort, equity, or otherwise for any action taken as a result of reading, or reliance placed on</w:t>
      </w:r>
      <w:r w:rsidR="0044190C" w:rsidRPr="00B425EF">
        <w:t> </w:t>
      </w:r>
      <w:r w:rsidRPr="00B425EF">
        <w:t xml:space="preserve">this publication because of having read any part, or all, of the information in this publication or for any error, or inadequacy, deficiency, flaw in, or omission from the information in this publication </w:t>
      </w:r>
    </w:p>
    <w:p w14:paraId="0DA53506" w14:textId="6B4D0E13" w:rsidR="002D05EC" w:rsidRPr="00B425EF" w:rsidRDefault="002D05EC" w:rsidP="002D05EC">
      <w:pPr>
        <w:pStyle w:val="Bullet"/>
      </w:pPr>
      <w:r w:rsidRPr="00B425EF">
        <w:t>all references to websites, organisations or people not within the Ministry are for convenience only and should not be taken as endorsement of those websites or information contained in those websites nor of organisations or people referred to.</w:t>
      </w:r>
    </w:p>
    <w:p w14:paraId="63A04C17" w14:textId="77777777" w:rsidR="002D05EC" w:rsidRPr="00B425EF" w:rsidRDefault="002D05EC" w:rsidP="002D05EC">
      <w:pPr>
        <w:pStyle w:val="Imprint"/>
      </w:pPr>
    </w:p>
    <w:p w14:paraId="56C81452" w14:textId="77777777" w:rsidR="007111D2" w:rsidRPr="00B425EF" w:rsidRDefault="007111D2" w:rsidP="002D05EC">
      <w:pPr>
        <w:pStyle w:val="Imprint"/>
      </w:pPr>
    </w:p>
    <w:p w14:paraId="1793FE73" w14:textId="2619BB49" w:rsidR="002D05EC" w:rsidRPr="00B425EF" w:rsidRDefault="002D05EC" w:rsidP="002D05EC">
      <w:pPr>
        <w:pStyle w:val="Imprint"/>
      </w:pPr>
      <w:r w:rsidRPr="00B425EF">
        <w:t xml:space="preserve">This document may be cited as: Ministry for the Environment. </w:t>
      </w:r>
      <w:r w:rsidR="0056586B" w:rsidRPr="00B425EF">
        <w:t>2025</w:t>
      </w:r>
      <w:r w:rsidRPr="00B425EF">
        <w:t xml:space="preserve">. </w:t>
      </w:r>
      <w:r w:rsidR="0056586B" w:rsidRPr="00B425EF">
        <w:rPr>
          <w:i/>
        </w:rPr>
        <w:t xml:space="preserve">Government Response to the Climate Change Commission Report: 2050 Target Review Recommendations. </w:t>
      </w:r>
      <w:r w:rsidRPr="00B425EF">
        <w:t>Wellington: Ministry for the Environment.</w:t>
      </w:r>
    </w:p>
    <w:p w14:paraId="2395516E" w14:textId="77777777" w:rsidR="002D05EC" w:rsidRPr="00B425EF" w:rsidRDefault="002D05EC" w:rsidP="002D05EC">
      <w:pPr>
        <w:pStyle w:val="Imprint"/>
      </w:pPr>
    </w:p>
    <w:p w14:paraId="32619FA9" w14:textId="68D65EAA" w:rsidR="002D05EC" w:rsidRPr="00B425EF" w:rsidRDefault="006064EB" w:rsidP="002D05EC">
      <w:pPr>
        <w:pStyle w:val="Imprint"/>
      </w:pPr>
      <w:r>
        <w:t>Presented to the House of Representatives pursuant to section 5U of the Climate Change Response Act 2002.</w:t>
      </w:r>
    </w:p>
    <w:p w14:paraId="6636E0CC" w14:textId="77777777" w:rsidR="002D05EC" w:rsidRPr="00B425EF" w:rsidRDefault="002D05EC" w:rsidP="002D05EC">
      <w:pPr>
        <w:pStyle w:val="Imprint"/>
      </w:pPr>
    </w:p>
    <w:p w14:paraId="317461BA" w14:textId="77777777" w:rsidR="007111D2" w:rsidRPr="00B425EF" w:rsidRDefault="007111D2" w:rsidP="002D05EC">
      <w:pPr>
        <w:pStyle w:val="Imprint"/>
      </w:pPr>
    </w:p>
    <w:p w14:paraId="526E4281" w14:textId="77777777" w:rsidR="002D05EC" w:rsidRPr="00B425EF" w:rsidRDefault="002D05EC" w:rsidP="002D05EC">
      <w:pPr>
        <w:pStyle w:val="Imprint"/>
      </w:pPr>
    </w:p>
    <w:p w14:paraId="1DE945AC" w14:textId="3CB05E24" w:rsidR="002D05EC" w:rsidRPr="00B425EF" w:rsidRDefault="002D05EC" w:rsidP="002D05EC">
      <w:pPr>
        <w:pStyle w:val="Imprint"/>
      </w:pPr>
      <w:r>
        <w:t xml:space="preserve">Published in </w:t>
      </w:r>
      <w:r w:rsidR="2BC12B0B">
        <w:t>December 2025</w:t>
      </w:r>
      <w:r>
        <w:t xml:space="preserve"> by the</w:t>
      </w:r>
      <w:r>
        <w:br/>
        <w:t xml:space="preserve">Ministry for the Environment </w:t>
      </w:r>
      <w:r>
        <w:br/>
        <w:t>Manatū mō te Taiao</w:t>
      </w:r>
      <w:r>
        <w:br/>
        <w:t>PO Box 10362, Wellington 6143, New Zealand</w:t>
      </w:r>
      <w:r>
        <w:br/>
      </w:r>
      <w:hyperlink r:id="rId17">
        <w:r w:rsidRPr="0A20BF30">
          <w:rPr>
            <w:rStyle w:val="Hyperlink"/>
          </w:rPr>
          <w:t>environment.govt.nz</w:t>
        </w:r>
      </w:hyperlink>
    </w:p>
    <w:p w14:paraId="5EDD7E28" w14:textId="67D76675" w:rsidR="002D05EC" w:rsidRPr="00B425EF" w:rsidRDefault="002D05EC" w:rsidP="00091D3A">
      <w:pPr>
        <w:pStyle w:val="Imprint"/>
        <w:tabs>
          <w:tab w:val="left" w:pos="0"/>
        </w:tabs>
      </w:pPr>
      <w:r w:rsidRPr="00B425EF">
        <w:t xml:space="preserve">ISBN: </w:t>
      </w:r>
      <w:r w:rsidR="00F54292" w:rsidRPr="00F54292">
        <w:rPr>
          <w:lang w:val="en-US"/>
        </w:rPr>
        <w:t>978-1-991404-21-3</w:t>
      </w:r>
      <w:r w:rsidR="00F54292" w:rsidRPr="00F54292">
        <w:t> </w:t>
      </w:r>
      <w:r w:rsidRPr="00B425EF">
        <w:br/>
        <w:t>Publication number</w:t>
      </w:r>
      <w:r w:rsidR="00F54292">
        <w:t>: ME 1934</w:t>
      </w:r>
    </w:p>
    <w:p w14:paraId="723DAA0E" w14:textId="3DF8F8FB" w:rsidR="002D05EC" w:rsidRPr="00B425EF" w:rsidRDefault="002D05EC" w:rsidP="002D05EC">
      <w:pPr>
        <w:pStyle w:val="Imprint"/>
        <w:spacing w:after="80"/>
      </w:pPr>
      <w:r w:rsidRPr="00B425EF">
        <w:t xml:space="preserve">© Crown copyright New Zealand </w:t>
      </w:r>
      <w:r w:rsidR="00A460B4" w:rsidRPr="00B425EF">
        <w:t>2025</w:t>
      </w:r>
    </w:p>
    <w:p w14:paraId="42B1E002" w14:textId="77777777" w:rsidR="002D05EC" w:rsidRPr="00B425EF" w:rsidRDefault="002D05EC" w:rsidP="002D05EC">
      <w:pPr>
        <w:sectPr w:rsidR="002D05EC" w:rsidRPr="00B425EF" w:rsidSect="00565F52">
          <w:headerReference w:type="even" r:id="rId18"/>
          <w:headerReference w:type="default" r:id="rId19"/>
          <w:footerReference w:type="even" r:id="rId20"/>
          <w:footerReference w:type="default" r:id="rId21"/>
          <w:pgSz w:w="11907" w:h="16840" w:code="9"/>
          <w:pgMar w:top="1134" w:right="1701" w:bottom="1134" w:left="1701" w:header="567" w:footer="567" w:gutter="0"/>
          <w:cols w:space="720"/>
        </w:sectPr>
      </w:pPr>
    </w:p>
    <w:p w14:paraId="5B51ADB1" w14:textId="77777777" w:rsidR="002D05EC" w:rsidRPr="00B425EF" w:rsidRDefault="002D05EC" w:rsidP="002D05EC">
      <w:pPr>
        <w:pStyle w:val="Heading"/>
      </w:pPr>
      <w:r w:rsidRPr="00B425EF">
        <w:lastRenderedPageBreak/>
        <w:t>Contents</w:t>
      </w:r>
    </w:p>
    <w:p w14:paraId="3146BD73" w14:textId="6BBB0C34" w:rsidR="0015254F" w:rsidRDefault="002D05EC">
      <w:pPr>
        <w:pStyle w:val="TOC1"/>
        <w:rPr>
          <w:rFonts w:asciiTheme="minorHAnsi" w:hAnsiTheme="minorHAnsi"/>
          <w:noProof/>
          <w:kern w:val="2"/>
          <w:sz w:val="24"/>
          <w:szCs w:val="24"/>
          <w14:ligatures w14:val="standardContextual"/>
        </w:rPr>
      </w:pPr>
      <w:r w:rsidRPr="00B425EF">
        <w:rPr>
          <w:color w:val="0092CF"/>
        </w:rPr>
        <w:fldChar w:fldCharType="begin"/>
      </w:r>
      <w:r w:rsidRPr="00B425EF">
        <w:rPr>
          <w:color w:val="0092CF"/>
        </w:rPr>
        <w:instrText xml:space="preserve"> TOC \h \z \t "Heading 1,1,Heading 2,2" </w:instrText>
      </w:r>
      <w:r w:rsidRPr="00B425EF">
        <w:rPr>
          <w:color w:val="0092CF"/>
        </w:rPr>
        <w:fldChar w:fldCharType="separate"/>
      </w:r>
      <w:hyperlink w:anchor="_Toc215650570" w:history="1">
        <w:r w:rsidR="0015254F" w:rsidRPr="00334A02">
          <w:rPr>
            <w:rStyle w:val="Hyperlink"/>
            <w:noProof/>
          </w:rPr>
          <w:t>Introduction</w:t>
        </w:r>
        <w:r w:rsidR="0015254F">
          <w:rPr>
            <w:noProof/>
            <w:webHidden/>
          </w:rPr>
          <w:tab/>
        </w:r>
        <w:r w:rsidR="0015254F">
          <w:rPr>
            <w:noProof/>
            <w:webHidden/>
          </w:rPr>
          <w:fldChar w:fldCharType="begin"/>
        </w:r>
        <w:r w:rsidR="0015254F">
          <w:rPr>
            <w:noProof/>
            <w:webHidden/>
          </w:rPr>
          <w:instrText xml:space="preserve"> PAGEREF _Toc215650570 \h </w:instrText>
        </w:r>
        <w:r w:rsidR="0015254F">
          <w:rPr>
            <w:noProof/>
            <w:webHidden/>
          </w:rPr>
        </w:r>
        <w:r w:rsidR="0015254F">
          <w:rPr>
            <w:noProof/>
            <w:webHidden/>
          </w:rPr>
          <w:fldChar w:fldCharType="separate"/>
        </w:r>
        <w:r w:rsidR="0015254F">
          <w:rPr>
            <w:noProof/>
            <w:webHidden/>
          </w:rPr>
          <w:t>5</w:t>
        </w:r>
        <w:r w:rsidR="0015254F">
          <w:rPr>
            <w:noProof/>
            <w:webHidden/>
          </w:rPr>
          <w:fldChar w:fldCharType="end"/>
        </w:r>
      </w:hyperlink>
    </w:p>
    <w:p w14:paraId="01DEB807" w14:textId="27117125" w:rsidR="0015254F" w:rsidRDefault="0015254F">
      <w:pPr>
        <w:pStyle w:val="TOC1"/>
        <w:rPr>
          <w:rFonts w:asciiTheme="minorHAnsi" w:hAnsiTheme="minorHAnsi"/>
          <w:noProof/>
          <w:kern w:val="2"/>
          <w:sz w:val="24"/>
          <w:szCs w:val="24"/>
          <w14:ligatures w14:val="standardContextual"/>
        </w:rPr>
      </w:pPr>
      <w:hyperlink w:anchor="_Toc215650571" w:history="1">
        <w:r w:rsidRPr="00334A02">
          <w:rPr>
            <w:rStyle w:val="Hyperlink"/>
            <w:noProof/>
          </w:rPr>
          <w:t>Government strategy to reduce emissions</w:t>
        </w:r>
        <w:r>
          <w:rPr>
            <w:noProof/>
            <w:webHidden/>
          </w:rPr>
          <w:tab/>
        </w:r>
        <w:r>
          <w:rPr>
            <w:noProof/>
            <w:webHidden/>
          </w:rPr>
          <w:fldChar w:fldCharType="begin"/>
        </w:r>
        <w:r>
          <w:rPr>
            <w:noProof/>
            <w:webHidden/>
          </w:rPr>
          <w:instrText xml:space="preserve"> PAGEREF _Toc215650571 \h </w:instrText>
        </w:r>
        <w:r>
          <w:rPr>
            <w:noProof/>
            <w:webHidden/>
          </w:rPr>
        </w:r>
        <w:r>
          <w:rPr>
            <w:noProof/>
            <w:webHidden/>
          </w:rPr>
          <w:fldChar w:fldCharType="separate"/>
        </w:r>
        <w:r>
          <w:rPr>
            <w:noProof/>
            <w:webHidden/>
          </w:rPr>
          <w:t>7</w:t>
        </w:r>
        <w:r>
          <w:rPr>
            <w:noProof/>
            <w:webHidden/>
          </w:rPr>
          <w:fldChar w:fldCharType="end"/>
        </w:r>
      </w:hyperlink>
    </w:p>
    <w:p w14:paraId="58469073" w14:textId="030C3493" w:rsidR="0015254F" w:rsidRDefault="0015254F">
      <w:pPr>
        <w:pStyle w:val="TOC2"/>
        <w:rPr>
          <w:rFonts w:asciiTheme="minorHAnsi" w:hAnsiTheme="minorHAnsi"/>
          <w:kern w:val="2"/>
          <w:sz w:val="24"/>
          <w:szCs w:val="24"/>
          <w14:ligatures w14:val="standardContextual"/>
        </w:rPr>
      </w:pPr>
      <w:hyperlink w:anchor="_Toc215650572" w:history="1">
        <w:r w:rsidRPr="00334A02">
          <w:rPr>
            <w:rStyle w:val="Hyperlink"/>
          </w:rPr>
          <w:t>New Zealand’s domestic climate change targets</w:t>
        </w:r>
        <w:r>
          <w:rPr>
            <w:webHidden/>
          </w:rPr>
          <w:tab/>
        </w:r>
        <w:r>
          <w:rPr>
            <w:webHidden/>
          </w:rPr>
          <w:fldChar w:fldCharType="begin"/>
        </w:r>
        <w:r>
          <w:rPr>
            <w:webHidden/>
          </w:rPr>
          <w:instrText xml:space="preserve"> PAGEREF _Toc215650572 \h </w:instrText>
        </w:r>
        <w:r>
          <w:rPr>
            <w:webHidden/>
          </w:rPr>
        </w:r>
        <w:r>
          <w:rPr>
            <w:webHidden/>
          </w:rPr>
          <w:fldChar w:fldCharType="separate"/>
        </w:r>
        <w:r>
          <w:rPr>
            <w:webHidden/>
          </w:rPr>
          <w:t>7</w:t>
        </w:r>
        <w:r>
          <w:rPr>
            <w:webHidden/>
          </w:rPr>
          <w:fldChar w:fldCharType="end"/>
        </w:r>
      </w:hyperlink>
    </w:p>
    <w:p w14:paraId="2620768E" w14:textId="51ABAC0D" w:rsidR="0015254F" w:rsidRDefault="0015254F">
      <w:pPr>
        <w:pStyle w:val="TOC1"/>
        <w:rPr>
          <w:rFonts w:asciiTheme="minorHAnsi" w:hAnsiTheme="minorHAnsi"/>
          <w:noProof/>
          <w:kern w:val="2"/>
          <w:sz w:val="24"/>
          <w:szCs w:val="24"/>
          <w14:ligatures w14:val="standardContextual"/>
        </w:rPr>
      </w:pPr>
      <w:hyperlink w:anchor="_Toc215650573" w:history="1">
        <w:r w:rsidRPr="00334A02">
          <w:rPr>
            <w:rStyle w:val="Hyperlink"/>
            <w:noProof/>
          </w:rPr>
          <w:t>Response to the Climate Change Commission’s 2050 target review, international shipping and aviation</w:t>
        </w:r>
        <w:r>
          <w:rPr>
            <w:noProof/>
            <w:webHidden/>
          </w:rPr>
          <w:tab/>
        </w:r>
        <w:r>
          <w:rPr>
            <w:noProof/>
            <w:webHidden/>
          </w:rPr>
          <w:fldChar w:fldCharType="begin"/>
        </w:r>
        <w:r>
          <w:rPr>
            <w:noProof/>
            <w:webHidden/>
          </w:rPr>
          <w:instrText xml:space="preserve"> PAGEREF _Toc215650573 \h </w:instrText>
        </w:r>
        <w:r>
          <w:rPr>
            <w:noProof/>
            <w:webHidden/>
          </w:rPr>
        </w:r>
        <w:r>
          <w:rPr>
            <w:noProof/>
            <w:webHidden/>
          </w:rPr>
          <w:fldChar w:fldCharType="separate"/>
        </w:r>
        <w:r>
          <w:rPr>
            <w:noProof/>
            <w:webHidden/>
          </w:rPr>
          <w:t>8</w:t>
        </w:r>
        <w:r>
          <w:rPr>
            <w:noProof/>
            <w:webHidden/>
          </w:rPr>
          <w:fldChar w:fldCharType="end"/>
        </w:r>
      </w:hyperlink>
    </w:p>
    <w:p w14:paraId="4670E9D8" w14:textId="52625F8D" w:rsidR="0015254F" w:rsidRDefault="0015254F">
      <w:pPr>
        <w:pStyle w:val="TOC2"/>
        <w:rPr>
          <w:rFonts w:asciiTheme="minorHAnsi" w:hAnsiTheme="minorHAnsi"/>
          <w:kern w:val="2"/>
          <w:sz w:val="24"/>
          <w:szCs w:val="24"/>
          <w14:ligatures w14:val="standardContextual"/>
        </w:rPr>
      </w:pPr>
      <w:hyperlink w:anchor="_Toc215650574" w:history="1">
        <w:r w:rsidRPr="00334A02">
          <w:rPr>
            <w:rStyle w:val="Hyperlink"/>
          </w:rPr>
          <w:t>Climate Change Commission’s 2050 target review and recommendations</w:t>
        </w:r>
        <w:r>
          <w:rPr>
            <w:webHidden/>
          </w:rPr>
          <w:tab/>
        </w:r>
        <w:r>
          <w:rPr>
            <w:webHidden/>
          </w:rPr>
          <w:fldChar w:fldCharType="begin"/>
        </w:r>
        <w:r>
          <w:rPr>
            <w:webHidden/>
          </w:rPr>
          <w:instrText xml:space="preserve"> PAGEREF _Toc215650574 \h </w:instrText>
        </w:r>
        <w:r>
          <w:rPr>
            <w:webHidden/>
          </w:rPr>
        </w:r>
        <w:r>
          <w:rPr>
            <w:webHidden/>
          </w:rPr>
          <w:fldChar w:fldCharType="separate"/>
        </w:r>
        <w:r>
          <w:rPr>
            <w:webHidden/>
          </w:rPr>
          <w:t>8</w:t>
        </w:r>
        <w:r>
          <w:rPr>
            <w:webHidden/>
          </w:rPr>
          <w:fldChar w:fldCharType="end"/>
        </w:r>
      </w:hyperlink>
    </w:p>
    <w:p w14:paraId="74C7EF83" w14:textId="33424F64" w:rsidR="0015254F" w:rsidRDefault="0015254F">
      <w:pPr>
        <w:pStyle w:val="TOC2"/>
        <w:rPr>
          <w:rFonts w:asciiTheme="minorHAnsi" w:hAnsiTheme="minorHAnsi"/>
          <w:kern w:val="2"/>
          <w:sz w:val="24"/>
          <w:szCs w:val="24"/>
          <w14:ligatures w14:val="standardContextual"/>
        </w:rPr>
      </w:pPr>
      <w:hyperlink w:anchor="_Toc215650575" w:history="1">
        <w:r w:rsidRPr="00334A02">
          <w:rPr>
            <w:rStyle w:val="Hyperlink"/>
          </w:rPr>
          <w:t>Methane Review</w:t>
        </w:r>
        <w:r>
          <w:rPr>
            <w:webHidden/>
          </w:rPr>
          <w:tab/>
        </w:r>
        <w:r>
          <w:rPr>
            <w:webHidden/>
          </w:rPr>
          <w:fldChar w:fldCharType="begin"/>
        </w:r>
        <w:r>
          <w:rPr>
            <w:webHidden/>
          </w:rPr>
          <w:instrText xml:space="preserve"> PAGEREF _Toc215650575 \h </w:instrText>
        </w:r>
        <w:r>
          <w:rPr>
            <w:webHidden/>
          </w:rPr>
        </w:r>
        <w:r>
          <w:rPr>
            <w:webHidden/>
          </w:rPr>
          <w:fldChar w:fldCharType="separate"/>
        </w:r>
        <w:r>
          <w:rPr>
            <w:webHidden/>
          </w:rPr>
          <w:t>9</w:t>
        </w:r>
        <w:r>
          <w:rPr>
            <w:webHidden/>
          </w:rPr>
          <w:fldChar w:fldCharType="end"/>
        </w:r>
      </w:hyperlink>
    </w:p>
    <w:p w14:paraId="353C71F2" w14:textId="36325804" w:rsidR="0015254F" w:rsidRDefault="0015254F">
      <w:pPr>
        <w:pStyle w:val="TOC2"/>
        <w:rPr>
          <w:rFonts w:asciiTheme="minorHAnsi" w:hAnsiTheme="minorHAnsi"/>
          <w:kern w:val="2"/>
          <w:sz w:val="24"/>
          <w:szCs w:val="24"/>
          <w14:ligatures w14:val="standardContextual"/>
        </w:rPr>
      </w:pPr>
      <w:hyperlink w:anchor="_Toc215650576" w:history="1">
        <w:r w:rsidRPr="00334A02">
          <w:rPr>
            <w:rStyle w:val="Hyperlink"/>
          </w:rPr>
          <w:t>Our approach to the 2050 target decisions</w:t>
        </w:r>
        <w:r>
          <w:rPr>
            <w:webHidden/>
          </w:rPr>
          <w:tab/>
        </w:r>
        <w:r>
          <w:rPr>
            <w:webHidden/>
          </w:rPr>
          <w:fldChar w:fldCharType="begin"/>
        </w:r>
        <w:r>
          <w:rPr>
            <w:webHidden/>
          </w:rPr>
          <w:instrText xml:space="preserve"> PAGEREF _Toc215650576 \h </w:instrText>
        </w:r>
        <w:r>
          <w:rPr>
            <w:webHidden/>
          </w:rPr>
        </w:r>
        <w:r>
          <w:rPr>
            <w:webHidden/>
          </w:rPr>
          <w:fldChar w:fldCharType="separate"/>
        </w:r>
        <w:r>
          <w:rPr>
            <w:webHidden/>
          </w:rPr>
          <w:t>10</w:t>
        </w:r>
        <w:r>
          <w:rPr>
            <w:webHidden/>
          </w:rPr>
          <w:fldChar w:fldCharType="end"/>
        </w:r>
      </w:hyperlink>
    </w:p>
    <w:p w14:paraId="6AEC2668" w14:textId="4C66E69E" w:rsidR="0015254F" w:rsidRDefault="0015254F">
      <w:pPr>
        <w:pStyle w:val="TOC2"/>
        <w:rPr>
          <w:rFonts w:asciiTheme="minorHAnsi" w:hAnsiTheme="minorHAnsi"/>
          <w:kern w:val="2"/>
          <w:sz w:val="24"/>
          <w:szCs w:val="24"/>
          <w14:ligatures w14:val="standardContextual"/>
        </w:rPr>
      </w:pPr>
      <w:hyperlink w:anchor="_Toc215650577" w:history="1">
        <w:r w:rsidRPr="00334A02">
          <w:rPr>
            <w:rStyle w:val="Hyperlink"/>
          </w:rPr>
          <w:t>Our decisions on the 2050 target</w:t>
        </w:r>
        <w:r>
          <w:rPr>
            <w:webHidden/>
          </w:rPr>
          <w:tab/>
        </w:r>
        <w:r>
          <w:rPr>
            <w:webHidden/>
          </w:rPr>
          <w:fldChar w:fldCharType="begin"/>
        </w:r>
        <w:r>
          <w:rPr>
            <w:webHidden/>
          </w:rPr>
          <w:instrText xml:space="preserve"> PAGEREF _Toc215650577 \h </w:instrText>
        </w:r>
        <w:r>
          <w:rPr>
            <w:webHidden/>
          </w:rPr>
        </w:r>
        <w:r>
          <w:rPr>
            <w:webHidden/>
          </w:rPr>
          <w:fldChar w:fldCharType="separate"/>
        </w:r>
        <w:r>
          <w:rPr>
            <w:webHidden/>
          </w:rPr>
          <w:t>10</w:t>
        </w:r>
        <w:r>
          <w:rPr>
            <w:webHidden/>
          </w:rPr>
          <w:fldChar w:fldCharType="end"/>
        </w:r>
      </w:hyperlink>
    </w:p>
    <w:p w14:paraId="008A474A" w14:textId="74E61555" w:rsidR="0015254F" w:rsidRDefault="0015254F">
      <w:pPr>
        <w:pStyle w:val="TOC2"/>
        <w:rPr>
          <w:rFonts w:asciiTheme="minorHAnsi" w:hAnsiTheme="minorHAnsi"/>
          <w:kern w:val="2"/>
          <w:sz w:val="24"/>
          <w:szCs w:val="24"/>
          <w14:ligatures w14:val="standardContextual"/>
        </w:rPr>
      </w:pPr>
      <w:hyperlink w:anchor="_Toc215650578" w:history="1">
        <w:r w:rsidRPr="00334A02">
          <w:rPr>
            <w:rStyle w:val="Hyperlink"/>
          </w:rPr>
          <w:t>How we will implement these decisions</w:t>
        </w:r>
        <w:r>
          <w:rPr>
            <w:webHidden/>
          </w:rPr>
          <w:tab/>
        </w:r>
        <w:r>
          <w:rPr>
            <w:webHidden/>
          </w:rPr>
          <w:fldChar w:fldCharType="begin"/>
        </w:r>
        <w:r>
          <w:rPr>
            <w:webHidden/>
          </w:rPr>
          <w:instrText xml:space="preserve"> PAGEREF _Toc215650578 \h </w:instrText>
        </w:r>
        <w:r>
          <w:rPr>
            <w:webHidden/>
          </w:rPr>
        </w:r>
        <w:r>
          <w:rPr>
            <w:webHidden/>
          </w:rPr>
          <w:fldChar w:fldCharType="separate"/>
        </w:r>
        <w:r>
          <w:rPr>
            <w:webHidden/>
          </w:rPr>
          <w:t>15</w:t>
        </w:r>
        <w:r>
          <w:rPr>
            <w:webHidden/>
          </w:rPr>
          <w:fldChar w:fldCharType="end"/>
        </w:r>
      </w:hyperlink>
    </w:p>
    <w:p w14:paraId="53DD9DC0" w14:textId="17937250" w:rsidR="0015254F" w:rsidRDefault="0015254F">
      <w:pPr>
        <w:pStyle w:val="TOC1"/>
        <w:rPr>
          <w:rFonts w:asciiTheme="minorHAnsi" w:hAnsiTheme="minorHAnsi"/>
          <w:noProof/>
          <w:kern w:val="2"/>
          <w:sz w:val="24"/>
          <w:szCs w:val="24"/>
          <w14:ligatures w14:val="standardContextual"/>
        </w:rPr>
      </w:pPr>
      <w:hyperlink w:anchor="_Toc215650579" w:history="1">
        <w:r w:rsidRPr="00334A02">
          <w:rPr>
            <w:rStyle w:val="Hyperlink"/>
            <w:noProof/>
          </w:rPr>
          <w:t>Appendix 1: Climate Change Commission’s technical recommendations and Government response summary</w:t>
        </w:r>
        <w:r>
          <w:rPr>
            <w:noProof/>
            <w:webHidden/>
          </w:rPr>
          <w:tab/>
        </w:r>
        <w:r>
          <w:rPr>
            <w:noProof/>
            <w:webHidden/>
          </w:rPr>
          <w:fldChar w:fldCharType="begin"/>
        </w:r>
        <w:r>
          <w:rPr>
            <w:noProof/>
            <w:webHidden/>
          </w:rPr>
          <w:instrText xml:space="preserve"> PAGEREF _Toc215650579 \h </w:instrText>
        </w:r>
        <w:r>
          <w:rPr>
            <w:noProof/>
            <w:webHidden/>
          </w:rPr>
        </w:r>
        <w:r>
          <w:rPr>
            <w:noProof/>
            <w:webHidden/>
          </w:rPr>
          <w:fldChar w:fldCharType="separate"/>
        </w:r>
        <w:r>
          <w:rPr>
            <w:noProof/>
            <w:webHidden/>
          </w:rPr>
          <w:t>16</w:t>
        </w:r>
        <w:r>
          <w:rPr>
            <w:noProof/>
            <w:webHidden/>
          </w:rPr>
          <w:fldChar w:fldCharType="end"/>
        </w:r>
      </w:hyperlink>
    </w:p>
    <w:p w14:paraId="77F9AD9B" w14:textId="08561B40" w:rsidR="0015254F" w:rsidRDefault="0015254F">
      <w:pPr>
        <w:pStyle w:val="TOC1"/>
        <w:rPr>
          <w:rFonts w:asciiTheme="minorHAnsi" w:hAnsiTheme="minorHAnsi"/>
          <w:noProof/>
          <w:kern w:val="2"/>
          <w:sz w:val="24"/>
          <w:szCs w:val="24"/>
          <w14:ligatures w14:val="standardContextual"/>
        </w:rPr>
      </w:pPr>
      <w:hyperlink w:anchor="_Toc215650580" w:history="1">
        <w:r w:rsidRPr="00334A02">
          <w:rPr>
            <w:rStyle w:val="Hyperlink"/>
            <w:noProof/>
          </w:rPr>
          <w:t>Appendix 2: Summary of analysis to support decision-making on the 2050 target</w:t>
        </w:r>
        <w:r>
          <w:rPr>
            <w:noProof/>
            <w:webHidden/>
          </w:rPr>
          <w:tab/>
        </w:r>
        <w:r>
          <w:rPr>
            <w:noProof/>
            <w:webHidden/>
          </w:rPr>
          <w:fldChar w:fldCharType="begin"/>
        </w:r>
        <w:r>
          <w:rPr>
            <w:noProof/>
            <w:webHidden/>
          </w:rPr>
          <w:instrText xml:space="preserve"> PAGEREF _Toc215650580 \h </w:instrText>
        </w:r>
        <w:r>
          <w:rPr>
            <w:noProof/>
            <w:webHidden/>
          </w:rPr>
        </w:r>
        <w:r>
          <w:rPr>
            <w:noProof/>
            <w:webHidden/>
          </w:rPr>
          <w:fldChar w:fldCharType="separate"/>
        </w:r>
        <w:r>
          <w:rPr>
            <w:noProof/>
            <w:webHidden/>
          </w:rPr>
          <w:t>17</w:t>
        </w:r>
        <w:r>
          <w:rPr>
            <w:noProof/>
            <w:webHidden/>
          </w:rPr>
          <w:fldChar w:fldCharType="end"/>
        </w:r>
      </w:hyperlink>
    </w:p>
    <w:p w14:paraId="40861D54" w14:textId="02CDB17F" w:rsidR="0015254F" w:rsidRDefault="0015254F">
      <w:pPr>
        <w:pStyle w:val="TOC2"/>
        <w:rPr>
          <w:rFonts w:asciiTheme="minorHAnsi" w:hAnsiTheme="minorHAnsi"/>
          <w:kern w:val="2"/>
          <w:sz w:val="24"/>
          <w:szCs w:val="24"/>
          <w14:ligatures w14:val="standardContextual"/>
        </w:rPr>
      </w:pPr>
      <w:hyperlink w:anchor="_Toc215650581" w:history="1">
        <w:r w:rsidRPr="00334A02">
          <w:rPr>
            <w:rStyle w:val="Hyperlink"/>
          </w:rPr>
          <w:t>Summary of analysis for biogenic methane and long-lived gas components</w:t>
        </w:r>
        <w:r>
          <w:rPr>
            <w:webHidden/>
          </w:rPr>
          <w:tab/>
        </w:r>
        <w:r>
          <w:rPr>
            <w:webHidden/>
          </w:rPr>
          <w:fldChar w:fldCharType="begin"/>
        </w:r>
        <w:r>
          <w:rPr>
            <w:webHidden/>
          </w:rPr>
          <w:instrText xml:space="preserve"> PAGEREF _Toc215650581 \h </w:instrText>
        </w:r>
        <w:r>
          <w:rPr>
            <w:webHidden/>
          </w:rPr>
        </w:r>
        <w:r>
          <w:rPr>
            <w:webHidden/>
          </w:rPr>
          <w:fldChar w:fldCharType="separate"/>
        </w:r>
        <w:r>
          <w:rPr>
            <w:webHidden/>
          </w:rPr>
          <w:t>17</w:t>
        </w:r>
        <w:r>
          <w:rPr>
            <w:webHidden/>
          </w:rPr>
          <w:fldChar w:fldCharType="end"/>
        </w:r>
      </w:hyperlink>
    </w:p>
    <w:p w14:paraId="741FE978" w14:textId="4B85CA98" w:rsidR="0015254F" w:rsidRDefault="0015254F">
      <w:pPr>
        <w:pStyle w:val="TOC2"/>
        <w:rPr>
          <w:rFonts w:asciiTheme="minorHAnsi" w:hAnsiTheme="minorHAnsi"/>
          <w:kern w:val="2"/>
          <w:sz w:val="24"/>
          <w:szCs w:val="24"/>
          <w14:ligatures w14:val="standardContextual"/>
        </w:rPr>
      </w:pPr>
      <w:hyperlink w:anchor="_Toc215650582" w:history="1">
        <w:r w:rsidRPr="00334A02">
          <w:rPr>
            <w:rStyle w:val="Hyperlink"/>
          </w:rPr>
          <w:t>Summary of analysis for international shipping and aviation emissions</w:t>
        </w:r>
        <w:r>
          <w:rPr>
            <w:webHidden/>
          </w:rPr>
          <w:tab/>
        </w:r>
        <w:r>
          <w:rPr>
            <w:webHidden/>
          </w:rPr>
          <w:fldChar w:fldCharType="begin"/>
        </w:r>
        <w:r>
          <w:rPr>
            <w:webHidden/>
          </w:rPr>
          <w:instrText xml:space="preserve"> PAGEREF _Toc215650582 \h </w:instrText>
        </w:r>
        <w:r>
          <w:rPr>
            <w:webHidden/>
          </w:rPr>
        </w:r>
        <w:r>
          <w:rPr>
            <w:webHidden/>
          </w:rPr>
          <w:fldChar w:fldCharType="separate"/>
        </w:r>
        <w:r>
          <w:rPr>
            <w:webHidden/>
          </w:rPr>
          <w:t>21</w:t>
        </w:r>
        <w:r>
          <w:rPr>
            <w:webHidden/>
          </w:rPr>
          <w:fldChar w:fldCharType="end"/>
        </w:r>
      </w:hyperlink>
    </w:p>
    <w:p w14:paraId="074C8527" w14:textId="0A5619A4" w:rsidR="0015254F" w:rsidRDefault="0015254F">
      <w:pPr>
        <w:pStyle w:val="TOC2"/>
        <w:rPr>
          <w:rFonts w:asciiTheme="minorHAnsi" w:hAnsiTheme="minorHAnsi"/>
          <w:kern w:val="2"/>
          <w:sz w:val="24"/>
          <w:szCs w:val="24"/>
          <w14:ligatures w14:val="standardContextual"/>
        </w:rPr>
      </w:pPr>
      <w:hyperlink w:anchor="_Toc215650583" w:history="1">
        <w:r w:rsidRPr="00334A02">
          <w:rPr>
            <w:rStyle w:val="Hyperlink"/>
          </w:rPr>
          <w:t>Summary of analysis for further emissions reductions post 2050</w:t>
        </w:r>
        <w:r>
          <w:rPr>
            <w:webHidden/>
          </w:rPr>
          <w:tab/>
        </w:r>
        <w:r>
          <w:rPr>
            <w:webHidden/>
          </w:rPr>
          <w:fldChar w:fldCharType="begin"/>
        </w:r>
        <w:r>
          <w:rPr>
            <w:webHidden/>
          </w:rPr>
          <w:instrText xml:space="preserve"> PAGEREF _Toc215650583 \h </w:instrText>
        </w:r>
        <w:r>
          <w:rPr>
            <w:webHidden/>
          </w:rPr>
        </w:r>
        <w:r>
          <w:rPr>
            <w:webHidden/>
          </w:rPr>
          <w:fldChar w:fldCharType="separate"/>
        </w:r>
        <w:r>
          <w:rPr>
            <w:webHidden/>
          </w:rPr>
          <w:t>23</w:t>
        </w:r>
        <w:r>
          <w:rPr>
            <w:webHidden/>
          </w:rPr>
          <w:fldChar w:fldCharType="end"/>
        </w:r>
      </w:hyperlink>
    </w:p>
    <w:p w14:paraId="23380F18" w14:textId="1D9CD3A8" w:rsidR="009348C6" w:rsidRPr="00B425EF" w:rsidRDefault="002D05EC" w:rsidP="00FA5627">
      <w:pPr>
        <w:pStyle w:val="BodyText"/>
      </w:pPr>
      <w:r w:rsidRPr="00B425EF">
        <w:fldChar w:fldCharType="end"/>
      </w:r>
    </w:p>
    <w:p w14:paraId="0DAD7E8A" w14:textId="77777777" w:rsidR="00566620" w:rsidRDefault="00566620" w:rsidP="00FA5627">
      <w:pPr>
        <w:pStyle w:val="BodyText"/>
      </w:pPr>
    </w:p>
    <w:p w14:paraId="580138F9" w14:textId="77777777" w:rsidR="009348C6" w:rsidRPr="00B425EF" w:rsidRDefault="009348C6" w:rsidP="00FA5627">
      <w:pPr>
        <w:pStyle w:val="BodyText"/>
      </w:pPr>
      <w:r w:rsidRPr="00B425EF">
        <w:br w:type="page"/>
      </w:r>
    </w:p>
    <w:p w14:paraId="403BB998" w14:textId="11E76AF6" w:rsidR="00566620" w:rsidRDefault="00566620" w:rsidP="00566620">
      <w:pPr>
        <w:pStyle w:val="Heading"/>
      </w:pPr>
      <w:r>
        <w:lastRenderedPageBreak/>
        <w:t>Tables</w:t>
      </w:r>
    </w:p>
    <w:p w14:paraId="6FA26EBB" w14:textId="5BA5CBEA" w:rsidR="00F13342" w:rsidRDefault="002D05EC">
      <w:pPr>
        <w:pStyle w:val="TableofFigures"/>
        <w:tabs>
          <w:tab w:val="right" w:pos="8495"/>
        </w:tabs>
        <w:rPr>
          <w:rFonts w:asciiTheme="minorHAnsi" w:hAnsiTheme="minorHAnsi"/>
          <w:noProof/>
          <w:kern w:val="2"/>
          <w:sz w:val="24"/>
          <w:szCs w:val="24"/>
          <w14:ligatures w14:val="standardContextual"/>
        </w:rPr>
      </w:pPr>
      <w:r w:rsidRPr="00B425EF">
        <w:fldChar w:fldCharType="begin"/>
      </w:r>
      <w:r>
        <w:instrText xml:space="preserve"> TOC \h \z \t "Table heading" \c </w:instrText>
      </w:r>
      <w:r w:rsidRPr="00B425EF">
        <w:fldChar w:fldCharType="separate"/>
      </w:r>
      <w:hyperlink w:anchor="_Toc214537153" w:history="1">
        <w:r w:rsidR="00F13342" w:rsidRPr="00C87A5B">
          <w:rPr>
            <w:rStyle w:val="Hyperlink"/>
            <w:noProof/>
          </w:rPr>
          <w:t>Table A1.1:</w:t>
        </w:r>
        <w:r w:rsidR="00F13342">
          <w:rPr>
            <w:rFonts w:asciiTheme="minorHAnsi" w:hAnsiTheme="minorHAnsi"/>
            <w:noProof/>
            <w:kern w:val="2"/>
            <w:sz w:val="24"/>
            <w:szCs w:val="24"/>
            <w14:ligatures w14:val="standardContextual"/>
          </w:rPr>
          <w:tab/>
        </w:r>
        <w:r w:rsidR="00F13342" w:rsidRPr="00C87A5B">
          <w:rPr>
            <w:rStyle w:val="Hyperlink"/>
            <w:noProof/>
          </w:rPr>
          <w:t>Summary of Climate Change Commission’s technical recommendations on international shipping and aviation</w:t>
        </w:r>
        <w:r w:rsidR="00F13342">
          <w:rPr>
            <w:noProof/>
            <w:webHidden/>
          </w:rPr>
          <w:tab/>
        </w:r>
        <w:r w:rsidR="00F13342">
          <w:rPr>
            <w:noProof/>
            <w:webHidden/>
          </w:rPr>
          <w:fldChar w:fldCharType="begin"/>
        </w:r>
        <w:r w:rsidR="00F13342">
          <w:rPr>
            <w:noProof/>
            <w:webHidden/>
          </w:rPr>
          <w:instrText xml:space="preserve"> PAGEREF _Toc214537153 \h </w:instrText>
        </w:r>
        <w:r w:rsidR="00F13342">
          <w:rPr>
            <w:noProof/>
            <w:webHidden/>
          </w:rPr>
        </w:r>
        <w:r w:rsidR="00F13342">
          <w:rPr>
            <w:noProof/>
            <w:webHidden/>
          </w:rPr>
          <w:fldChar w:fldCharType="separate"/>
        </w:r>
        <w:r w:rsidR="00A32BD1">
          <w:rPr>
            <w:noProof/>
            <w:webHidden/>
          </w:rPr>
          <w:t>16</w:t>
        </w:r>
        <w:r w:rsidR="00F13342">
          <w:rPr>
            <w:noProof/>
            <w:webHidden/>
          </w:rPr>
          <w:fldChar w:fldCharType="end"/>
        </w:r>
      </w:hyperlink>
    </w:p>
    <w:p w14:paraId="457EEC53" w14:textId="6A037400"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54" w:history="1">
        <w:r w:rsidRPr="00C87A5B">
          <w:rPr>
            <w:rStyle w:val="Hyperlink"/>
            <w:noProof/>
          </w:rPr>
          <w:t>Table A2.1:</w:t>
        </w:r>
        <w:r>
          <w:rPr>
            <w:rFonts w:asciiTheme="minorHAnsi" w:hAnsiTheme="minorHAnsi"/>
            <w:noProof/>
            <w:kern w:val="2"/>
            <w:sz w:val="24"/>
            <w:szCs w:val="24"/>
            <w14:ligatures w14:val="standardContextual"/>
          </w:rPr>
          <w:tab/>
        </w:r>
        <w:r w:rsidRPr="00C87A5B">
          <w:rPr>
            <w:rStyle w:val="Hyperlink"/>
            <w:noProof/>
          </w:rPr>
          <w:t>Biogenic methane and long-lived gas options</w:t>
        </w:r>
        <w:r>
          <w:rPr>
            <w:noProof/>
            <w:webHidden/>
          </w:rPr>
          <w:tab/>
        </w:r>
        <w:r>
          <w:rPr>
            <w:noProof/>
            <w:webHidden/>
          </w:rPr>
          <w:fldChar w:fldCharType="begin"/>
        </w:r>
        <w:r>
          <w:rPr>
            <w:noProof/>
            <w:webHidden/>
          </w:rPr>
          <w:instrText xml:space="preserve"> PAGEREF _Toc214537154 \h </w:instrText>
        </w:r>
        <w:r>
          <w:rPr>
            <w:noProof/>
            <w:webHidden/>
          </w:rPr>
        </w:r>
        <w:r>
          <w:rPr>
            <w:noProof/>
            <w:webHidden/>
          </w:rPr>
          <w:fldChar w:fldCharType="separate"/>
        </w:r>
        <w:r w:rsidR="00A32BD1">
          <w:rPr>
            <w:noProof/>
            <w:webHidden/>
          </w:rPr>
          <w:t>17</w:t>
        </w:r>
        <w:r>
          <w:rPr>
            <w:noProof/>
            <w:webHidden/>
          </w:rPr>
          <w:fldChar w:fldCharType="end"/>
        </w:r>
      </w:hyperlink>
    </w:p>
    <w:p w14:paraId="313D17AD" w14:textId="30C3579A"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55" w:history="1">
        <w:r w:rsidRPr="00C87A5B">
          <w:rPr>
            <w:rStyle w:val="Hyperlink"/>
            <w:noProof/>
          </w:rPr>
          <w:t>Table A2.2:</w:t>
        </w:r>
        <w:r>
          <w:rPr>
            <w:rFonts w:asciiTheme="minorHAnsi" w:hAnsiTheme="minorHAnsi"/>
            <w:noProof/>
            <w:kern w:val="2"/>
            <w:sz w:val="24"/>
            <w:szCs w:val="24"/>
            <w14:ligatures w14:val="standardContextual"/>
          </w:rPr>
          <w:tab/>
        </w:r>
        <w:r w:rsidRPr="00C87A5B">
          <w:rPr>
            <w:rStyle w:val="Hyperlink"/>
            <w:noProof/>
          </w:rPr>
          <w:t>Objectives used in the assessment of 2050 target options analysis</w:t>
        </w:r>
        <w:r>
          <w:rPr>
            <w:noProof/>
            <w:webHidden/>
          </w:rPr>
          <w:tab/>
        </w:r>
        <w:r>
          <w:rPr>
            <w:noProof/>
            <w:webHidden/>
          </w:rPr>
          <w:fldChar w:fldCharType="begin"/>
        </w:r>
        <w:r>
          <w:rPr>
            <w:noProof/>
            <w:webHidden/>
          </w:rPr>
          <w:instrText xml:space="preserve"> PAGEREF _Toc214537155 \h </w:instrText>
        </w:r>
        <w:r>
          <w:rPr>
            <w:noProof/>
            <w:webHidden/>
          </w:rPr>
        </w:r>
        <w:r>
          <w:rPr>
            <w:noProof/>
            <w:webHidden/>
          </w:rPr>
          <w:fldChar w:fldCharType="separate"/>
        </w:r>
        <w:r w:rsidR="00A32BD1">
          <w:rPr>
            <w:noProof/>
            <w:webHidden/>
          </w:rPr>
          <w:t>18</w:t>
        </w:r>
        <w:r>
          <w:rPr>
            <w:noProof/>
            <w:webHidden/>
          </w:rPr>
          <w:fldChar w:fldCharType="end"/>
        </w:r>
      </w:hyperlink>
    </w:p>
    <w:p w14:paraId="0FC2146D" w14:textId="366AB3E8"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56" w:history="1">
        <w:r w:rsidRPr="00C87A5B">
          <w:rPr>
            <w:rStyle w:val="Hyperlink"/>
            <w:noProof/>
          </w:rPr>
          <w:t>Table A2.3:</w:t>
        </w:r>
        <w:r>
          <w:rPr>
            <w:rFonts w:asciiTheme="minorHAnsi" w:hAnsiTheme="minorHAnsi"/>
            <w:noProof/>
            <w:kern w:val="2"/>
            <w:sz w:val="24"/>
            <w:szCs w:val="24"/>
            <w14:ligatures w14:val="standardContextual"/>
          </w:rPr>
          <w:tab/>
        </w:r>
        <w:r w:rsidRPr="00C87A5B">
          <w:rPr>
            <w:rStyle w:val="Hyperlink"/>
            <w:noProof/>
          </w:rPr>
          <w:t>Summary of analysis of the Government’s option and the Climate Change Commission’s recommendation</w:t>
        </w:r>
        <w:r>
          <w:rPr>
            <w:noProof/>
            <w:webHidden/>
          </w:rPr>
          <w:tab/>
        </w:r>
        <w:r>
          <w:rPr>
            <w:noProof/>
            <w:webHidden/>
          </w:rPr>
          <w:fldChar w:fldCharType="begin"/>
        </w:r>
        <w:r>
          <w:rPr>
            <w:noProof/>
            <w:webHidden/>
          </w:rPr>
          <w:instrText xml:space="preserve"> PAGEREF _Toc214537156 \h </w:instrText>
        </w:r>
        <w:r>
          <w:rPr>
            <w:noProof/>
            <w:webHidden/>
          </w:rPr>
        </w:r>
        <w:r>
          <w:rPr>
            <w:noProof/>
            <w:webHidden/>
          </w:rPr>
          <w:fldChar w:fldCharType="separate"/>
        </w:r>
        <w:r w:rsidR="00A32BD1">
          <w:rPr>
            <w:noProof/>
            <w:webHidden/>
          </w:rPr>
          <w:t>18</w:t>
        </w:r>
        <w:r>
          <w:rPr>
            <w:noProof/>
            <w:webHidden/>
          </w:rPr>
          <w:fldChar w:fldCharType="end"/>
        </w:r>
      </w:hyperlink>
    </w:p>
    <w:p w14:paraId="23966581" w14:textId="19D38708"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57" w:history="1">
        <w:r w:rsidRPr="00C87A5B">
          <w:rPr>
            <w:rStyle w:val="Hyperlink"/>
            <w:noProof/>
          </w:rPr>
          <w:t xml:space="preserve">Table A2.4: </w:t>
        </w:r>
        <w:r>
          <w:rPr>
            <w:rFonts w:asciiTheme="minorHAnsi" w:hAnsiTheme="minorHAnsi"/>
            <w:noProof/>
            <w:kern w:val="2"/>
            <w:sz w:val="24"/>
            <w:szCs w:val="24"/>
            <w14:ligatures w14:val="standardContextual"/>
          </w:rPr>
          <w:tab/>
        </w:r>
        <w:r w:rsidRPr="00C87A5B">
          <w:rPr>
            <w:rStyle w:val="Hyperlink"/>
            <w:noProof/>
          </w:rPr>
          <w:t>International shipping and aviation options</w:t>
        </w:r>
        <w:r>
          <w:rPr>
            <w:noProof/>
            <w:webHidden/>
          </w:rPr>
          <w:tab/>
        </w:r>
        <w:r>
          <w:rPr>
            <w:noProof/>
            <w:webHidden/>
          </w:rPr>
          <w:fldChar w:fldCharType="begin"/>
        </w:r>
        <w:r>
          <w:rPr>
            <w:noProof/>
            <w:webHidden/>
          </w:rPr>
          <w:instrText xml:space="preserve"> PAGEREF _Toc214537157 \h </w:instrText>
        </w:r>
        <w:r>
          <w:rPr>
            <w:noProof/>
            <w:webHidden/>
          </w:rPr>
        </w:r>
        <w:r>
          <w:rPr>
            <w:noProof/>
            <w:webHidden/>
          </w:rPr>
          <w:fldChar w:fldCharType="separate"/>
        </w:r>
        <w:r w:rsidR="00A32BD1">
          <w:rPr>
            <w:noProof/>
            <w:webHidden/>
          </w:rPr>
          <w:t>21</w:t>
        </w:r>
        <w:r>
          <w:rPr>
            <w:noProof/>
            <w:webHidden/>
          </w:rPr>
          <w:fldChar w:fldCharType="end"/>
        </w:r>
      </w:hyperlink>
    </w:p>
    <w:p w14:paraId="5BC0B96A" w14:textId="2B67DEA0"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58" w:history="1">
        <w:r w:rsidRPr="00C87A5B">
          <w:rPr>
            <w:rStyle w:val="Hyperlink"/>
            <w:noProof/>
          </w:rPr>
          <w:t>Table A2.5:</w:t>
        </w:r>
        <w:r>
          <w:rPr>
            <w:rFonts w:asciiTheme="minorHAnsi" w:hAnsiTheme="minorHAnsi"/>
            <w:noProof/>
            <w:kern w:val="2"/>
            <w:sz w:val="24"/>
            <w:szCs w:val="24"/>
            <w14:ligatures w14:val="standardContextual"/>
          </w:rPr>
          <w:tab/>
        </w:r>
        <w:r w:rsidRPr="00C87A5B">
          <w:rPr>
            <w:rStyle w:val="Hyperlink"/>
            <w:noProof/>
          </w:rPr>
          <w:t>Objectives used in the assessment of international shipping and aviation options analysis</w:t>
        </w:r>
        <w:r>
          <w:rPr>
            <w:noProof/>
            <w:webHidden/>
          </w:rPr>
          <w:tab/>
        </w:r>
        <w:r>
          <w:rPr>
            <w:noProof/>
            <w:webHidden/>
          </w:rPr>
          <w:fldChar w:fldCharType="begin"/>
        </w:r>
        <w:r>
          <w:rPr>
            <w:noProof/>
            <w:webHidden/>
          </w:rPr>
          <w:instrText xml:space="preserve"> PAGEREF _Toc214537158 \h </w:instrText>
        </w:r>
        <w:r>
          <w:rPr>
            <w:noProof/>
            <w:webHidden/>
          </w:rPr>
        </w:r>
        <w:r>
          <w:rPr>
            <w:noProof/>
            <w:webHidden/>
          </w:rPr>
          <w:fldChar w:fldCharType="separate"/>
        </w:r>
        <w:r w:rsidR="00A32BD1">
          <w:rPr>
            <w:noProof/>
            <w:webHidden/>
          </w:rPr>
          <w:t>22</w:t>
        </w:r>
        <w:r>
          <w:rPr>
            <w:noProof/>
            <w:webHidden/>
          </w:rPr>
          <w:fldChar w:fldCharType="end"/>
        </w:r>
      </w:hyperlink>
    </w:p>
    <w:p w14:paraId="0B95F027" w14:textId="54496B0C"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59" w:history="1">
        <w:r w:rsidRPr="00C87A5B">
          <w:rPr>
            <w:rStyle w:val="Hyperlink"/>
            <w:noProof/>
          </w:rPr>
          <w:t>Table A2.6:</w:t>
        </w:r>
        <w:r>
          <w:rPr>
            <w:rFonts w:asciiTheme="minorHAnsi" w:hAnsiTheme="minorHAnsi"/>
            <w:noProof/>
            <w:kern w:val="2"/>
            <w:sz w:val="24"/>
            <w:szCs w:val="24"/>
            <w14:ligatures w14:val="standardContextual"/>
          </w:rPr>
          <w:tab/>
        </w:r>
        <w:r w:rsidRPr="00C87A5B">
          <w:rPr>
            <w:rStyle w:val="Hyperlink"/>
            <w:noProof/>
          </w:rPr>
          <w:t>Summary of analysis of the Government’s international shipping and aviation option and the Climate Change Commission’s recommendation</w:t>
        </w:r>
        <w:r>
          <w:rPr>
            <w:noProof/>
            <w:webHidden/>
          </w:rPr>
          <w:tab/>
        </w:r>
        <w:r>
          <w:rPr>
            <w:noProof/>
            <w:webHidden/>
          </w:rPr>
          <w:fldChar w:fldCharType="begin"/>
        </w:r>
        <w:r>
          <w:rPr>
            <w:noProof/>
            <w:webHidden/>
          </w:rPr>
          <w:instrText xml:space="preserve"> PAGEREF _Toc214537159 \h </w:instrText>
        </w:r>
        <w:r>
          <w:rPr>
            <w:noProof/>
            <w:webHidden/>
          </w:rPr>
        </w:r>
        <w:r>
          <w:rPr>
            <w:noProof/>
            <w:webHidden/>
          </w:rPr>
          <w:fldChar w:fldCharType="separate"/>
        </w:r>
        <w:r w:rsidR="00A32BD1">
          <w:rPr>
            <w:noProof/>
            <w:webHidden/>
          </w:rPr>
          <w:t>22</w:t>
        </w:r>
        <w:r>
          <w:rPr>
            <w:noProof/>
            <w:webHidden/>
          </w:rPr>
          <w:fldChar w:fldCharType="end"/>
        </w:r>
      </w:hyperlink>
    </w:p>
    <w:p w14:paraId="122AB714" w14:textId="55B40469"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60" w:history="1">
        <w:r w:rsidRPr="00C87A5B">
          <w:rPr>
            <w:rStyle w:val="Hyperlink"/>
            <w:noProof/>
          </w:rPr>
          <w:t>Table A2.7: </w:t>
        </w:r>
        <w:r>
          <w:rPr>
            <w:rFonts w:asciiTheme="minorHAnsi" w:hAnsiTheme="minorHAnsi"/>
            <w:noProof/>
            <w:kern w:val="2"/>
            <w:sz w:val="24"/>
            <w:szCs w:val="24"/>
            <w14:ligatures w14:val="standardContextual"/>
          </w:rPr>
          <w:tab/>
        </w:r>
        <w:r w:rsidRPr="00C87A5B">
          <w:rPr>
            <w:rStyle w:val="Hyperlink"/>
            <w:noProof/>
          </w:rPr>
          <w:t>Post-2050 options</w:t>
        </w:r>
        <w:r>
          <w:rPr>
            <w:noProof/>
            <w:webHidden/>
          </w:rPr>
          <w:tab/>
        </w:r>
        <w:r>
          <w:rPr>
            <w:noProof/>
            <w:webHidden/>
          </w:rPr>
          <w:fldChar w:fldCharType="begin"/>
        </w:r>
        <w:r>
          <w:rPr>
            <w:noProof/>
            <w:webHidden/>
          </w:rPr>
          <w:instrText xml:space="preserve"> PAGEREF _Toc214537160 \h </w:instrText>
        </w:r>
        <w:r>
          <w:rPr>
            <w:noProof/>
            <w:webHidden/>
          </w:rPr>
        </w:r>
        <w:r>
          <w:rPr>
            <w:noProof/>
            <w:webHidden/>
          </w:rPr>
          <w:fldChar w:fldCharType="separate"/>
        </w:r>
        <w:r w:rsidR="00A32BD1">
          <w:rPr>
            <w:noProof/>
            <w:webHidden/>
          </w:rPr>
          <w:t>23</w:t>
        </w:r>
        <w:r>
          <w:rPr>
            <w:noProof/>
            <w:webHidden/>
          </w:rPr>
          <w:fldChar w:fldCharType="end"/>
        </w:r>
      </w:hyperlink>
    </w:p>
    <w:p w14:paraId="0BBE2281" w14:textId="6084F424"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61" w:history="1">
        <w:r w:rsidRPr="00C87A5B">
          <w:rPr>
            <w:rStyle w:val="Hyperlink"/>
            <w:noProof/>
          </w:rPr>
          <w:t>Table A2.8:</w:t>
        </w:r>
        <w:r>
          <w:rPr>
            <w:rFonts w:asciiTheme="minorHAnsi" w:hAnsiTheme="minorHAnsi"/>
            <w:noProof/>
            <w:kern w:val="2"/>
            <w:sz w:val="24"/>
            <w:szCs w:val="24"/>
            <w14:ligatures w14:val="standardContextual"/>
          </w:rPr>
          <w:tab/>
        </w:r>
        <w:r w:rsidRPr="00C87A5B">
          <w:rPr>
            <w:rStyle w:val="Hyperlink"/>
            <w:noProof/>
          </w:rPr>
          <w:t xml:space="preserve"> Objectives used in the assessment of post-2050 options analysis</w:t>
        </w:r>
        <w:r>
          <w:rPr>
            <w:noProof/>
            <w:webHidden/>
          </w:rPr>
          <w:tab/>
        </w:r>
        <w:r>
          <w:rPr>
            <w:noProof/>
            <w:webHidden/>
          </w:rPr>
          <w:fldChar w:fldCharType="begin"/>
        </w:r>
        <w:r>
          <w:rPr>
            <w:noProof/>
            <w:webHidden/>
          </w:rPr>
          <w:instrText xml:space="preserve"> PAGEREF _Toc214537161 \h </w:instrText>
        </w:r>
        <w:r>
          <w:rPr>
            <w:noProof/>
            <w:webHidden/>
          </w:rPr>
        </w:r>
        <w:r>
          <w:rPr>
            <w:noProof/>
            <w:webHidden/>
          </w:rPr>
          <w:fldChar w:fldCharType="separate"/>
        </w:r>
        <w:r w:rsidR="00A32BD1">
          <w:rPr>
            <w:noProof/>
            <w:webHidden/>
          </w:rPr>
          <w:t>24</w:t>
        </w:r>
        <w:r>
          <w:rPr>
            <w:noProof/>
            <w:webHidden/>
          </w:rPr>
          <w:fldChar w:fldCharType="end"/>
        </w:r>
      </w:hyperlink>
    </w:p>
    <w:p w14:paraId="183E7719" w14:textId="2235E6ED" w:rsidR="00F13342" w:rsidRDefault="00F13342">
      <w:pPr>
        <w:pStyle w:val="TableofFigures"/>
        <w:tabs>
          <w:tab w:val="right" w:pos="8495"/>
        </w:tabs>
        <w:rPr>
          <w:rFonts w:asciiTheme="minorHAnsi" w:hAnsiTheme="minorHAnsi"/>
          <w:noProof/>
          <w:kern w:val="2"/>
          <w:sz w:val="24"/>
          <w:szCs w:val="24"/>
          <w14:ligatures w14:val="standardContextual"/>
        </w:rPr>
      </w:pPr>
      <w:hyperlink w:anchor="_Toc214537162" w:history="1">
        <w:r w:rsidRPr="00C87A5B">
          <w:rPr>
            <w:rStyle w:val="Hyperlink"/>
            <w:noProof/>
          </w:rPr>
          <w:t>Table A2.9:</w:t>
        </w:r>
        <w:r>
          <w:rPr>
            <w:rFonts w:asciiTheme="minorHAnsi" w:hAnsiTheme="minorHAnsi"/>
            <w:noProof/>
            <w:kern w:val="2"/>
            <w:sz w:val="24"/>
            <w:szCs w:val="24"/>
            <w14:ligatures w14:val="standardContextual"/>
          </w:rPr>
          <w:tab/>
        </w:r>
        <w:r w:rsidRPr="00C87A5B">
          <w:rPr>
            <w:rStyle w:val="Hyperlink"/>
            <w:noProof/>
          </w:rPr>
          <w:t>Summary of analysis of the Government’s option and the Climate Change Commission’s recommendation</w:t>
        </w:r>
        <w:r>
          <w:rPr>
            <w:noProof/>
            <w:webHidden/>
          </w:rPr>
          <w:tab/>
        </w:r>
        <w:r>
          <w:rPr>
            <w:noProof/>
            <w:webHidden/>
          </w:rPr>
          <w:fldChar w:fldCharType="begin"/>
        </w:r>
        <w:r>
          <w:rPr>
            <w:noProof/>
            <w:webHidden/>
          </w:rPr>
          <w:instrText xml:space="preserve"> PAGEREF _Toc214537162 \h </w:instrText>
        </w:r>
        <w:r>
          <w:rPr>
            <w:noProof/>
            <w:webHidden/>
          </w:rPr>
        </w:r>
        <w:r>
          <w:rPr>
            <w:noProof/>
            <w:webHidden/>
          </w:rPr>
          <w:fldChar w:fldCharType="separate"/>
        </w:r>
        <w:r w:rsidR="00A32BD1">
          <w:rPr>
            <w:noProof/>
            <w:webHidden/>
          </w:rPr>
          <w:t>24</w:t>
        </w:r>
        <w:r>
          <w:rPr>
            <w:noProof/>
            <w:webHidden/>
          </w:rPr>
          <w:fldChar w:fldCharType="end"/>
        </w:r>
      </w:hyperlink>
    </w:p>
    <w:p w14:paraId="06E704D3" w14:textId="2F6BB175" w:rsidR="002D05EC" w:rsidRPr="00B425EF" w:rsidRDefault="002D05EC" w:rsidP="002D05EC">
      <w:pPr>
        <w:pStyle w:val="BodyText"/>
      </w:pPr>
      <w:r w:rsidRPr="00B425EF">
        <w:fldChar w:fldCharType="end"/>
      </w:r>
    </w:p>
    <w:p w14:paraId="01D7D518" w14:textId="0BF19108" w:rsidR="002D05EC" w:rsidRPr="00B425EF" w:rsidRDefault="002D05EC" w:rsidP="002D05EC"/>
    <w:p w14:paraId="10B46C34" w14:textId="77777777" w:rsidR="002D05EC" w:rsidRPr="00B425EF" w:rsidRDefault="002D05EC" w:rsidP="002D05EC">
      <w:pPr>
        <w:pStyle w:val="Heading"/>
      </w:pPr>
      <w:r w:rsidRPr="00B425EF">
        <w:t>Figures</w:t>
      </w:r>
    </w:p>
    <w:p w14:paraId="7257257B" w14:textId="57641D0D" w:rsidR="00EA5F44" w:rsidRPr="00B425EF" w:rsidRDefault="002D05EC">
      <w:pPr>
        <w:pStyle w:val="TableofFigures"/>
        <w:tabs>
          <w:tab w:val="right" w:pos="8495"/>
        </w:tabs>
        <w:rPr>
          <w:rFonts w:asciiTheme="minorHAnsi" w:hAnsiTheme="minorHAnsi"/>
          <w:kern w:val="2"/>
          <w:sz w:val="24"/>
          <w:szCs w:val="24"/>
          <w14:ligatures w14:val="standardContextual"/>
        </w:rPr>
      </w:pPr>
      <w:r w:rsidRPr="00B425EF">
        <w:fldChar w:fldCharType="begin"/>
      </w:r>
      <w:r w:rsidRPr="00B425EF">
        <w:instrText xml:space="preserve"> TOC \h \z \t "Figure heading" \c </w:instrText>
      </w:r>
      <w:r w:rsidRPr="00B425EF">
        <w:fldChar w:fldCharType="separate"/>
      </w:r>
      <w:hyperlink w:anchor="_Toc213075553" w:history="1">
        <w:r w:rsidR="00EA5F44" w:rsidRPr="00B425EF">
          <w:rPr>
            <w:rStyle w:val="Hyperlink"/>
            <w:rFonts w:eastAsia="Calibri" w:cs="Calibri"/>
            <w:bCs/>
          </w:rPr>
          <w:t xml:space="preserve">Figure 1: </w:t>
        </w:r>
        <w:r w:rsidR="00EA5F44" w:rsidRPr="00B425EF">
          <w:rPr>
            <w:rFonts w:asciiTheme="minorHAnsi" w:hAnsiTheme="minorHAnsi"/>
            <w:kern w:val="2"/>
            <w:sz w:val="24"/>
            <w:szCs w:val="24"/>
            <w14:ligatures w14:val="standardContextual"/>
          </w:rPr>
          <w:tab/>
        </w:r>
        <w:r w:rsidR="00EA5F44" w:rsidRPr="00B425EF">
          <w:rPr>
            <w:rStyle w:val="Hyperlink"/>
            <w:rFonts w:eastAsia="Calibri" w:cs="Calibri"/>
            <w:bCs/>
          </w:rPr>
          <w:t>Five pillars of the Climate Strategy</w:t>
        </w:r>
        <w:r w:rsidR="00EA5F44" w:rsidRPr="00B425EF">
          <w:rPr>
            <w:webHidden/>
          </w:rPr>
          <w:tab/>
        </w:r>
        <w:r w:rsidR="00EA5F44" w:rsidRPr="00B425EF">
          <w:rPr>
            <w:webHidden/>
          </w:rPr>
          <w:fldChar w:fldCharType="begin"/>
        </w:r>
        <w:r w:rsidR="00EA5F44" w:rsidRPr="00B425EF">
          <w:rPr>
            <w:webHidden/>
          </w:rPr>
          <w:instrText xml:space="preserve"> PAGEREF _Toc213075553 \h </w:instrText>
        </w:r>
        <w:r w:rsidR="00EA5F44" w:rsidRPr="00B425EF">
          <w:rPr>
            <w:webHidden/>
          </w:rPr>
        </w:r>
        <w:r w:rsidR="00EA5F44" w:rsidRPr="00B425EF">
          <w:rPr>
            <w:webHidden/>
          </w:rPr>
          <w:fldChar w:fldCharType="separate"/>
        </w:r>
        <w:r w:rsidR="00A32BD1">
          <w:rPr>
            <w:noProof/>
            <w:webHidden/>
          </w:rPr>
          <w:t>7</w:t>
        </w:r>
        <w:r w:rsidR="00EA5F44" w:rsidRPr="00B425EF">
          <w:rPr>
            <w:webHidden/>
          </w:rPr>
          <w:fldChar w:fldCharType="end"/>
        </w:r>
      </w:hyperlink>
    </w:p>
    <w:p w14:paraId="30F73966" w14:textId="1445E3C9" w:rsidR="002D05EC" w:rsidRPr="00B425EF" w:rsidRDefault="002D05EC" w:rsidP="00BD0A63">
      <w:pPr>
        <w:pStyle w:val="BodyText"/>
      </w:pPr>
      <w:r w:rsidRPr="00B425EF">
        <w:fldChar w:fldCharType="end"/>
      </w:r>
      <w:bookmarkStart w:id="1" w:name="_Toc215561202"/>
      <w:r w:rsidRPr="00B425EF">
        <w:br w:type="page"/>
      </w:r>
    </w:p>
    <w:p w14:paraId="2B97ED93" w14:textId="23623FD9" w:rsidR="4D8CDE55" w:rsidRPr="00B425EF" w:rsidRDefault="4D8CDE55" w:rsidP="00EA2B2F">
      <w:pPr>
        <w:pStyle w:val="Heading1"/>
        <w:spacing w:after="320"/>
      </w:pPr>
      <w:bookmarkStart w:id="2" w:name="_Toc215650570"/>
      <w:bookmarkEnd w:id="1"/>
      <w:r w:rsidRPr="00B425EF">
        <w:lastRenderedPageBreak/>
        <w:t>Introduction</w:t>
      </w:r>
      <w:bookmarkEnd w:id="0"/>
      <w:bookmarkEnd w:id="2"/>
    </w:p>
    <w:p w14:paraId="000AEA5C" w14:textId="39F49B89" w:rsidR="29583D27" w:rsidRPr="00B425EF" w:rsidRDefault="009D31C1" w:rsidP="00EA2B2F">
      <w:pPr>
        <w:pStyle w:val="BodyText"/>
        <w:spacing w:after="100"/>
      </w:pPr>
      <w:r>
        <w:t xml:space="preserve">The New Zealand Government is committed to our contribution to limit the increase in global average temperature and to prepare for and adapt to the impacts of </w:t>
      </w:r>
      <w:r w:rsidR="00827B7C">
        <w:t>c</w:t>
      </w:r>
      <w:r>
        <w:t xml:space="preserve">limate </w:t>
      </w:r>
      <w:r w:rsidR="00827B7C">
        <w:t>c</w:t>
      </w:r>
      <w:r>
        <w:t xml:space="preserve">hange. The Climate Change Response Act 2002 (the CCRA) provides the framework for meeting those goals and guiding our response. </w:t>
      </w:r>
    </w:p>
    <w:p w14:paraId="3A5C6F4E" w14:textId="74E0CEED" w:rsidR="29583D27" w:rsidRPr="00B425EF" w:rsidRDefault="00717B35" w:rsidP="00EA2B2F">
      <w:pPr>
        <w:pStyle w:val="BodyText"/>
        <w:spacing w:after="100"/>
      </w:pPr>
      <w:r w:rsidRPr="00B425EF">
        <w:t xml:space="preserve">The </w:t>
      </w:r>
      <w:r w:rsidR="00A14A37" w:rsidRPr="00B425EF">
        <w:t xml:space="preserve">CCRA </w:t>
      </w:r>
      <w:r w:rsidR="29583D27" w:rsidRPr="00B425EF">
        <w:t>sets out New Zealand’s long-term domestic emissions reduction targets through to 2050</w:t>
      </w:r>
      <w:r w:rsidR="00567443" w:rsidRPr="00B425EF">
        <w:t>. Targets are</w:t>
      </w:r>
      <w:r w:rsidR="29583D27" w:rsidRPr="00B425EF">
        <w:t xml:space="preserve"> supported by a series of emissions budgets that act as stepping</w:t>
      </w:r>
      <w:r w:rsidR="00281D4C" w:rsidRPr="00B425EF">
        <w:t>-</w:t>
      </w:r>
      <w:r w:rsidR="29583D27" w:rsidRPr="00B425EF">
        <w:t>stones toward</w:t>
      </w:r>
      <w:r w:rsidR="629EE2E0" w:rsidRPr="00B425EF">
        <w:t>s</w:t>
      </w:r>
      <w:r w:rsidR="29583D27" w:rsidRPr="00B425EF">
        <w:t xml:space="preserve"> that goal.</w:t>
      </w:r>
      <w:r w:rsidR="42E68C5B" w:rsidRPr="00B425EF">
        <w:t xml:space="preserve"> </w:t>
      </w:r>
      <w:r w:rsidR="00173C01" w:rsidRPr="00B425EF">
        <w:t>To</w:t>
      </w:r>
      <w:r w:rsidR="42E68C5B" w:rsidRPr="00B425EF">
        <w:t xml:space="preserve"> ensur</w:t>
      </w:r>
      <w:r w:rsidR="00173C01" w:rsidRPr="00B425EF">
        <w:t>e</w:t>
      </w:r>
      <w:r w:rsidR="42E68C5B" w:rsidRPr="00B425EF">
        <w:t xml:space="preserve"> the 2050 target remains up to date and relevant</w:t>
      </w:r>
      <w:r w:rsidR="00B34E7A" w:rsidRPr="00B425EF">
        <w:t>,</w:t>
      </w:r>
      <w:r w:rsidR="42E68C5B" w:rsidRPr="00B425EF">
        <w:t xml:space="preserve"> </w:t>
      </w:r>
      <w:r w:rsidRPr="00B425EF">
        <w:t xml:space="preserve">the </w:t>
      </w:r>
      <w:r w:rsidR="00C35C04" w:rsidRPr="00B425EF">
        <w:t xml:space="preserve">CCRA </w:t>
      </w:r>
      <w:r w:rsidR="42E68C5B" w:rsidRPr="00B425EF">
        <w:t xml:space="preserve">provides for the 2050 target to be reviewed every </w:t>
      </w:r>
      <w:r w:rsidR="6E29D77D" w:rsidRPr="00B425EF">
        <w:t>five</w:t>
      </w:r>
      <w:r w:rsidR="42E68C5B" w:rsidRPr="00B425EF">
        <w:t xml:space="preserve"> years.</w:t>
      </w:r>
    </w:p>
    <w:p w14:paraId="1FC0C63F" w14:textId="6F35B45C" w:rsidR="4D8CDE55" w:rsidRPr="00B425EF" w:rsidRDefault="29583D27" w:rsidP="00EA2B2F">
      <w:pPr>
        <w:pStyle w:val="BodyText"/>
        <w:spacing w:after="100"/>
      </w:pPr>
      <w:r w:rsidRPr="00B425EF">
        <w:t>He Pou a Rangi</w:t>
      </w:r>
      <w:r w:rsidR="00F16CEA" w:rsidRPr="00B425EF">
        <w:t xml:space="preserve"> |</w:t>
      </w:r>
      <w:r w:rsidRPr="00B425EF">
        <w:t xml:space="preserve"> Climate Change Commission (the Commission) has an independent role under </w:t>
      </w:r>
      <w:r w:rsidR="00717B35" w:rsidRPr="00B425EF">
        <w:t xml:space="preserve">the </w:t>
      </w:r>
      <w:r w:rsidR="00F16CEA" w:rsidRPr="00B425EF">
        <w:t xml:space="preserve">CCRA </w:t>
      </w:r>
      <w:r w:rsidR="266CD31E" w:rsidRPr="00B425EF">
        <w:t xml:space="preserve">to advise and monitor key parts of </w:t>
      </w:r>
      <w:r w:rsidR="00F16CEA" w:rsidRPr="00B425EF">
        <w:t xml:space="preserve">New Zealand’s </w:t>
      </w:r>
      <w:r w:rsidR="266CD31E" w:rsidRPr="00B425EF">
        <w:t xml:space="preserve">climate </w:t>
      </w:r>
      <w:r w:rsidR="00F16CEA" w:rsidRPr="00B425EF">
        <w:t xml:space="preserve">change </w:t>
      </w:r>
      <w:r w:rsidR="266CD31E" w:rsidRPr="00B425EF">
        <w:t>response. This includes</w:t>
      </w:r>
      <w:r w:rsidRPr="00B425EF">
        <w:t xml:space="preserve"> the requirement to review the 2050 target to assess whether significant changes have occurred since </w:t>
      </w:r>
      <w:r w:rsidR="002C0F42" w:rsidRPr="00B425EF">
        <w:t>the target</w:t>
      </w:r>
      <w:r w:rsidRPr="00B425EF">
        <w:t xml:space="preserve"> was set in 2019</w:t>
      </w:r>
      <w:r w:rsidR="2E92B220" w:rsidRPr="00B425EF">
        <w:t>.</w:t>
      </w:r>
      <w:r w:rsidR="4D8CDE55" w:rsidRPr="00B425EF">
        <w:rPr>
          <w:vertAlign w:val="superscript"/>
        </w:rPr>
        <w:footnoteReference w:id="1"/>
      </w:r>
      <w:r w:rsidRPr="00B425EF">
        <w:rPr>
          <w:vertAlign w:val="superscript"/>
        </w:rPr>
        <w:t xml:space="preserve"> </w:t>
      </w:r>
    </w:p>
    <w:p w14:paraId="2506D339" w14:textId="1B7E10A6" w:rsidR="4D8CDE55" w:rsidRPr="00B425EF" w:rsidRDefault="29583D27" w:rsidP="00EA2B2F">
      <w:pPr>
        <w:pStyle w:val="BodyText"/>
        <w:spacing w:after="100"/>
      </w:pPr>
      <w:r w:rsidRPr="00B425EF">
        <w:t xml:space="preserve">As part of its first review, the </w:t>
      </w:r>
      <w:r w:rsidR="00CA0488" w:rsidRPr="00B425EF">
        <w:t xml:space="preserve">CCRA also required the </w:t>
      </w:r>
      <w:r w:rsidRPr="00B425EF">
        <w:t>Commission to consider whether international shipping and aviation emissions should be included in the 2050 target and</w:t>
      </w:r>
      <w:r w:rsidR="00D515CF" w:rsidRPr="00B425EF">
        <w:t>,</w:t>
      </w:r>
      <w:r w:rsidRPr="00B425EF">
        <w:t xml:space="preserve"> if so, </w:t>
      </w:r>
      <w:r w:rsidRPr="00B425EF">
        <w:rPr>
          <w:spacing w:val="-2"/>
        </w:rPr>
        <w:t>how the target should be amended.</w:t>
      </w:r>
      <w:r w:rsidR="4D8CDE55" w:rsidRPr="00B425EF">
        <w:rPr>
          <w:spacing w:val="-2"/>
          <w:vertAlign w:val="superscript"/>
        </w:rPr>
        <w:footnoteReference w:id="2"/>
      </w:r>
      <w:r w:rsidR="00345E43" w:rsidRPr="00B425EF">
        <w:rPr>
          <w:spacing w:val="-2"/>
        </w:rPr>
        <w:t xml:space="preserve"> The Commission provided its advice and recommendations</w:t>
      </w:r>
      <w:r w:rsidR="00420AB0" w:rsidRPr="00B425EF">
        <w:t xml:space="preserve"> </w:t>
      </w:r>
      <w:r w:rsidR="00604197" w:rsidRPr="00B425EF">
        <w:t xml:space="preserve">to </w:t>
      </w:r>
      <w:r w:rsidR="00451EE8" w:rsidRPr="00B425EF">
        <w:t>the Minister of Climate Change</w:t>
      </w:r>
      <w:r w:rsidR="00345E43" w:rsidRPr="00B425EF">
        <w:t xml:space="preserve"> in November 2024</w:t>
      </w:r>
      <w:r w:rsidR="0065287C" w:rsidRPr="00B425EF">
        <w:t xml:space="preserve">, which </w:t>
      </w:r>
      <w:r w:rsidR="00C912D5" w:rsidRPr="00B425EF">
        <w:t xml:space="preserve">this </w:t>
      </w:r>
      <w:r w:rsidR="00EB66DE" w:rsidRPr="00B425EF">
        <w:t xml:space="preserve">response </w:t>
      </w:r>
      <w:r w:rsidR="00C912D5" w:rsidRPr="00B425EF">
        <w:t>refers to as ‘</w:t>
      </w:r>
      <w:r w:rsidR="0065287C" w:rsidRPr="00B425EF">
        <w:t>the Commission’s 2050 target review</w:t>
      </w:r>
      <w:r w:rsidR="00C912D5" w:rsidRPr="00B425EF">
        <w:t>’</w:t>
      </w:r>
      <w:r w:rsidR="00345E43" w:rsidRPr="00B425EF">
        <w:t>.</w:t>
      </w:r>
      <w:r w:rsidR="00F42EB0" w:rsidRPr="00B425EF">
        <w:rPr>
          <w:vertAlign w:val="superscript"/>
        </w:rPr>
        <w:footnoteReference w:id="3"/>
      </w:r>
    </w:p>
    <w:p w14:paraId="65B55122" w14:textId="65E1CABA" w:rsidR="00F451EF" w:rsidRPr="00B425EF" w:rsidRDefault="3FC5079F" w:rsidP="00EA2B2F">
      <w:pPr>
        <w:pStyle w:val="BodyText"/>
        <w:spacing w:after="100"/>
        <w:rPr>
          <w:rStyle w:val="FootnoteReference"/>
          <w:color w:val="auto"/>
          <w:vertAlign w:val="baseline"/>
        </w:rPr>
      </w:pPr>
      <w:r w:rsidRPr="00B425EF">
        <w:t xml:space="preserve">Under </w:t>
      </w:r>
      <w:r w:rsidR="00717B35" w:rsidRPr="00B425EF">
        <w:t xml:space="preserve">the </w:t>
      </w:r>
      <w:r w:rsidR="00CA0488" w:rsidRPr="00B425EF">
        <w:t>CCRA</w:t>
      </w:r>
      <w:r w:rsidRPr="00B425EF">
        <w:t>, the Minister of Climate Change must advise the Commission of the Government’s response within 12 months of receiving the Commission’s recommendation, including any reasons for departure from the recommendations.</w:t>
      </w:r>
      <w:r w:rsidR="00F451EF" w:rsidRPr="00B425EF">
        <w:rPr>
          <w:vertAlign w:val="superscript"/>
        </w:rPr>
        <w:footnoteReference w:id="4"/>
      </w:r>
      <w:r w:rsidRPr="00B425EF">
        <w:t xml:space="preserve"> This document sets out the </w:t>
      </w:r>
      <w:r w:rsidRPr="00B425EF">
        <w:rPr>
          <w:spacing w:val="-2"/>
        </w:rPr>
        <w:t>Government’s response to the Commission’s 2050 target review, including its recommendation</w:t>
      </w:r>
      <w:r w:rsidRPr="00B425EF">
        <w:t xml:space="preserve"> on international shipping and aviation emissions.</w:t>
      </w:r>
    </w:p>
    <w:p w14:paraId="3CEDBE74" w14:textId="3B1A1965" w:rsidR="2FEBA550" w:rsidRPr="00B425EF" w:rsidRDefault="00374A07" w:rsidP="00EA2B2F">
      <w:pPr>
        <w:pStyle w:val="BodyText"/>
        <w:spacing w:after="100"/>
      </w:pPr>
      <w:r w:rsidRPr="00B425EF">
        <w:t>I</w:t>
      </w:r>
      <w:r w:rsidR="2FEBA550" w:rsidRPr="00B425EF">
        <w:t>n line with the National</w:t>
      </w:r>
      <w:r w:rsidR="008C04DF" w:rsidRPr="00B425EF">
        <w:t>–</w:t>
      </w:r>
      <w:r w:rsidR="2FEBA550" w:rsidRPr="00B425EF">
        <w:t>A</w:t>
      </w:r>
      <w:r w:rsidR="004E5ACF" w:rsidRPr="00B425EF">
        <w:t>CT Party</w:t>
      </w:r>
      <w:r w:rsidR="2FEBA550" w:rsidRPr="00B425EF">
        <w:t xml:space="preserve"> coalition agreement, </w:t>
      </w:r>
      <w:r w:rsidR="00A3626A" w:rsidRPr="00B425EF">
        <w:t>the Ministry for the Environment (the</w:t>
      </w:r>
      <w:r w:rsidR="0056305B" w:rsidRPr="00B425EF">
        <w:t> </w:t>
      </w:r>
      <w:r w:rsidR="00A3626A" w:rsidRPr="00B425EF">
        <w:t xml:space="preserve">Ministry) </w:t>
      </w:r>
      <w:r w:rsidR="2FEBA550" w:rsidRPr="00B425EF">
        <w:t>established an independent panel</w:t>
      </w:r>
      <w:r w:rsidR="004E5ACF" w:rsidRPr="00B425EF">
        <w:t xml:space="preserve"> </w:t>
      </w:r>
      <w:r w:rsidR="2FEBA550" w:rsidRPr="00B425EF">
        <w:t>of</w:t>
      </w:r>
      <w:r w:rsidR="00465AF2" w:rsidRPr="00B425EF">
        <w:t xml:space="preserve"> </w:t>
      </w:r>
      <w:r w:rsidR="2FEBA550" w:rsidRPr="00B425EF">
        <w:t>New Zealand and international scientists to</w:t>
      </w:r>
      <w:r w:rsidR="0056305B" w:rsidRPr="00B425EF">
        <w:t> </w:t>
      </w:r>
      <w:r w:rsidR="2FEBA550" w:rsidRPr="00B425EF">
        <w:t>review the</w:t>
      </w:r>
      <w:r w:rsidR="00D5282C" w:rsidRPr="00B425EF">
        <w:t xml:space="preserve"> science on</w:t>
      </w:r>
      <w:r w:rsidR="00215872" w:rsidRPr="00B425EF">
        <w:t>, and target for,</w:t>
      </w:r>
      <w:r w:rsidR="00D5282C" w:rsidRPr="00B425EF">
        <w:t xml:space="preserve"> biogenic</w:t>
      </w:r>
      <w:r w:rsidR="2FEBA550" w:rsidRPr="00B425EF">
        <w:t xml:space="preserve"> methane </w:t>
      </w:r>
      <w:r w:rsidR="00D5282C" w:rsidRPr="00B425EF">
        <w:t>for consistency with the principle of</w:t>
      </w:r>
      <w:r w:rsidR="0056305B" w:rsidRPr="00B425EF">
        <w:t> </w:t>
      </w:r>
      <w:r w:rsidR="004D3DD1" w:rsidRPr="00B425EF">
        <w:t>‘</w:t>
      </w:r>
      <w:r w:rsidR="00D5282C" w:rsidRPr="00B425EF">
        <w:t>no additional warming</w:t>
      </w:r>
      <w:r w:rsidR="004D3DD1" w:rsidRPr="00B425EF">
        <w:t>’</w:t>
      </w:r>
      <w:r w:rsidR="2FEBA550" w:rsidRPr="00B425EF">
        <w:t>.</w:t>
      </w:r>
      <w:r w:rsidR="00466C28" w:rsidRPr="00B425EF">
        <w:t xml:space="preserve"> The </w:t>
      </w:r>
      <w:r w:rsidR="002D3A96" w:rsidRPr="00B425EF">
        <w:t xml:space="preserve">resulting </w:t>
      </w:r>
      <w:r w:rsidR="00F10E86" w:rsidRPr="00B425EF">
        <w:t>report, termed ‘the Methane Review’</w:t>
      </w:r>
      <w:r w:rsidR="004F1A7C">
        <w:t>,</w:t>
      </w:r>
      <w:r w:rsidR="002D3A96" w:rsidRPr="00B425EF">
        <w:t xml:space="preserve"> </w:t>
      </w:r>
      <w:r w:rsidR="00466C28" w:rsidRPr="00B425EF">
        <w:t xml:space="preserve">was published in </w:t>
      </w:r>
      <w:r w:rsidR="00521F53" w:rsidRPr="00B425EF">
        <w:t xml:space="preserve">December </w:t>
      </w:r>
      <w:r w:rsidR="00466C28" w:rsidRPr="00B425EF">
        <w:t>2024.</w:t>
      </w:r>
      <w:r w:rsidR="00521F53" w:rsidRPr="00B425EF">
        <w:rPr>
          <w:vertAlign w:val="superscript"/>
        </w:rPr>
        <w:footnoteReference w:id="5"/>
      </w:r>
      <w:r w:rsidR="00466C28" w:rsidRPr="00B425EF">
        <w:rPr>
          <w:vertAlign w:val="superscript"/>
        </w:rPr>
        <w:t xml:space="preserve"> </w:t>
      </w:r>
    </w:p>
    <w:p w14:paraId="15013DB3" w14:textId="7F76DC03" w:rsidR="0E2F3823" w:rsidRPr="00B425EF" w:rsidRDefault="009D7BEF" w:rsidP="00EA2B2F">
      <w:pPr>
        <w:pStyle w:val="BodyText"/>
        <w:spacing w:after="100"/>
      </w:pPr>
      <w:r w:rsidRPr="00B425EF">
        <w:t xml:space="preserve">In considering options for the 2050 target, the Government has weighed the Methane Review, the Commission’s recommendations and officials’ advice. </w:t>
      </w:r>
      <w:r w:rsidR="0048171C" w:rsidRPr="00B425EF">
        <w:t>Th</w:t>
      </w:r>
      <w:r w:rsidR="6E68A3D3" w:rsidRPr="00B425EF">
        <w:t>e</w:t>
      </w:r>
      <w:r w:rsidR="0048171C" w:rsidRPr="00B425EF">
        <w:t xml:space="preserve"> Government has decided to depart from </w:t>
      </w:r>
      <w:proofErr w:type="gramStart"/>
      <w:r w:rsidR="63E1FD28" w:rsidRPr="00B425EF">
        <w:t>the majority</w:t>
      </w:r>
      <w:r w:rsidR="00923A66" w:rsidRPr="00B425EF">
        <w:t xml:space="preserve"> of</w:t>
      </w:r>
      <w:proofErr w:type="gramEnd"/>
      <w:r w:rsidR="0048171C" w:rsidRPr="00B425EF">
        <w:t xml:space="preserve"> the Commission’s recommendations.</w:t>
      </w:r>
      <w:r w:rsidR="68B0C3DE" w:rsidRPr="00B425EF">
        <w:t xml:space="preserve"> </w:t>
      </w:r>
      <w:r w:rsidR="74B5778E" w:rsidRPr="00B425EF">
        <w:t>Decisions to change the</w:t>
      </w:r>
      <w:r w:rsidR="00D5282C" w:rsidRPr="00B425EF">
        <w:t xml:space="preserve"> 2050</w:t>
      </w:r>
      <w:r w:rsidR="74B5778E" w:rsidRPr="00B425EF">
        <w:t xml:space="preserve"> </w:t>
      </w:r>
      <w:r w:rsidR="74B5778E" w:rsidRPr="00B425EF">
        <w:rPr>
          <w:spacing w:val="-2"/>
        </w:rPr>
        <w:t xml:space="preserve">target are based on </w:t>
      </w:r>
      <w:r w:rsidR="56E042FC" w:rsidRPr="00B425EF">
        <w:rPr>
          <w:spacing w:val="-2"/>
        </w:rPr>
        <w:t>our</w:t>
      </w:r>
      <w:r w:rsidR="74B5778E" w:rsidRPr="00B425EF">
        <w:rPr>
          <w:spacing w:val="-2"/>
        </w:rPr>
        <w:t xml:space="preserve"> understanding of the</w:t>
      </w:r>
      <w:r w:rsidR="4EF0AEE8">
        <w:t xml:space="preserve"> </w:t>
      </w:r>
      <w:r w:rsidR="00A06FA7" w:rsidRPr="00B425EF">
        <w:rPr>
          <w:spacing w:val="-2"/>
        </w:rPr>
        <w:t>evidence</w:t>
      </w:r>
      <w:r w:rsidR="000B372E" w:rsidRPr="00B425EF">
        <w:rPr>
          <w:spacing w:val="-2"/>
        </w:rPr>
        <w:t xml:space="preserve"> about climate change</w:t>
      </w:r>
      <w:r w:rsidR="5F223E8E">
        <w:t xml:space="preserve"> and temperature response to emissions</w:t>
      </w:r>
      <w:r w:rsidR="008B4FC3" w:rsidRPr="00B425EF">
        <w:rPr>
          <w:spacing w:val="-2"/>
        </w:rPr>
        <w:t>, related economic</w:t>
      </w:r>
      <w:r w:rsidR="006A1F5F" w:rsidRPr="00B425EF">
        <w:t xml:space="preserve"> </w:t>
      </w:r>
      <w:r w:rsidR="008B4FC3" w:rsidRPr="00B425EF">
        <w:t>policy</w:t>
      </w:r>
      <w:r w:rsidR="000B4AD9" w:rsidRPr="00B425EF">
        <w:t xml:space="preserve"> implications and </w:t>
      </w:r>
      <w:r w:rsidR="00F332F5" w:rsidRPr="00B425EF">
        <w:t>balancing</w:t>
      </w:r>
      <w:r w:rsidR="74B5778E" w:rsidRPr="00B425EF">
        <w:t xml:space="preserve"> </w:t>
      </w:r>
      <w:r w:rsidR="0008091A" w:rsidRPr="00B425EF">
        <w:t>relevant</w:t>
      </w:r>
      <w:r w:rsidR="0043056F" w:rsidRPr="00B425EF">
        <w:t xml:space="preserve"> </w:t>
      </w:r>
      <w:r w:rsidR="0043056F" w:rsidRPr="00B425EF">
        <w:lastRenderedPageBreak/>
        <w:t xml:space="preserve">government </w:t>
      </w:r>
      <w:r w:rsidR="74B5778E" w:rsidRPr="00B425EF">
        <w:t>objectives. Future reviews will consider the balance of government objectives against evidence and information available at that time.</w:t>
      </w:r>
      <w:r w:rsidR="0E2F3823" w:rsidRPr="00B425EF">
        <w:br w:type="page"/>
      </w:r>
    </w:p>
    <w:p w14:paraId="19751808" w14:textId="366214C8" w:rsidR="13C2C558" w:rsidRPr="00B425EF" w:rsidRDefault="13C2C558" w:rsidP="00EF47CE">
      <w:pPr>
        <w:pStyle w:val="Heading1"/>
      </w:pPr>
      <w:bookmarkStart w:id="3" w:name="_Toc215650571"/>
      <w:r w:rsidRPr="00B425EF">
        <w:lastRenderedPageBreak/>
        <w:t>Government strategy to reduce</w:t>
      </w:r>
      <w:r w:rsidR="00EA2B2F" w:rsidRPr="00B425EF">
        <w:t> </w:t>
      </w:r>
      <w:r w:rsidRPr="00B425EF">
        <w:t>emissions</w:t>
      </w:r>
      <w:bookmarkEnd w:id="3"/>
    </w:p>
    <w:p w14:paraId="6EA538C2" w14:textId="2C7938FF" w:rsidR="2CA701E0" w:rsidRPr="00B425EF" w:rsidRDefault="2CA701E0" w:rsidP="00EA2B2F">
      <w:pPr>
        <w:pStyle w:val="BodyText"/>
      </w:pPr>
      <w:r w:rsidRPr="00B425EF">
        <w:t>Th</w:t>
      </w:r>
      <w:r w:rsidR="6B0D330C" w:rsidRPr="00B425EF">
        <w:t>is</w:t>
      </w:r>
      <w:r w:rsidRPr="00B425EF">
        <w:t xml:space="preserve"> Government is</w:t>
      </w:r>
      <w:r w:rsidR="13C2C558" w:rsidRPr="00B425EF">
        <w:t xml:space="preserve"> committed to delivering on New Zealand’s climate change commitments while growing the economy. New Zealand can have prosperous communities, affordable and secure energy, increasing primary production and exports, and a thriving economy while meeting </w:t>
      </w:r>
      <w:r w:rsidR="00B43209" w:rsidRPr="00B425EF">
        <w:t xml:space="preserve">its </w:t>
      </w:r>
      <w:r w:rsidR="13C2C558" w:rsidRPr="00B425EF">
        <w:t>climate change commitments.</w:t>
      </w:r>
    </w:p>
    <w:p w14:paraId="64EBD2BF" w14:textId="5E5A5231" w:rsidR="13C2C558" w:rsidRPr="00B425EF" w:rsidRDefault="13C2C558" w:rsidP="00EA2B2F">
      <w:pPr>
        <w:pStyle w:val="BodyText"/>
      </w:pPr>
      <w:r w:rsidRPr="00B425EF">
        <w:t xml:space="preserve">In 2024, </w:t>
      </w:r>
      <w:r w:rsidR="0C332A09" w:rsidRPr="00B425EF">
        <w:t xml:space="preserve">the </w:t>
      </w:r>
      <w:r w:rsidR="25A64865" w:rsidRPr="00B425EF">
        <w:t>G</w:t>
      </w:r>
      <w:r w:rsidR="14F9F389" w:rsidRPr="00B425EF">
        <w:t>overnment</w:t>
      </w:r>
      <w:r w:rsidRPr="00B425EF">
        <w:t xml:space="preserve"> released the Climate Strategy, which outlines the approach for delivering on New Zealand’s climate goals. The strategy is based on five pillars.</w:t>
      </w:r>
    </w:p>
    <w:p w14:paraId="47C690F9" w14:textId="3CCA454B" w:rsidR="13C2C558" w:rsidRPr="00B425EF" w:rsidRDefault="13C2C558" w:rsidP="00E84E6C">
      <w:pPr>
        <w:pStyle w:val="Figureheading"/>
        <w:rPr>
          <w:rFonts w:eastAsia="Calibri" w:cs="Calibri"/>
          <w:color w:val="000000" w:themeColor="text1"/>
          <w:szCs w:val="20"/>
        </w:rPr>
      </w:pPr>
      <w:bookmarkStart w:id="4" w:name="_Toc213075553"/>
      <w:r w:rsidRPr="00B425EF">
        <w:rPr>
          <w:rFonts w:eastAsia="Calibri" w:cs="Calibri"/>
          <w:bCs/>
          <w:color w:val="000000" w:themeColor="text1"/>
          <w:szCs w:val="20"/>
        </w:rPr>
        <w:t xml:space="preserve">Figure </w:t>
      </w:r>
      <w:r w:rsidR="003D24A5" w:rsidRPr="00B425EF">
        <w:rPr>
          <w:rFonts w:eastAsia="Calibri" w:cs="Calibri"/>
          <w:bCs/>
          <w:color w:val="000000" w:themeColor="text1"/>
          <w:szCs w:val="20"/>
        </w:rPr>
        <w:t>1</w:t>
      </w:r>
      <w:r w:rsidRPr="00B425EF">
        <w:rPr>
          <w:rFonts w:eastAsia="Calibri" w:cs="Calibri"/>
          <w:bCs/>
          <w:color w:val="000000" w:themeColor="text1"/>
          <w:szCs w:val="20"/>
        </w:rPr>
        <w:t xml:space="preserve">: </w:t>
      </w:r>
      <w:r w:rsidRPr="00B425EF">
        <w:tab/>
      </w:r>
      <w:r w:rsidRPr="00B425EF">
        <w:rPr>
          <w:rFonts w:eastAsia="Calibri" w:cs="Calibri"/>
          <w:bCs/>
          <w:color w:val="000000" w:themeColor="text1"/>
          <w:szCs w:val="20"/>
        </w:rPr>
        <w:t>Five pillars of the Climate Strategy</w:t>
      </w:r>
      <w:bookmarkEnd w:id="4"/>
      <w:r w:rsidRPr="00B425EF">
        <w:rPr>
          <w:rFonts w:eastAsia="Calibri" w:cs="Calibri"/>
          <w:b w:val="0"/>
          <w:color w:val="000000" w:themeColor="text1"/>
          <w:szCs w:val="20"/>
        </w:rPr>
        <w:t xml:space="preserve"> </w:t>
      </w:r>
    </w:p>
    <w:p w14:paraId="15EABF03" w14:textId="3B9E3FCE" w:rsidR="13C2C558" w:rsidRPr="00B425EF" w:rsidRDefault="13C2C558" w:rsidP="00E84E6C">
      <w:pPr>
        <w:jc w:val="center"/>
        <w:rPr>
          <w:rFonts w:eastAsia="Calibri" w:cs="Calibri"/>
          <w:color w:val="000000" w:themeColor="text1"/>
        </w:rPr>
      </w:pPr>
      <w:r w:rsidRPr="00B425EF">
        <w:rPr>
          <w:noProof/>
        </w:rPr>
        <w:drawing>
          <wp:inline distT="0" distB="0" distL="0" distR="0" wp14:anchorId="5ECC46C8" wp14:editId="6EE89B9A">
            <wp:extent cx="5406620" cy="1939595"/>
            <wp:effectExtent l="0" t="0" r="3810" b="3810"/>
            <wp:docPr id="9385211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21132" name=""/>
                    <pic:cNvPicPr/>
                  </pic:nvPicPr>
                  <pic:blipFill>
                    <a:blip r:embed="rId22">
                      <a:extLst>
                        <a:ext uri="{28A0092B-C50C-407E-A947-70E740481C1C}">
                          <a14:useLocalDpi xmlns:a14="http://schemas.microsoft.com/office/drawing/2010/main" val="0"/>
                        </a:ext>
                      </a:extLst>
                    </a:blip>
                    <a:stretch>
                      <a:fillRect/>
                    </a:stretch>
                  </pic:blipFill>
                  <pic:spPr>
                    <a:xfrm>
                      <a:off x="0" y="0"/>
                      <a:ext cx="5448654" cy="1954674"/>
                    </a:xfrm>
                    <a:prstGeom prst="rect">
                      <a:avLst/>
                    </a:prstGeom>
                  </pic:spPr>
                </pic:pic>
              </a:graphicData>
            </a:graphic>
          </wp:inline>
        </w:drawing>
      </w:r>
    </w:p>
    <w:p w14:paraId="42EDE673" w14:textId="465EC0C5" w:rsidR="13C2C558" w:rsidRPr="00B425EF" w:rsidRDefault="13C2C558" w:rsidP="00EA2B2F">
      <w:pPr>
        <w:pStyle w:val="Heading2"/>
        <w:spacing w:before="440"/>
      </w:pPr>
      <w:bookmarkStart w:id="5" w:name="_Toc215650572"/>
      <w:r w:rsidRPr="00B425EF">
        <w:t>New Zealand’s domestic climate change</w:t>
      </w:r>
      <w:r w:rsidR="00EA2B2F" w:rsidRPr="00B425EF">
        <w:t> </w:t>
      </w:r>
      <w:r w:rsidRPr="00B425EF">
        <w:t>targets</w:t>
      </w:r>
      <w:bookmarkEnd w:id="5"/>
    </w:p>
    <w:p w14:paraId="2B13A479" w14:textId="29BDE0CB" w:rsidR="13C2C558" w:rsidRPr="00B425EF" w:rsidRDefault="00027C3C" w:rsidP="00EA2B2F">
      <w:pPr>
        <w:pStyle w:val="BodyText"/>
      </w:pPr>
      <w:r w:rsidRPr="00B425EF">
        <w:t xml:space="preserve">The CCRA legislates </w:t>
      </w:r>
      <w:r w:rsidR="13C2C558" w:rsidRPr="00B425EF">
        <w:t>New Zealand</w:t>
      </w:r>
      <w:r w:rsidRPr="00B425EF">
        <w:t xml:space="preserve">’s </w:t>
      </w:r>
      <w:r w:rsidR="13C2C558" w:rsidRPr="00B425EF">
        <w:t>domestic emissions reduction targets</w:t>
      </w:r>
      <w:r w:rsidRPr="00B425EF">
        <w:t>, which are</w:t>
      </w:r>
      <w:r w:rsidR="008D7991" w:rsidRPr="00B425EF">
        <w:t xml:space="preserve"> that</w:t>
      </w:r>
      <w:r w:rsidRPr="00B425EF">
        <w:t>:</w:t>
      </w:r>
      <w:r w:rsidR="13C2C558" w:rsidRPr="00B425EF">
        <w:t xml:space="preserve"> </w:t>
      </w:r>
    </w:p>
    <w:p w14:paraId="3455A46C" w14:textId="7901A3EF" w:rsidR="00A5419F" w:rsidRPr="00B425EF" w:rsidRDefault="00A5419F" w:rsidP="00EA2B2F">
      <w:pPr>
        <w:pStyle w:val="Bullet"/>
        <w:rPr>
          <w:rFonts w:eastAsia="Calibri"/>
        </w:rPr>
      </w:pPr>
      <w:r w:rsidRPr="00B425EF">
        <w:rPr>
          <w:rFonts w:eastAsia="Calibri"/>
        </w:rPr>
        <w:t>net accounting emissions of greenhouse gases in a calendar year, other than biogenic methane, are zero by the calendar year beginning on 1 January 2050</w:t>
      </w:r>
      <w:r w:rsidR="008D7991" w:rsidRPr="00B425EF">
        <w:rPr>
          <w:rFonts w:eastAsia="Calibri"/>
        </w:rPr>
        <w:t>,</w:t>
      </w:r>
      <w:r w:rsidR="00B00529" w:rsidRPr="00B425EF">
        <w:rPr>
          <w:rFonts w:eastAsia="Calibri"/>
        </w:rPr>
        <w:t xml:space="preserve"> and for each subsequent </w:t>
      </w:r>
      <w:r w:rsidR="00797CEE" w:rsidRPr="00B425EF">
        <w:rPr>
          <w:rFonts w:eastAsia="Calibri"/>
        </w:rPr>
        <w:t xml:space="preserve">calendar </w:t>
      </w:r>
      <w:r w:rsidR="00B00529" w:rsidRPr="00B425EF">
        <w:rPr>
          <w:rFonts w:eastAsia="Calibri"/>
        </w:rPr>
        <w:t>year</w:t>
      </w:r>
      <w:r w:rsidRPr="00B425EF">
        <w:rPr>
          <w:rFonts w:eastAsia="Calibri"/>
        </w:rPr>
        <w:t xml:space="preserve"> </w:t>
      </w:r>
    </w:p>
    <w:p w14:paraId="17EA6425" w14:textId="601F3C4A" w:rsidR="13C2C558" w:rsidRPr="00B425EF" w:rsidRDefault="00047352" w:rsidP="00EA2B2F">
      <w:pPr>
        <w:pStyle w:val="Bullet"/>
        <w:rPr>
          <w:rFonts w:eastAsia="Calibri"/>
        </w:rPr>
      </w:pPr>
      <w:r w:rsidRPr="02B0B2F2">
        <w:rPr>
          <w:rFonts w:eastAsia="Calibri"/>
        </w:rPr>
        <w:t xml:space="preserve">emissions of biogenic methane </w:t>
      </w:r>
      <w:r w:rsidR="00BE7CA8" w:rsidRPr="02B0B2F2">
        <w:rPr>
          <w:rFonts w:eastAsia="Calibri"/>
        </w:rPr>
        <w:t xml:space="preserve">are </w:t>
      </w:r>
      <w:r w:rsidR="003406C3" w:rsidRPr="02B0B2F2">
        <w:rPr>
          <w:rFonts w:eastAsia="Calibri"/>
        </w:rPr>
        <w:t>reduced by</w:t>
      </w:r>
      <w:r w:rsidR="00BE7CA8" w:rsidRPr="02B0B2F2">
        <w:rPr>
          <w:rFonts w:eastAsia="Calibri"/>
        </w:rPr>
        <w:t xml:space="preserve"> </w:t>
      </w:r>
      <w:r w:rsidR="00A021AD" w:rsidRPr="02B0B2F2">
        <w:rPr>
          <w:rFonts w:eastAsia="Calibri"/>
        </w:rPr>
        <w:t>10 percent below 2017 levels by 2030 and</w:t>
      </w:r>
      <w:r w:rsidR="00EA2B2F" w:rsidRPr="02B0B2F2">
        <w:rPr>
          <w:rFonts w:eastAsia="Calibri"/>
        </w:rPr>
        <w:t> </w:t>
      </w:r>
      <w:r w:rsidR="00A021AD" w:rsidRPr="02B0B2F2">
        <w:rPr>
          <w:rFonts w:eastAsia="Calibri"/>
        </w:rPr>
        <w:t xml:space="preserve">are </w:t>
      </w:r>
      <w:r w:rsidR="003406C3" w:rsidRPr="02B0B2F2">
        <w:rPr>
          <w:rFonts w:eastAsia="Calibri"/>
        </w:rPr>
        <w:t>reduced by</w:t>
      </w:r>
      <w:r w:rsidR="00A021AD" w:rsidRPr="02B0B2F2">
        <w:rPr>
          <w:rFonts w:eastAsia="Calibri"/>
        </w:rPr>
        <w:t xml:space="preserve"> </w:t>
      </w:r>
      <w:r w:rsidR="13C2C558" w:rsidRPr="02B0B2F2">
        <w:rPr>
          <w:rFonts w:eastAsia="Calibri"/>
        </w:rPr>
        <w:t xml:space="preserve">24 </w:t>
      </w:r>
      <w:r w:rsidR="00157B2F" w:rsidRPr="02B0B2F2">
        <w:rPr>
          <w:rFonts w:eastAsia="Calibri"/>
        </w:rPr>
        <w:t xml:space="preserve">percent </w:t>
      </w:r>
      <w:r w:rsidR="13C2C558" w:rsidRPr="02B0B2F2">
        <w:rPr>
          <w:rFonts w:eastAsia="Calibri"/>
        </w:rPr>
        <w:t xml:space="preserve">to 47 percent below 2017 </w:t>
      </w:r>
      <w:r w:rsidR="003406C3" w:rsidRPr="02B0B2F2">
        <w:rPr>
          <w:rFonts w:eastAsia="Calibri"/>
        </w:rPr>
        <w:t xml:space="preserve">levels </w:t>
      </w:r>
      <w:r w:rsidR="13C2C558" w:rsidRPr="02B0B2F2">
        <w:rPr>
          <w:rFonts w:eastAsia="Calibri"/>
        </w:rPr>
        <w:t>by 2050</w:t>
      </w:r>
      <w:r w:rsidR="00775930" w:rsidRPr="02B0B2F2">
        <w:rPr>
          <w:rFonts w:eastAsia="Calibri"/>
        </w:rPr>
        <w:t>,</w:t>
      </w:r>
      <w:r w:rsidR="13C2C558" w:rsidRPr="02B0B2F2">
        <w:rPr>
          <w:rFonts w:eastAsia="Calibri"/>
        </w:rPr>
        <w:t xml:space="preserve"> </w:t>
      </w:r>
      <w:r w:rsidR="00E412A4" w:rsidRPr="02B0B2F2">
        <w:rPr>
          <w:rFonts w:eastAsia="Calibri"/>
        </w:rPr>
        <w:t>and for each subsequent calendar year</w:t>
      </w:r>
      <w:r w:rsidR="003406C3" w:rsidRPr="02B0B2F2">
        <w:rPr>
          <w:rFonts w:eastAsia="Calibri"/>
        </w:rPr>
        <w:t>.</w:t>
      </w:r>
    </w:p>
    <w:p w14:paraId="237AC627" w14:textId="55642F13" w:rsidR="00880379" w:rsidRPr="00B425EF" w:rsidRDefault="00880379" w:rsidP="00EA2B2F">
      <w:pPr>
        <w:pStyle w:val="BodyText"/>
      </w:pPr>
      <w:bookmarkStart w:id="6" w:name="_Toc210040565"/>
      <w:r w:rsidRPr="00B425EF">
        <w:br w:type="page"/>
      </w:r>
    </w:p>
    <w:p w14:paraId="7E7568CE" w14:textId="4D61367F" w:rsidR="0916DFE8" w:rsidRPr="00B425EF" w:rsidRDefault="3D787237" w:rsidP="00EF47CE">
      <w:pPr>
        <w:pStyle w:val="Heading1"/>
      </w:pPr>
      <w:bookmarkStart w:id="7" w:name="_Toc215650573"/>
      <w:r w:rsidRPr="00B425EF">
        <w:lastRenderedPageBreak/>
        <w:t xml:space="preserve">Response to the </w:t>
      </w:r>
      <w:r w:rsidR="00CF48CF" w:rsidRPr="00B425EF">
        <w:t xml:space="preserve">Climate Change </w:t>
      </w:r>
      <w:r w:rsidRPr="00B425EF">
        <w:t>Commi</w:t>
      </w:r>
      <w:r w:rsidR="00851676" w:rsidRPr="00B425EF">
        <w:t>s</w:t>
      </w:r>
      <w:r w:rsidRPr="00B425EF">
        <w:t>sion’s 2050 target review</w:t>
      </w:r>
      <w:r w:rsidR="00780275" w:rsidRPr="00B425EF">
        <w:t>,</w:t>
      </w:r>
      <w:r w:rsidRPr="00B425EF">
        <w:t xml:space="preserve"> international shipping and aviation</w:t>
      </w:r>
      <w:bookmarkEnd w:id="6"/>
      <w:bookmarkEnd w:id="7"/>
      <w:r w:rsidRPr="00B425EF">
        <w:t xml:space="preserve"> </w:t>
      </w:r>
    </w:p>
    <w:p w14:paraId="6F92BF29" w14:textId="5F5C5873" w:rsidR="00976BB3" w:rsidRPr="00B425EF" w:rsidRDefault="00CF48CF" w:rsidP="00EA2B2F">
      <w:pPr>
        <w:pStyle w:val="Heading2"/>
        <w:spacing w:before="240"/>
      </w:pPr>
      <w:bookmarkStart w:id="8" w:name="_Toc215650574"/>
      <w:r w:rsidRPr="00B425EF">
        <w:t xml:space="preserve">Climate Change </w:t>
      </w:r>
      <w:r w:rsidR="0F68A241" w:rsidRPr="00B425EF" w:rsidDel="0F68A241">
        <w:t xml:space="preserve">Commission’s </w:t>
      </w:r>
      <w:r w:rsidR="73A4D920" w:rsidRPr="00B425EF">
        <w:t>2050 target review and</w:t>
      </w:r>
      <w:r w:rsidR="00157B2F" w:rsidRPr="00B425EF">
        <w:t> </w:t>
      </w:r>
      <w:r w:rsidR="73A4D920" w:rsidRPr="00B425EF">
        <w:t>recommendations</w:t>
      </w:r>
      <w:bookmarkEnd w:id="8"/>
    </w:p>
    <w:p w14:paraId="41F71176" w14:textId="36333AD5" w:rsidR="128DAC67" w:rsidRPr="00B425EF" w:rsidRDefault="128DAC67" w:rsidP="00AC739D">
      <w:pPr>
        <w:pStyle w:val="BodyText"/>
        <w:spacing w:after="240"/>
        <w:ind w:right="-57"/>
        <w:rPr>
          <w:rFonts w:eastAsia="Calibri" w:cs="Calibri"/>
        </w:rPr>
      </w:pPr>
      <w:r w:rsidRPr="00B425EF">
        <w:rPr>
          <w:spacing w:val="-2"/>
        </w:rPr>
        <w:t xml:space="preserve">The Commission’s </w:t>
      </w:r>
      <w:r w:rsidR="009F6513" w:rsidRPr="00B425EF">
        <w:rPr>
          <w:spacing w:val="-2"/>
        </w:rPr>
        <w:t xml:space="preserve">2050 target review </w:t>
      </w:r>
      <w:r w:rsidR="00D675F5" w:rsidRPr="00B425EF">
        <w:rPr>
          <w:spacing w:val="-2"/>
        </w:rPr>
        <w:t xml:space="preserve">report </w:t>
      </w:r>
      <w:r w:rsidRPr="00B425EF">
        <w:rPr>
          <w:spacing w:val="-2"/>
        </w:rPr>
        <w:t xml:space="preserve">sets out </w:t>
      </w:r>
      <w:r w:rsidR="00D675F5" w:rsidRPr="00B425EF">
        <w:rPr>
          <w:spacing w:val="-2"/>
        </w:rPr>
        <w:t xml:space="preserve">the </w:t>
      </w:r>
      <w:r w:rsidRPr="00B425EF">
        <w:rPr>
          <w:spacing w:val="-2"/>
        </w:rPr>
        <w:t>analysis, findings and recommendation</w:t>
      </w:r>
      <w:r w:rsidR="00D5798F" w:rsidRPr="00B425EF">
        <w:t>s</w:t>
      </w:r>
      <w:r w:rsidR="00D675F5" w:rsidRPr="00B425EF">
        <w:t xml:space="preserve"> of the review</w:t>
      </w:r>
      <w:r w:rsidR="00D5798F" w:rsidRPr="00B425EF">
        <w:t xml:space="preserve">, as </w:t>
      </w:r>
      <w:r w:rsidR="00121117" w:rsidRPr="00B425EF">
        <w:t xml:space="preserve">required under the </w:t>
      </w:r>
      <w:r w:rsidR="009F6513" w:rsidRPr="00B425EF">
        <w:t>CCRA</w:t>
      </w:r>
      <w:r w:rsidRPr="00B425EF">
        <w:t>.</w:t>
      </w:r>
      <w:r w:rsidR="00C60EBE" w:rsidRPr="00B425EF">
        <w:rPr>
          <w:vertAlign w:val="superscript"/>
        </w:rPr>
        <w:footnoteReference w:id="6"/>
      </w:r>
      <w:r w:rsidRPr="00B425EF">
        <w:t xml:space="preserve"> </w:t>
      </w:r>
      <w:r w:rsidR="00D675F5" w:rsidRPr="00B425EF">
        <w:t xml:space="preserve">In its report, the </w:t>
      </w:r>
      <w:r w:rsidRPr="00B425EF">
        <w:t>Commission recommended strengthening the target</w:t>
      </w:r>
      <w:r w:rsidR="00D5798F" w:rsidRPr="00B425EF">
        <w:t>, as outlined below</w:t>
      </w:r>
      <w:r w:rsidR="009F6513" w:rsidRPr="00B425EF">
        <w:t>.</w:t>
      </w:r>
    </w:p>
    <w:tbl>
      <w:tblPr>
        <w:tblStyle w:val="MinistryfortheEnvironment"/>
        <w:tblW w:w="8505" w:type="dxa"/>
        <w:tblBorders>
          <w:bottom w:val="single" w:sz="4" w:space="0" w:color="1B556B" w:themeColor="text2"/>
          <w:insideH w:val="single" w:sz="4" w:space="0" w:color="1B556B" w:themeColor="text2"/>
        </w:tblBorders>
        <w:tblCellMar>
          <w:top w:w="227" w:type="dxa"/>
          <w:left w:w="227" w:type="dxa"/>
          <w:bottom w:w="227" w:type="dxa"/>
          <w:right w:w="227" w:type="dxa"/>
        </w:tblCellMar>
        <w:tblLook w:val="06A0" w:firstRow="1" w:lastRow="0" w:firstColumn="1" w:lastColumn="0" w:noHBand="1" w:noVBand="1"/>
      </w:tblPr>
      <w:tblGrid>
        <w:gridCol w:w="1255"/>
        <w:gridCol w:w="7250"/>
      </w:tblGrid>
      <w:tr w:rsidR="006643B1" w:rsidRPr="00B425EF" w14:paraId="582FDF59" w14:textId="77777777" w:rsidTr="313B2780">
        <w:trPr>
          <w:cnfStyle w:val="100000000000" w:firstRow="1" w:lastRow="0" w:firstColumn="0" w:lastColumn="0" w:oddVBand="0" w:evenVBand="0" w:oddHBand="0" w:evenHBand="0" w:firstRowFirstColumn="0" w:firstRowLastColumn="0" w:lastRowFirstColumn="0" w:lastRowLastColumn="0"/>
          <w:trHeight w:val="1418"/>
        </w:trPr>
        <w:tc>
          <w:tcPr>
            <w:tcW w:w="8505" w:type="dxa"/>
            <w:gridSpan w:val="2"/>
            <w:tcBorders>
              <w:bottom w:val="single" w:sz="24" w:space="0" w:color="FFFFFF" w:themeColor="background1"/>
            </w:tcBorders>
            <w:shd w:val="clear" w:color="auto" w:fill="1B556B" w:themeFill="text2"/>
            <w:tcMar>
              <w:right w:w="227" w:type="dxa"/>
            </w:tcMar>
            <w:vAlign w:val="center"/>
          </w:tcPr>
          <w:p w14:paraId="303ABB4A" w14:textId="6590B144" w:rsidR="00976BB3" w:rsidRPr="00B425EF" w:rsidRDefault="006643B1" w:rsidP="006643B1">
            <w:pPr>
              <w:pStyle w:val="TableEmissions"/>
              <w:rPr>
                <w:b/>
                <w:bCs w:val="0"/>
              </w:rPr>
            </w:pPr>
            <w:r w:rsidRPr="00B425EF">
              <w:rPr>
                <w:b/>
                <w:bCs w:val="0"/>
              </w:rPr>
              <w:t>Commission’s 2050 target recommendations</w:t>
            </w:r>
          </w:p>
        </w:tc>
      </w:tr>
      <w:tr w:rsidR="00976BB3" w:rsidRPr="00B425EF" w14:paraId="6CE92EE3" w14:textId="77777777" w:rsidTr="00AC739D">
        <w:trPr>
          <w:trHeight w:val="677"/>
        </w:trPr>
        <w:tc>
          <w:tcPr>
            <w:tcW w:w="1255" w:type="dxa"/>
            <w:tcBorders>
              <w:bottom w:val="single" w:sz="24" w:space="0" w:color="FFFFFF" w:themeColor="background1"/>
            </w:tcBorders>
            <w:shd w:val="clear" w:color="auto" w:fill="D2DDE2"/>
            <w:tcMar>
              <w:right w:w="227" w:type="dxa"/>
            </w:tcMar>
          </w:tcPr>
          <w:p w14:paraId="3F982E87" w14:textId="77777777" w:rsidR="00976BB3" w:rsidRPr="00B425EF" w:rsidRDefault="00976BB3">
            <w:pPr>
              <w:pStyle w:val="TableHeading2"/>
            </w:pPr>
            <w:r w:rsidRPr="00B425EF">
              <w:rPr>
                <w:noProof/>
              </w:rPr>
              <w:drawing>
                <wp:inline distT="0" distB="0" distL="0" distR="0" wp14:anchorId="7ED4A15A" wp14:editId="3E3F0330">
                  <wp:extent cx="381600" cy="381600"/>
                  <wp:effectExtent l="0" t="0" r="0" b="0"/>
                  <wp:docPr id="652956868"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7250" w:type="dxa"/>
            <w:tcBorders>
              <w:bottom w:val="single" w:sz="24" w:space="0" w:color="FFFFFF" w:themeColor="background1"/>
            </w:tcBorders>
            <w:shd w:val="clear" w:color="auto" w:fill="D2DDE2"/>
            <w:tcMar>
              <w:left w:w="0" w:type="dxa"/>
            </w:tcMar>
          </w:tcPr>
          <w:p w14:paraId="76E29132" w14:textId="112A51AE" w:rsidR="00976BB3" w:rsidRPr="00B425EF" w:rsidRDefault="3BFD649D" w:rsidP="001E3717">
            <w:pPr>
              <w:pStyle w:val="BodyText"/>
            </w:pPr>
            <w:r w:rsidRPr="00B425EF">
              <w:t>Gross emissions of biogenic methane are at least 10 percent less than 2017 emissions by 2030</w:t>
            </w:r>
            <w:r w:rsidR="00C028D9" w:rsidRPr="00B425EF">
              <w:t>,</w:t>
            </w:r>
            <w:r w:rsidRPr="00B425EF">
              <w:t xml:space="preserve"> and at least 35 </w:t>
            </w:r>
            <w:r w:rsidR="00423B35" w:rsidRPr="00B425EF">
              <w:t xml:space="preserve">percent </w:t>
            </w:r>
            <w:r w:rsidRPr="00B425EF">
              <w:t>to 47 percent less than 2017 emissions by 2050</w:t>
            </w:r>
            <w:r w:rsidR="00C028D9" w:rsidRPr="00B425EF">
              <w:t>.</w:t>
            </w:r>
          </w:p>
        </w:tc>
      </w:tr>
      <w:tr w:rsidR="00976BB3" w:rsidRPr="00B425EF" w14:paraId="724A1D3A" w14:textId="77777777" w:rsidTr="00AC739D">
        <w:trPr>
          <w:trHeight w:val="567"/>
        </w:trPr>
        <w:tc>
          <w:tcPr>
            <w:tcW w:w="1255" w:type="dxa"/>
            <w:tcBorders>
              <w:top w:val="single" w:sz="24" w:space="0" w:color="FFFFFF" w:themeColor="background1"/>
              <w:bottom w:val="single" w:sz="24" w:space="0" w:color="FFFFFF" w:themeColor="background1"/>
            </w:tcBorders>
            <w:shd w:val="clear" w:color="auto" w:fill="D2DDE2"/>
            <w:tcMar>
              <w:right w:w="227" w:type="dxa"/>
            </w:tcMar>
          </w:tcPr>
          <w:p w14:paraId="48B8A0E4" w14:textId="77777777" w:rsidR="00976BB3" w:rsidRPr="00B425EF" w:rsidRDefault="00976BB3">
            <w:pPr>
              <w:pStyle w:val="TableHeading2"/>
            </w:pPr>
            <w:r w:rsidRPr="00B425EF">
              <w:rPr>
                <w:noProof/>
              </w:rPr>
              <w:drawing>
                <wp:inline distT="0" distB="0" distL="0" distR="0" wp14:anchorId="126A2E45" wp14:editId="0E7DBAC7">
                  <wp:extent cx="381600" cy="381600"/>
                  <wp:effectExtent l="0" t="0" r="0" b="0"/>
                  <wp:docPr id="1839979102"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7250" w:type="dxa"/>
            <w:tcBorders>
              <w:top w:val="single" w:sz="24" w:space="0" w:color="FFFFFF" w:themeColor="background1"/>
              <w:bottom w:val="single" w:sz="24" w:space="0" w:color="FFFFFF" w:themeColor="background1"/>
            </w:tcBorders>
            <w:shd w:val="clear" w:color="auto" w:fill="D2DDE2"/>
            <w:tcMar>
              <w:left w:w="0" w:type="dxa"/>
            </w:tcMar>
          </w:tcPr>
          <w:p w14:paraId="3EA8F19E" w14:textId="7175C47A" w:rsidR="00976BB3" w:rsidRPr="00B425EF" w:rsidRDefault="1F298E7D" w:rsidP="001E3717">
            <w:pPr>
              <w:pStyle w:val="BodyText"/>
            </w:pPr>
            <w:r w:rsidRPr="00B425EF">
              <w:t>Net accounting emissions of greenhouse gases other than biogenic methane, including international shipping and aviation emissions</w:t>
            </w:r>
            <w:r w:rsidR="00C028D9">
              <w:t>,</w:t>
            </w:r>
            <w:r w:rsidR="3DCD276D">
              <w:t xml:space="preserve"> </w:t>
            </w:r>
            <w:r>
              <w:t>*</w:t>
            </w:r>
            <w:r w:rsidRPr="00B425EF">
              <w:t xml:space="preserve"> are at least –20</w:t>
            </w:r>
            <w:r w:rsidR="00493144" w:rsidRPr="00B425EF">
              <w:t xml:space="preserve"> </w:t>
            </w:r>
            <w:r w:rsidR="00993819" w:rsidRPr="00B425EF">
              <w:t xml:space="preserve">megatonnes of carbon dioxide equivalent </w:t>
            </w:r>
            <w:r w:rsidRPr="00B425EF">
              <w:t>by</w:t>
            </w:r>
            <w:r w:rsidR="00AC739D" w:rsidRPr="00B425EF">
              <w:t> </w:t>
            </w:r>
            <w:r w:rsidRPr="00B425EF">
              <w:t>2050</w:t>
            </w:r>
            <w:r w:rsidR="00FA1A2C" w:rsidRPr="00B425EF">
              <w:t>.</w:t>
            </w:r>
          </w:p>
        </w:tc>
      </w:tr>
      <w:tr w:rsidR="00976BB3" w:rsidRPr="00B425EF" w14:paraId="13052790" w14:textId="77777777" w:rsidTr="00AC739D">
        <w:trPr>
          <w:trHeight w:val="567"/>
        </w:trPr>
        <w:tc>
          <w:tcPr>
            <w:tcW w:w="1255" w:type="dxa"/>
            <w:tcBorders>
              <w:top w:val="single" w:sz="24" w:space="0" w:color="FFFFFF" w:themeColor="background1"/>
              <w:bottom w:val="single" w:sz="24" w:space="0" w:color="FFFFFF" w:themeColor="background1"/>
            </w:tcBorders>
            <w:shd w:val="clear" w:color="auto" w:fill="D2DDE2"/>
            <w:tcMar>
              <w:right w:w="227" w:type="dxa"/>
            </w:tcMar>
          </w:tcPr>
          <w:p w14:paraId="20502A51" w14:textId="77777777" w:rsidR="00976BB3" w:rsidRPr="00B425EF" w:rsidRDefault="00976BB3">
            <w:pPr>
              <w:pStyle w:val="TableHeading2"/>
            </w:pPr>
            <w:r w:rsidRPr="00B425EF">
              <w:rPr>
                <w:noProof/>
              </w:rPr>
              <w:drawing>
                <wp:inline distT="0" distB="0" distL="0" distR="0" wp14:anchorId="08731021" wp14:editId="413E7F6E">
                  <wp:extent cx="381600" cy="381600"/>
                  <wp:effectExtent l="0" t="0" r="0" b="0"/>
                  <wp:docPr id="161803959"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7250" w:type="dxa"/>
            <w:tcBorders>
              <w:top w:val="single" w:sz="24" w:space="0" w:color="FFFFFF" w:themeColor="background1"/>
              <w:bottom w:val="single" w:sz="24" w:space="0" w:color="FFFFFF" w:themeColor="background1"/>
            </w:tcBorders>
            <w:shd w:val="clear" w:color="auto" w:fill="D2DDE2"/>
            <w:tcMar>
              <w:left w:w="0" w:type="dxa"/>
            </w:tcMar>
          </w:tcPr>
          <w:p w14:paraId="0781A0DE" w14:textId="62ACE7A9" w:rsidR="00976BB3" w:rsidRPr="00B425EF" w:rsidRDefault="00326AE7" w:rsidP="001E3717">
            <w:pPr>
              <w:pStyle w:val="BodyText"/>
            </w:pPr>
            <w:r w:rsidRPr="00B425EF">
              <w:t>There</w:t>
            </w:r>
            <w:r w:rsidR="00765646" w:rsidRPr="00B425EF">
              <w:t xml:space="preserve"> are further reductions and removals of greenhouse gases beyond these levels after 1 January 2050</w:t>
            </w:r>
            <w:r w:rsidR="00FA1A2C" w:rsidRPr="00B425EF">
              <w:t>.</w:t>
            </w:r>
          </w:p>
        </w:tc>
      </w:tr>
    </w:tbl>
    <w:p w14:paraId="68C66900" w14:textId="28772530" w:rsidR="00976BB3" w:rsidRPr="00B425EF" w:rsidRDefault="00A47A27" w:rsidP="003471AA">
      <w:pPr>
        <w:pStyle w:val="Note"/>
      </w:pPr>
      <w:r>
        <w:t xml:space="preserve">* </w:t>
      </w:r>
      <w:r w:rsidR="00A92B23">
        <w:t>T</w:t>
      </w:r>
      <w:r>
        <w:t xml:space="preserve">he Commission also made technical recommendations on international shipping and aviation, </w:t>
      </w:r>
      <w:r w:rsidR="00D8593F">
        <w:t xml:space="preserve">as </w:t>
      </w:r>
      <w:r>
        <w:t xml:space="preserve">outlined in </w:t>
      </w:r>
      <w:hyperlink w:anchor="_Appendix_1:_List">
        <w:r w:rsidR="00757260" w:rsidRPr="3A4C152D">
          <w:rPr>
            <w:rStyle w:val="Hyperlink"/>
          </w:rPr>
          <w:t>a</w:t>
        </w:r>
        <w:r w:rsidRPr="3A4C152D">
          <w:rPr>
            <w:rStyle w:val="Hyperlink"/>
          </w:rPr>
          <w:t>ppendix 1</w:t>
        </w:r>
      </w:hyperlink>
      <w:r>
        <w:t>.</w:t>
      </w:r>
    </w:p>
    <w:p w14:paraId="3034989A" w14:textId="49DE1241" w:rsidR="78A745B4" w:rsidRDefault="78A745B4" w:rsidP="3A4C152D">
      <w:pPr>
        <w:pStyle w:val="BodyText"/>
        <w:keepNext/>
      </w:pPr>
      <w:r>
        <w:lastRenderedPageBreak/>
        <w:t>The Commission found three significant areas of change</w:t>
      </w:r>
      <w:r w:rsidR="3FD2E497">
        <w:t xml:space="preserve"> since 2019,</w:t>
      </w:r>
      <w:r>
        <w:t xml:space="preserve"> that in </w:t>
      </w:r>
      <w:r w:rsidR="533E7247">
        <w:t>its</w:t>
      </w:r>
      <w:r>
        <w:t xml:space="preserve"> view, justified changing the target</w:t>
      </w:r>
      <w:r w:rsidR="00FE6289">
        <w:t>:</w:t>
      </w:r>
      <w:r w:rsidRPr="3A4C152D">
        <w:rPr>
          <w:rStyle w:val="FootnoteReference"/>
        </w:rPr>
        <w:footnoteReference w:id="7"/>
      </w:r>
    </w:p>
    <w:p w14:paraId="6417FD44" w14:textId="49717EB7" w:rsidR="4E348425" w:rsidRDefault="4E348425" w:rsidP="00B85DCB">
      <w:pPr>
        <w:pStyle w:val="Bullet"/>
        <w:tabs>
          <w:tab w:val="left" w:pos="397"/>
        </w:tabs>
      </w:pPr>
      <w:r>
        <w:t>Scientific understanding</w:t>
      </w:r>
      <w:r w:rsidR="64F8A887">
        <w:t xml:space="preserve"> of climate impacts</w:t>
      </w:r>
    </w:p>
    <w:p w14:paraId="2744A23E" w14:textId="5E181235" w:rsidR="4E348425" w:rsidRDefault="4E348425" w:rsidP="00B85DCB">
      <w:pPr>
        <w:pStyle w:val="Bullet"/>
        <w:tabs>
          <w:tab w:val="left" w:pos="397"/>
        </w:tabs>
      </w:pPr>
      <w:r>
        <w:t>Global action</w:t>
      </w:r>
    </w:p>
    <w:p w14:paraId="5506F623" w14:textId="2A456D30" w:rsidR="4E348425" w:rsidRDefault="4E348425" w:rsidP="00B85DCB">
      <w:pPr>
        <w:pStyle w:val="Bullet"/>
        <w:tabs>
          <w:tab w:val="left" w:pos="397"/>
        </w:tabs>
      </w:pPr>
      <w:r>
        <w:t>Intergenerational equity</w:t>
      </w:r>
      <w:r w:rsidR="00DF0F54">
        <w:t>.</w:t>
      </w:r>
    </w:p>
    <w:p w14:paraId="6EADB455" w14:textId="34020E47" w:rsidR="0052623C" w:rsidRPr="00B425EF" w:rsidRDefault="0052623C" w:rsidP="00AC739D">
      <w:pPr>
        <w:pStyle w:val="BodyText"/>
        <w:keepNext/>
      </w:pPr>
      <w:r w:rsidRPr="00B425EF">
        <w:t xml:space="preserve">As well as an overview of the Commission’s </w:t>
      </w:r>
      <w:r w:rsidR="4C271A19" w:rsidRPr="00B425EF">
        <w:t xml:space="preserve">finding </w:t>
      </w:r>
      <w:r w:rsidR="4BD0F150">
        <w:t xml:space="preserve">of </w:t>
      </w:r>
      <w:r w:rsidR="4BD0F150" w:rsidRPr="00B425EF">
        <w:t>significan</w:t>
      </w:r>
      <w:r w:rsidR="6474910E" w:rsidRPr="00B425EF">
        <w:t>t</w:t>
      </w:r>
      <w:r w:rsidR="4BD0F150">
        <w:t xml:space="preserve"> </w:t>
      </w:r>
      <w:r w:rsidR="31793C7D">
        <w:t>changes</w:t>
      </w:r>
      <w:r w:rsidRPr="00B425EF">
        <w:t>, the target review report contains:</w:t>
      </w:r>
      <w:r w:rsidR="00F74FB1" w:rsidRPr="2CD38A57">
        <w:rPr>
          <w:rStyle w:val="FootnoteReference"/>
          <w:color w:val="auto"/>
        </w:rPr>
        <w:footnoteReference w:id="8"/>
      </w:r>
    </w:p>
    <w:p w14:paraId="51EEA3B0" w14:textId="06E4160B" w:rsidR="0052623C" w:rsidRPr="00B425EF" w:rsidRDefault="0052623C" w:rsidP="0052623C">
      <w:pPr>
        <w:pStyle w:val="Bullet"/>
        <w:rPr>
          <w:rFonts w:eastAsia="Calibri"/>
        </w:rPr>
      </w:pPr>
      <w:r w:rsidRPr="00B425EF">
        <w:t xml:space="preserve">a </w:t>
      </w:r>
      <w:r w:rsidR="0F68A241" w:rsidRPr="00B425EF">
        <w:t xml:space="preserve">summary </w:t>
      </w:r>
      <w:r w:rsidR="6444EA9B" w:rsidRPr="00B425EF">
        <w:t>of the Commission’s</w:t>
      </w:r>
      <w:r w:rsidR="0F68A241">
        <w:t xml:space="preserve"> </w:t>
      </w:r>
      <w:r w:rsidR="6444EA9B" w:rsidRPr="00B425EF">
        <w:t xml:space="preserve">recommendations </w:t>
      </w:r>
      <w:r w:rsidR="00E0152F">
        <w:t>for decision-makers</w:t>
      </w:r>
      <w:r w:rsidR="0F68A241">
        <w:t xml:space="preserve"> </w:t>
      </w:r>
    </w:p>
    <w:p w14:paraId="78FFAE75" w14:textId="772E5D50" w:rsidR="2FC98ED8" w:rsidRDefault="2FC98ED8" w:rsidP="2CD38A57">
      <w:pPr>
        <w:pStyle w:val="Bullet"/>
        <w:rPr>
          <w:rFonts w:eastAsia="Calibri"/>
        </w:rPr>
      </w:pPr>
      <w:r w:rsidRPr="2CD38A57">
        <w:rPr>
          <w:rFonts w:eastAsia="Calibri"/>
        </w:rPr>
        <w:t>its approach to reviewing the 2050 target</w:t>
      </w:r>
    </w:p>
    <w:p w14:paraId="5BFE5067" w14:textId="22E2DFAA" w:rsidR="0916DFE8" w:rsidRPr="00B425EF" w:rsidRDefault="674959CD" w:rsidP="00423619">
      <w:pPr>
        <w:pStyle w:val="Bullet"/>
        <w:rPr>
          <w:rFonts w:eastAsia="Calibri" w:cs="Calibri"/>
        </w:rPr>
      </w:pPr>
      <w:r w:rsidRPr="00B425EF">
        <w:t>a</w:t>
      </w:r>
      <w:r w:rsidR="0F68A241" w:rsidRPr="00B425EF">
        <w:t xml:space="preserve"> </w:t>
      </w:r>
      <w:r w:rsidR="00604EBF" w:rsidRPr="00B425EF">
        <w:t>review of</w:t>
      </w:r>
      <w:r w:rsidR="0F68A241" w:rsidRPr="00B425EF">
        <w:t xml:space="preserve"> </w:t>
      </w:r>
      <w:r w:rsidR="008E0FD4" w:rsidRPr="00B425EF">
        <w:t>whether</w:t>
      </w:r>
      <w:r w:rsidR="000A1B20" w:rsidRPr="00B425EF">
        <w:t xml:space="preserve"> </w:t>
      </w:r>
      <w:r w:rsidR="0F68A241" w:rsidRPr="00B425EF">
        <w:t xml:space="preserve">international shipping and aviation </w:t>
      </w:r>
      <w:r w:rsidR="000A1B20" w:rsidRPr="00B425EF">
        <w:t xml:space="preserve">emissions </w:t>
      </w:r>
      <w:r w:rsidR="00604EBF" w:rsidRPr="00B425EF">
        <w:t>should be included in</w:t>
      </w:r>
      <w:r w:rsidR="00A043D0">
        <w:t> </w:t>
      </w:r>
      <w:r w:rsidR="00604EBF" w:rsidRPr="00B425EF">
        <w:t>the 2050 target</w:t>
      </w:r>
      <w:r w:rsidR="0F68A241" w:rsidRPr="00B425EF">
        <w:t xml:space="preserve">. </w:t>
      </w:r>
    </w:p>
    <w:p w14:paraId="49492CDB" w14:textId="78B37FE3" w:rsidR="0916DFE8" w:rsidRPr="00B425EF" w:rsidRDefault="644C7A6E" w:rsidP="002342A8">
      <w:pPr>
        <w:pStyle w:val="BodyText"/>
      </w:pPr>
      <w:r w:rsidRPr="00B425EF">
        <w:t xml:space="preserve">The Government </w:t>
      </w:r>
      <w:r w:rsidR="0F68A241" w:rsidRPr="00B425EF">
        <w:t>acknowledge</w:t>
      </w:r>
      <w:r w:rsidR="0F27A9B0" w:rsidRPr="00B425EF">
        <w:t>s</w:t>
      </w:r>
      <w:r w:rsidR="0F68A241" w:rsidRPr="00B425EF">
        <w:t xml:space="preserve"> the Commission’s inaugural 2050 target review and </w:t>
      </w:r>
      <w:r w:rsidR="68F58B6E" w:rsidRPr="00B425EF">
        <w:t xml:space="preserve">has </w:t>
      </w:r>
      <w:r w:rsidR="0F68A241" w:rsidRPr="00B425EF">
        <w:t>considered its recommendations.</w:t>
      </w:r>
    </w:p>
    <w:p w14:paraId="4C58A423" w14:textId="6B45B29D" w:rsidR="0916DFE8" w:rsidRPr="00B425EF" w:rsidRDefault="0F68A241" w:rsidP="00AC739D">
      <w:pPr>
        <w:pStyle w:val="Heading2"/>
      </w:pPr>
      <w:bookmarkStart w:id="9" w:name="_Toc215650575"/>
      <w:r w:rsidRPr="00B425EF">
        <w:t xml:space="preserve">Methane </w:t>
      </w:r>
      <w:r w:rsidR="00D8593F" w:rsidRPr="00B425EF">
        <w:t>R</w:t>
      </w:r>
      <w:r w:rsidRPr="00B425EF">
        <w:t>eview</w:t>
      </w:r>
      <w:bookmarkEnd w:id="9"/>
      <w:r w:rsidRPr="00B425EF">
        <w:t xml:space="preserve"> </w:t>
      </w:r>
    </w:p>
    <w:p w14:paraId="3EFDA4DF" w14:textId="794032E5" w:rsidR="7F2E9989" w:rsidRPr="00B425EF" w:rsidRDefault="00160B6B" w:rsidP="20623BE6">
      <w:pPr>
        <w:pStyle w:val="BodyText"/>
      </w:pPr>
      <w:r w:rsidRPr="00B425EF">
        <w:t xml:space="preserve">At the Government’s request, the </w:t>
      </w:r>
      <w:r w:rsidR="7F2E9989" w:rsidRPr="00B425EF">
        <w:t>Methane Science and Target Review Panel (the Panel)</w:t>
      </w:r>
      <w:r w:rsidR="00C51A24" w:rsidRPr="00B425EF">
        <w:t xml:space="preserve"> delivered its </w:t>
      </w:r>
      <w:r w:rsidR="7F2E9989" w:rsidRPr="00B425EF">
        <w:t xml:space="preserve">independent </w:t>
      </w:r>
      <w:r w:rsidR="00C51A24" w:rsidRPr="00B425EF">
        <w:t>Methane R</w:t>
      </w:r>
      <w:r w:rsidR="7F2E9989" w:rsidRPr="00B425EF">
        <w:t>eview</w:t>
      </w:r>
      <w:r w:rsidR="00C60EBE" w:rsidRPr="00B425EF">
        <w:t>, which was published in December 2024</w:t>
      </w:r>
      <w:r w:rsidR="00C51A24" w:rsidRPr="00B425EF">
        <w:t>.</w:t>
      </w:r>
      <w:r w:rsidR="00C60EBE" w:rsidRPr="00B425EF">
        <w:rPr>
          <w:vertAlign w:val="superscript"/>
        </w:rPr>
        <w:footnoteReference w:id="9"/>
      </w:r>
      <w:r w:rsidR="00C60EBE" w:rsidRPr="00B425EF">
        <w:rPr>
          <w:vertAlign w:val="superscript"/>
        </w:rPr>
        <w:t xml:space="preserve"> </w:t>
      </w:r>
      <w:r w:rsidR="03475090" w:rsidRPr="00B425EF">
        <w:t>The</w:t>
      </w:r>
      <w:r w:rsidR="00A043D0">
        <w:t> </w:t>
      </w:r>
      <w:r w:rsidR="002D6985" w:rsidRPr="00B425EF">
        <w:t xml:space="preserve">Panel reviewed </w:t>
      </w:r>
      <w:r w:rsidR="7F2E9989" w:rsidRPr="00B425EF">
        <w:t>the</w:t>
      </w:r>
      <w:r w:rsidR="00273164" w:rsidRPr="00B425EF">
        <w:t xml:space="preserve"> </w:t>
      </w:r>
      <w:r w:rsidR="00EA4731" w:rsidRPr="00B425EF">
        <w:t>latest</w:t>
      </w:r>
      <w:r w:rsidR="7F2E9989" w:rsidRPr="00B425EF">
        <w:t xml:space="preserve"> methane science and the 2050 target for consistency with the</w:t>
      </w:r>
      <w:r w:rsidR="00A043D0">
        <w:t> </w:t>
      </w:r>
      <w:r w:rsidR="7F2E9989" w:rsidRPr="00B425EF">
        <w:t xml:space="preserve">principle of </w:t>
      </w:r>
      <w:r w:rsidR="00D91342" w:rsidRPr="00B425EF">
        <w:t>‘</w:t>
      </w:r>
      <w:r w:rsidR="7F2E9989" w:rsidRPr="00B425EF">
        <w:t>no additional warming</w:t>
      </w:r>
      <w:r w:rsidR="00D91342" w:rsidRPr="00B425EF">
        <w:t>’</w:t>
      </w:r>
      <w:r w:rsidR="7F2E9989" w:rsidRPr="00B425EF">
        <w:t xml:space="preserve"> from agricultural methane emissions</w:t>
      </w:r>
      <w:r w:rsidR="009B6155" w:rsidRPr="00B425EF">
        <w:t>,</w:t>
      </w:r>
      <w:r w:rsidR="7F2E9989" w:rsidRPr="00B425EF">
        <w:t xml:space="preserve"> </w:t>
      </w:r>
      <w:r w:rsidR="00124FE0" w:rsidRPr="00B425EF">
        <w:t>using</w:t>
      </w:r>
      <w:r w:rsidR="7F2E9989" w:rsidRPr="00B425EF">
        <w:t xml:space="preserve"> 2017 </w:t>
      </w:r>
      <w:r w:rsidR="00124FE0" w:rsidRPr="00B425EF">
        <w:t>as</w:t>
      </w:r>
      <w:r w:rsidR="00A043D0">
        <w:t> </w:t>
      </w:r>
      <w:r w:rsidR="00124FE0" w:rsidRPr="00B425EF">
        <w:t>a</w:t>
      </w:r>
      <w:r w:rsidR="00A043D0">
        <w:t> </w:t>
      </w:r>
      <w:r w:rsidR="7F2E9989" w:rsidRPr="00B425EF">
        <w:t>base</w:t>
      </w:r>
      <w:r w:rsidR="00AC739D" w:rsidRPr="00B425EF">
        <w:t> </w:t>
      </w:r>
      <w:r w:rsidR="7F2E9989" w:rsidRPr="00B425EF">
        <w:t>year.</w:t>
      </w:r>
    </w:p>
    <w:p w14:paraId="08584A7F" w14:textId="1E401949" w:rsidR="00F13800" w:rsidRPr="00B425EF" w:rsidRDefault="0F68A241" w:rsidP="0E2F3823">
      <w:pPr>
        <w:pStyle w:val="BodyText"/>
      </w:pPr>
      <w:r w:rsidRPr="00B425EF">
        <w:t xml:space="preserve">Biogenic methane is a ‘short-lived’ gas with </w:t>
      </w:r>
      <w:r w:rsidR="009B6155" w:rsidRPr="00B425EF">
        <w:t xml:space="preserve">a shorter </w:t>
      </w:r>
      <w:r w:rsidRPr="00B425EF">
        <w:t xml:space="preserve">atmospheric lifetime and different warming impact </w:t>
      </w:r>
      <w:r w:rsidR="00455636" w:rsidRPr="00B425EF">
        <w:t xml:space="preserve">from </w:t>
      </w:r>
      <w:r w:rsidRPr="00B425EF">
        <w:t>other long-lived greenhouse gases</w:t>
      </w:r>
      <w:r w:rsidR="009B6155" w:rsidRPr="00B425EF">
        <w:t>,</w:t>
      </w:r>
      <w:r w:rsidRPr="00B425EF">
        <w:t xml:space="preserve"> such as carbon dioxide. </w:t>
      </w:r>
    </w:p>
    <w:p w14:paraId="7AF19BD9" w14:textId="1C16C5A9" w:rsidR="00465AF2" w:rsidRPr="00B425EF" w:rsidRDefault="0F68A241" w:rsidP="00B619B7">
      <w:pPr>
        <w:pStyle w:val="BodyText"/>
      </w:pPr>
      <w:r w:rsidRPr="00B425EF">
        <w:t xml:space="preserve">The </w:t>
      </w:r>
      <w:r w:rsidR="004967F0" w:rsidRPr="00B425EF">
        <w:t>P</w:t>
      </w:r>
      <w:r w:rsidRPr="00B425EF">
        <w:t xml:space="preserve">anel provided </w:t>
      </w:r>
      <w:r w:rsidR="00CE5F93" w:rsidRPr="00B425EF">
        <w:t xml:space="preserve">an </w:t>
      </w:r>
      <w:r w:rsidRPr="00B425EF">
        <w:t>evidence-based a</w:t>
      </w:r>
      <w:r w:rsidR="6A0039A1" w:rsidRPr="00B425EF">
        <w:t>ssessment</w:t>
      </w:r>
      <w:r w:rsidRPr="00B425EF">
        <w:t xml:space="preserve"> on what was required to stabili</w:t>
      </w:r>
      <w:r w:rsidR="004967F0" w:rsidRPr="00B425EF">
        <w:t>s</w:t>
      </w:r>
      <w:r w:rsidRPr="00B425EF">
        <w:t>e the warming impact of biogenic methane emissions at 2017 levels</w:t>
      </w:r>
      <w:r w:rsidR="008D0F62" w:rsidRPr="00B425EF">
        <w:t xml:space="preserve"> in 2050</w:t>
      </w:r>
      <w:r w:rsidR="00023703" w:rsidRPr="00B425EF">
        <w:t>;</w:t>
      </w:r>
      <w:r w:rsidRPr="00B425EF">
        <w:t xml:space="preserve"> that is</w:t>
      </w:r>
      <w:r w:rsidR="000E1B5B" w:rsidRPr="00B425EF">
        <w:t xml:space="preserve">, </w:t>
      </w:r>
      <w:r w:rsidRPr="00B425EF">
        <w:t>no additional warming from the base year</w:t>
      </w:r>
      <w:r w:rsidR="0016365F" w:rsidRPr="00B425EF">
        <w:t xml:space="preserve"> of </w:t>
      </w:r>
      <w:r w:rsidR="00BB4FA4" w:rsidRPr="00B425EF">
        <w:t>2017</w:t>
      </w:r>
      <w:r w:rsidRPr="00B425EF">
        <w:t>.</w:t>
      </w:r>
      <w:r w:rsidRPr="00B425EF">
        <w:rPr>
          <w:vertAlign w:val="superscript"/>
        </w:rPr>
        <w:t xml:space="preserve"> </w:t>
      </w:r>
      <w:r w:rsidRPr="00B425EF">
        <w:t xml:space="preserve">The </w:t>
      </w:r>
      <w:r w:rsidR="00BB4FA4" w:rsidRPr="00B425EF">
        <w:t>P</w:t>
      </w:r>
      <w:r w:rsidRPr="00B425EF">
        <w:t>anel was not tasked with recommending a new biogenic methane target</w:t>
      </w:r>
      <w:r w:rsidR="005C305A" w:rsidRPr="00B425EF">
        <w:t>.</w:t>
      </w:r>
      <w:r w:rsidRPr="00B425EF">
        <w:t xml:space="preserve"> </w:t>
      </w:r>
    </w:p>
    <w:p w14:paraId="508CC40F" w14:textId="1AEE2D8E" w:rsidR="00B004A7" w:rsidRPr="00B425EF" w:rsidRDefault="00B004A7" w:rsidP="00B004A7">
      <w:pPr>
        <w:pStyle w:val="Heading2"/>
      </w:pPr>
      <w:bookmarkStart w:id="10" w:name="_Toc215650576"/>
      <w:r w:rsidRPr="00B425EF">
        <w:lastRenderedPageBreak/>
        <w:t xml:space="preserve">Our approach to </w:t>
      </w:r>
      <w:r w:rsidR="003D7D2C">
        <w:t xml:space="preserve">the </w:t>
      </w:r>
      <w:r w:rsidRPr="00B425EF">
        <w:t>2050 target decisions</w:t>
      </w:r>
      <w:bookmarkEnd w:id="10"/>
      <w:r w:rsidRPr="00B425EF">
        <w:t xml:space="preserve"> </w:t>
      </w:r>
    </w:p>
    <w:p w14:paraId="4B1B4877" w14:textId="75BBA2E7" w:rsidR="00B004A7" w:rsidRPr="00B425EF" w:rsidRDefault="00E61CFC" w:rsidP="00A76F97">
      <w:pPr>
        <w:pStyle w:val="BodyText"/>
      </w:pPr>
      <w:r w:rsidRPr="00B425EF">
        <w:t xml:space="preserve">The CCRA </w:t>
      </w:r>
      <w:r w:rsidR="70F5EE9B">
        <w:t>outline</w:t>
      </w:r>
      <w:r w:rsidR="003155A8">
        <w:t>d</w:t>
      </w:r>
      <w:r w:rsidR="70F5EE9B">
        <w:t xml:space="preserve"> the criteria the Commission’s 2050 review must </w:t>
      </w:r>
      <w:r w:rsidR="005D23B1">
        <w:t>have</w:t>
      </w:r>
      <w:r w:rsidR="70F5EE9B">
        <w:t xml:space="preserve"> met, </w:t>
      </w:r>
      <w:proofErr w:type="gramStart"/>
      <w:r w:rsidR="70F5EE9B">
        <w:t>in order to</w:t>
      </w:r>
      <w:proofErr w:type="gramEnd"/>
      <w:r w:rsidR="70F5EE9B">
        <w:t xml:space="preserve"> recommend a change to the 2050 target</w:t>
      </w:r>
      <w:r w:rsidR="08FE715D">
        <w:t>.</w:t>
      </w:r>
      <w:r w:rsidRPr="3A4C152D">
        <w:rPr>
          <w:rStyle w:val="FootnoteReference"/>
        </w:rPr>
        <w:footnoteReference w:id="10"/>
      </w:r>
      <w:r w:rsidDel="00E61CFC">
        <w:t xml:space="preserve"> </w:t>
      </w:r>
      <w:r w:rsidR="00681D9F" w:rsidRPr="00B425EF">
        <w:t>The Government’s response to the Commission must outline the rationale for departure from any recommendations.</w:t>
      </w:r>
      <w:r w:rsidR="00FA647C" w:rsidRPr="00B425EF">
        <w:rPr>
          <w:rStyle w:val="FootnoteReference"/>
        </w:rPr>
        <w:footnoteReference w:id="11"/>
      </w:r>
    </w:p>
    <w:p w14:paraId="4180A5FE" w14:textId="5DFBAE09" w:rsidR="00B004A7" w:rsidRPr="00B425EF" w:rsidRDefault="00E16D36" w:rsidP="00A76F97">
      <w:pPr>
        <w:pStyle w:val="BodyText"/>
      </w:pPr>
      <w:r>
        <w:t>This</w:t>
      </w:r>
      <w:r w:rsidR="00B004A7">
        <w:t xml:space="preserve"> section </w:t>
      </w:r>
      <w:r w:rsidR="00BE21BE">
        <w:t>of the re</w:t>
      </w:r>
      <w:r w:rsidR="00A76F97">
        <w:t xml:space="preserve">sponse </w:t>
      </w:r>
      <w:r w:rsidR="00B004A7">
        <w:t>outlines how</w:t>
      </w:r>
      <w:r w:rsidR="00BE21BE">
        <w:t xml:space="preserve"> the</w:t>
      </w:r>
      <w:r w:rsidR="00B004A7">
        <w:t xml:space="preserve"> Government assessed </w:t>
      </w:r>
      <w:r w:rsidR="004D3F20">
        <w:t xml:space="preserve">2050 target </w:t>
      </w:r>
      <w:r w:rsidR="00B004A7">
        <w:t>options</w:t>
      </w:r>
      <w:r w:rsidR="22433A27">
        <w:t xml:space="preserve"> and how this informed our final decisions. </w:t>
      </w:r>
    </w:p>
    <w:p w14:paraId="0ED92539" w14:textId="1604E886" w:rsidR="00B004A7" w:rsidRPr="00B425EF" w:rsidRDefault="510976A8" w:rsidP="00A76F97">
      <w:pPr>
        <w:pStyle w:val="BodyText"/>
      </w:pPr>
      <w:r>
        <w:t>T</w:t>
      </w:r>
      <w:r w:rsidR="57FDDEE7">
        <w:t>he options were drawn from</w:t>
      </w:r>
      <w:r w:rsidR="4D8F4E0A">
        <w:t xml:space="preserve"> and informed by</w:t>
      </w:r>
      <w:r w:rsidR="57FDDEE7">
        <w:t xml:space="preserve"> the Methane Review, Commission’s report and recommendations</w:t>
      </w:r>
      <w:r w:rsidR="57813626">
        <w:t xml:space="preserve"> </w:t>
      </w:r>
      <w:r w:rsidR="2E587B5F">
        <w:t>and officials</w:t>
      </w:r>
      <w:r w:rsidR="00002E13">
        <w:t>’</w:t>
      </w:r>
      <w:r w:rsidR="2E587B5F">
        <w:t xml:space="preserve"> advice. S</w:t>
      </w:r>
      <w:r w:rsidR="4C49074B">
        <w:t>ome options</w:t>
      </w:r>
      <w:r w:rsidR="3D9C7AD8">
        <w:t xml:space="preserve"> are consistent with </w:t>
      </w:r>
      <w:r w:rsidR="004D3F20">
        <w:t>the Methane Review</w:t>
      </w:r>
      <w:r w:rsidR="1723F608">
        <w:t xml:space="preserve"> (including the Government’s option)</w:t>
      </w:r>
      <w:r w:rsidR="004D3F20">
        <w:t xml:space="preserve">, </w:t>
      </w:r>
      <w:r w:rsidR="14105DDD">
        <w:t xml:space="preserve">other options were </w:t>
      </w:r>
      <w:r w:rsidR="5E954B9E">
        <w:t xml:space="preserve">directly </w:t>
      </w:r>
      <w:r w:rsidR="14105DDD">
        <w:t xml:space="preserve">informed by </w:t>
      </w:r>
      <w:r w:rsidR="004D3F20">
        <w:t xml:space="preserve">the Commission’s </w:t>
      </w:r>
      <w:r w:rsidR="6173ACE1">
        <w:t>recommendations</w:t>
      </w:r>
      <w:r w:rsidR="49AF0A30">
        <w:t>.</w:t>
      </w:r>
    </w:p>
    <w:p w14:paraId="47AB02FD" w14:textId="77777777" w:rsidR="008458C5" w:rsidRPr="00B425EF" w:rsidRDefault="00B86578" w:rsidP="00AC739D">
      <w:pPr>
        <w:pStyle w:val="BodyText"/>
        <w:keepNext/>
        <w:rPr>
          <w:vertAlign w:val="superscript"/>
        </w:rPr>
      </w:pPr>
      <w:r w:rsidRPr="00B425EF">
        <w:t xml:space="preserve">To guide decisions, </w:t>
      </w:r>
      <w:r w:rsidR="007F3154" w:rsidRPr="00B425EF">
        <w:t>we</w:t>
      </w:r>
      <w:r w:rsidRPr="00B425EF">
        <w:t xml:space="preserve"> evaluated options against a set of objectives</w:t>
      </w:r>
      <w:r w:rsidR="008458C5" w:rsidRPr="00B425EF">
        <w:t>, which included:</w:t>
      </w:r>
    </w:p>
    <w:p w14:paraId="59D118CA" w14:textId="27019771" w:rsidR="008458C5" w:rsidRPr="00B425EF" w:rsidRDefault="00B86578" w:rsidP="00AC739D">
      <w:pPr>
        <w:pStyle w:val="Bullet"/>
      </w:pPr>
      <w:r w:rsidRPr="00B425EF">
        <w:t>alignment with the Government’s economic agenda</w:t>
      </w:r>
    </w:p>
    <w:p w14:paraId="1FCE1314" w14:textId="77FCF79C" w:rsidR="008458C5" w:rsidRPr="00B425EF" w:rsidRDefault="00B86578" w:rsidP="008458C5">
      <w:pPr>
        <w:pStyle w:val="Bullet"/>
      </w:pPr>
      <w:r w:rsidRPr="00B425EF">
        <w:t>contribution to limiting global temperature rise to 1.5</w:t>
      </w:r>
      <w:r w:rsidR="00F262F6" w:rsidRPr="00B425EF">
        <w:t xml:space="preserve"> degrees Celsius</w:t>
      </w:r>
    </w:p>
    <w:p w14:paraId="1B957CA5" w14:textId="75A878CE" w:rsidR="00B86578" w:rsidRPr="00B425EF" w:rsidRDefault="00B86578" w:rsidP="00110BB3">
      <w:pPr>
        <w:pStyle w:val="Bullet"/>
      </w:pPr>
      <w:r w:rsidRPr="00B425EF">
        <w:t>feasibility of implementation to support New Zealand’s transition to net</w:t>
      </w:r>
      <w:r w:rsidR="008458C5" w:rsidRPr="00B425EF">
        <w:t xml:space="preserve"> </w:t>
      </w:r>
      <w:r w:rsidRPr="00B425EF">
        <w:t>zero by 2050.</w:t>
      </w:r>
    </w:p>
    <w:p w14:paraId="50DB85C8" w14:textId="2E8C62A6" w:rsidR="00B86578" w:rsidRPr="00B425EF" w:rsidRDefault="007B2468" w:rsidP="00B86578">
      <w:pPr>
        <w:pStyle w:val="BodyText"/>
      </w:pPr>
      <w:r w:rsidRPr="00B425EF">
        <w:t>We considered e</w:t>
      </w:r>
      <w:r w:rsidR="00B86578" w:rsidRPr="00B425EF">
        <w:t xml:space="preserve">conomic and climate modelling </w:t>
      </w:r>
      <w:r w:rsidRPr="00B425EF">
        <w:t xml:space="preserve">that used </w:t>
      </w:r>
      <w:r w:rsidR="00B86578" w:rsidRPr="00B425EF">
        <w:t>the central scenario and 2024 projections</w:t>
      </w:r>
      <w:r w:rsidRPr="00B425EF">
        <w:t xml:space="preserve"> from our second emissions reduction plan (ERP2)</w:t>
      </w:r>
      <w:r w:rsidR="00854677" w:rsidRPr="00B425EF">
        <w:t>, which was</w:t>
      </w:r>
      <w:r w:rsidR="00B86578" w:rsidRPr="00B425EF">
        <w:t xml:space="preserve"> the most up-to-date data available</w:t>
      </w:r>
      <w:r w:rsidR="00ED6CCC" w:rsidRPr="00B425EF">
        <w:t xml:space="preserve"> at the time</w:t>
      </w:r>
      <w:r w:rsidR="00B86578" w:rsidRPr="00B425EF">
        <w:t>.</w:t>
      </w:r>
      <w:r w:rsidR="00B86578" w:rsidRPr="00B425EF">
        <w:rPr>
          <w:vertAlign w:val="superscript"/>
        </w:rPr>
        <w:footnoteReference w:id="12"/>
      </w:r>
      <w:r w:rsidR="00F56990" w:rsidRPr="00B425EF">
        <w:t xml:space="preserve"> New projections have since been released.</w:t>
      </w:r>
      <w:r w:rsidR="00B86578" w:rsidRPr="00B425EF">
        <w:rPr>
          <w:vertAlign w:val="superscript"/>
        </w:rPr>
        <w:footnoteReference w:id="13"/>
      </w:r>
    </w:p>
    <w:p w14:paraId="10A81A35" w14:textId="186BD3CA" w:rsidR="00B86578" w:rsidRPr="00B425EF" w:rsidRDefault="00B86578" w:rsidP="00B86578">
      <w:pPr>
        <w:pStyle w:val="BodyText"/>
      </w:pPr>
      <w:r w:rsidRPr="00B425EF">
        <w:t>This modelling included the Commission’s recommendations and highlighted uncertainties around costs and opportunities, which depend on factors such as population growth, technological change and commodity prices.</w:t>
      </w:r>
      <w:r w:rsidR="00341B7D" w:rsidRPr="00B425EF">
        <w:rPr>
          <w:vertAlign w:val="superscript"/>
        </w:rPr>
        <w:t xml:space="preserve"> </w:t>
      </w:r>
    </w:p>
    <w:p w14:paraId="1C0220D9" w14:textId="30F0FCBF" w:rsidR="00B86578" w:rsidRPr="00B425EF" w:rsidRDefault="00B86578" w:rsidP="00B86578">
      <w:pPr>
        <w:pStyle w:val="BodyText"/>
      </w:pPr>
      <w:r w:rsidRPr="00B425EF">
        <w:t>The Government did not consider fundamental changes</w:t>
      </w:r>
      <w:r w:rsidR="00D43962" w:rsidRPr="00B425EF">
        <w:t>,</w:t>
      </w:r>
      <w:r w:rsidRPr="00B425EF">
        <w:t xml:space="preserve"> such as removing the target or abandoning the split-gas approach. Retaining the split-gas framework reflects New Zealand’s unique emissions profile and the distinct characteristics of short</w:t>
      </w:r>
      <w:r w:rsidR="00CC6B4E" w:rsidRPr="00B425EF">
        <w:t>-</w:t>
      </w:r>
      <w:r w:rsidRPr="00B425EF">
        <w:t xml:space="preserve"> and long-lived gases.</w:t>
      </w:r>
      <w:r w:rsidR="00B13451" w:rsidRPr="00B425EF">
        <w:rPr>
          <w:vertAlign w:val="superscript"/>
        </w:rPr>
        <w:t xml:space="preserve"> </w:t>
      </w:r>
    </w:p>
    <w:p w14:paraId="1643FD5F" w14:textId="55591866" w:rsidR="00CC6B4E" w:rsidRPr="00B425EF" w:rsidRDefault="00B86578" w:rsidP="00B86578">
      <w:pPr>
        <w:pStyle w:val="BodyText"/>
      </w:pPr>
      <w:r w:rsidRPr="00B425EF">
        <w:t>This approach enabled the Government to weigh trade-offs between its option and</w:t>
      </w:r>
      <w:r w:rsidR="00AC739D" w:rsidRPr="00B425EF">
        <w:t> </w:t>
      </w:r>
      <w:r w:rsidRPr="00B425EF">
        <w:t>the Commission’s recommendations, balancing evidence, modelling, and broader policy objectives</w:t>
      </w:r>
      <w:r w:rsidR="0052691E" w:rsidRPr="00B425EF">
        <w:t>.</w:t>
      </w:r>
      <w:r w:rsidR="00AA22F2" w:rsidRPr="00B425EF">
        <w:t xml:space="preserve"> </w:t>
      </w:r>
    </w:p>
    <w:p w14:paraId="259E9A06" w14:textId="7CE5FC84" w:rsidR="005E2A30" w:rsidRPr="00B425EF" w:rsidRDefault="00073639" w:rsidP="005E2A30">
      <w:pPr>
        <w:pStyle w:val="BodyText"/>
        <w:rPr>
          <w:rStyle w:val="SubtleEmphasis"/>
        </w:rPr>
      </w:pPr>
      <w:r w:rsidRPr="00B425EF">
        <w:t>See</w:t>
      </w:r>
      <w:r w:rsidRPr="00B425EF">
        <w:rPr>
          <w:rStyle w:val="SubtleEmphasis"/>
        </w:rPr>
        <w:t xml:space="preserve"> </w:t>
      </w:r>
      <w:hyperlink w:anchor="_Appendix_2:_Summary" w:history="1">
        <w:r w:rsidR="009E21C9" w:rsidRPr="00B425EF">
          <w:rPr>
            <w:rStyle w:val="Hyperlink"/>
          </w:rPr>
          <w:t>a</w:t>
        </w:r>
        <w:r w:rsidRPr="00B425EF">
          <w:rPr>
            <w:rStyle w:val="Hyperlink"/>
          </w:rPr>
          <w:t>ppendix 2</w:t>
        </w:r>
      </w:hyperlink>
      <w:r w:rsidR="00AF5C45">
        <w:t>,</w:t>
      </w:r>
      <w:r w:rsidRPr="00B425EF">
        <w:rPr>
          <w:rStyle w:val="SubtleEmphasis"/>
        </w:rPr>
        <w:t xml:space="preserve"> </w:t>
      </w:r>
      <w:r w:rsidRPr="00B425EF">
        <w:t xml:space="preserve">for </w:t>
      </w:r>
      <w:r w:rsidR="005E2A30" w:rsidRPr="00B425EF">
        <w:t>further</w:t>
      </w:r>
      <w:r w:rsidRPr="00B425EF">
        <w:t xml:space="preserve"> details on </w:t>
      </w:r>
      <w:r w:rsidR="002F479D">
        <w:t xml:space="preserve">the </w:t>
      </w:r>
      <w:r w:rsidRPr="00B425EF">
        <w:t>approach to</w:t>
      </w:r>
      <w:r w:rsidR="002F479D">
        <w:t xml:space="preserve"> the</w:t>
      </w:r>
      <w:r w:rsidRPr="00B425EF">
        <w:t xml:space="preserve"> 2050 target decisions.</w:t>
      </w:r>
      <w:r w:rsidRPr="00B425EF">
        <w:rPr>
          <w:rStyle w:val="SubtleEmphasis"/>
        </w:rPr>
        <w:t xml:space="preserve"> </w:t>
      </w:r>
    </w:p>
    <w:p w14:paraId="7DD0875F" w14:textId="3C242C26" w:rsidR="0916DFE8" w:rsidRPr="00B425EF" w:rsidRDefault="2A1BAF0A" w:rsidP="00EF47CE">
      <w:pPr>
        <w:pStyle w:val="Heading2"/>
      </w:pPr>
      <w:bookmarkStart w:id="11" w:name="_Toc210040566"/>
      <w:bookmarkStart w:id="12" w:name="_Toc215650577"/>
      <w:r w:rsidRPr="00B425EF">
        <w:t>Our</w:t>
      </w:r>
      <w:r w:rsidR="0916DFE8" w:rsidRPr="00B425EF">
        <w:t xml:space="preserve"> decisions on the </w:t>
      </w:r>
      <w:r w:rsidR="00306DAF" w:rsidRPr="00B425EF">
        <w:t>2050 </w:t>
      </w:r>
      <w:r w:rsidR="0916DFE8" w:rsidRPr="00B425EF">
        <w:t>target</w:t>
      </w:r>
      <w:bookmarkEnd w:id="11"/>
      <w:bookmarkEnd w:id="12"/>
    </w:p>
    <w:p w14:paraId="79CC6475" w14:textId="4345BBA8" w:rsidR="0059401A" w:rsidRPr="00B425EF" w:rsidRDefault="0059401A" w:rsidP="0059401A">
      <w:pPr>
        <w:pStyle w:val="BodyText"/>
        <w:rPr>
          <w:rFonts w:eastAsia="Calibri" w:cs="Calibri"/>
        </w:rPr>
      </w:pPr>
      <w:r w:rsidRPr="00B425EF">
        <w:t xml:space="preserve">The 2050 target </w:t>
      </w:r>
      <w:r w:rsidR="0085740E" w:rsidRPr="00B425EF">
        <w:t>helps provide</w:t>
      </w:r>
      <w:r w:rsidRPr="00B425EF">
        <w:t xml:space="preserve"> long-term policy certainty to guide planning and investment decisions. </w:t>
      </w:r>
      <w:r w:rsidR="0085740E" w:rsidRPr="00B425EF">
        <w:t xml:space="preserve">Although </w:t>
      </w:r>
      <w:r w:rsidRPr="00B425EF">
        <w:t xml:space="preserve">climate action </w:t>
      </w:r>
      <w:r w:rsidR="00D12AB7" w:rsidRPr="00B425EF">
        <w:t xml:space="preserve">and policies </w:t>
      </w:r>
      <w:r w:rsidRPr="00B425EF">
        <w:rPr>
          <w:rFonts w:eastAsia="Calibri" w:cs="Calibri"/>
        </w:rPr>
        <w:t xml:space="preserve">can deliver </w:t>
      </w:r>
      <w:r w:rsidR="00D12AB7" w:rsidRPr="00B425EF">
        <w:rPr>
          <w:rFonts w:eastAsia="Calibri" w:cs="Calibri"/>
        </w:rPr>
        <w:t>many</w:t>
      </w:r>
      <w:r w:rsidRPr="00B425EF">
        <w:rPr>
          <w:rFonts w:eastAsia="Calibri" w:cs="Calibri"/>
        </w:rPr>
        <w:t xml:space="preserve"> </w:t>
      </w:r>
      <w:r w:rsidR="00F65290" w:rsidRPr="00B425EF">
        <w:rPr>
          <w:rFonts w:eastAsia="Calibri" w:cs="Calibri"/>
        </w:rPr>
        <w:t xml:space="preserve">benefits beyond just </w:t>
      </w:r>
      <w:r w:rsidRPr="00B425EF">
        <w:rPr>
          <w:rFonts w:eastAsia="Calibri" w:cs="Calibri"/>
        </w:rPr>
        <w:lastRenderedPageBreak/>
        <w:t xml:space="preserve">environmental, they </w:t>
      </w:r>
      <w:r w:rsidR="00355C62" w:rsidRPr="00B425EF">
        <w:rPr>
          <w:rFonts w:eastAsia="Calibri" w:cs="Calibri"/>
        </w:rPr>
        <w:t xml:space="preserve">can </w:t>
      </w:r>
      <w:r w:rsidRPr="00B425EF">
        <w:rPr>
          <w:rFonts w:eastAsia="Calibri" w:cs="Calibri"/>
        </w:rPr>
        <w:t xml:space="preserve">also </w:t>
      </w:r>
      <w:r w:rsidR="00355C62" w:rsidRPr="00B425EF">
        <w:rPr>
          <w:rFonts w:eastAsia="Calibri" w:cs="Calibri"/>
        </w:rPr>
        <w:t>lead to increased</w:t>
      </w:r>
      <w:r w:rsidRPr="00B425EF">
        <w:rPr>
          <w:rFonts w:eastAsia="Calibri" w:cs="Calibri"/>
        </w:rPr>
        <w:t xml:space="preserve"> costs on </w:t>
      </w:r>
      <w:r w:rsidR="00355C62" w:rsidRPr="00B425EF">
        <w:rPr>
          <w:rFonts w:eastAsia="Calibri" w:cs="Calibri"/>
        </w:rPr>
        <w:t xml:space="preserve">the private sector </w:t>
      </w:r>
      <w:r w:rsidRPr="00B425EF">
        <w:rPr>
          <w:rFonts w:eastAsia="Calibri" w:cs="Calibri"/>
        </w:rPr>
        <w:t>and households. Setting a target</w:t>
      </w:r>
      <w:r w:rsidR="00161004">
        <w:rPr>
          <w:rFonts w:eastAsia="Calibri" w:cs="Calibri"/>
        </w:rPr>
        <w:t>,</w:t>
      </w:r>
      <w:r w:rsidRPr="00B425EF">
        <w:rPr>
          <w:rFonts w:eastAsia="Calibri" w:cs="Calibri"/>
        </w:rPr>
        <w:t xml:space="preserve"> therefore</w:t>
      </w:r>
      <w:r w:rsidR="00161004">
        <w:rPr>
          <w:rFonts w:eastAsia="Calibri" w:cs="Calibri"/>
        </w:rPr>
        <w:t>,</w:t>
      </w:r>
      <w:r w:rsidRPr="00B425EF">
        <w:rPr>
          <w:rFonts w:eastAsia="Calibri" w:cs="Calibri"/>
        </w:rPr>
        <w:t xml:space="preserve"> requires careful balanc</w:t>
      </w:r>
      <w:r w:rsidR="00CF5051" w:rsidRPr="00B425EF">
        <w:rPr>
          <w:rFonts w:eastAsia="Calibri" w:cs="Calibri"/>
        </w:rPr>
        <w:t>ing</w:t>
      </w:r>
      <w:r w:rsidRPr="00B425EF">
        <w:rPr>
          <w:rFonts w:eastAsia="Calibri" w:cs="Calibri"/>
        </w:rPr>
        <w:t xml:space="preserve"> of multiple objectives. </w:t>
      </w:r>
    </w:p>
    <w:p w14:paraId="1BF8E32B" w14:textId="5407D3D1" w:rsidR="001E439E" w:rsidRPr="00B425EF" w:rsidRDefault="001E439E" w:rsidP="006D4009">
      <w:pPr>
        <w:pStyle w:val="BodyText"/>
        <w:rPr>
          <w:rFonts w:eastAsia="Calibri" w:cs="Calibri"/>
        </w:rPr>
      </w:pPr>
      <w:r w:rsidRPr="00B425EF">
        <w:t>Th</w:t>
      </w:r>
      <w:r w:rsidR="003D0D8A">
        <w:t>e</w:t>
      </w:r>
      <w:r w:rsidRPr="00B425EF">
        <w:t xml:space="preserve"> Government remains committed to </w:t>
      </w:r>
      <w:r w:rsidR="00AB42EA" w:rsidRPr="00B425EF">
        <w:t>the</w:t>
      </w:r>
      <w:r w:rsidRPr="00B425EF">
        <w:t xml:space="preserve"> climate change </w:t>
      </w:r>
      <w:r w:rsidR="000871EA" w:rsidRPr="00B425EF">
        <w:t xml:space="preserve">commitments of </w:t>
      </w:r>
      <w:r w:rsidR="00AB42EA" w:rsidRPr="00B425EF">
        <w:t xml:space="preserve">reaching </w:t>
      </w:r>
      <w:r w:rsidR="000871EA" w:rsidRPr="00B425EF">
        <w:t>net zero long-lived gases by 2050</w:t>
      </w:r>
      <w:r w:rsidR="00BD29BA" w:rsidRPr="00B425EF">
        <w:t xml:space="preserve"> and </w:t>
      </w:r>
      <w:r w:rsidR="000871EA" w:rsidRPr="00B425EF">
        <w:t xml:space="preserve">reducing gross </w:t>
      </w:r>
      <w:r w:rsidR="00600BD2" w:rsidRPr="00B425EF">
        <w:t xml:space="preserve">biogenic </w:t>
      </w:r>
      <w:r w:rsidR="000871EA" w:rsidRPr="00B425EF">
        <w:t>methane emissions</w:t>
      </w:r>
      <w:r w:rsidR="00BD29BA" w:rsidRPr="00B425EF">
        <w:t>,</w:t>
      </w:r>
      <w:r w:rsidR="000871EA" w:rsidRPr="00B425EF">
        <w:t xml:space="preserve"> </w:t>
      </w:r>
      <w:r w:rsidR="00AB42EA" w:rsidRPr="00B425EF">
        <w:t xml:space="preserve">using a </w:t>
      </w:r>
      <w:r w:rsidR="000871EA" w:rsidRPr="00B425EF">
        <w:t>split-gas approach</w:t>
      </w:r>
      <w:r w:rsidR="006B7B61" w:rsidRPr="00B425EF">
        <w:t>,</w:t>
      </w:r>
      <w:r w:rsidR="00BD62B6" w:rsidRPr="00B425EF">
        <w:t xml:space="preserve"> to our domestic 2050 target</w:t>
      </w:r>
      <w:r w:rsidR="000871EA" w:rsidRPr="00B425EF">
        <w:t>.</w:t>
      </w:r>
    </w:p>
    <w:p w14:paraId="506A977C" w14:textId="137FC490" w:rsidR="0056545C" w:rsidRPr="00B425EF" w:rsidRDefault="58542000" w:rsidP="006D4009">
      <w:pPr>
        <w:pStyle w:val="BodyText"/>
        <w:rPr>
          <w:rFonts w:eastAsia="Calibri" w:cs="Calibri"/>
        </w:rPr>
      </w:pPr>
      <w:r w:rsidRPr="00B425EF">
        <w:rPr>
          <w:spacing w:val="-2"/>
        </w:rPr>
        <w:t xml:space="preserve">We </w:t>
      </w:r>
      <w:r w:rsidR="0916DFE8" w:rsidRPr="00B425EF">
        <w:rPr>
          <w:spacing w:val="-2"/>
        </w:rPr>
        <w:t>ha</w:t>
      </w:r>
      <w:r w:rsidR="39EF0C63" w:rsidRPr="00B425EF">
        <w:rPr>
          <w:spacing w:val="-2"/>
        </w:rPr>
        <w:t>ve</w:t>
      </w:r>
      <w:r w:rsidR="00961C3E" w:rsidRPr="00B425EF">
        <w:rPr>
          <w:spacing w:val="-2"/>
        </w:rPr>
        <w:t xml:space="preserve"> </w:t>
      </w:r>
      <w:r w:rsidR="008F2A5E" w:rsidRPr="00B425EF">
        <w:rPr>
          <w:spacing w:val="-2"/>
        </w:rPr>
        <w:t>finalised</w:t>
      </w:r>
      <w:r w:rsidR="0916DFE8" w:rsidRPr="00B425EF">
        <w:rPr>
          <w:spacing w:val="-2"/>
        </w:rPr>
        <w:t xml:space="preserve"> </w:t>
      </w:r>
      <w:r w:rsidR="09D87503" w:rsidRPr="00B425EF">
        <w:rPr>
          <w:spacing w:val="-2"/>
        </w:rPr>
        <w:t>the Government’s</w:t>
      </w:r>
      <w:r w:rsidR="0916DFE8" w:rsidRPr="00B425EF">
        <w:rPr>
          <w:spacing w:val="-2"/>
        </w:rPr>
        <w:t xml:space="preserve"> </w:t>
      </w:r>
      <w:r w:rsidR="008F2A5E" w:rsidRPr="00B425EF">
        <w:rPr>
          <w:spacing w:val="-2"/>
        </w:rPr>
        <w:t xml:space="preserve">response to the Commission’s </w:t>
      </w:r>
      <w:r w:rsidR="0916DFE8" w:rsidRPr="00B425EF">
        <w:rPr>
          <w:spacing w:val="-2"/>
        </w:rPr>
        <w:t>first review of New Zealand’s</w:t>
      </w:r>
      <w:r w:rsidR="0916DFE8" w:rsidRPr="00B425EF">
        <w:t xml:space="preserve"> 2050 target</w:t>
      </w:r>
      <w:r w:rsidR="009216D8" w:rsidRPr="00B425EF">
        <w:t xml:space="preserve"> and made decisions about the 2050 target,</w:t>
      </w:r>
      <w:r w:rsidR="00AB42EA" w:rsidRPr="00B425EF">
        <w:t xml:space="preserve"> which </w:t>
      </w:r>
      <w:r w:rsidR="50B85568" w:rsidRPr="00B425EF">
        <w:t>are</w:t>
      </w:r>
      <w:r w:rsidR="00AB42EA" w:rsidRPr="00B425EF">
        <w:t xml:space="preserve"> provided below</w:t>
      </w:r>
      <w:r w:rsidR="0916DFE8" w:rsidRPr="00B425EF">
        <w:t>.</w:t>
      </w:r>
    </w:p>
    <w:tbl>
      <w:tblPr>
        <w:tblStyle w:val="MinistryfortheEnvironment"/>
        <w:tblW w:w="8505" w:type="dxa"/>
        <w:tblBorders>
          <w:bottom w:val="single" w:sz="4" w:space="0" w:color="1B556B" w:themeColor="text2"/>
          <w:insideH w:val="single" w:sz="4" w:space="0" w:color="1B556B" w:themeColor="text2"/>
        </w:tblBorders>
        <w:tblCellMar>
          <w:top w:w="227" w:type="dxa"/>
          <w:left w:w="227" w:type="dxa"/>
          <w:bottom w:w="227" w:type="dxa"/>
          <w:right w:w="227" w:type="dxa"/>
        </w:tblCellMar>
        <w:tblLook w:val="06A0" w:firstRow="1" w:lastRow="0" w:firstColumn="1" w:lastColumn="0" w:noHBand="1" w:noVBand="1"/>
      </w:tblPr>
      <w:tblGrid>
        <w:gridCol w:w="1245"/>
        <w:gridCol w:w="1805"/>
        <w:gridCol w:w="5455"/>
      </w:tblGrid>
      <w:tr w:rsidR="00B3335F" w:rsidRPr="00B425EF" w14:paraId="01E0ADF9" w14:textId="77777777" w:rsidTr="31BA4B08">
        <w:trPr>
          <w:cnfStyle w:val="100000000000" w:firstRow="1" w:lastRow="0" w:firstColumn="0" w:lastColumn="0" w:oddVBand="0" w:evenVBand="0" w:oddHBand="0" w:evenHBand="0" w:firstRowFirstColumn="0" w:firstRowLastColumn="0" w:lastRowFirstColumn="0" w:lastRowLastColumn="0"/>
          <w:trHeight w:val="1418"/>
        </w:trPr>
        <w:tc>
          <w:tcPr>
            <w:tcW w:w="8505" w:type="dxa"/>
            <w:gridSpan w:val="3"/>
            <w:tcBorders>
              <w:bottom w:val="single" w:sz="24" w:space="0" w:color="FFFFFF" w:themeColor="background1"/>
            </w:tcBorders>
            <w:shd w:val="clear" w:color="auto" w:fill="2C9986" w:themeFill="accent4"/>
            <w:tcMar>
              <w:right w:w="227" w:type="dxa"/>
            </w:tcMar>
            <w:vAlign w:val="center"/>
          </w:tcPr>
          <w:p w14:paraId="3AF270DD" w14:textId="59794492" w:rsidR="00B3335F" w:rsidRPr="00B425EF" w:rsidRDefault="00FC03BF" w:rsidP="00FC03BF">
            <w:pPr>
              <w:pStyle w:val="TableEmissions"/>
            </w:pPr>
            <w:r w:rsidRPr="00B425EF">
              <w:rPr>
                <w:b/>
              </w:rPr>
              <w:t>The Government’s 2050 target decisions</w:t>
            </w:r>
            <w:r w:rsidRPr="00B425EF" w:rsidDel="00A05D9E">
              <w:rPr>
                <w:b/>
              </w:rPr>
              <w:t xml:space="preserve"> </w:t>
            </w:r>
          </w:p>
        </w:tc>
      </w:tr>
      <w:tr w:rsidR="00C94AF0" w:rsidRPr="00B425EF" w14:paraId="28D687E7" w14:textId="77777777" w:rsidTr="31BA4B08">
        <w:trPr>
          <w:trHeight w:val="1143"/>
        </w:trPr>
        <w:tc>
          <w:tcPr>
            <w:tcW w:w="1245" w:type="dxa"/>
            <w:tcBorders>
              <w:bottom w:val="single" w:sz="24" w:space="0" w:color="FFFFFF" w:themeColor="background1"/>
            </w:tcBorders>
            <w:shd w:val="clear" w:color="auto" w:fill="D5EBE7"/>
            <w:tcMar>
              <w:right w:w="227" w:type="dxa"/>
            </w:tcMar>
          </w:tcPr>
          <w:p w14:paraId="237EDB36" w14:textId="77777777" w:rsidR="00B3335F" w:rsidRPr="00B425EF" w:rsidRDefault="00B3335F" w:rsidP="00311F5E">
            <w:pPr>
              <w:pStyle w:val="TableHeading2"/>
              <w:spacing w:before="100" w:after="100"/>
            </w:pPr>
            <w:r w:rsidRPr="00B425EF">
              <w:rPr>
                <w:noProof/>
              </w:rPr>
              <w:drawing>
                <wp:inline distT="0" distB="0" distL="0" distR="0" wp14:anchorId="199DBDF6" wp14:editId="538D5783">
                  <wp:extent cx="381600" cy="381600"/>
                  <wp:effectExtent l="0" t="0" r="0" b="0"/>
                  <wp:docPr id="1884537808"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1805" w:type="dxa"/>
            <w:tcBorders>
              <w:bottom w:val="single" w:sz="24" w:space="0" w:color="FFFFFF" w:themeColor="background1"/>
            </w:tcBorders>
            <w:shd w:val="clear" w:color="auto" w:fill="D5EBE7"/>
            <w:tcMar>
              <w:left w:w="0" w:type="dxa"/>
            </w:tcMar>
          </w:tcPr>
          <w:p w14:paraId="54AC7179" w14:textId="77777777" w:rsidR="00B3335F" w:rsidRPr="00B425EF" w:rsidRDefault="00B3335F" w:rsidP="00311F5E">
            <w:pPr>
              <w:pStyle w:val="TableHeading2"/>
              <w:spacing w:before="100" w:after="100"/>
            </w:pPr>
            <w:r w:rsidRPr="00B425EF">
              <w:t>Biogenic methane</w:t>
            </w:r>
          </w:p>
        </w:tc>
        <w:tc>
          <w:tcPr>
            <w:tcW w:w="5455" w:type="dxa"/>
            <w:tcBorders>
              <w:bottom w:val="single" w:sz="24" w:space="0" w:color="FFFFFF" w:themeColor="background1"/>
            </w:tcBorders>
            <w:shd w:val="clear" w:color="auto" w:fill="D5EBE7"/>
            <w:tcMar>
              <w:left w:w="170" w:type="dxa"/>
              <w:right w:w="113" w:type="dxa"/>
            </w:tcMar>
          </w:tcPr>
          <w:p w14:paraId="353FE13C" w14:textId="00AC0C2F" w:rsidR="00B3335F" w:rsidRPr="00B425EF" w:rsidRDefault="00B3335F" w:rsidP="00311F5E">
            <w:pPr>
              <w:pStyle w:val="BodyText"/>
              <w:spacing w:before="100" w:after="100"/>
            </w:pPr>
            <w:r w:rsidRPr="00B425EF">
              <w:t>Update the biogenic methane component to a 14</w:t>
            </w:r>
            <w:r w:rsidR="00044B41" w:rsidRPr="00B425EF">
              <w:t> percent</w:t>
            </w:r>
            <w:r w:rsidR="009216D8" w:rsidRPr="00B425EF">
              <w:t xml:space="preserve"> to </w:t>
            </w:r>
            <w:r w:rsidRPr="00B425EF">
              <w:t>24</w:t>
            </w:r>
            <w:r w:rsidR="00044B41" w:rsidRPr="00B425EF">
              <w:t> </w:t>
            </w:r>
            <w:r w:rsidRPr="00B425EF">
              <w:t xml:space="preserve">percent reduction </w:t>
            </w:r>
            <w:r w:rsidR="70D33D36">
              <w:t>from 2017 levels</w:t>
            </w:r>
            <w:r w:rsidR="08311410">
              <w:t xml:space="preserve"> </w:t>
            </w:r>
            <w:r w:rsidRPr="00B425EF">
              <w:t>by 2050</w:t>
            </w:r>
            <w:r w:rsidR="00C3349D">
              <w:t>.</w:t>
            </w:r>
            <w:r w:rsidRPr="00B425EF">
              <w:t xml:space="preserve"> </w:t>
            </w:r>
          </w:p>
          <w:p w14:paraId="768A0B0A" w14:textId="68ED4F2A" w:rsidR="00B3335F" w:rsidRPr="00B425EF" w:rsidRDefault="07FD9956" w:rsidP="00311F5E">
            <w:pPr>
              <w:pStyle w:val="BodyText"/>
              <w:spacing w:before="100" w:after="100"/>
            </w:pPr>
            <w:r>
              <w:t>M</w:t>
            </w:r>
            <w:r w:rsidR="00BD62B6">
              <w:t>aintain</w:t>
            </w:r>
            <w:r w:rsidR="00BD62B6" w:rsidRPr="00B425EF">
              <w:t xml:space="preserve"> the 10 percent below 2017 levels reduction in biogenic methane </w:t>
            </w:r>
            <w:r w:rsidR="00B3335F" w:rsidRPr="00B425EF">
              <w:t>required by</w:t>
            </w:r>
            <w:r w:rsidR="00044B41" w:rsidRPr="00B425EF">
              <w:t> </w:t>
            </w:r>
            <w:r w:rsidR="00B3335F" w:rsidRPr="00B425EF">
              <w:t>2030.</w:t>
            </w:r>
          </w:p>
        </w:tc>
      </w:tr>
      <w:tr w:rsidR="00C94AF0" w:rsidRPr="00B425EF" w14:paraId="3C3FC10F" w14:textId="77777777" w:rsidTr="31BA4B08">
        <w:trPr>
          <w:trHeight w:val="567"/>
        </w:trPr>
        <w:tc>
          <w:tcPr>
            <w:tcW w:w="1245" w:type="dxa"/>
            <w:tcBorders>
              <w:top w:val="single" w:sz="24" w:space="0" w:color="FFFFFF" w:themeColor="background1"/>
              <w:bottom w:val="single" w:sz="24" w:space="0" w:color="FFFFFF" w:themeColor="background1"/>
            </w:tcBorders>
            <w:shd w:val="clear" w:color="auto" w:fill="D5EBE7"/>
            <w:tcMar>
              <w:right w:w="227" w:type="dxa"/>
            </w:tcMar>
          </w:tcPr>
          <w:p w14:paraId="492879C4" w14:textId="77777777" w:rsidR="00B3335F" w:rsidRPr="00B425EF" w:rsidRDefault="00B3335F" w:rsidP="00311F5E">
            <w:pPr>
              <w:pStyle w:val="TableHeading2"/>
              <w:spacing w:before="100" w:after="100"/>
            </w:pPr>
            <w:r w:rsidRPr="00B425EF">
              <w:rPr>
                <w:noProof/>
              </w:rPr>
              <w:drawing>
                <wp:inline distT="0" distB="0" distL="0" distR="0" wp14:anchorId="706331ED" wp14:editId="287F3C2C">
                  <wp:extent cx="381600" cy="381600"/>
                  <wp:effectExtent l="0" t="0" r="0" b="0"/>
                  <wp:docPr id="616669118"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1805" w:type="dxa"/>
            <w:tcBorders>
              <w:top w:val="single" w:sz="24" w:space="0" w:color="FFFFFF" w:themeColor="background1"/>
              <w:bottom w:val="single" w:sz="24" w:space="0" w:color="FFFFFF" w:themeColor="background1"/>
            </w:tcBorders>
            <w:shd w:val="clear" w:color="auto" w:fill="D5EBE7"/>
            <w:tcMar>
              <w:left w:w="0" w:type="dxa"/>
            </w:tcMar>
          </w:tcPr>
          <w:p w14:paraId="30D42DAB" w14:textId="77777777" w:rsidR="00B3335F" w:rsidRPr="00B425EF" w:rsidRDefault="00B3335F" w:rsidP="00311F5E">
            <w:pPr>
              <w:pStyle w:val="TableHeading2"/>
              <w:spacing w:before="100" w:after="100"/>
            </w:pPr>
            <w:r w:rsidRPr="00B425EF">
              <w:t>Long-lived gases</w:t>
            </w:r>
          </w:p>
        </w:tc>
        <w:tc>
          <w:tcPr>
            <w:tcW w:w="5455" w:type="dxa"/>
            <w:tcBorders>
              <w:top w:val="single" w:sz="24" w:space="0" w:color="FFFFFF" w:themeColor="background1"/>
              <w:bottom w:val="single" w:sz="24" w:space="0" w:color="FFFFFF" w:themeColor="background1"/>
            </w:tcBorders>
            <w:shd w:val="clear" w:color="auto" w:fill="D5EBE7"/>
            <w:tcMar>
              <w:left w:w="170" w:type="dxa"/>
              <w:right w:w="113" w:type="dxa"/>
            </w:tcMar>
          </w:tcPr>
          <w:p w14:paraId="56E8CE50" w14:textId="03DADFBF" w:rsidR="00B3335F" w:rsidRPr="00B425EF" w:rsidRDefault="00B3335F" w:rsidP="00311F5E">
            <w:pPr>
              <w:pStyle w:val="BodyText"/>
              <w:spacing w:before="100" w:after="100"/>
            </w:pPr>
            <w:r w:rsidRPr="00B425EF">
              <w:t>Maintain the status quo for long-lived gases by 2050 (net zero emissions by 2050)</w:t>
            </w:r>
            <w:r w:rsidR="009216D8" w:rsidRPr="00B425EF">
              <w:t>.</w:t>
            </w:r>
          </w:p>
        </w:tc>
      </w:tr>
      <w:tr w:rsidR="00C94AF0" w:rsidRPr="00B425EF" w14:paraId="1E49764B" w14:textId="77777777" w:rsidTr="31BA4B08">
        <w:tc>
          <w:tcPr>
            <w:tcW w:w="1245" w:type="dxa"/>
            <w:tcBorders>
              <w:top w:val="single" w:sz="24" w:space="0" w:color="FFFFFF" w:themeColor="background1"/>
              <w:bottom w:val="single" w:sz="24" w:space="0" w:color="FFFFFF" w:themeColor="background1"/>
            </w:tcBorders>
            <w:shd w:val="clear" w:color="auto" w:fill="D5EBE7"/>
            <w:tcMar>
              <w:right w:w="227" w:type="dxa"/>
            </w:tcMar>
          </w:tcPr>
          <w:p w14:paraId="74DE28CC" w14:textId="77777777" w:rsidR="00B3335F" w:rsidRPr="00B425EF" w:rsidRDefault="00B3335F" w:rsidP="00311F5E">
            <w:pPr>
              <w:pStyle w:val="TableHeading2"/>
              <w:spacing w:before="100" w:after="100"/>
            </w:pPr>
            <w:r w:rsidRPr="00B425EF">
              <w:rPr>
                <w:noProof/>
              </w:rPr>
              <w:drawing>
                <wp:inline distT="0" distB="0" distL="0" distR="0" wp14:anchorId="34342D31" wp14:editId="50B67609">
                  <wp:extent cx="381600" cy="381600"/>
                  <wp:effectExtent l="0" t="0" r="0" b="0"/>
                  <wp:docPr id="1623098550"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1805" w:type="dxa"/>
            <w:tcBorders>
              <w:top w:val="single" w:sz="24" w:space="0" w:color="FFFFFF" w:themeColor="background1"/>
              <w:bottom w:val="single" w:sz="24" w:space="0" w:color="FFFFFF" w:themeColor="background1"/>
            </w:tcBorders>
            <w:shd w:val="clear" w:color="auto" w:fill="D5EBE7"/>
            <w:tcMar>
              <w:left w:w="0" w:type="dxa"/>
            </w:tcMar>
          </w:tcPr>
          <w:p w14:paraId="09D01DD6" w14:textId="77777777" w:rsidR="00B3335F" w:rsidRPr="00B425EF" w:rsidRDefault="00B3335F" w:rsidP="00311F5E">
            <w:pPr>
              <w:pStyle w:val="TableHeading2"/>
              <w:spacing w:before="100" w:after="100"/>
            </w:pPr>
            <w:r w:rsidRPr="00B425EF">
              <w:t>International shipping and aviation</w:t>
            </w:r>
          </w:p>
        </w:tc>
        <w:tc>
          <w:tcPr>
            <w:tcW w:w="5455" w:type="dxa"/>
            <w:tcBorders>
              <w:top w:val="single" w:sz="24" w:space="0" w:color="FFFFFF" w:themeColor="background1"/>
              <w:bottom w:val="single" w:sz="24" w:space="0" w:color="FFFFFF" w:themeColor="background1"/>
            </w:tcBorders>
            <w:shd w:val="clear" w:color="auto" w:fill="D5EBE7"/>
            <w:tcMar>
              <w:left w:w="170" w:type="dxa"/>
              <w:right w:w="113" w:type="dxa"/>
            </w:tcMar>
          </w:tcPr>
          <w:p w14:paraId="10155ACF" w14:textId="53F513B7" w:rsidR="00B3335F" w:rsidRPr="00B425EF" w:rsidRDefault="00B3335F" w:rsidP="00311F5E">
            <w:pPr>
              <w:pStyle w:val="BodyText"/>
              <w:spacing w:before="100" w:after="100"/>
            </w:pPr>
            <w:r w:rsidRPr="00B425EF">
              <w:t>Maintain the status quo for international shipping and aviation (exclude from 2050 target)</w:t>
            </w:r>
            <w:r w:rsidR="009E21C9" w:rsidRPr="00B425EF">
              <w:t>.</w:t>
            </w:r>
          </w:p>
        </w:tc>
      </w:tr>
      <w:tr w:rsidR="00B3335F" w:rsidRPr="00B425EF" w14:paraId="4BB27E22" w14:textId="77777777" w:rsidTr="31BA4B08">
        <w:tc>
          <w:tcPr>
            <w:tcW w:w="1245" w:type="dxa"/>
            <w:tcBorders>
              <w:top w:val="single" w:sz="24" w:space="0" w:color="FFFFFF" w:themeColor="background1"/>
              <w:bottom w:val="single" w:sz="24" w:space="0" w:color="FFFFFF" w:themeColor="background1"/>
            </w:tcBorders>
            <w:shd w:val="clear" w:color="auto" w:fill="D5EBE7"/>
            <w:tcMar>
              <w:right w:w="227" w:type="dxa"/>
            </w:tcMar>
          </w:tcPr>
          <w:p w14:paraId="034BCC7A" w14:textId="77777777" w:rsidR="00B3335F" w:rsidRPr="00B425EF" w:rsidRDefault="00B3335F" w:rsidP="00311F5E">
            <w:pPr>
              <w:pStyle w:val="TableHeading2"/>
              <w:spacing w:before="100" w:after="100"/>
            </w:pPr>
            <w:r w:rsidRPr="00B425EF">
              <w:rPr>
                <w:noProof/>
              </w:rPr>
              <w:drawing>
                <wp:inline distT="0" distB="0" distL="0" distR="0" wp14:anchorId="02DB0AD2" wp14:editId="283ABBB5">
                  <wp:extent cx="381600" cy="381600"/>
                  <wp:effectExtent l="0" t="0" r="0" b="0"/>
                  <wp:docPr id="795625592" name="Graphic 12" descr="Chevron arrow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7808" name="Graphic 1884537808" descr="Chevron arrows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381600" cy="381600"/>
                          </a:xfrm>
                          <a:prstGeom prst="rect">
                            <a:avLst/>
                          </a:prstGeom>
                        </pic:spPr>
                      </pic:pic>
                    </a:graphicData>
                  </a:graphic>
                </wp:inline>
              </w:drawing>
            </w:r>
          </w:p>
        </w:tc>
        <w:tc>
          <w:tcPr>
            <w:tcW w:w="1805" w:type="dxa"/>
            <w:tcBorders>
              <w:top w:val="single" w:sz="24" w:space="0" w:color="FFFFFF" w:themeColor="background1"/>
              <w:bottom w:val="single" w:sz="24" w:space="0" w:color="FFFFFF" w:themeColor="background1"/>
            </w:tcBorders>
            <w:shd w:val="clear" w:color="auto" w:fill="D5EBE7"/>
            <w:tcMar>
              <w:left w:w="0" w:type="dxa"/>
            </w:tcMar>
          </w:tcPr>
          <w:p w14:paraId="0DF024C3" w14:textId="77777777" w:rsidR="00B3335F" w:rsidRPr="00B425EF" w:rsidRDefault="00B3335F" w:rsidP="00311F5E">
            <w:pPr>
              <w:pStyle w:val="TableHeading2"/>
              <w:spacing w:before="100" w:after="100"/>
            </w:pPr>
            <w:r w:rsidRPr="00B425EF">
              <w:t>Post-2050 reductions and removals</w:t>
            </w:r>
          </w:p>
        </w:tc>
        <w:tc>
          <w:tcPr>
            <w:tcW w:w="5455" w:type="dxa"/>
            <w:tcBorders>
              <w:top w:val="single" w:sz="24" w:space="0" w:color="FFFFFF" w:themeColor="background1"/>
              <w:bottom w:val="single" w:sz="24" w:space="0" w:color="FFFFFF" w:themeColor="background1"/>
            </w:tcBorders>
            <w:shd w:val="clear" w:color="auto" w:fill="D5EBE7"/>
            <w:tcMar>
              <w:left w:w="170" w:type="dxa"/>
              <w:right w:w="113" w:type="dxa"/>
            </w:tcMar>
          </w:tcPr>
          <w:p w14:paraId="50BF0869" w14:textId="3A84143E" w:rsidR="00B3335F" w:rsidRPr="00BC2B02" w:rsidRDefault="00BC2B02" w:rsidP="00311F5E">
            <w:pPr>
              <w:pStyle w:val="BodyText"/>
              <w:spacing w:before="100" w:after="100"/>
            </w:pPr>
            <w:r>
              <w:t>M</w:t>
            </w:r>
            <w:r w:rsidR="003042FC">
              <w:t>aintain status quo for post-2050 emissions reductions and removals</w:t>
            </w:r>
          </w:p>
        </w:tc>
      </w:tr>
    </w:tbl>
    <w:p w14:paraId="61AD38B4" w14:textId="289126B4" w:rsidR="00175548" w:rsidRPr="00B425EF" w:rsidRDefault="00727465" w:rsidP="00135415">
      <w:pPr>
        <w:pStyle w:val="BodyText"/>
        <w:spacing w:before="240"/>
      </w:pPr>
      <w:r w:rsidRPr="00B425EF">
        <w:t xml:space="preserve">These decisions </w:t>
      </w:r>
      <w:r w:rsidR="007C1FA7" w:rsidRPr="00B425EF">
        <w:t xml:space="preserve">represent a </w:t>
      </w:r>
      <w:r w:rsidRPr="00B425EF">
        <w:t>depart</w:t>
      </w:r>
      <w:r w:rsidR="007C1FA7" w:rsidRPr="00B425EF">
        <w:t>ure</w:t>
      </w:r>
      <w:r w:rsidRPr="00B425EF">
        <w:t xml:space="preserve"> from the Commission’s recommendation on the 2050</w:t>
      </w:r>
      <w:r w:rsidR="00135415" w:rsidRPr="00B425EF">
        <w:t> </w:t>
      </w:r>
      <w:r w:rsidRPr="00B425EF">
        <w:t>target</w:t>
      </w:r>
      <w:r w:rsidR="42881221" w:rsidRPr="00B425EF">
        <w:t>.</w:t>
      </w:r>
      <w:r w:rsidR="2CC057CE" w:rsidRPr="00B425EF">
        <w:t xml:space="preserve"> </w:t>
      </w:r>
    </w:p>
    <w:p w14:paraId="539F5571" w14:textId="083EC5EE" w:rsidR="00727465" w:rsidRPr="00B425EF" w:rsidRDefault="2CC057CE" w:rsidP="0019603A">
      <w:pPr>
        <w:pStyle w:val="BodyText"/>
      </w:pPr>
      <w:r w:rsidRPr="00B425EF">
        <w:t xml:space="preserve">The </w:t>
      </w:r>
      <w:r w:rsidR="72525CCB" w:rsidRPr="00B425EF">
        <w:t>following sections provide further detail on</w:t>
      </w:r>
      <w:r w:rsidR="0034628B" w:rsidRPr="00B425EF">
        <w:t>,</w:t>
      </w:r>
      <w:r w:rsidR="006E5A41" w:rsidRPr="00B425EF">
        <w:t xml:space="preserve"> and rationale for</w:t>
      </w:r>
      <w:r w:rsidR="0034628B" w:rsidRPr="00B425EF">
        <w:t>,</w:t>
      </w:r>
      <w:r w:rsidR="72525CCB" w:rsidRPr="00B425EF">
        <w:t xml:space="preserve"> the</w:t>
      </w:r>
      <w:r w:rsidR="009E21C9" w:rsidRPr="00B425EF">
        <w:t xml:space="preserve"> Government’s</w:t>
      </w:r>
      <w:r w:rsidR="72525CCB" w:rsidRPr="00B425EF">
        <w:t xml:space="preserve"> decisions</w:t>
      </w:r>
      <w:r w:rsidR="003F00BF" w:rsidRPr="00B425EF">
        <w:t>,</w:t>
      </w:r>
      <w:r w:rsidR="2C598D01" w:rsidRPr="00B425EF">
        <w:t xml:space="preserve"> </w:t>
      </w:r>
      <w:r w:rsidR="72525CCB" w:rsidRPr="00B425EF">
        <w:t>and</w:t>
      </w:r>
      <w:r w:rsidR="006E5A41" w:rsidRPr="00B425EF">
        <w:t xml:space="preserve"> on the Government’s approach to considering </w:t>
      </w:r>
      <w:r w:rsidR="72525CCB" w:rsidRPr="00B425EF">
        <w:t>the Commission’s recommendation</w:t>
      </w:r>
      <w:r w:rsidR="00505597" w:rsidRPr="00B425EF">
        <w:t>s</w:t>
      </w:r>
      <w:r w:rsidR="72525CCB" w:rsidRPr="00B425EF">
        <w:t xml:space="preserve">. </w:t>
      </w:r>
    </w:p>
    <w:p w14:paraId="708BB043" w14:textId="0E985A60" w:rsidR="0916DFE8" w:rsidRPr="00B425EF" w:rsidRDefault="7114889C" w:rsidP="00135415">
      <w:pPr>
        <w:pStyle w:val="BodyText"/>
      </w:pPr>
      <w:r w:rsidRPr="00B425EF">
        <w:t>See</w:t>
      </w:r>
      <w:r w:rsidRPr="00B425EF">
        <w:rPr>
          <w:i/>
          <w:iCs/>
        </w:rPr>
        <w:t xml:space="preserve"> </w:t>
      </w:r>
      <w:hyperlink w:anchor="_Appendix_2:_Summary" w:history="1">
        <w:r w:rsidR="009E21C9" w:rsidRPr="00B425EF">
          <w:rPr>
            <w:rStyle w:val="Hyperlink"/>
          </w:rPr>
          <w:t>a</w:t>
        </w:r>
        <w:r w:rsidRPr="00B425EF">
          <w:rPr>
            <w:rStyle w:val="Hyperlink"/>
          </w:rPr>
          <w:t>ppendix 2</w:t>
        </w:r>
      </w:hyperlink>
      <w:r w:rsidR="00AF5C45">
        <w:t>,</w:t>
      </w:r>
      <w:r w:rsidRPr="00B425EF">
        <w:rPr>
          <w:i/>
          <w:iCs/>
        </w:rPr>
        <w:t xml:space="preserve"> </w:t>
      </w:r>
      <w:r w:rsidRPr="00B425EF">
        <w:t>for</w:t>
      </w:r>
      <w:r w:rsidR="00073639" w:rsidRPr="00B425EF">
        <w:t xml:space="preserve"> </w:t>
      </w:r>
      <w:r w:rsidR="2DB511DB" w:rsidRPr="00B425EF">
        <w:t>further details</w:t>
      </w:r>
      <w:r w:rsidR="00073639" w:rsidRPr="00B425EF">
        <w:t xml:space="preserve"> on </w:t>
      </w:r>
      <w:r w:rsidR="003A2E3A" w:rsidRPr="00B425EF">
        <w:t xml:space="preserve">the </w:t>
      </w:r>
      <w:r w:rsidR="00073639" w:rsidRPr="00B425EF">
        <w:t>impact analysis of options</w:t>
      </w:r>
      <w:r w:rsidRPr="00B425EF">
        <w:t>.</w:t>
      </w:r>
    </w:p>
    <w:p w14:paraId="652A9A72" w14:textId="1958C528" w:rsidR="00F26E36" w:rsidRPr="00B425EF" w:rsidRDefault="003A2E3A" w:rsidP="3A4C152D">
      <w:pPr>
        <w:pStyle w:val="Heading3"/>
        <w:rPr>
          <w:rFonts w:ascii="Calibri" w:eastAsiaTheme="minorEastAsia" w:hAnsi="Calibri" w:cstheme="minorBidi"/>
          <w:b w:val="0"/>
          <w:bCs w:val="0"/>
          <w:sz w:val="22"/>
        </w:rPr>
      </w:pPr>
      <w:bookmarkStart w:id="13" w:name="_Toc210040567"/>
      <w:r>
        <w:lastRenderedPageBreak/>
        <w:t>B</w:t>
      </w:r>
      <w:r w:rsidR="0916DFE8">
        <w:t>iogenic methane component of the 2050 target</w:t>
      </w:r>
      <w:bookmarkEnd w:id="13"/>
      <w:r w:rsidR="00381BF9" w:rsidRPr="56721351">
        <w:rPr>
          <w:rFonts w:ascii="Calibri" w:eastAsiaTheme="minorEastAsia" w:hAnsi="Calibri" w:cstheme="minorBidi"/>
          <w:b w:val="0"/>
          <w:bCs w:val="0"/>
          <w:sz w:val="22"/>
        </w:rPr>
        <w:t xml:space="preserve"> </w:t>
      </w:r>
    </w:p>
    <w:p w14:paraId="3A3A5F44" w14:textId="027F485E" w:rsidR="00E75BD1" w:rsidRPr="00B425EF" w:rsidRDefault="00381BF9" w:rsidP="00135415">
      <w:pPr>
        <w:pStyle w:val="Heading4"/>
      </w:pPr>
      <w:r w:rsidRPr="00B425EF">
        <w:t>Why we are updating the target</w:t>
      </w:r>
    </w:p>
    <w:p w14:paraId="670E90D5" w14:textId="3A1E752A" w:rsidR="00E75BD1" w:rsidRPr="00B425EF" w:rsidRDefault="6379EC5B" w:rsidP="00311F5E">
      <w:pPr>
        <w:pStyle w:val="BodyText"/>
        <w:spacing w:before="100" w:after="100"/>
      </w:pPr>
      <w:r w:rsidRPr="00B425EF">
        <w:t>The Government has decided to update the biogenic methane component of the 2050 target</w:t>
      </w:r>
      <w:r w:rsidR="00E75BD1" w:rsidRPr="00B425EF">
        <w:t xml:space="preserve"> </w:t>
      </w:r>
      <w:r w:rsidR="00995EE9" w:rsidRPr="00B425EF">
        <w:t>to</w:t>
      </w:r>
      <w:r w:rsidR="00135415" w:rsidRPr="00B425EF">
        <w:t> </w:t>
      </w:r>
      <w:r w:rsidR="00666514" w:rsidRPr="00B425EF">
        <w:t>be</w:t>
      </w:r>
      <w:r w:rsidR="00E75BD1" w:rsidRPr="00B425EF">
        <w:t>:</w:t>
      </w:r>
    </w:p>
    <w:p w14:paraId="3E94717A" w14:textId="2FC050F2" w:rsidR="00E75BD1" w:rsidRDefault="00E75BD1" w:rsidP="56721351">
      <w:pPr>
        <w:pStyle w:val="Bullet"/>
      </w:pPr>
      <w:r>
        <w:t xml:space="preserve">a 14 </w:t>
      </w:r>
      <w:r w:rsidR="003A2E3A">
        <w:t xml:space="preserve">percent </w:t>
      </w:r>
      <w:r>
        <w:t>to 24 percent reduction from 2017 level</w:t>
      </w:r>
      <w:r w:rsidR="00466EF9">
        <w:t>s</w:t>
      </w:r>
      <w:r w:rsidR="00666514">
        <w:t xml:space="preserve"> by 2050</w:t>
      </w:r>
      <w:r w:rsidR="384A154E">
        <w:t>, and for each subsequent calendar year</w:t>
      </w:r>
      <w:r w:rsidR="003A2E3A">
        <w:t>.</w:t>
      </w:r>
    </w:p>
    <w:p w14:paraId="18878FF9" w14:textId="72142220" w:rsidR="31C2DCF8" w:rsidRPr="00B425EF" w:rsidRDefault="6379EC5B" w:rsidP="00C9666F">
      <w:pPr>
        <w:pStyle w:val="BodyText"/>
        <w:rPr>
          <w:vertAlign w:val="superscript"/>
        </w:rPr>
      </w:pPr>
      <w:r>
        <w:t>The</w:t>
      </w:r>
      <w:r w:rsidR="007E493F">
        <w:t xml:space="preserve"> target</w:t>
      </w:r>
      <w:r w:rsidR="4D56B3B1">
        <w:t xml:space="preserve"> strikes a balance between climate ambition and the economic significance of</w:t>
      </w:r>
      <w:r w:rsidR="004507E1">
        <w:t> </w:t>
      </w:r>
      <w:r w:rsidR="4D56B3B1">
        <w:t>the agriculture sector</w:t>
      </w:r>
      <w:r w:rsidR="453BBB2F">
        <w:t xml:space="preserve"> </w:t>
      </w:r>
      <w:r w:rsidR="005372DC">
        <w:t xml:space="preserve">(see </w:t>
      </w:r>
      <w:hyperlink w:anchor="tabA2_3">
        <w:r w:rsidR="00FA2B9C" w:rsidRPr="207DECB7">
          <w:rPr>
            <w:rStyle w:val="Hyperlink"/>
          </w:rPr>
          <w:t>appendix 2</w:t>
        </w:r>
        <w:r w:rsidR="005372DC">
          <w:t xml:space="preserve">, </w:t>
        </w:r>
        <w:r w:rsidR="005372DC" w:rsidRPr="207DECB7">
          <w:rPr>
            <w:rStyle w:val="Hyperlink"/>
          </w:rPr>
          <w:t>table A2.3</w:t>
        </w:r>
      </w:hyperlink>
      <w:r w:rsidR="005372DC">
        <w:t>)</w:t>
      </w:r>
      <w:r w:rsidR="13647EB5">
        <w:t>.</w:t>
      </w:r>
      <w:r>
        <w:t xml:space="preserve"> </w:t>
      </w:r>
      <w:r w:rsidR="1E0DA1B3">
        <w:t xml:space="preserve">It </w:t>
      </w:r>
      <w:r w:rsidR="4D56B3B1">
        <w:t>maintains a domestic response to climate change that contributes to</w:t>
      </w:r>
      <w:r w:rsidR="004507E1">
        <w:t> </w:t>
      </w:r>
      <w:r w:rsidR="4D56B3B1">
        <w:t>New Zealand’s international commitments</w:t>
      </w:r>
      <w:r w:rsidR="00E13AB2">
        <w:t xml:space="preserve">. </w:t>
      </w:r>
    </w:p>
    <w:p w14:paraId="260293FA" w14:textId="7D11DFD2" w:rsidR="7A761A34" w:rsidRPr="00B425EF" w:rsidRDefault="7A761A34" w:rsidP="3A4C152D">
      <w:pPr>
        <w:pStyle w:val="BodyText"/>
        <w:spacing w:before="100" w:after="100"/>
        <w:rPr>
          <w:vertAlign w:val="superscript"/>
        </w:rPr>
      </w:pPr>
      <w:r w:rsidRPr="00B425EF">
        <w:t xml:space="preserve">New Zealand’s primary sector </w:t>
      </w:r>
      <w:r w:rsidR="00033DC8" w:rsidRPr="00B425EF">
        <w:t xml:space="preserve">is the </w:t>
      </w:r>
      <w:r w:rsidR="00FE2384" w:rsidRPr="00B425EF">
        <w:t>backbone</w:t>
      </w:r>
      <w:r w:rsidR="00033DC8" w:rsidRPr="00B425EF">
        <w:t xml:space="preserve"> of the economy and </w:t>
      </w:r>
      <w:r w:rsidRPr="00B425EF">
        <w:t>account</w:t>
      </w:r>
      <w:r w:rsidR="5B96A021" w:rsidRPr="00B425EF">
        <w:t>s</w:t>
      </w:r>
      <w:r w:rsidRPr="00B425EF">
        <w:t xml:space="preserve"> for 10</w:t>
      </w:r>
      <w:r w:rsidR="009E25F1" w:rsidRPr="00B425EF">
        <w:t xml:space="preserve"> percent</w:t>
      </w:r>
      <w:r w:rsidRPr="00B425EF">
        <w:t xml:space="preserve"> of</w:t>
      </w:r>
      <w:r w:rsidR="004507E1" w:rsidRPr="00B425EF">
        <w:t> </w:t>
      </w:r>
      <w:r w:rsidR="004415BA" w:rsidRPr="00B425EF">
        <w:t>gross domestic product (</w:t>
      </w:r>
      <w:r w:rsidRPr="00B425EF">
        <w:t>GDP</w:t>
      </w:r>
      <w:r w:rsidR="004415BA" w:rsidRPr="00B425EF">
        <w:t>)</w:t>
      </w:r>
      <w:r w:rsidR="00311528" w:rsidRPr="00B425EF">
        <w:t xml:space="preserve">. </w:t>
      </w:r>
      <w:r w:rsidR="00E0459C" w:rsidRPr="00B425EF">
        <w:t xml:space="preserve">The primary sector </w:t>
      </w:r>
      <w:r w:rsidR="00311528" w:rsidRPr="00B425EF">
        <w:t>has earned</w:t>
      </w:r>
      <w:r w:rsidRPr="00B425EF">
        <w:t xml:space="preserve"> almost $60 billion in export revenue in the past year, contributing 12.4</w:t>
      </w:r>
      <w:r w:rsidR="009E25F1" w:rsidRPr="00B425EF">
        <w:t xml:space="preserve"> percent</w:t>
      </w:r>
      <w:r w:rsidRPr="00B425EF">
        <w:t xml:space="preserve"> of overall employment, and totalling 82.5</w:t>
      </w:r>
      <w:r w:rsidR="004415BA" w:rsidRPr="00B425EF">
        <w:t> </w:t>
      </w:r>
      <w:r w:rsidR="009E25F1" w:rsidRPr="00B425EF">
        <w:t>percent</w:t>
      </w:r>
      <w:r w:rsidRPr="00B425EF">
        <w:t xml:space="preserve"> of New Zealand’s goods exports</w:t>
      </w:r>
      <w:r w:rsidR="00E0459C" w:rsidRPr="00B425EF">
        <w:t>.</w:t>
      </w:r>
      <w:r w:rsidR="006D39D0" w:rsidRPr="3A4C152D">
        <w:rPr>
          <w:rFonts w:asciiTheme="minorHAnsi" w:hAnsiTheme="minorHAnsi"/>
          <w:vertAlign w:val="superscript"/>
        </w:rPr>
        <w:footnoteReference w:id="14"/>
      </w:r>
      <w:r w:rsidR="005D55C3">
        <w:t xml:space="preserve"> </w:t>
      </w:r>
      <w:r w:rsidRPr="00B425EF">
        <w:t>New Zealand farmers are among the most productive and emissions efficient in the world.</w:t>
      </w:r>
      <w:r w:rsidRPr="00B425EF">
        <w:rPr>
          <w:vertAlign w:val="superscript"/>
        </w:rPr>
        <w:footnoteReference w:id="15"/>
      </w:r>
      <w:r w:rsidR="69E9156A" w:rsidRPr="3A4C152D">
        <w:rPr>
          <w:vertAlign w:val="superscript"/>
        </w:rPr>
        <w:t xml:space="preserve"> </w:t>
      </w:r>
    </w:p>
    <w:p w14:paraId="4FC855F4" w14:textId="1F7F637A" w:rsidR="7A761A34" w:rsidRPr="00B425EF" w:rsidRDefault="28A2D1A5" w:rsidP="3A4C152D">
      <w:pPr>
        <w:pStyle w:val="BodyText"/>
        <w:spacing w:before="100" w:after="100"/>
        <w:rPr>
          <w:vertAlign w:val="superscript"/>
        </w:rPr>
      </w:pPr>
      <w:r w:rsidRPr="3A4C152D">
        <w:t xml:space="preserve">To support </w:t>
      </w:r>
      <w:r>
        <w:t>the sector, t</w:t>
      </w:r>
      <w:r w:rsidR="7EB0BB90">
        <w:t>he Government is already investing more than $400 million in the primary sector industry to speed up the development and roll-out of tools to cut methane emissions.</w:t>
      </w:r>
      <w:r w:rsidR="7A761A34" w:rsidRPr="3A4C152D">
        <w:rPr>
          <w:vertAlign w:val="superscript"/>
        </w:rPr>
        <w:footnoteReference w:id="16"/>
      </w:r>
      <w:r w:rsidR="7EB0BB90">
        <w:t xml:space="preserve"> This is alongside advances in genetics and feed and farm management. Incentive schemes by industry will also help drive emissions reductions.</w:t>
      </w:r>
    </w:p>
    <w:p w14:paraId="5B0C8812" w14:textId="2C640C1C" w:rsidR="7A761A34" w:rsidRPr="00B425EF" w:rsidRDefault="053A2DB2" w:rsidP="00882EB6">
      <w:pPr>
        <w:pStyle w:val="BodyText"/>
        <w:spacing w:before="100" w:after="100"/>
        <w:rPr>
          <w:vertAlign w:val="superscript"/>
        </w:rPr>
      </w:pPr>
      <w:r>
        <w:t>W</w:t>
      </w:r>
      <w:r w:rsidR="5FD38996" w:rsidRPr="00B425EF">
        <w:t>e</w:t>
      </w:r>
      <w:r w:rsidR="6E3DCB72">
        <w:t xml:space="preserve"> </w:t>
      </w:r>
      <w:r w:rsidR="277D9C14">
        <w:t>considered the views of</w:t>
      </w:r>
      <w:r w:rsidR="7A761A34" w:rsidDel="7A761A34">
        <w:t xml:space="preserve"> </w:t>
      </w:r>
      <w:r w:rsidR="3D44F8B0" w:rsidRPr="00B425EF">
        <w:t xml:space="preserve">industry </w:t>
      </w:r>
      <w:r w:rsidR="7A761A34" w:rsidDel="7A761A34">
        <w:t xml:space="preserve">to </w:t>
      </w:r>
      <w:r w:rsidR="3F53D145">
        <w:t xml:space="preserve">ensure </w:t>
      </w:r>
      <w:r w:rsidR="3D44F8B0" w:rsidRPr="00B425EF">
        <w:t>a practical target</w:t>
      </w:r>
      <w:r w:rsidR="606500C0">
        <w:t xml:space="preserve"> was developed</w:t>
      </w:r>
      <w:r w:rsidR="3D44F8B0" w:rsidRPr="00B425EF">
        <w:t xml:space="preserve"> that protects food production </w:t>
      </w:r>
      <w:r w:rsidR="00EE6FF1" w:rsidRPr="00B425EF">
        <w:t xml:space="preserve">while </w:t>
      </w:r>
      <w:r w:rsidR="3D44F8B0" w:rsidRPr="00320CA4">
        <w:rPr>
          <w:spacing w:val="-2"/>
        </w:rPr>
        <w:t>also</w:t>
      </w:r>
      <w:r w:rsidR="00302E5B" w:rsidRPr="00320CA4">
        <w:rPr>
          <w:spacing w:val="-2"/>
        </w:rPr>
        <w:t> </w:t>
      </w:r>
      <w:r w:rsidR="3D44F8B0" w:rsidRPr="00320CA4">
        <w:rPr>
          <w:spacing w:val="-2"/>
        </w:rPr>
        <w:t>reducing emissions.</w:t>
      </w:r>
      <w:r w:rsidR="003D3CDF" w:rsidRPr="00320CA4">
        <w:rPr>
          <w:spacing w:val="-2"/>
          <w:vertAlign w:val="superscript"/>
        </w:rPr>
        <w:footnoteReference w:id="17"/>
      </w:r>
      <w:r w:rsidR="00B6156E" w:rsidRPr="00320CA4">
        <w:rPr>
          <w:spacing w:val="-2"/>
          <w:vertAlign w:val="superscript"/>
        </w:rPr>
        <w:t xml:space="preserve"> </w:t>
      </w:r>
    </w:p>
    <w:p w14:paraId="51ADFCBA" w14:textId="1200D190" w:rsidR="2E685D13" w:rsidRPr="00B425EF" w:rsidRDefault="2E685D13" w:rsidP="00C9666F">
      <w:pPr>
        <w:pStyle w:val="Heading5"/>
        <w:spacing w:before="100" w:after="100"/>
        <w:rPr>
          <w:vertAlign w:val="superscript"/>
        </w:rPr>
      </w:pPr>
      <w:r>
        <w:t>Balancing economic growth, climate action and feasibility</w:t>
      </w:r>
    </w:p>
    <w:p w14:paraId="3581BFA6" w14:textId="04515460" w:rsidR="00E3348F" w:rsidRPr="00B425EF" w:rsidRDefault="00E3348F" w:rsidP="00882EB6">
      <w:pPr>
        <w:pStyle w:val="BodyText"/>
        <w:spacing w:before="100" w:after="100"/>
      </w:pPr>
      <w:r w:rsidRPr="00B425EF">
        <w:t xml:space="preserve">The Government’s </w:t>
      </w:r>
      <w:r w:rsidR="00D63E69" w:rsidRPr="00B425EF">
        <w:t>decision differs from the Commission’s recommendation to increase the biogenic methane target to a 35</w:t>
      </w:r>
      <w:r w:rsidR="0098547A" w:rsidRPr="00B425EF">
        <w:t xml:space="preserve"> percent to </w:t>
      </w:r>
      <w:r w:rsidR="00D63E69" w:rsidRPr="00B425EF">
        <w:t>47 percent reduction by 2050 (from 2017 levels).</w:t>
      </w:r>
    </w:p>
    <w:p w14:paraId="71B9B0E9" w14:textId="6F36032E" w:rsidR="00014D97" w:rsidRPr="00B425EF" w:rsidRDefault="003B008A" w:rsidP="00882EB6">
      <w:pPr>
        <w:pStyle w:val="BodyText"/>
        <w:spacing w:before="100" w:after="100"/>
        <w:rPr>
          <w:vertAlign w:val="superscript"/>
        </w:rPr>
      </w:pPr>
      <w:r w:rsidRPr="00B425EF">
        <w:t xml:space="preserve">The </w:t>
      </w:r>
      <w:r w:rsidR="7A322B75" w:rsidRPr="00B425EF">
        <w:t>G</w:t>
      </w:r>
      <w:r w:rsidR="15A9955B" w:rsidRPr="00B425EF">
        <w:t xml:space="preserve">overnment disagrees with the Commission that the biogenic methane component of the 2050 target should be </w:t>
      </w:r>
      <w:r w:rsidR="7F3D16EE" w:rsidRPr="00B425EF">
        <w:t xml:space="preserve">increased. </w:t>
      </w:r>
      <w:r w:rsidR="00AA79B9" w:rsidRPr="00B425EF">
        <w:t xml:space="preserve">In reaching this conclusion, </w:t>
      </w:r>
      <w:r w:rsidRPr="00B425EF">
        <w:t xml:space="preserve">we </w:t>
      </w:r>
      <w:r w:rsidR="7F3D16EE" w:rsidRPr="00B425EF">
        <w:t>considered the potential impact of the Commission’s proposal on the economy</w:t>
      </w:r>
      <w:r w:rsidR="009E6E8E" w:rsidRPr="00B425EF">
        <w:t xml:space="preserve"> </w:t>
      </w:r>
      <w:r w:rsidR="7F3D16EE" w:rsidRPr="00B425EF">
        <w:t>and the climate, as well as the feasibility of the policy mix and the technology required</w:t>
      </w:r>
      <w:r w:rsidR="00DB12CF" w:rsidRPr="00B425EF">
        <w:t xml:space="preserve"> (see </w:t>
      </w:r>
      <w:hyperlink w:anchor="tabA2_2" w:history="1">
        <w:r w:rsidRPr="00B425EF">
          <w:rPr>
            <w:rStyle w:val="Hyperlink"/>
          </w:rPr>
          <w:t>a</w:t>
        </w:r>
        <w:r w:rsidR="002F6911" w:rsidRPr="00B425EF">
          <w:rPr>
            <w:rStyle w:val="Hyperlink"/>
          </w:rPr>
          <w:t>ppendix 2</w:t>
        </w:r>
        <w:r w:rsidR="46388EC2" w:rsidRPr="00B425EF">
          <w:t>,</w:t>
        </w:r>
        <w:r w:rsidR="46388EC2" w:rsidRPr="00B425EF">
          <w:rPr>
            <w:rStyle w:val="Hyperlink"/>
          </w:rPr>
          <w:t xml:space="preserve"> table A2.2</w:t>
        </w:r>
      </w:hyperlink>
      <w:r w:rsidR="00861A47" w:rsidRPr="00B425EF">
        <w:t>)</w:t>
      </w:r>
      <w:r w:rsidR="7F3D16EE" w:rsidRPr="00B425EF">
        <w:t>.</w:t>
      </w:r>
    </w:p>
    <w:p w14:paraId="299158BF" w14:textId="141D84AD" w:rsidR="00D747F1" w:rsidRPr="00B425EF" w:rsidRDefault="237C4B0C" w:rsidP="00882EB6">
      <w:pPr>
        <w:pStyle w:val="BodyText"/>
        <w:spacing w:before="100" w:after="100"/>
      </w:pPr>
      <w:r w:rsidRPr="00B425EF">
        <w:t>Our e</w:t>
      </w:r>
      <w:r w:rsidR="4658A618" w:rsidRPr="00B425EF">
        <w:t xml:space="preserve">conomic </w:t>
      </w:r>
      <w:r w:rsidR="1E2905D3" w:rsidRPr="00B425EF">
        <w:t xml:space="preserve">and feasibility </w:t>
      </w:r>
      <w:r w:rsidR="4658A618" w:rsidRPr="00B425EF">
        <w:t>analysis</w:t>
      </w:r>
      <w:r w:rsidR="4558E3D9" w:rsidRPr="00B425EF">
        <w:t xml:space="preserve"> showed that i</w:t>
      </w:r>
      <w:r w:rsidR="41388BB3" w:rsidRPr="00B425EF">
        <w:t xml:space="preserve">ncreasing the target as </w:t>
      </w:r>
      <w:r w:rsidR="14A8EC29" w:rsidRPr="00B425EF">
        <w:t>recommended</w:t>
      </w:r>
      <w:r w:rsidR="41388BB3" w:rsidRPr="00B425EF">
        <w:t xml:space="preserve"> by the Commission </w:t>
      </w:r>
      <w:r w:rsidR="4F852B33" w:rsidRPr="00B425EF">
        <w:t>would have</w:t>
      </w:r>
      <w:r w:rsidR="006B27E8" w:rsidRPr="00B425EF">
        <w:t xml:space="preserve"> a </w:t>
      </w:r>
      <w:r w:rsidR="65C9AF3D" w:rsidRPr="00B425EF">
        <w:t>negative</w:t>
      </w:r>
      <w:r w:rsidR="006B27E8" w:rsidRPr="00B425EF">
        <w:t xml:space="preserve"> economic impact on the agriculture sector</w:t>
      </w:r>
      <w:r w:rsidR="00BA09D6" w:rsidRPr="00B425EF">
        <w:t xml:space="preserve"> and risk exacerbating </w:t>
      </w:r>
      <w:r w:rsidR="008C6547" w:rsidRPr="00B425EF">
        <w:t xml:space="preserve">the </w:t>
      </w:r>
      <w:r w:rsidR="72A180AC" w:rsidRPr="00B425EF">
        <w:t>negative effects of</w:t>
      </w:r>
      <w:r w:rsidR="00BA09D6" w:rsidRPr="00B425EF">
        <w:t xml:space="preserve"> land</w:t>
      </w:r>
      <w:r w:rsidR="0052603D" w:rsidRPr="00B425EF">
        <w:t>-</w:t>
      </w:r>
      <w:r w:rsidR="00BA09D6" w:rsidRPr="00B425EF">
        <w:t>use change</w:t>
      </w:r>
      <w:r w:rsidR="00861A47" w:rsidRPr="00B425EF">
        <w:t xml:space="preserve"> (see </w:t>
      </w:r>
      <w:hyperlink w:anchor="tabA2_3" w:history="1">
        <w:r w:rsidR="0052603D" w:rsidRPr="00B425EF">
          <w:rPr>
            <w:rStyle w:val="Hyperlink"/>
          </w:rPr>
          <w:t>a</w:t>
        </w:r>
        <w:r w:rsidR="00861A47" w:rsidRPr="00B425EF">
          <w:rPr>
            <w:rStyle w:val="Hyperlink"/>
          </w:rPr>
          <w:t>ppend</w:t>
        </w:r>
        <w:r w:rsidR="00B5458F" w:rsidRPr="00B425EF">
          <w:rPr>
            <w:rStyle w:val="Hyperlink"/>
          </w:rPr>
          <w:t>ix 2</w:t>
        </w:r>
        <w:r w:rsidR="002F370B" w:rsidRPr="00B425EF">
          <w:t xml:space="preserve">, </w:t>
        </w:r>
        <w:r w:rsidR="002F370B" w:rsidRPr="00B425EF">
          <w:rPr>
            <w:rStyle w:val="Hyperlink"/>
          </w:rPr>
          <w:t>table</w:t>
        </w:r>
        <w:r w:rsidR="008002F8" w:rsidRPr="00B425EF">
          <w:rPr>
            <w:rStyle w:val="Hyperlink"/>
          </w:rPr>
          <w:t xml:space="preserve"> A2.3</w:t>
        </w:r>
      </w:hyperlink>
      <w:r w:rsidR="002F370B" w:rsidRPr="00B425EF">
        <w:t>).</w:t>
      </w:r>
      <w:r w:rsidR="006C3581" w:rsidRPr="00B425EF">
        <w:t xml:space="preserve"> </w:t>
      </w:r>
      <w:r w:rsidR="1B32A15C" w:rsidRPr="00B425EF">
        <w:t xml:space="preserve">Having </w:t>
      </w:r>
      <w:r w:rsidR="389EDF70" w:rsidRPr="00B425EF">
        <w:lastRenderedPageBreak/>
        <w:t>considered</w:t>
      </w:r>
      <w:r w:rsidR="1B32A15C" w:rsidRPr="00B425EF">
        <w:t xml:space="preserve"> the potential impact of the Commission’s proposal, </w:t>
      </w:r>
      <w:r w:rsidR="00E50F55" w:rsidRPr="00B425EF">
        <w:t>the Government</w:t>
      </w:r>
      <w:r w:rsidR="0052603D" w:rsidRPr="00B425EF">
        <w:t xml:space="preserve"> </w:t>
      </w:r>
      <w:r w:rsidR="1B32A15C" w:rsidRPr="00B425EF">
        <w:t>chose to depart from the</w:t>
      </w:r>
      <w:r w:rsidR="6D33F5E7" w:rsidRPr="00B425EF">
        <w:t xml:space="preserve"> </w:t>
      </w:r>
      <w:r w:rsidR="1B32A15C" w:rsidRPr="00B425EF">
        <w:t>Commission</w:t>
      </w:r>
      <w:r w:rsidR="4F22AAFC" w:rsidRPr="00B425EF">
        <w:t>’s recommendation.</w:t>
      </w:r>
    </w:p>
    <w:p w14:paraId="008A246B" w14:textId="3F1E915C" w:rsidR="3A3380A8" w:rsidRPr="00B425EF" w:rsidRDefault="006A3C84" w:rsidP="00882EB6">
      <w:pPr>
        <w:pStyle w:val="Heading3"/>
        <w:spacing w:before="280"/>
      </w:pPr>
      <w:r w:rsidRPr="00B425EF">
        <w:t>L</w:t>
      </w:r>
      <w:r w:rsidR="3DEBC7C9" w:rsidRPr="00B425EF">
        <w:t>ong-lived gases component of the 2050 target</w:t>
      </w:r>
    </w:p>
    <w:p w14:paraId="453233A9" w14:textId="7FFBFD3A" w:rsidR="3A3380A8" w:rsidRPr="00B425EF" w:rsidRDefault="41181987" w:rsidP="00882EB6">
      <w:pPr>
        <w:pStyle w:val="Heading4"/>
        <w:spacing w:before="180"/>
        <w:rPr>
          <w:rFonts w:eastAsia="Calibri" w:cs="Calibri"/>
        </w:rPr>
      </w:pPr>
      <w:r w:rsidRPr="00B425EF">
        <w:t>Why we are maintaining the target</w:t>
      </w:r>
    </w:p>
    <w:p w14:paraId="652F5FFB" w14:textId="7D03A51A" w:rsidR="3A3380A8" w:rsidRPr="00B425EF" w:rsidRDefault="3DEBC7C9" w:rsidP="00882EB6">
      <w:pPr>
        <w:pStyle w:val="BodyText"/>
        <w:spacing w:after="100"/>
        <w:rPr>
          <w:rFonts w:eastAsia="Calibri" w:cs="Calibri"/>
        </w:rPr>
      </w:pPr>
      <w:r w:rsidRPr="00B425EF">
        <w:t>The</w:t>
      </w:r>
      <w:r w:rsidR="524D4A93" w:rsidRPr="00B425EF">
        <w:t xml:space="preserve"> </w:t>
      </w:r>
      <w:r w:rsidRPr="00B425EF">
        <w:t>Government has decided to maintain the current target for long-lived gases</w:t>
      </w:r>
      <w:r w:rsidR="00334FAB" w:rsidRPr="00B425EF">
        <w:rPr>
          <w:rFonts w:eastAsia="Calibri" w:cs="Calibri"/>
        </w:rPr>
        <w:t>, which is that</w:t>
      </w:r>
      <w:r w:rsidRPr="00B425EF">
        <w:rPr>
          <w:rFonts w:eastAsia="Calibri" w:cs="Calibri"/>
        </w:rPr>
        <w:t>:</w:t>
      </w:r>
    </w:p>
    <w:p w14:paraId="2CDA9844" w14:textId="22EEAA6C" w:rsidR="00587B4C" w:rsidRPr="00B425EF" w:rsidRDefault="3DEBC7C9" w:rsidP="00882EB6">
      <w:pPr>
        <w:pStyle w:val="Bullet"/>
        <w:spacing w:after="100"/>
        <w:rPr>
          <w:rFonts w:eastAsia="Calibri"/>
        </w:rPr>
      </w:pPr>
      <w:r w:rsidRPr="00B425EF">
        <w:rPr>
          <w:rFonts w:eastAsia="Calibri"/>
        </w:rPr>
        <w:t>net accounting emissions of greenhouse gases in a calendar year, other than biogenic methane, are zero by the calendar year beginning on 1</w:t>
      </w:r>
      <w:r w:rsidR="62C97218" w:rsidRPr="00B425EF">
        <w:t xml:space="preserve"> </w:t>
      </w:r>
      <w:r w:rsidRPr="00B425EF">
        <w:rPr>
          <w:rFonts w:eastAsia="Calibri"/>
        </w:rPr>
        <w:t>January 2050</w:t>
      </w:r>
      <w:r w:rsidR="62C97218" w:rsidRPr="00B425EF">
        <w:t xml:space="preserve"> and</w:t>
      </w:r>
      <w:r w:rsidR="00E21307" w:rsidRPr="00B425EF">
        <w:t xml:space="preserve"> </w:t>
      </w:r>
      <w:r w:rsidR="62C97218" w:rsidRPr="00B425EF">
        <w:t>for each subsequent calendar year</w:t>
      </w:r>
      <w:r w:rsidR="006A3C84" w:rsidRPr="00B425EF">
        <w:t>.</w:t>
      </w:r>
    </w:p>
    <w:p w14:paraId="6067DAE1" w14:textId="12BB4FE4" w:rsidR="287E5F2E" w:rsidRPr="00B425EF" w:rsidRDefault="00715EA6" w:rsidP="00882EB6">
      <w:pPr>
        <w:pStyle w:val="BodyText"/>
      </w:pPr>
      <w:r w:rsidRPr="00B425EF">
        <w:t>T</w:t>
      </w:r>
      <w:r w:rsidR="004C0BEB" w:rsidRPr="00B425EF">
        <w:t>he status quo</w:t>
      </w:r>
      <w:r w:rsidR="005B0926" w:rsidRPr="00B425EF">
        <w:t>,</w:t>
      </w:r>
      <w:r w:rsidR="004C0BEB" w:rsidRPr="00B425EF">
        <w:t xml:space="preserve"> </w:t>
      </w:r>
      <w:r w:rsidRPr="00B425EF">
        <w:t>as outlined in chapter 14 of ERP2</w:t>
      </w:r>
      <w:r w:rsidR="005B0926" w:rsidRPr="00B425EF">
        <w:t>,</w:t>
      </w:r>
      <w:r w:rsidRPr="00B425EF">
        <w:t xml:space="preserve"> </w:t>
      </w:r>
      <w:r w:rsidR="287E5F2E" w:rsidRPr="00B425EF">
        <w:t xml:space="preserve">presents minimal additional economic costs, compared </w:t>
      </w:r>
      <w:r w:rsidR="00055F5D" w:rsidRPr="00B425EF">
        <w:t>with</w:t>
      </w:r>
      <w:r w:rsidR="287E5F2E" w:rsidRPr="00B425EF">
        <w:t xml:space="preserve"> the Commission’s recommendation.</w:t>
      </w:r>
      <w:r w:rsidR="00F0678C" w:rsidRPr="00B425EF">
        <w:rPr>
          <w:vertAlign w:val="superscript"/>
        </w:rPr>
        <w:t xml:space="preserve"> </w:t>
      </w:r>
      <w:r w:rsidR="287E5F2E" w:rsidRPr="00B425EF">
        <w:t>The current strategy for reducing long-lived gases supports progress toward</w:t>
      </w:r>
      <w:r w:rsidR="00841AE7" w:rsidRPr="00B425EF">
        <w:t>s</w:t>
      </w:r>
      <w:r w:rsidR="287E5F2E" w:rsidRPr="00B425EF">
        <w:t xml:space="preserve"> New Zealand’s 2050 climate targets, achieving net zero emissions by 2050.</w:t>
      </w:r>
      <w:r w:rsidR="287E5F2E" w:rsidRPr="3A4C152D">
        <w:rPr>
          <w:rFonts w:asciiTheme="minorHAnsi" w:hAnsiTheme="minorHAnsi"/>
          <w:vertAlign w:val="superscript"/>
        </w:rPr>
        <w:footnoteReference w:id="18"/>
      </w:r>
      <w:r w:rsidR="287E5F2E" w:rsidRPr="00B425EF">
        <w:t xml:space="preserve"> The current target level offers policy stability and feasibility by enabling businesses to find least-cost pathways</w:t>
      </w:r>
      <w:r w:rsidR="001C69FC" w:rsidRPr="00B425EF">
        <w:t xml:space="preserve"> </w:t>
      </w:r>
      <w:r w:rsidR="00CD4160" w:rsidRPr="00B425EF">
        <w:t xml:space="preserve">– </w:t>
      </w:r>
      <w:r w:rsidR="0039241A" w:rsidRPr="00B425EF">
        <w:t>such as</w:t>
      </w:r>
      <w:r w:rsidR="001C69FC" w:rsidRPr="00B425EF">
        <w:t xml:space="preserve"> through the New Zealand Emissions Trading Scheme</w:t>
      </w:r>
      <w:r w:rsidR="00CD4160" w:rsidRPr="00B425EF">
        <w:t xml:space="preserve"> (NZ ETS</w:t>
      </w:r>
      <w:r w:rsidR="001C69FC" w:rsidRPr="00B425EF">
        <w:t>)</w:t>
      </w:r>
      <w:r w:rsidR="287E5F2E" w:rsidRPr="00B425EF">
        <w:t xml:space="preserve"> </w:t>
      </w:r>
      <w:r w:rsidR="00CD4160" w:rsidRPr="00B425EF">
        <w:t xml:space="preserve">– </w:t>
      </w:r>
      <w:r w:rsidR="287E5F2E" w:rsidRPr="00B425EF">
        <w:t>to reduce and remove emissions</w:t>
      </w:r>
      <w:r w:rsidR="00715319" w:rsidRPr="00B425EF">
        <w:t xml:space="preserve"> </w:t>
      </w:r>
      <w:r w:rsidR="00E345C4" w:rsidRPr="00B425EF">
        <w:t>in support of</w:t>
      </w:r>
      <w:r w:rsidR="00715319" w:rsidRPr="00B425EF">
        <w:t xml:space="preserve"> achiev</w:t>
      </w:r>
      <w:r w:rsidR="00C64EAC" w:rsidRPr="00B425EF">
        <w:t>ing</w:t>
      </w:r>
      <w:r w:rsidR="00715319" w:rsidRPr="00B425EF">
        <w:t xml:space="preserve"> the net </w:t>
      </w:r>
      <w:r w:rsidR="00E345C4" w:rsidRPr="00B425EF">
        <w:t xml:space="preserve">zero </w:t>
      </w:r>
      <w:r w:rsidR="001C69FC" w:rsidRPr="00B425EF">
        <w:t xml:space="preserve">by 2050 </w:t>
      </w:r>
      <w:r w:rsidR="00E345C4" w:rsidRPr="00B425EF">
        <w:t>target</w:t>
      </w:r>
      <w:r w:rsidR="287E5F2E" w:rsidRPr="00B425EF">
        <w:t>.</w:t>
      </w:r>
      <w:r w:rsidR="70E49ECA" w:rsidRPr="00B425EF">
        <w:rPr>
          <w:vertAlign w:val="superscript"/>
        </w:rPr>
        <w:t xml:space="preserve"> </w:t>
      </w:r>
      <w:r w:rsidR="287E5F2E" w:rsidRPr="00B425EF">
        <w:t xml:space="preserve">Policies </w:t>
      </w:r>
      <w:r w:rsidR="2F348C0F" w:rsidRPr="00B425EF">
        <w:t xml:space="preserve">as outlined in ERP2 </w:t>
      </w:r>
      <w:r w:rsidR="287E5F2E" w:rsidRPr="00B425EF">
        <w:t>are feasible to implement and provide a foundation for transition</w:t>
      </w:r>
      <w:r w:rsidR="257E9394" w:rsidRPr="00B425EF">
        <w:t>.</w:t>
      </w:r>
    </w:p>
    <w:p w14:paraId="62FD9B22" w14:textId="13A8147E" w:rsidR="00C64036" w:rsidRPr="00B425EF" w:rsidRDefault="4BA664AA" w:rsidP="002D31C4">
      <w:pPr>
        <w:pStyle w:val="BodyText"/>
        <w:spacing w:after="100"/>
      </w:pPr>
      <w:r w:rsidRPr="00B425EF">
        <w:t>Our</w:t>
      </w:r>
      <w:r w:rsidR="00C64036" w:rsidRPr="00B425EF" w:rsidDel="00DD4C0A">
        <w:t xml:space="preserve"> </w:t>
      </w:r>
      <w:r w:rsidR="00DD4C0A" w:rsidRPr="00B425EF">
        <w:t>decision</w:t>
      </w:r>
      <w:r w:rsidR="00E21F37" w:rsidRPr="00B425EF">
        <w:t xml:space="preserve"> differs from the Commission’s recommendation to increase the long</w:t>
      </w:r>
      <w:r w:rsidR="00E613C4" w:rsidRPr="00B425EF">
        <w:t xml:space="preserve">-lived gases </w:t>
      </w:r>
      <w:r w:rsidR="00187F73" w:rsidRPr="00B425EF">
        <w:t xml:space="preserve">component of the </w:t>
      </w:r>
      <w:r w:rsidR="00285E4A" w:rsidRPr="00B425EF">
        <w:t>net zero targe</w:t>
      </w:r>
      <w:r w:rsidR="0087300E" w:rsidRPr="00B425EF">
        <w:t xml:space="preserve">t </w:t>
      </w:r>
      <w:r w:rsidR="000427F7" w:rsidRPr="00B425EF">
        <w:t xml:space="preserve">to </w:t>
      </w:r>
      <w:r w:rsidR="00D974AF" w:rsidRPr="00B425EF">
        <w:rPr>
          <w:rFonts w:eastAsia="Calibri" w:cs="Calibri"/>
        </w:rPr>
        <w:t xml:space="preserve">at least </w:t>
      </w:r>
      <w:r w:rsidR="006F5CD7" w:rsidRPr="00B425EF">
        <w:rPr>
          <w:rFonts w:eastAsia="Calibri" w:cs="Calibri"/>
        </w:rPr>
        <w:t>net negative 2</w:t>
      </w:r>
      <w:r w:rsidR="00D974AF" w:rsidRPr="00B425EF">
        <w:rPr>
          <w:rFonts w:eastAsia="Calibri" w:cs="Calibri"/>
        </w:rPr>
        <w:t>0</w:t>
      </w:r>
      <w:r w:rsidR="002204C5" w:rsidRPr="00B425EF">
        <w:rPr>
          <w:rFonts w:eastAsia="Calibri" w:cs="Calibri"/>
        </w:rPr>
        <w:t xml:space="preserve"> </w:t>
      </w:r>
      <w:r w:rsidR="00CB65B2" w:rsidRPr="00B425EF">
        <w:t>megatonnes of carbon dioxide equivalent (</w:t>
      </w:r>
      <w:r w:rsidR="00D974AF" w:rsidRPr="00B425EF">
        <w:rPr>
          <w:rFonts w:eastAsia="Calibri" w:cs="Calibri"/>
        </w:rPr>
        <w:t xml:space="preserve">Mt </w:t>
      </w:r>
      <w:r w:rsidR="004B5299" w:rsidRPr="00B425EF">
        <w:rPr>
          <w:rFonts w:eastAsia="Calibri" w:cs="Calibri"/>
        </w:rPr>
        <w:t>CO</w:t>
      </w:r>
      <w:r w:rsidR="004B5299" w:rsidRPr="00B425EF">
        <w:rPr>
          <w:rFonts w:eastAsia="Calibri" w:cs="Calibri"/>
          <w:vertAlign w:val="subscript"/>
        </w:rPr>
        <w:t>2</w:t>
      </w:r>
      <w:r w:rsidR="004B5299" w:rsidRPr="00B425EF">
        <w:rPr>
          <w:rFonts w:eastAsia="Calibri" w:cs="Calibri"/>
        </w:rPr>
        <w:t>-e</w:t>
      </w:r>
      <w:r w:rsidR="00C54BA1" w:rsidRPr="00B425EF">
        <w:rPr>
          <w:rFonts w:eastAsia="Calibri" w:cs="Calibri"/>
        </w:rPr>
        <w:t>)</w:t>
      </w:r>
      <w:r w:rsidR="00D974AF" w:rsidRPr="00B425EF">
        <w:rPr>
          <w:rFonts w:eastAsia="Calibri" w:cs="Calibri"/>
        </w:rPr>
        <w:t xml:space="preserve"> by 2050</w:t>
      </w:r>
      <w:r w:rsidR="00D974AF" w:rsidRPr="00B425EF">
        <w:t>.</w:t>
      </w:r>
    </w:p>
    <w:p w14:paraId="584234DE" w14:textId="7329F5F7" w:rsidR="79F4A28F" w:rsidRPr="00B425EF" w:rsidRDefault="79F4A28F" w:rsidP="00767A2C">
      <w:pPr>
        <w:pStyle w:val="Heading5"/>
      </w:pPr>
      <w:r w:rsidRPr="00B425EF">
        <w:t>Balancing economic growth, climate action and feasibility</w:t>
      </w:r>
    </w:p>
    <w:p w14:paraId="61182ECD" w14:textId="617DEACD" w:rsidR="3A3380A8" w:rsidRPr="00B425EF" w:rsidRDefault="002204C5" w:rsidP="002D31C4">
      <w:pPr>
        <w:pStyle w:val="BodyText"/>
        <w:spacing w:after="100"/>
      </w:pPr>
      <w:r w:rsidRPr="00B425EF">
        <w:t xml:space="preserve">The Government </w:t>
      </w:r>
      <w:r w:rsidR="0025286C" w:rsidRPr="00B425EF">
        <w:t>disagree</w:t>
      </w:r>
      <w:r w:rsidRPr="00B425EF">
        <w:t>s</w:t>
      </w:r>
      <w:r w:rsidR="0025286C" w:rsidRPr="00B425EF">
        <w:t xml:space="preserve"> with the </w:t>
      </w:r>
      <w:r w:rsidR="3DEBC7C9" w:rsidRPr="00B425EF">
        <w:t>Commission’s recommendation</w:t>
      </w:r>
      <w:r w:rsidR="00166FA3" w:rsidRPr="00B425EF">
        <w:t xml:space="preserve"> that</w:t>
      </w:r>
      <w:r w:rsidR="00461414" w:rsidRPr="00B425EF">
        <w:t xml:space="preserve"> </w:t>
      </w:r>
      <w:r w:rsidR="0030777D" w:rsidRPr="00B425EF">
        <w:t xml:space="preserve">the </w:t>
      </w:r>
      <w:r w:rsidR="00BB2611" w:rsidRPr="00B425EF">
        <w:t xml:space="preserve">long-lived gas component of the </w:t>
      </w:r>
      <w:r w:rsidR="0030777D" w:rsidRPr="00B425EF">
        <w:t>2050 target</w:t>
      </w:r>
      <w:r w:rsidR="00166FA3" w:rsidRPr="00B425EF">
        <w:t xml:space="preserve"> should be increased.</w:t>
      </w:r>
      <w:r w:rsidR="00403506" w:rsidRPr="00B425EF">
        <w:t xml:space="preserve"> </w:t>
      </w:r>
      <w:r w:rsidR="00607A26" w:rsidRPr="00B425EF">
        <w:t xml:space="preserve">In </w:t>
      </w:r>
      <w:r w:rsidR="00191DDD" w:rsidRPr="00B425EF">
        <w:t xml:space="preserve">reaching this conclusion, </w:t>
      </w:r>
      <w:r w:rsidRPr="00B425EF">
        <w:t xml:space="preserve">we </w:t>
      </w:r>
      <w:r w:rsidR="00BF0032" w:rsidRPr="00B425EF">
        <w:t xml:space="preserve">considered the potential impact of the Commission’s proposal </w:t>
      </w:r>
      <w:r w:rsidR="002211B3" w:rsidRPr="00B425EF">
        <w:t>on the economy</w:t>
      </w:r>
      <w:r w:rsidR="003B14AE" w:rsidRPr="00B425EF">
        <w:t xml:space="preserve"> and the climate, as well as the </w:t>
      </w:r>
      <w:r w:rsidR="00403506" w:rsidRPr="00B425EF">
        <w:t xml:space="preserve">feasibility of </w:t>
      </w:r>
      <w:r w:rsidR="00175A6B" w:rsidRPr="00B425EF">
        <w:t>policy mix and the technology required</w:t>
      </w:r>
      <w:r w:rsidR="001C69FC" w:rsidRPr="00B425EF">
        <w:t xml:space="preserve"> (see </w:t>
      </w:r>
      <w:hyperlink w:anchor="tabA2_3" w:history="1">
        <w:r w:rsidRPr="00B425EF">
          <w:rPr>
            <w:rStyle w:val="Hyperlink"/>
          </w:rPr>
          <w:t>a</w:t>
        </w:r>
        <w:r w:rsidR="001C69FC" w:rsidRPr="00B425EF">
          <w:rPr>
            <w:rStyle w:val="Hyperlink"/>
          </w:rPr>
          <w:t>ppendix 2</w:t>
        </w:r>
        <w:r w:rsidR="001C69FC" w:rsidRPr="00B425EF">
          <w:t xml:space="preserve">, </w:t>
        </w:r>
        <w:r w:rsidR="001C69FC" w:rsidRPr="00B425EF">
          <w:rPr>
            <w:rStyle w:val="Hyperlink"/>
          </w:rPr>
          <w:t>table A2.3</w:t>
        </w:r>
      </w:hyperlink>
      <w:r w:rsidR="001C69FC" w:rsidRPr="00B425EF">
        <w:t>)</w:t>
      </w:r>
      <w:r w:rsidR="00403506" w:rsidRPr="00B425EF">
        <w:t>.</w:t>
      </w:r>
      <w:r w:rsidR="001C69FC" w:rsidRPr="00B425EF" w:rsidDel="001C69FC">
        <w:rPr>
          <w:vertAlign w:val="superscript"/>
        </w:rPr>
        <w:t xml:space="preserve"> </w:t>
      </w:r>
    </w:p>
    <w:p w14:paraId="4CF6FAE1" w14:textId="15314AF1" w:rsidR="00470864" w:rsidRPr="00B425EF" w:rsidRDefault="00862D32" w:rsidP="002D31C4">
      <w:pPr>
        <w:pStyle w:val="BodyText"/>
        <w:spacing w:after="100"/>
      </w:pPr>
      <w:r>
        <w:t xml:space="preserve">Although </w:t>
      </w:r>
      <w:r w:rsidR="00F45941">
        <w:t xml:space="preserve">the Commission’s recommendation would </w:t>
      </w:r>
      <w:r w:rsidR="006F2B0D">
        <w:t>enhance New Zealand’s contribution to</w:t>
      </w:r>
      <w:r w:rsidR="00E93C11">
        <w:t> </w:t>
      </w:r>
      <w:r w:rsidR="006F2B0D">
        <w:t>limiting warming</w:t>
      </w:r>
      <w:r w:rsidR="00F45941">
        <w:t>, it</w:t>
      </w:r>
      <w:r w:rsidR="003B14AE">
        <w:t xml:space="preserve"> would entail </w:t>
      </w:r>
      <w:r w:rsidR="00E9772F">
        <w:t xml:space="preserve">economic costs and </w:t>
      </w:r>
      <w:r w:rsidR="00F45941">
        <w:t>is substantially less feasible than alternative pathways</w:t>
      </w:r>
      <w:r w:rsidR="00CB3128">
        <w:t>.</w:t>
      </w:r>
      <w:r w:rsidR="4AC5D498">
        <w:t xml:space="preserve"> </w:t>
      </w:r>
    </w:p>
    <w:p w14:paraId="1CA97B51" w14:textId="553593AB" w:rsidR="00F45941" w:rsidRPr="00B425EF" w:rsidRDefault="009B73C1" w:rsidP="002D31C4">
      <w:pPr>
        <w:pStyle w:val="BodyText"/>
        <w:spacing w:after="100"/>
      </w:pPr>
      <w:r>
        <w:t xml:space="preserve">Economic modelling suggests </w:t>
      </w:r>
      <w:r w:rsidR="003240E3">
        <w:t>achieving net negative emissions of 20</w:t>
      </w:r>
      <w:r w:rsidR="003D7DF7">
        <w:t xml:space="preserve"> </w:t>
      </w:r>
      <w:r w:rsidR="003240E3">
        <w:t>Mt CO₂</w:t>
      </w:r>
      <w:r w:rsidR="004B5299">
        <w:t>-</w:t>
      </w:r>
      <w:r w:rsidR="003240E3">
        <w:t xml:space="preserve">e by 2050 would have </w:t>
      </w:r>
      <w:r w:rsidR="00C52495">
        <w:t xml:space="preserve">a </w:t>
      </w:r>
      <w:r w:rsidR="005756CA">
        <w:t>negative</w:t>
      </w:r>
      <w:r w:rsidR="00C52495">
        <w:t xml:space="preserve"> impact on</w:t>
      </w:r>
      <w:r>
        <w:t xml:space="preserve"> GDP</w:t>
      </w:r>
      <w:r w:rsidR="2723B5A0">
        <w:t>, with modelling indicating that GDP would be 2.2% lower in 2050</w:t>
      </w:r>
      <w:r>
        <w:t xml:space="preserve">. </w:t>
      </w:r>
      <w:r w:rsidR="00470864">
        <w:t>Implementing the Commission’s recommended target would</w:t>
      </w:r>
      <w:r w:rsidR="00C52495">
        <w:t xml:space="preserve"> also</w:t>
      </w:r>
      <w:r w:rsidR="00F45941">
        <w:t xml:space="preserve"> require major policy reform</w:t>
      </w:r>
      <w:r w:rsidR="009C14C7">
        <w:t xml:space="preserve"> </w:t>
      </w:r>
      <w:r w:rsidR="00F45941">
        <w:t xml:space="preserve">and private sector action. </w:t>
      </w:r>
      <w:r w:rsidR="00BE0CA4">
        <w:t>C</w:t>
      </w:r>
      <w:r w:rsidR="00F45941">
        <w:t>hange</w:t>
      </w:r>
      <w:r w:rsidR="00BE0CA4">
        <w:t xml:space="preserve">s that would be required include </w:t>
      </w:r>
      <w:r w:rsidR="33B50EF4">
        <w:t>more stringent</w:t>
      </w:r>
      <w:r w:rsidR="00F45941">
        <w:t xml:space="preserve"> emissions budgets</w:t>
      </w:r>
      <w:r w:rsidR="00C9592E">
        <w:t xml:space="preserve"> and</w:t>
      </w:r>
      <w:r w:rsidR="2097E3A5">
        <w:t xml:space="preserve"> reform of the </w:t>
      </w:r>
      <w:r w:rsidR="00F45941">
        <w:t>NZ</w:t>
      </w:r>
      <w:r w:rsidR="00CD4160">
        <w:t> </w:t>
      </w:r>
      <w:r w:rsidR="00F45941">
        <w:t xml:space="preserve">ETS, </w:t>
      </w:r>
      <w:r w:rsidR="00F01D94">
        <w:t>and changes may involve</w:t>
      </w:r>
      <w:r w:rsidR="00F45941">
        <w:t xml:space="preserve"> potential risks to agricultural productivity. Compared </w:t>
      </w:r>
      <w:r w:rsidR="004809B3">
        <w:t xml:space="preserve">with </w:t>
      </w:r>
      <w:r w:rsidR="00C9592E">
        <w:t>the status quo</w:t>
      </w:r>
      <w:r w:rsidR="00F45941">
        <w:t xml:space="preserve">, </w:t>
      </w:r>
      <w:r w:rsidR="00F01D94">
        <w:t>the Commission’s recommended target</w:t>
      </w:r>
      <w:r w:rsidR="00F45941">
        <w:t xml:space="preserve"> presents greater implementation challenges and uncertainty, despite its stronger climate signal</w:t>
      </w:r>
      <w:r w:rsidR="001C69FC">
        <w:t xml:space="preserve"> (</w:t>
      </w:r>
      <w:r w:rsidR="00F01D94">
        <w:t>s</w:t>
      </w:r>
      <w:r w:rsidR="001C69FC">
        <w:t xml:space="preserve">ee </w:t>
      </w:r>
      <w:hyperlink w:anchor="tabA2_3">
        <w:r w:rsidR="00F01D94" w:rsidRPr="56721351">
          <w:rPr>
            <w:rStyle w:val="Hyperlink"/>
          </w:rPr>
          <w:t>a</w:t>
        </w:r>
        <w:r w:rsidR="001C69FC" w:rsidRPr="56721351">
          <w:rPr>
            <w:rStyle w:val="Hyperlink"/>
          </w:rPr>
          <w:t>ppendix 2</w:t>
        </w:r>
        <w:r w:rsidR="001C69FC">
          <w:t xml:space="preserve">, </w:t>
        </w:r>
        <w:r w:rsidR="001C69FC" w:rsidRPr="56721351">
          <w:rPr>
            <w:rStyle w:val="Hyperlink"/>
          </w:rPr>
          <w:t>table A2.3</w:t>
        </w:r>
      </w:hyperlink>
      <w:r w:rsidR="001C69FC">
        <w:t>)</w:t>
      </w:r>
      <w:r w:rsidR="00F45941">
        <w:t>.</w:t>
      </w:r>
    </w:p>
    <w:p w14:paraId="75733B0E" w14:textId="41EB26A8" w:rsidR="00FD06D9" w:rsidRPr="00B425EF" w:rsidRDefault="59B84580" w:rsidP="002D31C4">
      <w:pPr>
        <w:pStyle w:val="BodyText"/>
        <w:spacing w:after="100"/>
      </w:pPr>
      <w:r>
        <w:t>W</w:t>
      </w:r>
      <w:r w:rsidR="028B0FD6">
        <w:t>e</w:t>
      </w:r>
      <w:r w:rsidR="00FD06D9">
        <w:t xml:space="preserve"> concluded that </w:t>
      </w:r>
      <w:r w:rsidR="00D40EFE">
        <w:t xml:space="preserve">the Commission’s proposal </w:t>
      </w:r>
      <w:r w:rsidR="00C36C9A">
        <w:t xml:space="preserve">does not reflect an appropriate balance </w:t>
      </w:r>
      <w:r w:rsidR="00C84F3C">
        <w:t xml:space="preserve">of </w:t>
      </w:r>
      <w:r w:rsidR="00FD06D9">
        <w:t>the Government’</w:t>
      </w:r>
      <w:r w:rsidR="2DB6D7F1">
        <w:t>s</w:t>
      </w:r>
      <w:r w:rsidR="00FD06D9">
        <w:t xml:space="preserve"> overall objectives.</w:t>
      </w:r>
    </w:p>
    <w:p w14:paraId="41EC03A8" w14:textId="4FA35355" w:rsidR="5A80ECCE" w:rsidRPr="00B425EF" w:rsidRDefault="74F76037" w:rsidP="00EF47CE">
      <w:pPr>
        <w:pStyle w:val="Heading3"/>
        <w:rPr>
          <w:rFonts w:eastAsia="Calibri" w:cs="Calibri"/>
        </w:rPr>
      </w:pPr>
      <w:r w:rsidRPr="00B425EF">
        <w:lastRenderedPageBreak/>
        <w:t>International shipping and aviation emissions</w:t>
      </w:r>
    </w:p>
    <w:p w14:paraId="111530D0" w14:textId="27E9802E" w:rsidR="41F74B1A" w:rsidRPr="00B425EF" w:rsidRDefault="41F74B1A" w:rsidP="00135415">
      <w:pPr>
        <w:pStyle w:val="Heading4"/>
      </w:pPr>
      <w:r w:rsidRPr="00B425EF">
        <w:t>Why we are maintaining the current approach</w:t>
      </w:r>
    </w:p>
    <w:p w14:paraId="5759D0CD" w14:textId="1F9E5E30" w:rsidR="74F76037" w:rsidRPr="00B425EF" w:rsidRDefault="09E2C0BF" w:rsidP="002D31C4">
      <w:pPr>
        <w:pStyle w:val="BodyText"/>
        <w:spacing w:before="100" w:after="100"/>
      </w:pPr>
      <w:r w:rsidRPr="00B425EF">
        <w:t>We</w:t>
      </w:r>
      <w:r w:rsidR="74F76037" w:rsidRPr="00B425EF">
        <w:t xml:space="preserve"> ha</w:t>
      </w:r>
      <w:r w:rsidR="2A973FBA" w:rsidRPr="00B425EF">
        <w:t>ve</w:t>
      </w:r>
      <w:r w:rsidR="74F76037" w:rsidRPr="00B425EF">
        <w:t xml:space="preserve"> decided to maintain the current approach</w:t>
      </w:r>
      <w:r w:rsidR="006D013D" w:rsidRPr="00B425EF">
        <w:t xml:space="preserve"> </w:t>
      </w:r>
      <w:r w:rsidR="74F76037" w:rsidRPr="00B425EF">
        <w:t xml:space="preserve">of excluding international shipping and aviation emissions from the </w:t>
      </w:r>
      <w:r w:rsidR="2A154564" w:rsidRPr="00B425EF">
        <w:t>2050 target.</w:t>
      </w:r>
      <w:r w:rsidR="2592717F" w:rsidRPr="00B425EF">
        <w:t xml:space="preserve"> </w:t>
      </w:r>
    </w:p>
    <w:p w14:paraId="086AD9EC" w14:textId="010FC309" w:rsidR="00B121C8" w:rsidRPr="00B425EF" w:rsidRDefault="00AF1190" w:rsidP="002D31C4">
      <w:pPr>
        <w:pStyle w:val="BodyText"/>
        <w:spacing w:before="100" w:after="100"/>
      </w:pPr>
      <w:r w:rsidRPr="00B425EF">
        <w:t>E</w:t>
      </w:r>
      <w:r w:rsidR="00B121C8" w:rsidRPr="00B425EF">
        <w:t>missions from international shipping and aviation</w:t>
      </w:r>
      <w:r w:rsidRPr="00B425EF">
        <w:t xml:space="preserve"> will continue to be</w:t>
      </w:r>
      <w:r w:rsidR="00B121C8" w:rsidRPr="00B425EF">
        <w:t xml:space="preserve"> addressed through global cooperation mechanisms. New Zealand actively participates in these efforts through</w:t>
      </w:r>
      <w:r w:rsidR="0027795E" w:rsidRPr="00B425EF">
        <w:t> </w:t>
      </w:r>
      <w:r w:rsidR="00B121C8" w:rsidRPr="00B425EF">
        <w:t>the</w:t>
      </w:r>
      <w:r w:rsidR="0027795E" w:rsidRPr="00B425EF">
        <w:t> </w:t>
      </w:r>
      <w:r w:rsidR="00B121C8" w:rsidRPr="00B425EF">
        <w:t>International Maritime Organization (IMO) and the International Civil Aviation Organization (ICAO).</w:t>
      </w:r>
    </w:p>
    <w:p w14:paraId="2D7D40C2" w14:textId="0BF60ED0" w:rsidR="00B121C8" w:rsidRPr="00B425EF" w:rsidRDefault="00B121C8" w:rsidP="002D31C4">
      <w:pPr>
        <w:pStyle w:val="BodyText"/>
        <w:spacing w:before="100"/>
      </w:pPr>
      <w:r w:rsidRPr="00B425EF">
        <w:t xml:space="preserve">The Government </w:t>
      </w:r>
      <w:r w:rsidR="00F4328C" w:rsidRPr="00B425EF">
        <w:t>disagrees</w:t>
      </w:r>
      <w:r w:rsidR="003A4D99" w:rsidRPr="00B425EF">
        <w:t xml:space="preserve"> </w:t>
      </w:r>
      <w:r w:rsidRPr="00B425EF">
        <w:t>that the scope of the 2050 target should be expanded to include international shipping and aviation emissions.</w:t>
      </w:r>
    </w:p>
    <w:p w14:paraId="55694256" w14:textId="7B1D0B2E" w:rsidR="78A8FD1A" w:rsidRPr="00B425EF" w:rsidRDefault="78A8FD1A" w:rsidP="00767A2C">
      <w:pPr>
        <w:pStyle w:val="Heading5"/>
      </w:pPr>
      <w:r>
        <w:t>Balancing national economic interests, climate ambition and feasibility</w:t>
      </w:r>
    </w:p>
    <w:p w14:paraId="595C4CAA" w14:textId="5DC0B424" w:rsidR="6A4D61B0" w:rsidRDefault="6A4D61B0" w:rsidP="092D7A4B">
      <w:pPr>
        <w:pStyle w:val="BodyText"/>
        <w:spacing w:before="100" w:after="100"/>
      </w:pPr>
      <w:r>
        <w:t>New Zealand relies on foreign-owned shipping for most seaborne trade and international aviation for global connectivity and tourism. As a geographically remote country, with no land-based borders, New Zealand is highly exposed to shifts in the price of sea- and air-based freight and is at an economic disadvantage to increases in freight costs.</w:t>
      </w:r>
    </w:p>
    <w:p w14:paraId="568DF002" w14:textId="2743F297" w:rsidR="2A154564" w:rsidRPr="00B425EF" w:rsidRDefault="2A154564" w:rsidP="00F20F99">
      <w:pPr>
        <w:pStyle w:val="BodyText"/>
        <w:spacing w:before="100" w:after="100"/>
      </w:pPr>
      <w:r>
        <w:t xml:space="preserve">Maintaining the current approach </w:t>
      </w:r>
      <w:r w:rsidR="419DE322">
        <w:t>helps ensure that countries operate on a level playing field, avoiding a future in which fragmentation of decarbonisation efforts by states increases compliance costs for business.</w:t>
      </w:r>
      <w:r w:rsidR="20BC958A">
        <w:t xml:space="preserve"> As a small, remote nation, New Zealand relies on functioning and effective multilateral systems to maximise its competitiveness.</w:t>
      </w:r>
    </w:p>
    <w:p w14:paraId="3574E686" w14:textId="1EEC1BBA" w:rsidR="2A154564" w:rsidRPr="00B425EF" w:rsidRDefault="00F55670" w:rsidP="00F20F99">
      <w:pPr>
        <w:pStyle w:val="BodyText"/>
        <w:spacing w:before="100" w:after="100"/>
      </w:pPr>
      <w:r>
        <w:t xml:space="preserve">This approach aligns with New Zealand’s </w:t>
      </w:r>
      <w:r w:rsidR="00226EAC">
        <w:t xml:space="preserve">economic </w:t>
      </w:r>
      <w:r w:rsidR="002E5168">
        <w:t xml:space="preserve">interest, </w:t>
      </w:r>
      <w:r>
        <w:t>including the Government</w:t>
      </w:r>
      <w:r w:rsidR="00414F12">
        <w:t>’</w:t>
      </w:r>
      <w:r>
        <w:t xml:space="preserve">s ‘Going for Growth’ </w:t>
      </w:r>
      <w:r w:rsidR="00AE1F1A">
        <w:t>agenda</w:t>
      </w:r>
      <w:r w:rsidR="007B1ADF">
        <w:t>.</w:t>
      </w:r>
      <w:r w:rsidR="00AE1F1A">
        <w:t xml:space="preserve"> </w:t>
      </w:r>
      <w:r w:rsidR="007B1ADF">
        <w:t>I</w:t>
      </w:r>
      <w:r w:rsidR="00E50791">
        <w:t>t</w:t>
      </w:r>
      <w:r>
        <w:t xml:space="preserve"> </w:t>
      </w:r>
      <w:r w:rsidR="00440E2A">
        <w:t xml:space="preserve">also </w:t>
      </w:r>
      <w:r>
        <w:t xml:space="preserve">provides </w:t>
      </w:r>
      <w:r w:rsidR="00F32EE2">
        <w:t xml:space="preserve">ongoing </w:t>
      </w:r>
      <w:r>
        <w:t xml:space="preserve">policy certainty </w:t>
      </w:r>
      <w:r w:rsidR="30596A3D">
        <w:t>f</w:t>
      </w:r>
      <w:r w:rsidR="00F32EE2">
        <w:t>o</w:t>
      </w:r>
      <w:r>
        <w:t>r the shipping and aviation sector</w:t>
      </w:r>
      <w:r w:rsidR="00035883">
        <w:t xml:space="preserve"> that</w:t>
      </w:r>
      <w:r w:rsidR="00E50791">
        <w:t xml:space="preserve"> the IMO and ICAO will continue to manage</w:t>
      </w:r>
      <w:r w:rsidR="00035883">
        <w:t xml:space="preserve"> </w:t>
      </w:r>
      <w:r w:rsidR="00F936CB">
        <w:t xml:space="preserve">mitigation of </w:t>
      </w:r>
      <w:r w:rsidR="00AE1F1A">
        <w:t>emissions</w:t>
      </w:r>
      <w:r w:rsidR="00A03122">
        <w:t xml:space="preserve"> in the sector</w:t>
      </w:r>
      <w:r w:rsidR="00AE1F1A">
        <w:t>.</w:t>
      </w:r>
      <w:r w:rsidR="00F32CA3">
        <w:t xml:space="preserve"> This decision keeps New Zealand aligned with most other countries.</w:t>
      </w:r>
      <w:r w:rsidR="0AE5274C">
        <w:t xml:space="preserve"> </w:t>
      </w:r>
    </w:p>
    <w:p w14:paraId="7695478A" w14:textId="297E0084" w:rsidR="00442B91" w:rsidRPr="00B425EF" w:rsidRDefault="00442B91" w:rsidP="00F20F99">
      <w:pPr>
        <w:pStyle w:val="BodyText"/>
        <w:spacing w:before="100" w:after="100"/>
      </w:pPr>
      <w:r>
        <w:t xml:space="preserve">The Commission’s recommendation is likely to involve higher economic costs than the status quo, </w:t>
      </w:r>
      <w:r w:rsidR="00CD1C0A">
        <w:t xml:space="preserve">because </w:t>
      </w:r>
      <w:r>
        <w:t>it may require domestic measures alongside international ones</w:t>
      </w:r>
      <w:r w:rsidR="001C69FC">
        <w:t xml:space="preserve"> (see </w:t>
      </w:r>
      <w:hyperlink w:anchor="_Appendix_2:_Summary">
        <w:r w:rsidR="00A03122" w:rsidRPr="56721351">
          <w:rPr>
            <w:rStyle w:val="Hyperlink"/>
          </w:rPr>
          <w:t>a</w:t>
        </w:r>
        <w:r w:rsidR="001C69FC" w:rsidRPr="56721351">
          <w:rPr>
            <w:rStyle w:val="Hyperlink"/>
          </w:rPr>
          <w:t>ppendix 2</w:t>
        </w:r>
      </w:hyperlink>
      <w:r w:rsidR="00CD1C0A">
        <w:t>,</w:t>
      </w:r>
      <w:r w:rsidR="001C69FC">
        <w:t xml:space="preserve"> for more information)</w:t>
      </w:r>
      <w:r>
        <w:t>.</w:t>
      </w:r>
    </w:p>
    <w:p w14:paraId="640EA044" w14:textId="6BF62BDC" w:rsidR="00A219CC" w:rsidRPr="00B425EF" w:rsidRDefault="7B8EB13A" w:rsidP="00F20F99">
      <w:pPr>
        <w:pStyle w:val="BodyText"/>
        <w:spacing w:before="100" w:after="100"/>
      </w:pPr>
      <w:r w:rsidRPr="00B425EF">
        <w:t>We</w:t>
      </w:r>
      <w:r w:rsidR="00A219CC" w:rsidRPr="00B425EF">
        <w:t xml:space="preserve"> ha</w:t>
      </w:r>
      <w:r w:rsidR="0732BB9F" w:rsidRPr="00B425EF">
        <w:t>ve</w:t>
      </w:r>
      <w:r w:rsidR="00A219CC" w:rsidRPr="00B425EF">
        <w:t xml:space="preserve"> therefore concluded that retaining the current approach more effectively balances </w:t>
      </w:r>
      <w:r w:rsidR="23F80963" w:rsidRPr="00B425EF">
        <w:t>th</w:t>
      </w:r>
      <w:r w:rsidR="00EA764D">
        <w:t>e</w:t>
      </w:r>
      <w:r w:rsidR="23F80963" w:rsidRPr="00B425EF">
        <w:t xml:space="preserve"> </w:t>
      </w:r>
      <w:r w:rsidR="00A219CC" w:rsidRPr="00B425EF">
        <w:t>Government</w:t>
      </w:r>
      <w:r w:rsidR="79177736" w:rsidRPr="00B425EF">
        <w:t>’s</w:t>
      </w:r>
      <w:r w:rsidR="00A219CC" w:rsidRPr="00B425EF">
        <w:t xml:space="preserve"> objectives.</w:t>
      </w:r>
    </w:p>
    <w:p w14:paraId="4E8FC117" w14:textId="5D174565" w:rsidR="7F86F6D9" w:rsidRPr="00B425EF" w:rsidRDefault="7F86F6D9" w:rsidP="00F20F99">
      <w:pPr>
        <w:pStyle w:val="BodyText"/>
        <w:spacing w:before="100" w:after="100"/>
      </w:pPr>
      <w:r w:rsidRPr="00B425EF">
        <w:t xml:space="preserve">The Commission made other technical recommendations </w:t>
      </w:r>
      <w:r w:rsidR="00F32EE2" w:rsidRPr="00B425EF">
        <w:t>regarding emissions from international shipping and aviation,</w:t>
      </w:r>
      <w:r w:rsidRPr="00B425EF">
        <w:t xml:space="preserve"> which </w:t>
      </w:r>
      <w:r w:rsidR="00F32EE2" w:rsidRPr="00B425EF">
        <w:t xml:space="preserve">will not </w:t>
      </w:r>
      <w:r w:rsidR="002F7152" w:rsidRPr="00B425EF">
        <w:t xml:space="preserve">be </w:t>
      </w:r>
      <w:r w:rsidR="00F32EE2" w:rsidRPr="00B425EF">
        <w:t>progress</w:t>
      </w:r>
      <w:r w:rsidR="002F7152" w:rsidRPr="00B425EF">
        <w:t>ed,</w:t>
      </w:r>
      <w:r w:rsidRPr="00B425EF">
        <w:t xml:space="preserve"> due to the decision</w:t>
      </w:r>
      <w:r w:rsidR="00151350">
        <w:t xml:space="preserve"> not</w:t>
      </w:r>
      <w:r w:rsidRPr="00B425EF">
        <w:t xml:space="preserve"> to</w:t>
      </w:r>
      <w:r w:rsidR="00E10D25">
        <w:t> </w:t>
      </w:r>
      <w:r w:rsidRPr="00B425EF">
        <w:t>include these emissions in the 2050 target</w:t>
      </w:r>
      <w:r w:rsidR="0087117E" w:rsidRPr="00B425EF">
        <w:t xml:space="preserve"> </w:t>
      </w:r>
      <w:r w:rsidRPr="00B425EF">
        <w:t xml:space="preserve">(see </w:t>
      </w:r>
      <w:hyperlink w:anchor="_Appendix_1:_List">
        <w:r w:rsidR="002F7152" w:rsidRPr="6B2026CF">
          <w:rPr>
            <w:rStyle w:val="Hyperlink"/>
          </w:rPr>
          <w:t>a</w:t>
        </w:r>
        <w:r w:rsidRPr="6B2026CF">
          <w:rPr>
            <w:rStyle w:val="Hyperlink"/>
          </w:rPr>
          <w:t>ppendix 1</w:t>
        </w:r>
      </w:hyperlink>
      <w:r w:rsidR="00687EF3" w:rsidRPr="00B425EF">
        <w:t>,</w:t>
      </w:r>
      <w:r w:rsidRPr="00B425EF">
        <w:t xml:space="preserve"> for </w:t>
      </w:r>
      <w:r w:rsidR="01C34B65" w:rsidRPr="00B425EF">
        <w:t>further</w:t>
      </w:r>
      <w:r w:rsidRPr="00B425EF">
        <w:t xml:space="preserve"> information).</w:t>
      </w:r>
    </w:p>
    <w:p w14:paraId="0768A8CD" w14:textId="419E6E7D" w:rsidR="0DE08938" w:rsidRPr="00B425EF" w:rsidRDefault="0DE08938" w:rsidP="00F20F99">
      <w:pPr>
        <w:pStyle w:val="Heading3"/>
        <w:spacing w:before="320" w:line="320" w:lineRule="exact"/>
      </w:pPr>
      <w:r>
        <w:t xml:space="preserve">Specifying further emissions reductions and removals from 2050 onwards </w:t>
      </w:r>
    </w:p>
    <w:p w14:paraId="098EDF68" w14:textId="0523A4C5" w:rsidR="00106250" w:rsidRPr="00B425EF" w:rsidRDefault="00106250" w:rsidP="00F20F99">
      <w:pPr>
        <w:pStyle w:val="BodyText"/>
        <w:spacing w:before="100" w:after="100"/>
      </w:pPr>
      <w:r w:rsidRPr="00B425EF">
        <w:t xml:space="preserve">While we have decided to retain the current legislative framework, we nonetheless acknowledge the strategic importance of aligning post-2050 action with New Zealand’s </w:t>
      </w:r>
      <w:r w:rsidR="47993315" w:rsidRPr="00B425EF">
        <w:t>long-term</w:t>
      </w:r>
      <w:r w:rsidRPr="00B425EF">
        <w:t xml:space="preserve"> climate strategy and emissions pathways. </w:t>
      </w:r>
    </w:p>
    <w:p w14:paraId="491D5147" w14:textId="60CE0D27" w:rsidR="00106250" w:rsidRPr="00B425EF" w:rsidRDefault="00106250" w:rsidP="00F20F99">
      <w:pPr>
        <w:pStyle w:val="BodyText"/>
        <w:spacing w:before="100" w:after="100"/>
      </w:pPr>
      <w:r w:rsidRPr="00B425EF">
        <w:t xml:space="preserve">The Government did not agree with the Commission that the </w:t>
      </w:r>
      <w:r w:rsidR="00097872" w:rsidRPr="00B425EF">
        <w:t xml:space="preserve">CCRA </w:t>
      </w:r>
      <w:r w:rsidRPr="00B425EF">
        <w:t>should be amended now to</w:t>
      </w:r>
      <w:r w:rsidR="007D6251" w:rsidRPr="00B425EF">
        <w:t> </w:t>
      </w:r>
      <w:r w:rsidRPr="00B425EF">
        <w:t>require further reductions and removals from the Commission’s recommended target levels, from 2050 onwards. It is our view that a detailed framework for post-2050 reductions and removals is best developed closer to 2050.</w:t>
      </w:r>
    </w:p>
    <w:p w14:paraId="04C3E8FD" w14:textId="3F9733B6" w:rsidR="00106250" w:rsidRPr="00B425EF" w:rsidRDefault="00106250" w:rsidP="00F20F99">
      <w:pPr>
        <w:pStyle w:val="BodyText"/>
        <w:spacing w:before="100" w:after="100"/>
      </w:pPr>
      <w:r>
        <w:lastRenderedPageBreak/>
        <w:t xml:space="preserve">The </w:t>
      </w:r>
      <w:r w:rsidR="009C19E8">
        <w:t xml:space="preserve">CCRA </w:t>
      </w:r>
      <w:r>
        <w:t>already requires that the 2050 target be met in each subsequent year, this includes</w:t>
      </w:r>
      <w:r w:rsidR="00517717">
        <w:t xml:space="preserve"> </w:t>
      </w:r>
      <w:r>
        <w:t>maintaining net zero long-lived gases and continued achievement of the biogenic methane target. However, the Government recognises the need for continued action beyond 2050,</w:t>
      </w:r>
      <w:r w:rsidR="00517717">
        <w:t xml:space="preserve"> </w:t>
      </w:r>
      <w:r>
        <w:t xml:space="preserve">particularly </w:t>
      </w:r>
      <w:proofErr w:type="gramStart"/>
      <w:r w:rsidR="0C127C60">
        <w:t>in light of</w:t>
      </w:r>
      <w:proofErr w:type="gramEnd"/>
      <w:r w:rsidR="0C127C60">
        <w:t xml:space="preserve"> the </w:t>
      </w:r>
      <w:r>
        <w:t>1.5</w:t>
      </w:r>
      <w:r w:rsidR="00D459EF">
        <w:t xml:space="preserve"> degrees Celsius</w:t>
      </w:r>
      <w:r>
        <w:t> temperature goal.</w:t>
      </w:r>
    </w:p>
    <w:p w14:paraId="6ACDDD5E" w14:textId="23DADDE3" w:rsidR="00106250" w:rsidRPr="00B425EF" w:rsidRDefault="00106250" w:rsidP="00F20F99">
      <w:pPr>
        <w:pStyle w:val="BodyText"/>
        <w:spacing w:before="100" w:after="100"/>
      </w:pPr>
      <w:r w:rsidRPr="00B425EF">
        <w:t xml:space="preserve">Given the long lead time to 2050, specifying a post-2050 target closer to the time could be beneficial </w:t>
      </w:r>
      <w:r w:rsidR="001E105D" w:rsidRPr="00B425EF">
        <w:t xml:space="preserve">because </w:t>
      </w:r>
      <w:r w:rsidRPr="00B425EF">
        <w:t>it would reflect updated evidence, technological advancements and international developments.</w:t>
      </w:r>
    </w:p>
    <w:p w14:paraId="76B24679" w14:textId="0B3119C2" w:rsidR="00106250" w:rsidRPr="00B425EF" w:rsidRDefault="001E105D" w:rsidP="00F20F99">
      <w:pPr>
        <w:pStyle w:val="BodyText"/>
        <w:spacing w:before="100" w:after="100"/>
      </w:pPr>
      <w:r w:rsidRPr="00B425EF">
        <w:t>C</w:t>
      </w:r>
      <w:r w:rsidR="00106250" w:rsidRPr="00B425EF">
        <w:t>urrently</w:t>
      </w:r>
      <w:r w:rsidRPr="00B425EF">
        <w:t>,</w:t>
      </w:r>
      <w:r w:rsidR="00106250" w:rsidRPr="00B425EF">
        <w:t xml:space="preserve"> no international consensus </w:t>
      </w:r>
      <w:r w:rsidRPr="00B425EF">
        <w:t xml:space="preserve">exists </w:t>
      </w:r>
      <w:r w:rsidR="00106250" w:rsidRPr="00B425EF">
        <w:t xml:space="preserve">on what post-2050 targets should entail </w:t>
      </w:r>
      <w:r w:rsidR="00424AE8" w:rsidRPr="00B425EF">
        <w:t>because</w:t>
      </w:r>
      <w:r w:rsidR="00106250" w:rsidRPr="00B425EF">
        <w:t xml:space="preserve"> few countries have set them. Maintaining the current approach supports near-term policy stability and allows for alignment with evolving global consensus and updated scientific evidence</w:t>
      </w:r>
      <w:r w:rsidR="00E10D25">
        <w:t xml:space="preserve"> </w:t>
      </w:r>
      <w:r w:rsidR="00106250" w:rsidRPr="00B425EF">
        <w:t>on how best to consider a post-2050 framework. New Zealand will remain engaged in</w:t>
      </w:r>
      <w:r w:rsidR="00E10D25">
        <w:t> </w:t>
      </w:r>
      <w:r w:rsidR="00106250" w:rsidRPr="00B425EF">
        <w:t>global dialogue, while taking an evidence-based approach to future planning.</w:t>
      </w:r>
    </w:p>
    <w:p w14:paraId="1B1E68C9" w14:textId="5151A3C4" w:rsidR="00106250" w:rsidRPr="00BB3B49" w:rsidRDefault="00424AE8" w:rsidP="02B0B2F2">
      <w:pPr>
        <w:pStyle w:val="BodyText"/>
        <w:spacing w:before="100" w:after="100"/>
        <w:rPr>
          <w:b/>
          <w:bCs/>
          <w:sz w:val="28"/>
          <w:szCs w:val="28"/>
        </w:rPr>
      </w:pPr>
      <w:r>
        <w:t>S</w:t>
      </w:r>
      <w:r w:rsidR="00106250">
        <w:t xml:space="preserve">trong reasons </w:t>
      </w:r>
      <w:r>
        <w:t xml:space="preserve">exist </w:t>
      </w:r>
      <w:r w:rsidR="00106250">
        <w:t>to consider how the system should best reflect the need to address what happens beyond 2050. </w:t>
      </w:r>
      <w:r w:rsidR="005959E5">
        <w:t>S</w:t>
      </w:r>
      <w:r w:rsidR="00106250">
        <w:t>everal approaches </w:t>
      </w:r>
      <w:r w:rsidR="00292154">
        <w:t>are possible</w:t>
      </w:r>
      <w:r w:rsidR="00106250">
        <w:t>, including introduc</w:t>
      </w:r>
      <w:r w:rsidR="00F322A8">
        <w:t>ing</w:t>
      </w:r>
      <w:r w:rsidR="00FC7CBC">
        <w:t xml:space="preserve"> </w:t>
      </w:r>
      <w:r w:rsidR="00106250">
        <w:t>a specific</w:t>
      </w:r>
      <w:r w:rsidR="00FC7CBC">
        <w:t xml:space="preserve"> </w:t>
      </w:r>
      <w:r w:rsidR="00106250">
        <w:t>timeframe</w:t>
      </w:r>
      <w:r w:rsidR="00FC7CBC">
        <w:t xml:space="preserve"> </w:t>
      </w:r>
      <w:r w:rsidR="00106250">
        <w:t>for revisiting this question, such as a mandatory review provision. This is an important</w:t>
      </w:r>
      <w:r w:rsidR="0097717A">
        <w:t xml:space="preserve"> </w:t>
      </w:r>
      <w:r w:rsidR="00106250">
        <w:t>policy consideration, and officials will be tasked with exploring it further when the time is appropriate.</w:t>
      </w:r>
      <w:r w:rsidR="0097717A">
        <w:t xml:space="preserve"> </w:t>
      </w:r>
      <w:r w:rsidR="00106250">
        <w:t xml:space="preserve">See </w:t>
      </w:r>
      <w:hyperlink w:anchor="_Appendix_2:_Summary">
        <w:r w:rsidR="00771CDA" w:rsidRPr="02B0B2F2">
          <w:rPr>
            <w:rStyle w:val="Hyperlink"/>
          </w:rPr>
          <w:t>a</w:t>
        </w:r>
        <w:r w:rsidR="00106250" w:rsidRPr="02B0B2F2">
          <w:rPr>
            <w:rStyle w:val="Hyperlink"/>
          </w:rPr>
          <w:t>ppendix 2</w:t>
        </w:r>
      </w:hyperlink>
      <w:r w:rsidR="0097717A">
        <w:t>,</w:t>
      </w:r>
      <w:r w:rsidR="00106250">
        <w:t xml:space="preserve"> for more information.</w:t>
      </w:r>
    </w:p>
    <w:p w14:paraId="2DA8FE6A" w14:textId="7ADED8B8" w:rsidR="73D13CED" w:rsidRPr="00B425EF" w:rsidRDefault="73D13CED" w:rsidP="00EF47CE">
      <w:pPr>
        <w:pStyle w:val="Heading2"/>
        <w:rPr>
          <w:rStyle w:val="Heading5Char"/>
          <w:rFonts w:ascii="Georgia" w:hAnsi="Georgia"/>
          <w:i w:val="0"/>
        </w:rPr>
      </w:pPr>
      <w:bookmarkStart w:id="14" w:name="_Toc210040573"/>
      <w:bookmarkStart w:id="15" w:name="_Toc215650578"/>
      <w:r w:rsidRPr="00B425EF">
        <w:t xml:space="preserve">How </w:t>
      </w:r>
      <w:r w:rsidR="0030436C" w:rsidRPr="00B425EF">
        <w:t xml:space="preserve">we will implement </w:t>
      </w:r>
      <w:r w:rsidRPr="00B425EF">
        <w:t>these decisions</w:t>
      </w:r>
      <w:bookmarkEnd w:id="14"/>
      <w:bookmarkEnd w:id="15"/>
    </w:p>
    <w:p w14:paraId="3BA56AA4" w14:textId="6F64533C" w:rsidR="00052D6A" w:rsidRPr="00B425EF" w:rsidRDefault="00052D6A" w:rsidP="008515BB">
      <w:pPr>
        <w:pStyle w:val="Heading3"/>
        <w:spacing w:before="240"/>
      </w:pPr>
      <w:r w:rsidRPr="00B425EF">
        <w:t>Amendment to the Climate Change Response Act 2002</w:t>
      </w:r>
    </w:p>
    <w:p w14:paraId="5B455E7B" w14:textId="34B8FE63" w:rsidR="203B7F92" w:rsidRPr="00B425EF" w:rsidRDefault="66F1ED4E" w:rsidP="00F9240A">
      <w:pPr>
        <w:pStyle w:val="BodyText"/>
      </w:pPr>
      <w:r w:rsidRPr="00B425EF">
        <w:t xml:space="preserve">The Government has </w:t>
      </w:r>
      <w:r w:rsidR="0A568744" w:rsidRPr="00B425EF">
        <w:t>agreed</w:t>
      </w:r>
      <w:r w:rsidRPr="00B425EF">
        <w:t xml:space="preserve"> to introduce a </w:t>
      </w:r>
      <w:r w:rsidR="006A146F" w:rsidRPr="00B425EF">
        <w:t>B</w:t>
      </w:r>
      <w:r w:rsidRPr="00B425EF">
        <w:t xml:space="preserve">ill to Parliament </w:t>
      </w:r>
      <w:r w:rsidR="006A146F" w:rsidRPr="00B425EF">
        <w:t xml:space="preserve">that </w:t>
      </w:r>
      <w:r w:rsidRPr="00B425EF">
        <w:t>would amend the biogenic methane component of New Zealand’s 2050 target to 14</w:t>
      </w:r>
      <w:r w:rsidR="006A146F" w:rsidRPr="00B425EF">
        <w:t xml:space="preserve"> </w:t>
      </w:r>
      <w:r w:rsidR="00D273B3" w:rsidRPr="00B425EF">
        <w:t xml:space="preserve">percent </w:t>
      </w:r>
      <w:r w:rsidR="006A146F" w:rsidRPr="00B425EF">
        <w:t xml:space="preserve">to </w:t>
      </w:r>
      <w:r w:rsidRPr="00B425EF">
        <w:t xml:space="preserve">24 percent below 2017 levels by 2050. </w:t>
      </w:r>
      <w:r w:rsidR="006A146F" w:rsidRPr="00B425EF">
        <w:t>Parliament will then consider the B</w:t>
      </w:r>
      <w:r w:rsidR="661197CB" w:rsidRPr="00B425EF">
        <w:t>ill in due course.</w:t>
      </w:r>
    </w:p>
    <w:p w14:paraId="229687B6" w14:textId="2A7AC370" w:rsidR="24A07F72" w:rsidRPr="00B425EF" w:rsidRDefault="24A07F72" w:rsidP="00F9240A">
      <w:pPr>
        <w:pStyle w:val="BodyText"/>
      </w:pPr>
    </w:p>
    <w:p w14:paraId="5EF85D7E" w14:textId="1AFA702D" w:rsidR="002126A1" w:rsidRPr="00B425EF" w:rsidRDefault="002126A1" w:rsidP="00663FE6">
      <w:r w:rsidRPr="00B425EF">
        <w:br w:type="page"/>
      </w:r>
    </w:p>
    <w:p w14:paraId="087249E9" w14:textId="0B3F9B5A" w:rsidR="16C887A6" w:rsidRPr="00B425EF" w:rsidRDefault="16C887A6" w:rsidP="00EF47CE">
      <w:pPr>
        <w:pStyle w:val="Heading1"/>
      </w:pPr>
      <w:bookmarkStart w:id="16" w:name="_Appendix_1:_List"/>
      <w:bookmarkStart w:id="17" w:name="_Toc210040574"/>
      <w:bookmarkStart w:id="18" w:name="_Toc215650579"/>
      <w:bookmarkEnd w:id="16"/>
      <w:r w:rsidRPr="00B425EF">
        <w:lastRenderedPageBreak/>
        <w:t>Appendix 1</w:t>
      </w:r>
      <w:r w:rsidR="00A14BD3" w:rsidRPr="00B425EF">
        <w:t>:</w:t>
      </w:r>
      <w:r w:rsidRPr="00B425EF">
        <w:t xml:space="preserve"> </w:t>
      </w:r>
      <w:r w:rsidR="007530F0" w:rsidRPr="00B425EF">
        <w:t xml:space="preserve">Climate Change </w:t>
      </w:r>
      <w:r w:rsidR="00B80576" w:rsidRPr="00B425EF">
        <w:t>Commission</w:t>
      </w:r>
      <w:r w:rsidR="00072EE4" w:rsidRPr="00B425EF">
        <w:t>’s</w:t>
      </w:r>
      <w:r w:rsidR="000549E9" w:rsidRPr="00B425EF">
        <w:t xml:space="preserve"> technical</w:t>
      </w:r>
      <w:r w:rsidR="00B80576" w:rsidRPr="00B425EF">
        <w:t xml:space="preserve"> </w:t>
      </w:r>
      <w:r w:rsidRPr="00B425EF">
        <w:t>recommendations</w:t>
      </w:r>
      <w:bookmarkEnd w:id="17"/>
      <w:r w:rsidR="0007068A" w:rsidRPr="00B425EF">
        <w:t xml:space="preserve"> and Government response</w:t>
      </w:r>
      <w:r w:rsidR="0033443C" w:rsidRPr="00B425EF">
        <w:t xml:space="preserve"> summary</w:t>
      </w:r>
      <w:bookmarkEnd w:id="18"/>
    </w:p>
    <w:p w14:paraId="2EF2302A" w14:textId="0510023D" w:rsidR="00223E35" w:rsidRPr="00B425EF" w:rsidRDefault="00BA0A69" w:rsidP="00896794">
      <w:pPr>
        <w:pStyle w:val="Tableheading"/>
      </w:pPr>
      <w:bookmarkStart w:id="19" w:name="_Toc214537153"/>
      <w:r w:rsidRPr="00B425EF">
        <w:t xml:space="preserve">Table </w:t>
      </w:r>
      <w:r w:rsidR="008058C2" w:rsidRPr="00B425EF">
        <w:t>A</w:t>
      </w:r>
      <w:r w:rsidR="003D24A5" w:rsidRPr="00B425EF">
        <w:t>1</w:t>
      </w:r>
      <w:r w:rsidR="00386338" w:rsidRPr="00B425EF">
        <w:t>.1</w:t>
      </w:r>
      <w:r w:rsidR="00434141" w:rsidRPr="00B425EF">
        <w:t>:</w:t>
      </w:r>
      <w:r w:rsidR="00685E61" w:rsidRPr="00B425EF">
        <w:tab/>
      </w:r>
      <w:r w:rsidR="000549E9" w:rsidRPr="00B425EF">
        <w:t xml:space="preserve">Summary of </w:t>
      </w:r>
      <w:r w:rsidR="00A559D9" w:rsidRPr="00B425EF">
        <w:t xml:space="preserve">Climate Change </w:t>
      </w:r>
      <w:r w:rsidR="000549E9" w:rsidRPr="00B425EF">
        <w:t>Commission’s technical recommendations on international</w:t>
      </w:r>
      <w:r w:rsidR="00076710">
        <w:t> </w:t>
      </w:r>
      <w:r w:rsidR="00C324AC">
        <w:t>shipping</w:t>
      </w:r>
      <w:r w:rsidR="00C324AC" w:rsidRPr="00B425EF">
        <w:t xml:space="preserve"> </w:t>
      </w:r>
      <w:r w:rsidR="000549E9" w:rsidRPr="00B425EF">
        <w:t>and</w:t>
      </w:r>
      <w:r w:rsidR="00C324AC">
        <w:t xml:space="preserve"> aviation</w:t>
      </w:r>
      <w:bookmarkEnd w:id="19"/>
      <w:r w:rsidR="000549E9" w:rsidRPr="00B425EF">
        <w:t xml:space="preserve"> </w:t>
      </w:r>
    </w:p>
    <w:tbl>
      <w:tblPr>
        <w:tblStyle w:val="TableGrid"/>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6A0" w:firstRow="1" w:lastRow="0" w:firstColumn="1" w:lastColumn="0" w:noHBand="1" w:noVBand="1"/>
      </w:tblPr>
      <w:tblGrid>
        <w:gridCol w:w="1179"/>
        <w:gridCol w:w="3274"/>
        <w:gridCol w:w="4052"/>
      </w:tblGrid>
      <w:tr w:rsidR="00EE35BD" w:rsidRPr="00B425EF" w14:paraId="03DA94BE" w14:textId="77777777" w:rsidTr="3A4C152D">
        <w:trPr>
          <w:tblHeader/>
        </w:trPr>
        <w:tc>
          <w:tcPr>
            <w:tcW w:w="2618" w:type="pct"/>
            <w:gridSpan w:val="2"/>
            <w:tcBorders>
              <w:bottom w:val="single" w:sz="4" w:space="0" w:color="1B556B" w:themeColor="text2"/>
            </w:tcBorders>
            <w:shd w:val="clear" w:color="auto" w:fill="1B556B" w:themeFill="text2"/>
            <w:vAlign w:val="center"/>
          </w:tcPr>
          <w:p w14:paraId="498B6422" w14:textId="7A62DB21" w:rsidR="3B6290E7" w:rsidRPr="00B425EF" w:rsidRDefault="00A19BBF" w:rsidP="00EE35BD">
            <w:pPr>
              <w:pStyle w:val="TableTextbold"/>
              <w:rPr>
                <w:color w:val="FFFFFF" w:themeColor="background1"/>
              </w:rPr>
            </w:pPr>
            <w:r w:rsidRPr="00B425EF">
              <w:rPr>
                <w:color w:val="FFFFFF" w:themeColor="background1"/>
              </w:rPr>
              <w:t xml:space="preserve">Commission </w:t>
            </w:r>
            <w:r w:rsidR="000549E9" w:rsidRPr="00B425EF">
              <w:rPr>
                <w:color w:val="FFFFFF" w:themeColor="background1"/>
              </w:rPr>
              <w:t xml:space="preserve">technical </w:t>
            </w:r>
            <w:r w:rsidR="18A32B82" w:rsidRPr="00B425EF">
              <w:rPr>
                <w:color w:val="FFFFFF" w:themeColor="background1"/>
              </w:rPr>
              <w:t>recommendation</w:t>
            </w:r>
            <w:r w:rsidR="00831599" w:rsidRPr="3A4C152D">
              <w:rPr>
                <w:rStyle w:val="FootnoteReference"/>
                <w:color w:val="FFFFFF" w:themeColor="background1"/>
                <w:sz w:val="18"/>
                <w:szCs w:val="18"/>
              </w:rPr>
              <w:footnoteReference w:id="19"/>
            </w:r>
          </w:p>
        </w:tc>
        <w:tc>
          <w:tcPr>
            <w:tcW w:w="2382" w:type="pct"/>
            <w:tcBorders>
              <w:bottom w:val="single" w:sz="4" w:space="0" w:color="1B556B" w:themeColor="text2"/>
            </w:tcBorders>
            <w:shd w:val="clear" w:color="auto" w:fill="1B556B" w:themeFill="text2"/>
            <w:vAlign w:val="center"/>
          </w:tcPr>
          <w:p w14:paraId="6D4CF3A9" w14:textId="03A9528C" w:rsidR="3B6290E7" w:rsidRPr="00B425EF" w:rsidRDefault="00327D10" w:rsidP="00EE35BD">
            <w:pPr>
              <w:pStyle w:val="TableTextbold"/>
              <w:rPr>
                <w:color w:val="FFFFFF" w:themeColor="background1"/>
                <w:highlight w:val="magenta"/>
              </w:rPr>
            </w:pPr>
            <w:r w:rsidRPr="00B425EF">
              <w:rPr>
                <w:color w:val="FFFFFF" w:themeColor="background1"/>
              </w:rPr>
              <w:t>Summary of Government response</w:t>
            </w:r>
          </w:p>
        </w:tc>
      </w:tr>
      <w:tr w:rsidR="4013F6FA" w:rsidRPr="00B425EF" w14:paraId="27AB8927" w14:textId="77777777" w:rsidTr="3A4C152D">
        <w:tc>
          <w:tcPr>
            <w:tcW w:w="5000" w:type="pct"/>
            <w:gridSpan w:val="3"/>
            <w:shd w:val="clear" w:color="auto" w:fill="D2DDE1" w:themeFill="background2"/>
          </w:tcPr>
          <w:p w14:paraId="51862F95" w14:textId="01A98874" w:rsidR="3B6290E7" w:rsidRPr="00B425EF" w:rsidRDefault="3B6290E7" w:rsidP="00EE35BD">
            <w:pPr>
              <w:pStyle w:val="TableTextbold"/>
            </w:pPr>
            <w:r w:rsidRPr="00B425EF">
              <w:t>Calculate emissions from international shipping and aviation using the following measures:</w:t>
            </w:r>
          </w:p>
        </w:tc>
      </w:tr>
      <w:tr w:rsidR="4013F6FA" w:rsidRPr="00B425EF" w14:paraId="2FE0A9D0" w14:textId="77777777" w:rsidTr="3A4C152D">
        <w:tc>
          <w:tcPr>
            <w:tcW w:w="693" w:type="pct"/>
            <w:vMerge w:val="restart"/>
          </w:tcPr>
          <w:p w14:paraId="24CA5399" w14:textId="73853382" w:rsidR="00327D10" w:rsidRPr="00B425EF" w:rsidRDefault="00327D10" w:rsidP="00EE35BD">
            <w:pPr>
              <w:pStyle w:val="TableText"/>
            </w:pPr>
            <w:r w:rsidRPr="00B425EF">
              <w:t>International shipping and aviation</w:t>
            </w:r>
          </w:p>
        </w:tc>
        <w:tc>
          <w:tcPr>
            <w:tcW w:w="1925" w:type="pct"/>
          </w:tcPr>
          <w:p w14:paraId="1D1EB6D3" w14:textId="03D3B212" w:rsidR="3B6290E7" w:rsidRPr="00B425EF" w:rsidRDefault="00A038CC" w:rsidP="00EE35BD">
            <w:pPr>
              <w:pStyle w:val="TableText"/>
            </w:pPr>
            <w:r w:rsidRPr="00B425EF">
              <w:t>A</w:t>
            </w:r>
            <w:r w:rsidR="3B6290E7" w:rsidRPr="00B425EF">
              <w:t xml:space="preserve">viation: </w:t>
            </w:r>
            <w:r w:rsidR="00327D10" w:rsidRPr="00B425EF">
              <w:t>refuelling</w:t>
            </w:r>
            <w:r w:rsidR="3B6290E7" w:rsidRPr="00B425EF">
              <w:t xml:space="preserve"> taking place in New Zealand based on bunker fuel use by all international operators</w:t>
            </w:r>
            <w:r w:rsidR="00570CE3" w:rsidRPr="00B425EF">
              <w:t>.</w:t>
            </w:r>
          </w:p>
        </w:tc>
        <w:tc>
          <w:tcPr>
            <w:tcW w:w="2382" w:type="pct"/>
          </w:tcPr>
          <w:p w14:paraId="16F829E5" w14:textId="5CC0A770" w:rsidR="00327D10" w:rsidRPr="00B425EF" w:rsidRDefault="00327D10" w:rsidP="00EE35BD">
            <w:pPr>
              <w:pStyle w:val="TableText"/>
            </w:pPr>
            <w:r w:rsidRPr="00B425EF">
              <w:rPr>
                <w:spacing w:val="-2"/>
              </w:rPr>
              <w:t>Based on</w:t>
            </w:r>
            <w:r w:rsidR="000E7098" w:rsidRPr="00B425EF">
              <w:rPr>
                <w:spacing w:val="-2"/>
              </w:rPr>
              <w:t xml:space="preserve"> the</w:t>
            </w:r>
            <w:r w:rsidRPr="00B425EF">
              <w:rPr>
                <w:spacing w:val="-2"/>
              </w:rPr>
              <w:t xml:space="preserve"> </w:t>
            </w:r>
            <w:r w:rsidR="000549E9" w:rsidRPr="00B425EF">
              <w:rPr>
                <w:spacing w:val="-2"/>
              </w:rPr>
              <w:t xml:space="preserve">decision to retain </w:t>
            </w:r>
            <w:r w:rsidR="000E7098" w:rsidRPr="00B425EF">
              <w:rPr>
                <w:spacing w:val="-2"/>
              </w:rPr>
              <w:t xml:space="preserve">the </w:t>
            </w:r>
            <w:r w:rsidR="000549E9" w:rsidRPr="00B425EF">
              <w:rPr>
                <w:spacing w:val="-2"/>
              </w:rPr>
              <w:t>current approac</w:t>
            </w:r>
            <w:r w:rsidR="000549E9" w:rsidRPr="00B425EF">
              <w:t xml:space="preserve">h to </w:t>
            </w:r>
            <w:r w:rsidR="00963929" w:rsidRPr="00B425EF">
              <w:t>international shipping and aviation</w:t>
            </w:r>
            <w:r w:rsidRPr="00B425EF">
              <w:t xml:space="preserve">, this technical </w:t>
            </w:r>
            <w:r w:rsidRPr="00B425EF">
              <w:rPr>
                <w:spacing w:val="-2"/>
              </w:rPr>
              <w:t>recommendation will not be progressed any further.</w:t>
            </w:r>
          </w:p>
          <w:p w14:paraId="29B457D9" w14:textId="55CA4B80" w:rsidR="4013F6FA" w:rsidRPr="00B425EF" w:rsidRDefault="00327D10" w:rsidP="00EE35BD">
            <w:pPr>
              <w:pStyle w:val="TableText"/>
            </w:pPr>
            <w:r w:rsidRPr="00B425EF">
              <w:t>Note</w:t>
            </w:r>
            <w:r w:rsidR="4A101F04" w:rsidRPr="00B425EF">
              <w:t>,</w:t>
            </w:r>
            <w:r w:rsidRPr="00B425EF">
              <w:t xml:space="preserve"> the New Zealand Greenhouse Gas </w:t>
            </w:r>
            <w:r w:rsidR="004717BC" w:rsidRPr="00B425EF">
              <w:t>I</w:t>
            </w:r>
            <w:r w:rsidRPr="00B425EF">
              <w:t>nventory already measures and reports on international aviation bunker fuels.</w:t>
            </w:r>
          </w:p>
        </w:tc>
      </w:tr>
      <w:tr w:rsidR="4013F6FA" w:rsidRPr="00B425EF" w14:paraId="0E75FA0D" w14:textId="77777777" w:rsidTr="3A4C152D">
        <w:tc>
          <w:tcPr>
            <w:tcW w:w="693" w:type="pct"/>
            <w:vMerge/>
          </w:tcPr>
          <w:p w14:paraId="5A944D97" w14:textId="7F0E9747" w:rsidR="00327D10" w:rsidRPr="00B425EF" w:rsidRDefault="00327D10" w:rsidP="00EE35BD">
            <w:pPr>
              <w:pStyle w:val="TableText"/>
            </w:pPr>
          </w:p>
        </w:tc>
        <w:tc>
          <w:tcPr>
            <w:tcW w:w="1925" w:type="pct"/>
            <w:tcBorders>
              <w:bottom w:val="single" w:sz="4" w:space="0" w:color="1B556B" w:themeColor="text2"/>
            </w:tcBorders>
          </w:tcPr>
          <w:p w14:paraId="4871FEE8" w14:textId="1060969F" w:rsidR="3B6290E7" w:rsidRPr="00B425EF" w:rsidRDefault="00A038CC" w:rsidP="00EE35BD">
            <w:pPr>
              <w:pStyle w:val="TableText"/>
            </w:pPr>
            <w:r w:rsidRPr="00B425EF">
              <w:t>S</w:t>
            </w:r>
            <w:r w:rsidR="26A04CB5" w:rsidRPr="00B425EF">
              <w:t>hipping: an estimate of 50</w:t>
            </w:r>
            <w:r w:rsidR="0035325F" w:rsidRPr="00B425EF">
              <w:t xml:space="preserve"> </w:t>
            </w:r>
            <w:r w:rsidR="00300190" w:rsidRPr="00B425EF">
              <w:t>percent</w:t>
            </w:r>
            <w:r w:rsidR="26A04CB5" w:rsidRPr="00B425EF">
              <w:t xml:space="preserve"> of the emissions to</w:t>
            </w:r>
            <w:r w:rsidR="0062159D" w:rsidRPr="00B425EF">
              <w:t xml:space="preserve"> and </w:t>
            </w:r>
            <w:r w:rsidR="26A04CB5" w:rsidRPr="00B425EF">
              <w:t>from the next overseas port by all international operators and 100</w:t>
            </w:r>
            <w:r w:rsidR="0035325F" w:rsidRPr="00B425EF">
              <w:t xml:space="preserve"> </w:t>
            </w:r>
            <w:r w:rsidR="00300190" w:rsidRPr="00B425EF">
              <w:t>percent</w:t>
            </w:r>
            <w:r w:rsidR="26A04CB5" w:rsidRPr="00B425EF">
              <w:t xml:space="preserve"> of their emissions travelling between ports in New Zealand and while docked</w:t>
            </w:r>
            <w:r w:rsidR="00570CE3" w:rsidRPr="00B425EF">
              <w:t>.</w:t>
            </w:r>
          </w:p>
        </w:tc>
        <w:tc>
          <w:tcPr>
            <w:tcW w:w="2382" w:type="pct"/>
            <w:tcBorders>
              <w:bottom w:val="single" w:sz="4" w:space="0" w:color="1B556B" w:themeColor="text2"/>
            </w:tcBorders>
          </w:tcPr>
          <w:p w14:paraId="3DB3D622" w14:textId="222AC74E" w:rsidR="00327D10" w:rsidRPr="00B425EF" w:rsidRDefault="00327D10" w:rsidP="00EE35BD">
            <w:pPr>
              <w:pStyle w:val="TableText"/>
            </w:pPr>
            <w:r w:rsidRPr="00B425EF">
              <w:rPr>
                <w:spacing w:val="-2"/>
              </w:rPr>
              <w:t>Based on</w:t>
            </w:r>
            <w:r w:rsidR="000E7098" w:rsidRPr="00B425EF">
              <w:rPr>
                <w:spacing w:val="-2"/>
              </w:rPr>
              <w:t xml:space="preserve"> the decision to retain the current approach</w:t>
            </w:r>
            <w:r w:rsidR="000E7098" w:rsidRPr="00B425EF">
              <w:t xml:space="preserve"> to</w:t>
            </w:r>
            <w:r w:rsidRPr="00B425EF">
              <w:t xml:space="preserve"> </w:t>
            </w:r>
            <w:r w:rsidR="00963929" w:rsidRPr="00B425EF">
              <w:t>international shipping and aviation</w:t>
            </w:r>
            <w:r w:rsidRPr="00B425EF">
              <w:t xml:space="preserve">, this technical </w:t>
            </w:r>
            <w:r w:rsidRPr="00B425EF">
              <w:rPr>
                <w:spacing w:val="-2"/>
              </w:rPr>
              <w:t>recommendation will not be progressed any further.</w:t>
            </w:r>
          </w:p>
          <w:p w14:paraId="2C3690AA" w14:textId="647F0B14" w:rsidR="4013F6FA" w:rsidRPr="00B425EF" w:rsidRDefault="00327D10" w:rsidP="00EE35BD">
            <w:pPr>
              <w:pStyle w:val="TableText"/>
            </w:pPr>
            <w:r w:rsidRPr="00B425EF">
              <w:t>Note</w:t>
            </w:r>
            <w:r w:rsidR="6F565D5A" w:rsidRPr="00B425EF">
              <w:t>,</w:t>
            </w:r>
            <w:r w:rsidRPr="00B425EF">
              <w:t xml:space="preserve"> the New Zealand Greenhouse Gas </w:t>
            </w:r>
            <w:r w:rsidR="007E60D0" w:rsidRPr="00B425EF">
              <w:t>I</w:t>
            </w:r>
            <w:r w:rsidRPr="00B425EF">
              <w:t>nventory measures and reports on international shipping by measuring and reporting on shipping bunker fuels</w:t>
            </w:r>
            <w:r w:rsidR="007E60D0" w:rsidRPr="00B425EF">
              <w:t>. T</w:t>
            </w:r>
            <w:r w:rsidRPr="00B425EF">
              <w:t xml:space="preserve">his approach is different </w:t>
            </w:r>
            <w:r w:rsidR="0062159D" w:rsidRPr="00B425EF">
              <w:t>from</w:t>
            </w:r>
            <w:r w:rsidRPr="00B425EF">
              <w:t xml:space="preserve"> the Commission’s recommendation.</w:t>
            </w:r>
          </w:p>
        </w:tc>
      </w:tr>
      <w:tr w:rsidR="4013F6FA" w:rsidRPr="00B425EF" w14:paraId="70AF5631" w14:textId="77777777" w:rsidTr="3A4C152D">
        <w:tc>
          <w:tcPr>
            <w:tcW w:w="693" w:type="pct"/>
            <w:vMerge/>
          </w:tcPr>
          <w:p w14:paraId="048EE187" w14:textId="0EA93E6E" w:rsidR="00327D10" w:rsidRPr="00B425EF" w:rsidRDefault="00327D10" w:rsidP="00002CC1">
            <w:pPr>
              <w:pStyle w:val="TableText"/>
              <w:jc w:val="both"/>
              <w:rPr>
                <w:b/>
              </w:rPr>
            </w:pPr>
          </w:p>
        </w:tc>
        <w:tc>
          <w:tcPr>
            <w:tcW w:w="4307" w:type="pct"/>
            <w:gridSpan w:val="2"/>
            <w:shd w:val="clear" w:color="auto" w:fill="D2DDE1" w:themeFill="background2"/>
          </w:tcPr>
          <w:p w14:paraId="42187F71" w14:textId="7988571B" w:rsidR="3B6290E7" w:rsidRPr="00B425EF" w:rsidRDefault="001722DE" w:rsidP="00EE35BD">
            <w:pPr>
              <w:pStyle w:val="TableTextbold"/>
            </w:pPr>
            <w:r w:rsidRPr="00B425EF">
              <w:t>a</w:t>
            </w:r>
            <w:r w:rsidR="3B6290E7" w:rsidRPr="00B425EF">
              <w:t>nd:</w:t>
            </w:r>
          </w:p>
        </w:tc>
      </w:tr>
      <w:tr w:rsidR="4013F6FA" w:rsidRPr="00B425EF" w14:paraId="4A1B43BA" w14:textId="77777777" w:rsidTr="3A4C152D">
        <w:tc>
          <w:tcPr>
            <w:tcW w:w="693" w:type="pct"/>
            <w:vMerge/>
          </w:tcPr>
          <w:p w14:paraId="3AFFF492" w14:textId="151E830F" w:rsidR="00327D10" w:rsidRPr="00B425EF" w:rsidRDefault="00327D10" w:rsidP="00002CC1">
            <w:pPr>
              <w:pStyle w:val="TableText"/>
            </w:pPr>
          </w:p>
        </w:tc>
        <w:tc>
          <w:tcPr>
            <w:tcW w:w="1925" w:type="pct"/>
          </w:tcPr>
          <w:p w14:paraId="46E08032" w14:textId="46204BEA" w:rsidR="4013F6FA" w:rsidRPr="00B425EF" w:rsidRDefault="00A038CC" w:rsidP="00EE35BD">
            <w:pPr>
              <w:pStyle w:val="TableText"/>
            </w:pPr>
            <w:r w:rsidRPr="00B425EF">
              <w:t>R</w:t>
            </w:r>
            <w:r w:rsidR="3B6290E7" w:rsidRPr="00B425EF">
              <w:t>econsider the inclusion of other climate impacts from international shipping and aviation in the 2050 target in future reviews</w:t>
            </w:r>
            <w:r w:rsidR="00570CE3" w:rsidRPr="00B425EF">
              <w:t>.</w:t>
            </w:r>
          </w:p>
        </w:tc>
        <w:tc>
          <w:tcPr>
            <w:tcW w:w="2382" w:type="pct"/>
          </w:tcPr>
          <w:p w14:paraId="2BC13987" w14:textId="72B30DD6" w:rsidR="4013F6FA" w:rsidRPr="00B425EF" w:rsidRDefault="00327D10" w:rsidP="00EE35BD">
            <w:pPr>
              <w:pStyle w:val="TableText"/>
            </w:pPr>
            <w:r w:rsidRPr="00B425EF">
              <w:rPr>
                <w:spacing w:val="-2"/>
              </w:rPr>
              <w:t xml:space="preserve">Based on </w:t>
            </w:r>
            <w:r w:rsidR="0087741B" w:rsidRPr="00B425EF">
              <w:rPr>
                <w:spacing w:val="-2"/>
              </w:rPr>
              <w:t>the decision to retain the current approach</w:t>
            </w:r>
            <w:r w:rsidR="0087741B" w:rsidRPr="00B425EF">
              <w:t xml:space="preserve"> to </w:t>
            </w:r>
            <w:r w:rsidR="0035325F" w:rsidRPr="00B425EF">
              <w:t>international shipping and aviation</w:t>
            </w:r>
            <w:r w:rsidR="7198F39F" w:rsidRPr="00B425EF">
              <w:t>,</w:t>
            </w:r>
            <w:r w:rsidR="000549E9" w:rsidRPr="00B425EF">
              <w:t xml:space="preserve"> </w:t>
            </w:r>
            <w:r w:rsidRPr="00B425EF">
              <w:t xml:space="preserve">this technical </w:t>
            </w:r>
            <w:r w:rsidRPr="00B425EF">
              <w:rPr>
                <w:spacing w:val="-2"/>
              </w:rPr>
              <w:t>recommendation will not be progressed any further.</w:t>
            </w:r>
          </w:p>
        </w:tc>
      </w:tr>
      <w:tr w:rsidR="4013F6FA" w:rsidRPr="00B425EF" w14:paraId="0457367E" w14:textId="77777777" w:rsidTr="3A4C152D">
        <w:tc>
          <w:tcPr>
            <w:tcW w:w="693" w:type="pct"/>
            <w:vMerge/>
          </w:tcPr>
          <w:p w14:paraId="131C8B75" w14:textId="77777777" w:rsidR="00327D10" w:rsidRPr="00B425EF" w:rsidRDefault="00327D10" w:rsidP="00002CC1">
            <w:pPr>
              <w:pStyle w:val="TableText"/>
            </w:pPr>
          </w:p>
        </w:tc>
        <w:tc>
          <w:tcPr>
            <w:tcW w:w="1925" w:type="pct"/>
          </w:tcPr>
          <w:p w14:paraId="68AA7733" w14:textId="5A26CE8A" w:rsidR="4013F6FA" w:rsidRPr="00B425EF" w:rsidRDefault="00A038CC" w:rsidP="00EE35BD">
            <w:pPr>
              <w:pStyle w:val="TableText"/>
            </w:pPr>
            <w:r w:rsidRPr="00B425EF">
              <w:t>D</w:t>
            </w:r>
            <w:r w:rsidR="3B6290E7" w:rsidRPr="00B425EF">
              <w:t>evelop measures for meeting the 2050 target that ensure a specific focus on gross emissions reductions for international shipping and aviation.</w:t>
            </w:r>
          </w:p>
        </w:tc>
        <w:tc>
          <w:tcPr>
            <w:tcW w:w="2382" w:type="pct"/>
          </w:tcPr>
          <w:p w14:paraId="5125267C" w14:textId="3CB1AA85" w:rsidR="4013F6FA" w:rsidRPr="00B425EF" w:rsidRDefault="00327D10" w:rsidP="00EE35BD">
            <w:pPr>
              <w:pStyle w:val="TableText"/>
            </w:pPr>
            <w:r w:rsidRPr="00B425EF">
              <w:rPr>
                <w:spacing w:val="-2"/>
              </w:rPr>
              <w:t xml:space="preserve">Based on </w:t>
            </w:r>
            <w:r w:rsidR="0087741B" w:rsidRPr="00B425EF">
              <w:rPr>
                <w:spacing w:val="-2"/>
              </w:rPr>
              <w:t>the decision to retain the current approach</w:t>
            </w:r>
            <w:r w:rsidR="00132DD9" w:rsidRPr="00B425EF">
              <w:t xml:space="preserve"> </w:t>
            </w:r>
            <w:r w:rsidR="0087741B" w:rsidRPr="00B425EF">
              <w:t xml:space="preserve">to </w:t>
            </w:r>
            <w:r w:rsidR="0035325F" w:rsidRPr="00B425EF">
              <w:t>international shipping and aviation</w:t>
            </w:r>
            <w:r w:rsidRPr="00B425EF">
              <w:t xml:space="preserve">, this technical </w:t>
            </w:r>
            <w:r w:rsidRPr="00B425EF">
              <w:rPr>
                <w:spacing w:val="-2"/>
              </w:rPr>
              <w:t>recommendation will not be progressed any further</w:t>
            </w:r>
            <w:r w:rsidRPr="00B425EF">
              <w:t>.</w:t>
            </w:r>
          </w:p>
        </w:tc>
      </w:tr>
    </w:tbl>
    <w:p w14:paraId="52792A54" w14:textId="60181D4F" w:rsidR="008D1788" w:rsidRPr="00B425EF" w:rsidRDefault="008D1788" w:rsidP="00EE35BD">
      <w:pPr>
        <w:pStyle w:val="BodyText"/>
      </w:pPr>
      <w:bookmarkStart w:id="20" w:name="_Toc210040575"/>
    </w:p>
    <w:p w14:paraId="18293CD6" w14:textId="77777777" w:rsidR="008D1788" w:rsidRPr="00B425EF" w:rsidRDefault="008D1788" w:rsidP="00EE35BD">
      <w:pPr>
        <w:pStyle w:val="BodyText"/>
      </w:pPr>
      <w:r w:rsidRPr="00B425EF">
        <w:br w:type="page"/>
      </w:r>
    </w:p>
    <w:p w14:paraId="0BD2D05C" w14:textId="7D4274B1" w:rsidR="7097B464" w:rsidRPr="00B425EF" w:rsidRDefault="5AF8F63F" w:rsidP="00EF47CE">
      <w:pPr>
        <w:pStyle w:val="Heading1"/>
      </w:pPr>
      <w:bookmarkStart w:id="21" w:name="_Appendix_2:_Summary"/>
      <w:bookmarkStart w:id="22" w:name="_Toc215650580"/>
      <w:bookmarkEnd w:id="21"/>
      <w:r w:rsidRPr="00B425EF">
        <w:lastRenderedPageBreak/>
        <w:t>Appendix 2</w:t>
      </w:r>
      <w:r w:rsidR="00525113" w:rsidRPr="00B425EF">
        <w:t>:</w:t>
      </w:r>
      <w:r w:rsidRPr="00B425EF">
        <w:t xml:space="preserve"> Summary of analysis to support decision-making on the 2050 target</w:t>
      </w:r>
      <w:bookmarkEnd w:id="22"/>
      <w:r w:rsidRPr="00B425EF">
        <w:t xml:space="preserve"> </w:t>
      </w:r>
      <w:bookmarkEnd w:id="20"/>
    </w:p>
    <w:p w14:paraId="465F66E8" w14:textId="6022BA95" w:rsidR="00D47EF0" w:rsidRPr="00B425EF" w:rsidRDefault="00D47EF0" w:rsidP="00BF4258">
      <w:pPr>
        <w:pStyle w:val="BodyText"/>
      </w:pPr>
      <w:r w:rsidRPr="00B425EF">
        <w:t xml:space="preserve">This appendix contains further information on options, objectives and </w:t>
      </w:r>
      <w:r w:rsidR="00B5248F" w:rsidRPr="00B425EF">
        <w:t xml:space="preserve">a summary of </w:t>
      </w:r>
      <w:r w:rsidRPr="00B425EF">
        <w:t xml:space="preserve">analysis </w:t>
      </w:r>
      <w:r w:rsidR="00B5248F" w:rsidRPr="00B425EF">
        <w:t>that</w:t>
      </w:r>
      <w:r w:rsidR="003C427E" w:rsidRPr="00B425EF">
        <w:t xml:space="preserve"> </w:t>
      </w:r>
      <w:r w:rsidRPr="00B425EF">
        <w:t>support</w:t>
      </w:r>
      <w:r w:rsidR="00E960B9" w:rsidRPr="00B425EF">
        <w:t>ed</w:t>
      </w:r>
      <w:r w:rsidRPr="00B425EF">
        <w:t xml:space="preserve"> </w:t>
      </w:r>
      <w:r w:rsidR="009D2C22" w:rsidRPr="00B425EF">
        <w:t xml:space="preserve">the </w:t>
      </w:r>
      <w:r w:rsidRPr="00B425EF">
        <w:t>Government</w:t>
      </w:r>
      <w:r w:rsidR="70CE47EF" w:rsidRPr="00B425EF">
        <w:t>’s</w:t>
      </w:r>
      <w:r w:rsidRPr="00B425EF">
        <w:t xml:space="preserve"> consideration of the </w:t>
      </w:r>
      <w:r w:rsidR="004A15DD" w:rsidRPr="00B425EF">
        <w:t xml:space="preserve">Climate Change </w:t>
      </w:r>
      <w:r w:rsidRPr="00B425EF">
        <w:t xml:space="preserve">Commission’s </w:t>
      </w:r>
      <w:r w:rsidR="00A559D9" w:rsidRPr="00B425EF">
        <w:t xml:space="preserve">(the Commission’s) </w:t>
      </w:r>
      <w:r w:rsidRPr="00B425EF">
        <w:t>2050 recommendations and its decisions.</w:t>
      </w:r>
    </w:p>
    <w:p w14:paraId="07E2BDB8" w14:textId="26C7F1E7" w:rsidR="00083B8A" w:rsidRPr="00B425EF" w:rsidRDefault="00083B8A" w:rsidP="00946F9D">
      <w:pPr>
        <w:pStyle w:val="BodyText"/>
      </w:pPr>
      <w:r w:rsidRPr="00B425EF">
        <w:t>Additional detail on option impact analysis and modelling of 2050 target options for biogenic methane and long-lived gases, including the Commission’s recommendation</w:t>
      </w:r>
      <w:r w:rsidR="00E03992" w:rsidRPr="00B425EF">
        <w:t>,</w:t>
      </w:r>
      <w:r w:rsidRPr="00B425EF">
        <w:t xml:space="preserve"> can be found in </w:t>
      </w:r>
      <w:r w:rsidR="0033071D" w:rsidRPr="00B425EF">
        <w:t>the</w:t>
      </w:r>
      <w:r w:rsidR="00920B60" w:rsidRPr="00B425EF">
        <w:t xml:space="preserve"> relevant</w:t>
      </w:r>
      <w:r w:rsidR="0033071D" w:rsidRPr="00B425EF">
        <w:t xml:space="preserve"> regulatory impact statement</w:t>
      </w:r>
      <w:r w:rsidR="00920B60" w:rsidRPr="00B425EF">
        <w:t>.</w:t>
      </w:r>
      <w:r w:rsidRPr="00B425EF">
        <w:rPr>
          <w:vertAlign w:val="superscript"/>
        </w:rPr>
        <w:footnoteReference w:id="20"/>
      </w:r>
      <w:r w:rsidRPr="00B425EF">
        <w:rPr>
          <w:vertAlign w:val="superscript"/>
        </w:rPr>
        <w:t xml:space="preserve"> </w:t>
      </w:r>
    </w:p>
    <w:p w14:paraId="6F89F242" w14:textId="27A5B7FE" w:rsidR="00795F8F" w:rsidRPr="00B425EF" w:rsidRDefault="00795F8F" w:rsidP="00EF47CE">
      <w:pPr>
        <w:pStyle w:val="Heading2"/>
      </w:pPr>
      <w:bookmarkStart w:id="23" w:name="_Toc215650581"/>
      <w:r w:rsidRPr="00B425EF">
        <w:t>Summary of analysis for biogenic methane and long-lived gas components</w:t>
      </w:r>
      <w:bookmarkEnd w:id="23"/>
      <w:r w:rsidRPr="00B425EF">
        <w:t xml:space="preserve"> </w:t>
      </w:r>
    </w:p>
    <w:p w14:paraId="162FB711" w14:textId="41BD7268" w:rsidR="00D47EF0" w:rsidRPr="00B425EF" w:rsidRDefault="00D47EF0" w:rsidP="00946F9D">
      <w:pPr>
        <w:pStyle w:val="Heading3"/>
        <w:spacing w:before="240"/>
      </w:pPr>
      <w:r w:rsidRPr="00B425EF">
        <w:t xml:space="preserve">Options the Government evaluated </w:t>
      </w:r>
    </w:p>
    <w:p w14:paraId="5036FF50" w14:textId="73CEAA94" w:rsidR="001137F3" w:rsidRPr="00B425EF" w:rsidRDefault="00FF5A33" w:rsidP="0042252E">
      <w:pPr>
        <w:jc w:val="left"/>
        <w:rPr>
          <w:b/>
        </w:rPr>
      </w:pPr>
      <w:r w:rsidRPr="00B425EF">
        <w:t xml:space="preserve">The Government </w:t>
      </w:r>
      <w:r w:rsidR="006E5B54" w:rsidRPr="00B425EF">
        <w:t>assessed</w:t>
      </w:r>
      <w:r w:rsidRPr="00B425EF">
        <w:t xml:space="preserve"> five overall options</w:t>
      </w:r>
      <w:r w:rsidR="003D24A5" w:rsidRPr="00B425EF">
        <w:t xml:space="preserve"> </w:t>
      </w:r>
      <w:r w:rsidR="00185A7D" w:rsidRPr="00B425EF">
        <w:t>(</w:t>
      </w:r>
      <w:r w:rsidR="003B45DC" w:rsidRPr="00B425EF">
        <w:t>described</w:t>
      </w:r>
      <w:r w:rsidR="00185A7D" w:rsidRPr="00B425EF">
        <w:t xml:space="preserve"> in </w:t>
      </w:r>
      <w:hyperlink w:anchor="tabA2_1" w:history="1">
        <w:r w:rsidR="003D24A5" w:rsidRPr="00B425EF">
          <w:rPr>
            <w:rStyle w:val="Hyperlink"/>
          </w:rPr>
          <w:t xml:space="preserve">table </w:t>
        </w:r>
        <w:r w:rsidR="00C12E2C" w:rsidRPr="00B425EF">
          <w:rPr>
            <w:rStyle w:val="Hyperlink"/>
          </w:rPr>
          <w:t>A</w:t>
        </w:r>
        <w:r w:rsidR="00F2701C" w:rsidRPr="00B425EF">
          <w:rPr>
            <w:rStyle w:val="Hyperlink"/>
          </w:rPr>
          <w:t>2.1</w:t>
        </w:r>
      </w:hyperlink>
      <w:r w:rsidR="003D24A5" w:rsidRPr="00B425EF">
        <w:t>)</w:t>
      </w:r>
      <w:r w:rsidR="00185A7D" w:rsidRPr="00B425EF">
        <w:t>,</w:t>
      </w:r>
      <w:r w:rsidRPr="00B425EF">
        <w:t xml:space="preserve"> including the </w:t>
      </w:r>
      <w:r w:rsidR="0046225D" w:rsidRPr="00B425EF">
        <w:t>Commission’s option</w:t>
      </w:r>
      <w:r w:rsidR="00A64252" w:rsidRPr="00B425EF">
        <w:t xml:space="preserve">, </w:t>
      </w:r>
      <w:r w:rsidR="001137F3" w:rsidRPr="00B425EF">
        <w:t>against the objectives and criteria outlined in the next section.</w:t>
      </w:r>
    </w:p>
    <w:p w14:paraId="7DC6D81D" w14:textId="52EE55E4" w:rsidR="00D47EF0" w:rsidRPr="00B425EF" w:rsidRDefault="00D47EF0" w:rsidP="00795F8F">
      <w:pPr>
        <w:pStyle w:val="Tableheading"/>
      </w:pPr>
      <w:bookmarkStart w:id="24" w:name="tabA2_1"/>
      <w:bookmarkStart w:id="25" w:name="_Toc214537154"/>
      <w:r w:rsidRPr="00B425EF">
        <w:t xml:space="preserve">Table </w:t>
      </w:r>
      <w:r w:rsidR="00C12E2C" w:rsidRPr="00B425EF">
        <w:t>A</w:t>
      </w:r>
      <w:r w:rsidR="00F2701C" w:rsidRPr="00B425EF">
        <w:t>2.</w:t>
      </w:r>
      <w:r w:rsidR="00C12E2C" w:rsidRPr="00B425EF">
        <w:t>1</w:t>
      </w:r>
      <w:bookmarkEnd w:id="24"/>
      <w:r w:rsidR="00434141" w:rsidRPr="00B425EF">
        <w:t>:</w:t>
      </w:r>
      <w:r w:rsidR="00140460" w:rsidRPr="00B425EF">
        <w:tab/>
      </w:r>
      <w:r w:rsidR="008D1788" w:rsidRPr="00B425EF">
        <w:t>Biogenic methane and long-lived gas options</w:t>
      </w:r>
      <w:bookmarkEnd w:id="25"/>
    </w:p>
    <w:tbl>
      <w:tblPr>
        <w:tblStyle w:val="TableGrid"/>
        <w:tblW w:w="5000" w:type="pct"/>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259"/>
        <w:gridCol w:w="6246"/>
      </w:tblGrid>
      <w:tr w:rsidR="0011167C" w:rsidRPr="00B425EF" w14:paraId="239F12B6" w14:textId="77777777" w:rsidTr="2CD38A57">
        <w:trPr>
          <w:tblHeader/>
        </w:trPr>
        <w:tc>
          <w:tcPr>
            <w:tcW w:w="1328" w:type="pct"/>
            <w:shd w:val="clear" w:color="auto" w:fill="1B556B" w:themeFill="text2"/>
          </w:tcPr>
          <w:p w14:paraId="49E54FB4" w14:textId="77016849" w:rsidR="00C560B0" w:rsidRPr="00B425EF" w:rsidRDefault="00877000">
            <w:pPr>
              <w:pStyle w:val="TableTextbold"/>
              <w:rPr>
                <w:color w:val="FFFFFF" w:themeColor="background1"/>
              </w:rPr>
            </w:pPr>
            <w:r w:rsidRPr="00B425EF">
              <w:rPr>
                <w:color w:val="FFFFFF" w:themeColor="background1"/>
              </w:rPr>
              <w:t>Options</w:t>
            </w:r>
            <w:r w:rsidR="00C560B0" w:rsidRPr="00B425EF">
              <w:rPr>
                <w:color w:val="FFFFFF" w:themeColor="background1"/>
              </w:rPr>
              <w:t xml:space="preserve"> </w:t>
            </w:r>
          </w:p>
        </w:tc>
        <w:tc>
          <w:tcPr>
            <w:tcW w:w="3672" w:type="pct"/>
            <w:shd w:val="clear" w:color="auto" w:fill="1B556B" w:themeFill="text2"/>
          </w:tcPr>
          <w:p w14:paraId="7D2F88C6" w14:textId="3C2AF530" w:rsidR="00C560B0" w:rsidRPr="00B425EF" w:rsidRDefault="00877000">
            <w:pPr>
              <w:pStyle w:val="TableTextbold"/>
              <w:rPr>
                <w:color w:val="FFFFFF" w:themeColor="background1"/>
              </w:rPr>
            </w:pPr>
            <w:r w:rsidRPr="00B425EF">
              <w:rPr>
                <w:color w:val="FFFFFF" w:themeColor="background1"/>
              </w:rPr>
              <w:t>Descrip</w:t>
            </w:r>
            <w:r w:rsidR="00DA4512" w:rsidRPr="00B425EF">
              <w:rPr>
                <w:color w:val="FFFFFF" w:themeColor="background1"/>
              </w:rPr>
              <w:t>t</w:t>
            </w:r>
            <w:r w:rsidRPr="00B425EF">
              <w:rPr>
                <w:color w:val="FFFFFF" w:themeColor="background1"/>
              </w:rPr>
              <w:t>ion</w:t>
            </w:r>
          </w:p>
        </w:tc>
      </w:tr>
      <w:tr w:rsidR="0011167C" w:rsidRPr="00B425EF" w14:paraId="415F3C69" w14:textId="77777777" w:rsidTr="00946F9D">
        <w:tc>
          <w:tcPr>
            <w:tcW w:w="1328" w:type="pct"/>
          </w:tcPr>
          <w:p w14:paraId="289D907B" w14:textId="4FFD7072" w:rsidR="00C560B0" w:rsidRPr="00B425EF" w:rsidRDefault="00C560B0" w:rsidP="00417ECF">
            <w:pPr>
              <w:pStyle w:val="TableText"/>
              <w:rPr>
                <w:b/>
                <w:bCs/>
              </w:rPr>
            </w:pPr>
            <w:r w:rsidRPr="00B425EF">
              <w:rPr>
                <w:b/>
                <w:bCs/>
              </w:rPr>
              <w:t>Option 1 (status quo)</w:t>
            </w:r>
          </w:p>
        </w:tc>
        <w:tc>
          <w:tcPr>
            <w:tcW w:w="3672" w:type="pct"/>
          </w:tcPr>
          <w:p w14:paraId="3FBC99A6" w14:textId="4C73702A" w:rsidR="00C560B0" w:rsidRPr="00B425EF" w:rsidRDefault="009E2D99" w:rsidP="00C560B0">
            <w:pPr>
              <w:pStyle w:val="TableText"/>
            </w:pPr>
            <w:r w:rsidRPr="00B425EF">
              <w:t xml:space="preserve">The </w:t>
            </w:r>
            <w:r w:rsidR="00C560B0" w:rsidRPr="00B425EF">
              <w:t xml:space="preserve">baseline for this analysis is the current </w:t>
            </w:r>
            <w:r w:rsidR="0023582A" w:rsidRPr="00B425EF">
              <w:t>legislated</w:t>
            </w:r>
            <w:r w:rsidR="00C560B0" w:rsidRPr="00B425EF">
              <w:t xml:space="preserve"> targets in the </w:t>
            </w:r>
            <w:r w:rsidRPr="00B425EF">
              <w:t xml:space="preserve">CCRA </w:t>
            </w:r>
            <w:r w:rsidR="00C560B0" w:rsidRPr="00B425EF">
              <w:t xml:space="preserve">and assumed policy mix as part of </w:t>
            </w:r>
            <w:r w:rsidR="00FE61F7" w:rsidRPr="00B425EF">
              <w:t>ERP2</w:t>
            </w:r>
            <w:r w:rsidRPr="00B425EF">
              <w:t>.</w:t>
            </w:r>
          </w:p>
        </w:tc>
      </w:tr>
      <w:tr w:rsidR="00C560B0" w:rsidRPr="00B425EF" w14:paraId="51D75CB5" w14:textId="77777777" w:rsidTr="00946F9D">
        <w:tc>
          <w:tcPr>
            <w:tcW w:w="1328" w:type="pct"/>
          </w:tcPr>
          <w:p w14:paraId="7D9D7071" w14:textId="5AA786EB" w:rsidR="00C560B0" w:rsidRPr="00B425EF" w:rsidRDefault="00C560B0" w:rsidP="00417ECF">
            <w:pPr>
              <w:pStyle w:val="TableText"/>
              <w:rPr>
                <w:b/>
                <w:bCs/>
              </w:rPr>
            </w:pPr>
            <w:r w:rsidRPr="00B425EF">
              <w:rPr>
                <w:b/>
                <w:bCs/>
              </w:rPr>
              <w:t>Option 2</w:t>
            </w:r>
          </w:p>
        </w:tc>
        <w:tc>
          <w:tcPr>
            <w:tcW w:w="3672" w:type="pct"/>
          </w:tcPr>
          <w:p w14:paraId="1BEF9943" w14:textId="4A3D61C0" w:rsidR="00C560B0" w:rsidRPr="00B425EF" w:rsidRDefault="00CC055E" w:rsidP="00C560B0">
            <w:pPr>
              <w:pStyle w:val="TableText"/>
            </w:pPr>
            <w:r w:rsidRPr="00B425EF">
              <w:t>R</w:t>
            </w:r>
            <w:r w:rsidR="00C560B0" w:rsidRPr="00B425EF">
              <w:t>educe</w:t>
            </w:r>
            <w:r w:rsidRPr="00B425EF">
              <w:t xml:space="preserve"> the </w:t>
            </w:r>
            <w:r w:rsidR="00C560B0" w:rsidRPr="00B425EF">
              <w:t>biogenic methane component</w:t>
            </w:r>
            <w:r w:rsidR="00417ECF" w:rsidRPr="00B425EF">
              <w:t xml:space="preserve"> </w:t>
            </w:r>
            <w:r w:rsidR="00C560B0" w:rsidRPr="00B425EF">
              <w:t xml:space="preserve">of </w:t>
            </w:r>
            <w:r w:rsidR="000B2A8A">
              <w:t xml:space="preserve">the </w:t>
            </w:r>
            <w:r w:rsidR="00C560B0" w:rsidRPr="00B425EF">
              <w:t xml:space="preserve">2050 target (14 percent less than 2017 emissions), </w:t>
            </w:r>
            <w:r w:rsidR="00764365" w:rsidRPr="00B425EF">
              <w:t xml:space="preserve">with </w:t>
            </w:r>
            <w:r w:rsidR="00C560B0" w:rsidRPr="00B425EF">
              <w:t>status</w:t>
            </w:r>
            <w:r w:rsidR="00764365" w:rsidRPr="00B425EF">
              <w:t xml:space="preserve"> </w:t>
            </w:r>
            <w:r w:rsidR="00C560B0" w:rsidRPr="00B425EF">
              <w:t>quo for long-lived gases (net zero)</w:t>
            </w:r>
            <w:r w:rsidR="005D44F1" w:rsidRPr="00B425EF">
              <w:t>.</w:t>
            </w:r>
          </w:p>
        </w:tc>
      </w:tr>
      <w:tr w:rsidR="00C560B0" w:rsidRPr="00B425EF" w14:paraId="69B17C72" w14:textId="77777777" w:rsidTr="00946F9D">
        <w:tc>
          <w:tcPr>
            <w:tcW w:w="1328" w:type="pct"/>
          </w:tcPr>
          <w:p w14:paraId="4E0C5C87" w14:textId="10E4F94C" w:rsidR="00C560B0" w:rsidRPr="00B425EF" w:rsidRDefault="00C560B0" w:rsidP="00417ECF">
            <w:pPr>
              <w:pStyle w:val="TableText"/>
              <w:rPr>
                <w:b/>
                <w:bCs/>
              </w:rPr>
            </w:pPr>
            <w:r w:rsidRPr="00B425EF">
              <w:rPr>
                <w:b/>
                <w:bCs/>
              </w:rPr>
              <w:t>Option 3 (Government agreed option)</w:t>
            </w:r>
          </w:p>
        </w:tc>
        <w:tc>
          <w:tcPr>
            <w:tcW w:w="3672" w:type="pct"/>
          </w:tcPr>
          <w:p w14:paraId="4B46798A" w14:textId="1A1C480E" w:rsidR="00C560B0" w:rsidRPr="00B425EF" w:rsidRDefault="00C560B0" w:rsidP="00C560B0">
            <w:pPr>
              <w:pStyle w:val="TableText"/>
            </w:pPr>
            <w:r w:rsidRPr="00B425EF">
              <w:t>Reduce biogenic</w:t>
            </w:r>
            <w:r w:rsidR="00417ECF" w:rsidRPr="00B425EF">
              <w:t xml:space="preserve"> m</w:t>
            </w:r>
            <w:r w:rsidRPr="00B425EF">
              <w:t>ethane target 14</w:t>
            </w:r>
            <w:r w:rsidR="00FF2886" w:rsidRPr="00B425EF">
              <w:t xml:space="preserve"> </w:t>
            </w:r>
            <w:r w:rsidR="00781730" w:rsidRPr="00B425EF">
              <w:t xml:space="preserve">percent </w:t>
            </w:r>
            <w:r w:rsidR="00FF2886" w:rsidRPr="00B425EF">
              <w:t xml:space="preserve">to </w:t>
            </w:r>
            <w:r w:rsidRPr="00B425EF">
              <w:t>24 per</w:t>
            </w:r>
            <w:r w:rsidR="00764365" w:rsidRPr="00B425EF">
              <w:t>c</w:t>
            </w:r>
            <w:r w:rsidRPr="00B425EF">
              <w:t>ent below 2017 levels</w:t>
            </w:r>
            <w:r w:rsidR="00764365" w:rsidRPr="00B425EF">
              <w:t xml:space="preserve">, with </w:t>
            </w:r>
            <w:r w:rsidRPr="00B425EF">
              <w:t>status quo for long-lived gases (net zero)</w:t>
            </w:r>
            <w:r w:rsidR="00764365" w:rsidRPr="00B425EF">
              <w:t>.</w:t>
            </w:r>
          </w:p>
        </w:tc>
      </w:tr>
      <w:tr w:rsidR="00C560B0" w:rsidRPr="00B425EF" w14:paraId="3AD4B7B4" w14:textId="77777777" w:rsidTr="00946F9D">
        <w:tc>
          <w:tcPr>
            <w:tcW w:w="1328" w:type="pct"/>
          </w:tcPr>
          <w:p w14:paraId="08ED7350" w14:textId="6AA296D5" w:rsidR="00C560B0" w:rsidRPr="00B425EF" w:rsidRDefault="00C560B0" w:rsidP="00417ECF">
            <w:pPr>
              <w:pStyle w:val="TableText"/>
              <w:rPr>
                <w:b/>
                <w:bCs/>
              </w:rPr>
            </w:pPr>
            <w:r w:rsidRPr="00B425EF">
              <w:rPr>
                <w:b/>
                <w:bCs/>
              </w:rPr>
              <w:t>Option 4</w:t>
            </w:r>
          </w:p>
        </w:tc>
        <w:tc>
          <w:tcPr>
            <w:tcW w:w="3672" w:type="pct"/>
          </w:tcPr>
          <w:p w14:paraId="186D7957" w14:textId="6819241B" w:rsidR="00C560B0" w:rsidRPr="00B425EF" w:rsidRDefault="00C560B0" w:rsidP="00C560B0">
            <w:pPr>
              <w:pStyle w:val="TableText"/>
            </w:pPr>
            <w:r w:rsidRPr="00B425EF">
              <w:t>Set the biogenic methane target to a 24</w:t>
            </w:r>
            <w:r w:rsidR="0035325F" w:rsidRPr="00B425EF">
              <w:t xml:space="preserve"> </w:t>
            </w:r>
            <w:r w:rsidR="00300190" w:rsidRPr="00B425EF">
              <w:t>percent</w:t>
            </w:r>
            <w:r w:rsidRPr="00B425EF">
              <w:t xml:space="preserve"> reduction from 2017 levels only</w:t>
            </w:r>
            <w:r w:rsidR="00764365" w:rsidRPr="00B425EF">
              <w:t>, with s</w:t>
            </w:r>
            <w:r w:rsidRPr="00B425EF">
              <w:t>tatus quo for long-lived gases (net zero)</w:t>
            </w:r>
            <w:r w:rsidR="00764365" w:rsidRPr="00B425EF">
              <w:t>.</w:t>
            </w:r>
          </w:p>
        </w:tc>
      </w:tr>
      <w:tr w:rsidR="00C560B0" w:rsidRPr="00B425EF" w14:paraId="53F51D47" w14:textId="77777777" w:rsidTr="00946F9D">
        <w:tc>
          <w:tcPr>
            <w:tcW w:w="1328" w:type="pct"/>
          </w:tcPr>
          <w:p w14:paraId="6D4069A9" w14:textId="304BB699" w:rsidR="00C560B0" w:rsidRPr="00B425EF" w:rsidRDefault="00C560B0" w:rsidP="00417ECF">
            <w:pPr>
              <w:pStyle w:val="TableText"/>
              <w:rPr>
                <w:b/>
                <w:bCs/>
              </w:rPr>
            </w:pPr>
            <w:r w:rsidRPr="00B425EF">
              <w:rPr>
                <w:b/>
                <w:bCs/>
              </w:rPr>
              <w:t>Option 5 (</w:t>
            </w:r>
            <w:r w:rsidR="004F1526" w:rsidRPr="00B425EF">
              <w:rPr>
                <w:b/>
                <w:bCs/>
              </w:rPr>
              <w:t xml:space="preserve">Climate Change </w:t>
            </w:r>
            <w:r w:rsidRPr="00B425EF">
              <w:rPr>
                <w:b/>
                <w:bCs/>
              </w:rPr>
              <w:t>Commission’s recommendation)</w:t>
            </w:r>
          </w:p>
        </w:tc>
        <w:tc>
          <w:tcPr>
            <w:tcW w:w="3672" w:type="pct"/>
          </w:tcPr>
          <w:p w14:paraId="5B227526" w14:textId="6D2D68DC" w:rsidR="00C560B0" w:rsidRPr="00B425EF" w:rsidRDefault="00C560B0" w:rsidP="00C560B0">
            <w:pPr>
              <w:pStyle w:val="TableText"/>
            </w:pPr>
            <w:r w:rsidRPr="00B425EF">
              <w:rPr>
                <w:spacing w:val="-2"/>
              </w:rPr>
              <w:t>Increase ambition of 2050 target</w:t>
            </w:r>
            <w:r w:rsidR="004F1526" w:rsidRPr="00B425EF">
              <w:rPr>
                <w:spacing w:val="-2"/>
              </w:rPr>
              <w:t>,</w:t>
            </w:r>
            <w:r w:rsidRPr="00B425EF">
              <w:rPr>
                <w:spacing w:val="-2"/>
              </w:rPr>
              <w:t xml:space="preserve"> as recommended by the Commission (35</w:t>
            </w:r>
            <w:r w:rsidR="00B13DEA" w:rsidRPr="00B425EF">
              <w:rPr>
                <w:spacing w:val="-2"/>
              </w:rPr>
              <w:t> </w:t>
            </w:r>
            <w:r w:rsidR="004F1526" w:rsidRPr="00B425EF">
              <w:rPr>
                <w:spacing w:val="-2"/>
              </w:rPr>
              <w:t>percent</w:t>
            </w:r>
            <w:r w:rsidR="004F1526" w:rsidRPr="00B425EF">
              <w:t xml:space="preserve"> </w:t>
            </w:r>
            <w:r w:rsidR="008E7C50" w:rsidRPr="00B425EF">
              <w:t xml:space="preserve">to </w:t>
            </w:r>
            <w:r w:rsidRPr="00B425EF">
              <w:t>47 percent less than 2017 for biogenic methane; negative 20</w:t>
            </w:r>
            <w:r w:rsidR="006A1201" w:rsidRPr="00B425EF">
              <w:t xml:space="preserve"> </w:t>
            </w:r>
            <w:r w:rsidRPr="00B425EF">
              <w:t xml:space="preserve">Mt </w:t>
            </w:r>
            <w:r w:rsidR="004B5299" w:rsidRPr="00B425EF">
              <w:t>CO</w:t>
            </w:r>
            <w:r w:rsidR="004B5299" w:rsidRPr="00B425EF">
              <w:rPr>
                <w:vertAlign w:val="subscript"/>
              </w:rPr>
              <w:t>2</w:t>
            </w:r>
            <w:r w:rsidR="004B5299" w:rsidRPr="00B425EF">
              <w:t>-e</w:t>
            </w:r>
            <w:r w:rsidRPr="00B425EF">
              <w:t xml:space="preserve"> for long-lived gases; further reductions and removals beyond 2050)</w:t>
            </w:r>
            <w:r w:rsidR="006A1201" w:rsidRPr="00B425EF">
              <w:t>.</w:t>
            </w:r>
          </w:p>
        </w:tc>
      </w:tr>
    </w:tbl>
    <w:p w14:paraId="745C235E" w14:textId="62AF9E4C" w:rsidR="00362A72" w:rsidRPr="00B425EF" w:rsidRDefault="00B13DEA" w:rsidP="00362A72">
      <w:pPr>
        <w:pStyle w:val="Note"/>
      </w:pPr>
      <w:r w:rsidRPr="00B425EF">
        <w:t>Note: CCRA = Climate Change Response Act 2002; ERP2 = second emissions reduction plan; Mt CO</w:t>
      </w:r>
      <w:r w:rsidRPr="00B425EF">
        <w:rPr>
          <w:vertAlign w:val="subscript"/>
        </w:rPr>
        <w:t>2</w:t>
      </w:r>
      <w:r w:rsidRPr="00B425EF">
        <w:t>-e = megatonnes of carbon dioxide equivalent.</w:t>
      </w:r>
    </w:p>
    <w:p w14:paraId="50157AC5" w14:textId="07F59B86" w:rsidR="00D47EF0" w:rsidRPr="00B425EF" w:rsidRDefault="00D47EF0" w:rsidP="00EF47CE">
      <w:pPr>
        <w:pStyle w:val="Heading3"/>
      </w:pPr>
      <w:r w:rsidRPr="00B425EF">
        <w:lastRenderedPageBreak/>
        <w:t xml:space="preserve">Objectives used to evaluate options </w:t>
      </w:r>
    </w:p>
    <w:p w14:paraId="4B08FBEC" w14:textId="1775BDD6" w:rsidR="739C0F59" w:rsidRPr="00B425EF" w:rsidRDefault="77743DB3" w:rsidP="00946F9D">
      <w:pPr>
        <w:pStyle w:val="BodyText"/>
        <w:keepNext/>
      </w:pPr>
      <w:r w:rsidRPr="00B425EF">
        <w:t>The Government used the objectives and criteria</w:t>
      </w:r>
      <w:r w:rsidR="003D24A5" w:rsidRPr="00B425EF">
        <w:t xml:space="preserve"> </w:t>
      </w:r>
      <w:r w:rsidR="006A1201" w:rsidRPr="00B425EF">
        <w:t xml:space="preserve">outlined in </w:t>
      </w:r>
      <w:hyperlink w:anchor="tabA2_2" w:history="1">
        <w:r w:rsidR="003D24A5" w:rsidRPr="00B425EF">
          <w:rPr>
            <w:rStyle w:val="Hyperlink"/>
          </w:rPr>
          <w:t xml:space="preserve">table </w:t>
        </w:r>
        <w:r w:rsidR="00C12E2C" w:rsidRPr="00B425EF">
          <w:rPr>
            <w:rStyle w:val="Hyperlink"/>
          </w:rPr>
          <w:t>A2</w:t>
        </w:r>
        <w:r w:rsidR="00F2701C" w:rsidRPr="00B425EF">
          <w:rPr>
            <w:rStyle w:val="Hyperlink"/>
          </w:rPr>
          <w:t>.2</w:t>
        </w:r>
      </w:hyperlink>
      <w:r w:rsidRPr="00B425EF">
        <w:t xml:space="preserve"> to consider the Commission’s recommendation and other options for changing the 2050 target.</w:t>
      </w:r>
    </w:p>
    <w:p w14:paraId="1D8158DB" w14:textId="19EE1193" w:rsidR="4D25FA9A" w:rsidRPr="00B425EF" w:rsidRDefault="0A79C440" w:rsidP="00002CC1">
      <w:pPr>
        <w:pStyle w:val="Tableheading"/>
      </w:pPr>
      <w:bookmarkStart w:id="26" w:name="tabA2_2"/>
      <w:bookmarkStart w:id="27" w:name="_Toc214537155"/>
      <w:r>
        <w:t xml:space="preserve">Table </w:t>
      </w:r>
      <w:r w:rsidR="00C12E2C">
        <w:t>A2</w:t>
      </w:r>
      <w:r w:rsidR="00F2701C">
        <w:t>.2</w:t>
      </w:r>
      <w:bookmarkEnd w:id="26"/>
      <w:r w:rsidR="00434141">
        <w:t>:</w:t>
      </w:r>
      <w:r>
        <w:tab/>
        <w:t>Objectives used in</w:t>
      </w:r>
      <w:r w:rsidR="0E38F2D5">
        <w:t xml:space="preserve"> the</w:t>
      </w:r>
      <w:r>
        <w:t xml:space="preserve"> assessment of </w:t>
      </w:r>
      <w:r w:rsidR="4EC55EDD">
        <w:t>2050 target options analysis</w:t>
      </w:r>
      <w:bookmarkEnd w:id="27"/>
      <w:r w:rsidR="4EC55EDD">
        <w:t xml:space="preserve"> </w:t>
      </w:r>
    </w:p>
    <w:tbl>
      <w:tblPr>
        <w:tblStyle w:val="TableGrid"/>
        <w:tblW w:w="8505" w:type="dxa"/>
        <w:tblBorders>
          <w:bottom w:val="single" w:sz="2" w:space="0" w:color="1B556B"/>
          <w:insideH w:val="single" w:sz="2" w:space="0" w:color="1B556B"/>
          <w:insideV w:val="single" w:sz="2" w:space="0" w:color="1B556B"/>
        </w:tblBorders>
        <w:tblCellMar>
          <w:left w:w="85" w:type="dxa"/>
          <w:right w:w="85" w:type="dxa"/>
        </w:tblCellMar>
        <w:tblLook w:val="04A0" w:firstRow="1" w:lastRow="0" w:firstColumn="1" w:lastColumn="0" w:noHBand="0" w:noVBand="1"/>
      </w:tblPr>
      <w:tblGrid>
        <w:gridCol w:w="2410"/>
        <w:gridCol w:w="2977"/>
        <w:gridCol w:w="3118"/>
      </w:tblGrid>
      <w:tr w:rsidR="3A1DFC3B" w:rsidRPr="00B425EF" w14:paraId="4B4614DD" w14:textId="77777777" w:rsidTr="2CD38A57">
        <w:trPr>
          <w:tblHeader/>
        </w:trPr>
        <w:tc>
          <w:tcPr>
            <w:tcW w:w="1417" w:type="pct"/>
            <w:shd w:val="clear" w:color="auto" w:fill="1B556B" w:themeFill="text2"/>
            <w:tcMar>
              <w:left w:w="105" w:type="dxa"/>
              <w:right w:w="105" w:type="dxa"/>
            </w:tcMar>
          </w:tcPr>
          <w:p w14:paraId="343C7287" w14:textId="671495CE" w:rsidR="3A1DFC3B" w:rsidRPr="00B425EF" w:rsidRDefault="3A1DFC3B" w:rsidP="00EC3885">
            <w:pPr>
              <w:pStyle w:val="TableText"/>
              <w:spacing w:before="40" w:after="40"/>
              <w:rPr>
                <w:b/>
                <w:color w:val="FFFFFF" w:themeColor="background1"/>
              </w:rPr>
            </w:pPr>
            <w:r w:rsidRPr="00B425EF">
              <w:rPr>
                <w:b/>
                <w:bCs/>
                <w:color w:val="FFFFFF" w:themeColor="background1"/>
              </w:rPr>
              <w:t>Objectives</w:t>
            </w:r>
          </w:p>
        </w:tc>
        <w:tc>
          <w:tcPr>
            <w:tcW w:w="1750" w:type="pct"/>
            <w:shd w:val="clear" w:color="auto" w:fill="1B556B" w:themeFill="text2"/>
            <w:tcMar>
              <w:left w:w="105" w:type="dxa"/>
              <w:right w:w="105" w:type="dxa"/>
            </w:tcMar>
          </w:tcPr>
          <w:p w14:paraId="564D9AF0" w14:textId="1DEE3B24" w:rsidR="3A1DFC3B" w:rsidRPr="00B425EF" w:rsidRDefault="3A1DFC3B" w:rsidP="00EC3885">
            <w:pPr>
              <w:pStyle w:val="TableText"/>
              <w:spacing w:before="40" w:after="40"/>
              <w:rPr>
                <w:b/>
                <w:color w:val="FFFFFF" w:themeColor="background1"/>
              </w:rPr>
            </w:pPr>
            <w:r w:rsidRPr="00B425EF">
              <w:rPr>
                <w:b/>
                <w:bCs/>
                <w:color w:val="FFFFFF" w:themeColor="background1"/>
              </w:rPr>
              <w:t>Criteri</w:t>
            </w:r>
            <w:r w:rsidR="004F1526" w:rsidRPr="00B425EF">
              <w:rPr>
                <w:b/>
                <w:bCs/>
                <w:color w:val="FFFFFF" w:themeColor="background1"/>
              </w:rPr>
              <w:t>a</w:t>
            </w:r>
            <w:r w:rsidRPr="00B425EF">
              <w:rPr>
                <w:b/>
                <w:bCs/>
                <w:color w:val="FFFFFF" w:themeColor="background1"/>
              </w:rPr>
              <w:t xml:space="preserve"> </w:t>
            </w:r>
          </w:p>
        </w:tc>
        <w:tc>
          <w:tcPr>
            <w:tcW w:w="1833" w:type="pct"/>
            <w:shd w:val="clear" w:color="auto" w:fill="1B556B" w:themeFill="text2"/>
            <w:tcMar>
              <w:left w:w="105" w:type="dxa"/>
              <w:right w:w="105" w:type="dxa"/>
            </w:tcMar>
          </w:tcPr>
          <w:p w14:paraId="3F51B616" w14:textId="749C5E2C" w:rsidR="3A1DFC3B" w:rsidRPr="00B425EF" w:rsidRDefault="3A1DFC3B" w:rsidP="00EC3885">
            <w:pPr>
              <w:pStyle w:val="TableText"/>
              <w:spacing w:before="40" w:after="40"/>
              <w:rPr>
                <w:b/>
                <w:color w:val="FFFFFF" w:themeColor="background1"/>
              </w:rPr>
            </w:pPr>
            <w:r w:rsidRPr="00B425EF">
              <w:rPr>
                <w:b/>
                <w:bCs/>
                <w:color w:val="FFFFFF" w:themeColor="background1"/>
              </w:rPr>
              <w:t xml:space="preserve">Description </w:t>
            </w:r>
          </w:p>
        </w:tc>
      </w:tr>
      <w:tr w:rsidR="3A1DFC3B" w:rsidRPr="00B425EF" w14:paraId="74EB6D07" w14:textId="77777777" w:rsidTr="00651902">
        <w:tc>
          <w:tcPr>
            <w:tcW w:w="1417" w:type="pct"/>
            <w:vMerge w:val="restart"/>
            <w:tcMar>
              <w:left w:w="105" w:type="dxa"/>
              <w:right w:w="105" w:type="dxa"/>
            </w:tcMar>
          </w:tcPr>
          <w:p w14:paraId="0C0B67AF" w14:textId="6A56581F" w:rsidR="3A1DFC3B" w:rsidRPr="00B425EF" w:rsidRDefault="3A1DFC3B" w:rsidP="00EC3885">
            <w:pPr>
              <w:pStyle w:val="TableText"/>
              <w:spacing w:before="40" w:after="40"/>
            </w:pPr>
            <w:r w:rsidRPr="00B425EF">
              <w:t>Align</w:t>
            </w:r>
            <w:r w:rsidR="00CC0DB5" w:rsidRPr="00B425EF">
              <w:t>ment</w:t>
            </w:r>
            <w:r w:rsidRPr="00B425EF">
              <w:t xml:space="preserve"> with the Government’s economic agenda </w:t>
            </w:r>
          </w:p>
        </w:tc>
        <w:tc>
          <w:tcPr>
            <w:tcW w:w="1750" w:type="pct"/>
            <w:tcMar>
              <w:left w:w="105" w:type="dxa"/>
              <w:right w:w="105" w:type="dxa"/>
            </w:tcMar>
          </w:tcPr>
          <w:p w14:paraId="41B53EB6" w14:textId="224B331E" w:rsidR="3A1DFC3B" w:rsidRPr="00B425EF" w:rsidRDefault="3A1DFC3B" w:rsidP="00EC3885">
            <w:pPr>
              <w:pStyle w:val="TableText"/>
              <w:spacing w:before="40" w:after="40"/>
            </w:pPr>
            <w:r w:rsidRPr="00B425EF">
              <w:t xml:space="preserve">Economic impact </w:t>
            </w:r>
          </w:p>
        </w:tc>
        <w:tc>
          <w:tcPr>
            <w:tcW w:w="1833" w:type="pct"/>
            <w:tcMar>
              <w:left w:w="105" w:type="dxa"/>
              <w:right w:w="105" w:type="dxa"/>
            </w:tcMar>
          </w:tcPr>
          <w:p w14:paraId="42DDE446" w14:textId="7BA4D354" w:rsidR="3A1DFC3B" w:rsidRPr="00B425EF" w:rsidRDefault="3A1DFC3B" w:rsidP="00EC3885">
            <w:pPr>
              <w:pStyle w:val="TableText"/>
              <w:spacing w:before="40" w:after="40"/>
            </w:pPr>
            <w:r w:rsidRPr="00B425EF">
              <w:t>Economic impact and how costs differ between groups, sectors and regions</w:t>
            </w:r>
          </w:p>
        </w:tc>
      </w:tr>
      <w:tr w:rsidR="3A1DFC3B" w:rsidRPr="00B425EF" w14:paraId="0346AC11" w14:textId="77777777" w:rsidTr="00651902">
        <w:tc>
          <w:tcPr>
            <w:tcW w:w="1417" w:type="pct"/>
            <w:vMerge/>
          </w:tcPr>
          <w:p w14:paraId="40E7505E" w14:textId="77777777" w:rsidR="00740F73" w:rsidRPr="00B425EF" w:rsidRDefault="00740F73" w:rsidP="00EC3885">
            <w:pPr>
              <w:pStyle w:val="TableText"/>
              <w:spacing w:before="40" w:after="40"/>
            </w:pPr>
          </w:p>
        </w:tc>
        <w:tc>
          <w:tcPr>
            <w:tcW w:w="1750" w:type="pct"/>
            <w:tcMar>
              <w:left w:w="105" w:type="dxa"/>
              <w:right w:w="105" w:type="dxa"/>
            </w:tcMar>
          </w:tcPr>
          <w:p w14:paraId="46322E03" w14:textId="575FA29A" w:rsidR="3A1DFC3B" w:rsidRPr="00B425EF" w:rsidRDefault="3A1DFC3B" w:rsidP="00EC3885">
            <w:pPr>
              <w:pStyle w:val="TableText"/>
              <w:spacing w:before="40" w:after="40"/>
            </w:pPr>
            <w:r w:rsidRPr="00B425EF">
              <w:t>Key impacts on sectors</w:t>
            </w:r>
          </w:p>
        </w:tc>
        <w:tc>
          <w:tcPr>
            <w:tcW w:w="1833" w:type="pct"/>
            <w:tcMar>
              <w:left w:w="105" w:type="dxa"/>
              <w:right w:w="105" w:type="dxa"/>
            </w:tcMar>
          </w:tcPr>
          <w:p w14:paraId="774C477F" w14:textId="5D83913B" w:rsidR="3A1DFC3B" w:rsidRPr="00B425EF" w:rsidRDefault="3A1DFC3B" w:rsidP="00EC3885">
            <w:pPr>
              <w:pStyle w:val="TableText"/>
              <w:spacing w:before="40" w:after="40"/>
            </w:pPr>
            <w:r w:rsidRPr="00B425EF">
              <w:t xml:space="preserve">Sectoral impact analysis based on projection or current policies </w:t>
            </w:r>
          </w:p>
        </w:tc>
      </w:tr>
      <w:tr w:rsidR="3A1DFC3B" w:rsidRPr="00B425EF" w14:paraId="388030EA" w14:textId="77777777" w:rsidTr="00651902">
        <w:tc>
          <w:tcPr>
            <w:tcW w:w="1417" w:type="pct"/>
            <w:vMerge w:val="restart"/>
            <w:tcMar>
              <w:left w:w="105" w:type="dxa"/>
              <w:right w:w="105" w:type="dxa"/>
            </w:tcMar>
          </w:tcPr>
          <w:p w14:paraId="7EAB571A" w14:textId="0AEDD593" w:rsidR="3A1DFC3B" w:rsidRPr="00B425EF" w:rsidRDefault="3A1DFC3B" w:rsidP="00EC3885">
            <w:pPr>
              <w:pStyle w:val="TableText"/>
              <w:spacing w:before="40" w:after="40"/>
            </w:pPr>
            <w:r w:rsidRPr="00B425EF">
              <w:t>The 2050 target contributes to limiting the global average temperature increase to 1.5</w:t>
            </w:r>
            <w:r w:rsidR="00D459EF">
              <w:t> </w:t>
            </w:r>
            <w:r w:rsidR="00D459EF" w:rsidRPr="00D459EF">
              <w:t>degrees Celsius</w:t>
            </w:r>
          </w:p>
        </w:tc>
        <w:tc>
          <w:tcPr>
            <w:tcW w:w="1750" w:type="pct"/>
            <w:tcMar>
              <w:left w:w="105" w:type="dxa"/>
              <w:right w:w="105" w:type="dxa"/>
            </w:tcMar>
          </w:tcPr>
          <w:p w14:paraId="5E6E6604" w14:textId="612723E5" w:rsidR="3A1DFC3B" w:rsidRPr="00B425EF" w:rsidRDefault="3A1DFC3B" w:rsidP="00EC3885">
            <w:pPr>
              <w:pStyle w:val="TableText"/>
              <w:spacing w:before="40" w:after="40"/>
            </w:pPr>
            <w:r w:rsidRPr="00B425EF">
              <w:t>Contribution to limiting warming to 1.5</w:t>
            </w:r>
            <w:r w:rsidR="00D459EF">
              <w:t xml:space="preserve"> </w:t>
            </w:r>
            <w:r w:rsidR="00D459EF" w:rsidRPr="00B425EF">
              <w:t>degrees Celsius</w:t>
            </w:r>
          </w:p>
        </w:tc>
        <w:tc>
          <w:tcPr>
            <w:tcW w:w="1833" w:type="pct"/>
            <w:tcMar>
              <w:left w:w="105" w:type="dxa"/>
              <w:right w:w="105" w:type="dxa"/>
            </w:tcMar>
          </w:tcPr>
          <w:p w14:paraId="1B64724E" w14:textId="2835B642" w:rsidR="3A1DFC3B" w:rsidRPr="00B425EF" w:rsidRDefault="3A1DFC3B" w:rsidP="00EC3885">
            <w:pPr>
              <w:pStyle w:val="TableText"/>
              <w:spacing w:before="40" w:after="40"/>
            </w:pPr>
            <w:r w:rsidRPr="00B425EF">
              <w:t xml:space="preserve">Temperature outcomes and emissions impact </w:t>
            </w:r>
          </w:p>
        </w:tc>
      </w:tr>
      <w:tr w:rsidR="3A1DFC3B" w:rsidRPr="00B425EF" w14:paraId="18F022F5" w14:textId="77777777" w:rsidTr="00651902">
        <w:tc>
          <w:tcPr>
            <w:tcW w:w="1417" w:type="pct"/>
            <w:vMerge/>
          </w:tcPr>
          <w:p w14:paraId="7A5D2E65" w14:textId="77777777" w:rsidR="00740F73" w:rsidRPr="00B425EF" w:rsidRDefault="00740F73" w:rsidP="00EC3885">
            <w:pPr>
              <w:pStyle w:val="TableText"/>
              <w:spacing w:before="40" w:after="40"/>
            </w:pPr>
          </w:p>
        </w:tc>
        <w:tc>
          <w:tcPr>
            <w:tcW w:w="1750" w:type="pct"/>
            <w:tcMar>
              <w:left w:w="105" w:type="dxa"/>
              <w:right w:w="105" w:type="dxa"/>
            </w:tcMar>
          </w:tcPr>
          <w:p w14:paraId="639A7FF8" w14:textId="5B69E8E6" w:rsidR="3A1DFC3B" w:rsidRPr="00B425EF" w:rsidRDefault="3A1DFC3B" w:rsidP="00EC3885">
            <w:pPr>
              <w:pStyle w:val="TableText"/>
              <w:spacing w:before="40" w:after="40"/>
            </w:pPr>
            <w:r w:rsidRPr="00B425EF">
              <w:t xml:space="preserve">International partners comparison </w:t>
            </w:r>
          </w:p>
        </w:tc>
        <w:tc>
          <w:tcPr>
            <w:tcW w:w="1833" w:type="pct"/>
            <w:tcMar>
              <w:left w:w="105" w:type="dxa"/>
              <w:right w:w="105" w:type="dxa"/>
            </w:tcMar>
          </w:tcPr>
          <w:p w14:paraId="2E133A01" w14:textId="3598EA93" w:rsidR="3A1DFC3B" w:rsidRPr="00B425EF" w:rsidRDefault="3A1DFC3B" w:rsidP="00EC3885">
            <w:pPr>
              <w:pStyle w:val="TableText"/>
              <w:spacing w:before="40" w:after="40"/>
            </w:pPr>
            <w:r w:rsidRPr="00B425EF">
              <w:t>Comparison to international partners often aligned with New Zealand and warming</w:t>
            </w:r>
            <w:r w:rsidR="003E4310" w:rsidRPr="00B425EF">
              <w:t xml:space="preserve"> and </w:t>
            </w:r>
            <w:r w:rsidRPr="00B425EF">
              <w:t xml:space="preserve">emissions impact analysis </w:t>
            </w:r>
          </w:p>
        </w:tc>
      </w:tr>
      <w:tr w:rsidR="3A1DFC3B" w:rsidRPr="00B425EF" w14:paraId="10000C8A" w14:textId="77777777" w:rsidTr="00651902">
        <w:tc>
          <w:tcPr>
            <w:tcW w:w="1417" w:type="pct"/>
            <w:tcMar>
              <w:left w:w="105" w:type="dxa"/>
              <w:right w:w="105" w:type="dxa"/>
            </w:tcMar>
          </w:tcPr>
          <w:p w14:paraId="044B8F03" w14:textId="16E35A09" w:rsidR="3A1DFC3B" w:rsidRPr="00B425EF" w:rsidRDefault="3A1DFC3B" w:rsidP="00EC3885">
            <w:pPr>
              <w:pStyle w:val="TableText"/>
              <w:spacing w:before="40" w:after="40"/>
            </w:pPr>
            <w:r w:rsidRPr="00B425EF">
              <w:t>The target can be feasibly implemented and support</w:t>
            </w:r>
            <w:r w:rsidR="00D82E26" w:rsidRPr="00B425EF">
              <w:t>s</w:t>
            </w:r>
            <w:r w:rsidRPr="00B425EF">
              <w:t xml:space="preserve"> </w:t>
            </w:r>
            <w:r w:rsidR="00282490" w:rsidRPr="00B425EF">
              <w:t xml:space="preserve">New Zealand’s </w:t>
            </w:r>
            <w:r w:rsidRPr="00B425EF">
              <w:t>transition to net</w:t>
            </w:r>
            <w:r w:rsidR="00B52E66" w:rsidRPr="00B425EF">
              <w:t xml:space="preserve"> </w:t>
            </w:r>
            <w:r w:rsidRPr="00B425EF">
              <w:t xml:space="preserve">zero by 2050 </w:t>
            </w:r>
          </w:p>
        </w:tc>
        <w:tc>
          <w:tcPr>
            <w:tcW w:w="1750" w:type="pct"/>
            <w:tcMar>
              <w:left w:w="105" w:type="dxa"/>
              <w:right w:w="105" w:type="dxa"/>
            </w:tcMar>
          </w:tcPr>
          <w:p w14:paraId="5D9C7A61" w14:textId="204565AF" w:rsidR="3A1DFC3B" w:rsidRPr="00B425EF" w:rsidRDefault="3A1DFC3B" w:rsidP="00EC3885">
            <w:pPr>
              <w:pStyle w:val="TableText"/>
              <w:spacing w:before="40" w:after="40"/>
            </w:pPr>
            <w:r w:rsidRPr="00B425EF">
              <w:t>Achievable pathway: ERP2</w:t>
            </w:r>
            <w:r w:rsidR="001C6B02" w:rsidRPr="00B425EF">
              <w:t xml:space="preserve"> </w:t>
            </w:r>
            <w:r w:rsidRPr="00B425EF">
              <w:rPr>
                <w:spacing w:val="-2"/>
              </w:rPr>
              <w:t>modelled technological developments</w:t>
            </w:r>
            <w:r w:rsidRPr="00B425EF">
              <w:t>, likely policy implications</w:t>
            </w:r>
          </w:p>
        </w:tc>
        <w:tc>
          <w:tcPr>
            <w:tcW w:w="1833" w:type="pct"/>
            <w:tcMar>
              <w:left w:w="105" w:type="dxa"/>
              <w:right w:w="105" w:type="dxa"/>
            </w:tcMar>
          </w:tcPr>
          <w:p w14:paraId="12D60991" w14:textId="258B8335" w:rsidR="3A1DFC3B" w:rsidRPr="00B425EF" w:rsidRDefault="3A1DFC3B" w:rsidP="00EC3885">
            <w:pPr>
              <w:pStyle w:val="TableText"/>
              <w:spacing w:before="40" w:after="40"/>
            </w:pPr>
            <w:r w:rsidRPr="00B425EF">
              <w:t>ERP2</w:t>
            </w:r>
            <w:r w:rsidR="001D6EC5" w:rsidRPr="00B425EF">
              <w:t>-</w:t>
            </w:r>
            <w:r w:rsidRPr="00B425EF">
              <w:t>modelled technological developments, risks and uncertainties associated with emissions reductions and removals</w:t>
            </w:r>
          </w:p>
        </w:tc>
      </w:tr>
    </w:tbl>
    <w:p w14:paraId="622B2898" w14:textId="77777777" w:rsidR="00D47EF0" w:rsidRPr="00B425EF" w:rsidRDefault="00D47EF0" w:rsidP="00946F9D">
      <w:pPr>
        <w:pStyle w:val="Heading3"/>
        <w:spacing w:before="400"/>
      </w:pPr>
      <w:r w:rsidRPr="00B425EF">
        <w:t xml:space="preserve">Summary of options analysis </w:t>
      </w:r>
    </w:p>
    <w:p w14:paraId="65A9F705" w14:textId="3CC68A53" w:rsidR="00E6040A" w:rsidRPr="00B425EF" w:rsidRDefault="00E6040A" w:rsidP="00E6040A">
      <w:pPr>
        <w:pStyle w:val="BodyText"/>
      </w:pPr>
      <w:r w:rsidRPr="00B425EF">
        <w:t xml:space="preserve">The following section </w:t>
      </w:r>
      <w:r w:rsidR="002D1FC6" w:rsidRPr="00B425EF">
        <w:t xml:space="preserve">provides a summary of </w:t>
      </w:r>
      <w:r w:rsidR="0032212F">
        <w:t xml:space="preserve">the </w:t>
      </w:r>
      <w:r w:rsidR="002D1FC6" w:rsidRPr="00B425EF">
        <w:t>analysis</w:t>
      </w:r>
      <w:r w:rsidR="0042252E" w:rsidRPr="00B425EF">
        <w:t xml:space="preserve"> (</w:t>
      </w:r>
      <w:r w:rsidR="00883B63" w:rsidRPr="00B425EF">
        <w:t xml:space="preserve">see </w:t>
      </w:r>
      <w:hyperlink w:anchor="tabA2_3" w:history="1">
        <w:r w:rsidR="0042252E" w:rsidRPr="00B425EF">
          <w:rPr>
            <w:rStyle w:val="Hyperlink"/>
          </w:rPr>
          <w:t xml:space="preserve">table </w:t>
        </w:r>
        <w:r w:rsidR="00C57614" w:rsidRPr="00B425EF">
          <w:rPr>
            <w:rStyle w:val="Hyperlink"/>
          </w:rPr>
          <w:t>A</w:t>
        </w:r>
        <w:r w:rsidR="00F2701C" w:rsidRPr="00B425EF">
          <w:rPr>
            <w:rStyle w:val="Hyperlink"/>
          </w:rPr>
          <w:t>2.</w:t>
        </w:r>
        <w:r w:rsidR="00C12E2C" w:rsidRPr="00B425EF">
          <w:rPr>
            <w:rStyle w:val="Hyperlink"/>
          </w:rPr>
          <w:t>3</w:t>
        </w:r>
      </w:hyperlink>
      <w:r w:rsidR="0042252E" w:rsidRPr="00B425EF">
        <w:t>)</w:t>
      </w:r>
      <w:r w:rsidR="002D1FC6" w:rsidRPr="00B425EF">
        <w:t xml:space="preserve"> undertaken by </w:t>
      </w:r>
      <w:r w:rsidR="00FD60F8" w:rsidRPr="00B425EF">
        <w:t>the</w:t>
      </w:r>
      <w:r w:rsidR="0032212F">
        <w:t> </w:t>
      </w:r>
      <w:r w:rsidR="00FD60F8" w:rsidRPr="00B425EF">
        <w:t>G</w:t>
      </w:r>
      <w:r w:rsidR="0072184B" w:rsidRPr="00B425EF">
        <w:t>overnment</w:t>
      </w:r>
      <w:r w:rsidR="002D1FC6" w:rsidRPr="00B425EF">
        <w:t xml:space="preserve"> </w:t>
      </w:r>
      <w:r w:rsidR="00FD60F8" w:rsidRPr="00B425EF">
        <w:t>on</w:t>
      </w:r>
      <w:r w:rsidRPr="00B425EF">
        <w:t xml:space="preserve"> option three (</w:t>
      </w:r>
      <w:r w:rsidR="000942E8" w:rsidRPr="00B425EF">
        <w:t xml:space="preserve">the Government’s </w:t>
      </w:r>
      <w:r w:rsidRPr="00B425EF">
        <w:t xml:space="preserve">option) and </w:t>
      </w:r>
      <w:r w:rsidR="002D1FC6" w:rsidRPr="00B425EF">
        <w:t>option</w:t>
      </w:r>
      <w:r w:rsidRPr="00B425EF">
        <w:t xml:space="preserve"> f</w:t>
      </w:r>
      <w:r w:rsidR="002D1FC6" w:rsidRPr="00B425EF">
        <w:t>ive</w:t>
      </w:r>
      <w:r w:rsidRPr="00B425EF">
        <w:t xml:space="preserve"> (</w:t>
      </w:r>
      <w:r w:rsidR="00FD60F8" w:rsidRPr="00B425EF">
        <w:t xml:space="preserve">the </w:t>
      </w:r>
      <w:r w:rsidRPr="00B425EF">
        <w:t>Commission’s recommendation).</w:t>
      </w:r>
      <w:r w:rsidR="001137F3" w:rsidRPr="00B425EF">
        <w:t xml:space="preserve"> </w:t>
      </w:r>
      <w:r w:rsidR="00FD60F8" w:rsidRPr="00B425EF">
        <w:t>The o</w:t>
      </w:r>
      <w:r w:rsidR="001137F3" w:rsidRPr="00B425EF">
        <w:t xml:space="preserve">ption analysis </w:t>
      </w:r>
      <w:r w:rsidR="00DD2102" w:rsidRPr="00B425EF">
        <w:t xml:space="preserve">was </w:t>
      </w:r>
      <w:r w:rsidR="00F54473" w:rsidRPr="00B425EF">
        <w:t xml:space="preserve">further </w:t>
      </w:r>
      <w:r w:rsidR="00DD2102" w:rsidRPr="00B425EF">
        <w:t>informed by economic</w:t>
      </w:r>
      <w:r w:rsidR="001137F3" w:rsidRPr="00B425EF">
        <w:t xml:space="preserve"> </w:t>
      </w:r>
      <w:r w:rsidR="00A73C24" w:rsidRPr="00B425EF">
        <w:t>modelling</w:t>
      </w:r>
      <w:r w:rsidR="001137F3" w:rsidRPr="00B425EF">
        <w:t xml:space="preserve"> </w:t>
      </w:r>
      <w:r w:rsidR="00DD2102" w:rsidRPr="00B425EF">
        <w:t xml:space="preserve">of </w:t>
      </w:r>
      <w:r w:rsidR="007B3A4F" w:rsidRPr="00B425EF">
        <w:t xml:space="preserve">gross domestic product </w:t>
      </w:r>
      <w:r w:rsidR="00DD2102" w:rsidRPr="00B425EF">
        <w:t xml:space="preserve">impact </w:t>
      </w:r>
      <w:r w:rsidR="00351B5C" w:rsidRPr="00B425EF">
        <w:t>(assessment of</w:t>
      </w:r>
      <w:r w:rsidR="00164A5B" w:rsidRPr="00B425EF">
        <w:t xml:space="preserve"> </w:t>
      </w:r>
      <w:r w:rsidR="001137F3" w:rsidRPr="00B425EF">
        <w:t>economic impact</w:t>
      </w:r>
      <w:r w:rsidR="00351B5C" w:rsidRPr="00B425EF">
        <w:t xml:space="preserve">), as well as </w:t>
      </w:r>
      <w:r w:rsidR="009C1162" w:rsidRPr="00B425EF">
        <w:t xml:space="preserve">temperature response modelling </w:t>
      </w:r>
      <w:r w:rsidR="00351B5C" w:rsidRPr="00B425EF">
        <w:t>for all</w:t>
      </w:r>
      <w:r w:rsidR="009C1162" w:rsidRPr="00B425EF">
        <w:t xml:space="preserve"> options (modelling of</w:t>
      </w:r>
      <w:r w:rsidR="009E4F65" w:rsidRPr="00B425EF">
        <w:t xml:space="preserve"> how</w:t>
      </w:r>
      <w:r w:rsidR="009C1162" w:rsidRPr="00B425EF">
        <w:t xml:space="preserve"> options </w:t>
      </w:r>
      <w:r w:rsidR="00F609C0" w:rsidRPr="00B425EF">
        <w:t xml:space="preserve">affect </w:t>
      </w:r>
      <w:r w:rsidR="004409CA" w:rsidRPr="00B425EF">
        <w:t xml:space="preserve">warming </w:t>
      </w:r>
      <w:r w:rsidR="009E4F65" w:rsidRPr="00B425EF">
        <w:t>over</w:t>
      </w:r>
      <w:r w:rsidR="0010155D" w:rsidRPr="00B425EF">
        <w:t> </w:t>
      </w:r>
      <w:r w:rsidR="009E4F65" w:rsidRPr="00B425EF">
        <w:t>time).</w:t>
      </w:r>
    </w:p>
    <w:p w14:paraId="47FAD0D3" w14:textId="14DA6752" w:rsidR="0EE7BE36" w:rsidRPr="00B425EF" w:rsidRDefault="4E956A2C" w:rsidP="00643F14">
      <w:pPr>
        <w:pStyle w:val="Tableheading"/>
      </w:pPr>
      <w:bookmarkStart w:id="28" w:name="tabA2_3"/>
      <w:bookmarkStart w:id="29" w:name="_Toc214537156"/>
      <w:r>
        <w:t xml:space="preserve">Table </w:t>
      </w:r>
      <w:r w:rsidR="00C12E2C">
        <w:t>A</w:t>
      </w:r>
      <w:r w:rsidR="00F2701C">
        <w:t>2.</w:t>
      </w:r>
      <w:r w:rsidR="00C12E2C">
        <w:t>3</w:t>
      </w:r>
      <w:bookmarkEnd w:id="28"/>
      <w:r w:rsidR="00434141">
        <w:t>:</w:t>
      </w:r>
      <w:r>
        <w:tab/>
        <w:t xml:space="preserve">Summary of analysis </w:t>
      </w:r>
      <w:r w:rsidR="08193239">
        <w:t xml:space="preserve">of </w:t>
      </w:r>
      <w:r w:rsidR="0000569A">
        <w:t xml:space="preserve">the </w:t>
      </w:r>
      <w:r>
        <w:t>Government</w:t>
      </w:r>
      <w:r w:rsidR="003C1DEC">
        <w:t>’</w:t>
      </w:r>
      <w:r>
        <w:t>s option and</w:t>
      </w:r>
      <w:r w:rsidR="00807BE7">
        <w:t> </w:t>
      </w:r>
      <w:r>
        <w:t>the</w:t>
      </w:r>
      <w:r w:rsidR="00807BE7">
        <w:t> </w:t>
      </w:r>
      <w:r w:rsidR="00F609C0">
        <w:t>Climate</w:t>
      </w:r>
      <w:r w:rsidR="0010155D">
        <w:t> </w:t>
      </w:r>
      <w:r w:rsidR="00F609C0">
        <w:t xml:space="preserve">Change </w:t>
      </w:r>
      <w:r>
        <w:t>Commission’s recommendation</w:t>
      </w:r>
      <w:bookmarkEnd w:id="29"/>
    </w:p>
    <w:tbl>
      <w:tblPr>
        <w:tblW w:w="8505" w:type="dxa"/>
        <w:tblBorders>
          <w:bottom w:val="single" w:sz="6" w:space="0" w:color="1B556B"/>
          <w:insideH w:val="single" w:sz="6" w:space="0" w:color="1B556B"/>
          <w:insideV w:val="single" w:sz="6" w:space="0" w:color="1B556B"/>
        </w:tblBorders>
        <w:tblLayout w:type="fixed"/>
        <w:tblCellMar>
          <w:left w:w="57" w:type="dxa"/>
          <w:right w:w="57" w:type="dxa"/>
        </w:tblCellMar>
        <w:tblLook w:val="04A0" w:firstRow="1" w:lastRow="0" w:firstColumn="1" w:lastColumn="0" w:noHBand="0" w:noVBand="1"/>
      </w:tblPr>
      <w:tblGrid>
        <w:gridCol w:w="1360"/>
        <w:gridCol w:w="1361"/>
        <w:gridCol w:w="2892"/>
        <w:gridCol w:w="2892"/>
      </w:tblGrid>
      <w:tr w:rsidR="00946F9D" w:rsidRPr="00B425EF" w14:paraId="04CA4332" w14:textId="77777777" w:rsidTr="2CD38A57">
        <w:trPr>
          <w:trHeight w:val="300"/>
          <w:tblHeader/>
        </w:trPr>
        <w:tc>
          <w:tcPr>
            <w:tcW w:w="1361" w:type="dxa"/>
            <w:shd w:val="clear" w:color="auto" w:fill="1B556B" w:themeFill="text2"/>
            <w:tcMar>
              <w:left w:w="105" w:type="dxa"/>
              <w:right w:w="105" w:type="dxa"/>
            </w:tcMar>
            <w:vAlign w:val="bottom"/>
          </w:tcPr>
          <w:p w14:paraId="24FC0771" w14:textId="53717B21" w:rsidR="7EEC5BB4" w:rsidRPr="00B425EF" w:rsidRDefault="7EEC5BB4" w:rsidP="00EC3885">
            <w:pPr>
              <w:pStyle w:val="TableTextbold"/>
              <w:spacing w:before="40" w:after="40"/>
              <w:rPr>
                <w:color w:val="FFFFFF" w:themeColor="background1"/>
                <w:sz w:val="20"/>
                <w:szCs w:val="20"/>
              </w:rPr>
            </w:pPr>
            <w:r w:rsidRPr="00B425EF">
              <w:rPr>
                <w:color w:val="FFFFFF" w:themeColor="background1"/>
              </w:rPr>
              <w:t>Objective</w:t>
            </w:r>
          </w:p>
        </w:tc>
        <w:tc>
          <w:tcPr>
            <w:tcW w:w="1361" w:type="dxa"/>
            <w:shd w:val="clear" w:color="auto" w:fill="1B556B" w:themeFill="text2"/>
            <w:tcMar>
              <w:left w:w="105" w:type="dxa"/>
              <w:right w:w="105" w:type="dxa"/>
            </w:tcMar>
            <w:vAlign w:val="bottom"/>
          </w:tcPr>
          <w:p w14:paraId="31E9ACD3" w14:textId="5AABBE45" w:rsidR="7EEC5BB4" w:rsidRPr="00B425EF" w:rsidRDefault="7EEC5BB4" w:rsidP="00EC3885">
            <w:pPr>
              <w:pStyle w:val="TableTextbold"/>
              <w:spacing w:before="40" w:after="40"/>
              <w:rPr>
                <w:color w:val="FFFFFF" w:themeColor="background1"/>
              </w:rPr>
            </w:pPr>
            <w:r w:rsidRPr="00B425EF">
              <w:rPr>
                <w:color w:val="FFFFFF" w:themeColor="background1"/>
              </w:rPr>
              <w:t>Criteria </w:t>
            </w:r>
          </w:p>
        </w:tc>
        <w:tc>
          <w:tcPr>
            <w:tcW w:w="2892" w:type="dxa"/>
            <w:shd w:val="clear" w:color="auto" w:fill="1B556B" w:themeFill="text2"/>
            <w:tcMar>
              <w:left w:w="105" w:type="dxa"/>
              <w:right w:w="105" w:type="dxa"/>
            </w:tcMar>
            <w:vAlign w:val="bottom"/>
          </w:tcPr>
          <w:p w14:paraId="40F0C332" w14:textId="48BB1AA1" w:rsidR="0A6CEE5E" w:rsidRPr="00B425EF" w:rsidRDefault="0A6CEE5E" w:rsidP="00EC3885">
            <w:pPr>
              <w:pStyle w:val="TableTextbold"/>
              <w:spacing w:before="40" w:after="40"/>
              <w:rPr>
                <w:color w:val="FFFFFF" w:themeColor="background1"/>
              </w:rPr>
            </w:pPr>
            <w:r w:rsidRPr="00B425EF">
              <w:rPr>
                <w:color w:val="FFFFFF" w:themeColor="background1"/>
              </w:rPr>
              <w:t xml:space="preserve">Option </w:t>
            </w:r>
            <w:r w:rsidR="00E638CF" w:rsidRPr="00B425EF">
              <w:rPr>
                <w:color w:val="FFFFFF" w:themeColor="background1"/>
              </w:rPr>
              <w:t>3</w:t>
            </w:r>
            <w:r w:rsidRPr="00B425EF">
              <w:rPr>
                <w:color w:val="FFFFFF" w:themeColor="background1"/>
              </w:rPr>
              <w:t>: Methane 14</w:t>
            </w:r>
            <w:r w:rsidR="00F303D9" w:rsidRPr="00B425EF">
              <w:rPr>
                <w:color w:val="FFFFFF" w:themeColor="background1"/>
              </w:rPr>
              <w:t>%</w:t>
            </w:r>
            <w:r w:rsidR="003C1DEC" w:rsidRPr="00B425EF">
              <w:rPr>
                <w:color w:val="FFFFFF" w:themeColor="background1"/>
              </w:rPr>
              <w:t xml:space="preserve"> to </w:t>
            </w:r>
            <w:r w:rsidRPr="00B425EF">
              <w:rPr>
                <w:color w:val="FFFFFF" w:themeColor="background1"/>
              </w:rPr>
              <w:t>24</w:t>
            </w:r>
            <w:r w:rsidR="00F303D9" w:rsidRPr="00B425EF">
              <w:rPr>
                <w:color w:val="FFFFFF" w:themeColor="background1"/>
              </w:rPr>
              <w:t>%</w:t>
            </w:r>
            <w:r w:rsidR="0035325F" w:rsidRPr="00B425EF">
              <w:rPr>
                <w:color w:val="FFFFFF" w:themeColor="background1"/>
              </w:rPr>
              <w:t xml:space="preserve"> </w:t>
            </w:r>
            <w:r w:rsidRPr="00B425EF">
              <w:rPr>
                <w:color w:val="FFFFFF" w:themeColor="background1"/>
              </w:rPr>
              <w:t>below 2017 levels; long</w:t>
            </w:r>
            <w:r w:rsidR="003C1DEC" w:rsidRPr="00B425EF">
              <w:rPr>
                <w:color w:val="FFFFFF" w:themeColor="background1"/>
              </w:rPr>
              <w:t>-</w:t>
            </w:r>
            <w:r w:rsidRPr="00B425EF">
              <w:rPr>
                <w:color w:val="FFFFFF" w:themeColor="background1"/>
              </w:rPr>
              <w:t>lived gas unchanged</w:t>
            </w:r>
            <w:r w:rsidR="2E9A068A" w:rsidRPr="00B425EF">
              <w:rPr>
                <w:color w:val="FFFFFF" w:themeColor="background1"/>
              </w:rPr>
              <w:t xml:space="preserve"> </w:t>
            </w:r>
            <w:r w:rsidR="00554A09" w:rsidRPr="00B425EF">
              <w:rPr>
                <w:color w:val="FFFFFF" w:themeColor="background1"/>
              </w:rPr>
              <w:br/>
            </w:r>
            <w:r w:rsidR="2E9A068A" w:rsidRPr="00B425EF">
              <w:rPr>
                <w:color w:val="FFFFFF" w:themeColor="background1"/>
              </w:rPr>
              <w:t>(Government’s option)</w:t>
            </w:r>
          </w:p>
        </w:tc>
        <w:tc>
          <w:tcPr>
            <w:tcW w:w="2892" w:type="dxa"/>
            <w:shd w:val="clear" w:color="auto" w:fill="1B556B" w:themeFill="text2"/>
            <w:tcMar>
              <w:left w:w="105" w:type="dxa"/>
              <w:right w:w="105" w:type="dxa"/>
            </w:tcMar>
            <w:vAlign w:val="bottom"/>
          </w:tcPr>
          <w:p w14:paraId="1E892FC2" w14:textId="60CE716F" w:rsidR="0A6CEE5E" w:rsidRPr="00B425EF" w:rsidRDefault="0A6CEE5E" w:rsidP="00EC3885">
            <w:pPr>
              <w:pStyle w:val="TableTextbold"/>
              <w:spacing w:before="40" w:after="40"/>
              <w:rPr>
                <w:color w:val="FFFFFF" w:themeColor="background1"/>
              </w:rPr>
            </w:pPr>
            <w:r w:rsidRPr="00B425EF">
              <w:rPr>
                <w:color w:val="FFFFFF" w:themeColor="background1"/>
              </w:rPr>
              <w:t xml:space="preserve">Option </w:t>
            </w:r>
            <w:r w:rsidR="00E638CF" w:rsidRPr="00B425EF">
              <w:rPr>
                <w:color w:val="FFFFFF" w:themeColor="background1"/>
              </w:rPr>
              <w:t>5</w:t>
            </w:r>
            <w:r w:rsidRPr="00B425EF">
              <w:rPr>
                <w:color w:val="FFFFFF" w:themeColor="background1"/>
              </w:rPr>
              <w:t>: Methane 35</w:t>
            </w:r>
            <w:r w:rsidR="00F303D9" w:rsidRPr="00B425EF">
              <w:rPr>
                <w:color w:val="FFFFFF" w:themeColor="background1"/>
              </w:rPr>
              <w:t>%</w:t>
            </w:r>
            <w:r w:rsidRPr="00B425EF">
              <w:rPr>
                <w:color w:val="FFFFFF" w:themeColor="background1"/>
              </w:rPr>
              <w:t xml:space="preserve"> </w:t>
            </w:r>
            <w:r w:rsidR="003C1DEC" w:rsidRPr="00B425EF">
              <w:rPr>
                <w:color w:val="FFFFFF" w:themeColor="background1"/>
              </w:rPr>
              <w:t>to</w:t>
            </w:r>
            <w:r w:rsidRPr="00B425EF">
              <w:rPr>
                <w:color w:val="FFFFFF" w:themeColor="background1"/>
              </w:rPr>
              <w:t xml:space="preserve"> 47</w:t>
            </w:r>
            <w:r w:rsidR="00F303D9" w:rsidRPr="00B425EF">
              <w:rPr>
                <w:color w:val="FFFFFF" w:themeColor="background1"/>
              </w:rPr>
              <w:t>%</w:t>
            </w:r>
            <w:r w:rsidRPr="00B425EF">
              <w:rPr>
                <w:color w:val="FFFFFF" w:themeColor="background1"/>
              </w:rPr>
              <w:t xml:space="preserve"> methane below 2017 levels; net negative 20</w:t>
            </w:r>
            <w:r w:rsidR="003C1DEC" w:rsidRPr="00B425EF">
              <w:rPr>
                <w:color w:val="FFFFFF" w:themeColor="background1"/>
              </w:rPr>
              <w:t xml:space="preserve"> </w:t>
            </w:r>
            <w:r w:rsidR="00DA313A" w:rsidRPr="00B425EF">
              <w:rPr>
                <w:color w:val="FFFFFF" w:themeColor="background1"/>
              </w:rPr>
              <w:t>M</w:t>
            </w:r>
            <w:r w:rsidRPr="00B425EF">
              <w:rPr>
                <w:color w:val="FFFFFF" w:themeColor="background1"/>
              </w:rPr>
              <w:t>t</w:t>
            </w:r>
            <w:r w:rsidR="00A65092" w:rsidRPr="00B425EF">
              <w:rPr>
                <w:color w:val="FFFFFF" w:themeColor="background1"/>
              </w:rPr>
              <w:t xml:space="preserve"> </w:t>
            </w:r>
            <w:r w:rsidR="004B5299" w:rsidRPr="00B425EF">
              <w:rPr>
                <w:color w:val="FFFFFF" w:themeColor="background1"/>
              </w:rPr>
              <w:t>CO</w:t>
            </w:r>
            <w:r w:rsidR="004B5299" w:rsidRPr="00B425EF">
              <w:rPr>
                <w:color w:val="FFFFFF" w:themeColor="background1"/>
                <w:vertAlign w:val="subscript"/>
              </w:rPr>
              <w:t>2</w:t>
            </w:r>
            <w:r w:rsidR="004B5299" w:rsidRPr="00B425EF">
              <w:rPr>
                <w:color w:val="FFFFFF" w:themeColor="background1"/>
              </w:rPr>
              <w:t>-e</w:t>
            </w:r>
            <w:r w:rsidRPr="00B425EF">
              <w:rPr>
                <w:color w:val="FFFFFF" w:themeColor="background1"/>
              </w:rPr>
              <w:t xml:space="preserve"> for long-lived gases </w:t>
            </w:r>
            <w:r w:rsidR="00554A09" w:rsidRPr="00B425EF">
              <w:rPr>
                <w:color w:val="FFFFFF" w:themeColor="background1"/>
              </w:rPr>
              <w:br/>
            </w:r>
            <w:r w:rsidRPr="00B425EF">
              <w:rPr>
                <w:color w:val="FFFFFF" w:themeColor="background1"/>
              </w:rPr>
              <w:t>(Commission</w:t>
            </w:r>
            <w:r w:rsidR="003C1DEC" w:rsidRPr="00B425EF">
              <w:rPr>
                <w:color w:val="FFFFFF" w:themeColor="background1"/>
              </w:rPr>
              <w:t>’s recommendation</w:t>
            </w:r>
            <w:r w:rsidRPr="00B425EF">
              <w:rPr>
                <w:color w:val="FFFFFF" w:themeColor="background1"/>
              </w:rPr>
              <w:t>)</w:t>
            </w:r>
          </w:p>
        </w:tc>
      </w:tr>
      <w:tr w:rsidR="7EEC5BB4" w:rsidRPr="00B425EF" w14:paraId="44355F2F" w14:textId="77777777" w:rsidTr="005F5F25">
        <w:trPr>
          <w:trHeight w:val="300"/>
        </w:trPr>
        <w:tc>
          <w:tcPr>
            <w:tcW w:w="1361" w:type="dxa"/>
            <w:vMerge w:val="restart"/>
            <w:tcMar>
              <w:left w:w="105" w:type="dxa"/>
              <w:right w:w="105" w:type="dxa"/>
            </w:tcMar>
          </w:tcPr>
          <w:p w14:paraId="72A05659" w14:textId="313B700F" w:rsidR="7EEC5BB4" w:rsidRPr="00B425EF" w:rsidRDefault="7EEC5BB4" w:rsidP="00EC3885">
            <w:pPr>
              <w:pStyle w:val="TableText"/>
              <w:spacing w:before="40" w:after="40"/>
            </w:pPr>
            <w:r w:rsidRPr="00B425EF">
              <w:t>Alignment with the Government’s economic agenda</w:t>
            </w:r>
          </w:p>
        </w:tc>
        <w:tc>
          <w:tcPr>
            <w:tcW w:w="1361" w:type="dxa"/>
            <w:tcMar>
              <w:left w:w="105" w:type="dxa"/>
              <w:right w:w="105" w:type="dxa"/>
            </w:tcMar>
          </w:tcPr>
          <w:p w14:paraId="3E07DA81" w14:textId="2532DDE6" w:rsidR="7EEC5BB4" w:rsidRPr="00B425EF" w:rsidRDefault="7EEC5BB4" w:rsidP="00EC3885">
            <w:pPr>
              <w:pStyle w:val="TableText"/>
              <w:spacing w:before="40" w:after="40"/>
            </w:pPr>
            <w:r w:rsidRPr="00B425EF">
              <w:t>GDP impact</w:t>
            </w:r>
          </w:p>
        </w:tc>
        <w:tc>
          <w:tcPr>
            <w:tcW w:w="2892" w:type="dxa"/>
            <w:tcMar>
              <w:left w:w="105" w:type="dxa"/>
              <w:right w:w="105" w:type="dxa"/>
            </w:tcMar>
          </w:tcPr>
          <w:p w14:paraId="346F7BEB" w14:textId="795112BE" w:rsidR="7EEC5BB4" w:rsidRPr="00B425EF" w:rsidRDefault="00FC5BC3" w:rsidP="00EC3885">
            <w:pPr>
              <w:pStyle w:val="TableText"/>
              <w:spacing w:before="40" w:after="40"/>
            </w:pPr>
            <w:r w:rsidRPr="00B425EF">
              <w:t>Option 3 would have a s</w:t>
            </w:r>
            <w:r w:rsidR="00E63A0D" w:rsidRPr="00B425EF">
              <w:t>mall</w:t>
            </w:r>
            <w:r w:rsidR="0032212F">
              <w:t>,</w:t>
            </w:r>
            <w:r w:rsidR="00E63A0D" w:rsidRPr="00B425EF">
              <w:t xml:space="preserve"> unquantified positive impact on GDP (relative to the status quo</w:t>
            </w:r>
            <w:r w:rsidR="00C43D33" w:rsidRPr="00B425EF">
              <w:t>)</w:t>
            </w:r>
            <w:r w:rsidR="002F7332" w:rsidRPr="00B425EF">
              <w:t>.</w:t>
            </w:r>
            <w:r w:rsidR="00005F6A" w:rsidRPr="00B425EF" w:rsidDel="00040F4D">
              <w:t xml:space="preserve"> </w:t>
            </w:r>
          </w:p>
        </w:tc>
        <w:tc>
          <w:tcPr>
            <w:tcW w:w="2892" w:type="dxa"/>
            <w:tcMar>
              <w:left w:w="105" w:type="dxa"/>
              <w:right w:w="105" w:type="dxa"/>
            </w:tcMar>
          </w:tcPr>
          <w:p w14:paraId="6E7C3C6A" w14:textId="70C1C4AA" w:rsidR="2DD8E53C" w:rsidRPr="00B425EF" w:rsidRDefault="00FC5BC3" w:rsidP="00EC3885">
            <w:pPr>
              <w:pStyle w:val="TableText"/>
              <w:spacing w:before="40" w:after="40"/>
            </w:pPr>
            <w:r w:rsidRPr="00B425EF">
              <w:t>Option 5 would have a m</w:t>
            </w:r>
            <w:r w:rsidR="2DD8E53C" w:rsidRPr="00B425EF">
              <w:t>oderate negative impact on GDP. Modelling indicates that GDP would be 0.4</w:t>
            </w:r>
            <w:r w:rsidR="00F303D9" w:rsidRPr="00B425EF">
              <w:t xml:space="preserve">% </w:t>
            </w:r>
            <w:r w:rsidR="2DD8E53C" w:rsidRPr="00B425EF">
              <w:t>lower than the status quo</w:t>
            </w:r>
            <w:r w:rsidR="006B3FB1" w:rsidRPr="00B425EF">
              <w:t> </w:t>
            </w:r>
            <w:r w:rsidRPr="00B425EF">
              <w:t>in 2035</w:t>
            </w:r>
            <w:r w:rsidR="2DD8E53C" w:rsidRPr="00B425EF">
              <w:t xml:space="preserve">, and </w:t>
            </w:r>
            <w:r w:rsidR="00A75E8F" w:rsidRPr="00B425EF">
              <w:t>2.2</w:t>
            </w:r>
            <w:r w:rsidR="00F36211" w:rsidRPr="00B425EF">
              <w:t>%</w:t>
            </w:r>
            <w:r w:rsidR="00A75E8F" w:rsidRPr="00B425EF">
              <w:t xml:space="preserve"> lower</w:t>
            </w:r>
            <w:r w:rsidR="002F7332" w:rsidRPr="00B425EF">
              <w:t xml:space="preserve"> </w:t>
            </w:r>
            <w:r w:rsidR="2DD8E53C" w:rsidRPr="00B425EF">
              <w:t>in</w:t>
            </w:r>
            <w:r w:rsidR="006B3FB1" w:rsidRPr="00B425EF">
              <w:t> </w:t>
            </w:r>
            <w:r w:rsidR="2DD8E53C" w:rsidRPr="00B425EF">
              <w:t>2050</w:t>
            </w:r>
            <w:r w:rsidR="006B0822" w:rsidRPr="00B425EF">
              <w:t xml:space="preserve">. </w:t>
            </w:r>
          </w:p>
          <w:p w14:paraId="3BDB047B" w14:textId="3E376DCE" w:rsidR="2DD8E53C" w:rsidRPr="00B425EF" w:rsidRDefault="004B5677" w:rsidP="00EC3885">
            <w:pPr>
              <w:pStyle w:val="TableText"/>
              <w:spacing w:before="40" w:after="40"/>
              <w:rPr>
                <w:highlight w:val="yellow"/>
              </w:rPr>
            </w:pPr>
            <w:r w:rsidRPr="00B425EF">
              <w:t>L</w:t>
            </w:r>
            <w:r w:rsidR="2DD8E53C" w:rsidRPr="00B425EF">
              <w:t>ikely co-benefits of further decarbonisation</w:t>
            </w:r>
            <w:r w:rsidRPr="00B425EF">
              <w:t xml:space="preserve"> include </w:t>
            </w:r>
            <w:r w:rsidR="2DD8E53C" w:rsidRPr="00B425EF">
              <w:t>energy security an</w:t>
            </w:r>
            <w:r w:rsidR="008F6D07" w:rsidRPr="00B425EF">
              <w:t>d improved health outcomes.</w:t>
            </w:r>
          </w:p>
        </w:tc>
      </w:tr>
      <w:tr w:rsidR="7EEC5BB4" w:rsidRPr="00B425EF" w14:paraId="18AAE0B1" w14:textId="77777777" w:rsidTr="005F5F25">
        <w:trPr>
          <w:trHeight w:val="5595"/>
        </w:trPr>
        <w:tc>
          <w:tcPr>
            <w:tcW w:w="1361" w:type="dxa"/>
            <w:vMerge/>
            <w:tcMar>
              <w:left w:w="105" w:type="dxa"/>
              <w:right w:w="105" w:type="dxa"/>
            </w:tcMar>
          </w:tcPr>
          <w:p w14:paraId="029F7F12" w14:textId="09C0EF35" w:rsidR="7EEC5BB4" w:rsidRPr="00B425EF" w:rsidRDefault="7EEC5BB4" w:rsidP="00EC3885">
            <w:pPr>
              <w:pStyle w:val="TableText"/>
              <w:spacing w:before="40" w:after="40"/>
            </w:pPr>
          </w:p>
        </w:tc>
        <w:tc>
          <w:tcPr>
            <w:tcW w:w="1361" w:type="dxa"/>
            <w:tcMar>
              <w:left w:w="105" w:type="dxa"/>
              <w:right w:w="105" w:type="dxa"/>
            </w:tcMar>
          </w:tcPr>
          <w:p w14:paraId="427CAB2F" w14:textId="277309F8" w:rsidR="7EEC5BB4" w:rsidRPr="00B425EF" w:rsidRDefault="7EEC5BB4" w:rsidP="00EC3885">
            <w:pPr>
              <w:pStyle w:val="TableText"/>
              <w:spacing w:before="40" w:after="40"/>
            </w:pPr>
            <w:r w:rsidRPr="00B425EF">
              <w:t>Key impacts on sectors</w:t>
            </w:r>
          </w:p>
        </w:tc>
        <w:tc>
          <w:tcPr>
            <w:tcW w:w="2892" w:type="dxa"/>
            <w:tcMar>
              <w:left w:w="105" w:type="dxa"/>
              <w:right w:w="105" w:type="dxa"/>
            </w:tcMar>
          </w:tcPr>
          <w:p w14:paraId="546A403C" w14:textId="34C1E4CC" w:rsidR="3DBA3F4F" w:rsidRPr="00B425EF" w:rsidRDefault="3DBA3F4F" w:rsidP="00EC3885">
            <w:pPr>
              <w:pStyle w:val="TableText"/>
              <w:spacing w:before="40" w:after="40"/>
            </w:pPr>
            <w:r w:rsidRPr="00B425EF">
              <w:t>Regardless of which part of the range is met, policies to address agricultur</w:t>
            </w:r>
            <w:r w:rsidR="00A13CCF" w:rsidRPr="00B425EF">
              <w:t>al emissions</w:t>
            </w:r>
            <w:r w:rsidRPr="00B425EF">
              <w:t xml:space="preserve"> will still be needed</w:t>
            </w:r>
            <w:r w:rsidR="00C43D33" w:rsidRPr="00B425EF">
              <w:t>. H</w:t>
            </w:r>
            <w:r w:rsidR="002F7332" w:rsidRPr="00B425EF">
              <w:t>owever</w:t>
            </w:r>
            <w:r w:rsidR="006B0822" w:rsidRPr="00B425EF">
              <w:t>,</w:t>
            </w:r>
            <w:r w:rsidRPr="00B425EF">
              <w:t xml:space="preserve"> their stringency</w:t>
            </w:r>
            <w:r w:rsidR="00A75E8F" w:rsidRPr="00B425EF">
              <w:t xml:space="preserve"> and </w:t>
            </w:r>
            <w:r w:rsidRPr="00B425EF">
              <w:t xml:space="preserve">impact will depend on which part of the range is targeted. </w:t>
            </w:r>
          </w:p>
          <w:p w14:paraId="118121E7" w14:textId="28462762" w:rsidR="3DBA3F4F" w:rsidRPr="00B425EF" w:rsidRDefault="5D3502B2" w:rsidP="00EC3885">
            <w:pPr>
              <w:pStyle w:val="TableText"/>
              <w:spacing w:before="40" w:after="40"/>
            </w:pPr>
            <w:r w:rsidRPr="00B425EF">
              <w:t>Depending on which end of the target range</w:t>
            </w:r>
            <w:r w:rsidR="004A6D7C" w:rsidRPr="00B425EF">
              <w:t xml:space="preserve"> is </w:t>
            </w:r>
            <w:r w:rsidR="00DF7008" w:rsidRPr="00B425EF">
              <w:t>targeted</w:t>
            </w:r>
            <w:r w:rsidRPr="00B425EF">
              <w:t xml:space="preserve">, </w:t>
            </w:r>
            <w:r w:rsidR="6B29C9E2" w:rsidRPr="00B425EF">
              <w:t>t</w:t>
            </w:r>
            <w:r w:rsidR="3DBA3F4F" w:rsidRPr="00B425EF">
              <w:t>his option may either shift the burden of emissions reduction efforts to sectors</w:t>
            </w:r>
            <w:r w:rsidR="00E60CDF" w:rsidRPr="00B425EF">
              <w:t xml:space="preserve"> covered by the </w:t>
            </w:r>
            <w:r w:rsidR="001F0E2D" w:rsidRPr="00B425EF">
              <w:t xml:space="preserve">NZ </w:t>
            </w:r>
            <w:r w:rsidR="009A6C13" w:rsidRPr="00B425EF">
              <w:t>ETS or</w:t>
            </w:r>
            <w:r w:rsidR="3DBA3F4F" w:rsidRPr="00B425EF">
              <w:t xml:space="preserve"> require emissions budgets to be</w:t>
            </w:r>
            <w:r w:rsidR="004A6D7C" w:rsidRPr="00B425EF">
              <w:t xml:space="preserve"> </w:t>
            </w:r>
            <w:r w:rsidR="3DBA3F4F" w:rsidRPr="00B425EF">
              <w:t>amended.</w:t>
            </w:r>
            <w:r w:rsidR="004A6D7C" w:rsidRPr="00B425EF">
              <w:t xml:space="preserve"> </w:t>
            </w:r>
            <w:r w:rsidR="001F0E2D" w:rsidRPr="00B425EF">
              <w:t>Alternatively, NZ </w:t>
            </w:r>
            <w:r w:rsidR="1330C5E2" w:rsidRPr="00B425EF">
              <w:t>ETS sectors will face the same price signals for reducing long-lived gases.</w:t>
            </w:r>
          </w:p>
          <w:p w14:paraId="67AB17A7" w14:textId="083DFF50" w:rsidR="3DBA3F4F" w:rsidRPr="00B425EF" w:rsidRDefault="3DBA3F4F" w:rsidP="00EC3885">
            <w:pPr>
              <w:pStyle w:val="TableText"/>
              <w:spacing w:before="40" w:after="40"/>
            </w:pPr>
            <w:r w:rsidRPr="00B425EF">
              <w:t xml:space="preserve">Reducing the methane target may provide more certainty for the agriculture sector, </w:t>
            </w:r>
            <w:r w:rsidR="004A6D7C" w:rsidRPr="00B425EF">
              <w:t xml:space="preserve">but </w:t>
            </w:r>
            <w:r w:rsidRPr="00B425EF">
              <w:t xml:space="preserve">setting a range may </w:t>
            </w:r>
            <w:r w:rsidR="004A6D7C" w:rsidRPr="00B425EF">
              <w:t xml:space="preserve">affect </w:t>
            </w:r>
            <w:r w:rsidRPr="00B425EF">
              <w:t xml:space="preserve">policy certainty. </w:t>
            </w:r>
          </w:p>
          <w:p w14:paraId="7B5A9515" w14:textId="55CE6D87" w:rsidR="7EEC5BB4" w:rsidRPr="00B425EF" w:rsidRDefault="3DBA3F4F" w:rsidP="00EC3885">
            <w:pPr>
              <w:pStyle w:val="TableText"/>
              <w:spacing w:before="40" w:after="40"/>
            </w:pPr>
            <w:r w:rsidRPr="00B425EF">
              <w:t xml:space="preserve">Impacts on </w:t>
            </w:r>
            <w:r w:rsidR="004A6D7C" w:rsidRPr="00B425EF">
              <w:t xml:space="preserve">NZ </w:t>
            </w:r>
            <w:r w:rsidRPr="00B425EF">
              <w:t xml:space="preserve">ETS prices or agriculture output </w:t>
            </w:r>
            <w:r w:rsidR="251B68B1" w:rsidRPr="00B425EF">
              <w:t>therefore</w:t>
            </w:r>
            <w:r w:rsidRPr="00B425EF" w:rsidDel="3DBA3F4F">
              <w:t xml:space="preserve"> </w:t>
            </w:r>
            <w:r w:rsidRPr="00B425EF">
              <w:t>depend on which end of the target range is targeted.</w:t>
            </w:r>
            <w:r w:rsidR="75F6491A" w:rsidRPr="00B425EF">
              <w:t xml:space="preserve"> </w:t>
            </w:r>
          </w:p>
        </w:tc>
        <w:tc>
          <w:tcPr>
            <w:tcW w:w="2892" w:type="dxa"/>
            <w:tcMar>
              <w:left w:w="105" w:type="dxa"/>
              <w:right w:w="105" w:type="dxa"/>
            </w:tcMar>
          </w:tcPr>
          <w:p w14:paraId="187B7A13" w14:textId="2D721AA9" w:rsidR="3DBA3F4F" w:rsidRPr="00B425EF" w:rsidRDefault="003A525B" w:rsidP="00EC3885">
            <w:pPr>
              <w:pStyle w:val="TableText"/>
              <w:spacing w:before="40" w:after="40"/>
            </w:pPr>
            <w:r w:rsidRPr="00B425EF">
              <w:t>M</w:t>
            </w:r>
            <w:r w:rsidR="3DBA3F4F" w:rsidRPr="00B425EF">
              <w:t xml:space="preserve">ixed impacts </w:t>
            </w:r>
            <w:r w:rsidRPr="00B425EF">
              <w:t xml:space="preserve">would be likely </w:t>
            </w:r>
            <w:r w:rsidR="3DBA3F4F" w:rsidRPr="00B425EF">
              <w:t>on land-use change</w:t>
            </w:r>
            <w:r w:rsidRPr="00B425EF">
              <w:t>,</w:t>
            </w:r>
            <w:r w:rsidR="3DBA3F4F" w:rsidRPr="00B425EF">
              <w:t xml:space="preserve"> </w:t>
            </w:r>
            <w:r w:rsidR="002F7332" w:rsidRPr="00B425EF">
              <w:t>includ</w:t>
            </w:r>
            <w:r w:rsidR="0037487F" w:rsidRPr="00B425EF">
              <w:t>ing</w:t>
            </w:r>
            <w:r w:rsidR="3DBA3F4F" w:rsidRPr="00B425EF">
              <w:t xml:space="preserve"> increased land area (and associated economic benefits) </w:t>
            </w:r>
            <w:r w:rsidR="0037487F" w:rsidRPr="00B425EF">
              <w:t>for</w:t>
            </w:r>
            <w:r w:rsidR="002F7332" w:rsidRPr="00B425EF">
              <w:t xml:space="preserve"> horticultur</w:t>
            </w:r>
            <w:r w:rsidR="0037487F" w:rsidRPr="00B425EF">
              <w:t>e</w:t>
            </w:r>
            <w:r w:rsidR="00F45EE1" w:rsidRPr="00B425EF">
              <w:t>,</w:t>
            </w:r>
            <w:r w:rsidR="0037487F" w:rsidRPr="00B425EF">
              <w:t xml:space="preserve"> and</w:t>
            </w:r>
            <w:r w:rsidR="3DBA3F4F" w:rsidRPr="00B425EF">
              <w:t xml:space="preserve"> native and exotic afforestation, </w:t>
            </w:r>
            <w:r w:rsidR="0037487F" w:rsidRPr="00B425EF">
              <w:t>as well as</w:t>
            </w:r>
            <w:r w:rsidR="002F7332" w:rsidRPr="00B425EF">
              <w:t xml:space="preserve"> </w:t>
            </w:r>
            <w:r w:rsidR="3DBA3F4F" w:rsidRPr="00B425EF">
              <w:t>reduced land area for sheep, beef and dairy</w:t>
            </w:r>
            <w:r w:rsidR="00D83A92" w:rsidRPr="00B425EF">
              <w:t xml:space="preserve"> farming</w:t>
            </w:r>
            <w:r w:rsidR="3DBA3F4F" w:rsidRPr="00B425EF">
              <w:t xml:space="preserve"> (</w:t>
            </w:r>
            <w:r w:rsidR="00D83A92" w:rsidRPr="00B425EF">
              <w:t>ie,</w:t>
            </w:r>
            <w:r w:rsidR="0037487F" w:rsidRPr="00B425EF">
              <w:t xml:space="preserve"> </w:t>
            </w:r>
            <w:r w:rsidR="3DBA3F4F" w:rsidRPr="00B425EF">
              <w:t>acceleration of current trends). </w:t>
            </w:r>
          </w:p>
          <w:p w14:paraId="76693DF0" w14:textId="4E0BAF84" w:rsidR="3DBA3F4F" w:rsidRPr="00B425EF" w:rsidRDefault="00E60CDF" w:rsidP="00EC3885">
            <w:pPr>
              <w:pStyle w:val="TableText"/>
              <w:spacing w:before="40" w:after="40"/>
            </w:pPr>
            <w:r w:rsidRPr="00B425EF">
              <w:t xml:space="preserve">Sectors covered by the </w:t>
            </w:r>
            <w:r w:rsidR="00D83A92" w:rsidRPr="00B425EF">
              <w:t>NZ </w:t>
            </w:r>
            <w:r w:rsidR="002F7332" w:rsidRPr="00B425EF">
              <w:t>ETS</w:t>
            </w:r>
            <w:r w:rsidR="00E728D7" w:rsidRPr="00B425EF">
              <w:t xml:space="preserve"> may</w:t>
            </w:r>
            <w:r w:rsidR="3DBA3F4F" w:rsidRPr="00B425EF">
              <w:t xml:space="preserve"> face increased price signals to reduce </w:t>
            </w:r>
            <w:r w:rsidR="001F17CD" w:rsidRPr="00B425EF">
              <w:t>net</w:t>
            </w:r>
            <w:r w:rsidR="00610DD7" w:rsidRPr="00B425EF">
              <w:t xml:space="preserve"> emissions of</w:t>
            </w:r>
            <w:r w:rsidR="002F7332" w:rsidRPr="00B425EF">
              <w:t xml:space="preserve"> </w:t>
            </w:r>
            <w:r w:rsidR="3DBA3F4F" w:rsidRPr="00B425EF">
              <w:t xml:space="preserve">long-lived gases. </w:t>
            </w:r>
          </w:p>
          <w:p w14:paraId="2F9680AF" w14:textId="4FA2F513" w:rsidR="3DBA3F4F" w:rsidRPr="00B425EF" w:rsidRDefault="3DBA3F4F" w:rsidP="00EC3885">
            <w:pPr>
              <w:pStyle w:val="TableText"/>
              <w:spacing w:before="40" w:after="40"/>
            </w:pPr>
            <w:r w:rsidRPr="00B425EF">
              <w:t>Specific impacts (eg</w:t>
            </w:r>
            <w:r w:rsidR="00D83A92" w:rsidRPr="00B425EF">
              <w:t>,</w:t>
            </w:r>
            <w:r w:rsidRPr="00B425EF">
              <w:t xml:space="preserve"> afforestation response, energy transition)</w:t>
            </w:r>
            <w:r w:rsidR="00D83A92" w:rsidRPr="00B425EF">
              <w:t xml:space="preserve"> are</w:t>
            </w:r>
            <w:r w:rsidRPr="00B425EF">
              <w:t xml:space="preserve"> likely to depend on policy settings. </w:t>
            </w:r>
          </w:p>
          <w:p w14:paraId="4A1EDC52" w14:textId="3B918451" w:rsidR="7EEC5BB4" w:rsidRPr="00B425EF" w:rsidRDefault="00E83D23" w:rsidP="00EC3885">
            <w:pPr>
              <w:pStyle w:val="TableText"/>
              <w:spacing w:before="40" w:after="40"/>
            </w:pPr>
            <w:r w:rsidRPr="00B425EF">
              <w:t>M</w:t>
            </w:r>
            <w:r w:rsidR="3DBA3F4F" w:rsidRPr="00B425EF">
              <w:t xml:space="preserve">odelling indicates </w:t>
            </w:r>
            <w:r w:rsidR="00B77EEB" w:rsidRPr="00B425EF">
              <w:t>that</w:t>
            </w:r>
            <w:r w:rsidR="003E429D" w:rsidRPr="00B425EF">
              <w:t>,</w:t>
            </w:r>
            <w:r w:rsidR="00B77EEB" w:rsidRPr="00B425EF">
              <w:t xml:space="preserve"> with this option, </w:t>
            </w:r>
            <w:r w:rsidR="3DBA3F4F" w:rsidRPr="00B425EF">
              <w:t>agriculture</w:t>
            </w:r>
            <w:r w:rsidR="007F597A" w:rsidRPr="00B425EF">
              <w:t xml:space="preserve"> output would decrease 17</w:t>
            </w:r>
            <w:r w:rsidR="00F36211" w:rsidRPr="00B425EF">
              <w:t>%</w:t>
            </w:r>
            <w:r w:rsidR="007F597A" w:rsidRPr="00B425EF">
              <w:t xml:space="preserve"> as of</w:t>
            </w:r>
            <w:r w:rsidR="3DBA3F4F" w:rsidRPr="00B425EF">
              <w:t xml:space="preserve"> 2050</w:t>
            </w:r>
            <w:r w:rsidR="007F597A" w:rsidRPr="00B425EF">
              <w:t>,</w:t>
            </w:r>
            <w:r w:rsidR="3DBA3F4F" w:rsidRPr="00B425EF">
              <w:t xml:space="preserve"> compared with the status quo. Other sectors </w:t>
            </w:r>
            <w:r w:rsidR="00B77EEB" w:rsidRPr="00B425EF">
              <w:t xml:space="preserve">are modelled to </w:t>
            </w:r>
            <w:r w:rsidR="3DBA3F4F" w:rsidRPr="00B425EF">
              <w:t>have increased output</w:t>
            </w:r>
            <w:r w:rsidR="003E429D" w:rsidRPr="00B425EF">
              <w:t>,</w:t>
            </w:r>
            <w:r w:rsidR="3DBA3F4F" w:rsidRPr="00B425EF">
              <w:t xml:space="preserve"> including forestry</w:t>
            </w:r>
            <w:r w:rsidR="00B77EEB" w:rsidRPr="00B425EF">
              <w:t>,</w:t>
            </w:r>
            <w:r w:rsidR="3DBA3F4F" w:rsidRPr="00B425EF">
              <w:t xml:space="preserve"> with </w:t>
            </w:r>
            <w:r w:rsidR="00B77EEB" w:rsidRPr="00B425EF">
              <w:t xml:space="preserve">a </w:t>
            </w:r>
            <w:r w:rsidR="3DBA3F4F" w:rsidRPr="00B425EF">
              <w:t>3.5</w:t>
            </w:r>
            <w:r w:rsidR="00F36211" w:rsidRPr="00B425EF">
              <w:t>%</w:t>
            </w:r>
            <w:r w:rsidR="0035325F" w:rsidRPr="00B425EF">
              <w:t xml:space="preserve"> </w:t>
            </w:r>
            <w:r w:rsidR="00B77EEB" w:rsidRPr="00B425EF">
              <w:t>increase</w:t>
            </w:r>
            <w:r w:rsidR="3DBA3F4F" w:rsidRPr="00B425EF">
              <w:t xml:space="preserve">. Actual sector impacts will depend on </w:t>
            </w:r>
            <w:r w:rsidR="003E429D" w:rsidRPr="00B425EF">
              <w:t>g</w:t>
            </w:r>
            <w:r w:rsidR="3DBA3F4F" w:rsidRPr="00B425EF">
              <w:t>overnment policies.</w:t>
            </w:r>
          </w:p>
        </w:tc>
      </w:tr>
      <w:tr w:rsidR="7EEC5BB4" w:rsidRPr="00B425EF" w14:paraId="72F4D75C" w14:textId="77777777" w:rsidTr="005F5F25">
        <w:trPr>
          <w:trHeight w:val="300"/>
        </w:trPr>
        <w:tc>
          <w:tcPr>
            <w:tcW w:w="1361" w:type="dxa"/>
            <w:vMerge w:val="restart"/>
            <w:tcMar>
              <w:left w:w="105" w:type="dxa"/>
              <w:right w:w="105" w:type="dxa"/>
            </w:tcMar>
          </w:tcPr>
          <w:p w14:paraId="6CDCD3D5" w14:textId="04678B4B" w:rsidR="7EEC5BB4" w:rsidRPr="00B425EF" w:rsidRDefault="7EEC5BB4" w:rsidP="00EC3885">
            <w:pPr>
              <w:pStyle w:val="TableText"/>
              <w:spacing w:before="40" w:after="40"/>
            </w:pPr>
            <w:r w:rsidRPr="00B425EF">
              <w:t xml:space="preserve">The 2050 target contributes to limiting the global average temperature </w:t>
            </w:r>
          </w:p>
        </w:tc>
        <w:tc>
          <w:tcPr>
            <w:tcW w:w="1361" w:type="dxa"/>
            <w:tcMar>
              <w:left w:w="105" w:type="dxa"/>
              <w:right w:w="105" w:type="dxa"/>
            </w:tcMar>
          </w:tcPr>
          <w:p w14:paraId="7A741C9D" w14:textId="737E6079" w:rsidR="7EEC5BB4" w:rsidRPr="00B425EF" w:rsidRDefault="7EEC5BB4" w:rsidP="00EC3885">
            <w:pPr>
              <w:pStyle w:val="TableText"/>
              <w:spacing w:before="40" w:after="40"/>
            </w:pPr>
            <w:r w:rsidRPr="00B425EF">
              <w:t>Contribution to limiting warming</w:t>
            </w:r>
          </w:p>
        </w:tc>
        <w:tc>
          <w:tcPr>
            <w:tcW w:w="2892" w:type="dxa"/>
            <w:tcMar>
              <w:left w:w="105" w:type="dxa"/>
              <w:right w:w="105" w:type="dxa"/>
            </w:tcMar>
          </w:tcPr>
          <w:p w14:paraId="748970B6" w14:textId="767994E1" w:rsidR="00400683" w:rsidRPr="00B425EF" w:rsidRDefault="79077430" w:rsidP="00EC3885">
            <w:pPr>
              <w:pStyle w:val="TableText"/>
              <w:spacing w:before="40" w:after="40"/>
            </w:pPr>
            <w:r w:rsidRPr="00B425EF">
              <w:t xml:space="preserve">The impacts on New Zealand’s overall emissions and contribution to warming in 2050 </w:t>
            </w:r>
            <w:r w:rsidR="00400683" w:rsidRPr="00B425EF">
              <w:t>d</w:t>
            </w:r>
            <w:r w:rsidRPr="00B425EF">
              <w:t>epend on which end of the range is targeted</w:t>
            </w:r>
            <w:r w:rsidR="00400683" w:rsidRPr="00B425EF">
              <w:t>. Current policies</w:t>
            </w:r>
            <w:r w:rsidR="00B77EEB" w:rsidRPr="00B425EF">
              <w:t xml:space="preserve"> from </w:t>
            </w:r>
            <w:r w:rsidR="00400683" w:rsidRPr="00B425EF">
              <w:t xml:space="preserve">ERP2 assume </w:t>
            </w:r>
            <w:r w:rsidR="007D29F3" w:rsidRPr="00B425EF">
              <w:t>New Zealand is</w:t>
            </w:r>
            <w:r w:rsidR="00400683" w:rsidRPr="00B425EF">
              <w:t xml:space="preserve"> tracking towards </w:t>
            </w:r>
            <w:r w:rsidR="007D1AB4" w:rsidRPr="00B425EF">
              <w:t xml:space="preserve">around </w:t>
            </w:r>
            <w:r w:rsidR="00400683" w:rsidRPr="00B425EF">
              <w:t>25</w:t>
            </w:r>
            <w:r w:rsidR="00F36211" w:rsidRPr="00B425EF">
              <w:t>%</w:t>
            </w:r>
            <w:r w:rsidR="007D1AB4" w:rsidRPr="00B425EF">
              <w:t> </w:t>
            </w:r>
            <w:r w:rsidR="00400683" w:rsidRPr="00B425EF">
              <w:t>reduction of methane in 2050</w:t>
            </w:r>
            <w:r w:rsidR="00316422" w:rsidRPr="00B425EF">
              <w:t>,</w:t>
            </w:r>
            <w:r w:rsidR="00400683" w:rsidRPr="00B425EF">
              <w:t xml:space="preserve"> and net zero long-lived gases in 2044 (maintained from 2050).</w:t>
            </w:r>
          </w:p>
          <w:p w14:paraId="7ED4887B" w14:textId="02929EDA" w:rsidR="00400683" w:rsidRPr="00B425EF" w:rsidRDefault="00B77EEB" w:rsidP="00EC3885">
            <w:pPr>
              <w:pStyle w:val="TableText"/>
              <w:spacing w:before="40" w:after="40"/>
            </w:pPr>
            <w:r w:rsidRPr="00B425EF">
              <w:t>Option 3 w</w:t>
            </w:r>
            <w:r w:rsidR="00221E45" w:rsidRPr="00B425EF">
              <w:t>ould not result in any changes to New Zealand’s current impact on warming</w:t>
            </w:r>
            <w:r w:rsidRPr="00B425EF">
              <w:t>,</w:t>
            </w:r>
            <w:r w:rsidR="00221E45" w:rsidRPr="00B425EF">
              <w:t xml:space="preserve"> relative to the warming associated with projected emissions under ERP2. </w:t>
            </w:r>
          </w:p>
          <w:p w14:paraId="77A6DFA1" w14:textId="354594B2" w:rsidR="79077430" w:rsidRPr="00B425EF" w:rsidRDefault="00B77EEB" w:rsidP="00EC3885">
            <w:pPr>
              <w:pStyle w:val="TableText"/>
              <w:spacing w:before="40" w:after="40"/>
            </w:pPr>
            <w:r w:rsidRPr="00B425EF">
              <w:t xml:space="preserve">It would </w:t>
            </w:r>
            <w:r w:rsidR="79077430" w:rsidRPr="00B425EF">
              <w:t xml:space="preserve">either not increase the gap in current emissions in </w:t>
            </w:r>
            <w:r w:rsidRPr="00B425EF">
              <w:t>the third emissions budget</w:t>
            </w:r>
            <w:r w:rsidR="000D25AE" w:rsidRPr="00B425EF">
              <w:t xml:space="preserve"> (EB3)</w:t>
            </w:r>
            <w:r w:rsidRPr="00B425EF">
              <w:t xml:space="preserve">, </w:t>
            </w:r>
            <w:r w:rsidR="000C08D9" w:rsidRPr="00B425EF">
              <w:t>or</w:t>
            </w:r>
            <w:r w:rsidR="79077430" w:rsidRPr="00B425EF">
              <w:t xml:space="preserve"> </w:t>
            </w:r>
            <w:r w:rsidRPr="00B425EF">
              <w:t xml:space="preserve">it would </w:t>
            </w:r>
            <w:r w:rsidR="79077430" w:rsidRPr="00B425EF">
              <w:t>increase the gap to 18.4</w:t>
            </w:r>
            <w:r w:rsidRPr="00B425EF">
              <w:t xml:space="preserve"> </w:t>
            </w:r>
            <w:r w:rsidR="79077430" w:rsidRPr="00B425EF">
              <w:t xml:space="preserve">Mt </w:t>
            </w:r>
            <w:r w:rsidR="004B5299" w:rsidRPr="00B425EF">
              <w:t>CO</w:t>
            </w:r>
            <w:r w:rsidR="004B5299" w:rsidRPr="00B425EF">
              <w:rPr>
                <w:vertAlign w:val="subscript"/>
              </w:rPr>
              <w:t>2</w:t>
            </w:r>
            <w:r w:rsidR="004B5299" w:rsidRPr="00B425EF">
              <w:t>-e</w:t>
            </w:r>
            <w:r w:rsidR="00DA61C9" w:rsidRPr="00B425EF">
              <w:t>.</w:t>
            </w:r>
          </w:p>
        </w:tc>
        <w:tc>
          <w:tcPr>
            <w:tcW w:w="2892" w:type="dxa"/>
            <w:tcMar>
              <w:left w:w="105" w:type="dxa"/>
              <w:right w:w="105" w:type="dxa"/>
            </w:tcMar>
          </w:tcPr>
          <w:p w14:paraId="1F87C535" w14:textId="5AB0D0C3" w:rsidR="79077430" w:rsidRPr="00B425EF" w:rsidRDefault="00B77EEB" w:rsidP="00EC3885">
            <w:pPr>
              <w:pStyle w:val="TableText"/>
              <w:spacing w:before="40" w:after="40"/>
            </w:pPr>
            <w:r w:rsidRPr="00B425EF">
              <w:t xml:space="preserve">Option 5 would improve New Zealand’s </w:t>
            </w:r>
            <w:r w:rsidR="79077430" w:rsidRPr="00B425EF">
              <w:t>contribution to limiting global warming to 1.5</w:t>
            </w:r>
            <w:r w:rsidR="00D459EF">
              <w:t xml:space="preserve"> </w:t>
            </w:r>
            <w:r w:rsidR="00D459EF" w:rsidRPr="00D459EF">
              <w:t>degrees Celsius</w:t>
            </w:r>
            <w:r w:rsidR="79077430" w:rsidRPr="00B425EF">
              <w:t>.</w:t>
            </w:r>
          </w:p>
          <w:p w14:paraId="1AE58F84" w14:textId="115B6DD7" w:rsidR="79077430" w:rsidRPr="00B425EF" w:rsidRDefault="000D25AE" w:rsidP="00EC3885">
            <w:pPr>
              <w:pStyle w:val="TableText"/>
              <w:spacing w:before="40" w:after="40"/>
            </w:pPr>
            <w:r w:rsidRPr="00B425EF">
              <w:t xml:space="preserve">It </w:t>
            </w:r>
            <w:r w:rsidR="79077430" w:rsidRPr="00B425EF">
              <w:t xml:space="preserve">would reduce global warming caused by New Zealand </w:t>
            </w:r>
            <w:r w:rsidR="0000050D" w:rsidRPr="00B425EF">
              <w:t xml:space="preserve">around </w:t>
            </w:r>
            <w:r w:rsidR="79077430" w:rsidRPr="00B425EF">
              <w:t>3.1</w:t>
            </w:r>
            <w:r w:rsidR="00985C97" w:rsidRPr="00B425EF">
              <w:t>%</w:t>
            </w:r>
            <w:r w:rsidR="00F30EBA" w:rsidRPr="00B425EF">
              <w:t> </w:t>
            </w:r>
            <w:r w:rsidR="79077430" w:rsidRPr="00B425EF">
              <w:t>t</w:t>
            </w:r>
            <w:r w:rsidRPr="00B425EF">
              <w:t xml:space="preserve">o </w:t>
            </w:r>
            <w:r w:rsidR="79077430" w:rsidRPr="00B425EF">
              <w:t>4.9</w:t>
            </w:r>
            <w:r w:rsidR="00985C97" w:rsidRPr="00B425EF">
              <w:t>%</w:t>
            </w:r>
            <w:r w:rsidR="0035325F" w:rsidRPr="00B425EF">
              <w:t xml:space="preserve"> </w:t>
            </w:r>
            <w:r w:rsidR="79077430" w:rsidRPr="00B425EF">
              <w:t>by 2050 (and</w:t>
            </w:r>
            <w:r w:rsidRPr="00B425EF">
              <w:t xml:space="preserve"> </w:t>
            </w:r>
            <w:r w:rsidR="00F30EBA" w:rsidRPr="00B425EF">
              <w:t xml:space="preserve">around </w:t>
            </w:r>
            <w:r w:rsidR="79077430" w:rsidRPr="00B425EF">
              <w:t>19.9</w:t>
            </w:r>
            <w:r w:rsidR="00985C97" w:rsidRPr="00B425EF">
              <w:t>%</w:t>
            </w:r>
            <w:r w:rsidR="0035325F" w:rsidRPr="00B425EF">
              <w:t xml:space="preserve"> </w:t>
            </w:r>
            <w:r w:rsidR="79077430" w:rsidRPr="00B425EF">
              <w:t>to 26.6</w:t>
            </w:r>
            <w:r w:rsidR="00985C97" w:rsidRPr="00B425EF">
              <w:t>%</w:t>
            </w:r>
            <w:r w:rsidR="00853306" w:rsidRPr="00B425EF">
              <w:t> </w:t>
            </w:r>
            <w:r w:rsidR="79077430" w:rsidRPr="00B425EF">
              <w:t>by 2100)</w:t>
            </w:r>
            <w:r w:rsidRPr="00B425EF">
              <w:t>,</w:t>
            </w:r>
            <w:r w:rsidR="79077430" w:rsidRPr="00B425EF">
              <w:t xml:space="preserve"> relative to the warming associated with projected emissions under ERP2.</w:t>
            </w:r>
          </w:p>
          <w:p w14:paraId="4148FB6D" w14:textId="03261186" w:rsidR="79077430" w:rsidRPr="00B425EF" w:rsidRDefault="000D25AE" w:rsidP="00EC3885">
            <w:pPr>
              <w:pStyle w:val="TableText"/>
              <w:spacing w:before="40" w:after="40"/>
            </w:pPr>
            <w:r w:rsidRPr="00B425EF">
              <w:t>This option w</w:t>
            </w:r>
            <w:r w:rsidR="79077430" w:rsidRPr="00B425EF">
              <w:t xml:space="preserve">ould decrease the current emissions gap in </w:t>
            </w:r>
            <w:r w:rsidRPr="00B425EF">
              <w:t xml:space="preserve">EB3 </w:t>
            </w:r>
            <w:r w:rsidR="79077430" w:rsidRPr="00B425EF">
              <w:t>(</w:t>
            </w:r>
            <w:r w:rsidRPr="00B425EF">
              <w:t>around</w:t>
            </w:r>
            <w:r w:rsidR="79077430" w:rsidRPr="00B425EF">
              <w:t xml:space="preserve"> 9.2</w:t>
            </w:r>
            <w:r w:rsidRPr="00B425EF">
              <w:t> </w:t>
            </w:r>
            <w:r w:rsidR="79077430" w:rsidRPr="00B425EF">
              <w:t>Mt</w:t>
            </w:r>
            <w:r w:rsidRPr="00B425EF">
              <w:t> </w:t>
            </w:r>
            <w:r w:rsidR="004B5299" w:rsidRPr="00B425EF">
              <w:t>CO</w:t>
            </w:r>
            <w:r w:rsidR="004B5299" w:rsidRPr="00B425EF">
              <w:rPr>
                <w:vertAlign w:val="subscript"/>
              </w:rPr>
              <w:t>2</w:t>
            </w:r>
            <w:r w:rsidR="004B5299" w:rsidRPr="00B425EF">
              <w:t>-e</w:t>
            </w:r>
            <w:r w:rsidR="79077430" w:rsidRPr="00B425EF">
              <w:t>) by 15.4</w:t>
            </w:r>
            <w:r w:rsidRPr="00B425EF">
              <w:t xml:space="preserve"> </w:t>
            </w:r>
            <w:r w:rsidR="79077430" w:rsidRPr="00B425EF">
              <w:t xml:space="preserve">Mt </w:t>
            </w:r>
            <w:r w:rsidR="004B5299" w:rsidRPr="00B425EF">
              <w:t>CO</w:t>
            </w:r>
            <w:r w:rsidR="004B5299" w:rsidRPr="00B425EF">
              <w:rPr>
                <w:vertAlign w:val="subscript"/>
              </w:rPr>
              <w:t>2</w:t>
            </w:r>
            <w:r w:rsidR="004B5299" w:rsidRPr="00B425EF">
              <w:t>-e</w:t>
            </w:r>
            <w:r w:rsidRPr="00B425EF">
              <w:t>,</w:t>
            </w:r>
            <w:r w:rsidR="79077430" w:rsidRPr="00B425EF">
              <w:t xml:space="preserve"> resulting in overachieving EB3 by roughly 6 Mt </w:t>
            </w:r>
            <w:r w:rsidR="004B5299" w:rsidRPr="00B425EF">
              <w:t>CO</w:t>
            </w:r>
            <w:r w:rsidR="004B5299" w:rsidRPr="00B425EF">
              <w:rPr>
                <w:vertAlign w:val="subscript"/>
              </w:rPr>
              <w:t>2</w:t>
            </w:r>
            <w:r w:rsidR="004B5299" w:rsidRPr="00B425EF">
              <w:t>-e</w:t>
            </w:r>
            <w:r w:rsidR="79077430" w:rsidRPr="00B425EF">
              <w:t>.</w:t>
            </w:r>
          </w:p>
        </w:tc>
      </w:tr>
      <w:tr w:rsidR="7EEC5BB4" w:rsidRPr="00B425EF" w14:paraId="2D5A958E" w14:textId="77777777" w:rsidTr="005F5F25">
        <w:trPr>
          <w:trHeight w:val="300"/>
        </w:trPr>
        <w:tc>
          <w:tcPr>
            <w:tcW w:w="1361" w:type="dxa"/>
            <w:vMerge/>
            <w:tcMar>
              <w:left w:w="105" w:type="dxa"/>
              <w:right w:w="105" w:type="dxa"/>
            </w:tcMar>
          </w:tcPr>
          <w:p w14:paraId="36BBC616" w14:textId="46607D5D" w:rsidR="7EEC5BB4" w:rsidRPr="00B425EF" w:rsidRDefault="7EEC5BB4" w:rsidP="00EC3885">
            <w:pPr>
              <w:pStyle w:val="TableText"/>
              <w:spacing w:before="40" w:after="40"/>
            </w:pPr>
          </w:p>
        </w:tc>
        <w:tc>
          <w:tcPr>
            <w:tcW w:w="1361" w:type="dxa"/>
            <w:tcMar>
              <w:left w:w="105" w:type="dxa"/>
              <w:right w:w="105" w:type="dxa"/>
            </w:tcMar>
          </w:tcPr>
          <w:p w14:paraId="1256D159" w14:textId="5B011965" w:rsidR="7EEC5BB4" w:rsidRPr="00B425EF" w:rsidRDefault="7EEC5BB4" w:rsidP="00EC3885">
            <w:pPr>
              <w:pStyle w:val="TableText"/>
              <w:spacing w:before="40" w:after="40"/>
            </w:pPr>
            <w:r w:rsidRPr="00B425EF">
              <w:t xml:space="preserve">International partners comparison </w:t>
            </w:r>
          </w:p>
        </w:tc>
        <w:tc>
          <w:tcPr>
            <w:tcW w:w="2892" w:type="dxa"/>
            <w:tcMar>
              <w:left w:w="105" w:type="dxa"/>
              <w:right w:w="105" w:type="dxa"/>
            </w:tcMar>
          </w:tcPr>
          <w:p w14:paraId="77DE9948" w14:textId="21F6FC8A" w:rsidR="000D25AE" w:rsidRPr="00B425EF" w:rsidRDefault="25FDAAB2" w:rsidP="00EC3885">
            <w:pPr>
              <w:pStyle w:val="TableText"/>
              <w:spacing w:before="40" w:after="40"/>
            </w:pPr>
            <w:r w:rsidRPr="00B425EF">
              <w:t xml:space="preserve">A lower target than </w:t>
            </w:r>
            <w:r w:rsidR="00C14D66" w:rsidRPr="00B425EF">
              <w:t>comparable</w:t>
            </w:r>
            <w:r w:rsidR="003F430B" w:rsidRPr="00B425EF">
              <w:t xml:space="preserve"> </w:t>
            </w:r>
            <w:r w:rsidRPr="00B425EF">
              <w:t>countries (generally net zero all-gases).</w:t>
            </w:r>
          </w:p>
          <w:p w14:paraId="3468981A" w14:textId="3A8D3DFE" w:rsidR="25FDAAB2" w:rsidRPr="00B425EF" w:rsidRDefault="25FDAAB2" w:rsidP="00EC3885">
            <w:pPr>
              <w:pStyle w:val="TableText"/>
              <w:spacing w:before="40" w:after="40"/>
            </w:pPr>
            <w:r w:rsidRPr="00B425EF">
              <w:t>The range</w:t>
            </w:r>
            <w:r w:rsidR="0085713F">
              <w:t>,</w:t>
            </w:r>
            <w:r w:rsidRPr="00B425EF">
              <w:t xml:space="preserve"> when presented as an all</w:t>
            </w:r>
            <w:r w:rsidR="00160F0F" w:rsidRPr="00B425EF">
              <w:t>-</w:t>
            </w:r>
            <w:r w:rsidRPr="00B425EF">
              <w:t>gases target</w:t>
            </w:r>
            <w:r w:rsidR="0085713F">
              <w:t>,</w:t>
            </w:r>
            <w:r w:rsidRPr="00B425EF">
              <w:t xml:space="preserve"> would </w:t>
            </w:r>
            <w:r w:rsidR="0085713F">
              <w:t>be</w:t>
            </w:r>
            <w:r w:rsidR="0085713F" w:rsidRPr="00B425EF">
              <w:t xml:space="preserve"> </w:t>
            </w:r>
            <w:r w:rsidRPr="00B425EF">
              <w:t>from 29</w:t>
            </w:r>
            <w:r w:rsidR="00950E86" w:rsidRPr="00B425EF">
              <w:t> Mt CO</w:t>
            </w:r>
            <w:r w:rsidR="00950E86" w:rsidRPr="00B425EF">
              <w:rPr>
                <w:vertAlign w:val="subscript"/>
              </w:rPr>
              <w:t>2</w:t>
            </w:r>
            <w:r w:rsidR="00950E86" w:rsidRPr="00B425EF">
              <w:t>-e</w:t>
            </w:r>
            <w:r w:rsidRPr="00B425EF">
              <w:t xml:space="preserve"> to 32.8</w:t>
            </w:r>
            <w:r w:rsidR="00DD4512" w:rsidRPr="00B425EF">
              <w:t xml:space="preserve"> </w:t>
            </w:r>
            <w:r w:rsidRPr="00B425EF">
              <w:t>Mt</w:t>
            </w:r>
            <w:r w:rsidR="00A06AF5" w:rsidRPr="00B425EF">
              <w:t xml:space="preserve"> </w:t>
            </w:r>
            <w:r w:rsidR="004B5299" w:rsidRPr="00B425EF">
              <w:t>CO</w:t>
            </w:r>
            <w:r w:rsidR="004B5299" w:rsidRPr="00B425EF">
              <w:rPr>
                <w:vertAlign w:val="subscript"/>
              </w:rPr>
              <w:t>2</w:t>
            </w:r>
            <w:r w:rsidR="004B5299" w:rsidRPr="00B425EF">
              <w:t>-e</w:t>
            </w:r>
            <w:r w:rsidRPr="00B425EF">
              <w:t>.</w:t>
            </w:r>
            <w:r w:rsidR="00C20EDE" w:rsidRPr="00B425EF">
              <w:t xml:space="preserve"> </w:t>
            </w:r>
          </w:p>
        </w:tc>
        <w:tc>
          <w:tcPr>
            <w:tcW w:w="2892" w:type="dxa"/>
            <w:tcMar>
              <w:left w:w="105" w:type="dxa"/>
              <w:right w:w="105" w:type="dxa"/>
            </w:tcMar>
          </w:tcPr>
          <w:p w14:paraId="029D0099" w14:textId="7694A749" w:rsidR="7EEC5BB4" w:rsidRPr="00B425EF" w:rsidRDefault="25FDAAB2" w:rsidP="00EC3885">
            <w:pPr>
              <w:pStyle w:val="TableText"/>
              <w:spacing w:before="40" w:after="40"/>
            </w:pPr>
            <w:r w:rsidRPr="00B425EF">
              <w:rPr>
                <w:spacing w:val="-2"/>
              </w:rPr>
              <w:t>A higher target than the status quo is more aligned with comparable countries. The upper end of the range recommended by the Commission is consistent in terms of emissions impact with countries that have set net zero all</w:t>
            </w:r>
            <w:r w:rsidR="00DD4512" w:rsidRPr="00B425EF">
              <w:rPr>
                <w:spacing w:val="-2"/>
              </w:rPr>
              <w:t>-</w:t>
            </w:r>
            <w:r w:rsidRPr="00B425EF">
              <w:rPr>
                <w:spacing w:val="-2"/>
              </w:rPr>
              <w:t>gases targets. </w:t>
            </w:r>
          </w:p>
        </w:tc>
      </w:tr>
      <w:tr w:rsidR="7EEC5BB4" w:rsidRPr="00B425EF" w14:paraId="3A440DCC" w14:textId="77777777" w:rsidTr="005F5F25">
        <w:trPr>
          <w:trHeight w:val="300"/>
        </w:trPr>
        <w:tc>
          <w:tcPr>
            <w:tcW w:w="1361" w:type="dxa"/>
            <w:tcMar>
              <w:left w:w="105" w:type="dxa"/>
              <w:right w:w="105" w:type="dxa"/>
            </w:tcMar>
          </w:tcPr>
          <w:p w14:paraId="0662F374" w14:textId="2BC049CD" w:rsidR="7EEC5BB4" w:rsidRPr="00B425EF" w:rsidRDefault="7EEC5BB4" w:rsidP="00EC3885">
            <w:pPr>
              <w:pStyle w:val="TableText"/>
              <w:spacing w:before="40" w:after="40"/>
            </w:pPr>
            <w:r w:rsidRPr="00B425EF">
              <w:lastRenderedPageBreak/>
              <w:t>The target can be feasibly implemented and support N</w:t>
            </w:r>
            <w:r w:rsidR="00950E86" w:rsidRPr="00B425EF">
              <w:t xml:space="preserve">ew </w:t>
            </w:r>
            <w:r w:rsidRPr="00B425EF">
              <w:t>Z</w:t>
            </w:r>
            <w:r w:rsidR="00BB0153" w:rsidRPr="00B425EF">
              <w:t>ealand’</w:t>
            </w:r>
            <w:r w:rsidRPr="00B425EF">
              <w:t>s transition to 2050 </w:t>
            </w:r>
          </w:p>
        </w:tc>
        <w:tc>
          <w:tcPr>
            <w:tcW w:w="1361" w:type="dxa"/>
            <w:tcMar>
              <w:left w:w="105" w:type="dxa"/>
              <w:right w:w="105" w:type="dxa"/>
            </w:tcMar>
          </w:tcPr>
          <w:p w14:paraId="064B451E" w14:textId="2431B2AE" w:rsidR="7EEC5BB4" w:rsidRPr="00B425EF" w:rsidRDefault="7EEC5BB4" w:rsidP="00EC3885">
            <w:pPr>
              <w:pStyle w:val="TableText"/>
              <w:spacing w:before="40" w:after="40"/>
            </w:pPr>
            <w:r w:rsidRPr="00B425EF">
              <w:t>Achievable pathway: ERP2</w:t>
            </w:r>
            <w:r w:rsidR="00BB6C5E" w:rsidRPr="00B425EF">
              <w:t>-</w:t>
            </w:r>
            <w:r w:rsidRPr="00B425EF">
              <w:t>modelled technological developments, likely policy implications </w:t>
            </w:r>
          </w:p>
        </w:tc>
        <w:tc>
          <w:tcPr>
            <w:tcW w:w="2892" w:type="dxa"/>
            <w:tcMar>
              <w:left w:w="105" w:type="dxa"/>
              <w:right w:w="105" w:type="dxa"/>
            </w:tcMar>
          </w:tcPr>
          <w:p w14:paraId="1B3F533C" w14:textId="5CD07452" w:rsidR="7EEC5BB4" w:rsidRPr="00B425EF" w:rsidRDefault="549A078D" w:rsidP="00EC3885">
            <w:pPr>
              <w:pStyle w:val="TableText"/>
              <w:spacing w:before="40" w:after="40"/>
            </w:pPr>
            <w:r w:rsidRPr="00B425EF">
              <w:t xml:space="preserve">This option is feasible with </w:t>
            </w:r>
            <w:r w:rsidR="00BB6C5E" w:rsidRPr="00B425EF">
              <w:t xml:space="preserve">the </w:t>
            </w:r>
            <w:r w:rsidRPr="00B425EF">
              <w:t>current pipeline of technology and policies identified in ERP2. </w:t>
            </w:r>
          </w:p>
        </w:tc>
        <w:tc>
          <w:tcPr>
            <w:tcW w:w="2892" w:type="dxa"/>
            <w:tcMar>
              <w:left w:w="105" w:type="dxa"/>
              <w:right w:w="105" w:type="dxa"/>
            </w:tcMar>
          </w:tcPr>
          <w:p w14:paraId="167FFFE4" w14:textId="21A071AA" w:rsidR="549A078D" w:rsidRPr="00B425EF" w:rsidRDefault="00DD4512" w:rsidP="00EC3885">
            <w:pPr>
              <w:pStyle w:val="TableText"/>
              <w:spacing w:before="40" w:after="40"/>
            </w:pPr>
            <w:r w:rsidRPr="00B425EF">
              <w:t xml:space="preserve">This option will likely </w:t>
            </w:r>
            <w:r w:rsidR="549A078D" w:rsidRPr="00B425EF">
              <w:t>require significant policy change</w:t>
            </w:r>
            <w:r w:rsidRPr="00B425EF">
              <w:t>,</w:t>
            </w:r>
            <w:r w:rsidR="549A078D" w:rsidRPr="00B425EF">
              <w:t xml:space="preserve"> including a greater role for </w:t>
            </w:r>
            <w:r w:rsidR="00F62A56" w:rsidRPr="00B425EF">
              <w:t>the</w:t>
            </w:r>
            <w:r w:rsidR="549A078D" w:rsidRPr="00B425EF">
              <w:t xml:space="preserve"> </w:t>
            </w:r>
            <w:r w:rsidR="00F62A56" w:rsidRPr="00B425EF">
              <w:t>G</w:t>
            </w:r>
            <w:r w:rsidR="549A078D" w:rsidRPr="00B425EF">
              <w:t xml:space="preserve">overnment </w:t>
            </w:r>
            <w:r w:rsidR="00F62A56" w:rsidRPr="00B425EF">
              <w:t>to</w:t>
            </w:r>
            <w:r w:rsidR="549A078D" w:rsidRPr="00B425EF">
              <w:t xml:space="preserve"> incentivis</w:t>
            </w:r>
            <w:r w:rsidR="00F62A56" w:rsidRPr="00B425EF">
              <w:t>e</w:t>
            </w:r>
            <w:r w:rsidR="549A078D" w:rsidRPr="00B425EF">
              <w:t xml:space="preserve"> uptake of existing and new technologies, and/or further innovation and technology uptake by the private sector. </w:t>
            </w:r>
          </w:p>
          <w:p w14:paraId="2B5427C6" w14:textId="09A8936C" w:rsidR="549A078D" w:rsidRPr="00B425EF" w:rsidRDefault="549A078D" w:rsidP="00EC3885">
            <w:pPr>
              <w:pStyle w:val="TableText"/>
              <w:spacing w:before="40" w:after="40"/>
            </w:pPr>
            <w:r w:rsidRPr="00B425EF">
              <w:t>The</w:t>
            </w:r>
            <w:r w:rsidR="2F353D9A" w:rsidRPr="00B425EF">
              <w:t xml:space="preserve"> </w:t>
            </w:r>
            <w:r w:rsidR="17C8D07D" w:rsidRPr="00B425EF">
              <w:t>NZ</w:t>
            </w:r>
            <w:r w:rsidRPr="00B425EF">
              <w:t xml:space="preserve"> ETS is not currently configured to deliver net negative </w:t>
            </w:r>
            <w:r w:rsidR="00441116" w:rsidRPr="00B425EF">
              <w:t>carbon dio</w:t>
            </w:r>
            <w:r w:rsidR="004F1893" w:rsidRPr="00B425EF">
              <w:t xml:space="preserve">xide </w:t>
            </w:r>
            <w:r w:rsidRPr="00B425EF">
              <w:t>emissions</w:t>
            </w:r>
            <w:r w:rsidR="00BB6C5E" w:rsidRPr="00B425EF">
              <w:t>,</w:t>
            </w:r>
            <w:r w:rsidRPr="00B425EF">
              <w:t xml:space="preserve"> and new supporting policy measures will be needed. </w:t>
            </w:r>
          </w:p>
        </w:tc>
      </w:tr>
    </w:tbl>
    <w:p w14:paraId="6C17F155" w14:textId="7A17C156" w:rsidR="00BB3949" w:rsidRPr="00B425EF" w:rsidRDefault="000438E9" w:rsidP="00BB3949">
      <w:pPr>
        <w:pStyle w:val="Note"/>
      </w:pPr>
      <w:r w:rsidRPr="00B425EF">
        <w:t>Note: ERP2 = second emissions reduction plan; GDP = gross domestic product; Mt CO</w:t>
      </w:r>
      <w:r w:rsidRPr="00B425EF">
        <w:rPr>
          <w:vertAlign w:val="subscript"/>
        </w:rPr>
        <w:t>2</w:t>
      </w:r>
      <w:r w:rsidRPr="00B425EF">
        <w:t>-e = megatonnes of carbon dioxide equivalent; NZ ETS = New Zealand Emissions Trading Scheme.</w:t>
      </w:r>
    </w:p>
    <w:p w14:paraId="4D1E9592" w14:textId="69DD5BCF" w:rsidR="549A078D" w:rsidRPr="00B425EF" w:rsidRDefault="00DC51A2" w:rsidP="00EC3885">
      <w:pPr>
        <w:pStyle w:val="Heading3"/>
        <w:spacing w:before="240"/>
      </w:pPr>
      <w:r w:rsidRPr="00B425EF">
        <w:t>Methane Review</w:t>
      </w:r>
      <w:r w:rsidR="00825645" w:rsidRPr="00B425EF">
        <w:t>: O</w:t>
      </w:r>
      <w:r w:rsidR="5CA79530" w:rsidRPr="00B425EF">
        <w:t>verview</w:t>
      </w:r>
    </w:p>
    <w:p w14:paraId="0C3AB4D3" w14:textId="677F6F18" w:rsidR="00DE19B7" w:rsidRPr="00B425EF" w:rsidRDefault="00DE19B7" w:rsidP="00B07D60">
      <w:pPr>
        <w:pStyle w:val="BodyText"/>
        <w:spacing w:before="100" w:after="100"/>
      </w:pPr>
      <w:r w:rsidRPr="00B425EF">
        <w:t xml:space="preserve">The Methane Science and Target Review Panel (the Panel) was asked to deliver an independent review of the methane science and the 2050 target for consistency with the principle of </w:t>
      </w:r>
      <w:r w:rsidR="00CF704E" w:rsidRPr="00B425EF">
        <w:t>‘</w:t>
      </w:r>
      <w:r w:rsidRPr="00B425EF">
        <w:t>no additional warming</w:t>
      </w:r>
      <w:r w:rsidR="00CF704E" w:rsidRPr="00B425EF">
        <w:t>’</w:t>
      </w:r>
      <w:r w:rsidRPr="00B425EF">
        <w:t xml:space="preserve"> from agricultural methane emissions from a 2017 base year</w:t>
      </w:r>
      <w:r w:rsidR="002E74CD" w:rsidRPr="00B425EF">
        <w:t xml:space="preserve"> (Methane Review)</w:t>
      </w:r>
      <w:r w:rsidRPr="00B425EF">
        <w:t>.</w:t>
      </w:r>
      <w:r w:rsidR="00CB484C" w:rsidRPr="00B425EF">
        <w:rPr>
          <w:vertAlign w:val="superscript"/>
        </w:rPr>
        <w:footnoteReference w:id="21"/>
      </w:r>
      <w:r w:rsidR="6A0A445E" w:rsidRPr="00B425EF">
        <w:rPr>
          <w:vertAlign w:val="superscript"/>
        </w:rPr>
        <w:t xml:space="preserve"> </w:t>
      </w:r>
    </w:p>
    <w:p w14:paraId="231865C8" w14:textId="29E9E4AF" w:rsidR="7EEC5BB4" w:rsidRPr="00B425EF" w:rsidRDefault="00F24886" w:rsidP="00B07D60">
      <w:pPr>
        <w:pStyle w:val="BodyText"/>
        <w:spacing w:before="100" w:after="100"/>
      </w:pPr>
      <w:r w:rsidRPr="00B425EF">
        <w:rPr>
          <w:spacing w:val="-2"/>
        </w:rPr>
        <w:t xml:space="preserve">The </w:t>
      </w:r>
      <w:r w:rsidR="000B42B3" w:rsidRPr="00B425EF">
        <w:rPr>
          <w:spacing w:val="-2"/>
        </w:rPr>
        <w:t>Panel</w:t>
      </w:r>
      <w:r w:rsidR="00AE4EC8" w:rsidRPr="00B425EF">
        <w:rPr>
          <w:spacing w:val="-2"/>
        </w:rPr>
        <w:t xml:space="preserve"> </w:t>
      </w:r>
      <w:r w:rsidRPr="00B425EF">
        <w:rPr>
          <w:spacing w:val="-2"/>
        </w:rPr>
        <w:t>was not asked to recommend a new biogenic methane emissions target</w:t>
      </w:r>
      <w:r w:rsidR="000B42B3" w:rsidRPr="00B425EF">
        <w:rPr>
          <w:spacing w:val="-2"/>
        </w:rPr>
        <w:t>.</w:t>
      </w:r>
      <w:r w:rsidRPr="00B425EF" w:rsidDel="00F24886">
        <w:rPr>
          <w:spacing w:val="-2"/>
        </w:rPr>
        <w:t xml:space="preserve"> </w:t>
      </w:r>
      <w:r w:rsidR="000B42B3" w:rsidRPr="00B425EF">
        <w:rPr>
          <w:spacing w:val="-2"/>
        </w:rPr>
        <w:t xml:space="preserve">The </w:t>
      </w:r>
      <w:r w:rsidR="31EF9706" w:rsidRPr="00B425EF">
        <w:rPr>
          <w:spacing w:val="-2"/>
        </w:rPr>
        <w:t>report</w:t>
      </w:r>
      <w:r w:rsidR="00420984" w:rsidRPr="00B425EF">
        <w:rPr>
          <w:spacing w:val="-2"/>
        </w:rPr>
        <w:t>’</w:t>
      </w:r>
      <w:r w:rsidR="31EF9706" w:rsidRPr="00B425EF">
        <w:rPr>
          <w:spacing w:val="-2"/>
        </w:rPr>
        <w:t>s</w:t>
      </w:r>
      <w:r w:rsidRPr="00B425EF">
        <w:t xml:space="preserve"> </w:t>
      </w:r>
      <w:r w:rsidR="591B2B72" w:rsidRPr="00B425EF">
        <w:t>findings</w:t>
      </w:r>
      <w:r w:rsidRPr="00B425EF">
        <w:t xml:space="preserve"> have informed the options considered by the Government, including its </w:t>
      </w:r>
      <w:r w:rsidR="00F54473" w:rsidRPr="00B425EF">
        <w:t xml:space="preserve">agreed </w:t>
      </w:r>
      <w:r w:rsidRPr="00B425EF">
        <w:t>option of</w:t>
      </w:r>
      <w:r w:rsidR="00420984" w:rsidRPr="00B425EF">
        <w:t xml:space="preserve"> reducing biogenic methane</w:t>
      </w:r>
      <w:r w:rsidR="00520104" w:rsidRPr="00B425EF">
        <w:t xml:space="preserve"> emissions</w:t>
      </w:r>
      <w:r w:rsidRPr="00B425EF">
        <w:t xml:space="preserve"> 14</w:t>
      </w:r>
      <w:r w:rsidR="00C9481A" w:rsidRPr="00B425EF">
        <w:t> percent</w:t>
      </w:r>
      <w:r w:rsidR="00420984" w:rsidRPr="00B425EF">
        <w:t xml:space="preserve"> to </w:t>
      </w:r>
      <w:r w:rsidRPr="00B425EF">
        <w:t xml:space="preserve">24 percent </w:t>
      </w:r>
      <w:r w:rsidR="00520104" w:rsidRPr="00B425EF">
        <w:t xml:space="preserve">below 2017 levels </w:t>
      </w:r>
      <w:r w:rsidRPr="00B425EF">
        <w:t>by 2050.</w:t>
      </w:r>
      <w:r w:rsidR="68625AE6">
        <w:t xml:space="preserve"> </w:t>
      </w:r>
    </w:p>
    <w:p w14:paraId="2CB21BE3" w14:textId="17A4BBD5" w:rsidR="7EEC5BB4" w:rsidRPr="00B425EF" w:rsidRDefault="68625AE6" w:rsidP="00B07D60">
      <w:pPr>
        <w:pStyle w:val="BodyText"/>
        <w:spacing w:before="100" w:after="100"/>
      </w:pPr>
      <w:r>
        <w:t xml:space="preserve">A </w:t>
      </w:r>
      <w:r w:rsidR="3EFFD72B">
        <w:t>‘</w:t>
      </w:r>
      <w:r w:rsidR="3778FF38">
        <w:t>n</w:t>
      </w:r>
      <w:r w:rsidR="2A08EE48">
        <w:t xml:space="preserve">o </w:t>
      </w:r>
      <w:r w:rsidR="04993BAF">
        <w:t>a</w:t>
      </w:r>
      <w:r w:rsidR="1C57B6A0">
        <w:t xml:space="preserve">dditional </w:t>
      </w:r>
      <w:r w:rsidR="249EB784">
        <w:t>w</w:t>
      </w:r>
      <w:r w:rsidR="29136FEF">
        <w:t>arming’</w:t>
      </w:r>
      <w:r w:rsidR="00F24886">
        <w:t xml:space="preserve"> </w:t>
      </w:r>
      <w:r w:rsidR="2BBDCCF4">
        <w:t>approach</w:t>
      </w:r>
      <w:r w:rsidR="11918941">
        <w:t xml:space="preserve"> </w:t>
      </w:r>
      <w:r w:rsidR="16A82BFE">
        <w:t>on some</w:t>
      </w:r>
      <w:r w:rsidR="11918941">
        <w:t xml:space="preserve"> target options </w:t>
      </w:r>
      <w:r w:rsidR="36BF741C">
        <w:t>provide</w:t>
      </w:r>
      <w:r w:rsidR="7B11F083">
        <w:t>d</w:t>
      </w:r>
      <w:r w:rsidR="36BF741C">
        <w:t xml:space="preserve"> a framework for estimating the level of reduction required to maintain New Zealand’s warming contribution from biogenic methane emissions</w:t>
      </w:r>
      <w:r w:rsidR="368908E1">
        <w:t xml:space="preserve"> at 2017 levels</w:t>
      </w:r>
      <w:r w:rsidR="36BF741C">
        <w:t xml:space="preserve">. This reflects the Panel’s findings that </w:t>
      </w:r>
      <w:r w:rsidR="1C348146">
        <w:t>New Zealand’s warming contribution from biogenic methane emissions is</w:t>
      </w:r>
      <w:r w:rsidR="36BF741C">
        <w:t xml:space="preserve"> influenced by global emissions and the atmospheric concentration of methane and other greenhouse gases.</w:t>
      </w:r>
      <w:r w:rsidR="191C092F">
        <w:t xml:space="preserve"> </w:t>
      </w:r>
      <w:r w:rsidR="1A147D35">
        <w:t xml:space="preserve">The baseline year for the biogenic </w:t>
      </w:r>
      <w:r w:rsidR="00B647DF">
        <w:t>m</w:t>
      </w:r>
      <w:r w:rsidR="1A147D35">
        <w:t>ethane review was set at</w:t>
      </w:r>
      <w:r w:rsidR="0D9F03B1">
        <w:t xml:space="preserve"> </w:t>
      </w:r>
      <w:r w:rsidR="1A147D35">
        <w:t xml:space="preserve">2017, as this </w:t>
      </w:r>
      <w:r w:rsidR="6B5E39D5">
        <w:t>was consistent with existing</w:t>
      </w:r>
      <w:r w:rsidR="1A147D35">
        <w:t xml:space="preserve"> baseline year of the</w:t>
      </w:r>
      <w:r w:rsidR="6F3DBCC6">
        <w:t xml:space="preserve"> </w:t>
      </w:r>
      <w:r w:rsidR="1A147D35">
        <w:t>2050 target.</w:t>
      </w:r>
    </w:p>
    <w:p w14:paraId="3FC1BFAC" w14:textId="2A66981D" w:rsidR="7EEC5BB4" w:rsidRPr="00B425EF" w:rsidRDefault="7EEC5BB4" w:rsidP="00B07D60">
      <w:pPr>
        <w:pStyle w:val="BodyText"/>
        <w:spacing w:before="100" w:after="100"/>
      </w:pPr>
    </w:p>
    <w:p w14:paraId="6AE41606" w14:textId="52DCCEE7" w:rsidR="00E46698" w:rsidRPr="00B425EF" w:rsidRDefault="0022369E" w:rsidP="092D7A4B">
      <w:pPr>
        <w:pStyle w:val="Heading4"/>
        <w:spacing w:before="100" w:after="100"/>
      </w:pPr>
      <w:r>
        <w:t>Panel’s</w:t>
      </w:r>
      <w:r w:rsidR="00E46698">
        <w:t xml:space="preserve"> </w:t>
      </w:r>
      <w:r w:rsidR="008A0980">
        <w:t xml:space="preserve">approach </w:t>
      </w:r>
      <w:r w:rsidR="00825A31">
        <w:t>and methodology</w:t>
      </w:r>
    </w:p>
    <w:p w14:paraId="6F42DF28" w14:textId="72E5EF3F" w:rsidR="008A0980" w:rsidRPr="00B425EF" w:rsidRDefault="008A0980" w:rsidP="00B07D60">
      <w:pPr>
        <w:pStyle w:val="Heading5"/>
        <w:spacing w:before="180"/>
      </w:pPr>
      <w:r w:rsidRPr="00B425EF">
        <w:t>Terms of reference</w:t>
      </w:r>
      <w:r w:rsidR="00245724" w:rsidRPr="00B425EF">
        <w:t xml:space="preserve"> and </w:t>
      </w:r>
      <w:r w:rsidR="00C719B5" w:rsidRPr="00B425EF">
        <w:t>m</w:t>
      </w:r>
      <w:r w:rsidR="00245724" w:rsidRPr="00B425EF">
        <w:t>ethodology</w:t>
      </w:r>
    </w:p>
    <w:p w14:paraId="32A52BDF" w14:textId="44E58B7F" w:rsidR="00072F76" w:rsidRPr="00B425EF" w:rsidRDefault="000021BA" w:rsidP="00B07D60">
      <w:pPr>
        <w:pStyle w:val="BodyText"/>
        <w:spacing w:after="100"/>
      </w:pPr>
      <w:r w:rsidRPr="00B425EF">
        <w:t xml:space="preserve">To provide </w:t>
      </w:r>
      <w:r w:rsidR="009C025C" w:rsidRPr="00B425EF">
        <w:t xml:space="preserve">direction </w:t>
      </w:r>
      <w:r w:rsidRPr="00B425EF">
        <w:t xml:space="preserve">on the scope and approach of the </w:t>
      </w:r>
      <w:r w:rsidR="009D0A37" w:rsidRPr="00B425EF">
        <w:t>M</w:t>
      </w:r>
      <w:r w:rsidRPr="00B425EF">
        <w:t xml:space="preserve">ethane </w:t>
      </w:r>
      <w:r w:rsidR="009D0A37" w:rsidRPr="00B425EF">
        <w:t>R</w:t>
      </w:r>
      <w:r w:rsidRPr="00B425EF">
        <w:t>eview, i</w:t>
      </w:r>
      <w:r w:rsidR="00977452" w:rsidRPr="00B425EF">
        <w:t xml:space="preserve">n </w:t>
      </w:r>
      <w:r w:rsidR="00A61CB2" w:rsidRPr="00B425EF">
        <w:t>June 2024</w:t>
      </w:r>
      <w:r w:rsidR="008D7F2D" w:rsidRPr="00B425EF">
        <w:t>, the Government issued</w:t>
      </w:r>
      <w:r w:rsidR="00A61CB2" w:rsidRPr="00B425EF">
        <w:t xml:space="preserve"> Terms of </w:t>
      </w:r>
      <w:r w:rsidR="005B57AE" w:rsidRPr="00B425EF">
        <w:t>R</w:t>
      </w:r>
      <w:r w:rsidR="00A61CB2" w:rsidRPr="00B425EF">
        <w:t xml:space="preserve">eference to the </w:t>
      </w:r>
      <w:r w:rsidR="00223911" w:rsidRPr="00B425EF">
        <w:t>P</w:t>
      </w:r>
      <w:r w:rsidR="00A61CB2" w:rsidRPr="00B425EF">
        <w:t>anel</w:t>
      </w:r>
      <w:r w:rsidR="00223911" w:rsidRPr="00B425EF">
        <w:t>.</w:t>
      </w:r>
      <w:r w:rsidR="00451F96" w:rsidRPr="00B425EF">
        <w:rPr>
          <w:rStyle w:val="FootnoteReference"/>
          <w:color w:val="auto"/>
        </w:rPr>
        <w:footnoteReference w:id="22"/>
      </w:r>
      <w:r w:rsidR="00451F96" w:rsidRPr="00B425EF">
        <w:t xml:space="preserve"> </w:t>
      </w:r>
      <w:r w:rsidR="00072F76" w:rsidRPr="00B425EF">
        <w:t>The Terms of Reference</w:t>
      </w:r>
      <w:r w:rsidR="009C025C" w:rsidRPr="00B425EF">
        <w:t xml:space="preserve"> included</w:t>
      </w:r>
      <w:r w:rsidR="00072F76" w:rsidRPr="00B425EF">
        <w:t>:</w:t>
      </w:r>
    </w:p>
    <w:p w14:paraId="6289A607" w14:textId="185B6FA6" w:rsidR="00072F76" w:rsidRPr="00B425EF" w:rsidRDefault="00261DFF" w:rsidP="00B07D60">
      <w:pPr>
        <w:pStyle w:val="Bullet"/>
        <w:spacing w:after="100"/>
      </w:pPr>
      <w:r w:rsidRPr="00B425EF">
        <w:t xml:space="preserve">direction on the overall scope of the review </w:t>
      </w:r>
    </w:p>
    <w:p w14:paraId="656160B2" w14:textId="6A6DAF40" w:rsidR="00072F76" w:rsidRPr="00B425EF" w:rsidRDefault="00261DFF" w:rsidP="00B07D60">
      <w:pPr>
        <w:pStyle w:val="Bullet"/>
        <w:spacing w:after="100"/>
      </w:pPr>
      <w:r w:rsidRPr="00B425EF">
        <w:lastRenderedPageBreak/>
        <w:t xml:space="preserve">what the final report should </w:t>
      </w:r>
      <w:r w:rsidR="00253C9B" w:rsidRPr="00B425EF">
        <w:t>cover</w:t>
      </w:r>
    </w:p>
    <w:p w14:paraId="2D2720D3" w14:textId="38E235B9" w:rsidR="00072F76" w:rsidRPr="00B425EF" w:rsidRDefault="005B57AE" w:rsidP="00B07D60">
      <w:pPr>
        <w:pStyle w:val="Bullet"/>
        <w:spacing w:after="100"/>
      </w:pPr>
      <w:r w:rsidRPr="00B425EF">
        <w:t>items</w:t>
      </w:r>
      <w:r w:rsidR="00261DFF" w:rsidRPr="00B425EF">
        <w:t xml:space="preserve"> for consideration</w:t>
      </w:r>
      <w:r w:rsidRPr="00B425EF">
        <w:t xml:space="preserve"> </w:t>
      </w:r>
    </w:p>
    <w:p w14:paraId="1F8D0A39" w14:textId="73034F5B" w:rsidR="00072F76" w:rsidRPr="00B425EF" w:rsidRDefault="00261DFF" w:rsidP="00B07D60">
      <w:pPr>
        <w:pStyle w:val="Bullet"/>
        <w:spacing w:after="100"/>
      </w:pPr>
      <w:r w:rsidRPr="00B425EF">
        <w:t>the approach</w:t>
      </w:r>
      <w:r w:rsidR="00072F76" w:rsidRPr="00B425EF">
        <w:t>,</w:t>
      </w:r>
      <w:r w:rsidRPr="00B425EF">
        <w:t xml:space="preserve"> including principles to adhere to. </w:t>
      </w:r>
    </w:p>
    <w:p w14:paraId="195197E5" w14:textId="4E24E6AE" w:rsidR="00245724" w:rsidRPr="00B425EF" w:rsidRDefault="00245724" w:rsidP="00B07D60">
      <w:pPr>
        <w:pStyle w:val="BodyText"/>
        <w:spacing w:before="100" w:after="100"/>
        <w:rPr>
          <w:spacing w:val="-2"/>
        </w:rPr>
      </w:pPr>
      <w:r w:rsidRPr="00B425EF">
        <w:rPr>
          <w:spacing w:val="-2"/>
        </w:rPr>
        <w:t xml:space="preserve">The </w:t>
      </w:r>
      <w:r w:rsidR="00F70E84" w:rsidRPr="00B425EF">
        <w:rPr>
          <w:spacing w:val="-2"/>
        </w:rPr>
        <w:t>P</w:t>
      </w:r>
      <w:r w:rsidRPr="00B425EF">
        <w:rPr>
          <w:spacing w:val="-2"/>
        </w:rPr>
        <w:t>anel</w:t>
      </w:r>
      <w:r w:rsidR="00072F76" w:rsidRPr="00B425EF">
        <w:rPr>
          <w:spacing w:val="-2"/>
        </w:rPr>
        <w:t>’s report was</w:t>
      </w:r>
      <w:r w:rsidRPr="00B425EF">
        <w:rPr>
          <w:spacing w:val="-2"/>
        </w:rPr>
        <w:t xml:space="preserve"> delivered to </w:t>
      </w:r>
      <w:r w:rsidR="00E206DD" w:rsidRPr="00B425EF">
        <w:rPr>
          <w:spacing w:val="-2"/>
        </w:rPr>
        <w:t xml:space="preserve">the </w:t>
      </w:r>
      <w:r w:rsidRPr="00B425EF">
        <w:rPr>
          <w:spacing w:val="-2"/>
        </w:rPr>
        <w:t xml:space="preserve">Government in November and published in </w:t>
      </w:r>
      <w:r w:rsidR="0036165A" w:rsidRPr="00B425EF">
        <w:rPr>
          <w:spacing w:val="-2"/>
        </w:rPr>
        <w:t>December 2024 and</w:t>
      </w:r>
      <w:r w:rsidR="00072F76" w:rsidRPr="00B425EF">
        <w:rPr>
          <w:spacing w:val="-2"/>
        </w:rPr>
        <w:t xml:space="preserve"> </w:t>
      </w:r>
      <w:r w:rsidR="00B52DB4" w:rsidRPr="00B425EF">
        <w:rPr>
          <w:spacing w:val="-2"/>
        </w:rPr>
        <w:t xml:space="preserve">included an </w:t>
      </w:r>
      <w:r w:rsidRPr="00B425EF">
        <w:rPr>
          <w:spacing w:val="-2"/>
        </w:rPr>
        <w:t>outline</w:t>
      </w:r>
      <w:r w:rsidR="00B52DB4" w:rsidRPr="00B425EF">
        <w:rPr>
          <w:spacing w:val="-2"/>
        </w:rPr>
        <w:t xml:space="preserve"> of </w:t>
      </w:r>
      <w:r w:rsidRPr="00B425EF">
        <w:rPr>
          <w:spacing w:val="-2"/>
        </w:rPr>
        <w:t xml:space="preserve">the overall approach taken and </w:t>
      </w:r>
      <w:r w:rsidR="00B52DB4" w:rsidRPr="00B425EF">
        <w:rPr>
          <w:spacing w:val="-2"/>
        </w:rPr>
        <w:t xml:space="preserve">the </w:t>
      </w:r>
      <w:r w:rsidRPr="00B425EF">
        <w:rPr>
          <w:spacing w:val="-2"/>
        </w:rPr>
        <w:t>modelling methodology</w:t>
      </w:r>
      <w:r w:rsidR="00253C9B" w:rsidRPr="00B425EF">
        <w:rPr>
          <w:spacing w:val="-2"/>
        </w:rPr>
        <w:t>.</w:t>
      </w:r>
      <w:r w:rsidRPr="00B425EF">
        <w:rPr>
          <w:spacing w:val="-2"/>
          <w:vertAlign w:val="superscript"/>
        </w:rPr>
        <w:footnoteReference w:id="23"/>
      </w:r>
    </w:p>
    <w:p w14:paraId="33F14C57" w14:textId="0AC1711E" w:rsidR="00245724" w:rsidRPr="00B425EF" w:rsidRDefault="00245724" w:rsidP="00767A2C">
      <w:pPr>
        <w:pStyle w:val="Heading5"/>
      </w:pPr>
      <w:r w:rsidRPr="00B425EF">
        <w:t>Peer review</w:t>
      </w:r>
    </w:p>
    <w:p w14:paraId="44EAA627" w14:textId="5BF415EC" w:rsidR="008A0980" w:rsidRPr="00B425EF" w:rsidRDefault="00A43BD1" w:rsidP="004411E7">
      <w:pPr>
        <w:pStyle w:val="BodyText"/>
      </w:pPr>
      <w:r w:rsidRPr="00B425EF">
        <w:t xml:space="preserve">The </w:t>
      </w:r>
      <w:r w:rsidR="00DA296D" w:rsidRPr="00B425EF">
        <w:t>Ministry for the Environment</w:t>
      </w:r>
      <w:r w:rsidR="00F455B1" w:rsidRPr="00B425EF">
        <w:t xml:space="preserve"> </w:t>
      </w:r>
      <w:r w:rsidR="00DA296D" w:rsidRPr="00B425EF">
        <w:t xml:space="preserve">commissioned </w:t>
      </w:r>
      <w:r w:rsidR="00F455B1" w:rsidRPr="00B425EF">
        <w:t>peer review</w:t>
      </w:r>
      <w:r w:rsidR="008B3AAB" w:rsidRPr="00B425EF">
        <w:t>s</w:t>
      </w:r>
      <w:r w:rsidR="00F455B1" w:rsidRPr="00B425EF">
        <w:t>,</w:t>
      </w:r>
      <w:r w:rsidR="00BE19E4" w:rsidRPr="00B425EF">
        <w:t xml:space="preserve"> </w:t>
      </w:r>
      <w:r w:rsidR="00F455B1" w:rsidRPr="00B425EF">
        <w:t>focus</w:t>
      </w:r>
      <w:r w:rsidR="00F52630" w:rsidRPr="00B425EF">
        <w:t>ing</w:t>
      </w:r>
      <w:r w:rsidR="00F455B1" w:rsidRPr="00B425EF">
        <w:t xml:space="preserve"> on</w:t>
      </w:r>
      <w:r w:rsidR="00541EE3" w:rsidRPr="00B425EF">
        <w:t xml:space="preserve"> reviewing</w:t>
      </w:r>
      <w:r w:rsidR="00F455B1" w:rsidRPr="00B425EF">
        <w:t xml:space="preserve"> modelling</w:t>
      </w:r>
      <w:r w:rsidR="00080D21">
        <w:t xml:space="preserve"> </w:t>
      </w:r>
      <w:r w:rsidR="00BE19E4" w:rsidRPr="00B425EF">
        <w:t xml:space="preserve">undertaken by the Methane </w:t>
      </w:r>
      <w:r w:rsidR="00F54473" w:rsidRPr="00B425EF">
        <w:t>P</w:t>
      </w:r>
      <w:r w:rsidR="00BE19E4" w:rsidRPr="00B425EF">
        <w:t xml:space="preserve">anel, </w:t>
      </w:r>
      <w:r w:rsidR="005352D7" w:rsidRPr="00B425EF">
        <w:t xml:space="preserve">consistency with the Terms </w:t>
      </w:r>
      <w:r w:rsidR="00253C9B" w:rsidRPr="00B425EF">
        <w:t>o</w:t>
      </w:r>
      <w:r w:rsidR="005352D7" w:rsidRPr="00B425EF">
        <w:t xml:space="preserve">f Reference and </w:t>
      </w:r>
      <w:r w:rsidR="00245724" w:rsidRPr="00B425EF">
        <w:t xml:space="preserve">commentary on the appropriateness of </w:t>
      </w:r>
      <w:r w:rsidR="004B01CC" w:rsidRPr="00B425EF">
        <w:t xml:space="preserve">the </w:t>
      </w:r>
      <w:r w:rsidR="00245724" w:rsidRPr="00B425EF">
        <w:t>science, approach taken and conclusions reached.</w:t>
      </w:r>
      <w:r w:rsidRPr="00B425EF">
        <w:t xml:space="preserve"> </w:t>
      </w:r>
      <w:r w:rsidR="0067201F" w:rsidRPr="00B425EF">
        <w:t>Ministry</w:t>
      </w:r>
      <w:r w:rsidRPr="00B425EF">
        <w:t xml:space="preserve"> officials also provided the </w:t>
      </w:r>
      <w:r w:rsidR="00F54473" w:rsidRPr="00B425EF">
        <w:t>P</w:t>
      </w:r>
      <w:r w:rsidRPr="00B425EF">
        <w:t xml:space="preserve">anel </w:t>
      </w:r>
      <w:r w:rsidR="00156E9A" w:rsidRPr="00B425EF">
        <w:t xml:space="preserve">with </w:t>
      </w:r>
      <w:r w:rsidRPr="00B425EF">
        <w:t>feedback to consider.</w:t>
      </w:r>
      <w:r w:rsidR="00245724" w:rsidRPr="00B425EF">
        <w:t xml:space="preserve"> </w:t>
      </w:r>
      <w:r w:rsidR="00DD0098" w:rsidRPr="00B425EF">
        <w:t xml:space="preserve">The Panel considered </w:t>
      </w:r>
      <w:r w:rsidR="00156E9A" w:rsidRPr="00B425EF">
        <w:t xml:space="preserve">the </w:t>
      </w:r>
      <w:r w:rsidR="00DD0098" w:rsidRPr="00B425EF">
        <w:t xml:space="preserve">peer review </w:t>
      </w:r>
      <w:r w:rsidRPr="00B425EF">
        <w:t>findings and officials</w:t>
      </w:r>
      <w:r w:rsidR="009D1C96" w:rsidRPr="00B425EF">
        <w:t>’</w:t>
      </w:r>
      <w:r w:rsidRPr="00B425EF">
        <w:t xml:space="preserve"> feedback </w:t>
      </w:r>
      <w:r w:rsidR="00DD0098" w:rsidRPr="00B425EF">
        <w:t>and reflected th</w:t>
      </w:r>
      <w:r w:rsidR="00253C9B" w:rsidRPr="00B425EF">
        <w:t>is</w:t>
      </w:r>
      <w:r w:rsidR="00DD0098" w:rsidRPr="00B425EF">
        <w:t xml:space="preserve"> in the final report.</w:t>
      </w:r>
    </w:p>
    <w:p w14:paraId="19B368C6" w14:textId="504A4062" w:rsidR="00053D4D" w:rsidRPr="00B425EF" w:rsidRDefault="00F54473" w:rsidP="00767A2C">
      <w:pPr>
        <w:pStyle w:val="Heading5"/>
      </w:pPr>
      <w:r w:rsidRPr="00B425EF">
        <w:t>P</w:t>
      </w:r>
      <w:r w:rsidR="00F07DB4" w:rsidRPr="00B425EF">
        <w:t xml:space="preserve">anel </w:t>
      </w:r>
      <w:r w:rsidR="00BC14D1" w:rsidRPr="00B425EF">
        <w:t>findings</w:t>
      </w:r>
    </w:p>
    <w:p w14:paraId="1072B26D" w14:textId="67AC3E37" w:rsidR="004B61FB" w:rsidRPr="00B425EF" w:rsidRDefault="00E14551" w:rsidP="485CC720">
      <w:pPr>
        <w:pStyle w:val="BodyText"/>
        <w:rPr>
          <w:rStyle w:val="Strong"/>
          <w:b w:val="0"/>
          <w:bCs w:val="0"/>
        </w:rPr>
      </w:pPr>
      <w:r w:rsidRPr="00B425EF">
        <w:t xml:space="preserve">The </w:t>
      </w:r>
      <w:r w:rsidR="00F54473" w:rsidRPr="00B425EF">
        <w:t>Panel’s review</w:t>
      </w:r>
      <w:r w:rsidRPr="00B425EF">
        <w:t xml:space="preserve"> o</w:t>
      </w:r>
      <w:r w:rsidR="00677169" w:rsidRPr="00B425EF">
        <w:t>f</w:t>
      </w:r>
      <w:r w:rsidRPr="00B425EF">
        <w:t xml:space="preserve"> a ‘no additional warming’ target found that a 14</w:t>
      </w:r>
      <w:r w:rsidR="00156E9A" w:rsidRPr="00B425EF">
        <w:t> percent</w:t>
      </w:r>
      <w:r w:rsidR="00D91342" w:rsidRPr="00B425EF">
        <w:t xml:space="preserve"> to </w:t>
      </w:r>
      <w:r w:rsidRPr="00B425EF">
        <w:t xml:space="preserve">24 percent </w:t>
      </w:r>
      <w:r w:rsidRPr="00B425EF">
        <w:rPr>
          <w:spacing w:val="-2"/>
        </w:rPr>
        <w:t xml:space="preserve">reduction in biogenic </w:t>
      </w:r>
      <w:r w:rsidRPr="00B647DF">
        <w:t>methane emissions is consistent with stabilising the warming contribution</w:t>
      </w:r>
      <w:r w:rsidR="007B6B85" w:rsidRPr="00B647DF">
        <w:t xml:space="preserve"> </w:t>
      </w:r>
      <w:r w:rsidRPr="00B647DF">
        <w:t>of New</w:t>
      </w:r>
      <w:r w:rsidR="00853306" w:rsidRPr="00B647DF">
        <w:t> </w:t>
      </w:r>
      <w:r w:rsidRPr="00B647DF">
        <w:t>Zealand’s biogenic methane emissions at 2017 levels</w:t>
      </w:r>
      <w:r w:rsidR="0046404B" w:rsidRPr="00B647DF">
        <w:t xml:space="preserve"> in 2050</w:t>
      </w:r>
      <w:r w:rsidR="00D412DF" w:rsidRPr="00B647DF">
        <w:t xml:space="preserve">. </w:t>
      </w:r>
      <w:r w:rsidR="008025C5" w:rsidRPr="00B647DF">
        <w:t xml:space="preserve">This </w:t>
      </w:r>
      <w:r w:rsidR="00DB7777" w:rsidRPr="00B647DF">
        <w:t>range</w:t>
      </w:r>
      <w:r w:rsidR="00E91F00" w:rsidRPr="00B647DF">
        <w:t xml:space="preserve"> </w:t>
      </w:r>
      <w:r w:rsidR="00DB7777" w:rsidRPr="00B647DF">
        <w:t xml:space="preserve">of </w:t>
      </w:r>
      <w:r w:rsidR="00E56892" w:rsidRPr="00B647DF">
        <w:t>reduction in</w:t>
      </w:r>
      <w:r w:rsidR="008738E8" w:rsidRPr="00B647DF">
        <w:t> </w:t>
      </w:r>
      <w:r w:rsidR="00E56892" w:rsidRPr="00B647DF">
        <w:t>biogenic methane emissions</w:t>
      </w:r>
      <w:r w:rsidR="00E91F00" w:rsidRPr="00B647DF">
        <w:t xml:space="preserve"> reflect</w:t>
      </w:r>
      <w:r w:rsidR="00643807" w:rsidRPr="00B647DF">
        <w:t>s</w:t>
      </w:r>
      <w:r w:rsidR="00E91F00" w:rsidRPr="00B647DF">
        <w:t xml:space="preserve"> the Panel</w:t>
      </w:r>
      <w:r w:rsidR="00D91342" w:rsidRPr="00B647DF">
        <w:t>’</w:t>
      </w:r>
      <w:r w:rsidR="00E91F00" w:rsidRPr="00B647DF">
        <w:t xml:space="preserve">s </w:t>
      </w:r>
      <w:r w:rsidR="008025C5" w:rsidRPr="00B647DF">
        <w:t>modell</w:t>
      </w:r>
      <w:r w:rsidR="00DB7777" w:rsidRPr="00B647DF">
        <w:t>ing of</w:t>
      </w:r>
      <w:r w:rsidR="008025C5" w:rsidRPr="00B647DF">
        <w:t xml:space="preserve"> a</w:t>
      </w:r>
      <w:r w:rsidR="008025C5" w:rsidRPr="00B425EF">
        <w:t xml:space="preserve"> range of global background </w:t>
      </w:r>
      <w:r w:rsidR="008025C5" w:rsidRPr="00B425EF">
        <w:rPr>
          <w:spacing w:val="-2"/>
        </w:rPr>
        <w:t>scenarios</w:t>
      </w:r>
      <w:r w:rsidR="007B6B85" w:rsidRPr="00B425EF">
        <w:rPr>
          <w:spacing w:val="-2"/>
        </w:rPr>
        <w:t>,</w:t>
      </w:r>
      <w:r w:rsidR="00D91342" w:rsidRPr="00B425EF">
        <w:rPr>
          <w:spacing w:val="-2"/>
        </w:rPr>
        <w:t xml:space="preserve"> </w:t>
      </w:r>
      <w:r w:rsidR="008025C5" w:rsidRPr="00B425EF">
        <w:rPr>
          <w:spacing w:val="-2"/>
        </w:rPr>
        <w:t>representing low (1.5</w:t>
      </w:r>
      <w:r w:rsidR="00426718">
        <w:rPr>
          <w:spacing w:val="-2"/>
        </w:rPr>
        <w:t xml:space="preserve"> </w:t>
      </w:r>
      <w:r w:rsidR="00BA2707">
        <w:rPr>
          <w:spacing w:val="-2"/>
        </w:rPr>
        <w:t>degrees Celsius</w:t>
      </w:r>
      <w:r w:rsidR="008025C5" w:rsidRPr="00B425EF">
        <w:rPr>
          <w:spacing w:val="-2"/>
        </w:rPr>
        <w:t>) and mid-range (2.0</w:t>
      </w:r>
      <w:r w:rsidR="00BA2707">
        <w:rPr>
          <w:spacing w:val="-2"/>
        </w:rPr>
        <w:t xml:space="preserve"> degrees Celsius</w:t>
      </w:r>
      <w:r w:rsidR="00D91342" w:rsidRPr="00B425EF">
        <w:rPr>
          <w:spacing w:val="-2"/>
        </w:rPr>
        <w:t xml:space="preserve"> to </w:t>
      </w:r>
      <w:r w:rsidR="008025C5" w:rsidRPr="00B425EF">
        <w:rPr>
          <w:spacing w:val="-2"/>
        </w:rPr>
        <w:t>2.7</w:t>
      </w:r>
      <w:r w:rsidR="00BA2707">
        <w:rPr>
          <w:spacing w:val="-2"/>
        </w:rPr>
        <w:t> degrees</w:t>
      </w:r>
      <w:r w:rsidR="008738E8">
        <w:rPr>
          <w:spacing w:val="-2"/>
        </w:rPr>
        <w:t xml:space="preserve"> </w:t>
      </w:r>
      <w:r w:rsidR="00BA2707">
        <w:rPr>
          <w:spacing w:val="-2"/>
        </w:rPr>
        <w:t>Celsius</w:t>
      </w:r>
      <w:r w:rsidR="008025C5" w:rsidRPr="00B425EF">
        <w:rPr>
          <w:spacing w:val="-2"/>
        </w:rPr>
        <w:t>) global temperature outcomes</w:t>
      </w:r>
      <w:r w:rsidR="00E00AE5" w:rsidRPr="00B425EF">
        <w:t xml:space="preserve"> </w:t>
      </w:r>
      <w:r w:rsidR="00650CA5" w:rsidRPr="00B425EF">
        <w:rPr>
          <w:spacing w:val="-2"/>
        </w:rPr>
        <w:t xml:space="preserve">by </w:t>
      </w:r>
      <w:r w:rsidR="00C53DDB" w:rsidRPr="00B425EF">
        <w:rPr>
          <w:spacing w:val="-2"/>
        </w:rPr>
        <w:t>the end of the century</w:t>
      </w:r>
      <w:r w:rsidR="00D94050" w:rsidRPr="00B425EF">
        <w:rPr>
          <w:spacing w:val="-2"/>
        </w:rPr>
        <w:t xml:space="preserve">. </w:t>
      </w:r>
    </w:p>
    <w:p w14:paraId="3A24BEE2" w14:textId="0C8976BB" w:rsidR="004B61FB" w:rsidRPr="00B425EF" w:rsidRDefault="4999ED2A" w:rsidP="485CC720">
      <w:pPr>
        <w:pStyle w:val="Heading2"/>
      </w:pPr>
      <w:bookmarkStart w:id="30" w:name="_Toc215650582"/>
      <w:r w:rsidRPr="092D7A4B">
        <w:t xml:space="preserve">Summary of analysis for </w:t>
      </w:r>
      <w:r w:rsidR="004411E7" w:rsidRPr="00B425EF">
        <w:t>i</w:t>
      </w:r>
      <w:r w:rsidR="004B61FB" w:rsidRPr="00B425EF">
        <w:t xml:space="preserve">nternational shipping and aviation </w:t>
      </w:r>
      <w:r w:rsidR="00A421D5" w:rsidRPr="00B425EF">
        <w:t>emissions</w:t>
      </w:r>
      <w:bookmarkEnd w:id="30"/>
    </w:p>
    <w:p w14:paraId="2EF3002A" w14:textId="0326A9B1" w:rsidR="005407E5" w:rsidRPr="00B425EF" w:rsidRDefault="005407E5" w:rsidP="00853306">
      <w:pPr>
        <w:pStyle w:val="Heading3"/>
        <w:spacing w:before="240"/>
      </w:pPr>
      <w:r w:rsidRPr="00B425EF">
        <w:t>Options the Government evaluated</w:t>
      </w:r>
    </w:p>
    <w:p w14:paraId="0217DB49" w14:textId="4866258B" w:rsidR="005407E5" w:rsidRPr="00B425EF" w:rsidRDefault="00F678F4" w:rsidP="23DA49B9">
      <w:pPr>
        <w:pStyle w:val="BodyText"/>
      </w:pPr>
      <w:hyperlink w:anchor="tabA2_4" w:history="1">
        <w:r w:rsidRPr="00B425EF">
          <w:rPr>
            <w:rStyle w:val="Hyperlink"/>
          </w:rPr>
          <w:t>Table A2.4</w:t>
        </w:r>
      </w:hyperlink>
      <w:r w:rsidRPr="00B425EF">
        <w:t xml:space="preserve"> outlines the options </w:t>
      </w:r>
      <w:r w:rsidR="005407E5" w:rsidRPr="00B425EF">
        <w:t>considered</w:t>
      </w:r>
      <w:r w:rsidR="0073088E" w:rsidRPr="00B425EF">
        <w:t xml:space="preserve"> – including the Commission’s recommendation –</w:t>
      </w:r>
      <w:r w:rsidR="001D42F0" w:rsidRPr="00B425EF">
        <w:t xml:space="preserve"> </w:t>
      </w:r>
      <w:r w:rsidR="0073088E" w:rsidRPr="00B425EF">
        <w:t xml:space="preserve">regarding </w:t>
      </w:r>
      <w:r w:rsidR="001D42F0" w:rsidRPr="00B425EF">
        <w:t>whether to</w:t>
      </w:r>
      <w:r w:rsidR="005407E5" w:rsidRPr="00B425EF">
        <w:t xml:space="preserve"> includ</w:t>
      </w:r>
      <w:r w:rsidR="001D42F0" w:rsidRPr="00B425EF">
        <w:t>e</w:t>
      </w:r>
      <w:r w:rsidR="00FF5263" w:rsidRPr="00B425EF">
        <w:t xml:space="preserve"> international shipping and aviation emissions in the 2050 target</w:t>
      </w:r>
      <w:r w:rsidR="0073088E" w:rsidRPr="00B425EF">
        <w:t>.</w:t>
      </w:r>
      <w:r w:rsidR="008F088F" w:rsidRPr="00B425EF">
        <w:t xml:space="preserve"> </w:t>
      </w:r>
    </w:p>
    <w:p w14:paraId="5EFB06E1" w14:textId="11BB3405" w:rsidR="00044C61" w:rsidRPr="00B425EF" w:rsidRDefault="00044C61" w:rsidP="00171710">
      <w:pPr>
        <w:pStyle w:val="Tableheading"/>
      </w:pPr>
      <w:bookmarkStart w:id="31" w:name="tabA2_4"/>
      <w:bookmarkStart w:id="32" w:name="_Toc214537157"/>
      <w:r w:rsidRPr="00B425EF">
        <w:t xml:space="preserve">Table </w:t>
      </w:r>
      <w:r w:rsidR="00C60254" w:rsidRPr="00B425EF">
        <w:t>A</w:t>
      </w:r>
      <w:r w:rsidR="00E66FB5" w:rsidRPr="00B425EF">
        <w:t>2.4</w:t>
      </w:r>
      <w:bookmarkEnd w:id="31"/>
      <w:r w:rsidR="00434141" w:rsidRPr="00B425EF">
        <w:t>:</w:t>
      </w:r>
      <w:r w:rsidR="00DC6AAA" w:rsidRPr="00B425EF">
        <w:t xml:space="preserve"> </w:t>
      </w:r>
      <w:r w:rsidR="00171710" w:rsidRPr="00B425EF">
        <w:tab/>
      </w:r>
      <w:r w:rsidR="008F505C" w:rsidRPr="00B425EF">
        <w:t xml:space="preserve">International shipping and aviation </w:t>
      </w:r>
      <w:r w:rsidR="004E31FB" w:rsidRPr="00B425EF">
        <w:t>options</w:t>
      </w:r>
      <w:bookmarkEnd w:id="32"/>
    </w:p>
    <w:tbl>
      <w:tblPr>
        <w:tblStyle w:val="TableGrid"/>
        <w:tblW w:w="8505" w:type="dxa"/>
        <w:tblBorders>
          <w:bottom w:val="single" w:sz="4" w:space="0" w:color="1B556B"/>
          <w:insideH w:val="single" w:sz="4" w:space="0" w:color="1B556B"/>
          <w:insideV w:val="single" w:sz="4" w:space="0" w:color="1B556B"/>
        </w:tblBorders>
        <w:tblCellMar>
          <w:left w:w="85" w:type="dxa"/>
          <w:right w:w="85" w:type="dxa"/>
        </w:tblCellMar>
        <w:tblLook w:val="04A0" w:firstRow="1" w:lastRow="0" w:firstColumn="1" w:lastColumn="0" w:noHBand="0" w:noVBand="1"/>
      </w:tblPr>
      <w:tblGrid>
        <w:gridCol w:w="2041"/>
        <w:gridCol w:w="2892"/>
        <w:gridCol w:w="3572"/>
      </w:tblGrid>
      <w:tr w:rsidR="008A537F" w:rsidRPr="00B425EF" w14:paraId="27E75B64" w14:textId="77777777" w:rsidTr="55DF9C15">
        <w:tc>
          <w:tcPr>
            <w:tcW w:w="2041" w:type="dxa"/>
            <w:shd w:val="clear" w:color="auto" w:fill="1B556B" w:themeFill="text2"/>
          </w:tcPr>
          <w:p w14:paraId="34DA7FCF" w14:textId="6D76E89C" w:rsidR="008A537F" w:rsidRPr="00B425EF" w:rsidRDefault="00B22E0B" w:rsidP="00EC3885">
            <w:pPr>
              <w:pStyle w:val="TableText"/>
              <w:spacing w:before="40" w:after="40"/>
              <w:rPr>
                <w:b/>
                <w:color w:val="FFFFFF" w:themeColor="background1"/>
              </w:rPr>
            </w:pPr>
            <w:r w:rsidRPr="00B425EF">
              <w:rPr>
                <w:b/>
                <w:color w:val="FFFFFF" w:themeColor="background1"/>
              </w:rPr>
              <w:t>Option 1</w:t>
            </w:r>
          </w:p>
        </w:tc>
        <w:tc>
          <w:tcPr>
            <w:tcW w:w="2892" w:type="dxa"/>
            <w:shd w:val="clear" w:color="auto" w:fill="1B556B" w:themeFill="text2"/>
          </w:tcPr>
          <w:p w14:paraId="3D65F3E1" w14:textId="5AC1C526" w:rsidR="008A537F" w:rsidRPr="00B425EF" w:rsidRDefault="00B22E0B" w:rsidP="00EC3885">
            <w:pPr>
              <w:pStyle w:val="TableText"/>
              <w:spacing w:before="40" w:after="40"/>
              <w:rPr>
                <w:b/>
                <w:color w:val="FFFFFF" w:themeColor="background1"/>
              </w:rPr>
            </w:pPr>
            <w:r w:rsidRPr="00B425EF">
              <w:rPr>
                <w:b/>
                <w:color w:val="FFFFFF" w:themeColor="background1"/>
              </w:rPr>
              <w:t>Option 2</w:t>
            </w:r>
          </w:p>
        </w:tc>
        <w:tc>
          <w:tcPr>
            <w:tcW w:w="3572" w:type="dxa"/>
            <w:shd w:val="clear" w:color="auto" w:fill="1B556B" w:themeFill="text2"/>
          </w:tcPr>
          <w:p w14:paraId="0B49C3C0" w14:textId="2EE4C57E" w:rsidR="008A537F" w:rsidRPr="00B425EF" w:rsidRDefault="00B22E0B" w:rsidP="00EC3885">
            <w:pPr>
              <w:pStyle w:val="TableText"/>
              <w:spacing w:before="40" w:after="40"/>
              <w:rPr>
                <w:b/>
                <w:color w:val="FFFFFF" w:themeColor="background1"/>
              </w:rPr>
            </w:pPr>
            <w:r w:rsidRPr="00B425EF">
              <w:rPr>
                <w:b/>
                <w:color w:val="FFFFFF" w:themeColor="background1"/>
              </w:rPr>
              <w:t>Option 3</w:t>
            </w:r>
          </w:p>
        </w:tc>
      </w:tr>
      <w:tr w:rsidR="008A537F" w:rsidRPr="00B425EF" w14:paraId="35573DC6" w14:textId="77777777" w:rsidTr="00182E9E">
        <w:tc>
          <w:tcPr>
            <w:tcW w:w="2041" w:type="dxa"/>
          </w:tcPr>
          <w:p w14:paraId="71A9DF78" w14:textId="27EF8B3C" w:rsidR="008A537F" w:rsidRPr="00B425EF" w:rsidRDefault="00156EC3" w:rsidP="00EC3885">
            <w:pPr>
              <w:pStyle w:val="TableText"/>
              <w:spacing w:before="40" w:after="40"/>
            </w:pPr>
            <w:r w:rsidRPr="00B425EF">
              <w:t xml:space="preserve"> </w:t>
            </w:r>
            <w:r w:rsidR="71B44F04">
              <w:t>Do not include in the 2050 target</w:t>
            </w:r>
            <w:r w:rsidR="1838D57D">
              <w:t xml:space="preserve"> </w:t>
            </w:r>
            <w:r w:rsidRPr="00B425EF">
              <w:t>(status quo)</w:t>
            </w:r>
          </w:p>
        </w:tc>
        <w:tc>
          <w:tcPr>
            <w:tcW w:w="2892" w:type="dxa"/>
          </w:tcPr>
          <w:p w14:paraId="1CEEFE20" w14:textId="5872BDB1" w:rsidR="008A537F" w:rsidRPr="00B425EF" w:rsidRDefault="00DB7586" w:rsidP="00EC3885">
            <w:pPr>
              <w:pStyle w:val="TableText"/>
              <w:spacing w:before="40" w:after="40"/>
            </w:pPr>
            <w:r w:rsidRPr="00B425EF">
              <w:t xml:space="preserve">Including international shipping and aviation emissions in the 2050 target </w:t>
            </w:r>
            <w:r w:rsidR="00853306" w:rsidRPr="00B425EF">
              <w:br/>
            </w:r>
            <w:r w:rsidRPr="00B425EF">
              <w:t>(Commission</w:t>
            </w:r>
            <w:r w:rsidR="00E64340" w:rsidRPr="00B425EF">
              <w:t>’</w:t>
            </w:r>
            <w:r w:rsidRPr="00B425EF">
              <w:t>s recommendation)</w:t>
            </w:r>
          </w:p>
        </w:tc>
        <w:tc>
          <w:tcPr>
            <w:tcW w:w="3572" w:type="dxa"/>
          </w:tcPr>
          <w:p w14:paraId="1797CB19" w14:textId="0A37C9B7" w:rsidR="008A537F" w:rsidRPr="00B425EF" w:rsidRDefault="000643D2" w:rsidP="00EC3885">
            <w:pPr>
              <w:pStyle w:val="TableText"/>
              <w:spacing w:before="40" w:after="40"/>
            </w:pPr>
            <w:r w:rsidRPr="00B425EF">
              <w:t>Defer decision</w:t>
            </w:r>
            <w:r w:rsidR="00E64340" w:rsidRPr="00B425EF">
              <w:t>,</w:t>
            </w:r>
            <w:r w:rsidRPr="00B425EF">
              <w:t xml:space="preserve"> and review in 2031 whether international shipping and aviation emissions should be included in the 2050 target</w:t>
            </w:r>
          </w:p>
        </w:tc>
      </w:tr>
    </w:tbl>
    <w:p w14:paraId="6DC9295B" w14:textId="718B25B0" w:rsidR="005407E5" w:rsidRPr="00B425EF" w:rsidRDefault="008A537F" w:rsidP="00853306">
      <w:pPr>
        <w:pStyle w:val="Heading3"/>
        <w:spacing w:before="440"/>
      </w:pPr>
      <w:r w:rsidRPr="00B425EF">
        <w:t>Objectives used to evaluate options</w:t>
      </w:r>
    </w:p>
    <w:p w14:paraId="6AC50126" w14:textId="6987F7BD" w:rsidR="1AADC0ED" w:rsidRPr="00B425EF" w:rsidRDefault="00EB251E" w:rsidP="1AADC0ED">
      <w:pPr>
        <w:pStyle w:val="BodyText"/>
        <w:rPr>
          <w:vertAlign w:val="superscript"/>
        </w:rPr>
      </w:pPr>
      <w:r w:rsidRPr="00B425EF">
        <w:t>The following objectives</w:t>
      </w:r>
      <w:r w:rsidR="003D24A5" w:rsidRPr="00B425EF">
        <w:t xml:space="preserve"> (</w:t>
      </w:r>
      <w:hyperlink w:anchor="tabA2_5" w:history="1">
        <w:r w:rsidR="003D24A5" w:rsidRPr="00B425EF">
          <w:rPr>
            <w:rStyle w:val="Hyperlink"/>
          </w:rPr>
          <w:t xml:space="preserve">table </w:t>
        </w:r>
        <w:r w:rsidR="00C60254" w:rsidRPr="00B425EF">
          <w:rPr>
            <w:rStyle w:val="Hyperlink"/>
          </w:rPr>
          <w:t>A</w:t>
        </w:r>
        <w:r w:rsidR="00E66FB5" w:rsidRPr="00B425EF">
          <w:rPr>
            <w:rStyle w:val="Hyperlink"/>
          </w:rPr>
          <w:t>2.5</w:t>
        </w:r>
      </w:hyperlink>
      <w:r w:rsidR="003D24A5" w:rsidRPr="00B425EF">
        <w:t>)</w:t>
      </w:r>
      <w:r w:rsidRPr="00B425EF">
        <w:t xml:space="preserve"> were used</w:t>
      </w:r>
      <w:r w:rsidR="008F088F" w:rsidRPr="00B425EF">
        <w:t xml:space="preserve"> </w:t>
      </w:r>
      <w:r w:rsidRPr="00B425EF">
        <w:t xml:space="preserve">to assess the </w:t>
      </w:r>
      <w:r w:rsidR="003B3F7D" w:rsidRPr="00B425EF">
        <w:t>Government’s option and the Commission’s recommendation.</w:t>
      </w:r>
      <w:r w:rsidR="004604A3" w:rsidRPr="00B425EF">
        <w:t xml:space="preserve"> These objectives are broadly consistent with those used for</w:t>
      </w:r>
      <w:r w:rsidR="00B97D2A" w:rsidRPr="00B425EF">
        <w:t> </w:t>
      </w:r>
      <w:r w:rsidR="004604A3" w:rsidRPr="00B425EF">
        <w:t>evaluating</w:t>
      </w:r>
      <w:r w:rsidR="00546343" w:rsidRPr="00B425EF">
        <w:t xml:space="preserve"> biogenic methane and</w:t>
      </w:r>
      <w:r w:rsidR="004604A3" w:rsidRPr="00B425EF">
        <w:t xml:space="preserve"> long-lived </w:t>
      </w:r>
      <w:r w:rsidR="00032B54" w:rsidRPr="00B425EF">
        <w:t>options</w:t>
      </w:r>
      <w:r w:rsidR="002B5F96" w:rsidRPr="00B425EF">
        <w:t>,</w:t>
      </w:r>
      <w:r w:rsidR="00032B54" w:rsidRPr="00B425EF">
        <w:t xml:space="preserve"> but</w:t>
      </w:r>
      <w:r w:rsidR="004604A3" w:rsidRPr="00B425EF">
        <w:t xml:space="preserve"> </w:t>
      </w:r>
      <w:r w:rsidR="002B5F96" w:rsidRPr="00B425EF">
        <w:t xml:space="preserve">they are </w:t>
      </w:r>
      <w:r w:rsidR="004604A3" w:rsidRPr="00B425EF">
        <w:t xml:space="preserve">adjusted to suit the international nature of </w:t>
      </w:r>
      <w:r w:rsidR="001A4B71" w:rsidRPr="00B425EF">
        <w:t>emissions</w:t>
      </w:r>
      <w:r w:rsidR="00707CB6" w:rsidRPr="00B425EF">
        <w:t xml:space="preserve"> and </w:t>
      </w:r>
      <w:r w:rsidR="0061635A" w:rsidRPr="00B425EF">
        <w:t xml:space="preserve">main </w:t>
      </w:r>
      <w:r w:rsidR="00076E8A" w:rsidRPr="00B425EF">
        <w:t>question of ‘whether international shipping and aviation emission</w:t>
      </w:r>
      <w:r w:rsidR="00DB59C0">
        <w:t>s</w:t>
      </w:r>
      <w:r w:rsidR="00076E8A" w:rsidRPr="00B425EF">
        <w:t xml:space="preserve"> should be included in the 2050 target’.</w:t>
      </w:r>
      <w:r w:rsidR="001C69FC" w:rsidRPr="00B425EF">
        <w:rPr>
          <w:vertAlign w:val="superscript"/>
        </w:rPr>
        <w:t xml:space="preserve"> </w:t>
      </w:r>
    </w:p>
    <w:p w14:paraId="1A6B3057" w14:textId="4CC0C5FA" w:rsidR="6D0C9774" w:rsidRPr="00B425EF" w:rsidRDefault="6D0C9774" w:rsidP="001C69FC">
      <w:pPr>
        <w:pStyle w:val="Tableheading"/>
      </w:pPr>
      <w:bookmarkStart w:id="33" w:name="tabA2_5"/>
      <w:bookmarkStart w:id="34" w:name="_Toc214537158"/>
      <w:r>
        <w:lastRenderedPageBreak/>
        <w:t xml:space="preserve">Table </w:t>
      </w:r>
      <w:r w:rsidR="00C60254">
        <w:t>A</w:t>
      </w:r>
      <w:r w:rsidR="00E66FB5">
        <w:t>2.5</w:t>
      </w:r>
      <w:r w:rsidR="00434141">
        <w:t>:</w:t>
      </w:r>
      <w:bookmarkEnd w:id="33"/>
      <w:r>
        <w:tab/>
      </w:r>
      <w:r w:rsidR="008D1788">
        <w:t xml:space="preserve">Objectives used in the assessment of </w:t>
      </w:r>
      <w:r>
        <w:t>international shipping and aviation</w:t>
      </w:r>
      <w:r w:rsidR="00465659">
        <w:t xml:space="preserve"> </w:t>
      </w:r>
      <w:r>
        <w:t>options</w:t>
      </w:r>
      <w:r w:rsidR="00853306">
        <w:t> </w:t>
      </w:r>
      <w:r>
        <w:t>analysis</w:t>
      </w:r>
      <w:bookmarkEnd w:id="34"/>
    </w:p>
    <w:tbl>
      <w:tblPr>
        <w:tblStyle w:val="TableGrid"/>
        <w:tblW w:w="8505" w:type="dxa"/>
        <w:tblBorders>
          <w:bottom w:val="single" w:sz="4" w:space="0" w:color="1B556B"/>
          <w:insideH w:val="single" w:sz="4" w:space="0" w:color="1B556B"/>
          <w:insideV w:val="single" w:sz="4" w:space="0" w:color="1B556B"/>
        </w:tblBorders>
        <w:tblLook w:val="06A0" w:firstRow="1" w:lastRow="0" w:firstColumn="1" w:lastColumn="0" w:noHBand="1" w:noVBand="1"/>
      </w:tblPr>
      <w:tblGrid>
        <w:gridCol w:w="3686"/>
        <w:gridCol w:w="4819"/>
      </w:tblGrid>
      <w:tr w:rsidR="00853306" w:rsidRPr="00B425EF" w14:paraId="3F2E9365" w14:textId="77777777" w:rsidTr="2CD38A57">
        <w:trPr>
          <w:tblHeader/>
        </w:trPr>
        <w:tc>
          <w:tcPr>
            <w:tcW w:w="2167" w:type="pct"/>
            <w:shd w:val="clear" w:color="auto" w:fill="1B556B" w:themeFill="text2"/>
          </w:tcPr>
          <w:p w14:paraId="565A17A9" w14:textId="6415AB86" w:rsidR="63F5D862" w:rsidRPr="00B425EF" w:rsidRDefault="63F5D862" w:rsidP="004823E4">
            <w:pPr>
              <w:pStyle w:val="TableTextbold"/>
              <w:keepNext/>
              <w:spacing w:before="40" w:after="40"/>
              <w:rPr>
                <w:color w:val="FFFFFF" w:themeColor="background1"/>
              </w:rPr>
            </w:pPr>
            <w:r w:rsidRPr="00B425EF">
              <w:rPr>
                <w:color w:val="FFFFFF" w:themeColor="background1"/>
              </w:rPr>
              <w:t>Objective</w:t>
            </w:r>
          </w:p>
        </w:tc>
        <w:tc>
          <w:tcPr>
            <w:tcW w:w="2833" w:type="pct"/>
            <w:shd w:val="clear" w:color="auto" w:fill="1B556B" w:themeFill="text2"/>
          </w:tcPr>
          <w:p w14:paraId="529AE93B" w14:textId="5308E274" w:rsidR="63F5D862" w:rsidRPr="00B425EF" w:rsidRDefault="63F5D862" w:rsidP="004823E4">
            <w:pPr>
              <w:pStyle w:val="TableTextbold"/>
              <w:keepNext/>
              <w:spacing w:before="40" w:after="40"/>
              <w:rPr>
                <w:color w:val="FFFFFF" w:themeColor="background1"/>
              </w:rPr>
            </w:pPr>
            <w:r w:rsidRPr="00B425EF">
              <w:rPr>
                <w:color w:val="FFFFFF" w:themeColor="background1"/>
              </w:rPr>
              <w:t>Description</w:t>
            </w:r>
          </w:p>
        </w:tc>
      </w:tr>
      <w:tr w:rsidR="63F5D862" w:rsidRPr="00B425EF" w14:paraId="7C2C4C01" w14:textId="77777777" w:rsidTr="00F47AE9">
        <w:tc>
          <w:tcPr>
            <w:tcW w:w="2167" w:type="pct"/>
          </w:tcPr>
          <w:p w14:paraId="1DFD77ED" w14:textId="2044C1FB" w:rsidR="63F5D862" w:rsidRPr="00B425EF" w:rsidRDefault="63F5D862" w:rsidP="00D9144A">
            <w:pPr>
              <w:pStyle w:val="TableText"/>
              <w:spacing w:before="40" w:after="40" w:line="240" w:lineRule="auto"/>
            </w:pPr>
            <w:r w:rsidRPr="00B425EF">
              <w:t>Alignment with New Zealand’s economic growth interests</w:t>
            </w:r>
            <w:r w:rsidR="00CC0DB5" w:rsidRPr="00B425EF">
              <w:t>,</w:t>
            </w:r>
            <w:r w:rsidRPr="00B425EF">
              <w:t xml:space="preserve"> including the Government’s </w:t>
            </w:r>
            <w:r w:rsidR="0061635A" w:rsidRPr="00B425EF">
              <w:t>‘</w:t>
            </w:r>
            <w:r w:rsidRPr="00B425EF">
              <w:t>Going for Growth</w:t>
            </w:r>
            <w:r w:rsidR="0061635A" w:rsidRPr="00B425EF">
              <w:t>’</w:t>
            </w:r>
            <w:r w:rsidRPr="00B425EF">
              <w:t xml:space="preserve"> agenda (</w:t>
            </w:r>
            <w:r w:rsidR="00CC0DB5" w:rsidRPr="00B425EF">
              <w:t xml:space="preserve">ie, </w:t>
            </w:r>
            <w:r w:rsidRPr="00B425EF">
              <w:t>economic impacts and national interests</w:t>
            </w:r>
            <w:r w:rsidR="00FB4917" w:rsidRPr="00B425EF">
              <w:t>)</w:t>
            </w:r>
          </w:p>
        </w:tc>
        <w:tc>
          <w:tcPr>
            <w:tcW w:w="2833" w:type="pct"/>
          </w:tcPr>
          <w:p w14:paraId="72A578BD" w14:textId="258B09CF" w:rsidR="63F5D862" w:rsidRPr="00B425EF" w:rsidRDefault="63F5D862" w:rsidP="00D9144A">
            <w:pPr>
              <w:pStyle w:val="TableText"/>
              <w:spacing w:before="40" w:after="40" w:line="240" w:lineRule="auto"/>
            </w:pPr>
            <w:r w:rsidRPr="00B425EF">
              <w:t xml:space="preserve">Economic growth is a priority for the Government. This objective </w:t>
            </w:r>
            <w:r w:rsidR="00D57049" w:rsidRPr="00B425EF">
              <w:t xml:space="preserve">involves </w:t>
            </w:r>
            <w:r w:rsidRPr="00B425EF">
              <w:t>assess</w:t>
            </w:r>
            <w:r w:rsidR="00D57049" w:rsidRPr="00B425EF">
              <w:t>ment of</w:t>
            </w:r>
            <w:r w:rsidRPr="00B425EF">
              <w:t xml:space="preserve"> how climate policy aligns with supporting sustained economic growth. </w:t>
            </w:r>
          </w:p>
        </w:tc>
      </w:tr>
      <w:tr w:rsidR="63F5D862" w:rsidRPr="00B425EF" w14:paraId="7FAAB71F" w14:textId="77777777" w:rsidTr="00F47AE9">
        <w:tc>
          <w:tcPr>
            <w:tcW w:w="2167" w:type="pct"/>
          </w:tcPr>
          <w:p w14:paraId="03BDC996" w14:textId="51C04FA0" w:rsidR="63F5D862" w:rsidRPr="00B425EF" w:rsidRDefault="63F5D862" w:rsidP="004823E4">
            <w:pPr>
              <w:pStyle w:val="TableText"/>
              <w:spacing w:before="40" w:after="40"/>
            </w:pPr>
            <w:r w:rsidRPr="00B425EF">
              <w:t>Certainty of New Zealand’s approach to limiting</w:t>
            </w:r>
            <w:r w:rsidR="009906EE" w:rsidRPr="00B425EF">
              <w:t xml:space="preserve"> </w:t>
            </w:r>
            <w:r w:rsidRPr="00B425EF">
              <w:t>global warming to 1.5</w:t>
            </w:r>
            <w:r w:rsidR="00D459EF">
              <w:t xml:space="preserve"> </w:t>
            </w:r>
            <w:r w:rsidR="00D459EF" w:rsidRPr="00D459EF">
              <w:t>degrees Celsius</w:t>
            </w:r>
            <w:r w:rsidR="00D459EF">
              <w:t xml:space="preserve"> </w:t>
            </w:r>
          </w:p>
        </w:tc>
        <w:tc>
          <w:tcPr>
            <w:tcW w:w="2833" w:type="pct"/>
          </w:tcPr>
          <w:p w14:paraId="5182FB4C" w14:textId="59BB8C48" w:rsidR="63F5D862" w:rsidRPr="00B425EF" w:rsidRDefault="63F5D862" w:rsidP="004823E4">
            <w:pPr>
              <w:pStyle w:val="TableText"/>
              <w:spacing w:before="40" w:after="40"/>
            </w:pPr>
            <w:r w:rsidRPr="00B425EF">
              <w:t xml:space="preserve">This objective </w:t>
            </w:r>
            <w:r w:rsidR="00D57049" w:rsidRPr="00B425EF">
              <w:t>requires analysis</w:t>
            </w:r>
            <w:r w:rsidR="007E3E14" w:rsidRPr="00B425EF">
              <w:t xml:space="preserve"> of</w:t>
            </w:r>
            <w:r w:rsidR="00D57049" w:rsidRPr="00B425EF">
              <w:t xml:space="preserve"> </w:t>
            </w:r>
            <w:r w:rsidRPr="00B425EF">
              <w:t xml:space="preserve">the certainty of New Zealand’s approach to limiting warming under each option. The target sets the ambition </w:t>
            </w:r>
            <w:r w:rsidR="00FC000A" w:rsidRPr="00B425EF">
              <w:t>for</w:t>
            </w:r>
            <w:r w:rsidRPr="00B425EF">
              <w:t xml:space="preserve"> domestic effort to mitigate </w:t>
            </w:r>
            <w:r w:rsidRPr="00B425EF">
              <w:rPr>
                <w:spacing w:val="-2"/>
              </w:rPr>
              <w:t>climate change and indicates the long-term direction of climate</w:t>
            </w:r>
            <w:r w:rsidRPr="00B425EF">
              <w:t xml:space="preserve"> change policy and how New Zealand will contribute to limiting warming to 1.5</w:t>
            </w:r>
            <w:r w:rsidR="00D459EF">
              <w:t xml:space="preserve"> </w:t>
            </w:r>
            <w:r w:rsidR="00D459EF" w:rsidRPr="00B425EF">
              <w:t>degrees Celsius</w:t>
            </w:r>
            <w:r w:rsidRPr="00B425EF">
              <w:t>.</w:t>
            </w:r>
          </w:p>
        </w:tc>
      </w:tr>
      <w:tr w:rsidR="63F5D862" w:rsidRPr="00B425EF" w14:paraId="4610DD7B" w14:textId="77777777" w:rsidTr="00F47AE9">
        <w:tc>
          <w:tcPr>
            <w:tcW w:w="2167" w:type="pct"/>
          </w:tcPr>
          <w:p w14:paraId="31FB7CC6" w14:textId="6752EC6A" w:rsidR="63F5D862" w:rsidRPr="00B425EF" w:rsidRDefault="00CC0DB5" w:rsidP="004823E4">
            <w:pPr>
              <w:pStyle w:val="TableText"/>
              <w:spacing w:before="40" w:after="40"/>
              <w:rPr>
                <w:rFonts w:eastAsia="Calibri" w:cs="Calibri"/>
              </w:rPr>
            </w:pPr>
            <w:r w:rsidRPr="00B425EF">
              <w:t>I</w:t>
            </w:r>
            <w:r w:rsidR="63F5D862" w:rsidRPr="00B425EF">
              <w:t>mplementation feasibility (including availability</w:t>
            </w:r>
            <w:r w:rsidR="009906EE" w:rsidRPr="00B425EF">
              <w:t xml:space="preserve"> </w:t>
            </w:r>
            <w:r w:rsidR="63F5D862" w:rsidRPr="00B425EF">
              <w:t>of technology and implications for government policy)</w:t>
            </w:r>
          </w:p>
        </w:tc>
        <w:tc>
          <w:tcPr>
            <w:tcW w:w="2833" w:type="pct"/>
          </w:tcPr>
          <w:p w14:paraId="6780E795" w14:textId="28FE3120" w:rsidR="63F5D862" w:rsidRPr="00B425EF" w:rsidRDefault="63F5D862" w:rsidP="004823E4">
            <w:pPr>
              <w:pStyle w:val="TableText"/>
              <w:spacing w:before="40" w:after="40"/>
              <w:rPr>
                <w:rFonts w:eastAsia="Calibri" w:cs="Calibri"/>
              </w:rPr>
            </w:pPr>
            <w:r w:rsidRPr="00B425EF">
              <w:rPr>
                <w:rFonts w:eastAsia="Calibri" w:cs="Calibri"/>
                <w:spacing w:val="-2"/>
              </w:rPr>
              <w:t xml:space="preserve">This objective </w:t>
            </w:r>
            <w:r w:rsidR="00B77B2D" w:rsidRPr="00B425EF">
              <w:rPr>
                <w:rFonts w:eastAsia="Calibri" w:cs="Calibri"/>
                <w:spacing w:val="-2"/>
              </w:rPr>
              <w:t xml:space="preserve">involves </w:t>
            </w:r>
            <w:r w:rsidRPr="00B425EF">
              <w:rPr>
                <w:rFonts w:eastAsia="Calibri" w:cs="Calibri"/>
                <w:spacing w:val="-2"/>
              </w:rPr>
              <w:t>assess</w:t>
            </w:r>
            <w:r w:rsidR="00B77B2D" w:rsidRPr="00B425EF">
              <w:rPr>
                <w:rFonts w:eastAsia="Calibri" w:cs="Calibri"/>
                <w:spacing w:val="-2"/>
              </w:rPr>
              <w:t>ing</w:t>
            </w:r>
            <w:r w:rsidRPr="00B425EF">
              <w:rPr>
                <w:rFonts w:eastAsia="Calibri" w:cs="Calibri"/>
                <w:spacing w:val="-2"/>
              </w:rPr>
              <w:t xml:space="preserve"> the implementation feasibility</w:t>
            </w:r>
            <w:r w:rsidRPr="00B425EF">
              <w:rPr>
                <w:rFonts w:eastAsia="Calibri" w:cs="Calibri"/>
              </w:rPr>
              <w:t xml:space="preserve"> of each option. The target is implemented through policies </w:t>
            </w:r>
            <w:r w:rsidRPr="00B425EF">
              <w:rPr>
                <w:rFonts w:eastAsia="Calibri" w:cs="Calibri"/>
                <w:spacing w:val="-2"/>
              </w:rPr>
              <w:t>that need to be feasible to achieve climate goals and objectives.</w:t>
            </w:r>
          </w:p>
        </w:tc>
      </w:tr>
    </w:tbl>
    <w:p w14:paraId="085B2250" w14:textId="77777777" w:rsidR="001D02AA" w:rsidRPr="00B425EF" w:rsidRDefault="001D02AA" w:rsidP="00853306">
      <w:pPr>
        <w:pStyle w:val="Heading3"/>
        <w:spacing w:before="440"/>
      </w:pPr>
      <w:r w:rsidRPr="00B425EF">
        <w:t xml:space="preserve">Summary of options analysis </w:t>
      </w:r>
    </w:p>
    <w:p w14:paraId="4CA7302F" w14:textId="5ACB847F" w:rsidR="00C05F8D" w:rsidRPr="00B425EF" w:rsidRDefault="00D42204" w:rsidP="009E6D42">
      <w:pPr>
        <w:pStyle w:val="BodyText"/>
      </w:pPr>
      <w:r w:rsidRPr="006348F2">
        <w:rPr>
          <w:spacing w:val="-2"/>
        </w:rPr>
        <w:t>In considering options against these objectives, the Government outlined the following reasons</w:t>
      </w:r>
      <w:r w:rsidR="00EB32C0">
        <w:t xml:space="preserve"> </w:t>
      </w:r>
      <w:r w:rsidR="00A42C33">
        <w:t>(</w:t>
      </w:r>
      <w:hyperlink w:anchor="tabA2_6" w:history="1">
        <w:r w:rsidR="00A42C33" w:rsidRPr="006348F2">
          <w:rPr>
            <w:rStyle w:val="Hyperlink"/>
          </w:rPr>
          <w:t>table A2.6</w:t>
        </w:r>
      </w:hyperlink>
      <w:r w:rsidR="00A42C33">
        <w:t xml:space="preserve">) </w:t>
      </w:r>
      <w:r w:rsidRPr="00B425EF">
        <w:t xml:space="preserve">for </w:t>
      </w:r>
      <w:r w:rsidR="00E248D9" w:rsidRPr="00B425EF">
        <w:t xml:space="preserve">the </w:t>
      </w:r>
      <w:r w:rsidR="0077701A" w:rsidRPr="00B425EF">
        <w:t>decision to continue excluding international shipping and aviation emissions from the 2050 target</w:t>
      </w:r>
      <w:r w:rsidR="00E248D9" w:rsidRPr="00B425EF">
        <w:t>.</w:t>
      </w:r>
    </w:p>
    <w:p w14:paraId="07EADCAF" w14:textId="54E7774B" w:rsidR="001D4CA7" w:rsidRPr="00B425EF" w:rsidRDefault="001D4CA7" w:rsidP="001D4CA7">
      <w:pPr>
        <w:pStyle w:val="Tableheading"/>
      </w:pPr>
      <w:bookmarkStart w:id="35" w:name="tabA2_6"/>
      <w:bookmarkStart w:id="36" w:name="_Toc214537159"/>
      <w:r w:rsidRPr="00B425EF">
        <w:t>Table A2.6</w:t>
      </w:r>
      <w:bookmarkEnd w:id="35"/>
      <w:r w:rsidRPr="00B425EF">
        <w:t>:</w:t>
      </w:r>
      <w:r w:rsidRPr="00B425EF">
        <w:tab/>
      </w:r>
      <w:r w:rsidR="00E9121C" w:rsidRPr="00B425EF">
        <w:t xml:space="preserve">Summary of analysis of </w:t>
      </w:r>
      <w:r w:rsidR="00E9121C">
        <w:t xml:space="preserve">the </w:t>
      </w:r>
      <w:r w:rsidR="00E9121C" w:rsidRPr="00B425EF">
        <w:t xml:space="preserve">Government’s </w:t>
      </w:r>
      <w:r w:rsidR="00E9121C">
        <w:t>international shipping and aviation</w:t>
      </w:r>
      <w:r w:rsidR="00E9121C" w:rsidRPr="00B425EF">
        <w:t xml:space="preserve"> option and</w:t>
      </w:r>
      <w:r w:rsidR="00E9121C">
        <w:t> </w:t>
      </w:r>
      <w:r w:rsidR="00E9121C" w:rsidRPr="00B425EF">
        <w:t>the</w:t>
      </w:r>
      <w:r w:rsidR="00E9121C">
        <w:t> </w:t>
      </w:r>
      <w:r w:rsidR="00E9121C" w:rsidRPr="00B425EF">
        <w:t>Climate Change Commission’s recommendation</w:t>
      </w:r>
      <w:bookmarkEnd w:id="36"/>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57" w:type="dxa"/>
        </w:tblCellMar>
        <w:tblLook w:val="04A0" w:firstRow="1" w:lastRow="0" w:firstColumn="1" w:lastColumn="0" w:noHBand="0" w:noVBand="1"/>
      </w:tblPr>
      <w:tblGrid>
        <w:gridCol w:w="2155"/>
        <w:gridCol w:w="3232"/>
        <w:gridCol w:w="3118"/>
      </w:tblGrid>
      <w:tr w:rsidR="00853306" w:rsidRPr="00B425EF" w14:paraId="41820B02" w14:textId="77777777" w:rsidTr="56721351">
        <w:trPr>
          <w:tblHeader/>
        </w:trPr>
        <w:tc>
          <w:tcPr>
            <w:tcW w:w="2155" w:type="dxa"/>
            <w:shd w:val="clear" w:color="auto" w:fill="1B556B" w:themeFill="text2"/>
            <w:vAlign w:val="bottom"/>
            <w:hideMark/>
          </w:tcPr>
          <w:p w14:paraId="5828D512" w14:textId="6C374D6A" w:rsidR="001D4CA7" w:rsidRPr="00B425EF" w:rsidRDefault="001D4CA7" w:rsidP="00D05B8F">
            <w:pPr>
              <w:pStyle w:val="TableTextbold"/>
              <w:spacing w:before="40" w:after="40"/>
              <w:rPr>
                <w:color w:val="FFFFFF" w:themeColor="background1"/>
              </w:rPr>
            </w:pPr>
            <w:r w:rsidRPr="00B425EF">
              <w:rPr>
                <w:color w:val="FFFFFF" w:themeColor="background1"/>
              </w:rPr>
              <w:t>Objective </w:t>
            </w:r>
          </w:p>
        </w:tc>
        <w:tc>
          <w:tcPr>
            <w:tcW w:w="3232" w:type="dxa"/>
            <w:shd w:val="clear" w:color="auto" w:fill="1B556B" w:themeFill="text2"/>
            <w:vAlign w:val="bottom"/>
            <w:hideMark/>
          </w:tcPr>
          <w:p w14:paraId="3182F59F" w14:textId="4D594ECE" w:rsidR="001D4CA7" w:rsidRPr="00B425EF" w:rsidRDefault="001D4CA7" w:rsidP="00D05B8F">
            <w:pPr>
              <w:pStyle w:val="TableTextbold"/>
              <w:spacing w:before="40" w:after="40"/>
              <w:rPr>
                <w:color w:val="FFFFFF" w:themeColor="background1"/>
              </w:rPr>
            </w:pPr>
            <w:r w:rsidRPr="00B425EF">
              <w:rPr>
                <w:color w:val="FFFFFF" w:themeColor="background1"/>
              </w:rPr>
              <w:t>Option 1: Continue excluding international shipping and aviation emissions from</w:t>
            </w:r>
            <w:r w:rsidR="00C84F03">
              <w:rPr>
                <w:color w:val="FFFFFF" w:themeColor="background1"/>
              </w:rPr>
              <w:t xml:space="preserve"> the</w:t>
            </w:r>
            <w:r w:rsidRPr="00B425EF">
              <w:rPr>
                <w:color w:val="FFFFFF" w:themeColor="background1"/>
              </w:rPr>
              <w:t xml:space="preserve"> 2050 target</w:t>
            </w:r>
            <w:r w:rsidR="006843D3" w:rsidRPr="00B425EF">
              <w:rPr>
                <w:color w:val="FFFFFF" w:themeColor="background1"/>
              </w:rPr>
              <w:t xml:space="preserve"> </w:t>
            </w:r>
            <w:r w:rsidRPr="00B425EF">
              <w:rPr>
                <w:color w:val="FFFFFF" w:themeColor="background1"/>
              </w:rPr>
              <w:t>(Government’s option)</w:t>
            </w:r>
          </w:p>
        </w:tc>
        <w:tc>
          <w:tcPr>
            <w:tcW w:w="3118" w:type="dxa"/>
            <w:shd w:val="clear" w:color="auto" w:fill="1B556B" w:themeFill="text2"/>
            <w:vAlign w:val="bottom"/>
            <w:hideMark/>
          </w:tcPr>
          <w:p w14:paraId="0815A5B0" w14:textId="4ED86411" w:rsidR="001D4CA7" w:rsidRPr="00B425EF" w:rsidRDefault="001D4CA7" w:rsidP="00D05B8F">
            <w:pPr>
              <w:pStyle w:val="TableTextbold"/>
              <w:spacing w:before="40" w:after="40"/>
              <w:rPr>
                <w:color w:val="FFFFFF" w:themeColor="background1"/>
              </w:rPr>
            </w:pPr>
            <w:r w:rsidRPr="00B425EF">
              <w:rPr>
                <w:color w:val="FFFFFF" w:themeColor="background1"/>
              </w:rPr>
              <w:t>Option 2: Include international shipping and aviation emissions in the 2050 target (</w:t>
            </w:r>
            <w:r w:rsidRPr="55DF9C15">
              <w:rPr>
                <w:color w:val="FFFFFF" w:themeColor="background1"/>
              </w:rPr>
              <w:t>Commission</w:t>
            </w:r>
            <w:r w:rsidR="41A33DA1" w:rsidRPr="55DF9C15">
              <w:rPr>
                <w:color w:val="FFFFFF" w:themeColor="background1"/>
              </w:rPr>
              <w:t>’s recommendation</w:t>
            </w:r>
            <w:r w:rsidRPr="00B425EF">
              <w:rPr>
                <w:color w:val="FFFFFF" w:themeColor="background1"/>
              </w:rPr>
              <w:t>)</w:t>
            </w:r>
          </w:p>
        </w:tc>
      </w:tr>
      <w:tr w:rsidR="001D4CA7" w:rsidRPr="00B425EF" w14:paraId="43A11B3A" w14:textId="77777777" w:rsidTr="56721351">
        <w:tc>
          <w:tcPr>
            <w:tcW w:w="2155" w:type="dxa"/>
            <w:hideMark/>
          </w:tcPr>
          <w:p w14:paraId="34ED1CCD" w14:textId="21B98078" w:rsidR="001D4CA7" w:rsidRPr="00B425EF" w:rsidRDefault="001D4CA7" w:rsidP="00D05B8F">
            <w:pPr>
              <w:pStyle w:val="TableText"/>
              <w:spacing w:before="40" w:after="40"/>
            </w:pPr>
            <w:r w:rsidRPr="00B425EF">
              <w:t>Alignment with New Zealand’s economic growth interests</w:t>
            </w:r>
            <w:r w:rsidR="00C47165" w:rsidRPr="00B425EF">
              <w:t>,</w:t>
            </w:r>
            <w:r w:rsidR="000A69CF" w:rsidRPr="00B425EF">
              <w:t xml:space="preserve"> </w:t>
            </w:r>
            <w:r w:rsidRPr="00B425EF">
              <w:t xml:space="preserve">including the Government’s </w:t>
            </w:r>
            <w:r w:rsidR="000A69CF" w:rsidRPr="00B425EF">
              <w:t>‘</w:t>
            </w:r>
            <w:r w:rsidRPr="00B425EF">
              <w:t>Going for Growth</w:t>
            </w:r>
            <w:r w:rsidR="000A69CF" w:rsidRPr="00B425EF">
              <w:t>’</w:t>
            </w:r>
            <w:r w:rsidRPr="00B425EF">
              <w:t xml:space="preserve"> agenda (including economic impacts and national interests). </w:t>
            </w:r>
          </w:p>
        </w:tc>
        <w:tc>
          <w:tcPr>
            <w:tcW w:w="3232" w:type="dxa"/>
            <w:hideMark/>
          </w:tcPr>
          <w:p w14:paraId="0776AC7C" w14:textId="07C9360C" w:rsidR="001D4CA7" w:rsidRPr="00B425EF" w:rsidRDefault="001D4CA7" w:rsidP="00D05B8F">
            <w:pPr>
              <w:pStyle w:val="TableText"/>
              <w:spacing w:before="40" w:after="40"/>
            </w:pPr>
            <w:r w:rsidDel="001D4CA7">
              <w:t>N</w:t>
            </w:r>
            <w:r>
              <w:t>ew Zealand relies on foreign-owned shipping for most seaborne trade and international aviation for global connectivity and tourism. As a geographically remote country, with no land-based borders, New Zealand is highly exposed to shifts in the price of sea- and air-based freight and is at an economic disadvantage to increases in freight costs.</w:t>
            </w:r>
          </w:p>
          <w:p w14:paraId="6EC3B383" w14:textId="78EA24D9" w:rsidR="001D4CA7" w:rsidRPr="00B425EF" w:rsidRDefault="001D4CA7" w:rsidP="00D05B8F">
            <w:pPr>
              <w:pStyle w:val="TableText"/>
              <w:spacing w:before="40" w:after="40"/>
            </w:pPr>
            <w:r>
              <w:t>Supporting multilateral agreements helps to ensure that countries</w:t>
            </w:r>
            <w:r w:rsidR="7A1E7E9D">
              <w:t xml:space="preserve"> </w:t>
            </w:r>
            <w:r>
              <w:t>operate on a level playing field, avoiding a future in which fragmentation of decarbonisation efforts by states increases compliance costs for business. As a small, remote nation, New Zealand relies on functioning and effective multilateral systems to maximise its competitiveness. This</w:t>
            </w:r>
            <w:r w:rsidR="4002A5A6">
              <w:t xml:space="preserve"> </w:t>
            </w:r>
            <w:r>
              <w:t>option</w:t>
            </w:r>
            <w:r w:rsidR="4002A5A6">
              <w:t xml:space="preserve"> </w:t>
            </w:r>
            <w:r>
              <w:t>also aligns New Zealand with most</w:t>
            </w:r>
            <w:r w:rsidR="4002A5A6">
              <w:t xml:space="preserve"> </w:t>
            </w:r>
            <w:r>
              <w:t xml:space="preserve">countries </w:t>
            </w:r>
            <w:r w:rsidR="4002A5A6">
              <w:t xml:space="preserve">that </w:t>
            </w:r>
            <w:r>
              <w:t>do not include these emissions in their domestic climate</w:t>
            </w:r>
            <w:r w:rsidR="4002A5A6">
              <w:t xml:space="preserve"> </w:t>
            </w:r>
            <w:r>
              <w:t>targets.</w:t>
            </w:r>
          </w:p>
        </w:tc>
        <w:tc>
          <w:tcPr>
            <w:tcW w:w="3118" w:type="dxa"/>
            <w:hideMark/>
          </w:tcPr>
          <w:p w14:paraId="64CA97B5" w14:textId="499497FC" w:rsidR="001D4CA7" w:rsidRPr="00B425EF" w:rsidRDefault="001D4CA7" w:rsidP="00D05B8F">
            <w:pPr>
              <w:pStyle w:val="TableText"/>
              <w:spacing w:before="40" w:after="40"/>
            </w:pPr>
            <w:r w:rsidRPr="00B425EF">
              <w:t xml:space="preserve">The Commission’s recommendation is likely to involve higher economic costs than the status quo, </w:t>
            </w:r>
            <w:r w:rsidR="00625110" w:rsidRPr="00B425EF">
              <w:t>because</w:t>
            </w:r>
            <w:r w:rsidRPr="00B425EF">
              <w:t xml:space="preserve"> it may require domestic measures alongside international ones. However, including these emissions in the target could send long-term signals to the market, encouraging investment in low-emissions technologies and aligning New Zealand with more ambitious trade partners.</w:t>
            </w:r>
          </w:p>
          <w:p w14:paraId="527D6806" w14:textId="574DA43D" w:rsidR="001D4CA7" w:rsidRPr="00B425EF" w:rsidRDefault="001D4CA7" w:rsidP="00D05B8F">
            <w:pPr>
              <w:pStyle w:val="TableText"/>
              <w:spacing w:before="40" w:after="40"/>
            </w:pPr>
            <w:r>
              <w:t>Government modelling from the 2050 target review suggests that reducing an additional 10</w:t>
            </w:r>
            <w:r w:rsidR="727E7DBF">
              <w:t> </w:t>
            </w:r>
            <w:r>
              <w:t>Mt CO₂-e in 2050 (aligned with the higher end of the Commission’s scenarios) could lower GDP growth by </w:t>
            </w:r>
            <w:r w:rsidR="0723C933">
              <w:t>around </w:t>
            </w:r>
            <w:r>
              <w:t>0.3</w:t>
            </w:r>
            <w:r w:rsidR="613F142F">
              <w:t>%</w:t>
            </w:r>
            <w:r>
              <w:t xml:space="preserve">. </w:t>
            </w:r>
          </w:p>
          <w:p w14:paraId="4752840F" w14:textId="1B8EF9CE" w:rsidR="001D4CA7" w:rsidRPr="00B425EF" w:rsidRDefault="001D4CA7" w:rsidP="00D05B8F">
            <w:pPr>
              <w:pStyle w:val="TableText"/>
              <w:spacing w:before="40" w:after="40"/>
            </w:pPr>
            <w:r>
              <w:t>Actual costs and benefits will depend on the timing and design of policies, which must avoid duplicating international pricing and compliance mechanisms. </w:t>
            </w:r>
          </w:p>
        </w:tc>
      </w:tr>
      <w:tr w:rsidR="001D4CA7" w:rsidRPr="00B425EF" w14:paraId="21A3BE2D" w14:textId="77777777" w:rsidTr="56721351">
        <w:tc>
          <w:tcPr>
            <w:tcW w:w="2155" w:type="dxa"/>
            <w:hideMark/>
          </w:tcPr>
          <w:p w14:paraId="51768DA3" w14:textId="649781D3" w:rsidR="001D4CA7" w:rsidRPr="00B425EF" w:rsidRDefault="001D4CA7" w:rsidP="00586381">
            <w:pPr>
              <w:pStyle w:val="TableText"/>
              <w:spacing w:before="40" w:after="40"/>
            </w:pPr>
            <w:r w:rsidRPr="00B425EF">
              <w:t xml:space="preserve">Certainty of New Zealand’s approach to limiting global </w:t>
            </w:r>
            <w:r w:rsidRPr="00B425EF">
              <w:lastRenderedPageBreak/>
              <w:t>warming to 1.5</w:t>
            </w:r>
            <w:r w:rsidR="00D459EF">
              <w:t xml:space="preserve"> </w:t>
            </w:r>
            <w:r w:rsidR="00D459EF" w:rsidRPr="00B425EF">
              <w:t>degrees Celsius</w:t>
            </w:r>
            <w:r w:rsidRPr="00B425EF">
              <w:t> </w:t>
            </w:r>
          </w:p>
        </w:tc>
        <w:tc>
          <w:tcPr>
            <w:tcW w:w="3232" w:type="dxa"/>
            <w:hideMark/>
          </w:tcPr>
          <w:p w14:paraId="324568BF" w14:textId="235C6F58" w:rsidR="001D4CA7" w:rsidRPr="00B425EF" w:rsidRDefault="001D4CA7" w:rsidP="00D05B8F">
            <w:pPr>
              <w:pStyle w:val="TableText"/>
              <w:spacing w:before="40" w:after="40"/>
            </w:pPr>
            <w:r w:rsidRPr="00B425EF">
              <w:lastRenderedPageBreak/>
              <w:t>Maintaining the status quo of excluding</w:t>
            </w:r>
            <w:r w:rsidR="00FB3EDD" w:rsidRPr="00B425EF">
              <w:t xml:space="preserve"> </w:t>
            </w:r>
            <w:r w:rsidRPr="00B425EF">
              <w:t xml:space="preserve">international shipping and aviation emissions from the 2050 target relies </w:t>
            </w:r>
            <w:r w:rsidRPr="00B425EF">
              <w:lastRenderedPageBreak/>
              <w:t>instead on multilateral efforts. Efforts are led by organisations like the IMO and ICAO to regulate these sectors and incentivise measures</w:t>
            </w:r>
            <w:r w:rsidR="00EB6D96" w:rsidRPr="00B425EF">
              <w:t>,</w:t>
            </w:r>
            <w:r w:rsidRPr="00B425EF">
              <w:t xml:space="preserve"> such as sustainable fuel adoption</w:t>
            </w:r>
            <w:r w:rsidR="00EB6D96" w:rsidRPr="00B425EF">
              <w:t>,</w:t>
            </w:r>
            <w:r w:rsidRPr="00B425EF">
              <w:t xml:space="preserve"> to align sector emission pathways to 1.5</w:t>
            </w:r>
            <w:r w:rsidR="00D459EF">
              <w:t xml:space="preserve"> </w:t>
            </w:r>
            <w:r w:rsidR="00D459EF" w:rsidRPr="00B425EF">
              <w:t>degrees Celsius</w:t>
            </w:r>
            <w:r w:rsidRPr="00B425EF">
              <w:t>.  </w:t>
            </w:r>
          </w:p>
        </w:tc>
        <w:tc>
          <w:tcPr>
            <w:tcW w:w="3118" w:type="dxa"/>
            <w:hideMark/>
          </w:tcPr>
          <w:p w14:paraId="2BD0371D" w14:textId="2FABD0CB" w:rsidR="001D4CA7" w:rsidRPr="00B425EF" w:rsidRDefault="001D4CA7" w:rsidP="00D05B8F">
            <w:pPr>
              <w:pStyle w:val="TableText"/>
              <w:spacing w:before="40" w:after="40"/>
            </w:pPr>
            <w:r w:rsidRPr="00B425EF">
              <w:lastRenderedPageBreak/>
              <w:t xml:space="preserve">Including these emissions could provide greater certainty about New Zealand’s </w:t>
            </w:r>
            <w:r w:rsidRPr="00B425EF">
              <w:lastRenderedPageBreak/>
              <w:t>approach to limiting warming, offering strategic direction over the long</w:t>
            </w:r>
            <w:r w:rsidR="005F1953">
              <w:t xml:space="preserve"> </w:t>
            </w:r>
            <w:r w:rsidRPr="00B425EF">
              <w:t>term.</w:t>
            </w:r>
            <w:r w:rsidR="00C20EDE" w:rsidRPr="00B425EF">
              <w:t xml:space="preserve"> </w:t>
            </w:r>
          </w:p>
          <w:p w14:paraId="6DDF1133" w14:textId="4FBA8EBE" w:rsidR="001D4CA7" w:rsidRPr="00B425EF" w:rsidRDefault="001D4CA7" w:rsidP="00D05B8F">
            <w:pPr>
              <w:pStyle w:val="TableText"/>
              <w:spacing w:before="40" w:after="40"/>
            </w:pPr>
            <w:r w:rsidRPr="00B425EF">
              <w:t>The Commission found expanding the long-lived emissions component of the 2050 target to be feasible, with scalable options available to reduce emissions.</w:t>
            </w:r>
            <w:r w:rsidR="00C20EDE" w:rsidRPr="00B425EF">
              <w:t xml:space="preserve"> </w:t>
            </w:r>
          </w:p>
        </w:tc>
      </w:tr>
      <w:tr w:rsidR="001D4CA7" w:rsidRPr="00B425EF" w14:paraId="69C74A1F" w14:textId="77777777" w:rsidTr="56721351">
        <w:tc>
          <w:tcPr>
            <w:tcW w:w="2155" w:type="dxa"/>
            <w:hideMark/>
          </w:tcPr>
          <w:p w14:paraId="21C38683" w14:textId="7A776D03" w:rsidR="001D4CA7" w:rsidRPr="00B425EF" w:rsidRDefault="001D4CA7" w:rsidP="00D05B8F">
            <w:pPr>
              <w:pStyle w:val="TableText"/>
              <w:spacing w:before="40" w:after="40"/>
            </w:pPr>
            <w:r w:rsidRPr="00B425EF">
              <w:lastRenderedPageBreak/>
              <w:t>Implementation feasibility (including availability of technology and implications for government policy)</w:t>
            </w:r>
          </w:p>
        </w:tc>
        <w:tc>
          <w:tcPr>
            <w:tcW w:w="3232" w:type="dxa"/>
            <w:hideMark/>
          </w:tcPr>
          <w:p w14:paraId="1B1A7B1D" w14:textId="529E0ADE" w:rsidR="001D4CA7" w:rsidRPr="00B425EF" w:rsidRDefault="001D4CA7" w:rsidP="00D05B8F">
            <w:pPr>
              <w:pStyle w:val="TableText"/>
              <w:spacing w:before="40" w:after="40"/>
            </w:pPr>
            <w:r w:rsidRPr="00B425EF">
              <w:t xml:space="preserve">There is a risk that the multilateral mechanisms administered through the IMO and ICAO do not reach their own 2050 emission reduction goals. These mechanisms rely on consensus among diverse member states, which differ in their ambition, capacity and political will to implement robust climate measures. To mitigate this risk, both the IMO and ICAO have periodic reviews in place to assess the progress of their emissions reduction mechanisms. The next Carbon Offsetting and Reduction Scheme for International Aviation (CORSIA) review will take place in 2028, </w:t>
            </w:r>
            <w:proofErr w:type="gramStart"/>
            <w:r w:rsidRPr="00B425EF">
              <w:t>and</w:t>
            </w:r>
            <w:r w:rsidR="002B3092" w:rsidRPr="00B425EF">
              <w:t>,</w:t>
            </w:r>
            <w:proofErr w:type="gramEnd"/>
            <w:r w:rsidRPr="00B425EF">
              <w:t xml:space="preserve"> should the IMO Net-Zero Framework come into effect in 2027</w:t>
            </w:r>
            <w:r w:rsidR="002B3092" w:rsidRPr="00B425EF">
              <w:t>,</w:t>
            </w:r>
            <w:r w:rsidRPr="00B425EF">
              <w:t xml:space="preserve"> as proposed, it will be reviewed in 2032. </w:t>
            </w:r>
          </w:p>
        </w:tc>
        <w:tc>
          <w:tcPr>
            <w:tcW w:w="3118" w:type="dxa"/>
            <w:hideMark/>
          </w:tcPr>
          <w:p w14:paraId="1E061102" w14:textId="1413CD61" w:rsidR="001D4CA7" w:rsidRPr="00B425EF" w:rsidRDefault="001D4CA7" w:rsidP="00D05B8F">
            <w:pPr>
              <w:pStyle w:val="TableText"/>
              <w:spacing w:before="40" w:after="40"/>
            </w:pPr>
            <w:r w:rsidRPr="00B425EF">
              <w:t xml:space="preserve">The decision to include would have significant implications for domestic policy settings. Including these emissions would likely require further consideration against (but not limited to) existing and future emissions budgets, and if some or </w:t>
            </w:r>
            <w:proofErr w:type="gramStart"/>
            <w:r w:rsidRPr="00B425EF">
              <w:t xml:space="preserve">all </w:t>
            </w:r>
            <w:r w:rsidR="00D7115C" w:rsidRPr="00B425EF">
              <w:t>of</w:t>
            </w:r>
            <w:proofErr w:type="gramEnd"/>
            <w:r w:rsidR="00D7115C" w:rsidRPr="00B425EF">
              <w:t xml:space="preserve"> </w:t>
            </w:r>
            <w:r w:rsidRPr="00B425EF">
              <w:t>these emissions are included</w:t>
            </w:r>
            <w:r w:rsidR="006843D3" w:rsidRPr="00B425EF">
              <w:t xml:space="preserve"> </w:t>
            </w:r>
            <w:r w:rsidR="00B43338">
              <w:t xml:space="preserve">in </w:t>
            </w:r>
            <w:r w:rsidRPr="00B425EF">
              <w:t>the New</w:t>
            </w:r>
            <w:r w:rsidR="00F8768A">
              <w:t xml:space="preserve"> </w:t>
            </w:r>
            <w:r w:rsidRPr="00B425EF">
              <w:t>Zealand Emissions Trading Scheme.</w:t>
            </w:r>
          </w:p>
        </w:tc>
      </w:tr>
    </w:tbl>
    <w:p w14:paraId="22DCBF84" w14:textId="53C2B13A" w:rsidR="00797C88" w:rsidRPr="00B425EF" w:rsidRDefault="00797C88" w:rsidP="00797C88">
      <w:pPr>
        <w:pStyle w:val="Note"/>
      </w:pPr>
      <w:r w:rsidRPr="00B425EF">
        <w:t xml:space="preserve">Note: </w:t>
      </w:r>
      <w:r w:rsidR="006810AA" w:rsidRPr="00B425EF">
        <w:t xml:space="preserve">GDP = gross domestic product; ICAO = </w:t>
      </w:r>
      <w:r w:rsidR="00A541F6" w:rsidRPr="00B425EF">
        <w:t>International Civil Aviation Organization</w:t>
      </w:r>
      <w:r w:rsidR="006810AA" w:rsidRPr="00B425EF">
        <w:t xml:space="preserve">; IMO = </w:t>
      </w:r>
      <w:r w:rsidR="00D50EB9" w:rsidRPr="00B425EF">
        <w:t>International Maritime Organization</w:t>
      </w:r>
      <w:r w:rsidR="006810AA" w:rsidRPr="00B425EF">
        <w:t>; Mt CO</w:t>
      </w:r>
      <w:r w:rsidR="006810AA" w:rsidRPr="00B425EF">
        <w:rPr>
          <w:vertAlign w:val="subscript"/>
        </w:rPr>
        <w:t>2</w:t>
      </w:r>
      <w:r w:rsidR="006810AA" w:rsidRPr="00B425EF">
        <w:t>-e = megatonnes of carbon dioxide equivalent.</w:t>
      </w:r>
    </w:p>
    <w:p w14:paraId="1B7768FB" w14:textId="66EFFCB4" w:rsidR="00004C12" w:rsidRPr="00B425EF" w:rsidRDefault="00A47A27" w:rsidP="00D05B8F">
      <w:pPr>
        <w:pStyle w:val="Heading2"/>
      </w:pPr>
      <w:bookmarkStart w:id="37" w:name="_Toc215650583"/>
      <w:r>
        <w:t>Summary of analysis for</w:t>
      </w:r>
      <w:r w:rsidR="00004C12">
        <w:t xml:space="preserve"> further emissions reductions post 2050</w:t>
      </w:r>
      <w:bookmarkEnd w:id="37"/>
    </w:p>
    <w:p w14:paraId="135D713E" w14:textId="77777777" w:rsidR="00A47A27" w:rsidRPr="00B425EF" w:rsidRDefault="00A47A27" w:rsidP="00D05B8F">
      <w:pPr>
        <w:pStyle w:val="Heading3"/>
        <w:spacing w:before="180"/>
      </w:pPr>
      <w:r w:rsidRPr="00B425EF">
        <w:t>Options the Government evaluated</w:t>
      </w:r>
    </w:p>
    <w:p w14:paraId="262BA397" w14:textId="6F15E206" w:rsidR="00495122" w:rsidRPr="00B425EF" w:rsidRDefault="00495122" w:rsidP="00D05B8F">
      <w:pPr>
        <w:pStyle w:val="BodyText"/>
        <w:spacing w:before="100" w:after="100"/>
      </w:pPr>
      <w:r w:rsidRPr="00B425EF">
        <w:t>The following options (</w:t>
      </w:r>
      <w:hyperlink w:anchor="tabA2_7" w:history="1">
        <w:r w:rsidRPr="007A2D5C">
          <w:rPr>
            <w:rStyle w:val="Hyperlink"/>
          </w:rPr>
          <w:t>table A2.</w:t>
        </w:r>
        <w:r w:rsidR="001D4CA7" w:rsidRPr="007A2D5C">
          <w:rPr>
            <w:rStyle w:val="Hyperlink"/>
          </w:rPr>
          <w:t>7</w:t>
        </w:r>
      </w:hyperlink>
      <w:r w:rsidRPr="00B425EF">
        <w:t xml:space="preserve">) were considered in response to the Commission’s recommendation to amend the </w:t>
      </w:r>
      <w:r w:rsidR="00384B4A" w:rsidRPr="00B425EF">
        <w:t>Climate Change Response Act 2002</w:t>
      </w:r>
      <w:r w:rsidR="00384B4A">
        <w:t xml:space="preserve"> </w:t>
      </w:r>
      <w:r w:rsidRPr="00B425EF">
        <w:t>to require further emission</w:t>
      </w:r>
      <w:r w:rsidR="00615BCE">
        <w:t>s</w:t>
      </w:r>
      <w:r w:rsidRPr="00B425EF">
        <w:t xml:space="preserve"> reductions and removals</w:t>
      </w:r>
      <w:r w:rsidR="007A2D5C">
        <w:t xml:space="preserve"> </w:t>
      </w:r>
      <w:r w:rsidRPr="00B425EF">
        <w:t>from</w:t>
      </w:r>
      <w:r w:rsidR="007A2D5C">
        <w:t> </w:t>
      </w:r>
      <w:r w:rsidRPr="00B425EF">
        <w:t>the Commission’s recommended levels from 2050</w:t>
      </w:r>
      <w:r w:rsidR="00EC7DD2">
        <w:t> </w:t>
      </w:r>
      <w:r w:rsidRPr="00B425EF">
        <w:t>onwards.</w:t>
      </w:r>
    </w:p>
    <w:p w14:paraId="6D21D07F" w14:textId="6D94767D" w:rsidR="00495122" w:rsidRPr="00B425EF" w:rsidRDefault="00495122" w:rsidP="006706EE">
      <w:pPr>
        <w:pStyle w:val="Tableheading"/>
      </w:pPr>
      <w:bookmarkStart w:id="38" w:name="tabA2_7"/>
      <w:bookmarkStart w:id="39" w:name="_Toc214537160"/>
      <w:r w:rsidRPr="00B425EF">
        <w:t>Table </w:t>
      </w:r>
      <w:bookmarkEnd w:id="38"/>
      <w:r w:rsidRPr="00B425EF">
        <w:t>A2.</w:t>
      </w:r>
      <w:r w:rsidR="001D4CA7" w:rsidRPr="00B425EF">
        <w:t>7</w:t>
      </w:r>
      <w:r w:rsidR="007111D2" w:rsidRPr="00B425EF">
        <w:t>:</w:t>
      </w:r>
      <w:r w:rsidRPr="00B425EF">
        <w:t> </w:t>
      </w:r>
      <w:r w:rsidRPr="00B425EF">
        <w:tab/>
        <w:t>Post-2050 options</w:t>
      </w:r>
      <w:bookmarkEnd w:id="39"/>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2825"/>
        <w:gridCol w:w="2987"/>
        <w:gridCol w:w="2693"/>
      </w:tblGrid>
      <w:tr w:rsidR="00565F52" w:rsidRPr="00B425EF" w14:paraId="3108B2BB" w14:textId="77777777" w:rsidTr="00C534F3">
        <w:tc>
          <w:tcPr>
            <w:tcW w:w="2825" w:type="dxa"/>
            <w:shd w:val="clear" w:color="auto" w:fill="1B556B" w:themeFill="text2"/>
            <w:hideMark/>
          </w:tcPr>
          <w:p w14:paraId="454896B1" w14:textId="77777777" w:rsidR="00495122" w:rsidRPr="00B425EF" w:rsidRDefault="00495122" w:rsidP="00D05B8F">
            <w:pPr>
              <w:pStyle w:val="TableTextbold"/>
              <w:spacing w:before="40" w:after="40"/>
              <w:rPr>
                <w:color w:val="FFFFFF" w:themeColor="background1"/>
              </w:rPr>
            </w:pPr>
            <w:r w:rsidRPr="00B425EF">
              <w:rPr>
                <w:color w:val="FFFFFF" w:themeColor="background1"/>
              </w:rPr>
              <w:t>Option 1 </w:t>
            </w:r>
          </w:p>
        </w:tc>
        <w:tc>
          <w:tcPr>
            <w:tcW w:w="2987" w:type="dxa"/>
            <w:shd w:val="clear" w:color="auto" w:fill="1B556B" w:themeFill="text2"/>
            <w:hideMark/>
          </w:tcPr>
          <w:p w14:paraId="0CC9D633" w14:textId="77777777" w:rsidR="00495122" w:rsidRPr="00B425EF" w:rsidRDefault="00495122" w:rsidP="00D05B8F">
            <w:pPr>
              <w:pStyle w:val="TableTextbold"/>
              <w:spacing w:before="40" w:after="40"/>
              <w:rPr>
                <w:color w:val="FFFFFF" w:themeColor="background1"/>
              </w:rPr>
            </w:pPr>
            <w:r w:rsidRPr="00B425EF">
              <w:rPr>
                <w:color w:val="FFFFFF" w:themeColor="background1"/>
              </w:rPr>
              <w:t>Option 2 </w:t>
            </w:r>
          </w:p>
        </w:tc>
        <w:tc>
          <w:tcPr>
            <w:tcW w:w="2693" w:type="dxa"/>
            <w:shd w:val="clear" w:color="auto" w:fill="1B556B" w:themeFill="text2"/>
            <w:hideMark/>
          </w:tcPr>
          <w:p w14:paraId="362B2A76" w14:textId="77777777" w:rsidR="00495122" w:rsidRPr="00B425EF" w:rsidRDefault="00495122" w:rsidP="00D05B8F">
            <w:pPr>
              <w:pStyle w:val="TableTextbold"/>
              <w:spacing w:before="40" w:after="40"/>
              <w:rPr>
                <w:color w:val="FFFFFF" w:themeColor="background1"/>
              </w:rPr>
            </w:pPr>
            <w:r w:rsidRPr="00B425EF">
              <w:rPr>
                <w:color w:val="FFFFFF" w:themeColor="background1"/>
              </w:rPr>
              <w:t>Option 3 </w:t>
            </w:r>
          </w:p>
        </w:tc>
      </w:tr>
      <w:tr w:rsidR="00495122" w:rsidRPr="00B425EF" w14:paraId="12236964" w14:textId="77777777" w:rsidTr="00C534F3">
        <w:tc>
          <w:tcPr>
            <w:tcW w:w="2825" w:type="dxa"/>
            <w:shd w:val="clear" w:color="auto" w:fill="FFFFFF" w:themeFill="background1"/>
            <w:hideMark/>
          </w:tcPr>
          <w:p w14:paraId="35BD7CD0" w14:textId="358CE5DC" w:rsidR="00495122" w:rsidRPr="00B425EF" w:rsidRDefault="00495122" w:rsidP="00D05B8F">
            <w:pPr>
              <w:pStyle w:val="TableText"/>
              <w:spacing w:before="40" w:after="40"/>
            </w:pPr>
            <w:r w:rsidRPr="00B425EF">
              <w:t xml:space="preserve">Do not amend the </w:t>
            </w:r>
            <w:r w:rsidR="00C661D2" w:rsidRPr="00B425EF">
              <w:t>Climate Change Response Act 2002</w:t>
            </w:r>
            <w:r w:rsidRPr="00B425EF">
              <w:t xml:space="preserve"> to require further reductions and removals post-2050 (status quo) </w:t>
            </w:r>
          </w:p>
        </w:tc>
        <w:tc>
          <w:tcPr>
            <w:tcW w:w="2987" w:type="dxa"/>
            <w:shd w:val="clear" w:color="auto" w:fill="FFFFFF" w:themeFill="background1"/>
            <w:hideMark/>
          </w:tcPr>
          <w:p w14:paraId="4169F8FA" w14:textId="795AEF20" w:rsidR="00495122" w:rsidRPr="00B425EF" w:rsidRDefault="00495122" w:rsidP="00D05B8F">
            <w:pPr>
              <w:pStyle w:val="TableText"/>
              <w:spacing w:before="40" w:after="40"/>
            </w:pPr>
            <w:r w:rsidRPr="00B425EF">
              <w:t xml:space="preserve">Amend the </w:t>
            </w:r>
            <w:r w:rsidR="00C661D2" w:rsidRPr="00B425EF">
              <w:t>Climate Change Response Act 2002</w:t>
            </w:r>
            <w:r w:rsidRPr="00B425EF">
              <w:t xml:space="preserve"> to require further reductions</w:t>
            </w:r>
            <w:r w:rsidR="00537313">
              <w:t xml:space="preserve"> and</w:t>
            </w:r>
            <w:r w:rsidRPr="00B425EF">
              <w:t xml:space="preserve"> removals post-2050</w:t>
            </w:r>
            <w:r w:rsidR="00565F52" w:rsidRPr="00B425EF">
              <w:t xml:space="preserve"> </w:t>
            </w:r>
            <w:r w:rsidRPr="00B425EF">
              <w:t>(Commission</w:t>
            </w:r>
            <w:r w:rsidR="00B43338">
              <w:t>’</w:t>
            </w:r>
            <w:r w:rsidRPr="00B425EF">
              <w:t>s recommendation) </w:t>
            </w:r>
          </w:p>
        </w:tc>
        <w:tc>
          <w:tcPr>
            <w:tcW w:w="2693" w:type="dxa"/>
            <w:shd w:val="clear" w:color="auto" w:fill="FFFFFF" w:themeFill="background1"/>
            <w:hideMark/>
          </w:tcPr>
          <w:p w14:paraId="19815841" w14:textId="77777777" w:rsidR="00495122" w:rsidRPr="00B425EF" w:rsidRDefault="00495122" w:rsidP="00D05B8F">
            <w:pPr>
              <w:pStyle w:val="TableText"/>
              <w:spacing w:before="40" w:after="40"/>
            </w:pPr>
            <w:r w:rsidRPr="00B425EF">
              <w:t>Defer decision to require further reductions and removals and review in 2036 </w:t>
            </w:r>
          </w:p>
        </w:tc>
      </w:tr>
    </w:tbl>
    <w:p w14:paraId="685E9BF2" w14:textId="123A84AA" w:rsidR="7097B464" w:rsidRPr="00B425EF" w:rsidRDefault="00A47A27" w:rsidP="00BE5175">
      <w:pPr>
        <w:pStyle w:val="Heading3"/>
        <w:spacing w:before="440"/>
      </w:pPr>
      <w:r w:rsidRPr="00B425EF">
        <w:lastRenderedPageBreak/>
        <w:t>Objectives used to evaluate options</w:t>
      </w:r>
    </w:p>
    <w:p w14:paraId="02C42410" w14:textId="22BF458A" w:rsidR="00495122" w:rsidRPr="00B425EF" w:rsidRDefault="00495122" w:rsidP="006843D3">
      <w:pPr>
        <w:pStyle w:val="BodyText"/>
      </w:pPr>
      <w:r w:rsidRPr="00B425EF">
        <w:t>The following objectives (</w:t>
      </w:r>
      <w:hyperlink w:anchor="tabA2_8" w:history="1">
        <w:r w:rsidRPr="00C079C5">
          <w:rPr>
            <w:rStyle w:val="Hyperlink"/>
          </w:rPr>
          <w:t>table A2.</w:t>
        </w:r>
        <w:r w:rsidR="001D4CA7" w:rsidRPr="00C079C5">
          <w:rPr>
            <w:rStyle w:val="Hyperlink"/>
          </w:rPr>
          <w:t>8</w:t>
        </w:r>
      </w:hyperlink>
      <w:r w:rsidRPr="00B425EF">
        <w:t>) were used to assess the Government’s option and the Commission’s recommendation. These objectives are broadly consistent with those used for evaluating biogenic methane and long-lived options.</w:t>
      </w:r>
    </w:p>
    <w:p w14:paraId="39A83322" w14:textId="375286E5" w:rsidR="00495122" w:rsidRPr="00B425EF" w:rsidRDefault="00495122" w:rsidP="005A0390">
      <w:pPr>
        <w:pStyle w:val="Tableheading"/>
      </w:pPr>
      <w:bookmarkStart w:id="40" w:name="tabA2_8"/>
      <w:bookmarkStart w:id="41" w:name="_Toc214537161"/>
      <w:r>
        <w:t>Table</w:t>
      </w:r>
      <w:r w:rsidR="006843D3">
        <w:t xml:space="preserve"> </w:t>
      </w:r>
      <w:r>
        <w:t>A2.</w:t>
      </w:r>
      <w:r w:rsidR="001D4CA7">
        <w:t>8</w:t>
      </w:r>
      <w:bookmarkEnd w:id="40"/>
      <w:r w:rsidR="006843D3">
        <w:t>:</w:t>
      </w:r>
      <w:r>
        <w:tab/>
      </w:r>
      <w:r w:rsidR="34291FAD">
        <w:t xml:space="preserve"> Objectives used in the assessment of post-2050 options analysis</w:t>
      </w:r>
      <w:bookmarkEnd w:id="41"/>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shd w:val="clear" w:color="auto" w:fill="FFFFFF" w:themeFill="background1"/>
        <w:tblCellMar>
          <w:left w:w="85" w:type="dxa"/>
          <w:right w:w="57" w:type="dxa"/>
        </w:tblCellMar>
        <w:tblLook w:val="04A0" w:firstRow="1" w:lastRow="0" w:firstColumn="1" w:lastColumn="0" w:noHBand="0" w:noVBand="1"/>
      </w:tblPr>
      <w:tblGrid>
        <w:gridCol w:w="3119"/>
        <w:gridCol w:w="1984"/>
        <w:gridCol w:w="3402"/>
      </w:tblGrid>
      <w:tr w:rsidR="005A0390" w:rsidRPr="005A0390" w14:paraId="5E8CA953" w14:textId="77777777" w:rsidTr="005A0390">
        <w:tc>
          <w:tcPr>
            <w:tcW w:w="3119" w:type="dxa"/>
            <w:tcBorders>
              <w:bottom w:val="single" w:sz="6" w:space="0" w:color="1B556B" w:themeColor="text2"/>
            </w:tcBorders>
            <w:shd w:val="clear" w:color="auto" w:fill="1B556B" w:themeFill="text2"/>
            <w:hideMark/>
          </w:tcPr>
          <w:p w14:paraId="04BE7779" w14:textId="7F4DDAE7" w:rsidR="00495122" w:rsidRPr="005A0390" w:rsidRDefault="00495122" w:rsidP="005E77C4">
            <w:pPr>
              <w:pStyle w:val="TableTextbold"/>
              <w:keepNext/>
              <w:spacing w:before="40" w:after="40"/>
              <w:rPr>
                <w:color w:val="FFFFFF" w:themeColor="background1"/>
              </w:rPr>
            </w:pPr>
            <w:r w:rsidRPr="005A0390">
              <w:rPr>
                <w:color w:val="FFFFFF" w:themeColor="background1"/>
              </w:rPr>
              <w:t>Objectives</w:t>
            </w:r>
          </w:p>
        </w:tc>
        <w:tc>
          <w:tcPr>
            <w:tcW w:w="1984" w:type="dxa"/>
            <w:tcBorders>
              <w:bottom w:val="single" w:sz="6" w:space="0" w:color="1B556B" w:themeColor="text2"/>
            </w:tcBorders>
            <w:shd w:val="clear" w:color="auto" w:fill="1B556B" w:themeFill="text2"/>
            <w:hideMark/>
          </w:tcPr>
          <w:p w14:paraId="19FA1874" w14:textId="4FDF0D9F" w:rsidR="00495122" w:rsidRPr="005A0390" w:rsidRDefault="00495122" w:rsidP="005E77C4">
            <w:pPr>
              <w:pStyle w:val="TableTextbold"/>
              <w:keepNext/>
              <w:spacing w:before="40" w:after="40"/>
              <w:rPr>
                <w:color w:val="FFFFFF" w:themeColor="background1"/>
              </w:rPr>
            </w:pPr>
            <w:r w:rsidRPr="005A0390">
              <w:rPr>
                <w:color w:val="FFFFFF" w:themeColor="background1"/>
              </w:rPr>
              <w:t>Criteri</w:t>
            </w:r>
            <w:r w:rsidR="00767845" w:rsidRPr="005A0390">
              <w:rPr>
                <w:color w:val="FFFFFF" w:themeColor="background1"/>
              </w:rPr>
              <w:t>a</w:t>
            </w:r>
          </w:p>
        </w:tc>
        <w:tc>
          <w:tcPr>
            <w:tcW w:w="3402" w:type="dxa"/>
            <w:tcBorders>
              <w:bottom w:val="single" w:sz="6" w:space="0" w:color="1B556B" w:themeColor="text2"/>
            </w:tcBorders>
            <w:shd w:val="clear" w:color="auto" w:fill="1B556B" w:themeFill="text2"/>
            <w:hideMark/>
          </w:tcPr>
          <w:p w14:paraId="2A88D629" w14:textId="2B914697" w:rsidR="00495122" w:rsidRPr="005A0390" w:rsidRDefault="00495122" w:rsidP="005E77C4">
            <w:pPr>
              <w:pStyle w:val="TableTextbold"/>
              <w:keepNext/>
              <w:spacing w:before="40" w:after="40"/>
              <w:rPr>
                <w:color w:val="FFFFFF" w:themeColor="background1"/>
              </w:rPr>
            </w:pPr>
            <w:r w:rsidRPr="005A0390">
              <w:rPr>
                <w:color w:val="FFFFFF" w:themeColor="background1"/>
              </w:rPr>
              <w:t>Description</w:t>
            </w:r>
          </w:p>
        </w:tc>
      </w:tr>
      <w:tr w:rsidR="00495122" w:rsidRPr="005A0390" w14:paraId="51F0239D" w14:textId="77777777" w:rsidTr="005A0390">
        <w:tc>
          <w:tcPr>
            <w:tcW w:w="3119" w:type="dxa"/>
            <w:hideMark/>
          </w:tcPr>
          <w:p w14:paraId="5548CB77" w14:textId="6208CF8F" w:rsidR="00495122" w:rsidRPr="005A0390" w:rsidRDefault="00495122" w:rsidP="005E77C4">
            <w:pPr>
              <w:pStyle w:val="TableText"/>
              <w:keepNext/>
              <w:spacing w:before="40" w:after="40"/>
            </w:pPr>
            <w:r w:rsidRPr="005A0390">
              <w:t>Alignment with the Government’s economic agenda</w:t>
            </w:r>
          </w:p>
        </w:tc>
        <w:tc>
          <w:tcPr>
            <w:tcW w:w="1984" w:type="dxa"/>
            <w:hideMark/>
          </w:tcPr>
          <w:p w14:paraId="64B266CD" w14:textId="429CE3B4" w:rsidR="00495122" w:rsidRPr="005A0390" w:rsidRDefault="00495122" w:rsidP="005E77C4">
            <w:pPr>
              <w:pStyle w:val="TableText"/>
              <w:keepNext/>
              <w:spacing w:before="40" w:after="40"/>
            </w:pPr>
            <w:r w:rsidRPr="005A0390">
              <w:t>Economic impact</w:t>
            </w:r>
          </w:p>
        </w:tc>
        <w:tc>
          <w:tcPr>
            <w:tcW w:w="3402" w:type="dxa"/>
            <w:hideMark/>
          </w:tcPr>
          <w:p w14:paraId="2B1EA6C2" w14:textId="43B69E2D" w:rsidR="00495122" w:rsidRPr="005A0390" w:rsidRDefault="00495122" w:rsidP="005E77C4">
            <w:pPr>
              <w:pStyle w:val="TableText"/>
              <w:keepNext/>
              <w:spacing w:before="40" w:after="40"/>
            </w:pPr>
            <w:r w:rsidRPr="005A0390">
              <w:t xml:space="preserve">Pros and cons of option and its alignment </w:t>
            </w:r>
            <w:r w:rsidR="00FA495B" w:rsidRPr="005A0390">
              <w:t xml:space="preserve">with the </w:t>
            </w:r>
            <w:r w:rsidRPr="005A0390">
              <w:t>Government’s economic growth agenda</w:t>
            </w:r>
          </w:p>
        </w:tc>
      </w:tr>
      <w:tr w:rsidR="00495122" w:rsidRPr="005A0390" w14:paraId="5F2B9905" w14:textId="77777777" w:rsidTr="005A0390">
        <w:tc>
          <w:tcPr>
            <w:tcW w:w="3119" w:type="dxa"/>
            <w:hideMark/>
          </w:tcPr>
          <w:p w14:paraId="04930E4A" w14:textId="59824033" w:rsidR="00495122" w:rsidRPr="005A0390" w:rsidRDefault="00495122" w:rsidP="00B938CA">
            <w:pPr>
              <w:pStyle w:val="TableText"/>
              <w:spacing w:before="40" w:after="40"/>
            </w:pPr>
            <w:r w:rsidRPr="005A0390">
              <w:t>Contributes to limiting the global average temperature increase to 1.5</w:t>
            </w:r>
            <w:r w:rsidR="00360D60" w:rsidRPr="005A0390">
              <w:t> </w:t>
            </w:r>
            <w:r w:rsidR="0026132E" w:rsidRPr="005A0390">
              <w:t>degrees Celsius</w:t>
            </w:r>
          </w:p>
        </w:tc>
        <w:tc>
          <w:tcPr>
            <w:tcW w:w="1984" w:type="dxa"/>
            <w:hideMark/>
          </w:tcPr>
          <w:p w14:paraId="1897CE9A" w14:textId="581755EC" w:rsidR="00495122" w:rsidRPr="005A0390" w:rsidRDefault="00495122" w:rsidP="00B938CA">
            <w:pPr>
              <w:pStyle w:val="TableText"/>
              <w:spacing w:before="40" w:after="40"/>
            </w:pPr>
            <w:r w:rsidRPr="005A0390">
              <w:t>Contribution to limiting warming to 1.5</w:t>
            </w:r>
            <w:r w:rsidR="00C33D95">
              <w:t xml:space="preserve"> </w:t>
            </w:r>
            <w:r w:rsidR="00C33D95" w:rsidRPr="005A0390">
              <w:t>degrees Celsius</w:t>
            </w:r>
            <w:r w:rsidR="00C33D95" w:rsidRPr="005A0390" w:rsidDel="00C33D95">
              <w:t xml:space="preserve"> </w:t>
            </w:r>
          </w:p>
        </w:tc>
        <w:tc>
          <w:tcPr>
            <w:tcW w:w="3402" w:type="dxa"/>
            <w:hideMark/>
          </w:tcPr>
          <w:p w14:paraId="12DDB9BF" w14:textId="02C02C3B" w:rsidR="00495122" w:rsidRPr="005A0390" w:rsidRDefault="00495122" w:rsidP="00B938CA">
            <w:pPr>
              <w:pStyle w:val="TableText"/>
              <w:spacing w:before="40" w:after="40"/>
            </w:pPr>
            <w:r w:rsidRPr="005A0390">
              <w:t>Pros and cons of option and its contribution to limiting warming to 1.5</w:t>
            </w:r>
            <w:r w:rsidR="00C33D95">
              <w:t xml:space="preserve"> </w:t>
            </w:r>
            <w:r w:rsidR="00C33D95" w:rsidRPr="005A0390">
              <w:t>degrees Celsius</w:t>
            </w:r>
            <w:r w:rsidR="00C33D95" w:rsidRPr="005A0390" w:rsidDel="00C33D95">
              <w:t xml:space="preserve"> </w:t>
            </w:r>
          </w:p>
        </w:tc>
      </w:tr>
      <w:tr w:rsidR="00495122" w:rsidRPr="005A0390" w14:paraId="6688CC9F" w14:textId="77777777" w:rsidTr="005A0390">
        <w:tc>
          <w:tcPr>
            <w:tcW w:w="3119" w:type="dxa"/>
            <w:hideMark/>
          </w:tcPr>
          <w:p w14:paraId="269A3D58" w14:textId="2F289A5D" w:rsidR="00495122" w:rsidRPr="005A0390" w:rsidRDefault="00495122" w:rsidP="00B938CA">
            <w:pPr>
              <w:pStyle w:val="TableText"/>
              <w:spacing w:before="40" w:after="40"/>
            </w:pPr>
            <w:r w:rsidRPr="005A0390">
              <w:t>The target can be feasibly implemented and support N</w:t>
            </w:r>
            <w:r w:rsidR="00A6432E" w:rsidRPr="005A0390">
              <w:t xml:space="preserve">ew </w:t>
            </w:r>
            <w:r w:rsidRPr="005A0390">
              <w:t>Z</w:t>
            </w:r>
            <w:r w:rsidR="00A6432E" w:rsidRPr="005A0390">
              <w:t>ealand</w:t>
            </w:r>
            <w:r w:rsidR="00196EC4" w:rsidRPr="005A0390">
              <w:t>’</w:t>
            </w:r>
            <w:r w:rsidRPr="005A0390">
              <w:t>s transition to net</w:t>
            </w:r>
            <w:r w:rsidR="00A6432E" w:rsidRPr="005A0390">
              <w:t xml:space="preserve"> </w:t>
            </w:r>
            <w:r w:rsidRPr="005A0390">
              <w:t>zero by 2050</w:t>
            </w:r>
          </w:p>
        </w:tc>
        <w:tc>
          <w:tcPr>
            <w:tcW w:w="1984" w:type="dxa"/>
            <w:hideMark/>
          </w:tcPr>
          <w:p w14:paraId="06301B5C" w14:textId="2947184D" w:rsidR="00495122" w:rsidRPr="005A0390" w:rsidRDefault="00495122" w:rsidP="00B938CA">
            <w:pPr>
              <w:pStyle w:val="TableText"/>
              <w:spacing w:before="40" w:after="40"/>
            </w:pPr>
            <w:r w:rsidRPr="005A0390">
              <w:t>Achievable pathway,</w:t>
            </w:r>
            <w:r w:rsidR="006843D3" w:rsidRPr="005A0390">
              <w:t xml:space="preserve"> </w:t>
            </w:r>
            <w:r w:rsidRPr="005A0390">
              <w:t>likely policy implications</w:t>
            </w:r>
          </w:p>
        </w:tc>
        <w:tc>
          <w:tcPr>
            <w:tcW w:w="3402" w:type="dxa"/>
            <w:hideMark/>
          </w:tcPr>
          <w:p w14:paraId="7E964959" w14:textId="76D66A4D" w:rsidR="00495122" w:rsidRPr="005A0390" w:rsidRDefault="00495122" w:rsidP="00B938CA">
            <w:pPr>
              <w:pStyle w:val="TableText"/>
              <w:spacing w:before="40" w:after="40"/>
            </w:pPr>
            <w:r w:rsidRPr="005A0390">
              <w:t>Pros and cons of option implementation feasibility</w:t>
            </w:r>
          </w:p>
        </w:tc>
      </w:tr>
    </w:tbl>
    <w:p w14:paraId="5506FEE5" w14:textId="77777777" w:rsidR="004E2383" w:rsidRPr="00B425EF" w:rsidRDefault="004E2383" w:rsidP="006843D3">
      <w:pPr>
        <w:pStyle w:val="Heading3"/>
        <w:spacing w:before="440"/>
      </w:pPr>
      <w:r w:rsidRPr="00B425EF">
        <w:t xml:space="preserve">Summary of options analysis </w:t>
      </w:r>
    </w:p>
    <w:p w14:paraId="2A2CD7D3" w14:textId="05163C50" w:rsidR="7097B464" w:rsidRPr="00B425EF" w:rsidRDefault="004E2383" w:rsidP="00B938CA">
      <w:pPr>
        <w:pStyle w:val="BodyText"/>
      </w:pPr>
      <w:r w:rsidRPr="00B425EF">
        <w:t>The following section summar</w:t>
      </w:r>
      <w:r w:rsidR="00A6432E" w:rsidRPr="00B425EF">
        <w:t>ises</w:t>
      </w:r>
      <w:r w:rsidRPr="00B425EF">
        <w:t xml:space="preserve"> </w:t>
      </w:r>
      <w:r w:rsidR="00A6432E" w:rsidRPr="00B425EF">
        <w:t xml:space="preserve">the </w:t>
      </w:r>
      <w:r w:rsidRPr="00B425EF">
        <w:t>analysis (</w:t>
      </w:r>
      <w:hyperlink w:anchor="tabA2_9" w:history="1">
        <w:r w:rsidRPr="00B15B12">
          <w:rPr>
            <w:rStyle w:val="Hyperlink"/>
          </w:rPr>
          <w:t>table A2.</w:t>
        </w:r>
        <w:r w:rsidR="001D4CA7" w:rsidRPr="00B15B12">
          <w:rPr>
            <w:rStyle w:val="Hyperlink"/>
          </w:rPr>
          <w:t>9</w:t>
        </w:r>
      </w:hyperlink>
      <w:r w:rsidRPr="00B425EF">
        <w:t>) undertaken by the Government on</w:t>
      </w:r>
      <w:r w:rsidR="004D09A6" w:rsidRPr="00B425EF">
        <w:t> </w:t>
      </w:r>
      <w:r w:rsidRPr="00B425EF">
        <w:t xml:space="preserve">option one (option agreed to by </w:t>
      </w:r>
      <w:r w:rsidR="00FA495B">
        <w:t xml:space="preserve">the </w:t>
      </w:r>
      <w:r w:rsidRPr="00B425EF">
        <w:t>Government) and option two (the Commission’s recommendation).</w:t>
      </w:r>
    </w:p>
    <w:p w14:paraId="6CFA1E55" w14:textId="665B044C" w:rsidR="004E2383" w:rsidRPr="00B425EF" w:rsidRDefault="004E2383" w:rsidP="005A0390">
      <w:pPr>
        <w:pStyle w:val="Tableheading"/>
        <w:spacing w:line="240" w:lineRule="atLeast"/>
      </w:pPr>
      <w:bookmarkStart w:id="42" w:name="tabA2_9"/>
      <w:bookmarkStart w:id="43" w:name="_Toc214537162"/>
      <w:r>
        <w:t>Table</w:t>
      </w:r>
      <w:r w:rsidR="006843D3">
        <w:t xml:space="preserve"> </w:t>
      </w:r>
      <w:r>
        <w:t>A2.</w:t>
      </w:r>
      <w:bookmarkEnd w:id="42"/>
      <w:r w:rsidR="001D4CA7">
        <w:t>9</w:t>
      </w:r>
      <w:r>
        <w:t>:</w:t>
      </w:r>
      <w:r>
        <w:tab/>
        <w:t>Summary of analysis</w:t>
      </w:r>
      <w:r w:rsidR="00535909">
        <w:t xml:space="preserve"> </w:t>
      </w:r>
      <w:r>
        <w:t>of</w:t>
      </w:r>
      <w:r w:rsidR="00535909">
        <w:t xml:space="preserve"> </w:t>
      </w:r>
      <w:r w:rsidR="00B15B12">
        <w:t xml:space="preserve">the </w:t>
      </w:r>
      <w:r>
        <w:t>Government</w:t>
      </w:r>
      <w:r w:rsidR="004D09A6">
        <w:t>’</w:t>
      </w:r>
      <w:r>
        <w:t>s</w:t>
      </w:r>
      <w:r w:rsidR="00932B46">
        <w:t xml:space="preserve"> </w:t>
      </w:r>
      <w:r>
        <w:t>option</w:t>
      </w:r>
      <w:r w:rsidR="006843D3">
        <w:t xml:space="preserve"> </w:t>
      </w:r>
      <w:r>
        <w:t>and</w:t>
      </w:r>
      <w:r w:rsidR="00B15B12">
        <w:t> </w:t>
      </w:r>
      <w:r>
        <w:t>the</w:t>
      </w:r>
      <w:r w:rsidR="00B15B12">
        <w:t> </w:t>
      </w:r>
      <w:r>
        <w:t>Climate</w:t>
      </w:r>
      <w:r w:rsidR="00932B46">
        <w:t xml:space="preserve"> </w:t>
      </w:r>
      <w:r>
        <w:t>Change Commission’s</w:t>
      </w:r>
      <w:r w:rsidR="00F13342">
        <w:t xml:space="preserve"> </w:t>
      </w:r>
      <w:r>
        <w:t>recommendation</w:t>
      </w:r>
      <w:bookmarkEnd w:id="43"/>
    </w:p>
    <w:tbl>
      <w:tblPr>
        <w:tblW w:w="8505" w:type="dxa"/>
        <w:tblBorders>
          <w:top w:val="single" w:sz="6" w:space="0" w:color="1B556B" w:themeColor="text2"/>
          <w:bottom w:val="single" w:sz="6" w:space="0" w:color="1B556B" w:themeColor="text2"/>
          <w:insideH w:val="single" w:sz="6" w:space="0" w:color="1B556B" w:themeColor="text2"/>
          <w:insideV w:val="single" w:sz="6" w:space="0" w:color="1B556B" w:themeColor="text2"/>
        </w:tblBorders>
        <w:tblCellMar>
          <w:left w:w="85" w:type="dxa"/>
          <w:right w:w="85" w:type="dxa"/>
        </w:tblCellMar>
        <w:tblLook w:val="04A0" w:firstRow="1" w:lastRow="0" w:firstColumn="1" w:lastColumn="0" w:noHBand="0" w:noVBand="1"/>
      </w:tblPr>
      <w:tblGrid>
        <w:gridCol w:w="1843"/>
        <w:gridCol w:w="2977"/>
        <w:gridCol w:w="3685"/>
      </w:tblGrid>
      <w:tr w:rsidR="005A0390" w:rsidRPr="005A0390" w14:paraId="7643358C" w14:textId="77777777" w:rsidTr="02B0B2F2">
        <w:tc>
          <w:tcPr>
            <w:tcW w:w="1843" w:type="dxa"/>
            <w:shd w:val="clear" w:color="auto" w:fill="1B556B" w:themeFill="text2"/>
            <w:vAlign w:val="bottom"/>
            <w:hideMark/>
          </w:tcPr>
          <w:p w14:paraId="5E94FEAB" w14:textId="09F25423" w:rsidR="004E2383" w:rsidRPr="005A0390" w:rsidRDefault="004E2383" w:rsidP="009C4A11">
            <w:pPr>
              <w:pStyle w:val="TableTextbold"/>
              <w:spacing w:before="40" w:after="40"/>
              <w:rPr>
                <w:color w:val="FFFFFF" w:themeColor="background1"/>
              </w:rPr>
            </w:pPr>
            <w:r w:rsidRPr="005A0390">
              <w:rPr>
                <w:color w:val="FFFFFF" w:themeColor="background1"/>
              </w:rPr>
              <w:t>Objective</w:t>
            </w:r>
          </w:p>
        </w:tc>
        <w:tc>
          <w:tcPr>
            <w:tcW w:w="2977" w:type="dxa"/>
            <w:shd w:val="clear" w:color="auto" w:fill="1B556B" w:themeFill="text2"/>
            <w:vAlign w:val="bottom"/>
            <w:hideMark/>
          </w:tcPr>
          <w:p w14:paraId="14FADB03" w14:textId="411471E6" w:rsidR="004E2383" w:rsidRPr="005A0390" w:rsidRDefault="004E2383" w:rsidP="009C4A11">
            <w:pPr>
              <w:pStyle w:val="TableTextbold"/>
              <w:spacing w:before="40" w:after="40"/>
              <w:rPr>
                <w:color w:val="FFFFFF" w:themeColor="background1"/>
              </w:rPr>
            </w:pPr>
            <w:r w:rsidRPr="005A0390">
              <w:rPr>
                <w:color w:val="FFFFFF" w:themeColor="background1"/>
              </w:rPr>
              <w:t xml:space="preserve">Option 1: Do not amend the </w:t>
            </w:r>
            <w:r w:rsidR="005E77C4" w:rsidRPr="005A0390">
              <w:rPr>
                <w:color w:val="FFFFFF" w:themeColor="background1"/>
              </w:rPr>
              <w:t xml:space="preserve">CCRA </w:t>
            </w:r>
            <w:r w:rsidRPr="005A0390">
              <w:rPr>
                <w:color w:val="FFFFFF" w:themeColor="background1"/>
              </w:rPr>
              <w:t>to</w:t>
            </w:r>
            <w:r w:rsidR="00907CC9">
              <w:rPr>
                <w:color w:val="FFFFFF" w:themeColor="background1"/>
              </w:rPr>
              <w:t> </w:t>
            </w:r>
            <w:r w:rsidRPr="005A0390">
              <w:rPr>
                <w:color w:val="FFFFFF" w:themeColor="background1"/>
              </w:rPr>
              <w:t xml:space="preserve">require further reductions and removals post-2050 </w:t>
            </w:r>
            <w:r w:rsidR="00767845" w:rsidRPr="005A0390">
              <w:rPr>
                <w:color w:val="FFFFFF" w:themeColor="background1"/>
              </w:rPr>
              <w:br/>
            </w:r>
            <w:r w:rsidRPr="005A0390">
              <w:rPr>
                <w:color w:val="FFFFFF" w:themeColor="background1"/>
              </w:rPr>
              <w:t>(Government’s option)</w:t>
            </w:r>
          </w:p>
        </w:tc>
        <w:tc>
          <w:tcPr>
            <w:tcW w:w="3685" w:type="dxa"/>
            <w:shd w:val="clear" w:color="auto" w:fill="1B556B" w:themeFill="text2"/>
            <w:vAlign w:val="bottom"/>
            <w:hideMark/>
          </w:tcPr>
          <w:p w14:paraId="76B0C359" w14:textId="1002A775" w:rsidR="004E2383" w:rsidRPr="005A0390" w:rsidRDefault="004E2383" w:rsidP="009C4A11">
            <w:pPr>
              <w:pStyle w:val="TableTextbold"/>
              <w:spacing w:before="40" w:after="40"/>
              <w:rPr>
                <w:color w:val="FFFFFF" w:themeColor="background1"/>
              </w:rPr>
            </w:pPr>
            <w:r w:rsidRPr="005A0390">
              <w:rPr>
                <w:color w:val="FFFFFF" w:themeColor="background1"/>
              </w:rPr>
              <w:t xml:space="preserve">Option 2: Amend the </w:t>
            </w:r>
            <w:r w:rsidR="007D4012" w:rsidRPr="005A0390">
              <w:rPr>
                <w:color w:val="FFFFFF" w:themeColor="background1"/>
              </w:rPr>
              <w:t xml:space="preserve">CCRA </w:t>
            </w:r>
            <w:r w:rsidRPr="005A0390">
              <w:rPr>
                <w:color w:val="FFFFFF" w:themeColor="background1"/>
              </w:rPr>
              <w:t xml:space="preserve">to require further reductions </w:t>
            </w:r>
            <w:r w:rsidR="00537313" w:rsidRPr="005A0390">
              <w:rPr>
                <w:color w:val="FFFFFF" w:themeColor="background1"/>
              </w:rPr>
              <w:t xml:space="preserve">and </w:t>
            </w:r>
            <w:r w:rsidRPr="005A0390">
              <w:rPr>
                <w:color w:val="FFFFFF" w:themeColor="background1"/>
              </w:rPr>
              <w:t>removals post-2050</w:t>
            </w:r>
            <w:r w:rsidR="00A357D8" w:rsidRPr="005A0390">
              <w:rPr>
                <w:color w:val="FFFFFF" w:themeColor="background1"/>
              </w:rPr>
              <w:t xml:space="preserve"> </w:t>
            </w:r>
            <w:r w:rsidR="00767845">
              <w:br/>
            </w:r>
            <w:r w:rsidRPr="005A0390">
              <w:rPr>
                <w:color w:val="FFFFFF" w:themeColor="background1"/>
              </w:rPr>
              <w:t xml:space="preserve">( </w:t>
            </w:r>
            <w:r w:rsidRPr="55DF9C15">
              <w:rPr>
                <w:color w:val="FFFFFF" w:themeColor="background1"/>
              </w:rPr>
              <w:t>Commission</w:t>
            </w:r>
            <w:r w:rsidR="5558F09F" w:rsidRPr="55DF9C15">
              <w:rPr>
                <w:color w:val="FFFFFF" w:themeColor="background1"/>
              </w:rPr>
              <w:t>’s recommendation</w:t>
            </w:r>
            <w:r w:rsidRPr="005A0390">
              <w:rPr>
                <w:color w:val="FFFFFF" w:themeColor="background1"/>
              </w:rPr>
              <w:t>)</w:t>
            </w:r>
          </w:p>
        </w:tc>
      </w:tr>
      <w:tr w:rsidR="00F20BC5" w:rsidRPr="005A0390" w14:paraId="1C1D3AA2" w14:textId="77777777" w:rsidTr="02B0B2F2">
        <w:tc>
          <w:tcPr>
            <w:tcW w:w="1843" w:type="dxa"/>
            <w:hideMark/>
          </w:tcPr>
          <w:p w14:paraId="0B6A44C2" w14:textId="3E9BBCAB" w:rsidR="004E2383" w:rsidRPr="005A0390" w:rsidRDefault="004E2383" w:rsidP="009C4A11">
            <w:pPr>
              <w:pStyle w:val="TableText"/>
              <w:spacing w:before="40" w:after="40"/>
            </w:pPr>
            <w:r w:rsidRPr="005A0390">
              <w:t>Alignment with the Government’s economic agenda</w:t>
            </w:r>
          </w:p>
        </w:tc>
        <w:tc>
          <w:tcPr>
            <w:tcW w:w="2977" w:type="dxa"/>
            <w:hideMark/>
          </w:tcPr>
          <w:p w14:paraId="06DC7490" w14:textId="67E9281B" w:rsidR="004E2383" w:rsidRPr="005A0390" w:rsidRDefault="004E2383" w:rsidP="009C4A11">
            <w:pPr>
              <w:pStyle w:val="TableText"/>
              <w:spacing w:before="40" w:after="40"/>
            </w:pPr>
            <w:r w:rsidRPr="005A0390">
              <w:t xml:space="preserve">No additional costs compared </w:t>
            </w:r>
            <w:r w:rsidR="002E007E" w:rsidRPr="005A0390">
              <w:t>with</w:t>
            </w:r>
            <w:r w:rsidRPr="005A0390">
              <w:t xml:space="preserve"> the status quo.</w:t>
            </w:r>
          </w:p>
          <w:p w14:paraId="3C37A953" w14:textId="02290215" w:rsidR="004E2383" w:rsidRPr="005A0390" w:rsidRDefault="004E2383" w:rsidP="009C4A11">
            <w:pPr>
              <w:pStyle w:val="TableText"/>
              <w:spacing w:before="40" w:after="40"/>
            </w:pPr>
            <w:r w:rsidRPr="005A0390">
              <w:t>However, could miss long-term investment signals for some sectors (such as forestry).</w:t>
            </w:r>
          </w:p>
        </w:tc>
        <w:tc>
          <w:tcPr>
            <w:tcW w:w="3685" w:type="dxa"/>
            <w:hideMark/>
          </w:tcPr>
          <w:p w14:paraId="3E67AEC4" w14:textId="0709D201" w:rsidR="004E2383" w:rsidRPr="005A0390" w:rsidRDefault="004E2383" w:rsidP="009C4A11">
            <w:pPr>
              <w:pStyle w:val="TableText"/>
              <w:spacing w:before="40" w:after="40"/>
            </w:pPr>
            <w:r w:rsidRPr="005A0390">
              <w:t xml:space="preserve">May provide clear long-term direction for industry and investment. Supports long-term economic transformation. </w:t>
            </w:r>
            <w:r w:rsidR="0093573D" w:rsidRPr="005A0390">
              <w:t>S</w:t>
            </w:r>
            <w:r w:rsidRPr="005A0390">
              <w:t xml:space="preserve">ome long-term benefits </w:t>
            </w:r>
            <w:r w:rsidR="0093573D" w:rsidRPr="005A0390">
              <w:t xml:space="preserve">may occur </w:t>
            </w:r>
            <w:r w:rsidRPr="005A0390">
              <w:t>from transitioning early.</w:t>
            </w:r>
          </w:p>
          <w:p w14:paraId="2AA87856" w14:textId="78F697FD" w:rsidR="004E2383" w:rsidRPr="005A0390" w:rsidRDefault="004E2383" w:rsidP="009C4A11">
            <w:pPr>
              <w:pStyle w:val="TableText"/>
              <w:spacing w:before="40" w:after="40"/>
            </w:pPr>
            <w:r w:rsidRPr="005A0390">
              <w:t>However, may impose economic costs and adjustment to some sectors.</w:t>
            </w:r>
          </w:p>
        </w:tc>
      </w:tr>
      <w:tr w:rsidR="00F20BC5" w:rsidRPr="005A0390" w14:paraId="1C7C3147" w14:textId="77777777" w:rsidTr="02B0B2F2">
        <w:tc>
          <w:tcPr>
            <w:tcW w:w="1843" w:type="dxa"/>
            <w:hideMark/>
          </w:tcPr>
          <w:p w14:paraId="285F25F4" w14:textId="5CD0A3A1" w:rsidR="004E2383" w:rsidRPr="005A0390" w:rsidRDefault="004E2383" w:rsidP="009C4A11">
            <w:pPr>
              <w:pStyle w:val="TableText"/>
              <w:spacing w:before="40" w:after="40"/>
            </w:pPr>
            <w:r w:rsidRPr="005A0390">
              <w:t>Contributes to limiting the global average temperature</w:t>
            </w:r>
          </w:p>
        </w:tc>
        <w:tc>
          <w:tcPr>
            <w:tcW w:w="2977" w:type="dxa"/>
            <w:hideMark/>
          </w:tcPr>
          <w:p w14:paraId="653FD7F5" w14:textId="12571583" w:rsidR="004E2383" w:rsidRPr="005A0390" w:rsidRDefault="004E2383" w:rsidP="009C4A11">
            <w:pPr>
              <w:pStyle w:val="TableText"/>
              <w:spacing w:before="40" w:after="40"/>
            </w:pPr>
            <w:r w:rsidRPr="005A0390">
              <w:t>Focus on short-term actions.</w:t>
            </w:r>
          </w:p>
          <w:p w14:paraId="5D4CB56F" w14:textId="1D4447BF" w:rsidR="004E2383" w:rsidRPr="005A0390" w:rsidRDefault="004E2383" w:rsidP="009C4A11">
            <w:pPr>
              <w:pStyle w:val="TableText"/>
              <w:spacing w:before="40" w:after="40"/>
            </w:pPr>
            <w:r w:rsidRPr="005A0390">
              <w:t>Early action may not be necessary.</w:t>
            </w:r>
          </w:p>
          <w:p w14:paraId="62D93E96" w14:textId="5F813F47" w:rsidR="004E2383" w:rsidRPr="005A0390" w:rsidRDefault="004E2383" w:rsidP="009C4A11">
            <w:pPr>
              <w:pStyle w:val="TableText"/>
              <w:spacing w:before="40" w:after="40"/>
            </w:pPr>
            <w:r w:rsidRPr="005A0390">
              <w:t>No increased contribution to limiting warming beyond the status quo.</w:t>
            </w:r>
          </w:p>
        </w:tc>
        <w:tc>
          <w:tcPr>
            <w:tcW w:w="3685" w:type="dxa"/>
            <w:hideMark/>
          </w:tcPr>
          <w:p w14:paraId="4342E379" w14:textId="1ECA1FF2" w:rsidR="004E2383" w:rsidRPr="005A0390" w:rsidRDefault="004E2383" w:rsidP="009C4A11">
            <w:pPr>
              <w:pStyle w:val="TableText"/>
              <w:spacing w:before="40" w:after="40"/>
            </w:pPr>
            <w:r w:rsidRPr="005A0390">
              <w:t>May demonstrate leadership on climate action. May encourage more innovation and early adoption of removal technology. Aligns with evidence that reductions are needed beyond 2050. Increased contribution to 1.5</w:t>
            </w:r>
            <w:r w:rsidR="00360D60" w:rsidRPr="005A0390">
              <w:t> </w:t>
            </w:r>
            <w:r w:rsidR="0026132E" w:rsidRPr="005A0390">
              <w:t>degrees Celsius</w:t>
            </w:r>
            <w:r w:rsidRPr="005A0390">
              <w:t>.</w:t>
            </w:r>
          </w:p>
          <w:p w14:paraId="781D70C5" w14:textId="3CCB0B0B" w:rsidR="004E2383" w:rsidRPr="005A0390" w:rsidRDefault="004E2383" w:rsidP="009C4A11">
            <w:pPr>
              <w:pStyle w:val="TableText"/>
              <w:spacing w:before="40" w:after="40"/>
            </w:pPr>
            <w:r w:rsidRPr="005A0390">
              <w:t>May lock in approaches that later prove to be misaligned with future collective action or technological capabilities, limiting our ability to adapt or take advantage of new opportunities.</w:t>
            </w:r>
          </w:p>
        </w:tc>
      </w:tr>
      <w:tr w:rsidR="00F20BC5" w:rsidRPr="005A0390" w14:paraId="474D9E5F" w14:textId="77777777" w:rsidTr="02B0B2F2">
        <w:tc>
          <w:tcPr>
            <w:tcW w:w="1843" w:type="dxa"/>
            <w:hideMark/>
          </w:tcPr>
          <w:p w14:paraId="637B2012" w14:textId="6A556D5D" w:rsidR="004E2383" w:rsidRPr="005A0390" w:rsidRDefault="004E2383" w:rsidP="009C4A11">
            <w:pPr>
              <w:pStyle w:val="TableText"/>
              <w:spacing w:before="40" w:after="40"/>
            </w:pPr>
            <w:r w:rsidRPr="005A0390">
              <w:t>The target can be feasibly implemented and support N</w:t>
            </w:r>
            <w:r w:rsidR="007D4012" w:rsidRPr="005A0390">
              <w:t xml:space="preserve">ew </w:t>
            </w:r>
            <w:r w:rsidRPr="005A0390">
              <w:t>Z</w:t>
            </w:r>
            <w:r w:rsidR="007D4012" w:rsidRPr="005A0390">
              <w:t>ealand</w:t>
            </w:r>
            <w:r w:rsidR="00196EC4" w:rsidRPr="005A0390">
              <w:t>’</w:t>
            </w:r>
            <w:r w:rsidRPr="005A0390">
              <w:t>s transition to 2050</w:t>
            </w:r>
          </w:p>
        </w:tc>
        <w:tc>
          <w:tcPr>
            <w:tcW w:w="2977" w:type="dxa"/>
            <w:hideMark/>
          </w:tcPr>
          <w:p w14:paraId="058A43FC" w14:textId="2C550C97" w:rsidR="004E2383" w:rsidRPr="005A0390" w:rsidRDefault="004E2383" w:rsidP="009C4A11">
            <w:pPr>
              <w:pStyle w:val="TableText"/>
              <w:spacing w:before="40" w:after="40"/>
            </w:pPr>
            <w:r w:rsidRPr="005A0390">
              <w:t>Allows time for technological development, future decision-making</w:t>
            </w:r>
            <w:r w:rsidR="009C4A11" w:rsidRPr="005A0390">
              <w:t xml:space="preserve"> </w:t>
            </w:r>
            <w:r w:rsidRPr="005A0390">
              <w:t>and international context to evolve.</w:t>
            </w:r>
          </w:p>
          <w:p w14:paraId="245ECE2D" w14:textId="38BD4093" w:rsidR="004E2383" w:rsidRPr="005A0390" w:rsidRDefault="004E2383" w:rsidP="009C4A11">
            <w:pPr>
              <w:pStyle w:val="TableText"/>
              <w:spacing w:before="40" w:after="40"/>
            </w:pPr>
            <w:r w:rsidRPr="005A0390">
              <w:t>Supports short-term policy stability.</w:t>
            </w:r>
          </w:p>
          <w:p w14:paraId="64184D97" w14:textId="1F7D7AF9" w:rsidR="004E2383" w:rsidRPr="005A0390" w:rsidRDefault="004E2383" w:rsidP="009C4A11">
            <w:pPr>
              <w:pStyle w:val="TableText"/>
              <w:spacing w:before="40" w:after="40"/>
            </w:pPr>
            <w:r w:rsidRPr="005A0390">
              <w:lastRenderedPageBreak/>
              <w:t>However, may miss an opportunity for early innovation in emissions reduction technologies.</w:t>
            </w:r>
          </w:p>
        </w:tc>
        <w:tc>
          <w:tcPr>
            <w:tcW w:w="3685" w:type="dxa"/>
            <w:hideMark/>
          </w:tcPr>
          <w:p w14:paraId="1365915E" w14:textId="542C02D5" w:rsidR="004E2383" w:rsidRPr="005A0390" w:rsidRDefault="004E2383" w:rsidP="009C4A11">
            <w:pPr>
              <w:pStyle w:val="TableText"/>
              <w:spacing w:before="40" w:after="40"/>
            </w:pPr>
            <w:r w:rsidRPr="005A0390">
              <w:rPr>
                <w:spacing w:val="-2"/>
              </w:rPr>
              <w:lastRenderedPageBreak/>
              <w:t>Provides a clear policy signal</w:t>
            </w:r>
            <w:r w:rsidR="3DDF2641" w:rsidRPr="005A0390">
              <w:rPr>
                <w:spacing w:val="-2"/>
              </w:rPr>
              <w:t>,</w:t>
            </w:r>
            <w:r w:rsidRPr="005A0390">
              <w:rPr>
                <w:spacing w:val="-2"/>
              </w:rPr>
              <w:t xml:space="preserve"> which may accelerate planning. Requires a flexible approach to new technologies and international</w:t>
            </w:r>
            <w:r w:rsidR="3246B22F" w:rsidRPr="005A0390">
              <w:rPr>
                <w:spacing w:val="-2"/>
              </w:rPr>
              <w:t xml:space="preserve"> </w:t>
            </w:r>
            <w:r w:rsidRPr="005A0390">
              <w:t>context but is already part of climate policy.</w:t>
            </w:r>
          </w:p>
          <w:p w14:paraId="57A09A55" w14:textId="3782B01F" w:rsidR="004E2383" w:rsidRPr="005A0390" w:rsidRDefault="004E2383" w:rsidP="009C4A11">
            <w:pPr>
              <w:pStyle w:val="TableText"/>
              <w:spacing w:before="40" w:after="40"/>
            </w:pPr>
            <w:r w:rsidRPr="005A0390">
              <w:t>Risks being early if the international and technological context is different in 2050.</w:t>
            </w:r>
            <w:r w:rsidR="006843D3" w:rsidRPr="005A0390">
              <w:t xml:space="preserve"> </w:t>
            </w:r>
            <w:r w:rsidRPr="005A0390">
              <w:t xml:space="preserve">May </w:t>
            </w:r>
            <w:r w:rsidRPr="005A0390">
              <w:lastRenderedPageBreak/>
              <w:t>be perceived as diluting focus from nearer term efforts. May require broader shifts in domestic policy</w:t>
            </w:r>
            <w:r w:rsidR="00F97592" w:rsidRPr="005A0390">
              <w:t>,</w:t>
            </w:r>
            <w:r w:rsidRPr="005A0390">
              <w:t xml:space="preserve"> which may benefit from a staged</w:t>
            </w:r>
            <w:r w:rsidR="00273B53" w:rsidRPr="005A0390">
              <w:t xml:space="preserve"> </w:t>
            </w:r>
            <w:r w:rsidRPr="005A0390">
              <w:t>approach.</w:t>
            </w:r>
          </w:p>
        </w:tc>
      </w:tr>
    </w:tbl>
    <w:p w14:paraId="6E7569C6" w14:textId="72C75125" w:rsidR="004E2383" w:rsidRDefault="00F97592" w:rsidP="02B0B2F2">
      <w:pPr>
        <w:pStyle w:val="Note"/>
      </w:pPr>
      <w:r>
        <w:lastRenderedPageBreak/>
        <w:t xml:space="preserve">Note: CCRA = </w:t>
      </w:r>
      <w:r w:rsidR="00B41AB0">
        <w:t xml:space="preserve">Climate Change Response Act 2002. </w:t>
      </w:r>
    </w:p>
    <w:sectPr w:rsidR="004E2383" w:rsidSect="00565F52">
      <w:footerReference w:type="even" r:id="rId25"/>
      <w:footerReference w:type="default" r:id="rId26"/>
      <w:pgSz w:w="11907" w:h="16839"/>
      <w:pgMar w:top="1134" w:right="170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9C8EE" w14:textId="77777777" w:rsidR="00520FB7" w:rsidRDefault="00520FB7" w:rsidP="00F67992">
      <w:pPr>
        <w:spacing w:after="0" w:line="240" w:lineRule="auto"/>
      </w:pPr>
      <w:r>
        <w:separator/>
      </w:r>
    </w:p>
  </w:endnote>
  <w:endnote w:type="continuationSeparator" w:id="0">
    <w:p w14:paraId="29D60B07" w14:textId="77777777" w:rsidR="00520FB7" w:rsidRDefault="00520FB7" w:rsidP="00F6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7444" w14:textId="3706C1B1" w:rsidR="0034065E" w:rsidRDefault="23AEC135" w:rsidP="23AEC135">
    <w:pPr>
      <w:pStyle w:val="Header"/>
    </w:pPr>
    <w:r>
      <w:t>IN CONFIDENCE</w:t>
    </w:r>
  </w:p>
  <w:p w14:paraId="3D38703F" w14:textId="5BA3488E" w:rsidR="0034065E" w:rsidRDefault="00340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68E5" w14:textId="72D52D95" w:rsidR="0034065E" w:rsidRDefault="23AEC135" w:rsidP="23AEC135">
    <w:pPr>
      <w:pStyle w:val="Header"/>
    </w:pPr>
    <w:r>
      <w:t>IN CONFIDENCE</w:t>
    </w:r>
  </w:p>
  <w:p w14:paraId="0BA275BD" w14:textId="7A6AAE32" w:rsidR="0034065E" w:rsidRDefault="003406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61C2" w14:textId="76DE7C4C" w:rsidR="002D05EC" w:rsidRPr="00FA5627" w:rsidRDefault="002D05EC" w:rsidP="00FA56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9182" w14:textId="527607E2" w:rsidR="002D05EC" w:rsidRDefault="00F63FE5" w:rsidP="00F63FE5">
    <w:pPr>
      <w:pStyle w:val="Footerodd"/>
    </w:pPr>
    <w:r w:rsidRPr="000B50CD">
      <w:rPr>
        <w:iCs/>
      </w:rPr>
      <w:tab/>
    </w:r>
    <w:r w:rsidR="000B50CD" w:rsidRPr="000B50CD">
      <w:rPr>
        <w:iCs/>
      </w:rPr>
      <w:t>Government Response to the Climate Change Commission Report: 2050 Target Review Recommendations</w:t>
    </w:r>
    <w:r>
      <w:tab/>
    </w:r>
    <w:r>
      <w:fldChar w:fldCharType="begin"/>
    </w:r>
    <w:r>
      <w:instrText xml:space="preserve"> PAGE   \* MERGEFORMAT </w:instrText>
    </w:r>
    <w:r>
      <w:fldChar w:fldCharType="separate"/>
    </w:r>
    <w: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8E58A" w14:textId="129F7231" w:rsidR="00FA5627" w:rsidRDefault="00FA5627" w:rsidP="00764706">
    <w:pPr>
      <w:pStyle w:val="Footereven"/>
    </w:pPr>
    <w:r w:rsidRPr="004F458A">
      <w:rPr>
        <w:b/>
      </w:rPr>
      <w:fldChar w:fldCharType="begin"/>
    </w:r>
    <w:r w:rsidRPr="004F458A">
      <w:instrText xml:space="preserve"> PAGE </w:instrText>
    </w:r>
    <w:r w:rsidRPr="004F458A">
      <w:rPr>
        <w:b/>
      </w:rPr>
      <w:fldChar w:fldCharType="separate"/>
    </w:r>
    <w:r>
      <w:rPr>
        <w:b/>
      </w:rPr>
      <w:t>4</w:t>
    </w:r>
    <w:r w:rsidRPr="004F458A">
      <w:rPr>
        <w:b/>
      </w:rPr>
      <w:fldChar w:fldCharType="end"/>
    </w:r>
    <w:r>
      <w:tab/>
    </w:r>
    <w:r w:rsidRPr="000B50CD">
      <w:rPr>
        <w:iCs/>
      </w:rPr>
      <w:t>Government Response to the Climate Change Commission Report: 2050 Target Review Recommendations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073D8" w14:textId="60C1DD87" w:rsidR="00FA5627" w:rsidRDefault="00FA5627" w:rsidP="00F63FE5">
    <w:pPr>
      <w:pStyle w:val="Footerodd"/>
    </w:pPr>
    <w:r w:rsidRPr="000B50CD">
      <w:rPr>
        <w:iCs/>
      </w:rPr>
      <w:tab/>
      <w:t>Government Response to the Climate Change Commission Report: 2050 Target Review Recommendations</w:t>
    </w:r>
    <w:r>
      <w:tab/>
    </w:r>
    <w:r>
      <w:fldChar w:fldCharType="begin"/>
    </w:r>
    <w:r>
      <w:instrText xml:space="preserve"> PAGE   \* MERGEFORMAT </w:instrText>
    </w:r>
    <w:r>
      <w:fldChar w:fldCharType="separate"/>
    </w:r>
    <w: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67F58" w14:textId="77777777" w:rsidR="00520FB7" w:rsidRDefault="00520FB7" w:rsidP="00AF70A4">
      <w:pPr>
        <w:spacing w:before="0" w:after="80" w:line="240" w:lineRule="auto"/>
      </w:pPr>
      <w:r>
        <w:separator/>
      </w:r>
    </w:p>
  </w:footnote>
  <w:footnote w:type="continuationSeparator" w:id="0">
    <w:p w14:paraId="21B2958D" w14:textId="77777777" w:rsidR="00520FB7" w:rsidRDefault="00520FB7" w:rsidP="00F67992">
      <w:pPr>
        <w:spacing w:after="0" w:line="240" w:lineRule="auto"/>
      </w:pPr>
      <w:r>
        <w:continuationSeparator/>
      </w:r>
    </w:p>
  </w:footnote>
  <w:footnote w:id="1">
    <w:p w14:paraId="06390A40" w14:textId="6988F62D" w:rsidR="55BCCEE1" w:rsidRPr="000834BC" w:rsidRDefault="55BCCEE1" w:rsidP="0056305B">
      <w:pPr>
        <w:pStyle w:val="FootnoteText"/>
      </w:pPr>
      <w:r w:rsidRPr="0074083D">
        <w:rPr>
          <w:rStyle w:val="FootnoteReference"/>
          <w:rFonts w:eastAsia="Times New Roman" w:cs="Times New Roman"/>
          <w:color w:val="auto"/>
          <w:sz w:val="19"/>
        </w:rPr>
        <w:footnoteRef/>
      </w:r>
      <w:r w:rsidRPr="000834BC">
        <w:t xml:space="preserve"> </w:t>
      </w:r>
      <w:r w:rsidR="00293C13" w:rsidRPr="000834BC">
        <w:tab/>
      </w:r>
      <w:r w:rsidRPr="000834BC">
        <w:t>Climate Change Response Act 2002</w:t>
      </w:r>
      <w:r w:rsidR="005E0D3B">
        <w:t>, section 5S</w:t>
      </w:r>
      <w:r w:rsidR="00B87A37" w:rsidRPr="000834BC">
        <w:t>.</w:t>
      </w:r>
    </w:p>
  </w:footnote>
  <w:footnote w:id="2">
    <w:p w14:paraId="14BBA077" w14:textId="42B2FF21" w:rsidR="55BCCEE1" w:rsidRPr="000834BC" w:rsidRDefault="55BCCEE1" w:rsidP="0056305B">
      <w:pPr>
        <w:pStyle w:val="FootnoteText"/>
      </w:pPr>
      <w:r w:rsidRPr="0074083D">
        <w:rPr>
          <w:rStyle w:val="FootnoteReference"/>
          <w:rFonts w:eastAsia="Times New Roman" w:cs="Times New Roman"/>
          <w:color w:val="auto"/>
          <w:sz w:val="19"/>
        </w:rPr>
        <w:footnoteRef/>
      </w:r>
      <w:r w:rsidRPr="0074083D">
        <w:rPr>
          <w:rStyle w:val="FootnoteReference"/>
          <w:rFonts w:eastAsia="Times New Roman" w:cs="Times New Roman"/>
          <w:color w:val="auto"/>
          <w:sz w:val="19"/>
        </w:rPr>
        <w:t xml:space="preserve"> </w:t>
      </w:r>
      <w:r w:rsidR="00293C13" w:rsidRPr="000834BC">
        <w:tab/>
      </w:r>
      <w:r w:rsidR="00054B7F" w:rsidRPr="000834BC">
        <w:t>Climate Change Response Act 2002</w:t>
      </w:r>
      <w:r w:rsidR="00054B7F">
        <w:t>, s</w:t>
      </w:r>
      <w:r w:rsidRPr="000834BC">
        <w:t>ection 5R</w:t>
      </w:r>
      <w:r w:rsidR="00B87A37" w:rsidRPr="000834BC">
        <w:t>.</w:t>
      </w:r>
    </w:p>
  </w:footnote>
  <w:footnote w:id="3">
    <w:p w14:paraId="2571AC27" w14:textId="6261341C" w:rsidR="00F42EB0" w:rsidRPr="000834BC" w:rsidRDefault="00F42EB0" w:rsidP="0056305B">
      <w:pPr>
        <w:pStyle w:val="FootnoteText"/>
      </w:pPr>
      <w:r w:rsidRPr="0074083D">
        <w:rPr>
          <w:rStyle w:val="FootnoteReference"/>
          <w:rFonts w:eastAsia="Times New Roman" w:cs="Times New Roman"/>
          <w:color w:val="auto"/>
          <w:sz w:val="19"/>
        </w:rPr>
        <w:footnoteRef/>
      </w:r>
      <w:r w:rsidR="000620FE" w:rsidRPr="000834BC">
        <w:tab/>
      </w:r>
      <w:r w:rsidR="00E876EE" w:rsidRPr="006F1027">
        <w:t xml:space="preserve">He Pou </w:t>
      </w:r>
      <w:r w:rsidR="00924430" w:rsidRPr="006F1027">
        <w:t>a</w:t>
      </w:r>
      <w:r w:rsidR="00E876EE" w:rsidRPr="006F1027">
        <w:t xml:space="preserve"> Rangi | Climate Change Commission. 2024. </w:t>
      </w:r>
      <w:hyperlink r:id="rId1" w:history="1">
        <w:r w:rsidR="009E40C7" w:rsidRPr="0074083D">
          <w:rPr>
            <w:rStyle w:val="Hyperlink"/>
            <w:i/>
            <w:iCs/>
          </w:rPr>
          <w:t>Review of the 2050 emissions target including whether emissions from international shipping and aviation should be included</w:t>
        </w:r>
      </w:hyperlink>
      <w:r w:rsidR="002C0F42">
        <w:t>.</w:t>
      </w:r>
      <w:r w:rsidR="002E41F8" w:rsidRPr="006F1027">
        <w:t xml:space="preserve"> </w:t>
      </w:r>
      <w:r w:rsidR="00755DA1">
        <w:t>Wellington: Climate Change Commission.</w:t>
      </w:r>
    </w:p>
  </w:footnote>
  <w:footnote w:id="4">
    <w:p w14:paraId="5F2512C9" w14:textId="7F4D890C" w:rsidR="2610FCA8" w:rsidRPr="000834BC" w:rsidRDefault="2610FCA8" w:rsidP="0056305B">
      <w:pPr>
        <w:pStyle w:val="FootnoteText"/>
      </w:pPr>
      <w:r w:rsidRPr="0074083D">
        <w:rPr>
          <w:rStyle w:val="FootnoteReference"/>
          <w:rFonts w:eastAsia="Times New Roman" w:cs="Times New Roman"/>
          <w:color w:val="auto"/>
          <w:sz w:val="19"/>
        </w:rPr>
        <w:footnoteRef/>
      </w:r>
      <w:r w:rsidRPr="000834BC">
        <w:tab/>
      </w:r>
      <w:r w:rsidR="00755DA1">
        <w:t>Climate Change Response Act 2002, s</w:t>
      </w:r>
      <w:r w:rsidRPr="000834BC">
        <w:t>ection 5U</w:t>
      </w:r>
      <w:r w:rsidR="00CE2A42" w:rsidRPr="000834BC">
        <w:t>.</w:t>
      </w:r>
    </w:p>
  </w:footnote>
  <w:footnote w:id="5">
    <w:p w14:paraId="305D22D0" w14:textId="060C5463" w:rsidR="00521F53" w:rsidRDefault="00521F53" w:rsidP="0056305B">
      <w:pPr>
        <w:pStyle w:val="FootnoteText"/>
      </w:pPr>
      <w:r w:rsidRPr="0074083D">
        <w:rPr>
          <w:rStyle w:val="FootnoteReference"/>
          <w:rFonts w:eastAsia="Times New Roman" w:cs="Times New Roman"/>
          <w:color w:val="auto"/>
          <w:sz w:val="19"/>
        </w:rPr>
        <w:footnoteRef/>
      </w:r>
      <w:r w:rsidRPr="00586048">
        <w:rPr>
          <w:rStyle w:val="FootnoteReference"/>
          <w:rFonts w:asciiTheme="minorHAnsi" w:hAnsiTheme="minorHAnsi"/>
          <w:color w:val="auto"/>
          <w:sz w:val="19"/>
          <w:vertAlign w:val="baseline"/>
        </w:rPr>
        <w:t xml:space="preserve"> </w:t>
      </w:r>
      <w:r w:rsidR="00B21637">
        <w:tab/>
      </w:r>
      <w:r w:rsidR="008A1870">
        <w:rPr>
          <w:rStyle w:val="FootnoteReference"/>
          <w:rFonts w:asciiTheme="minorHAnsi" w:hAnsiTheme="minorHAnsi"/>
          <w:color w:val="auto"/>
          <w:sz w:val="19"/>
          <w:vertAlign w:val="baseline"/>
        </w:rPr>
        <w:t>M</w:t>
      </w:r>
      <w:r w:rsidR="008A1870">
        <w:t>inistry for the Environment. 2024</w:t>
      </w:r>
      <w:r w:rsidR="00B21637">
        <w:t>.</w:t>
      </w:r>
      <w:r w:rsidR="008A1870" w:rsidRPr="00586048">
        <w:rPr>
          <w:rStyle w:val="FootnoteReference"/>
          <w:rFonts w:asciiTheme="minorHAnsi" w:hAnsiTheme="minorHAnsi"/>
          <w:color w:val="auto"/>
          <w:sz w:val="19"/>
          <w:vertAlign w:val="baseline"/>
        </w:rPr>
        <w:t xml:space="preserve"> </w:t>
      </w:r>
      <w:hyperlink r:id="rId2" w:history="1">
        <w:r w:rsidRPr="0074083D">
          <w:rPr>
            <w:rStyle w:val="Hyperlink"/>
            <w:i/>
            <w:iCs/>
          </w:rPr>
          <w:t>Methane Science and Target Review</w:t>
        </w:r>
      </w:hyperlink>
      <w:r w:rsidR="00B21637">
        <w:t xml:space="preserve">. Wellington: Ministry for the Environment. </w:t>
      </w:r>
    </w:p>
  </w:footnote>
  <w:footnote w:id="6">
    <w:p w14:paraId="75C18889" w14:textId="4D85F150" w:rsidR="00C60EBE" w:rsidRPr="000834BC" w:rsidRDefault="00C60EBE" w:rsidP="003471AA">
      <w:pPr>
        <w:pStyle w:val="FootnoteText"/>
      </w:pPr>
      <w:r w:rsidRPr="02B0B2F2">
        <w:rPr>
          <w:rStyle w:val="FootnoteReference"/>
          <w:rFonts w:eastAsia="Times New Roman" w:cs="Times New Roman"/>
          <w:color w:val="auto"/>
          <w:sz w:val="19"/>
          <w:szCs w:val="19"/>
        </w:rPr>
        <w:footnoteRef/>
      </w:r>
      <w:r w:rsidRPr="000834BC">
        <w:tab/>
      </w:r>
      <w:r w:rsidR="02B0B2F2" w:rsidRPr="006F1027">
        <w:t xml:space="preserve"> He Pou a Rangi | Climate Change Commission. 2024. </w:t>
      </w:r>
      <w:hyperlink r:id="rId3" w:history="1">
        <w:r w:rsidR="02B0B2F2" w:rsidRPr="02B0B2F2">
          <w:rPr>
            <w:rStyle w:val="Hyperlink"/>
            <w:i/>
            <w:iCs/>
          </w:rPr>
          <w:t>Review of the 2050 emissions target including whether emissions from international shipping and aviation should be included</w:t>
        </w:r>
      </w:hyperlink>
      <w:r w:rsidR="02B0B2F2">
        <w:t>.</w:t>
      </w:r>
      <w:r w:rsidR="02B0B2F2" w:rsidRPr="006F1027">
        <w:t xml:space="preserve"> </w:t>
      </w:r>
      <w:r w:rsidR="02B0B2F2">
        <w:t>Wellington: Climate Change Commission.</w:t>
      </w:r>
    </w:p>
  </w:footnote>
  <w:footnote w:id="7">
    <w:p w14:paraId="5E4FD807" w14:textId="7DB7D180" w:rsidR="3A4C152D" w:rsidRDefault="3A4C152D" w:rsidP="00C3349D">
      <w:pPr>
        <w:pStyle w:val="FootnoteText"/>
      </w:pPr>
      <w:r w:rsidRPr="3A4C152D">
        <w:rPr>
          <w:rStyle w:val="FootnoteReference"/>
        </w:rPr>
        <w:footnoteRef/>
      </w:r>
      <w:r w:rsidR="41047892" w:rsidRPr="3A4C152D" w:rsidDel="3A4C152D">
        <w:rPr>
          <w:rStyle w:val="FootnoteReference"/>
        </w:rPr>
        <w:t xml:space="preserve"> </w:t>
      </w:r>
      <w:r w:rsidR="00761AF3">
        <w:tab/>
      </w:r>
      <w:r w:rsidR="41047892" w:rsidRPr="41047892">
        <w:rPr>
          <w:rFonts w:eastAsia="Calibri" w:cs="Calibri"/>
          <w:color w:val="751D20"/>
          <w:szCs w:val="19"/>
        </w:rPr>
        <w:t xml:space="preserve"> </w:t>
      </w:r>
      <w:r w:rsidR="41047892" w:rsidRPr="00581D15">
        <w:rPr>
          <w:rFonts w:eastAsia="Calibri" w:cs="Calibri"/>
          <w:szCs w:val="19"/>
        </w:rPr>
        <w:t xml:space="preserve">He Pou a Rangi | Climate Change Commission. 2024. </w:t>
      </w:r>
      <w:hyperlink r:id="rId4" w:history="1">
        <w:r w:rsidR="41047892" w:rsidRPr="41047892">
          <w:rPr>
            <w:rStyle w:val="Hyperlink"/>
            <w:rFonts w:eastAsia="Calibri" w:cs="Calibri"/>
            <w:i/>
            <w:iCs/>
            <w:szCs w:val="19"/>
          </w:rPr>
          <w:t>Review of the 2050 emissions target including whether emissions from international shipping and aviation should be included</w:t>
        </w:r>
      </w:hyperlink>
      <w:r w:rsidR="41047892" w:rsidRPr="41047892">
        <w:rPr>
          <w:rFonts w:eastAsia="Calibri" w:cs="Calibri"/>
          <w:color w:val="751D20"/>
          <w:szCs w:val="19"/>
        </w:rPr>
        <w:t xml:space="preserve">. </w:t>
      </w:r>
      <w:r w:rsidR="41047892" w:rsidRPr="00581D15">
        <w:rPr>
          <w:rFonts w:eastAsia="Calibri" w:cs="Calibri"/>
          <w:szCs w:val="19"/>
        </w:rPr>
        <w:t>Wellington: Climate Change Commission, pp 100-102.</w:t>
      </w:r>
    </w:p>
  </w:footnote>
  <w:footnote w:id="8">
    <w:p w14:paraId="43959DCE" w14:textId="3F582F2B" w:rsidR="00F74FB1" w:rsidRDefault="00F74FB1">
      <w:pPr>
        <w:pStyle w:val="FootnoteText"/>
      </w:pPr>
      <w:r>
        <w:rPr>
          <w:rStyle w:val="FootnoteReference"/>
        </w:rPr>
        <w:footnoteRef/>
      </w:r>
      <w:r>
        <w:t xml:space="preserve"> </w:t>
      </w:r>
      <w:r>
        <w:tab/>
      </w:r>
      <w:r w:rsidRPr="006F1027">
        <w:t xml:space="preserve">He Pou a Rangi | Climate Change Commission. 2024. </w:t>
      </w:r>
      <w:hyperlink r:id="rId5" w:history="1">
        <w:r w:rsidRPr="0023130B">
          <w:rPr>
            <w:rStyle w:val="Hyperlink"/>
            <w:i/>
            <w:iCs/>
          </w:rPr>
          <w:t>Review of the 2050 emissions target including whether emissions from international shipping and aviation should be included</w:t>
        </w:r>
      </w:hyperlink>
      <w:r>
        <w:t>.</w:t>
      </w:r>
      <w:r w:rsidRPr="006F1027">
        <w:t xml:space="preserve"> </w:t>
      </w:r>
      <w:r>
        <w:t>Wellington: Climate Change Commission, pp 15 and 25.</w:t>
      </w:r>
    </w:p>
  </w:footnote>
  <w:footnote w:id="9">
    <w:p w14:paraId="72406CB2" w14:textId="5ACFEE60" w:rsidR="00C60EBE" w:rsidRDefault="00C60EBE" w:rsidP="00AC739D">
      <w:pPr>
        <w:pStyle w:val="FootnoteText"/>
      </w:pPr>
      <w:r w:rsidRPr="0023130B">
        <w:rPr>
          <w:rStyle w:val="FootnoteReference"/>
          <w:rFonts w:eastAsia="Times New Roman" w:cs="Times New Roman"/>
          <w:color w:val="auto"/>
          <w:sz w:val="19"/>
        </w:rPr>
        <w:footnoteRef/>
      </w:r>
      <w:r w:rsidRPr="00586048">
        <w:rPr>
          <w:rStyle w:val="FootnoteReference"/>
          <w:rFonts w:asciiTheme="minorHAnsi" w:hAnsiTheme="minorHAnsi"/>
          <w:color w:val="auto"/>
          <w:sz w:val="19"/>
          <w:vertAlign w:val="baseline"/>
        </w:rPr>
        <w:t xml:space="preserve"> </w:t>
      </w:r>
      <w:r>
        <w:tab/>
      </w:r>
      <w:r>
        <w:rPr>
          <w:rStyle w:val="FootnoteReference"/>
          <w:rFonts w:asciiTheme="minorHAnsi" w:hAnsiTheme="minorHAnsi"/>
          <w:color w:val="auto"/>
          <w:sz w:val="19"/>
          <w:vertAlign w:val="baseline"/>
        </w:rPr>
        <w:t>M</w:t>
      </w:r>
      <w:r>
        <w:t>inistry for the Environment. 2024.</w:t>
      </w:r>
      <w:r w:rsidRPr="00586048">
        <w:rPr>
          <w:rStyle w:val="FootnoteReference"/>
          <w:rFonts w:asciiTheme="minorHAnsi" w:hAnsiTheme="minorHAnsi"/>
          <w:color w:val="auto"/>
          <w:sz w:val="19"/>
          <w:vertAlign w:val="baseline"/>
        </w:rPr>
        <w:t xml:space="preserve"> </w:t>
      </w:r>
      <w:hyperlink r:id="rId6" w:history="1">
        <w:r w:rsidRPr="0023130B">
          <w:rPr>
            <w:rStyle w:val="Hyperlink"/>
            <w:i/>
            <w:iCs/>
          </w:rPr>
          <w:t>Methane Science and Target Review</w:t>
        </w:r>
      </w:hyperlink>
      <w:r>
        <w:t>. Wellington: Ministry for the</w:t>
      </w:r>
      <w:r w:rsidR="009A5C87">
        <w:t> </w:t>
      </w:r>
      <w:r>
        <w:t xml:space="preserve">Environment. </w:t>
      </w:r>
    </w:p>
  </w:footnote>
  <w:footnote w:id="10">
    <w:p w14:paraId="4677918B" w14:textId="5CA7FD39" w:rsidR="3A4C152D" w:rsidRDefault="3A4C152D" w:rsidP="00C3349D">
      <w:pPr>
        <w:pStyle w:val="FootnoteText"/>
      </w:pPr>
      <w:r w:rsidRPr="3A4C152D">
        <w:rPr>
          <w:rStyle w:val="FootnoteReference"/>
        </w:rPr>
        <w:footnoteRef/>
      </w:r>
      <w:r>
        <w:t xml:space="preserve"> Climate Change Response Act 2002, section 5T (2)</w:t>
      </w:r>
    </w:p>
  </w:footnote>
  <w:footnote w:id="11">
    <w:p w14:paraId="3B8BF3A4" w14:textId="6442CCFB" w:rsidR="00FA647C" w:rsidRDefault="00FA647C" w:rsidP="00AC739D">
      <w:pPr>
        <w:pStyle w:val="FootnoteText"/>
      </w:pPr>
      <w:r w:rsidRPr="00110BB3">
        <w:rPr>
          <w:rStyle w:val="FootnoteReference"/>
          <w:rFonts w:eastAsia="Times New Roman" w:cs="Times New Roman"/>
          <w:color w:val="auto"/>
          <w:sz w:val="19"/>
        </w:rPr>
        <w:footnoteRef/>
      </w:r>
      <w:r w:rsidRPr="00FA647C">
        <w:rPr>
          <w:rStyle w:val="FootnoteReference"/>
          <w:rFonts w:asciiTheme="minorHAnsi" w:hAnsiTheme="minorHAnsi"/>
          <w:color w:val="auto"/>
          <w:sz w:val="19"/>
          <w:vertAlign w:val="baseline"/>
        </w:rPr>
        <w:t xml:space="preserve"> </w:t>
      </w:r>
      <w:r w:rsidR="00C943EA">
        <w:rPr>
          <w:rStyle w:val="FootnoteReference"/>
          <w:rFonts w:asciiTheme="minorHAnsi" w:hAnsiTheme="minorHAnsi"/>
          <w:color w:val="auto"/>
          <w:sz w:val="19"/>
          <w:vertAlign w:val="baseline"/>
        </w:rPr>
        <w:tab/>
      </w:r>
      <w:r w:rsidR="00C943EA">
        <w:t>Climate Change Response Act 2002, s</w:t>
      </w:r>
      <w:r w:rsidR="00C943EA" w:rsidRPr="00C943EA">
        <w:rPr>
          <w:rStyle w:val="FootnoteReference"/>
          <w:rFonts w:asciiTheme="minorHAnsi" w:hAnsiTheme="minorHAnsi"/>
          <w:color w:val="auto"/>
          <w:sz w:val="19"/>
          <w:vertAlign w:val="baseline"/>
        </w:rPr>
        <w:t>ection</w:t>
      </w:r>
      <w:r w:rsidR="00C943EA" w:rsidRPr="000834BC">
        <w:rPr>
          <w:rStyle w:val="FootnoteReference"/>
          <w:rFonts w:asciiTheme="minorHAnsi" w:hAnsiTheme="minorHAnsi"/>
          <w:color w:val="auto"/>
          <w:sz w:val="19"/>
          <w:vertAlign w:val="baseline"/>
        </w:rPr>
        <w:t xml:space="preserve"> 5</w:t>
      </w:r>
      <w:r w:rsidR="00C943EA">
        <w:t>U</w:t>
      </w:r>
      <w:r w:rsidRPr="00FA647C">
        <w:rPr>
          <w:rStyle w:val="FootnoteReference"/>
          <w:rFonts w:asciiTheme="minorHAnsi" w:hAnsiTheme="minorHAnsi"/>
          <w:color w:val="auto"/>
          <w:sz w:val="19"/>
          <w:vertAlign w:val="baseline"/>
        </w:rPr>
        <w:t>.</w:t>
      </w:r>
    </w:p>
  </w:footnote>
  <w:footnote w:id="12">
    <w:p w14:paraId="64A44410" w14:textId="7DD57246" w:rsidR="00B86578" w:rsidRPr="000834BC" w:rsidRDefault="00B86578" w:rsidP="00AC739D">
      <w:pPr>
        <w:pStyle w:val="FootnoteText"/>
        <w:rPr>
          <w:rStyle w:val="FootnoteReference"/>
          <w:rFonts w:asciiTheme="minorHAnsi" w:hAnsiTheme="minorHAnsi"/>
          <w:color w:val="auto"/>
          <w:sz w:val="19"/>
          <w:vertAlign w:val="baseline"/>
        </w:rPr>
      </w:pPr>
      <w:r w:rsidRPr="006D4009">
        <w:rPr>
          <w:rStyle w:val="FootnoteReference"/>
          <w:rFonts w:eastAsia="Times New Roman" w:cs="Times New Roman"/>
          <w:color w:val="auto"/>
          <w:sz w:val="19"/>
        </w:rPr>
        <w:footnoteRef/>
      </w:r>
      <w:r w:rsidR="001E3717" w:rsidRPr="000834BC">
        <w:rPr>
          <w:rStyle w:val="FootnoteReference"/>
          <w:rFonts w:asciiTheme="minorHAnsi" w:hAnsiTheme="minorHAnsi"/>
          <w:color w:val="auto"/>
          <w:sz w:val="19"/>
          <w:vertAlign w:val="baseline"/>
        </w:rPr>
        <w:t xml:space="preserve"> </w:t>
      </w:r>
      <w:r w:rsidR="00D830F4">
        <w:rPr>
          <w:rStyle w:val="FootnoteReference"/>
          <w:rFonts w:asciiTheme="minorHAnsi" w:hAnsiTheme="minorHAnsi"/>
          <w:color w:val="auto"/>
          <w:sz w:val="19"/>
          <w:vertAlign w:val="baseline"/>
        </w:rPr>
        <w:tab/>
      </w:r>
      <w:r w:rsidR="000A70B0">
        <w:t>Ministry for the Environment.</w:t>
      </w:r>
      <w:r w:rsidR="006A5FE2">
        <w:t xml:space="preserve"> 2024. </w:t>
      </w:r>
      <w:hyperlink r:id="rId7" w:history="1">
        <w:r w:rsidR="006A5FE2" w:rsidRPr="006A5FE2">
          <w:rPr>
            <w:rStyle w:val="Hyperlink"/>
            <w:i/>
            <w:iCs/>
          </w:rPr>
          <w:t>Our Journey Towards Net Zero</w:t>
        </w:r>
        <w:r w:rsidR="006D73FF">
          <w:rPr>
            <w:rStyle w:val="Hyperlink"/>
            <w:i/>
            <w:iCs/>
          </w:rPr>
          <w:t>:</w:t>
        </w:r>
        <w:r w:rsidR="006A5FE2" w:rsidRPr="006A5FE2">
          <w:rPr>
            <w:rStyle w:val="Hyperlink"/>
            <w:i/>
            <w:iCs/>
          </w:rPr>
          <w:t xml:space="preserve"> New Zealand’s Second Emissions Reduction Plan 2026–30</w:t>
        </w:r>
      </w:hyperlink>
      <w:r w:rsidR="006A5FE2">
        <w:rPr>
          <w:i/>
          <w:iCs/>
        </w:rPr>
        <w:t>.</w:t>
      </w:r>
      <w:r w:rsidR="000A70B0">
        <w:t xml:space="preserve"> </w:t>
      </w:r>
      <w:r w:rsidR="006A5FE2">
        <w:rPr>
          <w:rStyle w:val="FootnoteReference"/>
          <w:rFonts w:asciiTheme="minorHAnsi" w:hAnsiTheme="minorHAnsi"/>
          <w:color w:val="auto"/>
          <w:sz w:val="19"/>
          <w:vertAlign w:val="baseline"/>
        </w:rPr>
        <w:t>W</w:t>
      </w:r>
      <w:r w:rsidR="006A5FE2">
        <w:t xml:space="preserve">ellington: Ministry for the Environment. </w:t>
      </w:r>
    </w:p>
  </w:footnote>
  <w:footnote w:id="13">
    <w:p w14:paraId="33DD4357" w14:textId="49275257" w:rsidR="00B86578" w:rsidRPr="000834BC" w:rsidRDefault="00B86578" w:rsidP="00FC03BF">
      <w:pPr>
        <w:pStyle w:val="FootnoteText"/>
        <w:rPr>
          <w:rStyle w:val="FootnoteReference"/>
          <w:rFonts w:asciiTheme="minorHAnsi" w:hAnsiTheme="minorHAnsi"/>
          <w:color w:val="auto"/>
          <w:sz w:val="19"/>
          <w:vertAlign w:val="baseline"/>
        </w:rPr>
      </w:pPr>
      <w:r w:rsidRPr="006D4009">
        <w:rPr>
          <w:rStyle w:val="FootnoteReference"/>
          <w:rFonts w:eastAsia="Times New Roman" w:cs="Times New Roman"/>
          <w:color w:val="auto"/>
          <w:sz w:val="19"/>
        </w:rPr>
        <w:footnoteRef/>
      </w:r>
      <w:r w:rsidR="00CA262B" w:rsidRPr="006D4009">
        <w:rPr>
          <w:rStyle w:val="FootnoteReference"/>
          <w:rFonts w:eastAsia="Times New Roman" w:cs="Times New Roman"/>
          <w:color w:val="auto"/>
          <w:sz w:val="19"/>
        </w:rPr>
        <w:t xml:space="preserve"> </w:t>
      </w:r>
      <w:r w:rsidR="00DB5A0A">
        <w:rPr>
          <w:rStyle w:val="FootnoteReference"/>
          <w:rFonts w:eastAsia="Times New Roman" w:cs="Times New Roman"/>
          <w:color w:val="auto"/>
          <w:sz w:val="19"/>
        </w:rPr>
        <w:tab/>
      </w:r>
      <w:r w:rsidR="00DB5A0A">
        <w:rPr>
          <w:rFonts w:eastAsia="Times New Roman" w:cs="Times New Roman"/>
        </w:rPr>
        <w:t xml:space="preserve">Ministry for the Environment. </w:t>
      </w:r>
      <w:hyperlink r:id="rId8" w:history="1">
        <w:r w:rsidR="00DB5A0A" w:rsidRPr="00CC6B4E">
          <w:rPr>
            <w:rStyle w:val="Hyperlink"/>
            <w:rFonts w:eastAsia="Times New Roman" w:cs="Times New Roman"/>
          </w:rPr>
          <w:t>New Zealand’s Projected Greenhouse Gas Emissions to 2050</w:t>
        </w:r>
      </w:hyperlink>
      <w:r w:rsidR="00DB5A0A">
        <w:rPr>
          <w:rFonts w:eastAsia="Times New Roman" w:cs="Times New Roman"/>
        </w:rPr>
        <w:t xml:space="preserve">. </w:t>
      </w:r>
      <w:r w:rsidR="00CC6B4E">
        <w:rPr>
          <w:rFonts w:eastAsia="Times New Roman" w:cs="Times New Roman"/>
        </w:rPr>
        <w:t>Retrieved 28</w:t>
      </w:r>
      <w:r w:rsidR="00FC03BF">
        <w:rPr>
          <w:rFonts w:eastAsia="Times New Roman" w:cs="Times New Roman"/>
        </w:rPr>
        <w:t> </w:t>
      </w:r>
      <w:r w:rsidR="00CC6B4E">
        <w:rPr>
          <w:rFonts w:eastAsia="Times New Roman" w:cs="Times New Roman"/>
        </w:rPr>
        <w:t xml:space="preserve">October 2025. </w:t>
      </w:r>
    </w:p>
  </w:footnote>
  <w:footnote w:id="14">
    <w:p w14:paraId="5DDC9A86" w14:textId="74DD857C" w:rsidR="006D39D0" w:rsidRPr="00E450EE" w:rsidRDefault="006D39D0" w:rsidP="00767A2C">
      <w:pPr>
        <w:pStyle w:val="FootnoteText"/>
        <w:rPr>
          <w:rStyle w:val="FootnoteReference"/>
          <w:rFonts w:asciiTheme="minorHAnsi" w:hAnsiTheme="minorHAnsi"/>
          <w:color w:val="auto"/>
          <w:sz w:val="19"/>
          <w:vertAlign w:val="baseline"/>
        </w:rPr>
      </w:pPr>
      <w:r w:rsidRPr="003042FC">
        <w:rPr>
          <w:rStyle w:val="FootnoteReference"/>
          <w:rFonts w:eastAsia="Times New Roman" w:cs="Times New Roman"/>
          <w:color w:val="auto"/>
          <w:sz w:val="19"/>
        </w:rPr>
        <w:footnoteRef/>
      </w:r>
      <w:r w:rsidRPr="00E450EE">
        <w:rPr>
          <w:rStyle w:val="FootnoteReference"/>
          <w:rFonts w:asciiTheme="minorHAnsi" w:hAnsiTheme="minorHAnsi"/>
          <w:color w:val="auto"/>
          <w:sz w:val="19"/>
          <w:vertAlign w:val="baseline"/>
        </w:rPr>
        <w:t xml:space="preserve"> </w:t>
      </w:r>
      <w:r w:rsidR="00C52C85">
        <w:rPr>
          <w:rStyle w:val="FootnoteReference"/>
          <w:rFonts w:asciiTheme="minorHAnsi" w:hAnsiTheme="minorHAnsi"/>
          <w:color w:val="auto"/>
          <w:sz w:val="19"/>
          <w:vertAlign w:val="baseline"/>
        </w:rPr>
        <w:tab/>
      </w:r>
      <w:r w:rsidR="00C52C85">
        <w:t xml:space="preserve">Ministry for Primary Industries. 2025. </w:t>
      </w:r>
      <w:hyperlink r:id="rId9" w:history="1">
        <w:r w:rsidRPr="00D93C0A">
          <w:rPr>
            <w:rStyle w:val="Hyperlink"/>
            <w:i/>
            <w:iCs/>
          </w:rPr>
          <w:t>Situation and Outlook for Primary Industries</w:t>
        </w:r>
      </w:hyperlink>
      <w:r w:rsidRPr="00E450EE">
        <w:rPr>
          <w:rStyle w:val="FootnoteReference"/>
          <w:rFonts w:asciiTheme="minorHAnsi" w:hAnsiTheme="minorHAnsi"/>
          <w:color w:val="auto"/>
          <w:sz w:val="19"/>
          <w:vertAlign w:val="baseline"/>
        </w:rPr>
        <w:t xml:space="preserve">. </w:t>
      </w:r>
      <w:r w:rsidR="00C52C85">
        <w:rPr>
          <w:rStyle w:val="FootnoteReference"/>
          <w:rFonts w:asciiTheme="minorHAnsi" w:hAnsiTheme="minorHAnsi"/>
          <w:color w:val="auto"/>
          <w:sz w:val="19"/>
          <w:vertAlign w:val="baseline"/>
        </w:rPr>
        <w:t>W</w:t>
      </w:r>
      <w:r w:rsidR="00C52C85">
        <w:t>ellington: Ministry for Primary Industries.</w:t>
      </w:r>
      <w:r w:rsidRPr="00E450EE">
        <w:rPr>
          <w:rStyle w:val="FootnoteReference"/>
          <w:rFonts w:asciiTheme="minorHAnsi" w:hAnsiTheme="minorHAnsi"/>
          <w:color w:val="auto"/>
          <w:sz w:val="19"/>
          <w:vertAlign w:val="baseline"/>
        </w:rPr>
        <w:t xml:space="preserve"> </w:t>
      </w:r>
      <w:r w:rsidR="00BF4606">
        <w:t>p 4.</w:t>
      </w:r>
    </w:p>
  </w:footnote>
  <w:footnote w:id="15">
    <w:p w14:paraId="4D932572" w14:textId="4F820B41" w:rsidR="4D56B3B1" w:rsidRPr="00C4796F" w:rsidRDefault="4D56B3B1" w:rsidP="00767A2C">
      <w:pPr>
        <w:pStyle w:val="FootnoteText"/>
      </w:pPr>
      <w:r w:rsidRPr="00D93C0A">
        <w:rPr>
          <w:rStyle w:val="FootnoteReference"/>
          <w:rFonts w:eastAsia="Times New Roman" w:cs="Times New Roman"/>
          <w:color w:val="auto"/>
          <w:sz w:val="19"/>
        </w:rPr>
        <w:footnoteRef/>
      </w:r>
      <w:r w:rsidRPr="00E450EE">
        <w:rPr>
          <w:rStyle w:val="FootnoteReference"/>
          <w:rFonts w:asciiTheme="minorHAnsi" w:hAnsiTheme="minorHAnsi"/>
          <w:color w:val="auto"/>
          <w:sz w:val="19"/>
          <w:vertAlign w:val="baseline"/>
        </w:rPr>
        <w:t xml:space="preserve"> </w:t>
      </w:r>
      <w:r w:rsidR="00BF4606">
        <w:tab/>
      </w:r>
      <w:r w:rsidRPr="00E450EE">
        <w:rPr>
          <w:rStyle w:val="FootnoteReference"/>
          <w:rFonts w:asciiTheme="minorHAnsi" w:hAnsiTheme="minorHAnsi"/>
          <w:color w:val="auto"/>
          <w:sz w:val="19"/>
          <w:vertAlign w:val="baseline"/>
        </w:rPr>
        <w:t>For example, see</w:t>
      </w:r>
      <w:r w:rsidR="00BA3D57">
        <w:t xml:space="preserve"> </w:t>
      </w:r>
      <w:r w:rsidR="00AE4CB6">
        <w:t>Mazzetto</w:t>
      </w:r>
      <w:r w:rsidR="00C34087">
        <w:t xml:space="preserve"> A</w:t>
      </w:r>
      <w:r w:rsidR="00AE4CB6">
        <w:t>, Falconer</w:t>
      </w:r>
      <w:r w:rsidR="00C34087">
        <w:t xml:space="preserve"> S</w:t>
      </w:r>
      <w:r w:rsidR="00AE4CB6">
        <w:t xml:space="preserve">, </w:t>
      </w:r>
      <w:r w:rsidR="00C34087">
        <w:t xml:space="preserve">Ledgard S. 2021. </w:t>
      </w:r>
      <w:hyperlink r:id="rId10" w:history="1">
        <w:r w:rsidRPr="00D93C0A">
          <w:rPr>
            <w:rStyle w:val="Hyperlink"/>
            <w:i/>
            <w:iCs/>
          </w:rPr>
          <w:t xml:space="preserve">Updating the </w:t>
        </w:r>
        <w:r w:rsidR="00CC6252" w:rsidRPr="00D93C0A">
          <w:rPr>
            <w:rStyle w:val="Hyperlink"/>
            <w:i/>
            <w:iCs/>
          </w:rPr>
          <w:t>C</w:t>
        </w:r>
        <w:r w:rsidRPr="00D93C0A">
          <w:rPr>
            <w:rStyle w:val="Hyperlink"/>
            <w:i/>
            <w:iCs/>
          </w:rPr>
          <w:t xml:space="preserve">arbon </w:t>
        </w:r>
        <w:r w:rsidR="00CC6252" w:rsidRPr="00D93C0A">
          <w:rPr>
            <w:rStyle w:val="Hyperlink"/>
            <w:i/>
            <w:iCs/>
          </w:rPr>
          <w:t>F</w:t>
        </w:r>
        <w:r w:rsidRPr="00D93C0A">
          <w:rPr>
            <w:rStyle w:val="Hyperlink"/>
            <w:i/>
            <w:iCs/>
          </w:rPr>
          <w:t xml:space="preserve">ootprint for </w:t>
        </w:r>
        <w:r w:rsidR="00922887">
          <w:rPr>
            <w:rStyle w:val="Hyperlink"/>
            <w:i/>
            <w:iCs/>
          </w:rPr>
          <w:t>S</w:t>
        </w:r>
        <w:r w:rsidRPr="00D93C0A">
          <w:rPr>
            <w:rStyle w:val="Hyperlink"/>
            <w:i/>
            <w:iCs/>
          </w:rPr>
          <w:t xml:space="preserve">elected New Zealand </w:t>
        </w:r>
        <w:r w:rsidR="00CC6252" w:rsidRPr="00D93C0A">
          <w:rPr>
            <w:rStyle w:val="Hyperlink"/>
            <w:i/>
            <w:iCs/>
          </w:rPr>
          <w:t>A</w:t>
        </w:r>
        <w:r w:rsidRPr="00D93C0A">
          <w:rPr>
            <w:rStyle w:val="Hyperlink"/>
            <w:i/>
            <w:iCs/>
          </w:rPr>
          <w:t xml:space="preserve">gricultural </w:t>
        </w:r>
        <w:r w:rsidR="00CC6252" w:rsidRPr="00D93C0A">
          <w:rPr>
            <w:rStyle w:val="Hyperlink"/>
            <w:i/>
            <w:iCs/>
          </w:rPr>
          <w:t>P</w:t>
        </w:r>
        <w:r w:rsidRPr="00D93C0A">
          <w:rPr>
            <w:rStyle w:val="Hyperlink"/>
            <w:i/>
            <w:iCs/>
          </w:rPr>
          <w:t xml:space="preserve">roducts: </w:t>
        </w:r>
        <w:r w:rsidR="00CC6252" w:rsidRPr="00D93C0A">
          <w:rPr>
            <w:rStyle w:val="Hyperlink"/>
            <w:i/>
            <w:iCs/>
          </w:rPr>
          <w:t>A</w:t>
        </w:r>
        <w:r w:rsidRPr="00D93C0A">
          <w:rPr>
            <w:rStyle w:val="Hyperlink"/>
            <w:i/>
            <w:iCs/>
          </w:rPr>
          <w:t xml:space="preserve">n </w:t>
        </w:r>
        <w:r w:rsidR="00CC6252" w:rsidRPr="00D93C0A">
          <w:rPr>
            <w:rStyle w:val="Hyperlink"/>
            <w:i/>
            <w:iCs/>
          </w:rPr>
          <w:t>U</w:t>
        </w:r>
        <w:r w:rsidRPr="00D93C0A">
          <w:rPr>
            <w:rStyle w:val="Hyperlink"/>
            <w:i/>
            <w:iCs/>
          </w:rPr>
          <w:t xml:space="preserve">pdate for </w:t>
        </w:r>
        <w:r w:rsidR="00CC6252" w:rsidRPr="00D93C0A">
          <w:rPr>
            <w:rStyle w:val="Hyperlink"/>
            <w:i/>
            <w:iCs/>
          </w:rPr>
          <w:t>M</w:t>
        </w:r>
        <w:r w:rsidRPr="00D93C0A">
          <w:rPr>
            <w:rStyle w:val="Hyperlink"/>
            <w:i/>
            <w:iCs/>
          </w:rPr>
          <w:t>ilk</w:t>
        </w:r>
      </w:hyperlink>
      <w:r w:rsidR="00CC6252">
        <w:t xml:space="preserve">. </w:t>
      </w:r>
      <w:r w:rsidR="00E96335">
        <w:t>P</w:t>
      </w:r>
      <w:r w:rsidR="00CC6252">
        <w:t xml:space="preserve">repared for the </w:t>
      </w:r>
      <w:r w:rsidR="00CC6252" w:rsidRPr="00767A2C">
        <w:t>Ministry</w:t>
      </w:r>
      <w:r w:rsidR="00CC6252">
        <w:t xml:space="preserve"> for Primary Industries by AgResearch</w:t>
      </w:r>
      <w:r w:rsidR="007D7E70">
        <w:t>; and</w:t>
      </w:r>
      <w:r w:rsidR="00CC6252">
        <w:t xml:space="preserve"> </w:t>
      </w:r>
      <w:r w:rsidRPr="000834BC">
        <w:rPr>
          <w:rStyle w:val="FootnoteReference"/>
          <w:rFonts w:asciiTheme="minorHAnsi" w:hAnsiTheme="minorHAnsi"/>
          <w:color w:val="auto"/>
          <w:sz w:val="19"/>
          <w:vertAlign w:val="baseline"/>
        </w:rPr>
        <w:t>Mazzetto</w:t>
      </w:r>
      <w:r w:rsidR="00931939">
        <w:rPr>
          <w:rStyle w:val="FootnoteReference"/>
          <w:rFonts w:asciiTheme="minorHAnsi" w:hAnsiTheme="minorHAnsi"/>
          <w:color w:val="auto"/>
          <w:sz w:val="19"/>
          <w:vertAlign w:val="baseline"/>
        </w:rPr>
        <w:t xml:space="preserve"> </w:t>
      </w:r>
      <w:r w:rsidR="00931939">
        <w:t>AM</w:t>
      </w:r>
      <w:r w:rsidRPr="000834BC">
        <w:rPr>
          <w:rStyle w:val="FootnoteReference"/>
          <w:rFonts w:asciiTheme="minorHAnsi" w:hAnsiTheme="minorHAnsi"/>
          <w:color w:val="auto"/>
          <w:sz w:val="19"/>
          <w:vertAlign w:val="baseline"/>
        </w:rPr>
        <w:t xml:space="preserve">, Falconer </w:t>
      </w:r>
      <w:r w:rsidR="00931939">
        <w:rPr>
          <w:rStyle w:val="FootnoteReference"/>
          <w:rFonts w:asciiTheme="minorHAnsi" w:hAnsiTheme="minorHAnsi"/>
          <w:color w:val="auto"/>
          <w:sz w:val="19"/>
          <w:vertAlign w:val="baseline"/>
        </w:rPr>
        <w:t>S</w:t>
      </w:r>
      <w:r w:rsidR="00931939">
        <w:t xml:space="preserve">, </w:t>
      </w:r>
      <w:r w:rsidRPr="000834BC">
        <w:rPr>
          <w:rStyle w:val="FootnoteReference"/>
          <w:rFonts w:asciiTheme="minorHAnsi" w:hAnsiTheme="minorHAnsi"/>
          <w:color w:val="auto"/>
          <w:sz w:val="19"/>
          <w:vertAlign w:val="baseline"/>
        </w:rPr>
        <w:t>Ledgard</w:t>
      </w:r>
      <w:r w:rsidR="00931939">
        <w:rPr>
          <w:rStyle w:val="FootnoteReference"/>
          <w:rFonts w:asciiTheme="minorHAnsi" w:hAnsiTheme="minorHAnsi"/>
          <w:color w:val="auto"/>
          <w:sz w:val="19"/>
          <w:vertAlign w:val="baseline"/>
        </w:rPr>
        <w:t xml:space="preserve"> </w:t>
      </w:r>
      <w:r w:rsidR="00931939">
        <w:t>S. 2023.</w:t>
      </w:r>
      <w:r w:rsidRPr="000834BC">
        <w:rPr>
          <w:rStyle w:val="FootnoteReference"/>
          <w:rFonts w:asciiTheme="minorHAnsi" w:hAnsiTheme="minorHAnsi"/>
          <w:color w:val="auto"/>
          <w:sz w:val="19"/>
          <w:vertAlign w:val="baseline"/>
        </w:rPr>
        <w:t xml:space="preserve"> Carbon </w:t>
      </w:r>
      <w:r w:rsidR="00931939">
        <w:t>F</w:t>
      </w:r>
      <w:r w:rsidRPr="000834BC">
        <w:rPr>
          <w:rStyle w:val="FootnoteReference"/>
          <w:rFonts w:asciiTheme="minorHAnsi" w:hAnsiTheme="minorHAnsi"/>
          <w:color w:val="auto"/>
          <w:sz w:val="19"/>
          <w:vertAlign w:val="baseline"/>
        </w:rPr>
        <w:t xml:space="preserve">ootprint of New Zealand </w:t>
      </w:r>
      <w:r w:rsidR="00931939">
        <w:t>B</w:t>
      </w:r>
      <w:r w:rsidRPr="000834BC">
        <w:rPr>
          <w:rStyle w:val="FootnoteReference"/>
          <w:rFonts w:asciiTheme="minorHAnsi" w:hAnsiTheme="minorHAnsi"/>
          <w:color w:val="auto"/>
          <w:sz w:val="19"/>
          <w:vertAlign w:val="baseline"/>
        </w:rPr>
        <w:t xml:space="preserve">eef and </w:t>
      </w:r>
      <w:r w:rsidR="00931939">
        <w:t>S</w:t>
      </w:r>
      <w:r w:rsidRPr="000834BC">
        <w:rPr>
          <w:rStyle w:val="FootnoteReference"/>
          <w:rFonts w:asciiTheme="minorHAnsi" w:hAnsiTheme="minorHAnsi"/>
          <w:color w:val="auto"/>
          <w:sz w:val="19"/>
          <w:vertAlign w:val="baseline"/>
        </w:rPr>
        <w:t xml:space="preserve">heep </w:t>
      </w:r>
      <w:r w:rsidR="00931939">
        <w:t>M</w:t>
      </w:r>
      <w:r w:rsidRPr="000834BC">
        <w:rPr>
          <w:rStyle w:val="FootnoteReference"/>
          <w:rFonts w:asciiTheme="minorHAnsi" w:hAnsiTheme="minorHAnsi"/>
          <w:color w:val="auto"/>
          <w:sz w:val="19"/>
          <w:vertAlign w:val="baseline"/>
        </w:rPr>
        <w:t xml:space="preserve">eat </w:t>
      </w:r>
      <w:r w:rsidR="00931939">
        <w:t>E</w:t>
      </w:r>
      <w:r w:rsidRPr="000834BC">
        <w:rPr>
          <w:rStyle w:val="FootnoteReference"/>
          <w:rFonts w:asciiTheme="minorHAnsi" w:hAnsiTheme="minorHAnsi"/>
          <w:color w:val="auto"/>
          <w:sz w:val="19"/>
          <w:vertAlign w:val="baseline"/>
        </w:rPr>
        <w:t xml:space="preserve">xported to </w:t>
      </w:r>
      <w:r w:rsidR="00931939">
        <w:t>D</w:t>
      </w:r>
      <w:r w:rsidRPr="000834BC">
        <w:rPr>
          <w:rStyle w:val="FootnoteReference"/>
          <w:rFonts w:asciiTheme="minorHAnsi" w:hAnsiTheme="minorHAnsi"/>
          <w:color w:val="auto"/>
          <w:sz w:val="19"/>
          <w:vertAlign w:val="baseline"/>
        </w:rPr>
        <w:t xml:space="preserve">ifferent </w:t>
      </w:r>
      <w:r w:rsidR="00931939">
        <w:t>M</w:t>
      </w:r>
      <w:r w:rsidRPr="000834BC">
        <w:rPr>
          <w:rStyle w:val="FootnoteReference"/>
          <w:rFonts w:asciiTheme="minorHAnsi" w:hAnsiTheme="minorHAnsi"/>
          <w:color w:val="auto"/>
          <w:sz w:val="19"/>
          <w:vertAlign w:val="baseline"/>
        </w:rPr>
        <w:t>arket</w:t>
      </w:r>
      <w:r w:rsidR="00C4796F">
        <w:t>s</w:t>
      </w:r>
      <w:r w:rsidRPr="000834BC">
        <w:rPr>
          <w:rStyle w:val="FootnoteReference"/>
          <w:rFonts w:asciiTheme="minorHAnsi" w:hAnsiTheme="minorHAnsi"/>
          <w:color w:val="auto"/>
          <w:sz w:val="19"/>
          <w:vertAlign w:val="baseline"/>
        </w:rPr>
        <w:t>.</w:t>
      </w:r>
      <w:r w:rsidR="00C4796F">
        <w:t xml:space="preserve"> </w:t>
      </w:r>
      <w:r w:rsidR="00C4796F">
        <w:rPr>
          <w:i/>
          <w:iCs/>
        </w:rPr>
        <w:t>Environmental Impact Assessment Review</w:t>
      </w:r>
      <w:r w:rsidR="00C4796F">
        <w:t xml:space="preserve"> 98 (January 2023): 106946. </w:t>
      </w:r>
      <w:hyperlink r:id="rId11" w:history="1">
        <w:r w:rsidR="00371E80" w:rsidRPr="008A6015">
          <w:rPr>
            <w:rStyle w:val="Hyperlink"/>
          </w:rPr>
          <w:t>https://doi.org/10.1016/j.eiar.2022.106946</w:t>
        </w:r>
      </w:hyperlink>
      <w:r w:rsidR="00371E80">
        <w:t xml:space="preserve"> </w:t>
      </w:r>
    </w:p>
  </w:footnote>
  <w:footnote w:id="16">
    <w:p w14:paraId="78BE9497" w14:textId="2D3F59AC" w:rsidR="3A4C152D" w:rsidRDefault="3A4C152D" w:rsidP="3A4C152D">
      <w:pPr>
        <w:pStyle w:val="FootnoteText"/>
        <w:rPr>
          <w:rStyle w:val="FootnoteReference"/>
          <w:rFonts w:asciiTheme="minorHAnsi" w:hAnsiTheme="minorHAnsi"/>
          <w:color w:val="auto"/>
          <w:sz w:val="19"/>
          <w:szCs w:val="19"/>
          <w:vertAlign w:val="baseline"/>
        </w:rPr>
      </w:pPr>
      <w:r w:rsidRPr="3A4C152D">
        <w:rPr>
          <w:rStyle w:val="FootnoteReference"/>
          <w:rFonts w:eastAsia="Times New Roman" w:cs="Times New Roman"/>
          <w:color w:val="auto"/>
          <w:sz w:val="19"/>
          <w:szCs w:val="19"/>
        </w:rPr>
        <w:footnoteRef/>
      </w:r>
      <w:r w:rsidRPr="3A4C152D">
        <w:rPr>
          <w:rStyle w:val="FootnoteReference"/>
          <w:rFonts w:eastAsia="Times New Roman" w:cs="Times New Roman"/>
          <w:color w:val="auto"/>
          <w:sz w:val="19"/>
          <w:szCs w:val="19"/>
        </w:rPr>
        <w:t xml:space="preserve"> </w:t>
      </w:r>
      <w:r>
        <w:tab/>
      </w:r>
      <w:r w:rsidRPr="3A4C152D">
        <w:rPr>
          <w:rFonts w:eastAsia="Times New Roman" w:cs="Times New Roman"/>
        </w:rPr>
        <w:t xml:space="preserve">See, </w:t>
      </w:r>
      <w:r>
        <w:t xml:space="preserve">for example, Ministry for the Environment. 2024. </w:t>
      </w:r>
      <w:hyperlink r:id="rId12">
        <w:r w:rsidRPr="3A4C152D">
          <w:rPr>
            <w:rStyle w:val="Hyperlink"/>
            <w:i/>
            <w:iCs/>
          </w:rPr>
          <w:t>Our Journey Towards Net Zero: New Zealand’s Second Emissions Reduction Plan 2026–30</w:t>
        </w:r>
      </w:hyperlink>
      <w:r w:rsidRPr="3A4C152D">
        <w:rPr>
          <w:i/>
          <w:iCs/>
        </w:rPr>
        <w:t>.</w:t>
      </w:r>
      <w:r>
        <w:t xml:space="preserve"> </w:t>
      </w:r>
      <w:r w:rsidRPr="3A4C152D">
        <w:rPr>
          <w:rStyle w:val="FootnoteReference"/>
          <w:rFonts w:asciiTheme="minorHAnsi" w:hAnsiTheme="minorHAnsi"/>
          <w:color w:val="auto"/>
          <w:sz w:val="19"/>
          <w:szCs w:val="19"/>
          <w:vertAlign w:val="baseline"/>
        </w:rPr>
        <w:t>W</w:t>
      </w:r>
      <w:r>
        <w:t xml:space="preserve">ellington: Ministry for the Environment. pp 63–64. </w:t>
      </w:r>
    </w:p>
  </w:footnote>
  <w:footnote w:id="17">
    <w:p w14:paraId="6AF66ECA" w14:textId="4AF6ACEE" w:rsidR="003D3CDF" w:rsidRPr="000834BC" w:rsidRDefault="003D3CDF" w:rsidP="00767A2C">
      <w:pPr>
        <w:pStyle w:val="FootnoteText"/>
        <w:rPr>
          <w:rStyle w:val="FootnoteReference"/>
          <w:rFonts w:asciiTheme="minorHAnsi" w:hAnsiTheme="minorHAnsi"/>
          <w:color w:val="auto"/>
          <w:sz w:val="19"/>
          <w:vertAlign w:val="baseline"/>
        </w:rPr>
      </w:pPr>
      <w:r w:rsidRPr="00D93C0A">
        <w:rPr>
          <w:rStyle w:val="FootnoteReference"/>
          <w:rFonts w:eastAsia="Times New Roman" w:cs="Times New Roman"/>
          <w:color w:val="auto"/>
          <w:sz w:val="19"/>
        </w:rPr>
        <w:footnoteRef/>
      </w:r>
      <w:r w:rsidRPr="00D93C0A">
        <w:rPr>
          <w:rStyle w:val="FootnoteReference"/>
          <w:rFonts w:eastAsia="Times New Roman" w:cs="Times New Roman"/>
          <w:color w:val="auto"/>
          <w:sz w:val="19"/>
        </w:rPr>
        <w:t xml:space="preserve"> </w:t>
      </w:r>
      <w:r w:rsidR="001E4AB0">
        <w:rPr>
          <w:rStyle w:val="FootnoteReference"/>
          <w:rFonts w:eastAsia="Times New Roman" w:cs="Times New Roman"/>
          <w:color w:val="auto"/>
          <w:sz w:val="19"/>
        </w:rPr>
        <w:tab/>
      </w:r>
      <w:r w:rsidR="00E84D73">
        <w:t>Beehive.govt.nz</w:t>
      </w:r>
      <w:r w:rsidR="001E4AB0">
        <w:t xml:space="preserve">. </w:t>
      </w:r>
      <w:r w:rsidR="00E84D73">
        <w:t xml:space="preserve">2025. </w:t>
      </w:r>
      <w:hyperlink r:id="rId13" w:history="1">
        <w:r w:rsidR="001E4AB0" w:rsidRPr="00845387">
          <w:rPr>
            <w:rStyle w:val="Hyperlink"/>
          </w:rPr>
          <w:t xml:space="preserve">Statement by Minister Todd McClay </w:t>
        </w:r>
        <w:r w:rsidR="00625E27">
          <w:rPr>
            <w:rStyle w:val="Hyperlink"/>
          </w:rPr>
          <w:t>f</w:t>
        </w:r>
        <w:r w:rsidR="001E4AB0" w:rsidRPr="00845387">
          <w:rPr>
            <w:rStyle w:val="Hyperlink"/>
          </w:rPr>
          <w:t>ollowing the March 2025 Pastoral Sector Group Meeting</w:t>
        </w:r>
      </w:hyperlink>
      <w:r w:rsidR="001E4AB0">
        <w:t xml:space="preserve">. </w:t>
      </w:r>
      <w:r w:rsidR="00845387">
        <w:t>25 March.</w:t>
      </w:r>
      <w:r w:rsidR="003A38B3">
        <w:t xml:space="preserve"> </w:t>
      </w:r>
      <w:r w:rsidR="00E84D73">
        <w:t xml:space="preserve">[Press release]. </w:t>
      </w:r>
      <w:r w:rsidR="00845387">
        <w:t>Retrieved 28 October 2025.</w:t>
      </w:r>
    </w:p>
  </w:footnote>
  <w:footnote w:id="18">
    <w:p w14:paraId="7183A390" w14:textId="5EC4F706" w:rsidR="21FF8D17" w:rsidRPr="000834BC" w:rsidRDefault="21FF8D17" w:rsidP="00993C39">
      <w:pPr>
        <w:pStyle w:val="FootnoteText"/>
        <w:rPr>
          <w:rStyle w:val="FootnoteReference"/>
          <w:rFonts w:asciiTheme="minorHAnsi" w:hAnsiTheme="minorHAnsi"/>
          <w:color w:val="auto"/>
          <w:sz w:val="19"/>
          <w:vertAlign w:val="baseline"/>
        </w:rPr>
      </w:pPr>
      <w:r w:rsidRPr="00D93C0A">
        <w:rPr>
          <w:rStyle w:val="FootnoteReference"/>
          <w:rFonts w:eastAsia="Times New Roman" w:cs="Times New Roman"/>
          <w:color w:val="auto"/>
          <w:sz w:val="19"/>
        </w:rPr>
        <w:footnoteRef/>
      </w:r>
      <w:r w:rsidRPr="00D93C0A">
        <w:rPr>
          <w:rStyle w:val="FootnoteReference"/>
          <w:rFonts w:eastAsia="Times New Roman" w:cs="Times New Roman"/>
          <w:color w:val="auto"/>
          <w:sz w:val="19"/>
        </w:rPr>
        <w:t xml:space="preserve"> </w:t>
      </w:r>
      <w:r w:rsidR="009C6E0E">
        <w:rPr>
          <w:rFonts w:eastAsia="Times New Roman" w:cs="Times New Roman"/>
        </w:rPr>
        <w:tab/>
      </w:r>
      <w:r w:rsidR="00516C9C">
        <w:rPr>
          <w:rStyle w:val="FootnoteReference"/>
          <w:rFonts w:asciiTheme="minorHAnsi" w:hAnsiTheme="minorHAnsi"/>
          <w:color w:val="auto"/>
          <w:sz w:val="19"/>
          <w:vertAlign w:val="baseline"/>
        </w:rPr>
        <w:t>S</w:t>
      </w:r>
      <w:r w:rsidR="00516C9C">
        <w:t>ee</w:t>
      </w:r>
      <w:r w:rsidRPr="000834BC">
        <w:rPr>
          <w:rStyle w:val="FootnoteReference"/>
          <w:rFonts w:asciiTheme="minorHAnsi" w:hAnsiTheme="minorHAnsi"/>
          <w:color w:val="auto"/>
          <w:sz w:val="19"/>
          <w:vertAlign w:val="baseline"/>
        </w:rPr>
        <w:t xml:space="preserve"> </w:t>
      </w:r>
      <w:r w:rsidR="00516C9C">
        <w:t xml:space="preserve">Ministry for the Environment. 2024. </w:t>
      </w:r>
      <w:hyperlink r:id="rId14" w:history="1">
        <w:r w:rsidR="00516C9C" w:rsidRPr="006A5FE2">
          <w:rPr>
            <w:rStyle w:val="Hyperlink"/>
            <w:i/>
            <w:iCs/>
          </w:rPr>
          <w:t>Our Journey Towards Net Zero</w:t>
        </w:r>
        <w:r w:rsidR="0027795E">
          <w:rPr>
            <w:rStyle w:val="Hyperlink"/>
            <w:i/>
            <w:iCs/>
          </w:rPr>
          <w:t>:</w:t>
        </w:r>
        <w:r w:rsidR="00516C9C" w:rsidRPr="006A5FE2">
          <w:rPr>
            <w:rStyle w:val="Hyperlink"/>
            <w:i/>
            <w:iCs/>
          </w:rPr>
          <w:t xml:space="preserve"> New Zealand’s Second Emissions Reduction Plan 2026–30</w:t>
        </w:r>
      </w:hyperlink>
      <w:r w:rsidR="00516C9C">
        <w:rPr>
          <w:i/>
          <w:iCs/>
        </w:rPr>
        <w:t>.</w:t>
      </w:r>
      <w:r w:rsidR="00516C9C">
        <w:t xml:space="preserve"> </w:t>
      </w:r>
      <w:r w:rsidR="00516C9C">
        <w:rPr>
          <w:rStyle w:val="FootnoteReference"/>
          <w:rFonts w:asciiTheme="minorHAnsi" w:hAnsiTheme="minorHAnsi"/>
          <w:color w:val="auto"/>
          <w:sz w:val="19"/>
          <w:vertAlign w:val="baseline"/>
        </w:rPr>
        <w:t>W</w:t>
      </w:r>
      <w:r w:rsidR="00516C9C">
        <w:t>ellington: Ministry for the Environment. pp 17–18.</w:t>
      </w:r>
    </w:p>
  </w:footnote>
  <w:footnote w:id="19">
    <w:p w14:paraId="0E9BF254" w14:textId="37EF1C6A" w:rsidR="21FF8D17" w:rsidRDefault="21FF8D17" w:rsidP="00EE35BD">
      <w:pPr>
        <w:pStyle w:val="FootnoteText"/>
      </w:pPr>
      <w:r w:rsidRPr="0059457F">
        <w:rPr>
          <w:rStyle w:val="FootnoteReference"/>
          <w:rFonts w:eastAsia="Times New Roman" w:cs="Times New Roman"/>
          <w:color w:val="auto"/>
          <w:sz w:val="19"/>
        </w:rPr>
        <w:footnoteRef/>
      </w:r>
      <w:r w:rsidRPr="0059457F">
        <w:rPr>
          <w:rStyle w:val="FootnoteReference"/>
          <w:rFonts w:eastAsia="Times New Roman" w:cs="Times New Roman"/>
          <w:color w:val="auto"/>
          <w:sz w:val="19"/>
        </w:rPr>
        <w:t xml:space="preserve"> </w:t>
      </w:r>
      <w:r w:rsidR="0033443C">
        <w:rPr>
          <w:rStyle w:val="FootnoteReference"/>
          <w:rFonts w:eastAsia="Times New Roman" w:cs="Times New Roman"/>
          <w:color w:val="auto"/>
          <w:sz w:val="19"/>
        </w:rPr>
        <w:tab/>
      </w:r>
      <w:r w:rsidR="0033443C" w:rsidRPr="006F1027">
        <w:t xml:space="preserve">He Pou a Rangi | Climate Change Commission. 2024. </w:t>
      </w:r>
      <w:hyperlink r:id="rId15" w:history="1">
        <w:r w:rsidR="0033443C" w:rsidRPr="0023130B">
          <w:rPr>
            <w:rStyle w:val="Hyperlink"/>
            <w:i/>
            <w:iCs/>
          </w:rPr>
          <w:t>Review of the 2050 emissions target including whether emissions from international shipping and aviation should be included</w:t>
        </w:r>
      </w:hyperlink>
      <w:r w:rsidR="0033443C">
        <w:t>.</w:t>
      </w:r>
      <w:r w:rsidR="0033443C" w:rsidRPr="006F1027">
        <w:t xml:space="preserve"> </w:t>
      </w:r>
      <w:r w:rsidR="0033443C">
        <w:t>Wellington: Climate Change Commission. p</w:t>
      </w:r>
      <w:r w:rsidRPr="000834BC">
        <w:rPr>
          <w:rStyle w:val="FootnoteReference"/>
          <w:rFonts w:asciiTheme="minorHAnsi" w:hAnsiTheme="minorHAnsi"/>
          <w:color w:val="auto"/>
          <w:sz w:val="19"/>
          <w:vertAlign w:val="baseline"/>
        </w:rPr>
        <w:t xml:space="preserve"> 24.</w:t>
      </w:r>
      <w:r>
        <w:t xml:space="preserve"> </w:t>
      </w:r>
    </w:p>
  </w:footnote>
  <w:footnote w:id="20">
    <w:p w14:paraId="2094E8E1" w14:textId="09E6860E" w:rsidR="00083B8A" w:rsidRPr="000834BC" w:rsidRDefault="00083B8A" w:rsidP="00946F9D">
      <w:pPr>
        <w:pStyle w:val="FootnoteText"/>
        <w:rPr>
          <w:rStyle w:val="FootnoteReference"/>
          <w:rFonts w:asciiTheme="minorHAnsi" w:hAnsiTheme="minorHAnsi"/>
          <w:color w:val="auto"/>
          <w:sz w:val="19"/>
          <w:vertAlign w:val="baseline"/>
        </w:rPr>
      </w:pPr>
      <w:r w:rsidRPr="0014154F">
        <w:rPr>
          <w:rStyle w:val="FootnoteReference"/>
          <w:rFonts w:eastAsia="Times New Roman" w:cs="Times New Roman"/>
          <w:color w:val="auto"/>
          <w:sz w:val="19"/>
        </w:rPr>
        <w:footnoteRef/>
      </w:r>
      <w:r w:rsidRPr="0014154F">
        <w:rPr>
          <w:rStyle w:val="FootnoteReference"/>
          <w:rFonts w:eastAsia="Times New Roman" w:cs="Times New Roman"/>
          <w:color w:val="auto"/>
          <w:sz w:val="19"/>
        </w:rPr>
        <w:t xml:space="preserve"> </w:t>
      </w:r>
      <w:r w:rsidRPr="00A0066B">
        <w:rPr>
          <w:rStyle w:val="FootnoteReference"/>
          <w:rFonts w:asciiTheme="minorHAnsi" w:hAnsiTheme="minorHAnsi"/>
          <w:color w:val="auto"/>
          <w:sz w:val="19"/>
          <w:vertAlign w:val="baseline"/>
        </w:rPr>
        <w:tab/>
      </w:r>
      <w:r w:rsidR="00920B60">
        <w:t xml:space="preserve">Ministry for the Environment and Ministry for Primary Industries. Forthcoming. </w:t>
      </w:r>
      <w:r w:rsidR="009941D5" w:rsidRPr="001F675D">
        <w:rPr>
          <w:i/>
        </w:rPr>
        <w:t xml:space="preserve">Regulatory Impact Statement: Updating the 2050 </w:t>
      </w:r>
      <w:r w:rsidR="00920B60" w:rsidRPr="001F675D">
        <w:rPr>
          <w:i/>
        </w:rPr>
        <w:t>D</w:t>
      </w:r>
      <w:r w:rsidR="009941D5" w:rsidRPr="001F675D">
        <w:rPr>
          <w:i/>
        </w:rPr>
        <w:t xml:space="preserve">omestic </w:t>
      </w:r>
      <w:r w:rsidR="00920B60" w:rsidRPr="001F675D">
        <w:rPr>
          <w:i/>
        </w:rPr>
        <w:t>C</w:t>
      </w:r>
      <w:r w:rsidR="009941D5" w:rsidRPr="001F675D">
        <w:rPr>
          <w:i/>
        </w:rPr>
        <w:t xml:space="preserve">limate </w:t>
      </w:r>
      <w:r w:rsidR="00920B60" w:rsidRPr="001F675D">
        <w:rPr>
          <w:i/>
        </w:rPr>
        <w:t>C</w:t>
      </w:r>
      <w:r w:rsidR="009941D5" w:rsidRPr="001F675D">
        <w:rPr>
          <w:i/>
        </w:rPr>
        <w:t xml:space="preserve">hange </w:t>
      </w:r>
      <w:r w:rsidR="00920B60" w:rsidRPr="001F675D">
        <w:rPr>
          <w:i/>
        </w:rPr>
        <w:t>E</w:t>
      </w:r>
      <w:r w:rsidR="009941D5" w:rsidRPr="001F675D">
        <w:rPr>
          <w:i/>
        </w:rPr>
        <w:t xml:space="preserve">missions </w:t>
      </w:r>
      <w:r w:rsidR="00920B60" w:rsidRPr="001F675D">
        <w:rPr>
          <w:i/>
        </w:rPr>
        <w:t>T</w:t>
      </w:r>
      <w:r w:rsidR="009941D5" w:rsidRPr="001F675D">
        <w:rPr>
          <w:i/>
        </w:rPr>
        <w:t>arget</w:t>
      </w:r>
      <w:r w:rsidR="009941D5">
        <w:rPr>
          <w:iCs/>
        </w:rPr>
        <w:t>.</w:t>
      </w:r>
      <w:r w:rsidR="00920B60">
        <w:rPr>
          <w:iCs/>
        </w:rPr>
        <w:t xml:space="preserve"> Wellington:</w:t>
      </w:r>
      <w:r w:rsidR="009941D5">
        <w:rPr>
          <w:iCs/>
        </w:rPr>
        <w:t xml:space="preserve"> </w:t>
      </w:r>
      <w:r w:rsidR="004B0625">
        <w:rPr>
          <w:iCs/>
        </w:rPr>
        <w:t>Ministry for the</w:t>
      </w:r>
      <w:r w:rsidR="004F1526">
        <w:rPr>
          <w:iCs/>
        </w:rPr>
        <w:t> </w:t>
      </w:r>
      <w:r w:rsidR="004B0625">
        <w:rPr>
          <w:iCs/>
        </w:rPr>
        <w:t>Environment</w:t>
      </w:r>
      <w:r w:rsidR="00920B60">
        <w:rPr>
          <w:iCs/>
        </w:rPr>
        <w:t>.</w:t>
      </w:r>
      <w:r w:rsidR="0059457F">
        <w:rPr>
          <w:iCs/>
        </w:rPr>
        <w:t xml:space="preserve"> </w:t>
      </w:r>
    </w:p>
  </w:footnote>
  <w:footnote w:id="21">
    <w:p w14:paraId="1ED5DBF7" w14:textId="7355B7EC" w:rsidR="00CB484C" w:rsidRDefault="00CB484C" w:rsidP="00AA0BB4">
      <w:pPr>
        <w:pStyle w:val="FootnoteText"/>
        <w:spacing w:after="40"/>
      </w:pPr>
      <w:r w:rsidRPr="007F2AC8">
        <w:rPr>
          <w:rStyle w:val="FootnoteReference"/>
          <w:rFonts w:eastAsia="Times New Roman" w:cs="Times New Roman"/>
          <w:color w:val="auto"/>
          <w:sz w:val="19"/>
        </w:rPr>
        <w:footnoteRef/>
      </w:r>
      <w:r w:rsidRPr="007F2AC8">
        <w:rPr>
          <w:rStyle w:val="FootnoteReference"/>
          <w:rFonts w:eastAsia="Times New Roman" w:cs="Times New Roman"/>
          <w:color w:val="auto"/>
          <w:sz w:val="19"/>
        </w:rPr>
        <w:t xml:space="preserve"> </w:t>
      </w:r>
      <w:r w:rsidR="00BB6C5E">
        <w:rPr>
          <w:rStyle w:val="FootnoteReference"/>
          <w:rFonts w:eastAsia="Times New Roman" w:cs="Times New Roman"/>
          <w:color w:val="auto"/>
          <w:sz w:val="19"/>
        </w:rPr>
        <w:tab/>
      </w:r>
      <w:r w:rsidR="00BB6C5E">
        <w:rPr>
          <w:rStyle w:val="FootnoteReference"/>
          <w:rFonts w:asciiTheme="minorHAnsi" w:hAnsiTheme="minorHAnsi"/>
          <w:color w:val="auto"/>
          <w:sz w:val="19"/>
          <w:vertAlign w:val="baseline"/>
        </w:rPr>
        <w:t>M</w:t>
      </w:r>
      <w:r w:rsidR="00BB6C5E">
        <w:t>inistry for the Environment. 2024.</w:t>
      </w:r>
      <w:r w:rsidR="00BB6C5E" w:rsidRPr="00586048">
        <w:rPr>
          <w:rStyle w:val="FootnoteReference"/>
          <w:rFonts w:asciiTheme="minorHAnsi" w:hAnsiTheme="minorHAnsi"/>
          <w:color w:val="auto"/>
          <w:sz w:val="19"/>
          <w:vertAlign w:val="baseline"/>
        </w:rPr>
        <w:t xml:space="preserve"> </w:t>
      </w:r>
      <w:hyperlink r:id="rId16" w:history="1">
        <w:r w:rsidR="00BB6C5E" w:rsidRPr="0023130B">
          <w:rPr>
            <w:rStyle w:val="Hyperlink"/>
            <w:i/>
            <w:iCs/>
          </w:rPr>
          <w:t>Methane Science and Target Review</w:t>
        </w:r>
      </w:hyperlink>
      <w:r w:rsidR="00BB6C5E">
        <w:t>. Wellington: Ministry for the</w:t>
      </w:r>
      <w:r w:rsidR="00853306">
        <w:t> </w:t>
      </w:r>
      <w:r w:rsidR="00BB6C5E">
        <w:t>Environment</w:t>
      </w:r>
      <w:r w:rsidRPr="00EB5323">
        <w:rPr>
          <w:rStyle w:val="FootnoteReference"/>
          <w:rFonts w:asciiTheme="minorHAnsi" w:hAnsiTheme="minorHAnsi"/>
          <w:color w:val="auto"/>
          <w:sz w:val="19"/>
          <w:vertAlign w:val="baseline"/>
        </w:rPr>
        <w:t>.</w:t>
      </w:r>
    </w:p>
  </w:footnote>
  <w:footnote w:id="22">
    <w:p w14:paraId="0FA7EEEF" w14:textId="0533B7D6" w:rsidR="00451F96" w:rsidRPr="000834BC" w:rsidRDefault="00451F96" w:rsidP="00AA0BB4">
      <w:pPr>
        <w:pStyle w:val="FootnoteText"/>
        <w:spacing w:after="40"/>
        <w:rPr>
          <w:rStyle w:val="FootnoteReference"/>
          <w:rFonts w:asciiTheme="minorHAnsi" w:hAnsiTheme="minorHAnsi"/>
          <w:color w:val="auto"/>
          <w:sz w:val="19"/>
          <w:vertAlign w:val="baseline"/>
        </w:rPr>
      </w:pPr>
      <w:r w:rsidRPr="007F2AC8">
        <w:rPr>
          <w:rStyle w:val="FootnoteReference"/>
          <w:rFonts w:eastAsia="Times New Roman" w:cs="Times New Roman"/>
          <w:color w:val="auto"/>
          <w:sz w:val="19"/>
        </w:rPr>
        <w:footnoteRef/>
      </w:r>
      <w:r w:rsidR="0022369E" w:rsidRPr="000834BC">
        <w:rPr>
          <w:rStyle w:val="FootnoteReference"/>
          <w:rFonts w:asciiTheme="minorHAnsi" w:hAnsiTheme="minorHAnsi"/>
          <w:color w:val="auto"/>
          <w:sz w:val="19"/>
          <w:vertAlign w:val="baseline"/>
        </w:rPr>
        <w:tab/>
      </w:r>
      <w:r w:rsidR="00B5045C">
        <w:rPr>
          <w:rStyle w:val="FootnoteReference"/>
          <w:rFonts w:asciiTheme="minorHAnsi" w:hAnsiTheme="minorHAnsi"/>
          <w:color w:val="auto"/>
          <w:sz w:val="19"/>
          <w:vertAlign w:val="baseline"/>
        </w:rPr>
        <w:t>M</w:t>
      </w:r>
      <w:r w:rsidR="00B5045C">
        <w:t xml:space="preserve">inistry for the Environment. 2024. </w:t>
      </w:r>
      <w:hyperlink r:id="rId17" w:history="1">
        <w:r w:rsidR="00B5045C" w:rsidRPr="00B5045C">
          <w:rPr>
            <w:rStyle w:val="Hyperlink"/>
            <w:i/>
            <w:iCs/>
          </w:rPr>
          <w:t>Methane Science and Target Review – Terms of Reference</w:t>
        </w:r>
      </w:hyperlink>
      <w:r w:rsidR="00B5045C">
        <w:rPr>
          <w:i/>
          <w:iCs/>
        </w:rPr>
        <w:t xml:space="preserve">. </w:t>
      </w:r>
      <w:r w:rsidR="00B5045C">
        <w:t xml:space="preserve">Wellington: Ministry for the Environment. </w:t>
      </w:r>
    </w:p>
  </w:footnote>
  <w:footnote w:id="23">
    <w:p w14:paraId="2BA0E6A5" w14:textId="0571A98C" w:rsidR="00245724" w:rsidRDefault="00245724" w:rsidP="00AA0BB4">
      <w:pPr>
        <w:pStyle w:val="FootnoteText"/>
        <w:spacing w:after="40"/>
      </w:pPr>
      <w:r w:rsidRPr="00776CED">
        <w:rPr>
          <w:rStyle w:val="FootnoteReference"/>
          <w:rFonts w:eastAsia="Times New Roman" w:cs="Times New Roman"/>
          <w:color w:val="auto"/>
          <w:sz w:val="19"/>
        </w:rPr>
        <w:footnoteRef/>
      </w:r>
      <w:r w:rsidRPr="00776CED">
        <w:rPr>
          <w:rStyle w:val="FootnoteReference"/>
          <w:rFonts w:eastAsia="Times New Roman" w:cs="Times New Roman"/>
          <w:color w:val="auto"/>
          <w:sz w:val="19"/>
        </w:rPr>
        <w:t xml:space="preserve"> </w:t>
      </w:r>
      <w:r w:rsidR="004411E7" w:rsidRPr="000834BC">
        <w:rPr>
          <w:rStyle w:val="FootnoteReference"/>
          <w:rFonts w:asciiTheme="minorHAnsi" w:hAnsiTheme="minorHAnsi"/>
          <w:color w:val="auto"/>
          <w:sz w:val="19"/>
          <w:vertAlign w:val="baseline"/>
        </w:rPr>
        <w:tab/>
      </w:r>
      <w:r w:rsidR="00643DA6">
        <w:rPr>
          <w:rStyle w:val="FootnoteReference"/>
          <w:rFonts w:asciiTheme="minorHAnsi" w:hAnsiTheme="minorHAnsi"/>
          <w:color w:val="auto"/>
          <w:sz w:val="19"/>
          <w:vertAlign w:val="baseline"/>
        </w:rPr>
        <w:t>M</w:t>
      </w:r>
      <w:r w:rsidR="00643DA6">
        <w:t>inistry for the Environment. 2024.</w:t>
      </w:r>
      <w:r w:rsidR="00643DA6" w:rsidRPr="00586048">
        <w:rPr>
          <w:rStyle w:val="FootnoteReference"/>
          <w:rFonts w:asciiTheme="minorHAnsi" w:hAnsiTheme="minorHAnsi"/>
          <w:color w:val="auto"/>
          <w:sz w:val="19"/>
          <w:vertAlign w:val="baseline"/>
        </w:rPr>
        <w:t xml:space="preserve"> </w:t>
      </w:r>
      <w:hyperlink r:id="rId18" w:history="1">
        <w:r w:rsidR="00643DA6" w:rsidRPr="0023130B">
          <w:rPr>
            <w:rStyle w:val="Hyperlink"/>
            <w:i/>
            <w:iCs/>
          </w:rPr>
          <w:t>Methane Science and Target Review</w:t>
        </w:r>
      </w:hyperlink>
      <w:r w:rsidR="00643DA6">
        <w:t>. Wellington: Ministry for the</w:t>
      </w:r>
      <w:r w:rsidR="00853306">
        <w:t> </w:t>
      </w:r>
      <w:r w:rsidR="00643DA6">
        <w:t>Environment, p</w:t>
      </w:r>
      <w:r w:rsidR="00C662D2">
        <w:t>p</w:t>
      </w:r>
      <w:r w:rsidR="00643DA6">
        <w:t xml:space="preserve"> 9 and </w:t>
      </w:r>
      <w:r w:rsidR="00C662D2">
        <w:t>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62DF" w14:textId="7D81A38C" w:rsidR="0034065E" w:rsidRDefault="23AEC135">
    <w:pPr>
      <w:pStyle w:val="Header"/>
    </w:pPr>
    <w:r>
      <w:t>IN CONFIDENCE</w:t>
    </w:r>
  </w:p>
  <w:p w14:paraId="6122D8AA" w14:textId="009A082D" w:rsidR="0034065E" w:rsidRDefault="00340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00F4" w14:textId="3AA7D069" w:rsidR="0034065E" w:rsidRDefault="23AEC135">
    <w:pPr>
      <w:pStyle w:val="Header"/>
    </w:pPr>
    <w:r>
      <w:t>IN 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6B81" w14:textId="63F22E50" w:rsidR="002D05EC" w:rsidRPr="008E6615" w:rsidRDefault="002D05EC" w:rsidP="008E66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98D0" w14:textId="0FB86189" w:rsidR="002D05EC" w:rsidRPr="008E6615" w:rsidRDefault="002D05EC" w:rsidP="008E6615">
    <w:pPr>
      <w:pStyle w:val="Header"/>
    </w:pPr>
  </w:p>
</w:hdr>
</file>

<file path=word/intelligence2.xml><?xml version="1.0" encoding="utf-8"?>
<int2:intelligence xmlns:int2="http://schemas.microsoft.com/office/intelligence/2020/intelligence" xmlns:oel="http://schemas.microsoft.com/office/2019/extlst">
  <int2:observations>
    <int2:textHash int2:hashCode="WtBn6KQM3tnfIA" int2:id="1FZZnQDX">
      <int2:state int2:value="Rejected" int2:type="spell"/>
    </int2:textHash>
    <int2:textHash int2:hashCode="wtKSqYmrO8qHMS" int2:id="ZGOnl3Hh">
      <int2:state int2:value="Rejected" int2:type="spell"/>
    </int2:textHash>
    <int2:textHash int2:hashCode="a5QuKDH5csIuKw" int2:id="cSQ41XoN">
      <int2:state int2:value="Rejected" int2:type="spell"/>
    </int2:textHash>
    <int2:textHash int2:hashCode="Yc1T0pkJecsyns" int2:id="uVFoIX2F">
      <int2:state int2:value="Rejected" int2:type="spell"/>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926"/>
    <w:multiLevelType w:val="multilevel"/>
    <w:tmpl w:val="8B2476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hAnsi="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04694"/>
    <w:multiLevelType w:val="hybridMultilevel"/>
    <w:tmpl w:val="A7C4A0E0"/>
    <w:lvl w:ilvl="0" w:tplc="1BF87488">
      <w:start w:val="1"/>
      <w:numFmt w:val="lowerLetter"/>
      <w:lvlText w:val="%1)"/>
      <w:lvlJc w:val="left"/>
      <w:pPr>
        <w:ind w:left="1020" w:hanging="360"/>
      </w:pPr>
    </w:lvl>
    <w:lvl w:ilvl="1" w:tplc="18C22B48">
      <w:start w:val="1"/>
      <w:numFmt w:val="lowerLetter"/>
      <w:lvlText w:val="%2)"/>
      <w:lvlJc w:val="left"/>
      <w:pPr>
        <w:ind w:left="1020" w:hanging="360"/>
      </w:pPr>
    </w:lvl>
    <w:lvl w:ilvl="2" w:tplc="EF94AB20">
      <w:start w:val="1"/>
      <w:numFmt w:val="lowerLetter"/>
      <w:lvlText w:val="%3)"/>
      <w:lvlJc w:val="left"/>
      <w:pPr>
        <w:ind w:left="1020" w:hanging="360"/>
      </w:pPr>
    </w:lvl>
    <w:lvl w:ilvl="3" w:tplc="A06E1B40">
      <w:start w:val="1"/>
      <w:numFmt w:val="lowerLetter"/>
      <w:lvlText w:val="%4)"/>
      <w:lvlJc w:val="left"/>
      <w:pPr>
        <w:ind w:left="1020" w:hanging="360"/>
      </w:pPr>
    </w:lvl>
    <w:lvl w:ilvl="4" w:tplc="F080056E">
      <w:start w:val="1"/>
      <w:numFmt w:val="lowerLetter"/>
      <w:lvlText w:val="%5)"/>
      <w:lvlJc w:val="left"/>
      <w:pPr>
        <w:ind w:left="1020" w:hanging="360"/>
      </w:pPr>
    </w:lvl>
    <w:lvl w:ilvl="5" w:tplc="A0264230">
      <w:start w:val="1"/>
      <w:numFmt w:val="lowerLetter"/>
      <w:lvlText w:val="%6)"/>
      <w:lvlJc w:val="left"/>
      <w:pPr>
        <w:ind w:left="1020" w:hanging="360"/>
      </w:pPr>
    </w:lvl>
    <w:lvl w:ilvl="6" w:tplc="A8346DB8">
      <w:start w:val="1"/>
      <w:numFmt w:val="lowerLetter"/>
      <w:lvlText w:val="%7)"/>
      <w:lvlJc w:val="left"/>
      <w:pPr>
        <w:ind w:left="1020" w:hanging="360"/>
      </w:pPr>
    </w:lvl>
    <w:lvl w:ilvl="7" w:tplc="8F88F082">
      <w:start w:val="1"/>
      <w:numFmt w:val="lowerLetter"/>
      <w:lvlText w:val="%8)"/>
      <w:lvlJc w:val="left"/>
      <w:pPr>
        <w:ind w:left="1020" w:hanging="360"/>
      </w:pPr>
    </w:lvl>
    <w:lvl w:ilvl="8" w:tplc="68643268">
      <w:start w:val="1"/>
      <w:numFmt w:val="lowerLetter"/>
      <w:lvlText w:val="%9)"/>
      <w:lvlJc w:val="left"/>
      <w:pPr>
        <w:ind w:left="1020" w:hanging="360"/>
      </w:pPr>
    </w:lvl>
  </w:abstractNum>
  <w:abstractNum w:abstractNumId="2" w15:restartNumberingAfterBreak="0">
    <w:nsid w:val="05381019"/>
    <w:multiLevelType w:val="hybridMultilevel"/>
    <w:tmpl w:val="952A0F92"/>
    <w:lvl w:ilvl="0" w:tplc="AE80E5E2">
      <w:start w:val="1"/>
      <w:numFmt w:val="bullet"/>
      <w:lvlText w:val="-"/>
      <w:lvlJc w:val="left"/>
      <w:pPr>
        <w:ind w:left="360" w:hanging="360"/>
      </w:pPr>
      <w:rPr>
        <w:rFonts w:ascii="Aptos" w:hAnsi="Aptos" w:hint="default"/>
      </w:rPr>
    </w:lvl>
    <w:lvl w:ilvl="1" w:tplc="9C6ED7A2">
      <w:start w:val="1"/>
      <w:numFmt w:val="bullet"/>
      <w:lvlText w:val="o"/>
      <w:lvlJc w:val="left"/>
      <w:pPr>
        <w:ind w:left="1080" w:hanging="360"/>
      </w:pPr>
      <w:rPr>
        <w:rFonts w:ascii="Courier New" w:hAnsi="Courier New" w:hint="default"/>
      </w:rPr>
    </w:lvl>
    <w:lvl w:ilvl="2" w:tplc="DC46F4E4">
      <w:start w:val="1"/>
      <w:numFmt w:val="bullet"/>
      <w:lvlText w:val=""/>
      <w:lvlJc w:val="left"/>
      <w:pPr>
        <w:ind w:left="1800" w:hanging="360"/>
      </w:pPr>
      <w:rPr>
        <w:rFonts w:ascii="Wingdings" w:hAnsi="Wingdings" w:hint="default"/>
      </w:rPr>
    </w:lvl>
    <w:lvl w:ilvl="3" w:tplc="8A4C2634">
      <w:start w:val="1"/>
      <w:numFmt w:val="bullet"/>
      <w:lvlText w:val=""/>
      <w:lvlJc w:val="left"/>
      <w:pPr>
        <w:ind w:left="2520" w:hanging="360"/>
      </w:pPr>
      <w:rPr>
        <w:rFonts w:ascii="Symbol" w:hAnsi="Symbol" w:hint="default"/>
      </w:rPr>
    </w:lvl>
    <w:lvl w:ilvl="4" w:tplc="E2487176">
      <w:start w:val="1"/>
      <w:numFmt w:val="bullet"/>
      <w:lvlText w:val="o"/>
      <w:lvlJc w:val="left"/>
      <w:pPr>
        <w:ind w:left="3240" w:hanging="360"/>
      </w:pPr>
      <w:rPr>
        <w:rFonts w:ascii="Courier New" w:hAnsi="Courier New" w:hint="default"/>
      </w:rPr>
    </w:lvl>
    <w:lvl w:ilvl="5" w:tplc="2EDC054A">
      <w:start w:val="1"/>
      <w:numFmt w:val="bullet"/>
      <w:lvlText w:val=""/>
      <w:lvlJc w:val="left"/>
      <w:pPr>
        <w:ind w:left="3960" w:hanging="360"/>
      </w:pPr>
      <w:rPr>
        <w:rFonts w:ascii="Wingdings" w:hAnsi="Wingdings" w:hint="default"/>
      </w:rPr>
    </w:lvl>
    <w:lvl w:ilvl="6" w:tplc="5438699A">
      <w:start w:val="1"/>
      <w:numFmt w:val="bullet"/>
      <w:lvlText w:val=""/>
      <w:lvlJc w:val="left"/>
      <w:pPr>
        <w:ind w:left="4680" w:hanging="360"/>
      </w:pPr>
      <w:rPr>
        <w:rFonts w:ascii="Symbol" w:hAnsi="Symbol" w:hint="default"/>
      </w:rPr>
    </w:lvl>
    <w:lvl w:ilvl="7" w:tplc="C090F744">
      <w:start w:val="1"/>
      <w:numFmt w:val="bullet"/>
      <w:lvlText w:val="o"/>
      <w:lvlJc w:val="left"/>
      <w:pPr>
        <w:ind w:left="5400" w:hanging="360"/>
      </w:pPr>
      <w:rPr>
        <w:rFonts w:ascii="Courier New" w:hAnsi="Courier New" w:hint="default"/>
      </w:rPr>
    </w:lvl>
    <w:lvl w:ilvl="8" w:tplc="952E99C2">
      <w:start w:val="1"/>
      <w:numFmt w:val="bullet"/>
      <w:lvlText w:val=""/>
      <w:lvlJc w:val="left"/>
      <w:pPr>
        <w:ind w:left="6120" w:hanging="360"/>
      </w:pPr>
      <w:rPr>
        <w:rFonts w:ascii="Wingdings" w:hAnsi="Wingdings" w:hint="default"/>
      </w:rPr>
    </w:lvl>
  </w:abstractNum>
  <w:abstractNum w:abstractNumId="3" w15:restartNumberingAfterBreak="0">
    <w:nsid w:val="05497682"/>
    <w:multiLevelType w:val="hybridMultilevel"/>
    <w:tmpl w:val="440CEB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86A97E"/>
    <w:multiLevelType w:val="hybridMultilevel"/>
    <w:tmpl w:val="94A066E0"/>
    <w:lvl w:ilvl="0" w:tplc="2E807134">
      <w:start w:val="1"/>
      <w:numFmt w:val="bullet"/>
      <w:lvlText w:val="-"/>
      <w:lvlJc w:val="left"/>
      <w:pPr>
        <w:ind w:left="360" w:hanging="360"/>
      </w:pPr>
      <w:rPr>
        <w:rFonts w:ascii="Aptos" w:hAnsi="Aptos" w:hint="default"/>
      </w:rPr>
    </w:lvl>
    <w:lvl w:ilvl="1" w:tplc="604E2E3C">
      <w:start w:val="1"/>
      <w:numFmt w:val="bullet"/>
      <w:lvlText w:val="o"/>
      <w:lvlJc w:val="left"/>
      <w:pPr>
        <w:ind w:left="1080" w:hanging="360"/>
      </w:pPr>
      <w:rPr>
        <w:rFonts w:ascii="Courier New" w:hAnsi="Courier New" w:hint="default"/>
      </w:rPr>
    </w:lvl>
    <w:lvl w:ilvl="2" w:tplc="3BB06108">
      <w:start w:val="1"/>
      <w:numFmt w:val="bullet"/>
      <w:lvlText w:val=""/>
      <w:lvlJc w:val="left"/>
      <w:pPr>
        <w:ind w:left="1800" w:hanging="360"/>
      </w:pPr>
      <w:rPr>
        <w:rFonts w:ascii="Wingdings" w:hAnsi="Wingdings" w:hint="default"/>
      </w:rPr>
    </w:lvl>
    <w:lvl w:ilvl="3" w:tplc="DD80222E">
      <w:start w:val="1"/>
      <w:numFmt w:val="bullet"/>
      <w:lvlText w:val=""/>
      <w:lvlJc w:val="left"/>
      <w:pPr>
        <w:ind w:left="2520" w:hanging="360"/>
      </w:pPr>
      <w:rPr>
        <w:rFonts w:ascii="Symbol" w:hAnsi="Symbol" w:hint="default"/>
      </w:rPr>
    </w:lvl>
    <w:lvl w:ilvl="4" w:tplc="A46C321A">
      <w:start w:val="1"/>
      <w:numFmt w:val="bullet"/>
      <w:lvlText w:val="o"/>
      <w:lvlJc w:val="left"/>
      <w:pPr>
        <w:ind w:left="3240" w:hanging="360"/>
      </w:pPr>
      <w:rPr>
        <w:rFonts w:ascii="Courier New" w:hAnsi="Courier New" w:hint="default"/>
      </w:rPr>
    </w:lvl>
    <w:lvl w:ilvl="5" w:tplc="9B7EC4A6">
      <w:start w:val="1"/>
      <w:numFmt w:val="bullet"/>
      <w:lvlText w:val=""/>
      <w:lvlJc w:val="left"/>
      <w:pPr>
        <w:ind w:left="3960" w:hanging="360"/>
      </w:pPr>
      <w:rPr>
        <w:rFonts w:ascii="Wingdings" w:hAnsi="Wingdings" w:hint="default"/>
      </w:rPr>
    </w:lvl>
    <w:lvl w:ilvl="6" w:tplc="C3867958">
      <w:start w:val="1"/>
      <w:numFmt w:val="bullet"/>
      <w:lvlText w:val=""/>
      <w:lvlJc w:val="left"/>
      <w:pPr>
        <w:ind w:left="4680" w:hanging="360"/>
      </w:pPr>
      <w:rPr>
        <w:rFonts w:ascii="Symbol" w:hAnsi="Symbol" w:hint="default"/>
      </w:rPr>
    </w:lvl>
    <w:lvl w:ilvl="7" w:tplc="AAAC0AA8">
      <w:start w:val="1"/>
      <w:numFmt w:val="bullet"/>
      <w:lvlText w:val="o"/>
      <w:lvlJc w:val="left"/>
      <w:pPr>
        <w:ind w:left="5400" w:hanging="360"/>
      </w:pPr>
      <w:rPr>
        <w:rFonts w:ascii="Courier New" w:hAnsi="Courier New" w:hint="default"/>
      </w:rPr>
    </w:lvl>
    <w:lvl w:ilvl="8" w:tplc="50B8141A">
      <w:start w:val="1"/>
      <w:numFmt w:val="bullet"/>
      <w:lvlText w:val=""/>
      <w:lvlJc w:val="left"/>
      <w:pPr>
        <w:ind w:left="6120" w:hanging="360"/>
      </w:pPr>
      <w:rPr>
        <w:rFonts w:ascii="Wingdings" w:hAnsi="Wingdings" w:hint="default"/>
      </w:rPr>
    </w:lvl>
  </w:abstractNum>
  <w:abstractNum w:abstractNumId="5"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601E6"/>
    <w:multiLevelType w:val="hybridMultilevel"/>
    <w:tmpl w:val="FF063B82"/>
    <w:lvl w:ilvl="0" w:tplc="5EE2A140">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0B1133A3"/>
    <w:multiLevelType w:val="hybridMultilevel"/>
    <w:tmpl w:val="684A4D80"/>
    <w:lvl w:ilvl="0" w:tplc="2E807134">
      <w:start w:val="1"/>
      <w:numFmt w:val="bullet"/>
      <w:lvlText w:val="-"/>
      <w:lvlJc w:val="left"/>
      <w:pPr>
        <w:ind w:left="360" w:hanging="360"/>
      </w:pPr>
      <w:rPr>
        <w:rFonts w:ascii="Aptos" w:hAnsi="Apto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BA32060"/>
    <w:multiLevelType w:val="multilevel"/>
    <w:tmpl w:val="641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452013"/>
    <w:multiLevelType w:val="multilevel"/>
    <w:tmpl w:val="5B92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585A9E"/>
    <w:multiLevelType w:val="hybridMultilevel"/>
    <w:tmpl w:val="5CA80064"/>
    <w:lvl w:ilvl="0" w:tplc="371C7514">
      <w:start w:val="1"/>
      <w:numFmt w:val="decimal"/>
      <w:lvlText w:val="%1)"/>
      <w:lvlJc w:val="left"/>
      <w:pPr>
        <w:ind w:left="1020" w:hanging="360"/>
      </w:pPr>
    </w:lvl>
    <w:lvl w:ilvl="1" w:tplc="E3B63E72">
      <w:start w:val="1"/>
      <w:numFmt w:val="decimal"/>
      <w:lvlText w:val="%2)"/>
      <w:lvlJc w:val="left"/>
      <w:pPr>
        <w:ind w:left="1020" w:hanging="360"/>
      </w:pPr>
    </w:lvl>
    <w:lvl w:ilvl="2" w:tplc="30EE75A0">
      <w:start w:val="1"/>
      <w:numFmt w:val="decimal"/>
      <w:lvlText w:val="%3)"/>
      <w:lvlJc w:val="left"/>
      <w:pPr>
        <w:ind w:left="1020" w:hanging="360"/>
      </w:pPr>
    </w:lvl>
    <w:lvl w:ilvl="3" w:tplc="E6CA75BC">
      <w:start w:val="1"/>
      <w:numFmt w:val="decimal"/>
      <w:lvlText w:val="%4)"/>
      <w:lvlJc w:val="left"/>
      <w:pPr>
        <w:ind w:left="1020" w:hanging="360"/>
      </w:pPr>
    </w:lvl>
    <w:lvl w:ilvl="4" w:tplc="306857D6">
      <w:start w:val="1"/>
      <w:numFmt w:val="decimal"/>
      <w:lvlText w:val="%5)"/>
      <w:lvlJc w:val="left"/>
      <w:pPr>
        <w:ind w:left="1020" w:hanging="360"/>
      </w:pPr>
    </w:lvl>
    <w:lvl w:ilvl="5" w:tplc="23EA0A9A">
      <w:start w:val="1"/>
      <w:numFmt w:val="decimal"/>
      <w:lvlText w:val="%6)"/>
      <w:lvlJc w:val="left"/>
      <w:pPr>
        <w:ind w:left="1020" w:hanging="360"/>
      </w:pPr>
    </w:lvl>
    <w:lvl w:ilvl="6" w:tplc="008430C0">
      <w:start w:val="1"/>
      <w:numFmt w:val="decimal"/>
      <w:lvlText w:val="%7)"/>
      <w:lvlJc w:val="left"/>
      <w:pPr>
        <w:ind w:left="1020" w:hanging="360"/>
      </w:pPr>
    </w:lvl>
    <w:lvl w:ilvl="7" w:tplc="AE2EB1A2">
      <w:start w:val="1"/>
      <w:numFmt w:val="decimal"/>
      <w:lvlText w:val="%8)"/>
      <w:lvlJc w:val="left"/>
      <w:pPr>
        <w:ind w:left="1020" w:hanging="360"/>
      </w:pPr>
    </w:lvl>
    <w:lvl w:ilvl="8" w:tplc="19CAC732">
      <w:start w:val="1"/>
      <w:numFmt w:val="decimal"/>
      <w:lvlText w:val="%9)"/>
      <w:lvlJc w:val="left"/>
      <w:pPr>
        <w:ind w:left="1020" w:hanging="360"/>
      </w:pPr>
    </w:lvl>
  </w:abstractNum>
  <w:abstractNum w:abstractNumId="1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1BE2744"/>
    <w:multiLevelType w:val="hybridMultilevel"/>
    <w:tmpl w:val="FFFFFFFF"/>
    <w:lvl w:ilvl="0" w:tplc="72EA07BE">
      <w:start w:val="1"/>
      <w:numFmt w:val="bullet"/>
      <w:lvlText w:val="-"/>
      <w:lvlJc w:val="left"/>
      <w:pPr>
        <w:ind w:left="720" w:hanging="360"/>
      </w:pPr>
      <w:rPr>
        <w:rFonts w:ascii="Aptos" w:hAnsi="Aptos" w:hint="default"/>
      </w:rPr>
    </w:lvl>
    <w:lvl w:ilvl="1" w:tplc="421468A8">
      <w:start w:val="1"/>
      <w:numFmt w:val="bullet"/>
      <w:lvlText w:val="o"/>
      <w:lvlJc w:val="left"/>
      <w:pPr>
        <w:ind w:left="1440" w:hanging="360"/>
      </w:pPr>
      <w:rPr>
        <w:rFonts w:ascii="Courier New" w:hAnsi="Courier New" w:hint="default"/>
      </w:rPr>
    </w:lvl>
    <w:lvl w:ilvl="2" w:tplc="8BDAC6F8">
      <w:start w:val="1"/>
      <w:numFmt w:val="bullet"/>
      <w:lvlText w:val=""/>
      <w:lvlJc w:val="left"/>
      <w:pPr>
        <w:ind w:left="2160" w:hanging="360"/>
      </w:pPr>
      <w:rPr>
        <w:rFonts w:ascii="Wingdings" w:hAnsi="Wingdings" w:hint="default"/>
      </w:rPr>
    </w:lvl>
    <w:lvl w:ilvl="3" w:tplc="ACA48590">
      <w:start w:val="1"/>
      <w:numFmt w:val="bullet"/>
      <w:lvlText w:val=""/>
      <w:lvlJc w:val="left"/>
      <w:pPr>
        <w:ind w:left="2880" w:hanging="360"/>
      </w:pPr>
      <w:rPr>
        <w:rFonts w:ascii="Symbol" w:hAnsi="Symbol" w:hint="default"/>
      </w:rPr>
    </w:lvl>
    <w:lvl w:ilvl="4" w:tplc="7134751C">
      <w:start w:val="1"/>
      <w:numFmt w:val="bullet"/>
      <w:lvlText w:val="o"/>
      <w:lvlJc w:val="left"/>
      <w:pPr>
        <w:ind w:left="3600" w:hanging="360"/>
      </w:pPr>
      <w:rPr>
        <w:rFonts w:ascii="Courier New" w:hAnsi="Courier New" w:hint="default"/>
      </w:rPr>
    </w:lvl>
    <w:lvl w:ilvl="5" w:tplc="53CC2354">
      <w:start w:val="1"/>
      <w:numFmt w:val="bullet"/>
      <w:lvlText w:val=""/>
      <w:lvlJc w:val="left"/>
      <w:pPr>
        <w:ind w:left="4320" w:hanging="360"/>
      </w:pPr>
      <w:rPr>
        <w:rFonts w:ascii="Wingdings" w:hAnsi="Wingdings" w:hint="default"/>
      </w:rPr>
    </w:lvl>
    <w:lvl w:ilvl="6" w:tplc="A9885DF2">
      <w:start w:val="1"/>
      <w:numFmt w:val="bullet"/>
      <w:lvlText w:val=""/>
      <w:lvlJc w:val="left"/>
      <w:pPr>
        <w:ind w:left="5040" w:hanging="360"/>
      </w:pPr>
      <w:rPr>
        <w:rFonts w:ascii="Symbol" w:hAnsi="Symbol" w:hint="default"/>
      </w:rPr>
    </w:lvl>
    <w:lvl w:ilvl="7" w:tplc="89421C00">
      <w:start w:val="1"/>
      <w:numFmt w:val="bullet"/>
      <w:lvlText w:val="o"/>
      <w:lvlJc w:val="left"/>
      <w:pPr>
        <w:ind w:left="5760" w:hanging="360"/>
      </w:pPr>
      <w:rPr>
        <w:rFonts w:ascii="Courier New" w:hAnsi="Courier New" w:hint="default"/>
      </w:rPr>
    </w:lvl>
    <w:lvl w:ilvl="8" w:tplc="7A882CC4">
      <w:start w:val="1"/>
      <w:numFmt w:val="bullet"/>
      <w:lvlText w:val=""/>
      <w:lvlJc w:val="left"/>
      <w:pPr>
        <w:ind w:left="6480" w:hanging="360"/>
      </w:pPr>
      <w:rPr>
        <w:rFonts w:ascii="Wingdings" w:hAnsi="Wingdings" w:hint="default"/>
      </w:rPr>
    </w:lvl>
  </w:abstractNum>
  <w:abstractNum w:abstractNumId="15" w15:restartNumberingAfterBreak="0">
    <w:nsid w:val="12305F36"/>
    <w:multiLevelType w:val="hybridMultilevel"/>
    <w:tmpl w:val="1EA0248A"/>
    <w:lvl w:ilvl="0" w:tplc="1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17EA3228"/>
    <w:multiLevelType w:val="hybridMultilevel"/>
    <w:tmpl w:val="B8286A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17EF3A6E"/>
    <w:multiLevelType w:val="hybridMultilevel"/>
    <w:tmpl w:val="FFFFFFFF"/>
    <w:lvl w:ilvl="0" w:tplc="95D8E2B8">
      <w:start w:val="1"/>
      <w:numFmt w:val="decimal"/>
      <w:lvlText w:val="%1."/>
      <w:lvlJc w:val="left"/>
      <w:pPr>
        <w:ind w:left="1800" w:hanging="360"/>
      </w:pPr>
    </w:lvl>
    <w:lvl w:ilvl="1" w:tplc="707240C6">
      <w:start w:val="1"/>
      <w:numFmt w:val="lowerLetter"/>
      <w:lvlText w:val="%2."/>
      <w:lvlJc w:val="left"/>
      <w:pPr>
        <w:ind w:left="2520" w:hanging="360"/>
      </w:pPr>
    </w:lvl>
    <w:lvl w:ilvl="2" w:tplc="44CEE63E">
      <w:start w:val="1"/>
      <w:numFmt w:val="lowerRoman"/>
      <w:lvlText w:val="%3."/>
      <w:lvlJc w:val="right"/>
      <w:pPr>
        <w:ind w:left="3240" w:hanging="180"/>
      </w:pPr>
    </w:lvl>
    <w:lvl w:ilvl="3" w:tplc="8F0063E8">
      <w:start w:val="1"/>
      <w:numFmt w:val="decimal"/>
      <w:lvlText w:val="%4."/>
      <w:lvlJc w:val="left"/>
      <w:pPr>
        <w:ind w:left="3960" w:hanging="360"/>
      </w:pPr>
    </w:lvl>
    <w:lvl w:ilvl="4" w:tplc="202CBA4C">
      <w:start w:val="1"/>
      <w:numFmt w:val="lowerLetter"/>
      <w:lvlText w:val="%5."/>
      <w:lvlJc w:val="left"/>
      <w:pPr>
        <w:ind w:left="4680" w:hanging="360"/>
      </w:pPr>
    </w:lvl>
    <w:lvl w:ilvl="5" w:tplc="A1A6101A">
      <w:start w:val="1"/>
      <w:numFmt w:val="lowerRoman"/>
      <w:lvlText w:val="%6."/>
      <w:lvlJc w:val="right"/>
      <w:pPr>
        <w:ind w:left="5400" w:hanging="180"/>
      </w:pPr>
    </w:lvl>
    <w:lvl w:ilvl="6" w:tplc="16505A8E">
      <w:start w:val="1"/>
      <w:numFmt w:val="decimal"/>
      <w:lvlText w:val="%7."/>
      <w:lvlJc w:val="left"/>
      <w:pPr>
        <w:ind w:left="6120" w:hanging="360"/>
      </w:pPr>
    </w:lvl>
    <w:lvl w:ilvl="7" w:tplc="66068F56">
      <w:start w:val="1"/>
      <w:numFmt w:val="lowerLetter"/>
      <w:lvlText w:val="%8."/>
      <w:lvlJc w:val="left"/>
      <w:pPr>
        <w:ind w:left="6840" w:hanging="360"/>
      </w:pPr>
    </w:lvl>
    <w:lvl w:ilvl="8" w:tplc="52B20F06">
      <w:start w:val="1"/>
      <w:numFmt w:val="lowerRoman"/>
      <w:lvlText w:val="%9."/>
      <w:lvlJc w:val="right"/>
      <w:pPr>
        <w:ind w:left="7560" w:hanging="180"/>
      </w:pPr>
    </w:lvl>
  </w:abstractNum>
  <w:abstractNum w:abstractNumId="18" w15:restartNumberingAfterBreak="0">
    <w:nsid w:val="183C51F9"/>
    <w:multiLevelType w:val="hybridMultilevel"/>
    <w:tmpl w:val="FFFFFFFF"/>
    <w:lvl w:ilvl="0" w:tplc="D66EE324">
      <w:start w:val="1"/>
      <w:numFmt w:val="decimal"/>
      <w:lvlText w:val="%1."/>
      <w:lvlJc w:val="left"/>
      <w:pPr>
        <w:ind w:left="720" w:hanging="360"/>
      </w:pPr>
    </w:lvl>
    <w:lvl w:ilvl="1" w:tplc="8C98486E">
      <w:start w:val="1"/>
      <w:numFmt w:val="lowerLetter"/>
      <w:lvlText w:val="%2."/>
      <w:lvlJc w:val="left"/>
      <w:pPr>
        <w:ind w:left="1440" w:hanging="360"/>
      </w:pPr>
    </w:lvl>
    <w:lvl w:ilvl="2" w:tplc="FFE20FF0">
      <w:start w:val="1"/>
      <w:numFmt w:val="lowerRoman"/>
      <w:lvlText w:val="%3."/>
      <w:lvlJc w:val="right"/>
      <w:pPr>
        <w:ind w:left="2160" w:hanging="180"/>
      </w:pPr>
    </w:lvl>
    <w:lvl w:ilvl="3" w:tplc="AF80776A">
      <w:start w:val="1"/>
      <w:numFmt w:val="decimal"/>
      <w:lvlText w:val="%4."/>
      <w:lvlJc w:val="left"/>
      <w:pPr>
        <w:ind w:left="2880" w:hanging="360"/>
      </w:pPr>
    </w:lvl>
    <w:lvl w:ilvl="4" w:tplc="9E629A22">
      <w:start w:val="1"/>
      <w:numFmt w:val="lowerLetter"/>
      <w:lvlText w:val="%5."/>
      <w:lvlJc w:val="left"/>
      <w:pPr>
        <w:ind w:left="3600" w:hanging="360"/>
      </w:pPr>
    </w:lvl>
    <w:lvl w:ilvl="5" w:tplc="8174C29E">
      <w:start w:val="1"/>
      <w:numFmt w:val="lowerRoman"/>
      <w:lvlText w:val="%6."/>
      <w:lvlJc w:val="right"/>
      <w:pPr>
        <w:ind w:left="4320" w:hanging="180"/>
      </w:pPr>
    </w:lvl>
    <w:lvl w:ilvl="6" w:tplc="9E080ABC">
      <w:start w:val="1"/>
      <w:numFmt w:val="decimal"/>
      <w:lvlText w:val="%7."/>
      <w:lvlJc w:val="left"/>
      <w:pPr>
        <w:ind w:left="5040" w:hanging="360"/>
      </w:pPr>
    </w:lvl>
    <w:lvl w:ilvl="7" w:tplc="2E6EB93A">
      <w:start w:val="1"/>
      <w:numFmt w:val="lowerLetter"/>
      <w:lvlText w:val="%8."/>
      <w:lvlJc w:val="left"/>
      <w:pPr>
        <w:ind w:left="5760" w:hanging="360"/>
      </w:pPr>
    </w:lvl>
    <w:lvl w:ilvl="8" w:tplc="9D38DAA4">
      <w:start w:val="1"/>
      <w:numFmt w:val="lowerRoman"/>
      <w:lvlText w:val="%9."/>
      <w:lvlJc w:val="right"/>
      <w:pPr>
        <w:ind w:left="6480" w:hanging="180"/>
      </w:pPr>
    </w:lvl>
  </w:abstractNum>
  <w:abstractNum w:abstractNumId="19" w15:restartNumberingAfterBreak="0">
    <w:nsid w:val="1903AB0A"/>
    <w:multiLevelType w:val="hybridMultilevel"/>
    <w:tmpl w:val="FFFFFFFF"/>
    <w:lvl w:ilvl="0" w:tplc="FAEE2EEE">
      <w:start w:val="1"/>
      <w:numFmt w:val="bullet"/>
      <w:lvlText w:val="o"/>
      <w:lvlJc w:val="left"/>
      <w:pPr>
        <w:ind w:left="360" w:hanging="360"/>
      </w:pPr>
      <w:rPr>
        <w:rFonts w:ascii="Courier New" w:hAnsi="Courier New" w:hint="default"/>
      </w:rPr>
    </w:lvl>
    <w:lvl w:ilvl="1" w:tplc="E8A6C994">
      <w:start w:val="1"/>
      <w:numFmt w:val="bullet"/>
      <w:lvlText w:val="o"/>
      <w:lvlJc w:val="left"/>
      <w:pPr>
        <w:ind w:left="1080" w:hanging="360"/>
      </w:pPr>
      <w:rPr>
        <w:rFonts w:ascii="Courier New" w:hAnsi="Courier New" w:hint="default"/>
      </w:rPr>
    </w:lvl>
    <w:lvl w:ilvl="2" w:tplc="D5BC0376">
      <w:start w:val="1"/>
      <w:numFmt w:val="bullet"/>
      <w:lvlText w:val=""/>
      <w:lvlJc w:val="left"/>
      <w:pPr>
        <w:ind w:left="1800" w:hanging="360"/>
      </w:pPr>
      <w:rPr>
        <w:rFonts w:ascii="Wingdings" w:hAnsi="Wingdings" w:hint="default"/>
      </w:rPr>
    </w:lvl>
    <w:lvl w:ilvl="3" w:tplc="1CBA5BC0">
      <w:start w:val="1"/>
      <w:numFmt w:val="bullet"/>
      <w:lvlText w:val=""/>
      <w:lvlJc w:val="left"/>
      <w:pPr>
        <w:ind w:left="2520" w:hanging="360"/>
      </w:pPr>
      <w:rPr>
        <w:rFonts w:ascii="Symbol" w:hAnsi="Symbol" w:hint="default"/>
      </w:rPr>
    </w:lvl>
    <w:lvl w:ilvl="4" w:tplc="2BACD296">
      <w:start w:val="1"/>
      <w:numFmt w:val="bullet"/>
      <w:lvlText w:val="o"/>
      <w:lvlJc w:val="left"/>
      <w:pPr>
        <w:ind w:left="3240" w:hanging="360"/>
      </w:pPr>
      <w:rPr>
        <w:rFonts w:ascii="Courier New" w:hAnsi="Courier New" w:hint="default"/>
      </w:rPr>
    </w:lvl>
    <w:lvl w:ilvl="5" w:tplc="61B61BE2">
      <w:start w:val="1"/>
      <w:numFmt w:val="bullet"/>
      <w:lvlText w:val=""/>
      <w:lvlJc w:val="left"/>
      <w:pPr>
        <w:ind w:left="3960" w:hanging="360"/>
      </w:pPr>
      <w:rPr>
        <w:rFonts w:ascii="Wingdings" w:hAnsi="Wingdings" w:hint="default"/>
      </w:rPr>
    </w:lvl>
    <w:lvl w:ilvl="6" w:tplc="11B493E0">
      <w:start w:val="1"/>
      <w:numFmt w:val="bullet"/>
      <w:lvlText w:val=""/>
      <w:lvlJc w:val="left"/>
      <w:pPr>
        <w:ind w:left="4680" w:hanging="360"/>
      </w:pPr>
      <w:rPr>
        <w:rFonts w:ascii="Symbol" w:hAnsi="Symbol" w:hint="default"/>
      </w:rPr>
    </w:lvl>
    <w:lvl w:ilvl="7" w:tplc="5DE0B434">
      <w:start w:val="1"/>
      <w:numFmt w:val="bullet"/>
      <w:lvlText w:val="o"/>
      <w:lvlJc w:val="left"/>
      <w:pPr>
        <w:ind w:left="5400" w:hanging="360"/>
      </w:pPr>
      <w:rPr>
        <w:rFonts w:ascii="Courier New" w:hAnsi="Courier New" w:hint="default"/>
      </w:rPr>
    </w:lvl>
    <w:lvl w:ilvl="8" w:tplc="CA4A2A4E">
      <w:start w:val="1"/>
      <w:numFmt w:val="bullet"/>
      <w:lvlText w:val=""/>
      <w:lvlJc w:val="left"/>
      <w:pPr>
        <w:ind w:left="6120" w:hanging="360"/>
      </w:pPr>
      <w:rPr>
        <w:rFonts w:ascii="Wingdings" w:hAnsi="Wingdings" w:hint="default"/>
      </w:rPr>
    </w:lvl>
  </w:abstractNum>
  <w:abstractNum w:abstractNumId="20" w15:restartNumberingAfterBreak="0">
    <w:nsid w:val="193658C2"/>
    <w:multiLevelType w:val="hybridMultilevel"/>
    <w:tmpl w:val="B5ECA9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941BF86"/>
    <w:multiLevelType w:val="multilevel"/>
    <w:tmpl w:val="FFFFFFFF"/>
    <w:lvl w:ilvl="0">
      <w:start w:val="1"/>
      <w:numFmt w:val="bullet"/>
      <w:lvlText w:val="-"/>
      <w:lvlJc w:val="left"/>
      <w:pPr>
        <w:ind w:left="144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C8D357"/>
    <w:multiLevelType w:val="hybridMultilevel"/>
    <w:tmpl w:val="FFFFFFFF"/>
    <w:lvl w:ilvl="0" w:tplc="B36E2F02">
      <w:start w:val="1"/>
      <w:numFmt w:val="bullet"/>
      <w:lvlText w:val=""/>
      <w:lvlJc w:val="left"/>
      <w:pPr>
        <w:ind w:left="360" w:hanging="360"/>
      </w:pPr>
      <w:rPr>
        <w:rFonts w:ascii="Symbol" w:hAnsi="Symbol" w:hint="default"/>
      </w:rPr>
    </w:lvl>
    <w:lvl w:ilvl="1" w:tplc="C4548438">
      <w:start w:val="1"/>
      <w:numFmt w:val="bullet"/>
      <w:lvlText w:val="o"/>
      <w:lvlJc w:val="left"/>
      <w:pPr>
        <w:ind w:left="1080" w:hanging="360"/>
      </w:pPr>
      <w:rPr>
        <w:rFonts w:ascii="Courier New" w:hAnsi="Courier New" w:hint="default"/>
      </w:rPr>
    </w:lvl>
    <w:lvl w:ilvl="2" w:tplc="C08EA4D2">
      <w:start w:val="1"/>
      <w:numFmt w:val="bullet"/>
      <w:lvlText w:val=""/>
      <w:lvlJc w:val="left"/>
      <w:pPr>
        <w:ind w:left="1800" w:hanging="360"/>
      </w:pPr>
      <w:rPr>
        <w:rFonts w:ascii="Wingdings" w:hAnsi="Wingdings" w:hint="default"/>
      </w:rPr>
    </w:lvl>
    <w:lvl w:ilvl="3" w:tplc="BFBABFF2">
      <w:start w:val="1"/>
      <w:numFmt w:val="bullet"/>
      <w:lvlText w:val=""/>
      <w:lvlJc w:val="left"/>
      <w:pPr>
        <w:ind w:left="2520" w:hanging="360"/>
      </w:pPr>
      <w:rPr>
        <w:rFonts w:ascii="Symbol" w:hAnsi="Symbol" w:hint="default"/>
      </w:rPr>
    </w:lvl>
    <w:lvl w:ilvl="4" w:tplc="4F722770">
      <w:start w:val="1"/>
      <w:numFmt w:val="bullet"/>
      <w:lvlText w:val="o"/>
      <w:lvlJc w:val="left"/>
      <w:pPr>
        <w:ind w:left="3240" w:hanging="360"/>
      </w:pPr>
      <w:rPr>
        <w:rFonts w:ascii="Courier New" w:hAnsi="Courier New" w:hint="default"/>
      </w:rPr>
    </w:lvl>
    <w:lvl w:ilvl="5" w:tplc="498A99F4">
      <w:start w:val="1"/>
      <w:numFmt w:val="bullet"/>
      <w:lvlText w:val=""/>
      <w:lvlJc w:val="left"/>
      <w:pPr>
        <w:ind w:left="3960" w:hanging="360"/>
      </w:pPr>
      <w:rPr>
        <w:rFonts w:ascii="Wingdings" w:hAnsi="Wingdings" w:hint="default"/>
      </w:rPr>
    </w:lvl>
    <w:lvl w:ilvl="6" w:tplc="B78E6B0A">
      <w:start w:val="1"/>
      <w:numFmt w:val="bullet"/>
      <w:lvlText w:val=""/>
      <w:lvlJc w:val="left"/>
      <w:pPr>
        <w:ind w:left="4680" w:hanging="360"/>
      </w:pPr>
      <w:rPr>
        <w:rFonts w:ascii="Symbol" w:hAnsi="Symbol" w:hint="default"/>
      </w:rPr>
    </w:lvl>
    <w:lvl w:ilvl="7" w:tplc="E2DCB82C">
      <w:start w:val="1"/>
      <w:numFmt w:val="bullet"/>
      <w:lvlText w:val="o"/>
      <w:lvlJc w:val="left"/>
      <w:pPr>
        <w:ind w:left="5400" w:hanging="360"/>
      </w:pPr>
      <w:rPr>
        <w:rFonts w:ascii="Courier New" w:hAnsi="Courier New" w:hint="default"/>
      </w:rPr>
    </w:lvl>
    <w:lvl w:ilvl="8" w:tplc="E0861516">
      <w:start w:val="1"/>
      <w:numFmt w:val="bullet"/>
      <w:lvlText w:val=""/>
      <w:lvlJc w:val="left"/>
      <w:pPr>
        <w:ind w:left="6120" w:hanging="360"/>
      </w:pPr>
      <w:rPr>
        <w:rFonts w:ascii="Wingdings" w:hAnsi="Wingdings" w:hint="default"/>
      </w:rPr>
    </w:lvl>
  </w:abstractNum>
  <w:abstractNum w:abstractNumId="23" w15:restartNumberingAfterBreak="0">
    <w:nsid w:val="1BFD31FE"/>
    <w:multiLevelType w:val="hybridMultilevel"/>
    <w:tmpl w:val="FFFFFFFF"/>
    <w:lvl w:ilvl="0" w:tplc="62F243FA">
      <w:start w:val="1"/>
      <w:numFmt w:val="bullet"/>
      <w:lvlText w:val=""/>
      <w:lvlJc w:val="left"/>
      <w:pPr>
        <w:ind w:left="720" w:hanging="360"/>
      </w:pPr>
      <w:rPr>
        <w:rFonts w:ascii="Symbol" w:hAnsi="Symbol" w:hint="default"/>
      </w:rPr>
    </w:lvl>
    <w:lvl w:ilvl="1" w:tplc="41F24D46">
      <w:start w:val="1"/>
      <w:numFmt w:val="bullet"/>
      <w:lvlText w:val="o"/>
      <w:lvlJc w:val="left"/>
      <w:pPr>
        <w:ind w:left="1440" w:hanging="360"/>
      </w:pPr>
      <w:rPr>
        <w:rFonts w:ascii="Courier New" w:hAnsi="Courier New" w:hint="default"/>
      </w:rPr>
    </w:lvl>
    <w:lvl w:ilvl="2" w:tplc="09C65546">
      <w:start w:val="1"/>
      <w:numFmt w:val="bullet"/>
      <w:lvlText w:val=""/>
      <w:lvlJc w:val="left"/>
      <w:pPr>
        <w:ind w:left="2160" w:hanging="360"/>
      </w:pPr>
      <w:rPr>
        <w:rFonts w:ascii="Wingdings" w:hAnsi="Wingdings" w:hint="default"/>
      </w:rPr>
    </w:lvl>
    <w:lvl w:ilvl="3" w:tplc="E67E173E">
      <w:start w:val="1"/>
      <w:numFmt w:val="bullet"/>
      <w:lvlText w:val=""/>
      <w:lvlJc w:val="left"/>
      <w:pPr>
        <w:ind w:left="2880" w:hanging="360"/>
      </w:pPr>
      <w:rPr>
        <w:rFonts w:ascii="Symbol" w:hAnsi="Symbol" w:hint="default"/>
      </w:rPr>
    </w:lvl>
    <w:lvl w:ilvl="4" w:tplc="0D2A4A28">
      <w:start w:val="1"/>
      <w:numFmt w:val="bullet"/>
      <w:lvlText w:val="o"/>
      <w:lvlJc w:val="left"/>
      <w:pPr>
        <w:ind w:left="3600" w:hanging="360"/>
      </w:pPr>
      <w:rPr>
        <w:rFonts w:ascii="Courier New" w:hAnsi="Courier New" w:hint="default"/>
      </w:rPr>
    </w:lvl>
    <w:lvl w:ilvl="5" w:tplc="74508A66">
      <w:start w:val="1"/>
      <w:numFmt w:val="bullet"/>
      <w:lvlText w:val=""/>
      <w:lvlJc w:val="left"/>
      <w:pPr>
        <w:ind w:left="4320" w:hanging="360"/>
      </w:pPr>
      <w:rPr>
        <w:rFonts w:ascii="Wingdings" w:hAnsi="Wingdings" w:hint="default"/>
      </w:rPr>
    </w:lvl>
    <w:lvl w:ilvl="6" w:tplc="04EC1498">
      <w:start w:val="1"/>
      <w:numFmt w:val="bullet"/>
      <w:lvlText w:val=""/>
      <w:lvlJc w:val="left"/>
      <w:pPr>
        <w:ind w:left="5040" w:hanging="360"/>
      </w:pPr>
      <w:rPr>
        <w:rFonts w:ascii="Symbol" w:hAnsi="Symbol" w:hint="default"/>
      </w:rPr>
    </w:lvl>
    <w:lvl w:ilvl="7" w:tplc="5D5E664C">
      <w:start w:val="1"/>
      <w:numFmt w:val="bullet"/>
      <w:lvlText w:val="o"/>
      <w:lvlJc w:val="left"/>
      <w:pPr>
        <w:ind w:left="5760" w:hanging="360"/>
      </w:pPr>
      <w:rPr>
        <w:rFonts w:ascii="Courier New" w:hAnsi="Courier New" w:hint="default"/>
      </w:rPr>
    </w:lvl>
    <w:lvl w:ilvl="8" w:tplc="0BECBB04">
      <w:start w:val="1"/>
      <w:numFmt w:val="bullet"/>
      <w:lvlText w:val=""/>
      <w:lvlJc w:val="left"/>
      <w:pPr>
        <w:ind w:left="6480" w:hanging="360"/>
      </w:pPr>
      <w:rPr>
        <w:rFonts w:ascii="Wingdings" w:hAnsi="Wingdings" w:hint="default"/>
      </w:rPr>
    </w:lvl>
  </w:abstractNum>
  <w:abstractNum w:abstractNumId="2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25" w15:restartNumberingAfterBreak="0">
    <w:nsid w:val="1F4A15F2"/>
    <w:multiLevelType w:val="multilevel"/>
    <w:tmpl w:val="565C9FE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95610E"/>
    <w:multiLevelType w:val="hybridMultilevel"/>
    <w:tmpl w:val="D5525142"/>
    <w:lvl w:ilvl="0" w:tplc="14090001">
      <w:start w:val="1"/>
      <w:numFmt w:val="bullet"/>
      <w:lvlText w:val=""/>
      <w:lvlJc w:val="left"/>
      <w:pPr>
        <w:ind w:left="360" w:hanging="360"/>
      </w:pPr>
      <w:rPr>
        <w:rFonts w:ascii="Symbol" w:hAnsi="Symbol" w:hint="default"/>
      </w:rPr>
    </w:lvl>
    <w:lvl w:ilvl="1" w:tplc="DD2469D8">
      <w:start w:val="1"/>
      <w:numFmt w:val="bullet"/>
      <w:lvlText w:val=""/>
      <w:lvlJc w:val="left"/>
      <w:pPr>
        <w:ind w:left="1080" w:hanging="360"/>
      </w:pPr>
      <w:rPr>
        <w:rFonts w:ascii="Symbol" w:hAnsi="Symbol" w:hint="default"/>
      </w:rPr>
    </w:lvl>
    <w:lvl w:ilvl="2" w:tplc="0708F920" w:tentative="1">
      <w:start w:val="1"/>
      <w:numFmt w:val="lowerRoman"/>
      <w:lvlText w:val="%3."/>
      <w:lvlJc w:val="right"/>
      <w:pPr>
        <w:ind w:left="1800" w:hanging="180"/>
      </w:pPr>
    </w:lvl>
    <w:lvl w:ilvl="3" w:tplc="C3C0576E" w:tentative="1">
      <w:start w:val="1"/>
      <w:numFmt w:val="decimal"/>
      <w:lvlText w:val="%4."/>
      <w:lvlJc w:val="left"/>
      <w:pPr>
        <w:ind w:left="2520" w:hanging="360"/>
      </w:pPr>
    </w:lvl>
    <w:lvl w:ilvl="4" w:tplc="76B6834A" w:tentative="1">
      <w:start w:val="1"/>
      <w:numFmt w:val="lowerLetter"/>
      <w:lvlText w:val="%5."/>
      <w:lvlJc w:val="left"/>
      <w:pPr>
        <w:ind w:left="3240" w:hanging="360"/>
      </w:pPr>
    </w:lvl>
    <w:lvl w:ilvl="5" w:tplc="33386FEC" w:tentative="1">
      <w:start w:val="1"/>
      <w:numFmt w:val="lowerRoman"/>
      <w:lvlText w:val="%6."/>
      <w:lvlJc w:val="right"/>
      <w:pPr>
        <w:ind w:left="3960" w:hanging="180"/>
      </w:pPr>
    </w:lvl>
    <w:lvl w:ilvl="6" w:tplc="4134C10C" w:tentative="1">
      <w:start w:val="1"/>
      <w:numFmt w:val="decimal"/>
      <w:lvlText w:val="%7."/>
      <w:lvlJc w:val="left"/>
      <w:pPr>
        <w:ind w:left="4680" w:hanging="360"/>
      </w:pPr>
    </w:lvl>
    <w:lvl w:ilvl="7" w:tplc="87E60342" w:tentative="1">
      <w:start w:val="1"/>
      <w:numFmt w:val="lowerLetter"/>
      <w:lvlText w:val="%8."/>
      <w:lvlJc w:val="left"/>
      <w:pPr>
        <w:ind w:left="5400" w:hanging="360"/>
      </w:pPr>
    </w:lvl>
    <w:lvl w:ilvl="8" w:tplc="671AC926" w:tentative="1">
      <w:start w:val="1"/>
      <w:numFmt w:val="lowerRoman"/>
      <w:lvlText w:val="%9."/>
      <w:lvlJc w:val="right"/>
      <w:pPr>
        <w:ind w:left="6120" w:hanging="180"/>
      </w:pPr>
    </w:lvl>
  </w:abstractNum>
  <w:abstractNum w:abstractNumId="2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8" w15:restartNumberingAfterBreak="0">
    <w:nsid w:val="2034106A"/>
    <w:multiLevelType w:val="hybridMultilevel"/>
    <w:tmpl w:val="DD28DC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2063B2D1"/>
    <w:multiLevelType w:val="hybridMultilevel"/>
    <w:tmpl w:val="FFFFFFFF"/>
    <w:lvl w:ilvl="0" w:tplc="829AEEC0">
      <w:start w:val="1"/>
      <w:numFmt w:val="decimal"/>
      <w:lvlText w:val="%1."/>
      <w:lvlJc w:val="left"/>
      <w:pPr>
        <w:ind w:left="360" w:hanging="360"/>
      </w:pPr>
    </w:lvl>
    <w:lvl w:ilvl="1" w:tplc="B9766EF6">
      <w:start w:val="1"/>
      <w:numFmt w:val="lowerLetter"/>
      <w:lvlText w:val="%2."/>
      <w:lvlJc w:val="left"/>
      <w:pPr>
        <w:ind w:left="1080" w:hanging="360"/>
      </w:pPr>
    </w:lvl>
    <w:lvl w:ilvl="2" w:tplc="37B6C198">
      <w:start w:val="1"/>
      <w:numFmt w:val="lowerRoman"/>
      <w:lvlText w:val="%3."/>
      <w:lvlJc w:val="right"/>
      <w:pPr>
        <w:ind w:left="1800" w:hanging="180"/>
      </w:pPr>
    </w:lvl>
    <w:lvl w:ilvl="3" w:tplc="5F3E43D6">
      <w:start w:val="1"/>
      <w:numFmt w:val="decimal"/>
      <w:lvlText w:val="%4."/>
      <w:lvlJc w:val="left"/>
      <w:pPr>
        <w:ind w:left="2520" w:hanging="360"/>
      </w:pPr>
    </w:lvl>
    <w:lvl w:ilvl="4" w:tplc="B6D46EDE">
      <w:start w:val="1"/>
      <w:numFmt w:val="lowerLetter"/>
      <w:lvlText w:val="%5."/>
      <w:lvlJc w:val="left"/>
      <w:pPr>
        <w:ind w:left="3240" w:hanging="360"/>
      </w:pPr>
    </w:lvl>
    <w:lvl w:ilvl="5" w:tplc="975AD832">
      <w:start w:val="1"/>
      <w:numFmt w:val="lowerRoman"/>
      <w:lvlText w:val="%6."/>
      <w:lvlJc w:val="right"/>
      <w:pPr>
        <w:ind w:left="3960" w:hanging="180"/>
      </w:pPr>
    </w:lvl>
    <w:lvl w:ilvl="6" w:tplc="861ED152">
      <w:start w:val="1"/>
      <w:numFmt w:val="decimal"/>
      <w:lvlText w:val="%7."/>
      <w:lvlJc w:val="left"/>
      <w:pPr>
        <w:ind w:left="4680" w:hanging="360"/>
      </w:pPr>
    </w:lvl>
    <w:lvl w:ilvl="7" w:tplc="E6722DCA">
      <w:start w:val="1"/>
      <w:numFmt w:val="lowerLetter"/>
      <w:lvlText w:val="%8."/>
      <w:lvlJc w:val="left"/>
      <w:pPr>
        <w:ind w:left="5400" w:hanging="360"/>
      </w:pPr>
    </w:lvl>
    <w:lvl w:ilvl="8" w:tplc="010EAFF2">
      <w:start w:val="1"/>
      <w:numFmt w:val="lowerRoman"/>
      <w:lvlText w:val="%9."/>
      <w:lvlJc w:val="right"/>
      <w:pPr>
        <w:ind w:left="6120" w:hanging="180"/>
      </w:pPr>
    </w:lvl>
  </w:abstractNum>
  <w:abstractNum w:abstractNumId="3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2" w15:restartNumberingAfterBreak="0">
    <w:nsid w:val="216A242F"/>
    <w:multiLevelType w:val="hybridMultilevel"/>
    <w:tmpl w:val="FFFFFFFF"/>
    <w:lvl w:ilvl="0" w:tplc="8FD201B4">
      <w:start w:val="1"/>
      <w:numFmt w:val="bullet"/>
      <w:lvlText w:val=""/>
      <w:lvlJc w:val="left"/>
      <w:pPr>
        <w:ind w:left="360" w:hanging="360"/>
      </w:pPr>
      <w:rPr>
        <w:rFonts w:ascii="Symbol" w:hAnsi="Symbol" w:hint="default"/>
      </w:rPr>
    </w:lvl>
    <w:lvl w:ilvl="1" w:tplc="B70E0A40">
      <w:start w:val="1"/>
      <w:numFmt w:val="bullet"/>
      <w:lvlText w:val="o"/>
      <w:lvlJc w:val="left"/>
      <w:pPr>
        <w:ind w:left="1080" w:hanging="360"/>
      </w:pPr>
      <w:rPr>
        <w:rFonts w:ascii="Courier New" w:hAnsi="Courier New" w:hint="default"/>
      </w:rPr>
    </w:lvl>
    <w:lvl w:ilvl="2" w:tplc="AE94EC3A">
      <w:start w:val="1"/>
      <w:numFmt w:val="bullet"/>
      <w:lvlText w:val=""/>
      <w:lvlJc w:val="left"/>
      <w:pPr>
        <w:ind w:left="1800" w:hanging="360"/>
      </w:pPr>
      <w:rPr>
        <w:rFonts w:ascii="Wingdings" w:hAnsi="Wingdings" w:hint="default"/>
      </w:rPr>
    </w:lvl>
    <w:lvl w:ilvl="3" w:tplc="2BBAC5CE">
      <w:start w:val="1"/>
      <w:numFmt w:val="bullet"/>
      <w:lvlText w:val=""/>
      <w:lvlJc w:val="left"/>
      <w:pPr>
        <w:ind w:left="2520" w:hanging="360"/>
      </w:pPr>
      <w:rPr>
        <w:rFonts w:ascii="Symbol" w:hAnsi="Symbol" w:hint="default"/>
      </w:rPr>
    </w:lvl>
    <w:lvl w:ilvl="4" w:tplc="E3BA1BC0">
      <w:start w:val="1"/>
      <w:numFmt w:val="bullet"/>
      <w:lvlText w:val="o"/>
      <w:lvlJc w:val="left"/>
      <w:pPr>
        <w:ind w:left="3240" w:hanging="360"/>
      </w:pPr>
      <w:rPr>
        <w:rFonts w:ascii="Courier New" w:hAnsi="Courier New" w:hint="default"/>
      </w:rPr>
    </w:lvl>
    <w:lvl w:ilvl="5" w:tplc="0DC48646">
      <w:start w:val="1"/>
      <w:numFmt w:val="bullet"/>
      <w:lvlText w:val=""/>
      <w:lvlJc w:val="left"/>
      <w:pPr>
        <w:ind w:left="3960" w:hanging="360"/>
      </w:pPr>
      <w:rPr>
        <w:rFonts w:ascii="Wingdings" w:hAnsi="Wingdings" w:hint="default"/>
      </w:rPr>
    </w:lvl>
    <w:lvl w:ilvl="6" w:tplc="BDE213E2">
      <w:start w:val="1"/>
      <w:numFmt w:val="bullet"/>
      <w:lvlText w:val=""/>
      <w:lvlJc w:val="left"/>
      <w:pPr>
        <w:ind w:left="4680" w:hanging="360"/>
      </w:pPr>
      <w:rPr>
        <w:rFonts w:ascii="Symbol" w:hAnsi="Symbol" w:hint="default"/>
      </w:rPr>
    </w:lvl>
    <w:lvl w:ilvl="7" w:tplc="1B9A3334">
      <w:start w:val="1"/>
      <w:numFmt w:val="bullet"/>
      <w:lvlText w:val="o"/>
      <w:lvlJc w:val="left"/>
      <w:pPr>
        <w:ind w:left="5400" w:hanging="360"/>
      </w:pPr>
      <w:rPr>
        <w:rFonts w:ascii="Courier New" w:hAnsi="Courier New" w:hint="default"/>
      </w:rPr>
    </w:lvl>
    <w:lvl w:ilvl="8" w:tplc="C7083574">
      <w:start w:val="1"/>
      <w:numFmt w:val="bullet"/>
      <w:lvlText w:val=""/>
      <w:lvlJc w:val="left"/>
      <w:pPr>
        <w:ind w:left="6120" w:hanging="360"/>
      </w:pPr>
      <w:rPr>
        <w:rFonts w:ascii="Wingdings" w:hAnsi="Wingdings" w:hint="default"/>
      </w:rPr>
    </w:lvl>
  </w:abstractNum>
  <w:abstractNum w:abstractNumId="33" w15:restartNumberingAfterBreak="0">
    <w:nsid w:val="221F2D12"/>
    <w:multiLevelType w:val="hybridMultilevel"/>
    <w:tmpl w:val="FFFFFFFF"/>
    <w:lvl w:ilvl="0" w:tplc="CD8E3D66">
      <w:start w:val="1"/>
      <w:numFmt w:val="bullet"/>
      <w:lvlText w:val="-"/>
      <w:lvlJc w:val="left"/>
      <w:pPr>
        <w:ind w:left="720" w:hanging="360"/>
      </w:pPr>
      <w:rPr>
        <w:rFonts w:ascii="Aptos" w:hAnsi="Aptos" w:hint="default"/>
      </w:rPr>
    </w:lvl>
    <w:lvl w:ilvl="1" w:tplc="F4CA8B4A">
      <w:start w:val="1"/>
      <w:numFmt w:val="bullet"/>
      <w:lvlText w:val="o"/>
      <w:lvlJc w:val="left"/>
      <w:pPr>
        <w:ind w:left="1440" w:hanging="360"/>
      </w:pPr>
      <w:rPr>
        <w:rFonts w:ascii="Courier New" w:hAnsi="Courier New" w:hint="default"/>
      </w:rPr>
    </w:lvl>
    <w:lvl w:ilvl="2" w:tplc="1A9675DE">
      <w:start w:val="1"/>
      <w:numFmt w:val="bullet"/>
      <w:lvlText w:val=""/>
      <w:lvlJc w:val="left"/>
      <w:pPr>
        <w:ind w:left="2160" w:hanging="360"/>
      </w:pPr>
      <w:rPr>
        <w:rFonts w:ascii="Wingdings" w:hAnsi="Wingdings" w:hint="default"/>
      </w:rPr>
    </w:lvl>
    <w:lvl w:ilvl="3" w:tplc="5BB213F0">
      <w:start w:val="1"/>
      <w:numFmt w:val="bullet"/>
      <w:lvlText w:val=""/>
      <w:lvlJc w:val="left"/>
      <w:pPr>
        <w:ind w:left="2880" w:hanging="360"/>
      </w:pPr>
      <w:rPr>
        <w:rFonts w:ascii="Symbol" w:hAnsi="Symbol" w:hint="default"/>
      </w:rPr>
    </w:lvl>
    <w:lvl w:ilvl="4" w:tplc="32A41DFE">
      <w:start w:val="1"/>
      <w:numFmt w:val="bullet"/>
      <w:lvlText w:val="o"/>
      <w:lvlJc w:val="left"/>
      <w:pPr>
        <w:ind w:left="3600" w:hanging="360"/>
      </w:pPr>
      <w:rPr>
        <w:rFonts w:ascii="Courier New" w:hAnsi="Courier New" w:hint="default"/>
      </w:rPr>
    </w:lvl>
    <w:lvl w:ilvl="5" w:tplc="EF86A5DE">
      <w:start w:val="1"/>
      <w:numFmt w:val="bullet"/>
      <w:lvlText w:val=""/>
      <w:lvlJc w:val="left"/>
      <w:pPr>
        <w:ind w:left="4320" w:hanging="360"/>
      </w:pPr>
      <w:rPr>
        <w:rFonts w:ascii="Wingdings" w:hAnsi="Wingdings" w:hint="default"/>
      </w:rPr>
    </w:lvl>
    <w:lvl w:ilvl="6" w:tplc="BEA8C9DC">
      <w:start w:val="1"/>
      <w:numFmt w:val="bullet"/>
      <w:lvlText w:val=""/>
      <w:lvlJc w:val="left"/>
      <w:pPr>
        <w:ind w:left="5040" w:hanging="360"/>
      </w:pPr>
      <w:rPr>
        <w:rFonts w:ascii="Symbol" w:hAnsi="Symbol" w:hint="default"/>
      </w:rPr>
    </w:lvl>
    <w:lvl w:ilvl="7" w:tplc="B37C35E0">
      <w:start w:val="1"/>
      <w:numFmt w:val="bullet"/>
      <w:lvlText w:val="o"/>
      <w:lvlJc w:val="left"/>
      <w:pPr>
        <w:ind w:left="5760" w:hanging="360"/>
      </w:pPr>
      <w:rPr>
        <w:rFonts w:ascii="Courier New" w:hAnsi="Courier New" w:hint="default"/>
      </w:rPr>
    </w:lvl>
    <w:lvl w:ilvl="8" w:tplc="5B347376">
      <w:start w:val="1"/>
      <w:numFmt w:val="bullet"/>
      <w:lvlText w:val=""/>
      <w:lvlJc w:val="left"/>
      <w:pPr>
        <w:ind w:left="6480" w:hanging="360"/>
      </w:pPr>
      <w:rPr>
        <w:rFonts w:ascii="Wingdings" w:hAnsi="Wingdings" w:hint="default"/>
      </w:rPr>
    </w:lvl>
  </w:abstractNum>
  <w:abstractNum w:abstractNumId="34" w15:restartNumberingAfterBreak="0">
    <w:nsid w:val="24F328A7"/>
    <w:multiLevelType w:val="hybridMultilevel"/>
    <w:tmpl w:val="498627A8"/>
    <w:lvl w:ilvl="0" w:tplc="6F081072">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5E4FBDE"/>
    <w:multiLevelType w:val="hybridMultilevel"/>
    <w:tmpl w:val="F47E4CBE"/>
    <w:lvl w:ilvl="0" w:tplc="466609E8">
      <w:start w:val="1"/>
      <w:numFmt w:val="bullet"/>
      <w:lvlText w:val=""/>
      <w:lvlJc w:val="left"/>
      <w:pPr>
        <w:ind w:left="360" w:hanging="360"/>
      </w:pPr>
      <w:rPr>
        <w:rFonts w:ascii="Symbol" w:hAnsi="Symbol" w:hint="default"/>
      </w:rPr>
    </w:lvl>
    <w:lvl w:ilvl="1" w:tplc="6778ED1C">
      <w:start w:val="1"/>
      <w:numFmt w:val="bullet"/>
      <w:lvlText w:val="o"/>
      <w:lvlJc w:val="left"/>
      <w:pPr>
        <w:ind w:left="1080" w:hanging="360"/>
      </w:pPr>
      <w:rPr>
        <w:rFonts w:ascii="Courier New" w:hAnsi="Courier New" w:hint="default"/>
      </w:rPr>
    </w:lvl>
    <w:lvl w:ilvl="2" w:tplc="E898AE52">
      <w:start w:val="1"/>
      <w:numFmt w:val="bullet"/>
      <w:lvlText w:val=""/>
      <w:lvlJc w:val="left"/>
      <w:pPr>
        <w:ind w:left="1800" w:hanging="360"/>
      </w:pPr>
      <w:rPr>
        <w:rFonts w:ascii="Wingdings" w:hAnsi="Wingdings" w:hint="default"/>
      </w:rPr>
    </w:lvl>
    <w:lvl w:ilvl="3" w:tplc="1C844AD8">
      <w:start w:val="1"/>
      <w:numFmt w:val="bullet"/>
      <w:lvlText w:val=""/>
      <w:lvlJc w:val="left"/>
      <w:pPr>
        <w:ind w:left="2520" w:hanging="360"/>
      </w:pPr>
      <w:rPr>
        <w:rFonts w:ascii="Symbol" w:hAnsi="Symbol" w:hint="default"/>
      </w:rPr>
    </w:lvl>
    <w:lvl w:ilvl="4" w:tplc="D2AEEC8E">
      <w:start w:val="1"/>
      <w:numFmt w:val="bullet"/>
      <w:lvlText w:val="o"/>
      <w:lvlJc w:val="left"/>
      <w:pPr>
        <w:ind w:left="3240" w:hanging="360"/>
      </w:pPr>
      <w:rPr>
        <w:rFonts w:ascii="Courier New" w:hAnsi="Courier New" w:hint="default"/>
      </w:rPr>
    </w:lvl>
    <w:lvl w:ilvl="5" w:tplc="C92C56B2">
      <w:start w:val="1"/>
      <w:numFmt w:val="bullet"/>
      <w:lvlText w:val=""/>
      <w:lvlJc w:val="left"/>
      <w:pPr>
        <w:ind w:left="3960" w:hanging="360"/>
      </w:pPr>
      <w:rPr>
        <w:rFonts w:ascii="Wingdings" w:hAnsi="Wingdings" w:hint="default"/>
      </w:rPr>
    </w:lvl>
    <w:lvl w:ilvl="6" w:tplc="48DA36DC">
      <w:start w:val="1"/>
      <w:numFmt w:val="bullet"/>
      <w:lvlText w:val=""/>
      <w:lvlJc w:val="left"/>
      <w:pPr>
        <w:ind w:left="4680" w:hanging="360"/>
      </w:pPr>
      <w:rPr>
        <w:rFonts w:ascii="Symbol" w:hAnsi="Symbol" w:hint="default"/>
      </w:rPr>
    </w:lvl>
    <w:lvl w:ilvl="7" w:tplc="22C8A7F0">
      <w:start w:val="1"/>
      <w:numFmt w:val="bullet"/>
      <w:lvlText w:val="o"/>
      <w:lvlJc w:val="left"/>
      <w:pPr>
        <w:ind w:left="5400" w:hanging="360"/>
      </w:pPr>
      <w:rPr>
        <w:rFonts w:ascii="Courier New" w:hAnsi="Courier New" w:hint="default"/>
      </w:rPr>
    </w:lvl>
    <w:lvl w:ilvl="8" w:tplc="2D5212A2">
      <w:start w:val="1"/>
      <w:numFmt w:val="bullet"/>
      <w:lvlText w:val=""/>
      <w:lvlJc w:val="left"/>
      <w:pPr>
        <w:ind w:left="6120" w:hanging="360"/>
      </w:pPr>
      <w:rPr>
        <w:rFonts w:ascii="Wingdings" w:hAnsi="Wingdings" w:hint="default"/>
      </w:rPr>
    </w:lvl>
  </w:abstractNum>
  <w:abstractNum w:abstractNumId="36"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41" w15:restartNumberingAfterBreak="0">
    <w:nsid w:val="2E6F201E"/>
    <w:multiLevelType w:val="multilevel"/>
    <w:tmpl w:val="C7440BB4"/>
    <w:numStyleLink w:val="Style2"/>
  </w:abstractNum>
  <w:abstractNum w:abstractNumId="42" w15:restartNumberingAfterBreak="0">
    <w:nsid w:val="2F09B802"/>
    <w:multiLevelType w:val="hybridMultilevel"/>
    <w:tmpl w:val="FFFFFFFF"/>
    <w:lvl w:ilvl="0" w:tplc="5A5270E6">
      <w:start w:val="1"/>
      <w:numFmt w:val="bullet"/>
      <w:lvlText w:val=""/>
      <w:lvlJc w:val="left"/>
      <w:pPr>
        <w:ind w:left="360" w:hanging="360"/>
      </w:pPr>
      <w:rPr>
        <w:rFonts w:ascii="Symbol" w:hAnsi="Symbol" w:hint="default"/>
      </w:rPr>
    </w:lvl>
    <w:lvl w:ilvl="1" w:tplc="8570AB20">
      <w:start w:val="1"/>
      <w:numFmt w:val="bullet"/>
      <w:lvlText w:val="o"/>
      <w:lvlJc w:val="left"/>
      <w:pPr>
        <w:ind w:left="1080" w:hanging="360"/>
      </w:pPr>
      <w:rPr>
        <w:rFonts w:ascii="Courier New" w:hAnsi="Courier New" w:hint="default"/>
      </w:rPr>
    </w:lvl>
    <w:lvl w:ilvl="2" w:tplc="96DE2FE8">
      <w:start w:val="1"/>
      <w:numFmt w:val="bullet"/>
      <w:lvlText w:val=""/>
      <w:lvlJc w:val="left"/>
      <w:pPr>
        <w:ind w:left="1800" w:hanging="360"/>
      </w:pPr>
      <w:rPr>
        <w:rFonts w:ascii="Wingdings" w:hAnsi="Wingdings" w:hint="default"/>
      </w:rPr>
    </w:lvl>
    <w:lvl w:ilvl="3" w:tplc="29D658A2">
      <w:start w:val="1"/>
      <w:numFmt w:val="bullet"/>
      <w:lvlText w:val=""/>
      <w:lvlJc w:val="left"/>
      <w:pPr>
        <w:ind w:left="2520" w:hanging="360"/>
      </w:pPr>
      <w:rPr>
        <w:rFonts w:ascii="Symbol" w:hAnsi="Symbol" w:hint="default"/>
      </w:rPr>
    </w:lvl>
    <w:lvl w:ilvl="4" w:tplc="B28AD32C">
      <w:start w:val="1"/>
      <w:numFmt w:val="bullet"/>
      <w:lvlText w:val="o"/>
      <w:lvlJc w:val="left"/>
      <w:pPr>
        <w:ind w:left="3240" w:hanging="360"/>
      </w:pPr>
      <w:rPr>
        <w:rFonts w:ascii="Courier New" w:hAnsi="Courier New" w:hint="default"/>
      </w:rPr>
    </w:lvl>
    <w:lvl w:ilvl="5" w:tplc="C4F0C1DC">
      <w:start w:val="1"/>
      <w:numFmt w:val="bullet"/>
      <w:lvlText w:val=""/>
      <w:lvlJc w:val="left"/>
      <w:pPr>
        <w:ind w:left="3960" w:hanging="360"/>
      </w:pPr>
      <w:rPr>
        <w:rFonts w:ascii="Wingdings" w:hAnsi="Wingdings" w:hint="default"/>
      </w:rPr>
    </w:lvl>
    <w:lvl w:ilvl="6" w:tplc="87CE4D62">
      <w:start w:val="1"/>
      <w:numFmt w:val="bullet"/>
      <w:lvlText w:val=""/>
      <w:lvlJc w:val="left"/>
      <w:pPr>
        <w:ind w:left="4680" w:hanging="360"/>
      </w:pPr>
      <w:rPr>
        <w:rFonts w:ascii="Symbol" w:hAnsi="Symbol" w:hint="default"/>
      </w:rPr>
    </w:lvl>
    <w:lvl w:ilvl="7" w:tplc="1FAE98B0">
      <w:start w:val="1"/>
      <w:numFmt w:val="bullet"/>
      <w:lvlText w:val="o"/>
      <w:lvlJc w:val="left"/>
      <w:pPr>
        <w:ind w:left="5400" w:hanging="360"/>
      </w:pPr>
      <w:rPr>
        <w:rFonts w:ascii="Courier New" w:hAnsi="Courier New" w:hint="default"/>
      </w:rPr>
    </w:lvl>
    <w:lvl w:ilvl="8" w:tplc="3FAE7590">
      <w:start w:val="1"/>
      <w:numFmt w:val="bullet"/>
      <w:lvlText w:val=""/>
      <w:lvlJc w:val="left"/>
      <w:pPr>
        <w:ind w:left="6120" w:hanging="360"/>
      </w:pPr>
      <w:rPr>
        <w:rFonts w:ascii="Wingdings" w:hAnsi="Wingdings" w:hint="default"/>
      </w:rPr>
    </w:lvl>
  </w:abstractNum>
  <w:abstractNum w:abstractNumId="43" w15:restartNumberingAfterBreak="0">
    <w:nsid w:val="2F657F9D"/>
    <w:multiLevelType w:val="hybridMultilevel"/>
    <w:tmpl w:val="0FB88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FA14F8F"/>
    <w:multiLevelType w:val="hybridMultilevel"/>
    <w:tmpl w:val="FFFFFFFF"/>
    <w:lvl w:ilvl="0" w:tplc="B8B8DE8E">
      <w:start w:val="1"/>
      <w:numFmt w:val="decimal"/>
      <w:lvlText w:val="%1."/>
      <w:lvlJc w:val="left"/>
      <w:pPr>
        <w:ind w:left="360" w:hanging="360"/>
      </w:pPr>
    </w:lvl>
    <w:lvl w:ilvl="1" w:tplc="94F619E0">
      <w:start w:val="1"/>
      <w:numFmt w:val="lowerLetter"/>
      <w:lvlText w:val="%2."/>
      <w:lvlJc w:val="left"/>
      <w:pPr>
        <w:ind w:left="1080" w:hanging="360"/>
      </w:pPr>
    </w:lvl>
    <w:lvl w:ilvl="2" w:tplc="05CA5D9C">
      <w:start w:val="1"/>
      <w:numFmt w:val="lowerRoman"/>
      <w:lvlText w:val="%3."/>
      <w:lvlJc w:val="right"/>
      <w:pPr>
        <w:ind w:left="1800" w:hanging="180"/>
      </w:pPr>
    </w:lvl>
    <w:lvl w:ilvl="3" w:tplc="C2AE23AE">
      <w:start w:val="1"/>
      <w:numFmt w:val="decimal"/>
      <w:lvlText w:val="%4."/>
      <w:lvlJc w:val="left"/>
      <w:pPr>
        <w:ind w:left="2520" w:hanging="360"/>
      </w:pPr>
    </w:lvl>
    <w:lvl w:ilvl="4" w:tplc="18084B5A">
      <w:start w:val="1"/>
      <w:numFmt w:val="lowerLetter"/>
      <w:lvlText w:val="%5."/>
      <w:lvlJc w:val="left"/>
      <w:pPr>
        <w:ind w:left="3240" w:hanging="360"/>
      </w:pPr>
    </w:lvl>
    <w:lvl w:ilvl="5" w:tplc="54A49064">
      <w:start w:val="1"/>
      <w:numFmt w:val="lowerRoman"/>
      <w:lvlText w:val="%6."/>
      <w:lvlJc w:val="right"/>
      <w:pPr>
        <w:ind w:left="3960" w:hanging="180"/>
      </w:pPr>
    </w:lvl>
    <w:lvl w:ilvl="6" w:tplc="E7A40FBE">
      <w:start w:val="1"/>
      <w:numFmt w:val="decimal"/>
      <w:lvlText w:val="%7."/>
      <w:lvlJc w:val="left"/>
      <w:pPr>
        <w:ind w:left="4680" w:hanging="360"/>
      </w:pPr>
    </w:lvl>
    <w:lvl w:ilvl="7" w:tplc="4BF086D0">
      <w:start w:val="1"/>
      <w:numFmt w:val="lowerLetter"/>
      <w:lvlText w:val="%8."/>
      <w:lvlJc w:val="left"/>
      <w:pPr>
        <w:ind w:left="5400" w:hanging="360"/>
      </w:pPr>
    </w:lvl>
    <w:lvl w:ilvl="8" w:tplc="81E81D7C">
      <w:start w:val="1"/>
      <w:numFmt w:val="lowerRoman"/>
      <w:lvlText w:val="%9."/>
      <w:lvlJc w:val="right"/>
      <w:pPr>
        <w:ind w:left="6120" w:hanging="180"/>
      </w:pPr>
    </w:lvl>
  </w:abstractNum>
  <w:abstractNum w:abstractNumId="45" w15:restartNumberingAfterBreak="0">
    <w:nsid w:val="300551A3"/>
    <w:multiLevelType w:val="hybridMultilevel"/>
    <w:tmpl w:val="FFFFFFFF"/>
    <w:lvl w:ilvl="0" w:tplc="02EC66CE">
      <w:start w:val="1"/>
      <w:numFmt w:val="decimal"/>
      <w:lvlText w:val="%1."/>
      <w:lvlJc w:val="left"/>
      <w:pPr>
        <w:ind w:left="720" w:hanging="360"/>
      </w:pPr>
    </w:lvl>
    <w:lvl w:ilvl="1" w:tplc="58226D96">
      <w:start w:val="1"/>
      <w:numFmt w:val="lowerLetter"/>
      <w:lvlText w:val="%2."/>
      <w:lvlJc w:val="left"/>
      <w:pPr>
        <w:ind w:left="1440" w:hanging="360"/>
      </w:pPr>
    </w:lvl>
    <w:lvl w:ilvl="2" w:tplc="946A1E54">
      <w:start w:val="1"/>
      <w:numFmt w:val="lowerRoman"/>
      <w:lvlText w:val="%3."/>
      <w:lvlJc w:val="right"/>
      <w:pPr>
        <w:ind w:left="2160" w:hanging="180"/>
      </w:pPr>
    </w:lvl>
    <w:lvl w:ilvl="3" w:tplc="DFDEFC1E">
      <w:start w:val="1"/>
      <w:numFmt w:val="decimal"/>
      <w:lvlText w:val="%4."/>
      <w:lvlJc w:val="left"/>
      <w:pPr>
        <w:ind w:left="2880" w:hanging="360"/>
      </w:pPr>
    </w:lvl>
    <w:lvl w:ilvl="4" w:tplc="91F4A8DC">
      <w:start w:val="1"/>
      <w:numFmt w:val="lowerLetter"/>
      <w:lvlText w:val="%5."/>
      <w:lvlJc w:val="left"/>
      <w:pPr>
        <w:ind w:left="3600" w:hanging="360"/>
      </w:pPr>
    </w:lvl>
    <w:lvl w:ilvl="5" w:tplc="B4F6D4AE">
      <w:start w:val="1"/>
      <w:numFmt w:val="lowerRoman"/>
      <w:lvlText w:val="%6."/>
      <w:lvlJc w:val="right"/>
      <w:pPr>
        <w:ind w:left="4320" w:hanging="180"/>
      </w:pPr>
    </w:lvl>
    <w:lvl w:ilvl="6" w:tplc="CD5A82AA">
      <w:start w:val="1"/>
      <w:numFmt w:val="decimal"/>
      <w:lvlText w:val="%7."/>
      <w:lvlJc w:val="left"/>
      <w:pPr>
        <w:ind w:left="5040" w:hanging="360"/>
      </w:pPr>
    </w:lvl>
    <w:lvl w:ilvl="7" w:tplc="45A43736">
      <w:start w:val="1"/>
      <w:numFmt w:val="lowerLetter"/>
      <w:lvlText w:val="%8."/>
      <w:lvlJc w:val="left"/>
      <w:pPr>
        <w:ind w:left="5760" w:hanging="360"/>
      </w:pPr>
    </w:lvl>
    <w:lvl w:ilvl="8" w:tplc="A1F6C39E">
      <w:start w:val="1"/>
      <w:numFmt w:val="lowerRoman"/>
      <w:lvlText w:val="%9."/>
      <w:lvlJc w:val="right"/>
      <w:pPr>
        <w:ind w:left="6480" w:hanging="180"/>
      </w:pPr>
    </w:lvl>
  </w:abstractNum>
  <w:abstractNum w:abstractNumId="46" w15:restartNumberingAfterBreak="0">
    <w:nsid w:val="320C5B0F"/>
    <w:multiLevelType w:val="hybridMultilevel"/>
    <w:tmpl w:val="FFFFFFFF"/>
    <w:lvl w:ilvl="0" w:tplc="5B0408A8">
      <w:start w:val="1"/>
      <w:numFmt w:val="bullet"/>
      <w:lvlText w:val="-"/>
      <w:lvlJc w:val="left"/>
      <w:pPr>
        <w:ind w:left="720" w:hanging="360"/>
      </w:pPr>
      <w:rPr>
        <w:rFonts w:ascii="Aptos" w:hAnsi="Aptos" w:hint="default"/>
      </w:rPr>
    </w:lvl>
    <w:lvl w:ilvl="1" w:tplc="85EE59F2">
      <w:start w:val="1"/>
      <w:numFmt w:val="bullet"/>
      <w:lvlText w:val="o"/>
      <w:lvlJc w:val="left"/>
      <w:pPr>
        <w:ind w:left="1440" w:hanging="360"/>
      </w:pPr>
      <w:rPr>
        <w:rFonts w:ascii="Courier New" w:hAnsi="Courier New" w:hint="default"/>
      </w:rPr>
    </w:lvl>
    <w:lvl w:ilvl="2" w:tplc="FE1628B0">
      <w:start w:val="1"/>
      <w:numFmt w:val="bullet"/>
      <w:lvlText w:val=""/>
      <w:lvlJc w:val="left"/>
      <w:pPr>
        <w:ind w:left="2160" w:hanging="360"/>
      </w:pPr>
      <w:rPr>
        <w:rFonts w:ascii="Wingdings" w:hAnsi="Wingdings" w:hint="default"/>
      </w:rPr>
    </w:lvl>
    <w:lvl w:ilvl="3" w:tplc="5CCC8A2C">
      <w:start w:val="1"/>
      <w:numFmt w:val="bullet"/>
      <w:lvlText w:val=""/>
      <w:lvlJc w:val="left"/>
      <w:pPr>
        <w:ind w:left="2880" w:hanging="360"/>
      </w:pPr>
      <w:rPr>
        <w:rFonts w:ascii="Symbol" w:hAnsi="Symbol" w:hint="default"/>
      </w:rPr>
    </w:lvl>
    <w:lvl w:ilvl="4" w:tplc="2A4ACC82">
      <w:start w:val="1"/>
      <w:numFmt w:val="bullet"/>
      <w:lvlText w:val="o"/>
      <w:lvlJc w:val="left"/>
      <w:pPr>
        <w:ind w:left="3600" w:hanging="360"/>
      </w:pPr>
      <w:rPr>
        <w:rFonts w:ascii="Courier New" w:hAnsi="Courier New" w:hint="default"/>
      </w:rPr>
    </w:lvl>
    <w:lvl w:ilvl="5" w:tplc="321CB936">
      <w:start w:val="1"/>
      <w:numFmt w:val="bullet"/>
      <w:lvlText w:val=""/>
      <w:lvlJc w:val="left"/>
      <w:pPr>
        <w:ind w:left="4320" w:hanging="360"/>
      </w:pPr>
      <w:rPr>
        <w:rFonts w:ascii="Wingdings" w:hAnsi="Wingdings" w:hint="default"/>
      </w:rPr>
    </w:lvl>
    <w:lvl w:ilvl="6" w:tplc="C78E0842">
      <w:start w:val="1"/>
      <w:numFmt w:val="bullet"/>
      <w:lvlText w:val=""/>
      <w:lvlJc w:val="left"/>
      <w:pPr>
        <w:ind w:left="5040" w:hanging="360"/>
      </w:pPr>
      <w:rPr>
        <w:rFonts w:ascii="Symbol" w:hAnsi="Symbol" w:hint="default"/>
      </w:rPr>
    </w:lvl>
    <w:lvl w:ilvl="7" w:tplc="36DC0F46">
      <w:start w:val="1"/>
      <w:numFmt w:val="bullet"/>
      <w:lvlText w:val="o"/>
      <w:lvlJc w:val="left"/>
      <w:pPr>
        <w:ind w:left="5760" w:hanging="360"/>
      </w:pPr>
      <w:rPr>
        <w:rFonts w:ascii="Courier New" w:hAnsi="Courier New" w:hint="default"/>
      </w:rPr>
    </w:lvl>
    <w:lvl w:ilvl="8" w:tplc="3BAED690">
      <w:start w:val="1"/>
      <w:numFmt w:val="bullet"/>
      <w:lvlText w:val=""/>
      <w:lvlJc w:val="left"/>
      <w:pPr>
        <w:ind w:left="6480" w:hanging="360"/>
      </w:pPr>
      <w:rPr>
        <w:rFonts w:ascii="Wingdings" w:hAnsi="Wingdings" w:hint="default"/>
      </w:rPr>
    </w:lvl>
  </w:abstractNum>
  <w:abstractNum w:abstractNumId="4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48" w15:restartNumberingAfterBreak="0">
    <w:nsid w:val="341D8A90"/>
    <w:multiLevelType w:val="hybridMultilevel"/>
    <w:tmpl w:val="FFFFFFFF"/>
    <w:lvl w:ilvl="0" w:tplc="538C8130">
      <w:start w:val="1"/>
      <w:numFmt w:val="bullet"/>
      <w:lvlText w:val=""/>
      <w:lvlJc w:val="left"/>
      <w:pPr>
        <w:ind w:left="720" w:hanging="360"/>
      </w:pPr>
      <w:rPr>
        <w:rFonts w:ascii="Symbol" w:hAnsi="Symbol" w:hint="default"/>
      </w:rPr>
    </w:lvl>
    <w:lvl w:ilvl="1" w:tplc="AAFE66CC">
      <w:start w:val="1"/>
      <w:numFmt w:val="bullet"/>
      <w:lvlText w:val="o"/>
      <w:lvlJc w:val="left"/>
      <w:pPr>
        <w:ind w:left="1440" w:hanging="360"/>
      </w:pPr>
      <w:rPr>
        <w:rFonts w:ascii="Courier New" w:hAnsi="Courier New" w:hint="default"/>
      </w:rPr>
    </w:lvl>
    <w:lvl w:ilvl="2" w:tplc="F5C05E94">
      <w:start w:val="1"/>
      <w:numFmt w:val="bullet"/>
      <w:lvlText w:val=""/>
      <w:lvlJc w:val="left"/>
      <w:pPr>
        <w:ind w:left="2160" w:hanging="360"/>
      </w:pPr>
      <w:rPr>
        <w:rFonts w:ascii="Wingdings" w:hAnsi="Wingdings" w:hint="default"/>
      </w:rPr>
    </w:lvl>
    <w:lvl w:ilvl="3" w:tplc="D2767C0A">
      <w:start w:val="1"/>
      <w:numFmt w:val="bullet"/>
      <w:lvlText w:val=""/>
      <w:lvlJc w:val="left"/>
      <w:pPr>
        <w:ind w:left="2880" w:hanging="360"/>
      </w:pPr>
      <w:rPr>
        <w:rFonts w:ascii="Symbol" w:hAnsi="Symbol" w:hint="default"/>
      </w:rPr>
    </w:lvl>
    <w:lvl w:ilvl="4" w:tplc="09207B82">
      <w:start w:val="1"/>
      <w:numFmt w:val="bullet"/>
      <w:lvlText w:val="o"/>
      <w:lvlJc w:val="left"/>
      <w:pPr>
        <w:ind w:left="3600" w:hanging="360"/>
      </w:pPr>
      <w:rPr>
        <w:rFonts w:ascii="Courier New" w:hAnsi="Courier New" w:hint="default"/>
      </w:rPr>
    </w:lvl>
    <w:lvl w:ilvl="5" w:tplc="AF5CFCD0">
      <w:start w:val="1"/>
      <w:numFmt w:val="bullet"/>
      <w:lvlText w:val=""/>
      <w:lvlJc w:val="left"/>
      <w:pPr>
        <w:ind w:left="4320" w:hanging="360"/>
      </w:pPr>
      <w:rPr>
        <w:rFonts w:ascii="Wingdings" w:hAnsi="Wingdings" w:hint="default"/>
      </w:rPr>
    </w:lvl>
    <w:lvl w:ilvl="6" w:tplc="64D0FA08">
      <w:start w:val="1"/>
      <w:numFmt w:val="bullet"/>
      <w:lvlText w:val=""/>
      <w:lvlJc w:val="left"/>
      <w:pPr>
        <w:ind w:left="5040" w:hanging="360"/>
      </w:pPr>
      <w:rPr>
        <w:rFonts w:ascii="Symbol" w:hAnsi="Symbol" w:hint="default"/>
      </w:rPr>
    </w:lvl>
    <w:lvl w:ilvl="7" w:tplc="94CE31C2">
      <w:start w:val="1"/>
      <w:numFmt w:val="bullet"/>
      <w:lvlText w:val="o"/>
      <w:lvlJc w:val="left"/>
      <w:pPr>
        <w:ind w:left="5760" w:hanging="360"/>
      </w:pPr>
      <w:rPr>
        <w:rFonts w:ascii="Courier New" w:hAnsi="Courier New" w:hint="default"/>
      </w:rPr>
    </w:lvl>
    <w:lvl w:ilvl="8" w:tplc="343C4494">
      <w:start w:val="1"/>
      <w:numFmt w:val="bullet"/>
      <w:lvlText w:val=""/>
      <w:lvlJc w:val="left"/>
      <w:pPr>
        <w:ind w:left="6480" w:hanging="360"/>
      </w:pPr>
      <w:rPr>
        <w:rFonts w:ascii="Wingdings" w:hAnsi="Wingdings" w:hint="default"/>
      </w:rPr>
    </w:lvl>
  </w:abstractNum>
  <w:abstractNum w:abstractNumId="49" w15:restartNumberingAfterBreak="0">
    <w:nsid w:val="345A146E"/>
    <w:multiLevelType w:val="hybridMultilevel"/>
    <w:tmpl w:val="EEA60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608D90E"/>
    <w:multiLevelType w:val="hybridMultilevel"/>
    <w:tmpl w:val="3FB6931C"/>
    <w:lvl w:ilvl="0" w:tplc="0E226F08">
      <w:start w:val="1"/>
      <w:numFmt w:val="bullet"/>
      <w:lvlText w:val="-"/>
      <w:lvlJc w:val="left"/>
      <w:pPr>
        <w:ind w:left="360" w:hanging="360"/>
      </w:pPr>
      <w:rPr>
        <w:rFonts w:ascii="Aptos" w:hAnsi="Aptos" w:hint="default"/>
      </w:rPr>
    </w:lvl>
    <w:lvl w:ilvl="1" w:tplc="ED3813F6">
      <w:start w:val="1"/>
      <w:numFmt w:val="bullet"/>
      <w:lvlText w:val="o"/>
      <w:lvlJc w:val="left"/>
      <w:pPr>
        <w:ind w:left="1080" w:hanging="360"/>
      </w:pPr>
      <w:rPr>
        <w:rFonts w:ascii="Courier New" w:hAnsi="Courier New" w:hint="default"/>
      </w:rPr>
    </w:lvl>
    <w:lvl w:ilvl="2" w:tplc="35B4B080">
      <w:start w:val="1"/>
      <w:numFmt w:val="bullet"/>
      <w:lvlText w:val=""/>
      <w:lvlJc w:val="left"/>
      <w:pPr>
        <w:ind w:left="1800" w:hanging="360"/>
      </w:pPr>
      <w:rPr>
        <w:rFonts w:ascii="Wingdings" w:hAnsi="Wingdings" w:hint="default"/>
      </w:rPr>
    </w:lvl>
    <w:lvl w:ilvl="3" w:tplc="D534C30C">
      <w:start w:val="1"/>
      <w:numFmt w:val="bullet"/>
      <w:lvlText w:val=""/>
      <w:lvlJc w:val="left"/>
      <w:pPr>
        <w:ind w:left="2520" w:hanging="360"/>
      </w:pPr>
      <w:rPr>
        <w:rFonts w:ascii="Symbol" w:hAnsi="Symbol" w:hint="default"/>
      </w:rPr>
    </w:lvl>
    <w:lvl w:ilvl="4" w:tplc="51F245F6">
      <w:start w:val="1"/>
      <w:numFmt w:val="bullet"/>
      <w:lvlText w:val="o"/>
      <w:lvlJc w:val="left"/>
      <w:pPr>
        <w:ind w:left="3240" w:hanging="360"/>
      </w:pPr>
      <w:rPr>
        <w:rFonts w:ascii="Courier New" w:hAnsi="Courier New" w:hint="default"/>
      </w:rPr>
    </w:lvl>
    <w:lvl w:ilvl="5" w:tplc="586C8760">
      <w:start w:val="1"/>
      <w:numFmt w:val="bullet"/>
      <w:lvlText w:val=""/>
      <w:lvlJc w:val="left"/>
      <w:pPr>
        <w:ind w:left="3960" w:hanging="360"/>
      </w:pPr>
      <w:rPr>
        <w:rFonts w:ascii="Wingdings" w:hAnsi="Wingdings" w:hint="default"/>
      </w:rPr>
    </w:lvl>
    <w:lvl w:ilvl="6" w:tplc="F4642AAA">
      <w:start w:val="1"/>
      <w:numFmt w:val="bullet"/>
      <w:lvlText w:val=""/>
      <w:lvlJc w:val="left"/>
      <w:pPr>
        <w:ind w:left="4680" w:hanging="360"/>
      </w:pPr>
      <w:rPr>
        <w:rFonts w:ascii="Symbol" w:hAnsi="Symbol" w:hint="default"/>
      </w:rPr>
    </w:lvl>
    <w:lvl w:ilvl="7" w:tplc="42449A32">
      <w:start w:val="1"/>
      <w:numFmt w:val="bullet"/>
      <w:lvlText w:val="o"/>
      <w:lvlJc w:val="left"/>
      <w:pPr>
        <w:ind w:left="5400" w:hanging="360"/>
      </w:pPr>
      <w:rPr>
        <w:rFonts w:ascii="Courier New" w:hAnsi="Courier New" w:hint="default"/>
      </w:rPr>
    </w:lvl>
    <w:lvl w:ilvl="8" w:tplc="E99ED9E6">
      <w:start w:val="1"/>
      <w:numFmt w:val="bullet"/>
      <w:lvlText w:val=""/>
      <w:lvlJc w:val="left"/>
      <w:pPr>
        <w:ind w:left="6120" w:hanging="360"/>
      </w:pPr>
      <w:rPr>
        <w:rFonts w:ascii="Wingdings" w:hAnsi="Wingdings" w:hint="default"/>
      </w:rPr>
    </w:lvl>
  </w:abstractNum>
  <w:abstractNum w:abstractNumId="52" w15:restartNumberingAfterBreak="0">
    <w:nsid w:val="36D410C8"/>
    <w:multiLevelType w:val="hybridMultilevel"/>
    <w:tmpl w:val="7DC683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97F9D29"/>
    <w:multiLevelType w:val="hybridMultilevel"/>
    <w:tmpl w:val="FFFFFFFF"/>
    <w:lvl w:ilvl="0" w:tplc="000AF836">
      <w:start w:val="1"/>
      <w:numFmt w:val="upperLetter"/>
      <w:lvlText w:val="%1."/>
      <w:lvlJc w:val="left"/>
      <w:pPr>
        <w:ind w:left="360" w:hanging="360"/>
      </w:pPr>
    </w:lvl>
    <w:lvl w:ilvl="1" w:tplc="B1A48C7E">
      <w:start w:val="1"/>
      <w:numFmt w:val="lowerLetter"/>
      <w:lvlText w:val="%2."/>
      <w:lvlJc w:val="left"/>
      <w:pPr>
        <w:ind w:left="1080" w:hanging="360"/>
      </w:pPr>
    </w:lvl>
    <w:lvl w:ilvl="2" w:tplc="43FC7AF2">
      <w:start w:val="1"/>
      <w:numFmt w:val="lowerRoman"/>
      <w:lvlText w:val="%3."/>
      <w:lvlJc w:val="right"/>
      <w:pPr>
        <w:ind w:left="1800" w:hanging="180"/>
      </w:pPr>
    </w:lvl>
    <w:lvl w:ilvl="3" w:tplc="00366C68">
      <w:start w:val="1"/>
      <w:numFmt w:val="decimal"/>
      <w:lvlText w:val="%4."/>
      <w:lvlJc w:val="left"/>
      <w:pPr>
        <w:ind w:left="2520" w:hanging="360"/>
      </w:pPr>
    </w:lvl>
    <w:lvl w:ilvl="4" w:tplc="3B7ED2FE">
      <w:start w:val="1"/>
      <w:numFmt w:val="lowerLetter"/>
      <w:lvlText w:val="%5."/>
      <w:lvlJc w:val="left"/>
      <w:pPr>
        <w:ind w:left="3240" w:hanging="360"/>
      </w:pPr>
    </w:lvl>
    <w:lvl w:ilvl="5" w:tplc="D5EC7568">
      <w:start w:val="1"/>
      <w:numFmt w:val="lowerRoman"/>
      <w:lvlText w:val="%6."/>
      <w:lvlJc w:val="right"/>
      <w:pPr>
        <w:ind w:left="3960" w:hanging="180"/>
      </w:pPr>
    </w:lvl>
    <w:lvl w:ilvl="6" w:tplc="75F2335C">
      <w:start w:val="1"/>
      <w:numFmt w:val="decimal"/>
      <w:lvlText w:val="%7."/>
      <w:lvlJc w:val="left"/>
      <w:pPr>
        <w:ind w:left="4680" w:hanging="360"/>
      </w:pPr>
    </w:lvl>
    <w:lvl w:ilvl="7" w:tplc="C12081CA">
      <w:start w:val="1"/>
      <w:numFmt w:val="lowerLetter"/>
      <w:lvlText w:val="%8."/>
      <w:lvlJc w:val="left"/>
      <w:pPr>
        <w:ind w:left="5400" w:hanging="360"/>
      </w:pPr>
    </w:lvl>
    <w:lvl w:ilvl="8" w:tplc="8DAEEF48">
      <w:start w:val="1"/>
      <w:numFmt w:val="lowerRoman"/>
      <w:lvlText w:val="%9."/>
      <w:lvlJc w:val="right"/>
      <w:pPr>
        <w:ind w:left="6120" w:hanging="180"/>
      </w:pPr>
    </w:lvl>
  </w:abstractNum>
  <w:abstractNum w:abstractNumId="55" w15:restartNumberingAfterBreak="0">
    <w:nsid w:val="3A8D60E4"/>
    <w:multiLevelType w:val="hybridMultilevel"/>
    <w:tmpl w:val="B06CB54C"/>
    <w:lvl w:ilvl="0" w:tplc="5EE2A140">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3BAA613F"/>
    <w:multiLevelType w:val="hybridMultilevel"/>
    <w:tmpl w:val="FFFFFFFF"/>
    <w:lvl w:ilvl="0" w:tplc="BA4C91B0">
      <w:start w:val="1"/>
      <w:numFmt w:val="bullet"/>
      <w:lvlText w:val=""/>
      <w:lvlJc w:val="left"/>
      <w:pPr>
        <w:ind w:left="720" w:hanging="360"/>
      </w:pPr>
      <w:rPr>
        <w:rFonts w:ascii="Symbol" w:hAnsi="Symbol" w:hint="default"/>
      </w:rPr>
    </w:lvl>
    <w:lvl w:ilvl="1" w:tplc="8EA038F6">
      <w:start w:val="1"/>
      <w:numFmt w:val="bullet"/>
      <w:lvlText w:val="o"/>
      <w:lvlJc w:val="left"/>
      <w:pPr>
        <w:ind w:left="1440" w:hanging="360"/>
      </w:pPr>
      <w:rPr>
        <w:rFonts w:ascii="Courier New" w:hAnsi="Courier New" w:hint="default"/>
      </w:rPr>
    </w:lvl>
    <w:lvl w:ilvl="2" w:tplc="9D7E8252">
      <w:start w:val="1"/>
      <w:numFmt w:val="bullet"/>
      <w:lvlText w:val=""/>
      <w:lvlJc w:val="left"/>
      <w:pPr>
        <w:ind w:left="2160" w:hanging="360"/>
      </w:pPr>
      <w:rPr>
        <w:rFonts w:ascii="Wingdings" w:hAnsi="Wingdings" w:hint="default"/>
      </w:rPr>
    </w:lvl>
    <w:lvl w:ilvl="3" w:tplc="199CDB54">
      <w:start w:val="1"/>
      <w:numFmt w:val="bullet"/>
      <w:lvlText w:val=""/>
      <w:lvlJc w:val="left"/>
      <w:pPr>
        <w:ind w:left="2880" w:hanging="360"/>
      </w:pPr>
      <w:rPr>
        <w:rFonts w:ascii="Symbol" w:hAnsi="Symbol" w:hint="default"/>
      </w:rPr>
    </w:lvl>
    <w:lvl w:ilvl="4" w:tplc="E3A85A2C">
      <w:start w:val="1"/>
      <w:numFmt w:val="bullet"/>
      <w:lvlText w:val="o"/>
      <w:lvlJc w:val="left"/>
      <w:pPr>
        <w:ind w:left="3600" w:hanging="360"/>
      </w:pPr>
      <w:rPr>
        <w:rFonts w:ascii="Courier New" w:hAnsi="Courier New" w:hint="default"/>
      </w:rPr>
    </w:lvl>
    <w:lvl w:ilvl="5" w:tplc="C160F3E4">
      <w:start w:val="1"/>
      <w:numFmt w:val="bullet"/>
      <w:lvlText w:val=""/>
      <w:lvlJc w:val="left"/>
      <w:pPr>
        <w:ind w:left="4320" w:hanging="360"/>
      </w:pPr>
      <w:rPr>
        <w:rFonts w:ascii="Wingdings" w:hAnsi="Wingdings" w:hint="default"/>
      </w:rPr>
    </w:lvl>
    <w:lvl w:ilvl="6" w:tplc="20EC5A70">
      <w:start w:val="1"/>
      <w:numFmt w:val="bullet"/>
      <w:lvlText w:val=""/>
      <w:lvlJc w:val="left"/>
      <w:pPr>
        <w:ind w:left="5040" w:hanging="360"/>
      </w:pPr>
      <w:rPr>
        <w:rFonts w:ascii="Symbol" w:hAnsi="Symbol" w:hint="default"/>
      </w:rPr>
    </w:lvl>
    <w:lvl w:ilvl="7" w:tplc="D78CB360">
      <w:start w:val="1"/>
      <w:numFmt w:val="bullet"/>
      <w:lvlText w:val="o"/>
      <w:lvlJc w:val="left"/>
      <w:pPr>
        <w:ind w:left="5760" w:hanging="360"/>
      </w:pPr>
      <w:rPr>
        <w:rFonts w:ascii="Courier New" w:hAnsi="Courier New" w:hint="default"/>
      </w:rPr>
    </w:lvl>
    <w:lvl w:ilvl="8" w:tplc="EC96D734">
      <w:start w:val="1"/>
      <w:numFmt w:val="bullet"/>
      <w:lvlText w:val=""/>
      <w:lvlJc w:val="left"/>
      <w:pPr>
        <w:ind w:left="6480" w:hanging="360"/>
      </w:pPr>
      <w:rPr>
        <w:rFonts w:ascii="Wingdings" w:hAnsi="Wingdings" w:hint="default"/>
      </w:rPr>
    </w:lvl>
  </w:abstractNum>
  <w:abstractNum w:abstractNumId="5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E2CB6C7"/>
    <w:multiLevelType w:val="hybridMultilevel"/>
    <w:tmpl w:val="FFFFFFFF"/>
    <w:lvl w:ilvl="0" w:tplc="B8D42DA6">
      <w:start w:val="1"/>
      <w:numFmt w:val="decimal"/>
      <w:lvlText w:val="%1."/>
      <w:lvlJc w:val="left"/>
      <w:pPr>
        <w:ind w:left="720" w:hanging="360"/>
      </w:pPr>
    </w:lvl>
    <w:lvl w:ilvl="1" w:tplc="ABAC4F3E">
      <w:start w:val="1"/>
      <w:numFmt w:val="lowerRoman"/>
      <w:lvlText w:val="%2."/>
      <w:lvlJc w:val="right"/>
      <w:pPr>
        <w:ind w:left="1145" w:hanging="360"/>
      </w:pPr>
    </w:lvl>
    <w:lvl w:ilvl="2" w:tplc="802EC994">
      <w:start w:val="1"/>
      <w:numFmt w:val="lowerRoman"/>
      <w:lvlText w:val="%3."/>
      <w:lvlJc w:val="right"/>
      <w:pPr>
        <w:ind w:left="2160" w:hanging="180"/>
      </w:pPr>
    </w:lvl>
    <w:lvl w:ilvl="3" w:tplc="C1AC910A">
      <w:start w:val="1"/>
      <w:numFmt w:val="decimal"/>
      <w:lvlText w:val="%4."/>
      <w:lvlJc w:val="left"/>
      <w:pPr>
        <w:ind w:left="2880" w:hanging="360"/>
      </w:pPr>
    </w:lvl>
    <w:lvl w:ilvl="4" w:tplc="A8B0F02E">
      <w:start w:val="1"/>
      <w:numFmt w:val="lowerLetter"/>
      <w:lvlText w:val="%5."/>
      <w:lvlJc w:val="left"/>
      <w:pPr>
        <w:ind w:left="3600" w:hanging="360"/>
      </w:pPr>
    </w:lvl>
    <w:lvl w:ilvl="5" w:tplc="B0AEA90C">
      <w:start w:val="1"/>
      <w:numFmt w:val="lowerRoman"/>
      <w:lvlText w:val="%6."/>
      <w:lvlJc w:val="right"/>
      <w:pPr>
        <w:ind w:left="4320" w:hanging="180"/>
      </w:pPr>
    </w:lvl>
    <w:lvl w:ilvl="6" w:tplc="9ECC88F6">
      <w:start w:val="1"/>
      <w:numFmt w:val="decimal"/>
      <w:lvlText w:val="%7."/>
      <w:lvlJc w:val="left"/>
      <w:pPr>
        <w:ind w:left="5040" w:hanging="360"/>
      </w:pPr>
    </w:lvl>
    <w:lvl w:ilvl="7" w:tplc="C5FE4C58">
      <w:start w:val="1"/>
      <w:numFmt w:val="lowerLetter"/>
      <w:lvlText w:val="%8."/>
      <w:lvlJc w:val="left"/>
      <w:pPr>
        <w:ind w:left="5760" w:hanging="360"/>
      </w:pPr>
    </w:lvl>
    <w:lvl w:ilvl="8" w:tplc="557A901C">
      <w:start w:val="1"/>
      <w:numFmt w:val="lowerRoman"/>
      <w:lvlText w:val="%9."/>
      <w:lvlJc w:val="right"/>
      <w:pPr>
        <w:ind w:left="6480" w:hanging="180"/>
      </w:pPr>
    </w:lvl>
  </w:abstractNum>
  <w:abstractNum w:abstractNumId="60" w15:restartNumberingAfterBreak="0">
    <w:nsid w:val="3E56F569"/>
    <w:multiLevelType w:val="multilevel"/>
    <w:tmpl w:val="FFFFFFFF"/>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F544874"/>
    <w:multiLevelType w:val="hybridMultilevel"/>
    <w:tmpl w:val="B3925F68"/>
    <w:lvl w:ilvl="0" w:tplc="2E807134">
      <w:start w:val="1"/>
      <w:numFmt w:val="bullet"/>
      <w:lvlText w:val="-"/>
      <w:lvlJc w:val="left"/>
      <w:pPr>
        <w:ind w:left="360" w:hanging="360"/>
      </w:pPr>
      <w:rPr>
        <w:rFonts w:ascii="Aptos" w:hAnsi="Apto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F7814FC"/>
    <w:multiLevelType w:val="hybridMultilevel"/>
    <w:tmpl w:val="C5F267E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06CD7E3"/>
    <w:multiLevelType w:val="hybridMultilevel"/>
    <w:tmpl w:val="FFFFFFFF"/>
    <w:lvl w:ilvl="0" w:tplc="77902DA6">
      <w:start w:val="1"/>
      <w:numFmt w:val="bullet"/>
      <w:lvlText w:val="-"/>
      <w:lvlJc w:val="left"/>
      <w:pPr>
        <w:ind w:left="1080" w:hanging="360"/>
      </w:pPr>
      <w:rPr>
        <w:rFonts w:ascii="Aptos" w:hAnsi="Aptos" w:hint="default"/>
      </w:rPr>
    </w:lvl>
    <w:lvl w:ilvl="1" w:tplc="C4EE8C78">
      <w:start w:val="1"/>
      <w:numFmt w:val="bullet"/>
      <w:lvlText w:val="o"/>
      <w:lvlJc w:val="left"/>
      <w:pPr>
        <w:ind w:left="1800" w:hanging="360"/>
      </w:pPr>
      <w:rPr>
        <w:rFonts w:ascii="Courier New" w:hAnsi="Courier New" w:hint="default"/>
      </w:rPr>
    </w:lvl>
    <w:lvl w:ilvl="2" w:tplc="4C9455F2">
      <w:start w:val="1"/>
      <w:numFmt w:val="bullet"/>
      <w:lvlText w:val=""/>
      <w:lvlJc w:val="left"/>
      <w:pPr>
        <w:ind w:left="2520" w:hanging="360"/>
      </w:pPr>
      <w:rPr>
        <w:rFonts w:ascii="Wingdings" w:hAnsi="Wingdings" w:hint="default"/>
      </w:rPr>
    </w:lvl>
    <w:lvl w:ilvl="3" w:tplc="BC106782">
      <w:start w:val="1"/>
      <w:numFmt w:val="bullet"/>
      <w:lvlText w:val=""/>
      <w:lvlJc w:val="left"/>
      <w:pPr>
        <w:ind w:left="3240" w:hanging="360"/>
      </w:pPr>
      <w:rPr>
        <w:rFonts w:ascii="Symbol" w:hAnsi="Symbol" w:hint="default"/>
      </w:rPr>
    </w:lvl>
    <w:lvl w:ilvl="4" w:tplc="80560554">
      <w:start w:val="1"/>
      <w:numFmt w:val="bullet"/>
      <w:lvlText w:val="o"/>
      <w:lvlJc w:val="left"/>
      <w:pPr>
        <w:ind w:left="3960" w:hanging="360"/>
      </w:pPr>
      <w:rPr>
        <w:rFonts w:ascii="Courier New" w:hAnsi="Courier New" w:hint="default"/>
      </w:rPr>
    </w:lvl>
    <w:lvl w:ilvl="5" w:tplc="B7E67A4E">
      <w:start w:val="1"/>
      <w:numFmt w:val="bullet"/>
      <w:lvlText w:val=""/>
      <w:lvlJc w:val="left"/>
      <w:pPr>
        <w:ind w:left="4680" w:hanging="360"/>
      </w:pPr>
      <w:rPr>
        <w:rFonts w:ascii="Wingdings" w:hAnsi="Wingdings" w:hint="default"/>
      </w:rPr>
    </w:lvl>
    <w:lvl w:ilvl="6" w:tplc="7DB2AD02">
      <w:start w:val="1"/>
      <w:numFmt w:val="bullet"/>
      <w:lvlText w:val=""/>
      <w:lvlJc w:val="left"/>
      <w:pPr>
        <w:ind w:left="5400" w:hanging="360"/>
      </w:pPr>
      <w:rPr>
        <w:rFonts w:ascii="Symbol" w:hAnsi="Symbol" w:hint="default"/>
      </w:rPr>
    </w:lvl>
    <w:lvl w:ilvl="7" w:tplc="B9F0CE3A">
      <w:start w:val="1"/>
      <w:numFmt w:val="bullet"/>
      <w:lvlText w:val="o"/>
      <w:lvlJc w:val="left"/>
      <w:pPr>
        <w:ind w:left="6120" w:hanging="360"/>
      </w:pPr>
      <w:rPr>
        <w:rFonts w:ascii="Courier New" w:hAnsi="Courier New" w:hint="default"/>
      </w:rPr>
    </w:lvl>
    <w:lvl w:ilvl="8" w:tplc="245C653E">
      <w:start w:val="1"/>
      <w:numFmt w:val="bullet"/>
      <w:lvlText w:val=""/>
      <w:lvlJc w:val="left"/>
      <w:pPr>
        <w:ind w:left="6840" w:hanging="360"/>
      </w:pPr>
      <w:rPr>
        <w:rFonts w:ascii="Wingdings" w:hAnsi="Wingdings" w:hint="default"/>
      </w:rPr>
    </w:lvl>
  </w:abstractNum>
  <w:abstractNum w:abstractNumId="64" w15:restartNumberingAfterBreak="0">
    <w:nsid w:val="40C303EF"/>
    <w:multiLevelType w:val="hybridMultilevel"/>
    <w:tmpl w:val="FFFFFFFF"/>
    <w:lvl w:ilvl="0" w:tplc="625A6B2C">
      <w:start w:val="1"/>
      <w:numFmt w:val="lowerLetter"/>
      <w:lvlText w:val="%1."/>
      <w:lvlJc w:val="left"/>
      <w:pPr>
        <w:ind w:left="360" w:hanging="360"/>
      </w:pPr>
    </w:lvl>
    <w:lvl w:ilvl="1" w:tplc="CE3C65C0">
      <w:start w:val="1"/>
      <w:numFmt w:val="lowerLetter"/>
      <w:lvlText w:val="%2."/>
      <w:lvlJc w:val="left"/>
      <w:pPr>
        <w:ind w:left="1080" w:hanging="360"/>
      </w:pPr>
    </w:lvl>
    <w:lvl w:ilvl="2" w:tplc="E82ED5FA">
      <w:start w:val="1"/>
      <w:numFmt w:val="lowerRoman"/>
      <w:lvlText w:val="%3."/>
      <w:lvlJc w:val="right"/>
      <w:pPr>
        <w:ind w:left="1800" w:hanging="180"/>
      </w:pPr>
    </w:lvl>
    <w:lvl w:ilvl="3" w:tplc="691CE6A0">
      <w:start w:val="1"/>
      <w:numFmt w:val="decimal"/>
      <w:lvlText w:val="%4."/>
      <w:lvlJc w:val="left"/>
      <w:pPr>
        <w:ind w:left="2520" w:hanging="360"/>
      </w:pPr>
    </w:lvl>
    <w:lvl w:ilvl="4" w:tplc="4738A48E">
      <w:start w:val="1"/>
      <w:numFmt w:val="lowerLetter"/>
      <w:lvlText w:val="%5."/>
      <w:lvlJc w:val="left"/>
      <w:pPr>
        <w:ind w:left="3240" w:hanging="360"/>
      </w:pPr>
    </w:lvl>
    <w:lvl w:ilvl="5" w:tplc="5DB2107A">
      <w:start w:val="1"/>
      <w:numFmt w:val="lowerRoman"/>
      <w:lvlText w:val="%6."/>
      <w:lvlJc w:val="right"/>
      <w:pPr>
        <w:ind w:left="3960" w:hanging="180"/>
      </w:pPr>
    </w:lvl>
    <w:lvl w:ilvl="6" w:tplc="8904F39A">
      <w:start w:val="1"/>
      <w:numFmt w:val="decimal"/>
      <w:lvlText w:val="%7."/>
      <w:lvlJc w:val="left"/>
      <w:pPr>
        <w:ind w:left="4680" w:hanging="360"/>
      </w:pPr>
    </w:lvl>
    <w:lvl w:ilvl="7" w:tplc="21A4E572">
      <w:start w:val="1"/>
      <w:numFmt w:val="lowerLetter"/>
      <w:lvlText w:val="%8."/>
      <w:lvlJc w:val="left"/>
      <w:pPr>
        <w:ind w:left="5400" w:hanging="360"/>
      </w:pPr>
    </w:lvl>
    <w:lvl w:ilvl="8" w:tplc="E228B6B6">
      <w:start w:val="1"/>
      <w:numFmt w:val="lowerRoman"/>
      <w:lvlText w:val="%9."/>
      <w:lvlJc w:val="right"/>
      <w:pPr>
        <w:ind w:left="6120" w:hanging="180"/>
      </w:pPr>
    </w:lvl>
  </w:abstractNum>
  <w:abstractNum w:abstractNumId="6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434F7027"/>
    <w:multiLevelType w:val="hybridMultilevel"/>
    <w:tmpl w:val="D28492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4687C48"/>
    <w:multiLevelType w:val="hybridMultilevel"/>
    <w:tmpl w:val="96FE3A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45035492"/>
    <w:multiLevelType w:val="hybridMultilevel"/>
    <w:tmpl w:val="3544D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452361C2"/>
    <w:multiLevelType w:val="hybridMultilevel"/>
    <w:tmpl w:val="FFFFFFFF"/>
    <w:lvl w:ilvl="0" w:tplc="0E2A9D5E">
      <w:start w:val="1"/>
      <w:numFmt w:val="bullet"/>
      <w:lvlText w:val=""/>
      <w:lvlJc w:val="left"/>
      <w:pPr>
        <w:ind w:left="720" w:hanging="360"/>
      </w:pPr>
      <w:rPr>
        <w:rFonts w:ascii="Symbol" w:hAnsi="Symbol" w:hint="default"/>
      </w:rPr>
    </w:lvl>
    <w:lvl w:ilvl="1" w:tplc="8E8869A4">
      <w:start w:val="1"/>
      <w:numFmt w:val="bullet"/>
      <w:lvlText w:val="o"/>
      <w:lvlJc w:val="left"/>
      <w:pPr>
        <w:ind w:left="1440" w:hanging="360"/>
      </w:pPr>
      <w:rPr>
        <w:rFonts w:ascii="Courier New" w:hAnsi="Courier New" w:hint="default"/>
      </w:rPr>
    </w:lvl>
    <w:lvl w:ilvl="2" w:tplc="1F94F5A4">
      <w:start w:val="1"/>
      <w:numFmt w:val="bullet"/>
      <w:lvlText w:val=""/>
      <w:lvlJc w:val="left"/>
      <w:pPr>
        <w:ind w:left="2160" w:hanging="360"/>
      </w:pPr>
      <w:rPr>
        <w:rFonts w:ascii="Wingdings" w:hAnsi="Wingdings" w:hint="default"/>
      </w:rPr>
    </w:lvl>
    <w:lvl w:ilvl="3" w:tplc="14685C1A">
      <w:start w:val="1"/>
      <w:numFmt w:val="bullet"/>
      <w:lvlText w:val=""/>
      <w:lvlJc w:val="left"/>
      <w:pPr>
        <w:ind w:left="2880" w:hanging="360"/>
      </w:pPr>
      <w:rPr>
        <w:rFonts w:ascii="Symbol" w:hAnsi="Symbol" w:hint="default"/>
      </w:rPr>
    </w:lvl>
    <w:lvl w:ilvl="4" w:tplc="B2281F62">
      <w:start w:val="1"/>
      <w:numFmt w:val="bullet"/>
      <w:lvlText w:val="o"/>
      <w:lvlJc w:val="left"/>
      <w:pPr>
        <w:ind w:left="3600" w:hanging="360"/>
      </w:pPr>
      <w:rPr>
        <w:rFonts w:ascii="Courier New" w:hAnsi="Courier New" w:hint="default"/>
      </w:rPr>
    </w:lvl>
    <w:lvl w:ilvl="5" w:tplc="3842BC02">
      <w:start w:val="1"/>
      <w:numFmt w:val="bullet"/>
      <w:lvlText w:val=""/>
      <w:lvlJc w:val="left"/>
      <w:pPr>
        <w:ind w:left="4320" w:hanging="360"/>
      </w:pPr>
      <w:rPr>
        <w:rFonts w:ascii="Wingdings" w:hAnsi="Wingdings" w:hint="default"/>
      </w:rPr>
    </w:lvl>
    <w:lvl w:ilvl="6" w:tplc="116CBA4E">
      <w:start w:val="1"/>
      <w:numFmt w:val="bullet"/>
      <w:lvlText w:val=""/>
      <w:lvlJc w:val="left"/>
      <w:pPr>
        <w:ind w:left="5040" w:hanging="360"/>
      </w:pPr>
      <w:rPr>
        <w:rFonts w:ascii="Symbol" w:hAnsi="Symbol" w:hint="default"/>
      </w:rPr>
    </w:lvl>
    <w:lvl w:ilvl="7" w:tplc="E806BD50">
      <w:start w:val="1"/>
      <w:numFmt w:val="bullet"/>
      <w:lvlText w:val="o"/>
      <w:lvlJc w:val="left"/>
      <w:pPr>
        <w:ind w:left="5760" w:hanging="360"/>
      </w:pPr>
      <w:rPr>
        <w:rFonts w:ascii="Courier New" w:hAnsi="Courier New" w:hint="default"/>
      </w:rPr>
    </w:lvl>
    <w:lvl w:ilvl="8" w:tplc="301607C6">
      <w:start w:val="1"/>
      <w:numFmt w:val="bullet"/>
      <w:lvlText w:val=""/>
      <w:lvlJc w:val="left"/>
      <w:pPr>
        <w:ind w:left="6480" w:hanging="360"/>
      </w:pPr>
      <w:rPr>
        <w:rFonts w:ascii="Wingdings" w:hAnsi="Wingdings" w:hint="default"/>
      </w:rPr>
    </w:lvl>
  </w:abstractNum>
  <w:abstractNum w:abstractNumId="72" w15:restartNumberingAfterBreak="0">
    <w:nsid w:val="45945A78"/>
    <w:multiLevelType w:val="hybridMultilevel"/>
    <w:tmpl w:val="FFFFFFFF"/>
    <w:lvl w:ilvl="0" w:tplc="F3AC91BA">
      <w:start w:val="1"/>
      <w:numFmt w:val="decimal"/>
      <w:lvlText w:val="%1."/>
      <w:lvlJc w:val="left"/>
      <w:pPr>
        <w:ind w:left="360" w:hanging="360"/>
      </w:pPr>
    </w:lvl>
    <w:lvl w:ilvl="1" w:tplc="266C56EE">
      <w:start w:val="1"/>
      <w:numFmt w:val="lowerLetter"/>
      <w:lvlText w:val="%2."/>
      <w:lvlJc w:val="left"/>
      <w:pPr>
        <w:ind w:left="1080" w:hanging="360"/>
      </w:pPr>
    </w:lvl>
    <w:lvl w:ilvl="2" w:tplc="82965264">
      <w:start w:val="1"/>
      <w:numFmt w:val="lowerRoman"/>
      <w:lvlText w:val="%3."/>
      <w:lvlJc w:val="right"/>
      <w:pPr>
        <w:ind w:left="1800" w:hanging="180"/>
      </w:pPr>
    </w:lvl>
    <w:lvl w:ilvl="3" w:tplc="5192AA66">
      <w:start w:val="1"/>
      <w:numFmt w:val="decimal"/>
      <w:lvlText w:val="%4."/>
      <w:lvlJc w:val="left"/>
      <w:pPr>
        <w:ind w:left="2520" w:hanging="360"/>
      </w:pPr>
    </w:lvl>
    <w:lvl w:ilvl="4" w:tplc="A91E7610">
      <w:start w:val="1"/>
      <w:numFmt w:val="lowerLetter"/>
      <w:lvlText w:val="%5."/>
      <w:lvlJc w:val="left"/>
      <w:pPr>
        <w:ind w:left="3240" w:hanging="360"/>
      </w:pPr>
    </w:lvl>
    <w:lvl w:ilvl="5" w:tplc="C47C8024">
      <w:start w:val="1"/>
      <w:numFmt w:val="lowerRoman"/>
      <w:lvlText w:val="%6."/>
      <w:lvlJc w:val="right"/>
      <w:pPr>
        <w:ind w:left="3960" w:hanging="180"/>
      </w:pPr>
    </w:lvl>
    <w:lvl w:ilvl="6" w:tplc="6E7A975A">
      <w:start w:val="1"/>
      <w:numFmt w:val="decimal"/>
      <w:lvlText w:val="%7."/>
      <w:lvlJc w:val="left"/>
      <w:pPr>
        <w:ind w:left="4680" w:hanging="360"/>
      </w:pPr>
    </w:lvl>
    <w:lvl w:ilvl="7" w:tplc="DBA856BA">
      <w:start w:val="1"/>
      <w:numFmt w:val="lowerLetter"/>
      <w:lvlText w:val="%8."/>
      <w:lvlJc w:val="left"/>
      <w:pPr>
        <w:ind w:left="5400" w:hanging="360"/>
      </w:pPr>
    </w:lvl>
    <w:lvl w:ilvl="8" w:tplc="80360CB0">
      <w:start w:val="1"/>
      <w:numFmt w:val="lowerRoman"/>
      <w:lvlText w:val="%9."/>
      <w:lvlJc w:val="right"/>
      <w:pPr>
        <w:ind w:left="6120" w:hanging="180"/>
      </w:pPr>
    </w:lvl>
  </w:abstractNum>
  <w:abstractNum w:abstractNumId="7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74" w15:restartNumberingAfterBreak="0">
    <w:nsid w:val="47497105"/>
    <w:multiLevelType w:val="hybridMultilevel"/>
    <w:tmpl w:val="FFFFFFFF"/>
    <w:lvl w:ilvl="0" w:tplc="5B623452">
      <w:start w:val="1"/>
      <w:numFmt w:val="bullet"/>
      <w:lvlText w:val="-"/>
      <w:lvlJc w:val="left"/>
      <w:pPr>
        <w:ind w:left="360" w:hanging="360"/>
      </w:pPr>
      <w:rPr>
        <w:rFonts w:ascii="Aptos" w:hAnsi="Aptos" w:hint="default"/>
      </w:rPr>
    </w:lvl>
    <w:lvl w:ilvl="1" w:tplc="B16E35D0">
      <w:start w:val="1"/>
      <w:numFmt w:val="bullet"/>
      <w:lvlText w:val="o"/>
      <w:lvlJc w:val="left"/>
      <w:pPr>
        <w:ind w:left="1080" w:hanging="360"/>
      </w:pPr>
      <w:rPr>
        <w:rFonts w:ascii="Courier New" w:hAnsi="Courier New" w:hint="default"/>
      </w:rPr>
    </w:lvl>
    <w:lvl w:ilvl="2" w:tplc="D2D00250">
      <w:start w:val="1"/>
      <w:numFmt w:val="bullet"/>
      <w:lvlText w:val=""/>
      <w:lvlJc w:val="left"/>
      <w:pPr>
        <w:ind w:left="1800" w:hanging="360"/>
      </w:pPr>
      <w:rPr>
        <w:rFonts w:ascii="Wingdings" w:hAnsi="Wingdings" w:hint="default"/>
      </w:rPr>
    </w:lvl>
    <w:lvl w:ilvl="3" w:tplc="2EB8920E">
      <w:start w:val="1"/>
      <w:numFmt w:val="bullet"/>
      <w:lvlText w:val=""/>
      <w:lvlJc w:val="left"/>
      <w:pPr>
        <w:ind w:left="2520" w:hanging="360"/>
      </w:pPr>
      <w:rPr>
        <w:rFonts w:ascii="Symbol" w:hAnsi="Symbol" w:hint="default"/>
      </w:rPr>
    </w:lvl>
    <w:lvl w:ilvl="4" w:tplc="87B2239E">
      <w:start w:val="1"/>
      <w:numFmt w:val="bullet"/>
      <w:lvlText w:val="o"/>
      <w:lvlJc w:val="left"/>
      <w:pPr>
        <w:ind w:left="3240" w:hanging="360"/>
      </w:pPr>
      <w:rPr>
        <w:rFonts w:ascii="Courier New" w:hAnsi="Courier New" w:hint="default"/>
      </w:rPr>
    </w:lvl>
    <w:lvl w:ilvl="5" w:tplc="DCC617C6">
      <w:start w:val="1"/>
      <w:numFmt w:val="bullet"/>
      <w:lvlText w:val=""/>
      <w:lvlJc w:val="left"/>
      <w:pPr>
        <w:ind w:left="3960" w:hanging="360"/>
      </w:pPr>
      <w:rPr>
        <w:rFonts w:ascii="Wingdings" w:hAnsi="Wingdings" w:hint="default"/>
      </w:rPr>
    </w:lvl>
    <w:lvl w:ilvl="6" w:tplc="69F67666">
      <w:start w:val="1"/>
      <w:numFmt w:val="bullet"/>
      <w:lvlText w:val=""/>
      <w:lvlJc w:val="left"/>
      <w:pPr>
        <w:ind w:left="4680" w:hanging="360"/>
      </w:pPr>
      <w:rPr>
        <w:rFonts w:ascii="Symbol" w:hAnsi="Symbol" w:hint="default"/>
      </w:rPr>
    </w:lvl>
    <w:lvl w:ilvl="7" w:tplc="AB72DE7C">
      <w:start w:val="1"/>
      <w:numFmt w:val="bullet"/>
      <w:lvlText w:val="o"/>
      <w:lvlJc w:val="left"/>
      <w:pPr>
        <w:ind w:left="5400" w:hanging="360"/>
      </w:pPr>
      <w:rPr>
        <w:rFonts w:ascii="Courier New" w:hAnsi="Courier New" w:hint="default"/>
      </w:rPr>
    </w:lvl>
    <w:lvl w:ilvl="8" w:tplc="E86E771C">
      <w:start w:val="1"/>
      <w:numFmt w:val="bullet"/>
      <w:lvlText w:val=""/>
      <w:lvlJc w:val="left"/>
      <w:pPr>
        <w:ind w:left="6120" w:hanging="360"/>
      </w:pPr>
      <w:rPr>
        <w:rFonts w:ascii="Wingdings" w:hAnsi="Wingdings" w:hint="default"/>
      </w:rPr>
    </w:lvl>
  </w:abstractNum>
  <w:abstractNum w:abstractNumId="75" w15:restartNumberingAfterBreak="0">
    <w:nsid w:val="48D25B4D"/>
    <w:multiLevelType w:val="hybridMultilevel"/>
    <w:tmpl w:val="1EC614B2"/>
    <w:lvl w:ilvl="0" w:tplc="5B4604DC">
      <w:start w:val="1"/>
      <w:numFmt w:val="bullet"/>
      <w:lvlText w:val="-"/>
      <w:lvlJc w:val="left"/>
      <w:pPr>
        <w:ind w:left="720" w:hanging="360"/>
      </w:pPr>
      <w:rPr>
        <w:rFonts w:ascii="Aptos" w:hAnsi="Aptos" w:hint="default"/>
      </w:rPr>
    </w:lvl>
    <w:lvl w:ilvl="1" w:tplc="C504D3A6">
      <w:start w:val="1"/>
      <w:numFmt w:val="bullet"/>
      <w:lvlText w:val="o"/>
      <w:lvlJc w:val="left"/>
      <w:pPr>
        <w:ind w:left="1440" w:hanging="360"/>
      </w:pPr>
      <w:rPr>
        <w:rFonts w:ascii="Courier New" w:hAnsi="Courier New" w:hint="default"/>
      </w:rPr>
    </w:lvl>
    <w:lvl w:ilvl="2" w:tplc="46C8B97A">
      <w:start w:val="1"/>
      <w:numFmt w:val="bullet"/>
      <w:lvlText w:val=""/>
      <w:lvlJc w:val="left"/>
      <w:pPr>
        <w:ind w:left="2160" w:hanging="360"/>
      </w:pPr>
      <w:rPr>
        <w:rFonts w:ascii="Wingdings" w:hAnsi="Wingdings" w:hint="default"/>
      </w:rPr>
    </w:lvl>
    <w:lvl w:ilvl="3" w:tplc="FB8A71BA">
      <w:start w:val="1"/>
      <w:numFmt w:val="bullet"/>
      <w:lvlText w:val=""/>
      <w:lvlJc w:val="left"/>
      <w:pPr>
        <w:ind w:left="2880" w:hanging="360"/>
      </w:pPr>
      <w:rPr>
        <w:rFonts w:ascii="Symbol" w:hAnsi="Symbol" w:hint="default"/>
      </w:rPr>
    </w:lvl>
    <w:lvl w:ilvl="4" w:tplc="45262CA0">
      <w:start w:val="1"/>
      <w:numFmt w:val="bullet"/>
      <w:lvlText w:val="o"/>
      <w:lvlJc w:val="left"/>
      <w:pPr>
        <w:ind w:left="3600" w:hanging="360"/>
      </w:pPr>
      <w:rPr>
        <w:rFonts w:ascii="Courier New" w:hAnsi="Courier New" w:hint="default"/>
      </w:rPr>
    </w:lvl>
    <w:lvl w:ilvl="5" w:tplc="6FE4F72E">
      <w:start w:val="1"/>
      <w:numFmt w:val="bullet"/>
      <w:lvlText w:val=""/>
      <w:lvlJc w:val="left"/>
      <w:pPr>
        <w:ind w:left="4320" w:hanging="360"/>
      </w:pPr>
      <w:rPr>
        <w:rFonts w:ascii="Wingdings" w:hAnsi="Wingdings" w:hint="default"/>
      </w:rPr>
    </w:lvl>
    <w:lvl w:ilvl="6" w:tplc="360E2348">
      <w:start w:val="1"/>
      <w:numFmt w:val="bullet"/>
      <w:lvlText w:val=""/>
      <w:lvlJc w:val="left"/>
      <w:pPr>
        <w:ind w:left="5040" w:hanging="360"/>
      </w:pPr>
      <w:rPr>
        <w:rFonts w:ascii="Symbol" w:hAnsi="Symbol" w:hint="default"/>
      </w:rPr>
    </w:lvl>
    <w:lvl w:ilvl="7" w:tplc="E60CDE9A">
      <w:start w:val="1"/>
      <w:numFmt w:val="bullet"/>
      <w:lvlText w:val="o"/>
      <w:lvlJc w:val="left"/>
      <w:pPr>
        <w:ind w:left="5760" w:hanging="360"/>
      </w:pPr>
      <w:rPr>
        <w:rFonts w:ascii="Courier New" w:hAnsi="Courier New" w:hint="default"/>
      </w:rPr>
    </w:lvl>
    <w:lvl w:ilvl="8" w:tplc="75D624C6">
      <w:start w:val="1"/>
      <w:numFmt w:val="bullet"/>
      <w:lvlText w:val=""/>
      <w:lvlJc w:val="left"/>
      <w:pPr>
        <w:ind w:left="6480" w:hanging="360"/>
      </w:pPr>
      <w:rPr>
        <w:rFonts w:ascii="Wingdings" w:hAnsi="Wingdings" w:hint="default"/>
      </w:rPr>
    </w:lvl>
  </w:abstractNum>
  <w:abstractNum w:abstractNumId="76" w15:restartNumberingAfterBreak="0">
    <w:nsid w:val="49595D6C"/>
    <w:multiLevelType w:val="hybridMultilevel"/>
    <w:tmpl w:val="FFFFFFFF"/>
    <w:lvl w:ilvl="0" w:tplc="FFFFFFFF">
      <w:start w:val="1"/>
      <w:numFmt w:val="decimal"/>
      <w:lvlText w:val="%1."/>
      <w:lvlJc w:val="left"/>
      <w:pPr>
        <w:ind w:left="360" w:hanging="360"/>
      </w:pPr>
    </w:lvl>
    <w:lvl w:ilvl="1" w:tplc="28B292EE">
      <w:start w:val="1"/>
      <w:numFmt w:val="lowerLetter"/>
      <w:lvlText w:val="%2."/>
      <w:lvlJc w:val="left"/>
      <w:pPr>
        <w:ind w:left="1080" w:hanging="360"/>
      </w:pPr>
    </w:lvl>
    <w:lvl w:ilvl="2" w:tplc="308A89AE">
      <w:start w:val="1"/>
      <w:numFmt w:val="lowerRoman"/>
      <w:lvlText w:val="%3."/>
      <w:lvlJc w:val="right"/>
      <w:pPr>
        <w:ind w:left="1800" w:hanging="180"/>
      </w:pPr>
    </w:lvl>
    <w:lvl w:ilvl="3" w:tplc="71B21D46">
      <w:start w:val="1"/>
      <w:numFmt w:val="decimal"/>
      <w:lvlText w:val="%4."/>
      <w:lvlJc w:val="left"/>
      <w:pPr>
        <w:ind w:left="2520" w:hanging="360"/>
      </w:pPr>
    </w:lvl>
    <w:lvl w:ilvl="4" w:tplc="68D8B81C">
      <w:start w:val="1"/>
      <w:numFmt w:val="lowerLetter"/>
      <w:lvlText w:val="%5."/>
      <w:lvlJc w:val="left"/>
      <w:pPr>
        <w:ind w:left="3240" w:hanging="360"/>
      </w:pPr>
    </w:lvl>
    <w:lvl w:ilvl="5" w:tplc="80302F7E">
      <w:start w:val="1"/>
      <w:numFmt w:val="lowerRoman"/>
      <w:lvlText w:val="%6."/>
      <w:lvlJc w:val="right"/>
      <w:pPr>
        <w:ind w:left="3960" w:hanging="180"/>
      </w:pPr>
    </w:lvl>
    <w:lvl w:ilvl="6" w:tplc="515A3924">
      <w:start w:val="1"/>
      <w:numFmt w:val="decimal"/>
      <w:lvlText w:val="%7."/>
      <w:lvlJc w:val="left"/>
      <w:pPr>
        <w:ind w:left="4680" w:hanging="360"/>
      </w:pPr>
    </w:lvl>
    <w:lvl w:ilvl="7" w:tplc="A7B0A21E">
      <w:start w:val="1"/>
      <w:numFmt w:val="lowerLetter"/>
      <w:lvlText w:val="%8."/>
      <w:lvlJc w:val="left"/>
      <w:pPr>
        <w:ind w:left="5400" w:hanging="360"/>
      </w:pPr>
    </w:lvl>
    <w:lvl w:ilvl="8" w:tplc="D660B9E4">
      <w:start w:val="1"/>
      <w:numFmt w:val="lowerRoman"/>
      <w:lvlText w:val="%9."/>
      <w:lvlJc w:val="right"/>
      <w:pPr>
        <w:ind w:left="6120" w:hanging="180"/>
      </w:pPr>
    </w:lvl>
  </w:abstractNum>
  <w:abstractNum w:abstractNumId="77" w15:restartNumberingAfterBreak="0">
    <w:nsid w:val="49C7FA94"/>
    <w:multiLevelType w:val="hybridMultilevel"/>
    <w:tmpl w:val="FFFFFFFF"/>
    <w:lvl w:ilvl="0" w:tplc="B18A8050">
      <w:start w:val="1"/>
      <w:numFmt w:val="lowerLetter"/>
      <w:lvlText w:val="%1."/>
      <w:lvlJc w:val="left"/>
      <w:pPr>
        <w:ind w:left="360" w:hanging="360"/>
      </w:pPr>
    </w:lvl>
    <w:lvl w:ilvl="1" w:tplc="E10893D0">
      <w:start w:val="1"/>
      <w:numFmt w:val="lowerLetter"/>
      <w:lvlText w:val="%2."/>
      <w:lvlJc w:val="left"/>
      <w:pPr>
        <w:ind w:left="1080" w:hanging="360"/>
      </w:pPr>
    </w:lvl>
    <w:lvl w:ilvl="2" w:tplc="2E40B088">
      <w:start w:val="1"/>
      <w:numFmt w:val="lowerRoman"/>
      <w:lvlText w:val="%3."/>
      <w:lvlJc w:val="right"/>
      <w:pPr>
        <w:ind w:left="1800" w:hanging="180"/>
      </w:pPr>
    </w:lvl>
    <w:lvl w:ilvl="3" w:tplc="F8FEBE92">
      <w:start w:val="1"/>
      <w:numFmt w:val="decimal"/>
      <w:lvlText w:val="%4."/>
      <w:lvlJc w:val="left"/>
      <w:pPr>
        <w:ind w:left="2520" w:hanging="360"/>
      </w:pPr>
    </w:lvl>
    <w:lvl w:ilvl="4" w:tplc="87D6BECE">
      <w:start w:val="1"/>
      <w:numFmt w:val="lowerLetter"/>
      <w:lvlText w:val="%5."/>
      <w:lvlJc w:val="left"/>
      <w:pPr>
        <w:ind w:left="3240" w:hanging="360"/>
      </w:pPr>
    </w:lvl>
    <w:lvl w:ilvl="5" w:tplc="55B6A138">
      <w:start w:val="1"/>
      <w:numFmt w:val="lowerRoman"/>
      <w:lvlText w:val="%6."/>
      <w:lvlJc w:val="right"/>
      <w:pPr>
        <w:ind w:left="3960" w:hanging="180"/>
      </w:pPr>
    </w:lvl>
    <w:lvl w:ilvl="6" w:tplc="4ADEBE02">
      <w:start w:val="1"/>
      <w:numFmt w:val="decimal"/>
      <w:lvlText w:val="%7."/>
      <w:lvlJc w:val="left"/>
      <w:pPr>
        <w:ind w:left="4680" w:hanging="360"/>
      </w:pPr>
    </w:lvl>
    <w:lvl w:ilvl="7" w:tplc="CFB04D9C">
      <w:start w:val="1"/>
      <w:numFmt w:val="lowerLetter"/>
      <w:lvlText w:val="%8."/>
      <w:lvlJc w:val="left"/>
      <w:pPr>
        <w:ind w:left="5400" w:hanging="360"/>
      </w:pPr>
    </w:lvl>
    <w:lvl w:ilvl="8" w:tplc="BE08E494">
      <w:start w:val="1"/>
      <w:numFmt w:val="lowerRoman"/>
      <w:lvlText w:val="%9."/>
      <w:lvlJc w:val="right"/>
      <w:pPr>
        <w:ind w:left="6120" w:hanging="180"/>
      </w:pPr>
    </w:lvl>
  </w:abstractNum>
  <w:abstractNum w:abstractNumId="78" w15:restartNumberingAfterBreak="0">
    <w:nsid w:val="49F61A65"/>
    <w:multiLevelType w:val="hybridMultilevel"/>
    <w:tmpl w:val="74E87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4B9550E2"/>
    <w:multiLevelType w:val="hybridMultilevel"/>
    <w:tmpl w:val="8C3436BC"/>
    <w:lvl w:ilvl="0" w:tplc="26B4173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ED4B67F"/>
    <w:multiLevelType w:val="hybridMultilevel"/>
    <w:tmpl w:val="0D30423C"/>
    <w:lvl w:ilvl="0" w:tplc="74C64D0A">
      <w:start w:val="1"/>
      <w:numFmt w:val="bullet"/>
      <w:lvlText w:val="-"/>
      <w:lvlJc w:val="left"/>
      <w:pPr>
        <w:ind w:left="720" w:hanging="360"/>
      </w:pPr>
      <w:rPr>
        <w:rFonts w:ascii="Aptos" w:hAnsi="Aptos" w:hint="default"/>
      </w:rPr>
    </w:lvl>
    <w:lvl w:ilvl="1" w:tplc="FE349D94">
      <w:start w:val="1"/>
      <w:numFmt w:val="bullet"/>
      <w:lvlText w:val="o"/>
      <w:lvlJc w:val="left"/>
      <w:pPr>
        <w:ind w:left="1440" w:hanging="360"/>
      </w:pPr>
      <w:rPr>
        <w:rFonts w:ascii="Courier New" w:hAnsi="Courier New" w:hint="default"/>
      </w:rPr>
    </w:lvl>
    <w:lvl w:ilvl="2" w:tplc="AD5A0522">
      <w:start w:val="1"/>
      <w:numFmt w:val="bullet"/>
      <w:lvlText w:val=""/>
      <w:lvlJc w:val="left"/>
      <w:pPr>
        <w:ind w:left="2160" w:hanging="360"/>
      </w:pPr>
      <w:rPr>
        <w:rFonts w:ascii="Wingdings" w:hAnsi="Wingdings" w:hint="default"/>
      </w:rPr>
    </w:lvl>
    <w:lvl w:ilvl="3" w:tplc="6D8CF3FA">
      <w:start w:val="1"/>
      <w:numFmt w:val="bullet"/>
      <w:lvlText w:val=""/>
      <w:lvlJc w:val="left"/>
      <w:pPr>
        <w:ind w:left="2880" w:hanging="360"/>
      </w:pPr>
      <w:rPr>
        <w:rFonts w:ascii="Symbol" w:hAnsi="Symbol" w:hint="default"/>
      </w:rPr>
    </w:lvl>
    <w:lvl w:ilvl="4" w:tplc="8342F9FC">
      <w:start w:val="1"/>
      <w:numFmt w:val="bullet"/>
      <w:lvlText w:val="o"/>
      <w:lvlJc w:val="left"/>
      <w:pPr>
        <w:ind w:left="3600" w:hanging="360"/>
      </w:pPr>
      <w:rPr>
        <w:rFonts w:ascii="Courier New" w:hAnsi="Courier New" w:hint="default"/>
      </w:rPr>
    </w:lvl>
    <w:lvl w:ilvl="5" w:tplc="F5D69BF4">
      <w:start w:val="1"/>
      <w:numFmt w:val="bullet"/>
      <w:lvlText w:val=""/>
      <w:lvlJc w:val="left"/>
      <w:pPr>
        <w:ind w:left="4320" w:hanging="360"/>
      </w:pPr>
      <w:rPr>
        <w:rFonts w:ascii="Wingdings" w:hAnsi="Wingdings" w:hint="default"/>
      </w:rPr>
    </w:lvl>
    <w:lvl w:ilvl="6" w:tplc="755019D0">
      <w:start w:val="1"/>
      <w:numFmt w:val="bullet"/>
      <w:lvlText w:val=""/>
      <w:lvlJc w:val="left"/>
      <w:pPr>
        <w:ind w:left="5040" w:hanging="360"/>
      </w:pPr>
      <w:rPr>
        <w:rFonts w:ascii="Symbol" w:hAnsi="Symbol" w:hint="default"/>
      </w:rPr>
    </w:lvl>
    <w:lvl w:ilvl="7" w:tplc="AE50E0E8">
      <w:start w:val="1"/>
      <w:numFmt w:val="bullet"/>
      <w:lvlText w:val="o"/>
      <w:lvlJc w:val="left"/>
      <w:pPr>
        <w:ind w:left="5760" w:hanging="360"/>
      </w:pPr>
      <w:rPr>
        <w:rFonts w:ascii="Courier New" w:hAnsi="Courier New" w:hint="default"/>
      </w:rPr>
    </w:lvl>
    <w:lvl w:ilvl="8" w:tplc="9FC4D2CC">
      <w:start w:val="1"/>
      <w:numFmt w:val="bullet"/>
      <w:lvlText w:val=""/>
      <w:lvlJc w:val="left"/>
      <w:pPr>
        <w:ind w:left="6480" w:hanging="360"/>
      </w:pPr>
      <w:rPr>
        <w:rFonts w:ascii="Wingdings" w:hAnsi="Wingdings" w:hint="default"/>
      </w:rPr>
    </w:lvl>
  </w:abstractNum>
  <w:abstractNum w:abstractNumId="82" w15:restartNumberingAfterBreak="0">
    <w:nsid w:val="50125B32"/>
    <w:multiLevelType w:val="hybridMultilevel"/>
    <w:tmpl w:val="FFFFFFFF"/>
    <w:lvl w:ilvl="0" w:tplc="6DA0F222">
      <w:start w:val="1"/>
      <w:numFmt w:val="upperLetter"/>
      <w:lvlText w:val="%1."/>
      <w:lvlJc w:val="left"/>
      <w:pPr>
        <w:ind w:left="360" w:hanging="360"/>
      </w:pPr>
    </w:lvl>
    <w:lvl w:ilvl="1" w:tplc="8DF2F660">
      <w:start w:val="1"/>
      <w:numFmt w:val="lowerLetter"/>
      <w:lvlText w:val="%2."/>
      <w:lvlJc w:val="left"/>
      <w:pPr>
        <w:ind w:left="1080" w:hanging="360"/>
      </w:pPr>
    </w:lvl>
    <w:lvl w:ilvl="2" w:tplc="760AF18A">
      <w:start w:val="1"/>
      <w:numFmt w:val="lowerRoman"/>
      <w:lvlText w:val="%3."/>
      <w:lvlJc w:val="right"/>
      <w:pPr>
        <w:ind w:left="1800" w:hanging="180"/>
      </w:pPr>
    </w:lvl>
    <w:lvl w:ilvl="3" w:tplc="E766D7C4">
      <w:start w:val="1"/>
      <w:numFmt w:val="decimal"/>
      <w:lvlText w:val="%4."/>
      <w:lvlJc w:val="left"/>
      <w:pPr>
        <w:ind w:left="2520" w:hanging="360"/>
      </w:pPr>
    </w:lvl>
    <w:lvl w:ilvl="4" w:tplc="2A8CCB18">
      <w:start w:val="1"/>
      <w:numFmt w:val="lowerLetter"/>
      <w:lvlText w:val="%5."/>
      <w:lvlJc w:val="left"/>
      <w:pPr>
        <w:ind w:left="3240" w:hanging="360"/>
      </w:pPr>
    </w:lvl>
    <w:lvl w:ilvl="5" w:tplc="FF7E0F76">
      <w:start w:val="1"/>
      <w:numFmt w:val="lowerRoman"/>
      <w:lvlText w:val="%6."/>
      <w:lvlJc w:val="right"/>
      <w:pPr>
        <w:ind w:left="3960" w:hanging="180"/>
      </w:pPr>
    </w:lvl>
    <w:lvl w:ilvl="6" w:tplc="5FE2D72A">
      <w:start w:val="1"/>
      <w:numFmt w:val="decimal"/>
      <w:lvlText w:val="%7."/>
      <w:lvlJc w:val="left"/>
      <w:pPr>
        <w:ind w:left="4680" w:hanging="360"/>
      </w:pPr>
    </w:lvl>
    <w:lvl w:ilvl="7" w:tplc="E85C986A">
      <w:start w:val="1"/>
      <w:numFmt w:val="lowerLetter"/>
      <w:lvlText w:val="%8."/>
      <w:lvlJc w:val="left"/>
      <w:pPr>
        <w:ind w:left="5400" w:hanging="360"/>
      </w:pPr>
    </w:lvl>
    <w:lvl w:ilvl="8" w:tplc="B52E207E">
      <w:start w:val="1"/>
      <w:numFmt w:val="lowerRoman"/>
      <w:lvlText w:val="%9."/>
      <w:lvlJc w:val="right"/>
      <w:pPr>
        <w:ind w:left="6120" w:hanging="180"/>
      </w:pPr>
    </w:lvl>
  </w:abstractNum>
  <w:abstractNum w:abstractNumId="83" w15:restartNumberingAfterBreak="0">
    <w:nsid w:val="50974A91"/>
    <w:multiLevelType w:val="hybridMultilevel"/>
    <w:tmpl w:val="38D6B234"/>
    <w:lvl w:ilvl="0" w:tplc="225EC036">
      <w:start w:val="1"/>
      <w:numFmt w:val="lowerLetter"/>
      <w:lvlText w:val="%1."/>
      <w:lvlJc w:val="left"/>
      <w:pPr>
        <w:ind w:left="360" w:hanging="360"/>
      </w:pPr>
    </w:lvl>
    <w:lvl w:ilvl="1" w:tplc="563EF812">
      <w:start w:val="1"/>
      <w:numFmt w:val="lowerLetter"/>
      <w:lvlText w:val="%2."/>
      <w:lvlJc w:val="left"/>
      <w:pPr>
        <w:ind w:left="1080" w:hanging="360"/>
      </w:pPr>
    </w:lvl>
    <w:lvl w:ilvl="2" w:tplc="89448F36">
      <w:start w:val="1"/>
      <w:numFmt w:val="lowerRoman"/>
      <w:lvlText w:val="%3."/>
      <w:lvlJc w:val="right"/>
      <w:pPr>
        <w:ind w:left="1800" w:hanging="180"/>
      </w:pPr>
    </w:lvl>
    <w:lvl w:ilvl="3" w:tplc="7DCA3E98">
      <w:start w:val="1"/>
      <w:numFmt w:val="decimal"/>
      <w:lvlText w:val="%4."/>
      <w:lvlJc w:val="left"/>
      <w:pPr>
        <w:ind w:left="2520" w:hanging="360"/>
      </w:pPr>
    </w:lvl>
    <w:lvl w:ilvl="4" w:tplc="B1C2F0BA">
      <w:start w:val="1"/>
      <w:numFmt w:val="lowerLetter"/>
      <w:lvlText w:val="%5."/>
      <w:lvlJc w:val="left"/>
      <w:pPr>
        <w:ind w:left="3240" w:hanging="360"/>
      </w:pPr>
    </w:lvl>
    <w:lvl w:ilvl="5" w:tplc="9BAE0AAC">
      <w:start w:val="1"/>
      <w:numFmt w:val="lowerRoman"/>
      <w:lvlText w:val="%6."/>
      <w:lvlJc w:val="right"/>
      <w:pPr>
        <w:ind w:left="3960" w:hanging="180"/>
      </w:pPr>
    </w:lvl>
    <w:lvl w:ilvl="6" w:tplc="ACA8130E">
      <w:start w:val="1"/>
      <w:numFmt w:val="decimal"/>
      <w:lvlText w:val="%7."/>
      <w:lvlJc w:val="left"/>
      <w:pPr>
        <w:ind w:left="4680" w:hanging="360"/>
      </w:pPr>
    </w:lvl>
    <w:lvl w:ilvl="7" w:tplc="86E8FB64">
      <w:start w:val="1"/>
      <w:numFmt w:val="lowerLetter"/>
      <w:lvlText w:val="%8."/>
      <w:lvlJc w:val="left"/>
      <w:pPr>
        <w:ind w:left="5400" w:hanging="360"/>
      </w:pPr>
    </w:lvl>
    <w:lvl w:ilvl="8" w:tplc="DF008C8C">
      <w:start w:val="1"/>
      <w:numFmt w:val="lowerRoman"/>
      <w:lvlText w:val="%9."/>
      <w:lvlJc w:val="right"/>
      <w:pPr>
        <w:ind w:left="6120" w:hanging="180"/>
      </w:pPr>
    </w:lvl>
  </w:abstractNum>
  <w:abstractNum w:abstractNumId="84" w15:restartNumberingAfterBreak="0">
    <w:nsid w:val="5169768D"/>
    <w:multiLevelType w:val="hybridMultilevel"/>
    <w:tmpl w:val="98823A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52205589"/>
    <w:multiLevelType w:val="multilevel"/>
    <w:tmpl w:val="59209CC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24B2036"/>
    <w:multiLevelType w:val="hybridMultilevel"/>
    <w:tmpl w:val="FFFFFFFF"/>
    <w:lvl w:ilvl="0" w:tplc="44BE7B30">
      <w:start w:val="1"/>
      <w:numFmt w:val="lowerRoman"/>
      <w:lvlText w:val="%1."/>
      <w:lvlJc w:val="right"/>
      <w:pPr>
        <w:ind w:left="360" w:hanging="360"/>
      </w:pPr>
    </w:lvl>
    <w:lvl w:ilvl="1" w:tplc="55340950">
      <w:start w:val="1"/>
      <w:numFmt w:val="lowerLetter"/>
      <w:lvlText w:val="%2."/>
      <w:lvlJc w:val="left"/>
      <w:pPr>
        <w:ind w:left="1080" w:hanging="360"/>
      </w:pPr>
    </w:lvl>
    <w:lvl w:ilvl="2" w:tplc="C666BD34">
      <w:start w:val="1"/>
      <w:numFmt w:val="lowerRoman"/>
      <w:lvlText w:val="%3."/>
      <w:lvlJc w:val="right"/>
      <w:pPr>
        <w:ind w:left="1800" w:hanging="180"/>
      </w:pPr>
    </w:lvl>
    <w:lvl w:ilvl="3" w:tplc="F27C1992">
      <w:start w:val="1"/>
      <w:numFmt w:val="decimal"/>
      <w:lvlText w:val="%4."/>
      <w:lvlJc w:val="left"/>
      <w:pPr>
        <w:ind w:left="2520" w:hanging="360"/>
      </w:pPr>
    </w:lvl>
    <w:lvl w:ilvl="4" w:tplc="6CD47782">
      <w:start w:val="1"/>
      <w:numFmt w:val="lowerLetter"/>
      <w:lvlText w:val="%5."/>
      <w:lvlJc w:val="left"/>
      <w:pPr>
        <w:ind w:left="3240" w:hanging="360"/>
      </w:pPr>
    </w:lvl>
    <w:lvl w:ilvl="5" w:tplc="5980E9D0">
      <w:start w:val="1"/>
      <w:numFmt w:val="lowerRoman"/>
      <w:lvlText w:val="%6."/>
      <w:lvlJc w:val="right"/>
      <w:pPr>
        <w:ind w:left="3960" w:hanging="180"/>
      </w:pPr>
    </w:lvl>
    <w:lvl w:ilvl="6" w:tplc="8A963E3A">
      <w:start w:val="1"/>
      <w:numFmt w:val="decimal"/>
      <w:lvlText w:val="%7."/>
      <w:lvlJc w:val="left"/>
      <w:pPr>
        <w:ind w:left="4680" w:hanging="360"/>
      </w:pPr>
    </w:lvl>
    <w:lvl w:ilvl="7" w:tplc="BC907954">
      <w:start w:val="1"/>
      <w:numFmt w:val="lowerLetter"/>
      <w:lvlText w:val="%8."/>
      <w:lvlJc w:val="left"/>
      <w:pPr>
        <w:ind w:left="5400" w:hanging="360"/>
      </w:pPr>
    </w:lvl>
    <w:lvl w:ilvl="8" w:tplc="0A5E0CE8">
      <w:start w:val="1"/>
      <w:numFmt w:val="lowerRoman"/>
      <w:lvlText w:val="%9."/>
      <w:lvlJc w:val="right"/>
      <w:pPr>
        <w:ind w:left="6120" w:hanging="180"/>
      </w:pPr>
    </w:lvl>
  </w:abstractNum>
  <w:abstractNum w:abstractNumId="8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88" w15:restartNumberingAfterBreak="0">
    <w:nsid w:val="544EE5A8"/>
    <w:multiLevelType w:val="hybridMultilevel"/>
    <w:tmpl w:val="FFFFFFFF"/>
    <w:lvl w:ilvl="0" w:tplc="FA5411A8">
      <w:start w:val="1"/>
      <w:numFmt w:val="bullet"/>
      <w:lvlText w:val=""/>
      <w:lvlJc w:val="left"/>
      <w:pPr>
        <w:ind w:left="720" w:hanging="360"/>
      </w:pPr>
      <w:rPr>
        <w:rFonts w:ascii="Symbol" w:hAnsi="Symbol" w:hint="default"/>
      </w:rPr>
    </w:lvl>
    <w:lvl w:ilvl="1" w:tplc="B770C280">
      <w:start w:val="1"/>
      <w:numFmt w:val="bullet"/>
      <w:lvlText w:val="o"/>
      <w:lvlJc w:val="left"/>
      <w:pPr>
        <w:ind w:left="1440" w:hanging="360"/>
      </w:pPr>
      <w:rPr>
        <w:rFonts w:ascii="Courier New" w:hAnsi="Courier New" w:hint="default"/>
      </w:rPr>
    </w:lvl>
    <w:lvl w:ilvl="2" w:tplc="514412B6">
      <w:start w:val="1"/>
      <w:numFmt w:val="bullet"/>
      <w:lvlText w:val=""/>
      <w:lvlJc w:val="left"/>
      <w:pPr>
        <w:ind w:left="2160" w:hanging="360"/>
      </w:pPr>
      <w:rPr>
        <w:rFonts w:ascii="Wingdings" w:hAnsi="Wingdings" w:hint="default"/>
      </w:rPr>
    </w:lvl>
    <w:lvl w:ilvl="3" w:tplc="2DB00CA0">
      <w:start w:val="1"/>
      <w:numFmt w:val="bullet"/>
      <w:lvlText w:val=""/>
      <w:lvlJc w:val="left"/>
      <w:pPr>
        <w:ind w:left="2880" w:hanging="360"/>
      </w:pPr>
      <w:rPr>
        <w:rFonts w:ascii="Symbol" w:hAnsi="Symbol" w:hint="default"/>
      </w:rPr>
    </w:lvl>
    <w:lvl w:ilvl="4" w:tplc="C360C86C">
      <w:start w:val="1"/>
      <w:numFmt w:val="bullet"/>
      <w:lvlText w:val="o"/>
      <w:lvlJc w:val="left"/>
      <w:pPr>
        <w:ind w:left="3600" w:hanging="360"/>
      </w:pPr>
      <w:rPr>
        <w:rFonts w:ascii="Courier New" w:hAnsi="Courier New" w:hint="default"/>
      </w:rPr>
    </w:lvl>
    <w:lvl w:ilvl="5" w:tplc="5F98B1C0">
      <w:start w:val="1"/>
      <w:numFmt w:val="bullet"/>
      <w:lvlText w:val=""/>
      <w:lvlJc w:val="left"/>
      <w:pPr>
        <w:ind w:left="4320" w:hanging="360"/>
      </w:pPr>
      <w:rPr>
        <w:rFonts w:ascii="Wingdings" w:hAnsi="Wingdings" w:hint="default"/>
      </w:rPr>
    </w:lvl>
    <w:lvl w:ilvl="6" w:tplc="BBA081B2">
      <w:start w:val="1"/>
      <w:numFmt w:val="bullet"/>
      <w:lvlText w:val=""/>
      <w:lvlJc w:val="left"/>
      <w:pPr>
        <w:ind w:left="5040" w:hanging="360"/>
      </w:pPr>
      <w:rPr>
        <w:rFonts w:ascii="Symbol" w:hAnsi="Symbol" w:hint="default"/>
      </w:rPr>
    </w:lvl>
    <w:lvl w:ilvl="7" w:tplc="E9FE6592">
      <w:start w:val="1"/>
      <w:numFmt w:val="bullet"/>
      <w:lvlText w:val="o"/>
      <w:lvlJc w:val="left"/>
      <w:pPr>
        <w:ind w:left="5760" w:hanging="360"/>
      </w:pPr>
      <w:rPr>
        <w:rFonts w:ascii="Courier New" w:hAnsi="Courier New" w:hint="default"/>
      </w:rPr>
    </w:lvl>
    <w:lvl w:ilvl="8" w:tplc="306ADCFC">
      <w:start w:val="1"/>
      <w:numFmt w:val="bullet"/>
      <w:lvlText w:val=""/>
      <w:lvlJc w:val="left"/>
      <w:pPr>
        <w:ind w:left="6480" w:hanging="360"/>
      </w:pPr>
      <w:rPr>
        <w:rFonts w:ascii="Wingdings" w:hAnsi="Wingdings" w:hint="default"/>
      </w:rPr>
    </w:lvl>
  </w:abstractNum>
  <w:abstractNum w:abstractNumId="89" w15:restartNumberingAfterBreak="0">
    <w:nsid w:val="5529A14C"/>
    <w:multiLevelType w:val="hybridMultilevel"/>
    <w:tmpl w:val="55AE5FB6"/>
    <w:lvl w:ilvl="0" w:tplc="4EA0D4BE">
      <w:start w:val="5"/>
      <w:numFmt w:val="lowerLetter"/>
      <w:lvlText w:val="%1."/>
      <w:lvlJc w:val="left"/>
      <w:pPr>
        <w:ind w:left="360" w:hanging="360"/>
      </w:pPr>
    </w:lvl>
    <w:lvl w:ilvl="1" w:tplc="192CF19A">
      <w:start w:val="1"/>
      <w:numFmt w:val="lowerLetter"/>
      <w:lvlText w:val="%2."/>
      <w:lvlJc w:val="left"/>
      <w:pPr>
        <w:ind w:left="1080" w:hanging="360"/>
      </w:pPr>
    </w:lvl>
    <w:lvl w:ilvl="2" w:tplc="50AC4DFC">
      <w:start w:val="1"/>
      <w:numFmt w:val="lowerRoman"/>
      <w:lvlText w:val="%3."/>
      <w:lvlJc w:val="right"/>
      <w:pPr>
        <w:ind w:left="1800" w:hanging="180"/>
      </w:pPr>
    </w:lvl>
    <w:lvl w:ilvl="3" w:tplc="339E84EE">
      <w:start w:val="1"/>
      <w:numFmt w:val="decimal"/>
      <w:lvlText w:val="%4."/>
      <w:lvlJc w:val="left"/>
      <w:pPr>
        <w:ind w:left="2520" w:hanging="360"/>
      </w:pPr>
    </w:lvl>
    <w:lvl w:ilvl="4" w:tplc="0F58FF4C">
      <w:start w:val="1"/>
      <w:numFmt w:val="lowerLetter"/>
      <w:lvlText w:val="%5."/>
      <w:lvlJc w:val="left"/>
      <w:pPr>
        <w:ind w:left="3240" w:hanging="360"/>
      </w:pPr>
    </w:lvl>
    <w:lvl w:ilvl="5" w:tplc="9BC43EC8">
      <w:start w:val="1"/>
      <w:numFmt w:val="lowerRoman"/>
      <w:lvlText w:val="%6."/>
      <w:lvlJc w:val="right"/>
      <w:pPr>
        <w:ind w:left="3960" w:hanging="180"/>
      </w:pPr>
    </w:lvl>
    <w:lvl w:ilvl="6" w:tplc="02DC165E">
      <w:start w:val="1"/>
      <w:numFmt w:val="decimal"/>
      <w:lvlText w:val="%7."/>
      <w:lvlJc w:val="left"/>
      <w:pPr>
        <w:ind w:left="4680" w:hanging="360"/>
      </w:pPr>
    </w:lvl>
    <w:lvl w:ilvl="7" w:tplc="90D6CB4C">
      <w:start w:val="1"/>
      <w:numFmt w:val="lowerLetter"/>
      <w:lvlText w:val="%8."/>
      <w:lvlJc w:val="left"/>
      <w:pPr>
        <w:ind w:left="5400" w:hanging="360"/>
      </w:pPr>
    </w:lvl>
    <w:lvl w:ilvl="8" w:tplc="A6020CC8">
      <w:start w:val="1"/>
      <w:numFmt w:val="lowerRoman"/>
      <w:lvlText w:val="%9."/>
      <w:lvlJc w:val="right"/>
      <w:pPr>
        <w:ind w:left="6120" w:hanging="180"/>
      </w:pPr>
    </w:lvl>
  </w:abstractNum>
  <w:abstractNum w:abstractNumId="90" w15:restartNumberingAfterBreak="0">
    <w:nsid w:val="55C71EDC"/>
    <w:multiLevelType w:val="hybridMultilevel"/>
    <w:tmpl w:val="4700343C"/>
    <w:lvl w:ilvl="0" w:tplc="556A13AA">
      <w:start w:val="1"/>
      <w:numFmt w:val="bullet"/>
      <w:lvlText w:val="-"/>
      <w:lvlJc w:val="left"/>
      <w:pPr>
        <w:ind w:left="720" w:hanging="360"/>
      </w:pPr>
      <w:rPr>
        <w:rFonts w:ascii="Aptos" w:hAnsi="Aptos" w:hint="default"/>
      </w:rPr>
    </w:lvl>
    <w:lvl w:ilvl="1" w:tplc="DD047F5E">
      <w:start w:val="1"/>
      <w:numFmt w:val="bullet"/>
      <w:lvlText w:val="o"/>
      <w:lvlJc w:val="left"/>
      <w:pPr>
        <w:ind w:left="1440" w:hanging="360"/>
      </w:pPr>
      <w:rPr>
        <w:rFonts w:ascii="Courier New" w:hAnsi="Courier New" w:hint="default"/>
      </w:rPr>
    </w:lvl>
    <w:lvl w:ilvl="2" w:tplc="BAF8439E">
      <w:start w:val="1"/>
      <w:numFmt w:val="bullet"/>
      <w:lvlText w:val=""/>
      <w:lvlJc w:val="left"/>
      <w:pPr>
        <w:ind w:left="2160" w:hanging="360"/>
      </w:pPr>
      <w:rPr>
        <w:rFonts w:ascii="Wingdings" w:hAnsi="Wingdings" w:hint="default"/>
      </w:rPr>
    </w:lvl>
    <w:lvl w:ilvl="3" w:tplc="9560E990">
      <w:start w:val="1"/>
      <w:numFmt w:val="bullet"/>
      <w:lvlText w:val=""/>
      <w:lvlJc w:val="left"/>
      <w:pPr>
        <w:ind w:left="2880" w:hanging="360"/>
      </w:pPr>
      <w:rPr>
        <w:rFonts w:ascii="Symbol" w:hAnsi="Symbol" w:hint="default"/>
      </w:rPr>
    </w:lvl>
    <w:lvl w:ilvl="4" w:tplc="D070033A">
      <w:start w:val="1"/>
      <w:numFmt w:val="bullet"/>
      <w:lvlText w:val="o"/>
      <w:lvlJc w:val="left"/>
      <w:pPr>
        <w:ind w:left="3600" w:hanging="360"/>
      </w:pPr>
      <w:rPr>
        <w:rFonts w:ascii="Courier New" w:hAnsi="Courier New" w:hint="default"/>
      </w:rPr>
    </w:lvl>
    <w:lvl w:ilvl="5" w:tplc="06740E88">
      <w:start w:val="1"/>
      <w:numFmt w:val="bullet"/>
      <w:lvlText w:val=""/>
      <w:lvlJc w:val="left"/>
      <w:pPr>
        <w:ind w:left="4320" w:hanging="360"/>
      </w:pPr>
      <w:rPr>
        <w:rFonts w:ascii="Wingdings" w:hAnsi="Wingdings" w:hint="default"/>
      </w:rPr>
    </w:lvl>
    <w:lvl w:ilvl="6" w:tplc="EB629B7A">
      <w:start w:val="1"/>
      <w:numFmt w:val="bullet"/>
      <w:lvlText w:val=""/>
      <w:lvlJc w:val="left"/>
      <w:pPr>
        <w:ind w:left="5040" w:hanging="360"/>
      </w:pPr>
      <w:rPr>
        <w:rFonts w:ascii="Symbol" w:hAnsi="Symbol" w:hint="default"/>
      </w:rPr>
    </w:lvl>
    <w:lvl w:ilvl="7" w:tplc="23C49FBC">
      <w:start w:val="1"/>
      <w:numFmt w:val="bullet"/>
      <w:lvlText w:val="o"/>
      <w:lvlJc w:val="left"/>
      <w:pPr>
        <w:ind w:left="5760" w:hanging="360"/>
      </w:pPr>
      <w:rPr>
        <w:rFonts w:ascii="Courier New" w:hAnsi="Courier New" w:hint="default"/>
      </w:rPr>
    </w:lvl>
    <w:lvl w:ilvl="8" w:tplc="9B36F782">
      <w:start w:val="1"/>
      <w:numFmt w:val="bullet"/>
      <w:lvlText w:val=""/>
      <w:lvlJc w:val="left"/>
      <w:pPr>
        <w:ind w:left="6480" w:hanging="360"/>
      </w:pPr>
      <w:rPr>
        <w:rFonts w:ascii="Wingdings" w:hAnsi="Wingdings" w:hint="default"/>
      </w:rPr>
    </w:lvl>
  </w:abstractNum>
  <w:abstractNum w:abstractNumId="91" w15:restartNumberingAfterBreak="0">
    <w:nsid w:val="565D5FCC"/>
    <w:multiLevelType w:val="hybridMultilevel"/>
    <w:tmpl w:val="FFFFFFFF"/>
    <w:lvl w:ilvl="0" w:tplc="E1E475CA">
      <w:start w:val="13"/>
      <w:numFmt w:val="decimal"/>
      <w:lvlText w:val="%1."/>
      <w:lvlJc w:val="left"/>
      <w:pPr>
        <w:ind w:left="360" w:hanging="360"/>
      </w:pPr>
    </w:lvl>
    <w:lvl w:ilvl="1" w:tplc="530EA5EE">
      <w:start w:val="1"/>
      <w:numFmt w:val="lowerLetter"/>
      <w:lvlText w:val="%2."/>
      <w:lvlJc w:val="left"/>
      <w:pPr>
        <w:ind w:left="1440" w:hanging="360"/>
      </w:pPr>
    </w:lvl>
    <w:lvl w:ilvl="2" w:tplc="0DC46752">
      <w:start w:val="1"/>
      <w:numFmt w:val="lowerRoman"/>
      <w:lvlText w:val="%3."/>
      <w:lvlJc w:val="right"/>
      <w:pPr>
        <w:ind w:left="2160" w:hanging="180"/>
      </w:pPr>
    </w:lvl>
    <w:lvl w:ilvl="3" w:tplc="4D181F68">
      <w:start w:val="1"/>
      <w:numFmt w:val="decimal"/>
      <w:lvlText w:val="%4."/>
      <w:lvlJc w:val="left"/>
      <w:pPr>
        <w:ind w:left="2880" w:hanging="360"/>
      </w:pPr>
    </w:lvl>
    <w:lvl w:ilvl="4" w:tplc="2C24DFC2">
      <w:start w:val="1"/>
      <w:numFmt w:val="lowerLetter"/>
      <w:lvlText w:val="%5."/>
      <w:lvlJc w:val="left"/>
      <w:pPr>
        <w:ind w:left="3600" w:hanging="360"/>
      </w:pPr>
    </w:lvl>
    <w:lvl w:ilvl="5" w:tplc="B54256E4">
      <w:start w:val="1"/>
      <w:numFmt w:val="lowerRoman"/>
      <w:lvlText w:val="%6."/>
      <w:lvlJc w:val="right"/>
      <w:pPr>
        <w:ind w:left="4320" w:hanging="180"/>
      </w:pPr>
    </w:lvl>
    <w:lvl w:ilvl="6" w:tplc="01D6BCF0">
      <w:start w:val="1"/>
      <w:numFmt w:val="decimal"/>
      <w:lvlText w:val="%7."/>
      <w:lvlJc w:val="left"/>
      <w:pPr>
        <w:ind w:left="5040" w:hanging="360"/>
      </w:pPr>
    </w:lvl>
    <w:lvl w:ilvl="7" w:tplc="CD4C5FB0">
      <w:start w:val="1"/>
      <w:numFmt w:val="lowerLetter"/>
      <w:lvlText w:val="%8."/>
      <w:lvlJc w:val="left"/>
      <w:pPr>
        <w:ind w:left="5760" w:hanging="360"/>
      </w:pPr>
    </w:lvl>
    <w:lvl w:ilvl="8" w:tplc="730C27EA">
      <w:start w:val="1"/>
      <w:numFmt w:val="lowerRoman"/>
      <w:lvlText w:val="%9."/>
      <w:lvlJc w:val="right"/>
      <w:pPr>
        <w:ind w:left="6480" w:hanging="180"/>
      </w:pPr>
    </w:lvl>
  </w:abstractNum>
  <w:abstractNum w:abstractNumId="92" w15:restartNumberingAfterBreak="0">
    <w:nsid w:val="572291BA"/>
    <w:multiLevelType w:val="hybridMultilevel"/>
    <w:tmpl w:val="E9CCF08A"/>
    <w:lvl w:ilvl="0" w:tplc="6180D2FA">
      <w:start w:val="1"/>
      <w:numFmt w:val="lowerLetter"/>
      <w:lvlText w:val="%1."/>
      <w:lvlJc w:val="left"/>
      <w:pPr>
        <w:ind w:left="720" w:hanging="360"/>
      </w:pPr>
    </w:lvl>
    <w:lvl w:ilvl="1" w:tplc="762ABC2E">
      <w:start w:val="1"/>
      <w:numFmt w:val="lowerLetter"/>
      <w:lvlText w:val="%2."/>
      <w:lvlJc w:val="left"/>
      <w:pPr>
        <w:ind w:left="1440" w:hanging="360"/>
      </w:pPr>
    </w:lvl>
    <w:lvl w:ilvl="2" w:tplc="E2A0D290">
      <w:start w:val="1"/>
      <w:numFmt w:val="lowerRoman"/>
      <w:lvlText w:val="%3."/>
      <w:lvlJc w:val="right"/>
      <w:pPr>
        <w:ind w:left="2160" w:hanging="180"/>
      </w:pPr>
    </w:lvl>
    <w:lvl w:ilvl="3" w:tplc="68945BDA">
      <w:start w:val="1"/>
      <w:numFmt w:val="decimal"/>
      <w:lvlText w:val="%4."/>
      <w:lvlJc w:val="left"/>
      <w:pPr>
        <w:ind w:left="2880" w:hanging="360"/>
      </w:pPr>
    </w:lvl>
    <w:lvl w:ilvl="4" w:tplc="476EC70C">
      <w:start w:val="1"/>
      <w:numFmt w:val="lowerLetter"/>
      <w:lvlText w:val="%5."/>
      <w:lvlJc w:val="left"/>
      <w:pPr>
        <w:ind w:left="3600" w:hanging="360"/>
      </w:pPr>
    </w:lvl>
    <w:lvl w:ilvl="5" w:tplc="BA9A30F8">
      <w:start w:val="1"/>
      <w:numFmt w:val="lowerRoman"/>
      <w:lvlText w:val="%6."/>
      <w:lvlJc w:val="right"/>
      <w:pPr>
        <w:ind w:left="4320" w:hanging="180"/>
      </w:pPr>
    </w:lvl>
    <w:lvl w:ilvl="6" w:tplc="0D68AE70">
      <w:start w:val="1"/>
      <w:numFmt w:val="decimal"/>
      <w:lvlText w:val="%7."/>
      <w:lvlJc w:val="left"/>
      <w:pPr>
        <w:ind w:left="5040" w:hanging="360"/>
      </w:pPr>
    </w:lvl>
    <w:lvl w:ilvl="7" w:tplc="A838F4AE">
      <w:start w:val="1"/>
      <w:numFmt w:val="lowerLetter"/>
      <w:lvlText w:val="%8."/>
      <w:lvlJc w:val="left"/>
      <w:pPr>
        <w:ind w:left="5760" w:hanging="360"/>
      </w:pPr>
    </w:lvl>
    <w:lvl w:ilvl="8" w:tplc="8188B3F0">
      <w:start w:val="1"/>
      <w:numFmt w:val="lowerRoman"/>
      <w:lvlText w:val="%9."/>
      <w:lvlJc w:val="right"/>
      <w:pPr>
        <w:ind w:left="6480" w:hanging="180"/>
      </w:pPr>
    </w:lvl>
  </w:abstractNum>
  <w:abstractNum w:abstractNumId="93" w15:restartNumberingAfterBreak="0">
    <w:nsid w:val="5742F6EE"/>
    <w:multiLevelType w:val="hybridMultilevel"/>
    <w:tmpl w:val="FFFFFFFF"/>
    <w:lvl w:ilvl="0" w:tplc="40B60924">
      <w:start w:val="1"/>
      <w:numFmt w:val="bullet"/>
      <w:lvlText w:val=""/>
      <w:lvlJc w:val="left"/>
      <w:pPr>
        <w:ind w:left="720" w:hanging="360"/>
      </w:pPr>
      <w:rPr>
        <w:rFonts w:ascii="Symbol" w:hAnsi="Symbol" w:hint="default"/>
      </w:rPr>
    </w:lvl>
    <w:lvl w:ilvl="1" w:tplc="10969D48">
      <w:start w:val="1"/>
      <w:numFmt w:val="bullet"/>
      <w:lvlText w:val="o"/>
      <w:lvlJc w:val="left"/>
      <w:pPr>
        <w:ind w:left="1440" w:hanging="360"/>
      </w:pPr>
      <w:rPr>
        <w:rFonts w:ascii="Courier New" w:hAnsi="Courier New" w:hint="default"/>
      </w:rPr>
    </w:lvl>
    <w:lvl w:ilvl="2" w:tplc="6EF080EE">
      <w:start w:val="1"/>
      <w:numFmt w:val="bullet"/>
      <w:lvlText w:val=""/>
      <w:lvlJc w:val="left"/>
      <w:pPr>
        <w:ind w:left="2160" w:hanging="360"/>
      </w:pPr>
      <w:rPr>
        <w:rFonts w:ascii="Wingdings" w:hAnsi="Wingdings" w:hint="default"/>
      </w:rPr>
    </w:lvl>
    <w:lvl w:ilvl="3" w:tplc="B148C1A4">
      <w:start w:val="1"/>
      <w:numFmt w:val="bullet"/>
      <w:lvlText w:val=""/>
      <w:lvlJc w:val="left"/>
      <w:pPr>
        <w:ind w:left="2880" w:hanging="360"/>
      </w:pPr>
      <w:rPr>
        <w:rFonts w:ascii="Symbol" w:hAnsi="Symbol" w:hint="default"/>
      </w:rPr>
    </w:lvl>
    <w:lvl w:ilvl="4" w:tplc="3DD6AA60">
      <w:start w:val="1"/>
      <w:numFmt w:val="bullet"/>
      <w:lvlText w:val="o"/>
      <w:lvlJc w:val="left"/>
      <w:pPr>
        <w:ind w:left="3600" w:hanging="360"/>
      </w:pPr>
      <w:rPr>
        <w:rFonts w:ascii="Courier New" w:hAnsi="Courier New" w:hint="default"/>
      </w:rPr>
    </w:lvl>
    <w:lvl w:ilvl="5" w:tplc="A6EAC8E4">
      <w:start w:val="1"/>
      <w:numFmt w:val="bullet"/>
      <w:lvlText w:val=""/>
      <w:lvlJc w:val="left"/>
      <w:pPr>
        <w:ind w:left="4320" w:hanging="360"/>
      </w:pPr>
      <w:rPr>
        <w:rFonts w:ascii="Wingdings" w:hAnsi="Wingdings" w:hint="default"/>
      </w:rPr>
    </w:lvl>
    <w:lvl w:ilvl="6" w:tplc="7436C276">
      <w:start w:val="1"/>
      <w:numFmt w:val="bullet"/>
      <w:lvlText w:val=""/>
      <w:lvlJc w:val="left"/>
      <w:pPr>
        <w:ind w:left="5040" w:hanging="360"/>
      </w:pPr>
      <w:rPr>
        <w:rFonts w:ascii="Symbol" w:hAnsi="Symbol" w:hint="default"/>
      </w:rPr>
    </w:lvl>
    <w:lvl w:ilvl="7" w:tplc="9CA0543A">
      <w:start w:val="1"/>
      <w:numFmt w:val="bullet"/>
      <w:lvlText w:val="o"/>
      <w:lvlJc w:val="left"/>
      <w:pPr>
        <w:ind w:left="5760" w:hanging="360"/>
      </w:pPr>
      <w:rPr>
        <w:rFonts w:ascii="Courier New" w:hAnsi="Courier New" w:hint="default"/>
      </w:rPr>
    </w:lvl>
    <w:lvl w:ilvl="8" w:tplc="9040562C">
      <w:start w:val="1"/>
      <w:numFmt w:val="bullet"/>
      <w:lvlText w:val=""/>
      <w:lvlJc w:val="left"/>
      <w:pPr>
        <w:ind w:left="6480" w:hanging="360"/>
      </w:pPr>
      <w:rPr>
        <w:rFonts w:ascii="Wingdings" w:hAnsi="Wingdings" w:hint="default"/>
      </w:rPr>
    </w:lvl>
  </w:abstractNum>
  <w:abstractNum w:abstractNumId="94" w15:restartNumberingAfterBreak="0">
    <w:nsid w:val="57A55271"/>
    <w:multiLevelType w:val="hybridMultilevel"/>
    <w:tmpl w:val="FFFFFFFF"/>
    <w:lvl w:ilvl="0" w:tplc="6DCEF496">
      <w:start w:val="1"/>
      <w:numFmt w:val="bullet"/>
      <w:lvlText w:val="-"/>
      <w:lvlJc w:val="left"/>
      <w:pPr>
        <w:ind w:left="720" w:hanging="360"/>
      </w:pPr>
      <w:rPr>
        <w:rFonts w:ascii="Aptos" w:hAnsi="Aptos" w:hint="default"/>
      </w:rPr>
    </w:lvl>
    <w:lvl w:ilvl="1" w:tplc="B88EC40A">
      <w:start w:val="1"/>
      <w:numFmt w:val="bullet"/>
      <w:lvlText w:val="o"/>
      <w:lvlJc w:val="left"/>
      <w:pPr>
        <w:ind w:left="1440" w:hanging="360"/>
      </w:pPr>
      <w:rPr>
        <w:rFonts w:ascii="Courier New" w:hAnsi="Courier New" w:hint="default"/>
      </w:rPr>
    </w:lvl>
    <w:lvl w:ilvl="2" w:tplc="2E6C38C8">
      <w:start w:val="1"/>
      <w:numFmt w:val="bullet"/>
      <w:lvlText w:val=""/>
      <w:lvlJc w:val="left"/>
      <w:pPr>
        <w:ind w:left="2160" w:hanging="360"/>
      </w:pPr>
      <w:rPr>
        <w:rFonts w:ascii="Wingdings" w:hAnsi="Wingdings" w:hint="default"/>
      </w:rPr>
    </w:lvl>
    <w:lvl w:ilvl="3" w:tplc="B6AC67F6">
      <w:start w:val="1"/>
      <w:numFmt w:val="bullet"/>
      <w:lvlText w:val=""/>
      <w:lvlJc w:val="left"/>
      <w:pPr>
        <w:ind w:left="2880" w:hanging="360"/>
      </w:pPr>
      <w:rPr>
        <w:rFonts w:ascii="Symbol" w:hAnsi="Symbol" w:hint="default"/>
      </w:rPr>
    </w:lvl>
    <w:lvl w:ilvl="4" w:tplc="B58A213C">
      <w:start w:val="1"/>
      <w:numFmt w:val="bullet"/>
      <w:lvlText w:val="o"/>
      <w:lvlJc w:val="left"/>
      <w:pPr>
        <w:ind w:left="3600" w:hanging="360"/>
      </w:pPr>
      <w:rPr>
        <w:rFonts w:ascii="Courier New" w:hAnsi="Courier New" w:hint="default"/>
      </w:rPr>
    </w:lvl>
    <w:lvl w:ilvl="5" w:tplc="50265110">
      <w:start w:val="1"/>
      <w:numFmt w:val="bullet"/>
      <w:lvlText w:val=""/>
      <w:lvlJc w:val="left"/>
      <w:pPr>
        <w:ind w:left="4320" w:hanging="360"/>
      </w:pPr>
      <w:rPr>
        <w:rFonts w:ascii="Wingdings" w:hAnsi="Wingdings" w:hint="default"/>
      </w:rPr>
    </w:lvl>
    <w:lvl w:ilvl="6" w:tplc="2F58ADFC">
      <w:start w:val="1"/>
      <w:numFmt w:val="bullet"/>
      <w:lvlText w:val=""/>
      <w:lvlJc w:val="left"/>
      <w:pPr>
        <w:ind w:left="5040" w:hanging="360"/>
      </w:pPr>
      <w:rPr>
        <w:rFonts w:ascii="Symbol" w:hAnsi="Symbol" w:hint="default"/>
      </w:rPr>
    </w:lvl>
    <w:lvl w:ilvl="7" w:tplc="15E43664">
      <w:start w:val="1"/>
      <w:numFmt w:val="bullet"/>
      <w:lvlText w:val="o"/>
      <w:lvlJc w:val="left"/>
      <w:pPr>
        <w:ind w:left="5760" w:hanging="360"/>
      </w:pPr>
      <w:rPr>
        <w:rFonts w:ascii="Courier New" w:hAnsi="Courier New" w:hint="default"/>
      </w:rPr>
    </w:lvl>
    <w:lvl w:ilvl="8" w:tplc="29E0FC6C">
      <w:start w:val="1"/>
      <w:numFmt w:val="bullet"/>
      <w:lvlText w:val=""/>
      <w:lvlJc w:val="left"/>
      <w:pPr>
        <w:ind w:left="6480" w:hanging="360"/>
      </w:pPr>
      <w:rPr>
        <w:rFonts w:ascii="Wingdings" w:hAnsi="Wingdings" w:hint="default"/>
      </w:rPr>
    </w:lvl>
  </w:abstractNum>
  <w:abstractNum w:abstractNumId="9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88D3BDC"/>
    <w:multiLevelType w:val="hybridMultilevel"/>
    <w:tmpl w:val="FFFFFFFF"/>
    <w:lvl w:ilvl="0" w:tplc="432EC874">
      <w:start w:val="1"/>
      <w:numFmt w:val="bullet"/>
      <w:lvlText w:val=""/>
      <w:lvlJc w:val="left"/>
      <w:pPr>
        <w:ind w:left="720" w:hanging="360"/>
      </w:pPr>
      <w:rPr>
        <w:rFonts w:ascii="Symbol" w:hAnsi="Symbol" w:hint="default"/>
      </w:rPr>
    </w:lvl>
    <w:lvl w:ilvl="1" w:tplc="8716B8E4">
      <w:start w:val="1"/>
      <w:numFmt w:val="bullet"/>
      <w:lvlText w:val="o"/>
      <w:lvlJc w:val="left"/>
      <w:pPr>
        <w:ind w:left="1440" w:hanging="360"/>
      </w:pPr>
      <w:rPr>
        <w:rFonts w:ascii="Courier New" w:hAnsi="Courier New" w:hint="default"/>
      </w:rPr>
    </w:lvl>
    <w:lvl w:ilvl="2" w:tplc="9CD05F12">
      <w:start w:val="1"/>
      <w:numFmt w:val="bullet"/>
      <w:lvlText w:val=""/>
      <w:lvlJc w:val="left"/>
      <w:pPr>
        <w:ind w:left="2160" w:hanging="360"/>
      </w:pPr>
      <w:rPr>
        <w:rFonts w:ascii="Wingdings" w:hAnsi="Wingdings" w:hint="default"/>
      </w:rPr>
    </w:lvl>
    <w:lvl w:ilvl="3" w:tplc="9FEA5246">
      <w:start w:val="1"/>
      <w:numFmt w:val="bullet"/>
      <w:lvlText w:val=""/>
      <w:lvlJc w:val="left"/>
      <w:pPr>
        <w:ind w:left="2880" w:hanging="360"/>
      </w:pPr>
      <w:rPr>
        <w:rFonts w:ascii="Symbol" w:hAnsi="Symbol" w:hint="default"/>
      </w:rPr>
    </w:lvl>
    <w:lvl w:ilvl="4" w:tplc="BF1ADDFA">
      <w:start w:val="1"/>
      <w:numFmt w:val="bullet"/>
      <w:lvlText w:val="o"/>
      <w:lvlJc w:val="left"/>
      <w:pPr>
        <w:ind w:left="3600" w:hanging="360"/>
      </w:pPr>
      <w:rPr>
        <w:rFonts w:ascii="Courier New" w:hAnsi="Courier New" w:hint="default"/>
      </w:rPr>
    </w:lvl>
    <w:lvl w:ilvl="5" w:tplc="6430064E">
      <w:start w:val="1"/>
      <w:numFmt w:val="bullet"/>
      <w:lvlText w:val=""/>
      <w:lvlJc w:val="left"/>
      <w:pPr>
        <w:ind w:left="4320" w:hanging="360"/>
      </w:pPr>
      <w:rPr>
        <w:rFonts w:ascii="Wingdings" w:hAnsi="Wingdings" w:hint="default"/>
      </w:rPr>
    </w:lvl>
    <w:lvl w:ilvl="6" w:tplc="26562F12">
      <w:start w:val="1"/>
      <w:numFmt w:val="bullet"/>
      <w:lvlText w:val=""/>
      <w:lvlJc w:val="left"/>
      <w:pPr>
        <w:ind w:left="5040" w:hanging="360"/>
      </w:pPr>
      <w:rPr>
        <w:rFonts w:ascii="Symbol" w:hAnsi="Symbol" w:hint="default"/>
      </w:rPr>
    </w:lvl>
    <w:lvl w:ilvl="7" w:tplc="3E4EC00E">
      <w:start w:val="1"/>
      <w:numFmt w:val="bullet"/>
      <w:lvlText w:val="o"/>
      <w:lvlJc w:val="left"/>
      <w:pPr>
        <w:ind w:left="5760" w:hanging="360"/>
      </w:pPr>
      <w:rPr>
        <w:rFonts w:ascii="Courier New" w:hAnsi="Courier New" w:hint="default"/>
      </w:rPr>
    </w:lvl>
    <w:lvl w:ilvl="8" w:tplc="73F87EDE">
      <w:start w:val="1"/>
      <w:numFmt w:val="bullet"/>
      <w:lvlText w:val=""/>
      <w:lvlJc w:val="left"/>
      <w:pPr>
        <w:ind w:left="6480" w:hanging="360"/>
      </w:pPr>
      <w:rPr>
        <w:rFonts w:ascii="Wingdings" w:hAnsi="Wingdings" w:hint="default"/>
      </w:rPr>
    </w:lvl>
  </w:abstractNum>
  <w:abstractNum w:abstractNumId="9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5D8B682F"/>
    <w:multiLevelType w:val="multilevel"/>
    <w:tmpl w:val="30BC24D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01B2048"/>
    <w:multiLevelType w:val="hybridMultilevel"/>
    <w:tmpl w:val="FFFFFFFF"/>
    <w:lvl w:ilvl="0" w:tplc="7F52EDD0">
      <w:start w:val="1"/>
      <w:numFmt w:val="bullet"/>
      <w:lvlText w:val=""/>
      <w:lvlJc w:val="left"/>
      <w:pPr>
        <w:ind w:left="720" w:hanging="360"/>
      </w:pPr>
      <w:rPr>
        <w:rFonts w:ascii="Symbol" w:hAnsi="Symbol" w:hint="default"/>
      </w:rPr>
    </w:lvl>
    <w:lvl w:ilvl="1" w:tplc="00A04790">
      <w:start w:val="1"/>
      <w:numFmt w:val="bullet"/>
      <w:lvlText w:val="o"/>
      <w:lvlJc w:val="left"/>
      <w:pPr>
        <w:ind w:left="1440" w:hanging="360"/>
      </w:pPr>
      <w:rPr>
        <w:rFonts w:ascii="Courier New" w:hAnsi="Courier New" w:hint="default"/>
      </w:rPr>
    </w:lvl>
    <w:lvl w:ilvl="2" w:tplc="E7A09ED2">
      <w:start w:val="1"/>
      <w:numFmt w:val="bullet"/>
      <w:lvlText w:val=""/>
      <w:lvlJc w:val="left"/>
      <w:pPr>
        <w:ind w:left="2160" w:hanging="360"/>
      </w:pPr>
      <w:rPr>
        <w:rFonts w:ascii="Wingdings" w:hAnsi="Wingdings" w:hint="default"/>
      </w:rPr>
    </w:lvl>
    <w:lvl w:ilvl="3" w:tplc="6F4C452A">
      <w:start w:val="1"/>
      <w:numFmt w:val="bullet"/>
      <w:lvlText w:val=""/>
      <w:lvlJc w:val="left"/>
      <w:pPr>
        <w:ind w:left="2880" w:hanging="360"/>
      </w:pPr>
      <w:rPr>
        <w:rFonts w:ascii="Symbol" w:hAnsi="Symbol" w:hint="default"/>
      </w:rPr>
    </w:lvl>
    <w:lvl w:ilvl="4" w:tplc="C7686964">
      <w:start w:val="1"/>
      <w:numFmt w:val="bullet"/>
      <w:lvlText w:val="o"/>
      <w:lvlJc w:val="left"/>
      <w:pPr>
        <w:ind w:left="3600" w:hanging="360"/>
      </w:pPr>
      <w:rPr>
        <w:rFonts w:ascii="Courier New" w:hAnsi="Courier New" w:hint="default"/>
      </w:rPr>
    </w:lvl>
    <w:lvl w:ilvl="5" w:tplc="90DA8E16">
      <w:start w:val="1"/>
      <w:numFmt w:val="bullet"/>
      <w:lvlText w:val=""/>
      <w:lvlJc w:val="left"/>
      <w:pPr>
        <w:ind w:left="4320" w:hanging="360"/>
      </w:pPr>
      <w:rPr>
        <w:rFonts w:ascii="Wingdings" w:hAnsi="Wingdings" w:hint="default"/>
      </w:rPr>
    </w:lvl>
    <w:lvl w:ilvl="6" w:tplc="4E8E02F8">
      <w:start w:val="1"/>
      <w:numFmt w:val="bullet"/>
      <w:lvlText w:val=""/>
      <w:lvlJc w:val="left"/>
      <w:pPr>
        <w:ind w:left="5040" w:hanging="360"/>
      </w:pPr>
      <w:rPr>
        <w:rFonts w:ascii="Symbol" w:hAnsi="Symbol" w:hint="default"/>
      </w:rPr>
    </w:lvl>
    <w:lvl w:ilvl="7" w:tplc="4AFAAEE4">
      <w:start w:val="1"/>
      <w:numFmt w:val="bullet"/>
      <w:lvlText w:val="o"/>
      <w:lvlJc w:val="left"/>
      <w:pPr>
        <w:ind w:left="5760" w:hanging="360"/>
      </w:pPr>
      <w:rPr>
        <w:rFonts w:ascii="Courier New" w:hAnsi="Courier New" w:hint="default"/>
      </w:rPr>
    </w:lvl>
    <w:lvl w:ilvl="8" w:tplc="0C38261E">
      <w:start w:val="1"/>
      <w:numFmt w:val="bullet"/>
      <w:lvlText w:val=""/>
      <w:lvlJc w:val="left"/>
      <w:pPr>
        <w:ind w:left="6480" w:hanging="360"/>
      </w:pPr>
      <w:rPr>
        <w:rFonts w:ascii="Wingdings" w:hAnsi="Wingdings" w:hint="default"/>
      </w:rPr>
    </w:lvl>
  </w:abstractNum>
  <w:abstractNum w:abstractNumId="100" w15:restartNumberingAfterBreak="0">
    <w:nsid w:val="60501A7E"/>
    <w:multiLevelType w:val="multilevel"/>
    <w:tmpl w:val="1AA445B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24D5FE3"/>
    <w:multiLevelType w:val="hybridMultilevel"/>
    <w:tmpl w:val="02D61AE6"/>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449CDF1"/>
    <w:multiLevelType w:val="hybridMultilevel"/>
    <w:tmpl w:val="FFFFFFFF"/>
    <w:lvl w:ilvl="0" w:tplc="DF94DF76">
      <w:start w:val="1"/>
      <w:numFmt w:val="bullet"/>
      <w:lvlText w:val="-"/>
      <w:lvlJc w:val="left"/>
      <w:pPr>
        <w:ind w:left="720" w:hanging="360"/>
      </w:pPr>
      <w:rPr>
        <w:rFonts w:ascii="Aptos" w:hAnsi="Aptos" w:hint="default"/>
      </w:rPr>
    </w:lvl>
    <w:lvl w:ilvl="1" w:tplc="4FB64770">
      <w:start w:val="1"/>
      <w:numFmt w:val="bullet"/>
      <w:lvlText w:val="o"/>
      <w:lvlJc w:val="left"/>
      <w:pPr>
        <w:ind w:left="1440" w:hanging="360"/>
      </w:pPr>
      <w:rPr>
        <w:rFonts w:ascii="Courier New" w:hAnsi="Courier New" w:hint="default"/>
      </w:rPr>
    </w:lvl>
    <w:lvl w:ilvl="2" w:tplc="F6025666">
      <w:start w:val="1"/>
      <w:numFmt w:val="bullet"/>
      <w:lvlText w:val=""/>
      <w:lvlJc w:val="left"/>
      <w:pPr>
        <w:ind w:left="2160" w:hanging="360"/>
      </w:pPr>
      <w:rPr>
        <w:rFonts w:ascii="Wingdings" w:hAnsi="Wingdings" w:hint="default"/>
      </w:rPr>
    </w:lvl>
    <w:lvl w:ilvl="3" w:tplc="06C4F948">
      <w:start w:val="1"/>
      <w:numFmt w:val="bullet"/>
      <w:lvlText w:val=""/>
      <w:lvlJc w:val="left"/>
      <w:pPr>
        <w:ind w:left="2880" w:hanging="360"/>
      </w:pPr>
      <w:rPr>
        <w:rFonts w:ascii="Symbol" w:hAnsi="Symbol" w:hint="default"/>
      </w:rPr>
    </w:lvl>
    <w:lvl w:ilvl="4" w:tplc="00EE28FE">
      <w:start w:val="1"/>
      <w:numFmt w:val="bullet"/>
      <w:lvlText w:val="o"/>
      <w:lvlJc w:val="left"/>
      <w:pPr>
        <w:ind w:left="3600" w:hanging="360"/>
      </w:pPr>
      <w:rPr>
        <w:rFonts w:ascii="Courier New" w:hAnsi="Courier New" w:hint="default"/>
      </w:rPr>
    </w:lvl>
    <w:lvl w:ilvl="5" w:tplc="25CA34E4">
      <w:start w:val="1"/>
      <w:numFmt w:val="bullet"/>
      <w:lvlText w:val=""/>
      <w:lvlJc w:val="left"/>
      <w:pPr>
        <w:ind w:left="4320" w:hanging="360"/>
      </w:pPr>
      <w:rPr>
        <w:rFonts w:ascii="Wingdings" w:hAnsi="Wingdings" w:hint="default"/>
      </w:rPr>
    </w:lvl>
    <w:lvl w:ilvl="6" w:tplc="6AB2C894">
      <w:start w:val="1"/>
      <w:numFmt w:val="bullet"/>
      <w:lvlText w:val=""/>
      <w:lvlJc w:val="left"/>
      <w:pPr>
        <w:ind w:left="5040" w:hanging="360"/>
      </w:pPr>
      <w:rPr>
        <w:rFonts w:ascii="Symbol" w:hAnsi="Symbol" w:hint="default"/>
      </w:rPr>
    </w:lvl>
    <w:lvl w:ilvl="7" w:tplc="72F0FA4A">
      <w:start w:val="1"/>
      <w:numFmt w:val="bullet"/>
      <w:lvlText w:val="o"/>
      <w:lvlJc w:val="left"/>
      <w:pPr>
        <w:ind w:left="5760" w:hanging="360"/>
      </w:pPr>
      <w:rPr>
        <w:rFonts w:ascii="Courier New" w:hAnsi="Courier New" w:hint="default"/>
      </w:rPr>
    </w:lvl>
    <w:lvl w:ilvl="8" w:tplc="6CFEDC26">
      <w:start w:val="1"/>
      <w:numFmt w:val="bullet"/>
      <w:lvlText w:val=""/>
      <w:lvlJc w:val="left"/>
      <w:pPr>
        <w:ind w:left="6480" w:hanging="360"/>
      </w:pPr>
      <w:rPr>
        <w:rFonts w:ascii="Wingdings" w:hAnsi="Wingdings" w:hint="default"/>
      </w:rPr>
    </w:lvl>
  </w:abstractNum>
  <w:abstractNum w:abstractNumId="104" w15:restartNumberingAfterBreak="0">
    <w:nsid w:val="653B679C"/>
    <w:multiLevelType w:val="multilevel"/>
    <w:tmpl w:val="3E02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5D0B7F7"/>
    <w:multiLevelType w:val="multilevel"/>
    <w:tmpl w:val="4588087E"/>
    <w:lvl w:ilvl="0">
      <w:start w:val="19"/>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107"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9FB482C"/>
    <w:multiLevelType w:val="hybridMultilevel"/>
    <w:tmpl w:val="FFFFFFFF"/>
    <w:lvl w:ilvl="0" w:tplc="DE3AFD96">
      <w:start w:val="1"/>
      <w:numFmt w:val="bullet"/>
      <w:lvlText w:val=""/>
      <w:lvlJc w:val="left"/>
      <w:pPr>
        <w:ind w:left="720" w:hanging="360"/>
      </w:pPr>
      <w:rPr>
        <w:rFonts w:ascii="Symbol" w:hAnsi="Symbol" w:hint="default"/>
      </w:rPr>
    </w:lvl>
    <w:lvl w:ilvl="1" w:tplc="05F4A75C">
      <w:start w:val="1"/>
      <w:numFmt w:val="bullet"/>
      <w:lvlText w:val="o"/>
      <w:lvlJc w:val="left"/>
      <w:pPr>
        <w:ind w:left="1440" w:hanging="360"/>
      </w:pPr>
      <w:rPr>
        <w:rFonts w:ascii="Symbol" w:hAnsi="Symbol" w:hint="default"/>
      </w:rPr>
    </w:lvl>
    <w:lvl w:ilvl="2" w:tplc="071ABAEC">
      <w:start w:val="1"/>
      <w:numFmt w:val="bullet"/>
      <w:lvlText w:val=""/>
      <w:lvlJc w:val="left"/>
      <w:pPr>
        <w:ind w:left="2160" w:hanging="360"/>
      </w:pPr>
      <w:rPr>
        <w:rFonts w:ascii="Wingdings" w:hAnsi="Wingdings" w:hint="default"/>
      </w:rPr>
    </w:lvl>
    <w:lvl w:ilvl="3" w:tplc="651C72EC">
      <w:start w:val="1"/>
      <w:numFmt w:val="bullet"/>
      <w:lvlText w:val=""/>
      <w:lvlJc w:val="left"/>
      <w:pPr>
        <w:ind w:left="2880" w:hanging="360"/>
      </w:pPr>
      <w:rPr>
        <w:rFonts w:ascii="Symbol" w:hAnsi="Symbol" w:hint="default"/>
      </w:rPr>
    </w:lvl>
    <w:lvl w:ilvl="4" w:tplc="5E80C572">
      <w:start w:val="1"/>
      <w:numFmt w:val="bullet"/>
      <w:lvlText w:val="o"/>
      <w:lvlJc w:val="left"/>
      <w:pPr>
        <w:ind w:left="3600" w:hanging="360"/>
      </w:pPr>
      <w:rPr>
        <w:rFonts w:ascii="Courier New" w:hAnsi="Courier New" w:hint="default"/>
      </w:rPr>
    </w:lvl>
    <w:lvl w:ilvl="5" w:tplc="19D0BCA4">
      <w:start w:val="1"/>
      <w:numFmt w:val="bullet"/>
      <w:lvlText w:val=""/>
      <w:lvlJc w:val="left"/>
      <w:pPr>
        <w:ind w:left="4320" w:hanging="360"/>
      </w:pPr>
      <w:rPr>
        <w:rFonts w:ascii="Wingdings" w:hAnsi="Wingdings" w:hint="default"/>
      </w:rPr>
    </w:lvl>
    <w:lvl w:ilvl="6" w:tplc="59243B60">
      <w:start w:val="1"/>
      <w:numFmt w:val="bullet"/>
      <w:lvlText w:val=""/>
      <w:lvlJc w:val="left"/>
      <w:pPr>
        <w:ind w:left="5040" w:hanging="360"/>
      </w:pPr>
      <w:rPr>
        <w:rFonts w:ascii="Symbol" w:hAnsi="Symbol" w:hint="default"/>
      </w:rPr>
    </w:lvl>
    <w:lvl w:ilvl="7" w:tplc="3DCE902C">
      <w:start w:val="1"/>
      <w:numFmt w:val="bullet"/>
      <w:lvlText w:val="o"/>
      <w:lvlJc w:val="left"/>
      <w:pPr>
        <w:ind w:left="5760" w:hanging="360"/>
      </w:pPr>
      <w:rPr>
        <w:rFonts w:ascii="Courier New" w:hAnsi="Courier New" w:hint="default"/>
      </w:rPr>
    </w:lvl>
    <w:lvl w:ilvl="8" w:tplc="76B453E2">
      <w:start w:val="1"/>
      <w:numFmt w:val="bullet"/>
      <w:lvlText w:val=""/>
      <w:lvlJc w:val="left"/>
      <w:pPr>
        <w:ind w:left="6480" w:hanging="360"/>
      </w:pPr>
      <w:rPr>
        <w:rFonts w:ascii="Wingdings" w:hAnsi="Wingdings" w:hint="default"/>
      </w:rPr>
    </w:lvl>
  </w:abstractNum>
  <w:abstractNum w:abstractNumId="109" w15:restartNumberingAfterBreak="0">
    <w:nsid w:val="6AB498E2"/>
    <w:multiLevelType w:val="hybridMultilevel"/>
    <w:tmpl w:val="751C43F8"/>
    <w:lvl w:ilvl="0" w:tplc="E334F7F6">
      <w:start w:val="1"/>
      <w:numFmt w:val="bullet"/>
      <w:lvlText w:val="-"/>
      <w:lvlJc w:val="left"/>
      <w:pPr>
        <w:ind w:left="720" w:hanging="360"/>
      </w:pPr>
      <w:rPr>
        <w:rFonts w:ascii="Aptos" w:hAnsi="Aptos" w:hint="default"/>
      </w:rPr>
    </w:lvl>
    <w:lvl w:ilvl="1" w:tplc="3DE4E44C">
      <w:start w:val="1"/>
      <w:numFmt w:val="bullet"/>
      <w:lvlText w:val="o"/>
      <w:lvlJc w:val="left"/>
      <w:pPr>
        <w:ind w:left="1440" w:hanging="360"/>
      </w:pPr>
      <w:rPr>
        <w:rFonts w:ascii="Courier New" w:hAnsi="Courier New" w:hint="default"/>
      </w:rPr>
    </w:lvl>
    <w:lvl w:ilvl="2" w:tplc="DBCCA7A6">
      <w:start w:val="1"/>
      <w:numFmt w:val="bullet"/>
      <w:lvlText w:val=""/>
      <w:lvlJc w:val="left"/>
      <w:pPr>
        <w:ind w:left="2160" w:hanging="360"/>
      </w:pPr>
      <w:rPr>
        <w:rFonts w:ascii="Wingdings" w:hAnsi="Wingdings" w:hint="default"/>
      </w:rPr>
    </w:lvl>
    <w:lvl w:ilvl="3" w:tplc="08ACF106">
      <w:start w:val="1"/>
      <w:numFmt w:val="bullet"/>
      <w:lvlText w:val=""/>
      <w:lvlJc w:val="left"/>
      <w:pPr>
        <w:ind w:left="2880" w:hanging="360"/>
      </w:pPr>
      <w:rPr>
        <w:rFonts w:ascii="Symbol" w:hAnsi="Symbol" w:hint="default"/>
      </w:rPr>
    </w:lvl>
    <w:lvl w:ilvl="4" w:tplc="0D4C88AA">
      <w:start w:val="1"/>
      <w:numFmt w:val="bullet"/>
      <w:lvlText w:val="o"/>
      <w:lvlJc w:val="left"/>
      <w:pPr>
        <w:ind w:left="3600" w:hanging="360"/>
      </w:pPr>
      <w:rPr>
        <w:rFonts w:ascii="Courier New" w:hAnsi="Courier New" w:hint="default"/>
      </w:rPr>
    </w:lvl>
    <w:lvl w:ilvl="5" w:tplc="87A8C460">
      <w:start w:val="1"/>
      <w:numFmt w:val="bullet"/>
      <w:lvlText w:val=""/>
      <w:lvlJc w:val="left"/>
      <w:pPr>
        <w:ind w:left="4320" w:hanging="360"/>
      </w:pPr>
      <w:rPr>
        <w:rFonts w:ascii="Wingdings" w:hAnsi="Wingdings" w:hint="default"/>
      </w:rPr>
    </w:lvl>
    <w:lvl w:ilvl="6" w:tplc="1DE438F8">
      <w:start w:val="1"/>
      <w:numFmt w:val="bullet"/>
      <w:lvlText w:val=""/>
      <w:lvlJc w:val="left"/>
      <w:pPr>
        <w:ind w:left="5040" w:hanging="360"/>
      </w:pPr>
      <w:rPr>
        <w:rFonts w:ascii="Symbol" w:hAnsi="Symbol" w:hint="default"/>
      </w:rPr>
    </w:lvl>
    <w:lvl w:ilvl="7" w:tplc="F7949530">
      <w:start w:val="1"/>
      <w:numFmt w:val="bullet"/>
      <w:lvlText w:val="o"/>
      <w:lvlJc w:val="left"/>
      <w:pPr>
        <w:ind w:left="5760" w:hanging="360"/>
      </w:pPr>
      <w:rPr>
        <w:rFonts w:ascii="Courier New" w:hAnsi="Courier New" w:hint="default"/>
      </w:rPr>
    </w:lvl>
    <w:lvl w:ilvl="8" w:tplc="C7EADDEE">
      <w:start w:val="1"/>
      <w:numFmt w:val="bullet"/>
      <w:lvlText w:val=""/>
      <w:lvlJc w:val="left"/>
      <w:pPr>
        <w:ind w:left="6480" w:hanging="360"/>
      </w:pPr>
      <w:rPr>
        <w:rFonts w:ascii="Wingdings" w:hAnsi="Wingdings" w:hint="default"/>
      </w:rPr>
    </w:lvl>
  </w:abstractNum>
  <w:abstractNum w:abstractNumId="110" w15:restartNumberingAfterBreak="0">
    <w:nsid w:val="6C042717"/>
    <w:multiLevelType w:val="multilevel"/>
    <w:tmpl w:val="DCDEB9D0"/>
    <w:numStyleLink w:val="Style1"/>
  </w:abstractNum>
  <w:abstractNum w:abstractNumId="111" w15:restartNumberingAfterBreak="0">
    <w:nsid w:val="6CD7EC3E"/>
    <w:multiLevelType w:val="hybridMultilevel"/>
    <w:tmpl w:val="FFFFFFFF"/>
    <w:lvl w:ilvl="0" w:tplc="6302BD42">
      <w:start w:val="1"/>
      <w:numFmt w:val="decimal"/>
      <w:lvlText w:val="%1."/>
      <w:lvlJc w:val="left"/>
      <w:pPr>
        <w:ind w:left="720" w:hanging="360"/>
      </w:pPr>
    </w:lvl>
    <w:lvl w:ilvl="1" w:tplc="44282398">
      <w:start w:val="1"/>
      <w:numFmt w:val="lowerRoman"/>
      <w:lvlText w:val="%2."/>
      <w:lvlJc w:val="right"/>
      <w:pPr>
        <w:ind w:left="1145" w:hanging="360"/>
      </w:pPr>
    </w:lvl>
    <w:lvl w:ilvl="2" w:tplc="E58E11EE">
      <w:start w:val="1"/>
      <w:numFmt w:val="lowerRoman"/>
      <w:lvlText w:val="%3."/>
      <w:lvlJc w:val="right"/>
      <w:pPr>
        <w:ind w:left="2160" w:hanging="180"/>
      </w:pPr>
    </w:lvl>
    <w:lvl w:ilvl="3" w:tplc="19AC4342">
      <w:start w:val="1"/>
      <w:numFmt w:val="decimal"/>
      <w:lvlText w:val="%4."/>
      <w:lvlJc w:val="left"/>
      <w:pPr>
        <w:ind w:left="2880" w:hanging="360"/>
      </w:pPr>
    </w:lvl>
    <w:lvl w:ilvl="4" w:tplc="A6FA7946">
      <w:start w:val="1"/>
      <w:numFmt w:val="lowerLetter"/>
      <w:lvlText w:val="%5."/>
      <w:lvlJc w:val="left"/>
      <w:pPr>
        <w:ind w:left="3600" w:hanging="360"/>
      </w:pPr>
    </w:lvl>
    <w:lvl w:ilvl="5" w:tplc="124E9D66">
      <w:start w:val="1"/>
      <w:numFmt w:val="lowerRoman"/>
      <w:lvlText w:val="%6."/>
      <w:lvlJc w:val="right"/>
      <w:pPr>
        <w:ind w:left="4320" w:hanging="180"/>
      </w:pPr>
    </w:lvl>
    <w:lvl w:ilvl="6" w:tplc="EFC63F6A">
      <w:start w:val="1"/>
      <w:numFmt w:val="decimal"/>
      <w:lvlText w:val="%7."/>
      <w:lvlJc w:val="left"/>
      <w:pPr>
        <w:ind w:left="5040" w:hanging="360"/>
      </w:pPr>
    </w:lvl>
    <w:lvl w:ilvl="7" w:tplc="184C8E1E">
      <w:start w:val="1"/>
      <w:numFmt w:val="lowerLetter"/>
      <w:lvlText w:val="%8."/>
      <w:lvlJc w:val="left"/>
      <w:pPr>
        <w:ind w:left="5760" w:hanging="360"/>
      </w:pPr>
    </w:lvl>
    <w:lvl w:ilvl="8" w:tplc="8FFADC8C">
      <w:start w:val="1"/>
      <w:numFmt w:val="lowerRoman"/>
      <w:lvlText w:val="%9."/>
      <w:lvlJc w:val="right"/>
      <w:pPr>
        <w:ind w:left="6480" w:hanging="180"/>
      </w:pPr>
    </w:lvl>
  </w:abstractNum>
  <w:abstractNum w:abstractNumId="112" w15:restartNumberingAfterBreak="0">
    <w:nsid w:val="6D4B7952"/>
    <w:multiLevelType w:val="hybridMultilevel"/>
    <w:tmpl w:val="18A24802"/>
    <w:lvl w:ilvl="0" w:tplc="D9A0808A">
      <w:start w:val="1"/>
      <w:numFmt w:val="bullet"/>
      <w:lvlText w:val="-"/>
      <w:lvlJc w:val="left"/>
      <w:pPr>
        <w:ind w:left="360" w:hanging="360"/>
      </w:pPr>
      <w:rPr>
        <w:rFonts w:ascii="Aptos" w:hAnsi="Aptos" w:hint="default"/>
      </w:rPr>
    </w:lvl>
    <w:lvl w:ilvl="1" w:tplc="D772D2C8">
      <w:start w:val="1"/>
      <w:numFmt w:val="bullet"/>
      <w:lvlText w:val="o"/>
      <w:lvlJc w:val="left"/>
      <w:pPr>
        <w:ind w:left="1080" w:hanging="360"/>
      </w:pPr>
      <w:rPr>
        <w:rFonts w:ascii="Courier New" w:hAnsi="Courier New" w:hint="default"/>
      </w:rPr>
    </w:lvl>
    <w:lvl w:ilvl="2" w:tplc="BFAC9CF6">
      <w:start w:val="1"/>
      <w:numFmt w:val="bullet"/>
      <w:lvlText w:val=""/>
      <w:lvlJc w:val="left"/>
      <w:pPr>
        <w:ind w:left="1800" w:hanging="360"/>
      </w:pPr>
      <w:rPr>
        <w:rFonts w:ascii="Wingdings" w:hAnsi="Wingdings" w:hint="default"/>
      </w:rPr>
    </w:lvl>
    <w:lvl w:ilvl="3" w:tplc="026A10F4">
      <w:start w:val="1"/>
      <w:numFmt w:val="bullet"/>
      <w:lvlText w:val=""/>
      <w:lvlJc w:val="left"/>
      <w:pPr>
        <w:ind w:left="2520" w:hanging="360"/>
      </w:pPr>
      <w:rPr>
        <w:rFonts w:ascii="Symbol" w:hAnsi="Symbol" w:hint="default"/>
      </w:rPr>
    </w:lvl>
    <w:lvl w:ilvl="4" w:tplc="B5ECBBEC">
      <w:start w:val="1"/>
      <w:numFmt w:val="bullet"/>
      <w:lvlText w:val="o"/>
      <w:lvlJc w:val="left"/>
      <w:pPr>
        <w:ind w:left="3240" w:hanging="360"/>
      </w:pPr>
      <w:rPr>
        <w:rFonts w:ascii="Courier New" w:hAnsi="Courier New" w:hint="default"/>
      </w:rPr>
    </w:lvl>
    <w:lvl w:ilvl="5" w:tplc="C73858CC">
      <w:start w:val="1"/>
      <w:numFmt w:val="bullet"/>
      <w:lvlText w:val=""/>
      <w:lvlJc w:val="left"/>
      <w:pPr>
        <w:ind w:left="3960" w:hanging="360"/>
      </w:pPr>
      <w:rPr>
        <w:rFonts w:ascii="Wingdings" w:hAnsi="Wingdings" w:hint="default"/>
      </w:rPr>
    </w:lvl>
    <w:lvl w:ilvl="6" w:tplc="FA32F860">
      <w:start w:val="1"/>
      <w:numFmt w:val="bullet"/>
      <w:lvlText w:val=""/>
      <w:lvlJc w:val="left"/>
      <w:pPr>
        <w:ind w:left="4680" w:hanging="360"/>
      </w:pPr>
      <w:rPr>
        <w:rFonts w:ascii="Symbol" w:hAnsi="Symbol" w:hint="default"/>
      </w:rPr>
    </w:lvl>
    <w:lvl w:ilvl="7" w:tplc="3DA430EA">
      <w:start w:val="1"/>
      <w:numFmt w:val="bullet"/>
      <w:lvlText w:val="o"/>
      <w:lvlJc w:val="left"/>
      <w:pPr>
        <w:ind w:left="5400" w:hanging="360"/>
      </w:pPr>
      <w:rPr>
        <w:rFonts w:ascii="Courier New" w:hAnsi="Courier New" w:hint="default"/>
      </w:rPr>
    </w:lvl>
    <w:lvl w:ilvl="8" w:tplc="D722ABB6">
      <w:start w:val="1"/>
      <w:numFmt w:val="bullet"/>
      <w:lvlText w:val=""/>
      <w:lvlJc w:val="left"/>
      <w:pPr>
        <w:ind w:left="6120" w:hanging="360"/>
      </w:pPr>
      <w:rPr>
        <w:rFonts w:ascii="Wingdings" w:hAnsi="Wingdings" w:hint="default"/>
      </w:rPr>
    </w:lvl>
  </w:abstractNum>
  <w:abstractNum w:abstractNumId="113" w15:restartNumberingAfterBreak="0">
    <w:nsid w:val="6E8762EC"/>
    <w:multiLevelType w:val="hybridMultilevel"/>
    <w:tmpl w:val="FFFFFFFF"/>
    <w:lvl w:ilvl="0" w:tplc="B26C563A">
      <w:start w:val="1"/>
      <w:numFmt w:val="bullet"/>
      <w:lvlText w:val=""/>
      <w:lvlJc w:val="left"/>
      <w:pPr>
        <w:ind w:left="720" w:hanging="360"/>
      </w:pPr>
      <w:rPr>
        <w:rFonts w:ascii="Symbol" w:hAnsi="Symbol" w:hint="default"/>
      </w:rPr>
    </w:lvl>
    <w:lvl w:ilvl="1" w:tplc="5BA08898">
      <w:start w:val="1"/>
      <w:numFmt w:val="bullet"/>
      <w:lvlText w:val="o"/>
      <w:lvlJc w:val="left"/>
      <w:pPr>
        <w:ind w:left="1440" w:hanging="360"/>
      </w:pPr>
      <w:rPr>
        <w:rFonts w:ascii="Courier New" w:hAnsi="Courier New" w:hint="default"/>
      </w:rPr>
    </w:lvl>
    <w:lvl w:ilvl="2" w:tplc="973075DC">
      <w:start w:val="1"/>
      <w:numFmt w:val="bullet"/>
      <w:lvlText w:val=""/>
      <w:lvlJc w:val="left"/>
      <w:pPr>
        <w:ind w:left="2160" w:hanging="360"/>
      </w:pPr>
      <w:rPr>
        <w:rFonts w:ascii="Wingdings" w:hAnsi="Wingdings" w:hint="default"/>
      </w:rPr>
    </w:lvl>
    <w:lvl w:ilvl="3" w:tplc="FFF874A0">
      <w:start w:val="1"/>
      <w:numFmt w:val="bullet"/>
      <w:lvlText w:val=""/>
      <w:lvlJc w:val="left"/>
      <w:pPr>
        <w:ind w:left="2880" w:hanging="360"/>
      </w:pPr>
      <w:rPr>
        <w:rFonts w:ascii="Symbol" w:hAnsi="Symbol" w:hint="default"/>
      </w:rPr>
    </w:lvl>
    <w:lvl w:ilvl="4" w:tplc="BF86F874">
      <w:start w:val="1"/>
      <w:numFmt w:val="bullet"/>
      <w:lvlText w:val="o"/>
      <w:lvlJc w:val="left"/>
      <w:pPr>
        <w:ind w:left="3600" w:hanging="360"/>
      </w:pPr>
      <w:rPr>
        <w:rFonts w:ascii="Courier New" w:hAnsi="Courier New" w:hint="default"/>
      </w:rPr>
    </w:lvl>
    <w:lvl w:ilvl="5" w:tplc="05A8478E">
      <w:start w:val="1"/>
      <w:numFmt w:val="bullet"/>
      <w:lvlText w:val=""/>
      <w:lvlJc w:val="left"/>
      <w:pPr>
        <w:ind w:left="4320" w:hanging="360"/>
      </w:pPr>
      <w:rPr>
        <w:rFonts w:ascii="Wingdings" w:hAnsi="Wingdings" w:hint="default"/>
      </w:rPr>
    </w:lvl>
    <w:lvl w:ilvl="6" w:tplc="7834E35E">
      <w:start w:val="1"/>
      <w:numFmt w:val="bullet"/>
      <w:lvlText w:val=""/>
      <w:lvlJc w:val="left"/>
      <w:pPr>
        <w:ind w:left="5040" w:hanging="360"/>
      </w:pPr>
      <w:rPr>
        <w:rFonts w:ascii="Symbol" w:hAnsi="Symbol" w:hint="default"/>
      </w:rPr>
    </w:lvl>
    <w:lvl w:ilvl="7" w:tplc="2EBC32D4">
      <w:start w:val="1"/>
      <w:numFmt w:val="bullet"/>
      <w:lvlText w:val="o"/>
      <w:lvlJc w:val="left"/>
      <w:pPr>
        <w:ind w:left="5760" w:hanging="360"/>
      </w:pPr>
      <w:rPr>
        <w:rFonts w:ascii="Courier New" w:hAnsi="Courier New" w:hint="default"/>
      </w:rPr>
    </w:lvl>
    <w:lvl w:ilvl="8" w:tplc="4D647198">
      <w:start w:val="1"/>
      <w:numFmt w:val="bullet"/>
      <w:lvlText w:val=""/>
      <w:lvlJc w:val="left"/>
      <w:pPr>
        <w:ind w:left="6480" w:hanging="360"/>
      </w:pPr>
      <w:rPr>
        <w:rFonts w:ascii="Wingdings" w:hAnsi="Wingdings" w:hint="default"/>
      </w:rPr>
    </w:lvl>
  </w:abstractNum>
  <w:abstractNum w:abstractNumId="114" w15:restartNumberingAfterBreak="0">
    <w:nsid w:val="6F030BE9"/>
    <w:multiLevelType w:val="hybridMultilevel"/>
    <w:tmpl w:val="E420274C"/>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7" w15:restartNumberingAfterBreak="0">
    <w:nsid w:val="6FFCE7F8"/>
    <w:multiLevelType w:val="hybridMultilevel"/>
    <w:tmpl w:val="FFFFFFFF"/>
    <w:lvl w:ilvl="0" w:tplc="1A1E6410">
      <w:start w:val="1"/>
      <w:numFmt w:val="bullet"/>
      <w:lvlText w:val=""/>
      <w:lvlJc w:val="left"/>
      <w:pPr>
        <w:ind w:left="720" w:hanging="360"/>
      </w:pPr>
      <w:rPr>
        <w:rFonts w:ascii="Symbol" w:hAnsi="Symbol" w:hint="default"/>
      </w:rPr>
    </w:lvl>
    <w:lvl w:ilvl="1" w:tplc="5A5C050E">
      <w:start w:val="1"/>
      <w:numFmt w:val="bullet"/>
      <w:lvlText w:val="o"/>
      <w:lvlJc w:val="left"/>
      <w:pPr>
        <w:ind w:left="1440" w:hanging="360"/>
      </w:pPr>
      <w:rPr>
        <w:rFonts w:ascii="Courier New" w:hAnsi="Courier New" w:hint="default"/>
      </w:rPr>
    </w:lvl>
    <w:lvl w:ilvl="2" w:tplc="66F6558A">
      <w:start w:val="1"/>
      <w:numFmt w:val="bullet"/>
      <w:lvlText w:val=""/>
      <w:lvlJc w:val="left"/>
      <w:pPr>
        <w:ind w:left="2160" w:hanging="360"/>
      </w:pPr>
      <w:rPr>
        <w:rFonts w:ascii="Wingdings" w:hAnsi="Wingdings" w:hint="default"/>
      </w:rPr>
    </w:lvl>
    <w:lvl w:ilvl="3" w:tplc="270A069C">
      <w:start w:val="1"/>
      <w:numFmt w:val="bullet"/>
      <w:lvlText w:val=""/>
      <w:lvlJc w:val="left"/>
      <w:pPr>
        <w:ind w:left="2880" w:hanging="360"/>
      </w:pPr>
      <w:rPr>
        <w:rFonts w:ascii="Symbol" w:hAnsi="Symbol" w:hint="default"/>
      </w:rPr>
    </w:lvl>
    <w:lvl w:ilvl="4" w:tplc="13702674">
      <w:start w:val="1"/>
      <w:numFmt w:val="bullet"/>
      <w:lvlText w:val="o"/>
      <w:lvlJc w:val="left"/>
      <w:pPr>
        <w:ind w:left="3600" w:hanging="360"/>
      </w:pPr>
      <w:rPr>
        <w:rFonts w:ascii="Courier New" w:hAnsi="Courier New" w:hint="default"/>
      </w:rPr>
    </w:lvl>
    <w:lvl w:ilvl="5" w:tplc="A850B064">
      <w:start w:val="1"/>
      <w:numFmt w:val="bullet"/>
      <w:lvlText w:val=""/>
      <w:lvlJc w:val="left"/>
      <w:pPr>
        <w:ind w:left="4320" w:hanging="360"/>
      </w:pPr>
      <w:rPr>
        <w:rFonts w:ascii="Wingdings" w:hAnsi="Wingdings" w:hint="default"/>
      </w:rPr>
    </w:lvl>
    <w:lvl w:ilvl="6" w:tplc="6F126340">
      <w:start w:val="1"/>
      <w:numFmt w:val="bullet"/>
      <w:lvlText w:val=""/>
      <w:lvlJc w:val="left"/>
      <w:pPr>
        <w:ind w:left="5040" w:hanging="360"/>
      </w:pPr>
      <w:rPr>
        <w:rFonts w:ascii="Symbol" w:hAnsi="Symbol" w:hint="default"/>
      </w:rPr>
    </w:lvl>
    <w:lvl w:ilvl="7" w:tplc="2A9853C6">
      <w:start w:val="1"/>
      <w:numFmt w:val="bullet"/>
      <w:lvlText w:val="o"/>
      <w:lvlJc w:val="left"/>
      <w:pPr>
        <w:ind w:left="5760" w:hanging="360"/>
      </w:pPr>
      <w:rPr>
        <w:rFonts w:ascii="Courier New" w:hAnsi="Courier New" w:hint="default"/>
      </w:rPr>
    </w:lvl>
    <w:lvl w:ilvl="8" w:tplc="29CA97BA">
      <w:start w:val="1"/>
      <w:numFmt w:val="bullet"/>
      <w:lvlText w:val=""/>
      <w:lvlJc w:val="left"/>
      <w:pPr>
        <w:ind w:left="6480" w:hanging="360"/>
      </w:pPr>
      <w:rPr>
        <w:rFonts w:ascii="Wingdings" w:hAnsi="Wingdings" w:hint="default"/>
      </w:rPr>
    </w:lvl>
  </w:abstractNum>
  <w:abstractNum w:abstractNumId="118" w15:restartNumberingAfterBreak="0">
    <w:nsid w:val="7164D081"/>
    <w:multiLevelType w:val="hybridMultilevel"/>
    <w:tmpl w:val="FFFFFFFF"/>
    <w:lvl w:ilvl="0" w:tplc="FFFFFFFF">
      <w:start w:val="1"/>
      <w:numFmt w:val="bullet"/>
      <w:lvlText w:val="-"/>
      <w:lvlJc w:val="left"/>
      <w:pPr>
        <w:ind w:left="360" w:hanging="360"/>
      </w:pPr>
      <w:rPr>
        <w:rFonts w:ascii="Aptos" w:hAnsi="Aptos" w:hint="default"/>
      </w:rPr>
    </w:lvl>
    <w:lvl w:ilvl="1" w:tplc="707CC1D8">
      <w:start w:val="1"/>
      <w:numFmt w:val="bullet"/>
      <w:lvlText w:val="o"/>
      <w:lvlJc w:val="left"/>
      <w:pPr>
        <w:ind w:left="1080" w:hanging="360"/>
      </w:pPr>
      <w:rPr>
        <w:rFonts w:ascii="Courier New" w:hAnsi="Courier New" w:hint="default"/>
      </w:rPr>
    </w:lvl>
    <w:lvl w:ilvl="2" w:tplc="2E18A3E2">
      <w:start w:val="1"/>
      <w:numFmt w:val="bullet"/>
      <w:lvlText w:val=""/>
      <w:lvlJc w:val="left"/>
      <w:pPr>
        <w:ind w:left="1800" w:hanging="360"/>
      </w:pPr>
      <w:rPr>
        <w:rFonts w:ascii="Wingdings" w:hAnsi="Wingdings" w:hint="default"/>
      </w:rPr>
    </w:lvl>
    <w:lvl w:ilvl="3" w:tplc="C02AA508">
      <w:start w:val="1"/>
      <w:numFmt w:val="bullet"/>
      <w:lvlText w:val=""/>
      <w:lvlJc w:val="left"/>
      <w:pPr>
        <w:ind w:left="2520" w:hanging="360"/>
      </w:pPr>
      <w:rPr>
        <w:rFonts w:ascii="Symbol" w:hAnsi="Symbol" w:hint="default"/>
      </w:rPr>
    </w:lvl>
    <w:lvl w:ilvl="4" w:tplc="CCAC84C2">
      <w:start w:val="1"/>
      <w:numFmt w:val="bullet"/>
      <w:lvlText w:val="o"/>
      <w:lvlJc w:val="left"/>
      <w:pPr>
        <w:ind w:left="3240" w:hanging="360"/>
      </w:pPr>
      <w:rPr>
        <w:rFonts w:ascii="Courier New" w:hAnsi="Courier New" w:hint="default"/>
      </w:rPr>
    </w:lvl>
    <w:lvl w:ilvl="5" w:tplc="AF5AA796">
      <w:start w:val="1"/>
      <w:numFmt w:val="bullet"/>
      <w:lvlText w:val=""/>
      <w:lvlJc w:val="left"/>
      <w:pPr>
        <w:ind w:left="3960" w:hanging="360"/>
      </w:pPr>
      <w:rPr>
        <w:rFonts w:ascii="Wingdings" w:hAnsi="Wingdings" w:hint="default"/>
      </w:rPr>
    </w:lvl>
    <w:lvl w:ilvl="6" w:tplc="C088B252">
      <w:start w:val="1"/>
      <w:numFmt w:val="bullet"/>
      <w:lvlText w:val=""/>
      <w:lvlJc w:val="left"/>
      <w:pPr>
        <w:ind w:left="4680" w:hanging="360"/>
      </w:pPr>
      <w:rPr>
        <w:rFonts w:ascii="Symbol" w:hAnsi="Symbol" w:hint="default"/>
      </w:rPr>
    </w:lvl>
    <w:lvl w:ilvl="7" w:tplc="7392202E">
      <w:start w:val="1"/>
      <w:numFmt w:val="bullet"/>
      <w:lvlText w:val="o"/>
      <w:lvlJc w:val="left"/>
      <w:pPr>
        <w:ind w:left="5400" w:hanging="360"/>
      </w:pPr>
      <w:rPr>
        <w:rFonts w:ascii="Courier New" w:hAnsi="Courier New" w:hint="default"/>
      </w:rPr>
    </w:lvl>
    <w:lvl w:ilvl="8" w:tplc="CF2C494E">
      <w:start w:val="1"/>
      <w:numFmt w:val="bullet"/>
      <w:lvlText w:val=""/>
      <w:lvlJc w:val="left"/>
      <w:pPr>
        <w:ind w:left="6120" w:hanging="360"/>
      </w:pPr>
      <w:rPr>
        <w:rFonts w:ascii="Wingdings" w:hAnsi="Wingdings" w:hint="default"/>
      </w:rPr>
    </w:lvl>
  </w:abstractNum>
  <w:abstractNum w:abstractNumId="119"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234DBEA"/>
    <w:multiLevelType w:val="hybridMultilevel"/>
    <w:tmpl w:val="FFFFFFFF"/>
    <w:lvl w:ilvl="0" w:tplc="EDE6504C">
      <w:start w:val="1"/>
      <w:numFmt w:val="bullet"/>
      <w:lvlText w:val="-"/>
      <w:lvlJc w:val="left"/>
      <w:pPr>
        <w:ind w:left="720" w:hanging="360"/>
      </w:pPr>
      <w:rPr>
        <w:rFonts w:ascii="Aptos" w:hAnsi="Aptos" w:hint="default"/>
      </w:rPr>
    </w:lvl>
    <w:lvl w:ilvl="1" w:tplc="F10AB982">
      <w:start w:val="1"/>
      <w:numFmt w:val="bullet"/>
      <w:lvlText w:val="o"/>
      <w:lvlJc w:val="left"/>
      <w:pPr>
        <w:ind w:left="1440" w:hanging="360"/>
      </w:pPr>
      <w:rPr>
        <w:rFonts w:ascii="Courier New" w:hAnsi="Courier New" w:hint="default"/>
      </w:rPr>
    </w:lvl>
    <w:lvl w:ilvl="2" w:tplc="615A491A">
      <w:start w:val="1"/>
      <w:numFmt w:val="bullet"/>
      <w:lvlText w:val=""/>
      <w:lvlJc w:val="left"/>
      <w:pPr>
        <w:ind w:left="2160" w:hanging="360"/>
      </w:pPr>
      <w:rPr>
        <w:rFonts w:ascii="Wingdings" w:hAnsi="Wingdings" w:hint="default"/>
      </w:rPr>
    </w:lvl>
    <w:lvl w:ilvl="3" w:tplc="E22EA0E4">
      <w:start w:val="1"/>
      <w:numFmt w:val="bullet"/>
      <w:lvlText w:val=""/>
      <w:lvlJc w:val="left"/>
      <w:pPr>
        <w:ind w:left="2880" w:hanging="360"/>
      </w:pPr>
      <w:rPr>
        <w:rFonts w:ascii="Symbol" w:hAnsi="Symbol" w:hint="default"/>
      </w:rPr>
    </w:lvl>
    <w:lvl w:ilvl="4" w:tplc="E8189CE8">
      <w:start w:val="1"/>
      <w:numFmt w:val="bullet"/>
      <w:lvlText w:val="o"/>
      <w:lvlJc w:val="left"/>
      <w:pPr>
        <w:ind w:left="3600" w:hanging="360"/>
      </w:pPr>
      <w:rPr>
        <w:rFonts w:ascii="Courier New" w:hAnsi="Courier New" w:hint="default"/>
      </w:rPr>
    </w:lvl>
    <w:lvl w:ilvl="5" w:tplc="E5EC3BDA">
      <w:start w:val="1"/>
      <w:numFmt w:val="bullet"/>
      <w:lvlText w:val=""/>
      <w:lvlJc w:val="left"/>
      <w:pPr>
        <w:ind w:left="4320" w:hanging="360"/>
      </w:pPr>
      <w:rPr>
        <w:rFonts w:ascii="Wingdings" w:hAnsi="Wingdings" w:hint="default"/>
      </w:rPr>
    </w:lvl>
    <w:lvl w:ilvl="6" w:tplc="96887CC0">
      <w:start w:val="1"/>
      <w:numFmt w:val="bullet"/>
      <w:lvlText w:val=""/>
      <w:lvlJc w:val="left"/>
      <w:pPr>
        <w:ind w:left="5040" w:hanging="360"/>
      </w:pPr>
      <w:rPr>
        <w:rFonts w:ascii="Symbol" w:hAnsi="Symbol" w:hint="default"/>
      </w:rPr>
    </w:lvl>
    <w:lvl w:ilvl="7" w:tplc="354C35CC">
      <w:start w:val="1"/>
      <w:numFmt w:val="bullet"/>
      <w:lvlText w:val="o"/>
      <w:lvlJc w:val="left"/>
      <w:pPr>
        <w:ind w:left="5760" w:hanging="360"/>
      </w:pPr>
      <w:rPr>
        <w:rFonts w:ascii="Courier New" w:hAnsi="Courier New" w:hint="default"/>
      </w:rPr>
    </w:lvl>
    <w:lvl w:ilvl="8" w:tplc="65328EA0">
      <w:start w:val="1"/>
      <w:numFmt w:val="bullet"/>
      <w:lvlText w:val=""/>
      <w:lvlJc w:val="left"/>
      <w:pPr>
        <w:ind w:left="6480" w:hanging="360"/>
      </w:pPr>
      <w:rPr>
        <w:rFonts w:ascii="Wingdings" w:hAnsi="Wingdings" w:hint="default"/>
      </w:rPr>
    </w:lvl>
  </w:abstractNum>
  <w:abstractNum w:abstractNumId="121" w15:restartNumberingAfterBreak="0">
    <w:nsid w:val="72BE41A1"/>
    <w:multiLevelType w:val="hybridMultilevel"/>
    <w:tmpl w:val="C1A46990"/>
    <w:lvl w:ilvl="0" w:tplc="5B22B114">
      <w:start w:val="1"/>
      <w:numFmt w:val="bullet"/>
      <w:lvlText w:val="-"/>
      <w:lvlJc w:val="left"/>
      <w:pPr>
        <w:ind w:left="720" w:hanging="360"/>
      </w:pPr>
      <w:rPr>
        <w:rFonts w:ascii="Aptos" w:hAnsi="Aptos" w:hint="default"/>
      </w:rPr>
    </w:lvl>
    <w:lvl w:ilvl="1" w:tplc="C248E370">
      <w:start w:val="1"/>
      <w:numFmt w:val="bullet"/>
      <w:lvlText w:val="o"/>
      <w:lvlJc w:val="left"/>
      <w:pPr>
        <w:ind w:left="1440" w:hanging="360"/>
      </w:pPr>
      <w:rPr>
        <w:rFonts w:ascii="Courier New" w:hAnsi="Courier New" w:hint="default"/>
      </w:rPr>
    </w:lvl>
    <w:lvl w:ilvl="2" w:tplc="FC5865FC">
      <w:start w:val="1"/>
      <w:numFmt w:val="bullet"/>
      <w:lvlText w:val=""/>
      <w:lvlJc w:val="left"/>
      <w:pPr>
        <w:ind w:left="2160" w:hanging="360"/>
      </w:pPr>
      <w:rPr>
        <w:rFonts w:ascii="Wingdings" w:hAnsi="Wingdings" w:hint="default"/>
      </w:rPr>
    </w:lvl>
    <w:lvl w:ilvl="3" w:tplc="E90E49DC">
      <w:start w:val="1"/>
      <w:numFmt w:val="bullet"/>
      <w:lvlText w:val=""/>
      <w:lvlJc w:val="left"/>
      <w:pPr>
        <w:ind w:left="2880" w:hanging="360"/>
      </w:pPr>
      <w:rPr>
        <w:rFonts w:ascii="Symbol" w:hAnsi="Symbol" w:hint="default"/>
      </w:rPr>
    </w:lvl>
    <w:lvl w:ilvl="4" w:tplc="D4649442">
      <w:start w:val="1"/>
      <w:numFmt w:val="bullet"/>
      <w:lvlText w:val="o"/>
      <w:lvlJc w:val="left"/>
      <w:pPr>
        <w:ind w:left="3600" w:hanging="360"/>
      </w:pPr>
      <w:rPr>
        <w:rFonts w:ascii="Courier New" w:hAnsi="Courier New" w:hint="default"/>
      </w:rPr>
    </w:lvl>
    <w:lvl w:ilvl="5" w:tplc="3FFAA960">
      <w:start w:val="1"/>
      <w:numFmt w:val="bullet"/>
      <w:lvlText w:val=""/>
      <w:lvlJc w:val="left"/>
      <w:pPr>
        <w:ind w:left="4320" w:hanging="360"/>
      </w:pPr>
      <w:rPr>
        <w:rFonts w:ascii="Wingdings" w:hAnsi="Wingdings" w:hint="default"/>
      </w:rPr>
    </w:lvl>
    <w:lvl w:ilvl="6" w:tplc="3EA4887A">
      <w:start w:val="1"/>
      <w:numFmt w:val="bullet"/>
      <w:lvlText w:val=""/>
      <w:lvlJc w:val="left"/>
      <w:pPr>
        <w:ind w:left="5040" w:hanging="360"/>
      </w:pPr>
      <w:rPr>
        <w:rFonts w:ascii="Symbol" w:hAnsi="Symbol" w:hint="default"/>
      </w:rPr>
    </w:lvl>
    <w:lvl w:ilvl="7" w:tplc="47FE6276">
      <w:start w:val="1"/>
      <w:numFmt w:val="bullet"/>
      <w:lvlText w:val="o"/>
      <w:lvlJc w:val="left"/>
      <w:pPr>
        <w:ind w:left="5760" w:hanging="360"/>
      </w:pPr>
      <w:rPr>
        <w:rFonts w:ascii="Courier New" w:hAnsi="Courier New" w:hint="default"/>
      </w:rPr>
    </w:lvl>
    <w:lvl w:ilvl="8" w:tplc="ABB6DE68">
      <w:start w:val="1"/>
      <w:numFmt w:val="bullet"/>
      <w:lvlText w:val=""/>
      <w:lvlJc w:val="left"/>
      <w:pPr>
        <w:ind w:left="6480" w:hanging="360"/>
      </w:pPr>
      <w:rPr>
        <w:rFonts w:ascii="Wingdings" w:hAnsi="Wingdings" w:hint="default"/>
      </w:rPr>
    </w:lvl>
  </w:abstractNum>
  <w:abstractNum w:abstractNumId="122" w15:restartNumberingAfterBreak="0">
    <w:nsid w:val="73415BB9"/>
    <w:multiLevelType w:val="hybridMultilevel"/>
    <w:tmpl w:val="073E1D3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6302E7C"/>
    <w:multiLevelType w:val="hybridMultilevel"/>
    <w:tmpl w:val="38AA5A64"/>
    <w:lvl w:ilvl="0" w:tplc="0FEAF158">
      <w:start w:val="1"/>
      <w:numFmt w:val="bullet"/>
      <w:lvlText w:val=""/>
      <w:lvlJc w:val="left"/>
      <w:pPr>
        <w:ind w:left="1788" w:hanging="360"/>
      </w:pPr>
      <w:rPr>
        <w:rFonts w:ascii="Symbol" w:hAnsi="Symbol" w:hint="default"/>
      </w:rPr>
    </w:lvl>
    <w:lvl w:ilvl="1" w:tplc="6E38F49A">
      <w:start w:val="1"/>
      <w:numFmt w:val="bullet"/>
      <w:lvlText w:val="o"/>
      <w:lvlJc w:val="left"/>
      <w:pPr>
        <w:ind w:left="1791" w:hanging="360"/>
      </w:pPr>
      <w:rPr>
        <w:rFonts w:ascii="Courier New" w:hAnsi="Courier New" w:hint="default"/>
      </w:rPr>
    </w:lvl>
    <w:lvl w:ilvl="2" w:tplc="57304E4E">
      <w:start w:val="1"/>
      <w:numFmt w:val="bullet"/>
      <w:lvlText w:val=""/>
      <w:lvlJc w:val="left"/>
      <w:pPr>
        <w:ind w:left="2511" w:hanging="360"/>
      </w:pPr>
      <w:rPr>
        <w:rFonts w:ascii="Wingdings" w:hAnsi="Wingdings" w:hint="default"/>
      </w:rPr>
    </w:lvl>
    <w:lvl w:ilvl="3" w:tplc="8FFA155E">
      <w:start w:val="1"/>
      <w:numFmt w:val="bullet"/>
      <w:lvlText w:val=""/>
      <w:lvlJc w:val="left"/>
      <w:pPr>
        <w:ind w:left="3231" w:hanging="360"/>
      </w:pPr>
      <w:rPr>
        <w:rFonts w:ascii="Symbol" w:hAnsi="Symbol" w:hint="default"/>
      </w:rPr>
    </w:lvl>
    <w:lvl w:ilvl="4" w:tplc="3C1A43B6">
      <w:start w:val="1"/>
      <w:numFmt w:val="bullet"/>
      <w:lvlText w:val="o"/>
      <w:lvlJc w:val="left"/>
      <w:pPr>
        <w:ind w:left="3951" w:hanging="360"/>
      </w:pPr>
      <w:rPr>
        <w:rFonts w:ascii="Courier New" w:hAnsi="Courier New" w:hint="default"/>
      </w:rPr>
    </w:lvl>
    <w:lvl w:ilvl="5" w:tplc="1BA01F3C">
      <w:start w:val="1"/>
      <w:numFmt w:val="bullet"/>
      <w:lvlText w:val=""/>
      <w:lvlJc w:val="left"/>
      <w:pPr>
        <w:ind w:left="4671" w:hanging="360"/>
      </w:pPr>
      <w:rPr>
        <w:rFonts w:ascii="Wingdings" w:hAnsi="Wingdings" w:hint="default"/>
      </w:rPr>
    </w:lvl>
    <w:lvl w:ilvl="6" w:tplc="C316B8B0">
      <w:start w:val="1"/>
      <w:numFmt w:val="bullet"/>
      <w:lvlText w:val=""/>
      <w:lvlJc w:val="left"/>
      <w:pPr>
        <w:ind w:left="5391" w:hanging="360"/>
      </w:pPr>
      <w:rPr>
        <w:rFonts w:ascii="Symbol" w:hAnsi="Symbol" w:hint="default"/>
      </w:rPr>
    </w:lvl>
    <w:lvl w:ilvl="7" w:tplc="B5760422">
      <w:start w:val="1"/>
      <w:numFmt w:val="bullet"/>
      <w:lvlText w:val="o"/>
      <w:lvlJc w:val="left"/>
      <w:pPr>
        <w:ind w:left="6111" w:hanging="360"/>
      </w:pPr>
      <w:rPr>
        <w:rFonts w:ascii="Courier New" w:hAnsi="Courier New" w:hint="default"/>
      </w:rPr>
    </w:lvl>
    <w:lvl w:ilvl="8" w:tplc="EE34E6C4">
      <w:start w:val="1"/>
      <w:numFmt w:val="bullet"/>
      <w:lvlText w:val=""/>
      <w:lvlJc w:val="left"/>
      <w:pPr>
        <w:ind w:left="6831" w:hanging="360"/>
      </w:pPr>
      <w:rPr>
        <w:rFonts w:ascii="Wingdings" w:hAnsi="Wingdings" w:hint="default"/>
      </w:rPr>
    </w:lvl>
  </w:abstractNum>
  <w:abstractNum w:abstractNumId="125" w15:restartNumberingAfterBreak="0">
    <w:nsid w:val="78C14561"/>
    <w:multiLevelType w:val="hybridMultilevel"/>
    <w:tmpl w:val="5CCA1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7B8B61D6"/>
    <w:multiLevelType w:val="hybridMultilevel"/>
    <w:tmpl w:val="8FA4F864"/>
    <w:lvl w:ilvl="0" w:tplc="2884C28E">
      <w:start w:val="1"/>
      <w:numFmt w:val="bullet"/>
      <w:lvlText w:val=""/>
      <w:lvlJc w:val="left"/>
      <w:pPr>
        <w:ind w:left="720" w:hanging="360"/>
      </w:pPr>
      <w:rPr>
        <w:rFonts w:ascii="Symbol" w:hAnsi="Symbol" w:hint="default"/>
      </w:rPr>
    </w:lvl>
    <w:lvl w:ilvl="1" w:tplc="7C42615E" w:tentative="1">
      <w:start w:val="1"/>
      <w:numFmt w:val="bullet"/>
      <w:lvlText w:val="o"/>
      <w:lvlJc w:val="left"/>
      <w:pPr>
        <w:ind w:left="1440" w:hanging="360"/>
      </w:pPr>
      <w:rPr>
        <w:rFonts w:ascii="Courier New" w:hAnsi="Courier New" w:hint="default"/>
      </w:rPr>
    </w:lvl>
    <w:lvl w:ilvl="2" w:tplc="C1FC50CE" w:tentative="1">
      <w:start w:val="1"/>
      <w:numFmt w:val="bullet"/>
      <w:lvlText w:val=""/>
      <w:lvlJc w:val="left"/>
      <w:pPr>
        <w:ind w:left="2160" w:hanging="360"/>
      </w:pPr>
      <w:rPr>
        <w:rFonts w:ascii="Wingdings" w:hAnsi="Wingdings" w:hint="default"/>
      </w:rPr>
    </w:lvl>
    <w:lvl w:ilvl="3" w:tplc="5E985D5E" w:tentative="1">
      <w:start w:val="1"/>
      <w:numFmt w:val="bullet"/>
      <w:lvlText w:val=""/>
      <w:lvlJc w:val="left"/>
      <w:pPr>
        <w:ind w:left="2880" w:hanging="360"/>
      </w:pPr>
      <w:rPr>
        <w:rFonts w:ascii="Symbol" w:hAnsi="Symbol" w:hint="default"/>
      </w:rPr>
    </w:lvl>
    <w:lvl w:ilvl="4" w:tplc="556EBB40" w:tentative="1">
      <w:start w:val="1"/>
      <w:numFmt w:val="bullet"/>
      <w:lvlText w:val="o"/>
      <w:lvlJc w:val="left"/>
      <w:pPr>
        <w:ind w:left="3600" w:hanging="360"/>
      </w:pPr>
      <w:rPr>
        <w:rFonts w:ascii="Courier New" w:hAnsi="Courier New" w:hint="default"/>
      </w:rPr>
    </w:lvl>
    <w:lvl w:ilvl="5" w:tplc="F85C63B4" w:tentative="1">
      <w:start w:val="1"/>
      <w:numFmt w:val="bullet"/>
      <w:lvlText w:val=""/>
      <w:lvlJc w:val="left"/>
      <w:pPr>
        <w:ind w:left="4320" w:hanging="360"/>
      </w:pPr>
      <w:rPr>
        <w:rFonts w:ascii="Wingdings" w:hAnsi="Wingdings" w:hint="default"/>
      </w:rPr>
    </w:lvl>
    <w:lvl w:ilvl="6" w:tplc="457E614A" w:tentative="1">
      <w:start w:val="1"/>
      <w:numFmt w:val="bullet"/>
      <w:lvlText w:val=""/>
      <w:lvlJc w:val="left"/>
      <w:pPr>
        <w:ind w:left="5040" w:hanging="360"/>
      </w:pPr>
      <w:rPr>
        <w:rFonts w:ascii="Symbol" w:hAnsi="Symbol" w:hint="default"/>
      </w:rPr>
    </w:lvl>
    <w:lvl w:ilvl="7" w:tplc="DDEE97D0" w:tentative="1">
      <w:start w:val="1"/>
      <w:numFmt w:val="bullet"/>
      <w:lvlText w:val="o"/>
      <w:lvlJc w:val="left"/>
      <w:pPr>
        <w:ind w:left="5760" w:hanging="360"/>
      </w:pPr>
      <w:rPr>
        <w:rFonts w:ascii="Courier New" w:hAnsi="Courier New" w:hint="default"/>
      </w:rPr>
    </w:lvl>
    <w:lvl w:ilvl="8" w:tplc="B490A4EA" w:tentative="1">
      <w:start w:val="1"/>
      <w:numFmt w:val="bullet"/>
      <w:lvlText w:val=""/>
      <w:lvlJc w:val="left"/>
      <w:pPr>
        <w:ind w:left="6480" w:hanging="360"/>
      </w:pPr>
      <w:rPr>
        <w:rFonts w:ascii="Wingdings" w:hAnsi="Wingdings" w:hint="default"/>
      </w:rPr>
    </w:lvl>
  </w:abstractNum>
  <w:abstractNum w:abstractNumId="127" w15:restartNumberingAfterBreak="0">
    <w:nsid w:val="7CEE0C17"/>
    <w:multiLevelType w:val="hybridMultilevel"/>
    <w:tmpl w:val="12C42AB6"/>
    <w:lvl w:ilvl="0" w:tplc="00169954">
      <w:start w:val="1"/>
      <w:numFmt w:val="lowerLetter"/>
      <w:lvlText w:val="%1)"/>
      <w:lvlJc w:val="left"/>
      <w:pPr>
        <w:ind w:left="1020" w:hanging="360"/>
      </w:pPr>
    </w:lvl>
    <w:lvl w:ilvl="1" w:tplc="D2AA39E4">
      <w:start w:val="1"/>
      <w:numFmt w:val="lowerLetter"/>
      <w:lvlText w:val="%2)"/>
      <w:lvlJc w:val="left"/>
      <w:pPr>
        <w:ind w:left="1020" w:hanging="360"/>
      </w:pPr>
    </w:lvl>
    <w:lvl w:ilvl="2" w:tplc="6846E53A">
      <w:start w:val="1"/>
      <w:numFmt w:val="lowerLetter"/>
      <w:lvlText w:val="%3)"/>
      <w:lvlJc w:val="left"/>
      <w:pPr>
        <w:ind w:left="1020" w:hanging="360"/>
      </w:pPr>
    </w:lvl>
    <w:lvl w:ilvl="3" w:tplc="77A45908">
      <w:start w:val="1"/>
      <w:numFmt w:val="lowerLetter"/>
      <w:lvlText w:val="%4)"/>
      <w:lvlJc w:val="left"/>
      <w:pPr>
        <w:ind w:left="1020" w:hanging="360"/>
      </w:pPr>
    </w:lvl>
    <w:lvl w:ilvl="4" w:tplc="FB9671D2">
      <w:start w:val="1"/>
      <w:numFmt w:val="lowerLetter"/>
      <w:lvlText w:val="%5)"/>
      <w:lvlJc w:val="left"/>
      <w:pPr>
        <w:ind w:left="1020" w:hanging="360"/>
      </w:pPr>
    </w:lvl>
    <w:lvl w:ilvl="5" w:tplc="00B0C40E">
      <w:start w:val="1"/>
      <w:numFmt w:val="lowerLetter"/>
      <w:lvlText w:val="%6)"/>
      <w:lvlJc w:val="left"/>
      <w:pPr>
        <w:ind w:left="1020" w:hanging="360"/>
      </w:pPr>
    </w:lvl>
    <w:lvl w:ilvl="6" w:tplc="F63261EA">
      <w:start w:val="1"/>
      <w:numFmt w:val="lowerLetter"/>
      <w:lvlText w:val="%7)"/>
      <w:lvlJc w:val="left"/>
      <w:pPr>
        <w:ind w:left="1020" w:hanging="360"/>
      </w:pPr>
    </w:lvl>
    <w:lvl w:ilvl="7" w:tplc="BDA88C52">
      <w:start w:val="1"/>
      <w:numFmt w:val="lowerLetter"/>
      <w:lvlText w:val="%8)"/>
      <w:lvlJc w:val="left"/>
      <w:pPr>
        <w:ind w:left="1020" w:hanging="360"/>
      </w:pPr>
    </w:lvl>
    <w:lvl w:ilvl="8" w:tplc="AC42F9B4">
      <w:start w:val="1"/>
      <w:numFmt w:val="lowerLetter"/>
      <w:lvlText w:val="%9)"/>
      <w:lvlJc w:val="left"/>
      <w:pPr>
        <w:ind w:left="1020" w:hanging="360"/>
      </w:pPr>
    </w:lvl>
  </w:abstractNum>
  <w:abstractNum w:abstractNumId="128" w15:restartNumberingAfterBreak="0">
    <w:nsid w:val="7E3E517A"/>
    <w:multiLevelType w:val="hybridMultilevel"/>
    <w:tmpl w:val="BF7C9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130" w15:restartNumberingAfterBreak="0">
    <w:nsid w:val="7F4A0F74"/>
    <w:multiLevelType w:val="hybridMultilevel"/>
    <w:tmpl w:val="FFFFFFFF"/>
    <w:lvl w:ilvl="0" w:tplc="881AB710">
      <w:start w:val="1"/>
      <w:numFmt w:val="bullet"/>
      <w:lvlText w:val="-"/>
      <w:lvlJc w:val="left"/>
      <w:pPr>
        <w:ind w:left="720" w:hanging="360"/>
      </w:pPr>
      <w:rPr>
        <w:rFonts w:ascii="Aptos" w:hAnsi="Aptos" w:hint="default"/>
      </w:rPr>
    </w:lvl>
    <w:lvl w:ilvl="1" w:tplc="5BB6F2F0">
      <w:start w:val="1"/>
      <w:numFmt w:val="bullet"/>
      <w:lvlText w:val="o"/>
      <w:lvlJc w:val="left"/>
      <w:pPr>
        <w:ind w:left="1440" w:hanging="360"/>
      </w:pPr>
      <w:rPr>
        <w:rFonts w:ascii="Courier New" w:hAnsi="Courier New" w:hint="default"/>
      </w:rPr>
    </w:lvl>
    <w:lvl w:ilvl="2" w:tplc="7A3CEB66">
      <w:start w:val="1"/>
      <w:numFmt w:val="bullet"/>
      <w:lvlText w:val=""/>
      <w:lvlJc w:val="left"/>
      <w:pPr>
        <w:ind w:left="2160" w:hanging="360"/>
      </w:pPr>
      <w:rPr>
        <w:rFonts w:ascii="Wingdings" w:hAnsi="Wingdings" w:hint="default"/>
      </w:rPr>
    </w:lvl>
    <w:lvl w:ilvl="3" w:tplc="4F38956C">
      <w:start w:val="1"/>
      <w:numFmt w:val="bullet"/>
      <w:lvlText w:val=""/>
      <w:lvlJc w:val="left"/>
      <w:pPr>
        <w:ind w:left="2880" w:hanging="360"/>
      </w:pPr>
      <w:rPr>
        <w:rFonts w:ascii="Symbol" w:hAnsi="Symbol" w:hint="default"/>
      </w:rPr>
    </w:lvl>
    <w:lvl w:ilvl="4" w:tplc="D4323FC8">
      <w:start w:val="1"/>
      <w:numFmt w:val="bullet"/>
      <w:lvlText w:val="o"/>
      <w:lvlJc w:val="left"/>
      <w:pPr>
        <w:ind w:left="3600" w:hanging="360"/>
      </w:pPr>
      <w:rPr>
        <w:rFonts w:ascii="Courier New" w:hAnsi="Courier New" w:hint="default"/>
      </w:rPr>
    </w:lvl>
    <w:lvl w:ilvl="5" w:tplc="31FAC86A">
      <w:start w:val="1"/>
      <w:numFmt w:val="bullet"/>
      <w:lvlText w:val=""/>
      <w:lvlJc w:val="left"/>
      <w:pPr>
        <w:ind w:left="4320" w:hanging="360"/>
      </w:pPr>
      <w:rPr>
        <w:rFonts w:ascii="Wingdings" w:hAnsi="Wingdings" w:hint="default"/>
      </w:rPr>
    </w:lvl>
    <w:lvl w:ilvl="6" w:tplc="445CDF90">
      <w:start w:val="1"/>
      <w:numFmt w:val="bullet"/>
      <w:lvlText w:val=""/>
      <w:lvlJc w:val="left"/>
      <w:pPr>
        <w:ind w:left="5040" w:hanging="360"/>
      </w:pPr>
      <w:rPr>
        <w:rFonts w:ascii="Symbol" w:hAnsi="Symbol" w:hint="default"/>
      </w:rPr>
    </w:lvl>
    <w:lvl w:ilvl="7" w:tplc="1EE49AE2">
      <w:start w:val="1"/>
      <w:numFmt w:val="bullet"/>
      <w:lvlText w:val="o"/>
      <w:lvlJc w:val="left"/>
      <w:pPr>
        <w:ind w:left="5760" w:hanging="360"/>
      </w:pPr>
      <w:rPr>
        <w:rFonts w:ascii="Courier New" w:hAnsi="Courier New" w:hint="default"/>
      </w:rPr>
    </w:lvl>
    <w:lvl w:ilvl="8" w:tplc="3B742392">
      <w:start w:val="1"/>
      <w:numFmt w:val="bullet"/>
      <w:lvlText w:val=""/>
      <w:lvlJc w:val="left"/>
      <w:pPr>
        <w:ind w:left="6480" w:hanging="360"/>
      </w:pPr>
      <w:rPr>
        <w:rFonts w:ascii="Wingdings" w:hAnsi="Wingdings" w:hint="default"/>
      </w:rPr>
    </w:lvl>
  </w:abstractNum>
  <w:num w:numId="1" w16cid:durableId="845898284">
    <w:abstractNumId w:val="35"/>
  </w:num>
  <w:num w:numId="2" w16cid:durableId="2044749849">
    <w:abstractNumId w:val="112"/>
  </w:num>
  <w:num w:numId="3" w16cid:durableId="1194226730">
    <w:abstractNumId w:val="118"/>
  </w:num>
  <w:num w:numId="4" w16cid:durableId="215093582">
    <w:abstractNumId w:val="64"/>
  </w:num>
  <w:num w:numId="5" w16cid:durableId="1558203407">
    <w:abstractNumId w:val="10"/>
  </w:num>
  <w:num w:numId="6" w16cid:durableId="15888047">
    <w:abstractNumId w:val="104"/>
  </w:num>
  <w:num w:numId="7" w16cid:durableId="11955240">
    <w:abstractNumId w:val="0"/>
  </w:num>
  <w:num w:numId="8" w16cid:durableId="1341926397">
    <w:abstractNumId w:val="11"/>
  </w:num>
  <w:num w:numId="9" w16cid:durableId="741099042">
    <w:abstractNumId w:val="79"/>
  </w:num>
  <w:num w:numId="10" w16cid:durableId="1851022890">
    <w:abstractNumId w:val="67"/>
  </w:num>
  <w:num w:numId="11" w16cid:durableId="2126804266">
    <w:abstractNumId w:val="47"/>
  </w:num>
  <w:num w:numId="12" w16cid:durableId="315955996">
    <w:abstractNumId w:val="87"/>
  </w:num>
  <w:num w:numId="13" w16cid:durableId="1780644263">
    <w:abstractNumId w:val="129"/>
  </w:num>
  <w:num w:numId="14" w16cid:durableId="1163349202">
    <w:abstractNumId w:val="65"/>
  </w:num>
  <w:num w:numId="15" w16cid:durableId="1795638043">
    <w:abstractNumId w:val="40"/>
  </w:num>
  <w:num w:numId="16" w16cid:durableId="648174725">
    <w:abstractNumId w:val="31"/>
  </w:num>
  <w:num w:numId="17" w16cid:durableId="807894097">
    <w:abstractNumId w:val="73"/>
  </w:num>
  <w:num w:numId="18" w16cid:durableId="1722903576">
    <w:abstractNumId w:val="68"/>
  </w:num>
  <w:num w:numId="19" w16cid:durableId="809860928">
    <w:abstractNumId w:val="123"/>
  </w:num>
  <w:num w:numId="20" w16cid:durableId="7557844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984342">
    <w:abstractNumId w:val="7"/>
  </w:num>
  <w:num w:numId="22" w16cid:durableId="1446122079">
    <w:abstractNumId w:val="106"/>
  </w:num>
  <w:num w:numId="23" w16cid:durableId="881482801">
    <w:abstractNumId w:val="39"/>
  </w:num>
  <w:num w:numId="24" w16cid:durableId="692726843">
    <w:abstractNumId w:val="110"/>
  </w:num>
  <w:num w:numId="25" w16cid:durableId="1042708549">
    <w:abstractNumId w:val="66"/>
  </w:num>
  <w:num w:numId="26" w16cid:durableId="186607318">
    <w:abstractNumId w:val="38"/>
  </w:num>
  <w:num w:numId="27" w16cid:durableId="1298028674">
    <w:abstractNumId w:val="107"/>
  </w:num>
  <w:num w:numId="28" w16cid:durableId="1714497002">
    <w:abstractNumId w:val="95"/>
  </w:num>
  <w:num w:numId="29" w16cid:durableId="2132282825">
    <w:abstractNumId w:val="115"/>
  </w:num>
  <w:num w:numId="30" w16cid:durableId="1578855986">
    <w:abstractNumId w:val="41"/>
  </w:num>
  <w:num w:numId="31" w16cid:durableId="1280450312">
    <w:abstractNumId w:val="97"/>
  </w:num>
  <w:num w:numId="32" w16cid:durableId="1656294421">
    <w:abstractNumId w:val="24"/>
  </w:num>
  <w:num w:numId="33" w16cid:durableId="1326085640">
    <w:abstractNumId w:val="80"/>
  </w:num>
  <w:num w:numId="34" w16cid:durableId="2049603977">
    <w:abstractNumId w:val="50"/>
  </w:num>
  <w:num w:numId="35" w16cid:durableId="551038796">
    <w:abstractNumId w:val="119"/>
  </w:num>
  <w:num w:numId="36" w16cid:durableId="12147515">
    <w:abstractNumId w:val="102"/>
  </w:num>
  <w:num w:numId="37" w16cid:durableId="1624921217">
    <w:abstractNumId w:val="5"/>
  </w:num>
  <w:num w:numId="38" w16cid:durableId="1263996075">
    <w:abstractNumId w:val="57"/>
  </w:num>
  <w:num w:numId="39" w16cid:durableId="1108433268">
    <w:abstractNumId w:val="36"/>
  </w:num>
  <w:num w:numId="40" w16cid:durableId="143670352">
    <w:abstractNumId w:val="13"/>
  </w:num>
  <w:num w:numId="41" w16cid:durableId="216165830">
    <w:abstractNumId w:val="8"/>
  </w:num>
  <w:num w:numId="42" w16cid:durableId="2057313044">
    <w:abstractNumId w:val="27"/>
  </w:num>
  <w:num w:numId="43" w16cid:durableId="514609774">
    <w:abstractNumId w:val="37"/>
  </w:num>
  <w:num w:numId="44" w16cid:durableId="1511021962">
    <w:abstractNumId w:val="58"/>
  </w:num>
  <w:num w:numId="45" w16cid:durableId="1818911177">
    <w:abstractNumId w:val="53"/>
  </w:num>
  <w:num w:numId="46" w16cid:durableId="348138910">
    <w:abstractNumId w:val="29"/>
  </w:num>
  <w:num w:numId="47" w16cid:durableId="87583347">
    <w:abstractNumId w:val="116"/>
  </w:num>
  <w:num w:numId="48" w16cid:durableId="3501848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3542071">
    <w:abstractNumId w:val="21"/>
  </w:num>
  <w:num w:numId="50" w16cid:durableId="1459758265">
    <w:abstractNumId w:val="48"/>
  </w:num>
  <w:num w:numId="51" w16cid:durableId="355543190">
    <w:abstractNumId w:val="46"/>
  </w:num>
  <w:num w:numId="52" w16cid:durableId="1262563475">
    <w:abstractNumId w:val="120"/>
  </w:num>
  <w:num w:numId="53" w16cid:durableId="1681083635">
    <w:abstractNumId w:val="113"/>
  </w:num>
  <w:num w:numId="54" w16cid:durableId="350687736">
    <w:abstractNumId w:val="18"/>
  </w:num>
  <w:num w:numId="55" w16cid:durableId="23747918">
    <w:abstractNumId w:val="2"/>
  </w:num>
  <w:num w:numId="56" w16cid:durableId="277303463">
    <w:abstractNumId w:val="83"/>
  </w:num>
  <w:num w:numId="57" w16cid:durableId="475493417">
    <w:abstractNumId w:val="89"/>
  </w:num>
  <w:num w:numId="58" w16cid:durableId="2014644229">
    <w:abstractNumId w:val="92"/>
  </w:num>
  <w:num w:numId="59" w16cid:durableId="1032417444">
    <w:abstractNumId w:val="4"/>
  </w:num>
  <w:num w:numId="60" w16cid:durableId="1247961254">
    <w:abstractNumId w:val="81"/>
  </w:num>
  <w:num w:numId="61" w16cid:durableId="641274490">
    <w:abstractNumId w:val="51"/>
  </w:num>
  <w:num w:numId="62" w16cid:durableId="1267617757">
    <w:abstractNumId w:val="63"/>
  </w:num>
  <w:num w:numId="63" w16cid:durableId="62022630">
    <w:abstractNumId w:val="74"/>
  </w:num>
  <w:num w:numId="64" w16cid:durableId="1008559214">
    <w:abstractNumId w:val="130"/>
  </w:num>
  <w:num w:numId="65" w16cid:durableId="456148050">
    <w:abstractNumId w:val="42"/>
  </w:num>
  <w:num w:numId="66" w16cid:durableId="122432891">
    <w:abstractNumId w:val="22"/>
  </w:num>
  <w:num w:numId="67" w16cid:durableId="409667644">
    <w:abstractNumId w:val="14"/>
  </w:num>
  <w:num w:numId="68" w16cid:durableId="1273128608">
    <w:abstractNumId w:val="99"/>
  </w:num>
  <w:num w:numId="69" w16cid:durableId="1547064680">
    <w:abstractNumId w:val="56"/>
  </w:num>
  <w:num w:numId="70" w16cid:durableId="182473970">
    <w:abstractNumId w:val="77"/>
  </w:num>
  <w:num w:numId="71" w16cid:durableId="2122920623">
    <w:abstractNumId w:val="94"/>
  </w:num>
  <w:num w:numId="72" w16cid:durableId="927232753">
    <w:abstractNumId w:val="33"/>
  </w:num>
  <w:num w:numId="73" w16cid:durableId="170414996">
    <w:abstractNumId w:val="45"/>
  </w:num>
  <w:num w:numId="74" w16cid:durableId="1799568461">
    <w:abstractNumId w:val="26"/>
  </w:num>
  <w:num w:numId="75" w16cid:durableId="1944725843">
    <w:abstractNumId w:val="15"/>
  </w:num>
  <w:num w:numId="76" w16cid:durableId="944922641">
    <w:abstractNumId w:val="59"/>
  </w:num>
  <w:num w:numId="77" w16cid:durableId="1878541085">
    <w:abstractNumId w:val="111"/>
  </w:num>
  <w:num w:numId="78" w16cid:durableId="1121649977">
    <w:abstractNumId w:val="32"/>
  </w:num>
  <w:num w:numId="79" w16cid:durableId="1516966842">
    <w:abstractNumId w:val="23"/>
  </w:num>
  <w:num w:numId="80" w16cid:durableId="1068655096">
    <w:abstractNumId w:val="86"/>
  </w:num>
  <w:num w:numId="81" w16cid:durableId="1351684429">
    <w:abstractNumId w:val="91"/>
  </w:num>
  <w:num w:numId="82" w16cid:durableId="718819824">
    <w:abstractNumId w:val="82"/>
  </w:num>
  <w:num w:numId="83" w16cid:durableId="2040233954">
    <w:abstractNumId w:val="54"/>
  </w:num>
  <w:num w:numId="84" w16cid:durableId="427627076">
    <w:abstractNumId w:val="30"/>
  </w:num>
  <w:num w:numId="85" w16cid:durableId="1847402826">
    <w:abstractNumId w:val="76"/>
  </w:num>
  <w:num w:numId="86" w16cid:durableId="279992372">
    <w:abstractNumId w:val="44"/>
  </w:num>
  <w:num w:numId="87" w16cid:durableId="847644003">
    <w:abstractNumId w:val="19"/>
  </w:num>
  <w:num w:numId="88" w16cid:durableId="1951204536">
    <w:abstractNumId w:val="72"/>
  </w:num>
  <w:num w:numId="89" w16cid:durableId="2136754516">
    <w:abstractNumId w:val="17"/>
  </w:num>
  <w:num w:numId="90" w16cid:durableId="999192965">
    <w:abstractNumId w:val="117"/>
  </w:num>
  <w:num w:numId="91" w16cid:durableId="1498498493">
    <w:abstractNumId w:val="96"/>
  </w:num>
  <w:num w:numId="92" w16cid:durableId="1167793186">
    <w:abstractNumId w:val="108"/>
  </w:num>
  <w:num w:numId="93" w16cid:durableId="926764021">
    <w:abstractNumId w:val="69"/>
  </w:num>
  <w:num w:numId="94" w16cid:durableId="13458110">
    <w:abstractNumId w:val="122"/>
  </w:num>
  <w:num w:numId="95" w16cid:durableId="636688879">
    <w:abstractNumId w:val="20"/>
  </w:num>
  <w:num w:numId="96" w16cid:durableId="141582274">
    <w:abstractNumId w:val="114"/>
  </w:num>
  <w:num w:numId="97" w16cid:durableId="1587034472">
    <w:abstractNumId w:val="101"/>
  </w:num>
  <w:num w:numId="98" w16cid:durableId="851838845">
    <w:abstractNumId w:val="126"/>
  </w:num>
  <w:num w:numId="99" w16cid:durableId="173764684">
    <w:abstractNumId w:val="109"/>
  </w:num>
  <w:num w:numId="100" w16cid:durableId="1366709061">
    <w:abstractNumId w:val="124"/>
  </w:num>
  <w:num w:numId="101" w16cid:durableId="1625620784">
    <w:abstractNumId w:val="105"/>
  </w:num>
  <w:num w:numId="102" w16cid:durableId="395787349">
    <w:abstractNumId w:val="127"/>
  </w:num>
  <w:num w:numId="103" w16cid:durableId="1022633920">
    <w:abstractNumId w:val="34"/>
  </w:num>
  <w:num w:numId="104" w16cid:durableId="836768684">
    <w:abstractNumId w:val="62"/>
  </w:num>
  <w:num w:numId="105" w16cid:durableId="159658198">
    <w:abstractNumId w:val="55"/>
  </w:num>
  <w:num w:numId="106" w16cid:durableId="635184206">
    <w:abstractNumId w:val="6"/>
  </w:num>
  <w:num w:numId="107" w16cid:durableId="554318187">
    <w:abstractNumId w:val="128"/>
  </w:num>
  <w:num w:numId="108" w16cid:durableId="1674649845">
    <w:abstractNumId w:val="9"/>
  </w:num>
  <w:num w:numId="109" w16cid:durableId="994533407">
    <w:abstractNumId w:val="100"/>
  </w:num>
  <w:num w:numId="110" w16cid:durableId="970019874">
    <w:abstractNumId w:val="85"/>
  </w:num>
  <w:num w:numId="111" w16cid:durableId="27222036">
    <w:abstractNumId w:val="98"/>
  </w:num>
  <w:num w:numId="112" w16cid:durableId="2023358570">
    <w:abstractNumId w:val="25"/>
  </w:num>
  <w:num w:numId="113" w16cid:durableId="1467042585">
    <w:abstractNumId w:val="61"/>
  </w:num>
  <w:num w:numId="114" w16cid:durableId="307366625">
    <w:abstractNumId w:val="3"/>
  </w:num>
  <w:num w:numId="115" w16cid:durableId="905722335">
    <w:abstractNumId w:val="84"/>
  </w:num>
  <w:num w:numId="116" w16cid:durableId="379482386">
    <w:abstractNumId w:val="1"/>
  </w:num>
  <w:num w:numId="117" w16cid:durableId="1461649935">
    <w:abstractNumId w:val="121"/>
  </w:num>
  <w:num w:numId="118" w16cid:durableId="318577715">
    <w:abstractNumId w:val="90"/>
  </w:num>
  <w:num w:numId="119" w16cid:durableId="642346502">
    <w:abstractNumId w:val="75"/>
  </w:num>
  <w:num w:numId="120" w16cid:durableId="694501164">
    <w:abstractNumId w:val="103"/>
  </w:num>
  <w:num w:numId="121" w16cid:durableId="1599558960">
    <w:abstractNumId w:val="78"/>
  </w:num>
  <w:num w:numId="122" w16cid:durableId="1288849897">
    <w:abstractNumId w:val="49"/>
  </w:num>
  <w:num w:numId="123" w16cid:durableId="515510120">
    <w:abstractNumId w:val="60"/>
  </w:num>
  <w:num w:numId="124" w16cid:durableId="1100905192">
    <w:abstractNumId w:val="88"/>
  </w:num>
  <w:num w:numId="125" w16cid:durableId="1426537041">
    <w:abstractNumId w:val="93"/>
  </w:num>
  <w:num w:numId="126" w16cid:durableId="1823309053">
    <w:abstractNumId w:val="52"/>
  </w:num>
  <w:num w:numId="127" w16cid:durableId="935945413">
    <w:abstractNumId w:val="28"/>
  </w:num>
  <w:num w:numId="128" w16cid:durableId="362946004">
    <w:abstractNumId w:val="125"/>
  </w:num>
  <w:num w:numId="129" w16cid:durableId="1045638037">
    <w:abstractNumId w:val="43"/>
  </w:num>
  <w:num w:numId="130" w16cid:durableId="678965508">
    <w:abstractNumId w:val="16"/>
  </w:num>
  <w:num w:numId="131" w16cid:durableId="274404206">
    <w:abstractNumId w:val="58"/>
  </w:num>
  <w:num w:numId="132" w16cid:durableId="837429067">
    <w:abstractNumId w:val="12"/>
  </w:num>
  <w:num w:numId="133" w16cid:durableId="432626584">
    <w:abstractNumId w:val="71"/>
  </w:num>
  <w:num w:numId="134" w16cid:durableId="72552173">
    <w:abstractNumId w:val="70"/>
  </w:num>
  <w:num w:numId="135" w16cid:durableId="1687251882">
    <w:abstractNumId w:val="5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7CE2D6A"/>
    <w:rsid w:val="00000276"/>
    <w:rsid w:val="000004C7"/>
    <w:rsid w:val="0000050D"/>
    <w:rsid w:val="000007A4"/>
    <w:rsid w:val="00000A19"/>
    <w:rsid w:val="00000A24"/>
    <w:rsid w:val="00000F3A"/>
    <w:rsid w:val="00000F5E"/>
    <w:rsid w:val="0000107F"/>
    <w:rsid w:val="000015EE"/>
    <w:rsid w:val="0000187A"/>
    <w:rsid w:val="00001A64"/>
    <w:rsid w:val="00001BF3"/>
    <w:rsid w:val="00001E9B"/>
    <w:rsid w:val="00002082"/>
    <w:rsid w:val="000021BA"/>
    <w:rsid w:val="00002688"/>
    <w:rsid w:val="00002714"/>
    <w:rsid w:val="00002CC1"/>
    <w:rsid w:val="00002E13"/>
    <w:rsid w:val="00002F54"/>
    <w:rsid w:val="000030F2"/>
    <w:rsid w:val="000034ED"/>
    <w:rsid w:val="00003817"/>
    <w:rsid w:val="00003A2D"/>
    <w:rsid w:val="00003B8A"/>
    <w:rsid w:val="00003C4B"/>
    <w:rsid w:val="00003E9C"/>
    <w:rsid w:val="00003EA2"/>
    <w:rsid w:val="0000403A"/>
    <w:rsid w:val="0000412A"/>
    <w:rsid w:val="0000432D"/>
    <w:rsid w:val="000044C1"/>
    <w:rsid w:val="0000461D"/>
    <w:rsid w:val="000046FA"/>
    <w:rsid w:val="00004A44"/>
    <w:rsid w:val="00004C0A"/>
    <w:rsid w:val="00004C12"/>
    <w:rsid w:val="00004E8F"/>
    <w:rsid w:val="00005224"/>
    <w:rsid w:val="0000569A"/>
    <w:rsid w:val="00005F6A"/>
    <w:rsid w:val="00006060"/>
    <w:rsid w:val="0000621C"/>
    <w:rsid w:val="000064E2"/>
    <w:rsid w:val="00006D2B"/>
    <w:rsid w:val="00006F37"/>
    <w:rsid w:val="00007165"/>
    <w:rsid w:val="000071A2"/>
    <w:rsid w:val="000076C6"/>
    <w:rsid w:val="000100B6"/>
    <w:rsid w:val="00010485"/>
    <w:rsid w:val="00010501"/>
    <w:rsid w:val="00010813"/>
    <w:rsid w:val="00010AD9"/>
    <w:rsid w:val="0001102B"/>
    <w:rsid w:val="00011235"/>
    <w:rsid w:val="00011385"/>
    <w:rsid w:val="000115A0"/>
    <w:rsid w:val="000116D8"/>
    <w:rsid w:val="0001191C"/>
    <w:rsid w:val="00011AF3"/>
    <w:rsid w:val="00011E48"/>
    <w:rsid w:val="00012429"/>
    <w:rsid w:val="00012476"/>
    <w:rsid w:val="00012693"/>
    <w:rsid w:val="00012CFF"/>
    <w:rsid w:val="00012FB8"/>
    <w:rsid w:val="00013A37"/>
    <w:rsid w:val="00013F7B"/>
    <w:rsid w:val="00014044"/>
    <w:rsid w:val="0001436C"/>
    <w:rsid w:val="000147B6"/>
    <w:rsid w:val="000147D7"/>
    <w:rsid w:val="000147E4"/>
    <w:rsid w:val="00014D97"/>
    <w:rsid w:val="00014E1E"/>
    <w:rsid w:val="00014F7E"/>
    <w:rsid w:val="0001535C"/>
    <w:rsid w:val="0001545D"/>
    <w:rsid w:val="000156E4"/>
    <w:rsid w:val="00015C10"/>
    <w:rsid w:val="00015E91"/>
    <w:rsid w:val="000167E3"/>
    <w:rsid w:val="000169EA"/>
    <w:rsid w:val="00017318"/>
    <w:rsid w:val="0001747F"/>
    <w:rsid w:val="00017776"/>
    <w:rsid w:val="00017917"/>
    <w:rsid w:val="00017A7B"/>
    <w:rsid w:val="00017DBE"/>
    <w:rsid w:val="0002031F"/>
    <w:rsid w:val="000203D5"/>
    <w:rsid w:val="000205A0"/>
    <w:rsid w:val="00020A9A"/>
    <w:rsid w:val="00020AC1"/>
    <w:rsid w:val="00020E7A"/>
    <w:rsid w:val="000213DB"/>
    <w:rsid w:val="000216AA"/>
    <w:rsid w:val="00021878"/>
    <w:rsid w:val="00021EE8"/>
    <w:rsid w:val="00021F8C"/>
    <w:rsid w:val="00021F8D"/>
    <w:rsid w:val="0002250A"/>
    <w:rsid w:val="000226F4"/>
    <w:rsid w:val="000229DB"/>
    <w:rsid w:val="00022E74"/>
    <w:rsid w:val="000234D6"/>
    <w:rsid w:val="00023703"/>
    <w:rsid w:val="000238EF"/>
    <w:rsid w:val="00024F54"/>
    <w:rsid w:val="0002531F"/>
    <w:rsid w:val="00025736"/>
    <w:rsid w:val="0002577F"/>
    <w:rsid w:val="000259E5"/>
    <w:rsid w:val="000259FC"/>
    <w:rsid w:val="00025CCB"/>
    <w:rsid w:val="00025CF2"/>
    <w:rsid w:val="00025E4B"/>
    <w:rsid w:val="00025EC7"/>
    <w:rsid w:val="0002603E"/>
    <w:rsid w:val="00026327"/>
    <w:rsid w:val="00026692"/>
    <w:rsid w:val="000266A8"/>
    <w:rsid w:val="00026957"/>
    <w:rsid w:val="00026ED2"/>
    <w:rsid w:val="00026F4F"/>
    <w:rsid w:val="00027112"/>
    <w:rsid w:val="00027AF2"/>
    <w:rsid w:val="00027B23"/>
    <w:rsid w:val="00027C3C"/>
    <w:rsid w:val="00027D9D"/>
    <w:rsid w:val="00027F6E"/>
    <w:rsid w:val="000303D9"/>
    <w:rsid w:val="00030415"/>
    <w:rsid w:val="00030426"/>
    <w:rsid w:val="0003078A"/>
    <w:rsid w:val="0003088C"/>
    <w:rsid w:val="00030AA4"/>
    <w:rsid w:val="00030F0E"/>
    <w:rsid w:val="000311DC"/>
    <w:rsid w:val="00031557"/>
    <w:rsid w:val="000315E6"/>
    <w:rsid w:val="000319FC"/>
    <w:rsid w:val="00032280"/>
    <w:rsid w:val="00032B17"/>
    <w:rsid w:val="00032B54"/>
    <w:rsid w:val="00033165"/>
    <w:rsid w:val="000334E9"/>
    <w:rsid w:val="00033DC8"/>
    <w:rsid w:val="00034181"/>
    <w:rsid w:val="00034788"/>
    <w:rsid w:val="00034BDB"/>
    <w:rsid w:val="00035284"/>
    <w:rsid w:val="000354AC"/>
    <w:rsid w:val="000356C5"/>
    <w:rsid w:val="00035726"/>
    <w:rsid w:val="00035840"/>
    <w:rsid w:val="00035883"/>
    <w:rsid w:val="00035903"/>
    <w:rsid w:val="00035A21"/>
    <w:rsid w:val="00035B04"/>
    <w:rsid w:val="00035B8C"/>
    <w:rsid w:val="00035DF1"/>
    <w:rsid w:val="00035FF1"/>
    <w:rsid w:val="00036012"/>
    <w:rsid w:val="000361F5"/>
    <w:rsid w:val="0003622F"/>
    <w:rsid w:val="00036447"/>
    <w:rsid w:val="000367F4"/>
    <w:rsid w:val="000369EE"/>
    <w:rsid w:val="00036B8A"/>
    <w:rsid w:val="00036D9E"/>
    <w:rsid w:val="00036D9F"/>
    <w:rsid w:val="00037368"/>
    <w:rsid w:val="00037533"/>
    <w:rsid w:val="0003797C"/>
    <w:rsid w:val="00037BAB"/>
    <w:rsid w:val="00040081"/>
    <w:rsid w:val="000401EA"/>
    <w:rsid w:val="000405F5"/>
    <w:rsid w:val="000406E7"/>
    <w:rsid w:val="0004073E"/>
    <w:rsid w:val="00040CED"/>
    <w:rsid w:val="00040D9C"/>
    <w:rsid w:val="00040E48"/>
    <w:rsid w:val="00040F4D"/>
    <w:rsid w:val="0004167B"/>
    <w:rsid w:val="00041E08"/>
    <w:rsid w:val="000427F7"/>
    <w:rsid w:val="00042A52"/>
    <w:rsid w:val="00042FC1"/>
    <w:rsid w:val="000433B7"/>
    <w:rsid w:val="000438E9"/>
    <w:rsid w:val="00043FE8"/>
    <w:rsid w:val="00044277"/>
    <w:rsid w:val="0004489E"/>
    <w:rsid w:val="00044991"/>
    <w:rsid w:val="000449F7"/>
    <w:rsid w:val="00044B41"/>
    <w:rsid w:val="00044C61"/>
    <w:rsid w:val="00044EAA"/>
    <w:rsid w:val="00044FCF"/>
    <w:rsid w:val="0004573D"/>
    <w:rsid w:val="0004599F"/>
    <w:rsid w:val="00045C4A"/>
    <w:rsid w:val="00046089"/>
    <w:rsid w:val="000462E5"/>
    <w:rsid w:val="000469B7"/>
    <w:rsid w:val="000469D9"/>
    <w:rsid w:val="00046D73"/>
    <w:rsid w:val="00046DE6"/>
    <w:rsid w:val="00047352"/>
    <w:rsid w:val="00047679"/>
    <w:rsid w:val="00047AE8"/>
    <w:rsid w:val="00047DB5"/>
    <w:rsid w:val="00047E5A"/>
    <w:rsid w:val="00047EBB"/>
    <w:rsid w:val="0004B037"/>
    <w:rsid w:val="0004E9B4"/>
    <w:rsid w:val="0005058A"/>
    <w:rsid w:val="00050B6B"/>
    <w:rsid w:val="00051187"/>
    <w:rsid w:val="00051669"/>
    <w:rsid w:val="00051955"/>
    <w:rsid w:val="0005195B"/>
    <w:rsid w:val="000521AB"/>
    <w:rsid w:val="000521B9"/>
    <w:rsid w:val="000526F9"/>
    <w:rsid w:val="00052A17"/>
    <w:rsid w:val="00052BD0"/>
    <w:rsid w:val="00052BDF"/>
    <w:rsid w:val="00052C2D"/>
    <w:rsid w:val="00052D6A"/>
    <w:rsid w:val="00052FBE"/>
    <w:rsid w:val="000534B9"/>
    <w:rsid w:val="000536E0"/>
    <w:rsid w:val="00053861"/>
    <w:rsid w:val="000538D1"/>
    <w:rsid w:val="00053BD8"/>
    <w:rsid w:val="00053CED"/>
    <w:rsid w:val="00053D4D"/>
    <w:rsid w:val="00053F9F"/>
    <w:rsid w:val="0005401D"/>
    <w:rsid w:val="0005407E"/>
    <w:rsid w:val="000541A2"/>
    <w:rsid w:val="0005443E"/>
    <w:rsid w:val="000548F9"/>
    <w:rsid w:val="00054935"/>
    <w:rsid w:val="000549E9"/>
    <w:rsid w:val="00054B7F"/>
    <w:rsid w:val="00055001"/>
    <w:rsid w:val="0005512B"/>
    <w:rsid w:val="0005562D"/>
    <w:rsid w:val="000556D9"/>
    <w:rsid w:val="00055A11"/>
    <w:rsid w:val="00055C42"/>
    <w:rsid w:val="00055F5D"/>
    <w:rsid w:val="00056715"/>
    <w:rsid w:val="000568F2"/>
    <w:rsid w:val="00056B8A"/>
    <w:rsid w:val="00056DD7"/>
    <w:rsid w:val="00056ECD"/>
    <w:rsid w:val="000572CA"/>
    <w:rsid w:val="00057367"/>
    <w:rsid w:val="0005769D"/>
    <w:rsid w:val="00057964"/>
    <w:rsid w:val="0006023A"/>
    <w:rsid w:val="0006057E"/>
    <w:rsid w:val="000608EE"/>
    <w:rsid w:val="00060A01"/>
    <w:rsid w:val="00060CDF"/>
    <w:rsid w:val="00061F4D"/>
    <w:rsid w:val="0006207C"/>
    <w:rsid w:val="000620FE"/>
    <w:rsid w:val="00062311"/>
    <w:rsid w:val="00062625"/>
    <w:rsid w:val="000627AE"/>
    <w:rsid w:val="00063633"/>
    <w:rsid w:val="00063A23"/>
    <w:rsid w:val="00063C61"/>
    <w:rsid w:val="00064127"/>
    <w:rsid w:val="000643D2"/>
    <w:rsid w:val="00064587"/>
    <w:rsid w:val="00064619"/>
    <w:rsid w:val="00064A4F"/>
    <w:rsid w:val="00064BAA"/>
    <w:rsid w:val="00064EBA"/>
    <w:rsid w:val="0006546A"/>
    <w:rsid w:val="00065941"/>
    <w:rsid w:val="00065C46"/>
    <w:rsid w:val="000664FB"/>
    <w:rsid w:val="00066884"/>
    <w:rsid w:val="000668E1"/>
    <w:rsid w:val="000669A0"/>
    <w:rsid w:val="00066D97"/>
    <w:rsid w:val="00066EAC"/>
    <w:rsid w:val="00067026"/>
    <w:rsid w:val="000670F5"/>
    <w:rsid w:val="00067587"/>
    <w:rsid w:val="0006772B"/>
    <w:rsid w:val="0006796E"/>
    <w:rsid w:val="00067DD8"/>
    <w:rsid w:val="00070465"/>
    <w:rsid w:val="0007068A"/>
    <w:rsid w:val="00070AF1"/>
    <w:rsid w:val="00070C46"/>
    <w:rsid w:val="00070F9C"/>
    <w:rsid w:val="000711F3"/>
    <w:rsid w:val="00071948"/>
    <w:rsid w:val="000719B6"/>
    <w:rsid w:val="00071BB1"/>
    <w:rsid w:val="00071CEC"/>
    <w:rsid w:val="00071EBA"/>
    <w:rsid w:val="0007233C"/>
    <w:rsid w:val="0007242E"/>
    <w:rsid w:val="000727E6"/>
    <w:rsid w:val="0007281B"/>
    <w:rsid w:val="000728C3"/>
    <w:rsid w:val="00072EE4"/>
    <w:rsid w:val="00072F76"/>
    <w:rsid w:val="00072F85"/>
    <w:rsid w:val="000733D9"/>
    <w:rsid w:val="00073444"/>
    <w:rsid w:val="00073639"/>
    <w:rsid w:val="00073703"/>
    <w:rsid w:val="0007376C"/>
    <w:rsid w:val="000740F3"/>
    <w:rsid w:val="00074303"/>
    <w:rsid w:val="000743DD"/>
    <w:rsid w:val="000746DF"/>
    <w:rsid w:val="00074E15"/>
    <w:rsid w:val="0007572C"/>
    <w:rsid w:val="00075A2A"/>
    <w:rsid w:val="00075ECF"/>
    <w:rsid w:val="00076170"/>
    <w:rsid w:val="000762FB"/>
    <w:rsid w:val="00076710"/>
    <w:rsid w:val="0007686C"/>
    <w:rsid w:val="000769A1"/>
    <w:rsid w:val="00076B61"/>
    <w:rsid w:val="00076C59"/>
    <w:rsid w:val="00076D11"/>
    <w:rsid w:val="00076E8A"/>
    <w:rsid w:val="0007735A"/>
    <w:rsid w:val="00077480"/>
    <w:rsid w:val="00077579"/>
    <w:rsid w:val="000775E4"/>
    <w:rsid w:val="0007764F"/>
    <w:rsid w:val="00077676"/>
    <w:rsid w:val="00077809"/>
    <w:rsid w:val="00077C26"/>
    <w:rsid w:val="00077D04"/>
    <w:rsid w:val="000803D1"/>
    <w:rsid w:val="00080560"/>
    <w:rsid w:val="000805C2"/>
    <w:rsid w:val="00080735"/>
    <w:rsid w:val="000807EE"/>
    <w:rsid w:val="00080890"/>
    <w:rsid w:val="0008091A"/>
    <w:rsid w:val="00080D21"/>
    <w:rsid w:val="00080DFE"/>
    <w:rsid w:val="000812F3"/>
    <w:rsid w:val="000816F1"/>
    <w:rsid w:val="00081B23"/>
    <w:rsid w:val="00081B2D"/>
    <w:rsid w:val="00081DBB"/>
    <w:rsid w:val="000821D7"/>
    <w:rsid w:val="0008253C"/>
    <w:rsid w:val="000827C7"/>
    <w:rsid w:val="000828F0"/>
    <w:rsid w:val="00082AE4"/>
    <w:rsid w:val="00082CD8"/>
    <w:rsid w:val="00082E15"/>
    <w:rsid w:val="00082F87"/>
    <w:rsid w:val="000832D6"/>
    <w:rsid w:val="000834BC"/>
    <w:rsid w:val="000836F4"/>
    <w:rsid w:val="00083B8A"/>
    <w:rsid w:val="0008443A"/>
    <w:rsid w:val="00084DD5"/>
    <w:rsid w:val="00084F43"/>
    <w:rsid w:val="00084FAB"/>
    <w:rsid w:val="0008500A"/>
    <w:rsid w:val="000850F9"/>
    <w:rsid w:val="000852D1"/>
    <w:rsid w:val="00085493"/>
    <w:rsid w:val="00085768"/>
    <w:rsid w:val="000859B4"/>
    <w:rsid w:val="000859F2"/>
    <w:rsid w:val="00085AB9"/>
    <w:rsid w:val="00085C62"/>
    <w:rsid w:val="00086D94"/>
    <w:rsid w:val="00087010"/>
    <w:rsid w:val="00087091"/>
    <w:rsid w:val="000870BC"/>
    <w:rsid w:val="000871EA"/>
    <w:rsid w:val="000872B2"/>
    <w:rsid w:val="000874A3"/>
    <w:rsid w:val="000875B2"/>
    <w:rsid w:val="0008795E"/>
    <w:rsid w:val="00087CB3"/>
    <w:rsid w:val="00087D22"/>
    <w:rsid w:val="00087D40"/>
    <w:rsid w:val="00087E61"/>
    <w:rsid w:val="00090210"/>
    <w:rsid w:val="00090227"/>
    <w:rsid w:val="0009074E"/>
    <w:rsid w:val="00090C97"/>
    <w:rsid w:val="000916F2"/>
    <w:rsid w:val="00091755"/>
    <w:rsid w:val="0009192C"/>
    <w:rsid w:val="00091AB2"/>
    <w:rsid w:val="00091D3A"/>
    <w:rsid w:val="00091DD3"/>
    <w:rsid w:val="000928B9"/>
    <w:rsid w:val="000928FE"/>
    <w:rsid w:val="00092C7D"/>
    <w:rsid w:val="00092C93"/>
    <w:rsid w:val="0009318E"/>
    <w:rsid w:val="0009375A"/>
    <w:rsid w:val="0009384E"/>
    <w:rsid w:val="00093BD6"/>
    <w:rsid w:val="00093ED0"/>
    <w:rsid w:val="00094205"/>
    <w:rsid w:val="000942E8"/>
    <w:rsid w:val="00094AD7"/>
    <w:rsid w:val="00094DEC"/>
    <w:rsid w:val="00095D22"/>
    <w:rsid w:val="00096E57"/>
    <w:rsid w:val="00097131"/>
    <w:rsid w:val="000975C2"/>
    <w:rsid w:val="0009786E"/>
    <w:rsid w:val="00097872"/>
    <w:rsid w:val="00097AF5"/>
    <w:rsid w:val="00097BB7"/>
    <w:rsid w:val="00097C76"/>
    <w:rsid w:val="00097C79"/>
    <w:rsid w:val="00097DAE"/>
    <w:rsid w:val="00097E45"/>
    <w:rsid w:val="000A06F2"/>
    <w:rsid w:val="000A06F9"/>
    <w:rsid w:val="000A074E"/>
    <w:rsid w:val="000A09DE"/>
    <w:rsid w:val="000A0D2D"/>
    <w:rsid w:val="000A119B"/>
    <w:rsid w:val="000A14CD"/>
    <w:rsid w:val="000A1AB9"/>
    <w:rsid w:val="000A1B20"/>
    <w:rsid w:val="000A1CC9"/>
    <w:rsid w:val="000A1EDE"/>
    <w:rsid w:val="000A2111"/>
    <w:rsid w:val="000A260A"/>
    <w:rsid w:val="000A2A5D"/>
    <w:rsid w:val="000A2B94"/>
    <w:rsid w:val="000A3261"/>
    <w:rsid w:val="000A34AF"/>
    <w:rsid w:val="000A36CA"/>
    <w:rsid w:val="000A3710"/>
    <w:rsid w:val="000A37E5"/>
    <w:rsid w:val="000A3BFC"/>
    <w:rsid w:val="000A3D8C"/>
    <w:rsid w:val="000A3F93"/>
    <w:rsid w:val="000A434D"/>
    <w:rsid w:val="000A43EE"/>
    <w:rsid w:val="000A441B"/>
    <w:rsid w:val="000A48E7"/>
    <w:rsid w:val="000A514F"/>
    <w:rsid w:val="000A5322"/>
    <w:rsid w:val="000A5526"/>
    <w:rsid w:val="000A55EE"/>
    <w:rsid w:val="000A5B52"/>
    <w:rsid w:val="000A5C4C"/>
    <w:rsid w:val="000A6216"/>
    <w:rsid w:val="000A65AC"/>
    <w:rsid w:val="000A66F1"/>
    <w:rsid w:val="000A671B"/>
    <w:rsid w:val="000A69CF"/>
    <w:rsid w:val="000A6CC5"/>
    <w:rsid w:val="000A6D66"/>
    <w:rsid w:val="000A6DC1"/>
    <w:rsid w:val="000A6FC9"/>
    <w:rsid w:val="000A70B0"/>
    <w:rsid w:val="000A70D0"/>
    <w:rsid w:val="000A75CD"/>
    <w:rsid w:val="000A7657"/>
    <w:rsid w:val="000A77D8"/>
    <w:rsid w:val="000A781D"/>
    <w:rsid w:val="000A9992"/>
    <w:rsid w:val="000B00AC"/>
    <w:rsid w:val="000B01E6"/>
    <w:rsid w:val="000B034B"/>
    <w:rsid w:val="000B043A"/>
    <w:rsid w:val="000B0483"/>
    <w:rsid w:val="000B088F"/>
    <w:rsid w:val="000B089C"/>
    <w:rsid w:val="000B0C22"/>
    <w:rsid w:val="000B1347"/>
    <w:rsid w:val="000B1A4D"/>
    <w:rsid w:val="000B1AB8"/>
    <w:rsid w:val="000B2018"/>
    <w:rsid w:val="000B20E6"/>
    <w:rsid w:val="000B21F8"/>
    <w:rsid w:val="000B2A65"/>
    <w:rsid w:val="000B2A8A"/>
    <w:rsid w:val="000B2F7F"/>
    <w:rsid w:val="000B2F83"/>
    <w:rsid w:val="000B3147"/>
    <w:rsid w:val="000B33CE"/>
    <w:rsid w:val="000B372E"/>
    <w:rsid w:val="000B3A9C"/>
    <w:rsid w:val="000B3AA2"/>
    <w:rsid w:val="000B3B49"/>
    <w:rsid w:val="000B3C15"/>
    <w:rsid w:val="000B408E"/>
    <w:rsid w:val="000B42B3"/>
    <w:rsid w:val="000B4407"/>
    <w:rsid w:val="000B48D2"/>
    <w:rsid w:val="000B49D4"/>
    <w:rsid w:val="000B4A70"/>
    <w:rsid w:val="000B4AD9"/>
    <w:rsid w:val="000B4D92"/>
    <w:rsid w:val="000B50CD"/>
    <w:rsid w:val="000B5641"/>
    <w:rsid w:val="000B5786"/>
    <w:rsid w:val="000B57D0"/>
    <w:rsid w:val="000B5961"/>
    <w:rsid w:val="000B5967"/>
    <w:rsid w:val="000B5AA6"/>
    <w:rsid w:val="000B5B7B"/>
    <w:rsid w:val="000B5BA8"/>
    <w:rsid w:val="000B653B"/>
    <w:rsid w:val="000B6884"/>
    <w:rsid w:val="000B6FA2"/>
    <w:rsid w:val="000B78F4"/>
    <w:rsid w:val="000B7C0A"/>
    <w:rsid w:val="000B7EA2"/>
    <w:rsid w:val="000C0360"/>
    <w:rsid w:val="000C0436"/>
    <w:rsid w:val="000C0648"/>
    <w:rsid w:val="000C08D9"/>
    <w:rsid w:val="000C0A5F"/>
    <w:rsid w:val="000C1193"/>
    <w:rsid w:val="000C1236"/>
    <w:rsid w:val="000C13CE"/>
    <w:rsid w:val="000C140A"/>
    <w:rsid w:val="000C1965"/>
    <w:rsid w:val="000C1A32"/>
    <w:rsid w:val="000C1C26"/>
    <w:rsid w:val="000C1D0E"/>
    <w:rsid w:val="000C1D1B"/>
    <w:rsid w:val="000C1DF5"/>
    <w:rsid w:val="000C1F87"/>
    <w:rsid w:val="000C21B3"/>
    <w:rsid w:val="000C23BD"/>
    <w:rsid w:val="000C2E2B"/>
    <w:rsid w:val="000C2FA7"/>
    <w:rsid w:val="000C3089"/>
    <w:rsid w:val="000C36A1"/>
    <w:rsid w:val="000C3C2B"/>
    <w:rsid w:val="000C3D42"/>
    <w:rsid w:val="000C3DF4"/>
    <w:rsid w:val="000C41E4"/>
    <w:rsid w:val="000C54AA"/>
    <w:rsid w:val="000C54F8"/>
    <w:rsid w:val="000C5899"/>
    <w:rsid w:val="000C5942"/>
    <w:rsid w:val="000C5B3C"/>
    <w:rsid w:val="000C5C58"/>
    <w:rsid w:val="000C6785"/>
    <w:rsid w:val="000C6ACD"/>
    <w:rsid w:val="000C6C08"/>
    <w:rsid w:val="000C6F8E"/>
    <w:rsid w:val="000C7108"/>
    <w:rsid w:val="000C7205"/>
    <w:rsid w:val="000C75AB"/>
    <w:rsid w:val="000C7CDC"/>
    <w:rsid w:val="000C7E92"/>
    <w:rsid w:val="000D0A4D"/>
    <w:rsid w:val="000D0A61"/>
    <w:rsid w:val="000D0E45"/>
    <w:rsid w:val="000D0E5B"/>
    <w:rsid w:val="000D0FA7"/>
    <w:rsid w:val="000D11A6"/>
    <w:rsid w:val="000D1246"/>
    <w:rsid w:val="000D166D"/>
    <w:rsid w:val="000D16E5"/>
    <w:rsid w:val="000D1CC5"/>
    <w:rsid w:val="000D2164"/>
    <w:rsid w:val="000D21F5"/>
    <w:rsid w:val="000D25AE"/>
    <w:rsid w:val="000D26E7"/>
    <w:rsid w:val="000D2970"/>
    <w:rsid w:val="000D2A74"/>
    <w:rsid w:val="000D35E7"/>
    <w:rsid w:val="000D3989"/>
    <w:rsid w:val="000D3B39"/>
    <w:rsid w:val="000D3B87"/>
    <w:rsid w:val="000D3FD9"/>
    <w:rsid w:val="000D45D3"/>
    <w:rsid w:val="000D4A31"/>
    <w:rsid w:val="000D4ACE"/>
    <w:rsid w:val="000D4C9F"/>
    <w:rsid w:val="000D4D44"/>
    <w:rsid w:val="000D4D79"/>
    <w:rsid w:val="000D56A5"/>
    <w:rsid w:val="000D5B83"/>
    <w:rsid w:val="000D5EAC"/>
    <w:rsid w:val="000D6357"/>
    <w:rsid w:val="000D6FA6"/>
    <w:rsid w:val="000D712E"/>
    <w:rsid w:val="000D7CFB"/>
    <w:rsid w:val="000D7F4B"/>
    <w:rsid w:val="000E0081"/>
    <w:rsid w:val="000E034C"/>
    <w:rsid w:val="000E0B56"/>
    <w:rsid w:val="000E1363"/>
    <w:rsid w:val="000E162C"/>
    <w:rsid w:val="000E19EB"/>
    <w:rsid w:val="000E1B5B"/>
    <w:rsid w:val="000E2030"/>
    <w:rsid w:val="000E2122"/>
    <w:rsid w:val="000E220F"/>
    <w:rsid w:val="000E2281"/>
    <w:rsid w:val="000E2311"/>
    <w:rsid w:val="000E243E"/>
    <w:rsid w:val="000E24BC"/>
    <w:rsid w:val="000E26C2"/>
    <w:rsid w:val="000E310D"/>
    <w:rsid w:val="000E3162"/>
    <w:rsid w:val="000E3350"/>
    <w:rsid w:val="000E37CD"/>
    <w:rsid w:val="000E3843"/>
    <w:rsid w:val="000E3B78"/>
    <w:rsid w:val="000E483B"/>
    <w:rsid w:val="000E4A36"/>
    <w:rsid w:val="000E5385"/>
    <w:rsid w:val="000E5486"/>
    <w:rsid w:val="000E58B0"/>
    <w:rsid w:val="000E5956"/>
    <w:rsid w:val="000E59DD"/>
    <w:rsid w:val="000E6063"/>
    <w:rsid w:val="000E6124"/>
    <w:rsid w:val="000E6941"/>
    <w:rsid w:val="000E6B2A"/>
    <w:rsid w:val="000E6D94"/>
    <w:rsid w:val="000E7098"/>
    <w:rsid w:val="000E7121"/>
    <w:rsid w:val="000E73DB"/>
    <w:rsid w:val="000E74C0"/>
    <w:rsid w:val="000E7E3A"/>
    <w:rsid w:val="000E7EA1"/>
    <w:rsid w:val="000F095D"/>
    <w:rsid w:val="000F0A45"/>
    <w:rsid w:val="000F0B4B"/>
    <w:rsid w:val="000F0E81"/>
    <w:rsid w:val="000F1453"/>
    <w:rsid w:val="000F15B3"/>
    <w:rsid w:val="000F1903"/>
    <w:rsid w:val="000F19E4"/>
    <w:rsid w:val="000F1B42"/>
    <w:rsid w:val="000F1D07"/>
    <w:rsid w:val="000F2093"/>
    <w:rsid w:val="000F229B"/>
    <w:rsid w:val="000F2588"/>
    <w:rsid w:val="000F27EE"/>
    <w:rsid w:val="000F2A91"/>
    <w:rsid w:val="000F2B8C"/>
    <w:rsid w:val="000F3465"/>
    <w:rsid w:val="000F37EC"/>
    <w:rsid w:val="000F3F5F"/>
    <w:rsid w:val="000F4269"/>
    <w:rsid w:val="000F4706"/>
    <w:rsid w:val="000F4A58"/>
    <w:rsid w:val="000F4B48"/>
    <w:rsid w:val="000F4E5A"/>
    <w:rsid w:val="000F518A"/>
    <w:rsid w:val="000F53C0"/>
    <w:rsid w:val="000F56FF"/>
    <w:rsid w:val="000F5735"/>
    <w:rsid w:val="000F57AD"/>
    <w:rsid w:val="000F585E"/>
    <w:rsid w:val="000F5DEE"/>
    <w:rsid w:val="000F5E54"/>
    <w:rsid w:val="000F6076"/>
    <w:rsid w:val="000F6366"/>
    <w:rsid w:val="000F63F1"/>
    <w:rsid w:val="000F674C"/>
    <w:rsid w:val="000F6C76"/>
    <w:rsid w:val="000F6D6C"/>
    <w:rsid w:val="000F6EA2"/>
    <w:rsid w:val="000F6F76"/>
    <w:rsid w:val="000F7003"/>
    <w:rsid w:val="000F733E"/>
    <w:rsid w:val="000F75F1"/>
    <w:rsid w:val="000F7B09"/>
    <w:rsid w:val="000F7B2D"/>
    <w:rsid w:val="000F7E1F"/>
    <w:rsid w:val="000F7E26"/>
    <w:rsid w:val="000F7E55"/>
    <w:rsid w:val="001001E0"/>
    <w:rsid w:val="00100295"/>
    <w:rsid w:val="00100317"/>
    <w:rsid w:val="0010062E"/>
    <w:rsid w:val="001007C6"/>
    <w:rsid w:val="001008E8"/>
    <w:rsid w:val="00100A35"/>
    <w:rsid w:val="00100C13"/>
    <w:rsid w:val="00100C94"/>
    <w:rsid w:val="0010113D"/>
    <w:rsid w:val="001012A4"/>
    <w:rsid w:val="0010155D"/>
    <w:rsid w:val="001018BE"/>
    <w:rsid w:val="00101AA7"/>
    <w:rsid w:val="0010215B"/>
    <w:rsid w:val="001029A1"/>
    <w:rsid w:val="00102A74"/>
    <w:rsid w:val="0010326F"/>
    <w:rsid w:val="001034E0"/>
    <w:rsid w:val="00103613"/>
    <w:rsid w:val="00103940"/>
    <w:rsid w:val="00103C9A"/>
    <w:rsid w:val="001040BB"/>
    <w:rsid w:val="001042DF"/>
    <w:rsid w:val="00104915"/>
    <w:rsid w:val="00104942"/>
    <w:rsid w:val="001049A6"/>
    <w:rsid w:val="00104C00"/>
    <w:rsid w:val="001053A2"/>
    <w:rsid w:val="00105456"/>
    <w:rsid w:val="00105658"/>
    <w:rsid w:val="0010586C"/>
    <w:rsid w:val="00105BBA"/>
    <w:rsid w:val="001061A3"/>
    <w:rsid w:val="00106250"/>
    <w:rsid w:val="00106BEE"/>
    <w:rsid w:val="0010734F"/>
    <w:rsid w:val="0010737E"/>
    <w:rsid w:val="0010738E"/>
    <w:rsid w:val="00107666"/>
    <w:rsid w:val="00107858"/>
    <w:rsid w:val="001100B7"/>
    <w:rsid w:val="00110212"/>
    <w:rsid w:val="00110236"/>
    <w:rsid w:val="0011060B"/>
    <w:rsid w:val="001106A3"/>
    <w:rsid w:val="001106E3"/>
    <w:rsid w:val="00110BB3"/>
    <w:rsid w:val="00110DD8"/>
    <w:rsid w:val="00111044"/>
    <w:rsid w:val="00111121"/>
    <w:rsid w:val="00111180"/>
    <w:rsid w:val="0011159A"/>
    <w:rsid w:val="0011167C"/>
    <w:rsid w:val="0011194F"/>
    <w:rsid w:val="0011199C"/>
    <w:rsid w:val="00111F3E"/>
    <w:rsid w:val="0011201D"/>
    <w:rsid w:val="00112680"/>
    <w:rsid w:val="00112821"/>
    <w:rsid w:val="00112F9C"/>
    <w:rsid w:val="00113457"/>
    <w:rsid w:val="0011350B"/>
    <w:rsid w:val="0011352E"/>
    <w:rsid w:val="00113654"/>
    <w:rsid w:val="001137F3"/>
    <w:rsid w:val="0011391D"/>
    <w:rsid w:val="001139E0"/>
    <w:rsid w:val="00113A6B"/>
    <w:rsid w:val="00113BC4"/>
    <w:rsid w:val="00113DEE"/>
    <w:rsid w:val="001143A0"/>
    <w:rsid w:val="00114478"/>
    <w:rsid w:val="00114896"/>
    <w:rsid w:val="00114A6B"/>
    <w:rsid w:val="00114ADA"/>
    <w:rsid w:val="00114B06"/>
    <w:rsid w:val="00114E05"/>
    <w:rsid w:val="00114F36"/>
    <w:rsid w:val="00115063"/>
    <w:rsid w:val="001150A1"/>
    <w:rsid w:val="0011513F"/>
    <w:rsid w:val="0011529D"/>
    <w:rsid w:val="00115924"/>
    <w:rsid w:val="00115A5B"/>
    <w:rsid w:val="00115AD4"/>
    <w:rsid w:val="00115C0E"/>
    <w:rsid w:val="00115C1D"/>
    <w:rsid w:val="00115E85"/>
    <w:rsid w:val="00115F88"/>
    <w:rsid w:val="00116067"/>
    <w:rsid w:val="00116382"/>
    <w:rsid w:val="00116456"/>
    <w:rsid w:val="00116735"/>
    <w:rsid w:val="00116E50"/>
    <w:rsid w:val="00117099"/>
    <w:rsid w:val="001177C6"/>
    <w:rsid w:val="00117B57"/>
    <w:rsid w:val="001200FB"/>
    <w:rsid w:val="0012035F"/>
    <w:rsid w:val="001204FD"/>
    <w:rsid w:val="00120B72"/>
    <w:rsid w:val="00120BD0"/>
    <w:rsid w:val="00120CF8"/>
    <w:rsid w:val="00120D07"/>
    <w:rsid w:val="00120F39"/>
    <w:rsid w:val="001210E4"/>
    <w:rsid w:val="00121117"/>
    <w:rsid w:val="0012139A"/>
    <w:rsid w:val="00121449"/>
    <w:rsid w:val="00122031"/>
    <w:rsid w:val="00122323"/>
    <w:rsid w:val="00122541"/>
    <w:rsid w:val="00122723"/>
    <w:rsid w:val="00122A55"/>
    <w:rsid w:val="00122CDC"/>
    <w:rsid w:val="001230ED"/>
    <w:rsid w:val="001232C9"/>
    <w:rsid w:val="001233BF"/>
    <w:rsid w:val="00123680"/>
    <w:rsid w:val="0012376D"/>
    <w:rsid w:val="0012381B"/>
    <w:rsid w:val="00123CC3"/>
    <w:rsid w:val="00123E22"/>
    <w:rsid w:val="00123E84"/>
    <w:rsid w:val="00123E87"/>
    <w:rsid w:val="00124072"/>
    <w:rsid w:val="001242D4"/>
    <w:rsid w:val="00124351"/>
    <w:rsid w:val="001245CD"/>
    <w:rsid w:val="00124684"/>
    <w:rsid w:val="0012476A"/>
    <w:rsid w:val="0012486F"/>
    <w:rsid w:val="001248A4"/>
    <w:rsid w:val="00124995"/>
    <w:rsid w:val="00124EA0"/>
    <w:rsid w:val="00124FE0"/>
    <w:rsid w:val="0012558A"/>
    <w:rsid w:val="001255ED"/>
    <w:rsid w:val="001262D9"/>
    <w:rsid w:val="0012710C"/>
    <w:rsid w:val="00127540"/>
    <w:rsid w:val="00127C8B"/>
    <w:rsid w:val="00127ED2"/>
    <w:rsid w:val="00127F39"/>
    <w:rsid w:val="00130522"/>
    <w:rsid w:val="001305C7"/>
    <w:rsid w:val="00130879"/>
    <w:rsid w:val="00130B5E"/>
    <w:rsid w:val="00130BC8"/>
    <w:rsid w:val="00130BF2"/>
    <w:rsid w:val="00130EA3"/>
    <w:rsid w:val="0013101C"/>
    <w:rsid w:val="0013108B"/>
    <w:rsid w:val="0013132A"/>
    <w:rsid w:val="001313BF"/>
    <w:rsid w:val="00131403"/>
    <w:rsid w:val="00131415"/>
    <w:rsid w:val="00131943"/>
    <w:rsid w:val="0013202E"/>
    <w:rsid w:val="001322C8"/>
    <w:rsid w:val="001325C2"/>
    <w:rsid w:val="001328D6"/>
    <w:rsid w:val="00132DD9"/>
    <w:rsid w:val="0013313B"/>
    <w:rsid w:val="00133200"/>
    <w:rsid w:val="00133F95"/>
    <w:rsid w:val="00134171"/>
    <w:rsid w:val="00134735"/>
    <w:rsid w:val="00134C37"/>
    <w:rsid w:val="00134E3B"/>
    <w:rsid w:val="00134EF3"/>
    <w:rsid w:val="00135415"/>
    <w:rsid w:val="00135766"/>
    <w:rsid w:val="001358F2"/>
    <w:rsid w:val="001359EC"/>
    <w:rsid w:val="00135B5B"/>
    <w:rsid w:val="00135D0F"/>
    <w:rsid w:val="00136092"/>
    <w:rsid w:val="00136137"/>
    <w:rsid w:val="00136351"/>
    <w:rsid w:val="001364E5"/>
    <w:rsid w:val="0013655B"/>
    <w:rsid w:val="001367CA"/>
    <w:rsid w:val="00136F22"/>
    <w:rsid w:val="00136F47"/>
    <w:rsid w:val="00137337"/>
    <w:rsid w:val="0013768B"/>
    <w:rsid w:val="001378A5"/>
    <w:rsid w:val="00137F90"/>
    <w:rsid w:val="00137FDA"/>
    <w:rsid w:val="00140196"/>
    <w:rsid w:val="00140460"/>
    <w:rsid w:val="0014048E"/>
    <w:rsid w:val="001408E8"/>
    <w:rsid w:val="00140B83"/>
    <w:rsid w:val="00140FF1"/>
    <w:rsid w:val="00141326"/>
    <w:rsid w:val="0014154F"/>
    <w:rsid w:val="00141744"/>
    <w:rsid w:val="001417B7"/>
    <w:rsid w:val="00141939"/>
    <w:rsid w:val="00141968"/>
    <w:rsid w:val="00141AC7"/>
    <w:rsid w:val="00141BD1"/>
    <w:rsid w:val="00141C28"/>
    <w:rsid w:val="001424F5"/>
    <w:rsid w:val="001428C6"/>
    <w:rsid w:val="00142E91"/>
    <w:rsid w:val="001436C0"/>
    <w:rsid w:val="00143AF6"/>
    <w:rsid w:val="001442C3"/>
    <w:rsid w:val="00144616"/>
    <w:rsid w:val="00144F83"/>
    <w:rsid w:val="00144FF1"/>
    <w:rsid w:val="0014539D"/>
    <w:rsid w:val="001453AD"/>
    <w:rsid w:val="001453D3"/>
    <w:rsid w:val="001459A2"/>
    <w:rsid w:val="00145AAA"/>
    <w:rsid w:val="00145B22"/>
    <w:rsid w:val="00145BDB"/>
    <w:rsid w:val="00145C52"/>
    <w:rsid w:val="00145E69"/>
    <w:rsid w:val="00146026"/>
    <w:rsid w:val="00146271"/>
    <w:rsid w:val="00146AB7"/>
    <w:rsid w:val="00146D25"/>
    <w:rsid w:val="00146D76"/>
    <w:rsid w:val="00146EC2"/>
    <w:rsid w:val="00146FF5"/>
    <w:rsid w:val="0014770B"/>
    <w:rsid w:val="0014775C"/>
    <w:rsid w:val="001478CF"/>
    <w:rsid w:val="0014795B"/>
    <w:rsid w:val="00147BFF"/>
    <w:rsid w:val="00147E32"/>
    <w:rsid w:val="00150721"/>
    <w:rsid w:val="0015076C"/>
    <w:rsid w:val="00150850"/>
    <w:rsid w:val="00150CB7"/>
    <w:rsid w:val="00151120"/>
    <w:rsid w:val="00151265"/>
    <w:rsid w:val="00151350"/>
    <w:rsid w:val="001513E9"/>
    <w:rsid w:val="00151855"/>
    <w:rsid w:val="00151A7C"/>
    <w:rsid w:val="00151DE3"/>
    <w:rsid w:val="001524CE"/>
    <w:rsid w:val="0015254F"/>
    <w:rsid w:val="001526F4"/>
    <w:rsid w:val="00152A6E"/>
    <w:rsid w:val="00152CA4"/>
    <w:rsid w:val="00152F7C"/>
    <w:rsid w:val="00153406"/>
    <w:rsid w:val="0015381C"/>
    <w:rsid w:val="00153845"/>
    <w:rsid w:val="00153A75"/>
    <w:rsid w:val="00153BD4"/>
    <w:rsid w:val="00154A2E"/>
    <w:rsid w:val="00154E0E"/>
    <w:rsid w:val="0015585E"/>
    <w:rsid w:val="001559AE"/>
    <w:rsid w:val="001559E2"/>
    <w:rsid w:val="00155B5D"/>
    <w:rsid w:val="00155DB3"/>
    <w:rsid w:val="00155DDB"/>
    <w:rsid w:val="00155F54"/>
    <w:rsid w:val="001562F6"/>
    <w:rsid w:val="001565B5"/>
    <w:rsid w:val="0015664D"/>
    <w:rsid w:val="00156E9A"/>
    <w:rsid w:val="00156EC3"/>
    <w:rsid w:val="001573B9"/>
    <w:rsid w:val="0015745A"/>
    <w:rsid w:val="00157B2F"/>
    <w:rsid w:val="00160091"/>
    <w:rsid w:val="00160114"/>
    <w:rsid w:val="00160283"/>
    <w:rsid w:val="001605D9"/>
    <w:rsid w:val="00160B6B"/>
    <w:rsid w:val="00160E46"/>
    <w:rsid w:val="00160F0F"/>
    <w:rsid w:val="00161004"/>
    <w:rsid w:val="00161420"/>
    <w:rsid w:val="0016156B"/>
    <w:rsid w:val="001616FC"/>
    <w:rsid w:val="001618F6"/>
    <w:rsid w:val="00161B61"/>
    <w:rsid w:val="00161F2F"/>
    <w:rsid w:val="00162265"/>
    <w:rsid w:val="00162377"/>
    <w:rsid w:val="00162447"/>
    <w:rsid w:val="001625CF"/>
    <w:rsid w:val="00162687"/>
    <w:rsid w:val="00162BFB"/>
    <w:rsid w:val="00162D77"/>
    <w:rsid w:val="00162EAC"/>
    <w:rsid w:val="00163302"/>
    <w:rsid w:val="0016360E"/>
    <w:rsid w:val="0016365F"/>
    <w:rsid w:val="00163E09"/>
    <w:rsid w:val="001645F3"/>
    <w:rsid w:val="001646C0"/>
    <w:rsid w:val="00164A5B"/>
    <w:rsid w:val="00164AF2"/>
    <w:rsid w:val="0016528D"/>
    <w:rsid w:val="0016555D"/>
    <w:rsid w:val="001655AF"/>
    <w:rsid w:val="00165DF5"/>
    <w:rsid w:val="001660E4"/>
    <w:rsid w:val="001663CF"/>
    <w:rsid w:val="00166DC7"/>
    <w:rsid w:val="00166FA3"/>
    <w:rsid w:val="001671B8"/>
    <w:rsid w:val="001672E1"/>
    <w:rsid w:val="00167359"/>
    <w:rsid w:val="001675FB"/>
    <w:rsid w:val="00167607"/>
    <w:rsid w:val="00167BD2"/>
    <w:rsid w:val="00167C92"/>
    <w:rsid w:val="00167CCB"/>
    <w:rsid w:val="0017049B"/>
    <w:rsid w:val="00170DEC"/>
    <w:rsid w:val="00170F6E"/>
    <w:rsid w:val="001712A4"/>
    <w:rsid w:val="00171571"/>
    <w:rsid w:val="00171611"/>
    <w:rsid w:val="00171710"/>
    <w:rsid w:val="0017180F"/>
    <w:rsid w:val="00171950"/>
    <w:rsid w:val="00171CB1"/>
    <w:rsid w:val="00171EBB"/>
    <w:rsid w:val="001721AA"/>
    <w:rsid w:val="001721CC"/>
    <w:rsid w:val="001722DE"/>
    <w:rsid w:val="00172AC2"/>
    <w:rsid w:val="00172C79"/>
    <w:rsid w:val="001738A5"/>
    <w:rsid w:val="00173C01"/>
    <w:rsid w:val="00173DFA"/>
    <w:rsid w:val="00173EF5"/>
    <w:rsid w:val="00174374"/>
    <w:rsid w:val="00174B10"/>
    <w:rsid w:val="00175061"/>
    <w:rsid w:val="0017510C"/>
    <w:rsid w:val="00175548"/>
    <w:rsid w:val="00175A2A"/>
    <w:rsid w:val="00175A6B"/>
    <w:rsid w:val="001763B3"/>
    <w:rsid w:val="0017666C"/>
    <w:rsid w:val="00177144"/>
    <w:rsid w:val="0017742B"/>
    <w:rsid w:val="00177535"/>
    <w:rsid w:val="001775E8"/>
    <w:rsid w:val="00177C06"/>
    <w:rsid w:val="00177D1E"/>
    <w:rsid w:val="001803F8"/>
    <w:rsid w:val="0018053F"/>
    <w:rsid w:val="001808B9"/>
    <w:rsid w:val="00180BF8"/>
    <w:rsid w:val="0018124A"/>
    <w:rsid w:val="00181A56"/>
    <w:rsid w:val="001821A9"/>
    <w:rsid w:val="00182718"/>
    <w:rsid w:val="00182C73"/>
    <w:rsid w:val="00182D5B"/>
    <w:rsid w:val="00182D60"/>
    <w:rsid w:val="00182DAC"/>
    <w:rsid w:val="00182E9E"/>
    <w:rsid w:val="001834B6"/>
    <w:rsid w:val="00183850"/>
    <w:rsid w:val="001839D4"/>
    <w:rsid w:val="001839E4"/>
    <w:rsid w:val="00183DD8"/>
    <w:rsid w:val="00184020"/>
    <w:rsid w:val="00184242"/>
    <w:rsid w:val="00184B43"/>
    <w:rsid w:val="00184D90"/>
    <w:rsid w:val="00184E4D"/>
    <w:rsid w:val="001850A6"/>
    <w:rsid w:val="0018528B"/>
    <w:rsid w:val="001853E2"/>
    <w:rsid w:val="001858D1"/>
    <w:rsid w:val="00185A7D"/>
    <w:rsid w:val="00185F3C"/>
    <w:rsid w:val="0018604B"/>
    <w:rsid w:val="001860F0"/>
    <w:rsid w:val="0018641B"/>
    <w:rsid w:val="001867CA"/>
    <w:rsid w:val="001869A8"/>
    <w:rsid w:val="00186C25"/>
    <w:rsid w:val="00187015"/>
    <w:rsid w:val="00187055"/>
    <w:rsid w:val="0018708C"/>
    <w:rsid w:val="00187249"/>
    <w:rsid w:val="00187990"/>
    <w:rsid w:val="00187A82"/>
    <w:rsid w:val="00187BBD"/>
    <w:rsid w:val="00187F73"/>
    <w:rsid w:val="001903D0"/>
    <w:rsid w:val="001905BF"/>
    <w:rsid w:val="001906D8"/>
    <w:rsid w:val="0019128C"/>
    <w:rsid w:val="00191745"/>
    <w:rsid w:val="001917CB"/>
    <w:rsid w:val="001919C3"/>
    <w:rsid w:val="001919CB"/>
    <w:rsid w:val="00191DAD"/>
    <w:rsid w:val="00191DDD"/>
    <w:rsid w:val="00191FF6"/>
    <w:rsid w:val="00192001"/>
    <w:rsid w:val="001921AD"/>
    <w:rsid w:val="001921E4"/>
    <w:rsid w:val="0019263F"/>
    <w:rsid w:val="00192A81"/>
    <w:rsid w:val="0019316A"/>
    <w:rsid w:val="001932DF"/>
    <w:rsid w:val="00193B62"/>
    <w:rsid w:val="00193BD3"/>
    <w:rsid w:val="00193C9F"/>
    <w:rsid w:val="001943D1"/>
    <w:rsid w:val="001948A2"/>
    <w:rsid w:val="001949C0"/>
    <w:rsid w:val="00194B09"/>
    <w:rsid w:val="00194C3C"/>
    <w:rsid w:val="00194E99"/>
    <w:rsid w:val="00195F4C"/>
    <w:rsid w:val="0019603A"/>
    <w:rsid w:val="00196248"/>
    <w:rsid w:val="001963A5"/>
    <w:rsid w:val="001964B3"/>
    <w:rsid w:val="001965A4"/>
    <w:rsid w:val="0019685D"/>
    <w:rsid w:val="00196E5D"/>
    <w:rsid w:val="00196EC4"/>
    <w:rsid w:val="00197052"/>
    <w:rsid w:val="00197364"/>
    <w:rsid w:val="001977A9"/>
    <w:rsid w:val="001979D6"/>
    <w:rsid w:val="00197ADA"/>
    <w:rsid w:val="00197FD8"/>
    <w:rsid w:val="001A00DA"/>
    <w:rsid w:val="001A0228"/>
    <w:rsid w:val="001A03F7"/>
    <w:rsid w:val="001A044F"/>
    <w:rsid w:val="001A0579"/>
    <w:rsid w:val="001A09C7"/>
    <w:rsid w:val="001A0D25"/>
    <w:rsid w:val="001A0DBC"/>
    <w:rsid w:val="001A11ED"/>
    <w:rsid w:val="001A14DA"/>
    <w:rsid w:val="001A16CA"/>
    <w:rsid w:val="001A17CE"/>
    <w:rsid w:val="001A18EE"/>
    <w:rsid w:val="001A1CD1"/>
    <w:rsid w:val="001A1E53"/>
    <w:rsid w:val="001A1EBB"/>
    <w:rsid w:val="001A2455"/>
    <w:rsid w:val="001A2535"/>
    <w:rsid w:val="001A281C"/>
    <w:rsid w:val="001A2854"/>
    <w:rsid w:val="001A2B3B"/>
    <w:rsid w:val="001A3023"/>
    <w:rsid w:val="001A30F3"/>
    <w:rsid w:val="001A34B4"/>
    <w:rsid w:val="001A3814"/>
    <w:rsid w:val="001A3A80"/>
    <w:rsid w:val="001A3BBE"/>
    <w:rsid w:val="001A3C57"/>
    <w:rsid w:val="001A3D55"/>
    <w:rsid w:val="001A3D59"/>
    <w:rsid w:val="001A3D9E"/>
    <w:rsid w:val="001A47DE"/>
    <w:rsid w:val="001A4818"/>
    <w:rsid w:val="001A48FB"/>
    <w:rsid w:val="001A4B63"/>
    <w:rsid w:val="001A4B71"/>
    <w:rsid w:val="001A4E4E"/>
    <w:rsid w:val="001A508F"/>
    <w:rsid w:val="001A5267"/>
    <w:rsid w:val="001A52B4"/>
    <w:rsid w:val="001A56D1"/>
    <w:rsid w:val="001A5786"/>
    <w:rsid w:val="001A5815"/>
    <w:rsid w:val="001A58D9"/>
    <w:rsid w:val="001A5937"/>
    <w:rsid w:val="001A5B55"/>
    <w:rsid w:val="001A5E22"/>
    <w:rsid w:val="001A608B"/>
    <w:rsid w:val="001A60B5"/>
    <w:rsid w:val="001A6374"/>
    <w:rsid w:val="001A64DD"/>
    <w:rsid w:val="001A688D"/>
    <w:rsid w:val="001A699C"/>
    <w:rsid w:val="001A6B95"/>
    <w:rsid w:val="001A6B97"/>
    <w:rsid w:val="001A6E3A"/>
    <w:rsid w:val="001A6E45"/>
    <w:rsid w:val="001A6FAF"/>
    <w:rsid w:val="001A7045"/>
    <w:rsid w:val="001A7474"/>
    <w:rsid w:val="001A76FD"/>
    <w:rsid w:val="001A7749"/>
    <w:rsid w:val="001A7C36"/>
    <w:rsid w:val="001B024C"/>
    <w:rsid w:val="001B05C4"/>
    <w:rsid w:val="001B0A9A"/>
    <w:rsid w:val="001B0C88"/>
    <w:rsid w:val="001B1016"/>
    <w:rsid w:val="001B1874"/>
    <w:rsid w:val="001B1B35"/>
    <w:rsid w:val="001B1BCE"/>
    <w:rsid w:val="001B2141"/>
    <w:rsid w:val="001B21A8"/>
    <w:rsid w:val="001B2498"/>
    <w:rsid w:val="001B26FD"/>
    <w:rsid w:val="001B2714"/>
    <w:rsid w:val="001B27DE"/>
    <w:rsid w:val="001B2B20"/>
    <w:rsid w:val="001B2CF0"/>
    <w:rsid w:val="001B2ECD"/>
    <w:rsid w:val="001B3688"/>
    <w:rsid w:val="001B38ED"/>
    <w:rsid w:val="001B3C12"/>
    <w:rsid w:val="001B4382"/>
    <w:rsid w:val="001B4BD1"/>
    <w:rsid w:val="001B4E90"/>
    <w:rsid w:val="001B4F19"/>
    <w:rsid w:val="001B5503"/>
    <w:rsid w:val="001B56BA"/>
    <w:rsid w:val="001B572E"/>
    <w:rsid w:val="001B574E"/>
    <w:rsid w:val="001B59D5"/>
    <w:rsid w:val="001B6552"/>
    <w:rsid w:val="001B66F1"/>
    <w:rsid w:val="001B683B"/>
    <w:rsid w:val="001B6BFF"/>
    <w:rsid w:val="001B6EC3"/>
    <w:rsid w:val="001B7007"/>
    <w:rsid w:val="001B7045"/>
    <w:rsid w:val="001B7276"/>
    <w:rsid w:val="001B766D"/>
    <w:rsid w:val="001B79BC"/>
    <w:rsid w:val="001C03B6"/>
    <w:rsid w:val="001C0713"/>
    <w:rsid w:val="001C07E0"/>
    <w:rsid w:val="001C0A90"/>
    <w:rsid w:val="001C1235"/>
    <w:rsid w:val="001C1280"/>
    <w:rsid w:val="001C1579"/>
    <w:rsid w:val="001C15E5"/>
    <w:rsid w:val="001C1B9E"/>
    <w:rsid w:val="001C1D02"/>
    <w:rsid w:val="001C1D32"/>
    <w:rsid w:val="001C2198"/>
    <w:rsid w:val="001C229E"/>
    <w:rsid w:val="001C238A"/>
    <w:rsid w:val="001C23EC"/>
    <w:rsid w:val="001C27B7"/>
    <w:rsid w:val="001C2AB5"/>
    <w:rsid w:val="001C2BD3"/>
    <w:rsid w:val="001C2DEE"/>
    <w:rsid w:val="001C30B8"/>
    <w:rsid w:val="001C3813"/>
    <w:rsid w:val="001C38A8"/>
    <w:rsid w:val="001C3C34"/>
    <w:rsid w:val="001C3D42"/>
    <w:rsid w:val="001C4478"/>
    <w:rsid w:val="001C4CCB"/>
    <w:rsid w:val="001C4D2B"/>
    <w:rsid w:val="001C4D40"/>
    <w:rsid w:val="001C4FD6"/>
    <w:rsid w:val="001C4FEB"/>
    <w:rsid w:val="001C5021"/>
    <w:rsid w:val="001C5462"/>
    <w:rsid w:val="001C54EA"/>
    <w:rsid w:val="001C5763"/>
    <w:rsid w:val="001C58F2"/>
    <w:rsid w:val="001C5A61"/>
    <w:rsid w:val="001C5E91"/>
    <w:rsid w:val="001C5EF6"/>
    <w:rsid w:val="001C60FC"/>
    <w:rsid w:val="001C6137"/>
    <w:rsid w:val="001C6154"/>
    <w:rsid w:val="001C6230"/>
    <w:rsid w:val="001C6797"/>
    <w:rsid w:val="001C69FC"/>
    <w:rsid w:val="001C6A68"/>
    <w:rsid w:val="001C6B02"/>
    <w:rsid w:val="001C6B24"/>
    <w:rsid w:val="001C6DF7"/>
    <w:rsid w:val="001C6E65"/>
    <w:rsid w:val="001C730E"/>
    <w:rsid w:val="001C7523"/>
    <w:rsid w:val="001C79B7"/>
    <w:rsid w:val="001D02AA"/>
    <w:rsid w:val="001D09B6"/>
    <w:rsid w:val="001D0C9F"/>
    <w:rsid w:val="001D1141"/>
    <w:rsid w:val="001D17B3"/>
    <w:rsid w:val="001D1AD6"/>
    <w:rsid w:val="001D20C4"/>
    <w:rsid w:val="001D23C7"/>
    <w:rsid w:val="001D267B"/>
    <w:rsid w:val="001D2705"/>
    <w:rsid w:val="001D2DB8"/>
    <w:rsid w:val="001D373C"/>
    <w:rsid w:val="001D396F"/>
    <w:rsid w:val="001D410D"/>
    <w:rsid w:val="001D418C"/>
    <w:rsid w:val="001D42F0"/>
    <w:rsid w:val="001D4408"/>
    <w:rsid w:val="001D448E"/>
    <w:rsid w:val="001D4543"/>
    <w:rsid w:val="001D4862"/>
    <w:rsid w:val="001D4928"/>
    <w:rsid w:val="001D4C51"/>
    <w:rsid w:val="001D4CA7"/>
    <w:rsid w:val="001D4D29"/>
    <w:rsid w:val="001D5479"/>
    <w:rsid w:val="001D5551"/>
    <w:rsid w:val="001D5740"/>
    <w:rsid w:val="001D589D"/>
    <w:rsid w:val="001D5CC1"/>
    <w:rsid w:val="001D5F99"/>
    <w:rsid w:val="001D5F9E"/>
    <w:rsid w:val="001D63EC"/>
    <w:rsid w:val="001D6AAB"/>
    <w:rsid w:val="001D6B50"/>
    <w:rsid w:val="001D6EC5"/>
    <w:rsid w:val="001D7596"/>
    <w:rsid w:val="001D7AB5"/>
    <w:rsid w:val="001D7C1B"/>
    <w:rsid w:val="001D7D47"/>
    <w:rsid w:val="001D7E98"/>
    <w:rsid w:val="001E0A6C"/>
    <w:rsid w:val="001E0F49"/>
    <w:rsid w:val="001E0FBF"/>
    <w:rsid w:val="001E105D"/>
    <w:rsid w:val="001E113E"/>
    <w:rsid w:val="001E1873"/>
    <w:rsid w:val="001E1BA0"/>
    <w:rsid w:val="001E1E0C"/>
    <w:rsid w:val="001E20CD"/>
    <w:rsid w:val="001E213D"/>
    <w:rsid w:val="001E229C"/>
    <w:rsid w:val="001E2646"/>
    <w:rsid w:val="001E275F"/>
    <w:rsid w:val="001E2AFA"/>
    <w:rsid w:val="001E2E9F"/>
    <w:rsid w:val="001E3717"/>
    <w:rsid w:val="001E3790"/>
    <w:rsid w:val="001E37C1"/>
    <w:rsid w:val="001E3BAE"/>
    <w:rsid w:val="001E3CE1"/>
    <w:rsid w:val="001E3ED2"/>
    <w:rsid w:val="001E3F69"/>
    <w:rsid w:val="001E3FCC"/>
    <w:rsid w:val="001E40D9"/>
    <w:rsid w:val="001E42EA"/>
    <w:rsid w:val="001E439E"/>
    <w:rsid w:val="001E48F6"/>
    <w:rsid w:val="001E4A0E"/>
    <w:rsid w:val="001E4AB0"/>
    <w:rsid w:val="001E4DEC"/>
    <w:rsid w:val="001E51E3"/>
    <w:rsid w:val="001E554C"/>
    <w:rsid w:val="001E5C60"/>
    <w:rsid w:val="001E6017"/>
    <w:rsid w:val="001E6497"/>
    <w:rsid w:val="001E6694"/>
    <w:rsid w:val="001E69E2"/>
    <w:rsid w:val="001E6C21"/>
    <w:rsid w:val="001E7761"/>
    <w:rsid w:val="001E79E3"/>
    <w:rsid w:val="001F09ED"/>
    <w:rsid w:val="001F0E2D"/>
    <w:rsid w:val="001F11D7"/>
    <w:rsid w:val="001F125B"/>
    <w:rsid w:val="001F13EF"/>
    <w:rsid w:val="001F15CC"/>
    <w:rsid w:val="001F17CD"/>
    <w:rsid w:val="001F1A49"/>
    <w:rsid w:val="001F252B"/>
    <w:rsid w:val="001F25BC"/>
    <w:rsid w:val="001F2957"/>
    <w:rsid w:val="001F2B51"/>
    <w:rsid w:val="001F3432"/>
    <w:rsid w:val="001F381F"/>
    <w:rsid w:val="001F4213"/>
    <w:rsid w:val="001F428D"/>
    <w:rsid w:val="001F429A"/>
    <w:rsid w:val="001F4402"/>
    <w:rsid w:val="001F4433"/>
    <w:rsid w:val="001F44BD"/>
    <w:rsid w:val="001F47BB"/>
    <w:rsid w:val="001F4B91"/>
    <w:rsid w:val="001F5133"/>
    <w:rsid w:val="001F535F"/>
    <w:rsid w:val="001F5627"/>
    <w:rsid w:val="001F5D02"/>
    <w:rsid w:val="001F5E0A"/>
    <w:rsid w:val="001F642F"/>
    <w:rsid w:val="001F64C9"/>
    <w:rsid w:val="001F654E"/>
    <w:rsid w:val="001F6700"/>
    <w:rsid w:val="001F675D"/>
    <w:rsid w:val="001F6D7A"/>
    <w:rsid w:val="001F6E76"/>
    <w:rsid w:val="001F6EEE"/>
    <w:rsid w:val="001F701D"/>
    <w:rsid w:val="001F71B9"/>
    <w:rsid w:val="001F7426"/>
    <w:rsid w:val="001F74D3"/>
    <w:rsid w:val="001F7555"/>
    <w:rsid w:val="001F792B"/>
    <w:rsid w:val="001F79CA"/>
    <w:rsid w:val="001F79E0"/>
    <w:rsid w:val="00200549"/>
    <w:rsid w:val="00200578"/>
    <w:rsid w:val="00200A48"/>
    <w:rsid w:val="00200C3D"/>
    <w:rsid w:val="00200DB6"/>
    <w:rsid w:val="00200DE7"/>
    <w:rsid w:val="00200F58"/>
    <w:rsid w:val="00201A47"/>
    <w:rsid w:val="00201B18"/>
    <w:rsid w:val="00201B7A"/>
    <w:rsid w:val="00201D09"/>
    <w:rsid w:val="0020204C"/>
    <w:rsid w:val="00202268"/>
    <w:rsid w:val="0020226A"/>
    <w:rsid w:val="002023E6"/>
    <w:rsid w:val="00202615"/>
    <w:rsid w:val="0020290E"/>
    <w:rsid w:val="00202D0B"/>
    <w:rsid w:val="00203637"/>
    <w:rsid w:val="00203FDA"/>
    <w:rsid w:val="0020406A"/>
    <w:rsid w:val="00204117"/>
    <w:rsid w:val="002043D9"/>
    <w:rsid w:val="00204496"/>
    <w:rsid w:val="0020496E"/>
    <w:rsid w:val="00204B9E"/>
    <w:rsid w:val="00204CD3"/>
    <w:rsid w:val="0020547B"/>
    <w:rsid w:val="002055FF"/>
    <w:rsid w:val="00205866"/>
    <w:rsid w:val="00205A87"/>
    <w:rsid w:val="00206693"/>
    <w:rsid w:val="00206764"/>
    <w:rsid w:val="00206875"/>
    <w:rsid w:val="00206AA7"/>
    <w:rsid w:val="00207924"/>
    <w:rsid w:val="00207C76"/>
    <w:rsid w:val="00207F0F"/>
    <w:rsid w:val="0021027C"/>
    <w:rsid w:val="0021057A"/>
    <w:rsid w:val="00210F29"/>
    <w:rsid w:val="002111CB"/>
    <w:rsid w:val="002113EE"/>
    <w:rsid w:val="00211C6D"/>
    <w:rsid w:val="00211D12"/>
    <w:rsid w:val="002124EE"/>
    <w:rsid w:val="00212643"/>
    <w:rsid w:val="002126A1"/>
    <w:rsid w:val="002128E4"/>
    <w:rsid w:val="00212A23"/>
    <w:rsid w:val="00212AD7"/>
    <w:rsid w:val="00212C6A"/>
    <w:rsid w:val="00213478"/>
    <w:rsid w:val="0021364A"/>
    <w:rsid w:val="002136F3"/>
    <w:rsid w:val="00213FF3"/>
    <w:rsid w:val="00214B18"/>
    <w:rsid w:val="00214E99"/>
    <w:rsid w:val="00214EC9"/>
    <w:rsid w:val="00214F8B"/>
    <w:rsid w:val="00215872"/>
    <w:rsid w:val="002158E9"/>
    <w:rsid w:val="00215DF3"/>
    <w:rsid w:val="002161C4"/>
    <w:rsid w:val="002163BC"/>
    <w:rsid w:val="00216A8F"/>
    <w:rsid w:val="00216B0A"/>
    <w:rsid w:val="00216C3D"/>
    <w:rsid w:val="002172F3"/>
    <w:rsid w:val="0022029C"/>
    <w:rsid w:val="002204C5"/>
    <w:rsid w:val="002209C0"/>
    <w:rsid w:val="002210F5"/>
    <w:rsid w:val="002211B3"/>
    <w:rsid w:val="0022142E"/>
    <w:rsid w:val="0022146F"/>
    <w:rsid w:val="0022160E"/>
    <w:rsid w:val="0022161A"/>
    <w:rsid w:val="00221D8D"/>
    <w:rsid w:val="00221E45"/>
    <w:rsid w:val="002220FE"/>
    <w:rsid w:val="002227E7"/>
    <w:rsid w:val="00222F97"/>
    <w:rsid w:val="00223075"/>
    <w:rsid w:val="0022369E"/>
    <w:rsid w:val="00223911"/>
    <w:rsid w:val="002239C3"/>
    <w:rsid w:val="002239D2"/>
    <w:rsid w:val="00223E35"/>
    <w:rsid w:val="00224A88"/>
    <w:rsid w:val="00224B8B"/>
    <w:rsid w:val="00224CE3"/>
    <w:rsid w:val="00224E3D"/>
    <w:rsid w:val="00225022"/>
    <w:rsid w:val="00225169"/>
    <w:rsid w:val="00225399"/>
    <w:rsid w:val="0022544B"/>
    <w:rsid w:val="00225CB4"/>
    <w:rsid w:val="002260DB"/>
    <w:rsid w:val="00226411"/>
    <w:rsid w:val="0022650E"/>
    <w:rsid w:val="00226639"/>
    <w:rsid w:val="002266B7"/>
    <w:rsid w:val="002267D7"/>
    <w:rsid w:val="00226A67"/>
    <w:rsid w:val="00226EAC"/>
    <w:rsid w:val="00227142"/>
    <w:rsid w:val="002271A6"/>
    <w:rsid w:val="002272A6"/>
    <w:rsid w:val="00227432"/>
    <w:rsid w:val="00227475"/>
    <w:rsid w:val="00227585"/>
    <w:rsid w:val="00227869"/>
    <w:rsid w:val="002278C8"/>
    <w:rsid w:val="002301A7"/>
    <w:rsid w:val="002304AC"/>
    <w:rsid w:val="00230808"/>
    <w:rsid w:val="00230AD5"/>
    <w:rsid w:val="00230B4B"/>
    <w:rsid w:val="00230BBF"/>
    <w:rsid w:val="00230DE1"/>
    <w:rsid w:val="00230F8B"/>
    <w:rsid w:val="0023126E"/>
    <w:rsid w:val="00231479"/>
    <w:rsid w:val="0023151C"/>
    <w:rsid w:val="00231837"/>
    <w:rsid w:val="00231923"/>
    <w:rsid w:val="00231945"/>
    <w:rsid w:val="00231A2C"/>
    <w:rsid w:val="00231D79"/>
    <w:rsid w:val="0023200C"/>
    <w:rsid w:val="00232893"/>
    <w:rsid w:val="002328C4"/>
    <w:rsid w:val="00232985"/>
    <w:rsid w:val="00232F2C"/>
    <w:rsid w:val="00232FCC"/>
    <w:rsid w:val="002331CD"/>
    <w:rsid w:val="00233602"/>
    <w:rsid w:val="00233608"/>
    <w:rsid w:val="00233752"/>
    <w:rsid w:val="002337D9"/>
    <w:rsid w:val="002338A2"/>
    <w:rsid w:val="00233A5B"/>
    <w:rsid w:val="00233A73"/>
    <w:rsid w:val="00233B8A"/>
    <w:rsid w:val="00233D91"/>
    <w:rsid w:val="00234136"/>
    <w:rsid w:val="002342A8"/>
    <w:rsid w:val="00234593"/>
    <w:rsid w:val="00234D44"/>
    <w:rsid w:val="0023538F"/>
    <w:rsid w:val="002354CD"/>
    <w:rsid w:val="0023571D"/>
    <w:rsid w:val="0023582A"/>
    <w:rsid w:val="00235837"/>
    <w:rsid w:val="002358E2"/>
    <w:rsid w:val="00235A3E"/>
    <w:rsid w:val="00236089"/>
    <w:rsid w:val="00236D46"/>
    <w:rsid w:val="00237E64"/>
    <w:rsid w:val="00237F2A"/>
    <w:rsid w:val="0023F15D"/>
    <w:rsid w:val="002405AD"/>
    <w:rsid w:val="00240626"/>
    <w:rsid w:val="00240D2B"/>
    <w:rsid w:val="00240FA0"/>
    <w:rsid w:val="002411F9"/>
    <w:rsid w:val="00241226"/>
    <w:rsid w:val="0024129C"/>
    <w:rsid w:val="0024178A"/>
    <w:rsid w:val="002418BF"/>
    <w:rsid w:val="002419CA"/>
    <w:rsid w:val="002419FA"/>
    <w:rsid w:val="00241B19"/>
    <w:rsid w:val="00241BBE"/>
    <w:rsid w:val="00241F5E"/>
    <w:rsid w:val="00242077"/>
    <w:rsid w:val="002420CF"/>
    <w:rsid w:val="0024213B"/>
    <w:rsid w:val="002421C3"/>
    <w:rsid w:val="0024225A"/>
    <w:rsid w:val="002422E3"/>
    <w:rsid w:val="00242D2D"/>
    <w:rsid w:val="00242ED1"/>
    <w:rsid w:val="00243147"/>
    <w:rsid w:val="002434E1"/>
    <w:rsid w:val="00243783"/>
    <w:rsid w:val="00243C07"/>
    <w:rsid w:val="00244664"/>
    <w:rsid w:val="00244709"/>
    <w:rsid w:val="00245724"/>
    <w:rsid w:val="0024599B"/>
    <w:rsid w:val="002460E7"/>
    <w:rsid w:val="0024636B"/>
    <w:rsid w:val="00246439"/>
    <w:rsid w:val="00246631"/>
    <w:rsid w:val="00246DD0"/>
    <w:rsid w:val="00246DE2"/>
    <w:rsid w:val="0024730B"/>
    <w:rsid w:val="00247732"/>
    <w:rsid w:val="00247A25"/>
    <w:rsid w:val="00247A6A"/>
    <w:rsid w:val="00247C68"/>
    <w:rsid w:val="00247D76"/>
    <w:rsid w:val="002502F0"/>
    <w:rsid w:val="00250381"/>
    <w:rsid w:val="002503DF"/>
    <w:rsid w:val="0025235D"/>
    <w:rsid w:val="00252369"/>
    <w:rsid w:val="00252744"/>
    <w:rsid w:val="0025277E"/>
    <w:rsid w:val="0025286C"/>
    <w:rsid w:val="002531F4"/>
    <w:rsid w:val="00253AC1"/>
    <w:rsid w:val="00253B13"/>
    <w:rsid w:val="00253C9B"/>
    <w:rsid w:val="00253CB2"/>
    <w:rsid w:val="002542BF"/>
    <w:rsid w:val="002552CB"/>
    <w:rsid w:val="002554ED"/>
    <w:rsid w:val="002555F2"/>
    <w:rsid w:val="002558C7"/>
    <w:rsid w:val="00255CAA"/>
    <w:rsid w:val="00255F7A"/>
    <w:rsid w:val="002569D4"/>
    <w:rsid w:val="00257047"/>
    <w:rsid w:val="002570DE"/>
    <w:rsid w:val="00257594"/>
    <w:rsid w:val="002576B5"/>
    <w:rsid w:val="00257D33"/>
    <w:rsid w:val="00260206"/>
    <w:rsid w:val="0026022E"/>
    <w:rsid w:val="00260490"/>
    <w:rsid w:val="00260596"/>
    <w:rsid w:val="002607C4"/>
    <w:rsid w:val="0026094C"/>
    <w:rsid w:val="00260D24"/>
    <w:rsid w:val="002612AF"/>
    <w:rsid w:val="0026132E"/>
    <w:rsid w:val="00261354"/>
    <w:rsid w:val="00261382"/>
    <w:rsid w:val="00261C3E"/>
    <w:rsid w:val="00261CBC"/>
    <w:rsid w:val="00261DFF"/>
    <w:rsid w:val="00261E09"/>
    <w:rsid w:val="00261E80"/>
    <w:rsid w:val="00262114"/>
    <w:rsid w:val="0026253A"/>
    <w:rsid w:val="00262FF8"/>
    <w:rsid w:val="0026320C"/>
    <w:rsid w:val="0026333A"/>
    <w:rsid w:val="002634E4"/>
    <w:rsid w:val="00263535"/>
    <w:rsid w:val="0026361B"/>
    <w:rsid w:val="00263B1E"/>
    <w:rsid w:val="00264056"/>
    <w:rsid w:val="00264F5C"/>
    <w:rsid w:val="002654DC"/>
    <w:rsid w:val="0026574C"/>
    <w:rsid w:val="002658D7"/>
    <w:rsid w:val="00265C41"/>
    <w:rsid w:val="00265CDC"/>
    <w:rsid w:val="00266003"/>
    <w:rsid w:val="002661B0"/>
    <w:rsid w:val="00266383"/>
    <w:rsid w:val="00266875"/>
    <w:rsid w:val="00266AB7"/>
    <w:rsid w:val="00266E63"/>
    <w:rsid w:val="00267339"/>
    <w:rsid w:val="0026740D"/>
    <w:rsid w:val="00267470"/>
    <w:rsid w:val="0026768D"/>
    <w:rsid w:val="00267A1F"/>
    <w:rsid w:val="00267B0D"/>
    <w:rsid w:val="00270054"/>
    <w:rsid w:val="00270691"/>
    <w:rsid w:val="00270C7D"/>
    <w:rsid w:val="00270CDD"/>
    <w:rsid w:val="00270DAD"/>
    <w:rsid w:val="00270FC6"/>
    <w:rsid w:val="0027114B"/>
    <w:rsid w:val="00271177"/>
    <w:rsid w:val="0027171B"/>
    <w:rsid w:val="00271C00"/>
    <w:rsid w:val="00271C41"/>
    <w:rsid w:val="002720E8"/>
    <w:rsid w:val="002728B9"/>
    <w:rsid w:val="00272CCD"/>
    <w:rsid w:val="00272F1A"/>
    <w:rsid w:val="00273164"/>
    <w:rsid w:val="00273621"/>
    <w:rsid w:val="002736B1"/>
    <w:rsid w:val="00273B53"/>
    <w:rsid w:val="00273D0C"/>
    <w:rsid w:val="00273DE7"/>
    <w:rsid w:val="002743A4"/>
    <w:rsid w:val="002744FB"/>
    <w:rsid w:val="00274562"/>
    <w:rsid w:val="00274F15"/>
    <w:rsid w:val="00275272"/>
    <w:rsid w:val="0027538F"/>
    <w:rsid w:val="00275584"/>
    <w:rsid w:val="00275846"/>
    <w:rsid w:val="00275B2C"/>
    <w:rsid w:val="00276172"/>
    <w:rsid w:val="00276657"/>
    <w:rsid w:val="00276B08"/>
    <w:rsid w:val="00276E1A"/>
    <w:rsid w:val="002772B5"/>
    <w:rsid w:val="0027732C"/>
    <w:rsid w:val="0027766A"/>
    <w:rsid w:val="00277702"/>
    <w:rsid w:val="00277887"/>
    <w:rsid w:val="0027795E"/>
    <w:rsid w:val="00277E4E"/>
    <w:rsid w:val="00280328"/>
    <w:rsid w:val="00280696"/>
    <w:rsid w:val="002807AA"/>
    <w:rsid w:val="00280833"/>
    <w:rsid w:val="002809D0"/>
    <w:rsid w:val="00280C99"/>
    <w:rsid w:val="00281053"/>
    <w:rsid w:val="0028110D"/>
    <w:rsid w:val="0028170D"/>
    <w:rsid w:val="0028187D"/>
    <w:rsid w:val="002818D6"/>
    <w:rsid w:val="00281B41"/>
    <w:rsid w:val="00281C34"/>
    <w:rsid w:val="00281D4C"/>
    <w:rsid w:val="00281D73"/>
    <w:rsid w:val="00281E9C"/>
    <w:rsid w:val="002821F6"/>
    <w:rsid w:val="00282490"/>
    <w:rsid w:val="00282771"/>
    <w:rsid w:val="002827BC"/>
    <w:rsid w:val="00282994"/>
    <w:rsid w:val="00282BED"/>
    <w:rsid w:val="00282E5E"/>
    <w:rsid w:val="00282E9D"/>
    <w:rsid w:val="00283118"/>
    <w:rsid w:val="002831A7"/>
    <w:rsid w:val="0028328F"/>
    <w:rsid w:val="00283310"/>
    <w:rsid w:val="002834D8"/>
    <w:rsid w:val="00283682"/>
    <w:rsid w:val="0028384D"/>
    <w:rsid w:val="002839AE"/>
    <w:rsid w:val="0028451F"/>
    <w:rsid w:val="0028485B"/>
    <w:rsid w:val="00284AEE"/>
    <w:rsid w:val="00284B5C"/>
    <w:rsid w:val="00284C07"/>
    <w:rsid w:val="00284D3C"/>
    <w:rsid w:val="00284DF3"/>
    <w:rsid w:val="0028501A"/>
    <w:rsid w:val="00285037"/>
    <w:rsid w:val="002851F3"/>
    <w:rsid w:val="00285ACC"/>
    <w:rsid w:val="00285BD5"/>
    <w:rsid w:val="00285E4A"/>
    <w:rsid w:val="00286C02"/>
    <w:rsid w:val="00286CEF"/>
    <w:rsid w:val="00286D90"/>
    <w:rsid w:val="00287A74"/>
    <w:rsid w:val="00287CAB"/>
    <w:rsid w:val="00287DFB"/>
    <w:rsid w:val="00290076"/>
    <w:rsid w:val="00290938"/>
    <w:rsid w:val="00290AE9"/>
    <w:rsid w:val="00290B43"/>
    <w:rsid w:val="00290E07"/>
    <w:rsid w:val="00290E0F"/>
    <w:rsid w:val="00290F1F"/>
    <w:rsid w:val="002911F3"/>
    <w:rsid w:val="00291A39"/>
    <w:rsid w:val="00291D4A"/>
    <w:rsid w:val="00291EC0"/>
    <w:rsid w:val="00292154"/>
    <w:rsid w:val="0029248D"/>
    <w:rsid w:val="0029257F"/>
    <w:rsid w:val="00292729"/>
    <w:rsid w:val="00292B3B"/>
    <w:rsid w:val="00292BAB"/>
    <w:rsid w:val="00292E3A"/>
    <w:rsid w:val="00292F08"/>
    <w:rsid w:val="00293221"/>
    <w:rsid w:val="0029335E"/>
    <w:rsid w:val="00293A4E"/>
    <w:rsid w:val="00293C13"/>
    <w:rsid w:val="00294258"/>
    <w:rsid w:val="002942D9"/>
    <w:rsid w:val="00294A64"/>
    <w:rsid w:val="00294D3D"/>
    <w:rsid w:val="00294D64"/>
    <w:rsid w:val="00295077"/>
    <w:rsid w:val="002960C5"/>
    <w:rsid w:val="00296774"/>
    <w:rsid w:val="002967A4"/>
    <w:rsid w:val="00297838"/>
    <w:rsid w:val="00297927"/>
    <w:rsid w:val="002A0181"/>
    <w:rsid w:val="002A03AD"/>
    <w:rsid w:val="002A05C5"/>
    <w:rsid w:val="002A0693"/>
    <w:rsid w:val="002A0FB4"/>
    <w:rsid w:val="002A10BD"/>
    <w:rsid w:val="002A149D"/>
    <w:rsid w:val="002A14F2"/>
    <w:rsid w:val="002A189D"/>
    <w:rsid w:val="002A1D84"/>
    <w:rsid w:val="002A1F54"/>
    <w:rsid w:val="002A2050"/>
    <w:rsid w:val="002A227A"/>
    <w:rsid w:val="002A253C"/>
    <w:rsid w:val="002A261C"/>
    <w:rsid w:val="002A264D"/>
    <w:rsid w:val="002A26B3"/>
    <w:rsid w:val="002A2B84"/>
    <w:rsid w:val="002A32D0"/>
    <w:rsid w:val="002A331B"/>
    <w:rsid w:val="002A39B9"/>
    <w:rsid w:val="002A3BA0"/>
    <w:rsid w:val="002A3D6B"/>
    <w:rsid w:val="002A3F41"/>
    <w:rsid w:val="002A4204"/>
    <w:rsid w:val="002A42BF"/>
    <w:rsid w:val="002A45D3"/>
    <w:rsid w:val="002A45FA"/>
    <w:rsid w:val="002A461F"/>
    <w:rsid w:val="002A47B0"/>
    <w:rsid w:val="002A4A31"/>
    <w:rsid w:val="002A4F61"/>
    <w:rsid w:val="002A534B"/>
    <w:rsid w:val="002A53CB"/>
    <w:rsid w:val="002A53E4"/>
    <w:rsid w:val="002A5539"/>
    <w:rsid w:val="002A55B4"/>
    <w:rsid w:val="002A589D"/>
    <w:rsid w:val="002A58B1"/>
    <w:rsid w:val="002A5BA0"/>
    <w:rsid w:val="002A6013"/>
    <w:rsid w:val="002A625D"/>
    <w:rsid w:val="002A6504"/>
    <w:rsid w:val="002A6857"/>
    <w:rsid w:val="002A68FC"/>
    <w:rsid w:val="002A71AE"/>
    <w:rsid w:val="002A732D"/>
    <w:rsid w:val="002A76B6"/>
    <w:rsid w:val="002A790C"/>
    <w:rsid w:val="002A7E18"/>
    <w:rsid w:val="002A7E58"/>
    <w:rsid w:val="002A7F3D"/>
    <w:rsid w:val="002B0112"/>
    <w:rsid w:val="002B01C1"/>
    <w:rsid w:val="002B0429"/>
    <w:rsid w:val="002B09F3"/>
    <w:rsid w:val="002B0DCC"/>
    <w:rsid w:val="002B0F31"/>
    <w:rsid w:val="002B12C5"/>
    <w:rsid w:val="002B1326"/>
    <w:rsid w:val="002B1B26"/>
    <w:rsid w:val="002B1BA0"/>
    <w:rsid w:val="002B275E"/>
    <w:rsid w:val="002B2835"/>
    <w:rsid w:val="002B2A4A"/>
    <w:rsid w:val="002B3092"/>
    <w:rsid w:val="002B309F"/>
    <w:rsid w:val="002B32BB"/>
    <w:rsid w:val="002B33B9"/>
    <w:rsid w:val="002B35B6"/>
    <w:rsid w:val="002B3A33"/>
    <w:rsid w:val="002B402D"/>
    <w:rsid w:val="002B412F"/>
    <w:rsid w:val="002B42DB"/>
    <w:rsid w:val="002B4606"/>
    <w:rsid w:val="002B4698"/>
    <w:rsid w:val="002B4C7A"/>
    <w:rsid w:val="002B53E4"/>
    <w:rsid w:val="002B5D25"/>
    <w:rsid w:val="002B5F8E"/>
    <w:rsid w:val="002B5F96"/>
    <w:rsid w:val="002B665A"/>
    <w:rsid w:val="002B68F5"/>
    <w:rsid w:val="002B6999"/>
    <w:rsid w:val="002B7007"/>
    <w:rsid w:val="002B7243"/>
    <w:rsid w:val="002B73CF"/>
    <w:rsid w:val="002B7903"/>
    <w:rsid w:val="002B790F"/>
    <w:rsid w:val="002B7C45"/>
    <w:rsid w:val="002B7D53"/>
    <w:rsid w:val="002B7F16"/>
    <w:rsid w:val="002C094E"/>
    <w:rsid w:val="002C0BE1"/>
    <w:rsid w:val="002C0D4F"/>
    <w:rsid w:val="002C0F42"/>
    <w:rsid w:val="002C15E2"/>
    <w:rsid w:val="002C1704"/>
    <w:rsid w:val="002C177C"/>
    <w:rsid w:val="002C17AE"/>
    <w:rsid w:val="002C1B14"/>
    <w:rsid w:val="002C1C54"/>
    <w:rsid w:val="002C1E43"/>
    <w:rsid w:val="002C23DE"/>
    <w:rsid w:val="002C261C"/>
    <w:rsid w:val="002C28F6"/>
    <w:rsid w:val="002C2C41"/>
    <w:rsid w:val="002C2CAB"/>
    <w:rsid w:val="002C3B72"/>
    <w:rsid w:val="002C3C28"/>
    <w:rsid w:val="002C4B29"/>
    <w:rsid w:val="002C4F38"/>
    <w:rsid w:val="002C5033"/>
    <w:rsid w:val="002C5432"/>
    <w:rsid w:val="002C568A"/>
    <w:rsid w:val="002C569B"/>
    <w:rsid w:val="002C570D"/>
    <w:rsid w:val="002C5C1E"/>
    <w:rsid w:val="002C60EF"/>
    <w:rsid w:val="002C6B33"/>
    <w:rsid w:val="002C6CA8"/>
    <w:rsid w:val="002C6ED6"/>
    <w:rsid w:val="002C7118"/>
    <w:rsid w:val="002C741C"/>
    <w:rsid w:val="002C75F2"/>
    <w:rsid w:val="002C7A6A"/>
    <w:rsid w:val="002C7E8C"/>
    <w:rsid w:val="002D05EC"/>
    <w:rsid w:val="002D0C68"/>
    <w:rsid w:val="002D0E2D"/>
    <w:rsid w:val="002D0F0C"/>
    <w:rsid w:val="002D1851"/>
    <w:rsid w:val="002D1C8E"/>
    <w:rsid w:val="002D1FC6"/>
    <w:rsid w:val="002D23CA"/>
    <w:rsid w:val="002D2CEE"/>
    <w:rsid w:val="002D2FFE"/>
    <w:rsid w:val="002D31C4"/>
    <w:rsid w:val="002D335C"/>
    <w:rsid w:val="002D355D"/>
    <w:rsid w:val="002D383B"/>
    <w:rsid w:val="002D3951"/>
    <w:rsid w:val="002D3A4F"/>
    <w:rsid w:val="002D3A96"/>
    <w:rsid w:val="002D3CC3"/>
    <w:rsid w:val="002D3F59"/>
    <w:rsid w:val="002D410E"/>
    <w:rsid w:val="002D4838"/>
    <w:rsid w:val="002D4C38"/>
    <w:rsid w:val="002D5182"/>
    <w:rsid w:val="002D52A7"/>
    <w:rsid w:val="002D52FA"/>
    <w:rsid w:val="002D550F"/>
    <w:rsid w:val="002D57CA"/>
    <w:rsid w:val="002D58F7"/>
    <w:rsid w:val="002D591C"/>
    <w:rsid w:val="002D6748"/>
    <w:rsid w:val="002D6880"/>
    <w:rsid w:val="002D6941"/>
    <w:rsid w:val="002D6985"/>
    <w:rsid w:val="002D6C62"/>
    <w:rsid w:val="002D71BF"/>
    <w:rsid w:val="002D72FD"/>
    <w:rsid w:val="002D7818"/>
    <w:rsid w:val="002D7C02"/>
    <w:rsid w:val="002D7D83"/>
    <w:rsid w:val="002D7FF1"/>
    <w:rsid w:val="002E004B"/>
    <w:rsid w:val="002E007E"/>
    <w:rsid w:val="002E043A"/>
    <w:rsid w:val="002E054B"/>
    <w:rsid w:val="002E07F2"/>
    <w:rsid w:val="002E100D"/>
    <w:rsid w:val="002E1310"/>
    <w:rsid w:val="002E1B9B"/>
    <w:rsid w:val="002E250D"/>
    <w:rsid w:val="002E25A2"/>
    <w:rsid w:val="002E27D5"/>
    <w:rsid w:val="002E2C13"/>
    <w:rsid w:val="002E2F1C"/>
    <w:rsid w:val="002E30EA"/>
    <w:rsid w:val="002E3255"/>
    <w:rsid w:val="002E32B4"/>
    <w:rsid w:val="002E3820"/>
    <w:rsid w:val="002E393A"/>
    <w:rsid w:val="002E3A92"/>
    <w:rsid w:val="002E3C78"/>
    <w:rsid w:val="002E403F"/>
    <w:rsid w:val="002E41F8"/>
    <w:rsid w:val="002E4239"/>
    <w:rsid w:val="002E43BF"/>
    <w:rsid w:val="002E44EC"/>
    <w:rsid w:val="002E4783"/>
    <w:rsid w:val="002E4B83"/>
    <w:rsid w:val="002E4DD5"/>
    <w:rsid w:val="002E4EF2"/>
    <w:rsid w:val="002E5168"/>
    <w:rsid w:val="002E5564"/>
    <w:rsid w:val="002E5670"/>
    <w:rsid w:val="002E58EE"/>
    <w:rsid w:val="002E59ED"/>
    <w:rsid w:val="002E5A06"/>
    <w:rsid w:val="002E5B47"/>
    <w:rsid w:val="002E5D27"/>
    <w:rsid w:val="002E5EC2"/>
    <w:rsid w:val="002E6216"/>
    <w:rsid w:val="002E6501"/>
    <w:rsid w:val="002E67A4"/>
    <w:rsid w:val="002E69EC"/>
    <w:rsid w:val="002E6D34"/>
    <w:rsid w:val="002E6D7A"/>
    <w:rsid w:val="002E6F98"/>
    <w:rsid w:val="002E7177"/>
    <w:rsid w:val="002E7272"/>
    <w:rsid w:val="002E74CD"/>
    <w:rsid w:val="002E792D"/>
    <w:rsid w:val="002E79FC"/>
    <w:rsid w:val="002F00AA"/>
    <w:rsid w:val="002F0328"/>
    <w:rsid w:val="002F05D7"/>
    <w:rsid w:val="002F094B"/>
    <w:rsid w:val="002F0BBE"/>
    <w:rsid w:val="002F15D5"/>
    <w:rsid w:val="002F1A11"/>
    <w:rsid w:val="002F1D13"/>
    <w:rsid w:val="002F1D62"/>
    <w:rsid w:val="002F1DF0"/>
    <w:rsid w:val="002F1F83"/>
    <w:rsid w:val="002F2498"/>
    <w:rsid w:val="002F251A"/>
    <w:rsid w:val="002F2700"/>
    <w:rsid w:val="002F2C42"/>
    <w:rsid w:val="002F2C94"/>
    <w:rsid w:val="002F333B"/>
    <w:rsid w:val="002F370B"/>
    <w:rsid w:val="002F3732"/>
    <w:rsid w:val="002F386C"/>
    <w:rsid w:val="002F3909"/>
    <w:rsid w:val="002F3EBB"/>
    <w:rsid w:val="002F4040"/>
    <w:rsid w:val="002F479D"/>
    <w:rsid w:val="002F4EE4"/>
    <w:rsid w:val="002F5067"/>
    <w:rsid w:val="002F55A3"/>
    <w:rsid w:val="002F6193"/>
    <w:rsid w:val="002F621C"/>
    <w:rsid w:val="002F6541"/>
    <w:rsid w:val="002F6792"/>
    <w:rsid w:val="002F6911"/>
    <w:rsid w:val="002F69E1"/>
    <w:rsid w:val="002F69FA"/>
    <w:rsid w:val="002F6A77"/>
    <w:rsid w:val="002F6B91"/>
    <w:rsid w:val="002F7152"/>
    <w:rsid w:val="002F7332"/>
    <w:rsid w:val="002F743B"/>
    <w:rsid w:val="002F760F"/>
    <w:rsid w:val="002F77D3"/>
    <w:rsid w:val="002F798F"/>
    <w:rsid w:val="002F7B5A"/>
    <w:rsid w:val="002F7C68"/>
    <w:rsid w:val="002F7D8D"/>
    <w:rsid w:val="00300068"/>
    <w:rsid w:val="00300190"/>
    <w:rsid w:val="00300840"/>
    <w:rsid w:val="0030099A"/>
    <w:rsid w:val="003009E5"/>
    <w:rsid w:val="00300B4D"/>
    <w:rsid w:val="00300B58"/>
    <w:rsid w:val="00300B7F"/>
    <w:rsid w:val="00300C57"/>
    <w:rsid w:val="00300CC6"/>
    <w:rsid w:val="00300CCA"/>
    <w:rsid w:val="00300DD0"/>
    <w:rsid w:val="003015F9"/>
    <w:rsid w:val="003018F2"/>
    <w:rsid w:val="00301EC8"/>
    <w:rsid w:val="00302784"/>
    <w:rsid w:val="003029C5"/>
    <w:rsid w:val="00302B05"/>
    <w:rsid w:val="00302B44"/>
    <w:rsid w:val="00302E5B"/>
    <w:rsid w:val="00303581"/>
    <w:rsid w:val="0030360E"/>
    <w:rsid w:val="00303618"/>
    <w:rsid w:val="00303AE0"/>
    <w:rsid w:val="00303B96"/>
    <w:rsid w:val="00303C72"/>
    <w:rsid w:val="00303DB3"/>
    <w:rsid w:val="00303E5B"/>
    <w:rsid w:val="003040FD"/>
    <w:rsid w:val="003042FC"/>
    <w:rsid w:val="0030436C"/>
    <w:rsid w:val="00304698"/>
    <w:rsid w:val="00304719"/>
    <w:rsid w:val="00304A62"/>
    <w:rsid w:val="00304C9B"/>
    <w:rsid w:val="0030541A"/>
    <w:rsid w:val="003056F6"/>
    <w:rsid w:val="00305A6B"/>
    <w:rsid w:val="00305B89"/>
    <w:rsid w:val="00306556"/>
    <w:rsid w:val="00306656"/>
    <w:rsid w:val="0030684E"/>
    <w:rsid w:val="00306DAF"/>
    <w:rsid w:val="0030709E"/>
    <w:rsid w:val="0030713F"/>
    <w:rsid w:val="00307368"/>
    <w:rsid w:val="003074FA"/>
    <w:rsid w:val="0030762E"/>
    <w:rsid w:val="003076BC"/>
    <w:rsid w:val="0030777D"/>
    <w:rsid w:val="00307A28"/>
    <w:rsid w:val="00307C41"/>
    <w:rsid w:val="00307F67"/>
    <w:rsid w:val="003107EE"/>
    <w:rsid w:val="00310A50"/>
    <w:rsid w:val="00310D2F"/>
    <w:rsid w:val="00310DAE"/>
    <w:rsid w:val="00310DE1"/>
    <w:rsid w:val="00310E1C"/>
    <w:rsid w:val="00311346"/>
    <w:rsid w:val="00311528"/>
    <w:rsid w:val="00311784"/>
    <w:rsid w:val="0031198D"/>
    <w:rsid w:val="00311A35"/>
    <w:rsid w:val="00311D3E"/>
    <w:rsid w:val="00311F5E"/>
    <w:rsid w:val="0031219A"/>
    <w:rsid w:val="003127A2"/>
    <w:rsid w:val="0031299D"/>
    <w:rsid w:val="00312A43"/>
    <w:rsid w:val="00312FFF"/>
    <w:rsid w:val="0031322D"/>
    <w:rsid w:val="0031343E"/>
    <w:rsid w:val="0031359E"/>
    <w:rsid w:val="00313B15"/>
    <w:rsid w:val="00313F29"/>
    <w:rsid w:val="003142EF"/>
    <w:rsid w:val="00314D5F"/>
    <w:rsid w:val="003153DB"/>
    <w:rsid w:val="003155A8"/>
    <w:rsid w:val="00315D92"/>
    <w:rsid w:val="00315DC6"/>
    <w:rsid w:val="00316422"/>
    <w:rsid w:val="00316A58"/>
    <w:rsid w:val="00316CA2"/>
    <w:rsid w:val="003172EB"/>
    <w:rsid w:val="003174E3"/>
    <w:rsid w:val="003176F3"/>
    <w:rsid w:val="00317C7F"/>
    <w:rsid w:val="00317FE4"/>
    <w:rsid w:val="00320156"/>
    <w:rsid w:val="003201D7"/>
    <w:rsid w:val="0032086E"/>
    <w:rsid w:val="003209C7"/>
    <w:rsid w:val="00320AC6"/>
    <w:rsid w:val="00320B48"/>
    <w:rsid w:val="00320B5C"/>
    <w:rsid w:val="00320CA4"/>
    <w:rsid w:val="0032108D"/>
    <w:rsid w:val="00321172"/>
    <w:rsid w:val="00321229"/>
    <w:rsid w:val="0032186E"/>
    <w:rsid w:val="00321B8E"/>
    <w:rsid w:val="00321BA1"/>
    <w:rsid w:val="0032212F"/>
    <w:rsid w:val="003222ED"/>
    <w:rsid w:val="00322C6F"/>
    <w:rsid w:val="00322C8F"/>
    <w:rsid w:val="00322D73"/>
    <w:rsid w:val="003240E3"/>
    <w:rsid w:val="00324320"/>
    <w:rsid w:val="00324390"/>
    <w:rsid w:val="003246DC"/>
    <w:rsid w:val="0032484D"/>
    <w:rsid w:val="00324A04"/>
    <w:rsid w:val="00324CE2"/>
    <w:rsid w:val="00324D90"/>
    <w:rsid w:val="00325077"/>
    <w:rsid w:val="00325152"/>
    <w:rsid w:val="00325590"/>
    <w:rsid w:val="0032560D"/>
    <w:rsid w:val="003259CA"/>
    <w:rsid w:val="00325A20"/>
    <w:rsid w:val="00325F9F"/>
    <w:rsid w:val="00326980"/>
    <w:rsid w:val="00326AE7"/>
    <w:rsid w:val="00326B1C"/>
    <w:rsid w:val="00326FD1"/>
    <w:rsid w:val="003271B1"/>
    <w:rsid w:val="003279F9"/>
    <w:rsid w:val="00327A2B"/>
    <w:rsid w:val="00327A6A"/>
    <w:rsid w:val="00327D10"/>
    <w:rsid w:val="0033011E"/>
    <w:rsid w:val="003301E4"/>
    <w:rsid w:val="0033037D"/>
    <w:rsid w:val="0033071D"/>
    <w:rsid w:val="003309D5"/>
    <w:rsid w:val="00330F15"/>
    <w:rsid w:val="00330FD2"/>
    <w:rsid w:val="00331140"/>
    <w:rsid w:val="003311AE"/>
    <w:rsid w:val="00331253"/>
    <w:rsid w:val="00331348"/>
    <w:rsid w:val="00331678"/>
    <w:rsid w:val="003317BA"/>
    <w:rsid w:val="00331E39"/>
    <w:rsid w:val="00332232"/>
    <w:rsid w:val="00332585"/>
    <w:rsid w:val="00332774"/>
    <w:rsid w:val="003327FA"/>
    <w:rsid w:val="00332AE1"/>
    <w:rsid w:val="00332AF6"/>
    <w:rsid w:val="00334102"/>
    <w:rsid w:val="0033443C"/>
    <w:rsid w:val="0033499F"/>
    <w:rsid w:val="00334F35"/>
    <w:rsid w:val="00334FAB"/>
    <w:rsid w:val="003352A7"/>
    <w:rsid w:val="003353CA"/>
    <w:rsid w:val="00335414"/>
    <w:rsid w:val="0033547E"/>
    <w:rsid w:val="003357DD"/>
    <w:rsid w:val="00335902"/>
    <w:rsid w:val="00335F11"/>
    <w:rsid w:val="003360A6"/>
    <w:rsid w:val="00336283"/>
    <w:rsid w:val="003362A9"/>
    <w:rsid w:val="00336746"/>
    <w:rsid w:val="00336BD6"/>
    <w:rsid w:val="00336D08"/>
    <w:rsid w:val="00337088"/>
    <w:rsid w:val="0033758A"/>
    <w:rsid w:val="00337655"/>
    <w:rsid w:val="0033769F"/>
    <w:rsid w:val="003376A9"/>
    <w:rsid w:val="003378C5"/>
    <w:rsid w:val="003400A9"/>
    <w:rsid w:val="003402BA"/>
    <w:rsid w:val="00340439"/>
    <w:rsid w:val="003405EB"/>
    <w:rsid w:val="0034065E"/>
    <w:rsid w:val="003406C3"/>
    <w:rsid w:val="003406C8"/>
    <w:rsid w:val="003407CF"/>
    <w:rsid w:val="00340C09"/>
    <w:rsid w:val="00341022"/>
    <w:rsid w:val="00341041"/>
    <w:rsid w:val="0034106E"/>
    <w:rsid w:val="003414CA"/>
    <w:rsid w:val="003415CA"/>
    <w:rsid w:val="0034161B"/>
    <w:rsid w:val="0034189C"/>
    <w:rsid w:val="00341AA7"/>
    <w:rsid w:val="00341B7D"/>
    <w:rsid w:val="00341CE8"/>
    <w:rsid w:val="00341FA0"/>
    <w:rsid w:val="0034245B"/>
    <w:rsid w:val="003424E2"/>
    <w:rsid w:val="00342B22"/>
    <w:rsid w:val="00342DD4"/>
    <w:rsid w:val="00343102"/>
    <w:rsid w:val="00343518"/>
    <w:rsid w:val="0034351F"/>
    <w:rsid w:val="003437F6"/>
    <w:rsid w:val="00343A41"/>
    <w:rsid w:val="00343AF7"/>
    <w:rsid w:val="00343D66"/>
    <w:rsid w:val="0034401D"/>
    <w:rsid w:val="0034428C"/>
    <w:rsid w:val="00344350"/>
    <w:rsid w:val="003447BB"/>
    <w:rsid w:val="00344923"/>
    <w:rsid w:val="00344B50"/>
    <w:rsid w:val="003451FB"/>
    <w:rsid w:val="00345E43"/>
    <w:rsid w:val="0034628B"/>
    <w:rsid w:val="0034634D"/>
    <w:rsid w:val="00346591"/>
    <w:rsid w:val="0034690A"/>
    <w:rsid w:val="00346A20"/>
    <w:rsid w:val="00346C15"/>
    <w:rsid w:val="003471AA"/>
    <w:rsid w:val="00347471"/>
    <w:rsid w:val="0034772B"/>
    <w:rsid w:val="00347760"/>
    <w:rsid w:val="00347CA4"/>
    <w:rsid w:val="003504C7"/>
    <w:rsid w:val="00350639"/>
    <w:rsid w:val="00350A1A"/>
    <w:rsid w:val="00350B7E"/>
    <w:rsid w:val="00350CE8"/>
    <w:rsid w:val="00350E58"/>
    <w:rsid w:val="00351383"/>
    <w:rsid w:val="00351B5C"/>
    <w:rsid w:val="00351C50"/>
    <w:rsid w:val="00351C79"/>
    <w:rsid w:val="00351C89"/>
    <w:rsid w:val="00351E9C"/>
    <w:rsid w:val="00351EC2"/>
    <w:rsid w:val="00351EC5"/>
    <w:rsid w:val="00351EDD"/>
    <w:rsid w:val="003522CB"/>
    <w:rsid w:val="003525AB"/>
    <w:rsid w:val="0035286A"/>
    <w:rsid w:val="00353150"/>
    <w:rsid w:val="0035325F"/>
    <w:rsid w:val="00353582"/>
    <w:rsid w:val="003535AF"/>
    <w:rsid w:val="00353938"/>
    <w:rsid w:val="0035397E"/>
    <w:rsid w:val="00353987"/>
    <w:rsid w:val="00353A2D"/>
    <w:rsid w:val="00353F46"/>
    <w:rsid w:val="003540DA"/>
    <w:rsid w:val="00354221"/>
    <w:rsid w:val="003547CF"/>
    <w:rsid w:val="00355068"/>
    <w:rsid w:val="00355C62"/>
    <w:rsid w:val="00355D49"/>
    <w:rsid w:val="00356353"/>
    <w:rsid w:val="0035651A"/>
    <w:rsid w:val="003571C1"/>
    <w:rsid w:val="003571D9"/>
    <w:rsid w:val="0035795E"/>
    <w:rsid w:val="00357CE7"/>
    <w:rsid w:val="0036023A"/>
    <w:rsid w:val="00360687"/>
    <w:rsid w:val="0036092E"/>
    <w:rsid w:val="00360B8D"/>
    <w:rsid w:val="00360BF1"/>
    <w:rsid w:val="00360C3A"/>
    <w:rsid w:val="00360C4B"/>
    <w:rsid w:val="00360D60"/>
    <w:rsid w:val="003612AE"/>
    <w:rsid w:val="003613B3"/>
    <w:rsid w:val="003615A7"/>
    <w:rsid w:val="003615CB"/>
    <w:rsid w:val="0036165A"/>
    <w:rsid w:val="00361984"/>
    <w:rsid w:val="00361A4B"/>
    <w:rsid w:val="00361B01"/>
    <w:rsid w:val="00361B1B"/>
    <w:rsid w:val="003620F8"/>
    <w:rsid w:val="00362500"/>
    <w:rsid w:val="00362523"/>
    <w:rsid w:val="00362759"/>
    <w:rsid w:val="00362A72"/>
    <w:rsid w:val="003630BA"/>
    <w:rsid w:val="0036312A"/>
    <w:rsid w:val="0036322B"/>
    <w:rsid w:val="00363861"/>
    <w:rsid w:val="003639AA"/>
    <w:rsid w:val="00363A01"/>
    <w:rsid w:val="00363CEE"/>
    <w:rsid w:val="00363F28"/>
    <w:rsid w:val="00363F38"/>
    <w:rsid w:val="00363F92"/>
    <w:rsid w:val="0036407B"/>
    <w:rsid w:val="00364138"/>
    <w:rsid w:val="00364C8C"/>
    <w:rsid w:val="00365737"/>
    <w:rsid w:val="0036592E"/>
    <w:rsid w:val="003660C9"/>
    <w:rsid w:val="0036616D"/>
    <w:rsid w:val="00366800"/>
    <w:rsid w:val="003668E8"/>
    <w:rsid w:val="003669B7"/>
    <w:rsid w:val="003669EC"/>
    <w:rsid w:val="00366A35"/>
    <w:rsid w:val="00366EFD"/>
    <w:rsid w:val="00367373"/>
    <w:rsid w:val="003674E2"/>
    <w:rsid w:val="00367952"/>
    <w:rsid w:val="00370326"/>
    <w:rsid w:val="003705AB"/>
    <w:rsid w:val="0037090E"/>
    <w:rsid w:val="0037094A"/>
    <w:rsid w:val="00370A0A"/>
    <w:rsid w:val="003715B1"/>
    <w:rsid w:val="003715CC"/>
    <w:rsid w:val="00371913"/>
    <w:rsid w:val="00371C86"/>
    <w:rsid w:val="00371CDC"/>
    <w:rsid w:val="00371E80"/>
    <w:rsid w:val="00372421"/>
    <w:rsid w:val="00372697"/>
    <w:rsid w:val="00372BA2"/>
    <w:rsid w:val="00373010"/>
    <w:rsid w:val="003733E2"/>
    <w:rsid w:val="00373616"/>
    <w:rsid w:val="0037364F"/>
    <w:rsid w:val="00373BFE"/>
    <w:rsid w:val="00373C59"/>
    <w:rsid w:val="00373DFB"/>
    <w:rsid w:val="00374054"/>
    <w:rsid w:val="0037412F"/>
    <w:rsid w:val="00374175"/>
    <w:rsid w:val="0037456E"/>
    <w:rsid w:val="0037487F"/>
    <w:rsid w:val="00374A07"/>
    <w:rsid w:val="00374A5E"/>
    <w:rsid w:val="00374D9D"/>
    <w:rsid w:val="00374F3B"/>
    <w:rsid w:val="00375173"/>
    <w:rsid w:val="00375200"/>
    <w:rsid w:val="00375338"/>
    <w:rsid w:val="00375997"/>
    <w:rsid w:val="0037660C"/>
    <w:rsid w:val="00376AD4"/>
    <w:rsid w:val="003774A3"/>
    <w:rsid w:val="003779F2"/>
    <w:rsid w:val="00380057"/>
    <w:rsid w:val="00380797"/>
    <w:rsid w:val="003807AE"/>
    <w:rsid w:val="0038087F"/>
    <w:rsid w:val="00380E24"/>
    <w:rsid w:val="00381722"/>
    <w:rsid w:val="00381A3D"/>
    <w:rsid w:val="00381BF9"/>
    <w:rsid w:val="00381D86"/>
    <w:rsid w:val="003821CE"/>
    <w:rsid w:val="0038243E"/>
    <w:rsid w:val="00382729"/>
    <w:rsid w:val="00382762"/>
    <w:rsid w:val="00382793"/>
    <w:rsid w:val="00382B5E"/>
    <w:rsid w:val="00382EB8"/>
    <w:rsid w:val="00382F3F"/>
    <w:rsid w:val="00383360"/>
    <w:rsid w:val="0038345C"/>
    <w:rsid w:val="00384185"/>
    <w:rsid w:val="003846AB"/>
    <w:rsid w:val="00384B4A"/>
    <w:rsid w:val="00384B5B"/>
    <w:rsid w:val="00384B7E"/>
    <w:rsid w:val="00385323"/>
    <w:rsid w:val="0038583B"/>
    <w:rsid w:val="00385872"/>
    <w:rsid w:val="00385D06"/>
    <w:rsid w:val="00385FF0"/>
    <w:rsid w:val="003861BA"/>
    <w:rsid w:val="003862DD"/>
    <w:rsid w:val="00386301"/>
    <w:rsid w:val="00386338"/>
    <w:rsid w:val="0038672F"/>
    <w:rsid w:val="00386A09"/>
    <w:rsid w:val="00386CB3"/>
    <w:rsid w:val="00387361"/>
    <w:rsid w:val="00387495"/>
    <w:rsid w:val="003876F6"/>
    <w:rsid w:val="00387F6A"/>
    <w:rsid w:val="0039049A"/>
    <w:rsid w:val="00390530"/>
    <w:rsid w:val="003905C3"/>
    <w:rsid w:val="003905F8"/>
    <w:rsid w:val="00390657"/>
    <w:rsid w:val="00390E21"/>
    <w:rsid w:val="00390E2D"/>
    <w:rsid w:val="003911D5"/>
    <w:rsid w:val="003912CB"/>
    <w:rsid w:val="0039145C"/>
    <w:rsid w:val="00391832"/>
    <w:rsid w:val="003919FA"/>
    <w:rsid w:val="00391B5B"/>
    <w:rsid w:val="00391DD7"/>
    <w:rsid w:val="0039230B"/>
    <w:rsid w:val="0039241A"/>
    <w:rsid w:val="00392439"/>
    <w:rsid w:val="00392A0A"/>
    <w:rsid w:val="00392A1F"/>
    <w:rsid w:val="0039322A"/>
    <w:rsid w:val="0039338C"/>
    <w:rsid w:val="003936C8"/>
    <w:rsid w:val="00393753"/>
    <w:rsid w:val="00393A96"/>
    <w:rsid w:val="00393D61"/>
    <w:rsid w:val="00393F83"/>
    <w:rsid w:val="003942C0"/>
    <w:rsid w:val="0039444F"/>
    <w:rsid w:val="003946CC"/>
    <w:rsid w:val="00394BFD"/>
    <w:rsid w:val="00394E0C"/>
    <w:rsid w:val="00395463"/>
    <w:rsid w:val="00395960"/>
    <w:rsid w:val="00395A74"/>
    <w:rsid w:val="00395C42"/>
    <w:rsid w:val="00395C7F"/>
    <w:rsid w:val="00395F74"/>
    <w:rsid w:val="00396132"/>
    <w:rsid w:val="00396177"/>
    <w:rsid w:val="003961FC"/>
    <w:rsid w:val="003969A0"/>
    <w:rsid w:val="00396A16"/>
    <w:rsid w:val="00396A6D"/>
    <w:rsid w:val="003970A7"/>
    <w:rsid w:val="003979AB"/>
    <w:rsid w:val="00397F34"/>
    <w:rsid w:val="00397F9D"/>
    <w:rsid w:val="003A04FD"/>
    <w:rsid w:val="003A052A"/>
    <w:rsid w:val="003A1290"/>
    <w:rsid w:val="003A1341"/>
    <w:rsid w:val="003A145F"/>
    <w:rsid w:val="003A189E"/>
    <w:rsid w:val="003A1AF9"/>
    <w:rsid w:val="003A1B7A"/>
    <w:rsid w:val="003A21A2"/>
    <w:rsid w:val="003A2E3A"/>
    <w:rsid w:val="003A31B6"/>
    <w:rsid w:val="003A387A"/>
    <w:rsid w:val="003A38B3"/>
    <w:rsid w:val="003A3AAA"/>
    <w:rsid w:val="003A3D36"/>
    <w:rsid w:val="003A3E23"/>
    <w:rsid w:val="003A3EF8"/>
    <w:rsid w:val="003A45BD"/>
    <w:rsid w:val="003A4616"/>
    <w:rsid w:val="003A4BB1"/>
    <w:rsid w:val="003A4C7E"/>
    <w:rsid w:val="003A4D99"/>
    <w:rsid w:val="003A525B"/>
    <w:rsid w:val="003A5304"/>
    <w:rsid w:val="003A555E"/>
    <w:rsid w:val="003A55E1"/>
    <w:rsid w:val="003A5663"/>
    <w:rsid w:val="003A59C9"/>
    <w:rsid w:val="003A5A7E"/>
    <w:rsid w:val="003A5BE6"/>
    <w:rsid w:val="003A5FC8"/>
    <w:rsid w:val="003A635E"/>
    <w:rsid w:val="003A653E"/>
    <w:rsid w:val="003A672B"/>
    <w:rsid w:val="003A69BD"/>
    <w:rsid w:val="003A6D4D"/>
    <w:rsid w:val="003A6EB7"/>
    <w:rsid w:val="003A6EDE"/>
    <w:rsid w:val="003A6F98"/>
    <w:rsid w:val="003A7574"/>
    <w:rsid w:val="003A786A"/>
    <w:rsid w:val="003A7BB5"/>
    <w:rsid w:val="003A9542"/>
    <w:rsid w:val="003B008A"/>
    <w:rsid w:val="003B014E"/>
    <w:rsid w:val="003B023C"/>
    <w:rsid w:val="003B054B"/>
    <w:rsid w:val="003B0696"/>
    <w:rsid w:val="003B0719"/>
    <w:rsid w:val="003B116B"/>
    <w:rsid w:val="003B12F4"/>
    <w:rsid w:val="003B14AE"/>
    <w:rsid w:val="003B166E"/>
    <w:rsid w:val="003B1E0E"/>
    <w:rsid w:val="003B1F07"/>
    <w:rsid w:val="003B240F"/>
    <w:rsid w:val="003B25A6"/>
    <w:rsid w:val="003B28D6"/>
    <w:rsid w:val="003B29D1"/>
    <w:rsid w:val="003B2D5D"/>
    <w:rsid w:val="003B3E0C"/>
    <w:rsid w:val="003B3F7D"/>
    <w:rsid w:val="003B4273"/>
    <w:rsid w:val="003B4562"/>
    <w:rsid w:val="003B45DC"/>
    <w:rsid w:val="003B47BC"/>
    <w:rsid w:val="003B4980"/>
    <w:rsid w:val="003B4AEB"/>
    <w:rsid w:val="003B50B0"/>
    <w:rsid w:val="003B517A"/>
    <w:rsid w:val="003B532F"/>
    <w:rsid w:val="003B53EA"/>
    <w:rsid w:val="003B5A25"/>
    <w:rsid w:val="003B60D9"/>
    <w:rsid w:val="003B614F"/>
    <w:rsid w:val="003B6295"/>
    <w:rsid w:val="003B63CA"/>
    <w:rsid w:val="003B6B5F"/>
    <w:rsid w:val="003B6F77"/>
    <w:rsid w:val="003B71B9"/>
    <w:rsid w:val="003B73DA"/>
    <w:rsid w:val="003B77DD"/>
    <w:rsid w:val="003B7B81"/>
    <w:rsid w:val="003C00A9"/>
    <w:rsid w:val="003C0261"/>
    <w:rsid w:val="003C04D2"/>
    <w:rsid w:val="003C05E1"/>
    <w:rsid w:val="003C08EF"/>
    <w:rsid w:val="003C0A71"/>
    <w:rsid w:val="003C0BDA"/>
    <w:rsid w:val="003C11F2"/>
    <w:rsid w:val="003C1287"/>
    <w:rsid w:val="003C1315"/>
    <w:rsid w:val="003C1737"/>
    <w:rsid w:val="003C1983"/>
    <w:rsid w:val="003C1A55"/>
    <w:rsid w:val="003C1CE7"/>
    <w:rsid w:val="003C1D3D"/>
    <w:rsid w:val="003C1DEC"/>
    <w:rsid w:val="003C27DF"/>
    <w:rsid w:val="003C2B08"/>
    <w:rsid w:val="003C3110"/>
    <w:rsid w:val="003C3372"/>
    <w:rsid w:val="003C3653"/>
    <w:rsid w:val="003C3773"/>
    <w:rsid w:val="003C3D7A"/>
    <w:rsid w:val="003C427E"/>
    <w:rsid w:val="003C4DD5"/>
    <w:rsid w:val="003C4E49"/>
    <w:rsid w:val="003C4E71"/>
    <w:rsid w:val="003C517F"/>
    <w:rsid w:val="003C520C"/>
    <w:rsid w:val="003C53DB"/>
    <w:rsid w:val="003C5CC4"/>
    <w:rsid w:val="003C6466"/>
    <w:rsid w:val="003C6B9E"/>
    <w:rsid w:val="003C713E"/>
    <w:rsid w:val="003C753D"/>
    <w:rsid w:val="003C7592"/>
    <w:rsid w:val="003C7986"/>
    <w:rsid w:val="003C7B5D"/>
    <w:rsid w:val="003C7E5A"/>
    <w:rsid w:val="003D00B0"/>
    <w:rsid w:val="003D01FF"/>
    <w:rsid w:val="003D0240"/>
    <w:rsid w:val="003D0990"/>
    <w:rsid w:val="003D0D8A"/>
    <w:rsid w:val="003D0DF9"/>
    <w:rsid w:val="003D116A"/>
    <w:rsid w:val="003D16E3"/>
    <w:rsid w:val="003D184B"/>
    <w:rsid w:val="003D1B41"/>
    <w:rsid w:val="003D1DEE"/>
    <w:rsid w:val="003D1E26"/>
    <w:rsid w:val="003D23BB"/>
    <w:rsid w:val="003D23F3"/>
    <w:rsid w:val="003D24A5"/>
    <w:rsid w:val="003D25AE"/>
    <w:rsid w:val="003D2897"/>
    <w:rsid w:val="003D2DFE"/>
    <w:rsid w:val="003D300E"/>
    <w:rsid w:val="003D340C"/>
    <w:rsid w:val="003D355C"/>
    <w:rsid w:val="003D36BE"/>
    <w:rsid w:val="003D3821"/>
    <w:rsid w:val="003D38BD"/>
    <w:rsid w:val="003D3BDB"/>
    <w:rsid w:val="003D3CDF"/>
    <w:rsid w:val="003D3E86"/>
    <w:rsid w:val="003D3EF7"/>
    <w:rsid w:val="003D406D"/>
    <w:rsid w:val="003D409D"/>
    <w:rsid w:val="003D41F9"/>
    <w:rsid w:val="003D4580"/>
    <w:rsid w:val="003D49AE"/>
    <w:rsid w:val="003D4B3D"/>
    <w:rsid w:val="003D4DED"/>
    <w:rsid w:val="003D5156"/>
    <w:rsid w:val="003D51FA"/>
    <w:rsid w:val="003D591A"/>
    <w:rsid w:val="003D5B77"/>
    <w:rsid w:val="003D5B80"/>
    <w:rsid w:val="003D5C95"/>
    <w:rsid w:val="003D5D1D"/>
    <w:rsid w:val="003D6210"/>
    <w:rsid w:val="003D6669"/>
    <w:rsid w:val="003D669B"/>
    <w:rsid w:val="003D6711"/>
    <w:rsid w:val="003D67E1"/>
    <w:rsid w:val="003D6928"/>
    <w:rsid w:val="003D6CA2"/>
    <w:rsid w:val="003D6F5F"/>
    <w:rsid w:val="003D7211"/>
    <w:rsid w:val="003D7934"/>
    <w:rsid w:val="003D795D"/>
    <w:rsid w:val="003D7B87"/>
    <w:rsid w:val="003D7B98"/>
    <w:rsid w:val="003D7BDA"/>
    <w:rsid w:val="003D7D2C"/>
    <w:rsid w:val="003D7DF7"/>
    <w:rsid w:val="003E0127"/>
    <w:rsid w:val="003E021E"/>
    <w:rsid w:val="003E0B25"/>
    <w:rsid w:val="003E0E9A"/>
    <w:rsid w:val="003E1171"/>
    <w:rsid w:val="003E1230"/>
    <w:rsid w:val="003E1AC9"/>
    <w:rsid w:val="003E1ECD"/>
    <w:rsid w:val="003E1FF4"/>
    <w:rsid w:val="003E238C"/>
    <w:rsid w:val="003E2435"/>
    <w:rsid w:val="003E25EF"/>
    <w:rsid w:val="003E2602"/>
    <w:rsid w:val="003E2AB7"/>
    <w:rsid w:val="003E3280"/>
    <w:rsid w:val="003E354C"/>
    <w:rsid w:val="003E3B16"/>
    <w:rsid w:val="003E3CBF"/>
    <w:rsid w:val="003E3DB0"/>
    <w:rsid w:val="003E429D"/>
    <w:rsid w:val="003E4310"/>
    <w:rsid w:val="003E46A7"/>
    <w:rsid w:val="003E4740"/>
    <w:rsid w:val="003E4924"/>
    <w:rsid w:val="003E4EC0"/>
    <w:rsid w:val="003E4F23"/>
    <w:rsid w:val="003E5370"/>
    <w:rsid w:val="003E5385"/>
    <w:rsid w:val="003E5489"/>
    <w:rsid w:val="003E54B7"/>
    <w:rsid w:val="003E58AE"/>
    <w:rsid w:val="003E58FB"/>
    <w:rsid w:val="003E5E09"/>
    <w:rsid w:val="003E5F1C"/>
    <w:rsid w:val="003E615E"/>
    <w:rsid w:val="003E6479"/>
    <w:rsid w:val="003E668F"/>
    <w:rsid w:val="003E66EB"/>
    <w:rsid w:val="003E67A9"/>
    <w:rsid w:val="003E6857"/>
    <w:rsid w:val="003E690C"/>
    <w:rsid w:val="003E6F2A"/>
    <w:rsid w:val="003E70A8"/>
    <w:rsid w:val="003E728A"/>
    <w:rsid w:val="003E7376"/>
    <w:rsid w:val="003E74A1"/>
    <w:rsid w:val="003E74B3"/>
    <w:rsid w:val="003E7BC3"/>
    <w:rsid w:val="003E7BC8"/>
    <w:rsid w:val="003E7DFC"/>
    <w:rsid w:val="003F00BF"/>
    <w:rsid w:val="003F0201"/>
    <w:rsid w:val="003F053F"/>
    <w:rsid w:val="003F0800"/>
    <w:rsid w:val="003F0878"/>
    <w:rsid w:val="003F097C"/>
    <w:rsid w:val="003F09B6"/>
    <w:rsid w:val="003F0A6E"/>
    <w:rsid w:val="003F0EEA"/>
    <w:rsid w:val="003F102A"/>
    <w:rsid w:val="003F1383"/>
    <w:rsid w:val="003F14A0"/>
    <w:rsid w:val="003F1A47"/>
    <w:rsid w:val="003F1B3B"/>
    <w:rsid w:val="003F1C5E"/>
    <w:rsid w:val="003F1E3D"/>
    <w:rsid w:val="003F2190"/>
    <w:rsid w:val="003F225E"/>
    <w:rsid w:val="003F22FC"/>
    <w:rsid w:val="003F29E4"/>
    <w:rsid w:val="003F2B34"/>
    <w:rsid w:val="003F2B3E"/>
    <w:rsid w:val="003F2BC3"/>
    <w:rsid w:val="003F2E88"/>
    <w:rsid w:val="003F3051"/>
    <w:rsid w:val="003F3568"/>
    <w:rsid w:val="003F372A"/>
    <w:rsid w:val="003F383F"/>
    <w:rsid w:val="003F3D49"/>
    <w:rsid w:val="003F41D6"/>
    <w:rsid w:val="003F430B"/>
    <w:rsid w:val="003F431E"/>
    <w:rsid w:val="003F447C"/>
    <w:rsid w:val="003F4756"/>
    <w:rsid w:val="003F4AB0"/>
    <w:rsid w:val="003F537F"/>
    <w:rsid w:val="003F5ACC"/>
    <w:rsid w:val="003F619F"/>
    <w:rsid w:val="003F67E9"/>
    <w:rsid w:val="003F68B9"/>
    <w:rsid w:val="003F69C8"/>
    <w:rsid w:val="003F6AFC"/>
    <w:rsid w:val="003F6DA8"/>
    <w:rsid w:val="003F774F"/>
    <w:rsid w:val="003F79BC"/>
    <w:rsid w:val="0040002F"/>
    <w:rsid w:val="004000C6"/>
    <w:rsid w:val="004001D4"/>
    <w:rsid w:val="0040050E"/>
    <w:rsid w:val="00400683"/>
    <w:rsid w:val="00400A6D"/>
    <w:rsid w:val="00400A8E"/>
    <w:rsid w:val="004011ED"/>
    <w:rsid w:val="0040147C"/>
    <w:rsid w:val="004015A7"/>
    <w:rsid w:val="00401A6E"/>
    <w:rsid w:val="00401DF6"/>
    <w:rsid w:val="004020B5"/>
    <w:rsid w:val="00402163"/>
    <w:rsid w:val="004021C9"/>
    <w:rsid w:val="004027A7"/>
    <w:rsid w:val="0040284D"/>
    <w:rsid w:val="0040292C"/>
    <w:rsid w:val="004031E4"/>
    <w:rsid w:val="00403506"/>
    <w:rsid w:val="004036AB"/>
    <w:rsid w:val="00403E62"/>
    <w:rsid w:val="00403F61"/>
    <w:rsid w:val="00404239"/>
    <w:rsid w:val="00404274"/>
    <w:rsid w:val="0040433B"/>
    <w:rsid w:val="00404815"/>
    <w:rsid w:val="00404CCA"/>
    <w:rsid w:val="0040574D"/>
    <w:rsid w:val="004057BD"/>
    <w:rsid w:val="00405837"/>
    <w:rsid w:val="00405A2C"/>
    <w:rsid w:val="00405A64"/>
    <w:rsid w:val="00405CDD"/>
    <w:rsid w:val="00405DAC"/>
    <w:rsid w:val="00406091"/>
    <w:rsid w:val="00406183"/>
    <w:rsid w:val="004061B1"/>
    <w:rsid w:val="00406301"/>
    <w:rsid w:val="0040637F"/>
    <w:rsid w:val="00406818"/>
    <w:rsid w:val="00407754"/>
    <w:rsid w:val="004079E7"/>
    <w:rsid w:val="00407AF3"/>
    <w:rsid w:val="00407E18"/>
    <w:rsid w:val="004102FD"/>
    <w:rsid w:val="00410831"/>
    <w:rsid w:val="004109BA"/>
    <w:rsid w:val="00410BD0"/>
    <w:rsid w:val="00410CD4"/>
    <w:rsid w:val="00410CFE"/>
    <w:rsid w:val="00410FFC"/>
    <w:rsid w:val="0041130F"/>
    <w:rsid w:val="00411334"/>
    <w:rsid w:val="004118E2"/>
    <w:rsid w:val="00412554"/>
    <w:rsid w:val="00412677"/>
    <w:rsid w:val="0041307B"/>
    <w:rsid w:val="004133A1"/>
    <w:rsid w:val="00413ED1"/>
    <w:rsid w:val="00414003"/>
    <w:rsid w:val="0041434E"/>
    <w:rsid w:val="0041435E"/>
    <w:rsid w:val="004145C4"/>
    <w:rsid w:val="00414A9F"/>
    <w:rsid w:val="00414F00"/>
    <w:rsid w:val="00414F12"/>
    <w:rsid w:val="00415134"/>
    <w:rsid w:val="004151E0"/>
    <w:rsid w:val="00415482"/>
    <w:rsid w:val="004154D6"/>
    <w:rsid w:val="0041568F"/>
    <w:rsid w:val="00415757"/>
    <w:rsid w:val="0041680F"/>
    <w:rsid w:val="00417065"/>
    <w:rsid w:val="004170EE"/>
    <w:rsid w:val="00417391"/>
    <w:rsid w:val="004177E3"/>
    <w:rsid w:val="00417B38"/>
    <w:rsid w:val="00417ECF"/>
    <w:rsid w:val="0041A8B1"/>
    <w:rsid w:val="004201AC"/>
    <w:rsid w:val="00420217"/>
    <w:rsid w:val="00420375"/>
    <w:rsid w:val="00420477"/>
    <w:rsid w:val="00420932"/>
    <w:rsid w:val="00420984"/>
    <w:rsid w:val="00420AB0"/>
    <w:rsid w:val="00420C6F"/>
    <w:rsid w:val="00420D9D"/>
    <w:rsid w:val="004210DE"/>
    <w:rsid w:val="00421258"/>
    <w:rsid w:val="0042143C"/>
    <w:rsid w:val="004215A1"/>
    <w:rsid w:val="004217C5"/>
    <w:rsid w:val="004218E2"/>
    <w:rsid w:val="00421A18"/>
    <w:rsid w:val="00421D7C"/>
    <w:rsid w:val="0042252E"/>
    <w:rsid w:val="00422AED"/>
    <w:rsid w:val="00422EC1"/>
    <w:rsid w:val="00422EFF"/>
    <w:rsid w:val="00422FA7"/>
    <w:rsid w:val="004230BD"/>
    <w:rsid w:val="00423412"/>
    <w:rsid w:val="00423619"/>
    <w:rsid w:val="00423667"/>
    <w:rsid w:val="00423B35"/>
    <w:rsid w:val="00423EE1"/>
    <w:rsid w:val="00424160"/>
    <w:rsid w:val="004245ED"/>
    <w:rsid w:val="00424A01"/>
    <w:rsid w:val="00424AE8"/>
    <w:rsid w:val="00424B6B"/>
    <w:rsid w:val="00424EC7"/>
    <w:rsid w:val="00424FD9"/>
    <w:rsid w:val="00425155"/>
    <w:rsid w:val="0042517A"/>
    <w:rsid w:val="004254CF"/>
    <w:rsid w:val="00425680"/>
    <w:rsid w:val="004257D4"/>
    <w:rsid w:val="004258D4"/>
    <w:rsid w:val="004259C3"/>
    <w:rsid w:val="0042612F"/>
    <w:rsid w:val="0042614E"/>
    <w:rsid w:val="0042616C"/>
    <w:rsid w:val="0042623A"/>
    <w:rsid w:val="00426263"/>
    <w:rsid w:val="004265BC"/>
    <w:rsid w:val="00426718"/>
    <w:rsid w:val="00426BB0"/>
    <w:rsid w:val="00426CD1"/>
    <w:rsid w:val="00426E3E"/>
    <w:rsid w:val="00426F7B"/>
    <w:rsid w:val="00426FF4"/>
    <w:rsid w:val="004274FE"/>
    <w:rsid w:val="00427942"/>
    <w:rsid w:val="00427A56"/>
    <w:rsid w:val="00427ACD"/>
    <w:rsid w:val="00427B50"/>
    <w:rsid w:val="0042DF50"/>
    <w:rsid w:val="004300C9"/>
    <w:rsid w:val="0043056F"/>
    <w:rsid w:val="00430C5B"/>
    <w:rsid w:val="00430D09"/>
    <w:rsid w:val="00430D9B"/>
    <w:rsid w:val="00430DEE"/>
    <w:rsid w:val="00431345"/>
    <w:rsid w:val="00431747"/>
    <w:rsid w:val="00431C1D"/>
    <w:rsid w:val="00431CA6"/>
    <w:rsid w:val="00431D2E"/>
    <w:rsid w:val="00431D38"/>
    <w:rsid w:val="00431F03"/>
    <w:rsid w:val="00431F4D"/>
    <w:rsid w:val="00432747"/>
    <w:rsid w:val="00432F93"/>
    <w:rsid w:val="004335E3"/>
    <w:rsid w:val="00433858"/>
    <w:rsid w:val="00433AAA"/>
    <w:rsid w:val="00433CBC"/>
    <w:rsid w:val="00433F1D"/>
    <w:rsid w:val="00434141"/>
    <w:rsid w:val="00434237"/>
    <w:rsid w:val="0043447C"/>
    <w:rsid w:val="004345DD"/>
    <w:rsid w:val="0043475F"/>
    <w:rsid w:val="00434A85"/>
    <w:rsid w:val="00434CEA"/>
    <w:rsid w:val="00434F36"/>
    <w:rsid w:val="00435114"/>
    <w:rsid w:val="0043514D"/>
    <w:rsid w:val="00435203"/>
    <w:rsid w:val="004357E9"/>
    <w:rsid w:val="00435C6B"/>
    <w:rsid w:val="0043601E"/>
    <w:rsid w:val="00436256"/>
    <w:rsid w:val="00436505"/>
    <w:rsid w:val="0043660D"/>
    <w:rsid w:val="00436879"/>
    <w:rsid w:val="0043693F"/>
    <w:rsid w:val="00436CB2"/>
    <w:rsid w:val="00436D43"/>
    <w:rsid w:val="00436E62"/>
    <w:rsid w:val="00436FD8"/>
    <w:rsid w:val="004375CC"/>
    <w:rsid w:val="00437699"/>
    <w:rsid w:val="00437714"/>
    <w:rsid w:val="0043776F"/>
    <w:rsid w:val="00437B9F"/>
    <w:rsid w:val="00437DCD"/>
    <w:rsid w:val="004406C1"/>
    <w:rsid w:val="004408F5"/>
    <w:rsid w:val="004409CA"/>
    <w:rsid w:val="00440E2A"/>
    <w:rsid w:val="0044108B"/>
    <w:rsid w:val="00441116"/>
    <w:rsid w:val="004411E7"/>
    <w:rsid w:val="004411EF"/>
    <w:rsid w:val="004412BD"/>
    <w:rsid w:val="004413E3"/>
    <w:rsid w:val="004414BA"/>
    <w:rsid w:val="0044150E"/>
    <w:rsid w:val="004415BA"/>
    <w:rsid w:val="00441720"/>
    <w:rsid w:val="0044182E"/>
    <w:rsid w:val="004418D9"/>
    <w:rsid w:val="0044190C"/>
    <w:rsid w:val="00441AC1"/>
    <w:rsid w:val="00441ED3"/>
    <w:rsid w:val="00442134"/>
    <w:rsid w:val="00442B91"/>
    <w:rsid w:val="00442C73"/>
    <w:rsid w:val="00443580"/>
    <w:rsid w:val="00443CF4"/>
    <w:rsid w:val="00443CFC"/>
    <w:rsid w:val="00443E94"/>
    <w:rsid w:val="004443A1"/>
    <w:rsid w:val="00444462"/>
    <w:rsid w:val="00444501"/>
    <w:rsid w:val="004447BF"/>
    <w:rsid w:val="00445556"/>
    <w:rsid w:val="00445665"/>
    <w:rsid w:val="004456BB"/>
    <w:rsid w:val="00445955"/>
    <w:rsid w:val="004459F6"/>
    <w:rsid w:val="00445C03"/>
    <w:rsid w:val="00445E8E"/>
    <w:rsid w:val="004461F1"/>
    <w:rsid w:val="004463C2"/>
    <w:rsid w:val="004465F0"/>
    <w:rsid w:val="0044677F"/>
    <w:rsid w:val="00446822"/>
    <w:rsid w:val="004469C1"/>
    <w:rsid w:val="00446BE3"/>
    <w:rsid w:val="0044749F"/>
    <w:rsid w:val="004476FA"/>
    <w:rsid w:val="00447C5A"/>
    <w:rsid w:val="0045019B"/>
    <w:rsid w:val="0045047F"/>
    <w:rsid w:val="00450583"/>
    <w:rsid w:val="00450676"/>
    <w:rsid w:val="004507E1"/>
    <w:rsid w:val="00450B99"/>
    <w:rsid w:val="00451199"/>
    <w:rsid w:val="00451358"/>
    <w:rsid w:val="004513A2"/>
    <w:rsid w:val="004513DF"/>
    <w:rsid w:val="0045152D"/>
    <w:rsid w:val="004515B8"/>
    <w:rsid w:val="00451EE8"/>
    <w:rsid w:val="00451F96"/>
    <w:rsid w:val="00452001"/>
    <w:rsid w:val="004520E7"/>
    <w:rsid w:val="0045254B"/>
    <w:rsid w:val="004534E6"/>
    <w:rsid w:val="004535B7"/>
    <w:rsid w:val="00453AFB"/>
    <w:rsid w:val="00453B2B"/>
    <w:rsid w:val="00453CA0"/>
    <w:rsid w:val="00453E09"/>
    <w:rsid w:val="004545E6"/>
    <w:rsid w:val="004549CB"/>
    <w:rsid w:val="00454B49"/>
    <w:rsid w:val="00454CF6"/>
    <w:rsid w:val="00454E17"/>
    <w:rsid w:val="0045532B"/>
    <w:rsid w:val="00455636"/>
    <w:rsid w:val="00455A0B"/>
    <w:rsid w:val="00456A79"/>
    <w:rsid w:val="00456E67"/>
    <w:rsid w:val="00456F9A"/>
    <w:rsid w:val="00456FE7"/>
    <w:rsid w:val="00457075"/>
    <w:rsid w:val="00457411"/>
    <w:rsid w:val="004574C5"/>
    <w:rsid w:val="00460127"/>
    <w:rsid w:val="004603B9"/>
    <w:rsid w:val="004604A3"/>
    <w:rsid w:val="0046052D"/>
    <w:rsid w:val="00460581"/>
    <w:rsid w:val="00460C3E"/>
    <w:rsid w:val="00461414"/>
    <w:rsid w:val="004617CD"/>
    <w:rsid w:val="00461919"/>
    <w:rsid w:val="00461AB6"/>
    <w:rsid w:val="00461C4E"/>
    <w:rsid w:val="00462161"/>
    <w:rsid w:val="0046225D"/>
    <w:rsid w:val="00462458"/>
    <w:rsid w:val="004624B0"/>
    <w:rsid w:val="0046284E"/>
    <w:rsid w:val="00462A2E"/>
    <w:rsid w:val="00462B88"/>
    <w:rsid w:val="00462D66"/>
    <w:rsid w:val="0046322B"/>
    <w:rsid w:val="00463324"/>
    <w:rsid w:val="00463706"/>
    <w:rsid w:val="00463749"/>
    <w:rsid w:val="00463B34"/>
    <w:rsid w:val="00463CB6"/>
    <w:rsid w:val="0046404B"/>
    <w:rsid w:val="004642F3"/>
    <w:rsid w:val="00464462"/>
    <w:rsid w:val="004647B5"/>
    <w:rsid w:val="00464EDB"/>
    <w:rsid w:val="00465000"/>
    <w:rsid w:val="004651EA"/>
    <w:rsid w:val="00465659"/>
    <w:rsid w:val="00465AF2"/>
    <w:rsid w:val="00465DDB"/>
    <w:rsid w:val="004660E0"/>
    <w:rsid w:val="004664FC"/>
    <w:rsid w:val="00466AD1"/>
    <w:rsid w:val="00466C28"/>
    <w:rsid w:val="00466EF9"/>
    <w:rsid w:val="004675BE"/>
    <w:rsid w:val="00467FDC"/>
    <w:rsid w:val="00470864"/>
    <w:rsid w:val="00470C34"/>
    <w:rsid w:val="00470C64"/>
    <w:rsid w:val="00470DA8"/>
    <w:rsid w:val="00470DC4"/>
    <w:rsid w:val="0047124D"/>
    <w:rsid w:val="004713F5"/>
    <w:rsid w:val="004714B2"/>
    <w:rsid w:val="004714EE"/>
    <w:rsid w:val="0047151B"/>
    <w:rsid w:val="0047163A"/>
    <w:rsid w:val="004717BC"/>
    <w:rsid w:val="00471EC6"/>
    <w:rsid w:val="0047279C"/>
    <w:rsid w:val="00472942"/>
    <w:rsid w:val="0047298D"/>
    <w:rsid w:val="00472F4B"/>
    <w:rsid w:val="00473070"/>
    <w:rsid w:val="00473488"/>
    <w:rsid w:val="004737C8"/>
    <w:rsid w:val="004740BF"/>
    <w:rsid w:val="004741FA"/>
    <w:rsid w:val="004746A5"/>
    <w:rsid w:val="004747D2"/>
    <w:rsid w:val="00474915"/>
    <w:rsid w:val="00474983"/>
    <w:rsid w:val="004763AE"/>
    <w:rsid w:val="004763E9"/>
    <w:rsid w:val="0047657E"/>
    <w:rsid w:val="004768E7"/>
    <w:rsid w:val="00476B99"/>
    <w:rsid w:val="00476C91"/>
    <w:rsid w:val="004773DA"/>
    <w:rsid w:val="004775E2"/>
    <w:rsid w:val="00477B5D"/>
    <w:rsid w:val="00477C31"/>
    <w:rsid w:val="00477C65"/>
    <w:rsid w:val="00477E4C"/>
    <w:rsid w:val="00480113"/>
    <w:rsid w:val="004804B6"/>
    <w:rsid w:val="00480566"/>
    <w:rsid w:val="004809B3"/>
    <w:rsid w:val="00480E84"/>
    <w:rsid w:val="0048171C"/>
    <w:rsid w:val="00481845"/>
    <w:rsid w:val="00481A20"/>
    <w:rsid w:val="00481F5F"/>
    <w:rsid w:val="00482240"/>
    <w:rsid w:val="004823E4"/>
    <w:rsid w:val="0048271B"/>
    <w:rsid w:val="00482919"/>
    <w:rsid w:val="00482A68"/>
    <w:rsid w:val="00482B3F"/>
    <w:rsid w:val="004836AF"/>
    <w:rsid w:val="004836BA"/>
    <w:rsid w:val="004841B6"/>
    <w:rsid w:val="004842B8"/>
    <w:rsid w:val="00484460"/>
    <w:rsid w:val="004844C8"/>
    <w:rsid w:val="004846CC"/>
    <w:rsid w:val="00484CDA"/>
    <w:rsid w:val="00484DF4"/>
    <w:rsid w:val="0048517C"/>
    <w:rsid w:val="004852EB"/>
    <w:rsid w:val="00485A0A"/>
    <w:rsid w:val="00485E23"/>
    <w:rsid w:val="00486223"/>
    <w:rsid w:val="0048625B"/>
    <w:rsid w:val="004864D7"/>
    <w:rsid w:val="0048653F"/>
    <w:rsid w:val="00486937"/>
    <w:rsid w:val="00486CD0"/>
    <w:rsid w:val="00486EAE"/>
    <w:rsid w:val="0048703B"/>
    <w:rsid w:val="004873C2"/>
    <w:rsid w:val="00487466"/>
    <w:rsid w:val="004879AB"/>
    <w:rsid w:val="00487CF7"/>
    <w:rsid w:val="00487D85"/>
    <w:rsid w:val="00487FF3"/>
    <w:rsid w:val="00487FFD"/>
    <w:rsid w:val="00490807"/>
    <w:rsid w:val="0049090F"/>
    <w:rsid w:val="00490AA8"/>
    <w:rsid w:val="00490AC0"/>
    <w:rsid w:val="00490E68"/>
    <w:rsid w:val="004910D2"/>
    <w:rsid w:val="0049111B"/>
    <w:rsid w:val="00491436"/>
    <w:rsid w:val="00491B03"/>
    <w:rsid w:val="00491F6C"/>
    <w:rsid w:val="004927B8"/>
    <w:rsid w:val="004928D2"/>
    <w:rsid w:val="00492907"/>
    <w:rsid w:val="00492A30"/>
    <w:rsid w:val="00492C41"/>
    <w:rsid w:val="00492CA9"/>
    <w:rsid w:val="00492D43"/>
    <w:rsid w:val="00492D56"/>
    <w:rsid w:val="00492E11"/>
    <w:rsid w:val="00492FEB"/>
    <w:rsid w:val="004930E0"/>
    <w:rsid w:val="00493144"/>
    <w:rsid w:val="004943DA"/>
    <w:rsid w:val="0049464C"/>
    <w:rsid w:val="004949DE"/>
    <w:rsid w:val="00494E0A"/>
    <w:rsid w:val="00494FA7"/>
    <w:rsid w:val="00495122"/>
    <w:rsid w:val="00495378"/>
    <w:rsid w:val="004956ED"/>
    <w:rsid w:val="00495AC7"/>
    <w:rsid w:val="00495C2D"/>
    <w:rsid w:val="00495D4F"/>
    <w:rsid w:val="00495DC9"/>
    <w:rsid w:val="004960CD"/>
    <w:rsid w:val="0049615F"/>
    <w:rsid w:val="004967F0"/>
    <w:rsid w:val="004969DC"/>
    <w:rsid w:val="0049709F"/>
    <w:rsid w:val="0049733E"/>
    <w:rsid w:val="00497488"/>
    <w:rsid w:val="004974E1"/>
    <w:rsid w:val="004974FB"/>
    <w:rsid w:val="004A0218"/>
    <w:rsid w:val="004A03D8"/>
    <w:rsid w:val="004A0415"/>
    <w:rsid w:val="004A080B"/>
    <w:rsid w:val="004A0A01"/>
    <w:rsid w:val="004A1088"/>
    <w:rsid w:val="004A1206"/>
    <w:rsid w:val="004A1220"/>
    <w:rsid w:val="004A128A"/>
    <w:rsid w:val="004A15DD"/>
    <w:rsid w:val="004A1B6F"/>
    <w:rsid w:val="004A1B84"/>
    <w:rsid w:val="004A1ECC"/>
    <w:rsid w:val="004A1F95"/>
    <w:rsid w:val="004A27BF"/>
    <w:rsid w:val="004A2DC8"/>
    <w:rsid w:val="004A2F8C"/>
    <w:rsid w:val="004A311E"/>
    <w:rsid w:val="004A3135"/>
    <w:rsid w:val="004A3535"/>
    <w:rsid w:val="004A3903"/>
    <w:rsid w:val="004A3E22"/>
    <w:rsid w:val="004A3EF3"/>
    <w:rsid w:val="004A4037"/>
    <w:rsid w:val="004A4586"/>
    <w:rsid w:val="004A461B"/>
    <w:rsid w:val="004A4705"/>
    <w:rsid w:val="004A471C"/>
    <w:rsid w:val="004A4D98"/>
    <w:rsid w:val="004A4DD9"/>
    <w:rsid w:val="004A4E28"/>
    <w:rsid w:val="004A4E6B"/>
    <w:rsid w:val="004A5078"/>
    <w:rsid w:val="004A5556"/>
    <w:rsid w:val="004A55FE"/>
    <w:rsid w:val="004A5E62"/>
    <w:rsid w:val="004A6231"/>
    <w:rsid w:val="004A68BA"/>
    <w:rsid w:val="004A6AAB"/>
    <w:rsid w:val="004A6D09"/>
    <w:rsid w:val="004A6D7C"/>
    <w:rsid w:val="004A704F"/>
    <w:rsid w:val="004A741D"/>
    <w:rsid w:val="004A75EE"/>
    <w:rsid w:val="004A7650"/>
    <w:rsid w:val="004B01CC"/>
    <w:rsid w:val="004B053B"/>
    <w:rsid w:val="004B0625"/>
    <w:rsid w:val="004B10E9"/>
    <w:rsid w:val="004B1605"/>
    <w:rsid w:val="004B1DBD"/>
    <w:rsid w:val="004B221E"/>
    <w:rsid w:val="004B2659"/>
    <w:rsid w:val="004B2BA0"/>
    <w:rsid w:val="004B3432"/>
    <w:rsid w:val="004B36AE"/>
    <w:rsid w:val="004B3729"/>
    <w:rsid w:val="004B3BDF"/>
    <w:rsid w:val="004B4329"/>
    <w:rsid w:val="004B44CE"/>
    <w:rsid w:val="004B45F9"/>
    <w:rsid w:val="004B4712"/>
    <w:rsid w:val="004B4742"/>
    <w:rsid w:val="004B47C9"/>
    <w:rsid w:val="004B4CE5"/>
    <w:rsid w:val="004B4FEA"/>
    <w:rsid w:val="004B4FF6"/>
    <w:rsid w:val="004B5134"/>
    <w:rsid w:val="004B5299"/>
    <w:rsid w:val="004B5677"/>
    <w:rsid w:val="004B581C"/>
    <w:rsid w:val="004B5857"/>
    <w:rsid w:val="004B5863"/>
    <w:rsid w:val="004B5870"/>
    <w:rsid w:val="004B59F3"/>
    <w:rsid w:val="004B5D2E"/>
    <w:rsid w:val="004B5D7E"/>
    <w:rsid w:val="004B5E38"/>
    <w:rsid w:val="004B5ED7"/>
    <w:rsid w:val="004B61FB"/>
    <w:rsid w:val="004B6B08"/>
    <w:rsid w:val="004B6F18"/>
    <w:rsid w:val="004B71AA"/>
    <w:rsid w:val="004B7274"/>
    <w:rsid w:val="004B76EA"/>
    <w:rsid w:val="004B776A"/>
    <w:rsid w:val="004B79C5"/>
    <w:rsid w:val="004B7C73"/>
    <w:rsid w:val="004B7E2D"/>
    <w:rsid w:val="004C016D"/>
    <w:rsid w:val="004C0234"/>
    <w:rsid w:val="004C0505"/>
    <w:rsid w:val="004C06B6"/>
    <w:rsid w:val="004C0B75"/>
    <w:rsid w:val="004C0BEB"/>
    <w:rsid w:val="004C136D"/>
    <w:rsid w:val="004C173F"/>
    <w:rsid w:val="004C1B56"/>
    <w:rsid w:val="004C1E45"/>
    <w:rsid w:val="004C2299"/>
    <w:rsid w:val="004C2905"/>
    <w:rsid w:val="004C2C39"/>
    <w:rsid w:val="004C2FED"/>
    <w:rsid w:val="004C32CE"/>
    <w:rsid w:val="004C3A47"/>
    <w:rsid w:val="004C3C49"/>
    <w:rsid w:val="004C4320"/>
    <w:rsid w:val="004C4CE4"/>
    <w:rsid w:val="004C55FD"/>
    <w:rsid w:val="004C59FC"/>
    <w:rsid w:val="004C5A14"/>
    <w:rsid w:val="004C5A4C"/>
    <w:rsid w:val="004C5B2D"/>
    <w:rsid w:val="004C5EE4"/>
    <w:rsid w:val="004C6C3C"/>
    <w:rsid w:val="004C72D5"/>
    <w:rsid w:val="004C72E1"/>
    <w:rsid w:val="004C7BA3"/>
    <w:rsid w:val="004C7D38"/>
    <w:rsid w:val="004C7F8D"/>
    <w:rsid w:val="004CB33C"/>
    <w:rsid w:val="004D0017"/>
    <w:rsid w:val="004D016C"/>
    <w:rsid w:val="004D0877"/>
    <w:rsid w:val="004D09A6"/>
    <w:rsid w:val="004D09CF"/>
    <w:rsid w:val="004D0B7E"/>
    <w:rsid w:val="004D1447"/>
    <w:rsid w:val="004D179B"/>
    <w:rsid w:val="004D2384"/>
    <w:rsid w:val="004D25E6"/>
    <w:rsid w:val="004D28A2"/>
    <w:rsid w:val="004D2B64"/>
    <w:rsid w:val="004D2B85"/>
    <w:rsid w:val="004D2D04"/>
    <w:rsid w:val="004D30DB"/>
    <w:rsid w:val="004D3667"/>
    <w:rsid w:val="004D3DD1"/>
    <w:rsid w:val="004D3E67"/>
    <w:rsid w:val="004D3F20"/>
    <w:rsid w:val="004D4051"/>
    <w:rsid w:val="004D4222"/>
    <w:rsid w:val="004D432F"/>
    <w:rsid w:val="004D44A4"/>
    <w:rsid w:val="004D45BB"/>
    <w:rsid w:val="004D488E"/>
    <w:rsid w:val="004D4BCC"/>
    <w:rsid w:val="004D4D53"/>
    <w:rsid w:val="004D562F"/>
    <w:rsid w:val="004D59FB"/>
    <w:rsid w:val="004D5A71"/>
    <w:rsid w:val="004D5A8C"/>
    <w:rsid w:val="004D6020"/>
    <w:rsid w:val="004D620F"/>
    <w:rsid w:val="004D628E"/>
    <w:rsid w:val="004D6293"/>
    <w:rsid w:val="004D687B"/>
    <w:rsid w:val="004D6BC0"/>
    <w:rsid w:val="004D6DA9"/>
    <w:rsid w:val="004D6F9F"/>
    <w:rsid w:val="004D730B"/>
    <w:rsid w:val="004D7369"/>
    <w:rsid w:val="004D7480"/>
    <w:rsid w:val="004D7856"/>
    <w:rsid w:val="004D7AF6"/>
    <w:rsid w:val="004D7DCA"/>
    <w:rsid w:val="004D7DFD"/>
    <w:rsid w:val="004D7FD3"/>
    <w:rsid w:val="004D7FD9"/>
    <w:rsid w:val="004E05F7"/>
    <w:rsid w:val="004E1158"/>
    <w:rsid w:val="004E1921"/>
    <w:rsid w:val="004E1BE5"/>
    <w:rsid w:val="004E1ED1"/>
    <w:rsid w:val="004E2383"/>
    <w:rsid w:val="004E299D"/>
    <w:rsid w:val="004E2FB0"/>
    <w:rsid w:val="004E2FE0"/>
    <w:rsid w:val="004E3085"/>
    <w:rsid w:val="004E31FB"/>
    <w:rsid w:val="004E383C"/>
    <w:rsid w:val="004E3B65"/>
    <w:rsid w:val="004E419E"/>
    <w:rsid w:val="004E46FB"/>
    <w:rsid w:val="004E4800"/>
    <w:rsid w:val="004E48D0"/>
    <w:rsid w:val="004E4A96"/>
    <w:rsid w:val="004E4E96"/>
    <w:rsid w:val="004E4F02"/>
    <w:rsid w:val="004E525E"/>
    <w:rsid w:val="004E5A2D"/>
    <w:rsid w:val="004E5AAB"/>
    <w:rsid w:val="004E5ACF"/>
    <w:rsid w:val="004E5E4F"/>
    <w:rsid w:val="004E6825"/>
    <w:rsid w:val="004E6884"/>
    <w:rsid w:val="004E6B23"/>
    <w:rsid w:val="004E6B3E"/>
    <w:rsid w:val="004E71DE"/>
    <w:rsid w:val="004E7B9D"/>
    <w:rsid w:val="004E7D75"/>
    <w:rsid w:val="004E7F1F"/>
    <w:rsid w:val="004F014B"/>
    <w:rsid w:val="004F0813"/>
    <w:rsid w:val="004F091B"/>
    <w:rsid w:val="004F0A5C"/>
    <w:rsid w:val="004F0FBC"/>
    <w:rsid w:val="004F12C9"/>
    <w:rsid w:val="004F1526"/>
    <w:rsid w:val="004F1893"/>
    <w:rsid w:val="004F1898"/>
    <w:rsid w:val="004F1A7C"/>
    <w:rsid w:val="004F2434"/>
    <w:rsid w:val="004F24E8"/>
    <w:rsid w:val="004F24F1"/>
    <w:rsid w:val="004F2A96"/>
    <w:rsid w:val="004F2AC0"/>
    <w:rsid w:val="004F2C7F"/>
    <w:rsid w:val="004F2F21"/>
    <w:rsid w:val="004F302D"/>
    <w:rsid w:val="004F3311"/>
    <w:rsid w:val="004F34CE"/>
    <w:rsid w:val="004F34D5"/>
    <w:rsid w:val="004F4059"/>
    <w:rsid w:val="004F40BD"/>
    <w:rsid w:val="004F4101"/>
    <w:rsid w:val="004F45D6"/>
    <w:rsid w:val="004F491A"/>
    <w:rsid w:val="004F4F95"/>
    <w:rsid w:val="004F5203"/>
    <w:rsid w:val="004F5454"/>
    <w:rsid w:val="004F56D1"/>
    <w:rsid w:val="004F57B7"/>
    <w:rsid w:val="004F5845"/>
    <w:rsid w:val="004F5D97"/>
    <w:rsid w:val="004F5DE5"/>
    <w:rsid w:val="004F5DF8"/>
    <w:rsid w:val="004F636E"/>
    <w:rsid w:val="004F6672"/>
    <w:rsid w:val="004F6705"/>
    <w:rsid w:val="004F67BC"/>
    <w:rsid w:val="004F6844"/>
    <w:rsid w:val="004F6CF9"/>
    <w:rsid w:val="004F6E1F"/>
    <w:rsid w:val="004F6E5F"/>
    <w:rsid w:val="004F77DA"/>
    <w:rsid w:val="004F7C51"/>
    <w:rsid w:val="004F7DEB"/>
    <w:rsid w:val="004F7EED"/>
    <w:rsid w:val="004F7F52"/>
    <w:rsid w:val="00500144"/>
    <w:rsid w:val="00500531"/>
    <w:rsid w:val="00500770"/>
    <w:rsid w:val="00500A43"/>
    <w:rsid w:val="00500C91"/>
    <w:rsid w:val="00501228"/>
    <w:rsid w:val="005012B2"/>
    <w:rsid w:val="00501BC8"/>
    <w:rsid w:val="00501C62"/>
    <w:rsid w:val="00501D1E"/>
    <w:rsid w:val="0050214C"/>
    <w:rsid w:val="0050235F"/>
    <w:rsid w:val="00502B49"/>
    <w:rsid w:val="00502CEA"/>
    <w:rsid w:val="00502F03"/>
    <w:rsid w:val="005030C6"/>
    <w:rsid w:val="0050311C"/>
    <w:rsid w:val="005031AF"/>
    <w:rsid w:val="00503231"/>
    <w:rsid w:val="0050343F"/>
    <w:rsid w:val="00503C9C"/>
    <w:rsid w:val="00503CF2"/>
    <w:rsid w:val="00503D40"/>
    <w:rsid w:val="00503DCA"/>
    <w:rsid w:val="005041BA"/>
    <w:rsid w:val="00504200"/>
    <w:rsid w:val="00504382"/>
    <w:rsid w:val="005046B4"/>
    <w:rsid w:val="005047DA"/>
    <w:rsid w:val="00504A21"/>
    <w:rsid w:val="00504B9D"/>
    <w:rsid w:val="005052AF"/>
    <w:rsid w:val="00505417"/>
    <w:rsid w:val="00505597"/>
    <w:rsid w:val="00505630"/>
    <w:rsid w:val="00505EEF"/>
    <w:rsid w:val="0050682C"/>
    <w:rsid w:val="00506EF8"/>
    <w:rsid w:val="00507140"/>
    <w:rsid w:val="005072C0"/>
    <w:rsid w:val="005079C2"/>
    <w:rsid w:val="00507A3A"/>
    <w:rsid w:val="00507D37"/>
    <w:rsid w:val="00507F16"/>
    <w:rsid w:val="00510028"/>
    <w:rsid w:val="005101FB"/>
    <w:rsid w:val="00510684"/>
    <w:rsid w:val="00510A14"/>
    <w:rsid w:val="00510A54"/>
    <w:rsid w:val="00510DA4"/>
    <w:rsid w:val="0051120A"/>
    <w:rsid w:val="00511241"/>
    <w:rsid w:val="005114DA"/>
    <w:rsid w:val="005116FB"/>
    <w:rsid w:val="00511896"/>
    <w:rsid w:val="00511B03"/>
    <w:rsid w:val="00512371"/>
    <w:rsid w:val="005123AF"/>
    <w:rsid w:val="00512AEB"/>
    <w:rsid w:val="00512B46"/>
    <w:rsid w:val="00512BEC"/>
    <w:rsid w:val="00512F42"/>
    <w:rsid w:val="00513144"/>
    <w:rsid w:val="005131D9"/>
    <w:rsid w:val="00513239"/>
    <w:rsid w:val="005133C8"/>
    <w:rsid w:val="00513430"/>
    <w:rsid w:val="0051351A"/>
    <w:rsid w:val="00513A75"/>
    <w:rsid w:val="00513AB3"/>
    <w:rsid w:val="00513FB3"/>
    <w:rsid w:val="005142D4"/>
    <w:rsid w:val="00514459"/>
    <w:rsid w:val="0051461B"/>
    <w:rsid w:val="005146DD"/>
    <w:rsid w:val="00514BB6"/>
    <w:rsid w:val="00515023"/>
    <w:rsid w:val="0051515C"/>
    <w:rsid w:val="005151AF"/>
    <w:rsid w:val="005161EB"/>
    <w:rsid w:val="00516732"/>
    <w:rsid w:val="005168D0"/>
    <w:rsid w:val="00516BAC"/>
    <w:rsid w:val="00516C5D"/>
    <w:rsid w:val="00516C9C"/>
    <w:rsid w:val="005173E0"/>
    <w:rsid w:val="00517476"/>
    <w:rsid w:val="00517715"/>
    <w:rsid w:val="00517717"/>
    <w:rsid w:val="00517985"/>
    <w:rsid w:val="00517C47"/>
    <w:rsid w:val="00517E41"/>
    <w:rsid w:val="00520028"/>
    <w:rsid w:val="00520029"/>
    <w:rsid w:val="00520104"/>
    <w:rsid w:val="00520480"/>
    <w:rsid w:val="00520799"/>
    <w:rsid w:val="00520F76"/>
    <w:rsid w:val="00520FA2"/>
    <w:rsid w:val="00520FB7"/>
    <w:rsid w:val="00520FC0"/>
    <w:rsid w:val="0052164F"/>
    <w:rsid w:val="00521684"/>
    <w:rsid w:val="00521AB8"/>
    <w:rsid w:val="00521C2C"/>
    <w:rsid w:val="00521F53"/>
    <w:rsid w:val="0052202C"/>
    <w:rsid w:val="005220AC"/>
    <w:rsid w:val="00522177"/>
    <w:rsid w:val="00522277"/>
    <w:rsid w:val="005224C8"/>
    <w:rsid w:val="00522755"/>
    <w:rsid w:val="00522BB4"/>
    <w:rsid w:val="0052326D"/>
    <w:rsid w:val="00523B15"/>
    <w:rsid w:val="00523C10"/>
    <w:rsid w:val="00523C11"/>
    <w:rsid w:val="00523F0D"/>
    <w:rsid w:val="00524016"/>
    <w:rsid w:val="005244C7"/>
    <w:rsid w:val="00524508"/>
    <w:rsid w:val="005245E5"/>
    <w:rsid w:val="00524760"/>
    <w:rsid w:val="0052496B"/>
    <w:rsid w:val="00524A56"/>
    <w:rsid w:val="005250A8"/>
    <w:rsid w:val="00525113"/>
    <w:rsid w:val="0052577F"/>
    <w:rsid w:val="0052590B"/>
    <w:rsid w:val="00525A54"/>
    <w:rsid w:val="00525D97"/>
    <w:rsid w:val="00525E0A"/>
    <w:rsid w:val="0052603D"/>
    <w:rsid w:val="0052623C"/>
    <w:rsid w:val="0052642A"/>
    <w:rsid w:val="00526772"/>
    <w:rsid w:val="00526773"/>
    <w:rsid w:val="0052691E"/>
    <w:rsid w:val="005269EC"/>
    <w:rsid w:val="00526BED"/>
    <w:rsid w:val="00526D0A"/>
    <w:rsid w:val="005271FF"/>
    <w:rsid w:val="005273C2"/>
    <w:rsid w:val="00527703"/>
    <w:rsid w:val="00527732"/>
    <w:rsid w:val="0052782C"/>
    <w:rsid w:val="00527F7C"/>
    <w:rsid w:val="0053034D"/>
    <w:rsid w:val="00530788"/>
    <w:rsid w:val="0053090E"/>
    <w:rsid w:val="00530D0E"/>
    <w:rsid w:val="00530E45"/>
    <w:rsid w:val="00530EB7"/>
    <w:rsid w:val="00531645"/>
    <w:rsid w:val="005316C6"/>
    <w:rsid w:val="00531747"/>
    <w:rsid w:val="005319EE"/>
    <w:rsid w:val="00531A0C"/>
    <w:rsid w:val="00531C1B"/>
    <w:rsid w:val="00531C56"/>
    <w:rsid w:val="00531ED3"/>
    <w:rsid w:val="0053216D"/>
    <w:rsid w:val="0053237B"/>
    <w:rsid w:val="00532591"/>
    <w:rsid w:val="005326F0"/>
    <w:rsid w:val="00532701"/>
    <w:rsid w:val="005327C3"/>
    <w:rsid w:val="00532946"/>
    <w:rsid w:val="00532E60"/>
    <w:rsid w:val="00532F79"/>
    <w:rsid w:val="005337A1"/>
    <w:rsid w:val="005337F5"/>
    <w:rsid w:val="00533EC3"/>
    <w:rsid w:val="00534208"/>
    <w:rsid w:val="00534635"/>
    <w:rsid w:val="00534A23"/>
    <w:rsid w:val="00534D20"/>
    <w:rsid w:val="0053501C"/>
    <w:rsid w:val="005352D7"/>
    <w:rsid w:val="0053558A"/>
    <w:rsid w:val="00535909"/>
    <w:rsid w:val="005362DE"/>
    <w:rsid w:val="005364AE"/>
    <w:rsid w:val="005364FC"/>
    <w:rsid w:val="00536557"/>
    <w:rsid w:val="0053678F"/>
    <w:rsid w:val="00536A48"/>
    <w:rsid w:val="00536C43"/>
    <w:rsid w:val="005372DC"/>
    <w:rsid w:val="00537313"/>
    <w:rsid w:val="005373F9"/>
    <w:rsid w:val="00537479"/>
    <w:rsid w:val="00537873"/>
    <w:rsid w:val="00537CAE"/>
    <w:rsid w:val="00539ADD"/>
    <w:rsid w:val="005403A7"/>
    <w:rsid w:val="005407E5"/>
    <w:rsid w:val="00540A0C"/>
    <w:rsid w:val="00540CB9"/>
    <w:rsid w:val="00540DE0"/>
    <w:rsid w:val="00540F3E"/>
    <w:rsid w:val="00541721"/>
    <w:rsid w:val="00541890"/>
    <w:rsid w:val="00541970"/>
    <w:rsid w:val="00541C4E"/>
    <w:rsid w:val="00541EE3"/>
    <w:rsid w:val="00541FB0"/>
    <w:rsid w:val="005421CC"/>
    <w:rsid w:val="00542BA8"/>
    <w:rsid w:val="00542E35"/>
    <w:rsid w:val="00543003"/>
    <w:rsid w:val="005439C4"/>
    <w:rsid w:val="00543A08"/>
    <w:rsid w:val="00543B71"/>
    <w:rsid w:val="00543CB1"/>
    <w:rsid w:val="00543DFE"/>
    <w:rsid w:val="005443EA"/>
    <w:rsid w:val="00544435"/>
    <w:rsid w:val="00544D21"/>
    <w:rsid w:val="00544E7A"/>
    <w:rsid w:val="00545551"/>
    <w:rsid w:val="00545A63"/>
    <w:rsid w:val="00546095"/>
    <w:rsid w:val="00546343"/>
    <w:rsid w:val="00546997"/>
    <w:rsid w:val="00546EFD"/>
    <w:rsid w:val="00546F93"/>
    <w:rsid w:val="00547031"/>
    <w:rsid w:val="005473FA"/>
    <w:rsid w:val="0054741E"/>
    <w:rsid w:val="00547424"/>
    <w:rsid w:val="00547500"/>
    <w:rsid w:val="005476AC"/>
    <w:rsid w:val="005476CF"/>
    <w:rsid w:val="00550012"/>
    <w:rsid w:val="005504BB"/>
    <w:rsid w:val="0055064F"/>
    <w:rsid w:val="005506E8"/>
    <w:rsid w:val="00550C0A"/>
    <w:rsid w:val="00550F4D"/>
    <w:rsid w:val="00551574"/>
    <w:rsid w:val="00551684"/>
    <w:rsid w:val="005517FD"/>
    <w:rsid w:val="00551949"/>
    <w:rsid w:val="00551A43"/>
    <w:rsid w:val="00551B94"/>
    <w:rsid w:val="00551E36"/>
    <w:rsid w:val="0055222E"/>
    <w:rsid w:val="005523F3"/>
    <w:rsid w:val="00552656"/>
    <w:rsid w:val="00552844"/>
    <w:rsid w:val="00552ECB"/>
    <w:rsid w:val="0055320E"/>
    <w:rsid w:val="00553321"/>
    <w:rsid w:val="00553784"/>
    <w:rsid w:val="00553AFE"/>
    <w:rsid w:val="00553DFA"/>
    <w:rsid w:val="00553E4F"/>
    <w:rsid w:val="00554013"/>
    <w:rsid w:val="00554054"/>
    <w:rsid w:val="0055446E"/>
    <w:rsid w:val="00554A09"/>
    <w:rsid w:val="00554A43"/>
    <w:rsid w:val="00554A7F"/>
    <w:rsid w:val="00554D35"/>
    <w:rsid w:val="005550C2"/>
    <w:rsid w:val="00555179"/>
    <w:rsid w:val="005554F5"/>
    <w:rsid w:val="00555526"/>
    <w:rsid w:val="00555993"/>
    <w:rsid w:val="00555FE2"/>
    <w:rsid w:val="005566D7"/>
    <w:rsid w:val="0055674B"/>
    <w:rsid w:val="00556ABC"/>
    <w:rsid w:val="00556B4F"/>
    <w:rsid w:val="00556E35"/>
    <w:rsid w:val="00556FCB"/>
    <w:rsid w:val="00557108"/>
    <w:rsid w:val="0055748D"/>
    <w:rsid w:val="0055792D"/>
    <w:rsid w:val="00557AAD"/>
    <w:rsid w:val="00557B42"/>
    <w:rsid w:val="00557CFB"/>
    <w:rsid w:val="0056071D"/>
    <w:rsid w:val="00560ADB"/>
    <w:rsid w:val="00561058"/>
    <w:rsid w:val="005610FD"/>
    <w:rsid w:val="005612FE"/>
    <w:rsid w:val="0056164E"/>
    <w:rsid w:val="005618AE"/>
    <w:rsid w:val="00561997"/>
    <w:rsid w:val="00561BB2"/>
    <w:rsid w:val="00561DD0"/>
    <w:rsid w:val="00561EEB"/>
    <w:rsid w:val="00561F5D"/>
    <w:rsid w:val="0056227B"/>
    <w:rsid w:val="00562755"/>
    <w:rsid w:val="005627B2"/>
    <w:rsid w:val="0056290F"/>
    <w:rsid w:val="00562A97"/>
    <w:rsid w:val="00562BD1"/>
    <w:rsid w:val="0056305B"/>
    <w:rsid w:val="00563297"/>
    <w:rsid w:val="00563B5F"/>
    <w:rsid w:val="00563BE2"/>
    <w:rsid w:val="00563BEC"/>
    <w:rsid w:val="005647B4"/>
    <w:rsid w:val="00564AB9"/>
    <w:rsid w:val="00564C4B"/>
    <w:rsid w:val="0056545C"/>
    <w:rsid w:val="00565486"/>
    <w:rsid w:val="0056586B"/>
    <w:rsid w:val="0056596E"/>
    <w:rsid w:val="00565AF6"/>
    <w:rsid w:val="00565F52"/>
    <w:rsid w:val="00566193"/>
    <w:rsid w:val="00566606"/>
    <w:rsid w:val="00566620"/>
    <w:rsid w:val="005667A3"/>
    <w:rsid w:val="00566E9F"/>
    <w:rsid w:val="00567122"/>
    <w:rsid w:val="005671CD"/>
    <w:rsid w:val="00567443"/>
    <w:rsid w:val="00567524"/>
    <w:rsid w:val="00567B9B"/>
    <w:rsid w:val="00570B67"/>
    <w:rsid w:val="00570CE3"/>
    <w:rsid w:val="00570E65"/>
    <w:rsid w:val="00571229"/>
    <w:rsid w:val="005715F5"/>
    <w:rsid w:val="00571627"/>
    <w:rsid w:val="00571FA7"/>
    <w:rsid w:val="00571FCF"/>
    <w:rsid w:val="00572073"/>
    <w:rsid w:val="005724BB"/>
    <w:rsid w:val="00572A5D"/>
    <w:rsid w:val="005734C7"/>
    <w:rsid w:val="00573777"/>
    <w:rsid w:val="00573C70"/>
    <w:rsid w:val="0057472F"/>
    <w:rsid w:val="00574955"/>
    <w:rsid w:val="00574FA6"/>
    <w:rsid w:val="00575212"/>
    <w:rsid w:val="0057534B"/>
    <w:rsid w:val="005754F8"/>
    <w:rsid w:val="005756CA"/>
    <w:rsid w:val="0057593C"/>
    <w:rsid w:val="00575A1D"/>
    <w:rsid w:val="00575E04"/>
    <w:rsid w:val="005766C9"/>
    <w:rsid w:val="00576A3B"/>
    <w:rsid w:val="00576B65"/>
    <w:rsid w:val="00576F26"/>
    <w:rsid w:val="00577476"/>
    <w:rsid w:val="005776AB"/>
    <w:rsid w:val="00577B5F"/>
    <w:rsid w:val="00580867"/>
    <w:rsid w:val="005809D8"/>
    <w:rsid w:val="00580A48"/>
    <w:rsid w:val="00580D82"/>
    <w:rsid w:val="00580FB5"/>
    <w:rsid w:val="00581A77"/>
    <w:rsid w:val="00581CA0"/>
    <w:rsid w:val="00581D15"/>
    <w:rsid w:val="005822B8"/>
    <w:rsid w:val="00582495"/>
    <w:rsid w:val="00582F71"/>
    <w:rsid w:val="00583048"/>
    <w:rsid w:val="005832D7"/>
    <w:rsid w:val="005832E1"/>
    <w:rsid w:val="005833C3"/>
    <w:rsid w:val="0058345F"/>
    <w:rsid w:val="00583679"/>
    <w:rsid w:val="00583817"/>
    <w:rsid w:val="00583F18"/>
    <w:rsid w:val="00583FF7"/>
    <w:rsid w:val="00584774"/>
    <w:rsid w:val="00584B02"/>
    <w:rsid w:val="00584B6B"/>
    <w:rsid w:val="00584DB7"/>
    <w:rsid w:val="00584EC1"/>
    <w:rsid w:val="00584FF4"/>
    <w:rsid w:val="005850B9"/>
    <w:rsid w:val="005851ED"/>
    <w:rsid w:val="005856BC"/>
    <w:rsid w:val="00585D12"/>
    <w:rsid w:val="00586048"/>
    <w:rsid w:val="005862EE"/>
    <w:rsid w:val="00586381"/>
    <w:rsid w:val="00586746"/>
    <w:rsid w:val="005867A3"/>
    <w:rsid w:val="005867C0"/>
    <w:rsid w:val="00586881"/>
    <w:rsid w:val="00586A27"/>
    <w:rsid w:val="00586BE6"/>
    <w:rsid w:val="00586BFA"/>
    <w:rsid w:val="005870EF"/>
    <w:rsid w:val="00587155"/>
    <w:rsid w:val="00587197"/>
    <w:rsid w:val="00587311"/>
    <w:rsid w:val="00587B4C"/>
    <w:rsid w:val="00587DAE"/>
    <w:rsid w:val="00587F26"/>
    <w:rsid w:val="005905F0"/>
    <w:rsid w:val="0059063C"/>
    <w:rsid w:val="00590A90"/>
    <w:rsid w:val="00590AC4"/>
    <w:rsid w:val="00590AE5"/>
    <w:rsid w:val="00591321"/>
    <w:rsid w:val="005913A5"/>
    <w:rsid w:val="0059190D"/>
    <w:rsid w:val="00591A43"/>
    <w:rsid w:val="00591D16"/>
    <w:rsid w:val="00591D51"/>
    <w:rsid w:val="005926BE"/>
    <w:rsid w:val="0059298F"/>
    <w:rsid w:val="00592F12"/>
    <w:rsid w:val="0059311E"/>
    <w:rsid w:val="00593AFB"/>
    <w:rsid w:val="00593B0D"/>
    <w:rsid w:val="00593D63"/>
    <w:rsid w:val="00593D79"/>
    <w:rsid w:val="00593F01"/>
    <w:rsid w:val="00593F49"/>
    <w:rsid w:val="0059401A"/>
    <w:rsid w:val="005943F1"/>
    <w:rsid w:val="00594423"/>
    <w:rsid w:val="0059457F"/>
    <w:rsid w:val="00594D9E"/>
    <w:rsid w:val="00594F3A"/>
    <w:rsid w:val="0059507D"/>
    <w:rsid w:val="00595290"/>
    <w:rsid w:val="00595480"/>
    <w:rsid w:val="005959E5"/>
    <w:rsid w:val="005959FC"/>
    <w:rsid w:val="00595A9E"/>
    <w:rsid w:val="00595EA4"/>
    <w:rsid w:val="00596433"/>
    <w:rsid w:val="005964B1"/>
    <w:rsid w:val="0059659F"/>
    <w:rsid w:val="00596820"/>
    <w:rsid w:val="005971BC"/>
    <w:rsid w:val="005972CD"/>
    <w:rsid w:val="00597332"/>
    <w:rsid w:val="005973E2"/>
    <w:rsid w:val="0059791D"/>
    <w:rsid w:val="0059799B"/>
    <w:rsid w:val="00597DDD"/>
    <w:rsid w:val="00597E1E"/>
    <w:rsid w:val="00597EA3"/>
    <w:rsid w:val="00598211"/>
    <w:rsid w:val="005A0134"/>
    <w:rsid w:val="005A0390"/>
    <w:rsid w:val="005A0B6F"/>
    <w:rsid w:val="005A0E18"/>
    <w:rsid w:val="005A0F6C"/>
    <w:rsid w:val="005A0FFC"/>
    <w:rsid w:val="005A17B1"/>
    <w:rsid w:val="005A1ACB"/>
    <w:rsid w:val="005A1EBD"/>
    <w:rsid w:val="005A1EC8"/>
    <w:rsid w:val="005A1FE3"/>
    <w:rsid w:val="005A2449"/>
    <w:rsid w:val="005A26A8"/>
    <w:rsid w:val="005A2B27"/>
    <w:rsid w:val="005A2B8F"/>
    <w:rsid w:val="005A2EFE"/>
    <w:rsid w:val="005A3053"/>
    <w:rsid w:val="005A37E3"/>
    <w:rsid w:val="005A38B1"/>
    <w:rsid w:val="005A38EC"/>
    <w:rsid w:val="005A39B7"/>
    <w:rsid w:val="005A3C37"/>
    <w:rsid w:val="005A3C94"/>
    <w:rsid w:val="005A3DDA"/>
    <w:rsid w:val="005A4A21"/>
    <w:rsid w:val="005A4A39"/>
    <w:rsid w:val="005A4C17"/>
    <w:rsid w:val="005A4C3F"/>
    <w:rsid w:val="005A4D17"/>
    <w:rsid w:val="005A4D1A"/>
    <w:rsid w:val="005A4E11"/>
    <w:rsid w:val="005A4F5F"/>
    <w:rsid w:val="005A50D8"/>
    <w:rsid w:val="005A569C"/>
    <w:rsid w:val="005A5725"/>
    <w:rsid w:val="005A5836"/>
    <w:rsid w:val="005A5C83"/>
    <w:rsid w:val="005A5CF8"/>
    <w:rsid w:val="005A5E1B"/>
    <w:rsid w:val="005A6244"/>
    <w:rsid w:val="005A631E"/>
    <w:rsid w:val="005A68EE"/>
    <w:rsid w:val="005A6906"/>
    <w:rsid w:val="005A6964"/>
    <w:rsid w:val="005A6B53"/>
    <w:rsid w:val="005A6E52"/>
    <w:rsid w:val="005A708E"/>
    <w:rsid w:val="005A7206"/>
    <w:rsid w:val="005A7389"/>
    <w:rsid w:val="005A738E"/>
    <w:rsid w:val="005A741A"/>
    <w:rsid w:val="005A768D"/>
    <w:rsid w:val="005A7D58"/>
    <w:rsid w:val="005A7E00"/>
    <w:rsid w:val="005B00F5"/>
    <w:rsid w:val="005B04F7"/>
    <w:rsid w:val="005B0926"/>
    <w:rsid w:val="005B09E1"/>
    <w:rsid w:val="005B0C98"/>
    <w:rsid w:val="005B0D63"/>
    <w:rsid w:val="005B0F68"/>
    <w:rsid w:val="005B10B0"/>
    <w:rsid w:val="005B15BB"/>
    <w:rsid w:val="005B1BA6"/>
    <w:rsid w:val="005B1EB4"/>
    <w:rsid w:val="005B2348"/>
    <w:rsid w:val="005B28FC"/>
    <w:rsid w:val="005B3042"/>
    <w:rsid w:val="005B310D"/>
    <w:rsid w:val="005B314D"/>
    <w:rsid w:val="005B333E"/>
    <w:rsid w:val="005B34D9"/>
    <w:rsid w:val="005B3797"/>
    <w:rsid w:val="005B3D79"/>
    <w:rsid w:val="005B3ED2"/>
    <w:rsid w:val="005B4A94"/>
    <w:rsid w:val="005B4B5E"/>
    <w:rsid w:val="005B4C2C"/>
    <w:rsid w:val="005B4C53"/>
    <w:rsid w:val="005B4D4E"/>
    <w:rsid w:val="005B4E16"/>
    <w:rsid w:val="005B5508"/>
    <w:rsid w:val="005B57AE"/>
    <w:rsid w:val="005B5884"/>
    <w:rsid w:val="005B5998"/>
    <w:rsid w:val="005B5A43"/>
    <w:rsid w:val="005B5ABB"/>
    <w:rsid w:val="005B5FA0"/>
    <w:rsid w:val="005B6244"/>
    <w:rsid w:val="005B62E0"/>
    <w:rsid w:val="005B654F"/>
    <w:rsid w:val="005B6603"/>
    <w:rsid w:val="005B6733"/>
    <w:rsid w:val="005B6925"/>
    <w:rsid w:val="005B6BD8"/>
    <w:rsid w:val="005B6F66"/>
    <w:rsid w:val="005B727D"/>
    <w:rsid w:val="005B74BD"/>
    <w:rsid w:val="005B7622"/>
    <w:rsid w:val="005B767E"/>
    <w:rsid w:val="005C026A"/>
    <w:rsid w:val="005C08D6"/>
    <w:rsid w:val="005C090A"/>
    <w:rsid w:val="005C0F5A"/>
    <w:rsid w:val="005C0F76"/>
    <w:rsid w:val="005C16F1"/>
    <w:rsid w:val="005C17E3"/>
    <w:rsid w:val="005C2368"/>
    <w:rsid w:val="005C25F6"/>
    <w:rsid w:val="005C2D0E"/>
    <w:rsid w:val="005C2F38"/>
    <w:rsid w:val="005C305A"/>
    <w:rsid w:val="005C30FD"/>
    <w:rsid w:val="005C3268"/>
    <w:rsid w:val="005C33F6"/>
    <w:rsid w:val="005C3751"/>
    <w:rsid w:val="005C3933"/>
    <w:rsid w:val="005C3E7C"/>
    <w:rsid w:val="005C3F7E"/>
    <w:rsid w:val="005C4E80"/>
    <w:rsid w:val="005C55B2"/>
    <w:rsid w:val="005C576F"/>
    <w:rsid w:val="005C579D"/>
    <w:rsid w:val="005C5F7D"/>
    <w:rsid w:val="005C6181"/>
    <w:rsid w:val="005C6227"/>
    <w:rsid w:val="005C63CC"/>
    <w:rsid w:val="005C6823"/>
    <w:rsid w:val="005C68F0"/>
    <w:rsid w:val="005C6A33"/>
    <w:rsid w:val="005C6E27"/>
    <w:rsid w:val="005C6EB0"/>
    <w:rsid w:val="005C73C2"/>
    <w:rsid w:val="005C73FB"/>
    <w:rsid w:val="005C7439"/>
    <w:rsid w:val="005C746F"/>
    <w:rsid w:val="005C7CCC"/>
    <w:rsid w:val="005D000B"/>
    <w:rsid w:val="005D00E8"/>
    <w:rsid w:val="005D01BB"/>
    <w:rsid w:val="005D041A"/>
    <w:rsid w:val="005D0805"/>
    <w:rsid w:val="005D085B"/>
    <w:rsid w:val="005D0B00"/>
    <w:rsid w:val="005D0BD9"/>
    <w:rsid w:val="005D0D40"/>
    <w:rsid w:val="005D0F74"/>
    <w:rsid w:val="005D1577"/>
    <w:rsid w:val="005D1A01"/>
    <w:rsid w:val="005D2198"/>
    <w:rsid w:val="005D23B1"/>
    <w:rsid w:val="005D23C0"/>
    <w:rsid w:val="005D2492"/>
    <w:rsid w:val="005D25A8"/>
    <w:rsid w:val="005D26D0"/>
    <w:rsid w:val="005D36F6"/>
    <w:rsid w:val="005D3E61"/>
    <w:rsid w:val="005D43AB"/>
    <w:rsid w:val="005D44F1"/>
    <w:rsid w:val="005D482E"/>
    <w:rsid w:val="005D48B2"/>
    <w:rsid w:val="005D4940"/>
    <w:rsid w:val="005D49BF"/>
    <w:rsid w:val="005D4D75"/>
    <w:rsid w:val="005D5174"/>
    <w:rsid w:val="005D52E7"/>
    <w:rsid w:val="005D5531"/>
    <w:rsid w:val="005D55C3"/>
    <w:rsid w:val="005D56C9"/>
    <w:rsid w:val="005D58D6"/>
    <w:rsid w:val="005D5993"/>
    <w:rsid w:val="005D5BE3"/>
    <w:rsid w:val="005D5FAD"/>
    <w:rsid w:val="005D62D1"/>
    <w:rsid w:val="005D6613"/>
    <w:rsid w:val="005D68AA"/>
    <w:rsid w:val="005D68EE"/>
    <w:rsid w:val="005D6C7E"/>
    <w:rsid w:val="005D6CFD"/>
    <w:rsid w:val="005D6FF0"/>
    <w:rsid w:val="005D717C"/>
    <w:rsid w:val="005D7430"/>
    <w:rsid w:val="005D7777"/>
    <w:rsid w:val="005D7A23"/>
    <w:rsid w:val="005D7A70"/>
    <w:rsid w:val="005E0677"/>
    <w:rsid w:val="005E07DD"/>
    <w:rsid w:val="005E085D"/>
    <w:rsid w:val="005E089C"/>
    <w:rsid w:val="005E0D3B"/>
    <w:rsid w:val="005E0EDD"/>
    <w:rsid w:val="005E1741"/>
    <w:rsid w:val="005E1CFA"/>
    <w:rsid w:val="005E27D1"/>
    <w:rsid w:val="005E2A30"/>
    <w:rsid w:val="005E2D04"/>
    <w:rsid w:val="005E2F05"/>
    <w:rsid w:val="005E3005"/>
    <w:rsid w:val="005E32F3"/>
    <w:rsid w:val="005E3672"/>
    <w:rsid w:val="005E39CD"/>
    <w:rsid w:val="005E3A52"/>
    <w:rsid w:val="005E3D0A"/>
    <w:rsid w:val="005E418D"/>
    <w:rsid w:val="005E41E1"/>
    <w:rsid w:val="005E4221"/>
    <w:rsid w:val="005E451D"/>
    <w:rsid w:val="005E46D6"/>
    <w:rsid w:val="005E4A99"/>
    <w:rsid w:val="005E4ACB"/>
    <w:rsid w:val="005E4CEF"/>
    <w:rsid w:val="005E4EF2"/>
    <w:rsid w:val="005E53DB"/>
    <w:rsid w:val="005E563F"/>
    <w:rsid w:val="005E57FD"/>
    <w:rsid w:val="005E593D"/>
    <w:rsid w:val="005E5999"/>
    <w:rsid w:val="005E6247"/>
    <w:rsid w:val="005E62E4"/>
    <w:rsid w:val="005E6446"/>
    <w:rsid w:val="005E6A94"/>
    <w:rsid w:val="005E6AE2"/>
    <w:rsid w:val="005E72B4"/>
    <w:rsid w:val="005E77C4"/>
    <w:rsid w:val="005E7AA3"/>
    <w:rsid w:val="005E7B59"/>
    <w:rsid w:val="005E7E60"/>
    <w:rsid w:val="005E7F23"/>
    <w:rsid w:val="005F0115"/>
    <w:rsid w:val="005F021C"/>
    <w:rsid w:val="005F179C"/>
    <w:rsid w:val="005F1953"/>
    <w:rsid w:val="005F1A0D"/>
    <w:rsid w:val="005F1ABC"/>
    <w:rsid w:val="005F2447"/>
    <w:rsid w:val="005F271F"/>
    <w:rsid w:val="005F2901"/>
    <w:rsid w:val="005F2D20"/>
    <w:rsid w:val="005F3140"/>
    <w:rsid w:val="005F3486"/>
    <w:rsid w:val="005F3E55"/>
    <w:rsid w:val="005F443C"/>
    <w:rsid w:val="005F44FB"/>
    <w:rsid w:val="005F4524"/>
    <w:rsid w:val="005F45D8"/>
    <w:rsid w:val="005F46AA"/>
    <w:rsid w:val="005F4824"/>
    <w:rsid w:val="005F4B79"/>
    <w:rsid w:val="005F4FE8"/>
    <w:rsid w:val="005F504B"/>
    <w:rsid w:val="005F5249"/>
    <w:rsid w:val="005F5B24"/>
    <w:rsid w:val="005F5F25"/>
    <w:rsid w:val="005F62D5"/>
    <w:rsid w:val="005F65A5"/>
    <w:rsid w:val="005F6A70"/>
    <w:rsid w:val="005F6B3C"/>
    <w:rsid w:val="005F6BCC"/>
    <w:rsid w:val="005F6CC0"/>
    <w:rsid w:val="005F6D45"/>
    <w:rsid w:val="005F71A3"/>
    <w:rsid w:val="005F72E0"/>
    <w:rsid w:val="005F7823"/>
    <w:rsid w:val="005F785A"/>
    <w:rsid w:val="005F7BCE"/>
    <w:rsid w:val="005F7C75"/>
    <w:rsid w:val="005F7ECC"/>
    <w:rsid w:val="0060016D"/>
    <w:rsid w:val="0060039F"/>
    <w:rsid w:val="0060069E"/>
    <w:rsid w:val="0060084E"/>
    <w:rsid w:val="00600BD2"/>
    <w:rsid w:val="00600BFC"/>
    <w:rsid w:val="00601129"/>
    <w:rsid w:val="006013DC"/>
    <w:rsid w:val="0060147C"/>
    <w:rsid w:val="00601510"/>
    <w:rsid w:val="006019EF"/>
    <w:rsid w:val="00601BA6"/>
    <w:rsid w:val="0060202F"/>
    <w:rsid w:val="0060210A"/>
    <w:rsid w:val="0060236C"/>
    <w:rsid w:val="006026C5"/>
    <w:rsid w:val="006026F2"/>
    <w:rsid w:val="00602A23"/>
    <w:rsid w:val="00602E97"/>
    <w:rsid w:val="006033DB"/>
    <w:rsid w:val="00603444"/>
    <w:rsid w:val="0060344B"/>
    <w:rsid w:val="00603746"/>
    <w:rsid w:val="00603D17"/>
    <w:rsid w:val="00603F15"/>
    <w:rsid w:val="00604109"/>
    <w:rsid w:val="00604197"/>
    <w:rsid w:val="00604403"/>
    <w:rsid w:val="00604663"/>
    <w:rsid w:val="006046BE"/>
    <w:rsid w:val="00604EBF"/>
    <w:rsid w:val="00605056"/>
    <w:rsid w:val="00605087"/>
    <w:rsid w:val="0060536B"/>
    <w:rsid w:val="00605452"/>
    <w:rsid w:val="0060558C"/>
    <w:rsid w:val="00605BAF"/>
    <w:rsid w:val="00605C7C"/>
    <w:rsid w:val="00605C8C"/>
    <w:rsid w:val="00605CEF"/>
    <w:rsid w:val="00605D78"/>
    <w:rsid w:val="00605EE0"/>
    <w:rsid w:val="00606486"/>
    <w:rsid w:val="006064EB"/>
    <w:rsid w:val="00606B77"/>
    <w:rsid w:val="006077AD"/>
    <w:rsid w:val="00607905"/>
    <w:rsid w:val="00607A26"/>
    <w:rsid w:val="006103D5"/>
    <w:rsid w:val="006105F4"/>
    <w:rsid w:val="00610CE2"/>
    <w:rsid w:val="00610DD7"/>
    <w:rsid w:val="00610F8C"/>
    <w:rsid w:val="00611221"/>
    <w:rsid w:val="0061152B"/>
    <w:rsid w:val="006119CE"/>
    <w:rsid w:val="006119F2"/>
    <w:rsid w:val="00611B13"/>
    <w:rsid w:val="00611ECF"/>
    <w:rsid w:val="00611F42"/>
    <w:rsid w:val="0061308A"/>
    <w:rsid w:val="00613109"/>
    <w:rsid w:val="00613178"/>
    <w:rsid w:val="006132C9"/>
    <w:rsid w:val="00613BBC"/>
    <w:rsid w:val="00613C73"/>
    <w:rsid w:val="00613D83"/>
    <w:rsid w:val="00613E30"/>
    <w:rsid w:val="006149F1"/>
    <w:rsid w:val="00614CBA"/>
    <w:rsid w:val="00614F85"/>
    <w:rsid w:val="006154C9"/>
    <w:rsid w:val="006155A5"/>
    <w:rsid w:val="00615BCE"/>
    <w:rsid w:val="00615BEC"/>
    <w:rsid w:val="00615DEA"/>
    <w:rsid w:val="00615F2D"/>
    <w:rsid w:val="00616248"/>
    <w:rsid w:val="0061624B"/>
    <w:rsid w:val="0061635A"/>
    <w:rsid w:val="0061639F"/>
    <w:rsid w:val="00616412"/>
    <w:rsid w:val="0061662B"/>
    <w:rsid w:val="00616651"/>
    <w:rsid w:val="0061691C"/>
    <w:rsid w:val="00616C3A"/>
    <w:rsid w:val="00616D91"/>
    <w:rsid w:val="006176C3"/>
    <w:rsid w:val="00617C3F"/>
    <w:rsid w:val="00617F63"/>
    <w:rsid w:val="00620162"/>
    <w:rsid w:val="006205C7"/>
    <w:rsid w:val="006206C4"/>
    <w:rsid w:val="00620975"/>
    <w:rsid w:val="00620B38"/>
    <w:rsid w:val="00621139"/>
    <w:rsid w:val="006211D8"/>
    <w:rsid w:val="006213F6"/>
    <w:rsid w:val="0062159D"/>
    <w:rsid w:val="006215EE"/>
    <w:rsid w:val="00621653"/>
    <w:rsid w:val="006218FA"/>
    <w:rsid w:val="00621BDF"/>
    <w:rsid w:val="00621BE4"/>
    <w:rsid w:val="00621CFA"/>
    <w:rsid w:val="00621FC3"/>
    <w:rsid w:val="0062203C"/>
    <w:rsid w:val="006220E9"/>
    <w:rsid w:val="00622152"/>
    <w:rsid w:val="00622297"/>
    <w:rsid w:val="00622394"/>
    <w:rsid w:val="00622430"/>
    <w:rsid w:val="00622493"/>
    <w:rsid w:val="00622D89"/>
    <w:rsid w:val="00623179"/>
    <w:rsid w:val="006234D8"/>
    <w:rsid w:val="0062360E"/>
    <w:rsid w:val="00623CF7"/>
    <w:rsid w:val="006240B5"/>
    <w:rsid w:val="00624254"/>
    <w:rsid w:val="006244EA"/>
    <w:rsid w:val="00624A1B"/>
    <w:rsid w:val="00624AE5"/>
    <w:rsid w:val="00624B19"/>
    <w:rsid w:val="00624EDE"/>
    <w:rsid w:val="00625110"/>
    <w:rsid w:val="00625135"/>
    <w:rsid w:val="00625525"/>
    <w:rsid w:val="0062581C"/>
    <w:rsid w:val="006258CD"/>
    <w:rsid w:val="00625D54"/>
    <w:rsid w:val="00625E27"/>
    <w:rsid w:val="00625E34"/>
    <w:rsid w:val="00625FB5"/>
    <w:rsid w:val="0062601A"/>
    <w:rsid w:val="00626086"/>
    <w:rsid w:val="0062626F"/>
    <w:rsid w:val="0062632A"/>
    <w:rsid w:val="0062650A"/>
    <w:rsid w:val="006265EA"/>
    <w:rsid w:val="00626AB4"/>
    <w:rsid w:val="00626D96"/>
    <w:rsid w:val="006277D5"/>
    <w:rsid w:val="00627B2B"/>
    <w:rsid w:val="00627B81"/>
    <w:rsid w:val="00627E73"/>
    <w:rsid w:val="00627FA2"/>
    <w:rsid w:val="00630749"/>
    <w:rsid w:val="00630A55"/>
    <w:rsid w:val="00630A86"/>
    <w:rsid w:val="0063104E"/>
    <w:rsid w:val="0063111A"/>
    <w:rsid w:val="00631162"/>
    <w:rsid w:val="006313D8"/>
    <w:rsid w:val="006315CB"/>
    <w:rsid w:val="006316BF"/>
    <w:rsid w:val="006320D2"/>
    <w:rsid w:val="00632451"/>
    <w:rsid w:val="0063316E"/>
    <w:rsid w:val="006348F2"/>
    <w:rsid w:val="00634CB4"/>
    <w:rsid w:val="00634D3A"/>
    <w:rsid w:val="00634F17"/>
    <w:rsid w:val="00634FA8"/>
    <w:rsid w:val="006353A9"/>
    <w:rsid w:val="00635A66"/>
    <w:rsid w:val="00635CB9"/>
    <w:rsid w:val="00635EB7"/>
    <w:rsid w:val="0063618B"/>
    <w:rsid w:val="006362B5"/>
    <w:rsid w:val="0063644E"/>
    <w:rsid w:val="0063676B"/>
    <w:rsid w:val="00636B74"/>
    <w:rsid w:val="00636CA1"/>
    <w:rsid w:val="00636ECB"/>
    <w:rsid w:val="00636EEB"/>
    <w:rsid w:val="00636F43"/>
    <w:rsid w:val="00637013"/>
    <w:rsid w:val="00637181"/>
    <w:rsid w:val="006375D6"/>
    <w:rsid w:val="00637765"/>
    <w:rsid w:val="00637AD9"/>
    <w:rsid w:val="006407CF"/>
    <w:rsid w:val="00640896"/>
    <w:rsid w:val="00640D4D"/>
    <w:rsid w:val="00640FFB"/>
    <w:rsid w:val="006410DE"/>
    <w:rsid w:val="0064125D"/>
    <w:rsid w:val="00641590"/>
    <w:rsid w:val="00641651"/>
    <w:rsid w:val="0064165C"/>
    <w:rsid w:val="006416C0"/>
    <w:rsid w:val="0064187F"/>
    <w:rsid w:val="00641F1C"/>
    <w:rsid w:val="0064218C"/>
    <w:rsid w:val="00642460"/>
    <w:rsid w:val="00642575"/>
    <w:rsid w:val="006426A1"/>
    <w:rsid w:val="00642EA5"/>
    <w:rsid w:val="0064307D"/>
    <w:rsid w:val="00643807"/>
    <w:rsid w:val="00643905"/>
    <w:rsid w:val="00643CD7"/>
    <w:rsid w:val="00643DA6"/>
    <w:rsid w:val="00643E4F"/>
    <w:rsid w:val="00643F14"/>
    <w:rsid w:val="0064439B"/>
    <w:rsid w:val="006445B1"/>
    <w:rsid w:val="00644707"/>
    <w:rsid w:val="00644A53"/>
    <w:rsid w:val="00644EFD"/>
    <w:rsid w:val="00645277"/>
    <w:rsid w:val="00645542"/>
    <w:rsid w:val="00645569"/>
    <w:rsid w:val="006457B0"/>
    <w:rsid w:val="006462D5"/>
    <w:rsid w:val="006466A2"/>
    <w:rsid w:val="00646BF2"/>
    <w:rsid w:val="00647361"/>
    <w:rsid w:val="00647555"/>
    <w:rsid w:val="00647672"/>
    <w:rsid w:val="00647C98"/>
    <w:rsid w:val="00647DBC"/>
    <w:rsid w:val="006502FE"/>
    <w:rsid w:val="006503B7"/>
    <w:rsid w:val="00650CA5"/>
    <w:rsid w:val="00650FFB"/>
    <w:rsid w:val="00651746"/>
    <w:rsid w:val="0065178E"/>
    <w:rsid w:val="00651902"/>
    <w:rsid w:val="00651A08"/>
    <w:rsid w:val="00651BA2"/>
    <w:rsid w:val="00652357"/>
    <w:rsid w:val="0065287C"/>
    <w:rsid w:val="00652D60"/>
    <w:rsid w:val="00652E2F"/>
    <w:rsid w:val="00652EEC"/>
    <w:rsid w:val="00653341"/>
    <w:rsid w:val="00653652"/>
    <w:rsid w:val="0065384F"/>
    <w:rsid w:val="00653C99"/>
    <w:rsid w:val="00653CC6"/>
    <w:rsid w:val="00653E05"/>
    <w:rsid w:val="00654022"/>
    <w:rsid w:val="00654160"/>
    <w:rsid w:val="006544D0"/>
    <w:rsid w:val="00654659"/>
    <w:rsid w:val="00654A05"/>
    <w:rsid w:val="00654B02"/>
    <w:rsid w:val="00655411"/>
    <w:rsid w:val="00655594"/>
    <w:rsid w:val="0065563F"/>
    <w:rsid w:val="0065566B"/>
    <w:rsid w:val="0065572C"/>
    <w:rsid w:val="006557F0"/>
    <w:rsid w:val="00655A25"/>
    <w:rsid w:val="00655C77"/>
    <w:rsid w:val="00656107"/>
    <w:rsid w:val="006565E3"/>
    <w:rsid w:val="006567D1"/>
    <w:rsid w:val="00656D6A"/>
    <w:rsid w:val="006571E2"/>
    <w:rsid w:val="00657413"/>
    <w:rsid w:val="00657504"/>
    <w:rsid w:val="00657536"/>
    <w:rsid w:val="006579C0"/>
    <w:rsid w:val="0066000D"/>
    <w:rsid w:val="006601E2"/>
    <w:rsid w:val="006602DD"/>
    <w:rsid w:val="006603B2"/>
    <w:rsid w:val="006603EA"/>
    <w:rsid w:val="0066044D"/>
    <w:rsid w:val="00660643"/>
    <w:rsid w:val="00660B4C"/>
    <w:rsid w:val="00660C96"/>
    <w:rsid w:val="00661022"/>
    <w:rsid w:val="006610F3"/>
    <w:rsid w:val="006614A0"/>
    <w:rsid w:val="0066160A"/>
    <w:rsid w:val="00661B26"/>
    <w:rsid w:val="00661E2B"/>
    <w:rsid w:val="00662653"/>
    <w:rsid w:val="0066325B"/>
    <w:rsid w:val="006635F1"/>
    <w:rsid w:val="00663870"/>
    <w:rsid w:val="00663D38"/>
    <w:rsid w:val="00663E15"/>
    <w:rsid w:val="00663FE6"/>
    <w:rsid w:val="006643B1"/>
    <w:rsid w:val="006647BB"/>
    <w:rsid w:val="006647C3"/>
    <w:rsid w:val="0066485C"/>
    <w:rsid w:val="00664E63"/>
    <w:rsid w:val="00664FCC"/>
    <w:rsid w:val="006654E7"/>
    <w:rsid w:val="0066567D"/>
    <w:rsid w:val="00665D33"/>
    <w:rsid w:val="0066607D"/>
    <w:rsid w:val="00666181"/>
    <w:rsid w:val="00666514"/>
    <w:rsid w:val="00666BB2"/>
    <w:rsid w:val="00666CC2"/>
    <w:rsid w:val="006670EB"/>
    <w:rsid w:val="006672AA"/>
    <w:rsid w:val="0066746E"/>
    <w:rsid w:val="0066764F"/>
    <w:rsid w:val="0066789A"/>
    <w:rsid w:val="0067005F"/>
    <w:rsid w:val="0067031E"/>
    <w:rsid w:val="006706B2"/>
    <w:rsid w:val="006706EE"/>
    <w:rsid w:val="00670716"/>
    <w:rsid w:val="00670E85"/>
    <w:rsid w:val="00670F56"/>
    <w:rsid w:val="00671700"/>
    <w:rsid w:val="0067185D"/>
    <w:rsid w:val="006718E2"/>
    <w:rsid w:val="00671A8A"/>
    <w:rsid w:val="0067201F"/>
    <w:rsid w:val="00672245"/>
    <w:rsid w:val="006722C3"/>
    <w:rsid w:val="0067233B"/>
    <w:rsid w:val="0067258C"/>
    <w:rsid w:val="00672980"/>
    <w:rsid w:val="00673409"/>
    <w:rsid w:val="00673AE3"/>
    <w:rsid w:val="00673B84"/>
    <w:rsid w:val="00673D95"/>
    <w:rsid w:val="00673DF3"/>
    <w:rsid w:val="00673EF9"/>
    <w:rsid w:val="00674342"/>
    <w:rsid w:val="00674756"/>
    <w:rsid w:val="00674761"/>
    <w:rsid w:val="00674899"/>
    <w:rsid w:val="00674A13"/>
    <w:rsid w:val="00674B6B"/>
    <w:rsid w:val="006753C4"/>
    <w:rsid w:val="0067567D"/>
    <w:rsid w:val="006765DD"/>
    <w:rsid w:val="00676BED"/>
    <w:rsid w:val="00676D98"/>
    <w:rsid w:val="00677005"/>
    <w:rsid w:val="00677169"/>
    <w:rsid w:val="00677390"/>
    <w:rsid w:val="006775F9"/>
    <w:rsid w:val="006776B3"/>
    <w:rsid w:val="006776B8"/>
    <w:rsid w:val="00677759"/>
    <w:rsid w:val="006779BD"/>
    <w:rsid w:val="006779C9"/>
    <w:rsid w:val="00677A01"/>
    <w:rsid w:val="00677D42"/>
    <w:rsid w:val="0068021F"/>
    <w:rsid w:val="0068039E"/>
    <w:rsid w:val="006804B1"/>
    <w:rsid w:val="006806FE"/>
    <w:rsid w:val="006807F5"/>
    <w:rsid w:val="006808FA"/>
    <w:rsid w:val="00680EAF"/>
    <w:rsid w:val="006810AA"/>
    <w:rsid w:val="006811D9"/>
    <w:rsid w:val="00681649"/>
    <w:rsid w:val="00681C70"/>
    <w:rsid w:val="00681D9F"/>
    <w:rsid w:val="00682092"/>
    <w:rsid w:val="00682380"/>
    <w:rsid w:val="0068246C"/>
    <w:rsid w:val="0068246D"/>
    <w:rsid w:val="006825F6"/>
    <w:rsid w:val="006831AB"/>
    <w:rsid w:val="006833FB"/>
    <w:rsid w:val="00683414"/>
    <w:rsid w:val="00683499"/>
    <w:rsid w:val="00683878"/>
    <w:rsid w:val="00683AF0"/>
    <w:rsid w:val="00683F04"/>
    <w:rsid w:val="00683FD0"/>
    <w:rsid w:val="006841C3"/>
    <w:rsid w:val="00684204"/>
    <w:rsid w:val="006843D3"/>
    <w:rsid w:val="006846DC"/>
    <w:rsid w:val="00684950"/>
    <w:rsid w:val="00684A24"/>
    <w:rsid w:val="00685053"/>
    <w:rsid w:val="00685438"/>
    <w:rsid w:val="006857A2"/>
    <w:rsid w:val="00685D98"/>
    <w:rsid w:val="00685E61"/>
    <w:rsid w:val="00685F9A"/>
    <w:rsid w:val="0068651F"/>
    <w:rsid w:val="00686C22"/>
    <w:rsid w:val="006871FD"/>
    <w:rsid w:val="00687402"/>
    <w:rsid w:val="00687744"/>
    <w:rsid w:val="00687EF3"/>
    <w:rsid w:val="006902CB"/>
    <w:rsid w:val="00690527"/>
    <w:rsid w:val="00690549"/>
    <w:rsid w:val="0069081E"/>
    <w:rsid w:val="0069085D"/>
    <w:rsid w:val="006909ED"/>
    <w:rsid w:val="00690C92"/>
    <w:rsid w:val="00690E8E"/>
    <w:rsid w:val="00691469"/>
    <w:rsid w:val="006915CA"/>
    <w:rsid w:val="00691922"/>
    <w:rsid w:val="006919BA"/>
    <w:rsid w:val="00692063"/>
    <w:rsid w:val="00692582"/>
    <w:rsid w:val="006926A7"/>
    <w:rsid w:val="006926EE"/>
    <w:rsid w:val="0069283B"/>
    <w:rsid w:val="0069285B"/>
    <w:rsid w:val="006928D7"/>
    <w:rsid w:val="00692F6F"/>
    <w:rsid w:val="006936DC"/>
    <w:rsid w:val="00693855"/>
    <w:rsid w:val="00693915"/>
    <w:rsid w:val="00693A4B"/>
    <w:rsid w:val="00693E99"/>
    <w:rsid w:val="00694AAA"/>
    <w:rsid w:val="00694C2F"/>
    <w:rsid w:val="00694E26"/>
    <w:rsid w:val="00694E7A"/>
    <w:rsid w:val="006955AF"/>
    <w:rsid w:val="006956FC"/>
    <w:rsid w:val="00695EFC"/>
    <w:rsid w:val="00695FD3"/>
    <w:rsid w:val="006965E0"/>
    <w:rsid w:val="00696671"/>
    <w:rsid w:val="0069682F"/>
    <w:rsid w:val="0069685E"/>
    <w:rsid w:val="006971FA"/>
    <w:rsid w:val="00697557"/>
    <w:rsid w:val="00697691"/>
    <w:rsid w:val="00697B36"/>
    <w:rsid w:val="00697F69"/>
    <w:rsid w:val="006A03D1"/>
    <w:rsid w:val="006A0891"/>
    <w:rsid w:val="006A0D95"/>
    <w:rsid w:val="006A0E32"/>
    <w:rsid w:val="006A1201"/>
    <w:rsid w:val="006A146F"/>
    <w:rsid w:val="006A198F"/>
    <w:rsid w:val="006A1C80"/>
    <w:rsid w:val="006A1F5F"/>
    <w:rsid w:val="006A25D4"/>
    <w:rsid w:val="006A25EE"/>
    <w:rsid w:val="006A2629"/>
    <w:rsid w:val="006A2B58"/>
    <w:rsid w:val="006A317A"/>
    <w:rsid w:val="006A32A0"/>
    <w:rsid w:val="006A358F"/>
    <w:rsid w:val="006A3881"/>
    <w:rsid w:val="006A3C84"/>
    <w:rsid w:val="006A3F7D"/>
    <w:rsid w:val="006A44A5"/>
    <w:rsid w:val="006A4517"/>
    <w:rsid w:val="006A47C9"/>
    <w:rsid w:val="006A47F8"/>
    <w:rsid w:val="006A49BF"/>
    <w:rsid w:val="006A4FB8"/>
    <w:rsid w:val="006A5433"/>
    <w:rsid w:val="006A54DD"/>
    <w:rsid w:val="006A56EA"/>
    <w:rsid w:val="006A5E81"/>
    <w:rsid w:val="006A5FE2"/>
    <w:rsid w:val="006A602B"/>
    <w:rsid w:val="006A67AB"/>
    <w:rsid w:val="006A6815"/>
    <w:rsid w:val="006A6D1F"/>
    <w:rsid w:val="006A6F34"/>
    <w:rsid w:val="006A7277"/>
    <w:rsid w:val="006A754C"/>
    <w:rsid w:val="006A75D0"/>
    <w:rsid w:val="006A794C"/>
    <w:rsid w:val="006A7C37"/>
    <w:rsid w:val="006A7CDA"/>
    <w:rsid w:val="006A7DE9"/>
    <w:rsid w:val="006A7EE0"/>
    <w:rsid w:val="006A7FAC"/>
    <w:rsid w:val="006B0049"/>
    <w:rsid w:val="006B00C7"/>
    <w:rsid w:val="006B0157"/>
    <w:rsid w:val="006B022E"/>
    <w:rsid w:val="006B0822"/>
    <w:rsid w:val="006B0AF2"/>
    <w:rsid w:val="006B0CFE"/>
    <w:rsid w:val="006B1C1A"/>
    <w:rsid w:val="006B1D5D"/>
    <w:rsid w:val="006B2070"/>
    <w:rsid w:val="006B27E8"/>
    <w:rsid w:val="006B2928"/>
    <w:rsid w:val="006B2B61"/>
    <w:rsid w:val="006B33B7"/>
    <w:rsid w:val="006B3642"/>
    <w:rsid w:val="006B3720"/>
    <w:rsid w:val="006B3CE1"/>
    <w:rsid w:val="006B3FB1"/>
    <w:rsid w:val="006B4053"/>
    <w:rsid w:val="006B408B"/>
    <w:rsid w:val="006B430B"/>
    <w:rsid w:val="006B44CF"/>
    <w:rsid w:val="006B4FFF"/>
    <w:rsid w:val="006B5729"/>
    <w:rsid w:val="006B57E3"/>
    <w:rsid w:val="006B5D0E"/>
    <w:rsid w:val="006B5E08"/>
    <w:rsid w:val="006B5E6E"/>
    <w:rsid w:val="006B5E9F"/>
    <w:rsid w:val="006B665E"/>
    <w:rsid w:val="006B6688"/>
    <w:rsid w:val="006B6B41"/>
    <w:rsid w:val="006B6C10"/>
    <w:rsid w:val="006B6E45"/>
    <w:rsid w:val="006B7B61"/>
    <w:rsid w:val="006B7EC0"/>
    <w:rsid w:val="006B7FD8"/>
    <w:rsid w:val="006C005B"/>
    <w:rsid w:val="006C0926"/>
    <w:rsid w:val="006C097A"/>
    <w:rsid w:val="006C0AFE"/>
    <w:rsid w:val="006C0EDF"/>
    <w:rsid w:val="006C0F64"/>
    <w:rsid w:val="006C0F92"/>
    <w:rsid w:val="006C1200"/>
    <w:rsid w:val="006C13CA"/>
    <w:rsid w:val="006C17A0"/>
    <w:rsid w:val="006C197A"/>
    <w:rsid w:val="006C1A60"/>
    <w:rsid w:val="006C1CD1"/>
    <w:rsid w:val="006C1D96"/>
    <w:rsid w:val="006C1E05"/>
    <w:rsid w:val="006C1ED4"/>
    <w:rsid w:val="006C1F87"/>
    <w:rsid w:val="006C24E0"/>
    <w:rsid w:val="006C2B3E"/>
    <w:rsid w:val="006C3581"/>
    <w:rsid w:val="006C3635"/>
    <w:rsid w:val="006C3673"/>
    <w:rsid w:val="006C3719"/>
    <w:rsid w:val="006C3749"/>
    <w:rsid w:val="006C380C"/>
    <w:rsid w:val="006C38A4"/>
    <w:rsid w:val="006C3909"/>
    <w:rsid w:val="006C3F0D"/>
    <w:rsid w:val="006C4268"/>
    <w:rsid w:val="006C4292"/>
    <w:rsid w:val="006C44F2"/>
    <w:rsid w:val="006C4C62"/>
    <w:rsid w:val="006C4CBF"/>
    <w:rsid w:val="006C5179"/>
    <w:rsid w:val="006C5873"/>
    <w:rsid w:val="006C595B"/>
    <w:rsid w:val="006C5CCB"/>
    <w:rsid w:val="006C6150"/>
    <w:rsid w:val="006C663B"/>
    <w:rsid w:val="006C66C5"/>
    <w:rsid w:val="006C66DE"/>
    <w:rsid w:val="006C6AFC"/>
    <w:rsid w:val="006C6CE8"/>
    <w:rsid w:val="006C70D7"/>
    <w:rsid w:val="006C71A7"/>
    <w:rsid w:val="006C7596"/>
    <w:rsid w:val="006C7A2F"/>
    <w:rsid w:val="006C7CD9"/>
    <w:rsid w:val="006D013D"/>
    <w:rsid w:val="006D0818"/>
    <w:rsid w:val="006D0B3B"/>
    <w:rsid w:val="006D0E76"/>
    <w:rsid w:val="006D169A"/>
    <w:rsid w:val="006D1D40"/>
    <w:rsid w:val="006D1D88"/>
    <w:rsid w:val="006D1F0D"/>
    <w:rsid w:val="006D2002"/>
    <w:rsid w:val="006D2303"/>
    <w:rsid w:val="006D259A"/>
    <w:rsid w:val="006D25BF"/>
    <w:rsid w:val="006D29FD"/>
    <w:rsid w:val="006D32D9"/>
    <w:rsid w:val="006D3625"/>
    <w:rsid w:val="006D383E"/>
    <w:rsid w:val="006D39D0"/>
    <w:rsid w:val="006D3D32"/>
    <w:rsid w:val="006D3E98"/>
    <w:rsid w:val="006D3F05"/>
    <w:rsid w:val="006D4009"/>
    <w:rsid w:val="006D414D"/>
    <w:rsid w:val="006D4628"/>
    <w:rsid w:val="006D4781"/>
    <w:rsid w:val="006D49F7"/>
    <w:rsid w:val="006D4BA8"/>
    <w:rsid w:val="006D4C71"/>
    <w:rsid w:val="006D5066"/>
    <w:rsid w:val="006D5093"/>
    <w:rsid w:val="006D5109"/>
    <w:rsid w:val="006D5624"/>
    <w:rsid w:val="006D564D"/>
    <w:rsid w:val="006D5C27"/>
    <w:rsid w:val="006D61D1"/>
    <w:rsid w:val="006D6423"/>
    <w:rsid w:val="006D65EA"/>
    <w:rsid w:val="006D6667"/>
    <w:rsid w:val="006D6879"/>
    <w:rsid w:val="006D6DEF"/>
    <w:rsid w:val="006D6EB0"/>
    <w:rsid w:val="006D70C0"/>
    <w:rsid w:val="006D73FF"/>
    <w:rsid w:val="006D7448"/>
    <w:rsid w:val="006D7C54"/>
    <w:rsid w:val="006D7DBC"/>
    <w:rsid w:val="006D7ECB"/>
    <w:rsid w:val="006E018B"/>
    <w:rsid w:val="006E023C"/>
    <w:rsid w:val="006E093D"/>
    <w:rsid w:val="006E096C"/>
    <w:rsid w:val="006E0EFF"/>
    <w:rsid w:val="006E0F5F"/>
    <w:rsid w:val="006E13ED"/>
    <w:rsid w:val="006E1494"/>
    <w:rsid w:val="006E1B7B"/>
    <w:rsid w:val="006E1E49"/>
    <w:rsid w:val="006E21BB"/>
    <w:rsid w:val="006E223B"/>
    <w:rsid w:val="006E22D9"/>
    <w:rsid w:val="006E2356"/>
    <w:rsid w:val="006E23C8"/>
    <w:rsid w:val="006E2482"/>
    <w:rsid w:val="006E27C5"/>
    <w:rsid w:val="006E2A18"/>
    <w:rsid w:val="006E2B54"/>
    <w:rsid w:val="006E2C38"/>
    <w:rsid w:val="006E32A4"/>
    <w:rsid w:val="006E3800"/>
    <w:rsid w:val="006E3E4A"/>
    <w:rsid w:val="006E40AD"/>
    <w:rsid w:val="006E4273"/>
    <w:rsid w:val="006E428C"/>
    <w:rsid w:val="006E4375"/>
    <w:rsid w:val="006E4474"/>
    <w:rsid w:val="006E4A3E"/>
    <w:rsid w:val="006E4EE3"/>
    <w:rsid w:val="006E56C7"/>
    <w:rsid w:val="006E58AC"/>
    <w:rsid w:val="006E5A41"/>
    <w:rsid w:val="006E5B54"/>
    <w:rsid w:val="006E5D0A"/>
    <w:rsid w:val="006E5E4E"/>
    <w:rsid w:val="006E6642"/>
    <w:rsid w:val="006E6D2D"/>
    <w:rsid w:val="006E7E14"/>
    <w:rsid w:val="006E9C15"/>
    <w:rsid w:val="006F02A9"/>
    <w:rsid w:val="006F09F9"/>
    <w:rsid w:val="006F0A6A"/>
    <w:rsid w:val="006F1027"/>
    <w:rsid w:val="006F155B"/>
    <w:rsid w:val="006F15E2"/>
    <w:rsid w:val="006F16C3"/>
    <w:rsid w:val="006F1864"/>
    <w:rsid w:val="006F1BCE"/>
    <w:rsid w:val="006F20A8"/>
    <w:rsid w:val="006F21A2"/>
    <w:rsid w:val="006F272E"/>
    <w:rsid w:val="006F274E"/>
    <w:rsid w:val="006F281A"/>
    <w:rsid w:val="006F2B0D"/>
    <w:rsid w:val="006F2CA4"/>
    <w:rsid w:val="006F2CF1"/>
    <w:rsid w:val="006F2F63"/>
    <w:rsid w:val="006F3431"/>
    <w:rsid w:val="006F34B7"/>
    <w:rsid w:val="006F362A"/>
    <w:rsid w:val="006F37CD"/>
    <w:rsid w:val="006F3864"/>
    <w:rsid w:val="006F397D"/>
    <w:rsid w:val="006F3DD2"/>
    <w:rsid w:val="006F4555"/>
    <w:rsid w:val="006F488F"/>
    <w:rsid w:val="006F48E3"/>
    <w:rsid w:val="006F4AC3"/>
    <w:rsid w:val="006F4D28"/>
    <w:rsid w:val="006F4E32"/>
    <w:rsid w:val="006F54B3"/>
    <w:rsid w:val="006F5527"/>
    <w:rsid w:val="006F56BC"/>
    <w:rsid w:val="006F5CD7"/>
    <w:rsid w:val="006F5E85"/>
    <w:rsid w:val="006F5FA3"/>
    <w:rsid w:val="006F6005"/>
    <w:rsid w:val="006F65E6"/>
    <w:rsid w:val="006F6EB2"/>
    <w:rsid w:val="006F745E"/>
    <w:rsid w:val="006F790C"/>
    <w:rsid w:val="006F7A55"/>
    <w:rsid w:val="00700219"/>
    <w:rsid w:val="00700550"/>
    <w:rsid w:val="007005A4"/>
    <w:rsid w:val="00700762"/>
    <w:rsid w:val="007007D6"/>
    <w:rsid w:val="00700EB2"/>
    <w:rsid w:val="00700F6E"/>
    <w:rsid w:val="0070181D"/>
    <w:rsid w:val="007019D5"/>
    <w:rsid w:val="00701AEF"/>
    <w:rsid w:val="00701BA3"/>
    <w:rsid w:val="00702232"/>
    <w:rsid w:val="00702702"/>
    <w:rsid w:val="007028CA"/>
    <w:rsid w:val="00702944"/>
    <w:rsid w:val="007029E7"/>
    <w:rsid w:val="0070334F"/>
    <w:rsid w:val="00703771"/>
    <w:rsid w:val="00703E28"/>
    <w:rsid w:val="00704048"/>
    <w:rsid w:val="00704105"/>
    <w:rsid w:val="0070463E"/>
    <w:rsid w:val="00705B39"/>
    <w:rsid w:val="00705C7D"/>
    <w:rsid w:val="00706065"/>
    <w:rsid w:val="00706104"/>
    <w:rsid w:val="00706193"/>
    <w:rsid w:val="007067A9"/>
    <w:rsid w:val="007067D9"/>
    <w:rsid w:val="0070690C"/>
    <w:rsid w:val="007069EC"/>
    <w:rsid w:val="00706DB7"/>
    <w:rsid w:val="00706E63"/>
    <w:rsid w:val="007071EF"/>
    <w:rsid w:val="007073A1"/>
    <w:rsid w:val="00707409"/>
    <w:rsid w:val="007079A1"/>
    <w:rsid w:val="00707C46"/>
    <w:rsid w:val="00707CB6"/>
    <w:rsid w:val="007102F5"/>
    <w:rsid w:val="00710321"/>
    <w:rsid w:val="00710390"/>
    <w:rsid w:val="007103ED"/>
    <w:rsid w:val="0071062D"/>
    <w:rsid w:val="00710DA0"/>
    <w:rsid w:val="00710DCC"/>
    <w:rsid w:val="00710DE3"/>
    <w:rsid w:val="00710E4B"/>
    <w:rsid w:val="00710F2E"/>
    <w:rsid w:val="007111D2"/>
    <w:rsid w:val="007114D6"/>
    <w:rsid w:val="00711826"/>
    <w:rsid w:val="007118F2"/>
    <w:rsid w:val="00711B49"/>
    <w:rsid w:val="00711B65"/>
    <w:rsid w:val="00711D25"/>
    <w:rsid w:val="0071228C"/>
    <w:rsid w:val="007124AA"/>
    <w:rsid w:val="00712827"/>
    <w:rsid w:val="00712C10"/>
    <w:rsid w:val="00712DA3"/>
    <w:rsid w:val="00712DD1"/>
    <w:rsid w:val="00713010"/>
    <w:rsid w:val="00713532"/>
    <w:rsid w:val="007135AB"/>
    <w:rsid w:val="007139A7"/>
    <w:rsid w:val="00713A30"/>
    <w:rsid w:val="00713C14"/>
    <w:rsid w:val="00713E4B"/>
    <w:rsid w:val="00713EC0"/>
    <w:rsid w:val="007140B7"/>
    <w:rsid w:val="0071447F"/>
    <w:rsid w:val="007146D8"/>
    <w:rsid w:val="00714D1B"/>
    <w:rsid w:val="00714D5E"/>
    <w:rsid w:val="00714FBF"/>
    <w:rsid w:val="00715319"/>
    <w:rsid w:val="00715505"/>
    <w:rsid w:val="00715563"/>
    <w:rsid w:val="007159E4"/>
    <w:rsid w:val="00715D20"/>
    <w:rsid w:val="00715EA6"/>
    <w:rsid w:val="0071615C"/>
    <w:rsid w:val="007163E5"/>
    <w:rsid w:val="007164A1"/>
    <w:rsid w:val="0071664C"/>
    <w:rsid w:val="00716789"/>
    <w:rsid w:val="00716931"/>
    <w:rsid w:val="00716A5D"/>
    <w:rsid w:val="00716EAF"/>
    <w:rsid w:val="00717784"/>
    <w:rsid w:val="007178C3"/>
    <w:rsid w:val="00717B35"/>
    <w:rsid w:val="00717DB1"/>
    <w:rsid w:val="00717E92"/>
    <w:rsid w:val="00717E9A"/>
    <w:rsid w:val="00720540"/>
    <w:rsid w:val="00720621"/>
    <w:rsid w:val="00720758"/>
    <w:rsid w:val="007211BB"/>
    <w:rsid w:val="0072156B"/>
    <w:rsid w:val="007216EE"/>
    <w:rsid w:val="00721818"/>
    <w:rsid w:val="0072184B"/>
    <w:rsid w:val="00721D9A"/>
    <w:rsid w:val="00721F08"/>
    <w:rsid w:val="00722060"/>
    <w:rsid w:val="007225A1"/>
    <w:rsid w:val="007227CE"/>
    <w:rsid w:val="007227F6"/>
    <w:rsid w:val="00722828"/>
    <w:rsid w:val="00722C2B"/>
    <w:rsid w:val="00722D2D"/>
    <w:rsid w:val="007230EC"/>
    <w:rsid w:val="00723261"/>
    <w:rsid w:val="0072331D"/>
    <w:rsid w:val="007238D6"/>
    <w:rsid w:val="00723FAC"/>
    <w:rsid w:val="0072453B"/>
    <w:rsid w:val="00724A5C"/>
    <w:rsid w:val="0072503D"/>
    <w:rsid w:val="00725683"/>
    <w:rsid w:val="007259FB"/>
    <w:rsid w:val="007262F8"/>
    <w:rsid w:val="00726326"/>
    <w:rsid w:val="00726363"/>
    <w:rsid w:val="0072682A"/>
    <w:rsid w:val="00726D7A"/>
    <w:rsid w:val="00727465"/>
    <w:rsid w:val="00727623"/>
    <w:rsid w:val="0072777E"/>
    <w:rsid w:val="007279D8"/>
    <w:rsid w:val="00727DF5"/>
    <w:rsid w:val="007307EF"/>
    <w:rsid w:val="0073088E"/>
    <w:rsid w:val="007308B8"/>
    <w:rsid w:val="00730A24"/>
    <w:rsid w:val="00730B47"/>
    <w:rsid w:val="00730EDB"/>
    <w:rsid w:val="007312F2"/>
    <w:rsid w:val="00731318"/>
    <w:rsid w:val="00731408"/>
    <w:rsid w:val="007317DA"/>
    <w:rsid w:val="00731CD5"/>
    <w:rsid w:val="00731F05"/>
    <w:rsid w:val="0073216D"/>
    <w:rsid w:val="00732216"/>
    <w:rsid w:val="0073224F"/>
    <w:rsid w:val="00732855"/>
    <w:rsid w:val="00732B87"/>
    <w:rsid w:val="00733230"/>
    <w:rsid w:val="00733628"/>
    <w:rsid w:val="0073366B"/>
    <w:rsid w:val="00733729"/>
    <w:rsid w:val="00733AAD"/>
    <w:rsid w:val="00733B20"/>
    <w:rsid w:val="00734345"/>
    <w:rsid w:val="007348CD"/>
    <w:rsid w:val="007348D7"/>
    <w:rsid w:val="00734EB2"/>
    <w:rsid w:val="00734EE3"/>
    <w:rsid w:val="007351EB"/>
    <w:rsid w:val="007353E3"/>
    <w:rsid w:val="00735549"/>
    <w:rsid w:val="00735B83"/>
    <w:rsid w:val="00735D50"/>
    <w:rsid w:val="00736036"/>
    <w:rsid w:val="00736164"/>
    <w:rsid w:val="007363F0"/>
    <w:rsid w:val="007367EA"/>
    <w:rsid w:val="00736AA3"/>
    <w:rsid w:val="00736DDA"/>
    <w:rsid w:val="0073743F"/>
    <w:rsid w:val="007377F1"/>
    <w:rsid w:val="00737997"/>
    <w:rsid w:val="00740129"/>
    <w:rsid w:val="007403BF"/>
    <w:rsid w:val="0074041B"/>
    <w:rsid w:val="0074083D"/>
    <w:rsid w:val="00740F73"/>
    <w:rsid w:val="00741382"/>
    <w:rsid w:val="007414B2"/>
    <w:rsid w:val="0074169D"/>
    <w:rsid w:val="0074177F"/>
    <w:rsid w:val="00741A04"/>
    <w:rsid w:val="00741A24"/>
    <w:rsid w:val="00741D0A"/>
    <w:rsid w:val="00741F98"/>
    <w:rsid w:val="00742318"/>
    <w:rsid w:val="007426B5"/>
    <w:rsid w:val="00742716"/>
    <w:rsid w:val="00742759"/>
    <w:rsid w:val="00742C4B"/>
    <w:rsid w:val="00742CCA"/>
    <w:rsid w:val="00743525"/>
    <w:rsid w:val="0074364F"/>
    <w:rsid w:val="00743A4F"/>
    <w:rsid w:val="00743E9B"/>
    <w:rsid w:val="00743F8A"/>
    <w:rsid w:val="007442D5"/>
    <w:rsid w:val="007444D2"/>
    <w:rsid w:val="0074450C"/>
    <w:rsid w:val="0074478C"/>
    <w:rsid w:val="00744A23"/>
    <w:rsid w:val="00744C04"/>
    <w:rsid w:val="00744CEA"/>
    <w:rsid w:val="00744ECD"/>
    <w:rsid w:val="0074511C"/>
    <w:rsid w:val="007451FC"/>
    <w:rsid w:val="00745207"/>
    <w:rsid w:val="00745299"/>
    <w:rsid w:val="007458A4"/>
    <w:rsid w:val="007459B4"/>
    <w:rsid w:val="00745A3E"/>
    <w:rsid w:val="00745B25"/>
    <w:rsid w:val="007464E7"/>
    <w:rsid w:val="00746856"/>
    <w:rsid w:val="00746C81"/>
    <w:rsid w:val="00746C82"/>
    <w:rsid w:val="00746EE0"/>
    <w:rsid w:val="00746EFB"/>
    <w:rsid w:val="007473A9"/>
    <w:rsid w:val="00747683"/>
    <w:rsid w:val="00747793"/>
    <w:rsid w:val="00747AC1"/>
    <w:rsid w:val="00747E21"/>
    <w:rsid w:val="00750064"/>
    <w:rsid w:val="007502EB"/>
    <w:rsid w:val="00750330"/>
    <w:rsid w:val="007503C1"/>
    <w:rsid w:val="007504D0"/>
    <w:rsid w:val="00750F5D"/>
    <w:rsid w:val="00751616"/>
    <w:rsid w:val="0075198A"/>
    <w:rsid w:val="00751B0E"/>
    <w:rsid w:val="00751C7E"/>
    <w:rsid w:val="00751EE7"/>
    <w:rsid w:val="0075204A"/>
    <w:rsid w:val="007522BF"/>
    <w:rsid w:val="007523DA"/>
    <w:rsid w:val="00752578"/>
    <w:rsid w:val="007529BD"/>
    <w:rsid w:val="007530F0"/>
    <w:rsid w:val="00753588"/>
    <w:rsid w:val="007538B0"/>
    <w:rsid w:val="007538E6"/>
    <w:rsid w:val="00753A4A"/>
    <w:rsid w:val="00753A64"/>
    <w:rsid w:val="00753BA3"/>
    <w:rsid w:val="00754DDB"/>
    <w:rsid w:val="00754FF6"/>
    <w:rsid w:val="007551CA"/>
    <w:rsid w:val="00755DA1"/>
    <w:rsid w:val="007560C3"/>
    <w:rsid w:val="0075614D"/>
    <w:rsid w:val="007563D6"/>
    <w:rsid w:val="00756489"/>
    <w:rsid w:val="0075659D"/>
    <w:rsid w:val="00756665"/>
    <w:rsid w:val="007566B0"/>
    <w:rsid w:val="0075670B"/>
    <w:rsid w:val="00756E9E"/>
    <w:rsid w:val="00757200"/>
    <w:rsid w:val="00757260"/>
    <w:rsid w:val="007572E9"/>
    <w:rsid w:val="007576E2"/>
    <w:rsid w:val="007578A6"/>
    <w:rsid w:val="00757A03"/>
    <w:rsid w:val="00757D23"/>
    <w:rsid w:val="00757F07"/>
    <w:rsid w:val="0076037B"/>
    <w:rsid w:val="00760483"/>
    <w:rsid w:val="00760CA1"/>
    <w:rsid w:val="00761520"/>
    <w:rsid w:val="007617DF"/>
    <w:rsid w:val="007619F3"/>
    <w:rsid w:val="00761AF3"/>
    <w:rsid w:val="00761B10"/>
    <w:rsid w:val="00761BC2"/>
    <w:rsid w:val="007624E7"/>
    <w:rsid w:val="0076292C"/>
    <w:rsid w:val="00762A2E"/>
    <w:rsid w:val="00762C2D"/>
    <w:rsid w:val="00762F59"/>
    <w:rsid w:val="0076308A"/>
    <w:rsid w:val="0076371F"/>
    <w:rsid w:val="00763E2A"/>
    <w:rsid w:val="007642CB"/>
    <w:rsid w:val="00764365"/>
    <w:rsid w:val="007646F7"/>
    <w:rsid w:val="00764706"/>
    <w:rsid w:val="007647F3"/>
    <w:rsid w:val="0076511F"/>
    <w:rsid w:val="0076514C"/>
    <w:rsid w:val="00765247"/>
    <w:rsid w:val="00765353"/>
    <w:rsid w:val="00765439"/>
    <w:rsid w:val="00765562"/>
    <w:rsid w:val="00765595"/>
    <w:rsid w:val="00765646"/>
    <w:rsid w:val="007657B9"/>
    <w:rsid w:val="00765BA2"/>
    <w:rsid w:val="00765BB0"/>
    <w:rsid w:val="00765CF5"/>
    <w:rsid w:val="0076673C"/>
    <w:rsid w:val="00766A57"/>
    <w:rsid w:val="00766D7A"/>
    <w:rsid w:val="00766FB3"/>
    <w:rsid w:val="00766FFD"/>
    <w:rsid w:val="007671EF"/>
    <w:rsid w:val="00767682"/>
    <w:rsid w:val="00767845"/>
    <w:rsid w:val="00767A2C"/>
    <w:rsid w:val="0077010D"/>
    <w:rsid w:val="00770809"/>
    <w:rsid w:val="00770F87"/>
    <w:rsid w:val="00771009"/>
    <w:rsid w:val="0077106B"/>
    <w:rsid w:val="007710C2"/>
    <w:rsid w:val="007711B2"/>
    <w:rsid w:val="007719C8"/>
    <w:rsid w:val="00771CDA"/>
    <w:rsid w:val="00771D23"/>
    <w:rsid w:val="00771DDE"/>
    <w:rsid w:val="00772067"/>
    <w:rsid w:val="00772073"/>
    <w:rsid w:val="007726D0"/>
    <w:rsid w:val="00772EA2"/>
    <w:rsid w:val="00772F9D"/>
    <w:rsid w:val="007736F3"/>
    <w:rsid w:val="00773E05"/>
    <w:rsid w:val="00773E54"/>
    <w:rsid w:val="00773F90"/>
    <w:rsid w:val="0077439E"/>
    <w:rsid w:val="007747DD"/>
    <w:rsid w:val="00774A36"/>
    <w:rsid w:val="00774C2E"/>
    <w:rsid w:val="00774F1D"/>
    <w:rsid w:val="0077524F"/>
    <w:rsid w:val="00775705"/>
    <w:rsid w:val="0077580C"/>
    <w:rsid w:val="0077582B"/>
    <w:rsid w:val="00775930"/>
    <w:rsid w:val="007759A6"/>
    <w:rsid w:val="007765EB"/>
    <w:rsid w:val="007769B1"/>
    <w:rsid w:val="007769D7"/>
    <w:rsid w:val="00776CED"/>
    <w:rsid w:val="0077701A"/>
    <w:rsid w:val="00777072"/>
    <w:rsid w:val="007771C6"/>
    <w:rsid w:val="00777258"/>
    <w:rsid w:val="00777767"/>
    <w:rsid w:val="00777B0D"/>
    <w:rsid w:val="00777FB4"/>
    <w:rsid w:val="0078024F"/>
    <w:rsid w:val="00780275"/>
    <w:rsid w:val="0078043C"/>
    <w:rsid w:val="0078082B"/>
    <w:rsid w:val="00780B0E"/>
    <w:rsid w:val="00780C1D"/>
    <w:rsid w:val="00780C56"/>
    <w:rsid w:val="00780E9A"/>
    <w:rsid w:val="00780F21"/>
    <w:rsid w:val="0078136E"/>
    <w:rsid w:val="00781730"/>
    <w:rsid w:val="00781808"/>
    <w:rsid w:val="00781920"/>
    <w:rsid w:val="00781C6B"/>
    <w:rsid w:val="00781CE4"/>
    <w:rsid w:val="00781F97"/>
    <w:rsid w:val="00782769"/>
    <w:rsid w:val="00782C71"/>
    <w:rsid w:val="00782CAF"/>
    <w:rsid w:val="00782D16"/>
    <w:rsid w:val="00782E92"/>
    <w:rsid w:val="00782F29"/>
    <w:rsid w:val="0078305C"/>
    <w:rsid w:val="00783731"/>
    <w:rsid w:val="00783B42"/>
    <w:rsid w:val="00783D80"/>
    <w:rsid w:val="00783F39"/>
    <w:rsid w:val="007840C8"/>
    <w:rsid w:val="00784161"/>
    <w:rsid w:val="00784353"/>
    <w:rsid w:val="007844DC"/>
    <w:rsid w:val="00784517"/>
    <w:rsid w:val="007846DC"/>
    <w:rsid w:val="00784711"/>
    <w:rsid w:val="00784DDD"/>
    <w:rsid w:val="00785BDC"/>
    <w:rsid w:val="007860D6"/>
    <w:rsid w:val="007862DC"/>
    <w:rsid w:val="00786367"/>
    <w:rsid w:val="007864C2"/>
    <w:rsid w:val="00786679"/>
    <w:rsid w:val="007867C8"/>
    <w:rsid w:val="007867EE"/>
    <w:rsid w:val="0078688E"/>
    <w:rsid w:val="007869CE"/>
    <w:rsid w:val="00786AFD"/>
    <w:rsid w:val="007872CF"/>
    <w:rsid w:val="00787401"/>
    <w:rsid w:val="00787683"/>
    <w:rsid w:val="00787BAD"/>
    <w:rsid w:val="00787D71"/>
    <w:rsid w:val="0079004B"/>
    <w:rsid w:val="0079023A"/>
    <w:rsid w:val="00790386"/>
    <w:rsid w:val="00790710"/>
    <w:rsid w:val="007907F4"/>
    <w:rsid w:val="007908CE"/>
    <w:rsid w:val="00790919"/>
    <w:rsid w:val="0079152A"/>
    <w:rsid w:val="007916DA"/>
    <w:rsid w:val="0079178B"/>
    <w:rsid w:val="00791C19"/>
    <w:rsid w:val="007921BE"/>
    <w:rsid w:val="007922BD"/>
    <w:rsid w:val="0079249B"/>
    <w:rsid w:val="00792B85"/>
    <w:rsid w:val="00793346"/>
    <w:rsid w:val="007933B1"/>
    <w:rsid w:val="00793A8A"/>
    <w:rsid w:val="00793E4D"/>
    <w:rsid w:val="00794748"/>
    <w:rsid w:val="00794781"/>
    <w:rsid w:val="0079494A"/>
    <w:rsid w:val="00794B62"/>
    <w:rsid w:val="00794D6F"/>
    <w:rsid w:val="00794E18"/>
    <w:rsid w:val="00795055"/>
    <w:rsid w:val="0079511A"/>
    <w:rsid w:val="007953D0"/>
    <w:rsid w:val="007954A8"/>
    <w:rsid w:val="00795678"/>
    <w:rsid w:val="007957EE"/>
    <w:rsid w:val="00795EE9"/>
    <w:rsid w:val="00795F8F"/>
    <w:rsid w:val="00795FDF"/>
    <w:rsid w:val="0079600D"/>
    <w:rsid w:val="007960A2"/>
    <w:rsid w:val="00796242"/>
    <w:rsid w:val="00796AFA"/>
    <w:rsid w:val="00796B91"/>
    <w:rsid w:val="00796DE7"/>
    <w:rsid w:val="00797777"/>
    <w:rsid w:val="00797862"/>
    <w:rsid w:val="00797871"/>
    <w:rsid w:val="00797C88"/>
    <w:rsid w:val="00797CEE"/>
    <w:rsid w:val="007A0130"/>
    <w:rsid w:val="007A0160"/>
    <w:rsid w:val="007A01B6"/>
    <w:rsid w:val="007A0387"/>
    <w:rsid w:val="007A0A3A"/>
    <w:rsid w:val="007A0A9D"/>
    <w:rsid w:val="007A0AFE"/>
    <w:rsid w:val="007A0DDF"/>
    <w:rsid w:val="007A130C"/>
    <w:rsid w:val="007A13E8"/>
    <w:rsid w:val="007A143C"/>
    <w:rsid w:val="007A169D"/>
    <w:rsid w:val="007A1926"/>
    <w:rsid w:val="007A1B98"/>
    <w:rsid w:val="007A22AA"/>
    <w:rsid w:val="007A22AE"/>
    <w:rsid w:val="007A22B3"/>
    <w:rsid w:val="007A238F"/>
    <w:rsid w:val="007A24F0"/>
    <w:rsid w:val="007A2512"/>
    <w:rsid w:val="007A25C1"/>
    <w:rsid w:val="007A2855"/>
    <w:rsid w:val="007A2B1F"/>
    <w:rsid w:val="007A2D5C"/>
    <w:rsid w:val="007A30EF"/>
    <w:rsid w:val="007A3369"/>
    <w:rsid w:val="007A3905"/>
    <w:rsid w:val="007A3C43"/>
    <w:rsid w:val="007A414B"/>
    <w:rsid w:val="007A436B"/>
    <w:rsid w:val="007A44FF"/>
    <w:rsid w:val="007A460C"/>
    <w:rsid w:val="007A4A40"/>
    <w:rsid w:val="007A4DAC"/>
    <w:rsid w:val="007A5892"/>
    <w:rsid w:val="007A5C4A"/>
    <w:rsid w:val="007A6061"/>
    <w:rsid w:val="007A6305"/>
    <w:rsid w:val="007A64B3"/>
    <w:rsid w:val="007A6737"/>
    <w:rsid w:val="007A70C7"/>
    <w:rsid w:val="007A7350"/>
    <w:rsid w:val="007A7DB7"/>
    <w:rsid w:val="007B00B2"/>
    <w:rsid w:val="007B00F8"/>
    <w:rsid w:val="007B05EB"/>
    <w:rsid w:val="007B0AC4"/>
    <w:rsid w:val="007B0D84"/>
    <w:rsid w:val="007B101E"/>
    <w:rsid w:val="007B1121"/>
    <w:rsid w:val="007B13E8"/>
    <w:rsid w:val="007B1918"/>
    <w:rsid w:val="007B1AA7"/>
    <w:rsid w:val="007B1ADF"/>
    <w:rsid w:val="007B1C8F"/>
    <w:rsid w:val="007B232B"/>
    <w:rsid w:val="007B2468"/>
    <w:rsid w:val="007B2482"/>
    <w:rsid w:val="007B2901"/>
    <w:rsid w:val="007B2AA3"/>
    <w:rsid w:val="007B2B7B"/>
    <w:rsid w:val="007B2C87"/>
    <w:rsid w:val="007B3394"/>
    <w:rsid w:val="007B364F"/>
    <w:rsid w:val="007B3A4F"/>
    <w:rsid w:val="007B3B70"/>
    <w:rsid w:val="007B3C4B"/>
    <w:rsid w:val="007B3F87"/>
    <w:rsid w:val="007B4367"/>
    <w:rsid w:val="007B49A9"/>
    <w:rsid w:val="007B5383"/>
    <w:rsid w:val="007B5671"/>
    <w:rsid w:val="007B568F"/>
    <w:rsid w:val="007B5AFD"/>
    <w:rsid w:val="007B5EB3"/>
    <w:rsid w:val="007B65C2"/>
    <w:rsid w:val="007B675D"/>
    <w:rsid w:val="007B69B0"/>
    <w:rsid w:val="007B6AFE"/>
    <w:rsid w:val="007B6B85"/>
    <w:rsid w:val="007B6BED"/>
    <w:rsid w:val="007B7284"/>
    <w:rsid w:val="007B74F8"/>
    <w:rsid w:val="007B77FC"/>
    <w:rsid w:val="007C0079"/>
    <w:rsid w:val="007C00A1"/>
    <w:rsid w:val="007C0747"/>
    <w:rsid w:val="007C08D0"/>
    <w:rsid w:val="007C0C4C"/>
    <w:rsid w:val="007C10E3"/>
    <w:rsid w:val="007C149A"/>
    <w:rsid w:val="007C14A2"/>
    <w:rsid w:val="007C1D5F"/>
    <w:rsid w:val="007C1FA7"/>
    <w:rsid w:val="007C2025"/>
    <w:rsid w:val="007C207A"/>
    <w:rsid w:val="007C2593"/>
    <w:rsid w:val="007C259F"/>
    <w:rsid w:val="007C2621"/>
    <w:rsid w:val="007C2B20"/>
    <w:rsid w:val="007C2C30"/>
    <w:rsid w:val="007C308F"/>
    <w:rsid w:val="007C325A"/>
    <w:rsid w:val="007C3522"/>
    <w:rsid w:val="007C3768"/>
    <w:rsid w:val="007C3906"/>
    <w:rsid w:val="007C3A62"/>
    <w:rsid w:val="007C3B13"/>
    <w:rsid w:val="007C3CA7"/>
    <w:rsid w:val="007C3E1B"/>
    <w:rsid w:val="007C3E4E"/>
    <w:rsid w:val="007C43EA"/>
    <w:rsid w:val="007C44DD"/>
    <w:rsid w:val="007C463F"/>
    <w:rsid w:val="007C4BDC"/>
    <w:rsid w:val="007C5260"/>
    <w:rsid w:val="007C5362"/>
    <w:rsid w:val="007C5605"/>
    <w:rsid w:val="007C57F0"/>
    <w:rsid w:val="007C5A51"/>
    <w:rsid w:val="007C5BB6"/>
    <w:rsid w:val="007C5ED0"/>
    <w:rsid w:val="007C6191"/>
    <w:rsid w:val="007C6982"/>
    <w:rsid w:val="007C6F07"/>
    <w:rsid w:val="007C7123"/>
    <w:rsid w:val="007C74E3"/>
    <w:rsid w:val="007C76BD"/>
    <w:rsid w:val="007C7866"/>
    <w:rsid w:val="007C7AC1"/>
    <w:rsid w:val="007C7E01"/>
    <w:rsid w:val="007C7E2D"/>
    <w:rsid w:val="007C7E45"/>
    <w:rsid w:val="007D020B"/>
    <w:rsid w:val="007D04FE"/>
    <w:rsid w:val="007D05F6"/>
    <w:rsid w:val="007D117F"/>
    <w:rsid w:val="007D1297"/>
    <w:rsid w:val="007D13E0"/>
    <w:rsid w:val="007D14D0"/>
    <w:rsid w:val="007D1595"/>
    <w:rsid w:val="007D15EF"/>
    <w:rsid w:val="007D1AB4"/>
    <w:rsid w:val="007D231F"/>
    <w:rsid w:val="007D24C6"/>
    <w:rsid w:val="007D259A"/>
    <w:rsid w:val="007D29F3"/>
    <w:rsid w:val="007D2B85"/>
    <w:rsid w:val="007D3320"/>
    <w:rsid w:val="007D335C"/>
    <w:rsid w:val="007D36FF"/>
    <w:rsid w:val="007D37CC"/>
    <w:rsid w:val="007D388C"/>
    <w:rsid w:val="007D3D6F"/>
    <w:rsid w:val="007D4012"/>
    <w:rsid w:val="007D42C2"/>
    <w:rsid w:val="007D4405"/>
    <w:rsid w:val="007D46D0"/>
    <w:rsid w:val="007D4B78"/>
    <w:rsid w:val="007D4D47"/>
    <w:rsid w:val="007D4FB0"/>
    <w:rsid w:val="007D5A27"/>
    <w:rsid w:val="007D6251"/>
    <w:rsid w:val="007D63FE"/>
    <w:rsid w:val="007D6596"/>
    <w:rsid w:val="007D6641"/>
    <w:rsid w:val="007D67BD"/>
    <w:rsid w:val="007D6854"/>
    <w:rsid w:val="007D6967"/>
    <w:rsid w:val="007D7067"/>
    <w:rsid w:val="007D717D"/>
    <w:rsid w:val="007D71B8"/>
    <w:rsid w:val="007D74DA"/>
    <w:rsid w:val="007D75D3"/>
    <w:rsid w:val="007D75ED"/>
    <w:rsid w:val="007D7940"/>
    <w:rsid w:val="007D7BE9"/>
    <w:rsid w:val="007D7E70"/>
    <w:rsid w:val="007E0523"/>
    <w:rsid w:val="007E0681"/>
    <w:rsid w:val="007E0EA8"/>
    <w:rsid w:val="007E0F47"/>
    <w:rsid w:val="007E128D"/>
    <w:rsid w:val="007E1D2E"/>
    <w:rsid w:val="007E2593"/>
    <w:rsid w:val="007E2764"/>
    <w:rsid w:val="007E27A4"/>
    <w:rsid w:val="007E2B7E"/>
    <w:rsid w:val="007E32E0"/>
    <w:rsid w:val="007E3396"/>
    <w:rsid w:val="007E392C"/>
    <w:rsid w:val="007E3B10"/>
    <w:rsid w:val="007E3D0F"/>
    <w:rsid w:val="007E3E14"/>
    <w:rsid w:val="007E4235"/>
    <w:rsid w:val="007E493F"/>
    <w:rsid w:val="007E4C6E"/>
    <w:rsid w:val="007E4C7B"/>
    <w:rsid w:val="007E4D59"/>
    <w:rsid w:val="007E525A"/>
    <w:rsid w:val="007E52E4"/>
    <w:rsid w:val="007E556C"/>
    <w:rsid w:val="007E5849"/>
    <w:rsid w:val="007E5AD4"/>
    <w:rsid w:val="007E5B77"/>
    <w:rsid w:val="007E5D4F"/>
    <w:rsid w:val="007E5EA3"/>
    <w:rsid w:val="007E60D0"/>
    <w:rsid w:val="007E6375"/>
    <w:rsid w:val="007E6681"/>
    <w:rsid w:val="007E6BAC"/>
    <w:rsid w:val="007E6F14"/>
    <w:rsid w:val="007E6F4C"/>
    <w:rsid w:val="007E7CF1"/>
    <w:rsid w:val="007F0088"/>
    <w:rsid w:val="007F00DC"/>
    <w:rsid w:val="007F01C1"/>
    <w:rsid w:val="007F0C00"/>
    <w:rsid w:val="007F1320"/>
    <w:rsid w:val="007F1447"/>
    <w:rsid w:val="007F1546"/>
    <w:rsid w:val="007F1A2A"/>
    <w:rsid w:val="007F25D9"/>
    <w:rsid w:val="007F284F"/>
    <w:rsid w:val="007F2AC8"/>
    <w:rsid w:val="007F30B9"/>
    <w:rsid w:val="007F3154"/>
    <w:rsid w:val="007F315E"/>
    <w:rsid w:val="007F35AD"/>
    <w:rsid w:val="007F36E3"/>
    <w:rsid w:val="007F3A32"/>
    <w:rsid w:val="007F3DA1"/>
    <w:rsid w:val="007F3EFD"/>
    <w:rsid w:val="007F4037"/>
    <w:rsid w:val="007F4054"/>
    <w:rsid w:val="007F4602"/>
    <w:rsid w:val="007F4895"/>
    <w:rsid w:val="007F4BC2"/>
    <w:rsid w:val="007F4CDC"/>
    <w:rsid w:val="007F4E74"/>
    <w:rsid w:val="007F5099"/>
    <w:rsid w:val="007F5348"/>
    <w:rsid w:val="007F539A"/>
    <w:rsid w:val="007F597A"/>
    <w:rsid w:val="007F5AA9"/>
    <w:rsid w:val="007F6084"/>
    <w:rsid w:val="007F6116"/>
    <w:rsid w:val="007F6708"/>
    <w:rsid w:val="007F6A03"/>
    <w:rsid w:val="007F6AAA"/>
    <w:rsid w:val="007F6F5E"/>
    <w:rsid w:val="007F710B"/>
    <w:rsid w:val="007F75E8"/>
    <w:rsid w:val="00800130"/>
    <w:rsid w:val="008002F8"/>
    <w:rsid w:val="00800FC8"/>
    <w:rsid w:val="0080149A"/>
    <w:rsid w:val="008014C3"/>
    <w:rsid w:val="00801613"/>
    <w:rsid w:val="0080170E"/>
    <w:rsid w:val="008019B9"/>
    <w:rsid w:val="00801AAA"/>
    <w:rsid w:val="00801CE8"/>
    <w:rsid w:val="00801FB2"/>
    <w:rsid w:val="008020DB"/>
    <w:rsid w:val="00802439"/>
    <w:rsid w:val="008025C5"/>
    <w:rsid w:val="00802722"/>
    <w:rsid w:val="00802727"/>
    <w:rsid w:val="00802935"/>
    <w:rsid w:val="00802D9F"/>
    <w:rsid w:val="00803509"/>
    <w:rsid w:val="00803C4B"/>
    <w:rsid w:val="00803D23"/>
    <w:rsid w:val="00803FB4"/>
    <w:rsid w:val="00804200"/>
    <w:rsid w:val="00804273"/>
    <w:rsid w:val="0080466F"/>
    <w:rsid w:val="00804670"/>
    <w:rsid w:val="00804671"/>
    <w:rsid w:val="00804B78"/>
    <w:rsid w:val="00804D2C"/>
    <w:rsid w:val="0080518F"/>
    <w:rsid w:val="0080532D"/>
    <w:rsid w:val="008057F1"/>
    <w:rsid w:val="008058C2"/>
    <w:rsid w:val="00805F73"/>
    <w:rsid w:val="00806252"/>
    <w:rsid w:val="00806315"/>
    <w:rsid w:val="008065A2"/>
    <w:rsid w:val="00806732"/>
    <w:rsid w:val="0080679B"/>
    <w:rsid w:val="008067E3"/>
    <w:rsid w:val="00807127"/>
    <w:rsid w:val="00807463"/>
    <w:rsid w:val="00807900"/>
    <w:rsid w:val="00807BE7"/>
    <w:rsid w:val="008107D2"/>
    <w:rsid w:val="008109F4"/>
    <w:rsid w:val="00811612"/>
    <w:rsid w:val="00811842"/>
    <w:rsid w:val="00811FF3"/>
    <w:rsid w:val="0081220A"/>
    <w:rsid w:val="0081236A"/>
    <w:rsid w:val="0081244A"/>
    <w:rsid w:val="008126D3"/>
    <w:rsid w:val="00812A19"/>
    <w:rsid w:val="00812D08"/>
    <w:rsid w:val="00813183"/>
    <w:rsid w:val="008132D6"/>
    <w:rsid w:val="00813607"/>
    <w:rsid w:val="00813640"/>
    <w:rsid w:val="00813A8E"/>
    <w:rsid w:val="00813CC8"/>
    <w:rsid w:val="00813E79"/>
    <w:rsid w:val="00814829"/>
    <w:rsid w:val="008149DC"/>
    <w:rsid w:val="00814B1B"/>
    <w:rsid w:val="008157AD"/>
    <w:rsid w:val="0081583E"/>
    <w:rsid w:val="00815D14"/>
    <w:rsid w:val="00815ED0"/>
    <w:rsid w:val="00816112"/>
    <w:rsid w:val="00816421"/>
    <w:rsid w:val="008164BA"/>
    <w:rsid w:val="0081660F"/>
    <w:rsid w:val="008168FA"/>
    <w:rsid w:val="00816C39"/>
    <w:rsid w:val="00816C6D"/>
    <w:rsid w:val="00816D50"/>
    <w:rsid w:val="00817BAF"/>
    <w:rsid w:val="008200E7"/>
    <w:rsid w:val="00820204"/>
    <w:rsid w:val="00820357"/>
    <w:rsid w:val="00820BED"/>
    <w:rsid w:val="00820DB8"/>
    <w:rsid w:val="00820E14"/>
    <w:rsid w:val="008214F1"/>
    <w:rsid w:val="00821591"/>
    <w:rsid w:val="00821652"/>
    <w:rsid w:val="0082183B"/>
    <w:rsid w:val="00821A76"/>
    <w:rsid w:val="00821B38"/>
    <w:rsid w:val="00821BA7"/>
    <w:rsid w:val="0082208C"/>
    <w:rsid w:val="0082211D"/>
    <w:rsid w:val="008225B7"/>
    <w:rsid w:val="00822631"/>
    <w:rsid w:val="00822AEA"/>
    <w:rsid w:val="008231A1"/>
    <w:rsid w:val="0082420C"/>
    <w:rsid w:val="00824248"/>
    <w:rsid w:val="00824345"/>
    <w:rsid w:val="008250DA"/>
    <w:rsid w:val="00825645"/>
    <w:rsid w:val="0082583C"/>
    <w:rsid w:val="00825A31"/>
    <w:rsid w:val="00826104"/>
    <w:rsid w:val="008263D5"/>
    <w:rsid w:val="00826475"/>
    <w:rsid w:val="008268D8"/>
    <w:rsid w:val="00827441"/>
    <w:rsid w:val="0082752A"/>
    <w:rsid w:val="00827690"/>
    <w:rsid w:val="0082797A"/>
    <w:rsid w:val="00827B7C"/>
    <w:rsid w:val="00827C2C"/>
    <w:rsid w:val="00827E93"/>
    <w:rsid w:val="00830175"/>
    <w:rsid w:val="008301A4"/>
    <w:rsid w:val="008301B9"/>
    <w:rsid w:val="008303E5"/>
    <w:rsid w:val="0083055B"/>
    <w:rsid w:val="0083059A"/>
    <w:rsid w:val="00830EDE"/>
    <w:rsid w:val="00831395"/>
    <w:rsid w:val="00831440"/>
    <w:rsid w:val="00831599"/>
    <w:rsid w:val="008316CA"/>
    <w:rsid w:val="00831737"/>
    <w:rsid w:val="008319AF"/>
    <w:rsid w:val="00831CFA"/>
    <w:rsid w:val="00831F89"/>
    <w:rsid w:val="0083240E"/>
    <w:rsid w:val="008326FA"/>
    <w:rsid w:val="00832897"/>
    <w:rsid w:val="008329BD"/>
    <w:rsid w:val="00832C4F"/>
    <w:rsid w:val="00832E4F"/>
    <w:rsid w:val="00832FF3"/>
    <w:rsid w:val="0083330E"/>
    <w:rsid w:val="008334FD"/>
    <w:rsid w:val="0083399C"/>
    <w:rsid w:val="00833BDD"/>
    <w:rsid w:val="00833FB5"/>
    <w:rsid w:val="0083410F"/>
    <w:rsid w:val="00834223"/>
    <w:rsid w:val="0083449A"/>
    <w:rsid w:val="00834711"/>
    <w:rsid w:val="00834868"/>
    <w:rsid w:val="008350C2"/>
    <w:rsid w:val="0083539F"/>
    <w:rsid w:val="00835596"/>
    <w:rsid w:val="008358D0"/>
    <w:rsid w:val="00835D8B"/>
    <w:rsid w:val="00835E0B"/>
    <w:rsid w:val="008361B0"/>
    <w:rsid w:val="008362CA"/>
    <w:rsid w:val="008366B0"/>
    <w:rsid w:val="008369EB"/>
    <w:rsid w:val="00836AED"/>
    <w:rsid w:val="00836DF8"/>
    <w:rsid w:val="00836E80"/>
    <w:rsid w:val="00837042"/>
    <w:rsid w:val="008370A3"/>
    <w:rsid w:val="00837148"/>
    <w:rsid w:val="00837656"/>
    <w:rsid w:val="00837FE6"/>
    <w:rsid w:val="00840146"/>
    <w:rsid w:val="00840157"/>
    <w:rsid w:val="00840357"/>
    <w:rsid w:val="008404C0"/>
    <w:rsid w:val="00840AF4"/>
    <w:rsid w:val="00840B72"/>
    <w:rsid w:val="008418B5"/>
    <w:rsid w:val="00841A20"/>
    <w:rsid w:val="00841AE7"/>
    <w:rsid w:val="00841CA3"/>
    <w:rsid w:val="00841E09"/>
    <w:rsid w:val="00842F55"/>
    <w:rsid w:val="00842FEF"/>
    <w:rsid w:val="00843213"/>
    <w:rsid w:val="00843352"/>
    <w:rsid w:val="0084341F"/>
    <w:rsid w:val="008437F0"/>
    <w:rsid w:val="00843F6C"/>
    <w:rsid w:val="00843FE3"/>
    <w:rsid w:val="00844100"/>
    <w:rsid w:val="00844287"/>
    <w:rsid w:val="008442A6"/>
    <w:rsid w:val="008447C4"/>
    <w:rsid w:val="00844B1C"/>
    <w:rsid w:val="00844BED"/>
    <w:rsid w:val="00845387"/>
    <w:rsid w:val="008455C5"/>
    <w:rsid w:val="0084566A"/>
    <w:rsid w:val="00845729"/>
    <w:rsid w:val="008458C5"/>
    <w:rsid w:val="00846231"/>
    <w:rsid w:val="0084656F"/>
    <w:rsid w:val="008466BD"/>
    <w:rsid w:val="0084671E"/>
    <w:rsid w:val="00846A4B"/>
    <w:rsid w:val="00846A91"/>
    <w:rsid w:val="00846ACA"/>
    <w:rsid w:val="008471FB"/>
    <w:rsid w:val="008472A7"/>
    <w:rsid w:val="00847732"/>
    <w:rsid w:val="008477FB"/>
    <w:rsid w:val="00847B38"/>
    <w:rsid w:val="00847B4F"/>
    <w:rsid w:val="00847CF3"/>
    <w:rsid w:val="00847D8B"/>
    <w:rsid w:val="008505D6"/>
    <w:rsid w:val="008509CA"/>
    <w:rsid w:val="00850AB8"/>
    <w:rsid w:val="008515BB"/>
    <w:rsid w:val="00851676"/>
    <w:rsid w:val="00851778"/>
    <w:rsid w:val="00851D56"/>
    <w:rsid w:val="008528BB"/>
    <w:rsid w:val="00852A48"/>
    <w:rsid w:val="00852C0C"/>
    <w:rsid w:val="00852E69"/>
    <w:rsid w:val="00852EDD"/>
    <w:rsid w:val="00853306"/>
    <w:rsid w:val="0085338B"/>
    <w:rsid w:val="00853522"/>
    <w:rsid w:val="00853560"/>
    <w:rsid w:val="00853B8B"/>
    <w:rsid w:val="00853C94"/>
    <w:rsid w:val="00853CBE"/>
    <w:rsid w:val="0085451C"/>
    <w:rsid w:val="00854677"/>
    <w:rsid w:val="00854731"/>
    <w:rsid w:val="008549A1"/>
    <w:rsid w:val="00854A7B"/>
    <w:rsid w:val="008563AB"/>
    <w:rsid w:val="00856758"/>
    <w:rsid w:val="008567BC"/>
    <w:rsid w:val="008567F9"/>
    <w:rsid w:val="008568F7"/>
    <w:rsid w:val="00856B11"/>
    <w:rsid w:val="00856CD0"/>
    <w:rsid w:val="00856E4C"/>
    <w:rsid w:val="0085713F"/>
    <w:rsid w:val="0085740E"/>
    <w:rsid w:val="00857531"/>
    <w:rsid w:val="008577DE"/>
    <w:rsid w:val="00857BF9"/>
    <w:rsid w:val="00857D3C"/>
    <w:rsid w:val="00857DBD"/>
    <w:rsid w:val="0085D1E2"/>
    <w:rsid w:val="00860043"/>
    <w:rsid w:val="008600A3"/>
    <w:rsid w:val="008600C1"/>
    <w:rsid w:val="00860295"/>
    <w:rsid w:val="0086077B"/>
    <w:rsid w:val="00860CBA"/>
    <w:rsid w:val="00860FAE"/>
    <w:rsid w:val="008610AB"/>
    <w:rsid w:val="008611C7"/>
    <w:rsid w:val="008616CE"/>
    <w:rsid w:val="00861A47"/>
    <w:rsid w:val="00861E99"/>
    <w:rsid w:val="0086224F"/>
    <w:rsid w:val="008625F6"/>
    <w:rsid w:val="00862C2E"/>
    <w:rsid w:val="00862CD9"/>
    <w:rsid w:val="00862D32"/>
    <w:rsid w:val="00862E19"/>
    <w:rsid w:val="00862E48"/>
    <w:rsid w:val="008631DF"/>
    <w:rsid w:val="00863A67"/>
    <w:rsid w:val="00863D03"/>
    <w:rsid w:val="00863E47"/>
    <w:rsid w:val="00863F63"/>
    <w:rsid w:val="00864059"/>
    <w:rsid w:val="00864B6C"/>
    <w:rsid w:val="00864E72"/>
    <w:rsid w:val="00864F28"/>
    <w:rsid w:val="00864FED"/>
    <w:rsid w:val="00865193"/>
    <w:rsid w:val="0086548A"/>
    <w:rsid w:val="0086583B"/>
    <w:rsid w:val="008658A8"/>
    <w:rsid w:val="00865A59"/>
    <w:rsid w:val="00865F02"/>
    <w:rsid w:val="008665B7"/>
    <w:rsid w:val="008667B0"/>
    <w:rsid w:val="00866AC2"/>
    <w:rsid w:val="00866AED"/>
    <w:rsid w:val="00866ECC"/>
    <w:rsid w:val="00867663"/>
    <w:rsid w:val="00867DA6"/>
    <w:rsid w:val="00867F03"/>
    <w:rsid w:val="0087109D"/>
    <w:rsid w:val="0087117E"/>
    <w:rsid w:val="00871C24"/>
    <w:rsid w:val="00871DE9"/>
    <w:rsid w:val="00871F31"/>
    <w:rsid w:val="008722D8"/>
    <w:rsid w:val="008723B5"/>
    <w:rsid w:val="00872734"/>
    <w:rsid w:val="0087300E"/>
    <w:rsid w:val="0087305E"/>
    <w:rsid w:val="008732FB"/>
    <w:rsid w:val="008734A8"/>
    <w:rsid w:val="008738E8"/>
    <w:rsid w:val="00873FBF"/>
    <w:rsid w:val="008744C7"/>
    <w:rsid w:val="008748BD"/>
    <w:rsid w:val="00874CAB"/>
    <w:rsid w:val="00875575"/>
    <w:rsid w:val="008757DF"/>
    <w:rsid w:val="008758AA"/>
    <w:rsid w:val="00875A3C"/>
    <w:rsid w:val="00875A52"/>
    <w:rsid w:val="00875BF3"/>
    <w:rsid w:val="00876134"/>
    <w:rsid w:val="00876C0A"/>
    <w:rsid w:val="00877000"/>
    <w:rsid w:val="0087741B"/>
    <w:rsid w:val="008777F4"/>
    <w:rsid w:val="008779E7"/>
    <w:rsid w:val="00877BD4"/>
    <w:rsid w:val="00877CEF"/>
    <w:rsid w:val="00877EA4"/>
    <w:rsid w:val="00880066"/>
    <w:rsid w:val="00880272"/>
    <w:rsid w:val="00880379"/>
    <w:rsid w:val="0088087A"/>
    <w:rsid w:val="008812DB"/>
    <w:rsid w:val="00881353"/>
    <w:rsid w:val="00881513"/>
    <w:rsid w:val="00881A25"/>
    <w:rsid w:val="00881AC4"/>
    <w:rsid w:val="00881B54"/>
    <w:rsid w:val="00882272"/>
    <w:rsid w:val="008824F3"/>
    <w:rsid w:val="00882592"/>
    <w:rsid w:val="008828AC"/>
    <w:rsid w:val="00882E05"/>
    <w:rsid w:val="00882EB6"/>
    <w:rsid w:val="00882ED2"/>
    <w:rsid w:val="00883535"/>
    <w:rsid w:val="00883790"/>
    <w:rsid w:val="00883976"/>
    <w:rsid w:val="00883B63"/>
    <w:rsid w:val="00883E2E"/>
    <w:rsid w:val="00883FCE"/>
    <w:rsid w:val="008841BC"/>
    <w:rsid w:val="008841CF"/>
    <w:rsid w:val="0088456A"/>
    <w:rsid w:val="008849BB"/>
    <w:rsid w:val="00884A60"/>
    <w:rsid w:val="00884C27"/>
    <w:rsid w:val="008850EF"/>
    <w:rsid w:val="00885620"/>
    <w:rsid w:val="00885A0B"/>
    <w:rsid w:val="00885B3F"/>
    <w:rsid w:val="00885CAB"/>
    <w:rsid w:val="00885D45"/>
    <w:rsid w:val="00885E93"/>
    <w:rsid w:val="008860B8"/>
    <w:rsid w:val="008863E5"/>
    <w:rsid w:val="00886499"/>
    <w:rsid w:val="00886ED5"/>
    <w:rsid w:val="00887030"/>
    <w:rsid w:val="008872EC"/>
    <w:rsid w:val="008879A2"/>
    <w:rsid w:val="008879B6"/>
    <w:rsid w:val="00887A19"/>
    <w:rsid w:val="00887AB3"/>
    <w:rsid w:val="008906D7"/>
    <w:rsid w:val="008906FE"/>
    <w:rsid w:val="0089094B"/>
    <w:rsid w:val="00890AD4"/>
    <w:rsid w:val="00891045"/>
    <w:rsid w:val="0089112F"/>
    <w:rsid w:val="008911F1"/>
    <w:rsid w:val="0089129D"/>
    <w:rsid w:val="008913FE"/>
    <w:rsid w:val="00891511"/>
    <w:rsid w:val="00891558"/>
    <w:rsid w:val="0089186A"/>
    <w:rsid w:val="00891898"/>
    <w:rsid w:val="0089193D"/>
    <w:rsid w:val="00891B0E"/>
    <w:rsid w:val="00891DC9"/>
    <w:rsid w:val="00891E79"/>
    <w:rsid w:val="00892586"/>
    <w:rsid w:val="00892641"/>
    <w:rsid w:val="0089269C"/>
    <w:rsid w:val="008929A6"/>
    <w:rsid w:val="00892C36"/>
    <w:rsid w:val="008932A7"/>
    <w:rsid w:val="008933BA"/>
    <w:rsid w:val="00893544"/>
    <w:rsid w:val="00893935"/>
    <w:rsid w:val="00893AA2"/>
    <w:rsid w:val="00893E3A"/>
    <w:rsid w:val="0089400D"/>
    <w:rsid w:val="008946DD"/>
    <w:rsid w:val="00895383"/>
    <w:rsid w:val="0089562B"/>
    <w:rsid w:val="00895D47"/>
    <w:rsid w:val="00896061"/>
    <w:rsid w:val="0089648E"/>
    <w:rsid w:val="00896794"/>
    <w:rsid w:val="008970C7"/>
    <w:rsid w:val="008972F9"/>
    <w:rsid w:val="00897B2B"/>
    <w:rsid w:val="008A0624"/>
    <w:rsid w:val="008A0980"/>
    <w:rsid w:val="008A0DE8"/>
    <w:rsid w:val="008A0ED9"/>
    <w:rsid w:val="008A0FF9"/>
    <w:rsid w:val="008A1870"/>
    <w:rsid w:val="008A1CCA"/>
    <w:rsid w:val="008A1E1A"/>
    <w:rsid w:val="008A1E4F"/>
    <w:rsid w:val="008A208F"/>
    <w:rsid w:val="008A25B4"/>
    <w:rsid w:val="008A25D6"/>
    <w:rsid w:val="008A2770"/>
    <w:rsid w:val="008A2CBF"/>
    <w:rsid w:val="008A3041"/>
    <w:rsid w:val="008A30FF"/>
    <w:rsid w:val="008A3239"/>
    <w:rsid w:val="008A32B2"/>
    <w:rsid w:val="008A3CBF"/>
    <w:rsid w:val="008A45D1"/>
    <w:rsid w:val="008A47D9"/>
    <w:rsid w:val="008A4CE3"/>
    <w:rsid w:val="008A4F41"/>
    <w:rsid w:val="008A537F"/>
    <w:rsid w:val="008A5801"/>
    <w:rsid w:val="008A5A84"/>
    <w:rsid w:val="008A5D2F"/>
    <w:rsid w:val="008A67F4"/>
    <w:rsid w:val="008A6CA5"/>
    <w:rsid w:val="008A6FD1"/>
    <w:rsid w:val="008A71C0"/>
    <w:rsid w:val="008A71C6"/>
    <w:rsid w:val="008A7500"/>
    <w:rsid w:val="008A7743"/>
    <w:rsid w:val="008A7958"/>
    <w:rsid w:val="008A7E1D"/>
    <w:rsid w:val="008B0116"/>
    <w:rsid w:val="008B01A6"/>
    <w:rsid w:val="008B0422"/>
    <w:rsid w:val="008B044D"/>
    <w:rsid w:val="008B0807"/>
    <w:rsid w:val="008B1025"/>
    <w:rsid w:val="008B114B"/>
    <w:rsid w:val="008B13B8"/>
    <w:rsid w:val="008B159C"/>
    <w:rsid w:val="008B15CD"/>
    <w:rsid w:val="008B1F9B"/>
    <w:rsid w:val="008B213E"/>
    <w:rsid w:val="008B21E8"/>
    <w:rsid w:val="008B2382"/>
    <w:rsid w:val="008B264C"/>
    <w:rsid w:val="008B2910"/>
    <w:rsid w:val="008B3730"/>
    <w:rsid w:val="008B398D"/>
    <w:rsid w:val="008B3AAB"/>
    <w:rsid w:val="008B3D38"/>
    <w:rsid w:val="008B3D46"/>
    <w:rsid w:val="008B3E05"/>
    <w:rsid w:val="008B4026"/>
    <w:rsid w:val="008B415D"/>
    <w:rsid w:val="008B4879"/>
    <w:rsid w:val="008B4F8B"/>
    <w:rsid w:val="008B4FC3"/>
    <w:rsid w:val="008B5443"/>
    <w:rsid w:val="008B54FF"/>
    <w:rsid w:val="008B55E8"/>
    <w:rsid w:val="008B5D08"/>
    <w:rsid w:val="008B6194"/>
    <w:rsid w:val="008B644C"/>
    <w:rsid w:val="008B65BE"/>
    <w:rsid w:val="008B67D4"/>
    <w:rsid w:val="008C0085"/>
    <w:rsid w:val="008C02E6"/>
    <w:rsid w:val="008C04DF"/>
    <w:rsid w:val="008C04E6"/>
    <w:rsid w:val="008C060B"/>
    <w:rsid w:val="008C0AAB"/>
    <w:rsid w:val="008C0F17"/>
    <w:rsid w:val="008C0FBD"/>
    <w:rsid w:val="008C1C21"/>
    <w:rsid w:val="008C1DB2"/>
    <w:rsid w:val="008C227B"/>
    <w:rsid w:val="008C23B2"/>
    <w:rsid w:val="008C2625"/>
    <w:rsid w:val="008C2689"/>
    <w:rsid w:val="008C2A78"/>
    <w:rsid w:val="008C30D2"/>
    <w:rsid w:val="008C37DA"/>
    <w:rsid w:val="008C384E"/>
    <w:rsid w:val="008C38D2"/>
    <w:rsid w:val="008C390E"/>
    <w:rsid w:val="008C3B67"/>
    <w:rsid w:val="008C3D67"/>
    <w:rsid w:val="008C4515"/>
    <w:rsid w:val="008C4634"/>
    <w:rsid w:val="008C4870"/>
    <w:rsid w:val="008C4948"/>
    <w:rsid w:val="008C52F9"/>
    <w:rsid w:val="008C5579"/>
    <w:rsid w:val="008C5CAA"/>
    <w:rsid w:val="008C6099"/>
    <w:rsid w:val="008C63B2"/>
    <w:rsid w:val="008C6547"/>
    <w:rsid w:val="008C674F"/>
    <w:rsid w:val="008C6C76"/>
    <w:rsid w:val="008C6F9A"/>
    <w:rsid w:val="008C7448"/>
    <w:rsid w:val="008C7634"/>
    <w:rsid w:val="008C77AC"/>
    <w:rsid w:val="008C7A74"/>
    <w:rsid w:val="008C7BBA"/>
    <w:rsid w:val="008D0114"/>
    <w:rsid w:val="008D041D"/>
    <w:rsid w:val="008D0488"/>
    <w:rsid w:val="008D0EB1"/>
    <w:rsid w:val="008D0EBE"/>
    <w:rsid w:val="008D0F62"/>
    <w:rsid w:val="008D113A"/>
    <w:rsid w:val="008D14FF"/>
    <w:rsid w:val="008D1788"/>
    <w:rsid w:val="008D1D66"/>
    <w:rsid w:val="008D1E68"/>
    <w:rsid w:val="008D1E7E"/>
    <w:rsid w:val="008D1FF9"/>
    <w:rsid w:val="008D2927"/>
    <w:rsid w:val="008D302C"/>
    <w:rsid w:val="008D326E"/>
    <w:rsid w:val="008D33C8"/>
    <w:rsid w:val="008D3476"/>
    <w:rsid w:val="008D380F"/>
    <w:rsid w:val="008D3A47"/>
    <w:rsid w:val="008D3E66"/>
    <w:rsid w:val="008D431A"/>
    <w:rsid w:val="008D526F"/>
    <w:rsid w:val="008D56F9"/>
    <w:rsid w:val="008D5778"/>
    <w:rsid w:val="008D5D5B"/>
    <w:rsid w:val="008D5F3F"/>
    <w:rsid w:val="008D5F94"/>
    <w:rsid w:val="008D663F"/>
    <w:rsid w:val="008D68C7"/>
    <w:rsid w:val="008D6AAF"/>
    <w:rsid w:val="008D717F"/>
    <w:rsid w:val="008D71B1"/>
    <w:rsid w:val="008D734F"/>
    <w:rsid w:val="008D73C3"/>
    <w:rsid w:val="008D7642"/>
    <w:rsid w:val="008D765B"/>
    <w:rsid w:val="008D7933"/>
    <w:rsid w:val="008D7991"/>
    <w:rsid w:val="008D7A21"/>
    <w:rsid w:val="008D7D2D"/>
    <w:rsid w:val="008D7F2D"/>
    <w:rsid w:val="008E0235"/>
    <w:rsid w:val="008E0E47"/>
    <w:rsid w:val="008E0FD4"/>
    <w:rsid w:val="008E12DE"/>
    <w:rsid w:val="008E164E"/>
    <w:rsid w:val="008E19D7"/>
    <w:rsid w:val="008E1AE5"/>
    <w:rsid w:val="008E1EE1"/>
    <w:rsid w:val="008E2467"/>
    <w:rsid w:val="008E2648"/>
    <w:rsid w:val="008E27CD"/>
    <w:rsid w:val="008E32B1"/>
    <w:rsid w:val="008E3E9B"/>
    <w:rsid w:val="008E458E"/>
    <w:rsid w:val="008E4AE8"/>
    <w:rsid w:val="008E4BA7"/>
    <w:rsid w:val="008E4BE6"/>
    <w:rsid w:val="008E4D56"/>
    <w:rsid w:val="008E4E6E"/>
    <w:rsid w:val="008E4F49"/>
    <w:rsid w:val="008E4F74"/>
    <w:rsid w:val="008E52C6"/>
    <w:rsid w:val="008E52DD"/>
    <w:rsid w:val="008E57E9"/>
    <w:rsid w:val="008E5806"/>
    <w:rsid w:val="008E5882"/>
    <w:rsid w:val="008E5E17"/>
    <w:rsid w:val="008E64BE"/>
    <w:rsid w:val="008E6615"/>
    <w:rsid w:val="008E6689"/>
    <w:rsid w:val="008E697F"/>
    <w:rsid w:val="008E6C33"/>
    <w:rsid w:val="008E6C41"/>
    <w:rsid w:val="008E6EFE"/>
    <w:rsid w:val="008E7053"/>
    <w:rsid w:val="008E7226"/>
    <w:rsid w:val="008E7B1D"/>
    <w:rsid w:val="008E7C50"/>
    <w:rsid w:val="008E7ECC"/>
    <w:rsid w:val="008F06AB"/>
    <w:rsid w:val="008F088F"/>
    <w:rsid w:val="008F0A4D"/>
    <w:rsid w:val="008F1076"/>
    <w:rsid w:val="008F1292"/>
    <w:rsid w:val="008F17B5"/>
    <w:rsid w:val="008F1E32"/>
    <w:rsid w:val="008F1F62"/>
    <w:rsid w:val="008F207B"/>
    <w:rsid w:val="008F20DD"/>
    <w:rsid w:val="008F2165"/>
    <w:rsid w:val="008F25FE"/>
    <w:rsid w:val="008F2670"/>
    <w:rsid w:val="008F2A27"/>
    <w:rsid w:val="008F2A5E"/>
    <w:rsid w:val="008F2D23"/>
    <w:rsid w:val="008F2DB7"/>
    <w:rsid w:val="008F2EC2"/>
    <w:rsid w:val="008F3200"/>
    <w:rsid w:val="008F3304"/>
    <w:rsid w:val="008F35D4"/>
    <w:rsid w:val="008F362E"/>
    <w:rsid w:val="008F4716"/>
    <w:rsid w:val="008F481C"/>
    <w:rsid w:val="008F490F"/>
    <w:rsid w:val="008F4F4C"/>
    <w:rsid w:val="008F505C"/>
    <w:rsid w:val="008F51FF"/>
    <w:rsid w:val="008F5288"/>
    <w:rsid w:val="008F5395"/>
    <w:rsid w:val="008F5A70"/>
    <w:rsid w:val="008F5F84"/>
    <w:rsid w:val="008F6022"/>
    <w:rsid w:val="008F6D07"/>
    <w:rsid w:val="008F6D30"/>
    <w:rsid w:val="008F6FC8"/>
    <w:rsid w:val="008F70AA"/>
    <w:rsid w:val="008F73DB"/>
    <w:rsid w:val="008F7AFC"/>
    <w:rsid w:val="008F7B80"/>
    <w:rsid w:val="008F7D5F"/>
    <w:rsid w:val="008F7D86"/>
    <w:rsid w:val="008FF287"/>
    <w:rsid w:val="00900085"/>
    <w:rsid w:val="00900ED7"/>
    <w:rsid w:val="00900FBD"/>
    <w:rsid w:val="00901510"/>
    <w:rsid w:val="0090167A"/>
    <w:rsid w:val="00901A58"/>
    <w:rsid w:val="00901BFB"/>
    <w:rsid w:val="00901C1A"/>
    <w:rsid w:val="00901C6B"/>
    <w:rsid w:val="00901FC8"/>
    <w:rsid w:val="00902106"/>
    <w:rsid w:val="0090211D"/>
    <w:rsid w:val="0090213C"/>
    <w:rsid w:val="009023C2"/>
    <w:rsid w:val="00902E74"/>
    <w:rsid w:val="0090347B"/>
    <w:rsid w:val="009037A9"/>
    <w:rsid w:val="00903C37"/>
    <w:rsid w:val="00903D6F"/>
    <w:rsid w:val="00903F51"/>
    <w:rsid w:val="0090425D"/>
    <w:rsid w:val="00904881"/>
    <w:rsid w:val="00904DBE"/>
    <w:rsid w:val="00904DE9"/>
    <w:rsid w:val="00904F2A"/>
    <w:rsid w:val="00905565"/>
    <w:rsid w:val="00905642"/>
    <w:rsid w:val="00905B01"/>
    <w:rsid w:val="00905DDA"/>
    <w:rsid w:val="00906199"/>
    <w:rsid w:val="00906214"/>
    <w:rsid w:val="00906367"/>
    <w:rsid w:val="0090646D"/>
    <w:rsid w:val="00906828"/>
    <w:rsid w:val="00906902"/>
    <w:rsid w:val="00906D0C"/>
    <w:rsid w:val="00906D12"/>
    <w:rsid w:val="00906DD7"/>
    <w:rsid w:val="00906E1E"/>
    <w:rsid w:val="0090732D"/>
    <w:rsid w:val="009074FF"/>
    <w:rsid w:val="009076E3"/>
    <w:rsid w:val="00907CC9"/>
    <w:rsid w:val="00907CD1"/>
    <w:rsid w:val="00907D94"/>
    <w:rsid w:val="00907DFA"/>
    <w:rsid w:val="0091002B"/>
    <w:rsid w:val="009100BC"/>
    <w:rsid w:val="00910433"/>
    <w:rsid w:val="0091087B"/>
    <w:rsid w:val="00910A63"/>
    <w:rsid w:val="00910BB3"/>
    <w:rsid w:val="00910DBE"/>
    <w:rsid w:val="00910F2E"/>
    <w:rsid w:val="00910F40"/>
    <w:rsid w:val="00910FBE"/>
    <w:rsid w:val="0091112E"/>
    <w:rsid w:val="009124D5"/>
    <w:rsid w:val="00912702"/>
    <w:rsid w:val="00912A6D"/>
    <w:rsid w:val="00912C8F"/>
    <w:rsid w:val="00912DA7"/>
    <w:rsid w:val="00912F42"/>
    <w:rsid w:val="00913933"/>
    <w:rsid w:val="00914CF3"/>
    <w:rsid w:val="009152CB"/>
    <w:rsid w:val="0091532C"/>
    <w:rsid w:val="00915A6A"/>
    <w:rsid w:val="00915AC5"/>
    <w:rsid w:val="009160AE"/>
    <w:rsid w:val="00916714"/>
    <w:rsid w:val="00916F1D"/>
    <w:rsid w:val="00917311"/>
    <w:rsid w:val="009173D9"/>
    <w:rsid w:val="0091754A"/>
    <w:rsid w:val="00917A98"/>
    <w:rsid w:val="0092015F"/>
    <w:rsid w:val="00920583"/>
    <w:rsid w:val="009205F0"/>
    <w:rsid w:val="00920600"/>
    <w:rsid w:val="00920726"/>
    <w:rsid w:val="00920B45"/>
    <w:rsid w:val="00920B60"/>
    <w:rsid w:val="009216D8"/>
    <w:rsid w:val="009216F4"/>
    <w:rsid w:val="00921E54"/>
    <w:rsid w:val="00922377"/>
    <w:rsid w:val="009227CB"/>
    <w:rsid w:val="00922887"/>
    <w:rsid w:val="00922B0B"/>
    <w:rsid w:val="00922C8B"/>
    <w:rsid w:val="00922CAD"/>
    <w:rsid w:val="00922D31"/>
    <w:rsid w:val="00923070"/>
    <w:rsid w:val="0092312A"/>
    <w:rsid w:val="00923879"/>
    <w:rsid w:val="00923A66"/>
    <w:rsid w:val="00923E10"/>
    <w:rsid w:val="00924430"/>
    <w:rsid w:val="0092478E"/>
    <w:rsid w:val="0092519A"/>
    <w:rsid w:val="009253D0"/>
    <w:rsid w:val="009258CF"/>
    <w:rsid w:val="00925A64"/>
    <w:rsid w:val="00926222"/>
    <w:rsid w:val="009265FC"/>
    <w:rsid w:val="00926F31"/>
    <w:rsid w:val="009273B7"/>
    <w:rsid w:val="00927777"/>
    <w:rsid w:val="00927CFD"/>
    <w:rsid w:val="00927D38"/>
    <w:rsid w:val="00927ED0"/>
    <w:rsid w:val="00927EF5"/>
    <w:rsid w:val="00927F87"/>
    <w:rsid w:val="00930040"/>
    <w:rsid w:val="00930094"/>
    <w:rsid w:val="00930098"/>
    <w:rsid w:val="00930536"/>
    <w:rsid w:val="00930970"/>
    <w:rsid w:val="00930A79"/>
    <w:rsid w:val="00930CF5"/>
    <w:rsid w:val="009310F1"/>
    <w:rsid w:val="00931155"/>
    <w:rsid w:val="00931215"/>
    <w:rsid w:val="00931484"/>
    <w:rsid w:val="009317F8"/>
    <w:rsid w:val="00931939"/>
    <w:rsid w:val="00931BD6"/>
    <w:rsid w:val="00931CAD"/>
    <w:rsid w:val="009329DC"/>
    <w:rsid w:val="00932B46"/>
    <w:rsid w:val="00932B79"/>
    <w:rsid w:val="00932DF0"/>
    <w:rsid w:val="00932E7D"/>
    <w:rsid w:val="00932ED6"/>
    <w:rsid w:val="00933050"/>
    <w:rsid w:val="009343C1"/>
    <w:rsid w:val="0093481A"/>
    <w:rsid w:val="009348C6"/>
    <w:rsid w:val="00934992"/>
    <w:rsid w:val="00934D57"/>
    <w:rsid w:val="009351E1"/>
    <w:rsid w:val="009355AF"/>
    <w:rsid w:val="009355DD"/>
    <w:rsid w:val="00935730"/>
    <w:rsid w:val="0093573D"/>
    <w:rsid w:val="0093573F"/>
    <w:rsid w:val="00936204"/>
    <w:rsid w:val="00936542"/>
    <w:rsid w:val="00936D3D"/>
    <w:rsid w:val="00936EE8"/>
    <w:rsid w:val="00937232"/>
    <w:rsid w:val="0093734B"/>
    <w:rsid w:val="00937B90"/>
    <w:rsid w:val="00937F0F"/>
    <w:rsid w:val="009402CB"/>
    <w:rsid w:val="00940748"/>
    <w:rsid w:val="00940813"/>
    <w:rsid w:val="00940C7E"/>
    <w:rsid w:val="0094116F"/>
    <w:rsid w:val="009411DB"/>
    <w:rsid w:val="00941399"/>
    <w:rsid w:val="00942407"/>
    <w:rsid w:val="00942634"/>
    <w:rsid w:val="00942641"/>
    <w:rsid w:val="009427D1"/>
    <w:rsid w:val="00942ADD"/>
    <w:rsid w:val="0094391A"/>
    <w:rsid w:val="00943A39"/>
    <w:rsid w:val="00943B96"/>
    <w:rsid w:val="009443CD"/>
    <w:rsid w:val="009448C5"/>
    <w:rsid w:val="009449D3"/>
    <w:rsid w:val="009449F4"/>
    <w:rsid w:val="00944B89"/>
    <w:rsid w:val="00944BD9"/>
    <w:rsid w:val="00944EF2"/>
    <w:rsid w:val="00945264"/>
    <w:rsid w:val="0094535F"/>
    <w:rsid w:val="009457EB"/>
    <w:rsid w:val="0094587A"/>
    <w:rsid w:val="009458BF"/>
    <w:rsid w:val="00945956"/>
    <w:rsid w:val="00946257"/>
    <w:rsid w:val="00946550"/>
    <w:rsid w:val="009465EB"/>
    <w:rsid w:val="00946617"/>
    <w:rsid w:val="00946EDA"/>
    <w:rsid w:val="00946F9D"/>
    <w:rsid w:val="00947239"/>
    <w:rsid w:val="009472D7"/>
    <w:rsid w:val="0094757B"/>
    <w:rsid w:val="00947587"/>
    <w:rsid w:val="009476C6"/>
    <w:rsid w:val="0094785A"/>
    <w:rsid w:val="00947A32"/>
    <w:rsid w:val="00947F68"/>
    <w:rsid w:val="0095012B"/>
    <w:rsid w:val="00950211"/>
    <w:rsid w:val="0095045C"/>
    <w:rsid w:val="00950C90"/>
    <w:rsid w:val="00950D4C"/>
    <w:rsid w:val="00950E86"/>
    <w:rsid w:val="009511C9"/>
    <w:rsid w:val="009518C0"/>
    <w:rsid w:val="00951B8A"/>
    <w:rsid w:val="00951CA9"/>
    <w:rsid w:val="00952247"/>
    <w:rsid w:val="00952328"/>
    <w:rsid w:val="0095234F"/>
    <w:rsid w:val="00952A43"/>
    <w:rsid w:val="00952EB5"/>
    <w:rsid w:val="009536F1"/>
    <w:rsid w:val="00953B15"/>
    <w:rsid w:val="00953E5B"/>
    <w:rsid w:val="00954513"/>
    <w:rsid w:val="00954683"/>
    <w:rsid w:val="009546AC"/>
    <w:rsid w:val="009548DE"/>
    <w:rsid w:val="009551CB"/>
    <w:rsid w:val="009552AC"/>
    <w:rsid w:val="00955522"/>
    <w:rsid w:val="00955999"/>
    <w:rsid w:val="00955B79"/>
    <w:rsid w:val="00955CF9"/>
    <w:rsid w:val="009560AF"/>
    <w:rsid w:val="009561B0"/>
    <w:rsid w:val="0095620B"/>
    <w:rsid w:val="00956231"/>
    <w:rsid w:val="009563AE"/>
    <w:rsid w:val="009564B3"/>
    <w:rsid w:val="009566FF"/>
    <w:rsid w:val="00956816"/>
    <w:rsid w:val="00956A51"/>
    <w:rsid w:val="00956D38"/>
    <w:rsid w:val="00957491"/>
    <w:rsid w:val="00957D3A"/>
    <w:rsid w:val="00960176"/>
    <w:rsid w:val="00960189"/>
    <w:rsid w:val="009607A2"/>
    <w:rsid w:val="00960CE8"/>
    <w:rsid w:val="00960E9F"/>
    <w:rsid w:val="00960EB8"/>
    <w:rsid w:val="00961575"/>
    <w:rsid w:val="009617AB"/>
    <w:rsid w:val="009617CA"/>
    <w:rsid w:val="00961B87"/>
    <w:rsid w:val="00961C3E"/>
    <w:rsid w:val="00961EB3"/>
    <w:rsid w:val="009621CB"/>
    <w:rsid w:val="00962407"/>
    <w:rsid w:val="00962EBE"/>
    <w:rsid w:val="00963264"/>
    <w:rsid w:val="00963684"/>
    <w:rsid w:val="00963929"/>
    <w:rsid w:val="00963FB9"/>
    <w:rsid w:val="009641AA"/>
    <w:rsid w:val="00964401"/>
    <w:rsid w:val="0096462E"/>
    <w:rsid w:val="009647F4"/>
    <w:rsid w:val="0096483D"/>
    <w:rsid w:val="00964A83"/>
    <w:rsid w:val="00964B04"/>
    <w:rsid w:val="00964DF5"/>
    <w:rsid w:val="00964E73"/>
    <w:rsid w:val="0096567B"/>
    <w:rsid w:val="009659EB"/>
    <w:rsid w:val="00965C07"/>
    <w:rsid w:val="00965DBC"/>
    <w:rsid w:val="00965DCB"/>
    <w:rsid w:val="00965FA4"/>
    <w:rsid w:val="0096607B"/>
    <w:rsid w:val="009662EC"/>
    <w:rsid w:val="0096633A"/>
    <w:rsid w:val="00966726"/>
    <w:rsid w:val="0096680B"/>
    <w:rsid w:val="00966868"/>
    <w:rsid w:val="00966BE3"/>
    <w:rsid w:val="009670E4"/>
    <w:rsid w:val="0096773E"/>
    <w:rsid w:val="00967A3B"/>
    <w:rsid w:val="00967B1A"/>
    <w:rsid w:val="009704D0"/>
    <w:rsid w:val="00970E93"/>
    <w:rsid w:val="009710FD"/>
    <w:rsid w:val="00971493"/>
    <w:rsid w:val="00971AB7"/>
    <w:rsid w:val="00971D87"/>
    <w:rsid w:val="009722AB"/>
    <w:rsid w:val="009723DD"/>
    <w:rsid w:val="00972D3A"/>
    <w:rsid w:val="00973D16"/>
    <w:rsid w:val="00973D5B"/>
    <w:rsid w:val="00973D87"/>
    <w:rsid w:val="00973E30"/>
    <w:rsid w:val="00973EC8"/>
    <w:rsid w:val="00973F1D"/>
    <w:rsid w:val="0097434D"/>
    <w:rsid w:val="00974851"/>
    <w:rsid w:val="00974F5F"/>
    <w:rsid w:val="009753B4"/>
    <w:rsid w:val="009753E1"/>
    <w:rsid w:val="009753F7"/>
    <w:rsid w:val="0097549F"/>
    <w:rsid w:val="009754D4"/>
    <w:rsid w:val="00975541"/>
    <w:rsid w:val="00975E2A"/>
    <w:rsid w:val="0097616F"/>
    <w:rsid w:val="009762B3"/>
    <w:rsid w:val="00976BB3"/>
    <w:rsid w:val="00976FBD"/>
    <w:rsid w:val="0097717A"/>
    <w:rsid w:val="009772C1"/>
    <w:rsid w:val="00977452"/>
    <w:rsid w:val="00977AAF"/>
    <w:rsid w:val="00977F41"/>
    <w:rsid w:val="0098002F"/>
    <w:rsid w:val="009800FC"/>
    <w:rsid w:val="0098043B"/>
    <w:rsid w:val="009805D2"/>
    <w:rsid w:val="0098069E"/>
    <w:rsid w:val="00980B0D"/>
    <w:rsid w:val="00980DEF"/>
    <w:rsid w:val="009811FB"/>
    <w:rsid w:val="00981353"/>
    <w:rsid w:val="00981385"/>
    <w:rsid w:val="00981621"/>
    <w:rsid w:val="009818A9"/>
    <w:rsid w:val="00981AA6"/>
    <w:rsid w:val="00981E05"/>
    <w:rsid w:val="00981FA1"/>
    <w:rsid w:val="009829C8"/>
    <w:rsid w:val="00982BCB"/>
    <w:rsid w:val="00982BFF"/>
    <w:rsid w:val="00982F59"/>
    <w:rsid w:val="0098312D"/>
    <w:rsid w:val="009834E2"/>
    <w:rsid w:val="0098375D"/>
    <w:rsid w:val="00983D19"/>
    <w:rsid w:val="00983E50"/>
    <w:rsid w:val="009841B3"/>
    <w:rsid w:val="00984549"/>
    <w:rsid w:val="0098475C"/>
    <w:rsid w:val="0098484A"/>
    <w:rsid w:val="009848E4"/>
    <w:rsid w:val="009849AF"/>
    <w:rsid w:val="00984A1F"/>
    <w:rsid w:val="00984C9A"/>
    <w:rsid w:val="00985072"/>
    <w:rsid w:val="0098516A"/>
    <w:rsid w:val="009851C6"/>
    <w:rsid w:val="009851CB"/>
    <w:rsid w:val="00985235"/>
    <w:rsid w:val="0098547A"/>
    <w:rsid w:val="009854B2"/>
    <w:rsid w:val="009855F2"/>
    <w:rsid w:val="00985618"/>
    <w:rsid w:val="0098584C"/>
    <w:rsid w:val="009859B2"/>
    <w:rsid w:val="00985B17"/>
    <w:rsid w:val="00985C97"/>
    <w:rsid w:val="00985E08"/>
    <w:rsid w:val="00985F3A"/>
    <w:rsid w:val="00986219"/>
    <w:rsid w:val="0098634B"/>
    <w:rsid w:val="009864E8"/>
    <w:rsid w:val="0098675B"/>
    <w:rsid w:val="009868AD"/>
    <w:rsid w:val="009868FF"/>
    <w:rsid w:val="0098694D"/>
    <w:rsid w:val="00986C5E"/>
    <w:rsid w:val="00986D22"/>
    <w:rsid w:val="00986D8F"/>
    <w:rsid w:val="00986DEE"/>
    <w:rsid w:val="0098702B"/>
    <w:rsid w:val="00987101"/>
    <w:rsid w:val="00987305"/>
    <w:rsid w:val="0098753E"/>
    <w:rsid w:val="009875A8"/>
    <w:rsid w:val="009875B0"/>
    <w:rsid w:val="00987CD2"/>
    <w:rsid w:val="00987D44"/>
    <w:rsid w:val="00987F8B"/>
    <w:rsid w:val="00990168"/>
    <w:rsid w:val="00990174"/>
    <w:rsid w:val="009905EF"/>
    <w:rsid w:val="009906BC"/>
    <w:rsid w:val="009906EE"/>
    <w:rsid w:val="009907F0"/>
    <w:rsid w:val="00990886"/>
    <w:rsid w:val="00990D2A"/>
    <w:rsid w:val="00990EAA"/>
    <w:rsid w:val="00990F93"/>
    <w:rsid w:val="009911D4"/>
    <w:rsid w:val="0099184E"/>
    <w:rsid w:val="0099249F"/>
    <w:rsid w:val="00992F78"/>
    <w:rsid w:val="00993020"/>
    <w:rsid w:val="00993095"/>
    <w:rsid w:val="009931C3"/>
    <w:rsid w:val="00993286"/>
    <w:rsid w:val="009934C8"/>
    <w:rsid w:val="009934E1"/>
    <w:rsid w:val="00993637"/>
    <w:rsid w:val="009936CE"/>
    <w:rsid w:val="0099379B"/>
    <w:rsid w:val="00993819"/>
    <w:rsid w:val="00993AE2"/>
    <w:rsid w:val="00993C39"/>
    <w:rsid w:val="00993D55"/>
    <w:rsid w:val="009941D5"/>
    <w:rsid w:val="009944B0"/>
    <w:rsid w:val="00994903"/>
    <w:rsid w:val="00994BA3"/>
    <w:rsid w:val="00994C1D"/>
    <w:rsid w:val="00994E9E"/>
    <w:rsid w:val="00995387"/>
    <w:rsid w:val="00995AD8"/>
    <w:rsid w:val="00995EE9"/>
    <w:rsid w:val="00995F72"/>
    <w:rsid w:val="0099614F"/>
    <w:rsid w:val="0099628E"/>
    <w:rsid w:val="0099636F"/>
    <w:rsid w:val="0099642C"/>
    <w:rsid w:val="0099668A"/>
    <w:rsid w:val="00996BB5"/>
    <w:rsid w:val="00996D34"/>
    <w:rsid w:val="00997008"/>
    <w:rsid w:val="009976EA"/>
    <w:rsid w:val="0099781A"/>
    <w:rsid w:val="009A024C"/>
    <w:rsid w:val="009A072B"/>
    <w:rsid w:val="009A07CF"/>
    <w:rsid w:val="009A0A01"/>
    <w:rsid w:val="009A0B28"/>
    <w:rsid w:val="009A11E7"/>
    <w:rsid w:val="009A13A5"/>
    <w:rsid w:val="009A1430"/>
    <w:rsid w:val="009A1495"/>
    <w:rsid w:val="009A1502"/>
    <w:rsid w:val="009A156E"/>
    <w:rsid w:val="009A2028"/>
    <w:rsid w:val="009A20E1"/>
    <w:rsid w:val="009A24EE"/>
    <w:rsid w:val="009A2935"/>
    <w:rsid w:val="009A2B8B"/>
    <w:rsid w:val="009A30D3"/>
    <w:rsid w:val="009A3322"/>
    <w:rsid w:val="009A342E"/>
    <w:rsid w:val="009A34C8"/>
    <w:rsid w:val="009A3737"/>
    <w:rsid w:val="009A38CF"/>
    <w:rsid w:val="009A3976"/>
    <w:rsid w:val="009A438D"/>
    <w:rsid w:val="009A43BC"/>
    <w:rsid w:val="009A57AC"/>
    <w:rsid w:val="009A5AA1"/>
    <w:rsid w:val="009A5C87"/>
    <w:rsid w:val="009A6087"/>
    <w:rsid w:val="009A6304"/>
    <w:rsid w:val="009A63D8"/>
    <w:rsid w:val="009A657A"/>
    <w:rsid w:val="009A663C"/>
    <w:rsid w:val="009A663F"/>
    <w:rsid w:val="009A6644"/>
    <w:rsid w:val="009A6962"/>
    <w:rsid w:val="009A6A08"/>
    <w:rsid w:val="009A6C13"/>
    <w:rsid w:val="009A6E4B"/>
    <w:rsid w:val="009A6EE0"/>
    <w:rsid w:val="009A7090"/>
    <w:rsid w:val="009A7284"/>
    <w:rsid w:val="009A74D3"/>
    <w:rsid w:val="009A77CC"/>
    <w:rsid w:val="009A7A90"/>
    <w:rsid w:val="009A7ACC"/>
    <w:rsid w:val="009A7B06"/>
    <w:rsid w:val="009A7B80"/>
    <w:rsid w:val="009A7CC4"/>
    <w:rsid w:val="009B03DE"/>
    <w:rsid w:val="009B060F"/>
    <w:rsid w:val="009B1116"/>
    <w:rsid w:val="009B12D9"/>
    <w:rsid w:val="009B1991"/>
    <w:rsid w:val="009B1B34"/>
    <w:rsid w:val="009B1D3B"/>
    <w:rsid w:val="009B2917"/>
    <w:rsid w:val="009B2D2C"/>
    <w:rsid w:val="009B307F"/>
    <w:rsid w:val="009B355F"/>
    <w:rsid w:val="009B37DF"/>
    <w:rsid w:val="009B3894"/>
    <w:rsid w:val="009B39DE"/>
    <w:rsid w:val="009B3B42"/>
    <w:rsid w:val="009B3CCF"/>
    <w:rsid w:val="009B431A"/>
    <w:rsid w:val="009B4719"/>
    <w:rsid w:val="009B4804"/>
    <w:rsid w:val="009B503B"/>
    <w:rsid w:val="009B522D"/>
    <w:rsid w:val="009B5497"/>
    <w:rsid w:val="009B56FD"/>
    <w:rsid w:val="009B6155"/>
    <w:rsid w:val="009B6310"/>
    <w:rsid w:val="009B648E"/>
    <w:rsid w:val="009B64BA"/>
    <w:rsid w:val="009B6715"/>
    <w:rsid w:val="009B68F0"/>
    <w:rsid w:val="009B6930"/>
    <w:rsid w:val="009B6B65"/>
    <w:rsid w:val="009B7012"/>
    <w:rsid w:val="009B717E"/>
    <w:rsid w:val="009B72FE"/>
    <w:rsid w:val="009B73C1"/>
    <w:rsid w:val="009B749E"/>
    <w:rsid w:val="009B7733"/>
    <w:rsid w:val="009B77E0"/>
    <w:rsid w:val="009B77EE"/>
    <w:rsid w:val="009B7A33"/>
    <w:rsid w:val="009B7A81"/>
    <w:rsid w:val="009B7ADD"/>
    <w:rsid w:val="009B7B69"/>
    <w:rsid w:val="009B7C89"/>
    <w:rsid w:val="009C025C"/>
    <w:rsid w:val="009C0260"/>
    <w:rsid w:val="009C07B4"/>
    <w:rsid w:val="009C0AE0"/>
    <w:rsid w:val="009C0E55"/>
    <w:rsid w:val="009C0FEA"/>
    <w:rsid w:val="009C1162"/>
    <w:rsid w:val="009C12DC"/>
    <w:rsid w:val="009C14C7"/>
    <w:rsid w:val="009C16BD"/>
    <w:rsid w:val="009C19E8"/>
    <w:rsid w:val="009C1C3B"/>
    <w:rsid w:val="009C1CFE"/>
    <w:rsid w:val="009C1E16"/>
    <w:rsid w:val="009C1F8D"/>
    <w:rsid w:val="009C2243"/>
    <w:rsid w:val="009C2402"/>
    <w:rsid w:val="009C264A"/>
    <w:rsid w:val="009C30E1"/>
    <w:rsid w:val="009C314F"/>
    <w:rsid w:val="009C33B1"/>
    <w:rsid w:val="009C3486"/>
    <w:rsid w:val="009C39F6"/>
    <w:rsid w:val="009C3B70"/>
    <w:rsid w:val="009C419D"/>
    <w:rsid w:val="009C44CA"/>
    <w:rsid w:val="009C4547"/>
    <w:rsid w:val="009C463E"/>
    <w:rsid w:val="009C47B7"/>
    <w:rsid w:val="009C488D"/>
    <w:rsid w:val="009C4A11"/>
    <w:rsid w:val="009C4F92"/>
    <w:rsid w:val="009C519C"/>
    <w:rsid w:val="009C54E1"/>
    <w:rsid w:val="009C5A43"/>
    <w:rsid w:val="009C5AA4"/>
    <w:rsid w:val="009C5CC0"/>
    <w:rsid w:val="009C6432"/>
    <w:rsid w:val="009C6533"/>
    <w:rsid w:val="009C6E0E"/>
    <w:rsid w:val="009C730B"/>
    <w:rsid w:val="009C7982"/>
    <w:rsid w:val="009C7D08"/>
    <w:rsid w:val="009C7E29"/>
    <w:rsid w:val="009CB1FE"/>
    <w:rsid w:val="009D0262"/>
    <w:rsid w:val="009D030F"/>
    <w:rsid w:val="009D088B"/>
    <w:rsid w:val="009D089B"/>
    <w:rsid w:val="009D08F6"/>
    <w:rsid w:val="009D0A37"/>
    <w:rsid w:val="009D0B62"/>
    <w:rsid w:val="009D0C04"/>
    <w:rsid w:val="009D0E4E"/>
    <w:rsid w:val="009D0EBF"/>
    <w:rsid w:val="009D105B"/>
    <w:rsid w:val="009D1657"/>
    <w:rsid w:val="009D1766"/>
    <w:rsid w:val="009D1A45"/>
    <w:rsid w:val="009D1C01"/>
    <w:rsid w:val="009D1C96"/>
    <w:rsid w:val="009D1F89"/>
    <w:rsid w:val="009D2366"/>
    <w:rsid w:val="009D24DE"/>
    <w:rsid w:val="009D26F0"/>
    <w:rsid w:val="009D2BB4"/>
    <w:rsid w:val="009D2C22"/>
    <w:rsid w:val="009D2FCD"/>
    <w:rsid w:val="009D31C1"/>
    <w:rsid w:val="009D3B51"/>
    <w:rsid w:val="009D3BDF"/>
    <w:rsid w:val="009D3D02"/>
    <w:rsid w:val="009D4013"/>
    <w:rsid w:val="009D42D5"/>
    <w:rsid w:val="009D48C2"/>
    <w:rsid w:val="009D49B5"/>
    <w:rsid w:val="009D4A63"/>
    <w:rsid w:val="009D4BAE"/>
    <w:rsid w:val="009D4C08"/>
    <w:rsid w:val="009D4FE8"/>
    <w:rsid w:val="009D5242"/>
    <w:rsid w:val="009D54A8"/>
    <w:rsid w:val="009D58B0"/>
    <w:rsid w:val="009D5AF7"/>
    <w:rsid w:val="009D5E6F"/>
    <w:rsid w:val="009D60E7"/>
    <w:rsid w:val="009D621B"/>
    <w:rsid w:val="009D6589"/>
    <w:rsid w:val="009D65F3"/>
    <w:rsid w:val="009D6980"/>
    <w:rsid w:val="009D6B04"/>
    <w:rsid w:val="009D6E5C"/>
    <w:rsid w:val="009D6F42"/>
    <w:rsid w:val="009D76C4"/>
    <w:rsid w:val="009D796C"/>
    <w:rsid w:val="009D7BEF"/>
    <w:rsid w:val="009D7CB3"/>
    <w:rsid w:val="009D7DC1"/>
    <w:rsid w:val="009D7F07"/>
    <w:rsid w:val="009E001D"/>
    <w:rsid w:val="009E05CD"/>
    <w:rsid w:val="009E0B52"/>
    <w:rsid w:val="009E0EC4"/>
    <w:rsid w:val="009E0FDA"/>
    <w:rsid w:val="009E10F2"/>
    <w:rsid w:val="009E13F7"/>
    <w:rsid w:val="009E1554"/>
    <w:rsid w:val="009E16E4"/>
    <w:rsid w:val="009E17D7"/>
    <w:rsid w:val="009E1861"/>
    <w:rsid w:val="009E190D"/>
    <w:rsid w:val="009E1AA2"/>
    <w:rsid w:val="009E1C37"/>
    <w:rsid w:val="009E1C83"/>
    <w:rsid w:val="009E1D27"/>
    <w:rsid w:val="009E1F42"/>
    <w:rsid w:val="009E1F68"/>
    <w:rsid w:val="009E1F85"/>
    <w:rsid w:val="009E21C9"/>
    <w:rsid w:val="009E2379"/>
    <w:rsid w:val="009E2572"/>
    <w:rsid w:val="009E25F1"/>
    <w:rsid w:val="009E2B0B"/>
    <w:rsid w:val="009E2D99"/>
    <w:rsid w:val="009E389A"/>
    <w:rsid w:val="009E40C7"/>
    <w:rsid w:val="009E40D3"/>
    <w:rsid w:val="009E427C"/>
    <w:rsid w:val="009E4BB5"/>
    <w:rsid w:val="009E4DB8"/>
    <w:rsid w:val="009E4F65"/>
    <w:rsid w:val="009E50C1"/>
    <w:rsid w:val="009E50F0"/>
    <w:rsid w:val="009E51B3"/>
    <w:rsid w:val="009E5274"/>
    <w:rsid w:val="009E54A1"/>
    <w:rsid w:val="009E54BC"/>
    <w:rsid w:val="009E5503"/>
    <w:rsid w:val="009E5AD9"/>
    <w:rsid w:val="009E5EB1"/>
    <w:rsid w:val="009E6372"/>
    <w:rsid w:val="009E6418"/>
    <w:rsid w:val="009E6635"/>
    <w:rsid w:val="009E672D"/>
    <w:rsid w:val="009E682A"/>
    <w:rsid w:val="009E69AE"/>
    <w:rsid w:val="009E6A9F"/>
    <w:rsid w:val="009E6AC4"/>
    <w:rsid w:val="009E6C22"/>
    <w:rsid w:val="009E6D42"/>
    <w:rsid w:val="009E6E8E"/>
    <w:rsid w:val="009E6FFF"/>
    <w:rsid w:val="009E7030"/>
    <w:rsid w:val="009E7191"/>
    <w:rsid w:val="009E7739"/>
    <w:rsid w:val="009E779E"/>
    <w:rsid w:val="009E7C06"/>
    <w:rsid w:val="009F0E15"/>
    <w:rsid w:val="009F140C"/>
    <w:rsid w:val="009F1C87"/>
    <w:rsid w:val="009F1D39"/>
    <w:rsid w:val="009F1F3D"/>
    <w:rsid w:val="009F20B6"/>
    <w:rsid w:val="009F2360"/>
    <w:rsid w:val="009F277C"/>
    <w:rsid w:val="009F2C91"/>
    <w:rsid w:val="009F2EC6"/>
    <w:rsid w:val="009F3850"/>
    <w:rsid w:val="009F388B"/>
    <w:rsid w:val="009F38CA"/>
    <w:rsid w:val="009F4041"/>
    <w:rsid w:val="009F4115"/>
    <w:rsid w:val="009F435E"/>
    <w:rsid w:val="009F463C"/>
    <w:rsid w:val="009F4830"/>
    <w:rsid w:val="009F488D"/>
    <w:rsid w:val="009F4B0B"/>
    <w:rsid w:val="009F4C8B"/>
    <w:rsid w:val="009F4ED5"/>
    <w:rsid w:val="009F5379"/>
    <w:rsid w:val="009F58E0"/>
    <w:rsid w:val="009F5978"/>
    <w:rsid w:val="009F5B53"/>
    <w:rsid w:val="009F5F1E"/>
    <w:rsid w:val="009F6336"/>
    <w:rsid w:val="009F6513"/>
    <w:rsid w:val="009F66B5"/>
    <w:rsid w:val="009F67CA"/>
    <w:rsid w:val="009F6833"/>
    <w:rsid w:val="009F6D10"/>
    <w:rsid w:val="009F6D42"/>
    <w:rsid w:val="009F6FE2"/>
    <w:rsid w:val="009F6FE4"/>
    <w:rsid w:val="009F7134"/>
    <w:rsid w:val="009F7297"/>
    <w:rsid w:val="009F729D"/>
    <w:rsid w:val="009F7B3B"/>
    <w:rsid w:val="009F7BC4"/>
    <w:rsid w:val="009F7F67"/>
    <w:rsid w:val="00A000BD"/>
    <w:rsid w:val="00A001E1"/>
    <w:rsid w:val="00A002AB"/>
    <w:rsid w:val="00A0066B"/>
    <w:rsid w:val="00A006E0"/>
    <w:rsid w:val="00A0071D"/>
    <w:rsid w:val="00A00C96"/>
    <w:rsid w:val="00A00CD4"/>
    <w:rsid w:val="00A00F91"/>
    <w:rsid w:val="00A01094"/>
    <w:rsid w:val="00A0189A"/>
    <w:rsid w:val="00A021AD"/>
    <w:rsid w:val="00A021DE"/>
    <w:rsid w:val="00A02394"/>
    <w:rsid w:val="00A023D8"/>
    <w:rsid w:val="00A024D2"/>
    <w:rsid w:val="00A0281F"/>
    <w:rsid w:val="00A029F0"/>
    <w:rsid w:val="00A02F57"/>
    <w:rsid w:val="00A03044"/>
    <w:rsid w:val="00A03122"/>
    <w:rsid w:val="00A0323C"/>
    <w:rsid w:val="00A034CA"/>
    <w:rsid w:val="00A03607"/>
    <w:rsid w:val="00A03814"/>
    <w:rsid w:val="00A03899"/>
    <w:rsid w:val="00A038CC"/>
    <w:rsid w:val="00A04132"/>
    <w:rsid w:val="00A043D0"/>
    <w:rsid w:val="00A04549"/>
    <w:rsid w:val="00A04906"/>
    <w:rsid w:val="00A04C4D"/>
    <w:rsid w:val="00A04CD6"/>
    <w:rsid w:val="00A04D19"/>
    <w:rsid w:val="00A04F5F"/>
    <w:rsid w:val="00A04FF7"/>
    <w:rsid w:val="00A05571"/>
    <w:rsid w:val="00A056F9"/>
    <w:rsid w:val="00A05B31"/>
    <w:rsid w:val="00A05D9E"/>
    <w:rsid w:val="00A0647B"/>
    <w:rsid w:val="00A064B8"/>
    <w:rsid w:val="00A06AF5"/>
    <w:rsid w:val="00A06CB5"/>
    <w:rsid w:val="00A06FA7"/>
    <w:rsid w:val="00A06FB2"/>
    <w:rsid w:val="00A07090"/>
    <w:rsid w:val="00A073CE"/>
    <w:rsid w:val="00A0759C"/>
    <w:rsid w:val="00A076E0"/>
    <w:rsid w:val="00A07D2C"/>
    <w:rsid w:val="00A07FC0"/>
    <w:rsid w:val="00A0CCD9"/>
    <w:rsid w:val="00A106E1"/>
    <w:rsid w:val="00A10898"/>
    <w:rsid w:val="00A10A1B"/>
    <w:rsid w:val="00A10D46"/>
    <w:rsid w:val="00A10D88"/>
    <w:rsid w:val="00A10DD1"/>
    <w:rsid w:val="00A10EC5"/>
    <w:rsid w:val="00A10F3E"/>
    <w:rsid w:val="00A11145"/>
    <w:rsid w:val="00A11254"/>
    <w:rsid w:val="00A11715"/>
    <w:rsid w:val="00A118B8"/>
    <w:rsid w:val="00A11EBD"/>
    <w:rsid w:val="00A1209B"/>
    <w:rsid w:val="00A1214B"/>
    <w:rsid w:val="00A12305"/>
    <w:rsid w:val="00A12501"/>
    <w:rsid w:val="00A126FD"/>
    <w:rsid w:val="00A12AA2"/>
    <w:rsid w:val="00A12B81"/>
    <w:rsid w:val="00A12C0E"/>
    <w:rsid w:val="00A131C1"/>
    <w:rsid w:val="00A139CC"/>
    <w:rsid w:val="00A13CCF"/>
    <w:rsid w:val="00A14131"/>
    <w:rsid w:val="00A14A37"/>
    <w:rsid w:val="00A14AD7"/>
    <w:rsid w:val="00A14BAA"/>
    <w:rsid w:val="00A14BD3"/>
    <w:rsid w:val="00A14E70"/>
    <w:rsid w:val="00A14EAC"/>
    <w:rsid w:val="00A1531E"/>
    <w:rsid w:val="00A153E7"/>
    <w:rsid w:val="00A158FB"/>
    <w:rsid w:val="00A15A99"/>
    <w:rsid w:val="00A16284"/>
    <w:rsid w:val="00A167E3"/>
    <w:rsid w:val="00A16892"/>
    <w:rsid w:val="00A16898"/>
    <w:rsid w:val="00A168DD"/>
    <w:rsid w:val="00A172DC"/>
    <w:rsid w:val="00A1745F"/>
    <w:rsid w:val="00A1750E"/>
    <w:rsid w:val="00A17962"/>
    <w:rsid w:val="00A17B97"/>
    <w:rsid w:val="00A19BBF"/>
    <w:rsid w:val="00A2043E"/>
    <w:rsid w:val="00A2067A"/>
    <w:rsid w:val="00A20A29"/>
    <w:rsid w:val="00A21061"/>
    <w:rsid w:val="00A21134"/>
    <w:rsid w:val="00A2126B"/>
    <w:rsid w:val="00A21566"/>
    <w:rsid w:val="00A215F9"/>
    <w:rsid w:val="00A217CB"/>
    <w:rsid w:val="00A219CC"/>
    <w:rsid w:val="00A2271E"/>
    <w:rsid w:val="00A22BD2"/>
    <w:rsid w:val="00A22DD4"/>
    <w:rsid w:val="00A2345F"/>
    <w:rsid w:val="00A23BB3"/>
    <w:rsid w:val="00A2421B"/>
    <w:rsid w:val="00A24491"/>
    <w:rsid w:val="00A244C5"/>
    <w:rsid w:val="00A2459E"/>
    <w:rsid w:val="00A251DD"/>
    <w:rsid w:val="00A25247"/>
    <w:rsid w:val="00A25254"/>
    <w:rsid w:val="00A25568"/>
    <w:rsid w:val="00A258C2"/>
    <w:rsid w:val="00A25D84"/>
    <w:rsid w:val="00A25F0B"/>
    <w:rsid w:val="00A25FA4"/>
    <w:rsid w:val="00A263A7"/>
    <w:rsid w:val="00A26705"/>
    <w:rsid w:val="00A26A4A"/>
    <w:rsid w:val="00A26EE8"/>
    <w:rsid w:val="00A271D9"/>
    <w:rsid w:val="00A271DC"/>
    <w:rsid w:val="00A275B1"/>
    <w:rsid w:val="00A27A16"/>
    <w:rsid w:val="00A27A76"/>
    <w:rsid w:val="00A27CA2"/>
    <w:rsid w:val="00A30B08"/>
    <w:rsid w:val="00A30FA5"/>
    <w:rsid w:val="00A31044"/>
    <w:rsid w:val="00A31433"/>
    <w:rsid w:val="00A3152B"/>
    <w:rsid w:val="00A31D78"/>
    <w:rsid w:val="00A32175"/>
    <w:rsid w:val="00A32247"/>
    <w:rsid w:val="00A324C2"/>
    <w:rsid w:val="00A3250F"/>
    <w:rsid w:val="00A32730"/>
    <w:rsid w:val="00A32BD1"/>
    <w:rsid w:val="00A32C00"/>
    <w:rsid w:val="00A32FEC"/>
    <w:rsid w:val="00A333B6"/>
    <w:rsid w:val="00A3365E"/>
    <w:rsid w:val="00A336B4"/>
    <w:rsid w:val="00A33C40"/>
    <w:rsid w:val="00A33DBD"/>
    <w:rsid w:val="00A33DD4"/>
    <w:rsid w:val="00A34139"/>
    <w:rsid w:val="00A34C52"/>
    <w:rsid w:val="00A34CA5"/>
    <w:rsid w:val="00A34D21"/>
    <w:rsid w:val="00A35433"/>
    <w:rsid w:val="00A357D8"/>
    <w:rsid w:val="00A358CA"/>
    <w:rsid w:val="00A3593D"/>
    <w:rsid w:val="00A35D1C"/>
    <w:rsid w:val="00A35E76"/>
    <w:rsid w:val="00A35F57"/>
    <w:rsid w:val="00A35FAF"/>
    <w:rsid w:val="00A360F9"/>
    <w:rsid w:val="00A3626A"/>
    <w:rsid w:val="00A36A3C"/>
    <w:rsid w:val="00A36CA2"/>
    <w:rsid w:val="00A36FD3"/>
    <w:rsid w:val="00A371DF"/>
    <w:rsid w:val="00A37795"/>
    <w:rsid w:val="00A377AE"/>
    <w:rsid w:val="00A37F2A"/>
    <w:rsid w:val="00A400BA"/>
    <w:rsid w:val="00A403DD"/>
    <w:rsid w:val="00A40522"/>
    <w:rsid w:val="00A40DAC"/>
    <w:rsid w:val="00A40DBC"/>
    <w:rsid w:val="00A41344"/>
    <w:rsid w:val="00A41727"/>
    <w:rsid w:val="00A41BEF"/>
    <w:rsid w:val="00A41E6E"/>
    <w:rsid w:val="00A421D5"/>
    <w:rsid w:val="00A4240A"/>
    <w:rsid w:val="00A42456"/>
    <w:rsid w:val="00A42C33"/>
    <w:rsid w:val="00A42CF1"/>
    <w:rsid w:val="00A42D7B"/>
    <w:rsid w:val="00A42F28"/>
    <w:rsid w:val="00A43283"/>
    <w:rsid w:val="00A433CB"/>
    <w:rsid w:val="00A437EE"/>
    <w:rsid w:val="00A43BD1"/>
    <w:rsid w:val="00A43C42"/>
    <w:rsid w:val="00A44023"/>
    <w:rsid w:val="00A4449D"/>
    <w:rsid w:val="00A445EC"/>
    <w:rsid w:val="00A446B3"/>
    <w:rsid w:val="00A44872"/>
    <w:rsid w:val="00A448D2"/>
    <w:rsid w:val="00A44B92"/>
    <w:rsid w:val="00A44FC1"/>
    <w:rsid w:val="00A450AD"/>
    <w:rsid w:val="00A455CA"/>
    <w:rsid w:val="00A457E7"/>
    <w:rsid w:val="00A45892"/>
    <w:rsid w:val="00A45AAE"/>
    <w:rsid w:val="00A45E37"/>
    <w:rsid w:val="00A45FE2"/>
    <w:rsid w:val="00A460B4"/>
    <w:rsid w:val="00A46124"/>
    <w:rsid w:val="00A4663D"/>
    <w:rsid w:val="00A4666A"/>
    <w:rsid w:val="00A46B16"/>
    <w:rsid w:val="00A46C34"/>
    <w:rsid w:val="00A46C7C"/>
    <w:rsid w:val="00A475A9"/>
    <w:rsid w:val="00A47976"/>
    <w:rsid w:val="00A4797F"/>
    <w:rsid w:val="00A47A27"/>
    <w:rsid w:val="00A47B97"/>
    <w:rsid w:val="00A47BCA"/>
    <w:rsid w:val="00A47BD6"/>
    <w:rsid w:val="00A47DCA"/>
    <w:rsid w:val="00A50114"/>
    <w:rsid w:val="00A50963"/>
    <w:rsid w:val="00A50A07"/>
    <w:rsid w:val="00A50B88"/>
    <w:rsid w:val="00A50EA5"/>
    <w:rsid w:val="00A50EF0"/>
    <w:rsid w:val="00A51049"/>
    <w:rsid w:val="00A510FA"/>
    <w:rsid w:val="00A51187"/>
    <w:rsid w:val="00A512B8"/>
    <w:rsid w:val="00A5137C"/>
    <w:rsid w:val="00A516CC"/>
    <w:rsid w:val="00A518F9"/>
    <w:rsid w:val="00A51AB8"/>
    <w:rsid w:val="00A51C56"/>
    <w:rsid w:val="00A51E4A"/>
    <w:rsid w:val="00A521A1"/>
    <w:rsid w:val="00A527F7"/>
    <w:rsid w:val="00A52B26"/>
    <w:rsid w:val="00A52D1C"/>
    <w:rsid w:val="00A531A5"/>
    <w:rsid w:val="00A53232"/>
    <w:rsid w:val="00A532DE"/>
    <w:rsid w:val="00A53489"/>
    <w:rsid w:val="00A538BE"/>
    <w:rsid w:val="00A53A9F"/>
    <w:rsid w:val="00A53E61"/>
    <w:rsid w:val="00A5419F"/>
    <w:rsid w:val="00A541F6"/>
    <w:rsid w:val="00A54551"/>
    <w:rsid w:val="00A54566"/>
    <w:rsid w:val="00A546D9"/>
    <w:rsid w:val="00A5477D"/>
    <w:rsid w:val="00A548B9"/>
    <w:rsid w:val="00A54EDE"/>
    <w:rsid w:val="00A54FE2"/>
    <w:rsid w:val="00A55376"/>
    <w:rsid w:val="00A559D9"/>
    <w:rsid w:val="00A55CB4"/>
    <w:rsid w:val="00A55D0B"/>
    <w:rsid w:val="00A56004"/>
    <w:rsid w:val="00A5603E"/>
    <w:rsid w:val="00A562D8"/>
    <w:rsid w:val="00A566FD"/>
    <w:rsid w:val="00A56B5A"/>
    <w:rsid w:val="00A56BE8"/>
    <w:rsid w:val="00A56D8A"/>
    <w:rsid w:val="00A56F1A"/>
    <w:rsid w:val="00A570DB"/>
    <w:rsid w:val="00A57485"/>
    <w:rsid w:val="00A57493"/>
    <w:rsid w:val="00A5758C"/>
    <w:rsid w:val="00A57CC0"/>
    <w:rsid w:val="00A57D65"/>
    <w:rsid w:val="00A57DB2"/>
    <w:rsid w:val="00A6047E"/>
    <w:rsid w:val="00A606A2"/>
    <w:rsid w:val="00A60A09"/>
    <w:rsid w:val="00A6144A"/>
    <w:rsid w:val="00A6172D"/>
    <w:rsid w:val="00A61CB2"/>
    <w:rsid w:val="00A62966"/>
    <w:rsid w:val="00A62A45"/>
    <w:rsid w:val="00A63103"/>
    <w:rsid w:val="00A63490"/>
    <w:rsid w:val="00A635B9"/>
    <w:rsid w:val="00A63C5D"/>
    <w:rsid w:val="00A6404C"/>
    <w:rsid w:val="00A64123"/>
    <w:rsid w:val="00A64252"/>
    <w:rsid w:val="00A6432E"/>
    <w:rsid w:val="00A6436A"/>
    <w:rsid w:val="00A6490C"/>
    <w:rsid w:val="00A64A28"/>
    <w:rsid w:val="00A64A55"/>
    <w:rsid w:val="00A64B3A"/>
    <w:rsid w:val="00A64C9D"/>
    <w:rsid w:val="00A64E0D"/>
    <w:rsid w:val="00A65045"/>
    <w:rsid w:val="00A65092"/>
    <w:rsid w:val="00A650A2"/>
    <w:rsid w:val="00A655D3"/>
    <w:rsid w:val="00A656DB"/>
    <w:rsid w:val="00A6594F"/>
    <w:rsid w:val="00A65B25"/>
    <w:rsid w:val="00A66CE2"/>
    <w:rsid w:val="00A6719D"/>
    <w:rsid w:val="00A67B09"/>
    <w:rsid w:val="00A67B0B"/>
    <w:rsid w:val="00A700F9"/>
    <w:rsid w:val="00A7022A"/>
    <w:rsid w:val="00A70539"/>
    <w:rsid w:val="00A71125"/>
    <w:rsid w:val="00A714BC"/>
    <w:rsid w:val="00A717B1"/>
    <w:rsid w:val="00A7190E"/>
    <w:rsid w:val="00A71A8A"/>
    <w:rsid w:val="00A7208E"/>
    <w:rsid w:val="00A720BF"/>
    <w:rsid w:val="00A7216A"/>
    <w:rsid w:val="00A7237D"/>
    <w:rsid w:val="00A723F0"/>
    <w:rsid w:val="00A7255F"/>
    <w:rsid w:val="00A72884"/>
    <w:rsid w:val="00A72922"/>
    <w:rsid w:val="00A72B67"/>
    <w:rsid w:val="00A72CC3"/>
    <w:rsid w:val="00A7306F"/>
    <w:rsid w:val="00A736A2"/>
    <w:rsid w:val="00A737CE"/>
    <w:rsid w:val="00A738E6"/>
    <w:rsid w:val="00A73B55"/>
    <w:rsid w:val="00A73B7E"/>
    <w:rsid w:val="00A73C24"/>
    <w:rsid w:val="00A744E7"/>
    <w:rsid w:val="00A74909"/>
    <w:rsid w:val="00A74B34"/>
    <w:rsid w:val="00A74ED8"/>
    <w:rsid w:val="00A7531E"/>
    <w:rsid w:val="00A754FA"/>
    <w:rsid w:val="00A75629"/>
    <w:rsid w:val="00A756F8"/>
    <w:rsid w:val="00A7576A"/>
    <w:rsid w:val="00A75A10"/>
    <w:rsid w:val="00A75BC1"/>
    <w:rsid w:val="00A75E2A"/>
    <w:rsid w:val="00A75E6D"/>
    <w:rsid w:val="00A75E8F"/>
    <w:rsid w:val="00A75F83"/>
    <w:rsid w:val="00A76999"/>
    <w:rsid w:val="00A76A27"/>
    <w:rsid w:val="00A76F97"/>
    <w:rsid w:val="00A77056"/>
    <w:rsid w:val="00A77118"/>
    <w:rsid w:val="00A77238"/>
    <w:rsid w:val="00A8050F"/>
    <w:rsid w:val="00A805E2"/>
    <w:rsid w:val="00A8072C"/>
    <w:rsid w:val="00A80A74"/>
    <w:rsid w:val="00A80AA8"/>
    <w:rsid w:val="00A80D11"/>
    <w:rsid w:val="00A80FBD"/>
    <w:rsid w:val="00A80FF9"/>
    <w:rsid w:val="00A81494"/>
    <w:rsid w:val="00A8197E"/>
    <w:rsid w:val="00A81C1B"/>
    <w:rsid w:val="00A8200E"/>
    <w:rsid w:val="00A82040"/>
    <w:rsid w:val="00A82162"/>
    <w:rsid w:val="00A823A6"/>
    <w:rsid w:val="00A828D7"/>
    <w:rsid w:val="00A82B48"/>
    <w:rsid w:val="00A832D2"/>
    <w:rsid w:val="00A8340D"/>
    <w:rsid w:val="00A83522"/>
    <w:rsid w:val="00A8357A"/>
    <w:rsid w:val="00A839A3"/>
    <w:rsid w:val="00A83CF7"/>
    <w:rsid w:val="00A84014"/>
    <w:rsid w:val="00A84232"/>
    <w:rsid w:val="00A847AD"/>
    <w:rsid w:val="00A850C6"/>
    <w:rsid w:val="00A85284"/>
    <w:rsid w:val="00A853DA"/>
    <w:rsid w:val="00A853DC"/>
    <w:rsid w:val="00A858DF"/>
    <w:rsid w:val="00A85B69"/>
    <w:rsid w:val="00A85C36"/>
    <w:rsid w:val="00A85D7F"/>
    <w:rsid w:val="00A85E82"/>
    <w:rsid w:val="00A860AE"/>
    <w:rsid w:val="00A863EB"/>
    <w:rsid w:val="00A864FC"/>
    <w:rsid w:val="00A86538"/>
    <w:rsid w:val="00A8665D"/>
    <w:rsid w:val="00A86981"/>
    <w:rsid w:val="00A86B73"/>
    <w:rsid w:val="00A87219"/>
    <w:rsid w:val="00A87504"/>
    <w:rsid w:val="00A8759B"/>
    <w:rsid w:val="00A8798E"/>
    <w:rsid w:val="00A87B42"/>
    <w:rsid w:val="00A87B5F"/>
    <w:rsid w:val="00A904AA"/>
    <w:rsid w:val="00A906FE"/>
    <w:rsid w:val="00A907BA"/>
    <w:rsid w:val="00A90A86"/>
    <w:rsid w:val="00A90CF8"/>
    <w:rsid w:val="00A90F19"/>
    <w:rsid w:val="00A912E3"/>
    <w:rsid w:val="00A91B99"/>
    <w:rsid w:val="00A91BD7"/>
    <w:rsid w:val="00A91C34"/>
    <w:rsid w:val="00A91DDD"/>
    <w:rsid w:val="00A9209D"/>
    <w:rsid w:val="00A92241"/>
    <w:rsid w:val="00A92262"/>
    <w:rsid w:val="00A9231A"/>
    <w:rsid w:val="00A927DA"/>
    <w:rsid w:val="00A9284C"/>
    <w:rsid w:val="00A928FF"/>
    <w:rsid w:val="00A92B23"/>
    <w:rsid w:val="00A92B3C"/>
    <w:rsid w:val="00A92B72"/>
    <w:rsid w:val="00A92BBF"/>
    <w:rsid w:val="00A92D67"/>
    <w:rsid w:val="00A92D70"/>
    <w:rsid w:val="00A9357A"/>
    <w:rsid w:val="00A9415E"/>
    <w:rsid w:val="00A94167"/>
    <w:rsid w:val="00A94650"/>
    <w:rsid w:val="00A9478B"/>
    <w:rsid w:val="00A948EE"/>
    <w:rsid w:val="00A948F9"/>
    <w:rsid w:val="00A94930"/>
    <w:rsid w:val="00A94BBC"/>
    <w:rsid w:val="00A94BF9"/>
    <w:rsid w:val="00A94DC2"/>
    <w:rsid w:val="00A94E9A"/>
    <w:rsid w:val="00A95010"/>
    <w:rsid w:val="00A9522A"/>
    <w:rsid w:val="00A95251"/>
    <w:rsid w:val="00A95521"/>
    <w:rsid w:val="00A95A07"/>
    <w:rsid w:val="00A95B65"/>
    <w:rsid w:val="00A95FD5"/>
    <w:rsid w:val="00A96038"/>
    <w:rsid w:val="00A965AF"/>
    <w:rsid w:val="00A96958"/>
    <w:rsid w:val="00A9696B"/>
    <w:rsid w:val="00A96B1A"/>
    <w:rsid w:val="00A96D2E"/>
    <w:rsid w:val="00A97427"/>
    <w:rsid w:val="00A9746C"/>
    <w:rsid w:val="00A974D5"/>
    <w:rsid w:val="00A974F8"/>
    <w:rsid w:val="00A97747"/>
    <w:rsid w:val="00A97951"/>
    <w:rsid w:val="00A97B8C"/>
    <w:rsid w:val="00AA02D6"/>
    <w:rsid w:val="00AA038D"/>
    <w:rsid w:val="00AA0398"/>
    <w:rsid w:val="00AA06B2"/>
    <w:rsid w:val="00AA0BB4"/>
    <w:rsid w:val="00AA0CDC"/>
    <w:rsid w:val="00AA0D86"/>
    <w:rsid w:val="00AA10CC"/>
    <w:rsid w:val="00AA131E"/>
    <w:rsid w:val="00AA14BE"/>
    <w:rsid w:val="00AA164D"/>
    <w:rsid w:val="00AA1A25"/>
    <w:rsid w:val="00AA1EEF"/>
    <w:rsid w:val="00AA1F38"/>
    <w:rsid w:val="00AA1FC4"/>
    <w:rsid w:val="00AA22F2"/>
    <w:rsid w:val="00AA2811"/>
    <w:rsid w:val="00AA2D05"/>
    <w:rsid w:val="00AA3741"/>
    <w:rsid w:val="00AA3D02"/>
    <w:rsid w:val="00AA42D1"/>
    <w:rsid w:val="00AA4496"/>
    <w:rsid w:val="00AA44D5"/>
    <w:rsid w:val="00AA4989"/>
    <w:rsid w:val="00AA4A20"/>
    <w:rsid w:val="00AA4C2A"/>
    <w:rsid w:val="00AA53F6"/>
    <w:rsid w:val="00AA54F3"/>
    <w:rsid w:val="00AA5620"/>
    <w:rsid w:val="00AA57B2"/>
    <w:rsid w:val="00AA61C9"/>
    <w:rsid w:val="00AA61F1"/>
    <w:rsid w:val="00AA6233"/>
    <w:rsid w:val="00AA62C4"/>
    <w:rsid w:val="00AA6444"/>
    <w:rsid w:val="00AA644E"/>
    <w:rsid w:val="00AA6771"/>
    <w:rsid w:val="00AA6F52"/>
    <w:rsid w:val="00AA71FB"/>
    <w:rsid w:val="00AA720C"/>
    <w:rsid w:val="00AA72D9"/>
    <w:rsid w:val="00AA7327"/>
    <w:rsid w:val="00AA7363"/>
    <w:rsid w:val="00AA74C6"/>
    <w:rsid w:val="00AA76F9"/>
    <w:rsid w:val="00AA79B9"/>
    <w:rsid w:val="00AA7C91"/>
    <w:rsid w:val="00AA7E01"/>
    <w:rsid w:val="00AB0579"/>
    <w:rsid w:val="00AB07B6"/>
    <w:rsid w:val="00AB0E37"/>
    <w:rsid w:val="00AB102B"/>
    <w:rsid w:val="00AB11B3"/>
    <w:rsid w:val="00AB12B7"/>
    <w:rsid w:val="00AB133C"/>
    <w:rsid w:val="00AB13B0"/>
    <w:rsid w:val="00AB18E9"/>
    <w:rsid w:val="00AB2A26"/>
    <w:rsid w:val="00AB2ED3"/>
    <w:rsid w:val="00AB2F71"/>
    <w:rsid w:val="00AB31B9"/>
    <w:rsid w:val="00AB34C1"/>
    <w:rsid w:val="00AB392C"/>
    <w:rsid w:val="00AB3989"/>
    <w:rsid w:val="00AB3B76"/>
    <w:rsid w:val="00AB42EA"/>
    <w:rsid w:val="00AB43E6"/>
    <w:rsid w:val="00AB44AC"/>
    <w:rsid w:val="00AB44CF"/>
    <w:rsid w:val="00AB4F65"/>
    <w:rsid w:val="00AB504A"/>
    <w:rsid w:val="00AB5161"/>
    <w:rsid w:val="00AB5365"/>
    <w:rsid w:val="00AB55C2"/>
    <w:rsid w:val="00AB56AC"/>
    <w:rsid w:val="00AB56CA"/>
    <w:rsid w:val="00AB5981"/>
    <w:rsid w:val="00AB5C34"/>
    <w:rsid w:val="00AB5D20"/>
    <w:rsid w:val="00AB6687"/>
    <w:rsid w:val="00AB712A"/>
    <w:rsid w:val="00AB71D3"/>
    <w:rsid w:val="00AB7450"/>
    <w:rsid w:val="00AB76B6"/>
    <w:rsid w:val="00AB7989"/>
    <w:rsid w:val="00AB79E0"/>
    <w:rsid w:val="00AB7BCE"/>
    <w:rsid w:val="00AC01D3"/>
    <w:rsid w:val="00AC02C0"/>
    <w:rsid w:val="00AC085E"/>
    <w:rsid w:val="00AC08F9"/>
    <w:rsid w:val="00AC0962"/>
    <w:rsid w:val="00AC09DF"/>
    <w:rsid w:val="00AC0F2D"/>
    <w:rsid w:val="00AC100D"/>
    <w:rsid w:val="00AC14EB"/>
    <w:rsid w:val="00AC2163"/>
    <w:rsid w:val="00AC21FB"/>
    <w:rsid w:val="00AC2321"/>
    <w:rsid w:val="00AC2881"/>
    <w:rsid w:val="00AC2ACE"/>
    <w:rsid w:val="00AC2B50"/>
    <w:rsid w:val="00AC2E64"/>
    <w:rsid w:val="00AC3306"/>
    <w:rsid w:val="00AC33FC"/>
    <w:rsid w:val="00AC3F56"/>
    <w:rsid w:val="00AC42AC"/>
    <w:rsid w:val="00AC49CE"/>
    <w:rsid w:val="00AC4E19"/>
    <w:rsid w:val="00AC5369"/>
    <w:rsid w:val="00AC5849"/>
    <w:rsid w:val="00AC584D"/>
    <w:rsid w:val="00AC5DD5"/>
    <w:rsid w:val="00AC5E76"/>
    <w:rsid w:val="00AC61B9"/>
    <w:rsid w:val="00AC6396"/>
    <w:rsid w:val="00AC68F2"/>
    <w:rsid w:val="00AC698D"/>
    <w:rsid w:val="00AC6A03"/>
    <w:rsid w:val="00AC6D17"/>
    <w:rsid w:val="00AC739D"/>
    <w:rsid w:val="00AC779C"/>
    <w:rsid w:val="00AC783D"/>
    <w:rsid w:val="00AC7A6D"/>
    <w:rsid w:val="00AC7E37"/>
    <w:rsid w:val="00AD04E9"/>
    <w:rsid w:val="00AD08E2"/>
    <w:rsid w:val="00AD0CCF"/>
    <w:rsid w:val="00AD0E0F"/>
    <w:rsid w:val="00AD0F51"/>
    <w:rsid w:val="00AD107E"/>
    <w:rsid w:val="00AD16B6"/>
    <w:rsid w:val="00AD17A3"/>
    <w:rsid w:val="00AD1975"/>
    <w:rsid w:val="00AD1A3A"/>
    <w:rsid w:val="00AD2258"/>
    <w:rsid w:val="00AD2487"/>
    <w:rsid w:val="00AD27A4"/>
    <w:rsid w:val="00AD297F"/>
    <w:rsid w:val="00AD29C7"/>
    <w:rsid w:val="00AD2FFD"/>
    <w:rsid w:val="00AD301D"/>
    <w:rsid w:val="00AD38D1"/>
    <w:rsid w:val="00AD3DF3"/>
    <w:rsid w:val="00AD433E"/>
    <w:rsid w:val="00AD45E4"/>
    <w:rsid w:val="00AD4716"/>
    <w:rsid w:val="00AD5417"/>
    <w:rsid w:val="00AD548F"/>
    <w:rsid w:val="00AD5608"/>
    <w:rsid w:val="00AD5609"/>
    <w:rsid w:val="00AD58BC"/>
    <w:rsid w:val="00AD5A00"/>
    <w:rsid w:val="00AD5B79"/>
    <w:rsid w:val="00AD5CF8"/>
    <w:rsid w:val="00AD5E34"/>
    <w:rsid w:val="00AD658E"/>
    <w:rsid w:val="00AD661C"/>
    <w:rsid w:val="00AD66B8"/>
    <w:rsid w:val="00AD67A1"/>
    <w:rsid w:val="00AD6D19"/>
    <w:rsid w:val="00AD71C9"/>
    <w:rsid w:val="00AD741F"/>
    <w:rsid w:val="00AD75BA"/>
    <w:rsid w:val="00AE0352"/>
    <w:rsid w:val="00AE049A"/>
    <w:rsid w:val="00AE0712"/>
    <w:rsid w:val="00AE080A"/>
    <w:rsid w:val="00AE08D9"/>
    <w:rsid w:val="00AE0BE6"/>
    <w:rsid w:val="00AE0BF4"/>
    <w:rsid w:val="00AE0F31"/>
    <w:rsid w:val="00AE10DE"/>
    <w:rsid w:val="00AE1242"/>
    <w:rsid w:val="00AE1707"/>
    <w:rsid w:val="00AE1B8A"/>
    <w:rsid w:val="00AE1BAC"/>
    <w:rsid w:val="00AE1C36"/>
    <w:rsid w:val="00AE1C3F"/>
    <w:rsid w:val="00AE1F1A"/>
    <w:rsid w:val="00AE24E8"/>
    <w:rsid w:val="00AE2B59"/>
    <w:rsid w:val="00AE2FD2"/>
    <w:rsid w:val="00AE3012"/>
    <w:rsid w:val="00AE33F6"/>
    <w:rsid w:val="00AE44F6"/>
    <w:rsid w:val="00AE45FF"/>
    <w:rsid w:val="00AE4CB6"/>
    <w:rsid w:val="00AE4EC8"/>
    <w:rsid w:val="00AE4F08"/>
    <w:rsid w:val="00AE4F0E"/>
    <w:rsid w:val="00AE59B9"/>
    <w:rsid w:val="00AE5B0D"/>
    <w:rsid w:val="00AE5B3B"/>
    <w:rsid w:val="00AE5B46"/>
    <w:rsid w:val="00AE5F33"/>
    <w:rsid w:val="00AE6060"/>
    <w:rsid w:val="00AE61A0"/>
    <w:rsid w:val="00AE6343"/>
    <w:rsid w:val="00AE65CB"/>
    <w:rsid w:val="00AE6F12"/>
    <w:rsid w:val="00AE7064"/>
    <w:rsid w:val="00AE7197"/>
    <w:rsid w:val="00AE7477"/>
    <w:rsid w:val="00AE74BD"/>
    <w:rsid w:val="00AE776A"/>
    <w:rsid w:val="00AE78B9"/>
    <w:rsid w:val="00AE7AFF"/>
    <w:rsid w:val="00AE7F62"/>
    <w:rsid w:val="00AF0023"/>
    <w:rsid w:val="00AF0520"/>
    <w:rsid w:val="00AF0A23"/>
    <w:rsid w:val="00AF0D0D"/>
    <w:rsid w:val="00AF0E38"/>
    <w:rsid w:val="00AF0F8E"/>
    <w:rsid w:val="00AF1190"/>
    <w:rsid w:val="00AF1284"/>
    <w:rsid w:val="00AF16D5"/>
    <w:rsid w:val="00AF1792"/>
    <w:rsid w:val="00AF1AFC"/>
    <w:rsid w:val="00AF1B87"/>
    <w:rsid w:val="00AF208E"/>
    <w:rsid w:val="00AF2104"/>
    <w:rsid w:val="00AF2F93"/>
    <w:rsid w:val="00AF3281"/>
    <w:rsid w:val="00AF38A5"/>
    <w:rsid w:val="00AF3C66"/>
    <w:rsid w:val="00AF443D"/>
    <w:rsid w:val="00AF4491"/>
    <w:rsid w:val="00AF464E"/>
    <w:rsid w:val="00AF4713"/>
    <w:rsid w:val="00AF48E1"/>
    <w:rsid w:val="00AF4CB2"/>
    <w:rsid w:val="00AF5860"/>
    <w:rsid w:val="00AF5986"/>
    <w:rsid w:val="00AF59BF"/>
    <w:rsid w:val="00AF59FC"/>
    <w:rsid w:val="00AF5C45"/>
    <w:rsid w:val="00AF60A3"/>
    <w:rsid w:val="00AF6140"/>
    <w:rsid w:val="00AF6A2A"/>
    <w:rsid w:val="00AF6B98"/>
    <w:rsid w:val="00AF6C17"/>
    <w:rsid w:val="00AF6CAE"/>
    <w:rsid w:val="00AF7082"/>
    <w:rsid w:val="00AF70A4"/>
    <w:rsid w:val="00AF770C"/>
    <w:rsid w:val="00AF7740"/>
    <w:rsid w:val="00AF7A61"/>
    <w:rsid w:val="00AF7EFF"/>
    <w:rsid w:val="00B0006C"/>
    <w:rsid w:val="00B002DD"/>
    <w:rsid w:val="00B0047F"/>
    <w:rsid w:val="00B004A7"/>
    <w:rsid w:val="00B00529"/>
    <w:rsid w:val="00B00768"/>
    <w:rsid w:val="00B00AC2"/>
    <w:rsid w:val="00B00D4C"/>
    <w:rsid w:val="00B00EAB"/>
    <w:rsid w:val="00B012EA"/>
    <w:rsid w:val="00B0142C"/>
    <w:rsid w:val="00B0147C"/>
    <w:rsid w:val="00B01700"/>
    <w:rsid w:val="00B01E0F"/>
    <w:rsid w:val="00B02325"/>
    <w:rsid w:val="00B02B51"/>
    <w:rsid w:val="00B0309C"/>
    <w:rsid w:val="00B030C9"/>
    <w:rsid w:val="00B03144"/>
    <w:rsid w:val="00B0314C"/>
    <w:rsid w:val="00B03458"/>
    <w:rsid w:val="00B03843"/>
    <w:rsid w:val="00B045BF"/>
    <w:rsid w:val="00B04967"/>
    <w:rsid w:val="00B04C0E"/>
    <w:rsid w:val="00B051EC"/>
    <w:rsid w:val="00B05305"/>
    <w:rsid w:val="00B06014"/>
    <w:rsid w:val="00B06182"/>
    <w:rsid w:val="00B06230"/>
    <w:rsid w:val="00B06259"/>
    <w:rsid w:val="00B06C39"/>
    <w:rsid w:val="00B06DDD"/>
    <w:rsid w:val="00B07072"/>
    <w:rsid w:val="00B07118"/>
    <w:rsid w:val="00B0786F"/>
    <w:rsid w:val="00B078BA"/>
    <w:rsid w:val="00B07B1D"/>
    <w:rsid w:val="00B07C00"/>
    <w:rsid w:val="00B07D60"/>
    <w:rsid w:val="00B07D70"/>
    <w:rsid w:val="00B10598"/>
    <w:rsid w:val="00B10894"/>
    <w:rsid w:val="00B108E1"/>
    <w:rsid w:val="00B10A63"/>
    <w:rsid w:val="00B10B8D"/>
    <w:rsid w:val="00B10CB5"/>
    <w:rsid w:val="00B1103E"/>
    <w:rsid w:val="00B11C5F"/>
    <w:rsid w:val="00B121C8"/>
    <w:rsid w:val="00B124CA"/>
    <w:rsid w:val="00B12653"/>
    <w:rsid w:val="00B12A33"/>
    <w:rsid w:val="00B12B51"/>
    <w:rsid w:val="00B12EC1"/>
    <w:rsid w:val="00B1316A"/>
    <w:rsid w:val="00B13179"/>
    <w:rsid w:val="00B131AE"/>
    <w:rsid w:val="00B13359"/>
    <w:rsid w:val="00B13451"/>
    <w:rsid w:val="00B13735"/>
    <w:rsid w:val="00B13B56"/>
    <w:rsid w:val="00B13DEA"/>
    <w:rsid w:val="00B13E24"/>
    <w:rsid w:val="00B13EE4"/>
    <w:rsid w:val="00B14B6D"/>
    <w:rsid w:val="00B14BDB"/>
    <w:rsid w:val="00B14FA2"/>
    <w:rsid w:val="00B1563E"/>
    <w:rsid w:val="00B159FA"/>
    <w:rsid w:val="00B15B12"/>
    <w:rsid w:val="00B15BC3"/>
    <w:rsid w:val="00B15C55"/>
    <w:rsid w:val="00B15FC3"/>
    <w:rsid w:val="00B16349"/>
    <w:rsid w:val="00B163F3"/>
    <w:rsid w:val="00B163F4"/>
    <w:rsid w:val="00B16712"/>
    <w:rsid w:val="00B16D92"/>
    <w:rsid w:val="00B17877"/>
    <w:rsid w:val="00B17E91"/>
    <w:rsid w:val="00B2007C"/>
    <w:rsid w:val="00B201B5"/>
    <w:rsid w:val="00B203CF"/>
    <w:rsid w:val="00B207B3"/>
    <w:rsid w:val="00B2133A"/>
    <w:rsid w:val="00B21637"/>
    <w:rsid w:val="00B21639"/>
    <w:rsid w:val="00B21938"/>
    <w:rsid w:val="00B224FA"/>
    <w:rsid w:val="00B227F2"/>
    <w:rsid w:val="00B2285D"/>
    <w:rsid w:val="00B22A96"/>
    <w:rsid w:val="00B22D66"/>
    <w:rsid w:val="00B22E0B"/>
    <w:rsid w:val="00B2342D"/>
    <w:rsid w:val="00B2369A"/>
    <w:rsid w:val="00B2370D"/>
    <w:rsid w:val="00B23A6D"/>
    <w:rsid w:val="00B23B58"/>
    <w:rsid w:val="00B23CC7"/>
    <w:rsid w:val="00B2416E"/>
    <w:rsid w:val="00B243B5"/>
    <w:rsid w:val="00B24569"/>
    <w:rsid w:val="00B245CE"/>
    <w:rsid w:val="00B24FBE"/>
    <w:rsid w:val="00B2516D"/>
    <w:rsid w:val="00B258BA"/>
    <w:rsid w:val="00B258E0"/>
    <w:rsid w:val="00B25953"/>
    <w:rsid w:val="00B25C93"/>
    <w:rsid w:val="00B25D4A"/>
    <w:rsid w:val="00B25DB9"/>
    <w:rsid w:val="00B25F8A"/>
    <w:rsid w:val="00B26561"/>
    <w:rsid w:val="00B2665A"/>
    <w:rsid w:val="00B26DDE"/>
    <w:rsid w:val="00B2703F"/>
    <w:rsid w:val="00B270E1"/>
    <w:rsid w:val="00B271AF"/>
    <w:rsid w:val="00B27242"/>
    <w:rsid w:val="00B27483"/>
    <w:rsid w:val="00B2783E"/>
    <w:rsid w:val="00B2784A"/>
    <w:rsid w:val="00B27B72"/>
    <w:rsid w:val="00B27D80"/>
    <w:rsid w:val="00B27EFB"/>
    <w:rsid w:val="00B27FFB"/>
    <w:rsid w:val="00B30278"/>
    <w:rsid w:val="00B31104"/>
    <w:rsid w:val="00B31202"/>
    <w:rsid w:val="00B315C8"/>
    <w:rsid w:val="00B318FD"/>
    <w:rsid w:val="00B31F2C"/>
    <w:rsid w:val="00B3236B"/>
    <w:rsid w:val="00B323D1"/>
    <w:rsid w:val="00B329C5"/>
    <w:rsid w:val="00B32B7B"/>
    <w:rsid w:val="00B32D52"/>
    <w:rsid w:val="00B32D5A"/>
    <w:rsid w:val="00B32F59"/>
    <w:rsid w:val="00B3329A"/>
    <w:rsid w:val="00B3335F"/>
    <w:rsid w:val="00B3393E"/>
    <w:rsid w:val="00B33CB5"/>
    <w:rsid w:val="00B34A24"/>
    <w:rsid w:val="00B34B8A"/>
    <w:rsid w:val="00B34D14"/>
    <w:rsid w:val="00B34E7A"/>
    <w:rsid w:val="00B354CF"/>
    <w:rsid w:val="00B3574D"/>
    <w:rsid w:val="00B35E45"/>
    <w:rsid w:val="00B36327"/>
    <w:rsid w:val="00B364A9"/>
    <w:rsid w:val="00B3670F"/>
    <w:rsid w:val="00B36AA8"/>
    <w:rsid w:val="00B36DEE"/>
    <w:rsid w:val="00B3702C"/>
    <w:rsid w:val="00B376F1"/>
    <w:rsid w:val="00B37854"/>
    <w:rsid w:val="00B37993"/>
    <w:rsid w:val="00B37E32"/>
    <w:rsid w:val="00B402E5"/>
    <w:rsid w:val="00B406C3"/>
    <w:rsid w:val="00B40894"/>
    <w:rsid w:val="00B40E08"/>
    <w:rsid w:val="00B40FFA"/>
    <w:rsid w:val="00B415E0"/>
    <w:rsid w:val="00B41AB0"/>
    <w:rsid w:val="00B422C9"/>
    <w:rsid w:val="00B4238F"/>
    <w:rsid w:val="00B425EF"/>
    <w:rsid w:val="00B4290B"/>
    <w:rsid w:val="00B42C3A"/>
    <w:rsid w:val="00B42E63"/>
    <w:rsid w:val="00B42FD7"/>
    <w:rsid w:val="00B43110"/>
    <w:rsid w:val="00B431C2"/>
    <w:rsid w:val="00B43209"/>
    <w:rsid w:val="00B4324D"/>
    <w:rsid w:val="00B43314"/>
    <w:rsid w:val="00B43338"/>
    <w:rsid w:val="00B43C1F"/>
    <w:rsid w:val="00B441B8"/>
    <w:rsid w:val="00B446AA"/>
    <w:rsid w:val="00B447A6"/>
    <w:rsid w:val="00B44890"/>
    <w:rsid w:val="00B449F7"/>
    <w:rsid w:val="00B44C0A"/>
    <w:rsid w:val="00B44CD3"/>
    <w:rsid w:val="00B4510E"/>
    <w:rsid w:val="00B45864"/>
    <w:rsid w:val="00B4596E"/>
    <w:rsid w:val="00B45C0C"/>
    <w:rsid w:val="00B45E28"/>
    <w:rsid w:val="00B45EE2"/>
    <w:rsid w:val="00B45F0B"/>
    <w:rsid w:val="00B45FD6"/>
    <w:rsid w:val="00B4628A"/>
    <w:rsid w:val="00B4628E"/>
    <w:rsid w:val="00B463CC"/>
    <w:rsid w:val="00B46657"/>
    <w:rsid w:val="00B4694E"/>
    <w:rsid w:val="00B46C12"/>
    <w:rsid w:val="00B46E11"/>
    <w:rsid w:val="00B477E8"/>
    <w:rsid w:val="00B479C0"/>
    <w:rsid w:val="00B479D1"/>
    <w:rsid w:val="00B47D16"/>
    <w:rsid w:val="00B5045C"/>
    <w:rsid w:val="00B504C4"/>
    <w:rsid w:val="00B50748"/>
    <w:rsid w:val="00B50E9D"/>
    <w:rsid w:val="00B510A8"/>
    <w:rsid w:val="00B517A6"/>
    <w:rsid w:val="00B517FD"/>
    <w:rsid w:val="00B51959"/>
    <w:rsid w:val="00B51A5C"/>
    <w:rsid w:val="00B51BDF"/>
    <w:rsid w:val="00B52085"/>
    <w:rsid w:val="00B522CB"/>
    <w:rsid w:val="00B523C5"/>
    <w:rsid w:val="00B5248F"/>
    <w:rsid w:val="00B52A31"/>
    <w:rsid w:val="00B52CCB"/>
    <w:rsid w:val="00B52CD3"/>
    <w:rsid w:val="00B52DB4"/>
    <w:rsid w:val="00B52DFC"/>
    <w:rsid w:val="00B52E66"/>
    <w:rsid w:val="00B530C8"/>
    <w:rsid w:val="00B530FA"/>
    <w:rsid w:val="00B53110"/>
    <w:rsid w:val="00B53241"/>
    <w:rsid w:val="00B53618"/>
    <w:rsid w:val="00B5429A"/>
    <w:rsid w:val="00B5458F"/>
    <w:rsid w:val="00B5469B"/>
    <w:rsid w:val="00B54A04"/>
    <w:rsid w:val="00B54A6A"/>
    <w:rsid w:val="00B54AC0"/>
    <w:rsid w:val="00B54BF7"/>
    <w:rsid w:val="00B555CF"/>
    <w:rsid w:val="00B55684"/>
    <w:rsid w:val="00B560C1"/>
    <w:rsid w:val="00B561A1"/>
    <w:rsid w:val="00B566C7"/>
    <w:rsid w:val="00B56D29"/>
    <w:rsid w:val="00B56D80"/>
    <w:rsid w:val="00B5793E"/>
    <w:rsid w:val="00B57D16"/>
    <w:rsid w:val="00B57F99"/>
    <w:rsid w:val="00B605CF"/>
    <w:rsid w:val="00B6075E"/>
    <w:rsid w:val="00B612E2"/>
    <w:rsid w:val="00B6156E"/>
    <w:rsid w:val="00B619B7"/>
    <w:rsid w:val="00B619D8"/>
    <w:rsid w:val="00B61BF6"/>
    <w:rsid w:val="00B61D29"/>
    <w:rsid w:val="00B6207D"/>
    <w:rsid w:val="00B624DD"/>
    <w:rsid w:val="00B626F1"/>
    <w:rsid w:val="00B6274D"/>
    <w:rsid w:val="00B628CE"/>
    <w:rsid w:val="00B62E2E"/>
    <w:rsid w:val="00B6308F"/>
    <w:rsid w:val="00B63459"/>
    <w:rsid w:val="00B635D1"/>
    <w:rsid w:val="00B637A4"/>
    <w:rsid w:val="00B63C44"/>
    <w:rsid w:val="00B643BD"/>
    <w:rsid w:val="00B646DC"/>
    <w:rsid w:val="00B647DF"/>
    <w:rsid w:val="00B64A2E"/>
    <w:rsid w:val="00B64AA1"/>
    <w:rsid w:val="00B6507B"/>
    <w:rsid w:val="00B651EB"/>
    <w:rsid w:val="00B65281"/>
    <w:rsid w:val="00B65EA5"/>
    <w:rsid w:val="00B65EC1"/>
    <w:rsid w:val="00B660F8"/>
    <w:rsid w:val="00B66290"/>
    <w:rsid w:val="00B666A9"/>
    <w:rsid w:val="00B66A40"/>
    <w:rsid w:val="00B6709A"/>
    <w:rsid w:val="00B67210"/>
    <w:rsid w:val="00B675C3"/>
    <w:rsid w:val="00B677CC"/>
    <w:rsid w:val="00B67BDC"/>
    <w:rsid w:val="00B67E97"/>
    <w:rsid w:val="00B702D7"/>
    <w:rsid w:val="00B703B3"/>
    <w:rsid w:val="00B703FF"/>
    <w:rsid w:val="00B7044C"/>
    <w:rsid w:val="00B70450"/>
    <w:rsid w:val="00B70463"/>
    <w:rsid w:val="00B704D9"/>
    <w:rsid w:val="00B70FEC"/>
    <w:rsid w:val="00B71422"/>
    <w:rsid w:val="00B71872"/>
    <w:rsid w:val="00B71D54"/>
    <w:rsid w:val="00B71E07"/>
    <w:rsid w:val="00B71E24"/>
    <w:rsid w:val="00B71E27"/>
    <w:rsid w:val="00B72317"/>
    <w:rsid w:val="00B72342"/>
    <w:rsid w:val="00B72363"/>
    <w:rsid w:val="00B72850"/>
    <w:rsid w:val="00B72D0C"/>
    <w:rsid w:val="00B730EA"/>
    <w:rsid w:val="00B731DA"/>
    <w:rsid w:val="00B731DD"/>
    <w:rsid w:val="00B7344B"/>
    <w:rsid w:val="00B73753"/>
    <w:rsid w:val="00B73DF5"/>
    <w:rsid w:val="00B7424F"/>
    <w:rsid w:val="00B743B0"/>
    <w:rsid w:val="00B74831"/>
    <w:rsid w:val="00B74BA1"/>
    <w:rsid w:val="00B75AD2"/>
    <w:rsid w:val="00B75B98"/>
    <w:rsid w:val="00B75C26"/>
    <w:rsid w:val="00B75CC3"/>
    <w:rsid w:val="00B767B2"/>
    <w:rsid w:val="00B76871"/>
    <w:rsid w:val="00B76B9F"/>
    <w:rsid w:val="00B770CC"/>
    <w:rsid w:val="00B77121"/>
    <w:rsid w:val="00B77339"/>
    <w:rsid w:val="00B77392"/>
    <w:rsid w:val="00B7777E"/>
    <w:rsid w:val="00B777B1"/>
    <w:rsid w:val="00B77967"/>
    <w:rsid w:val="00B77B2D"/>
    <w:rsid w:val="00B77BCD"/>
    <w:rsid w:val="00B77DE3"/>
    <w:rsid w:val="00B77EEB"/>
    <w:rsid w:val="00B77FE4"/>
    <w:rsid w:val="00B80385"/>
    <w:rsid w:val="00B80576"/>
    <w:rsid w:val="00B8095B"/>
    <w:rsid w:val="00B80CFB"/>
    <w:rsid w:val="00B80DDF"/>
    <w:rsid w:val="00B80FB9"/>
    <w:rsid w:val="00B8112F"/>
    <w:rsid w:val="00B81414"/>
    <w:rsid w:val="00B81453"/>
    <w:rsid w:val="00B8145C"/>
    <w:rsid w:val="00B81693"/>
    <w:rsid w:val="00B81707"/>
    <w:rsid w:val="00B82059"/>
    <w:rsid w:val="00B82797"/>
    <w:rsid w:val="00B8289A"/>
    <w:rsid w:val="00B82992"/>
    <w:rsid w:val="00B82A75"/>
    <w:rsid w:val="00B82E99"/>
    <w:rsid w:val="00B8306F"/>
    <w:rsid w:val="00B830D4"/>
    <w:rsid w:val="00B83402"/>
    <w:rsid w:val="00B8362A"/>
    <w:rsid w:val="00B8385F"/>
    <w:rsid w:val="00B83B9F"/>
    <w:rsid w:val="00B83FF0"/>
    <w:rsid w:val="00B84169"/>
    <w:rsid w:val="00B845C2"/>
    <w:rsid w:val="00B848BB"/>
    <w:rsid w:val="00B84AF2"/>
    <w:rsid w:val="00B84BC3"/>
    <w:rsid w:val="00B84E68"/>
    <w:rsid w:val="00B853D4"/>
    <w:rsid w:val="00B856B3"/>
    <w:rsid w:val="00B85C1C"/>
    <w:rsid w:val="00B85DCB"/>
    <w:rsid w:val="00B86578"/>
    <w:rsid w:val="00B86B25"/>
    <w:rsid w:val="00B86B70"/>
    <w:rsid w:val="00B86EBB"/>
    <w:rsid w:val="00B86FB3"/>
    <w:rsid w:val="00B87277"/>
    <w:rsid w:val="00B872BE"/>
    <w:rsid w:val="00B87477"/>
    <w:rsid w:val="00B87A37"/>
    <w:rsid w:val="00B87C50"/>
    <w:rsid w:val="00B903E0"/>
    <w:rsid w:val="00B908F4"/>
    <w:rsid w:val="00B90BC6"/>
    <w:rsid w:val="00B90D9E"/>
    <w:rsid w:val="00B91276"/>
    <w:rsid w:val="00B91349"/>
    <w:rsid w:val="00B91569"/>
    <w:rsid w:val="00B92398"/>
    <w:rsid w:val="00B92787"/>
    <w:rsid w:val="00B9279D"/>
    <w:rsid w:val="00B9279E"/>
    <w:rsid w:val="00B9290B"/>
    <w:rsid w:val="00B92981"/>
    <w:rsid w:val="00B92A3B"/>
    <w:rsid w:val="00B93176"/>
    <w:rsid w:val="00B93537"/>
    <w:rsid w:val="00B938CA"/>
    <w:rsid w:val="00B94AB9"/>
    <w:rsid w:val="00B94B00"/>
    <w:rsid w:val="00B94BED"/>
    <w:rsid w:val="00B94C04"/>
    <w:rsid w:val="00B94FD6"/>
    <w:rsid w:val="00B9592F"/>
    <w:rsid w:val="00B95AD1"/>
    <w:rsid w:val="00B962C1"/>
    <w:rsid w:val="00B964F0"/>
    <w:rsid w:val="00B9679C"/>
    <w:rsid w:val="00B96CB3"/>
    <w:rsid w:val="00B97510"/>
    <w:rsid w:val="00B97734"/>
    <w:rsid w:val="00B9794B"/>
    <w:rsid w:val="00B97D2A"/>
    <w:rsid w:val="00BA02D0"/>
    <w:rsid w:val="00BA0451"/>
    <w:rsid w:val="00BA068B"/>
    <w:rsid w:val="00BA09D6"/>
    <w:rsid w:val="00BA0A69"/>
    <w:rsid w:val="00BA0B1B"/>
    <w:rsid w:val="00BA0F7E"/>
    <w:rsid w:val="00BA10A0"/>
    <w:rsid w:val="00BA1759"/>
    <w:rsid w:val="00BA1834"/>
    <w:rsid w:val="00BA1CC6"/>
    <w:rsid w:val="00BA1CEF"/>
    <w:rsid w:val="00BA1D5A"/>
    <w:rsid w:val="00BA222D"/>
    <w:rsid w:val="00BA2707"/>
    <w:rsid w:val="00BA27B7"/>
    <w:rsid w:val="00BA29C5"/>
    <w:rsid w:val="00BA3228"/>
    <w:rsid w:val="00BA3559"/>
    <w:rsid w:val="00BA3D57"/>
    <w:rsid w:val="00BA40A4"/>
    <w:rsid w:val="00BA4A82"/>
    <w:rsid w:val="00BA4AEA"/>
    <w:rsid w:val="00BA5256"/>
    <w:rsid w:val="00BA5794"/>
    <w:rsid w:val="00BA57F0"/>
    <w:rsid w:val="00BA5DF4"/>
    <w:rsid w:val="00BA5EF7"/>
    <w:rsid w:val="00BA670B"/>
    <w:rsid w:val="00BA6D6E"/>
    <w:rsid w:val="00BA72F2"/>
    <w:rsid w:val="00BA739B"/>
    <w:rsid w:val="00BA76EA"/>
    <w:rsid w:val="00BA7942"/>
    <w:rsid w:val="00BA7D1B"/>
    <w:rsid w:val="00BB0153"/>
    <w:rsid w:val="00BB0460"/>
    <w:rsid w:val="00BB0E1C"/>
    <w:rsid w:val="00BB0EF5"/>
    <w:rsid w:val="00BB0F89"/>
    <w:rsid w:val="00BB15C4"/>
    <w:rsid w:val="00BB15C5"/>
    <w:rsid w:val="00BB191A"/>
    <w:rsid w:val="00BB1CBE"/>
    <w:rsid w:val="00BB2611"/>
    <w:rsid w:val="00BB2741"/>
    <w:rsid w:val="00BB2882"/>
    <w:rsid w:val="00BB2ADE"/>
    <w:rsid w:val="00BB30C1"/>
    <w:rsid w:val="00BB3408"/>
    <w:rsid w:val="00BB343F"/>
    <w:rsid w:val="00BB3949"/>
    <w:rsid w:val="00BB3B49"/>
    <w:rsid w:val="00BB4093"/>
    <w:rsid w:val="00BB442C"/>
    <w:rsid w:val="00BB481B"/>
    <w:rsid w:val="00BB4EB3"/>
    <w:rsid w:val="00BB4FA4"/>
    <w:rsid w:val="00BB544E"/>
    <w:rsid w:val="00BB5532"/>
    <w:rsid w:val="00BB55F5"/>
    <w:rsid w:val="00BB575F"/>
    <w:rsid w:val="00BB57E9"/>
    <w:rsid w:val="00BB59F1"/>
    <w:rsid w:val="00BB5E08"/>
    <w:rsid w:val="00BB5F45"/>
    <w:rsid w:val="00BB62D8"/>
    <w:rsid w:val="00BB633F"/>
    <w:rsid w:val="00BB646F"/>
    <w:rsid w:val="00BB6C5E"/>
    <w:rsid w:val="00BB7048"/>
    <w:rsid w:val="00BB7B18"/>
    <w:rsid w:val="00BC00F4"/>
    <w:rsid w:val="00BC054A"/>
    <w:rsid w:val="00BC06ED"/>
    <w:rsid w:val="00BC0719"/>
    <w:rsid w:val="00BC0BFF"/>
    <w:rsid w:val="00BC12DF"/>
    <w:rsid w:val="00BC13A4"/>
    <w:rsid w:val="00BC14D1"/>
    <w:rsid w:val="00BC1833"/>
    <w:rsid w:val="00BC2030"/>
    <w:rsid w:val="00BC2099"/>
    <w:rsid w:val="00BC20C7"/>
    <w:rsid w:val="00BC228E"/>
    <w:rsid w:val="00BC277B"/>
    <w:rsid w:val="00BC29C7"/>
    <w:rsid w:val="00BC2B02"/>
    <w:rsid w:val="00BC2E2D"/>
    <w:rsid w:val="00BC3349"/>
    <w:rsid w:val="00BC33C7"/>
    <w:rsid w:val="00BC358F"/>
    <w:rsid w:val="00BC3A3D"/>
    <w:rsid w:val="00BC3D53"/>
    <w:rsid w:val="00BC3FD7"/>
    <w:rsid w:val="00BC406A"/>
    <w:rsid w:val="00BC4296"/>
    <w:rsid w:val="00BC4339"/>
    <w:rsid w:val="00BC4605"/>
    <w:rsid w:val="00BC4DC3"/>
    <w:rsid w:val="00BC54E8"/>
    <w:rsid w:val="00BC5589"/>
    <w:rsid w:val="00BC5992"/>
    <w:rsid w:val="00BC5D8F"/>
    <w:rsid w:val="00BC5E0F"/>
    <w:rsid w:val="00BC5E89"/>
    <w:rsid w:val="00BC6324"/>
    <w:rsid w:val="00BC6361"/>
    <w:rsid w:val="00BC6658"/>
    <w:rsid w:val="00BC7230"/>
    <w:rsid w:val="00BC72CA"/>
    <w:rsid w:val="00BC7790"/>
    <w:rsid w:val="00BC791B"/>
    <w:rsid w:val="00BC7C1B"/>
    <w:rsid w:val="00BC7E73"/>
    <w:rsid w:val="00BD00F3"/>
    <w:rsid w:val="00BD0655"/>
    <w:rsid w:val="00BD0A63"/>
    <w:rsid w:val="00BD0A8B"/>
    <w:rsid w:val="00BD0F17"/>
    <w:rsid w:val="00BD0F33"/>
    <w:rsid w:val="00BD1140"/>
    <w:rsid w:val="00BD11DF"/>
    <w:rsid w:val="00BD14A2"/>
    <w:rsid w:val="00BD15D5"/>
    <w:rsid w:val="00BD1966"/>
    <w:rsid w:val="00BD1B47"/>
    <w:rsid w:val="00BD1C5B"/>
    <w:rsid w:val="00BD1CCE"/>
    <w:rsid w:val="00BD1EFF"/>
    <w:rsid w:val="00BD2750"/>
    <w:rsid w:val="00BD2947"/>
    <w:rsid w:val="00BD29BA"/>
    <w:rsid w:val="00BD2ED5"/>
    <w:rsid w:val="00BD2FB1"/>
    <w:rsid w:val="00BD3297"/>
    <w:rsid w:val="00BD38CD"/>
    <w:rsid w:val="00BD3E56"/>
    <w:rsid w:val="00BD4105"/>
    <w:rsid w:val="00BD41A6"/>
    <w:rsid w:val="00BD43DF"/>
    <w:rsid w:val="00BD4606"/>
    <w:rsid w:val="00BD4A9E"/>
    <w:rsid w:val="00BD4B42"/>
    <w:rsid w:val="00BD4CC3"/>
    <w:rsid w:val="00BD5700"/>
    <w:rsid w:val="00BD5739"/>
    <w:rsid w:val="00BD57F9"/>
    <w:rsid w:val="00BD582A"/>
    <w:rsid w:val="00BD5B62"/>
    <w:rsid w:val="00BD5BB4"/>
    <w:rsid w:val="00BD62B6"/>
    <w:rsid w:val="00BD6668"/>
    <w:rsid w:val="00BD67A1"/>
    <w:rsid w:val="00BD7197"/>
    <w:rsid w:val="00BD7945"/>
    <w:rsid w:val="00BD7994"/>
    <w:rsid w:val="00BD7C0F"/>
    <w:rsid w:val="00BE03C7"/>
    <w:rsid w:val="00BE055E"/>
    <w:rsid w:val="00BE07A4"/>
    <w:rsid w:val="00BE08F1"/>
    <w:rsid w:val="00BE0AD6"/>
    <w:rsid w:val="00BE0CA4"/>
    <w:rsid w:val="00BE0E71"/>
    <w:rsid w:val="00BE1979"/>
    <w:rsid w:val="00BE19E4"/>
    <w:rsid w:val="00BE21BE"/>
    <w:rsid w:val="00BE2AF5"/>
    <w:rsid w:val="00BE34A4"/>
    <w:rsid w:val="00BE3750"/>
    <w:rsid w:val="00BE3B44"/>
    <w:rsid w:val="00BE3B93"/>
    <w:rsid w:val="00BE3C21"/>
    <w:rsid w:val="00BE3F22"/>
    <w:rsid w:val="00BE3F70"/>
    <w:rsid w:val="00BE43A9"/>
    <w:rsid w:val="00BE44F4"/>
    <w:rsid w:val="00BE44FC"/>
    <w:rsid w:val="00BE4BB2"/>
    <w:rsid w:val="00BE4BB7"/>
    <w:rsid w:val="00BE4DAB"/>
    <w:rsid w:val="00BE5165"/>
    <w:rsid w:val="00BE5175"/>
    <w:rsid w:val="00BE5757"/>
    <w:rsid w:val="00BE5ADB"/>
    <w:rsid w:val="00BE5C6C"/>
    <w:rsid w:val="00BE5D3E"/>
    <w:rsid w:val="00BE6075"/>
    <w:rsid w:val="00BE6924"/>
    <w:rsid w:val="00BE70A9"/>
    <w:rsid w:val="00BE7294"/>
    <w:rsid w:val="00BE72DA"/>
    <w:rsid w:val="00BE7B10"/>
    <w:rsid w:val="00BE7CA8"/>
    <w:rsid w:val="00BE7E67"/>
    <w:rsid w:val="00BE7F3D"/>
    <w:rsid w:val="00BF0032"/>
    <w:rsid w:val="00BF004A"/>
    <w:rsid w:val="00BF0411"/>
    <w:rsid w:val="00BF0463"/>
    <w:rsid w:val="00BF05B9"/>
    <w:rsid w:val="00BF0C94"/>
    <w:rsid w:val="00BF0D62"/>
    <w:rsid w:val="00BF1C36"/>
    <w:rsid w:val="00BF284C"/>
    <w:rsid w:val="00BF2B73"/>
    <w:rsid w:val="00BF2F7F"/>
    <w:rsid w:val="00BF3285"/>
    <w:rsid w:val="00BF3422"/>
    <w:rsid w:val="00BF366E"/>
    <w:rsid w:val="00BF3A68"/>
    <w:rsid w:val="00BF3F10"/>
    <w:rsid w:val="00BF4258"/>
    <w:rsid w:val="00BF44E7"/>
    <w:rsid w:val="00BF4606"/>
    <w:rsid w:val="00BF4987"/>
    <w:rsid w:val="00BF49A5"/>
    <w:rsid w:val="00BF502C"/>
    <w:rsid w:val="00BF5331"/>
    <w:rsid w:val="00BF537F"/>
    <w:rsid w:val="00BF54CD"/>
    <w:rsid w:val="00BF554A"/>
    <w:rsid w:val="00BF555A"/>
    <w:rsid w:val="00BF5976"/>
    <w:rsid w:val="00BF5B33"/>
    <w:rsid w:val="00BF5B8D"/>
    <w:rsid w:val="00BF5D0F"/>
    <w:rsid w:val="00BF5D23"/>
    <w:rsid w:val="00BF5E66"/>
    <w:rsid w:val="00BF67B8"/>
    <w:rsid w:val="00BF6843"/>
    <w:rsid w:val="00BF6936"/>
    <w:rsid w:val="00BF69AA"/>
    <w:rsid w:val="00BF6C00"/>
    <w:rsid w:val="00BF6CCD"/>
    <w:rsid w:val="00BF6DDE"/>
    <w:rsid w:val="00BF7084"/>
    <w:rsid w:val="00BF70D9"/>
    <w:rsid w:val="00BF7385"/>
    <w:rsid w:val="00BF7AFC"/>
    <w:rsid w:val="00BF7CD5"/>
    <w:rsid w:val="00BF7D57"/>
    <w:rsid w:val="00BF7DBA"/>
    <w:rsid w:val="00BF7E53"/>
    <w:rsid w:val="00C0015A"/>
    <w:rsid w:val="00C003DE"/>
    <w:rsid w:val="00C00540"/>
    <w:rsid w:val="00C00617"/>
    <w:rsid w:val="00C00905"/>
    <w:rsid w:val="00C00B17"/>
    <w:rsid w:val="00C00BAD"/>
    <w:rsid w:val="00C00F40"/>
    <w:rsid w:val="00C010DE"/>
    <w:rsid w:val="00C011BB"/>
    <w:rsid w:val="00C01AE5"/>
    <w:rsid w:val="00C01BDC"/>
    <w:rsid w:val="00C01C9B"/>
    <w:rsid w:val="00C02811"/>
    <w:rsid w:val="00C028D9"/>
    <w:rsid w:val="00C02ABA"/>
    <w:rsid w:val="00C02AE2"/>
    <w:rsid w:val="00C02D7C"/>
    <w:rsid w:val="00C02F92"/>
    <w:rsid w:val="00C02FD1"/>
    <w:rsid w:val="00C03240"/>
    <w:rsid w:val="00C037C4"/>
    <w:rsid w:val="00C038F2"/>
    <w:rsid w:val="00C03985"/>
    <w:rsid w:val="00C03BDA"/>
    <w:rsid w:val="00C04157"/>
    <w:rsid w:val="00C04192"/>
    <w:rsid w:val="00C04535"/>
    <w:rsid w:val="00C04693"/>
    <w:rsid w:val="00C04920"/>
    <w:rsid w:val="00C04A95"/>
    <w:rsid w:val="00C04E5E"/>
    <w:rsid w:val="00C04F1F"/>
    <w:rsid w:val="00C050E9"/>
    <w:rsid w:val="00C055B9"/>
    <w:rsid w:val="00C0581A"/>
    <w:rsid w:val="00C05F8D"/>
    <w:rsid w:val="00C0614B"/>
    <w:rsid w:val="00C067D4"/>
    <w:rsid w:val="00C06916"/>
    <w:rsid w:val="00C069D9"/>
    <w:rsid w:val="00C06A46"/>
    <w:rsid w:val="00C06F31"/>
    <w:rsid w:val="00C070AA"/>
    <w:rsid w:val="00C0738F"/>
    <w:rsid w:val="00C079C5"/>
    <w:rsid w:val="00C07AC4"/>
    <w:rsid w:val="00C07B30"/>
    <w:rsid w:val="00C07B37"/>
    <w:rsid w:val="00C07FDE"/>
    <w:rsid w:val="00C10110"/>
    <w:rsid w:val="00C1018D"/>
    <w:rsid w:val="00C1039C"/>
    <w:rsid w:val="00C106AA"/>
    <w:rsid w:val="00C10808"/>
    <w:rsid w:val="00C10860"/>
    <w:rsid w:val="00C109DD"/>
    <w:rsid w:val="00C11099"/>
    <w:rsid w:val="00C113EA"/>
    <w:rsid w:val="00C11580"/>
    <w:rsid w:val="00C117C1"/>
    <w:rsid w:val="00C118F4"/>
    <w:rsid w:val="00C11A95"/>
    <w:rsid w:val="00C11DE4"/>
    <w:rsid w:val="00C11E8F"/>
    <w:rsid w:val="00C11EC3"/>
    <w:rsid w:val="00C1229D"/>
    <w:rsid w:val="00C125CD"/>
    <w:rsid w:val="00C12DAD"/>
    <w:rsid w:val="00C12E2C"/>
    <w:rsid w:val="00C12E50"/>
    <w:rsid w:val="00C12FBA"/>
    <w:rsid w:val="00C1314A"/>
    <w:rsid w:val="00C1319E"/>
    <w:rsid w:val="00C131B1"/>
    <w:rsid w:val="00C13376"/>
    <w:rsid w:val="00C1399E"/>
    <w:rsid w:val="00C13F4F"/>
    <w:rsid w:val="00C14355"/>
    <w:rsid w:val="00C1466F"/>
    <w:rsid w:val="00C147C1"/>
    <w:rsid w:val="00C14D05"/>
    <w:rsid w:val="00C14D66"/>
    <w:rsid w:val="00C152D7"/>
    <w:rsid w:val="00C1541E"/>
    <w:rsid w:val="00C154B2"/>
    <w:rsid w:val="00C15528"/>
    <w:rsid w:val="00C15A5D"/>
    <w:rsid w:val="00C15C21"/>
    <w:rsid w:val="00C15D95"/>
    <w:rsid w:val="00C16326"/>
    <w:rsid w:val="00C16478"/>
    <w:rsid w:val="00C16894"/>
    <w:rsid w:val="00C16AAF"/>
    <w:rsid w:val="00C16D7F"/>
    <w:rsid w:val="00C16EB7"/>
    <w:rsid w:val="00C17111"/>
    <w:rsid w:val="00C176A0"/>
    <w:rsid w:val="00C17FB0"/>
    <w:rsid w:val="00C20087"/>
    <w:rsid w:val="00C20A32"/>
    <w:rsid w:val="00C20C29"/>
    <w:rsid w:val="00C20CE6"/>
    <w:rsid w:val="00C20EDE"/>
    <w:rsid w:val="00C21792"/>
    <w:rsid w:val="00C219A1"/>
    <w:rsid w:val="00C21DF2"/>
    <w:rsid w:val="00C2229A"/>
    <w:rsid w:val="00C2231D"/>
    <w:rsid w:val="00C2255B"/>
    <w:rsid w:val="00C22AC2"/>
    <w:rsid w:val="00C23216"/>
    <w:rsid w:val="00C232A3"/>
    <w:rsid w:val="00C233F7"/>
    <w:rsid w:val="00C23D7F"/>
    <w:rsid w:val="00C23FA6"/>
    <w:rsid w:val="00C246BB"/>
    <w:rsid w:val="00C246BF"/>
    <w:rsid w:val="00C24855"/>
    <w:rsid w:val="00C24CFB"/>
    <w:rsid w:val="00C25236"/>
    <w:rsid w:val="00C25355"/>
    <w:rsid w:val="00C25660"/>
    <w:rsid w:val="00C256A7"/>
    <w:rsid w:val="00C25B3E"/>
    <w:rsid w:val="00C25B68"/>
    <w:rsid w:val="00C25E26"/>
    <w:rsid w:val="00C25E56"/>
    <w:rsid w:val="00C2615B"/>
    <w:rsid w:val="00C2644C"/>
    <w:rsid w:val="00C26640"/>
    <w:rsid w:val="00C26E8E"/>
    <w:rsid w:val="00C275D4"/>
    <w:rsid w:val="00C2780F"/>
    <w:rsid w:val="00C27831"/>
    <w:rsid w:val="00C27B3F"/>
    <w:rsid w:val="00C3027A"/>
    <w:rsid w:val="00C302A2"/>
    <w:rsid w:val="00C3065A"/>
    <w:rsid w:val="00C30968"/>
    <w:rsid w:val="00C30CE4"/>
    <w:rsid w:val="00C31F04"/>
    <w:rsid w:val="00C324AC"/>
    <w:rsid w:val="00C3261F"/>
    <w:rsid w:val="00C328AB"/>
    <w:rsid w:val="00C32E43"/>
    <w:rsid w:val="00C32FD5"/>
    <w:rsid w:val="00C33234"/>
    <w:rsid w:val="00C33382"/>
    <w:rsid w:val="00C3349D"/>
    <w:rsid w:val="00C335BD"/>
    <w:rsid w:val="00C335F9"/>
    <w:rsid w:val="00C3366F"/>
    <w:rsid w:val="00C33D95"/>
    <w:rsid w:val="00C34087"/>
    <w:rsid w:val="00C346F5"/>
    <w:rsid w:val="00C34B33"/>
    <w:rsid w:val="00C34CFF"/>
    <w:rsid w:val="00C35171"/>
    <w:rsid w:val="00C355E1"/>
    <w:rsid w:val="00C35889"/>
    <w:rsid w:val="00C35C04"/>
    <w:rsid w:val="00C35ED8"/>
    <w:rsid w:val="00C35F8A"/>
    <w:rsid w:val="00C36451"/>
    <w:rsid w:val="00C367A0"/>
    <w:rsid w:val="00C36B41"/>
    <w:rsid w:val="00C36C9A"/>
    <w:rsid w:val="00C36FAE"/>
    <w:rsid w:val="00C3702C"/>
    <w:rsid w:val="00C373F5"/>
    <w:rsid w:val="00C3742C"/>
    <w:rsid w:val="00C3775B"/>
    <w:rsid w:val="00C378C0"/>
    <w:rsid w:val="00C37916"/>
    <w:rsid w:val="00C37949"/>
    <w:rsid w:val="00C37D0C"/>
    <w:rsid w:val="00C37DB9"/>
    <w:rsid w:val="00C40041"/>
    <w:rsid w:val="00C4007F"/>
    <w:rsid w:val="00C40473"/>
    <w:rsid w:val="00C407F6"/>
    <w:rsid w:val="00C40B44"/>
    <w:rsid w:val="00C411C0"/>
    <w:rsid w:val="00C41397"/>
    <w:rsid w:val="00C41AEB"/>
    <w:rsid w:val="00C41C39"/>
    <w:rsid w:val="00C41DA7"/>
    <w:rsid w:val="00C424CA"/>
    <w:rsid w:val="00C4293E"/>
    <w:rsid w:val="00C42C86"/>
    <w:rsid w:val="00C42FDC"/>
    <w:rsid w:val="00C434C3"/>
    <w:rsid w:val="00C4355C"/>
    <w:rsid w:val="00C4357F"/>
    <w:rsid w:val="00C43962"/>
    <w:rsid w:val="00C43D33"/>
    <w:rsid w:val="00C443EE"/>
    <w:rsid w:val="00C44680"/>
    <w:rsid w:val="00C4475B"/>
    <w:rsid w:val="00C44E4D"/>
    <w:rsid w:val="00C44E8B"/>
    <w:rsid w:val="00C4502C"/>
    <w:rsid w:val="00C45094"/>
    <w:rsid w:val="00C45200"/>
    <w:rsid w:val="00C453E0"/>
    <w:rsid w:val="00C45741"/>
    <w:rsid w:val="00C45C85"/>
    <w:rsid w:val="00C45CF1"/>
    <w:rsid w:val="00C45E13"/>
    <w:rsid w:val="00C45E70"/>
    <w:rsid w:val="00C45ECF"/>
    <w:rsid w:val="00C46205"/>
    <w:rsid w:val="00C465E6"/>
    <w:rsid w:val="00C466FA"/>
    <w:rsid w:val="00C46879"/>
    <w:rsid w:val="00C46AD7"/>
    <w:rsid w:val="00C46B41"/>
    <w:rsid w:val="00C47165"/>
    <w:rsid w:val="00C474C6"/>
    <w:rsid w:val="00C475A3"/>
    <w:rsid w:val="00C475D6"/>
    <w:rsid w:val="00C4773E"/>
    <w:rsid w:val="00C4796F"/>
    <w:rsid w:val="00C47C72"/>
    <w:rsid w:val="00C47CF3"/>
    <w:rsid w:val="00C47EBB"/>
    <w:rsid w:val="00C47F86"/>
    <w:rsid w:val="00C5003D"/>
    <w:rsid w:val="00C5007A"/>
    <w:rsid w:val="00C50452"/>
    <w:rsid w:val="00C5054F"/>
    <w:rsid w:val="00C50A11"/>
    <w:rsid w:val="00C50C1E"/>
    <w:rsid w:val="00C50C39"/>
    <w:rsid w:val="00C50F15"/>
    <w:rsid w:val="00C517BE"/>
    <w:rsid w:val="00C519D2"/>
    <w:rsid w:val="00C51A24"/>
    <w:rsid w:val="00C52383"/>
    <w:rsid w:val="00C52386"/>
    <w:rsid w:val="00C523F9"/>
    <w:rsid w:val="00C52495"/>
    <w:rsid w:val="00C524C9"/>
    <w:rsid w:val="00C52883"/>
    <w:rsid w:val="00C52C85"/>
    <w:rsid w:val="00C52D44"/>
    <w:rsid w:val="00C532CE"/>
    <w:rsid w:val="00C534F3"/>
    <w:rsid w:val="00C53796"/>
    <w:rsid w:val="00C5381A"/>
    <w:rsid w:val="00C5391B"/>
    <w:rsid w:val="00C53D23"/>
    <w:rsid w:val="00C53DDB"/>
    <w:rsid w:val="00C53F45"/>
    <w:rsid w:val="00C54230"/>
    <w:rsid w:val="00C544F4"/>
    <w:rsid w:val="00C54BA1"/>
    <w:rsid w:val="00C54D42"/>
    <w:rsid w:val="00C54DD1"/>
    <w:rsid w:val="00C54ED0"/>
    <w:rsid w:val="00C555C1"/>
    <w:rsid w:val="00C55BC2"/>
    <w:rsid w:val="00C55CF1"/>
    <w:rsid w:val="00C560B0"/>
    <w:rsid w:val="00C56A76"/>
    <w:rsid w:val="00C56ABE"/>
    <w:rsid w:val="00C56E51"/>
    <w:rsid w:val="00C57031"/>
    <w:rsid w:val="00C57130"/>
    <w:rsid w:val="00C57614"/>
    <w:rsid w:val="00C5788D"/>
    <w:rsid w:val="00C57CE1"/>
    <w:rsid w:val="00C57DA1"/>
    <w:rsid w:val="00C57DF9"/>
    <w:rsid w:val="00C57E71"/>
    <w:rsid w:val="00C57EB3"/>
    <w:rsid w:val="00C6021E"/>
    <w:rsid w:val="00C60254"/>
    <w:rsid w:val="00C604BE"/>
    <w:rsid w:val="00C606DF"/>
    <w:rsid w:val="00C608B5"/>
    <w:rsid w:val="00C60EBE"/>
    <w:rsid w:val="00C60FAE"/>
    <w:rsid w:val="00C610C2"/>
    <w:rsid w:val="00C611C7"/>
    <w:rsid w:val="00C61234"/>
    <w:rsid w:val="00C613FC"/>
    <w:rsid w:val="00C61BB0"/>
    <w:rsid w:val="00C61E82"/>
    <w:rsid w:val="00C61F15"/>
    <w:rsid w:val="00C622B7"/>
    <w:rsid w:val="00C623B7"/>
    <w:rsid w:val="00C6298C"/>
    <w:rsid w:val="00C6300A"/>
    <w:rsid w:val="00C6310B"/>
    <w:rsid w:val="00C63378"/>
    <w:rsid w:val="00C63533"/>
    <w:rsid w:val="00C639A6"/>
    <w:rsid w:val="00C63A35"/>
    <w:rsid w:val="00C63AE3"/>
    <w:rsid w:val="00C64036"/>
    <w:rsid w:val="00C640F5"/>
    <w:rsid w:val="00C64618"/>
    <w:rsid w:val="00C6485D"/>
    <w:rsid w:val="00C64C96"/>
    <w:rsid w:val="00C64EAC"/>
    <w:rsid w:val="00C65BAC"/>
    <w:rsid w:val="00C65BB8"/>
    <w:rsid w:val="00C65CFE"/>
    <w:rsid w:val="00C65D65"/>
    <w:rsid w:val="00C661D2"/>
    <w:rsid w:val="00C662D2"/>
    <w:rsid w:val="00C66347"/>
    <w:rsid w:val="00C66400"/>
    <w:rsid w:val="00C669AE"/>
    <w:rsid w:val="00C66A06"/>
    <w:rsid w:val="00C66AB9"/>
    <w:rsid w:val="00C66E1C"/>
    <w:rsid w:val="00C670F8"/>
    <w:rsid w:val="00C6757B"/>
    <w:rsid w:val="00C67680"/>
    <w:rsid w:val="00C678DA"/>
    <w:rsid w:val="00C67A31"/>
    <w:rsid w:val="00C67DB0"/>
    <w:rsid w:val="00C67E08"/>
    <w:rsid w:val="00C67E5B"/>
    <w:rsid w:val="00C67FF0"/>
    <w:rsid w:val="00C70197"/>
    <w:rsid w:val="00C703BC"/>
    <w:rsid w:val="00C705A6"/>
    <w:rsid w:val="00C708CD"/>
    <w:rsid w:val="00C708E0"/>
    <w:rsid w:val="00C70B53"/>
    <w:rsid w:val="00C70C4B"/>
    <w:rsid w:val="00C70F4C"/>
    <w:rsid w:val="00C711BE"/>
    <w:rsid w:val="00C7145B"/>
    <w:rsid w:val="00C714D1"/>
    <w:rsid w:val="00C7154B"/>
    <w:rsid w:val="00C7164F"/>
    <w:rsid w:val="00C71871"/>
    <w:rsid w:val="00C719B5"/>
    <w:rsid w:val="00C71E43"/>
    <w:rsid w:val="00C71F42"/>
    <w:rsid w:val="00C72E81"/>
    <w:rsid w:val="00C7323F"/>
    <w:rsid w:val="00C73620"/>
    <w:rsid w:val="00C73D50"/>
    <w:rsid w:val="00C73D90"/>
    <w:rsid w:val="00C73E78"/>
    <w:rsid w:val="00C73FB8"/>
    <w:rsid w:val="00C73FED"/>
    <w:rsid w:val="00C74202"/>
    <w:rsid w:val="00C7449D"/>
    <w:rsid w:val="00C7502C"/>
    <w:rsid w:val="00C7507E"/>
    <w:rsid w:val="00C76087"/>
    <w:rsid w:val="00C760DB"/>
    <w:rsid w:val="00C7612F"/>
    <w:rsid w:val="00C7650E"/>
    <w:rsid w:val="00C769C4"/>
    <w:rsid w:val="00C77195"/>
    <w:rsid w:val="00C776E0"/>
    <w:rsid w:val="00C777E0"/>
    <w:rsid w:val="00C77F91"/>
    <w:rsid w:val="00C80897"/>
    <w:rsid w:val="00C80F3C"/>
    <w:rsid w:val="00C81147"/>
    <w:rsid w:val="00C81E9C"/>
    <w:rsid w:val="00C81F7E"/>
    <w:rsid w:val="00C8206C"/>
    <w:rsid w:val="00C822B0"/>
    <w:rsid w:val="00C82346"/>
    <w:rsid w:val="00C825E9"/>
    <w:rsid w:val="00C82CD8"/>
    <w:rsid w:val="00C82CDF"/>
    <w:rsid w:val="00C84663"/>
    <w:rsid w:val="00C8470C"/>
    <w:rsid w:val="00C8477C"/>
    <w:rsid w:val="00C848BF"/>
    <w:rsid w:val="00C84BF7"/>
    <w:rsid w:val="00C84F03"/>
    <w:rsid w:val="00C84F3C"/>
    <w:rsid w:val="00C85298"/>
    <w:rsid w:val="00C8531A"/>
    <w:rsid w:val="00C855A3"/>
    <w:rsid w:val="00C85623"/>
    <w:rsid w:val="00C85B88"/>
    <w:rsid w:val="00C86072"/>
    <w:rsid w:val="00C865AC"/>
    <w:rsid w:val="00C86717"/>
    <w:rsid w:val="00C86BA1"/>
    <w:rsid w:val="00C86C04"/>
    <w:rsid w:val="00C86CF4"/>
    <w:rsid w:val="00C86E1B"/>
    <w:rsid w:val="00C86F28"/>
    <w:rsid w:val="00C87086"/>
    <w:rsid w:val="00C87556"/>
    <w:rsid w:val="00C87713"/>
    <w:rsid w:val="00C87DBF"/>
    <w:rsid w:val="00C87DE5"/>
    <w:rsid w:val="00C87DF9"/>
    <w:rsid w:val="00C87E8A"/>
    <w:rsid w:val="00C87ED4"/>
    <w:rsid w:val="00C902FE"/>
    <w:rsid w:val="00C904B4"/>
    <w:rsid w:val="00C90773"/>
    <w:rsid w:val="00C90A56"/>
    <w:rsid w:val="00C90FBF"/>
    <w:rsid w:val="00C912D5"/>
    <w:rsid w:val="00C919B9"/>
    <w:rsid w:val="00C91BE1"/>
    <w:rsid w:val="00C92586"/>
    <w:rsid w:val="00C925BD"/>
    <w:rsid w:val="00C92C9D"/>
    <w:rsid w:val="00C92D72"/>
    <w:rsid w:val="00C92FBF"/>
    <w:rsid w:val="00C93CFB"/>
    <w:rsid w:val="00C943EA"/>
    <w:rsid w:val="00C946C9"/>
    <w:rsid w:val="00C9481A"/>
    <w:rsid w:val="00C94874"/>
    <w:rsid w:val="00C94AF0"/>
    <w:rsid w:val="00C94FEB"/>
    <w:rsid w:val="00C9515B"/>
    <w:rsid w:val="00C9517E"/>
    <w:rsid w:val="00C9592E"/>
    <w:rsid w:val="00C95DFB"/>
    <w:rsid w:val="00C95EC5"/>
    <w:rsid w:val="00C96104"/>
    <w:rsid w:val="00C9666F"/>
    <w:rsid w:val="00C96804"/>
    <w:rsid w:val="00C9684B"/>
    <w:rsid w:val="00C969FD"/>
    <w:rsid w:val="00C97041"/>
    <w:rsid w:val="00C97287"/>
    <w:rsid w:val="00C974AA"/>
    <w:rsid w:val="00C97629"/>
    <w:rsid w:val="00CA0488"/>
    <w:rsid w:val="00CA0EBE"/>
    <w:rsid w:val="00CA12E2"/>
    <w:rsid w:val="00CA15EA"/>
    <w:rsid w:val="00CA16CB"/>
    <w:rsid w:val="00CA177F"/>
    <w:rsid w:val="00CA18AA"/>
    <w:rsid w:val="00CA1C76"/>
    <w:rsid w:val="00CA1D80"/>
    <w:rsid w:val="00CA2339"/>
    <w:rsid w:val="00CA2343"/>
    <w:rsid w:val="00CA262B"/>
    <w:rsid w:val="00CA282C"/>
    <w:rsid w:val="00CA2DD1"/>
    <w:rsid w:val="00CA2F5E"/>
    <w:rsid w:val="00CA30AB"/>
    <w:rsid w:val="00CA3187"/>
    <w:rsid w:val="00CA3731"/>
    <w:rsid w:val="00CA3A70"/>
    <w:rsid w:val="00CA3B37"/>
    <w:rsid w:val="00CA3BB9"/>
    <w:rsid w:val="00CA4243"/>
    <w:rsid w:val="00CA42D5"/>
    <w:rsid w:val="00CA490D"/>
    <w:rsid w:val="00CA539F"/>
    <w:rsid w:val="00CA57CF"/>
    <w:rsid w:val="00CA5BEE"/>
    <w:rsid w:val="00CA5C94"/>
    <w:rsid w:val="00CA644B"/>
    <w:rsid w:val="00CA6502"/>
    <w:rsid w:val="00CA7DED"/>
    <w:rsid w:val="00CA7FA4"/>
    <w:rsid w:val="00CB031F"/>
    <w:rsid w:val="00CB0E9D"/>
    <w:rsid w:val="00CB101B"/>
    <w:rsid w:val="00CB10B0"/>
    <w:rsid w:val="00CB1690"/>
    <w:rsid w:val="00CB1852"/>
    <w:rsid w:val="00CB1978"/>
    <w:rsid w:val="00CB1B9A"/>
    <w:rsid w:val="00CB1BAD"/>
    <w:rsid w:val="00CB1CC7"/>
    <w:rsid w:val="00CB1F6B"/>
    <w:rsid w:val="00CB202C"/>
    <w:rsid w:val="00CB2B67"/>
    <w:rsid w:val="00CB3128"/>
    <w:rsid w:val="00CB37AD"/>
    <w:rsid w:val="00CB38F5"/>
    <w:rsid w:val="00CB3D4D"/>
    <w:rsid w:val="00CB3EF1"/>
    <w:rsid w:val="00CB4847"/>
    <w:rsid w:val="00CB484C"/>
    <w:rsid w:val="00CB499F"/>
    <w:rsid w:val="00CB4B6F"/>
    <w:rsid w:val="00CB4DE4"/>
    <w:rsid w:val="00CB5059"/>
    <w:rsid w:val="00CB5529"/>
    <w:rsid w:val="00CB5BBF"/>
    <w:rsid w:val="00CB5D62"/>
    <w:rsid w:val="00CB5DBD"/>
    <w:rsid w:val="00CB5E84"/>
    <w:rsid w:val="00CB5F57"/>
    <w:rsid w:val="00CB5F83"/>
    <w:rsid w:val="00CB63C9"/>
    <w:rsid w:val="00CB64DA"/>
    <w:rsid w:val="00CB65B2"/>
    <w:rsid w:val="00CB6AC0"/>
    <w:rsid w:val="00CB6B3B"/>
    <w:rsid w:val="00CB6D3F"/>
    <w:rsid w:val="00CB6E58"/>
    <w:rsid w:val="00CB6FEC"/>
    <w:rsid w:val="00CB7459"/>
    <w:rsid w:val="00CB7D09"/>
    <w:rsid w:val="00CB7F38"/>
    <w:rsid w:val="00CB7FB1"/>
    <w:rsid w:val="00CC0134"/>
    <w:rsid w:val="00CC055E"/>
    <w:rsid w:val="00CC06CB"/>
    <w:rsid w:val="00CC082E"/>
    <w:rsid w:val="00CC08DC"/>
    <w:rsid w:val="00CC0901"/>
    <w:rsid w:val="00CC0ABC"/>
    <w:rsid w:val="00CC0DB5"/>
    <w:rsid w:val="00CC0FD2"/>
    <w:rsid w:val="00CC1836"/>
    <w:rsid w:val="00CC2051"/>
    <w:rsid w:val="00CC2E3A"/>
    <w:rsid w:val="00CC2E63"/>
    <w:rsid w:val="00CC32EF"/>
    <w:rsid w:val="00CC3C3B"/>
    <w:rsid w:val="00CC3EAF"/>
    <w:rsid w:val="00CC3FDA"/>
    <w:rsid w:val="00CC40A2"/>
    <w:rsid w:val="00CC4213"/>
    <w:rsid w:val="00CC42C5"/>
    <w:rsid w:val="00CC45C0"/>
    <w:rsid w:val="00CC46E2"/>
    <w:rsid w:val="00CC4F98"/>
    <w:rsid w:val="00CC501D"/>
    <w:rsid w:val="00CC5958"/>
    <w:rsid w:val="00CC5959"/>
    <w:rsid w:val="00CC5B0C"/>
    <w:rsid w:val="00CC5CCA"/>
    <w:rsid w:val="00CC6071"/>
    <w:rsid w:val="00CC6252"/>
    <w:rsid w:val="00CC63E9"/>
    <w:rsid w:val="00CC63FE"/>
    <w:rsid w:val="00CC640A"/>
    <w:rsid w:val="00CC65FD"/>
    <w:rsid w:val="00CC662A"/>
    <w:rsid w:val="00CC6B4E"/>
    <w:rsid w:val="00CC6E8D"/>
    <w:rsid w:val="00CC70E6"/>
    <w:rsid w:val="00CC7794"/>
    <w:rsid w:val="00CC7A43"/>
    <w:rsid w:val="00CC7B04"/>
    <w:rsid w:val="00CC7B4B"/>
    <w:rsid w:val="00CC7B81"/>
    <w:rsid w:val="00CC7BFB"/>
    <w:rsid w:val="00CC7C84"/>
    <w:rsid w:val="00CC7CC6"/>
    <w:rsid w:val="00CD0812"/>
    <w:rsid w:val="00CD0B51"/>
    <w:rsid w:val="00CD0E5D"/>
    <w:rsid w:val="00CD0F54"/>
    <w:rsid w:val="00CD11B8"/>
    <w:rsid w:val="00CD11E3"/>
    <w:rsid w:val="00CD1734"/>
    <w:rsid w:val="00CD1C0A"/>
    <w:rsid w:val="00CD1C46"/>
    <w:rsid w:val="00CD2272"/>
    <w:rsid w:val="00CD241D"/>
    <w:rsid w:val="00CD2496"/>
    <w:rsid w:val="00CD2671"/>
    <w:rsid w:val="00CD2868"/>
    <w:rsid w:val="00CD2A5D"/>
    <w:rsid w:val="00CD2B18"/>
    <w:rsid w:val="00CD2DC7"/>
    <w:rsid w:val="00CD2EA5"/>
    <w:rsid w:val="00CD2F15"/>
    <w:rsid w:val="00CD31D9"/>
    <w:rsid w:val="00CD32D2"/>
    <w:rsid w:val="00CD3593"/>
    <w:rsid w:val="00CD3CA2"/>
    <w:rsid w:val="00CD4160"/>
    <w:rsid w:val="00CD45AF"/>
    <w:rsid w:val="00CD4636"/>
    <w:rsid w:val="00CD48E4"/>
    <w:rsid w:val="00CD4AC8"/>
    <w:rsid w:val="00CD55D6"/>
    <w:rsid w:val="00CD5C37"/>
    <w:rsid w:val="00CD5E0C"/>
    <w:rsid w:val="00CD5FF6"/>
    <w:rsid w:val="00CD6331"/>
    <w:rsid w:val="00CD670A"/>
    <w:rsid w:val="00CD72CC"/>
    <w:rsid w:val="00CD736F"/>
    <w:rsid w:val="00CD7650"/>
    <w:rsid w:val="00CD77DC"/>
    <w:rsid w:val="00CE01BF"/>
    <w:rsid w:val="00CE0350"/>
    <w:rsid w:val="00CE0799"/>
    <w:rsid w:val="00CE0B95"/>
    <w:rsid w:val="00CE112C"/>
    <w:rsid w:val="00CE12D0"/>
    <w:rsid w:val="00CE16FF"/>
    <w:rsid w:val="00CE1BB1"/>
    <w:rsid w:val="00CE1BB3"/>
    <w:rsid w:val="00CE1E60"/>
    <w:rsid w:val="00CE1E79"/>
    <w:rsid w:val="00CE229E"/>
    <w:rsid w:val="00CE236D"/>
    <w:rsid w:val="00CE24A7"/>
    <w:rsid w:val="00CE2A42"/>
    <w:rsid w:val="00CE2E65"/>
    <w:rsid w:val="00CE2F24"/>
    <w:rsid w:val="00CE328F"/>
    <w:rsid w:val="00CE3410"/>
    <w:rsid w:val="00CE3578"/>
    <w:rsid w:val="00CE3FCF"/>
    <w:rsid w:val="00CE449F"/>
    <w:rsid w:val="00CE4E93"/>
    <w:rsid w:val="00CE5A0A"/>
    <w:rsid w:val="00CE5A81"/>
    <w:rsid w:val="00CE5E6E"/>
    <w:rsid w:val="00CE5F93"/>
    <w:rsid w:val="00CE5FE4"/>
    <w:rsid w:val="00CE6502"/>
    <w:rsid w:val="00CE6A9A"/>
    <w:rsid w:val="00CE719B"/>
    <w:rsid w:val="00CE735A"/>
    <w:rsid w:val="00CF024F"/>
    <w:rsid w:val="00CF0328"/>
    <w:rsid w:val="00CF083B"/>
    <w:rsid w:val="00CF0ED6"/>
    <w:rsid w:val="00CF0FF6"/>
    <w:rsid w:val="00CF1475"/>
    <w:rsid w:val="00CF155D"/>
    <w:rsid w:val="00CF19A5"/>
    <w:rsid w:val="00CF1D62"/>
    <w:rsid w:val="00CF1DFB"/>
    <w:rsid w:val="00CF216C"/>
    <w:rsid w:val="00CF23E3"/>
    <w:rsid w:val="00CF2451"/>
    <w:rsid w:val="00CF278A"/>
    <w:rsid w:val="00CF29DF"/>
    <w:rsid w:val="00CF2D14"/>
    <w:rsid w:val="00CF3C0E"/>
    <w:rsid w:val="00CF3FD6"/>
    <w:rsid w:val="00CF40B7"/>
    <w:rsid w:val="00CF4128"/>
    <w:rsid w:val="00CF41EF"/>
    <w:rsid w:val="00CF48CF"/>
    <w:rsid w:val="00CF4F7F"/>
    <w:rsid w:val="00CF5051"/>
    <w:rsid w:val="00CF507A"/>
    <w:rsid w:val="00CF55C9"/>
    <w:rsid w:val="00CF55D8"/>
    <w:rsid w:val="00CF55F1"/>
    <w:rsid w:val="00CF56D7"/>
    <w:rsid w:val="00CF5777"/>
    <w:rsid w:val="00CF5840"/>
    <w:rsid w:val="00CF61B2"/>
    <w:rsid w:val="00CF6370"/>
    <w:rsid w:val="00CF6F23"/>
    <w:rsid w:val="00CF704E"/>
    <w:rsid w:val="00CF7605"/>
    <w:rsid w:val="00CF7C14"/>
    <w:rsid w:val="00D006D5"/>
    <w:rsid w:val="00D00A26"/>
    <w:rsid w:val="00D00AC7"/>
    <w:rsid w:val="00D00E17"/>
    <w:rsid w:val="00D00FA5"/>
    <w:rsid w:val="00D01D84"/>
    <w:rsid w:val="00D023DD"/>
    <w:rsid w:val="00D024B0"/>
    <w:rsid w:val="00D0270D"/>
    <w:rsid w:val="00D03114"/>
    <w:rsid w:val="00D032B2"/>
    <w:rsid w:val="00D033F4"/>
    <w:rsid w:val="00D03894"/>
    <w:rsid w:val="00D03A12"/>
    <w:rsid w:val="00D03AEA"/>
    <w:rsid w:val="00D03B44"/>
    <w:rsid w:val="00D04302"/>
    <w:rsid w:val="00D04457"/>
    <w:rsid w:val="00D044AF"/>
    <w:rsid w:val="00D04712"/>
    <w:rsid w:val="00D0477C"/>
    <w:rsid w:val="00D04986"/>
    <w:rsid w:val="00D04EA6"/>
    <w:rsid w:val="00D04F23"/>
    <w:rsid w:val="00D058C7"/>
    <w:rsid w:val="00D059A2"/>
    <w:rsid w:val="00D05B8F"/>
    <w:rsid w:val="00D05BB0"/>
    <w:rsid w:val="00D060AF"/>
    <w:rsid w:val="00D0650A"/>
    <w:rsid w:val="00D0667D"/>
    <w:rsid w:val="00D06903"/>
    <w:rsid w:val="00D06FB9"/>
    <w:rsid w:val="00D07241"/>
    <w:rsid w:val="00D075E5"/>
    <w:rsid w:val="00D078A7"/>
    <w:rsid w:val="00D079B2"/>
    <w:rsid w:val="00D07C9F"/>
    <w:rsid w:val="00D101F7"/>
    <w:rsid w:val="00D103B7"/>
    <w:rsid w:val="00D10C8D"/>
    <w:rsid w:val="00D10FFF"/>
    <w:rsid w:val="00D11395"/>
    <w:rsid w:val="00D11473"/>
    <w:rsid w:val="00D116B0"/>
    <w:rsid w:val="00D117E3"/>
    <w:rsid w:val="00D11B7F"/>
    <w:rsid w:val="00D11BE1"/>
    <w:rsid w:val="00D11DF7"/>
    <w:rsid w:val="00D12438"/>
    <w:rsid w:val="00D12909"/>
    <w:rsid w:val="00D129B7"/>
    <w:rsid w:val="00D12AB7"/>
    <w:rsid w:val="00D12B4A"/>
    <w:rsid w:val="00D12CA3"/>
    <w:rsid w:val="00D12CEE"/>
    <w:rsid w:val="00D13007"/>
    <w:rsid w:val="00D13422"/>
    <w:rsid w:val="00D13460"/>
    <w:rsid w:val="00D13802"/>
    <w:rsid w:val="00D139F4"/>
    <w:rsid w:val="00D13BF3"/>
    <w:rsid w:val="00D13F0B"/>
    <w:rsid w:val="00D143F2"/>
    <w:rsid w:val="00D150E9"/>
    <w:rsid w:val="00D1554B"/>
    <w:rsid w:val="00D1555C"/>
    <w:rsid w:val="00D155CF"/>
    <w:rsid w:val="00D15621"/>
    <w:rsid w:val="00D156B0"/>
    <w:rsid w:val="00D15B9A"/>
    <w:rsid w:val="00D15F46"/>
    <w:rsid w:val="00D1665A"/>
    <w:rsid w:val="00D166AF"/>
    <w:rsid w:val="00D1672E"/>
    <w:rsid w:val="00D16900"/>
    <w:rsid w:val="00D16A9B"/>
    <w:rsid w:val="00D16D7D"/>
    <w:rsid w:val="00D16F87"/>
    <w:rsid w:val="00D16FF2"/>
    <w:rsid w:val="00D1706A"/>
    <w:rsid w:val="00D17134"/>
    <w:rsid w:val="00D17B29"/>
    <w:rsid w:val="00D17BFF"/>
    <w:rsid w:val="00D20152"/>
    <w:rsid w:val="00D202E8"/>
    <w:rsid w:val="00D203A6"/>
    <w:rsid w:val="00D2044A"/>
    <w:rsid w:val="00D208CF"/>
    <w:rsid w:val="00D20D30"/>
    <w:rsid w:val="00D20D59"/>
    <w:rsid w:val="00D21000"/>
    <w:rsid w:val="00D212C2"/>
    <w:rsid w:val="00D21432"/>
    <w:rsid w:val="00D21664"/>
    <w:rsid w:val="00D21747"/>
    <w:rsid w:val="00D2183E"/>
    <w:rsid w:val="00D218E0"/>
    <w:rsid w:val="00D21A12"/>
    <w:rsid w:val="00D21DC2"/>
    <w:rsid w:val="00D21EF1"/>
    <w:rsid w:val="00D2268F"/>
    <w:rsid w:val="00D22AA9"/>
    <w:rsid w:val="00D22B29"/>
    <w:rsid w:val="00D22D57"/>
    <w:rsid w:val="00D22F2A"/>
    <w:rsid w:val="00D232C5"/>
    <w:rsid w:val="00D23D35"/>
    <w:rsid w:val="00D2402B"/>
    <w:rsid w:val="00D244F9"/>
    <w:rsid w:val="00D2458A"/>
    <w:rsid w:val="00D247BE"/>
    <w:rsid w:val="00D24870"/>
    <w:rsid w:val="00D24D7F"/>
    <w:rsid w:val="00D24FB4"/>
    <w:rsid w:val="00D25083"/>
    <w:rsid w:val="00D25701"/>
    <w:rsid w:val="00D2590C"/>
    <w:rsid w:val="00D25A87"/>
    <w:rsid w:val="00D25B06"/>
    <w:rsid w:val="00D26B74"/>
    <w:rsid w:val="00D26C2C"/>
    <w:rsid w:val="00D273B3"/>
    <w:rsid w:val="00D27908"/>
    <w:rsid w:val="00D27963"/>
    <w:rsid w:val="00D27AEC"/>
    <w:rsid w:val="00D27EB2"/>
    <w:rsid w:val="00D27FAC"/>
    <w:rsid w:val="00D27FD5"/>
    <w:rsid w:val="00D3003B"/>
    <w:rsid w:val="00D301BF"/>
    <w:rsid w:val="00D30336"/>
    <w:rsid w:val="00D304A6"/>
    <w:rsid w:val="00D3052A"/>
    <w:rsid w:val="00D305D0"/>
    <w:rsid w:val="00D3077F"/>
    <w:rsid w:val="00D30A5A"/>
    <w:rsid w:val="00D30D5D"/>
    <w:rsid w:val="00D30F7B"/>
    <w:rsid w:val="00D3150A"/>
    <w:rsid w:val="00D3153A"/>
    <w:rsid w:val="00D31744"/>
    <w:rsid w:val="00D319F7"/>
    <w:rsid w:val="00D31A36"/>
    <w:rsid w:val="00D323CF"/>
    <w:rsid w:val="00D32550"/>
    <w:rsid w:val="00D327C2"/>
    <w:rsid w:val="00D3293A"/>
    <w:rsid w:val="00D32B69"/>
    <w:rsid w:val="00D32F90"/>
    <w:rsid w:val="00D330D1"/>
    <w:rsid w:val="00D3320F"/>
    <w:rsid w:val="00D3322A"/>
    <w:rsid w:val="00D33423"/>
    <w:rsid w:val="00D335DD"/>
    <w:rsid w:val="00D337A1"/>
    <w:rsid w:val="00D338C0"/>
    <w:rsid w:val="00D33B00"/>
    <w:rsid w:val="00D33F7B"/>
    <w:rsid w:val="00D3416B"/>
    <w:rsid w:val="00D341AC"/>
    <w:rsid w:val="00D341E7"/>
    <w:rsid w:val="00D3454A"/>
    <w:rsid w:val="00D34BF1"/>
    <w:rsid w:val="00D35A0F"/>
    <w:rsid w:val="00D35BC5"/>
    <w:rsid w:val="00D363F9"/>
    <w:rsid w:val="00D36740"/>
    <w:rsid w:val="00D36B5B"/>
    <w:rsid w:val="00D36C00"/>
    <w:rsid w:val="00D37315"/>
    <w:rsid w:val="00D37ED3"/>
    <w:rsid w:val="00D40132"/>
    <w:rsid w:val="00D4058E"/>
    <w:rsid w:val="00D40C39"/>
    <w:rsid w:val="00D40EFE"/>
    <w:rsid w:val="00D411B9"/>
    <w:rsid w:val="00D412DF"/>
    <w:rsid w:val="00D4150D"/>
    <w:rsid w:val="00D41522"/>
    <w:rsid w:val="00D41615"/>
    <w:rsid w:val="00D418FB"/>
    <w:rsid w:val="00D41CB9"/>
    <w:rsid w:val="00D41F6B"/>
    <w:rsid w:val="00D42204"/>
    <w:rsid w:val="00D42620"/>
    <w:rsid w:val="00D42861"/>
    <w:rsid w:val="00D42890"/>
    <w:rsid w:val="00D429E8"/>
    <w:rsid w:val="00D42CE1"/>
    <w:rsid w:val="00D4307C"/>
    <w:rsid w:val="00D43114"/>
    <w:rsid w:val="00D4371F"/>
    <w:rsid w:val="00D43908"/>
    <w:rsid w:val="00D43962"/>
    <w:rsid w:val="00D43B12"/>
    <w:rsid w:val="00D43B9B"/>
    <w:rsid w:val="00D43D4F"/>
    <w:rsid w:val="00D43DB5"/>
    <w:rsid w:val="00D43DC7"/>
    <w:rsid w:val="00D4482A"/>
    <w:rsid w:val="00D44AD3"/>
    <w:rsid w:val="00D45399"/>
    <w:rsid w:val="00D45592"/>
    <w:rsid w:val="00D45703"/>
    <w:rsid w:val="00D459EF"/>
    <w:rsid w:val="00D45E49"/>
    <w:rsid w:val="00D4622A"/>
    <w:rsid w:val="00D46B7F"/>
    <w:rsid w:val="00D46D58"/>
    <w:rsid w:val="00D46D9A"/>
    <w:rsid w:val="00D46F78"/>
    <w:rsid w:val="00D4711D"/>
    <w:rsid w:val="00D4721D"/>
    <w:rsid w:val="00D4741F"/>
    <w:rsid w:val="00D475F0"/>
    <w:rsid w:val="00D47D8E"/>
    <w:rsid w:val="00D47DD4"/>
    <w:rsid w:val="00D47EF0"/>
    <w:rsid w:val="00D5006D"/>
    <w:rsid w:val="00D501D9"/>
    <w:rsid w:val="00D504A5"/>
    <w:rsid w:val="00D5082E"/>
    <w:rsid w:val="00D50AB4"/>
    <w:rsid w:val="00D50CCC"/>
    <w:rsid w:val="00D50DDD"/>
    <w:rsid w:val="00D50EB9"/>
    <w:rsid w:val="00D51271"/>
    <w:rsid w:val="00D515CF"/>
    <w:rsid w:val="00D516BD"/>
    <w:rsid w:val="00D51891"/>
    <w:rsid w:val="00D51A26"/>
    <w:rsid w:val="00D51CE0"/>
    <w:rsid w:val="00D522A7"/>
    <w:rsid w:val="00D52399"/>
    <w:rsid w:val="00D5251A"/>
    <w:rsid w:val="00D5282C"/>
    <w:rsid w:val="00D52D0C"/>
    <w:rsid w:val="00D52F83"/>
    <w:rsid w:val="00D53A75"/>
    <w:rsid w:val="00D53C7F"/>
    <w:rsid w:val="00D53E45"/>
    <w:rsid w:val="00D5415F"/>
    <w:rsid w:val="00D54417"/>
    <w:rsid w:val="00D55850"/>
    <w:rsid w:val="00D55C61"/>
    <w:rsid w:val="00D55CB4"/>
    <w:rsid w:val="00D560BC"/>
    <w:rsid w:val="00D5664D"/>
    <w:rsid w:val="00D56709"/>
    <w:rsid w:val="00D56824"/>
    <w:rsid w:val="00D56826"/>
    <w:rsid w:val="00D56F53"/>
    <w:rsid w:val="00D57049"/>
    <w:rsid w:val="00D5705B"/>
    <w:rsid w:val="00D57370"/>
    <w:rsid w:val="00D57759"/>
    <w:rsid w:val="00D5798F"/>
    <w:rsid w:val="00D57A9E"/>
    <w:rsid w:val="00D57BF2"/>
    <w:rsid w:val="00D57DC5"/>
    <w:rsid w:val="00D57F9D"/>
    <w:rsid w:val="00D6056B"/>
    <w:rsid w:val="00D605B2"/>
    <w:rsid w:val="00D6067A"/>
    <w:rsid w:val="00D60876"/>
    <w:rsid w:val="00D60B3C"/>
    <w:rsid w:val="00D60CB2"/>
    <w:rsid w:val="00D60F82"/>
    <w:rsid w:val="00D60F88"/>
    <w:rsid w:val="00D615DF"/>
    <w:rsid w:val="00D619B4"/>
    <w:rsid w:val="00D61B59"/>
    <w:rsid w:val="00D61CB9"/>
    <w:rsid w:val="00D61E4C"/>
    <w:rsid w:val="00D61F7E"/>
    <w:rsid w:val="00D6217A"/>
    <w:rsid w:val="00D62469"/>
    <w:rsid w:val="00D62D41"/>
    <w:rsid w:val="00D63058"/>
    <w:rsid w:val="00D634D9"/>
    <w:rsid w:val="00D6395B"/>
    <w:rsid w:val="00D63A33"/>
    <w:rsid w:val="00D63DED"/>
    <w:rsid w:val="00D63E69"/>
    <w:rsid w:val="00D63F76"/>
    <w:rsid w:val="00D646F9"/>
    <w:rsid w:val="00D64739"/>
    <w:rsid w:val="00D65087"/>
    <w:rsid w:val="00D65387"/>
    <w:rsid w:val="00D65444"/>
    <w:rsid w:val="00D657CF"/>
    <w:rsid w:val="00D658D8"/>
    <w:rsid w:val="00D65ADC"/>
    <w:rsid w:val="00D65B25"/>
    <w:rsid w:val="00D65F59"/>
    <w:rsid w:val="00D65F8E"/>
    <w:rsid w:val="00D661D6"/>
    <w:rsid w:val="00D662D7"/>
    <w:rsid w:val="00D664F9"/>
    <w:rsid w:val="00D66563"/>
    <w:rsid w:val="00D6669F"/>
    <w:rsid w:val="00D66762"/>
    <w:rsid w:val="00D66A6A"/>
    <w:rsid w:val="00D66AD7"/>
    <w:rsid w:val="00D66F34"/>
    <w:rsid w:val="00D6705E"/>
    <w:rsid w:val="00D6733A"/>
    <w:rsid w:val="00D675F5"/>
    <w:rsid w:val="00D67673"/>
    <w:rsid w:val="00D676EF"/>
    <w:rsid w:val="00D67764"/>
    <w:rsid w:val="00D67DC3"/>
    <w:rsid w:val="00D704E3"/>
    <w:rsid w:val="00D705B3"/>
    <w:rsid w:val="00D709B7"/>
    <w:rsid w:val="00D70C0F"/>
    <w:rsid w:val="00D70EAF"/>
    <w:rsid w:val="00D70F06"/>
    <w:rsid w:val="00D7115C"/>
    <w:rsid w:val="00D715F7"/>
    <w:rsid w:val="00D7182A"/>
    <w:rsid w:val="00D71B54"/>
    <w:rsid w:val="00D71BE4"/>
    <w:rsid w:val="00D71CA8"/>
    <w:rsid w:val="00D71CBA"/>
    <w:rsid w:val="00D71F50"/>
    <w:rsid w:val="00D72202"/>
    <w:rsid w:val="00D72213"/>
    <w:rsid w:val="00D722FB"/>
    <w:rsid w:val="00D72713"/>
    <w:rsid w:val="00D72C57"/>
    <w:rsid w:val="00D72F75"/>
    <w:rsid w:val="00D73098"/>
    <w:rsid w:val="00D731D6"/>
    <w:rsid w:val="00D73537"/>
    <w:rsid w:val="00D73A2D"/>
    <w:rsid w:val="00D73AA6"/>
    <w:rsid w:val="00D73D32"/>
    <w:rsid w:val="00D73F4F"/>
    <w:rsid w:val="00D73F8E"/>
    <w:rsid w:val="00D742F9"/>
    <w:rsid w:val="00D7430C"/>
    <w:rsid w:val="00D743D3"/>
    <w:rsid w:val="00D747F1"/>
    <w:rsid w:val="00D74C74"/>
    <w:rsid w:val="00D74D13"/>
    <w:rsid w:val="00D7504D"/>
    <w:rsid w:val="00D752A3"/>
    <w:rsid w:val="00D754B7"/>
    <w:rsid w:val="00D75671"/>
    <w:rsid w:val="00D76073"/>
    <w:rsid w:val="00D763FB"/>
    <w:rsid w:val="00D76957"/>
    <w:rsid w:val="00D76D5E"/>
    <w:rsid w:val="00D77139"/>
    <w:rsid w:val="00D774F0"/>
    <w:rsid w:val="00D77733"/>
    <w:rsid w:val="00D777B7"/>
    <w:rsid w:val="00D778EB"/>
    <w:rsid w:val="00D77C90"/>
    <w:rsid w:val="00D805DD"/>
    <w:rsid w:val="00D807FF"/>
    <w:rsid w:val="00D80A65"/>
    <w:rsid w:val="00D80CA6"/>
    <w:rsid w:val="00D811EE"/>
    <w:rsid w:val="00D8137D"/>
    <w:rsid w:val="00D815EE"/>
    <w:rsid w:val="00D81E50"/>
    <w:rsid w:val="00D82272"/>
    <w:rsid w:val="00D825BB"/>
    <w:rsid w:val="00D82E26"/>
    <w:rsid w:val="00D82EB2"/>
    <w:rsid w:val="00D830F4"/>
    <w:rsid w:val="00D8370B"/>
    <w:rsid w:val="00D83764"/>
    <w:rsid w:val="00D83805"/>
    <w:rsid w:val="00D83A0E"/>
    <w:rsid w:val="00D83A92"/>
    <w:rsid w:val="00D83D33"/>
    <w:rsid w:val="00D844B7"/>
    <w:rsid w:val="00D845D2"/>
    <w:rsid w:val="00D8467A"/>
    <w:rsid w:val="00D84BE5"/>
    <w:rsid w:val="00D84C41"/>
    <w:rsid w:val="00D84CFD"/>
    <w:rsid w:val="00D850DB"/>
    <w:rsid w:val="00D85490"/>
    <w:rsid w:val="00D85747"/>
    <w:rsid w:val="00D8593F"/>
    <w:rsid w:val="00D8644C"/>
    <w:rsid w:val="00D864ED"/>
    <w:rsid w:val="00D86A45"/>
    <w:rsid w:val="00D86A78"/>
    <w:rsid w:val="00D86B79"/>
    <w:rsid w:val="00D86C1E"/>
    <w:rsid w:val="00D8723E"/>
    <w:rsid w:val="00D8744E"/>
    <w:rsid w:val="00D875EC"/>
    <w:rsid w:val="00D87639"/>
    <w:rsid w:val="00D87989"/>
    <w:rsid w:val="00D87A11"/>
    <w:rsid w:val="00D87ECA"/>
    <w:rsid w:val="00D901A8"/>
    <w:rsid w:val="00D904F8"/>
    <w:rsid w:val="00D905F4"/>
    <w:rsid w:val="00D9064A"/>
    <w:rsid w:val="00D90B45"/>
    <w:rsid w:val="00D90FD8"/>
    <w:rsid w:val="00D910D2"/>
    <w:rsid w:val="00D91342"/>
    <w:rsid w:val="00D91380"/>
    <w:rsid w:val="00D9144A"/>
    <w:rsid w:val="00D91973"/>
    <w:rsid w:val="00D91FDB"/>
    <w:rsid w:val="00D9225E"/>
    <w:rsid w:val="00D92795"/>
    <w:rsid w:val="00D92BC7"/>
    <w:rsid w:val="00D93388"/>
    <w:rsid w:val="00D9342A"/>
    <w:rsid w:val="00D93BCD"/>
    <w:rsid w:val="00D93C0A"/>
    <w:rsid w:val="00D94050"/>
    <w:rsid w:val="00D94200"/>
    <w:rsid w:val="00D942B5"/>
    <w:rsid w:val="00D94462"/>
    <w:rsid w:val="00D9449C"/>
    <w:rsid w:val="00D9452E"/>
    <w:rsid w:val="00D94936"/>
    <w:rsid w:val="00D94A0A"/>
    <w:rsid w:val="00D94F8D"/>
    <w:rsid w:val="00D95458"/>
    <w:rsid w:val="00D95622"/>
    <w:rsid w:val="00D95846"/>
    <w:rsid w:val="00D9598B"/>
    <w:rsid w:val="00D95B33"/>
    <w:rsid w:val="00D95DCB"/>
    <w:rsid w:val="00D9614C"/>
    <w:rsid w:val="00D961AF"/>
    <w:rsid w:val="00D96801"/>
    <w:rsid w:val="00D9684D"/>
    <w:rsid w:val="00D96AB3"/>
    <w:rsid w:val="00D96B58"/>
    <w:rsid w:val="00D96D4F"/>
    <w:rsid w:val="00D97167"/>
    <w:rsid w:val="00D974AF"/>
    <w:rsid w:val="00D975BC"/>
    <w:rsid w:val="00D976F4"/>
    <w:rsid w:val="00D9782D"/>
    <w:rsid w:val="00DA028E"/>
    <w:rsid w:val="00DA0B68"/>
    <w:rsid w:val="00DA0BEF"/>
    <w:rsid w:val="00DA1068"/>
    <w:rsid w:val="00DA106D"/>
    <w:rsid w:val="00DA127A"/>
    <w:rsid w:val="00DA13B8"/>
    <w:rsid w:val="00DA1408"/>
    <w:rsid w:val="00DA168F"/>
    <w:rsid w:val="00DA16D5"/>
    <w:rsid w:val="00DA172D"/>
    <w:rsid w:val="00DA2342"/>
    <w:rsid w:val="00DA2501"/>
    <w:rsid w:val="00DA296D"/>
    <w:rsid w:val="00DA2D11"/>
    <w:rsid w:val="00DA2D38"/>
    <w:rsid w:val="00DA2D65"/>
    <w:rsid w:val="00DA2E1A"/>
    <w:rsid w:val="00DA313A"/>
    <w:rsid w:val="00DA335E"/>
    <w:rsid w:val="00DA343C"/>
    <w:rsid w:val="00DA3547"/>
    <w:rsid w:val="00DA3662"/>
    <w:rsid w:val="00DA3C96"/>
    <w:rsid w:val="00DA3D4E"/>
    <w:rsid w:val="00DA3EF5"/>
    <w:rsid w:val="00DA41D8"/>
    <w:rsid w:val="00DA4512"/>
    <w:rsid w:val="00DA46A1"/>
    <w:rsid w:val="00DA46CA"/>
    <w:rsid w:val="00DA4FD2"/>
    <w:rsid w:val="00DA4FDA"/>
    <w:rsid w:val="00DA5829"/>
    <w:rsid w:val="00DA5B9F"/>
    <w:rsid w:val="00DA5E6F"/>
    <w:rsid w:val="00DA5EB3"/>
    <w:rsid w:val="00DA61C9"/>
    <w:rsid w:val="00DA66F1"/>
    <w:rsid w:val="00DA67CA"/>
    <w:rsid w:val="00DA7C7F"/>
    <w:rsid w:val="00DA7EC5"/>
    <w:rsid w:val="00DB0001"/>
    <w:rsid w:val="00DB00C3"/>
    <w:rsid w:val="00DB03D9"/>
    <w:rsid w:val="00DB061A"/>
    <w:rsid w:val="00DB0D0C"/>
    <w:rsid w:val="00DB119E"/>
    <w:rsid w:val="00DB12CF"/>
    <w:rsid w:val="00DB1467"/>
    <w:rsid w:val="00DB1675"/>
    <w:rsid w:val="00DB1AF0"/>
    <w:rsid w:val="00DB1EA3"/>
    <w:rsid w:val="00DB203F"/>
    <w:rsid w:val="00DB2A5A"/>
    <w:rsid w:val="00DB2BA9"/>
    <w:rsid w:val="00DB2F50"/>
    <w:rsid w:val="00DB3274"/>
    <w:rsid w:val="00DB336D"/>
    <w:rsid w:val="00DB367B"/>
    <w:rsid w:val="00DB37E9"/>
    <w:rsid w:val="00DB39D3"/>
    <w:rsid w:val="00DB39EF"/>
    <w:rsid w:val="00DB3BA5"/>
    <w:rsid w:val="00DB3D04"/>
    <w:rsid w:val="00DB40AC"/>
    <w:rsid w:val="00DB4498"/>
    <w:rsid w:val="00DB473A"/>
    <w:rsid w:val="00DB48F0"/>
    <w:rsid w:val="00DB4DC4"/>
    <w:rsid w:val="00DB5089"/>
    <w:rsid w:val="00DB5464"/>
    <w:rsid w:val="00DB56B4"/>
    <w:rsid w:val="00DB56C7"/>
    <w:rsid w:val="00DB59C0"/>
    <w:rsid w:val="00DB5A0A"/>
    <w:rsid w:val="00DB5E79"/>
    <w:rsid w:val="00DB6058"/>
    <w:rsid w:val="00DB627A"/>
    <w:rsid w:val="00DB62AC"/>
    <w:rsid w:val="00DB694C"/>
    <w:rsid w:val="00DB7131"/>
    <w:rsid w:val="00DB727B"/>
    <w:rsid w:val="00DB727F"/>
    <w:rsid w:val="00DB739E"/>
    <w:rsid w:val="00DB7586"/>
    <w:rsid w:val="00DB7777"/>
    <w:rsid w:val="00DB7EE7"/>
    <w:rsid w:val="00DC01D2"/>
    <w:rsid w:val="00DC0BCA"/>
    <w:rsid w:val="00DC0DF6"/>
    <w:rsid w:val="00DC0F0C"/>
    <w:rsid w:val="00DC0FCB"/>
    <w:rsid w:val="00DC17D6"/>
    <w:rsid w:val="00DC1AB9"/>
    <w:rsid w:val="00DC1B2B"/>
    <w:rsid w:val="00DC1CBE"/>
    <w:rsid w:val="00DC1CE4"/>
    <w:rsid w:val="00DC2A68"/>
    <w:rsid w:val="00DC2BD7"/>
    <w:rsid w:val="00DC2E69"/>
    <w:rsid w:val="00DC2EC9"/>
    <w:rsid w:val="00DC2ECB"/>
    <w:rsid w:val="00DC31C1"/>
    <w:rsid w:val="00DC3F67"/>
    <w:rsid w:val="00DC44A3"/>
    <w:rsid w:val="00DC462D"/>
    <w:rsid w:val="00DC46FE"/>
    <w:rsid w:val="00DC491D"/>
    <w:rsid w:val="00DC4950"/>
    <w:rsid w:val="00DC4B9A"/>
    <w:rsid w:val="00DC513D"/>
    <w:rsid w:val="00DC51A2"/>
    <w:rsid w:val="00DC5E37"/>
    <w:rsid w:val="00DC6062"/>
    <w:rsid w:val="00DC6111"/>
    <w:rsid w:val="00DC6425"/>
    <w:rsid w:val="00DC6AAA"/>
    <w:rsid w:val="00DC6DBA"/>
    <w:rsid w:val="00DC6F5C"/>
    <w:rsid w:val="00DC707C"/>
    <w:rsid w:val="00DC7235"/>
    <w:rsid w:val="00DC7397"/>
    <w:rsid w:val="00DC7649"/>
    <w:rsid w:val="00DC7811"/>
    <w:rsid w:val="00DC79C5"/>
    <w:rsid w:val="00DC7AA3"/>
    <w:rsid w:val="00DD0020"/>
    <w:rsid w:val="00DD0098"/>
    <w:rsid w:val="00DD0465"/>
    <w:rsid w:val="00DD04D7"/>
    <w:rsid w:val="00DD0905"/>
    <w:rsid w:val="00DD09FD"/>
    <w:rsid w:val="00DD0A5C"/>
    <w:rsid w:val="00DD0B48"/>
    <w:rsid w:val="00DD130C"/>
    <w:rsid w:val="00DD1387"/>
    <w:rsid w:val="00DD13C3"/>
    <w:rsid w:val="00DD1688"/>
    <w:rsid w:val="00DD17A8"/>
    <w:rsid w:val="00DD1868"/>
    <w:rsid w:val="00DD1A33"/>
    <w:rsid w:val="00DD1A69"/>
    <w:rsid w:val="00DD1C12"/>
    <w:rsid w:val="00DD1EB8"/>
    <w:rsid w:val="00DD1F18"/>
    <w:rsid w:val="00DD2102"/>
    <w:rsid w:val="00DD2104"/>
    <w:rsid w:val="00DD22A6"/>
    <w:rsid w:val="00DD242A"/>
    <w:rsid w:val="00DD25D2"/>
    <w:rsid w:val="00DD26ED"/>
    <w:rsid w:val="00DD27ED"/>
    <w:rsid w:val="00DD28DE"/>
    <w:rsid w:val="00DD352F"/>
    <w:rsid w:val="00DD38D7"/>
    <w:rsid w:val="00DD3AD6"/>
    <w:rsid w:val="00DD3C6F"/>
    <w:rsid w:val="00DD3D5A"/>
    <w:rsid w:val="00DD3DD1"/>
    <w:rsid w:val="00DD4512"/>
    <w:rsid w:val="00DD4C0A"/>
    <w:rsid w:val="00DD4E48"/>
    <w:rsid w:val="00DD4EA2"/>
    <w:rsid w:val="00DD4EC7"/>
    <w:rsid w:val="00DD50D8"/>
    <w:rsid w:val="00DD5179"/>
    <w:rsid w:val="00DD5225"/>
    <w:rsid w:val="00DD57B2"/>
    <w:rsid w:val="00DD57C6"/>
    <w:rsid w:val="00DD5F1C"/>
    <w:rsid w:val="00DD625E"/>
    <w:rsid w:val="00DD6484"/>
    <w:rsid w:val="00DD694F"/>
    <w:rsid w:val="00DD6BF5"/>
    <w:rsid w:val="00DD6E9E"/>
    <w:rsid w:val="00DD6FF1"/>
    <w:rsid w:val="00DD73A9"/>
    <w:rsid w:val="00DD751B"/>
    <w:rsid w:val="00DD75A4"/>
    <w:rsid w:val="00DD7DA5"/>
    <w:rsid w:val="00DD7DEF"/>
    <w:rsid w:val="00DE0064"/>
    <w:rsid w:val="00DE00A9"/>
    <w:rsid w:val="00DE0306"/>
    <w:rsid w:val="00DE0465"/>
    <w:rsid w:val="00DE0491"/>
    <w:rsid w:val="00DE05F5"/>
    <w:rsid w:val="00DE0CCB"/>
    <w:rsid w:val="00DE12F7"/>
    <w:rsid w:val="00DE19B7"/>
    <w:rsid w:val="00DE19B9"/>
    <w:rsid w:val="00DE1AE6"/>
    <w:rsid w:val="00DE1B8D"/>
    <w:rsid w:val="00DE1D5E"/>
    <w:rsid w:val="00DE1EE6"/>
    <w:rsid w:val="00DE247A"/>
    <w:rsid w:val="00DE2691"/>
    <w:rsid w:val="00DE2E32"/>
    <w:rsid w:val="00DE3767"/>
    <w:rsid w:val="00DE39F7"/>
    <w:rsid w:val="00DE3DD1"/>
    <w:rsid w:val="00DE403A"/>
    <w:rsid w:val="00DE4225"/>
    <w:rsid w:val="00DE42D8"/>
    <w:rsid w:val="00DE448E"/>
    <w:rsid w:val="00DE46A2"/>
    <w:rsid w:val="00DE4E25"/>
    <w:rsid w:val="00DE57EB"/>
    <w:rsid w:val="00DE5937"/>
    <w:rsid w:val="00DE5A18"/>
    <w:rsid w:val="00DE5B54"/>
    <w:rsid w:val="00DE6069"/>
    <w:rsid w:val="00DE6131"/>
    <w:rsid w:val="00DE6373"/>
    <w:rsid w:val="00DE640B"/>
    <w:rsid w:val="00DE643B"/>
    <w:rsid w:val="00DE661C"/>
    <w:rsid w:val="00DE6EC9"/>
    <w:rsid w:val="00DE72E4"/>
    <w:rsid w:val="00DE734C"/>
    <w:rsid w:val="00DE7501"/>
    <w:rsid w:val="00DE761D"/>
    <w:rsid w:val="00DE78F2"/>
    <w:rsid w:val="00DE7BF2"/>
    <w:rsid w:val="00DE7EF1"/>
    <w:rsid w:val="00DF0F54"/>
    <w:rsid w:val="00DF0F57"/>
    <w:rsid w:val="00DF13AC"/>
    <w:rsid w:val="00DF1C9F"/>
    <w:rsid w:val="00DF1D2E"/>
    <w:rsid w:val="00DF1F9B"/>
    <w:rsid w:val="00DF247F"/>
    <w:rsid w:val="00DF2977"/>
    <w:rsid w:val="00DF29F2"/>
    <w:rsid w:val="00DF2B7B"/>
    <w:rsid w:val="00DF307F"/>
    <w:rsid w:val="00DF34F4"/>
    <w:rsid w:val="00DF383D"/>
    <w:rsid w:val="00DF38FB"/>
    <w:rsid w:val="00DF4596"/>
    <w:rsid w:val="00DF4874"/>
    <w:rsid w:val="00DF4BC8"/>
    <w:rsid w:val="00DF4E3A"/>
    <w:rsid w:val="00DF50C2"/>
    <w:rsid w:val="00DF5166"/>
    <w:rsid w:val="00DF5630"/>
    <w:rsid w:val="00DF566E"/>
    <w:rsid w:val="00DF5682"/>
    <w:rsid w:val="00DF5F4E"/>
    <w:rsid w:val="00DF6274"/>
    <w:rsid w:val="00DF6339"/>
    <w:rsid w:val="00DF6613"/>
    <w:rsid w:val="00DF68C4"/>
    <w:rsid w:val="00DF69DF"/>
    <w:rsid w:val="00DF69EC"/>
    <w:rsid w:val="00DF6A58"/>
    <w:rsid w:val="00DF6CFA"/>
    <w:rsid w:val="00DF7008"/>
    <w:rsid w:val="00DF701F"/>
    <w:rsid w:val="00DF7756"/>
    <w:rsid w:val="00DF77CC"/>
    <w:rsid w:val="00DF7EC7"/>
    <w:rsid w:val="00E00AE5"/>
    <w:rsid w:val="00E00CBA"/>
    <w:rsid w:val="00E010EB"/>
    <w:rsid w:val="00E0143E"/>
    <w:rsid w:val="00E0152F"/>
    <w:rsid w:val="00E01912"/>
    <w:rsid w:val="00E019BB"/>
    <w:rsid w:val="00E019F4"/>
    <w:rsid w:val="00E01A74"/>
    <w:rsid w:val="00E01D75"/>
    <w:rsid w:val="00E01DD7"/>
    <w:rsid w:val="00E01E90"/>
    <w:rsid w:val="00E0200A"/>
    <w:rsid w:val="00E02018"/>
    <w:rsid w:val="00E0249B"/>
    <w:rsid w:val="00E02569"/>
    <w:rsid w:val="00E029E6"/>
    <w:rsid w:val="00E033A1"/>
    <w:rsid w:val="00E03992"/>
    <w:rsid w:val="00E03C8D"/>
    <w:rsid w:val="00E03E68"/>
    <w:rsid w:val="00E040C1"/>
    <w:rsid w:val="00E04111"/>
    <w:rsid w:val="00E0459C"/>
    <w:rsid w:val="00E04708"/>
    <w:rsid w:val="00E049B7"/>
    <w:rsid w:val="00E04E86"/>
    <w:rsid w:val="00E052D0"/>
    <w:rsid w:val="00E058CC"/>
    <w:rsid w:val="00E05F12"/>
    <w:rsid w:val="00E05FBC"/>
    <w:rsid w:val="00E06634"/>
    <w:rsid w:val="00E06B02"/>
    <w:rsid w:val="00E07099"/>
    <w:rsid w:val="00E074A1"/>
    <w:rsid w:val="00E100B5"/>
    <w:rsid w:val="00E10147"/>
    <w:rsid w:val="00E1079C"/>
    <w:rsid w:val="00E10977"/>
    <w:rsid w:val="00E10A56"/>
    <w:rsid w:val="00E10D25"/>
    <w:rsid w:val="00E10EF1"/>
    <w:rsid w:val="00E1125B"/>
    <w:rsid w:val="00E11260"/>
    <w:rsid w:val="00E114F7"/>
    <w:rsid w:val="00E117FB"/>
    <w:rsid w:val="00E11F13"/>
    <w:rsid w:val="00E12177"/>
    <w:rsid w:val="00E122BB"/>
    <w:rsid w:val="00E12864"/>
    <w:rsid w:val="00E12CA3"/>
    <w:rsid w:val="00E130CF"/>
    <w:rsid w:val="00E13265"/>
    <w:rsid w:val="00E132DC"/>
    <w:rsid w:val="00E1345C"/>
    <w:rsid w:val="00E13491"/>
    <w:rsid w:val="00E13510"/>
    <w:rsid w:val="00E139B1"/>
    <w:rsid w:val="00E13AB2"/>
    <w:rsid w:val="00E143E2"/>
    <w:rsid w:val="00E14551"/>
    <w:rsid w:val="00E1477B"/>
    <w:rsid w:val="00E14A39"/>
    <w:rsid w:val="00E14B80"/>
    <w:rsid w:val="00E14C39"/>
    <w:rsid w:val="00E14C99"/>
    <w:rsid w:val="00E150C3"/>
    <w:rsid w:val="00E150E8"/>
    <w:rsid w:val="00E1578A"/>
    <w:rsid w:val="00E157BA"/>
    <w:rsid w:val="00E15FEF"/>
    <w:rsid w:val="00E161C0"/>
    <w:rsid w:val="00E1622F"/>
    <w:rsid w:val="00E16856"/>
    <w:rsid w:val="00E16D36"/>
    <w:rsid w:val="00E171E0"/>
    <w:rsid w:val="00E17388"/>
    <w:rsid w:val="00E17958"/>
    <w:rsid w:val="00E17A21"/>
    <w:rsid w:val="00E206DD"/>
    <w:rsid w:val="00E20CE8"/>
    <w:rsid w:val="00E210F1"/>
    <w:rsid w:val="00E21307"/>
    <w:rsid w:val="00E216B3"/>
    <w:rsid w:val="00E21873"/>
    <w:rsid w:val="00E21B4A"/>
    <w:rsid w:val="00E21D1F"/>
    <w:rsid w:val="00E21F37"/>
    <w:rsid w:val="00E22177"/>
    <w:rsid w:val="00E225ED"/>
    <w:rsid w:val="00E22DE8"/>
    <w:rsid w:val="00E23455"/>
    <w:rsid w:val="00E23B3C"/>
    <w:rsid w:val="00E23D75"/>
    <w:rsid w:val="00E23FBF"/>
    <w:rsid w:val="00E2431C"/>
    <w:rsid w:val="00E248D9"/>
    <w:rsid w:val="00E24C0B"/>
    <w:rsid w:val="00E2543A"/>
    <w:rsid w:val="00E2583A"/>
    <w:rsid w:val="00E2595A"/>
    <w:rsid w:val="00E25A12"/>
    <w:rsid w:val="00E25AF0"/>
    <w:rsid w:val="00E25C7D"/>
    <w:rsid w:val="00E25EA5"/>
    <w:rsid w:val="00E25EE0"/>
    <w:rsid w:val="00E26304"/>
    <w:rsid w:val="00E2645A"/>
    <w:rsid w:val="00E265DE"/>
    <w:rsid w:val="00E266C3"/>
    <w:rsid w:val="00E267FF"/>
    <w:rsid w:val="00E26C0E"/>
    <w:rsid w:val="00E26C43"/>
    <w:rsid w:val="00E26D55"/>
    <w:rsid w:val="00E26D5E"/>
    <w:rsid w:val="00E27283"/>
    <w:rsid w:val="00E27325"/>
    <w:rsid w:val="00E27564"/>
    <w:rsid w:val="00E27611"/>
    <w:rsid w:val="00E27E5F"/>
    <w:rsid w:val="00E304F7"/>
    <w:rsid w:val="00E30591"/>
    <w:rsid w:val="00E30665"/>
    <w:rsid w:val="00E30986"/>
    <w:rsid w:val="00E30C2C"/>
    <w:rsid w:val="00E30C81"/>
    <w:rsid w:val="00E30CE1"/>
    <w:rsid w:val="00E30D2A"/>
    <w:rsid w:val="00E3104F"/>
    <w:rsid w:val="00E316C1"/>
    <w:rsid w:val="00E31E3E"/>
    <w:rsid w:val="00E3285E"/>
    <w:rsid w:val="00E32901"/>
    <w:rsid w:val="00E32C49"/>
    <w:rsid w:val="00E32D35"/>
    <w:rsid w:val="00E32FEE"/>
    <w:rsid w:val="00E3348F"/>
    <w:rsid w:val="00E3361D"/>
    <w:rsid w:val="00E338DC"/>
    <w:rsid w:val="00E33B35"/>
    <w:rsid w:val="00E33EE5"/>
    <w:rsid w:val="00E340C4"/>
    <w:rsid w:val="00E34105"/>
    <w:rsid w:val="00E3410A"/>
    <w:rsid w:val="00E345C4"/>
    <w:rsid w:val="00E347B2"/>
    <w:rsid w:val="00E34DFD"/>
    <w:rsid w:val="00E35455"/>
    <w:rsid w:val="00E355BB"/>
    <w:rsid w:val="00E355DA"/>
    <w:rsid w:val="00E357EA"/>
    <w:rsid w:val="00E35809"/>
    <w:rsid w:val="00E36166"/>
    <w:rsid w:val="00E36C4A"/>
    <w:rsid w:val="00E37031"/>
    <w:rsid w:val="00E372F1"/>
    <w:rsid w:val="00E37460"/>
    <w:rsid w:val="00E375AD"/>
    <w:rsid w:val="00E37868"/>
    <w:rsid w:val="00E40121"/>
    <w:rsid w:val="00E40907"/>
    <w:rsid w:val="00E40DD7"/>
    <w:rsid w:val="00E412A4"/>
    <w:rsid w:val="00E4152B"/>
    <w:rsid w:val="00E41DD9"/>
    <w:rsid w:val="00E41E41"/>
    <w:rsid w:val="00E41EF3"/>
    <w:rsid w:val="00E42060"/>
    <w:rsid w:val="00E423A9"/>
    <w:rsid w:val="00E423C4"/>
    <w:rsid w:val="00E4248F"/>
    <w:rsid w:val="00E426F9"/>
    <w:rsid w:val="00E42BFE"/>
    <w:rsid w:val="00E42E5D"/>
    <w:rsid w:val="00E42E9D"/>
    <w:rsid w:val="00E43309"/>
    <w:rsid w:val="00E435E9"/>
    <w:rsid w:val="00E43604"/>
    <w:rsid w:val="00E437BF"/>
    <w:rsid w:val="00E439E1"/>
    <w:rsid w:val="00E43D47"/>
    <w:rsid w:val="00E43DEC"/>
    <w:rsid w:val="00E43F8F"/>
    <w:rsid w:val="00E44096"/>
    <w:rsid w:val="00E444E0"/>
    <w:rsid w:val="00E447F6"/>
    <w:rsid w:val="00E44820"/>
    <w:rsid w:val="00E44E14"/>
    <w:rsid w:val="00E44E90"/>
    <w:rsid w:val="00E450EE"/>
    <w:rsid w:val="00E45873"/>
    <w:rsid w:val="00E4599C"/>
    <w:rsid w:val="00E459B0"/>
    <w:rsid w:val="00E45D58"/>
    <w:rsid w:val="00E45FE1"/>
    <w:rsid w:val="00E46698"/>
    <w:rsid w:val="00E46B5C"/>
    <w:rsid w:val="00E46D7F"/>
    <w:rsid w:val="00E47035"/>
    <w:rsid w:val="00E471F6"/>
    <w:rsid w:val="00E476AD"/>
    <w:rsid w:val="00E4784E"/>
    <w:rsid w:val="00E47B4B"/>
    <w:rsid w:val="00E47D07"/>
    <w:rsid w:val="00E47FA1"/>
    <w:rsid w:val="00E501A0"/>
    <w:rsid w:val="00E503AB"/>
    <w:rsid w:val="00E505DE"/>
    <w:rsid w:val="00E50791"/>
    <w:rsid w:val="00E50794"/>
    <w:rsid w:val="00E50895"/>
    <w:rsid w:val="00E50ACA"/>
    <w:rsid w:val="00E50C01"/>
    <w:rsid w:val="00E50CF7"/>
    <w:rsid w:val="00E50F55"/>
    <w:rsid w:val="00E51035"/>
    <w:rsid w:val="00E516EB"/>
    <w:rsid w:val="00E518BD"/>
    <w:rsid w:val="00E51C52"/>
    <w:rsid w:val="00E51CAF"/>
    <w:rsid w:val="00E51E4C"/>
    <w:rsid w:val="00E520A5"/>
    <w:rsid w:val="00E521BA"/>
    <w:rsid w:val="00E52590"/>
    <w:rsid w:val="00E525DD"/>
    <w:rsid w:val="00E5283E"/>
    <w:rsid w:val="00E52C13"/>
    <w:rsid w:val="00E52C5B"/>
    <w:rsid w:val="00E533C2"/>
    <w:rsid w:val="00E53507"/>
    <w:rsid w:val="00E53714"/>
    <w:rsid w:val="00E539D8"/>
    <w:rsid w:val="00E53B83"/>
    <w:rsid w:val="00E53CA8"/>
    <w:rsid w:val="00E540F1"/>
    <w:rsid w:val="00E5412C"/>
    <w:rsid w:val="00E541C3"/>
    <w:rsid w:val="00E5428C"/>
    <w:rsid w:val="00E54465"/>
    <w:rsid w:val="00E54B7F"/>
    <w:rsid w:val="00E5547E"/>
    <w:rsid w:val="00E558FE"/>
    <w:rsid w:val="00E55D7A"/>
    <w:rsid w:val="00E56205"/>
    <w:rsid w:val="00E56642"/>
    <w:rsid w:val="00E56685"/>
    <w:rsid w:val="00E5668D"/>
    <w:rsid w:val="00E56892"/>
    <w:rsid w:val="00E56F4D"/>
    <w:rsid w:val="00E57106"/>
    <w:rsid w:val="00E5767A"/>
    <w:rsid w:val="00E57808"/>
    <w:rsid w:val="00E57B33"/>
    <w:rsid w:val="00E57B58"/>
    <w:rsid w:val="00E57D5D"/>
    <w:rsid w:val="00E60072"/>
    <w:rsid w:val="00E6009C"/>
    <w:rsid w:val="00E603B3"/>
    <w:rsid w:val="00E6040A"/>
    <w:rsid w:val="00E60CDF"/>
    <w:rsid w:val="00E60E8C"/>
    <w:rsid w:val="00E60EAF"/>
    <w:rsid w:val="00E613C4"/>
    <w:rsid w:val="00E6181B"/>
    <w:rsid w:val="00E61A7B"/>
    <w:rsid w:val="00E61B7C"/>
    <w:rsid w:val="00E61CFC"/>
    <w:rsid w:val="00E61D91"/>
    <w:rsid w:val="00E620CA"/>
    <w:rsid w:val="00E621DE"/>
    <w:rsid w:val="00E62623"/>
    <w:rsid w:val="00E6272D"/>
    <w:rsid w:val="00E6302B"/>
    <w:rsid w:val="00E6313A"/>
    <w:rsid w:val="00E6320E"/>
    <w:rsid w:val="00E63297"/>
    <w:rsid w:val="00E632E5"/>
    <w:rsid w:val="00E632EF"/>
    <w:rsid w:val="00E6344A"/>
    <w:rsid w:val="00E638CF"/>
    <w:rsid w:val="00E63A0D"/>
    <w:rsid w:val="00E63E17"/>
    <w:rsid w:val="00E63E8C"/>
    <w:rsid w:val="00E64340"/>
    <w:rsid w:val="00E645FC"/>
    <w:rsid w:val="00E64A01"/>
    <w:rsid w:val="00E65C72"/>
    <w:rsid w:val="00E66193"/>
    <w:rsid w:val="00E6622C"/>
    <w:rsid w:val="00E66AF4"/>
    <w:rsid w:val="00E66D4C"/>
    <w:rsid w:val="00E66F61"/>
    <w:rsid w:val="00E66FB5"/>
    <w:rsid w:val="00E67007"/>
    <w:rsid w:val="00E671C5"/>
    <w:rsid w:val="00E67315"/>
    <w:rsid w:val="00E67530"/>
    <w:rsid w:val="00E67D1A"/>
    <w:rsid w:val="00E701F8"/>
    <w:rsid w:val="00E703A3"/>
    <w:rsid w:val="00E704E6"/>
    <w:rsid w:val="00E706B3"/>
    <w:rsid w:val="00E7072F"/>
    <w:rsid w:val="00E7089D"/>
    <w:rsid w:val="00E70C48"/>
    <w:rsid w:val="00E70EED"/>
    <w:rsid w:val="00E7113C"/>
    <w:rsid w:val="00E71352"/>
    <w:rsid w:val="00E7171F"/>
    <w:rsid w:val="00E71884"/>
    <w:rsid w:val="00E7193F"/>
    <w:rsid w:val="00E71AC0"/>
    <w:rsid w:val="00E71EFC"/>
    <w:rsid w:val="00E71FF5"/>
    <w:rsid w:val="00E72466"/>
    <w:rsid w:val="00E72696"/>
    <w:rsid w:val="00E7279F"/>
    <w:rsid w:val="00E728D7"/>
    <w:rsid w:val="00E72AC6"/>
    <w:rsid w:val="00E72C18"/>
    <w:rsid w:val="00E72DBA"/>
    <w:rsid w:val="00E72F15"/>
    <w:rsid w:val="00E733A5"/>
    <w:rsid w:val="00E735C3"/>
    <w:rsid w:val="00E735FD"/>
    <w:rsid w:val="00E738A8"/>
    <w:rsid w:val="00E73ABF"/>
    <w:rsid w:val="00E73C71"/>
    <w:rsid w:val="00E73DB6"/>
    <w:rsid w:val="00E73E17"/>
    <w:rsid w:val="00E7407D"/>
    <w:rsid w:val="00E740F9"/>
    <w:rsid w:val="00E742A2"/>
    <w:rsid w:val="00E7459B"/>
    <w:rsid w:val="00E74636"/>
    <w:rsid w:val="00E747AB"/>
    <w:rsid w:val="00E7495A"/>
    <w:rsid w:val="00E74A56"/>
    <w:rsid w:val="00E74C43"/>
    <w:rsid w:val="00E74C69"/>
    <w:rsid w:val="00E74EB4"/>
    <w:rsid w:val="00E74F1E"/>
    <w:rsid w:val="00E756C4"/>
    <w:rsid w:val="00E75A07"/>
    <w:rsid w:val="00E75BD1"/>
    <w:rsid w:val="00E75F26"/>
    <w:rsid w:val="00E763AE"/>
    <w:rsid w:val="00E767C3"/>
    <w:rsid w:val="00E7731F"/>
    <w:rsid w:val="00E77392"/>
    <w:rsid w:val="00E774CD"/>
    <w:rsid w:val="00E77CAF"/>
    <w:rsid w:val="00E77D15"/>
    <w:rsid w:val="00E77D65"/>
    <w:rsid w:val="00E800C8"/>
    <w:rsid w:val="00E8058A"/>
    <w:rsid w:val="00E8094C"/>
    <w:rsid w:val="00E80ACE"/>
    <w:rsid w:val="00E8106B"/>
    <w:rsid w:val="00E81432"/>
    <w:rsid w:val="00E81756"/>
    <w:rsid w:val="00E81C1E"/>
    <w:rsid w:val="00E820BA"/>
    <w:rsid w:val="00E820DD"/>
    <w:rsid w:val="00E82494"/>
    <w:rsid w:val="00E82C6D"/>
    <w:rsid w:val="00E83260"/>
    <w:rsid w:val="00E834B6"/>
    <w:rsid w:val="00E834D1"/>
    <w:rsid w:val="00E8362C"/>
    <w:rsid w:val="00E8368E"/>
    <w:rsid w:val="00E83BAF"/>
    <w:rsid w:val="00E83D23"/>
    <w:rsid w:val="00E84049"/>
    <w:rsid w:val="00E84887"/>
    <w:rsid w:val="00E84BEC"/>
    <w:rsid w:val="00E84D73"/>
    <w:rsid w:val="00E84E6C"/>
    <w:rsid w:val="00E85083"/>
    <w:rsid w:val="00E85120"/>
    <w:rsid w:val="00E85524"/>
    <w:rsid w:val="00E85559"/>
    <w:rsid w:val="00E855FF"/>
    <w:rsid w:val="00E856B6"/>
    <w:rsid w:val="00E859F9"/>
    <w:rsid w:val="00E85ABF"/>
    <w:rsid w:val="00E85C96"/>
    <w:rsid w:val="00E85D3C"/>
    <w:rsid w:val="00E85FAD"/>
    <w:rsid w:val="00E86AAC"/>
    <w:rsid w:val="00E86BD7"/>
    <w:rsid w:val="00E87148"/>
    <w:rsid w:val="00E872E6"/>
    <w:rsid w:val="00E873EE"/>
    <w:rsid w:val="00E87468"/>
    <w:rsid w:val="00E876EE"/>
    <w:rsid w:val="00E87784"/>
    <w:rsid w:val="00E87E97"/>
    <w:rsid w:val="00E900B1"/>
    <w:rsid w:val="00E90447"/>
    <w:rsid w:val="00E90A8A"/>
    <w:rsid w:val="00E910B5"/>
    <w:rsid w:val="00E9121C"/>
    <w:rsid w:val="00E914B1"/>
    <w:rsid w:val="00E91559"/>
    <w:rsid w:val="00E91716"/>
    <w:rsid w:val="00E91997"/>
    <w:rsid w:val="00E91C79"/>
    <w:rsid w:val="00E91CA8"/>
    <w:rsid w:val="00E91F00"/>
    <w:rsid w:val="00E9282F"/>
    <w:rsid w:val="00E92B90"/>
    <w:rsid w:val="00E934C4"/>
    <w:rsid w:val="00E93553"/>
    <w:rsid w:val="00E93C11"/>
    <w:rsid w:val="00E94266"/>
    <w:rsid w:val="00E9436A"/>
    <w:rsid w:val="00E945FB"/>
    <w:rsid w:val="00E94DC4"/>
    <w:rsid w:val="00E9508E"/>
    <w:rsid w:val="00E95A30"/>
    <w:rsid w:val="00E95DB1"/>
    <w:rsid w:val="00E95E21"/>
    <w:rsid w:val="00E960B9"/>
    <w:rsid w:val="00E96335"/>
    <w:rsid w:val="00E964D4"/>
    <w:rsid w:val="00E9667A"/>
    <w:rsid w:val="00E967D2"/>
    <w:rsid w:val="00E97342"/>
    <w:rsid w:val="00E97410"/>
    <w:rsid w:val="00E9772F"/>
    <w:rsid w:val="00E977AA"/>
    <w:rsid w:val="00E97862"/>
    <w:rsid w:val="00E978DE"/>
    <w:rsid w:val="00EA0AB2"/>
    <w:rsid w:val="00EA0CC7"/>
    <w:rsid w:val="00EA0E6E"/>
    <w:rsid w:val="00EA0F90"/>
    <w:rsid w:val="00EA1183"/>
    <w:rsid w:val="00EA14A2"/>
    <w:rsid w:val="00EA14F3"/>
    <w:rsid w:val="00EA17E5"/>
    <w:rsid w:val="00EA193F"/>
    <w:rsid w:val="00EA19CC"/>
    <w:rsid w:val="00EA1B21"/>
    <w:rsid w:val="00EA1DCD"/>
    <w:rsid w:val="00EA1E8D"/>
    <w:rsid w:val="00EA224A"/>
    <w:rsid w:val="00EA245C"/>
    <w:rsid w:val="00EA2973"/>
    <w:rsid w:val="00EA2990"/>
    <w:rsid w:val="00EA2B2F"/>
    <w:rsid w:val="00EA2C2C"/>
    <w:rsid w:val="00EA2E3D"/>
    <w:rsid w:val="00EA2EC4"/>
    <w:rsid w:val="00EA2F3B"/>
    <w:rsid w:val="00EA38E2"/>
    <w:rsid w:val="00EA3A0F"/>
    <w:rsid w:val="00EA3D12"/>
    <w:rsid w:val="00EA4683"/>
    <w:rsid w:val="00EA472E"/>
    <w:rsid w:val="00EA4731"/>
    <w:rsid w:val="00EA49B0"/>
    <w:rsid w:val="00EA4AA9"/>
    <w:rsid w:val="00EA4B2C"/>
    <w:rsid w:val="00EA4B47"/>
    <w:rsid w:val="00EA4F52"/>
    <w:rsid w:val="00EA4F6D"/>
    <w:rsid w:val="00EA527D"/>
    <w:rsid w:val="00EA5286"/>
    <w:rsid w:val="00EA5326"/>
    <w:rsid w:val="00EA56BE"/>
    <w:rsid w:val="00EA5F0C"/>
    <w:rsid w:val="00EA5F44"/>
    <w:rsid w:val="00EA62EF"/>
    <w:rsid w:val="00EA64F8"/>
    <w:rsid w:val="00EA69ED"/>
    <w:rsid w:val="00EA7069"/>
    <w:rsid w:val="00EA717E"/>
    <w:rsid w:val="00EA7594"/>
    <w:rsid w:val="00EA764D"/>
    <w:rsid w:val="00EA7C8C"/>
    <w:rsid w:val="00EB020B"/>
    <w:rsid w:val="00EB05C6"/>
    <w:rsid w:val="00EB09C1"/>
    <w:rsid w:val="00EB0CF5"/>
    <w:rsid w:val="00EB1814"/>
    <w:rsid w:val="00EB18C8"/>
    <w:rsid w:val="00EB1CC6"/>
    <w:rsid w:val="00EB1EAE"/>
    <w:rsid w:val="00EB237D"/>
    <w:rsid w:val="00EB251E"/>
    <w:rsid w:val="00EB25E4"/>
    <w:rsid w:val="00EB2A34"/>
    <w:rsid w:val="00EB3114"/>
    <w:rsid w:val="00EB32C0"/>
    <w:rsid w:val="00EB36F1"/>
    <w:rsid w:val="00EB410B"/>
    <w:rsid w:val="00EB415E"/>
    <w:rsid w:val="00EB4210"/>
    <w:rsid w:val="00EB4220"/>
    <w:rsid w:val="00EB472A"/>
    <w:rsid w:val="00EB4812"/>
    <w:rsid w:val="00EB51A2"/>
    <w:rsid w:val="00EB5323"/>
    <w:rsid w:val="00EB56EE"/>
    <w:rsid w:val="00EB5BA4"/>
    <w:rsid w:val="00EB5BCD"/>
    <w:rsid w:val="00EB6088"/>
    <w:rsid w:val="00EB6092"/>
    <w:rsid w:val="00EB62B4"/>
    <w:rsid w:val="00EB66DE"/>
    <w:rsid w:val="00EB6BF7"/>
    <w:rsid w:val="00EB6D0B"/>
    <w:rsid w:val="00EB6D96"/>
    <w:rsid w:val="00EB6F69"/>
    <w:rsid w:val="00EB7B7D"/>
    <w:rsid w:val="00EB7F93"/>
    <w:rsid w:val="00EC018F"/>
    <w:rsid w:val="00EC0667"/>
    <w:rsid w:val="00EC075B"/>
    <w:rsid w:val="00EC0907"/>
    <w:rsid w:val="00EC0E68"/>
    <w:rsid w:val="00EC10CE"/>
    <w:rsid w:val="00EC155D"/>
    <w:rsid w:val="00EC164C"/>
    <w:rsid w:val="00EC17FF"/>
    <w:rsid w:val="00EC1E05"/>
    <w:rsid w:val="00EC1E80"/>
    <w:rsid w:val="00EC210A"/>
    <w:rsid w:val="00EC22C1"/>
    <w:rsid w:val="00EC24FA"/>
    <w:rsid w:val="00EC27A9"/>
    <w:rsid w:val="00EC2AF1"/>
    <w:rsid w:val="00EC2EFF"/>
    <w:rsid w:val="00EC3112"/>
    <w:rsid w:val="00EC3885"/>
    <w:rsid w:val="00EC40A1"/>
    <w:rsid w:val="00EC453E"/>
    <w:rsid w:val="00EC4AA3"/>
    <w:rsid w:val="00EC5135"/>
    <w:rsid w:val="00EC514D"/>
    <w:rsid w:val="00EC52BE"/>
    <w:rsid w:val="00EC568E"/>
    <w:rsid w:val="00EC58CC"/>
    <w:rsid w:val="00EC5A63"/>
    <w:rsid w:val="00EC5C60"/>
    <w:rsid w:val="00EC5C6B"/>
    <w:rsid w:val="00EC5F06"/>
    <w:rsid w:val="00EC6198"/>
    <w:rsid w:val="00EC63E5"/>
    <w:rsid w:val="00EC6660"/>
    <w:rsid w:val="00EC667F"/>
    <w:rsid w:val="00EC684D"/>
    <w:rsid w:val="00EC688E"/>
    <w:rsid w:val="00EC6DAE"/>
    <w:rsid w:val="00EC6EE1"/>
    <w:rsid w:val="00EC70B2"/>
    <w:rsid w:val="00EC7347"/>
    <w:rsid w:val="00EC7AB3"/>
    <w:rsid w:val="00EC7C63"/>
    <w:rsid w:val="00EC7DD2"/>
    <w:rsid w:val="00ED04A7"/>
    <w:rsid w:val="00ED04CD"/>
    <w:rsid w:val="00ED0724"/>
    <w:rsid w:val="00ED07A3"/>
    <w:rsid w:val="00ED0AF6"/>
    <w:rsid w:val="00ED0BE1"/>
    <w:rsid w:val="00ED0CA5"/>
    <w:rsid w:val="00ED1252"/>
    <w:rsid w:val="00ED1299"/>
    <w:rsid w:val="00ED1457"/>
    <w:rsid w:val="00ED14F5"/>
    <w:rsid w:val="00ED15F0"/>
    <w:rsid w:val="00ED1BDD"/>
    <w:rsid w:val="00ED2093"/>
    <w:rsid w:val="00ED234D"/>
    <w:rsid w:val="00ED234F"/>
    <w:rsid w:val="00ED247B"/>
    <w:rsid w:val="00ED274D"/>
    <w:rsid w:val="00ED3397"/>
    <w:rsid w:val="00ED3567"/>
    <w:rsid w:val="00ED371C"/>
    <w:rsid w:val="00ED37C0"/>
    <w:rsid w:val="00ED3977"/>
    <w:rsid w:val="00ED3A3E"/>
    <w:rsid w:val="00ED3AB4"/>
    <w:rsid w:val="00ED3F85"/>
    <w:rsid w:val="00ED465C"/>
    <w:rsid w:val="00ED4E4A"/>
    <w:rsid w:val="00ED4FE2"/>
    <w:rsid w:val="00ED5593"/>
    <w:rsid w:val="00ED56D6"/>
    <w:rsid w:val="00ED59B0"/>
    <w:rsid w:val="00ED5ED4"/>
    <w:rsid w:val="00ED5EFD"/>
    <w:rsid w:val="00ED5F9B"/>
    <w:rsid w:val="00ED61B7"/>
    <w:rsid w:val="00ED6437"/>
    <w:rsid w:val="00ED65B2"/>
    <w:rsid w:val="00ED6960"/>
    <w:rsid w:val="00ED6A87"/>
    <w:rsid w:val="00ED6B20"/>
    <w:rsid w:val="00ED6CCC"/>
    <w:rsid w:val="00ED6D6A"/>
    <w:rsid w:val="00ED732F"/>
    <w:rsid w:val="00ED7B0F"/>
    <w:rsid w:val="00EE0372"/>
    <w:rsid w:val="00EE06E7"/>
    <w:rsid w:val="00EE0805"/>
    <w:rsid w:val="00EE0FD4"/>
    <w:rsid w:val="00EE108C"/>
    <w:rsid w:val="00EE16C5"/>
    <w:rsid w:val="00EE1866"/>
    <w:rsid w:val="00EE1AD3"/>
    <w:rsid w:val="00EE21E4"/>
    <w:rsid w:val="00EE26B8"/>
    <w:rsid w:val="00EE2851"/>
    <w:rsid w:val="00EE2A8B"/>
    <w:rsid w:val="00EE2CAB"/>
    <w:rsid w:val="00EE3051"/>
    <w:rsid w:val="00EE3293"/>
    <w:rsid w:val="00EE340A"/>
    <w:rsid w:val="00EE3587"/>
    <w:rsid w:val="00EE35BD"/>
    <w:rsid w:val="00EE366E"/>
    <w:rsid w:val="00EE3A0F"/>
    <w:rsid w:val="00EE3C60"/>
    <w:rsid w:val="00EE3D29"/>
    <w:rsid w:val="00EE3EA4"/>
    <w:rsid w:val="00EE4054"/>
    <w:rsid w:val="00EE439A"/>
    <w:rsid w:val="00EE45CB"/>
    <w:rsid w:val="00EE482F"/>
    <w:rsid w:val="00EE49CE"/>
    <w:rsid w:val="00EE4A4D"/>
    <w:rsid w:val="00EE4DA4"/>
    <w:rsid w:val="00EE4FBE"/>
    <w:rsid w:val="00EE508A"/>
    <w:rsid w:val="00EE5283"/>
    <w:rsid w:val="00EE5291"/>
    <w:rsid w:val="00EE5331"/>
    <w:rsid w:val="00EE5A7B"/>
    <w:rsid w:val="00EE5BAC"/>
    <w:rsid w:val="00EE5D7E"/>
    <w:rsid w:val="00EE677D"/>
    <w:rsid w:val="00EE6FF1"/>
    <w:rsid w:val="00EE71E1"/>
    <w:rsid w:val="00EE7936"/>
    <w:rsid w:val="00EE793D"/>
    <w:rsid w:val="00EE7A34"/>
    <w:rsid w:val="00EF0260"/>
    <w:rsid w:val="00EF0BD7"/>
    <w:rsid w:val="00EF0C17"/>
    <w:rsid w:val="00EF0E69"/>
    <w:rsid w:val="00EF0F06"/>
    <w:rsid w:val="00EF15EA"/>
    <w:rsid w:val="00EF18CA"/>
    <w:rsid w:val="00EF197C"/>
    <w:rsid w:val="00EF1E3A"/>
    <w:rsid w:val="00EF207A"/>
    <w:rsid w:val="00EF2305"/>
    <w:rsid w:val="00EF247E"/>
    <w:rsid w:val="00EF2726"/>
    <w:rsid w:val="00EF2A43"/>
    <w:rsid w:val="00EF2AA3"/>
    <w:rsid w:val="00EF2CA1"/>
    <w:rsid w:val="00EF2CBA"/>
    <w:rsid w:val="00EF321D"/>
    <w:rsid w:val="00EF3E05"/>
    <w:rsid w:val="00EF3E88"/>
    <w:rsid w:val="00EF462A"/>
    <w:rsid w:val="00EF47CE"/>
    <w:rsid w:val="00EF4884"/>
    <w:rsid w:val="00EF48E2"/>
    <w:rsid w:val="00EF4F7F"/>
    <w:rsid w:val="00EF56A8"/>
    <w:rsid w:val="00EF56DD"/>
    <w:rsid w:val="00EF5789"/>
    <w:rsid w:val="00EF5EDA"/>
    <w:rsid w:val="00EF65FF"/>
    <w:rsid w:val="00EF68B6"/>
    <w:rsid w:val="00EF6BCC"/>
    <w:rsid w:val="00EF6D8D"/>
    <w:rsid w:val="00EF706F"/>
    <w:rsid w:val="00EF71BC"/>
    <w:rsid w:val="00EF736F"/>
    <w:rsid w:val="00EF75CE"/>
    <w:rsid w:val="00EF772F"/>
    <w:rsid w:val="00EF7B7E"/>
    <w:rsid w:val="00EF7C1C"/>
    <w:rsid w:val="00EF7C47"/>
    <w:rsid w:val="00EF7DEE"/>
    <w:rsid w:val="00EF7DF9"/>
    <w:rsid w:val="00EF7F21"/>
    <w:rsid w:val="00EF7FDC"/>
    <w:rsid w:val="00F003FC"/>
    <w:rsid w:val="00F00656"/>
    <w:rsid w:val="00F0075F"/>
    <w:rsid w:val="00F01547"/>
    <w:rsid w:val="00F0191D"/>
    <w:rsid w:val="00F01B1D"/>
    <w:rsid w:val="00F01D94"/>
    <w:rsid w:val="00F01F7C"/>
    <w:rsid w:val="00F02051"/>
    <w:rsid w:val="00F02152"/>
    <w:rsid w:val="00F021A1"/>
    <w:rsid w:val="00F0223F"/>
    <w:rsid w:val="00F02461"/>
    <w:rsid w:val="00F0269B"/>
    <w:rsid w:val="00F02C2A"/>
    <w:rsid w:val="00F03803"/>
    <w:rsid w:val="00F03B61"/>
    <w:rsid w:val="00F03D6D"/>
    <w:rsid w:val="00F03E8B"/>
    <w:rsid w:val="00F0404B"/>
    <w:rsid w:val="00F041D3"/>
    <w:rsid w:val="00F04414"/>
    <w:rsid w:val="00F04A6E"/>
    <w:rsid w:val="00F04B9F"/>
    <w:rsid w:val="00F04E24"/>
    <w:rsid w:val="00F04F1A"/>
    <w:rsid w:val="00F053FD"/>
    <w:rsid w:val="00F05A97"/>
    <w:rsid w:val="00F05E77"/>
    <w:rsid w:val="00F0600C"/>
    <w:rsid w:val="00F0623D"/>
    <w:rsid w:val="00F064F2"/>
    <w:rsid w:val="00F06564"/>
    <w:rsid w:val="00F0675C"/>
    <w:rsid w:val="00F0678C"/>
    <w:rsid w:val="00F06A7C"/>
    <w:rsid w:val="00F06AAB"/>
    <w:rsid w:val="00F06DF3"/>
    <w:rsid w:val="00F07332"/>
    <w:rsid w:val="00F07488"/>
    <w:rsid w:val="00F07834"/>
    <w:rsid w:val="00F079F7"/>
    <w:rsid w:val="00F07DB4"/>
    <w:rsid w:val="00F10781"/>
    <w:rsid w:val="00F10867"/>
    <w:rsid w:val="00F10A53"/>
    <w:rsid w:val="00F10D3F"/>
    <w:rsid w:val="00F10E86"/>
    <w:rsid w:val="00F11237"/>
    <w:rsid w:val="00F112E6"/>
    <w:rsid w:val="00F114FF"/>
    <w:rsid w:val="00F1159A"/>
    <w:rsid w:val="00F11C75"/>
    <w:rsid w:val="00F11EB4"/>
    <w:rsid w:val="00F1249A"/>
    <w:rsid w:val="00F12835"/>
    <w:rsid w:val="00F12837"/>
    <w:rsid w:val="00F12A5F"/>
    <w:rsid w:val="00F12CA9"/>
    <w:rsid w:val="00F12DB9"/>
    <w:rsid w:val="00F12FF0"/>
    <w:rsid w:val="00F13342"/>
    <w:rsid w:val="00F133C6"/>
    <w:rsid w:val="00F13796"/>
    <w:rsid w:val="00F137C5"/>
    <w:rsid w:val="00F13800"/>
    <w:rsid w:val="00F13A61"/>
    <w:rsid w:val="00F13DD4"/>
    <w:rsid w:val="00F142EB"/>
    <w:rsid w:val="00F14517"/>
    <w:rsid w:val="00F14797"/>
    <w:rsid w:val="00F14AF8"/>
    <w:rsid w:val="00F14C97"/>
    <w:rsid w:val="00F14D23"/>
    <w:rsid w:val="00F14E93"/>
    <w:rsid w:val="00F159DB"/>
    <w:rsid w:val="00F161A5"/>
    <w:rsid w:val="00F1639A"/>
    <w:rsid w:val="00F16688"/>
    <w:rsid w:val="00F166D4"/>
    <w:rsid w:val="00F166EF"/>
    <w:rsid w:val="00F168B7"/>
    <w:rsid w:val="00F16CEA"/>
    <w:rsid w:val="00F17006"/>
    <w:rsid w:val="00F2008A"/>
    <w:rsid w:val="00F2013C"/>
    <w:rsid w:val="00F2017E"/>
    <w:rsid w:val="00F2028E"/>
    <w:rsid w:val="00F20487"/>
    <w:rsid w:val="00F20BC5"/>
    <w:rsid w:val="00F20D1E"/>
    <w:rsid w:val="00F20F99"/>
    <w:rsid w:val="00F213B0"/>
    <w:rsid w:val="00F216AA"/>
    <w:rsid w:val="00F21D30"/>
    <w:rsid w:val="00F21FD4"/>
    <w:rsid w:val="00F221F0"/>
    <w:rsid w:val="00F22509"/>
    <w:rsid w:val="00F22568"/>
    <w:rsid w:val="00F22710"/>
    <w:rsid w:val="00F22743"/>
    <w:rsid w:val="00F22E64"/>
    <w:rsid w:val="00F23285"/>
    <w:rsid w:val="00F23618"/>
    <w:rsid w:val="00F23D94"/>
    <w:rsid w:val="00F23E5D"/>
    <w:rsid w:val="00F241EA"/>
    <w:rsid w:val="00F2421F"/>
    <w:rsid w:val="00F2449F"/>
    <w:rsid w:val="00F245A3"/>
    <w:rsid w:val="00F24805"/>
    <w:rsid w:val="00F24886"/>
    <w:rsid w:val="00F24AE1"/>
    <w:rsid w:val="00F24BF3"/>
    <w:rsid w:val="00F24E14"/>
    <w:rsid w:val="00F2560B"/>
    <w:rsid w:val="00F256BE"/>
    <w:rsid w:val="00F25A72"/>
    <w:rsid w:val="00F25B9E"/>
    <w:rsid w:val="00F25C73"/>
    <w:rsid w:val="00F25FF2"/>
    <w:rsid w:val="00F2617C"/>
    <w:rsid w:val="00F261C6"/>
    <w:rsid w:val="00F2629D"/>
    <w:rsid w:val="00F262F6"/>
    <w:rsid w:val="00F265D1"/>
    <w:rsid w:val="00F26608"/>
    <w:rsid w:val="00F26969"/>
    <w:rsid w:val="00F26E36"/>
    <w:rsid w:val="00F26E93"/>
    <w:rsid w:val="00F26F01"/>
    <w:rsid w:val="00F26F16"/>
    <w:rsid w:val="00F2700B"/>
    <w:rsid w:val="00F2701C"/>
    <w:rsid w:val="00F27672"/>
    <w:rsid w:val="00F2779C"/>
    <w:rsid w:val="00F279FD"/>
    <w:rsid w:val="00F27FF7"/>
    <w:rsid w:val="00F302C7"/>
    <w:rsid w:val="00F303D9"/>
    <w:rsid w:val="00F3083E"/>
    <w:rsid w:val="00F30EBA"/>
    <w:rsid w:val="00F312DD"/>
    <w:rsid w:val="00F31458"/>
    <w:rsid w:val="00F31489"/>
    <w:rsid w:val="00F3168D"/>
    <w:rsid w:val="00F31861"/>
    <w:rsid w:val="00F31B4E"/>
    <w:rsid w:val="00F3216E"/>
    <w:rsid w:val="00F322A8"/>
    <w:rsid w:val="00F32813"/>
    <w:rsid w:val="00F32CA3"/>
    <w:rsid w:val="00F32EE2"/>
    <w:rsid w:val="00F33230"/>
    <w:rsid w:val="00F332F5"/>
    <w:rsid w:val="00F334BA"/>
    <w:rsid w:val="00F335AF"/>
    <w:rsid w:val="00F33ABC"/>
    <w:rsid w:val="00F33AC3"/>
    <w:rsid w:val="00F33B39"/>
    <w:rsid w:val="00F33B83"/>
    <w:rsid w:val="00F33E83"/>
    <w:rsid w:val="00F34080"/>
    <w:rsid w:val="00F34652"/>
    <w:rsid w:val="00F347FB"/>
    <w:rsid w:val="00F35124"/>
    <w:rsid w:val="00F352E6"/>
    <w:rsid w:val="00F3576C"/>
    <w:rsid w:val="00F358D3"/>
    <w:rsid w:val="00F35A43"/>
    <w:rsid w:val="00F35A6E"/>
    <w:rsid w:val="00F35D08"/>
    <w:rsid w:val="00F36094"/>
    <w:rsid w:val="00F36211"/>
    <w:rsid w:val="00F362FF"/>
    <w:rsid w:val="00F36BC2"/>
    <w:rsid w:val="00F36C8C"/>
    <w:rsid w:val="00F36DAE"/>
    <w:rsid w:val="00F36E98"/>
    <w:rsid w:val="00F37327"/>
    <w:rsid w:val="00F37446"/>
    <w:rsid w:val="00F374D6"/>
    <w:rsid w:val="00F375A5"/>
    <w:rsid w:val="00F37A77"/>
    <w:rsid w:val="00F37DB3"/>
    <w:rsid w:val="00F4000B"/>
    <w:rsid w:val="00F405FD"/>
    <w:rsid w:val="00F406FA"/>
    <w:rsid w:val="00F40E4A"/>
    <w:rsid w:val="00F40F5B"/>
    <w:rsid w:val="00F41034"/>
    <w:rsid w:val="00F412D5"/>
    <w:rsid w:val="00F412D8"/>
    <w:rsid w:val="00F414BC"/>
    <w:rsid w:val="00F41561"/>
    <w:rsid w:val="00F41998"/>
    <w:rsid w:val="00F419F9"/>
    <w:rsid w:val="00F41B03"/>
    <w:rsid w:val="00F41D2D"/>
    <w:rsid w:val="00F422F7"/>
    <w:rsid w:val="00F422FE"/>
    <w:rsid w:val="00F429F6"/>
    <w:rsid w:val="00F42EB0"/>
    <w:rsid w:val="00F4328C"/>
    <w:rsid w:val="00F43AE8"/>
    <w:rsid w:val="00F43CC5"/>
    <w:rsid w:val="00F440D7"/>
    <w:rsid w:val="00F4432F"/>
    <w:rsid w:val="00F44343"/>
    <w:rsid w:val="00F443E3"/>
    <w:rsid w:val="00F4467C"/>
    <w:rsid w:val="00F44C47"/>
    <w:rsid w:val="00F45174"/>
    <w:rsid w:val="00F451EF"/>
    <w:rsid w:val="00F455B1"/>
    <w:rsid w:val="00F45941"/>
    <w:rsid w:val="00F45EE1"/>
    <w:rsid w:val="00F46007"/>
    <w:rsid w:val="00F46024"/>
    <w:rsid w:val="00F462D5"/>
    <w:rsid w:val="00F463B7"/>
    <w:rsid w:val="00F465A1"/>
    <w:rsid w:val="00F46674"/>
    <w:rsid w:val="00F46832"/>
    <w:rsid w:val="00F468AF"/>
    <w:rsid w:val="00F47109"/>
    <w:rsid w:val="00F471FB"/>
    <w:rsid w:val="00F473D7"/>
    <w:rsid w:val="00F47A94"/>
    <w:rsid w:val="00F47AE9"/>
    <w:rsid w:val="00F47B13"/>
    <w:rsid w:val="00F47B81"/>
    <w:rsid w:val="00F47D12"/>
    <w:rsid w:val="00F47F0E"/>
    <w:rsid w:val="00F47F1A"/>
    <w:rsid w:val="00F47FA4"/>
    <w:rsid w:val="00F50B29"/>
    <w:rsid w:val="00F50B47"/>
    <w:rsid w:val="00F511C0"/>
    <w:rsid w:val="00F5123B"/>
    <w:rsid w:val="00F51635"/>
    <w:rsid w:val="00F51813"/>
    <w:rsid w:val="00F518D2"/>
    <w:rsid w:val="00F52630"/>
    <w:rsid w:val="00F52883"/>
    <w:rsid w:val="00F52993"/>
    <w:rsid w:val="00F52A1A"/>
    <w:rsid w:val="00F52B7E"/>
    <w:rsid w:val="00F52D06"/>
    <w:rsid w:val="00F5313C"/>
    <w:rsid w:val="00F53435"/>
    <w:rsid w:val="00F53A81"/>
    <w:rsid w:val="00F53F71"/>
    <w:rsid w:val="00F54292"/>
    <w:rsid w:val="00F54347"/>
    <w:rsid w:val="00F54473"/>
    <w:rsid w:val="00F54681"/>
    <w:rsid w:val="00F546D7"/>
    <w:rsid w:val="00F54B04"/>
    <w:rsid w:val="00F54FD0"/>
    <w:rsid w:val="00F55118"/>
    <w:rsid w:val="00F554FE"/>
    <w:rsid w:val="00F55670"/>
    <w:rsid w:val="00F55863"/>
    <w:rsid w:val="00F5593F"/>
    <w:rsid w:val="00F56585"/>
    <w:rsid w:val="00F56776"/>
    <w:rsid w:val="00F56990"/>
    <w:rsid w:val="00F569B1"/>
    <w:rsid w:val="00F56A15"/>
    <w:rsid w:val="00F56BE6"/>
    <w:rsid w:val="00F56D0F"/>
    <w:rsid w:val="00F5707D"/>
    <w:rsid w:val="00F5727B"/>
    <w:rsid w:val="00F572C7"/>
    <w:rsid w:val="00F57370"/>
    <w:rsid w:val="00F5FF3F"/>
    <w:rsid w:val="00F60067"/>
    <w:rsid w:val="00F60332"/>
    <w:rsid w:val="00F6039D"/>
    <w:rsid w:val="00F603E6"/>
    <w:rsid w:val="00F6054B"/>
    <w:rsid w:val="00F606DE"/>
    <w:rsid w:val="00F609C0"/>
    <w:rsid w:val="00F60F3D"/>
    <w:rsid w:val="00F60F44"/>
    <w:rsid w:val="00F60FCD"/>
    <w:rsid w:val="00F612B2"/>
    <w:rsid w:val="00F6193F"/>
    <w:rsid w:val="00F61A0B"/>
    <w:rsid w:val="00F61AE5"/>
    <w:rsid w:val="00F61C35"/>
    <w:rsid w:val="00F62069"/>
    <w:rsid w:val="00F62A56"/>
    <w:rsid w:val="00F62C5A"/>
    <w:rsid w:val="00F62CD5"/>
    <w:rsid w:val="00F62F0B"/>
    <w:rsid w:val="00F62FC7"/>
    <w:rsid w:val="00F63199"/>
    <w:rsid w:val="00F63318"/>
    <w:rsid w:val="00F6333D"/>
    <w:rsid w:val="00F63582"/>
    <w:rsid w:val="00F63C26"/>
    <w:rsid w:val="00F63EAD"/>
    <w:rsid w:val="00F63FE5"/>
    <w:rsid w:val="00F6431E"/>
    <w:rsid w:val="00F651A7"/>
    <w:rsid w:val="00F65290"/>
    <w:rsid w:val="00F65324"/>
    <w:rsid w:val="00F65A5E"/>
    <w:rsid w:val="00F65E06"/>
    <w:rsid w:val="00F65F0D"/>
    <w:rsid w:val="00F66027"/>
    <w:rsid w:val="00F665C6"/>
    <w:rsid w:val="00F669A4"/>
    <w:rsid w:val="00F66B56"/>
    <w:rsid w:val="00F66BB1"/>
    <w:rsid w:val="00F66F18"/>
    <w:rsid w:val="00F676CC"/>
    <w:rsid w:val="00F6788E"/>
    <w:rsid w:val="00F678F4"/>
    <w:rsid w:val="00F67992"/>
    <w:rsid w:val="00F700F8"/>
    <w:rsid w:val="00F70202"/>
    <w:rsid w:val="00F704EF"/>
    <w:rsid w:val="00F705C3"/>
    <w:rsid w:val="00F70AC2"/>
    <w:rsid w:val="00F70AC7"/>
    <w:rsid w:val="00F70E78"/>
    <w:rsid w:val="00F70E84"/>
    <w:rsid w:val="00F715BF"/>
    <w:rsid w:val="00F71722"/>
    <w:rsid w:val="00F71C06"/>
    <w:rsid w:val="00F71ECC"/>
    <w:rsid w:val="00F71F3F"/>
    <w:rsid w:val="00F72227"/>
    <w:rsid w:val="00F722B9"/>
    <w:rsid w:val="00F725EB"/>
    <w:rsid w:val="00F72608"/>
    <w:rsid w:val="00F72C0C"/>
    <w:rsid w:val="00F72C57"/>
    <w:rsid w:val="00F72CFD"/>
    <w:rsid w:val="00F72FDE"/>
    <w:rsid w:val="00F73488"/>
    <w:rsid w:val="00F738A5"/>
    <w:rsid w:val="00F74161"/>
    <w:rsid w:val="00F74D55"/>
    <w:rsid w:val="00F74DA3"/>
    <w:rsid w:val="00F74FB1"/>
    <w:rsid w:val="00F75256"/>
    <w:rsid w:val="00F75E50"/>
    <w:rsid w:val="00F75E62"/>
    <w:rsid w:val="00F762D3"/>
    <w:rsid w:val="00F7632B"/>
    <w:rsid w:val="00F76391"/>
    <w:rsid w:val="00F766DA"/>
    <w:rsid w:val="00F76864"/>
    <w:rsid w:val="00F76D82"/>
    <w:rsid w:val="00F76F22"/>
    <w:rsid w:val="00F76F2E"/>
    <w:rsid w:val="00F76FD4"/>
    <w:rsid w:val="00F7713D"/>
    <w:rsid w:val="00F77162"/>
    <w:rsid w:val="00F773DB"/>
    <w:rsid w:val="00F775F2"/>
    <w:rsid w:val="00F7773F"/>
    <w:rsid w:val="00F779CB"/>
    <w:rsid w:val="00F77AF9"/>
    <w:rsid w:val="00F77F14"/>
    <w:rsid w:val="00F80008"/>
    <w:rsid w:val="00F800EE"/>
    <w:rsid w:val="00F8035F"/>
    <w:rsid w:val="00F8042D"/>
    <w:rsid w:val="00F8053E"/>
    <w:rsid w:val="00F80688"/>
    <w:rsid w:val="00F80F17"/>
    <w:rsid w:val="00F81004"/>
    <w:rsid w:val="00F8114E"/>
    <w:rsid w:val="00F811D4"/>
    <w:rsid w:val="00F812CC"/>
    <w:rsid w:val="00F8157A"/>
    <w:rsid w:val="00F81831"/>
    <w:rsid w:val="00F82921"/>
    <w:rsid w:val="00F832F2"/>
    <w:rsid w:val="00F83778"/>
    <w:rsid w:val="00F83A91"/>
    <w:rsid w:val="00F83AD0"/>
    <w:rsid w:val="00F83DD4"/>
    <w:rsid w:val="00F8428F"/>
    <w:rsid w:val="00F846CF"/>
    <w:rsid w:val="00F85227"/>
    <w:rsid w:val="00F8527E"/>
    <w:rsid w:val="00F85982"/>
    <w:rsid w:val="00F85BF1"/>
    <w:rsid w:val="00F85CE0"/>
    <w:rsid w:val="00F85ED7"/>
    <w:rsid w:val="00F86085"/>
    <w:rsid w:val="00F869BE"/>
    <w:rsid w:val="00F86A74"/>
    <w:rsid w:val="00F86A9F"/>
    <w:rsid w:val="00F87218"/>
    <w:rsid w:val="00F8768A"/>
    <w:rsid w:val="00F87F07"/>
    <w:rsid w:val="00F90352"/>
    <w:rsid w:val="00F905B1"/>
    <w:rsid w:val="00F90630"/>
    <w:rsid w:val="00F90877"/>
    <w:rsid w:val="00F90AB8"/>
    <w:rsid w:val="00F90B16"/>
    <w:rsid w:val="00F90DBF"/>
    <w:rsid w:val="00F91163"/>
    <w:rsid w:val="00F91332"/>
    <w:rsid w:val="00F913D0"/>
    <w:rsid w:val="00F91724"/>
    <w:rsid w:val="00F91903"/>
    <w:rsid w:val="00F91973"/>
    <w:rsid w:val="00F91A73"/>
    <w:rsid w:val="00F91A9C"/>
    <w:rsid w:val="00F91B2C"/>
    <w:rsid w:val="00F9240A"/>
    <w:rsid w:val="00F9242B"/>
    <w:rsid w:val="00F925ED"/>
    <w:rsid w:val="00F92648"/>
    <w:rsid w:val="00F926CD"/>
    <w:rsid w:val="00F92C28"/>
    <w:rsid w:val="00F92D68"/>
    <w:rsid w:val="00F92DC5"/>
    <w:rsid w:val="00F92E82"/>
    <w:rsid w:val="00F92F4A"/>
    <w:rsid w:val="00F92F80"/>
    <w:rsid w:val="00F934D6"/>
    <w:rsid w:val="00F936CB"/>
    <w:rsid w:val="00F93B62"/>
    <w:rsid w:val="00F93C27"/>
    <w:rsid w:val="00F93C2E"/>
    <w:rsid w:val="00F93CE5"/>
    <w:rsid w:val="00F9414C"/>
    <w:rsid w:val="00F94918"/>
    <w:rsid w:val="00F94A58"/>
    <w:rsid w:val="00F94B95"/>
    <w:rsid w:val="00F94CF5"/>
    <w:rsid w:val="00F94F98"/>
    <w:rsid w:val="00F95668"/>
    <w:rsid w:val="00F95792"/>
    <w:rsid w:val="00F962E6"/>
    <w:rsid w:val="00F965D4"/>
    <w:rsid w:val="00F966F9"/>
    <w:rsid w:val="00F9681F"/>
    <w:rsid w:val="00F96B46"/>
    <w:rsid w:val="00F96E5D"/>
    <w:rsid w:val="00F97592"/>
    <w:rsid w:val="00F97E3F"/>
    <w:rsid w:val="00F97F4F"/>
    <w:rsid w:val="00FA00EE"/>
    <w:rsid w:val="00FA0260"/>
    <w:rsid w:val="00FA02FC"/>
    <w:rsid w:val="00FA03EB"/>
    <w:rsid w:val="00FA0799"/>
    <w:rsid w:val="00FA097E"/>
    <w:rsid w:val="00FA0A9F"/>
    <w:rsid w:val="00FA116F"/>
    <w:rsid w:val="00FA1809"/>
    <w:rsid w:val="00FA1A2C"/>
    <w:rsid w:val="00FA1C46"/>
    <w:rsid w:val="00FA1F1C"/>
    <w:rsid w:val="00FA2703"/>
    <w:rsid w:val="00FA2795"/>
    <w:rsid w:val="00FA2885"/>
    <w:rsid w:val="00FA2B75"/>
    <w:rsid w:val="00FA2B9C"/>
    <w:rsid w:val="00FA2C33"/>
    <w:rsid w:val="00FA2F47"/>
    <w:rsid w:val="00FA2F8F"/>
    <w:rsid w:val="00FA2FEB"/>
    <w:rsid w:val="00FA3133"/>
    <w:rsid w:val="00FA3225"/>
    <w:rsid w:val="00FA32AA"/>
    <w:rsid w:val="00FA34A2"/>
    <w:rsid w:val="00FA3FD3"/>
    <w:rsid w:val="00FA404C"/>
    <w:rsid w:val="00FA414E"/>
    <w:rsid w:val="00FA4425"/>
    <w:rsid w:val="00FA44DD"/>
    <w:rsid w:val="00FA44F5"/>
    <w:rsid w:val="00FA4780"/>
    <w:rsid w:val="00FA495B"/>
    <w:rsid w:val="00FA496A"/>
    <w:rsid w:val="00FA4B70"/>
    <w:rsid w:val="00FA4D43"/>
    <w:rsid w:val="00FA4EBB"/>
    <w:rsid w:val="00FA4FE8"/>
    <w:rsid w:val="00FA520B"/>
    <w:rsid w:val="00FA5627"/>
    <w:rsid w:val="00FA584D"/>
    <w:rsid w:val="00FA5BB7"/>
    <w:rsid w:val="00FA6059"/>
    <w:rsid w:val="00FA6203"/>
    <w:rsid w:val="00FA647C"/>
    <w:rsid w:val="00FA674A"/>
    <w:rsid w:val="00FA681A"/>
    <w:rsid w:val="00FA69A4"/>
    <w:rsid w:val="00FA6A24"/>
    <w:rsid w:val="00FA6A9C"/>
    <w:rsid w:val="00FA6BA0"/>
    <w:rsid w:val="00FA6C16"/>
    <w:rsid w:val="00FA6CDC"/>
    <w:rsid w:val="00FA6E11"/>
    <w:rsid w:val="00FA7418"/>
    <w:rsid w:val="00FA7BC2"/>
    <w:rsid w:val="00FA7CE6"/>
    <w:rsid w:val="00FA7F99"/>
    <w:rsid w:val="00FB01F0"/>
    <w:rsid w:val="00FB06AE"/>
    <w:rsid w:val="00FB09A8"/>
    <w:rsid w:val="00FB1195"/>
    <w:rsid w:val="00FB1965"/>
    <w:rsid w:val="00FB1A16"/>
    <w:rsid w:val="00FB1B07"/>
    <w:rsid w:val="00FB1DCD"/>
    <w:rsid w:val="00FB1EB6"/>
    <w:rsid w:val="00FB1FB7"/>
    <w:rsid w:val="00FB2161"/>
    <w:rsid w:val="00FB21C2"/>
    <w:rsid w:val="00FB2732"/>
    <w:rsid w:val="00FB28D7"/>
    <w:rsid w:val="00FB29EF"/>
    <w:rsid w:val="00FB2BF3"/>
    <w:rsid w:val="00FB2E42"/>
    <w:rsid w:val="00FB3722"/>
    <w:rsid w:val="00FB3787"/>
    <w:rsid w:val="00FB392A"/>
    <w:rsid w:val="00FB39EE"/>
    <w:rsid w:val="00FB3A0F"/>
    <w:rsid w:val="00FB3A45"/>
    <w:rsid w:val="00FB3EDD"/>
    <w:rsid w:val="00FB3F49"/>
    <w:rsid w:val="00FB4015"/>
    <w:rsid w:val="00FB402D"/>
    <w:rsid w:val="00FB40E4"/>
    <w:rsid w:val="00FB40FE"/>
    <w:rsid w:val="00FB4188"/>
    <w:rsid w:val="00FB4235"/>
    <w:rsid w:val="00FB4291"/>
    <w:rsid w:val="00FB43C7"/>
    <w:rsid w:val="00FB4917"/>
    <w:rsid w:val="00FB4C58"/>
    <w:rsid w:val="00FB500F"/>
    <w:rsid w:val="00FB52AF"/>
    <w:rsid w:val="00FB5370"/>
    <w:rsid w:val="00FB5562"/>
    <w:rsid w:val="00FB569A"/>
    <w:rsid w:val="00FB57E1"/>
    <w:rsid w:val="00FB5962"/>
    <w:rsid w:val="00FB616A"/>
    <w:rsid w:val="00FB6202"/>
    <w:rsid w:val="00FB6244"/>
    <w:rsid w:val="00FB659E"/>
    <w:rsid w:val="00FB65C3"/>
    <w:rsid w:val="00FB66E7"/>
    <w:rsid w:val="00FB6868"/>
    <w:rsid w:val="00FB68CD"/>
    <w:rsid w:val="00FB6951"/>
    <w:rsid w:val="00FB73B8"/>
    <w:rsid w:val="00FB7450"/>
    <w:rsid w:val="00FB75D0"/>
    <w:rsid w:val="00FB7F8A"/>
    <w:rsid w:val="00FC000A"/>
    <w:rsid w:val="00FC0165"/>
    <w:rsid w:val="00FC0248"/>
    <w:rsid w:val="00FC03BF"/>
    <w:rsid w:val="00FC071D"/>
    <w:rsid w:val="00FC0989"/>
    <w:rsid w:val="00FC0D46"/>
    <w:rsid w:val="00FC1039"/>
    <w:rsid w:val="00FC10E3"/>
    <w:rsid w:val="00FC1446"/>
    <w:rsid w:val="00FC14A0"/>
    <w:rsid w:val="00FC193F"/>
    <w:rsid w:val="00FC1B08"/>
    <w:rsid w:val="00FC1C38"/>
    <w:rsid w:val="00FC1F69"/>
    <w:rsid w:val="00FC1FA3"/>
    <w:rsid w:val="00FC264E"/>
    <w:rsid w:val="00FC2822"/>
    <w:rsid w:val="00FC2FE2"/>
    <w:rsid w:val="00FC3676"/>
    <w:rsid w:val="00FC3AA4"/>
    <w:rsid w:val="00FC3ABF"/>
    <w:rsid w:val="00FC3BFC"/>
    <w:rsid w:val="00FC3EB1"/>
    <w:rsid w:val="00FC40E3"/>
    <w:rsid w:val="00FC4202"/>
    <w:rsid w:val="00FC4AE8"/>
    <w:rsid w:val="00FC4D08"/>
    <w:rsid w:val="00FC4F03"/>
    <w:rsid w:val="00FC52AB"/>
    <w:rsid w:val="00FC5455"/>
    <w:rsid w:val="00FC58DF"/>
    <w:rsid w:val="00FC5B02"/>
    <w:rsid w:val="00FC5B60"/>
    <w:rsid w:val="00FC5BC3"/>
    <w:rsid w:val="00FC5BD9"/>
    <w:rsid w:val="00FC5C0C"/>
    <w:rsid w:val="00FC613E"/>
    <w:rsid w:val="00FC657A"/>
    <w:rsid w:val="00FC6A2C"/>
    <w:rsid w:val="00FC6C5E"/>
    <w:rsid w:val="00FC6DEA"/>
    <w:rsid w:val="00FC6FA2"/>
    <w:rsid w:val="00FC72C5"/>
    <w:rsid w:val="00FC74BC"/>
    <w:rsid w:val="00FC765A"/>
    <w:rsid w:val="00FC76B9"/>
    <w:rsid w:val="00FC780B"/>
    <w:rsid w:val="00FC7C84"/>
    <w:rsid w:val="00FC7CBC"/>
    <w:rsid w:val="00FC7CE2"/>
    <w:rsid w:val="00FC7CFA"/>
    <w:rsid w:val="00FD06D9"/>
    <w:rsid w:val="00FD0A39"/>
    <w:rsid w:val="00FD116D"/>
    <w:rsid w:val="00FD1446"/>
    <w:rsid w:val="00FD18F9"/>
    <w:rsid w:val="00FD1C8A"/>
    <w:rsid w:val="00FD2079"/>
    <w:rsid w:val="00FD2091"/>
    <w:rsid w:val="00FD24FB"/>
    <w:rsid w:val="00FD2575"/>
    <w:rsid w:val="00FD269C"/>
    <w:rsid w:val="00FD28ED"/>
    <w:rsid w:val="00FD2B06"/>
    <w:rsid w:val="00FD2B6D"/>
    <w:rsid w:val="00FD378B"/>
    <w:rsid w:val="00FD4050"/>
    <w:rsid w:val="00FD42E2"/>
    <w:rsid w:val="00FD4469"/>
    <w:rsid w:val="00FD4BA6"/>
    <w:rsid w:val="00FD4C2E"/>
    <w:rsid w:val="00FD4CE5"/>
    <w:rsid w:val="00FD4FCB"/>
    <w:rsid w:val="00FD50D5"/>
    <w:rsid w:val="00FD5B09"/>
    <w:rsid w:val="00FD60F8"/>
    <w:rsid w:val="00FD61F4"/>
    <w:rsid w:val="00FD624B"/>
    <w:rsid w:val="00FD65DC"/>
    <w:rsid w:val="00FD6EC0"/>
    <w:rsid w:val="00FD6F6A"/>
    <w:rsid w:val="00FD718F"/>
    <w:rsid w:val="00FD7453"/>
    <w:rsid w:val="00FD7552"/>
    <w:rsid w:val="00FD78A8"/>
    <w:rsid w:val="00FD7979"/>
    <w:rsid w:val="00FD79C3"/>
    <w:rsid w:val="00FD7BC7"/>
    <w:rsid w:val="00FD7D92"/>
    <w:rsid w:val="00FE0405"/>
    <w:rsid w:val="00FE04E9"/>
    <w:rsid w:val="00FE0597"/>
    <w:rsid w:val="00FE0AB8"/>
    <w:rsid w:val="00FE0B4F"/>
    <w:rsid w:val="00FE0CCE"/>
    <w:rsid w:val="00FE0E50"/>
    <w:rsid w:val="00FE1073"/>
    <w:rsid w:val="00FE11A6"/>
    <w:rsid w:val="00FE13FB"/>
    <w:rsid w:val="00FE14B6"/>
    <w:rsid w:val="00FE1A25"/>
    <w:rsid w:val="00FE1B8A"/>
    <w:rsid w:val="00FE1BE2"/>
    <w:rsid w:val="00FE1E11"/>
    <w:rsid w:val="00FE2384"/>
    <w:rsid w:val="00FE3893"/>
    <w:rsid w:val="00FE39C8"/>
    <w:rsid w:val="00FE40F6"/>
    <w:rsid w:val="00FE419A"/>
    <w:rsid w:val="00FE4408"/>
    <w:rsid w:val="00FE44C4"/>
    <w:rsid w:val="00FE44D7"/>
    <w:rsid w:val="00FE4C58"/>
    <w:rsid w:val="00FE4D5A"/>
    <w:rsid w:val="00FE4FF8"/>
    <w:rsid w:val="00FE515F"/>
    <w:rsid w:val="00FE52D9"/>
    <w:rsid w:val="00FE53C6"/>
    <w:rsid w:val="00FE58C1"/>
    <w:rsid w:val="00FE5ACA"/>
    <w:rsid w:val="00FE615F"/>
    <w:rsid w:val="00FE61F7"/>
    <w:rsid w:val="00FE6289"/>
    <w:rsid w:val="00FE62AD"/>
    <w:rsid w:val="00FE631C"/>
    <w:rsid w:val="00FE664B"/>
    <w:rsid w:val="00FE753F"/>
    <w:rsid w:val="00FE7622"/>
    <w:rsid w:val="00FE7FB9"/>
    <w:rsid w:val="00FF0511"/>
    <w:rsid w:val="00FF091C"/>
    <w:rsid w:val="00FF0D04"/>
    <w:rsid w:val="00FF0E45"/>
    <w:rsid w:val="00FF1889"/>
    <w:rsid w:val="00FF203D"/>
    <w:rsid w:val="00FF2043"/>
    <w:rsid w:val="00FF2475"/>
    <w:rsid w:val="00FF2619"/>
    <w:rsid w:val="00FF2782"/>
    <w:rsid w:val="00FF2886"/>
    <w:rsid w:val="00FF28B0"/>
    <w:rsid w:val="00FF3137"/>
    <w:rsid w:val="00FF3141"/>
    <w:rsid w:val="00FF33FE"/>
    <w:rsid w:val="00FF39E4"/>
    <w:rsid w:val="00FF3A5B"/>
    <w:rsid w:val="00FF3DD3"/>
    <w:rsid w:val="00FF442C"/>
    <w:rsid w:val="00FF44B7"/>
    <w:rsid w:val="00FF4A9C"/>
    <w:rsid w:val="00FF4D08"/>
    <w:rsid w:val="00FF5165"/>
    <w:rsid w:val="00FF5263"/>
    <w:rsid w:val="00FF5316"/>
    <w:rsid w:val="00FF53E8"/>
    <w:rsid w:val="00FF545E"/>
    <w:rsid w:val="00FF570E"/>
    <w:rsid w:val="00FF5A33"/>
    <w:rsid w:val="00FF5C2F"/>
    <w:rsid w:val="00FF5D09"/>
    <w:rsid w:val="00FF5E60"/>
    <w:rsid w:val="00FF5F8A"/>
    <w:rsid w:val="00FF6A87"/>
    <w:rsid w:val="00FF6C92"/>
    <w:rsid w:val="00FF6F4C"/>
    <w:rsid w:val="00FF706A"/>
    <w:rsid w:val="00FF709A"/>
    <w:rsid w:val="00FF70A3"/>
    <w:rsid w:val="00FF7A4C"/>
    <w:rsid w:val="00FF7A9C"/>
    <w:rsid w:val="00FF7EA4"/>
    <w:rsid w:val="00FF7ED3"/>
    <w:rsid w:val="0100FB15"/>
    <w:rsid w:val="0109073A"/>
    <w:rsid w:val="0114E9DC"/>
    <w:rsid w:val="01236FEA"/>
    <w:rsid w:val="013A95E7"/>
    <w:rsid w:val="013E9253"/>
    <w:rsid w:val="014547C9"/>
    <w:rsid w:val="014EA8FA"/>
    <w:rsid w:val="014FCDCB"/>
    <w:rsid w:val="01528B5D"/>
    <w:rsid w:val="015903F7"/>
    <w:rsid w:val="01599EC2"/>
    <w:rsid w:val="0170C34E"/>
    <w:rsid w:val="01776EE6"/>
    <w:rsid w:val="017AC8A3"/>
    <w:rsid w:val="01880CF5"/>
    <w:rsid w:val="018B323D"/>
    <w:rsid w:val="018D9E17"/>
    <w:rsid w:val="01965614"/>
    <w:rsid w:val="01AED4CD"/>
    <w:rsid w:val="01AF4758"/>
    <w:rsid w:val="01AFA488"/>
    <w:rsid w:val="01BF269D"/>
    <w:rsid w:val="01C1234B"/>
    <w:rsid w:val="01C34B65"/>
    <w:rsid w:val="01D037AC"/>
    <w:rsid w:val="01D31A15"/>
    <w:rsid w:val="01DB2880"/>
    <w:rsid w:val="01E25BBF"/>
    <w:rsid w:val="01E8EEA0"/>
    <w:rsid w:val="01ECEA64"/>
    <w:rsid w:val="01F16AF0"/>
    <w:rsid w:val="01F33D88"/>
    <w:rsid w:val="01F54C44"/>
    <w:rsid w:val="01F99555"/>
    <w:rsid w:val="01FC3C67"/>
    <w:rsid w:val="02032102"/>
    <w:rsid w:val="0205DC8B"/>
    <w:rsid w:val="02069F3D"/>
    <w:rsid w:val="0206BB5E"/>
    <w:rsid w:val="0220C20E"/>
    <w:rsid w:val="02290CAE"/>
    <w:rsid w:val="02324671"/>
    <w:rsid w:val="02365E06"/>
    <w:rsid w:val="023F21F3"/>
    <w:rsid w:val="024011BB"/>
    <w:rsid w:val="02414AF6"/>
    <w:rsid w:val="024CAB07"/>
    <w:rsid w:val="02577ADA"/>
    <w:rsid w:val="0258C455"/>
    <w:rsid w:val="025A5B1A"/>
    <w:rsid w:val="0266DC09"/>
    <w:rsid w:val="026AC0D9"/>
    <w:rsid w:val="026F00F4"/>
    <w:rsid w:val="02839642"/>
    <w:rsid w:val="028B0FD6"/>
    <w:rsid w:val="028FBBCD"/>
    <w:rsid w:val="02A0C329"/>
    <w:rsid w:val="02A480D6"/>
    <w:rsid w:val="02A872B2"/>
    <w:rsid w:val="02B0B2F2"/>
    <w:rsid w:val="02B66C5D"/>
    <w:rsid w:val="02B737CE"/>
    <w:rsid w:val="02C2208E"/>
    <w:rsid w:val="02CCD0F4"/>
    <w:rsid w:val="02CE318E"/>
    <w:rsid w:val="02D4BE96"/>
    <w:rsid w:val="02DBE590"/>
    <w:rsid w:val="02DF6465"/>
    <w:rsid w:val="02DFCE5F"/>
    <w:rsid w:val="02EAE4DE"/>
    <w:rsid w:val="02EED415"/>
    <w:rsid w:val="02F55F65"/>
    <w:rsid w:val="02FB95E3"/>
    <w:rsid w:val="0302242D"/>
    <w:rsid w:val="0304BF07"/>
    <w:rsid w:val="0307EF1A"/>
    <w:rsid w:val="030D5328"/>
    <w:rsid w:val="032589D4"/>
    <w:rsid w:val="0326898F"/>
    <w:rsid w:val="032B5D56"/>
    <w:rsid w:val="03317ABA"/>
    <w:rsid w:val="033B8BD7"/>
    <w:rsid w:val="034267E2"/>
    <w:rsid w:val="03475090"/>
    <w:rsid w:val="035004BC"/>
    <w:rsid w:val="0358D84F"/>
    <w:rsid w:val="03700AB1"/>
    <w:rsid w:val="03765B66"/>
    <w:rsid w:val="037CC29D"/>
    <w:rsid w:val="037D4695"/>
    <w:rsid w:val="03874F36"/>
    <w:rsid w:val="038B6D9D"/>
    <w:rsid w:val="038B7008"/>
    <w:rsid w:val="0392E411"/>
    <w:rsid w:val="03A65124"/>
    <w:rsid w:val="03AFF34D"/>
    <w:rsid w:val="03C4F999"/>
    <w:rsid w:val="03CADA26"/>
    <w:rsid w:val="03DAE03C"/>
    <w:rsid w:val="03DCF8A2"/>
    <w:rsid w:val="03DE4649"/>
    <w:rsid w:val="03E5569E"/>
    <w:rsid w:val="03E96219"/>
    <w:rsid w:val="03F31C55"/>
    <w:rsid w:val="03FD8DC1"/>
    <w:rsid w:val="03FF4893"/>
    <w:rsid w:val="0402599B"/>
    <w:rsid w:val="0406289E"/>
    <w:rsid w:val="040B739B"/>
    <w:rsid w:val="040BDBC7"/>
    <w:rsid w:val="040D2F91"/>
    <w:rsid w:val="041A8324"/>
    <w:rsid w:val="041F5C19"/>
    <w:rsid w:val="04212A3B"/>
    <w:rsid w:val="04247146"/>
    <w:rsid w:val="042B3937"/>
    <w:rsid w:val="0436BFDA"/>
    <w:rsid w:val="043765A7"/>
    <w:rsid w:val="043D8CFD"/>
    <w:rsid w:val="043EC98F"/>
    <w:rsid w:val="04457B50"/>
    <w:rsid w:val="04496015"/>
    <w:rsid w:val="044BCE9B"/>
    <w:rsid w:val="044FF4CD"/>
    <w:rsid w:val="0453A5B0"/>
    <w:rsid w:val="045799CB"/>
    <w:rsid w:val="0462842B"/>
    <w:rsid w:val="0464A345"/>
    <w:rsid w:val="047233F3"/>
    <w:rsid w:val="0475FC30"/>
    <w:rsid w:val="04793559"/>
    <w:rsid w:val="048C84DE"/>
    <w:rsid w:val="048DB3E6"/>
    <w:rsid w:val="0491268D"/>
    <w:rsid w:val="0495649D"/>
    <w:rsid w:val="04971FC6"/>
    <w:rsid w:val="04993BAF"/>
    <w:rsid w:val="049DEC5A"/>
    <w:rsid w:val="049F26C3"/>
    <w:rsid w:val="049F8B13"/>
    <w:rsid w:val="04A2875E"/>
    <w:rsid w:val="04A4CAE2"/>
    <w:rsid w:val="04BC4EEF"/>
    <w:rsid w:val="04BE331A"/>
    <w:rsid w:val="04C30B1F"/>
    <w:rsid w:val="04C44A63"/>
    <w:rsid w:val="04D60C84"/>
    <w:rsid w:val="04E5EA3E"/>
    <w:rsid w:val="04EE2B33"/>
    <w:rsid w:val="04F461FA"/>
    <w:rsid w:val="04F4E7E5"/>
    <w:rsid w:val="0510D417"/>
    <w:rsid w:val="051E12E9"/>
    <w:rsid w:val="05244781"/>
    <w:rsid w:val="05282640"/>
    <w:rsid w:val="0535EFC9"/>
    <w:rsid w:val="053A2DB2"/>
    <w:rsid w:val="054715E0"/>
    <w:rsid w:val="055823EA"/>
    <w:rsid w:val="055DCB24"/>
    <w:rsid w:val="055E04EA"/>
    <w:rsid w:val="05692A4B"/>
    <w:rsid w:val="0579D984"/>
    <w:rsid w:val="05868733"/>
    <w:rsid w:val="058AD01D"/>
    <w:rsid w:val="05956948"/>
    <w:rsid w:val="0599F2AB"/>
    <w:rsid w:val="05A024C6"/>
    <w:rsid w:val="05B573A1"/>
    <w:rsid w:val="05CC9759"/>
    <w:rsid w:val="05D13CC6"/>
    <w:rsid w:val="05D2749A"/>
    <w:rsid w:val="05E9579C"/>
    <w:rsid w:val="05FD22D3"/>
    <w:rsid w:val="05FFE0DC"/>
    <w:rsid w:val="061832B4"/>
    <w:rsid w:val="0618C16E"/>
    <w:rsid w:val="06213A5B"/>
    <w:rsid w:val="06295E1F"/>
    <w:rsid w:val="063CAD89"/>
    <w:rsid w:val="0640091A"/>
    <w:rsid w:val="06441708"/>
    <w:rsid w:val="06513E73"/>
    <w:rsid w:val="06594FDF"/>
    <w:rsid w:val="065D70A1"/>
    <w:rsid w:val="065F7499"/>
    <w:rsid w:val="06646B21"/>
    <w:rsid w:val="066629E2"/>
    <w:rsid w:val="06662FBF"/>
    <w:rsid w:val="0684D368"/>
    <w:rsid w:val="068F1F33"/>
    <w:rsid w:val="06968942"/>
    <w:rsid w:val="06AA9B31"/>
    <w:rsid w:val="06B261B4"/>
    <w:rsid w:val="06BFBCB7"/>
    <w:rsid w:val="06C3FCB6"/>
    <w:rsid w:val="06D58A99"/>
    <w:rsid w:val="06DAA48A"/>
    <w:rsid w:val="06F1F62F"/>
    <w:rsid w:val="06F3FBE1"/>
    <w:rsid w:val="06FBADE4"/>
    <w:rsid w:val="0702B196"/>
    <w:rsid w:val="07072EB1"/>
    <w:rsid w:val="0723C933"/>
    <w:rsid w:val="0732BB9F"/>
    <w:rsid w:val="0736412A"/>
    <w:rsid w:val="073F2D3A"/>
    <w:rsid w:val="073FE3BB"/>
    <w:rsid w:val="07450400"/>
    <w:rsid w:val="0745476A"/>
    <w:rsid w:val="0754AC7C"/>
    <w:rsid w:val="07624D0E"/>
    <w:rsid w:val="0762ED4C"/>
    <w:rsid w:val="076C9D29"/>
    <w:rsid w:val="077395B9"/>
    <w:rsid w:val="0775F2BE"/>
    <w:rsid w:val="0779D950"/>
    <w:rsid w:val="0784A0C1"/>
    <w:rsid w:val="078CE644"/>
    <w:rsid w:val="079B7EB7"/>
    <w:rsid w:val="079EE8F8"/>
    <w:rsid w:val="07A00D73"/>
    <w:rsid w:val="07A36341"/>
    <w:rsid w:val="07B1AE79"/>
    <w:rsid w:val="07B73966"/>
    <w:rsid w:val="07B81FBB"/>
    <w:rsid w:val="07BEA5B4"/>
    <w:rsid w:val="07BFB972"/>
    <w:rsid w:val="07C148B4"/>
    <w:rsid w:val="07C93622"/>
    <w:rsid w:val="07CA0F93"/>
    <w:rsid w:val="07CE6EEB"/>
    <w:rsid w:val="07D90D37"/>
    <w:rsid w:val="07EC79B2"/>
    <w:rsid w:val="07F00CC4"/>
    <w:rsid w:val="07FB9C9C"/>
    <w:rsid w:val="07FC52D0"/>
    <w:rsid w:val="07FD9956"/>
    <w:rsid w:val="08003D3D"/>
    <w:rsid w:val="080649A0"/>
    <w:rsid w:val="080A0087"/>
    <w:rsid w:val="080B6742"/>
    <w:rsid w:val="08193239"/>
    <w:rsid w:val="082412C5"/>
    <w:rsid w:val="082CA8F3"/>
    <w:rsid w:val="082DC287"/>
    <w:rsid w:val="0830329D"/>
    <w:rsid w:val="08311410"/>
    <w:rsid w:val="0835C34A"/>
    <w:rsid w:val="083A8496"/>
    <w:rsid w:val="084EB2A6"/>
    <w:rsid w:val="0851AD07"/>
    <w:rsid w:val="08563CBA"/>
    <w:rsid w:val="08612BB7"/>
    <w:rsid w:val="086EA78A"/>
    <w:rsid w:val="08722636"/>
    <w:rsid w:val="08810B47"/>
    <w:rsid w:val="088129A6"/>
    <w:rsid w:val="08908038"/>
    <w:rsid w:val="08997481"/>
    <w:rsid w:val="089B03C6"/>
    <w:rsid w:val="08AB5877"/>
    <w:rsid w:val="08AB8514"/>
    <w:rsid w:val="08AD37C7"/>
    <w:rsid w:val="08B1AEF5"/>
    <w:rsid w:val="08C50F29"/>
    <w:rsid w:val="08CBBF47"/>
    <w:rsid w:val="08CBE468"/>
    <w:rsid w:val="08CE1D8F"/>
    <w:rsid w:val="08CF751F"/>
    <w:rsid w:val="08D333C1"/>
    <w:rsid w:val="08E3D84E"/>
    <w:rsid w:val="08EC0562"/>
    <w:rsid w:val="08FE715D"/>
    <w:rsid w:val="090BF497"/>
    <w:rsid w:val="0916DFE8"/>
    <w:rsid w:val="091CE7A8"/>
    <w:rsid w:val="091DD5A4"/>
    <w:rsid w:val="091E63C5"/>
    <w:rsid w:val="0920790B"/>
    <w:rsid w:val="092232DD"/>
    <w:rsid w:val="09251A0A"/>
    <w:rsid w:val="092D7A4B"/>
    <w:rsid w:val="09354449"/>
    <w:rsid w:val="095020B9"/>
    <w:rsid w:val="095648C6"/>
    <w:rsid w:val="095857C2"/>
    <w:rsid w:val="0969BFD6"/>
    <w:rsid w:val="0975F675"/>
    <w:rsid w:val="09904E63"/>
    <w:rsid w:val="0995E478"/>
    <w:rsid w:val="099AA94E"/>
    <w:rsid w:val="09A27703"/>
    <w:rsid w:val="09AFCEAF"/>
    <w:rsid w:val="09B78D71"/>
    <w:rsid w:val="09BDAC1B"/>
    <w:rsid w:val="09BE36E2"/>
    <w:rsid w:val="09BFD08A"/>
    <w:rsid w:val="09C8B511"/>
    <w:rsid w:val="09C9B8A6"/>
    <w:rsid w:val="09D87503"/>
    <w:rsid w:val="09E1D1A9"/>
    <w:rsid w:val="09E2C0BF"/>
    <w:rsid w:val="09E44FC1"/>
    <w:rsid w:val="09E46B2B"/>
    <w:rsid w:val="09EFCF97"/>
    <w:rsid w:val="09F5DD52"/>
    <w:rsid w:val="09FE7E0B"/>
    <w:rsid w:val="0A07B732"/>
    <w:rsid w:val="0A096628"/>
    <w:rsid w:val="0A0D29C7"/>
    <w:rsid w:val="0A12C99F"/>
    <w:rsid w:val="0A1DE1C6"/>
    <w:rsid w:val="0A1E7328"/>
    <w:rsid w:val="0A1F55A9"/>
    <w:rsid w:val="0A1FD32A"/>
    <w:rsid w:val="0A20BF30"/>
    <w:rsid w:val="0A25D0CD"/>
    <w:rsid w:val="0A2BF0FC"/>
    <w:rsid w:val="0A2D2355"/>
    <w:rsid w:val="0A3B52AE"/>
    <w:rsid w:val="0A5259B1"/>
    <w:rsid w:val="0A568744"/>
    <w:rsid w:val="0A5A7487"/>
    <w:rsid w:val="0A5CB2BB"/>
    <w:rsid w:val="0A614FF8"/>
    <w:rsid w:val="0A628B25"/>
    <w:rsid w:val="0A6CEE5E"/>
    <w:rsid w:val="0A76044D"/>
    <w:rsid w:val="0A79C440"/>
    <w:rsid w:val="0A7BE3AE"/>
    <w:rsid w:val="0A88D2E9"/>
    <w:rsid w:val="0A891501"/>
    <w:rsid w:val="0A98B16F"/>
    <w:rsid w:val="0A9DA4AC"/>
    <w:rsid w:val="0AAE99A1"/>
    <w:rsid w:val="0AAF3DA2"/>
    <w:rsid w:val="0AB7CDDE"/>
    <w:rsid w:val="0ABA5CD0"/>
    <w:rsid w:val="0ABDBA01"/>
    <w:rsid w:val="0AC50133"/>
    <w:rsid w:val="0AC530F1"/>
    <w:rsid w:val="0ACC5999"/>
    <w:rsid w:val="0ADF9ED8"/>
    <w:rsid w:val="0AE5274C"/>
    <w:rsid w:val="0AF48EBA"/>
    <w:rsid w:val="0AFD58C3"/>
    <w:rsid w:val="0B0CE38F"/>
    <w:rsid w:val="0B100933"/>
    <w:rsid w:val="0B12ECAA"/>
    <w:rsid w:val="0B1467BC"/>
    <w:rsid w:val="0B20C5CD"/>
    <w:rsid w:val="0B2D390F"/>
    <w:rsid w:val="0B379AE7"/>
    <w:rsid w:val="0B3D964B"/>
    <w:rsid w:val="0B40CD05"/>
    <w:rsid w:val="0B4379FE"/>
    <w:rsid w:val="0B60E823"/>
    <w:rsid w:val="0B614A57"/>
    <w:rsid w:val="0B65CE76"/>
    <w:rsid w:val="0B65EF2D"/>
    <w:rsid w:val="0B66B138"/>
    <w:rsid w:val="0B67F4FA"/>
    <w:rsid w:val="0B760512"/>
    <w:rsid w:val="0B825CB8"/>
    <w:rsid w:val="0B84A49C"/>
    <w:rsid w:val="0B89CA89"/>
    <w:rsid w:val="0B928907"/>
    <w:rsid w:val="0BAD2BE9"/>
    <w:rsid w:val="0BB4BFC5"/>
    <w:rsid w:val="0BBF0A7A"/>
    <w:rsid w:val="0BC6C923"/>
    <w:rsid w:val="0BCF0085"/>
    <w:rsid w:val="0BD5D3C4"/>
    <w:rsid w:val="0BDA2363"/>
    <w:rsid w:val="0BE1CD73"/>
    <w:rsid w:val="0BE8410F"/>
    <w:rsid w:val="0BEC9362"/>
    <w:rsid w:val="0BF32246"/>
    <w:rsid w:val="0BF76A1D"/>
    <w:rsid w:val="0BFA3D52"/>
    <w:rsid w:val="0BFEE851"/>
    <w:rsid w:val="0BFEFEC0"/>
    <w:rsid w:val="0C03FB58"/>
    <w:rsid w:val="0C0739A9"/>
    <w:rsid w:val="0C0F0076"/>
    <w:rsid w:val="0C127C60"/>
    <w:rsid w:val="0C19B9BE"/>
    <w:rsid w:val="0C21E4FC"/>
    <w:rsid w:val="0C2CBFAD"/>
    <w:rsid w:val="0C332A09"/>
    <w:rsid w:val="0C4BD9E6"/>
    <w:rsid w:val="0C595712"/>
    <w:rsid w:val="0C605439"/>
    <w:rsid w:val="0C62110E"/>
    <w:rsid w:val="0C6795D8"/>
    <w:rsid w:val="0C71214E"/>
    <w:rsid w:val="0C79294B"/>
    <w:rsid w:val="0C7CDD63"/>
    <w:rsid w:val="0C83EA3C"/>
    <w:rsid w:val="0C8897FB"/>
    <w:rsid w:val="0C8DAA97"/>
    <w:rsid w:val="0C8E72AE"/>
    <w:rsid w:val="0CA2E032"/>
    <w:rsid w:val="0CA5EC36"/>
    <w:rsid w:val="0CA9004E"/>
    <w:rsid w:val="0CB0045D"/>
    <w:rsid w:val="0CB5F65A"/>
    <w:rsid w:val="0CB947B1"/>
    <w:rsid w:val="0CCA92E3"/>
    <w:rsid w:val="0CCC605B"/>
    <w:rsid w:val="0CCFF3CF"/>
    <w:rsid w:val="0CDC7011"/>
    <w:rsid w:val="0CE26958"/>
    <w:rsid w:val="0D0C07A4"/>
    <w:rsid w:val="0D0CD963"/>
    <w:rsid w:val="0D10876C"/>
    <w:rsid w:val="0D25BEBB"/>
    <w:rsid w:val="0D39E7BB"/>
    <w:rsid w:val="0D552379"/>
    <w:rsid w:val="0D57A892"/>
    <w:rsid w:val="0D5D32FA"/>
    <w:rsid w:val="0D62D342"/>
    <w:rsid w:val="0D68FD13"/>
    <w:rsid w:val="0D7BF4A7"/>
    <w:rsid w:val="0D927D53"/>
    <w:rsid w:val="0D961ACA"/>
    <w:rsid w:val="0D9F03B1"/>
    <w:rsid w:val="0DB3C880"/>
    <w:rsid w:val="0DC59065"/>
    <w:rsid w:val="0DC5C244"/>
    <w:rsid w:val="0DCAEF24"/>
    <w:rsid w:val="0DCC3FF5"/>
    <w:rsid w:val="0DCD2111"/>
    <w:rsid w:val="0DD7DBC0"/>
    <w:rsid w:val="0DDBCB9A"/>
    <w:rsid w:val="0DE08938"/>
    <w:rsid w:val="0DF22FCC"/>
    <w:rsid w:val="0DF408D3"/>
    <w:rsid w:val="0E066071"/>
    <w:rsid w:val="0E08F0A9"/>
    <w:rsid w:val="0E0959B8"/>
    <w:rsid w:val="0E1EDC72"/>
    <w:rsid w:val="0E2069C4"/>
    <w:rsid w:val="0E211170"/>
    <w:rsid w:val="0E2B8B2C"/>
    <w:rsid w:val="0E2BF259"/>
    <w:rsid w:val="0E2F3823"/>
    <w:rsid w:val="0E38F2D5"/>
    <w:rsid w:val="0E3C98AC"/>
    <w:rsid w:val="0E3D5126"/>
    <w:rsid w:val="0E3FDCE0"/>
    <w:rsid w:val="0E4471CB"/>
    <w:rsid w:val="0E472716"/>
    <w:rsid w:val="0E4BB5AE"/>
    <w:rsid w:val="0E4F2B88"/>
    <w:rsid w:val="0E50C0FE"/>
    <w:rsid w:val="0E5CB433"/>
    <w:rsid w:val="0E60C503"/>
    <w:rsid w:val="0E6459E3"/>
    <w:rsid w:val="0E7410F4"/>
    <w:rsid w:val="0E7C6E2C"/>
    <w:rsid w:val="0E86ADAA"/>
    <w:rsid w:val="0E97545B"/>
    <w:rsid w:val="0EA2F164"/>
    <w:rsid w:val="0EAEAC2B"/>
    <w:rsid w:val="0EB37F6B"/>
    <w:rsid w:val="0EBEE364"/>
    <w:rsid w:val="0EC658A1"/>
    <w:rsid w:val="0EE18130"/>
    <w:rsid w:val="0EE29078"/>
    <w:rsid w:val="0EE7BE36"/>
    <w:rsid w:val="0F01EF6A"/>
    <w:rsid w:val="0F0A4EDA"/>
    <w:rsid w:val="0F0F32AB"/>
    <w:rsid w:val="0F270387"/>
    <w:rsid w:val="0F27A9B0"/>
    <w:rsid w:val="0F327926"/>
    <w:rsid w:val="0F4B1E00"/>
    <w:rsid w:val="0F67E4CD"/>
    <w:rsid w:val="0F68A241"/>
    <w:rsid w:val="0F6BC1A7"/>
    <w:rsid w:val="0F70BAC4"/>
    <w:rsid w:val="0F7815B4"/>
    <w:rsid w:val="0F78987A"/>
    <w:rsid w:val="0F8504E7"/>
    <w:rsid w:val="0F98C7B4"/>
    <w:rsid w:val="0F9C80F1"/>
    <w:rsid w:val="0FA0E05A"/>
    <w:rsid w:val="0FB4D8BE"/>
    <w:rsid w:val="0FC36A45"/>
    <w:rsid w:val="0FCB7A8C"/>
    <w:rsid w:val="0FCC7638"/>
    <w:rsid w:val="0FCC839A"/>
    <w:rsid w:val="0FE0381A"/>
    <w:rsid w:val="0FE322AE"/>
    <w:rsid w:val="0FE3A691"/>
    <w:rsid w:val="0FE75732"/>
    <w:rsid w:val="0FE78013"/>
    <w:rsid w:val="0FE7C343"/>
    <w:rsid w:val="0FF3A83B"/>
    <w:rsid w:val="0FF3C993"/>
    <w:rsid w:val="1006E48C"/>
    <w:rsid w:val="10075FCF"/>
    <w:rsid w:val="10146A89"/>
    <w:rsid w:val="102A8073"/>
    <w:rsid w:val="10317FDC"/>
    <w:rsid w:val="10464CA5"/>
    <w:rsid w:val="104BD47F"/>
    <w:rsid w:val="106EFA3B"/>
    <w:rsid w:val="10782C12"/>
    <w:rsid w:val="10927948"/>
    <w:rsid w:val="10936599"/>
    <w:rsid w:val="10938FB0"/>
    <w:rsid w:val="109E9129"/>
    <w:rsid w:val="10A1CF57"/>
    <w:rsid w:val="10A596DC"/>
    <w:rsid w:val="10AECDE8"/>
    <w:rsid w:val="10B3B8FD"/>
    <w:rsid w:val="10B8A8D7"/>
    <w:rsid w:val="10B968C3"/>
    <w:rsid w:val="10C9C74F"/>
    <w:rsid w:val="10CE70F0"/>
    <w:rsid w:val="10CFDEC0"/>
    <w:rsid w:val="10D06F93"/>
    <w:rsid w:val="10D34F8E"/>
    <w:rsid w:val="10D61DAC"/>
    <w:rsid w:val="10D9DF66"/>
    <w:rsid w:val="10DEBEA4"/>
    <w:rsid w:val="10F63B51"/>
    <w:rsid w:val="1106E86B"/>
    <w:rsid w:val="110F8A62"/>
    <w:rsid w:val="1111C3FF"/>
    <w:rsid w:val="11130194"/>
    <w:rsid w:val="111DE3AB"/>
    <w:rsid w:val="1122B9EE"/>
    <w:rsid w:val="112CF997"/>
    <w:rsid w:val="11398B5A"/>
    <w:rsid w:val="114102DF"/>
    <w:rsid w:val="1148CB45"/>
    <w:rsid w:val="114979AF"/>
    <w:rsid w:val="114C3FD3"/>
    <w:rsid w:val="1152E04D"/>
    <w:rsid w:val="115B8E7E"/>
    <w:rsid w:val="116A533D"/>
    <w:rsid w:val="116B9E6E"/>
    <w:rsid w:val="117158F1"/>
    <w:rsid w:val="117D84D2"/>
    <w:rsid w:val="117D8743"/>
    <w:rsid w:val="117E7810"/>
    <w:rsid w:val="11862C23"/>
    <w:rsid w:val="118CD3A9"/>
    <w:rsid w:val="11909ADD"/>
    <w:rsid w:val="11918941"/>
    <w:rsid w:val="11AFC140"/>
    <w:rsid w:val="11B0316C"/>
    <w:rsid w:val="11B4C388"/>
    <w:rsid w:val="11B7FFEB"/>
    <w:rsid w:val="11BCA05A"/>
    <w:rsid w:val="11BE4D81"/>
    <w:rsid w:val="11D61607"/>
    <w:rsid w:val="11D84D4F"/>
    <w:rsid w:val="11EE3FDF"/>
    <w:rsid w:val="11F1A0B8"/>
    <w:rsid w:val="11F4EEF7"/>
    <w:rsid w:val="11FC704E"/>
    <w:rsid w:val="12010FFE"/>
    <w:rsid w:val="1207BB99"/>
    <w:rsid w:val="1209D06C"/>
    <w:rsid w:val="1212082C"/>
    <w:rsid w:val="12210D6C"/>
    <w:rsid w:val="123A0F79"/>
    <w:rsid w:val="12426863"/>
    <w:rsid w:val="1259ABE0"/>
    <w:rsid w:val="125B85CC"/>
    <w:rsid w:val="1265A35E"/>
    <w:rsid w:val="12733988"/>
    <w:rsid w:val="128216A9"/>
    <w:rsid w:val="12850AEA"/>
    <w:rsid w:val="128B7699"/>
    <w:rsid w:val="128B7DDC"/>
    <w:rsid w:val="128C5AE7"/>
    <w:rsid w:val="128DAC67"/>
    <w:rsid w:val="128F3426"/>
    <w:rsid w:val="12920794"/>
    <w:rsid w:val="12951C75"/>
    <w:rsid w:val="12A1F76D"/>
    <w:rsid w:val="12ACAAC1"/>
    <w:rsid w:val="12AEA35C"/>
    <w:rsid w:val="12AF025F"/>
    <w:rsid w:val="12B2C3BF"/>
    <w:rsid w:val="12B3DB9A"/>
    <w:rsid w:val="12B5BA91"/>
    <w:rsid w:val="12BFCA6B"/>
    <w:rsid w:val="12D1AD5D"/>
    <w:rsid w:val="12D3886F"/>
    <w:rsid w:val="12E0C422"/>
    <w:rsid w:val="12E84753"/>
    <w:rsid w:val="12E9DC9C"/>
    <w:rsid w:val="12F87936"/>
    <w:rsid w:val="12F9D704"/>
    <w:rsid w:val="12FC62A3"/>
    <w:rsid w:val="13037320"/>
    <w:rsid w:val="1316C737"/>
    <w:rsid w:val="1326CBF7"/>
    <w:rsid w:val="13272537"/>
    <w:rsid w:val="132907EA"/>
    <w:rsid w:val="132C6FDE"/>
    <w:rsid w:val="1330C5E2"/>
    <w:rsid w:val="13404F09"/>
    <w:rsid w:val="13419D0E"/>
    <w:rsid w:val="1341FC91"/>
    <w:rsid w:val="1346047F"/>
    <w:rsid w:val="134EBA25"/>
    <w:rsid w:val="1359A765"/>
    <w:rsid w:val="13607284"/>
    <w:rsid w:val="13647EB5"/>
    <w:rsid w:val="1368699A"/>
    <w:rsid w:val="13791E84"/>
    <w:rsid w:val="1388868A"/>
    <w:rsid w:val="138AA583"/>
    <w:rsid w:val="138ECF66"/>
    <w:rsid w:val="138FF0B2"/>
    <w:rsid w:val="13915D67"/>
    <w:rsid w:val="1393A481"/>
    <w:rsid w:val="139668DA"/>
    <w:rsid w:val="139719CE"/>
    <w:rsid w:val="139CBD80"/>
    <w:rsid w:val="139ED474"/>
    <w:rsid w:val="13B0C57E"/>
    <w:rsid w:val="13B4F686"/>
    <w:rsid w:val="13B6931D"/>
    <w:rsid w:val="13B72B53"/>
    <w:rsid w:val="13BB6D94"/>
    <w:rsid w:val="13C2C558"/>
    <w:rsid w:val="13C50F92"/>
    <w:rsid w:val="13CBF8AB"/>
    <w:rsid w:val="13D0AA1E"/>
    <w:rsid w:val="13D1607D"/>
    <w:rsid w:val="13D4E38B"/>
    <w:rsid w:val="13DBBC21"/>
    <w:rsid w:val="13DE6451"/>
    <w:rsid w:val="13E4B986"/>
    <w:rsid w:val="13F1AA78"/>
    <w:rsid w:val="13F683F1"/>
    <w:rsid w:val="1409ED61"/>
    <w:rsid w:val="140E68B4"/>
    <w:rsid w:val="14105DDD"/>
    <w:rsid w:val="141138A2"/>
    <w:rsid w:val="14122FA4"/>
    <w:rsid w:val="1420CE58"/>
    <w:rsid w:val="1420D244"/>
    <w:rsid w:val="1429A988"/>
    <w:rsid w:val="1429DE0F"/>
    <w:rsid w:val="143CA7F6"/>
    <w:rsid w:val="144FC436"/>
    <w:rsid w:val="145221E8"/>
    <w:rsid w:val="145E9E49"/>
    <w:rsid w:val="145EEE6F"/>
    <w:rsid w:val="1463D794"/>
    <w:rsid w:val="146E0FCC"/>
    <w:rsid w:val="147C8DA7"/>
    <w:rsid w:val="14835C27"/>
    <w:rsid w:val="148814B3"/>
    <w:rsid w:val="1492C8E7"/>
    <w:rsid w:val="1495639A"/>
    <w:rsid w:val="1498DCD1"/>
    <w:rsid w:val="14A8EC29"/>
    <w:rsid w:val="14B69274"/>
    <w:rsid w:val="14BBAE1F"/>
    <w:rsid w:val="14C75155"/>
    <w:rsid w:val="14C9E673"/>
    <w:rsid w:val="14D18792"/>
    <w:rsid w:val="14D51E0F"/>
    <w:rsid w:val="14DBC548"/>
    <w:rsid w:val="14DBD425"/>
    <w:rsid w:val="14DE0337"/>
    <w:rsid w:val="14E9DA17"/>
    <w:rsid w:val="14EAA8BB"/>
    <w:rsid w:val="14EBDEE1"/>
    <w:rsid w:val="14F9F389"/>
    <w:rsid w:val="150ABC3F"/>
    <w:rsid w:val="15132295"/>
    <w:rsid w:val="1513F790"/>
    <w:rsid w:val="152877F5"/>
    <w:rsid w:val="152CAD14"/>
    <w:rsid w:val="153350F6"/>
    <w:rsid w:val="153388D1"/>
    <w:rsid w:val="1539D679"/>
    <w:rsid w:val="153E9BC2"/>
    <w:rsid w:val="1542A282"/>
    <w:rsid w:val="1543F40B"/>
    <w:rsid w:val="155CFCBB"/>
    <w:rsid w:val="155D12E5"/>
    <w:rsid w:val="15612DCD"/>
    <w:rsid w:val="1565350A"/>
    <w:rsid w:val="156D03A3"/>
    <w:rsid w:val="157DE00C"/>
    <w:rsid w:val="1589A4F5"/>
    <w:rsid w:val="15933662"/>
    <w:rsid w:val="159E4BA4"/>
    <w:rsid w:val="159F26FE"/>
    <w:rsid w:val="15A42ABE"/>
    <w:rsid w:val="15A73E43"/>
    <w:rsid w:val="15A9955B"/>
    <w:rsid w:val="15AAD42B"/>
    <w:rsid w:val="15AE7554"/>
    <w:rsid w:val="15B547F1"/>
    <w:rsid w:val="15BE0A39"/>
    <w:rsid w:val="15C013C3"/>
    <w:rsid w:val="15CF4243"/>
    <w:rsid w:val="15D5EBF9"/>
    <w:rsid w:val="15E48AA7"/>
    <w:rsid w:val="15E4B3E5"/>
    <w:rsid w:val="15EB3F0F"/>
    <w:rsid w:val="15EB5F5B"/>
    <w:rsid w:val="15F4A5A6"/>
    <w:rsid w:val="15F6CC36"/>
    <w:rsid w:val="16088D29"/>
    <w:rsid w:val="160BE3D7"/>
    <w:rsid w:val="16122D4B"/>
    <w:rsid w:val="16132DF9"/>
    <w:rsid w:val="161B85B3"/>
    <w:rsid w:val="161F435A"/>
    <w:rsid w:val="16244F77"/>
    <w:rsid w:val="162D2DF5"/>
    <w:rsid w:val="1636F096"/>
    <w:rsid w:val="163B1E93"/>
    <w:rsid w:val="1649024D"/>
    <w:rsid w:val="166081EB"/>
    <w:rsid w:val="166B9205"/>
    <w:rsid w:val="167366CB"/>
    <w:rsid w:val="167A49DA"/>
    <w:rsid w:val="168B9C6F"/>
    <w:rsid w:val="16920291"/>
    <w:rsid w:val="1694FA32"/>
    <w:rsid w:val="1697FBE0"/>
    <w:rsid w:val="169BAAAC"/>
    <w:rsid w:val="169FD610"/>
    <w:rsid w:val="16A82BFE"/>
    <w:rsid w:val="16ACC5E8"/>
    <w:rsid w:val="16C722E8"/>
    <w:rsid w:val="16C887A6"/>
    <w:rsid w:val="16D3B0EC"/>
    <w:rsid w:val="16E9FFA7"/>
    <w:rsid w:val="16F2AC2E"/>
    <w:rsid w:val="16F87555"/>
    <w:rsid w:val="16F9646E"/>
    <w:rsid w:val="16FE698C"/>
    <w:rsid w:val="17037D1F"/>
    <w:rsid w:val="170EE94D"/>
    <w:rsid w:val="17126F05"/>
    <w:rsid w:val="171C8B94"/>
    <w:rsid w:val="1723F608"/>
    <w:rsid w:val="17246179"/>
    <w:rsid w:val="17247660"/>
    <w:rsid w:val="172DD1C0"/>
    <w:rsid w:val="17375732"/>
    <w:rsid w:val="173B41E7"/>
    <w:rsid w:val="17467E58"/>
    <w:rsid w:val="17499BE7"/>
    <w:rsid w:val="1755A1A0"/>
    <w:rsid w:val="17725DF9"/>
    <w:rsid w:val="1778CBD9"/>
    <w:rsid w:val="177AEB61"/>
    <w:rsid w:val="178EA7C5"/>
    <w:rsid w:val="1793913E"/>
    <w:rsid w:val="17A402AD"/>
    <w:rsid w:val="17AC8E62"/>
    <w:rsid w:val="17ADA0C0"/>
    <w:rsid w:val="17B5AC18"/>
    <w:rsid w:val="17B699DB"/>
    <w:rsid w:val="17B8446E"/>
    <w:rsid w:val="17C173AD"/>
    <w:rsid w:val="17C8D07D"/>
    <w:rsid w:val="17D30D01"/>
    <w:rsid w:val="17DC691B"/>
    <w:rsid w:val="17E1286B"/>
    <w:rsid w:val="17E5E473"/>
    <w:rsid w:val="17EEF0E1"/>
    <w:rsid w:val="17FA2BA4"/>
    <w:rsid w:val="180402AF"/>
    <w:rsid w:val="18101A64"/>
    <w:rsid w:val="18110C32"/>
    <w:rsid w:val="181D6274"/>
    <w:rsid w:val="1822E109"/>
    <w:rsid w:val="1823661C"/>
    <w:rsid w:val="18287662"/>
    <w:rsid w:val="18300891"/>
    <w:rsid w:val="18310C91"/>
    <w:rsid w:val="1838D57D"/>
    <w:rsid w:val="183AD131"/>
    <w:rsid w:val="183DD2BA"/>
    <w:rsid w:val="18444CE4"/>
    <w:rsid w:val="184A6402"/>
    <w:rsid w:val="184AED57"/>
    <w:rsid w:val="18577B87"/>
    <w:rsid w:val="18660C2B"/>
    <w:rsid w:val="186C93A2"/>
    <w:rsid w:val="186EA340"/>
    <w:rsid w:val="1876CE88"/>
    <w:rsid w:val="187AAAD0"/>
    <w:rsid w:val="187C2933"/>
    <w:rsid w:val="18878330"/>
    <w:rsid w:val="188A5A36"/>
    <w:rsid w:val="188EA9D0"/>
    <w:rsid w:val="18A32B82"/>
    <w:rsid w:val="18B7D4F5"/>
    <w:rsid w:val="18C36706"/>
    <w:rsid w:val="18C9C9CF"/>
    <w:rsid w:val="18D6047E"/>
    <w:rsid w:val="18DF3C5F"/>
    <w:rsid w:val="18E5C219"/>
    <w:rsid w:val="18ECA1A0"/>
    <w:rsid w:val="18F04EEA"/>
    <w:rsid w:val="18F56E05"/>
    <w:rsid w:val="18FAF422"/>
    <w:rsid w:val="18FEEEF3"/>
    <w:rsid w:val="1900D8DB"/>
    <w:rsid w:val="19039340"/>
    <w:rsid w:val="1904E7FD"/>
    <w:rsid w:val="1908ED88"/>
    <w:rsid w:val="190B4814"/>
    <w:rsid w:val="19108CB3"/>
    <w:rsid w:val="1919A6BD"/>
    <w:rsid w:val="191C092F"/>
    <w:rsid w:val="1920BE32"/>
    <w:rsid w:val="192FBA19"/>
    <w:rsid w:val="1930C68A"/>
    <w:rsid w:val="193841C6"/>
    <w:rsid w:val="194200C2"/>
    <w:rsid w:val="19460BEA"/>
    <w:rsid w:val="1951DD08"/>
    <w:rsid w:val="195295CC"/>
    <w:rsid w:val="1954B853"/>
    <w:rsid w:val="197E9558"/>
    <w:rsid w:val="197F31F1"/>
    <w:rsid w:val="198A5420"/>
    <w:rsid w:val="1997A7C4"/>
    <w:rsid w:val="19AA405C"/>
    <w:rsid w:val="19ADA8BF"/>
    <w:rsid w:val="19B6D529"/>
    <w:rsid w:val="19BC086F"/>
    <w:rsid w:val="19C64AD6"/>
    <w:rsid w:val="19CDBBC4"/>
    <w:rsid w:val="19D62423"/>
    <w:rsid w:val="19DB450C"/>
    <w:rsid w:val="19E12D78"/>
    <w:rsid w:val="19EC5CF5"/>
    <w:rsid w:val="19F90A21"/>
    <w:rsid w:val="1A0D355A"/>
    <w:rsid w:val="1A147D35"/>
    <w:rsid w:val="1A1973D7"/>
    <w:rsid w:val="1A249607"/>
    <w:rsid w:val="1A262529"/>
    <w:rsid w:val="1A2640CA"/>
    <w:rsid w:val="1A3616C0"/>
    <w:rsid w:val="1A3AC874"/>
    <w:rsid w:val="1A5914B5"/>
    <w:rsid w:val="1A597D71"/>
    <w:rsid w:val="1A59D4A8"/>
    <w:rsid w:val="1A63A312"/>
    <w:rsid w:val="1A724E52"/>
    <w:rsid w:val="1A77712C"/>
    <w:rsid w:val="1A8004C6"/>
    <w:rsid w:val="1A847AAA"/>
    <w:rsid w:val="1A85A892"/>
    <w:rsid w:val="1A88266A"/>
    <w:rsid w:val="1A89BCC1"/>
    <w:rsid w:val="1A8BC8D1"/>
    <w:rsid w:val="1AA093B7"/>
    <w:rsid w:val="1AA35802"/>
    <w:rsid w:val="1AADC0ED"/>
    <w:rsid w:val="1AB4CEC1"/>
    <w:rsid w:val="1AC02124"/>
    <w:rsid w:val="1ACCC3B7"/>
    <w:rsid w:val="1AD0AFB8"/>
    <w:rsid w:val="1AD6B64D"/>
    <w:rsid w:val="1AE07678"/>
    <w:rsid w:val="1AE89CD1"/>
    <w:rsid w:val="1AFEE243"/>
    <w:rsid w:val="1B09216A"/>
    <w:rsid w:val="1B1C510B"/>
    <w:rsid w:val="1B20828D"/>
    <w:rsid w:val="1B2539D5"/>
    <w:rsid w:val="1B2F0E3D"/>
    <w:rsid w:val="1B2F9B24"/>
    <w:rsid w:val="1B32A15C"/>
    <w:rsid w:val="1B37C3A5"/>
    <w:rsid w:val="1B45B1BD"/>
    <w:rsid w:val="1B461599"/>
    <w:rsid w:val="1B507946"/>
    <w:rsid w:val="1B56347E"/>
    <w:rsid w:val="1B5AE798"/>
    <w:rsid w:val="1B637F28"/>
    <w:rsid w:val="1B7CB813"/>
    <w:rsid w:val="1B8042BE"/>
    <w:rsid w:val="1B91F655"/>
    <w:rsid w:val="1B9E9F2F"/>
    <w:rsid w:val="1BAC50C5"/>
    <w:rsid w:val="1BB512F2"/>
    <w:rsid w:val="1BB6D20D"/>
    <w:rsid w:val="1BBB282A"/>
    <w:rsid w:val="1BD73854"/>
    <w:rsid w:val="1BDB4945"/>
    <w:rsid w:val="1BE31968"/>
    <w:rsid w:val="1BE89F0F"/>
    <w:rsid w:val="1BEA0BE5"/>
    <w:rsid w:val="1BEC7D1D"/>
    <w:rsid w:val="1BF6A46F"/>
    <w:rsid w:val="1BFF6254"/>
    <w:rsid w:val="1C0DB0F2"/>
    <w:rsid w:val="1C0EC581"/>
    <w:rsid w:val="1C25D333"/>
    <w:rsid w:val="1C276D7C"/>
    <w:rsid w:val="1C2FFD17"/>
    <w:rsid w:val="1C348146"/>
    <w:rsid w:val="1C34DC3F"/>
    <w:rsid w:val="1C352EFA"/>
    <w:rsid w:val="1C3AC06A"/>
    <w:rsid w:val="1C43D544"/>
    <w:rsid w:val="1C4A4721"/>
    <w:rsid w:val="1C4A4D0A"/>
    <w:rsid w:val="1C57B6A0"/>
    <w:rsid w:val="1C686DE5"/>
    <w:rsid w:val="1C68BB74"/>
    <w:rsid w:val="1C84A1F8"/>
    <w:rsid w:val="1C86778B"/>
    <w:rsid w:val="1C93744A"/>
    <w:rsid w:val="1C990D31"/>
    <w:rsid w:val="1C9CD142"/>
    <w:rsid w:val="1CA5B9E2"/>
    <w:rsid w:val="1CA6D667"/>
    <w:rsid w:val="1CAE3E95"/>
    <w:rsid w:val="1CBE07CF"/>
    <w:rsid w:val="1CC87B86"/>
    <w:rsid w:val="1CD98D48"/>
    <w:rsid w:val="1CE22A9F"/>
    <w:rsid w:val="1CE7EA3E"/>
    <w:rsid w:val="1CEE58F1"/>
    <w:rsid w:val="1CF2A9AD"/>
    <w:rsid w:val="1CF934AC"/>
    <w:rsid w:val="1D00FB59"/>
    <w:rsid w:val="1D04E9FC"/>
    <w:rsid w:val="1D0876B5"/>
    <w:rsid w:val="1D14D11F"/>
    <w:rsid w:val="1D19261D"/>
    <w:rsid w:val="1D1BE90C"/>
    <w:rsid w:val="1D1FAAFD"/>
    <w:rsid w:val="1D285235"/>
    <w:rsid w:val="1D41081C"/>
    <w:rsid w:val="1D4853A6"/>
    <w:rsid w:val="1D4BCD6F"/>
    <w:rsid w:val="1D55BC27"/>
    <w:rsid w:val="1D5A8D2C"/>
    <w:rsid w:val="1D67ADC0"/>
    <w:rsid w:val="1D6C520D"/>
    <w:rsid w:val="1D728F80"/>
    <w:rsid w:val="1D7A0741"/>
    <w:rsid w:val="1D7A7F04"/>
    <w:rsid w:val="1D85A72A"/>
    <w:rsid w:val="1D93107F"/>
    <w:rsid w:val="1D939BD5"/>
    <w:rsid w:val="1DA405EE"/>
    <w:rsid w:val="1DA6BA0A"/>
    <w:rsid w:val="1DA9113A"/>
    <w:rsid w:val="1DB43FD0"/>
    <w:rsid w:val="1DC455EC"/>
    <w:rsid w:val="1DC54AFD"/>
    <w:rsid w:val="1DC7DF58"/>
    <w:rsid w:val="1DD70766"/>
    <w:rsid w:val="1DE03BEB"/>
    <w:rsid w:val="1DE0F1CB"/>
    <w:rsid w:val="1DE6715A"/>
    <w:rsid w:val="1DF63B29"/>
    <w:rsid w:val="1DF96B60"/>
    <w:rsid w:val="1DFAB4A3"/>
    <w:rsid w:val="1DFF671C"/>
    <w:rsid w:val="1E0DA1B3"/>
    <w:rsid w:val="1E11F323"/>
    <w:rsid w:val="1E1A8779"/>
    <w:rsid w:val="1E270F3A"/>
    <w:rsid w:val="1E2905D3"/>
    <w:rsid w:val="1E2C80DC"/>
    <w:rsid w:val="1E32AE5B"/>
    <w:rsid w:val="1E336D3B"/>
    <w:rsid w:val="1E36B257"/>
    <w:rsid w:val="1E4941BE"/>
    <w:rsid w:val="1E4DAEC6"/>
    <w:rsid w:val="1E559A92"/>
    <w:rsid w:val="1E59A336"/>
    <w:rsid w:val="1E5DF225"/>
    <w:rsid w:val="1E639722"/>
    <w:rsid w:val="1E66C513"/>
    <w:rsid w:val="1E66FFD2"/>
    <w:rsid w:val="1E74E71C"/>
    <w:rsid w:val="1E756673"/>
    <w:rsid w:val="1E7FE7F5"/>
    <w:rsid w:val="1E8042A7"/>
    <w:rsid w:val="1E8212AA"/>
    <w:rsid w:val="1E887CA2"/>
    <w:rsid w:val="1E89398C"/>
    <w:rsid w:val="1E8F3694"/>
    <w:rsid w:val="1E8FE967"/>
    <w:rsid w:val="1E921FA1"/>
    <w:rsid w:val="1E981D61"/>
    <w:rsid w:val="1EA2978A"/>
    <w:rsid w:val="1EA65175"/>
    <w:rsid w:val="1EA9AB9C"/>
    <w:rsid w:val="1EB8F6C4"/>
    <w:rsid w:val="1EBE2F1E"/>
    <w:rsid w:val="1EBF2C23"/>
    <w:rsid w:val="1EC34BB5"/>
    <w:rsid w:val="1EC4D5D7"/>
    <w:rsid w:val="1EEE5135"/>
    <w:rsid w:val="1EEFC052"/>
    <w:rsid w:val="1EF18CE2"/>
    <w:rsid w:val="1EF2AE52"/>
    <w:rsid w:val="1F002E09"/>
    <w:rsid w:val="1F0129BF"/>
    <w:rsid w:val="1F01F7AD"/>
    <w:rsid w:val="1F0E93A4"/>
    <w:rsid w:val="1F1521F8"/>
    <w:rsid w:val="1F172E06"/>
    <w:rsid w:val="1F17663A"/>
    <w:rsid w:val="1F1A5303"/>
    <w:rsid w:val="1F26E70B"/>
    <w:rsid w:val="1F298E7D"/>
    <w:rsid w:val="1F3304EA"/>
    <w:rsid w:val="1F4DA3B3"/>
    <w:rsid w:val="1F530A26"/>
    <w:rsid w:val="1F6012CA"/>
    <w:rsid w:val="1F6546C7"/>
    <w:rsid w:val="1F658153"/>
    <w:rsid w:val="1F6FB460"/>
    <w:rsid w:val="1F74EA2D"/>
    <w:rsid w:val="1F96DE01"/>
    <w:rsid w:val="1FA25FEF"/>
    <w:rsid w:val="1FABA0D6"/>
    <w:rsid w:val="1FB72D21"/>
    <w:rsid w:val="1FBAE20A"/>
    <w:rsid w:val="1FC551A4"/>
    <w:rsid w:val="1FC89391"/>
    <w:rsid w:val="1FD6D7E5"/>
    <w:rsid w:val="1FEAE8CB"/>
    <w:rsid w:val="1FEBEE20"/>
    <w:rsid w:val="1FEF4797"/>
    <w:rsid w:val="1FF44FBD"/>
    <w:rsid w:val="1FF78340"/>
    <w:rsid w:val="1FFB3091"/>
    <w:rsid w:val="20052637"/>
    <w:rsid w:val="20055D7A"/>
    <w:rsid w:val="20095324"/>
    <w:rsid w:val="20199744"/>
    <w:rsid w:val="202CBCA4"/>
    <w:rsid w:val="2030C4D4"/>
    <w:rsid w:val="203B7F92"/>
    <w:rsid w:val="20518702"/>
    <w:rsid w:val="205EEF32"/>
    <w:rsid w:val="20605BB1"/>
    <w:rsid w:val="20623BE6"/>
    <w:rsid w:val="206C9ED0"/>
    <w:rsid w:val="206D1517"/>
    <w:rsid w:val="206E872A"/>
    <w:rsid w:val="207DECB7"/>
    <w:rsid w:val="2090EDD2"/>
    <w:rsid w:val="20978607"/>
    <w:rsid w:val="2097E3A5"/>
    <w:rsid w:val="20B4B9D1"/>
    <w:rsid w:val="20B83945"/>
    <w:rsid w:val="20BC958A"/>
    <w:rsid w:val="20BD14E7"/>
    <w:rsid w:val="20BD3945"/>
    <w:rsid w:val="20C45456"/>
    <w:rsid w:val="20CA3888"/>
    <w:rsid w:val="20CDA2A1"/>
    <w:rsid w:val="20D09BF8"/>
    <w:rsid w:val="20D1D8AE"/>
    <w:rsid w:val="20D36F39"/>
    <w:rsid w:val="20DDE212"/>
    <w:rsid w:val="20DE3626"/>
    <w:rsid w:val="20DFB0E2"/>
    <w:rsid w:val="20E132AA"/>
    <w:rsid w:val="20E862F0"/>
    <w:rsid w:val="20EE03A0"/>
    <w:rsid w:val="20F00081"/>
    <w:rsid w:val="20F772E7"/>
    <w:rsid w:val="20F94FF5"/>
    <w:rsid w:val="21106FF7"/>
    <w:rsid w:val="2115BB9A"/>
    <w:rsid w:val="2116D85D"/>
    <w:rsid w:val="2123E60A"/>
    <w:rsid w:val="2127B544"/>
    <w:rsid w:val="212B7D21"/>
    <w:rsid w:val="2130A14E"/>
    <w:rsid w:val="2143CA5C"/>
    <w:rsid w:val="2147CB3B"/>
    <w:rsid w:val="214E8306"/>
    <w:rsid w:val="2156BA78"/>
    <w:rsid w:val="2158E66E"/>
    <w:rsid w:val="21655629"/>
    <w:rsid w:val="2166C542"/>
    <w:rsid w:val="216B650E"/>
    <w:rsid w:val="216CEACD"/>
    <w:rsid w:val="21721E16"/>
    <w:rsid w:val="21738899"/>
    <w:rsid w:val="21766961"/>
    <w:rsid w:val="21796802"/>
    <w:rsid w:val="217A6849"/>
    <w:rsid w:val="217D6474"/>
    <w:rsid w:val="21893678"/>
    <w:rsid w:val="2190A899"/>
    <w:rsid w:val="21938E67"/>
    <w:rsid w:val="219F08E5"/>
    <w:rsid w:val="21AA6E47"/>
    <w:rsid w:val="21B17806"/>
    <w:rsid w:val="21B25605"/>
    <w:rsid w:val="21B99DBD"/>
    <w:rsid w:val="21B9DD89"/>
    <w:rsid w:val="21CD0AE1"/>
    <w:rsid w:val="21E06B7B"/>
    <w:rsid w:val="21E0C464"/>
    <w:rsid w:val="21E17BD8"/>
    <w:rsid w:val="21E47333"/>
    <w:rsid w:val="21EA8322"/>
    <w:rsid w:val="21F87912"/>
    <w:rsid w:val="21FF8D17"/>
    <w:rsid w:val="220075B1"/>
    <w:rsid w:val="22018B16"/>
    <w:rsid w:val="220B0DB8"/>
    <w:rsid w:val="221DB417"/>
    <w:rsid w:val="222CD5F5"/>
    <w:rsid w:val="22300E3E"/>
    <w:rsid w:val="22389505"/>
    <w:rsid w:val="223D3E6C"/>
    <w:rsid w:val="22433A27"/>
    <w:rsid w:val="22476C29"/>
    <w:rsid w:val="224E8774"/>
    <w:rsid w:val="22551D0E"/>
    <w:rsid w:val="226467D0"/>
    <w:rsid w:val="22685EE4"/>
    <w:rsid w:val="2273003E"/>
    <w:rsid w:val="227A4994"/>
    <w:rsid w:val="227C704D"/>
    <w:rsid w:val="227F04FA"/>
    <w:rsid w:val="228998FE"/>
    <w:rsid w:val="22A5D697"/>
    <w:rsid w:val="22A7E9AF"/>
    <w:rsid w:val="22B1BF7E"/>
    <w:rsid w:val="22BF67A2"/>
    <w:rsid w:val="22C4BC80"/>
    <w:rsid w:val="22CF1D1C"/>
    <w:rsid w:val="22D4C4E2"/>
    <w:rsid w:val="22E7580A"/>
    <w:rsid w:val="22EE2CEE"/>
    <w:rsid w:val="230129EA"/>
    <w:rsid w:val="23038AEE"/>
    <w:rsid w:val="2305721B"/>
    <w:rsid w:val="230F70C7"/>
    <w:rsid w:val="2319A97B"/>
    <w:rsid w:val="232357B2"/>
    <w:rsid w:val="23243628"/>
    <w:rsid w:val="232B506A"/>
    <w:rsid w:val="2353213F"/>
    <w:rsid w:val="23566D1B"/>
    <w:rsid w:val="235C0D16"/>
    <w:rsid w:val="236A5339"/>
    <w:rsid w:val="23710F82"/>
    <w:rsid w:val="23771453"/>
    <w:rsid w:val="237C4B0C"/>
    <w:rsid w:val="23865F55"/>
    <w:rsid w:val="238A9D5C"/>
    <w:rsid w:val="238C5046"/>
    <w:rsid w:val="23AEC135"/>
    <w:rsid w:val="23B59F88"/>
    <w:rsid w:val="23BEB046"/>
    <w:rsid w:val="23C2BF1A"/>
    <w:rsid w:val="23C44903"/>
    <w:rsid w:val="23C53282"/>
    <w:rsid w:val="23C60894"/>
    <w:rsid w:val="23C8E2DF"/>
    <w:rsid w:val="23CD9DB6"/>
    <w:rsid w:val="23DA49B9"/>
    <w:rsid w:val="23DA4BB9"/>
    <w:rsid w:val="23DFC3B0"/>
    <w:rsid w:val="23E03708"/>
    <w:rsid w:val="23EF3C83"/>
    <w:rsid w:val="23F80963"/>
    <w:rsid w:val="23FC8960"/>
    <w:rsid w:val="23FD15DD"/>
    <w:rsid w:val="23FD9F13"/>
    <w:rsid w:val="2401494C"/>
    <w:rsid w:val="240B4E6F"/>
    <w:rsid w:val="240F6BB2"/>
    <w:rsid w:val="2414551C"/>
    <w:rsid w:val="241ABF32"/>
    <w:rsid w:val="241FEC4C"/>
    <w:rsid w:val="2431AEE8"/>
    <w:rsid w:val="2436139F"/>
    <w:rsid w:val="243B6F14"/>
    <w:rsid w:val="2445A686"/>
    <w:rsid w:val="244B678D"/>
    <w:rsid w:val="2450CA7F"/>
    <w:rsid w:val="24526DC6"/>
    <w:rsid w:val="2454014E"/>
    <w:rsid w:val="2461B556"/>
    <w:rsid w:val="24634444"/>
    <w:rsid w:val="2463738C"/>
    <w:rsid w:val="2466775E"/>
    <w:rsid w:val="246783BC"/>
    <w:rsid w:val="247176D3"/>
    <w:rsid w:val="24790349"/>
    <w:rsid w:val="2480B873"/>
    <w:rsid w:val="24829AC2"/>
    <w:rsid w:val="24888795"/>
    <w:rsid w:val="249EB784"/>
    <w:rsid w:val="24A07F72"/>
    <w:rsid w:val="24AD1811"/>
    <w:rsid w:val="24BD055C"/>
    <w:rsid w:val="24BFE49A"/>
    <w:rsid w:val="24D9FCEC"/>
    <w:rsid w:val="24E1FEC2"/>
    <w:rsid w:val="24E7563D"/>
    <w:rsid w:val="250D4389"/>
    <w:rsid w:val="250D5AC8"/>
    <w:rsid w:val="2512A127"/>
    <w:rsid w:val="251B68B1"/>
    <w:rsid w:val="2525CD56"/>
    <w:rsid w:val="2527CEE3"/>
    <w:rsid w:val="252E2F4D"/>
    <w:rsid w:val="2530EC0D"/>
    <w:rsid w:val="253ADA49"/>
    <w:rsid w:val="2541F800"/>
    <w:rsid w:val="2548EF2C"/>
    <w:rsid w:val="254D872D"/>
    <w:rsid w:val="254D8EF7"/>
    <w:rsid w:val="254F5D31"/>
    <w:rsid w:val="256B9902"/>
    <w:rsid w:val="256E3B7C"/>
    <w:rsid w:val="25708893"/>
    <w:rsid w:val="2570DAFD"/>
    <w:rsid w:val="2570F319"/>
    <w:rsid w:val="25771F7E"/>
    <w:rsid w:val="257E9394"/>
    <w:rsid w:val="2584FC37"/>
    <w:rsid w:val="2586B8B6"/>
    <w:rsid w:val="258961EF"/>
    <w:rsid w:val="258B9180"/>
    <w:rsid w:val="2592717F"/>
    <w:rsid w:val="25934F57"/>
    <w:rsid w:val="25A0EE0D"/>
    <w:rsid w:val="25A64865"/>
    <w:rsid w:val="25A68E4D"/>
    <w:rsid w:val="25AECA56"/>
    <w:rsid w:val="25B09AB8"/>
    <w:rsid w:val="25B32002"/>
    <w:rsid w:val="25B9367A"/>
    <w:rsid w:val="25C5A467"/>
    <w:rsid w:val="25C73FC7"/>
    <w:rsid w:val="25D6B461"/>
    <w:rsid w:val="25DD0F25"/>
    <w:rsid w:val="25EBDACB"/>
    <w:rsid w:val="25F6334D"/>
    <w:rsid w:val="25F67C1B"/>
    <w:rsid w:val="25FDAAB2"/>
    <w:rsid w:val="26007645"/>
    <w:rsid w:val="2604046E"/>
    <w:rsid w:val="260E87F0"/>
    <w:rsid w:val="2610FCA8"/>
    <w:rsid w:val="2619E513"/>
    <w:rsid w:val="261D20DE"/>
    <w:rsid w:val="265EB99F"/>
    <w:rsid w:val="266CD31E"/>
    <w:rsid w:val="2683FFD4"/>
    <w:rsid w:val="268CB58A"/>
    <w:rsid w:val="269008B3"/>
    <w:rsid w:val="2690EB6B"/>
    <w:rsid w:val="269DA4FC"/>
    <w:rsid w:val="269E75C3"/>
    <w:rsid w:val="26A04CB5"/>
    <w:rsid w:val="26A0911C"/>
    <w:rsid w:val="26A3CA7C"/>
    <w:rsid w:val="26CA4620"/>
    <w:rsid w:val="26E513F7"/>
    <w:rsid w:val="26EBFB14"/>
    <w:rsid w:val="26EE409F"/>
    <w:rsid w:val="26F134F7"/>
    <w:rsid w:val="26FD2D1C"/>
    <w:rsid w:val="2702A0CD"/>
    <w:rsid w:val="2709FFBA"/>
    <w:rsid w:val="270DA428"/>
    <w:rsid w:val="270FEFBF"/>
    <w:rsid w:val="270FFDDE"/>
    <w:rsid w:val="27224D05"/>
    <w:rsid w:val="2723B5A0"/>
    <w:rsid w:val="2724FE8A"/>
    <w:rsid w:val="272D65C2"/>
    <w:rsid w:val="2732D3DD"/>
    <w:rsid w:val="2736DD65"/>
    <w:rsid w:val="273EBB47"/>
    <w:rsid w:val="2741E0BE"/>
    <w:rsid w:val="2746103A"/>
    <w:rsid w:val="275E34B1"/>
    <w:rsid w:val="275EAC6F"/>
    <w:rsid w:val="276135BB"/>
    <w:rsid w:val="27632036"/>
    <w:rsid w:val="2771DC13"/>
    <w:rsid w:val="2773C8AF"/>
    <w:rsid w:val="2779493D"/>
    <w:rsid w:val="277D9C14"/>
    <w:rsid w:val="2780437E"/>
    <w:rsid w:val="278A3876"/>
    <w:rsid w:val="2791EA6E"/>
    <w:rsid w:val="27A14959"/>
    <w:rsid w:val="27A622FC"/>
    <w:rsid w:val="27B8ECB4"/>
    <w:rsid w:val="27D505BB"/>
    <w:rsid w:val="27DA1821"/>
    <w:rsid w:val="27E378C3"/>
    <w:rsid w:val="27E63C52"/>
    <w:rsid w:val="27E857F0"/>
    <w:rsid w:val="27F1D59F"/>
    <w:rsid w:val="27F1F690"/>
    <w:rsid w:val="27FA4B78"/>
    <w:rsid w:val="27FC6E8E"/>
    <w:rsid w:val="280CAA56"/>
    <w:rsid w:val="2810127D"/>
    <w:rsid w:val="2812B4E5"/>
    <w:rsid w:val="281E0FB3"/>
    <w:rsid w:val="281E3963"/>
    <w:rsid w:val="28225475"/>
    <w:rsid w:val="28249895"/>
    <w:rsid w:val="282760FA"/>
    <w:rsid w:val="282CFBFD"/>
    <w:rsid w:val="283D77AA"/>
    <w:rsid w:val="2850E9AF"/>
    <w:rsid w:val="286B1875"/>
    <w:rsid w:val="286F55DE"/>
    <w:rsid w:val="287D6CA3"/>
    <w:rsid w:val="287E5F2E"/>
    <w:rsid w:val="288B8BA7"/>
    <w:rsid w:val="28925628"/>
    <w:rsid w:val="2894A3A7"/>
    <w:rsid w:val="289CC3BA"/>
    <w:rsid w:val="28A2D1A5"/>
    <w:rsid w:val="28A596F5"/>
    <w:rsid w:val="28B01553"/>
    <w:rsid w:val="28B4A063"/>
    <w:rsid w:val="28B88DCF"/>
    <w:rsid w:val="28CDC049"/>
    <w:rsid w:val="28D3D0C6"/>
    <w:rsid w:val="28D96285"/>
    <w:rsid w:val="28DC6F82"/>
    <w:rsid w:val="28E81BA4"/>
    <w:rsid w:val="28EECCD4"/>
    <w:rsid w:val="290BC77B"/>
    <w:rsid w:val="290FB075"/>
    <w:rsid w:val="291040D2"/>
    <w:rsid w:val="2911771B"/>
    <w:rsid w:val="29136FEF"/>
    <w:rsid w:val="29166929"/>
    <w:rsid w:val="2917EB64"/>
    <w:rsid w:val="291CCFD2"/>
    <w:rsid w:val="2920651A"/>
    <w:rsid w:val="29244F86"/>
    <w:rsid w:val="292FAF4F"/>
    <w:rsid w:val="2936855F"/>
    <w:rsid w:val="2937E1A5"/>
    <w:rsid w:val="29421D2A"/>
    <w:rsid w:val="2942765B"/>
    <w:rsid w:val="29454801"/>
    <w:rsid w:val="2954BEA8"/>
    <w:rsid w:val="29583D27"/>
    <w:rsid w:val="295B2204"/>
    <w:rsid w:val="296B64D3"/>
    <w:rsid w:val="297197A7"/>
    <w:rsid w:val="297C88EB"/>
    <w:rsid w:val="29832E24"/>
    <w:rsid w:val="298A351D"/>
    <w:rsid w:val="29903707"/>
    <w:rsid w:val="29985FC5"/>
    <w:rsid w:val="299AF68C"/>
    <w:rsid w:val="299CC26B"/>
    <w:rsid w:val="299E9277"/>
    <w:rsid w:val="29B00114"/>
    <w:rsid w:val="29C28261"/>
    <w:rsid w:val="29C5B1A8"/>
    <w:rsid w:val="29D6FB21"/>
    <w:rsid w:val="29D81B52"/>
    <w:rsid w:val="29D91603"/>
    <w:rsid w:val="29DE854C"/>
    <w:rsid w:val="29E5E0AB"/>
    <w:rsid w:val="29E6A4EF"/>
    <w:rsid w:val="29F1121A"/>
    <w:rsid w:val="2A07E0BB"/>
    <w:rsid w:val="2A08EE48"/>
    <w:rsid w:val="2A0FAFEB"/>
    <w:rsid w:val="2A1266CB"/>
    <w:rsid w:val="2A154564"/>
    <w:rsid w:val="2A16249A"/>
    <w:rsid w:val="2A17B7BC"/>
    <w:rsid w:val="2A1BAF0A"/>
    <w:rsid w:val="2A23944F"/>
    <w:rsid w:val="2A24DFEF"/>
    <w:rsid w:val="2A2D8E4A"/>
    <w:rsid w:val="2A323DBB"/>
    <w:rsid w:val="2A38F0ED"/>
    <w:rsid w:val="2A4410ED"/>
    <w:rsid w:val="2A5ED397"/>
    <w:rsid w:val="2A601548"/>
    <w:rsid w:val="2A61CA9C"/>
    <w:rsid w:val="2A6305FF"/>
    <w:rsid w:val="2A667E88"/>
    <w:rsid w:val="2A66ED4A"/>
    <w:rsid w:val="2A6B1AD5"/>
    <w:rsid w:val="2A6E2033"/>
    <w:rsid w:val="2A74F03F"/>
    <w:rsid w:val="2A7EEB66"/>
    <w:rsid w:val="2A83F2D3"/>
    <w:rsid w:val="2A852B66"/>
    <w:rsid w:val="2A973FBA"/>
    <w:rsid w:val="2AA0C629"/>
    <w:rsid w:val="2AB025C2"/>
    <w:rsid w:val="2AB67346"/>
    <w:rsid w:val="2ACEB407"/>
    <w:rsid w:val="2AD40560"/>
    <w:rsid w:val="2AD7D1B7"/>
    <w:rsid w:val="2AE0D2F3"/>
    <w:rsid w:val="2AE3EA4E"/>
    <w:rsid w:val="2AECB703"/>
    <w:rsid w:val="2AFC45F6"/>
    <w:rsid w:val="2B06E0E2"/>
    <w:rsid w:val="2B160C90"/>
    <w:rsid w:val="2B293CC2"/>
    <w:rsid w:val="2B2D6B98"/>
    <w:rsid w:val="2B50D880"/>
    <w:rsid w:val="2B58FC2B"/>
    <w:rsid w:val="2B5E11FF"/>
    <w:rsid w:val="2B73A453"/>
    <w:rsid w:val="2B768E9E"/>
    <w:rsid w:val="2B8C15D3"/>
    <w:rsid w:val="2B9AA140"/>
    <w:rsid w:val="2B9DCF1B"/>
    <w:rsid w:val="2BA480CB"/>
    <w:rsid w:val="2BB716E0"/>
    <w:rsid w:val="2BBC2B10"/>
    <w:rsid w:val="2BBDCCF4"/>
    <w:rsid w:val="2BC12B0B"/>
    <w:rsid w:val="2BCC728A"/>
    <w:rsid w:val="2BD2A601"/>
    <w:rsid w:val="2BF3F599"/>
    <w:rsid w:val="2BFC1EA9"/>
    <w:rsid w:val="2C01A304"/>
    <w:rsid w:val="2C0294C9"/>
    <w:rsid w:val="2C03353B"/>
    <w:rsid w:val="2C0D609D"/>
    <w:rsid w:val="2C1E74CD"/>
    <w:rsid w:val="2C4E1BA5"/>
    <w:rsid w:val="2C51ED54"/>
    <w:rsid w:val="2C598D01"/>
    <w:rsid w:val="2C5A11CD"/>
    <w:rsid w:val="2C5C43AC"/>
    <w:rsid w:val="2C69813A"/>
    <w:rsid w:val="2C6EC6E0"/>
    <w:rsid w:val="2C9B172B"/>
    <w:rsid w:val="2C9D7E08"/>
    <w:rsid w:val="2C9E7E5A"/>
    <w:rsid w:val="2CA47D73"/>
    <w:rsid w:val="2CA701E0"/>
    <w:rsid w:val="2CB73510"/>
    <w:rsid w:val="2CB92DA6"/>
    <w:rsid w:val="2CBBB0A3"/>
    <w:rsid w:val="2CBD5D96"/>
    <w:rsid w:val="2CBF08C9"/>
    <w:rsid w:val="2CC009EA"/>
    <w:rsid w:val="2CC057CE"/>
    <w:rsid w:val="2CD181FF"/>
    <w:rsid w:val="2CD38A57"/>
    <w:rsid w:val="2CDF580A"/>
    <w:rsid w:val="2CEBED89"/>
    <w:rsid w:val="2CF27D90"/>
    <w:rsid w:val="2CF4CE12"/>
    <w:rsid w:val="2CF59B3C"/>
    <w:rsid w:val="2D00E700"/>
    <w:rsid w:val="2D04CBC2"/>
    <w:rsid w:val="2D051DE0"/>
    <w:rsid w:val="2D12C345"/>
    <w:rsid w:val="2D1E60CF"/>
    <w:rsid w:val="2D21B689"/>
    <w:rsid w:val="2D22F61E"/>
    <w:rsid w:val="2D2F5217"/>
    <w:rsid w:val="2D3383D3"/>
    <w:rsid w:val="2D39BBA9"/>
    <w:rsid w:val="2D3F5966"/>
    <w:rsid w:val="2D3FBACD"/>
    <w:rsid w:val="2D52F29C"/>
    <w:rsid w:val="2D57B541"/>
    <w:rsid w:val="2D62A479"/>
    <w:rsid w:val="2D6ADD68"/>
    <w:rsid w:val="2D6C4041"/>
    <w:rsid w:val="2D717054"/>
    <w:rsid w:val="2D970E1E"/>
    <w:rsid w:val="2DAF2B2B"/>
    <w:rsid w:val="2DB511DB"/>
    <w:rsid w:val="2DB6D7F1"/>
    <w:rsid w:val="2DBA8DC5"/>
    <w:rsid w:val="2DC91630"/>
    <w:rsid w:val="2DCEA678"/>
    <w:rsid w:val="2DD1FB03"/>
    <w:rsid w:val="2DD43BDB"/>
    <w:rsid w:val="2DD63332"/>
    <w:rsid w:val="2DD81A87"/>
    <w:rsid w:val="2DD8E53C"/>
    <w:rsid w:val="2DDCA3DE"/>
    <w:rsid w:val="2DDDD084"/>
    <w:rsid w:val="2DF0BEE3"/>
    <w:rsid w:val="2DF3261C"/>
    <w:rsid w:val="2DF9EAF4"/>
    <w:rsid w:val="2E0B8BC0"/>
    <w:rsid w:val="2E1595C0"/>
    <w:rsid w:val="2E433E8F"/>
    <w:rsid w:val="2E4C36D3"/>
    <w:rsid w:val="2E4C6818"/>
    <w:rsid w:val="2E4EBBE5"/>
    <w:rsid w:val="2E56404A"/>
    <w:rsid w:val="2E587B5F"/>
    <w:rsid w:val="2E63CDC4"/>
    <w:rsid w:val="2E652B0F"/>
    <w:rsid w:val="2E685D13"/>
    <w:rsid w:val="2E692492"/>
    <w:rsid w:val="2E7B1D8B"/>
    <w:rsid w:val="2E7D2B6C"/>
    <w:rsid w:val="2E84EEAC"/>
    <w:rsid w:val="2E87AE92"/>
    <w:rsid w:val="2E92B220"/>
    <w:rsid w:val="2E98A271"/>
    <w:rsid w:val="2E9A068A"/>
    <w:rsid w:val="2EA7285D"/>
    <w:rsid w:val="2EABFE75"/>
    <w:rsid w:val="2EAEFD91"/>
    <w:rsid w:val="2EB18CAA"/>
    <w:rsid w:val="2EB4ECED"/>
    <w:rsid w:val="2EB7DB8A"/>
    <w:rsid w:val="2EBA98AF"/>
    <w:rsid w:val="2EC0C95D"/>
    <w:rsid w:val="2ECD292B"/>
    <w:rsid w:val="2ECE5549"/>
    <w:rsid w:val="2EDC894A"/>
    <w:rsid w:val="2EFBEEFE"/>
    <w:rsid w:val="2EFF5175"/>
    <w:rsid w:val="2F0AD1AC"/>
    <w:rsid w:val="2F0B6A6C"/>
    <w:rsid w:val="2F0E4CB7"/>
    <w:rsid w:val="2F1406FB"/>
    <w:rsid w:val="2F142803"/>
    <w:rsid w:val="2F1F9B52"/>
    <w:rsid w:val="2F213301"/>
    <w:rsid w:val="2F21D407"/>
    <w:rsid w:val="2F251CB1"/>
    <w:rsid w:val="2F348C0F"/>
    <w:rsid w:val="2F353D9A"/>
    <w:rsid w:val="2F3AE7DD"/>
    <w:rsid w:val="2F3E9672"/>
    <w:rsid w:val="2F6179A7"/>
    <w:rsid w:val="2F6B880E"/>
    <w:rsid w:val="2F6FAD19"/>
    <w:rsid w:val="2F73FE1A"/>
    <w:rsid w:val="2F857BC0"/>
    <w:rsid w:val="2F85A10B"/>
    <w:rsid w:val="2F92F242"/>
    <w:rsid w:val="2F97828A"/>
    <w:rsid w:val="2F97D36F"/>
    <w:rsid w:val="2F9C00D5"/>
    <w:rsid w:val="2FA210EF"/>
    <w:rsid w:val="2FB38E8F"/>
    <w:rsid w:val="2FC932C5"/>
    <w:rsid w:val="2FC98ED8"/>
    <w:rsid w:val="2FD10041"/>
    <w:rsid w:val="2FD576A6"/>
    <w:rsid w:val="2FD5D99D"/>
    <w:rsid w:val="2FE39E72"/>
    <w:rsid w:val="2FE7C8A4"/>
    <w:rsid w:val="2FE80152"/>
    <w:rsid w:val="2FEBA550"/>
    <w:rsid w:val="2FEF2F90"/>
    <w:rsid w:val="2FF1B993"/>
    <w:rsid w:val="2FF7DAFF"/>
    <w:rsid w:val="3007F2D3"/>
    <w:rsid w:val="300F5BED"/>
    <w:rsid w:val="301A796C"/>
    <w:rsid w:val="302534FC"/>
    <w:rsid w:val="303020CE"/>
    <w:rsid w:val="303754EB"/>
    <w:rsid w:val="30395EEC"/>
    <w:rsid w:val="3048E8A4"/>
    <w:rsid w:val="30492A97"/>
    <w:rsid w:val="3049E605"/>
    <w:rsid w:val="304F6270"/>
    <w:rsid w:val="3050563F"/>
    <w:rsid w:val="30596A3D"/>
    <w:rsid w:val="3059D3AF"/>
    <w:rsid w:val="305D2AF1"/>
    <w:rsid w:val="306489AC"/>
    <w:rsid w:val="3080DEF3"/>
    <w:rsid w:val="30B898E3"/>
    <w:rsid w:val="30BADBC0"/>
    <w:rsid w:val="30D9B8EA"/>
    <w:rsid w:val="30DE8719"/>
    <w:rsid w:val="30DFEF4C"/>
    <w:rsid w:val="30E44B43"/>
    <w:rsid w:val="30E5B046"/>
    <w:rsid w:val="30E787AB"/>
    <w:rsid w:val="30E80C41"/>
    <w:rsid w:val="30EE0969"/>
    <w:rsid w:val="30EE12EC"/>
    <w:rsid w:val="30F2C9F6"/>
    <w:rsid w:val="30F73121"/>
    <w:rsid w:val="30F899D3"/>
    <w:rsid w:val="3116A36C"/>
    <w:rsid w:val="311DF25E"/>
    <w:rsid w:val="31209C7D"/>
    <w:rsid w:val="313B2780"/>
    <w:rsid w:val="313E13F2"/>
    <w:rsid w:val="3146FAF3"/>
    <w:rsid w:val="314FC358"/>
    <w:rsid w:val="3152B00A"/>
    <w:rsid w:val="3153240B"/>
    <w:rsid w:val="31543ACC"/>
    <w:rsid w:val="31571DEF"/>
    <w:rsid w:val="31590198"/>
    <w:rsid w:val="315B6256"/>
    <w:rsid w:val="315CCD05"/>
    <w:rsid w:val="315FBD9C"/>
    <w:rsid w:val="3161411B"/>
    <w:rsid w:val="31638D9F"/>
    <w:rsid w:val="3164F8A8"/>
    <w:rsid w:val="316682BD"/>
    <w:rsid w:val="3171151A"/>
    <w:rsid w:val="3172DA4C"/>
    <w:rsid w:val="31793C7D"/>
    <w:rsid w:val="317DCB27"/>
    <w:rsid w:val="31807F6F"/>
    <w:rsid w:val="3181E6AE"/>
    <w:rsid w:val="31825218"/>
    <w:rsid w:val="31835F87"/>
    <w:rsid w:val="318D0DBC"/>
    <w:rsid w:val="318F91EA"/>
    <w:rsid w:val="3190FE1B"/>
    <w:rsid w:val="319882D5"/>
    <w:rsid w:val="31A3744A"/>
    <w:rsid w:val="31AE382B"/>
    <w:rsid w:val="31AE5B07"/>
    <w:rsid w:val="31BA4B08"/>
    <w:rsid w:val="31C2DCF8"/>
    <w:rsid w:val="31C7BA6F"/>
    <w:rsid w:val="31CEF7F5"/>
    <w:rsid w:val="31D8273E"/>
    <w:rsid w:val="31ED33EB"/>
    <w:rsid w:val="31EF9706"/>
    <w:rsid w:val="31F1FD75"/>
    <w:rsid w:val="31F26CA0"/>
    <w:rsid w:val="31F46A20"/>
    <w:rsid w:val="31F75B56"/>
    <w:rsid w:val="3205B4F6"/>
    <w:rsid w:val="32155905"/>
    <w:rsid w:val="322B32A9"/>
    <w:rsid w:val="3231772E"/>
    <w:rsid w:val="323E123A"/>
    <w:rsid w:val="32421BA9"/>
    <w:rsid w:val="3246B22F"/>
    <w:rsid w:val="32484680"/>
    <w:rsid w:val="3253F1DA"/>
    <w:rsid w:val="325693A4"/>
    <w:rsid w:val="326B4DE4"/>
    <w:rsid w:val="326C23F2"/>
    <w:rsid w:val="32829CAF"/>
    <w:rsid w:val="3288F301"/>
    <w:rsid w:val="328FE510"/>
    <w:rsid w:val="3290783E"/>
    <w:rsid w:val="32922129"/>
    <w:rsid w:val="329D08D0"/>
    <w:rsid w:val="329D7EB1"/>
    <w:rsid w:val="32A4AE0E"/>
    <w:rsid w:val="32AA61F0"/>
    <w:rsid w:val="32B856B8"/>
    <w:rsid w:val="32BBC400"/>
    <w:rsid w:val="32CD7EA2"/>
    <w:rsid w:val="32E1731C"/>
    <w:rsid w:val="32E2AE9B"/>
    <w:rsid w:val="32EDDB4F"/>
    <w:rsid w:val="32F089D1"/>
    <w:rsid w:val="32F66C36"/>
    <w:rsid w:val="32FE0B19"/>
    <w:rsid w:val="33167AE5"/>
    <w:rsid w:val="331A2B06"/>
    <w:rsid w:val="331AB376"/>
    <w:rsid w:val="331AE562"/>
    <w:rsid w:val="3327C7F5"/>
    <w:rsid w:val="332CF572"/>
    <w:rsid w:val="334CCC09"/>
    <w:rsid w:val="334DDBDA"/>
    <w:rsid w:val="334FDDBC"/>
    <w:rsid w:val="336A71EA"/>
    <w:rsid w:val="336DF733"/>
    <w:rsid w:val="3372C8F4"/>
    <w:rsid w:val="33793983"/>
    <w:rsid w:val="33856BD8"/>
    <w:rsid w:val="339E1EDB"/>
    <w:rsid w:val="33A4A14E"/>
    <w:rsid w:val="33A6F023"/>
    <w:rsid w:val="33A8C611"/>
    <w:rsid w:val="33B50EF4"/>
    <w:rsid w:val="33BD0919"/>
    <w:rsid w:val="33C3889E"/>
    <w:rsid w:val="33C51078"/>
    <w:rsid w:val="33C8F32A"/>
    <w:rsid w:val="33CC77CF"/>
    <w:rsid w:val="33D3DE00"/>
    <w:rsid w:val="33E81205"/>
    <w:rsid w:val="33E8DBB6"/>
    <w:rsid w:val="33EB9E2F"/>
    <w:rsid w:val="33F2C938"/>
    <w:rsid w:val="34109AB0"/>
    <w:rsid w:val="34291FAD"/>
    <w:rsid w:val="342FBDE4"/>
    <w:rsid w:val="343C41D8"/>
    <w:rsid w:val="3440E323"/>
    <w:rsid w:val="34453D48"/>
    <w:rsid w:val="34492783"/>
    <w:rsid w:val="3449A9EA"/>
    <w:rsid w:val="344AAD13"/>
    <w:rsid w:val="34598647"/>
    <w:rsid w:val="34614373"/>
    <w:rsid w:val="34624F7B"/>
    <w:rsid w:val="34638203"/>
    <w:rsid w:val="3477BD86"/>
    <w:rsid w:val="3487240F"/>
    <w:rsid w:val="348F9E26"/>
    <w:rsid w:val="349C396D"/>
    <w:rsid w:val="34AB1D8C"/>
    <w:rsid w:val="34ACC28D"/>
    <w:rsid w:val="34AD480D"/>
    <w:rsid w:val="34BC999C"/>
    <w:rsid w:val="34C738C8"/>
    <w:rsid w:val="34D9440C"/>
    <w:rsid w:val="34E6AAA4"/>
    <w:rsid w:val="34F2DB8E"/>
    <w:rsid w:val="34FA97C5"/>
    <w:rsid w:val="35026FA6"/>
    <w:rsid w:val="350CE51E"/>
    <w:rsid w:val="351B08D3"/>
    <w:rsid w:val="35204D71"/>
    <w:rsid w:val="35297E0F"/>
    <w:rsid w:val="35380744"/>
    <w:rsid w:val="353CB74D"/>
    <w:rsid w:val="354541A1"/>
    <w:rsid w:val="354CB67D"/>
    <w:rsid w:val="354D6770"/>
    <w:rsid w:val="3552B729"/>
    <w:rsid w:val="35676E46"/>
    <w:rsid w:val="358F67E1"/>
    <w:rsid w:val="359DB6CE"/>
    <w:rsid w:val="359DF15A"/>
    <w:rsid w:val="35A7AE3D"/>
    <w:rsid w:val="35B38810"/>
    <w:rsid w:val="35BC009B"/>
    <w:rsid w:val="35BF6704"/>
    <w:rsid w:val="35C15B93"/>
    <w:rsid w:val="35CFAF15"/>
    <w:rsid w:val="35D0D70E"/>
    <w:rsid w:val="35D4DF18"/>
    <w:rsid w:val="35EBEB04"/>
    <w:rsid w:val="35EC8D84"/>
    <w:rsid w:val="35F49A3E"/>
    <w:rsid w:val="35FC36EE"/>
    <w:rsid w:val="35FE19E3"/>
    <w:rsid w:val="36050BBB"/>
    <w:rsid w:val="36051353"/>
    <w:rsid w:val="3607C38D"/>
    <w:rsid w:val="36089B74"/>
    <w:rsid w:val="3621B849"/>
    <w:rsid w:val="3622B7F4"/>
    <w:rsid w:val="3626CE6E"/>
    <w:rsid w:val="36453A8D"/>
    <w:rsid w:val="36454408"/>
    <w:rsid w:val="364BDED8"/>
    <w:rsid w:val="365E7107"/>
    <w:rsid w:val="365FD308"/>
    <w:rsid w:val="366A9508"/>
    <w:rsid w:val="3688DE11"/>
    <w:rsid w:val="368908E1"/>
    <w:rsid w:val="368E2630"/>
    <w:rsid w:val="369C539F"/>
    <w:rsid w:val="36A3BC66"/>
    <w:rsid w:val="36ACBB49"/>
    <w:rsid w:val="36B27BFD"/>
    <w:rsid w:val="36BF741C"/>
    <w:rsid w:val="36C82868"/>
    <w:rsid w:val="36D707E8"/>
    <w:rsid w:val="3713A731"/>
    <w:rsid w:val="3717AB24"/>
    <w:rsid w:val="37188B36"/>
    <w:rsid w:val="37194EE7"/>
    <w:rsid w:val="371C43C2"/>
    <w:rsid w:val="37298ACA"/>
    <w:rsid w:val="372FF5E2"/>
    <w:rsid w:val="3732F353"/>
    <w:rsid w:val="373818D0"/>
    <w:rsid w:val="374BF1A0"/>
    <w:rsid w:val="374E83DD"/>
    <w:rsid w:val="37556154"/>
    <w:rsid w:val="3756DD7D"/>
    <w:rsid w:val="375BDE61"/>
    <w:rsid w:val="3765F172"/>
    <w:rsid w:val="37717AD5"/>
    <w:rsid w:val="37723D98"/>
    <w:rsid w:val="37727763"/>
    <w:rsid w:val="3778FF38"/>
    <w:rsid w:val="377BDF5E"/>
    <w:rsid w:val="3793C1DD"/>
    <w:rsid w:val="3798A81B"/>
    <w:rsid w:val="37B8D439"/>
    <w:rsid w:val="37BEB851"/>
    <w:rsid w:val="37C1CBEB"/>
    <w:rsid w:val="37C692CD"/>
    <w:rsid w:val="37CCBF31"/>
    <w:rsid w:val="37D08910"/>
    <w:rsid w:val="37D76040"/>
    <w:rsid w:val="37DB55B5"/>
    <w:rsid w:val="37DCE944"/>
    <w:rsid w:val="37E6E4A3"/>
    <w:rsid w:val="37F0FFFD"/>
    <w:rsid w:val="37F792CA"/>
    <w:rsid w:val="37FE6B56"/>
    <w:rsid w:val="381AC639"/>
    <w:rsid w:val="3821BF88"/>
    <w:rsid w:val="384A154E"/>
    <w:rsid w:val="385799C8"/>
    <w:rsid w:val="38690E6E"/>
    <w:rsid w:val="3870C444"/>
    <w:rsid w:val="3876E6FC"/>
    <w:rsid w:val="388D61E5"/>
    <w:rsid w:val="38988768"/>
    <w:rsid w:val="389C1EE3"/>
    <w:rsid w:val="389EDF70"/>
    <w:rsid w:val="38A929DB"/>
    <w:rsid w:val="38C21DFE"/>
    <w:rsid w:val="38C84DF0"/>
    <w:rsid w:val="38D2FE15"/>
    <w:rsid w:val="38D322D8"/>
    <w:rsid w:val="38DBC1A0"/>
    <w:rsid w:val="38DC575D"/>
    <w:rsid w:val="38E17756"/>
    <w:rsid w:val="38E5BB71"/>
    <w:rsid w:val="38EB1BDB"/>
    <w:rsid w:val="39038867"/>
    <w:rsid w:val="3905E0FE"/>
    <w:rsid w:val="391A422D"/>
    <w:rsid w:val="3920F163"/>
    <w:rsid w:val="394B2683"/>
    <w:rsid w:val="39557349"/>
    <w:rsid w:val="395B70C8"/>
    <w:rsid w:val="396D4475"/>
    <w:rsid w:val="396F2434"/>
    <w:rsid w:val="3976BACE"/>
    <w:rsid w:val="397934A4"/>
    <w:rsid w:val="397CDB95"/>
    <w:rsid w:val="398A382F"/>
    <w:rsid w:val="398C3093"/>
    <w:rsid w:val="399C2060"/>
    <w:rsid w:val="39A0E979"/>
    <w:rsid w:val="39AA5F2C"/>
    <w:rsid w:val="39AE14F2"/>
    <w:rsid w:val="39AFD4D2"/>
    <w:rsid w:val="39B046C9"/>
    <w:rsid w:val="39BE642D"/>
    <w:rsid w:val="39BF5CF1"/>
    <w:rsid w:val="39CB9EE1"/>
    <w:rsid w:val="39CEEA3F"/>
    <w:rsid w:val="39D14F1C"/>
    <w:rsid w:val="39ED4388"/>
    <w:rsid w:val="39EF0C63"/>
    <w:rsid w:val="39F87C49"/>
    <w:rsid w:val="3A0A2CA5"/>
    <w:rsid w:val="3A0E0C11"/>
    <w:rsid w:val="3A1DFC3B"/>
    <w:rsid w:val="3A1E1B4A"/>
    <w:rsid w:val="3A217AE4"/>
    <w:rsid w:val="3A26946A"/>
    <w:rsid w:val="3A27A757"/>
    <w:rsid w:val="3A3380A8"/>
    <w:rsid w:val="3A36A809"/>
    <w:rsid w:val="3A37E2DE"/>
    <w:rsid w:val="3A3DC8A8"/>
    <w:rsid w:val="3A414513"/>
    <w:rsid w:val="3A4C152D"/>
    <w:rsid w:val="3A4E49BC"/>
    <w:rsid w:val="3A589B4E"/>
    <w:rsid w:val="3A69E481"/>
    <w:rsid w:val="3A806E9C"/>
    <w:rsid w:val="3A86088E"/>
    <w:rsid w:val="3A873A26"/>
    <w:rsid w:val="3A8A1C56"/>
    <w:rsid w:val="3A9C52F4"/>
    <w:rsid w:val="3AB15CFA"/>
    <w:rsid w:val="3ABE418D"/>
    <w:rsid w:val="3AC617B9"/>
    <w:rsid w:val="3AD68FDB"/>
    <w:rsid w:val="3ADCD18D"/>
    <w:rsid w:val="3ADDF7A4"/>
    <w:rsid w:val="3ADEDDD7"/>
    <w:rsid w:val="3AE0F201"/>
    <w:rsid w:val="3B0A42DB"/>
    <w:rsid w:val="3B31FDD7"/>
    <w:rsid w:val="3B39AE85"/>
    <w:rsid w:val="3B3A34BB"/>
    <w:rsid w:val="3B3F57D5"/>
    <w:rsid w:val="3B5BDDEF"/>
    <w:rsid w:val="3B5F4F3B"/>
    <w:rsid w:val="3B6290E7"/>
    <w:rsid w:val="3B663548"/>
    <w:rsid w:val="3B6D8807"/>
    <w:rsid w:val="3B7334D9"/>
    <w:rsid w:val="3B870C48"/>
    <w:rsid w:val="3B8AD0C2"/>
    <w:rsid w:val="3B9401A6"/>
    <w:rsid w:val="3B9E49AC"/>
    <w:rsid w:val="3B9FAE5B"/>
    <w:rsid w:val="3BB369B0"/>
    <w:rsid w:val="3BBF484F"/>
    <w:rsid w:val="3BC0AE0B"/>
    <w:rsid w:val="3BC67F8D"/>
    <w:rsid w:val="3BD29836"/>
    <w:rsid w:val="3BD499E7"/>
    <w:rsid w:val="3BE291F9"/>
    <w:rsid w:val="3BE577FB"/>
    <w:rsid w:val="3BE710E3"/>
    <w:rsid w:val="3BEA2873"/>
    <w:rsid w:val="3BFD649D"/>
    <w:rsid w:val="3C04037B"/>
    <w:rsid w:val="3C06C4FF"/>
    <w:rsid w:val="3C07026A"/>
    <w:rsid w:val="3C09C080"/>
    <w:rsid w:val="3C0C0A3C"/>
    <w:rsid w:val="3C14FF6F"/>
    <w:rsid w:val="3C209029"/>
    <w:rsid w:val="3C257A65"/>
    <w:rsid w:val="3C2D1A8E"/>
    <w:rsid w:val="3C4B4266"/>
    <w:rsid w:val="3C619F16"/>
    <w:rsid w:val="3C6F1A2E"/>
    <w:rsid w:val="3C6F8C00"/>
    <w:rsid w:val="3C710081"/>
    <w:rsid w:val="3C746C67"/>
    <w:rsid w:val="3C76BCF6"/>
    <w:rsid w:val="3C858AC0"/>
    <w:rsid w:val="3C928E33"/>
    <w:rsid w:val="3C980BAC"/>
    <w:rsid w:val="3CB45D21"/>
    <w:rsid w:val="3CB9B500"/>
    <w:rsid w:val="3CBA2131"/>
    <w:rsid w:val="3CBA7EFA"/>
    <w:rsid w:val="3CD753C5"/>
    <w:rsid w:val="3CDABDE0"/>
    <w:rsid w:val="3CE34FE3"/>
    <w:rsid w:val="3CE7BE0E"/>
    <w:rsid w:val="3CEB2BD9"/>
    <w:rsid w:val="3CF3AF5B"/>
    <w:rsid w:val="3CFF33EB"/>
    <w:rsid w:val="3D0773B8"/>
    <w:rsid w:val="3D08BE44"/>
    <w:rsid w:val="3D0E2C96"/>
    <w:rsid w:val="3D105C5B"/>
    <w:rsid w:val="3D120BBE"/>
    <w:rsid w:val="3D1355E3"/>
    <w:rsid w:val="3D2061BE"/>
    <w:rsid w:val="3D2A0728"/>
    <w:rsid w:val="3D30262C"/>
    <w:rsid w:val="3D309952"/>
    <w:rsid w:val="3D30D2D6"/>
    <w:rsid w:val="3D38C706"/>
    <w:rsid w:val="3D441C71"/>
    <w:rsid w:val="3D448A18"/>
    <w:rsid w:val="3D448AF5"/>
    <w:rsid w:val="3D44F8B0"/>
    <w:rsid w:val="3D45C3C7"/>
    <w:rsid w:val="3D490E41"/>
    <w:rsid w:val="3D49BFA3"/>
    <w:rsid w:val="3D4A71FB"/>
    <w:rsid w:val="3D4AEECD"/>
    <w:rsid w:val="3D504FF7"/>
    <w:rsid w:val="3D50CFF3"/>
    <w:rsid w:val="3D547A98"/>
    <w:rsid w:val="3D5ECB3A"/>
    <w:rsid w:val="3D6111BF"/>
    <w:rsid w:val="3D6331C4"/>
    <w:rsid w:val="3D6CD924"/>
    <w:rsid w:val="3D787237"/>
    <w:rsid w:val="3D79A35C"/>
    <w:rsid w:val="3D869994"/>
    <w:rsid w:val="3D991010"/>
    <w:rsid w:val="3D9C7AD8"/>
    <w:rsid w:val="3DA32D6F"/>
    <w:rsid w:val="3DB2C291"/>
    <w:rsid w:val="3DB72C15"/>
    <w:rsid w:val="3DB931C5"/>
    <w:rsid w:val="3DBA3F4F"/>
    <w:rsid w:val="3DBEED90"/>
    <w:rsid w:val="3DC215D0"/>
    <w:rsid w:val="3DCD276D"/>
    <w:rsid w:val="3DD0AD88"/>
    <w:rsid w:val="3DDEC3B6"/>
    <w:rsid w:val="3DDF2641"/>
    <w:rsid w:val="3DE74BA9"/>
    <w:rsid w:val="3DE9355D"/>
    <w:rsid w:val="3DEBC7C9"/>
    <w:rsid w:val="3DF2B5A3"/>
    <w:rsid w:val="3DF7FD2C"/>
    <w:rsid w:val="3DFA8095"/>
    <w:rsid w:val="3DFAE23F"/>
    <w:rsid w:val="3DFB6223"/>
    <w:rsid w:val="3DFD3844"/>
    <w:rsid w:val="3E001869"/>
    <w:rsid w:val="3E0084C2"/>
    <w:rsid w:val="3E06CC0E"/>
    <w:rsid w:val="3E09D4E9"/>
    <w:rsid w:val="3E1D9DC8"/>
    <w:rsid w:val="3E2462AA"/>
    <w:rsid w:val="3E261B39"/>
    <w:rsid w:val="3E29FCC3"/>
    <w:rsid w:val="3E3A8856"/>
    <w:rsid w:val="3E3F2F83"/>
    <w:rsid w:val="3E3F9853"/>
    <w:rsid w:val="3E427F5F"/>
    <w:rsid w:val="3E434A0D"/>
    <w:rsid w:val="3E4E94AD"/>
    <w:rsid w:val="3E535E43"/>
    <w:rsid w:val="3E5E5D9C"/>
    <w:rsid w:val="3E6575C4"/>
    <w:rsid w:val="3E6EC09F"/>
    <w:rsid w:val="3E77F0FB"/>
    <w:rsid w:val="3E814867"/>
    <w:rsid w:val="3E831178"/>
    <w:rsid w:val="3E8AB258"/>
    <w:rsid w:val="3E901ACC"/>
    <w:rsid w:val="3E9DDD54"/>
    <w:rsid w:val="3EA74920"/>
    <w:rsid w:val="3EA9AD3B"/>
    <w:rsid w:val="3EAE3194"/>
    <w:rsid w:val="3EC3B2D1"/>
    <w:rsid w:val="3EC5000D"/>
    <w:rsid w:val="3ECA0677"/>
    <w:rsid w:val="3ED32D99"/>
    <w:rsid w:val="3ED341C8"/>
    <w:rsid w:val="3EE23BC0"/>
    <w:rsid w:val="3EE45A08"/>
    <w:rsid w:val="3EF0107E"/>
    <w:rsid w:val="3EF2CC46"/>
    <w:rsid w:val="3EF8EB3E"/>
    <w:rsid w:val="3EFCA6F9"/>
    <w:rsid w:val="3EFFD72B"/>
    <w:rsid w:val="3F1762DB"/>
    <w:rsid w:val="3F287EB6"/>
    <w:rsid w:val="3F2B1867"/>
    <w:rsid w:val="3F2E0B32"/>
    <w:rsid w:val="3F3B57E8"/>
    <w:rsid w:val="3F3C663D"/>
    <w:rsid w:val="3F3EA8E6"/>
    <w:rsid w:val="3F3FA799"/>
    <w:rsid w:val="3F53D145"/>
    <w:rsid w:val="3F593EC6"/>
    <w:rsid w:val="3F5BFCBB"/>
    <w:rsid w:val="3F5F14FF"/>
    <w:rsid w:val="3F621DCB"/>
    <w:rsid w:val="3F6BE2A7"/>
    <w:rsid w:val="3F756E3A"/>
    <w:rsid w:val="3F7C1827"/>
    <w:rsid w:val="3F7D630D"/>
    <w:rsid w:val="3F891905"/>
    <w:rsid w:val="3F937CAB"/>
    <w:rsid w:val="3FA34F31"/>
    <w:rsid w:val="3FBA8D4A"/>
    <w:rsid w:val="3FBC7087"/>
    <w:rsid w:val="3FBC88FC"/>
    <w:rsid w:val="3FC21D6D"/>
    <w:rsid w:val="3FC5079F"/>
    <w:rsid w:val="3FD0F8FE"/>
    <w:rsid w:val="3FD2E497"/>
    <w:rsid w:val="3FEB872C"/>
    <w:rsid w:val="3FF6846C"/>
    <w:rsid w:val="4002A5A6"/>
    <w:rsid w:val="400CA7C0"/>
    <w:rsid w:val="4013F6FA"/>
    <w:rsid w:val="4016BEF5"/>
    <w:rsid w:val="4024B8CF"/>
    <w:rsid w:val="402B17F0"/>
    <w:rsid w:val="402DE195"/>
    <w:rsid w:val="4031B3A5"/>
    <w:rsid w:val="4036CF88"/>
    <w:rsid w:val="4041D4B1"/>
    <w:rsid w:val="40558E92"/>
    <w:rsid w:val="405CB48D"/>
    <w:rsid w:val="405E1CBE"/>
    <w:rsid w:val="406CD72E"/>
    <w:rsid w:val="408A4CE0"/>
    <w:rsid w:val="40940D21"/>
    <w:rsid w:val="409AF358"/>
    <w:rsid w:val="40B32895"/>
    <w:rsid w:val="40B63B22"/>
    <w:rsid w:val="40CA6FD5"/>
    <w:rsid w:val="40CBED52"/>
    <w:rsid w:val="40D14E21"/>
    <w:rsid w:val="40D294E4"/>
    <w:rsid w:val="40E90BF7"/>
    <w:rsid w:val="40EA95C7"/>
    <w:rsid w:val="40ED279C"/>
    <w:rsid w:val="40F01291"/>
    <w:rsid w:val="40FA70B6"/>
    <w:rsid w:val="40FEDD43"/>
    <w:rsid w:val="41047892"/>
    <w:rsid w:val="41067778"/>
    <w:rsid w:val="4113F26F"/>
    <w:rsid w:val="41181987"/>
    <w:rsid w:val="411D10F1"/>
    <w:rsid w:val="4122427F"/>
    <w:rsid w:val="4124D890"/>
    <w:rsid w:val="412885A0"/>
    <w:rsid w:val="41289A6D"/>
    <w:rsid w:val="412CA9E7"/>
    <w:rsid w:val="4134C8D7"/>
    <w:rsid w:val="41359C28"/>
    <w:rsid w:val="41388BB3"/>
    <w:rsid w:val="413BF917"/>
    <w:rsid w:val="4144542B"/>
    <w:rsid w:val="414BF6EB"/>
    <w:rsid w:val="414E45BB"/>
    <w:rsid w:val="414F855B"/>
    <w:rsid w:val="41522A6A"/>
    <w:rsid w:val="4157A91B"/>
    <w:rsid w:val="41580039"/>
    <w:rsid w:val="416408A9"/>
    <w:rsid w:val="416D5C22"/>
    <w:rsid w:val="417D42AE"/>
    <w:rsid w:val="417FA606"/>
    <w:rsid w:val="41843610"/>
    <w:rsid w:val="4184E156"/>
    <w:rsid w:val="4189E1B1"/>
    <w:rsid w:val="418CFA85"/>
    <w:rsid w:val="418D870F"/>
    <w:rsid w:val="4193BE8E"/>
    <w:rsid w:val="419621AE"/>
    <w:rsid w:val="419B4195"/>
    <w:rsid w:val="419DE322"/>
    <w:rsid w:val="41A33DA1"/>
    <w:rsid w:val="41ADDB26"/>
    <w:rsid w:val="41B3CC00"/>
    <w:rsid w:val="41BEEF0C"/>
    <w:rsid w:val="41C44644"/>
    <w:rsid w:val="41C85076"/>
    <w:rsid w:val="41D7AAA4"/>
    <w:rsid w:val="41DF4FDC"/>
    <w:rsid w:val="41E59E14"/>
    <w:rsid w:val="41EC8F41"/>
    <w:rsid w:val="41F74B1A"/>
    <w:rsid w:val="41F7BBDB"/>
    <w:rsid w:val="4204B415"/>
    <w:rsid w:val="42068330"/>
    <w:rsid w:val="4228E40C"/>
    <w:rsid w:val="422AE198"/>
    <w:rsid w:val="42313928"/>
    <w:rsid w:val="4233EA2C"/>
    <w:rsid w:val="42360947"/>
    <w:rsid w:val="423A0583"/>
    <w:rsid w:val="4250B051"/>
    <w:rsid w:val="425FC9BA"/>
    <w:rsid w:val="4263270C"/>
    <w:rsid w:val="42632D91"/>
    <w:rsid w:val="4263CE77"/>
    <w:rsid w:val="42698384"/>
    <w:rsid w:val="42881221"/>
    <w:rsid w:val="4288A1EE"/>
    <w:rsid w:val="428BA38C"/>
    <w:rsid w:val="4291B335"/>
    <w:rsid w:val="429789C4"/>
    <w:rsid w:val="42A71D9E"/>
    <w:rsid w:val="42A72D12"/>
    <w:rsid w:val="42A7D4DC"/>
    <w:rsid w:val="42CFC026"/>
    <w:rsid w:val="42E258FB"/>
    <w:rsid w:val="42E68C5B"/>
    <w:rsid w:val="42E8A337"/>
    <w:rsid w:val="42F2A8D0"/>
    <w:rsid w:val="42F61023"/>
    <w:rsid w:val="4305BC79"/>
    <w:rsid w:val="43094147"/>
    <w:rsid w:val="431A3D38"/>
    <w:rsid w:val="431A4177"/>
    <w:rsid w:val="431A664A"/>
    <w:rsid w:val="432BBA94"/>
    <w:rsid w:val="432F75FC"/>
    <w:rsid w:val="433BF192"/>
    <w:rsid w:val="4353825D"/>
    <w:rsid w:val="43590B1E"/>
    <w:rsid w:val="437490C9"/>
    <w:rsid w:val="437B97C3"/>
    <w:rsid w:val="43873930"/>
    <w:rsid w:val="438EBA0F"/>
    <w:rsid w:val="439D0A32"/>
    <w:rsid w:val="43B00FDC"/>
    <w:rsid w:val="43B7ACC8"/>
    <w:rsid w:val="43B80830"/>
    <w:rsid w:val="43B9BD25"/>
    <w:rsid w:val="43D172A2"/>
    <w:rsid w:val="43D7967B"/>
    <w:rsid w:val="43FB73EC"/>
    <w:rsid w:val="440121BD"/>
    <w:rsid w:val="440808DD"/>
    <w:rsid w:val="440C8A6E"/>
    <w:rsid w:val="441B7BF5"/>
    <w:rsid w:val="441B8BEE"/>
    <w:rsid w:val="4423A9DC"/>
    <w:rsid w:val="4429F86F"/>
    <w:rsid w:val="443130D0"/>
    <w:rsid w:val="4431DCEF"/>
    <w:rsid w:val="444A4B00"/>
    <w:rsid w:val="4451327B"/>
    <w:rsid w:val="4455A0DB"/>
    <w:rsid w:val="445ADD8A"/>
    <w:rsid w:val="445C251B"/>
    <w:rsid w:val="445F3D3A"/>
    <w:rsid w:val="446023BD"/>
    <w:rsid w:val="44652AEF"/>
    <w:rsid w:val="446FBECD"/>
    <w:rsid w:val="447404A4"/>
    <w:rsid w:val="4494DA4A"/>
    <w:rsid w:val="4495BA78"/>
    <w:rsid w:val="4496ACB4"/>
    <w:rsid w:val="4497B135"/>
    <w:rsid w:val="44A135DE"/>
    <w:rsid w:val="44AD395D"/>
    <w:rsid w:val="44AE0DD8"/>
    <w:rsid w:val="44AE8A95"/>
    <w:rsid w:val="44AF454B"/>
    <w:rsid w:val="44B4DDE1"/>
    <w:rsid w:val="44B6B7D8"/>
    <w:rsid w:val="44BBE7C7"/>
    <w:rsid w:val="44D03354"/>
    <w:rsid w:val="44D2F1F9"/>
    <w:rsid w:val="44D56C35"/>
    <w:rsid w:val="44DCEB44"/>
    <w:rsid w:val="44DD21BF"/>
    <w:rsid w:val="44EB4431"/>
    <w:rsid w:val="44F36E30"/>
    <w:rsid w:val="44F3E09F"/>
    <w:rsid w:val="451F9884"/>
    <w:rsid w:val="452698D1"/>
    <w:rsid w:val="453757BE"/>
    <w:rsid w:val="453BBB2F"/>
    <w:rsid w:val="4542F09A"/>
    <w:rsid w:val="4545F258"/>
    <w:rsid w:val="454D721E"/>
    <w:rsid w:val="4558E3D9"/>
    <w:rsid w:val="4559460C"/>
    <w:rsid w:val="4566C197"/>
    <w:rsid w:val="4572AC64"/>
    <w:rsid w:val="4574F68E"/>
    <w:rsid w:val="45772496"/>
    <w:rsid w:val="457861E6"/>
    <w:rsid w:val="45844585"/>
    <w:rsid w:val="458843AB"/>
    <w:rsid w:val="459128D9"/>
    <w:rsid w:val="459E5463"/>
    <w:rsid w:val="45A0065F"/>
    <w:rsid w:val="45A182DA"/>
    <w:rsid w:val="45AC0002"/>
    <w:rsid w:val="45AC6A15"/>
    <w:rsid w:val="45B10A61"/>
    <w:rsid w:val="45B30F77"/>
    <w:rsid w:val="45B33DF2"/>
    <w:rsid w:val="45B3A445"/>
    <w:rsid w:val="45BB6175"/>
    <w:rsid w:val="45C1EAC0"/>
    <w:rsid w:val="45C799CD"/>
    <w:rsid w:val="45CBE427"/>
    <w:rsid w:val="45CF5CD9"/>
    <w:rsid w:val="45DEAB68"/>
    <w:rsid w:val="45E9F91C"/>
    <w:rsid w:val="45F07A61"/>
    <w:rsid w:val="45F1A23B"/>
    <w:rsid w:val="45FF8B78"/>
    <w:rsid w:val="4611251B"/>
    <w:rsid w:val="4619417E"/>
    <w:rsid w:val="461FEE43"/>
    <w:rsid w:val="46246DBA"/>
    <w:rsid w:val="46388EC2"/>
    <w:rsid w:val="463C11DA"/>
    <w:rsid w:val="463FC6A0"/>
    <w:rsid w:val="4645E79E"/>
    <w:rsid w:val="464F910D"/>
    <w:rsid w:val="465463D9"/>
    <w:rsid w:val="4658A618"/>
    <w:rsid w:val="465A6E2F"/>
    <w:rsid w:val="4662F29D"/>
    <w:rsid w:val="466818FB"/>
    <w:rsid w:val="467CD0F8"/>
    <w:rsid w:val="467E6454"/>
    <w:rsid w:val="467ED54E"/>
    <w:rsid w:val="469A910F"/>
    <w:rsid w:val="469ECB22"/>
    <w:rsid w:val="46A21AAB"/>
    <w:rsid w:val="46AE221F"/>
    <w:rsid w:val="46BC1021"/>
    <w:rsid w:val="46C97E79"/>
    <w:rsid w:val="46D43BBC"/>
    <w:rsid w:val="46EF4DF5"/>
    <w:rsid w:val="46F03D2C"/>
    <w:rsid w:val="46F1FEEE"/>
    <w:rsid w:val="46F699C4"/>
    <w:rsid w:val="46F6A5CC"/>
    <w:rsid w:val="46FE7D64"/>
    <w:rsid w:val="47000BBD"/>
    <w:rsid w:val="4701EF9A"/>
    <w:rsid w:val="4704C886"/>
    <w:rsid w:val="47179010"/>
    <w:rsid w:val="4725E7D2"/>
    <w:rsid w:val="472E7F1C"/>
    <w:rsid w:val="472F9F23"/>
    <w:rsid w:val="4737968C"/>
    <w:rsid w:val="473B69BF"/>
    <w:rsid w:val="47465ABB"/>
    <w:rsid w:val="4749D913"/>
    <w:rsid w:val="474D4BE6"/>
    <w:rsid w:val="476F4F33"/>
    <w:rsid w:val="47706F98"/>
    <w:rsid w:val="477767A8"/>
    <w:rsid w:val="47943309"/>
    <w:rsid w:val="47993315"/>
    <w:rsid w:val="479A5776"/>
    <w:rsid w:val="479DEBE9"/>
    <w:rsid w:val="47A53891"/>
    <w:rsid w:val="47AA7D75"/>
    <w:rsid w:val="47B1820E"/>
    <w:rsid w:val="47B57905"/>
    <w:rsid w:val="47B993DD"/>
    <w:rsid w:val="47C59162"/>
    <w:rsid w:val="47CFF3CD"/>
    <w:rsid w:val="47D270C3"/>
    <w:rsid w:val="47D44A74"/>
    <w:rsid w:val="47E04AC8"/>
    <w:rsid w:val="47E0F8C0"/>
    <w:rsid w:val="47E2D6F8"/>
    <w:rsid w:val="47F2B07A"/>
    <w:rsid w:val="47F5D3EB"/>
    <w:rsid w:val="47F62223"/>
    <w:rsid w:val="4824ACD9"/>
    <w:rsid w:val="4827C065"/>
    <w:rsid w:val="483650CD"/>
    <w:rsid w:val="4839D110"/>
    <w:rsid w:val="483CED68"/>
    <w:rsid w:val="483F1566"/>
    <w:rsid w:val="48404D3B"/>
    <w:rsid w:val="484E5135"/>
    <w:rsid w:val="485802AE"/>
    <w:rsid w:val="485CC720"/>
    <w:rsid w:val="485D6024"/>
    <w:rsid w:val="486EA475"/>
    <w:rsid w:val="4875E8F9"/>
    <w:rsid w:val="487860A1"/>
    <w:rsid w:val="487A1486"/>
    <w:rsid w:val="487FAA60"/>
    <w:rsid w:val="487FACE7"/>
    <w:rsid w:val="488B4736"/>
    <w:rsid w:val="4892F54E"/>
    <w:rsid w:val="48A59692"/>
    <w:rsid w:val="48ABBEA7"/>
    <w:rsid w:val="48C12B58"/>
    <w:rsid w:val="48C94601"/>
    <w:rsid w:val="48E148D6"/>
    <w:rsid w:val="48E2558A"/>
    <w:rsid w:val="48EA1811"/>
    <w:rsid w:val="49052CB7"/>
    <w:rsid w:val="490BD85D"/>
    <w:rsid w:val="490F778C"/>
    <w:rsid w:val="49150F3C"/>
    <w:rsid w:val="49190FFA"/>
    <w:rsid w:val="492654C3"/>
    <w:rsid w:val="4929C1E4"/>
    <w:rsid w:val="4948AD52"/>
    <w:rsid w:val="494A745A"/>
    <w:rsid w:val="494CDA68"/>
    <w:rsid w:val="4950DA7E"/>
    <w:rsid w:val="4952E39D"/>
    <w:rsid w:val="495B3E86"/>
    <w:rsid w:val="496996BA"/>
    <w:rsid w:val="497AD278"/>
    <w:rsid w:val="497EB884"/>
    <w:rsid w:val="4989BD40"/>
    <w:rsid w:val="498A98E9"/>
    <w:rsid w:val="498D5B7B"/>
    <w:rsid w:val="4991F1D5"/>
    <w:rsid w:val="4993CAB7"/>
    <w:rsid w:val="4999ED2A"/>
    <w:rsid w:val="49A2DF14"/>
    <w:rsid w:val="49AA1A4A"/>
    <w:rsid w:val="49AF0A30"/>
    <w:rsid w:val="49B57F36"/>
    <w:rsid w:val="49B9FBCE"/>
    <w:rsid w:val="49C8A115"/>
    <w:rsid w:val="49D17301"/>
    <w:rsid w:val="49D847EE"/>
    <w:rsid w:val="49E208FF"/>
    <w:rsid w:val="49E4E6D1"/>
    <w:rsid w:val="49E60143"/>
    <w:rsid w:val="49ED4998"/>
    <w:rsid w:val="49EE6BD3"/>
    <w:rsid w:val="49F9ADB1"/>
    <w:rsid w:val="4A037514"/>
    <w:rsid w:val="4A06752D"/>
    <w:rsid w:val="4A08B585"/>
    <w:rsid w:val="4A101F04"/>
    <w:rsid w:val="4A2CCE28"/>
    <w:rsid w:val="4A38F353"/>
    <w:rsid w:val="4A410B1C"/>
    <w:rsid w:val="4A4709ED"/>
    <w:rsid w:val="4A4F066A"/>
    <w:rsid w:val="4A51746C"/>
    <w:rsid w:val="4A602754"/>
    <w:rsid w:val="4A61D861"/>
    <w:rsid w:val="4A69C95D"/>
    <w:rsid w:val="4A6FFA78"/>
    <w:rsid w:val="4A74A8E2"/>
    <w:rsid w:val="4A77DA6F"/>
    <w:rsid w:val="4A9A54B5"/>
    <w:rsid w:val="4A9CF10F"/>
    <w:rsid w:val="4AA994AC"/>
    <w:rsid w:val="4ABCEE9E"/>
    <w:rsid w:val="4AC566C3"/>
    <w:rsid w:val="4AC5D498"/>
    <w:rsid w:val="4ADCA647"/>
    <w:rsid w:val="4AE5B074"/>
    <w:rsid w:val="4AED8EEC"/>
    <w:rsid w:val="4AF671BD"/>
    <w:rsid w:val="4AF9054A"/>
    <w:rsid w:val="4B005A96"/>
    <w:rsid w:val="4B0DAD46"/>
    <w:rsid w:val="4B149190"/>
    <w:rsid w:val="4B1A919B"/>
    <w:rsid w:val="4B1CCF42"/>
    <w:rsid w:val="4B29EBAD"/>
    <w:rsid w:val="4B2A80D0"/>
    <w:rsid w:val="4B4A80AD"/>
    <w:rsid w:val="4B4D8EDF"/>
    <w:rsid w:val="4B521BD3"/>
    <w:rsid w:val="4B5442C5"/>
    <w:rsid w:val="4B5902BC"/>
    <w:rsid w:val="4B5BB8BF"/>
    <w:rsid w:val="4B666460"/>
    <w:rsid w:val="4B6B4CE7"/>
    <w:rsid w:val="4B6F57DD"/>
    <w:rsid w:val="4B7AD89D"/>
    <w:rsid w:val="4B830759"/>
    <w:rsid w:val="4B87903B"/>
    <w:rsid w:val="4B888CB5"/>
    <w:rsid w:val="4B8D9BAD"/>
    <w:rsid w:val="4B8EED58"/>
    <w:rsid w:val="4B8FE2CF"/>
    <w:rsid w:val="4B964955"/>
    <w:rsid w:val="4BA5FF4A"/>
    <w:rsid w:val="4BA664AA"/>
    <w:rsid w:val="4BAE3EC1"/>
    <w:rsid w:val="4BAFE318"/>
    <w:rsid w:val="4BC2382C"/>
    <w:rsid w:val="4BC6FA0A"/>
    <w:rsid w:val="4BC98E7B"/>
    <w:rsid w:val="4BD0F150"/>
    <w:rsid w:val="4BD1FF54"/>
    <w:rsid w:val="4BD233E3"/>
    <w:rsid w:val="4BDA8E81"/>
    <w:rsid w:val="4BDC4255"/>
    <w:rsid w:val="4BDE23BB"/>
    <w:rsid w:val="4BDEDFFA"/>
    <w:rsid w:val="4BDFFFF4"/>
    <w:rsid w:val="4BE24619"/>
    <w:rsid w:val="4BE263AA"/>
    <w:rsid w:val="4BE617DB"/>
    <w:rsid w:val="4BED8EB3"/>
    <w:rsid w:val="4BF76AC5"/>
    <w:rsid w:val="4BFBCC19"/>
    <w:rsid w:val="4C04851A"/>
    <w:rsid w:val="4C055421"/>
    <w:rsid w:val="4C0A8063"/>
    <w:rsid w:val="4C0E6C6C"/>
    <w:rsid w:val="4C13BD38"/>
    <w:rsid w:val="4C16A381"/>
    <w:rsid w:val="4C1A8180"/>
    <w:rsid w:val="4C1DBE3F"/>
    <w:rsid w:val="4C20C4C9"/>
    <w:rsid w:val="4C25F0BB"/>
    <w:rsid w:val="4C271A19"/>
    <w:rsid w:val="4C2C1546"/>
    <w:rsid w:val="4C36DEA1"/>
    <w:rsid w:val="4C41EBA8"/>
    <w:rsid w:val="4C438351"/>
    <w:rsid w:val="4C4499F2"/>
    <w:rsid w:val="4C49074B"/>
    <w:rsid w:val="4C555FF0"/>
    <w:rsid w:val="4C5994AF"/>
    <w:rsid w:val="4C5A71C3"/>
    <w:rsid w:val="4C64B230"/>
    <w:rsid w:val="4C6FDCFB"/>
    <w:rsid w:val="4C7E5B58"/>
    <w:rsid w:val="4C9A3536"/>
    <w:rsid w:val="4CA60EC5"/>
    <w:rsid w:val="4CAC0359"/>
    <w:rsid w:val="4CAF06CB"/>
    <w:rsid w:val="4CB47409"/>
    <w:rsid w:val="4CBF52E8"/>
    <w:rsid w:val="4CC0116D"/>
    <w:rsid w:val="4CC2E5D8"/>
    <w:rsid w:val="4CC9DC79"/>
    <w:rsid w:val="4CDDAD8C"/>
    <w:rsid w:val="4CDEA073"/>
    <w:rsid w:val="4CF796A5"/>
    <w:rsid w:val="4D008315"/>
    <w:rsid w:val="4D1CE503"/>
    <w:rsid w:val="4D25FA9A"/>
    <w:rsid w:val="4D2F67C8"/>
    <w:rsid w:val="4D31E110"/>
    <w:rsid w:val="4D37444D"/>
    <w:rsid w:val="4D3B3B8E"/>
    <w:rsid w:val="4D48CAE8"/>
    <w:rsid w:val="4D4C16AF"/>
    <w:rsid w:val="4D5520C4"/>
    <w:rsid w:val="4D56B3B1"/>
    <w:rsid w:val="4D69FC46"/>
    <w:rsid w:val="4D6D5C38"/>
    <w:rsid w:val="4D7738D0"/>
    <w:rsid w:val="4D7A0FB6"/>
    <w:rsid w:val="4D7BD9AD"/>
    <w:rsid w:val="4D8173C7"/>
    <w:rsid w:val="4D87D960"/>
    <w:rsid w:val="4D8CDE55"/>
    <w:rsid w:val="4D8F4E0A"/>
    <w:rsid w:val="4D91B05E"/>
    <w:rsid w:val="4D9D6FE0"/>
    <w:rsid w:val="4D9D80F5"/>
    <w:rsid w:val="4DA960D5"/>
    <w:rsid w:val="4DAAAC70"/>
    <w:rsid w:val="4DACD09B"/>
    <w:rsid w:val="4DBDEE9E"/>
    <w:rsid w:val="4DBE85CC"/>
    <w:rsid w:val="4DC0CE86"/>
    <w:rsid w:val="4DCA5A93"/>
    <w:rsid w:val="4DE88A1A"/>
    <w:rsid w:val="4DF23B7E"/>
    <w:rsid w:val="4DF37857"/>
    <w:rsid w:val="4DF9F894"/>
    <w:rsid w:val="4DFA6324"/>
    <w:rsid w:val="4DFA823B"/>
    <w:rsid w:val="4E015974"/>
    <w:rsid w:val="4E03A473"/>
    <w:rsid w:val="4E1646DA"/>
    <w:rsid w:val="4E16582B"/>
    <w:rsid w:val="4E2455F3"/>
    <w:rsid w:val="4E30410D"/>
    <w:rsid w:val="4E348425"/>
    <w:rsid w:val="4E35B862"/>
    <w:rsid w:val="4E440EC1"/>
    <w:rsid w:val="4E44F6D2"/>
    <w:rsid w:val="4E50043C"/>
    <w:rsid w:val="4E54633F"/>
    <w:rsid w:val="4E6A3485"/>
    <w:rsid w:val="4E6E5B23"/>
    <w:rsid w:val="4E6F3747"/>
    <w:rsid w:val="4E78CBAE"/>
    <w:rsid w:val="4E956A2C"/>
    <w:rsid w:val="4EB78037"/>
    <w:rsid w:val="4EB8990D"/>
    <w:rsid w:val="4EC2239E"/>
    <w:rsid w:val="4EC55EDD"/>
    <w:rsid w:val="4ECB98B2"/>
    <w:rsid w:val="4EEC9EB6"/>
    <w:rsid w:val="4EECA5F7"/>
    <w:rsid w:val="4EF0AEE8"/>
    <w:rsid w:val="4EF6D229"/>
    <w:rsid w:val="4EF9D79E"/>
    <w:rsid w:val="4EFABF68"/>
    <w:rsid w:val="4F000547"/>
    <w:rsid w:val="4F0084FD"/>
    <w:rsid w:val="4F018B49"/>
    <w:rsid w:val="4F01F681"/>
    <w:rsid w:val="4F0CF37E"/>
    <w:rsid w:val="4F1D8512"/>
    <w:rsid w:val="4F1F4DC0"/>
    <w:rsid w:val="4F22AAFC"/>
    <w:rsid w:val="4F26090A"/>
    <w:rsid w:val="4F27E35C"/>
    <w:rsid w:val="4F30E957"/>
    <w:rsid w:val="4F37F326"/>
    <w:rsid w:val="4F3BA188"/>
    <w:rsid w:val="4F452969"/>
    <w:rsid w:val="4F45C3E6"/>
    <w:rsid w:val="4F496DED"/>
    <w:rsid w:val="4F4AD847"/>
    <w:rsid w:val="4F4D95F0"/>
    <w:rsid w:val="4F5042F1"/>
    <w:rsid w:val="4F653BAA"/>
    <w:rsid w:val="4F65D50E"/>
    <w:rsid w:val="4F727440"/>
    <w:rsid w:val="4F7565BE"/>
    <w:rsid w:val="4F827DAB"/>
    <w:rsid w:val="4F852B33"/>
    <w:rsid w:val="4F932E1C"/>
    <w:rsid w:val="4F9C826E"/>
    <w:rsid w:val="4FAFC756"/>
    <w:rsid w:val="4FC683BE"/>
    <w:rsid w:val="4FCB2C25"/>
    <w:rsid w:val="4FCEB371"/>
    <w:rsid w:val="4FE3C5B2"/>
    <w:rsid w:val="4FF68764"/>
    <w:rsid w:val="4FF9FDBD"/>
    <w:rsid w:val="5008D1AD"/>
    <w:rsid w:val="500A5A8C"/>
    <w:rsid w:val="5019741A"/>
    <w:rsid w:val="50236466"/>
    <w:rsid w:val="502CB5D8"/>
    <w:rsid w:val="50360CF7"/>
    <w:rsid w:val="5039C143"/>
    <w:rsid w:val="503D8D1C"/>
    <w:rsid w:val="5042E1A3"/>
    <w:rsid w:val="50527DD9"/>
    <w:rsid w:val="505DC149"/>
    <w:rsid w:val="50610708"/>
    <w:rsid w:val="506A8352"/>
    <w:rsid w:val="506EA32D"/>
    <w:rsid w:val="50777552"/>
    <w:rsid w:val="50817A1B"/>
    <w:rsid w:val="508E68E0"/>
    <w:rsid w:val="5095464D"/>
    <w:rsid w:val="50A117E5"/>
    <w:rsid w:val="50A4709B"/>
    <w:rsid w:val="50B1C5E2"/>
    <w:rsid w:val="50B40643"/>
    <w:rsid w:val="50B45C7B"/>
    <w:rsid w:val="50B85568"/>
    <w:rsid w:val="50C53EF1"/>
    <w:rsid w:val="50C9E364"/>
    <w:rsid w:val="50D255DD"/>
    <w:rsid w:val="50E76235"/>
    <w:rsid w:val="50ED2777"/>
    <w:rsid w:val="50F13AFE"/>
    <w:rsid w:val="50F6ECF4"/>
    <w:rsid w:val="50FBF6DF"/>
    <w:rsid w:val="50FFBB1E"/>
    <w:rsid w:val="510976A8"/>
    <w:rsid w:val="510C9B41"/>
    <w:rsid w:val="510E4914"/>
    <w:rsid w:val="5117888F"/>
    <w:rsid w:val="511BDB22"/>
    <w:rsid w:val="511E3AD4"/>
    <w:rsid w:val="51363EF4"/>
    <w:rsid w:val="513D676D"/>
    <w:rsid w:val="514494DF"/>
    <w:rsid w:val="514E761A"/>
    <w:rsid w:val="51545F75"/>
    <w:rsid w:val="51595022"/>
    <w:rsid w:val="5177A814"/>
    <w:rsid w:val="518C8D82"/>
    <w:rsid w:val="518CDA70"/>
    <w:rsid w:val="51908A68"/>
    <w:rsid w:val="519097AF"/>
    <w:rsid w:val="51913306"/>
    <w:rsid w:val="51998327"/>
    <w:rsid w:val="51A8D604"/>
    <w:rsid w:val="51AC7E67"/>
    <w:rsid w:val="51B88A3E"/>
    <w:rsid w:val="51BEEAF5"/>
    <w:rsid w:val="51C4C95B"/>
    <w:rsid w:val="51C79354"/>
    <w:rsid w:val="51C7E5E0"/>
    <w:rsid w:val="51CA5E9F"/>
    <w:rsid w:val="51D31E9D"/>
    <w:rsid w:val="51DCA490"/>
    <w:rsid w:val="51E398AF"/>
    <w:rsid w:val="51E4CDD4"/>
    <w:rsid w:val="51E61613"/>
    <w:rsid w:val="51E636FD"/>
    <w:rsid w:val="51E9AF0C"/>
    <w:rsid w:val="51F230C2"/>
    <w:rsid w:val="51F35654"/>
    <w:rsid w:val="51FDB9DF"/>
    <w:rsid w:val="51FED434"/>
    <w:rsid w:val="51FF51BE"/>
    <w:rsid w:val="520B910B"/>
    <w:rsid w:val="5213212B"/>
    <w:rsid w:val="5213B574"/>
    <w:rsid w:val="521EA1D8"/>
    <w:rsid w:val="5224C9D1"/>
    <w:rsid w:val="52298C81"/>
    <w:rsid w:val="5234F2C3"/>
    <w:rsid w:val="524304CF"/>
    <w:rsid w:val="5246ACD7"/>
    <w:rsid w:val="524D4A93"/>
    <w:rsid w:val="524DBE6D"/>
    <w:rsid w:val="525A912A"/>
    <w:rsid w:val="525F33C6"/>
    <w:rsid w:val="5269BB44"/>
    <w:rsid w:val="526A3864"/>
    <w:rsid w:val="526DF1BC"/>
    <w:rsid w:val="52729776"/>
    <w:rsid w:val="52764910"/>
    <w:rsid w:val="52790FA1"/>
    <w:rsid w:val="528B23F4"/>
    <w:rsid w:val="528B925A"/>
    <w:rsid w:val="52A33126"/>
    <w:rsid w:val="52A3C3AA"/>
    <w:rsid w:val="52A983B4"/>
    <w:rsid w:val="52AA46DE"/>
    <w:rsid w:val="52B548C5"/>
    <w:rsid w:val="52C79A3F"/>
    <w:rsid w:val="52C88FC1"/>
    <w:rsid w:val="52CCDC31"/>
    <w:rsid w:val="52D124A4"/>
    <w:rsid w:val="52D3697C"/>
    <w:rsid w:val="52DF775B"/>
    <w:rsid w:val="52DF9FD7"/>
    <w:rsid w:val="52EE749C"/>
    <w:rsid w:val="52F1BB05"/>
    <w:rsid w:val="52F5E5D7"/>
    <w:rsid w:val="52F971BB"/>
    <w:rsid w:val="52FD88A4"/>
    <w:rsid w:val="52FDA216"/>
    <w:rsid w:val="53070E25"/>
    <w:rsid w:val="5309360A"/>
    <w:rsid w:val="5318166D"/>
    <w:rsid w:val="532B22A4"/>
    <w:rsid w:val="532E9149"/>
    <w:rsid w:val="53315F6C"/>
    <w:rsid w:val="5336FDEB"/>
    <w:rsid w:val="533A0FE7"/>
    <w:rsid w:val="533E7247"/>
    <w:rsid w:val="5342C13B"/>
    <w:rsid w:val="534DF1E5"/>
    <w:rsid w:val="535FD5D3"/>
    <w:rsid w:val="5366D5FB"/>
    <w:rsid w:val="5368F991"/>
    <w:rsid w:val="53691A2A"/>
    <w:rsid w:val="536A2BB6"/>
    <w:rsid w:val="536CE8D2"/>
    <w:rsid w:val="536E089C"/>
    <w:rsid w:val="5377220C"/>
    <w:rsid w:val="537B33C5"/>
    <w:rsid w:val="537B4D87"/>
    <w:rsid w:val="53896C50"/>
    <w:rsid w:val="538CE6F4"/>
    <w:rsid w:val="5398DC34"/>
    <w:rsid w:val="5399F70F"/>
    <w:rsid w:val="539F9481"/>
    <w:rsid w:val="53A0508C"/>
    <w:rsid w:val="53AF688F"/>
    <w:rsid w:val="53AFCF82"/>
    <w:rsid w:val="53BE379C"/>
    <w:rsid w:val="53C42E27"/>
    <w:rsid w:val="53CBE04A"/>
    <w:rsid w:val="53CC7753"/>
    <w:rsid w:val="53CD96BA"/>
    <w:rsid w:val="53DD2E65"/>
    <w:rsid w:val="53E92B4B"/>
    <w:rsid w:val="53F7181A"/>
    <w:rsid w:val="53FAB628"/>
    <w:rsid w:val="5403D57E"/>
    <w:rsid w:val="54142C4F"/>
    <w:rsid w:val="542C8D6F"/>
    <w:rsid w:val="542E8DEC"/>
    <w:rsid w:val="5435C8D0"/>
    <w:rsid w:val="5439031B"/>
    <w:rsid w:val="544307C4"/>
    <w:rsid w:val="546013D1"/>
    <w:rsid w:val="5463020F"/>
    <w:rsid w:val="54715CE3"/>
    <w:rsid w:val="548253DC"/>
    <w:rsid w:val="54848096"/>
    <w:rsid w:val="5487EBAD"/>
    <w:rsid w:val="5498B0F5"/>
    <w:rsid w:val="5499345A"/>
    <w:rsid w:val="549A078D"/>
    <w:rsid w:val="549A5984"/>
    <w:rsid w:val="54A2F22F"/>
    <w:rsid w:val="54B33C3F"/>
    <w:rsid w:val="54B71857"/>
    <w:rsid w:val="54BBA000"/>
    <w:rsid w:val="54CB5026"/>
    <w:rsid w:val="54EDF477"/>
    <w:rsid w:val="54F26E62"/>
    <w:rsid w:val="54F3D191"/>
    <w:rsid w:val="54F75D3B"/>
    <w:rsid w:val="54FAB245"/>
    <w:rsid w:val="54FDCFC7"/>
    <w:rsid w:val="54FE2CE7"/>
    <w:rsid w:val="550409CD"/>
    <w:rsid w:val="550442F2"/>
    <w:rsid w:val="5505E5A4"/>
    <w:rsid w:val="5506560D"/>
    <w:rsid w:val="550DF675"/>
    <w:rsid w:val="551C4C00"/>
    <w:rsid w:val="5521C303"/>
    <w:rsid w:val="5526DAF6"/>
    <w:rsid w:val="552A83B3"/>
    <w:rsid w:val="552CD9EF"/>
    <w:rsid w:val="552F95A2"/>
    <w:rsid w:val="553104CC"/>
    <w:rsid w:val="5540FCF8"/>
    <w:rsid w:val="554B00E6"/>
    <w:rsid w:val="554D6EB6"/>
    <w:rsid w:val="554DBAE7"/>
    <w:rsid w:val="555121F6"/>
    <w:rsid w:val="55532FAC"/>
    <w:rsid w:val="5558F09F"/>
    <w:rsid w:val="556155F6"/>
    <w:rsid w:val="5568182D"/>
    <w:rsid w:val="55700DE8"/>
    <w:rsid w:val="55767BC0"/>
    <w:rsid w:val="557DC802"/>
    <w:rsid w:val="557DCFC3"/>
    <w:rsid w:val="55989E08"/>
    <w:rsid w:val="55A0EEAA"/>
    <w:rsid w:val="55A4E771"/>
    <w:rsid w:val="55A8A0B2"/>
    <w:rsid w:val="55BB359D"/>
    <w:rsid w:val="55BCCEE1"/>
    <w:rsid w:val="55C53EF3"/>
    <w:rsid w:val="55C68738"/>
    <w:rsid w:val="55D1E41A"/>
    <w:rsid w:val="55D931CC"/>
    <w:rsid w:val="55DF9C15"/>
    <w:rsid w:val="56000A5B"/>
    <w:rsid w:val="5606A8AE"/>
    <w:rsid w:val="560E612D"/>
    <w:rsid w:val="56156A7B"/>
    <w:rsid w:val="5617F212"/>
    <w:rsid w:val="561B9FB5"/>
    <w:rsid w:val="563C66AF"/>
    <w:rsid w:val="56420BDE"/>
    <w:rsid w:val="5643F0D1"/>
    <w:rsid w:val="564A21D7"/>
    <w:rsid w:val="5650F5F3"/>
    <w:rsid w:val="56543BD3"/>
    <w:rsid w:val="565539ED"/>
    <w:rsid w:val="565AAF32"/>
    <w:rsid w:val="56618A29"/>
    <w:rsid w:val="56721351"/>
    <w:rsid w:val="56748B6B"/>
    <w:rsid w:val="5678C09F"/>
    <w:rsid w:val="567AEC82"/>
    <w:rsid w:val="567E84ED"/>
    <w:rsid w:val="56809868"/>
    <w:rsid w:val="5684F0CE"/>
    <w:rsid w:val="568937E5"/>
    <w:rsid w:val="56929BD8"/>
    <w:rsid w:val="56981FEA"/>
    <w:rsid w:val="569A4047"/>
    <w:rsid w:val="56ABFB9C"/>
    <w:rsid w:val="56AC9DE0"/>
    <w:rsid w:val="56AD2E66"/>
    <w:rsid w:val="56B115E8"/>
    <w:rsid w:val="56B4B922"/>
    <w:rsid w:val="56B52F68"/>
    <w:rsid w:val="56C898CE"/>
    <w:rsid w:val="56C966AF"/>
    <w:rsid w:val="56D896E7"/>
    <w:rsid w:val="56E042FC"/>
    <w:rsid w:val="56E4A1CD"/>
    <w:rsid w:val="5704AF28"/>
    <w:rsid w:val="5713A8AE"/>
    <w:rsid w:val="5716034B"/>
    <w:rsid w:val="571E2140"/>
    <w:rsid w:val="571F9436"/>
    <w:rsid w:val="57267912"/>
    <w:rsid w:val="57318B42"/>
    <w:rsid w:val="57329326"/>
    <w:rsid w:val="57379F60"/>
    <w:rsid w:val="573EC4D6"/>
    <w:rsid w:val="573F37E7"/>
    <w:rsid w:val="57593623"/>
    <w:rsid w:val="575A818B"/>
    <w:rsid w:val="5762C6F1"/>
    <w:rsid w:val="576867B2"/>
    <w:rsid w:val="5769979B"/>
    <w:rsid w:val="576E2F8D"/>
    <w:rsid w:val="57763CF7"/>
    <w:rsid w:val="5777FE6E"/>
    <w:rsid w:val="577A4D5F"/>
    <w:rsid w:val="57813626"/>
    <w:rsid w:val="579330B2"/>
    <w:rsid w:val="579C2C54"/>
    <w:rsid w:val="57A6A274"/>
    <w:rsid w:val="57C550AC"/>
    <w:rsid w:val="57CD8AE1"/>
    <w:rsid w:val="57CE8AD6"/>
    <w:rsid w:val="57CFCA55"/>
    <w:rsid w:val="57D21117"/>
    <w:rsid w:val="57D86AF0"/>
    <w:rsid w:val="57EEA8B1"/>
    <w:rsid w:val="57F8B5A3"/>
    <w:rsid w:val="57FB689E"/>
    <w:rsid w:val="57FDDEE7"/>
    <w:rsid w:val="5800EC66"/>
    <w:rsid w:val="58056315"/>
    <w:rsid w:val="5805B125"/>
    <w:rsid w:val="580C2180"/>
    <w:rsid w:val="581706E9"/>
    <w:rsid w:val="5819C6A0"/>
    <w:rsid w:val="581F55C9"/>
    <w:rsid w:val="5834431F"/>
    <w:rsid w:val="5834BC82"/>
    <w:rsid w:val="583CEEF5"/>
    <w:rsid w:val="5845BF8C"/>
    <w:rsid w:val="584F1E65"/>
    <w:rsid w:val="584FA51D"/>
    <w:rsid w:val="58542000"/>
    <w:rsid w:val="585A9795"/>
    <w:rsid w:val="585AEFCA"/>
    <w:rsid w:val="585D31E7"/>
    <w:rsid w:val="5869F349"/>
    <w:rsid w:val="586A5B60"/>
    <w:rsid w:val="586A68FE"/>
    <w:rsid w:val="586E1F1A"/>
    <w:rsid w:val="58820C54"/>
    <w:rsid w:val="588475F1"/>
    <w:rsid w:val="58883A76"/>
    <w:rsid w:val="588D11A2"/>
    <w:rsid w:val="58914648"/>
    <w:rsid w:val="58996A68"/>
    <w:rsid w:val="5899907C"/>
    <w:rsid w:val="589FB0B5"/>
    <w:rsid w:val="58A52572"/>
    <w:rsid w:val="58A54393"/>
    <w:rsid w:val="58AF5DD0"/>
    <w:rsid w:val="58B650C0"/>
    <w:rsid w:val="58BBDB2A"/>
    <w:rsid w:val="58C8DB24"/>
    <w:rsid w:val="58D0D690"/>
    <w:rsid w:val="58D0FA29"/>
    <w:rsid w:val="58DBACC0"/>
    <w:rsid w:val="58DBD0B7"/>
    <w:rsid w:val="58F90F3D"/>
    <w:rsid w:val="5905F777"/>
    <w:rsid w:val="5906FC20"/>
    <w:rsid w:val="590DB31E"/>
    <w:rsid w:val="59103ECF"/>
    <w:rsid w:val="59110897"/>
    <w:rsid w:val="591B2B72"/>
    <w:rsid w:val="592C123D"/>
    <w:rsid w:val="5958DD9D"/>
    <w:rsid w:val="595F5863"/>
    <w:rsid w:val="596B0CFF"/>
    <w:rsid w:val="597C1764"/>
    <w:rsid w:val="59870031"/>
    <w:rsid w:val="598E8A00"/>
    <w:rsid w:val="59A7D9A9"/>
    <w:rsid w:val="59B84580"/>
    <w:rsid w:val="59BE0A11"/>
    <w:rsid w:val="59C292B6"/>
    <w:rsid w:val="59C68B38"/>
    <w:rsid w:val="59C8A420"/>
    <w:rsid w:val="59CA50EE"/>
    <w:rsid w:val="59DB44D7"/>
    <w:rsid w:val="59DC204C"/>
    <w:rsid w:val="59E76249"/>
    <w:rsid w:val="59ED7A9E"/>
    <w:rsid w:val="59F094FC"/>
    <w:rsid w:val="5A0DC322"/>
    <w:rsid w:val="5A197016"/>
    <w:rsid w:val="5A222269"/>
    <w:rsid w:val="5A340D72"/>
    <w:rsid w:val="5A3FD236"/>
    <w:rsid w:val="5A497901"/>
    <w:rsid w:val="5A4BAACF"/>
    <w:rsid w:val="5A4C9786"/>
    <w:rsid w:val="5A5AEA50"/>
    <w:rsid w:val="5A5D30D0"/>
    <w:rsid w:val="5A64F7C8"/>
    <w:rsid w:val="5A74D98A"/>
    <w:rsid w:val="5A7B12BF"/>
    <w:rsid w:val="5A7E58B3"/>
    <w:rsid w:val="5A7E9DF2"/>
    <w:rsid w:val="5A80ECCE"/>
    <w:rsid w:val="5A8877A7"/>
    <w:rsid w:val="5AA66819"/>
    <w:rsid w:val="5AAA7E6C"/>
    <w:rsid w:val="5AB021CC"/>
    <w:rsid w:val="5ABAF1FA"/>
    <w:rsid w:val="5AD5CD90"/>
    <w:rsid w:val="5AE25020"/>
    <w:rsid w:val="5AE4DFF2"/>
    <w:rsid w:val="5AE51A0C"/>
    <w:rsid w:val="5AF8F63F"/>
    <w:rsid w:val="5B054857"/>
    <w:rsid w:val="5B0CEEB3"/>
    <w:rsid w:val="5B0E9AA3"/>
    <w:rsid w:val="5B1731C8"/>
    <w:rsid w:val="5B22826F"/>
    <w:rsid w:val="5B244696"/>
    <w:rsid w:val="5B249AE1"/>
    <w:rsid w:val="5B2B7161"/>
    <w:rsid w:val="5B365749"/>
    <w:rsid w:val="5B3F3473"/>
    <w:rsid w:val="5B45C5B9"/>
    <w:rsid w:val="5B46A7D1"/>
    <w:rsid w:val="5B609D6E"/>
    <w:rsid w:val="5B740719"/>
    <w:rsid w:val="5B7737C7"/>
    <w:rsid w:val="5B899FB1"/>
    <w:rsid w:val="5B8ACCB4"/>
    <w:rsid w:val="5B9121E8"/>
    <w:rsid w:val="5B96A021"/>
    <w:rsid w:val="5B9B02EC"/>
    <w:rsid w:val="5BA33032"/>
    <w:rsid w:val="5BA375DF"/>
    <w:rsid w:val="5BA466E5"/>
    <w:rsid w:val="5BB0CEDD"/>
    <w:rsid w:val="5BB2E683"/>
    <w:rsid w:val="5BB65C1D"/>
    <w:rsid w:val="5BC16304"/>
    <w:rsid w:val="5BC40FC0"/>
    <w:rsid w:val="5BCD6C40"/>
    <w:rsid w:val="5BD17E15"/>
    <w:rsid w:val="5BD7AAF4"/>
    <w:rsid w:val="5BE336B6"/>
    <w:rsid w:val="5BE9D6B7"/>
    <w:rsid w:val="5BEDBE75"/>
    <w:rsid w:val="5BFE1E52"/>
    <w:rsid w:val="5C011813"/>
    <w:rsid w:val="5C073D33"/>
    <w:rsid w:val="5C10835B"/>
    <w:rsid w:val="5C2C0D70"/>
    <w:rsid w:val="5C31EE20"/>
    <w:rsid w:val="5C4205E6"/>
    <w:rsid w:val="5C633B06"/>
    <w:rsid w:val="5C64586E"/>
    <w:rsid w:val="5C65F066"/>
    <w:rsid w:val="5C787572"/>
    <w:rsid w:val="5C7AC9FF"/>
    <w:rsid w:val="5C8B1CEE"/>
    <w:rsid w:val="5C90BD97"/>
    <w:rsid w:val="5C9BB947"/>
    <w:rsid w:val="5C9CD424"/>
    <w:rsid w:val="5CA79530"/>
    <w:rsid w:val="5CA7B624"/>
    <w:rsid w:val="5CAA4898"/>
    <w:rsid w:val="5CAFAA03"/>
    <w:rsid w:val="5CB14C3A"/>
    <w:rsid w:val="5CB45A80"/>
    <w:rsid w:val="5CB50CFD"/>
    <w:rsid w:val="5CB641D6"/>
    <w:rsid w:val="5CB88DDA"/>
    <w:rsid w:val="5CC0CB80"/>
    <w:rsid w:val="5CCFCA63"/>
    <w:rsid w:val="5CD119E0"/>
    <w:rsid w:val="5CDD5CF9"/>
    <w:rsid w:val="5CE754B1"/>
    <w:rsid w:val="5CE934E7"/>
    <w:rsid w:val="5CEAB850"/>
    <w:rsid w:val="5CEC93AD"/>
    <w:rsid w:val="5CF488CB"/>
    <w:rsid w:val="5CFF6957"/>
    <w:rsid w:val="5D0E06D0"/>
    <w:rsid w:val="5D164446"/>
    <w:rsid w:val="5D182BB9"/>
    <w:rsid w:val="5D1A348D"/>
    <w:rsid w:val="5D1CB296"/>
    <w:rsid w:val="5D21EE40"/>
    <w:rsid w:val="5D2E9E1C"/>
    <w:rsid w:val="5D341134"/>
    <w:rsid w:val="5D3502B2"/>
    <w:rsid w:val="5D3CDFC6"/>
    <w:rsid w:val="5D3D3B22"/>
    <w:rsid w:val="5D4054A3"/>
    <w:rsid w:val="5D5298EC"/>
    <w:rsid w:val="5D54D344"/>
    <w:rsid w:val="5D567792"/>
    <w:rsid w:val="5D5D7D6F"/>
    <w:rsid w:val="5D60D581"/>
    <w:rsid w:val="5D646663"/>
    <w:rsid w:val="5D648483"/>
    <w:rsid w:val="5D66A0D5"/>
    <w:rsid w:val="5D688C61"/>
    <w:rsid w:val="5D70ABF2"/>
    <w:rsid w:val="5D78CD7C"/>
    <w:rsid w:val="5D7E552D"/>
    <w:rsid w:val="5D8292E1"/>
    <w:rsid w:val="5D83E8D0"/>
    <w:rsid w:val="5D840981"/>
    <w:rsid w:val="5D8B2271"/>
    <w:rsid w:val="5D8B8B9B"/>
    <w:rsid w:val="5D8C9FA6"/>
    <w:rsid w:val="5D9C3405"/>
    <w:rsid w:val="5D9C68AA"/>
    <w:rsid w:val="5DA2EC39"/>
    <w:rsid w:val="5DA8BEE1"/>
    <w:rsid w:val="5DAD082A"/>
    <w:rsid w:val="5DBCCA60"/>
    <w:rsid w:val="5DBF08C0"/>
    <w:rsid w:val="5DC17481"/>
    <w:rsid w:val="5DCCFAD6"/>
    <w:rsid w:val="5DECDEC7"/>
    <w:rsid w:val="5DEDB2AE"/>
    <w:rsid w:val="5E1793E4"/>
    <w:rsid w:val="5E1FCA54"/>
    <w:rsid w:val="5E294131"/>
    <w:rsid w:val="5E3034B0"/>
    <w:rsid w:val="5E31D6E8"/>
    <w:rsid w:val="5E4022F0"/>
    <w:rsid w:val="5E40C77F"/>
    <w:rsid w:val="5E5047AC"/>
    <w:rsid w:val="5E625D0B"/>
    <w:rsid w:val="5E6E3432"/>
    <w:rsid w:val="5E6E9A79"/>
    <w:rsid w:val="5E7861AB"/>
    <w:rsid w:val="5E7F84B3"/>
    <w:rsid w:val="5E80F00D"/>
    <w:rsid w:val="5E8C92F2"/>
    <w:rsid w:val="5E954B9E"/>
    <w:rsid w:val="5E9966E5"/>
    <w:rsid w:val="5E9F48C0"/>
    <w:rsid w:val="5EA431B2"/>
    <w:rsid w:val="5EA7F2EE"/>
    <w:rsid w:val="5EAA4AB2"/>
    <w:rsid w:val="5EC0B8A7"/>
    <w:rsid w:val="5EC113D7"/>
    <w:rsid w:val="5ED8A378"/>
    <w:rsid w:val="5EDB3007"/>
    <w:rsid w:val="5EE1ABB0"/>
    <w:rsid w:val="5EE5D16E"/>
    <w:rsid w:val="5EE5EA82"/>
    <w:rsid w:val="5EF79047"/>
    <w:rsid w:val="5EFA6A22"/>
    <w:rsid w:val="5F00599F"/>
    <w:rsid w:val="5F01E503"/>
    <w:rsid w:val="5F025F50"/>
    <w:rsid w:val="5F03A30C"/>
    <w:rsid w:val="5F06DED4"/>
    <w:rsid w:val="5F083EBB"/>
    <w:rsid w:val="5F11D3A3"/>
    <w:rsid w:val="5F223E8E"/>
    <w:rsid w:val="5F4C6804"/>
    <w:rsid w:val="5F4E550F"/>
    <w:rsid w:val="5F566F63"/>
    <w:rsid w:val="5F589146"/>
    <w:rsid w:val="5F5A4495"/>
    <w:rsid w:val="5F711806"/>
    <w:rsid w:val="5F755859"/>
    <w:rsid w:val="5F82A69B"/>
    <w:rsid w:val="5F84EAF7"/>
    <w:rsid w:val="5F8EEEA1"/>
    <w:rsid w:val="5F95549C"/>
    <w:rsid w:val="5FA23E20"/>
    <w:rsid w:val="5FAFA8A0"/>
    <w:rsid w:val="5FB9613E"/>
    <w:rsid w:val="5FB9ED9D"/>
    <w:rsid w:val="5FBC5766"/>
    <w:rsid w:val="5FC0AE26"/>
    <w:rsid w:val="5FC31F4B"/>
    <w:rsid w:val="5FC7764A"/>
    <w:rsid w:val="5FD38996"/>
    <w:rsid w:val="5FDAC168"/>
    <w:rsid w:val="5FE587A8"/>
    <w:rsid w:val="5FF1407A"/>
    <w:rsid w:val="5FFA78FC"/>
    <w:rsid w:val="5FFCD2F8"/>
    <w:rsid w:val="60074FE5"/>
    <w:rsid w:val="6008707A"/>
    <w:rsid w:val="600A4249"/>
    <w:rsid w:val="6020971B"/>
    <w:rsid w:val="602760A3"/>
    <w:rsid w:val="602B4AFA"/>
    <w:rsid w:val="602E58F3"/>
    <w:rsid w:val="6033C78C"/>
    <w:rsid w:val="604DBBE5"/>
    <w:rsid w:val="604FA6BF"/>
    <w:rsid w:val="6054CF8C"/>
    <w:rsid w:val="6056E0A7"/>
    <w:rsid w:val="605B1C0A"/>
    <w:rsid w:val="605EE786"/>
    <w:rsid w:val="6061BB3A"/>
    <w:rsid w:val="606500C0"/>
    <w:rsid w:val="6067D21F"/>
    <w:rsid w:val="606E72FB"/>
    <w:rsid w:val="607DBCF5"/>
    <w:rsid w:val="6098FB0B"/>
    <w:rsid w:val="60ABA2D4"/>
    <w:rsid w:val="60C32066"/>
    <w:rsid w:val="60C7C4D1"/>
    <w:rsid w:val="60CA2805"/>
    <w:rsid w:val="60CC168C"/>
    <w:rsid w:val="60D75CD8"/>
    <w:rsid w:val="60FE497A"/>
    <w:rsid w:val="60FEEFEA"/>
    <w:rsid w:val="61065BB2"/>
    <w:rsid w:val="6107B19B"/>
    <w:rsid w:val="610B07B7"/>
    <w:rsid w:val="610B9A42"/>
    <w:rsid w:val="61184373"/>
    <w:rsid w:val="6118757C"/>
    <w:rsid w:val="611A1A30"/>
    <w:rsid w:val="611A6A24"/>
    <w:rsid w:val="6124E5F9"/>
    <w:rsid w:val="6126B07F"/>
    <w:rsid w:val="612BF5C9"/>
    <w:rsid w:val="613C3D14"/>
    <w:rsid w:val="613DEE37"/>
    <w:rsid w:val="613F142F"/>
    <w:rsid w:val="614B98D9"/>
    <w:rsid w:val="61544BA9"/>
    <w:rsid w:val="6159693A"/>
    <w:rsid w:val="616678D3"/>
    <w:rsid w:val="61708ED9"/>
    <w:rsid w:val="6173ACE1"/>
    <w:rsid w:val="617CB59E"/>
    <w:rsid w:val="617E94FF"/>
    <w:rsid w:val="618E4622"/>
    <w:rsid w:val="619AEDDE"/>
    <w:rsid w:val="619C2C90"/>
    <w:rsid w:val="61AADCCC"/>
    <w:rsid w:val="61C0A15E"/>
    <w:rsid w:val="61C70A23"/>
    <w:rsid w:val="61E16414"/>
    <w:rsid w:val="61EDB6F2"/>
    <w:rsid w:val="621E6113"/>
    <w:rsid w:val="62232D51"/>
    <w:rsid w:val="62256407"/>
    <w:rsid w:val="62285D5E"/>
    <w:rsid w:val="624C7A1D"/>
    <w:rsid w:val="6257B27D"/>
    <w:rsid w:val="6264198C"/>
    <w:rsid w:val="6266A41B"/>
    <w:rsid w:val="626F1BD3"/>
    <w:rsid w:val="62753AC5"/>
    <w:rsid w:val="6275F22E"/>
    <w:rsid w:val="62777904"/>
    <w:rsid w:val="6288FB99"/>
    <w:rsid w:val="629EE2E0"/>
    <w:rsid w:val="62A63BE4"/>
    <w:rsid w:val="62A95B7A"/>
    <w:rsid w:val="62B4765D"/>
    <w:rsid w:val="62B5CE85"/>
    <w:rsid w:val="62C7232A"/>
    <w:rsid w:val="62C97218"/>
    <w:rsid w:val="62CA9BDA"/>
    <w:rsid w:val="62CB3E95"/>
    <w:rsid w:val="62CEAF2B"/>
    <w:rsid w:val="62E59AFA"/>
    <w:rsid w:val="62E90F90"/>
    <w:rsid w:val="62EC1778"/>
    <w:rsid w:val="62F07A8E"/>
    <w:rsid w:val="62F4E72C"/>
    <w:rsid w:val="630D5819"/>
    <w:rsid w:val="63109779"/>
    <w:rsid w:val="6317659F"/>
    <w:rsid w:val="63232A60"/>
    <w:rsid w:val="632D7037"/>
    <w:rsid w:val="632DC88B"/>
    <w:rsid w:val="6334217B"/>
    <w:rsid w:val="63357474"/>
    <w:rsid w:val="6349090B"/>
    <w:rsid w:val="635303BE"/>
    <w:rsid w:val="63569F1D"/>
    <w:rsid w:val="636B0BA3"/>
    <w:rsid w:val="63727A75"/>
    <w:rsid w:val="6377C079"/>
    <w:rsid w:val="63786A3D"/>
    <w:rsid w:val="6379EC5B"/>
    <w:rsid w:val="6393FF9B"/>
    <w:rsid w:val="63964F2B"/>
    <w:rsid w:val="639B8041"/>
    <w:rsid w:val="63A40C31"/>
    <w:rsid w:val="63A8B9B0"/>
    <w:rsid w:val="63AE0F3D"/>
    <w:rsid w:val="63AF5D89"/>
    <w:rsid w:val="63B511EC"/>
    <w:rsid w:val="63C0E1C6"/>
    <w:rsid w:val="63C3356A"/>
    <w:rsid w:val="63C4B654"/>
    <w:rsid w:val="63D02DCA"/>
    <w:rsid w:val="63E1FD28"/>
    <w:rsid w:val="63EE82FA"/>
    <w:rsid w:val="63F20A04"/>
    <w:rsid w:val="63F5D862"/>
    <w:rsid w:val="63F7C2C3"/>
    <w:rsid w:val="640861D2"/>
    <w:rsid w:val="640899F3"/>
    <w:rsid w:val="6409A2AF"/>
    <w:rsid w:val="6415EB8F"/>
    <w:rsid w:val="641ABCC1"/>
    <w:rsid w:val="6427D8EA"/>
    <w:rsid w:val="6429F314"/>
    <w:rsid w:val="643A2CAA"/>
    <w:rsid w:val="6444EA9B"/>
    <w:rsid w:val="644C7A6E"/>
    <w:rsid w:val="64581EB6"/>
    <w:rsid w:val="645D3282"/>
    <w:rsid w:val="645D42B7"/>
    <w:rsid w:val="6465D0E6"/>
    <w:rsid w:val="6471E195"/>
    <w:rsid w:val="6474910E"/>
    <w:rsid w:val="6492D092"/>
    <w:rsid w:val="6495D06F"/>
    <w:rsid w:val="64A13653"/>
    <w:rsid w:val="64ABC5A1"/>
    <w:rsid w:val="64B9340F"/>
    <w:rsid w:val="64BEBF85"/>
    <w:rsid w:val="64C16C86"/>
    <w:rsid w:val="64C45A50"/>
    <w:rsid w:val="64E56DE3"/>
    <w:rsid w:val="64E8A4E1"/>
    <w:rsid w:val="64F60093"/>
    <w:rsid w:val="64F8A887"/>
    <w:rsid w:val="64FAD37E"/>
    <w:rsid w:val="64FBB5F0"/>
    <w:rsid w:val="6514EE94"/>
    <w:rsid w:val="651ED3B4"/>
    <w:rsid w:val="65237526"/>
    <w:rsid w:val="6524BFC4"/>
    <w:rsid w:val="6526BFF9"/>
    <w:rsid w:val="652C6A6A"/>
    <w:rsid w:val="65340C7E"/>
    <w:rsid w:val="653B1C63"/>
    <w:rsid w:val="653BEC81"/>
    <w:rsid w:val="65418391"/>
    <w:rsid w:val="65450B86"/>
    <w:rsid w:val="65475367"/>
    <w:rsid w:val="65497AE5"/>
    <w:rsid w:val="655ABFCF"/>
    <w:rsid w:val="655F2314"/>
    <w:rsid w:val="656120D3"/>
    <w:rsid w:val="6563098B"/>
    <w:rsid w:val="657BCE1D"/>
    <w:rsid w:val="6586B314"/>
    <w:rsid w:val="65B13D27"/>
    <w:rsid w:val="65B3C737"/>
    <w:rsid w:val="65B48507"/>
    <w:rsid w:val="65BCA397"/>
    <w:rsid w:val="65C9AF3D"/>
    <w:rsid w:val="65C9B2CF"/>
    <w:rsid w:val="65D2BE1A"/>
    <w:rsid w:val="65D6BFA3"/>
    <w:rsid w:val="65DE9594"/>
    <w:rsid w:val="65E4DB33"/>
    <w:rsid w:val="65E696D0"/>
    <w:rsid w:val="65F32803"/>
    <w:rsid w:val="65FA1F67"/>
    <w:rsid w:val="661197CB"/>
    <w:rsid w:val="66127AEF"/>
    <w:rsid w:val="6623480D"/>
    <w:rsid w:val="662B60ED"/>
    <w:rsid w:val="662DC641"/>
    <w:rsid w:val="662E953F"/>
    <w:rsid w:val="66386DEB"/>
    <w:rsid w:val="66525A82"/>
    <w:rsid w:val="6654FD71"/>
    <w:rsid w:val="665A2A21"/>
    <w:rsid w:val="665CBF9B"/>
    <w:rsid w:val="666905F4"/>
    <w:rsid w:val="667A932A"/>
    <w:rsid w:val="667F8C87"/>
    <w:rsid w:val="6684942D"/>
    <w:rsid w:val="668B35E6"/>
    <w:rsid w:val="6691D2DB"/>
    <w:rsid w:val="66ACFCF8"/>
    <w:rsid w:val="66BBF0D1"/>
    <w:rsid w:val="66C0D4F5"/>
    <w:rsid w:val="66C7B830"/>
    <w:rsid w:val="66C902B0"/>
    <w:rsid w:val="66CAD7A2"/>
    <w:rsid w:val="66CE9209"/>
    <w:rsid w:val="66D0EA63"/>
    <w:rsid w:val="66D2A340"/>
    <w:rsid w:val="66DB2AD1"/>
    <w:rsid w:val="66DB3AEE"/>
    <w:rsid w:val="66F1ED4E"/>
    <w:rsid w:val="66F7C798"/>
    <w:rsid w:val="67033201"/>
    <w:rsid w:val="67062793"/>
    <w:rsid w:val="67091072"/>
    <w:rsid w:val="671265FF"/>
    <w:rsid w:val="672E9B87"/>
    <w:rsid w:val="67318BA9"/>
    <w:rsid w:val="67334FAB"/>
    <w:rsid w:val="6737AAD4"/>
    <w:rsid w:val="674959CD"/>
    <w:rsid w:val="674AEB9C"/>
    <w:rsid w:val="674C1A8A"/>
    <w:rsid w:val="67631FBF"/>
    <w:rsid w:val="6774E442"/>
    <w:rsid w:val="677B6385"/>
    <w:rsid w:val="677DF0C8"/>
    <w:rsid w:val="678072A1"/>
    <w:rsid w:val="678CBFB0"/>
    <w:rsid w:val="67A28AEC"/>
    <w:rsid w:val="67B75F6E"/>
    <w:rsid w:val="67B9D533"/>
    <w:rsid w:val="67BE7A9A"/>
    <w:rsid w:val="67D112C7"/>
    <w:rsid w:val="67DDA184"/>
    <w:rsid w:val="67ECF807"/>
    <w:rsid w:val="67F0355C"/>
    <w:rsid w:val="681F9ACC"/>
    <w:rsid w:val="6828B028"/>
    <w:rsid w:val="683619DD"/>
    <w:rsid w:val="683FD2D2"/>
    <w:rsid w:val="68625AE6"/>
    <w:rsid w:val="687605D2"/>
    <w:rsid w:val="687B1D9E"/>
    <w:rsid w:val="687B5A8A"/>
    <w:rsid w:val="688402D8"/>
    <w:rsid w:val="6889BBF9"/>
    <w:rsid w:val="688D3607"/>
    <w:rsid w:val="68901668"/>
    <w:rsid w:val="6890F4E7"/>
    <w:rsid w:val="6893444F"/>
    <w:rsid w:val="6895DC33"/>
    <w:rsid w:val="689A1A48"/>
    <w:rsid w:val="689B006F"/>
    <w:rsid w:val="689CF3E3"/>
    <w:rsid w:val="68A88B94"/>
    <w:rsid w:val="68AADB69"/>
    <w:rsid w:val="68B0C3DE"/>
    <w:rsid w:val="68B33146"/>
    <w:rsid w:val="68B3BAAF"/>
    <w:rsid w:val="68B794C6"/>
    <w:rsid w:val="68BA8108"/>
    <w:rsid w:val="68BF157C"/>
    <w:rsid w:val="68F12D6F"/>
    <w:rsid w:val="68F58B6E"/>
    <w:rsid w:val="68FAB321"/>
    <w:rsid w:val="68FD75F9"/>
    <w:rsid w:val="6900BA1B"/>
    <w:rsid w:val="6912CBAA"/>
    <w:rsid w:val="692D519A"/>
    <w:rsid w:val="692EC18A"/>
    <w:rsid w:val="693E28B7"/>
    <w:rsid w:val="6940CC3B"/>
    <w:rsid w:val="695D7DA3"/>
    <w:rsid w:val="695F69BF"/>
    <w:rsid w:val="6977A54D"/>
    <w:rsid w:val="698A2C1E"/>
    <w:rsid w:val="699881DC"/>
    <w:rsid w:val="69A58297"/>
    <w:rsid w:val="69ADB5BB"/>
    <w:rsid w:val="69C3CDF5"/>
    <w:rsid w:val="69C42066"/>
    <w:rsid w:val="69C4C4A3"/>
    <w:rsid w:val="69CFC1BA"/>
    <w:rsid w:val="69E21A4F"/>
    <w:rsid w:val="69E4CCA0"/>
    <w:rsid w:val="69E9156A"/>
    <w:rsid w:val="69EB6933"/>
    <w:rsid w:val="69F146F5"/>
    <w:rsid w:val="69F3A1F6"/>
    <w:rsid w:val="69FBB8A8"/>
    <w:rsid w:val="69FE5B96"/>
    <w:rsid w:val="6A0039A1"/>
    <w:rsid w:val="6A01F115"/>
    <w:rsid w:val="6A064C62"/>
    <w:rsid w:val="6A09E188"/>
    <w:rsid w:val="6A0A445E"/>
    <w:rsid w:val="6A1ADC89"/>
    <w:rsid w:val="6A1E2E34"/>
    <w:rsid w:val="6A2CE4C9"/>
    <w:rsid w:val="6A375FA5"/>
    <w:rsid w:val="6A4D61B0"/>
    <w:rsid w:val="6A54F059"/>
    <w:rsid w:val="6A5CFBEA"/>
    <w:rsid w:val="6A5CFFCF"/>
    <w:rsid w:val="6A68ACEF"/>
    <w:rsid w:val="6A68D4B2"/>
    <w:rsid w:val="6A6FB7CE"/>
    <w:rsid w:val="6A784235"/>
    <w:rsid w:val="6A798418"/>
    <w:rsid w:val="6A7C8D04"/>
    <w:rsid w:val="6A88FE8C"/>
    <w:rsid w:val="6AA0D19F"/>
    <w:rsid w:val="6AA19336"/>
    <w:rsid w:val="6AAC6485"/>
    <w:rsid w:val="6ABC1E6D"/>
    <w:rsid w:val="6AC72978"/>
    <w:rsid w:val="6ACBED81"/>
    <w:rsid w:val="6ACCB90B"/>
    <w:rsid w:val="6ACEB36C"/>
    <w:rsid w:val="6AD37EFB"/>
    <w:rsid w:val="6AD46A03"/>
    <w:rsid w:val="6AE6A965"/>
    <w:rsid w:val="6AE7D048"/>
    <w:rsid w:val="6AEC39A3"/>
    <w:rsid w:val="6AF48F24"/>
    <w:rsid w:val="6AFA4136"/>
    <w:rsid w:val="6AFFBE4B"/>
    <w:rsid w:val="6B0D330C"/>
    <w:rsid w:val="6B0D97AF"/>
    <w:rsid w:val="6B0F258C"/>
    <w:rsid w:val="6B10D2C1"/>
    <w:rsid w:val="6B174170"/>
    <w:rsid w:val="6B2026CF"/>
    <w:rsid w:val="6B25315E"/>
    <w:rsid w:val="6B287F7B"/>
    <w:rsid w:val="6B29C9E2"/>
    <w:rsid w:val="6B32EBC4"/>
    <w:rsid w:val="6B36A94D"/>
    <w:rsid w:val="6B3907B6"/>
    <w:rsid w:val="6B3950A7"/>
    <w:rsid w:val="6B428D1B"/>
    <w:rsid w:val="6B445874"/>
    <w:rsid w:val="6B46D6A6"/>
    <w:rsid w:val="6B48EF10"/>
    <w:rsid w:val="6B57A7B0"/>
    <w:rsid w:val="6B5D2D8D"/>
    <w:rsid w:val="6B5E39D5"/>
    <w:rsid w:val="6B647215"/>
    <w:rsid w:val="6B6DB80E"/>
    <w:rsid w:val="6B7EE622"/>
    <w:rsid w:val="6B8AFD3B"/>
    <w:rsid w:val="6B8D8223"/>
    <w:rsid w:val="6B9365C4"/>
    <w:rsid w:val="6B96903C"/>
    <w:rsid w:val="6BA7B1E3"/>
    <w:rsid w:val="6BA943D5"/>
    <w:rsid w:val="6BA9CAA7"/>
    <w:rsid w:val="6BAA3F70"/>
    <w:rsid w:val="6BB66140"/>
    <w:rsid w:val="6BB7D263"/>
    <w:rsid w:val="6BC230AF"/>
    <w:rsid w:val="6BCBDF64"/>
    <w:rsid w:val="6BD0AA30"/>
    <w:rsid w:val="6BD4E2A6"/>
    <w:rsid w:val="6BD6648F"/>
    <w:rsid w:val="6BDB8E37"/>
    <w:rsid w:val="6BE09A80"/>
    <w:rsid w:val="6BE10553"/>
    <w:rsid w:val="6BE603C3"/>
    <w:rsid w:val="6BEDDDEC"/>
    <w:rsid w:val="6BF08E9B"/>
    <w:rsid w:val="6BF33C08"/>
    <w:rsid w:val="6BF9FF7A"/>
    <w:rsid w:val="6C047214"/>
    <w:rsid w:val="6C0B7919"/>
    <w:rsid w:val="6C1DE833"/>
    <w:rsid w:val="6C20D736"/>
    <w:rsid w:val="6C2658FF"/>
    <w:rsid w:val="6C345BBF"/>
    <w:rsid w:val="6C36861B"/>
    <w:rsid w:val="6C37975B"/>
    <w:rsid w:val="6C3EE07E"/>
    <w:rsid w:val="6C466514"/>
    <w:rsid w:val="6C4B6F8F"/>
    <w:rsid w:val="6C4BA114"/>
    <w:rsid w:val="6C54F48D"/>
    <w:rsid w:val="6C5BD63A"/>
    <w:rsid w:val="6C6AE0B4"/>
    <w:rsid w:val="6C6CD44D"/>
    <w:rsid w:val="6C6D5F54"/>
    <w:rsid w:val="6C7BBD7F"/>
    <w:rsid w:val="6C87033C"/>
    <w:rsid w:val="6C89DFAA"/>
    <w:rsid w:val="6C98807B"/>
    <w:rsid w:val="6C9C93E9"/>
    <w:rsid w:val="6C9E4798"/>
    <w:rsid w:val="6CA05916"/>
    <w:rsid w:val="6CBAF1C7"/>
    <w:rsid w:val="6CBFBC57"/>
    <w:rsid w:val="6CC3E3FA"/>
    <w:rsid w:val="6CC57A04"/>
    <w:rsid w:val="6CDC5303"/>
    <w:rsid w:val="6CF2840F"/>
    <w:rsid w:val="6CFDA2A4"/>
    <w:rsid w:val="6D0C9774"/>
    <w:rsid w:val="6D0F5D8E"/>
    <w:rsid w:val="6D2DE9A6"/>
    <w:rsid w:val="6D33F5E7"/>
    <w:rsid w:val="6D34833E"/>
    <w:rsid w:val="6D40B35F"/>
    <w:rsid w:val="6D523720"/>
    <w:rsid w:val="6D527B9C"/>
    <w:rsid w:val="6D540081"/>
    <w:rsid w:val="6D55A45D"/>
    <w:rsid w:val="6D574EF3"/>
    <w:rsid w:val="6D6EB41F"/>
    <w:rsid w:val="6D6F5D11"/>
    <w:rsid w:val="6D7969B2"/>
    <w:rsid w:val="6D7EB1FE"/>
    <w:rsid w:val="6D8C3E66"/>
    <w:rsid w:val="6D9E16AE"/>
    <w:rsid w:val="6DAD10CB"/>
    <w:rsid w:val="6DAE6F91"/>
    <w:rsid w:val="6DBD4685"/>
    <w:rsid w:val="6DBF619E"/>
    <w:rsid w:val="6DCA9349"/>
    <w:rsid w:val="6DD50657"/>
    <w:rsid w:val="6DD64AF0"/>
    <w:rsid w:val="6DF0015B"/>
    <w:rsid w:val="6DF0D6FA"/>
    <w:rsid w:val="6DF4DE6E"/>
    <w:rsid w:val="6DF68695"/>
    <w:rsid w:val="6DF68C7C"/>
    <w:rsid w:val="6E0B15C6"/>
    <w:rsid w:val="6E0D6BE2"/>
    <w:rsid w:val="6E1D62FC"/>
    <w:rsid w:val="6E235F12"/>
    <w:rsid w:val="6E28E1DF"/>
    <w:rsid w:val="6E29D77D"/>
    <w:rsid w:val="6E2FD6F8"/>
    <w:rsid w:val="6E36A656"/>
    <w:rsid w:val="6E3DCB72"/>
    <w:rsid w:val="6E3FC678"/>
    <w:rsid w:val="6E447F8E"/>
    <w:rsid w:val="6E4F064A"/>
    <w:rsid w:val="6E53794C"/>
    <w:rsid w:val="6E5E653C"/>
    <w:rsid w:val="6E636386"/>
    <w:rsid w:val="6E68A3D3"/>
    <w:rsid w:val="6E6B1A09"/>
    <w:rsid w:val="6E870C17"/>
    <w:rsid w:val="6E921FED"/>
    <w:rsid w:val="6E9C059E"/>
    <w:rsid w:val="6EBD713D"/>
    <w:rsid w:val="6EC4714F"/>
    <w:rsid w:val="6ECDC939"/>
    <w:rsid w:val="6EE16607"/>
    <w:rsid w:val="6EE18EA6"/>
    <w:rsid w:val="6EFAE686"/>
    <w:rsid w:val="6F126401"/>
    <w:rsid w:val="6F140DD1"/>
    <w:rsid w:val="6F190734"/>
    <w:rsid w:val="6F1C8F39"/>
    <w:rsid w:val="6F289000"/>
    <w:rsid w:val="6F2F6BF2"/>
    <w:rsid w:val="6F3498CC"/>
    <w:rsid w:val="6F3B515A"/>
    <w:rsid w:val="6F3DBCC6"/>
    <w:rsid w:val="6F4C65EE"/>
    <w:rsid w:val="6F565D5A"/>
    <w:rsid w:val="6F5AD1D2"/>
    <w:rsid w:val="6F5FFDE9"/>
    <w:rsid w:val="6F61A742"/>
    <w:rsid w:val="6F731A85"/>
    <w:rsid w:val="6F73873D"/>
    <w:rsid w:val="6F74E877"/>
    <w:rsid w:val="6F7C4E37"/>
    <w:rsid w:val="6F8E0F9B"/>
    <w:rsid w:val="6F91BFE6"/>
    <w:rsid w:val="6F94945B"/>
    <w:rsid w:val="6F97B7F0"/>
    <w:rsid w:val="6FA28809"/>
    <w:rsid w:val="6FA30802"/>
    <w:rsid w:val="6FA32F7C"/>
    <w:rsid w:val="6FA9050B"/>
    <w:rsid w:val="6FAA165F"/>
    <w:rsid w:val="6FB3ABB8"/>
    <w:rsid w:val="6FB77CED"/>
    <w:rsid w:val="6FBCE0E6"/>
    <w:rsid w:val="6FBDFA35"/>
    <w:rsid w:val="6FBECBC9"/>
    <w:rsid w:val="6FC64525"/>
    <w:rsid w:val="6FC6FBC2"/>
    <w:rsid w:val="6FDA9AC0"/>
    <w:rsid w:val="6FDF6E44"/>
    <w:rsid w:val="6FE5C8B3"/>
    <w:rsid w:val="6FE5F5C7"/>
    <w:rsid w:val="6FEE9D40"/>
    <w:rsid w:val="7000CD77"/>
    <w:rsid w:val="700872B2"/>
    <w:rsid w:val="700E0642"/>
    <w:rsid w:val="7016F705"/>
    <w:rsid w:val="7017B022"/>
    <w:rsid w:val="7017E928"/>
    <w:rsid w:val="701B11EC"/>
    <w:rsid w:val="70323727"/>
    <w:rsid w:val="703EBB1E"/>
    <w:rsid w:val="7040245B"/>
    <w:rsid w:val="704B07A0"/>
    <w:rsid w:val="705F8280"/>
    <w:rsid w:val="706B73A9"/>
    <w:rsid w:val="70745B5E"/>
    <w:rsid w:val="707811DE"/>
    <w:rsid w:val="70864D22"/>
    <w:rsid w:val="709521F8"/>
    <w:rsid w:val="7097B464"/>
    <w:rsid w:val="7099791A"/>
    <w:rsid w:val="709A5F78"/>
    <w:rsid w:val="709DD305"/>
    <w:rsid w:val="709E7028"/>
    <w:rsid w:val="70A1D0C9"/>
    <w:rsid w:val="70A2C0CA"/>
    <w:rsid w:val="70A48F87"/>
    <w:rsid w:val="70A9873E"/>
    <w:rsid w:val="70B58966"/>
    <w:rsid w:val="70B5C6E5"/>
    <w:rsid w:val="70B90F0B"/>
    <w:rsid w:val="70BEE3EE"/>
    <w:rsid w:val="70CE0EAD"/>
    <w:rsid w:val="70CE47EF"/>
    <w:rsid w:val="70D33D36"/>
    <w:rsid w:val="70D58400"/>
    <w:rsid w:val="70DDBC8B"/>
    <w:rsid w:val="70DE2ABE"/>
    <w:rsid w:val="70DEB148"/>
    <w:rsid w:val="70E49ECA"/>
    <w:rsid w:val="70E4BD1C"/>
    <w:rsid w:val="70E604AE"/>
    <w:rsid w:val="70E8AF1B"/>
    <w:rsid w:val="70F5EE9B"/>
    <w:rsid w:val="70F8801A"/>
    <w:rsid w:val="7100E1E5"/>
    <w:rsid w:val="7103100D"/>
    <w:rsid w:val="7114889C"/>
    <w:rsid w:val="7122270A"/>
    <w:rsid w:val="71354EE5"/>
    <w:rsid w:val="713C5044"/>
    <w:rsid w:val="713C7BF6"/>
    <w:rsid w:val="7142911B"/>
    <w:rsid w:val="714A8BBB"/>
    <w:rsid w:val="7153B184"/>
    <w:rsid w:val="7155EB07"/>
    <w:rsid w:val="7168F357"/>
    <w:rsid w:val="716E2C34"/>
    <w:rsid w:val="7175BB25"/>
    <w:rsid w:val="7183AB0D"/>
    <w:rsid w:val="719391F1"/>
    <w:rsid w:val="7198F39F"/>
    <w:rsid w:val="71A79E05"/>
    <w:rsid w:val="71AB883E"/>
    <w:rsid w:val="71B44F04"/>
    <w:rsid w:val="71B8D8B7"/>
    <w:rsid w:val="71CAE0F9"/>
    <w:rsid w:val="71DB3BDE"/>
    <w:rsid w:val="71FBEED8"/>
    <w:rsid w:val="720E1BEA"/>
    <w:rsid w:val="72283891"/>
    <w:rsid w:val="72381097"/>
    <w:rsid w:val="723DBBC6"/>
    <w:rsid w:val="72430E25"/>
    <w:rsid w:val="724BC621"/>
    <w:rsid w:val="72525CCB"/>
    <w:rsid w:val="72601F17"/>
    <w:rsid w:val="7265E381"/>
    <w:rsid w:val="727E7DBF"/>
    <w:rsid w:val="7289980F"/>
    <w:rsid w:val="72955F5D"/>
    <w:rsid w:val="72A180AC"/>
    <w:rsid w:val="72A808D9"/>
    <w:rsid w:val="72ACECE4"/>
    <w:rsid w:val="72AEB9F6"/>
    <w:rsid w:val="72B12A9F"/>
    <w:rsid w:val="72B67936"/>
    <w:rsid w:val="72BE7A8D"/>
    <w:rsid w:val="72C0209D"/>
    <w:rsid w:val="72F601FA"/>
    <w:rsid w:val="72FAE5CB"/>
    <w:rsid w:val="72FCD038"/>
    <w:rsid w:val="7301A241"/>
    <w:rsid w:val="7301C592"/>
    <w:rsid w:val="73078D53"/>
    <w:rsid w:val="730CF598"/>
    <w:rsid w:val="730E3B1C"/>
    <w:rsid w:val="731EF85F"/>
    <w:rsid w:val="732AA379"/>
    <w:rsid w:val="7352EE64"/>
    <w:rsid w:val="73587F30"/>
    <w:rsid w:val="736D3BB7"/>
    <w:rsid w:val="737183A1"/>
    <w:rsid w:val="7374A121"/>
    <w:rsid w:val="7381DC95"/>
    <w:rsid w:val="73828080"/>
    <w:rsid w:val="73832320"/>
    <w:rsid w:val="73873794"/>
    <w:rsid w:val="739744EB"/>
    <w:rsid w:val="739C0F59"/>
    <w:rsid w:val="739D6D20"/>
    <w:rsid w:val="73A374BA"/>
    <w:rsid w:val="73A4D920"/>
    <w:rsid w:val="73CBE2C0"/>
    <w:rsid w:val="73D01265"/>
    <w:rsid w:val="73D13CED"/>
    <w:rsid w:val="73D43A53"/>
    <w:rsid w:val="73E33965"/>
    <w:rsid w:val="73F12928"/>
    <w:rsid w:val="7403BAFD"/>
    <w:rsid w:val="740870C3"/>
    <w:rsid w:val="74097E47"/>
    <w:rsid w:val="740E9CD5"/>
    <w:rsid w:val="741AD7BD"/>
    <w:rsid w:val="741C6799"/>
    <w:rsid w:val="7422054E"/>
    <w:rsid w:val="742A0896"/>
    <w:rsid w:val="74378807"/>
    <w:rsid w:val="743BCDC4"/>
    <w:rsid w:val="7440A68B"/>
    <w:rsid w:val="744BFACA"/>
    <w:rsid w:val="744DEDC0"/>
    <w:rsid w:val="74581E60"/>
    <w:rsid w:val="7458E44A"/>
    <w:rsid w:val="748EF5D3"/>
    <w:rsid w:val="7498E544"/>
    <w:rsid w:val="749AE814"/>
    <w:rsid w:val="74B5778E"/>
    <w:rsid w:val="74BDD61C"/>
    <w:rsid w:val="74C84812"/>
    <w:rsid w:val="74DA47D0"/>
    <w:rsid w:val="74ECF0FB"/>
    <w:rsid w:val="74F76037"/>
    <w:rsid w:val="74FAF759"/>
    <w:rsid w:val="74FC9FF1"/>
    <w:rsid w:val="75007604"/>
    <w:rsid w:val="750A6F49"/>
    <w:rsid w:val="7532A32E"/>
    <w:rsid w:val="753D85A7"/>
    <w:rsid w:val="75431E3E"/>
    <w:rsid w:val="75574FE3"/>
    <w:rsid w:val="75579D9A"/>
    <w:rsid w:val="755846CD"/>
    <w:rsid w:val="756CD4A2"/>
    <w:rsid w:val="758C21FF"/>
    <w:rsid w:val="758D6A77"/>
    <w:rsid w:val="759B1CB4"/>
    <w:rsid w:val="759E72E9"/>
    <w:rsid w:val="75A014FD"/>
    <w:rsid w:val="75A4065C"/>
    <w:rsid w:val="75A8AE99"/>
    <w:rsid w:val="75AA6EE6"/>
    <w:rsid w:val="75B4E97C"/>
    <w:rsid w:val="75E975FD"/>
    <w:rsid w:val="75EA888C"/>
    <w:rsid w:val="75EC3B96"/>
    <w:rsid w:val="75ED6EA7"/>
    <w:rsid w:val="75F6491A"/>
    <w:rsid w:val="75FB6C9F"/>
    <w:rsid w:val="7600BE82"/>
    <w:rsid w:val="7603E0F2"/>
    <w:rsid w:val="760AAA6D"/>
    <w:rsid w:val="762258A0"/>
    <w:rsid w:val="76231FB1"/>
    <w:rsid w:val="763E9862"/>
    <w:rsid w:val="7640571B"/>
    <w:rsid w:val="76471B43"/>
    <w:rsid w:val="764B77CF"/>
    <w:rsid w:val="7653175B"/>
    <w:rsid w:val="7654BE6D"/>
    <w:rsid w:val="76659EB7"/>
    <w:rsid w:val="766B7BBB"/>
    <w:rsid w:val="766CCDD0"/>
    <w:rsid w:val="76708FB8"/>
    <w:rsid w:val="7685152C"/>
    <w:rsid w:val="7688D178"/>
    <w:rsid w:val="768B1139"/>
    <w:rsid w:val="76931D7A"/>
    <w:rsid w:val="769641BF"/>
    <w:rsid w:val="769BE276"/>
    <w:rsid w:val="76ABB4A9"/>
    <w:rsid w:val="76B12917"/>
    <w:rsid w:val="76B2C655"/>
    <w:rsid w:val="76BAC440"/>
    <w:rsid w:val="76DCABCB"/>
    <w:rsid w:val="76DDCE6F"/>
    <w:rsid w:val="76DF5A4D"/>
    <w:rsid w:val="76F00225"/>
    <w:rsid w:val="7705B253"/>
    <w:rsid w:val="7720EA5B"/>
    <w:rsid w:val="7722F513"/>
    <w:rsid w:val="77243655"/>
    <w:rsid w:val="772A3A79"/>
    <w:rsid w:val="7739B46F"/>
    <w:rsid w:val="7740A4E7"/>
    <w:rsid w:val="77504DEE"/>
    <w:rsid w:val="775F8BDD"/>
    <w:rsid w:val="77611815"/>
    <w:rsid w:val="77631C5C"/>
    <w:rsid w:val="77722CD6"/>
    <w:rsid w:val="77743DB3"/>
    <w:rsid w:val="77768EBE"/>
    <w:rsid w:val="7779F12E"/>
    <w:rsid w:val="7788A469"/>
    <w:rsid w:val="7794DB7A"/>
    <w:rsid w:val="779948F4"/>
    <w:rsid w:val="77997A3F"/>
    <w:rsid w:val="779B35BE"/>
    <w:rsid w:val="77C9747D"/>
    <w:rsid w:val="77CE2D6A"/>
    <w:rsid w:val="77CFBE80"/>
    <w:rsid w:val="77D0361E"/>
    <w:rsid w:val="77DC2CC9"/>
    <w:rsid w:val="77F01BEB"/>
    <w:rsid w:val="77F05AD0"/>
    <w:rsid w:val="77F49520"/>
    <w:rsid w:val="7802E19D"/>
    <w:rsid w:val="780546C2"/>
    <w:rsid w:val="780B3044"/>
    <w:rsid w:val="781A2577"/>
    <w:rsid w:val="781AD64E"/>
    <w:rsid w:val="781E2926"/>
    <w:rsid w:val="783AF651"/>
    <w:rsid w:val="78435FCA"/>
    <w:rsid w:val="7853B155"/>
    <w:rsid w:val="78578D87"/>
    <w:rsid w:val="78714EF0"/>
    <w:rsid w:val="7875D207"/>
    <w:rsid w:val="787CDC74"/>
    <w:rsid w:val="7891CF99"/>
    <w:rsid w:val="78994FA4"/>
    <w:rsid w:val="78A15993"/>
    <w:rsid w:val="78A33A77"/>
    <w:rsid w:val="78A59A74"/>
    <w:rsid w:val="78A745B4"/>
    <w:rsid w:val="78A8FD1A"/>
    <w:rsid w:val="78B46522"/>
    <w:rsid w:val="78B849CA"/>
    <w:rsid w:val="78C45C7A"/>
    <w:rsid w:val="78D33913"/>
    <w:rsid w:val="78D6E274"/>
    <w:rsid w:val="78DC55AD"/>
    <w:rsid w:val="78E25DEE"/>
    <w:rsid w:val="78E8409B"/>
    <w:rsid w:val="78E885AD"/>
    <w:rsid w:val="78F041E0"/>
    <w:rsid w:val="78F38C12"/>
    <w:rsid w:val="78F4A818"/>
    <w:rsid w:val="78F84525"/>
    <w:rsid w:val="78FCF453"/>
    <w:rsid w:val="79077430"/>
    <w:rsid w:val="79177736"/>
    <w:rsid w:val="791820A0"/>
    <w:rsid w:val="79198A65"/>
    <w:rsid w:val="79241791"/>
    <w:rsid w:val="7924903F"/>
    <w:rsid w:val="7925AC7D"/>
    <w:rsid w:val="792B8136"/>
    <w:rsid w:val="79333F03"/>
    <w:rsid w:val="79345CE9"/>
    <w:rsid w:val="7946CCEB"/>
    <w:rsid w:val="79479C5F"/>
    <w:rsid w:val="795B251E"/>
    <w:rsid w:val="79622745"/>
    <w:rsid w:val="796BDF60"/>
    <w:rsid w:val="796CDE78"/>
    <w:rsid w:val="797DFD07"/>
    <w:rsid w:val="797F38A5"/>
    <w:rsid w:val="79870B3E"/>
    <w:rsid w:val="7988523C"/>
    <w:rsid w:val="799C8384"/>
    <w:rsid w:val="79B2024D"/>
    <w:rsid w:val="79B31CCE"/>
    <w:rsid w:val="79BB3553"/>
    <w:rsid w:val="79BBD377"/>
    <w:rsid w:val="79C0114F"/>
    <w:rsid w:val="79DC2B6F"/>
    <w:rsid w:val="79E0A05D"/>
    <w:rsid w:val="79E56DDA"/>
    <w:rsid w:val="79F4A28F"/>
    <w:rsid w:val="79FF8DF9"/>
    <w:rsid w:val="7A0727B4"/>
    <w:rsid w:val="7A0A3C90"/>
    <w:rsid w:val="7A0B564D"/>
    <w:rsid w:val="7A124A7F"/>
    <w:rsid w:val="7A14EC81"/>
    <w:rsid w:val="7A16D143"/>
    <w:rsid w:val="7A19539C"/>
    <w:rsid w:val="7A1E7E9D"/>
    <w:rsid w:val="7A2952FF"/>
    <w:rsid w:val="7A2A2CA2"/>
    <w:rsid w:val="7A2FC491"/>
    <w:rsid w:val="7A322B75"/>
    <w:rsid w:val="7A345F86"/>
    <w:rsid w:val="7A44C01D"/>
    <w:rsid w:val="7A531FFD"/>
    <w:rsid w:val="7A563E3F"/>
    <w:rsid w:val="7A5D1060"/>
    <w:rsid w:val="7A5D379A"/>
    <w:rsid w:val="7A5D7928"/>
    <w:rsid w:val="7A6919EF"/>
    <w:rsid w:val="7A6C127D"/>
    <w:rsid w:val="7A6DC8D6"/>
    <w:rsid w:val="7A6FB96F"/>
    <w:rsid w:val="7A761A34"/>
    <w:rsid w:val="7A7A2BB5"/>
    <w:rsid w:val="7A7A6AB0"/>
    <w:rsid w:val="7A7DE4DA"/>
    <w:rsid w:val="7A864D40"/>
    <w:rsid w:val="7A88F4E0"/>
    <w:rsid w:val="7A9E2409"/>
    <w:rsid w:val="7AA7DCED"/>
    <w:rsid w:val="7AAAA948"/>
    <w:rsid w:val="7ABB77DE"/>
    <w:rsid w:val="7AC208CC"/>
    <w:rsid w:val="7AC8F69B"/>
    <w:rsid w:val="7AC9BF61"/>
    <w:rsid w:val="7ACB63B7"/>
    <w:rsid w:val="7ACDCC3C"/>
    <w:rsid w:val="7AF98F70"/>
    <w:rsid w:val="7B105C53"/>
    <w:rsid w:val="7B11F083"/>
    <w:rsid w:val="7B1822D9"/>
    <w:rsid w:val="7B23531E"/>
    <w:rsid w:val="7B2B96CD"/>
    <w:rsid w:val="7B2F297E"/>
    <w:rsid w:val="7B309952"/>
    <w:rsid w:val="7B3E09B7"/>
    <w:rsid w:val="7B413ECA"/>
    <w:rsid w:val="7B41673B"/>
    <w:rsid w:val="7B5451FD"/>
    <w:rsid w:val="7B545CBA"/>
    <w:rsid w:val="7B57EFDE"/>
    <w:rsid w:val="7B590BA5"/>
    <w:rsid w:val="7B65ED99"/>
    <w:rsid w:val="7B6E575D"/>
    <w:rsid w:val="7B6EF18F"/>
    <w:rsid w:val="7B75DCC7"/>
    <w:rsid w:val="7B7C0A91"/>
    <w:rsid w:val="7B7F0334"/>
    <w:rsid w:val="7B82A223"/>
    <w:rsid w:val="7B8EB13A"/>
    <w:rsid w:val="7B975681"/>
    <w:rsid w:val="7BA9BA9D"/>
    <w:rsid w:val="7BAC29CB"/>
    <w:rsid w:val="7BBBC775"/>
    <w:rsid w:val="7BBC4AAC"/>
    <w:rsid w:val="7BC0ABAF"/>
    <w:rsid w:val="7BC8C9E2"/>
    <w:rsid w:val="7BD34F51"/>
    <w:rsid w:val="7BE61A7D"/>
    <w:rsid w:val="7BF46ED7"/>
    <w:rsid w:val="7C051571"/>
    <w:rsid w:val="7C058250"/>
    <w:rsid w:val="7C1CA23A"/>
    <w:rsid w:val="7C217430"/>
    <w:rsid w:val="7C273A73"/>
    <w:rsid w:val="7C337D6A"/>
    <w:rsid w:val="7C3C9BCD"/>
    <w:rsid w:val="7C40FCBD"/>
    <w:rsid w:val="7C4325D0"/>
    <w:rsid w:val="7C43E23C"/>
    <w:rsid w:val="7C451F86"/>
    <w:rsid w:val="7C6E3968"/>
    <w:rsid w:val="7C70CCB4"/>
    <w:rsid w:val="7C7FB5DE"/>
    <w:rsid w:val="7CBCF168"/>
    <w:rsid w:val="7CC1D556"/>
    <w:rsid w:val="7CC4099B"/>
    <w:rsid w:val="7CC76275"/>
    <w:rsid w:val="7CDF83D3"/>
    <w:rsid w:val="7CE5B864"/>
    <w:rsid w:val="7CEA3FB4"/>
    <w:rsid w:val="7CEBDC5B"/>
    <w:rsid w:val="7CF209EC"/>
    <w:rsid w:val="7CF7F1FC"/>
    <w:rsid w:val="7D102BE9"/>
    <w:rsid w:val="7D1F2A8D"/>
    <w:rsid w:val="7D466AE5"/>
    <w:rsid w:val="7D51962C"/>
    <w:rsid w:val="7D527B13"/>
    <w:rsid w:val="7D6F8318"/>
    <w:rsid w:val="7D7012B0"/>
    <w:rsid w:val="7D72609E"/>
    <w:rsid w:val="7D81EE9F"/>
    <w:rsid w:val="7D8297BD"/>
    <w:rsid w:val="7D9A34C2"/>
    <w:rsid w:val="7DA05E37"/>
    <w:rsid w:val="7DA473E2"/>
    <w:rsid w:val="7DABC7F5"/>
    <w:rsid w:val="7DAF254E"/>
    <w:rsid w:val="7DB2F86B"/>
    <w:rsid w:val="7DB88B3B"/>
    <w:rsid w:val="7DC04363"/>
    <w:rsid w:val="7DD12DED"/>
    <w:rsid w:val="7DD2C9D7"/>
    <w:rsid w:val="7DE0BB24"/>
    <w:rsid w:val="7DE566B7"/>
    <w:rsid w:val="7DE7A29E"/>
    <w:rsid w:val="7DEED322"/>
    <w:rsid w:val="7DF2A978"/>
    <w:rsid w:val="7DFBF7B5"/>
    <w:rsid w:val="7E01322A"/>
    <w:rsid w:val="7E0B8672"/>
    <w:rsid w:val="7E0D45FA"/>
    <w:rsid w:val="7E1429B3"/>
    <w:rsid w:val="7E1D28C4"/>
    <w:rsid w:val="7E21AE21"/>
    <w:rsid w:val="7E237BDF"/>
    <w:rsid w:val="7E335F31"/>
    <w:rsid w:val="7E36CD99"/>
    <w:rsid w:val="7E49554D"/>
    <w:rsid w:val="7E59AD92"/>
    <w:rsid w:val="7E6A4BB9"/>
    <w:rsid w:val="7E6D8A62"/>
    <w:rsid w:val="7E767237"/>
    <w:rsid w:val="7E821D59"/>
    <w:rsid w:val="7E8EDF32"/>
    <w:rsid w:val="7E97E425"/>
    <w:rsid w:val="7E9FC865"/>
    <w:rsid w:val="7EA72EE5"/>
    <w:rsid w:val="7EA83B13"/>
    <w:rsid w:val="7EB05298"/>
    <w:rsid w:val="7EB0BB90"/>
    <w:rsid w:val="7EB7761E"/>
    <w:rsid w:val="7ECD3052"/>
    <w:rsid w:val="7EDA054A"/>
    <w:rsid w:val="7EDAEFC6"/>
    <w:rsid w:val="7EDC0395"/>
    <w:rsid w:val="7EEC5BB4"/>
    <w:rsid w:val="7EF09752"/>
    <w:rsid w:val="7EF5FED4"/>
    <w:rsid w:val="7EFB7EA7"/>
    <w:rsid w:val="7EFD788A"/>
    <w:rsid w:val="7F00A2D8"/>
    <w:rsid w:val="7F035BFD"/>
    <w:rsid w:val="7F073758"/>
    <w:rsid w:val="7F09F25C"/>
    <w:rsid w:val="7F0A47A6"/>
    <w:rsid w:val="7F0B9CD0"/>
    <w:rsid w:val="7F12E099"/>
    <w:rsid w:val="7F12ED5C"/>
    <w:rsid w:val="7F1E3771"/>
    <w:rsid w:val="7F1F46A9"/>
    <w:rsid w:val="7F201D7A"/>
    <w:rsid w:val="7F28CD8A"/>
    <w:rsid w:val="7F2E9989"/>
    <w:rsid w:val="7F3D16EE"/>
    <w:rsid w:val="7F425559"/>
    <w:rsid w:val="7F681AEA"/>
    <w:rsid w:val="7F6CA5F5"/>
    <w:rsid w:val="7F73FF6C"/>
    <w:rsid w:val="7F86F6D9"/>
    <w:rsid w:val="7F88DB8D"/>
    <w:rsid w:val="7FA070ED"/>
    <w:rsid w:val="7FAA0E9C"/>
    <w:rsid w:val="7FAA9361"/>
    <w:rsid w:val="7FAE7074"/>
    <w:rsid w:val="7FB948BB"/>
    <w:rsid w:val="7FC7E351"/>
    <w:rsid w:val="7FCEDD32"/>
    <w:rsid w:val="7FDBF07A"/>
    <w:rsid w:val="7FDC04C1"/>
    <w:rsid w:val="7FEF8A36"/>
    <w:rsid w:val="7FF89E99"/>
    <w:rsid w:val="7FFE61F6"/>
    <w:rsid w:val="7FFF0A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CE2D6A"/>
  <w15:chartTrackingRefBased/>
  <w15:docId w15:val="{8CA3F4D8-0860-4208-A513-962A97D7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6D1"/>
    <w:pPr>
      <w:spacing w:before="120" w:after="120" w:line="280" w:lineRule="atLeast"/>
      <w:jc w:val="both"/>
    </w:pPr>
    <w:rPr>
      <w:rFonts w:ascii="Calibri" w:eastAsiaTheme="minorEastAsia" w:hAnsi="Calibri"/>
      <w:lang w:val="en-NZ" w:eastAsia="en-NZ"/>
    </w:rPr>
  </w:style>
  <w:style w:type="paragraph" w:styleId="Heading1">
    <w:name w:val="heading 1"/>
    <w:basedOn w:val="Normal"/>
    <w:next w:val="BodyText"/>
    <w:link w:val="Heading1Char"/>
    <w:qFormat/>
    <w:rsid w:val="006C5873"/>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C5873"/>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6C5873"/>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135415"/>
    <w:pPr>
      <w:spacing w:before="240" w:line="280" w:lineRule="atLeast"/>
      <w:outlineLvl w:val="3"/>
    </w:pPr>
    <w:rPr>
      <w:sz w:val="24"/>
    </w:rPr>
  </w:style>
  <w:style w:type="paragraph" w:styleId="Heading5">
    <w:name w:val="heading 5"/>
    <w:basedOn w:val="Normal"/>
    <w:next w:val="BodyText"/>
    <w:link w:val="Heading5Char"/>
    <w:qFormat/>
    <w:rsid w:val="00767A2C"/>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6C5873"/>
    <w:pPr>
      <w:numPr>
        <w:ilvl w:val="5"/>
        <w:numId w:val="1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6C5873"/>
    <w:pPr>
      <w:numPr>
        <w:ilvl w:val="6"/>
        <w:numId w:val="1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6C5873"/>
    <w:pPr>
      <w:numPr>
        <w:ilvl w:val="7"/>
        <w:numId w:val="1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6C5873"/>
    <w:pPr>
      <w:numPr>
        <w:ilvl w:val="8"/>
        <w:numId w:val="1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C5873"/>
    <w:pPr>
      <w:jc w:val="center"/>
    </w:pPr>
    <w:rPr>
      <w:rFonts w:ascii="Arial" w:hAnsi="Arial"/>
      <w:sz w:val="16"/>
    </w:rPr>
  </w:style>
  <w:style w:type="character" w:customStyle="1" w:styleId="HeaderChar">
    <w:name w:val="Header Char"/>
    <w:basedOn w:val="DefaultParagraphFont"/>
    <w:link w:val="Header"/>
    <w:semiHidden/>
    <w:rsid w:val="00C02D7C"/>
    <w:rPr>
      <w:rFonts w:ascii="Arial" w:eastAsiaTheme="minorEastAsia" w:hAnsi="Arial"/>
      <w:sz w:val="16"/>
      <w:lang w:val="en-NZ" w:eastAsia="en-NZ"/>
    </w:rPr>
  </w:style>
  <w:style w:type="paragraph" w:styleId="Footer">
    <w:name w:val="footer"/>
    <w:basedOn w:val="Normal"/>
    <w:link w:val="FooterChar"/>
    <w:semiHidden/>
    <w:rsid w:val="006C5873"/>
    <w:pPr>
      <w:tabs>
        <w:tab w:val="center" w:pos="4153"/>
        <w:tab w:val="right" w:pos="8306"/>
      </w:tabs>
    </w:pPr>
  </w:style>
  <w:style w:type="character" w:customStyle="1" w:styleId="FooterChar">
    <w:name w:val="Footer Char"/>
    <w:basedOn w:val="DefaultParagraphFont"/>
    <w:link w:val="Footer"/>
    <w:semiHidden/>
    <w:rsid w:val="00C02D7C"/>
    <w:rPr>
      <w:rFonts w:ascii="Calibri" w:eastAsiaTheme="minorEastAsia" w:hAnsi="Calibri"/>
      <w:lang w:val="en-NZ" w:eastAsia="en-NZ"/>
    </w:rPr>
  </w:style>
  <w:style w:type="paragraph" w:styleId="ListParagraph">
    <w:name w:val="List Paragraph"/>
    <w:basedOn w:val="Normal"/>
    <w:uiPriority w:val="34"/>
    <w:semiHidden/>
    <w:qFormat/>
    <w:rsid w:val="006C5873"/>
    <w:pPr>
      <w:spacing w:before="0" w:after="0" w:line="240" w:lineRule="auto"/>
      <w:ind w:left="720"/>
      <w:contextualSpacing/>
    </w:pPr>
    <w:rPr>
      <w:rFonts w:ascii="Times New Roman" w:hAnsi="Times New Roman"/>
      <w:szCs w:val="20"/>
      <w:lang w:eastAsia="en-GB"/>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sid w:val="00C02D7C"/>
    <w:rPr>
      <w:rFonts w:ascii="Calibri" w:eastAsiaTheme="minorEastAsia" w:hAnsi="Calibri"/>
      <w:sz w:val="20"/>
      <w:szCs w:val="20"/>
      <w:lang w:val="en-NZ" w:eastAsia="en-NZ"/>
    </w:rPr>
  </w:style>
  <w:style w:type="character" w:styleId="CommentReference">
    <w:name w:val="annotation reference"/>
    <w:basedOn w:val="DefaultParagraphFont"/>
    <w:uiPriority w:val="99"/>
    <w:semiHidden/>
    <w:rsid w:val="006C5873"/>
    <w:rPr>
      <w:sz w:val="16"/>
      <w:szCs w:val="16"/>
    </w:rPr>
  </w:style>
  <w:style w:type="paragraph" w:styleId="NoSpacing">
    <w:name w:val="No Spacing"/>
    <w:uiPriority w:val="1"/>
    <w:semiHidden/>
    <w:qFormat/>
    <w:rsid w:val="4013F6FA"/>
    <w:pPr>
      <w:spacing w:after="0"/>
    </w:pPr>
  </w:style>
  <w:style w:type="table" w:styleId="TableGrid">
    <w:name w:val="Table Grid"/>
    <w:basedOn w:val="TableNormal"/>
    <w:uiPriority w:val="59"/>
    <w:rsid w:val="006C5873"/>
    <w:pPr>
      <w:spacing w:after="0" w:line="240" w:lineRule="auto"/>
      <w:jc w:val="both"/>
    </w:pPr>
    <w:rPr>
      <w:rFonts w:ascii="Times New Roman" w:eastAsia="Times New Roman" w:hAnsi="Times New Roman" w:cs="Times New Roman"/>
      <w:sz w:val="20"/>
      <w:szCs w:val="20"/>
      <w:lang w:val="en-NZ" w:eastAsia="en-NZ"/>
    </w:rPr>
    <w:tblPr/>
  </w:style>
  <w:style w:type="character" w:styleId="Hyperlink">
    <w:name w:val="Hyperlink"/>
    <w:uiPriority w:val="99"/>
    <w:qFormat/>
    <w:rsid w:val="006C5873"/>
    <w:rPr>
      <w:color w:val="32809C"/>
      <w:u w:val="none"/>
    </w:rPr>
  </w:style>
  <w:style w:type="paragraph" w:styleId="CommentSubject">
    <w:name w:val="annotation subject"/>
    <w:basedOn w:val="Normal"/>
    <w:link w:val="CommentSubjectChar"/>
    <w:uiPriority w:val="99"/>
    <w:semiHidden/>
    <w:rsid w:val="006C5873"/>
    <w:rPr>
      <w:b/>
      <w:bCs/>
      <w:sz w:val="20"/>
    </w:rPr>
  </w:style>
  <w:style w:type="character" w:customStyle="1" w:styleId="CommentSubjectChar">
    <w:name w:val="Comment Subject Char"/>
    <w:basedOn w:val="DefaultParagraphFont"/>
    <w:link w:val="CommentSubject"/>
    <w:uiPriority w:val="99"/>
    <w:semiHidden/>
    <w:rsid w:val="006C5873"/>
    <w:rPr>
      <w:rFonts w:ascii="Calibri" w:eastAsiaTheme="minorEastAsia" w:hAnsi="Calibri"/>
      <w:b/>
      <w:bCs/>
      <w:sz w:val="20"/>
      <w:lang w:val="en-NZ" w:eastAsia="en-NZ"/>
    </w:rPr>
  </w:style>
  <w:style w:type="character" w:customStyle="1" w:styleId="Heading5Char">
    <w:name w:val="Heading 5 Char"/>
    <w:basedOn w:val="DefaultParagraphFont"/>
    <w:link w:val="Heading5"/>
    <w:rsid w:val="00767A2C"/>
    <w:rPr>
      <w:rFonts w:ascii="Calibri" w:eastAsiaTheme="majorEastAsia" w:hAnsi="Calibri" w:cstheme="majorBidi"/>
      <w:i/>
      <w:sz w:val="24"/>
      <w:lang w:val="en-NZ" w:eastAsia="en-NZ"/>
    </w:rPr>
  </w:style>
  <w:style w:type="paragraph" w:styleId="FootnoteText">
    <w:name w:val="footnote text"/>
    <w:basedOn w:val="Normal"/>
    <w:link w:val="FootnoteTextChar"/>
    <w:uiPriority w:val="99"/>
    <w:rsid w:val="006C5873"/>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C5873"/>
    <w:rPr>
      <w:rFonts w:ascii="Calibri" w:eastAsiaTheme="minorEastAsia" w:hAnsi="Calibri"/>
      <w:sz w:val="19"/>
      <w:lang w:val="en-NZ" w:eastAsia="en-NZ"/>
    </w:rPr>
  </w:style>
  <w:style w:type="character" w:styleId="FootnoteReference">
    <w:name w:val="footnote reference"/>
    <w:uiPriority w:val="99"/>
    <w:semiHidden/>
    <w:rsid w:val="006C5873"/>
    <w:rPr>
      <w:rFonts w:ascii="Calibri" w:hAnsi="Calibri"/>
      <w:color w:val="183C47"/>
      <w:sz w:val="22"/>
      <w:vertAlign w:val="superscript"/>
    </w:rPr>
  </w:style>
  <w:style w:type="paragraph" w:styleId="Revision">
    <w:name w:val="Revision"/>
    <w:hidden/>
    <w:uiPriority w:val="99"/>
    <w:semiHidden/>
    <w:rsid w:val="006C5873"/>
    <w:pPr>
      <w:spacing w:after="0" w:line="240" w:lineRule="auto"/>
    </w:pPr>
    <w:rPr>
      <w:rFonts w:ascii="Times New Roman" w:eastAsia="Times New Roman" w:hAnsi="Times New Roman" w:cs="Times New Roman"/>
      <w:szCs w:val="20"/>
      <w:lang w:val="en-NZ"/>
    </w:rPr>
  </w:style>
  <w:style w:type="character" w:styleId="UnresolvedMention">
    <w:name w:val="Unresolved Mention"/>
    <w:basedOn w:val="DefaultParagraphFont"/>
    <w:uiPriority w:val="99"/>
    <w:semiHidden/>
    <w:unhideWhenUsed/>
    <w:rsid w:val="00672980"/>
    <w:rPr>
      <w:color w:val="605E5C"/>
      <w:shd w:val="clear" w:color="auto" w:fill="E1DFDD"/>
    </w:rPr>
  </w:style>
  <w:style w:type="character" w:styleId="Strong">
    <w:name w:val="Strong"/>
    <w:basedOn w:val="DefaultParagraphFont"/>
    <w:uiPriority w:val="22"/>
    <w:semiHidden/>
    <w:qFormat/>
    <w:rsid w:val="006C5873"/>
    <w:rPr>
      <w:b/>
      <w:bCs/>
    </w:rPr>
  </w:style>
  <w:style w:type="paragraph" w:customStyle="1" w:styleId="Numberedparagraph">
    <w:name w:val="Numbered paragraph"/>
    <w:basedOn w:val="Normal"/>
    <w:uiPriority w:val="1"/>
    <w:qFormat/>
    <w:rsid w:val="006C5873"/>
    <w:pPr>
      <w:numPr>
        <w:numId w:val="48"/>
      </w:numPr>
      <w:spacing w:before="0"/>
      <w:jc w:val="left"/>
    </w:pPr>
  </w:style>
  <w:style w:type="paragraph" w:customStyle="1" w:styleId="Tableheading">
    <w:name w:val="Table heading"/>
    <w:basedOn w:val="Normal"/>
    <w:next w:val="Normal"/>
    <w:qFormat/>
    <w:rsid w:val="006C5873"/>
    <w:pPr>
      <w:keepNext/>
      <w:ind w:left="1134" w:hanging="1134"/>
      <w:jc w:val="left"/>
    </w:pPr>
    <w:rPr>
      <w:b/>
      <w:sz w:val="20"/>
    </w:rPr>
  </w:style>
  <w:style w:type="table" w:customStyle="1" w:styleId="TableGrid1">
    <w:name w:val="Table Grid1"/>
    <w:basedOn w:val="TableNormal"/>
    <w:next w:val="TableGrid"/>
    <w:uiPriority w:val="59"/>
    <w:rsid w:val="00CD3593"/>
    <w:pPr>
      <w:spacing w:after="0" w:line="240" w:lineRule="auto"/>
      <w:jc w:val="both"/>
    </w:pPr>
    <w:rPr>
      <w:rFonts w:ascii="Times New Roman" w:eastAsia="Times New Roman" w:hAnsi="Times New Roman" w:cs="Times New Roman"/>
      <w:sz w:val="20"/>
      <w:szCs w:val="20"/>
      <w:lang w:val="en-NZ" w:eastAsia="en-NZ"/>
    </w:rPr>
    <w:tblPr/>
  </w:style>
  <w:style w:type="paragraph" w:customStyle="1" w:styleId="Figureheading">
    <w:name w:val="Figure heading"/>
    <w:basedOn w:val="Normal"/>
    <w:next w:val="BodyText"/>
    <w:uiPriority w:val="1"/>
    <w:qFormat/>
    <w:rsid w:val="006C5873"/>
    <w:pPr>
      <w:keepNext/>
      <w:ind w:left="1134" w:hanging="1134"/>
      <w:jc w:val="left"/>
    </w:pPr>
    <w:rPr>
      <w:b/>
      <w:sz w:val="20"/>
    </w:rPr>
  </w:style>
  <w:style w:type="paragraph" w:customStyle="1" w:styleId="Bullet">
    <w:name w:val="Bullet"/>
    <w:basedOn w:val="Normal"/>
    <w:link w:val="BulletChar"/>
    <w:qFormat/>
    <w:rsid w:val="006C5873"/>
    <w:pPr>
      <w:numPr>
        <w:numId w:val="44"/>
      </w:numPr>
      <w:spacing w:before="0"/>
      <w:jc w:val="left"/>
    </w:pPr>
    <w:rPr>
      <w:rFonts w:eastAsia="Times New Roman" w:cs="Times New Roman"/>
      <w:szCs w:val="20"/>
    </w:rPr>
  </w:style>
  <w:style w:type="paragraph" w:customStyle="1" w:styleId="Footnote">
    <w:name w:val="Footnote"/>
    <w:basedOn w:val="FootnoteText"/>
    <w:uiPriority w:val="99"/>
    <w:semiHidden/>
    <w:qFormat/>
    <w:rsid w:val="00CD3593"/>
    <w:rPr>
      <w:rFonts w:asciiTheme="minorHAnsi" w:hAnsiTheme="minorHAnsi" w:cstheme="minorHAnsi"/>
      <w:szCs w:val="19"/>
    </w:rPr>
  </w:style>
  <w:style w:type="paragraph" w:customStyle="1" w:styleId="Heading">
    <w:name w:val="Heading"/>
    <w:basedOn w:val="Heading1"/>
    <w:next w:val="Normal"/>
    <w:uiPriority w:val="3"/>
    <w:semiHidden/>
    <w:rsid w:val="006C5873"/>
  </w:style>
  <w:style w:type="paragraph" w:styleId="TOC1">
    <w:name w:val="toc 1"/>
    <w:basedOn w:val="Normal"/>
    <w:next w:val="Normal"/>
    <w:uiPriority w:val="39"/>
    <w:rsid w:val="00F412D8"/>
    <w:pPr>
      <w:tabs>
        <w:tab w:val="right" w:pos="8505"/>
      </w:tabs>
      <w:spacing w:before="280" w:after="0" w:line="240" w:lineRule="auto"/>
      <w:ind w:right="567"/>
      <w:jc w:val="left"/>
    </w:pPr>
  </w:style>
  <w:style w:type="paragraph" w:styleId="TOC2">
    <w:name w:val="toc 2"/>
    <w:basedOn w:val="Normal"/>
    <w:next w:val="Normal"/>
    <w:uiPriority w:val="39"/>
    <w:rsid w:val="00F412D8"/>
    <w:pPr>
      <w:tabs>
        <w:tab w:val="right" w:pos="8505"/>
      </w:tabs>
      <w:spacing w:before="60" w:after="60" w:line="240" w:lineRule="auto"/>
      <w:ind w:left="567" w:right="567"/>
      <w:jc w:val="left"/>
    </w:pPr>
    <w:rPr>
      <w:noProof/>
    </w:rPr>
  </w:style>
  <w:style w:type="paragraph" w:styleId="BodyText">
    <w:name w:val="Body Text"/>
    <w:basedOn w:val="Normal"/>
    <w:link w:val="BodyTextChar"/>
    <w:qFormat/>
    <w:rsid w:val="006C5873"/>
    <w:pPr>
      <w:jc w:val="left"/>
    </w:pPr>
  </w:style>
  <w:style w:type="character" w:customStyle="1" w:styleId="BodyTextChar">
    <w:name w:val="Body Text Char"/>
    <w:basedOn w:val="DefaultParagraphFont"/>
    <w:link w:val="BodyText"/>
    <w:rsid w:val="006C5873"/>
    <w:rPr>
      <w:rFonts w:ascii="Calibri" w:eastAsiaTheme="minorEastAsia" w:hAnsi="Calibri"/>
      <w:lang w:val="en-NZ" w:eastAsia="en-NZ"/>
    </w:rPr>
  </w:style>
  <w:style w:type="paragraph" w:styleId="TableofFigures">
    <w:name w:val="table of figures"/>
    <w:basedOn w:val="Normal"/>
    <w:next w:val="Normal"/>
    <w:uiPriority w:val="99"/>
    <w:rsid w:val="006C5873"/>
    <w:pPr>
      <w:spacing w:before="0"/>
      <w:ind w:left="1134" w:right="567" w:hanging="1134"/>
      <w:jc w:val="left"/>
    </w:pPr>
  </w:style>
  <w:style w:type="paragraph" w:styleId="TOCHeading">
    <w:name w:val="TOC Heading"/>
    <w:basedOn w:val="Heading1"/>
    <w:next w:val="Normal"/>
    <w:uiPriority w:val="39"/>
    <w:semiHidden/>
    <w:qFormat/>
    <w:rsid w:val="00CD3593"/>
    <w:pPr>
      <w:spacing w:before="240" w:after="0"/>
      <w:outlineLvl w:val="9"/>
    </w:pPr>
    <w:rPr>
      <w:b w:val="0"/>
      <w:sz w:val="32"/>
      <w:szCs w:val="32"/>
    </w:rPr>
  </w:style>
  <w:style w:type="paragraph" w:styleId="TOC3">
    <w:name w:val="toc 3"/>
    <w:basedOn w:val="Normal"/>
    <w:next w:val="Normal"/>
    <w:autoRedefine/>
    <w:semiHidden/>
    <w:rsid w:val="006C5873"/>
    <w:pPr>
      <w:ind w:left="440"/>
    </w:pPr>
  </w:style>
  <w:style w:type="character" w:styleId="FollowedHyperlink">
    <w:name w:val="FollowedHyperlink"/>
    <w:basedOn w:val="DefaultParagraphFont"/>
    <w:uiPriority w:val="99"/>
    <w:semiHidden/>
    <w:rsid w:val="004F56D1"/>
    <w:rPr>
      <w:color w:val="32809C" w:themeColor="accent2"/>
      <w:u w:val="none"/>
    </w:rPr>
  </w:style>
  <w:style w:type="character" w:customStyle="1" w:styleId="Heading6Char">
    <w:name w:val="Heading 6 Char"/>
    <w:basedOn w:val="DefaultParagraphFont"/>
    <w:link w:val="Heading6"/>
    <w:semiHidden/>
    <w:rsid w:val="006C5873"/>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6C5873"/>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6C5873"/>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6C5873"/>
    <w:rPr>
      <w:rFonts w:ascii="Arial" w:eastAsia="Times New Roman" w:hAnsi="Arial" w:cs="Times New Roman"/>
      <w:b/>
      <w:color w:val="FFFFFF"/>
      <w:kern w:val="28"/>
      <w:sz w:val="2"/>
      <w:szCs w:val="20"/>
      <w:lang w:val="en-AU"/>
    </w:rPr>
  </w:style>
  <w:style w:type="character" w:customStyle="1" w:styleId="Heading1Char">
    <w:name w:val="Heading 1 Char"/>
    <w:basedOn w:val="DefaultParagraphFont"/>
    <w:link w:val="Heading1"/>
    <w:rsid w:val="006C5873"/>
    <w:rPr>
      <w:rFonts w:ascii="Georgia" w:eastAsiaTheme="majorEastAsia" w:hAnsi="Georgia" w:cstheme="majorBidi"/>
      <w:b/>
      <w:bCs/>
      <w:color w:val="1B556B"/>
      <w:sz w:val="48"/>
      <w:szCs w:val="28"/>
      <w:lang w:val="en-NZ" w:eastAsia="en-NZ"/>
    </w:rPr>
  </w:style>
  <w:style w:type="character" w:customStyle="1" w:styleId="Heading2Char">
    <w:name w:val="Heading 2 Char"/>
    <w:basedOn w:val="DefaultParagraphFont"/>
    <w:link w:val="Heading2"/>
    <w:rsid w:val="006C5873"/>
    <w:rPr>
      <w:rFonts w:ascii="Georgia" w:eastAsiaTheme="majorEastAsia" w:hAnsi="Georgia" w:cstheme="majorBidi"/>
      <w:b/>
      <w:bCs/>
      <w:color w:val="1B556B"/>
      <w:sz w:val="36"/>
      <w:szCs w:val="26"/>
      <w:lang w:val="en-NZ" w:eastAsia="en-NZ"/>
    </w:rPr>
  </w:style>
  <w:style w:type="character" w:customStyle="1" w:styleId="Heading3Char">
    <w:name w:val="Heading 3 Char"/>
    <w:basedOn w:val="DefaultParagraphFont"/>
    <w:link w:val="Heading3"/>
    <w:rsid w:val="006C5873"/>
    <w:rPr>
      <w:rFonts w:ascii="Georgia" w:eastAsiaTheme="majorEastAsia" w:hAnsi="Georgia" w:cstheme="majorBidi"/>
      <w:b/>
      <w:bCs/>
      <w:sz w:val="28"/>
      <w:lang w:val="en-NZ" w:eastAsia="en-NZ"/>
    </w:rPr>
  </w:style>
  <w:style w:type="character" w:customStyle="1" w:styleId="Heading4Char">
    <w:name w:val="Heading 4 Char"/>
    <w:basedOn w:val="DefaultParagraphFont"/>
    <w:link w:val="Heading4"/>
    <w:rsid w:val="00135415"/>
    <w:rPr>
      <w:rFonts w:ascii="Georgia" w:eastAsiaTheme="majorEastAsia" w:hAnsi="Georgia" w:cstheme="majorBidi"/>
      <w:b/>
      <w:bCs/>
      <w:sz w:val="24"/>
      <w:lang w:val="en-NZ" w:eastAsia="en-NZ"/>
    </w:rPr>
  </w:style>
  <w:style w:type="paragraph" w:styleId="Quote">
    <w:name w:val="Quote"/>
    <w:basedOn w:val="Normal"/>
    <w:next w:val="BodyText"/>
    <w:link w:val="QuoteChar"/>
    <w:uiPriority w:val="1"/>
    <w:semiHidden/>
    <w:qFormat/>
    <w:rsid w:val="006C5873"/>
    <w:pPr>
      <w:spacing w:before="60" w:after="60"/>
      <w:ind w:left="567" w:right="567"/>
      <w:jc w:val="left"/>
    </w:pPr>
    <w:rPr>
      <w:sz w:val="20"/>
    </w:rPr>
  </w:style>
  <w:style w:type="character" w:customStyle="1" w:styleId="QuoteChar">
    <w:name w:val="Quote Char"/>
    <w:basedOn w:val="DefaultParagraphFont"/>
    <w:link w:val="Quote"/>
    <w:uiPriority w:val="1"/>
    <w:semiHidden/>
    <w:rsid w:val="00993C39"/>
    <w:rPr>
      <w:rFonts w:ascii="Calibri" w:eastAsiaTheme="minorEastAsia" w:hAnsi="Calibri"/>
      <w:sz w:val="20"/>
      <w:lang w:val="en-NZ" w:eastAsia="en-NZ"/>
    </w:rPr>
  </w:style>
  <w:style w:type="paragraph" w:customStyle="1" w:styleId="Sub-list">
    <w:name w:val="Sub-list"/>
    <w:basedOn w:val="Normal"/>
    <w:qFormat/>
    <w:rsid w:val="006C5873"/>
    <w:pPr>
      <w:numPr>
        <w:numId w:val="14"/>
      </w:numPr>
      <w:tabs>
        <w:tab w:val="left" w:pos="794"/>
      </w:tabs>
      <w:spacing w:before="0"/>
      <w:ind w:left="794"/>
      <w:jc w:val="left"/>
    </w:pPr>
  </w:style>
  <w:style w:type="paragraph" w:customStyle="1" w:styleId="Imprint">
    <w:name w:val="Imprint"/>
    <w:basedOn w:val="Normal"/>
    <w:uiPriority w:val="3"/>
    <w:semiHidden/>
    <w:rsid w:val="006C5873"/>
    <w:pPr>
      <w:jc w:val="left"/>
    </w:pPr>
  </w:style>
  <w:style w:type="paragraph" w:customStyle="1" w:styleId="Note">
    <w:name w:val="Note"/>
    <w:basedOn w:val="BodyText"/>
    <w:next w:val="Normal"/>
    <w:uiPriority w:val="1"/>
    <w:qFormat/>
    <w:rsid w:val="003471AA"/>
    <w:pPr>
      <w:spacing w:line="240" w:lineRule="atLeast"/>
    </w:pPr>
    <w:rPr>
      <w:sz w:val="18"/>
    </w:rPr>
  </w:style>
  <w:style w:type="paragraph" w:customStyle="1" w:styleId="References">
    <w:name w:val="References"/>
    <w:basedOn w:val="Normal"/>
    <w:uiPriority w:val="1"/>
    <w:semiHidden/>
    <w:qFormat/>
    <w:rsid w:val="006C5873"/>
    <w:pPr>
      <w:spacing w:before="0" w:line="260" w:lineRule="atLeast"/>
      <w:jc w:val="left"/>
    </w:pPr>
    <w:rPr>
      <w:sz w:val="20"/>
    </w:rPr>
  </w:style>
  <w:style w:type="paragraph" w:customStyle="1" w:styleId="Source">
    <w:name w:val="Source"/>
    <w:basedOn w:val="Normal"/>
    <w:next w:val="Normal"/>
    <w:uiPriority w:val="1"/>
    <w:semiHidden/>
    <w:qFormat/>
    <w:rsid w:val="006C5873"/>
    <w:pPr>
      <w:tabs>
        <w:tab w:val="left" w:pos="680"/>
      </w:tabs>
      <w:jc w:val="left"/>
    </w:pPr>
    <w:rPr>
      <w:sz w:val="18"/>
    </w:rPr>
  </w:style>
  <w:style w:type="paragraph" w:styleId="Title">
    <w:name w:val="Title"/>
    <w:basedOn w:val="Normal"/>
    <w:link w:val="TitleChar"/>
    <w:uiPriority w:val="2"/>
    <w:semiHidden/>
    <w:rsid w:val="006C5873"/>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C02D7C"/>
    <w:rPr>
      <w:rFonts w:ascii="Georgia" w:eastAsiaTheme="minorEastAsia" w:hAnsi="Georgia"/>
      <w:b/>
      <w:color w:val="1B556B"/>
      <w:sz w:val="56"/>
      <w:lang w:val="en-NZ" w:eastAsia="en-NZ"/>
    </w:rPr>
  </w:style>
  <w:style w:type="paragraph" w:styleId="Subtitle">
    <w:name w:val="Subtitle"/>
    <w:basedOn w:val="Title"/>
    <w:link w:val="SubtitleChar"/>
    <w:uiPriority w:val="2"/>
    <w:semiHidden/>
    <w:rsid w:val="006C5873"/>
    <w:pPr>
      <w:spacing w:before="600" w:line="240" w:lineRule="auto"/>
    </w:pPr>
    <w:rPr>
      <w:sz w:val="36"/>
      <w:szCs w:val="36"/>
    </w:rPr>
  </w:style>
  <w:style w:type="character" w:customStyle="1" w:styleId="SubtitleChar">
    <w:name w:val="Subtitle Char"/>
    <w:basedOn w:val="DefaultParagraphFont"/>
    <w:link w:val="Subtitle"/>
    <w:uiPriority w:val="2"/>
    <w:semiHidden/>
    <w:rsid w:val="00C02D7C"/>
    <w:rPr>
      <w:rFonts w:ascii="Georgia" w:eastAsiaTheme="minorEastAsia" w:hAnsi="Georgia"/>
      <w:b/>
      <w:color w:val="1B556B"/>
      <w:sz w:val="36"/>
      <w:szCs w:val="36"/>
      <w:lang w:val="en-NZ" w:eastAsia="en-NZ"/>
    </w:rPr>
  </w:style>
  <w:style w:type="paragraph" w:customStyle="1" w:styleId="TableText">
    <w:name w:val="TableText"/>
    <w:basedOn w:val="Normal"/>
    <w:qFormat/>
    <w:rsid w:val="006C5873"/>
    <w:pPr>
      <w:spacing w:before="60" w:after="60" w:line="240" w:lineRule="atLeast"/>
      <w:jc w:val="left"/>
    </w:pPr>
    <w:rPr>
      <w:sz w:val="18"/>
    </w:rPr>
  </w:style>
  <w:style w:type="paragraph" w:customStyle="1" w:styleId="TableTextbold">
    <w:name w:val="TableText bold"/>
    <w:basedOn w:val="TableText"/>
    <w:rsid w:val="006C5873"/>
    <w:rPr>
      <w:b/>
    </w:rPr>
  </w:style>
  <w:style w:type="paragraph" w:customStyle="1" w:styleId="Captions">
    <w:name w:val="Captions"/>
    <w:basedOn w:val="Note"/>
    <w:next w:val="Normal"/>
    <w:semiHidden/>
    <w:rsid w:val="006C5873"/>
    <w:pPr>
      <w:tabs>
        <w:tab w:val="left" w:pos="851"/>
      </w:tabs>
    </w:pPr>
  </w:style>
  <w:style w:type="paragraph" w:customStyle="1" w:styleId="Glossary">
    <w:name w:val="Glossary"/>
    <w:basedOn w:val="Normal"/>
    <w:uiPriority w:val="1"/>
    <w:semiHidden/>
    <w:qFormat/>
    <w:rsid w:val="006C5873"/>
    <w:pPr>
      <w:tabs>
        <w:tab w:val="left" w:pos="2835"/>
      </w:tabs>
      <w:spacing w:after="0"/>
      <w:jc w:val="left"/>
    </w:pPr>
  </w:style>
  <w:style w:type="paragraph" w:customStyle="1" w:styleId="Footerodd">
    <w:name w:val="Footer odd"/>
    <w:basedOn w:val="Normal"/>
    <w:uiPriority w:val="2"/>
    <w:semiHidden/>
    <w:rsid w:val="006C5873"/>
    <w:pPr>
      <w:tabs>
        <w:tab w:val="right" w:pos="7938"/>
        <w:tab w:val="right" w:pos="8505"/>
      </w:tabs>
      <w:jc w:val="left"/>
    </w:pPr>
    <w:rPr>
      <w:sz w:val="16"/>
    </w:rPr>
  </w:style>
  <w:style w:type="paragraph" w:customStyle="1" w:styleId="Footereven">
    <w:name w:val="Footer even"/>
    <w:basedOn w:val="Normal"/>
    <w:uiPriority w:val="2"/>
    <w:semiHidden/>
    <w:rsid w:val="006C5873"/>
    <w:pPr>
      <w:tabs>
        <w:tab w:val="left" w:pos="567"/>
      </w:tabs>
    </w:pPr>
    <w:rPr>
      <w:sz w:val="16"/>
    </w:rPr>
  </w:style>
  <w:style w:type="paragraph" w:customStyle="1" w:styleId="Sub-lista">
    <w:name w:val="Sub-list a"/>
    <w:aliases w:val="b"/>
    <w:basedOn w:val="Normal"/>
    <w:uiPriority w:val="2"/>
    <w:semiHidden/>
    <w:rsid w:val="006C5873"/>
    <w:pPr>
      <w:numPr>
        <w:numId w:val="16"/>
      </w:numPr>
      <w:spacing w:before="0"/>
      <w:jc w:val="left"/>
    </w:pPr>
  </w:style>
  <w:style w:type="paragraph" w:styleId="EndnoteText">
    <w:name w:val="endnote text"/>
    <w:basedOn w:val="Normal"/>
    <w:link w:val="EndnoteTextChar"/>
    <w:uiPriority w:val="99"/>
    <w:semiHidden/>
    <w:rsid w:val="006C5873"/>
    <w:pPr>
      <w:spacing w:after="60"/>
    </w:pPr>
    <w:rPr>
      <w:sz w:val="20"/>
    </w:rPr>
  </w:style>
  <w:style w:type="character" w:customStyle="1" w:styleId="EndnoteTextChar">
    <w:name w:val="Endnote Text Char"/>
    <w:basedOn w:val="DefaultParagraphFont"/>
    <w:link w:val="EndnoteText"/>
    <w:uiPriority w:val="99"/>
    <w:semiHidden/>
    <w:rsid w:val="006C5873"/>
    <w:rPr>
      <w:rFonts w:ascii="Calibri" w:eastAsiaTheme="minorEastAsia" w:hAnsi="Calibri"/>
      <w:sz w:val="20"/>
      <w:lang w:val="en-NZ" w:eastAsia="en-NZ"/>
    </w:rPr>
  </w:style>
  <w:style w:type="paragraph" w:customStyle="1" w:styleId="Sub-listi">
    <w:name w:val="Sub-list i"/>
    <w:aliases w:val="ii"/>
    <w:basedOn w:val="BodyText"/>
    <w:semiHidden/>
    <w:rsid w:val="006C5873"/>
    <w:pPr>
      <w:numPr>
        <w:numId w:val="17"/>
      </w:numPr>
      <w:spacing w:before="60" w:after="60"/>
    </w:pPr>
  </w:style>
  <w:style w:type="paragraph" w:customStyle="1" w:styleId="TableBullet">
    <w:name w:val="TableBullet"/>
    <w:basedOn w:val="Normal"/>
    <w:qFormat/>
    <w:rsid w:val="006C5873"/>
    <w:pPr>
      <w:numPr>
        <w:numId w:val="18"/>
      </w:numPr>
      <w:spacing w:before="0" w:after="60" w:line="240" w:lineRule="atLeast"/>
      <w:jc w:val="left"/>
    </w:pPr>
    <w:rPr>
      <w:rFonts w:cs="Arial"/>
      <w:sz w:val="18"/>
      <w:szCs w:val="16"/>
    </w:rPr>
  </w:style>
  <w:style w:type="paragraph" w:customStyle="1" w:styleId="TableDash">
    <w:name w:val="TableDash"/>
    <w:basedOn w:val="TableBullet"/>
    <w:qFormat/>
    <w:rsid w:val="006C5873"/>
    <w:pPr>
      <w:numPr>
        <w:numId w:val="19"/>
      </w:numPr>
      <w:ind w:left="568"/>
    </w:pPr>
  </w:style>
  <w:style w:type="paragraph" w:styleId="BalloonText">
    <w:name w:val="Balloon Text"/>
    <w:basedOn w:val="Normal"/>
    <w:link w:val="BalloonTextChar"/>
    <w:semiHidden/>
    <w:unhideWhenUsed/>
    <w:rsid w:val="006C5873"/>
    <w:rPr>
      <w:rFonts w:ascii="Tahoma" w:hAnsi="Tahoma"/>
      <w:sz w:val="16"/>
      <w:szCs w:val="16"/>
    </w:rPr>
  </w:style>
  <w:style w:type="character" w:customStyle="1" w:styleId="BalloonTextChar">
    <w:name w:val="Balloon Text Char"/>
    <w:basedOn w:val="DefaultParagraphFont"/>
    <w:link w:val="BalloonText"/>
    <w:semiHidden/>
    <w:rsid w:val="006C5873"/>
    <w:rPr>
      <w:rFonts w:ascii="Tahoma" w:eastAsiaTheme="minorEastAsia" w:hAnsi="Tahoma"/>
      <w:sz w:val="16"/>
      <w:szCs w:val="16"/>
      <w:lang w:val="en-NZ" w:eastAsia="en-NZ"/>
    </w:rPr>
  </w:style>
  <w:style w:type="paragraph" w:styleId="z-BottomofForm">
    <w:name w:val="HTML Bottom of Form"/>
    <w:basedOn w:val="Normal"/>
    <w:next w:val="Normal"/>
    <w:link w:val="z-BottomofFormChar"/>
    <w:hidden/>
    <w:uiPriority w:val="99"/>
    <w:semiHidden/>
    <w:unhideWhenUsed/>
    <w:rsid w:val="006C5873"/>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6C5873"/>
    <w:rPr>
      <w:rFonts w:ascii="Arial" w:eastAsia="Calibri" w:hAnsi="Arial"/>
      <w:vanish/>
      <w:sz w:val="16"/>
      <w:szCs w:val="16"/>
      <w:lang w:eastAsia="en-NZ"/>
    </w:rPr>
  </w:style>
  <w:style w:type="paragraph" w:styleId="z-TopofForm">
    <w:name w:val="HTML Top of Form"/>
    <w:basedOn w:val="Normal"/>
    <w:next w:val="Normal"/>
    <w:link w:val="z-TopofFormChar"/>
    <w:hidden/>
    <w:uiPriority w:val="99"/>
    <w:semiHidden/>
    <w:unhideWhenUsed/>
    <w:rsid w:val="006C5873"/>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6C5873"/>
    <w:rPr>
      <w:rFonts w:ascii="Arial" w:eastAsia="Calibri" w:hAnsi="Arial"/>
      <w:vanish/>
      <w:sz w:val="16"/>
      <w:szCs w:val="16"/>
      <w:lang w:eastAsia="en-NZ"/>
    </w:rPr>
  </w:style>
  <w:style w:type="table" w:styleId="MediumShading1-Accent2">
    <w:name w:val="Medium Shading 1 Accent 2"/>
    <w:basedOn w:val="TableNormal"/>
    <w:uiPriority w:val="63"/>
    <w:rsid w:val="006C5873"/>
    <w:pPr>
      <w:spacing w:after="0" w:line="240" w:lineRule="auto"/>
    </w:pPr>
    <w:rPr>
      <w:lang w:val="en-NZ"/>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6C5873"/>
    <w:pPr>
      <w:spacing w:after="0" w:line="240" w:lineRule="auto"/>
    </w:pPr>
    <w:rPr>
      <w:lang w:val="en-NZ"/>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Accent5">
    <w:name w:val="Light Grid Accent 5"/>
    <w:basedOn w:val="TableNormal"/>
    <w:uiPriority w:val="62"/>
    <w:rsid w:val="006C5873"/>
    <w:pPr>
      <w:spacing w:after="0" w:line="240" w:lineRule="auto"/>
    </w:pPr>
    <w:rPr>
      <w:lang w:val="en-NZ"/>
    </w:rPr>
    <w:tblPr>
      <w:tblStyleRowBandSize w:val="1"/>
      <w:tblStyleColBandSize w:val="1"/>
    </w:tblPr>
    <w:tcPr>
      <w:tcBorders>
        <w:left w:val="single" w:sz="8" w:space="0" w:color="6FC7B7" w:themeColor="accent5"/>
        <w:right w:val="single" w:sz="8" w:space="0" w:color="6FC7B7" w:themeColor="accent5"/>
      </w:tcBorders>
      <w:shd w:val="clear" w:color="auto" w:fill="DBF1ED" w:themeFill="accent5"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customStyle="1" w:styleId="LightGrid-Accent11">
    <w:name w:val="Light Grid - Accent 11"/>
    <w:basedOn w:val="TableNormal"/>
    <w:uiPriority w:val="62"/>
    <w:rsid w:val="006C5873"/>
    <w:pPr>
      <w:spacing w:after="0" w:line="240" w:lineRule="auto"/>
    </w:pPr>
    <w:rPr>
      <w:lang w:val="en-NZ"/>
    </w:rPr>
    <w:tblPr>
      <w:tblStyleRowBandSize w:val="1"/>
      <w:tblStyleColBandSize w:val="1"/>
    </w:tblPr>
    <w:tcPr>
      <w:tcBorders>
        <w:left w:val="single" w:sz="8" w:space="0" w:color="1C556C" w:themeColor="accent1"/>
        <w:right w:val="single" w:sz="8" w:space="0" w:color="1C556C" w:themeColor="accent1"/>
      </w:tcBorders>
      <w:shd w:val="clear" w:color="auto" w:fill="B5DCEC" w:themeFill="accen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customStyle="1" w:styleId="LightShading-Accent11">
    <w:name w:val="Light Shading - Accent 11"/>
    <w:basedOn w:val="TableNormal"/>
    <w:uiPriority w:val="60"/>
    <w:rsid w:val="006C5873"/>
    <w:pPr>
      <w:spacing w:after="0" w:line="240" w:lineRule="auto"/>
    </w:pPr>
    <w:rPr>
      <w:color w:val="153F50" w:themeColor="accent1" w:themeShade="BF"/>
      <w:lang w:val="en-NZ"/>
    </w:rPr>
    <w:tblPr>
      <w:tblStyleRowBandSize w:val="1"/>
      <w:tblStyleColBandSize w:val="1"/>
    </w:tblPr>
    <w:tcPr>
      <w:tcBorders>
        <w:left w:val="nil"/>
        <w:right w:val="nil"/>
      </w:tcBorders>
      <w:shd w:val="clear" w:color="auto" w:fill="B5DCEC" w:themeFill="accent1" w:themeFillTint="3F"/>
    </w:tc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11">
    <w:name w:val="Light List - Accent 11"/>
    <w:basedOn w:val="TableNormal"/>
    <w:uiPriority w:val="61"/>
    <w:rsid w:val="006C5873"/>
    <w:pPr>
      <w:spacing w:after="0" w:line="240" w:lineRule="auto"/>
    </w:pPr>
    <w:rPr>
      <w:lang w:val="en-NZ"/>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paragraph" w:customStyle="1" w:styleId="Boxa">
    <w:name w:val="Box a"/>
    <w:aliases w:val="b list"/>
    <w:basedOn w:val="Sub-listi"/>
    <w:semiHidden/>
    <w:qFormat/>
    <w:rsid w:val="006C5873"/>
    <w:pPr>
      <w:numPr>
        <w:ilvl w:val="1"/>
        <w:numId w:val="2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6C5873"/>
    <w:rPr>
      <w:vertAlign w:val="superscript"/>
    </w:rPr>
  </w:style>
  <w:style w:type="paragraph" w:customStyle="1" w:styleId="BoxBullet0">
    <w:name w:val="Box Bullet"/>
    <w:basedOn w:val="Normal"/>
    <w:semiHidden/>
    <w:rsid w:val="006C5873"/>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6C5873"/>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styleId="TOC4">
    <w:name w:val="toc 4"/>
    <w:basedOn w:val="Normal"/>
    <w:next w:val="Normal"/>
    <w:semiHidden/>
    <w:rsid w:val="006C5873"/>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6C5873"/>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C5873"/>
    <w:rPr>
      <w:rFonts w:ascii="Calibri" w:eastAsia="Times New Roman" w:hAnsi="Calibri" w:cs="Times New Roman"/>
      <w:szCs w:val="20"/>
      <w:lang w:val="en-NZ" w:eastAsia="en-NZ"/>
    </w:rPr>
  </w:style>
  <w:style w:type="paragraph" w:customStyle="1" w:styleId="Casestudyheading">
    <w:name w:val="Case study heading"/>
    <w:basedOn w:val="BodyText"/>
    <w:uiPriority w:val="1"/>
    <w:semiHidden/>
    <w:qFormat/>
    <w:rsid w:val="006C5873"/>
    <w:pPr>
      <w:keepNext/>
      <w:spacing w:line="240" w:lineRule="auto"/>
      <w:ind w:left="284"/>
    </w:pPr>
    <w:rPr>
      <w:b/>
      <w:caps/>
      <w:color w:val="FFFFFF" w:themeColor="background1"/>
    </w:rPr>
  </w:style>
  <w:style w:type="table" w:styleId="LightShading-Accent1">
    <w:name w:val="Light Shading Accent 1"/>
    <w:basedOn w:val="TableNormal"/>
    <w:uiPriority w:val="60"/>
    <w:rsid w:val="006C5873"/>
    <w:pPr>
      <w:spacing w:after="0" w:line="240" w:lineRule="auto"/>
    </w:pPr>
    <w:rPr>
      <w:rFonts w:eastAsiaTheme="minorEastAsia"/>
      <w:color w:val="153F50"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6C5873"/>
    <w:pPr>
      <w:spacing w:after="0" w:line="240" w:lineRule="auto"/>
    </w:pPr>
    <w:rPr>
      <w:rFonts w:eastAsiaTheme="minorEastAsia"/>
    </w:rPr>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numbering" w:customStyle="1" w:styleId="Style1">
    <w:name w:val="Style1"/>
    <w:uiPriority w:val="99"/>
    <w:rsid w:val="006C5873"/>
    <w:pPr>
      <w:numPr>
        <w:numId w:val="23"/>
      </w:numPr>
    </w:pPr>
  </w:style>
  <w:style w:type="numbering" w:customStyle="1" w:styleId="Style2">
    <w:name w:val="Style2"/>
    <w:uiPriority w:val="99"/>
    <w:rsid w:val="006C5873"/>
    <w:pPr>
      <w:numPr>
        <w:numId w:val="29"/>
      </w:numPr>
    </w:pPr>
  </w:style>
  <w:style w:type="paragraph" w:customStyle="1" w:styleId="Greenbullet-casestudytables">
    <w:name w:val="Green bullet - case study tables"/>
    <w:basedOn w:val="Greentext-casestudytables"/>
    <w:uiPriority w:val="1"/>
    <w:semiHidden/>
    <w:rsid w:val="006C5873"/>
    <w:pPr>
      <w:numPr>
        <w:numId w:val="41"/>
      </w:numPr>
      <w:spacing w:before="0"/>
      <w:ind w:left="681" w:hanging="397"/>
    </w:pPr>
  </w:style>
  <w:style w:type="paragraph" w:customStyle="1" w:styleId="Greentext-casestudytables">
    <w:name w:val="Green text - case study tables"/>
    <w:basedOn w:val="BodyText"/>
    <w:uiPriority w:val="1"/>
    <w:semiHidden/>
    <w:rsid w:val="006C5873"/>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6C5873"/>
    <w:pPr>
      <w:keepNext/>
      <w:spacing w:before="240" w:after="0"/>
    </w:pPr>
    <w:rPr>
      <w:rFonts w:eastAsia="Times New Roman"/>
      <w:b/>
      <w:color w:val="1B556B"/>
      <w:sz w:val="22"/>
    </w:rPr>
  </w:style>
  <w:style w:type="numbering" w:customStyle="1" w:styleId="Style3">
    <w:name w:val="Style3"/>
    <w:uiPriority w:val="99"/>
    <w:rsid w:val="006C5873"/>
    <w:pPr>
      <w:numPr>
        <w:numId w:val="43"/>
      </w:numPr>
    </w:pPr>
  </w:style>
  <w:style w:type="paragraph" w:customStyle="1" w:styleId="Boxtext">
    <w:name w:val="Box text"/>
    <w:basedOn w:val="Normal"/>
    <w:uiPriority w:val="1"/>
    <w:semiHidden/>
    <w:qFormat/>
    <w:rsid w:val="006C5873"/>
    <w:pPr>
      <w:spacing w:line="260" w:lineRule="atLeast"/>
      <w:ind w:left="284" w:right="284"/>
      <w:jc w:val="left"/>
    </w:pPr>
    <w:rPr>
      <w:color w:val="1B556B"/>
      <w:sz w:val="20"/>
    </w:rPr>
  </w:style>
  <w:style w:type="paragraph" w:customStyle="1" w:styleId="Boxbullet">
    <w:name w:val="Box bullet"/>
    <w:basedOn w:val="Boxtext"/>
    <w:uiPriority w:val="1"/>
    <w:semiHidden/>
    <w:qFormat/>
    <w:rsid w:val="006C5873"/>
    <w:pPr>
      <w:numPr>
        <w:numId w:val="1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semiHidden/>
    <w:qFormat/>
    <w:rsid w:val="006C5873"/>
    <w:pPr>
      <w:keepNext/>
      <w:spacing w:before="240" w:after="0"/>
    </w:pPr>
    <w:rPr>
      <w:rFonts w:cs="Times New Roman"/>
      <w:b/>
      <w:sz w:val="22"/>
      <w:szCs w:val="20"/>
    </w:rPr>
  </w:style>
  <w:style w:type="paragraph" w:customStyle="1" w:styleId="Boxsub-bullet">
    <w:name w:val="Box sub-bullet"/>
    <w:basedOn w:val="Boxtext"/>
    <w:uiPriority w:val="1"/>
    <w:semiHidden/>
    <w:qFormat/>
    <w:rsid w:val="006C5873"/>
    <w:pPr>
      <w:numPr>
        <w:numId w:val="4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6C5873"/>
    <w:pPr>
      <w:numPr>
        <w:numId w:val="47"/>
      </w:numPr>
      <w:spacing w:before="0"/>
    </w:pPr>
  </w:style>
  <w:style w:type="paragraph" w:customStyle="1" w:styleId="TableHeading2">
    <w:name w:val="TableHeading2"/>
    <w:basedOn w:val="BodyText"/>
    <w:semiHidden/>
    <w:qFormat/>
    <w:rsid w:val="001C730E"/>
    <w:rPr>
      <w:rFonts w:cs="Times New Roman"/>
      <w:b/>
      <w:bCs/>
      <w:sz w:val="20"/>
      <w:szCs w:val="24"/>
    </w:rPr>
  </w:style>
  <w:style w:type="paragraph" w:customStyle="1" w:styleId="TableEmissions">
    <w:name w:val="TableEmissions"/>
    <w:basedOn w:val="TableText"/>
    <w:semiHidden/>
    <w:qFormat/>
    <w:rsid w:val="006643B1"/>
    <w:pPr>
      <w:spacing w:before="0" w:after="0"/>
    </w:pPr>
    <w:rPr>
      <w:rFonts w:ascii="Georgia" w:eastAsia="Calibri" w:hAnsi="Georgia" w:cs="Calibri"/>
      <w:b/>
      <w:bCs/>
      <w:color w:val="FFFFFF" w:themeColor="background1"/>
      <w:sz w:val="32"/>
      <w:szCs w:val="32"/>
    </w:rPr>
  </w:style>
  <w:style w:type="table" w:customStyle="1" w:styleId="MinistryfortheEnvironment">
    <w:name w:val="Ministry for the Environment"/>
    <w:basedOn w:val="TableNormal"/>
    <w:uiPriority w:val="99"/>
    <w:rsid w:val="001C730E"/>
    <w:pPr>
      <w:spacing w:after="0" w:line="240" w:lineRule="auto"/>
    </w:pPr>
    <w:rPr>
      <w:rFonts w:ascii="Calibri" w:eastAsia="Calibri" w:hAnsi="Calibri" w:cs="Times New Roman"/>
      <w:sz w:val="20"/>
      <w:szCs w:val="20"/>
      <w:lang w:val="en-NZ" w:eastAsia="en-NZ"/>
    </w:rPr>
    <w:tblPr/>
    <w:tblStylePr w:type="firstRow">
      <w:rPr>
        <w:b/>
        <w:color w:val="FFFFFF" w:themeColor="background1"/>
      </w:rPr>
    </w:tblStylePr>
  </w:style>
  <w:style w:type="character" w:styleId="Emphasis">
    <w:name w:val="Emphasis"/>
    <w:basedOn w:val="DefaultParagraphFont"/>
    <w:uiPriority w:val="20"/>
    <w:semiHidden/>
    <w:qFormat/>
    <w:rsid w:val="003D4580"/>
    <w:rPr>
      <w:i/>
      <w:iCs/>
    </w:rPr>
  </w:style>
  <w:style w:type="character" w:styleId="SubtleEmphasis">
    <w:name w:val="Subtle Emphasis"/>
    <w:basedOn w:val="DefaultParagraphFont"/>
    <w:uiPriority w:val="19"/>
    <w:semiHidden/>
    <w:qFormat/>
    <w:rsid w:val="003D4580"/>
    <w:rPr>
      <w:i/>
      <w:iCs/>
      <w:color w:val="404040" w:themeColor="text1" w:themeTint="BF"/>
    </w:rPr>
  </w:style>
  <w:style w:type="character" w:styleId="Mention">
    <w:name w:val="Mention"/>
    <w:basedOn w:val="DefaultParagraphFont"/>
    <w:uiPriority w:val="99"/>
    <w:unhideWhenUsed/>
    <w:rsid w:val="00317FE4"/>
    <w:rPr>
      <w:color w:val="2B579A"/>
      <w:shd w:val="clear" w:color="auto" w:fill="E1DFDD"/>
    </w:rPr>
  </w:style>
  <w:style w:type="paragraph" w:customStyle="1" w:styleId="Paragraph-numbered">
    <w:name w:val="Paragraph-numbered"/>
    <w:basedOn w:val="Normal"/>
    <w:uiPriority w:val="6"/>
    <w:qFormat/>
    <w:rsid w:val="006825F6"/>
    <w:pPr>
      <w:spacing w:before="80" w:after="24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31123">
      <w:bodyDiv w:val="1"/>
      <w:marLeft w:val="0"/>
      <w:marRight w:val="0"/>
      <w:marTop w:val="0"/>
      <w:marBottom w:val="0"/>
      <w:divBdr>
        <w:top w:val="none" w:sz="0" w:space="0" w:color="auto"/>
        <w:left w:val="none" w:sz="0" w:space="0" w:color="auto"/>
        <w:bottom w:val="none" w:sz="0" w:space="0" w:color="auto"/>
        <w:right w:val="none" w:sz="0" w:space="0" w:color="auto"/>
      </w:divBdr>
    </w:div>
    <w:div w:id="147089938">
      <w:bodyDiv w:val="1"/>
      <w:marLeft w:val="0"/>
      <w:marRight w:val="0"/>
      <w:marTop w:val="0"/>
      <w:marBottom w:val="0"/>
      <w:divBdr>
        <w:top w:val="none" w:sz="0" w:space="0" w:color="auto"/>
        <w:left w:val="none" w:sz="0" w:space="0" w:color="auto"/>
        <w:bottom w:val="none" w:sz="0" w:space="0" w:color="auto"/>
        <w:right w:val="none" w:sz="0" w:space="0" w:color="auto"/>
      </w:divBdr>
    </w:div>
    <w:div w:id="162009460">
      <w:bodyDiv w:val="1"/>
      <w:marLeft w:val="0"/>
      <w:marRight w:val="0"/>
      <w:marTop w:val="0"/>
      <w:marBottom w:val="0"/>
      <w:divBdr>
        <w:top w:val="none" w:sz="0" w:space="0" w:color="auto"/>
        <w:left w:val="none" w:sz="0" w:space="0" w:color="auto"/>
        <w:bottom w:val="none" w:sz="0" w:space="0" w:color="auto"/>
        <w:right w:val="none" w:sz="0" w:space="0" w:color="auto"/>
      </w:divBdr>
      <w:divsChild>
        <w:div w:id="1094940336">
          <w:marLeft w:val="0"/>
          <w:marRight w:val="0"/>
          <w:marTop w:val="0"/>
          <w:marBottom w:val="0"/>
          <w:divBdr>
            <w:top w:val="none" w:sz="0" w:space="0" w:color="auto"/>
            <w:left w:val="none" w:sz="0" w:space="0" w:color="auto"/>
            <w:bottom w:val="none" w:sz="0" w:space="0" w:color="auto"/>
            <w:right w:val="none" w:sz="0" w:space="0" w:color="auto"/>
          </w:divBdr>
        </w:div>
        <w:div w:id="1537347340">
          <w:marLeft w:val="0"/>
          <w:marRight w:val="0"/>
          <w:marTop w:val="0"/>
          <w:marBottom w:val="0"/>
          <w:divBdr>
            <w:top w:val="none" w:sz="0" w:space="0" w:color="auto"/>
            <w:left w:val="none" w:sz="0" w:space="0" w:color="auto"/>
            <w:bottom w:val="none" w:sz="0" w:space="0" w:color="auto"/>
            <w:right w:val="none" w:sz="0" w:space="0" w:color="auto"/>
          </w:divBdr>
        </w:div>
        <w:div w:id="1794011134">
          <w:marLeft w:val="0"/>
          <w:marRight w:val="0"/>
          <w:marTop w:val="0"/>
          <w:marBottom w:val="0"/>
          <w:divBdr>
            <w:top w:val="none" w:sz="0" w:space="0" w:color="auto"/>
            <w:left w:val="none" w:sz="0" w:space="0" w:color="auto"/>
            <w:bottom w:val="none" w:sz="0" w:space="0" w:color="auto"/>
            <w:right w:val="none" w:sz="0" w:space="0" w:color="auto"/>
          </w:divBdr>
        </w:div>
        <w:div w:id="1855535874">
          <w:marLeft w:val="0"/>
          <w:marRight w:val="0"/>
          <w:marTop w:val="0"/>
          <w:marBottom w:val="0"/>
          <w:divBdr>
            <w:top w:val="none" w:sz="0" w:space="0" w:color="auto"/>
            <w:left w:val="none" w:sz="0" w:space="0" w:color="auto"/>
            <w:bottom w:val="none" w:sz="0" w:space="0" w:color="auto"/>
            <w:right w:val="none" w:sz="0" w:space="0" w:color="auto"/>
          </w:divBdr>
        </w:div>
      </w:divsChild>
    </w:div>
    <w:div w:id="205259063">
      <w:bodyDiv w:val="1"/>
      <w:marLeft w:val="0"/>
      <w:marRight w:val="0"/>
      <w:marTop w:val="0"/>
      <w:marBottom w:val="0"/>
      <w:divBdr>
        <w:top w:val="none" w:sz="0" w:space="0" w:color="auto"/>
        <w:left w:val="none" w:sz="0" w:space="0" w:color="auto"/>
        <w:bottom w:val="none" w:sz="0" w:space="0" w:color="auto"/>
        <w:right w:val="none" w:sz="0" w:space="0" w:color="auto"/>
      </w:divBdr>
    </w:div>
    <w:div w:id="338313186">
      <w:bodyDiv w:val="1"/>
      <w:marLeft w:val="0"/>
      <w:marRight w:val="0"/>
      <w:marTop w:val="0"/>
      <w:marBottom w:val="0"/>
      <w:divBdr>
        <w:top w:val="none" w:sz="0" w:space="0" w:color="auto"/>
        <w:left w:val="none" w:sz="0" w:space="0" w:color="auto"/>
        <w:bottom w:val="none" w:sz="0" w:space="0" w:color="auto"/>
        <w:right w:val="none" w:sz="0" w:space="0" w:color="auto"/>
      </w:divBdr>
    </w:div>
    <w:div w:id="340621054">
      <w:bodyDiv w:val="1"/>
      <w:marLeft w:val="0"/>
      <w:marRight w:val="0"/>
      <w:marTop w:val="0"/>
      <w:marBottom w:val="0"/>
      <w:divBdr>
        <w:top w:val="none" w:sz="0" w:space="0" w:color="auto"/>
        <w:left w:val="none" w:sz="0" w:space="0" w:color="auto"/>
        <w:bottom w:val="none" w:sz="0" w:space="0" w:color="auto"/>
        <w:right w:val="none" w:sz="0" w:space="0" w:color="auto"/>
      </w:divBdr>
    </w:div>
    <w:div w:id="365102756">
      <w:bodyDiv w:val="1"/>
      <w:marLeft w:val="0"/>
      <w:marRight w:val="0"/>
      <w:marTop w:val="0"/>
      <w:marBottom w:val="0"/>
      <w:divBdr>
        <w:top w:val="none" w:sz="0" w:space="0" w:color="auto"/>
        <w:left w:val="none" w:sz="0" w:space="0" w:color="auto"/>
        <w:bottom w:val="none" w:sz="0" w:space="0" w:color="auto"/>
        <w:right w:val="none" w:sz="0" w:space="0" w:color="auto"/>
      </w:divBdr>
      <w:divsChild>
        <w:div w:id="954482492">
          <w:marLeft w:val="0"/>
          <w:marRight w:val="0"/>
          <w:marTop w:val="0"/>
          <w:marBottom w:val="0"/>
          <w:divBdr>
            <w:top w:val="none" w:sz="0" w:space="0" w:color="auto"/>
            <w:left w:val="none" w:sz="0" w:space="0" w:color="auto"/>
            <w:bottom w:val="none" w:sz="0" w:space="0" w:color="auto"/>
            <w:right w:val="none" w:sz="0" w:space="0" w:color="auto"/>
          </w:divBdr>
        </w:div>
        <w:div w:id="1410886060">
          <w:marLeft w:val="0"/>
          <w:marRight w:val="0"/>
          <w:marTop w:val="0"/>
          <w:marBottom w:val="0"/>
          <w:divBdr>
            <w:top w:val="none" w:sz="0" w:space="0" w:color="auto"/>
            <w:left w:val="none" w:sz="0" w:space="0" w:color="auto"/>
            <w:bottom w:val="none" w:sz="0" w:space="0" w:color="auto"/>
            <w:right w:val="none" w:sz="0" w:space="0" w:color="auto"/>
          </w:divBdr>
          <w:divsChild>
            <w:div w:id="1492216108">
              <w:marLeft w:val="-75"/>
              <w:marRight w:val="0"/>
              <w:marTop w:val="30"/>
              <w:marBottom w:val="30"/>
              <w:divBdr>
                <w:top w:val="none" w:sz="0" w:space="0" w:color="auto"/>
                <w:left w:val="none" w:sz="0" w:space="0" w:color="auto"/>
                <w:bottom w:val="none" w:sz="0" w:space="0" w:color="auto"/>
                <w:right w:val="none" w:sz="0" w:space="0" w:color="auto"/>
              </w:divBdr>
              <w:divsChild>
                <w:div w:id="368451995">
                  <w:marLeft w:val="0"/>
                  <w:marRight w:val="0"/>
                  <w:marTop w:val="0"/>
                  <w:marBottom w:val="0"/>
                  <w:divBdr>
                    <w:top w:val="none" w:sz="0" w:space="0" w:color="auto"/>
                    <w:left w:val="none" w:sz="0" w:space="0" w:color="auto"/>
                    <w:bottom w:val="none" w:sz="0" w:space="0" w:color="auto"/>
                    <w:right w:val="none" w:sz="0" w:space="0" w:color="auto"/>
                  </w:divBdr>
                  <w:divsChild>
                    <w:div w:id="803619602">
                      <w:marLeft w:val="0"/>
                      <w:marRight w:val="0"/>
                      <w:marTop w:val="0"/>
                      <w:marBottom w:val="0"/>
                      <w:divBdr>
                        <w:top w:val="none" w:sz="0" w:space="0" w:color="auto"/>
                        <w:left w:val="none" w:sz="0" w:space="0" w:color="auto"/>
                        <w:bottom w:val="none" w:sz="0" w:space="0" w:color="auto"/>
                        <w:right w:val="none" w:sz="0" w:space="0" w:color="auto"/>
                      </w:divBdr>
                    </w:div>
                  </w:divsChild>
                </w:div>
                <w:div w:id="838620080">
                  <w:marLeft w:val="0"/>
                  <w:marRight w:val="0"/>
                  <w:marTop w:val="0"/>
                  <w:marBottom w:val="0"/>
                  <w:divBdr>
                    <w:top w:val="none" w:sz="0" w:space="0" w:color="auto"/>
                    <w:left w:val="none" w:sz="0" w:space="0" w:color="auto"/>
                    <w:bottom w:val="none" w:sz="0" w:space="0" w:color="auto"/>
                    <w:right w:val="none" w:sz="0" w:space="0" w:color="auto"/>
                  </w:divBdr>
                  <w:divsChild>
                    <w:div w:id="83502254">
                      <w:marLeft w:val="0"/>
                      <w:marRight w:val="0"/>
                      <w:marTop w:val="0"/>
                      <w:marBottom w:val="0"/>
                      <w:divBdr>
                        <w:top w:val="none" w:sz="0" w:space="0" w:color="auto"/>
                        <w:left w:val="none" w:sz="0" w:space="0" w:color="auto"/>
                        <w:bottom w:val="none" w:sz="0" w:space="0" w:color="auto"/>
                        <w:right w:val="none" w:sz="0" w:space="0" w:color="auto"/>
                      </w:divBdr>
                    </w:div>
                  </w:divsChild>
                </w:div>
                <w:div w:id="1100755265">
                  <w:marLeft w:val="0"/>
                  <w:marRight w:val="0"/>
                  <w:marTop w:val="0"/>
                  <w:marBottom w:val="0"/>
                  <w:divBdr>
                    <w:top w:val="none" w:sz="0" w:space="0" w:color="auto"/>
                    <w:left w:val="none" w:sz="0" w:space="0" w:color="auto"/>
                    <w:bottom w:val="none" w:sz="0" w:space="0" w:color="auto"/>
                    <w:right w:val="none" w:sz="0" w:space="0" w:color="auto"/>
                  </w:divBdr>
                  <w:divsChild>
                    <w:div w:id="532234660">
                      <w:marLeft w:val="0"/>
                      <w:marRight w:val="0"/>
                      <w:marTop w:val="0"/>
                      <w:marBottom w:val="0"/>
                      <w:divBdr>
                        <w:top w:val="none" w:sz="0" w:space="0" w:color="auto"/>
                        <w:left w:val="none" w:sz="0" w:space="0" w:color="auto"/>
                        <w:bottom w:val="none" w:sz="0" w:space="0" w:color="auto"/>
                        <w:right w:val="none" w:sz="0" w:space="0" w:color="auto"/>
                      </w:divBdr>
                    </w:div>
                  </w:divsChild>
                </w:div>
                <w:div w:id="1212620487">
                  <w:marLeft w:val="0"/>
                  <w:marRight w:val="0"/>
                  <w:marTop w:val="0"/>
                  <w:marBottom w:val="0"/>
                  <w:divBdr>
                    <w:top w:val="none" w:sz="0" w:space="0" w:color="auto"/>
                    <w:left w:val="none" w:sz="0" w:space="0" w:color="auto"/>
                    <w:bottom w:val="none" w:sz="0" w:space="0" w:color="auto"/>
                    <w:right w:val="none" w:sz="0" w:space="0" w:color="auto"/>
                  </w:divBdr>
                  <w:divsChild>
                    <w:div w:id="269704994">
                      <w:marLeft w:val="0"/>
                      <w:marRight w:val="0"/>
                      <w:marTop w:val="0"/>
                      <w:marBottom w:val="0"/>
                      <w:divBdr>
                        <w:top w:val="none" w:sz="0" w:space="0" w:color="auto"/>
                        <w:left w:val="none" w:sz="0" w:space="0" w:color="auto"/>
                        <w:bottom w:val="none" w:sz="0" w:space="0" w:color="auto"/>
                        <w:right w:val="none" w:sz="0" w:space="0" w:color="auto"/>
                      </w:divBdr>
                    </w:div>
                  </w:divsChild>
                </w:div>
                <w:div w:id="1339623659">
                  <w:marLeft w:val="0"/>
                  <w:marRight w:val="0"/>
                  <w:marTop w:val="0"/>
                  <w:marBottom w:val="0"/>
                  <w:divBdr>
                    <w:top w:val="none" w:sz="0" w:space="0" w:color="auto"/>
                    <w:left w:val="none" w:sz="0" w:space="0" w:color="auto"/>
                    <w:bottom w:val="none" w:sz="0" w:space="0" w:color="auto"/>
                    <w:right w:val="none" w:sz="0" w:space="0" w:color="auto"/>
                  </w:divBdr>
                  <w:divsChild>
                    <w:div w:id="1521629247">
                      <w:marLeft w:val="0"/>
                      <w:marRight w:val="0"/>
                      <w:marTop w:val="0"/>
                      <w:marBottom w:val="0"/>
                      <w:divBdr>
                        <w:top w:val="none" w:sz="0" w:space="0" w:color="auto"/>
                        <w:left w:val="none" w:sz="0" w:space="0" w:color="auto"/>
                        <w:bottom w:val="none" w:sz="0" w:space="0" w:color="auto"/>
                        <w:right w:val="none" w:sz="0" w:space="0" w:color="auto"/>
                      </w:divBdr>
                    </w:div>
                  </w:divsChild>
                </w:div>
                <w:div w:id="2097822498">
                  <w:marLeft w:val="0"/>
                  <w:marRight w:val="0"/>
                  <w:marTop w:val="0"/>
                  <w:marBottom w:val="0"/>
                  <w:divBdr>
                    <w:top w:val="none" w:sz="0" w:space="0" w:color="auto"/>
                    <w:left w:val="none" w:sz="0" w:space="0" w:color="auto"/>
                    <w:bottom w:val="none" w:sz="0" w:space="0" w:color="auto"/>
                    <w:right w:val="none" w:sz="0" w:space="0" w:color="auto"/>
                  </w:divBdr>
                  <w:divsChild>
                    <w:div w:id="4297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165266">
      <w:bodyDiv w:val="1"/>
      <w:marLeft w:val="0"/>
      <w:marRight w:val="0"/>
      <w:marTop w:val="0"/>
      <w:marBottom w:val="0"/>
      <w:divBdr>
        <w:top w:val="none" w:sz="0" w:space="0" w:color="auto"/>
        <w:left w:val="none" w:sz="0" w:space="0" w:color="auto"/>
        <w:bottom w:val="none" w:sz="0" w:space="0" w:color="auto"/>
        <w:right w:val="none" w:sz="0" w:space="0" w:color="auto"/>
      </w:divBdr>
      <w:divsChild>
        <w:div w:id="205222910">
          <w:marLeft w:val="0"/>
          <w:marRight w:val="0"/>
          <w:marTop w:val="0"/>
          <w:marBottom w:val="0"/>
          <w:divBdr>
            <w:top w:val="none" w:sz="0" w:space="0" w:color="auto"/>
            <w:left w:val="none" w:sz="0" w:space="0" w:color="auto"/>
            <w:bottom w:val="none" w:sz="0" w:space="0" w:color="auto"/>
            <w:right w:val="none" w:sz="0" w:space="0" w:color="auto"/>
          </w:divBdr>
        </w:div>
        <w:div w:id="397750834">
          <w:marLeft w:val="0"/>
          <w:marRight w:val="0"/>
          <w:marTop w:val="0"/>
          <w:marBottom w:val="0"/>
          <w:divBdr>
            <w:top w:val="none" w:sz="0" w:space="0" w:color="auto"/>
            <w:left w:val="none" w:sz="0" w:space="0" w:color="auto"/>
            <w:bottom w:val="none" w:sz="0" w:space="0" w:color="auto"/>
            <w:right w:val="none" w:sz="0" w:space="0" w:color="auto"/>
          </w:divBdr>
        </w:div>
        <w:div w:id="908033353">
          <w:marLeft w:val="0"/>
          <w:marRight w:val="0"/>
          <w:marTop w:val="0"/>
          <w:marBottom w:val="0"/>
          <w:divBdr>
            <w:top w:val="none" w:sz="0" w:space="0" w:color="auto"/>
            <w:left w:val="none" w:sz="0" w:space="0" w:color="auto"/>
            <w:bottom w:val="none" w:sz="0" w:space="0" w:color="auto"/>
            <w:right w:val="none" w:sz="0" w:space="0" w:color="auto"/>
          </w:divBdr>
        </w:div>
        <w:div w:id="1260944230">
          <w:marLeft w:val="0"/>
          <w:marRight w:val="0"/>
          <w:marTop w:val="0"/>
          <w:marBottom w:val="0"/>
          <w:divBdr>
            <w:top w:val="none" w:sz="0" w:space="0" w:color="auto"/>
            <w:left w:val="none" w:sz="0" w:space="0" w:color="auto"/>
            <w:bottom w:val="none" w:sz="0" w:space="0" w:color="auto"/>
            <w:right w:val="none" w:sz="0" w:space="0" w:color="auto"/>
          </w:divBdr>
        </w:div>
        <w:div w:id="1293636849">
          <w:marLeft w:val="0"/>
          <w:marRight w:val="0"/>
          <w:marTop w:val="0"/>
          <w:marBottom w:val="0"/>
          <w:divBdr>
            <w:top w:val="none" w:sz="0" w:space="0" w:color="auto"/>
            <w:left w:val="none" w:sz="0" w:space="0" w:color="auto"/>
            <w:bottom w:val="none" w:sz="0" w:space="0" w:color="auto"/>
            <w:right w:val="none" w:sz="0" w:space="0" w:color="auto"/>
          </w:divBdr>
        </w:div>
        <w:div w:id="1800682637">
          <w:marLeft w:val="0"/>
          <w:marRight w:val="0"/>
          <w:marTop w:val="0"/>
          <w:marBottom w:val="0"/>
          <w:divBdr>
            <w:top w:val="none" w:sz="0" w:space="0" w:color="auto"/>
            <w:left w:val="none" w:sz="0" w:space="0" w:color="auto"/>
            <w:bottom w:val="none" w:sz="0" w:space="0" w:color="auto"/>
            <w:right w:val="none" w:sz="0" w:space="0" w:color="auto"/>
          </w:divBdr>
        </w:div>
        <w:div w:id="2073772114">
          <w:marLeft w:val="0"/>
          <w:marRight w:val="0"/>
          <w:marTop w:val="0"/>
          <w:marBottom w:val="0"/>
          <w:divBdr>
            <w:top w:val="none" w:sz="0" w:space="0" w:color="auto"/>
            <w:left w:val="none" w:sz="0" w:space="0" w:color="auto"/>
            <w:bottom w:val="none" w:sz="0" w:space="0" w:color="auto"/>
            <w:right w:val="none" w:sz="0" w:space="0" w:color="auto"/>
          </w:divBdr>
        </w:div>
      </w:divsChild>
    </w:div>
    <w:div w:id="40600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0201">
          <w:marLeft w:val="0"/>
          <w:marRight w:val="0"/>
          <w:marTop w:val="0"/>
          <w:marBottom w:val="0"/>
          <w:divBdr>
            <w:top w:val="none" w:sz="0" w:space="0" w:color="auto"/>
            <w:left w:val="none" w:sz="0" w:space="0" w:color="auto"/>
            <w:bottom w:val="none" w:sz="0" w:space="0" w:color="auto"/>
            <w:right w:val="none" w:sz="0" w:space="0" w:color="auto"/>
          </w:divBdr>
          <w:divsChild>
            <w:div w:id="1021203846">
              <w:marLeft w:val="-75"/>
              <w:marRight w:val="0"/>
              <w:marTop w:val="30"/>
              <w:marBottom w:val="30"/>
              <w:divBdr>
                <w:top w:val="none" w:sz="0" w:space="0" w:color="auto"/>
                <w:left w:val="none" w:sz="0" w:space="0" w:color="auto"/>
                <w:bottom w:val="none" w:sz="0" w:space="0" w:color="auto"/>
                <w:right w:val="none" w:sz="0" w:space="0" w:color="auto"/>
              </w:divBdr>
              <w:divsChild>
                <w:div w:id="6912158">
                  <w:marLeft w:val="0"/>
                  <w:marRight w:val="0"/>
                  <w:marTop w:val="0"/>
                  <w:marBottom w:val="0"/>
                  <w:divBdr>
                    <w:top w:val="none" w:sz="0" w:space="0" w:color="auto"/>
                    <w:left w:val="none" w:sz="0" w:space="0" w:color="auto"/>
                    <w:bottom w:val="none" w:sz="0" w:space="0" w:color="auto"/>
                    <w:right w:val="none" w:sz="0" w:space="0" w:color="auto"/>
                  </w:divBdr>
                  <w:divsChild>
                    <w:div w:id="1588422880">
                      <w:marLeft w:val="0"/>
                      <w:marRight w:val="0"/>
                      <w:marTop w:val="0"/>
                      <w:marBottom w:val="0"/>
                      <w:divBdr>
                        <w:top w:val="none" w:sz="0" w:space="0" w:color="auto"/>
                        <w:left w:val="none" w:sz="0" w:space="0" w:color="auto"/>
                        <w:bottom w:val="none" w:sz="0" w:space="0" w:color="auto"/>
                        <w:right w:val="none" w:sz="0" w:space="0" w:color="auto"/>
                      </w:divBdr>
                    </w:div>
                  </w:divsChild>
                </w:div>
                <w:div w:id="188760807">
                  <w:marLeft w:val="0"/>
                  <w:marRight w:val="0"/>
                  <w:marTop w:val="0"/>
                  <w:marBottom w:val="0"/>
                  <w:divBdr>
                    <w:top w:val="none" w:sz="0" w:space="0" w:color="auto"/>
                    <w:left w:val="none" w:sz="0" w:space="0" w:color="auto"/>
                    <w:bottom w:val="none" w:sz="0" w:space="0" w:color="auto"/>
                    <w:right w:val="none" w:sz="0" w:space="0" w:color="auto"/>
                  </w:divBdr>
                  <w:divsChild>
                    <w:div w:id="1680156531">
                      <w:marLeft w:val="0"/>
                      <w:marRight w:val="0"/>
                      <w:marTop w:val="0"/>
                      <w:marBottom w:val="0"/>
                      <w:divBdr>
                        <w:top w:val="none" w:sz="0" w:space="0" w:color="auto"/>
                        <w:left w:val="none" w:sz="0" w:space="0" w:color="auto"/>
                        <w:bottom w:val="none" w:sz="0" w:space="0" w:color="auto"/>
                        <w:right w:val="none" w:sz="0" w:space="0" w:color="auto"/>
                      </w:divBdr>
                    </w:div>
                  </w:divsChild>
                </w:div>
                <w:div w:id="265819640">
                  <w:marLeft w:val="0"/>
                  <w:marRight w:val="0"/>
                  <w:marTop w:val="0"/>
                  <w:marBottom w:val="0"/>
                  <w:divBdr>
                    <w:top w:val="none" w:sz="0" w:space="0" w:color="auto"/>
                    <w:left w:val="none" w:sz="0" w:space="0" w:color="auto"/>
                    <w:bottom w:val="none" w:sz="0" w:space="0" w:color="auto"/>
                    <w:right w:val="none" w:sz="0" w:space="0" w:color="auto"/>
                  </w:divBdr>
                  <w:divsChild>
                    <w:div w:id="2087805105">
                      <w:marLeft w:val="0"/>
                      <w:marRight w:val="0"/>
                      <w:marTop w:val="0"/>
                      <w:marBottom w:val="0"/>
                      <w:divBdr>
                        <w:top w:val="none" w:sz="0" w:space="0" w:color="auto"/>
                        <w:left w:val="none" w:sz="0" w:space="0" w:color="auto"/>
                        <w:bottom w:val="none" w:sz="0" w:space="0" w:color="auto"/>
                        <w:right w:val="none" w:sz="0" w:space="0" w:color="auto"/>
                      </w:divBdr>
                    </w:div>
                  </w:divsChild>
                </w:div>
                <w:div w:id="652300320">
                  <w:marLeft w:val="0"/>
                  <w:marRight w:val="0"/>
                  <w:marTop w:val="0"/>
                  <w:marBottom w:val="0"/>
                  <w:divBdr>
                    <w:top w:val="none" w:sz="0" w:space="0" w:color="auto"/>
                    <w:left w:val="none" w:sz="0" w:space="0" w:color="auto"/>
                    <w:bottom w:val="none" w:sz="0" w:space="0" w:color="auto"/>
                    <w:right w:val="none" w:sz="0" w:space="0" w:color="auto"/>
                  </w:divBdr>
                  <w:divsChild>
                    <w:div w:id="916399194">
                      <w:marLeft w:val="0"/>
                      <w:marRight w:val="0"/>
                      <w:marTop w:val="0"/>
                      <w:marBottom w:val="0"/>
                      <w:divBdr>
                        <w:top w:val="none" w:sz="0" w:space="0" w:color="auto"/>
                        <w:left w:val="none" w:sz="0" w:space="0" w:color="auto"/>
                        <w:bottom w:val="none" w:sz="0" w:space="0" w:color="auto"/>
                        <w:right w:val="none" w:sz="0" w:space="0" w:color="auto"/>
                      </w:divBdr>
                    </w:div>
                  </w:divsChild>
                </w:div>
                <w:div w:id="703821784">
                  <w:marLeft w:val="0"/>
                  <w:marRight w:val="0"/>
                  <w:marTop w:val="0"/>
                  <w:marBottom w:val="0"/>
                  <w:divBdr>
                    <w:top w:val="none" w:sz="0" w:space="0" w:color="auto"/>
                    <w:left w:val="none" w:sz="0" w:space="0" w:color="auto"/>
                    <w:bottom w:val="none" w:sz="0" w:space="0" w:color="auto"/>
                    <w:right w:val="none" w:sz="0" w:space="0" w:color="auto"/>
                  </w:divBdr>
                  <w:divsChild>
                    <w:div w:id="2104298551">
                      <w:marLeft w:val="0"/>
                      <w:marRight w:val="0"/>
                      <w:marTop w:val="0"/>
                      <w:marBottom w:val="0"/>
                      <w:divBdr>
                        <w:top w:val="none" w:sz="0" w:space="0" w:color="auto"/>
                        <w:left w:val="none" w:sz="0" w:space="0" w:color="auto"/>
                        <w:bottom w:val="none" w:sz="0" w:space="0" w:color="auto"/>
                        <w:right w:val="none" w:sz="0" w:space="0" w:color="auto"/>
                      </w:divBdr>
                    </w:div>
                  </w:divsChild>
                </w:div>
                <w:div w:id="1244489432">
                  <w:marLeft w:val="0"/>
                  <w:marRight w:val="0"/>
                  <w:marTop w:val="0"/>
                  <w:marBottom w:val="0"/>
                  <w:divBdr>
                    <w:top w:val="none" w:sz="0" w:space="0" w:color="auto"/>
                    <w:left w:val="none" w:sz="0" w:space="0" w:color="auto"/>
                    <w:bottom w:val="none" w:sz="0" w:space="0" w:color="auto"/>
                    <w:right w:val="none" w:sz="0" w:space="0" w:color="auto"/>
                  </w:divBdr>
                  <w:divsChild>
                    <w:div w:id="1140733447">
                      <w:marLeft w:val="0"/>
                      <w:marRight w:val="0"/>
                      <w:marTop w:val="0"/>
                      <w:marBottom w:val="0"/>
                      <w:divBdr>
                        <w:top w:val="none" w:sz="0" w:space="0" w:color="auto"/>
                        <w:left w:val="none" w:sz="0" w:space="0" w:color="auto"/>
                        <w:bottom w:val="none" w:sz="0" w:space="0" w:color="auto"/>
                        <w:right w:val="none" w:sz="0" w:space="0" w:color="auto"/>
                      </w:divBdr>
                    </w:div>
                  </w:divsChild>
                </w:div>
                <w:div w:id="1336689066">
                  <w:marLeft w:val="0"/>
                  <w:marRight w:val="0"/>
                  <w:marTop w:val="0"/>
                  <w:marBottom w:val="0"/>
                  <w:divBdr>
                    <w:top w:val="none" w:sz="0" w:space="0" w:color="auto"/>
                    <w:left w:val="none" w:sz="0" w:space="0" w:color="auto"/>
                    <w:bottom w:val="none" w:sz="0" w:space="0" w:color="auto"/>
                    <w:right w:val="none" w:sz="0" w:space="0" w:color="auto"/>
                  </w:divBdr>
                  <w:divsChild>
                    <w:div w:id="1758017275">
                      <w:marLeft w:val="0"/>
                      <w:marRight w:val="0"/>
                      <w:marTop w:val="0"/>
                      <w:marBottom w:val="0"/>
                      <w:divBdr>
                        <w:top w:val="none" w:sz="0" w:space="0" w:color="auto"/>
                        <w:left w:val="none" w:sz="0" w:space="0" w:color="auto"/>
                        <w:bottom w:val="none" w:sz="0" w:space="0" w:color="auto"/>
                        <w:right w:val="none" w:sz="0" w:space="0" w:color="auto"/>
                      </w:divBdr>
                    </w:div>
                  </w:divsChild>
                </w:div>
                <w:div w:id="1457530257">
                  <w:marLeft w:val="0"/>
                  <w:marRight w:val="0"/>
                  <w:marTop w:val="0"/>
                  <w:marBottom w:val="0"/>
                  <w:divBdr>
                    <w:top w:val="none" w:sz="0" w:space="0" w:color="auto"/>
                    <w:left w:val="none" w:sz="0" w:space="0" w:color="auto"/>
                    <w:bottom w:val="none" w:sz="0" w:space="0" w:color="auto"/>
                    <w:right w:val="none" w:sz="0" w:space="0" w:color="auto"/>
                  </w:divBdr>
                  <w:divsChild>
                    <w:div w:id="570622238">
                      <w:marLeft w:val="0"/>
                      <w:marRight w:val="0"/>
                      <w:marTop w:val="0"/>
                      <w:marBottom w:val="0"/>
                      <w:divBdr>
                        <w:top w:val="none" w:sz="0" w:space="0" w:color="auto"/>
                        <w:left w:val="none" w:sz="0" w:space="0" w:color="auto"/>
                        <w:bottom w:val="none" w:sz="0" w:space="0" w:color="auto"/>
                        <w:right w:val="none" w:sz="0" w:space="0" w:color="auto"/>
                      </w:divBdr>
                    </w:div>
                  </w:divsChild>
                </w:div>
                <w:div w:id="1644191423">
                  <w:marLeft w:val="0"/>
                  <w:marRight w:val="0"/>
                  <w:marTop w:val="0"/>
                  <w:marBottom w:val="0"/>
                  <w:divBdr>
                    <w:top w:val="none" w:sz="0" w:space="0" w:color="auto"/>
                    <w:left w:val="none" w:sz="0" w:space="0" w:color="auto"/>
                    <w:bottom w:val="none" w:sz="0" w:space="0" w:color="auto"/>
                    <w:right w:val="none" w:sz="0" w:space="0" w:color="auto"/>
                  </w:divBdr>
                  <w:divsChild>
                    <w:div w:id="1331133474">
                      <w:marLeft w:val="0"/>
                      <w:marRight w:val="0"/>
                      <w:marTop w:val="0"/>
                      <w:marBottom w:val="0"/>
                      <w:divBdr>
                        <w:top w:val="none" w:sz="0" w:space="0" w:color="auto"/>
                        <w:left w:val="none" w:sz="0" w:space="0" w:color="auto"/>
                        <w:bottom w:val="none" w:sz="0" w:space="0" w:color="auto"/>
                        <w:right w:val="none" w:sz="0" w:space="0" w:color="auto"/>
                      </w:divBdr>
                    </w:div>
                  </w:divsChild>
                </w:div>
                <w:div w:id="1662781495">
                  <w:marLeft w:val="0"/>
                  <w:marRight w:val="0"/>
                  <w:marTop w:val="0"/>
                  <w:marBottom w:val="0"/>
                  <w:divBdr>
                    <w:top w:val="none" w:sz="0" w:space="0" w:color="auto"/>
                    <w:left w:val="none" w:sz="0" w:space="0" w:color="auto"/>
                    <w:bottom w:val="none" w:sz="0" w:space="0" w:color="auto"/>
                    <w:right w:val="none" w:sz="0" w:space="0" w:color="auto"/>
                  </w:divBdr>
                  <w:divsChild>
                    <w:div w:id="2114398730">
                      <w:marLeft w:val="0"/>
                      <w:marRight w:val="0"/>
                      <w:marTop w:val="0"/>
                      <w:marBottom w:val="0"/>
                      <w:divBdr>
                        <w:top w:val="none" w:sz="0" w:space="0" w:color="auto"/>
                        <w:left w:val="none" w:sz="0" w:space="0" w:color="auto"/>
                        <w:bottom w:val="none" w:sz="0" w:space="0" w:color="auto"/>
                        <w:right w:val="none" w:sz="0" w:space="0" w:color="auto"/>
                      </w:divBdr>
                    </w:div>
                  </w:divsChild>
                </w:div>
                <w:div w:id="1917087765">
                  <w:marLeft w:val="0"/>
                  <w:marRight w:val="0"/>
                  <w:marTop w:val="0"/>
                  <w:marBottom w:val="0"/>
                  <w:divBdr>
                    <w:top w:val="none" w:sz="0" w:space="0" w:color="auto"/>
                    <w:left w:val="none" w:sz="0" w:space="0" w:color="auto"/>
                    <w:bottom w:val="none" w:sz="0" w:space="0" w:color="auto"/>
                    <w:right w:val="none" w:sz="0" w:space="0" w:color="auto"/>
                  </w:divBdr>
                  <w:divsChild>
                    <w:div w:id="999432147">
                      <w:marLeft w:val="0"/>
                      <w:marRight w:val="0"/>
                      <w:marTop w:val="0"/>
                      <w:marBottom w:val="0"/>
                      <w:divBdr>
                        <w:top w:val="none" w:sz="0" w:space="0" w:color="auto"/>
                        <w:left w:val="none" w:sz="0" w:space="0" w:color="auto"/>
                        <w:bottom w:val="none" w:sz="0" w:space="0" w:color="auto"/>
                        <w:right w:val="none" w:sz="0" w:space="0" w:color="auto"/>
                      </w:divBdr>
                    </w:div>
                  </w:divsChild>
                </w:div>
                <w:div w:id="1919050648">
                  <w:marLeft w:val="0"/>
                  <w:marRight w:val="0"/>
                  <w:marTop w:val="0"/>
                  <w:marBottom w:val="0"/>
                  <w:divBdr>
                    <w:top w:val="none" w:sz="0" w:space="0" w:color="auto"/>
                    <w:left w:val="none" w:sz="0" w:space="0" w:color="auto"/>
                    <w:bottom w:val="none" w:sz="0" w:space="0" w:color="auto"/>
                    <w:right w:val="none" w:sz="0" w:space="0" w:color="auto"/>
                  </w:divBdr>
                  <w:divsChild>
                    <w:div w:id="19577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8695">
          <w:marLeft w:val="0"/>
          <w:marRight w:val="0"/>
          <w:marTop w:val="0"/>
          <w:marBottom w:val="0"/>
          <w:divBdr>
            <w:top w:val="none" w:sz="0" w:space="0" w:color="auto"/>
            <w:left w:val="none" w:sz="0" w:space="0" w:color="auto"/>
            <w:bottom w:val="none" w:sz="0" w:space="0" w:color="auto"/>
            <w:right w:val="none" w:sz="0" w:space="0" w:color="auto"/>
          </w:divBdr>
        </w:div>
        <w:div w:id="931822340">
          <w:marLeft w:val="0"/>
          <w:marRight w:val="0"/>
          <w:marTop w:val="0"/>
          <w:marBottom w:val="0"/>
          <w:divBdr>
            <w:top w:val="none" w:sz="0" w:space="0" w:color="auto"/>
            <w:left w:val="none" w:sz="0" w:space="0" w:color="auto"/>
            <w:bottom w:val="none" w:sz="0" w:space="0" w:color="auto"/>
            <w:right w:val="none" w:sz="0" w:space="0" w:color="auto"/>
          </w:divBdr>
        </w:div>
      </w:divsChild>
    </w:div>
    <w:div w:id="472796959">
      <w:bodyDiv w:val="1"/>
      <w:marLeft w:val="0"/>
      <w:marRight w:val="0"/>
      <w:marTop w:val="0"/>
      <w:marBottom w:val="0"/>
      <w:divBdr>
        <w:top w:val="none" w:sz="0" w:space="0" w:color="auto"/>
        <w:left w:val="none" w:sz="0" w:space="0" w:color="auto"/>
        <w:bottom w:val="none" w:sz="0" w:space="0" w:color="auto"/>
        <w:right w:val="none" w:sz="0" w:space="0" w:color="auto"/>
      </w:divBdr>
    </w:div>
    <w:div w:id="509687436">
      <w:bodyDiv w:val="1"/>
      <w:marLeft w:val="0"/>
      <w:marRight w:val="0"/>
      <w:marTop w:val="0"/>
      <w:marBottom w:val="0"/>
      <w:divBdr>
        <w:top w:val="none" w:sz="0" w:space="0" w:color="auto"/>
        <w:left w:val="none" w:sz="0" w:space="0" w:color="auto"/>
        <w:bottom w:val="none" w:sz="0" w:space="0" w:color="auto"/>
        <w:right w:val="none" w:sz="0" w:space="0" w:color="auto"/>
      </w:divBdr>
      <w:divsChild>
        <w:div w:id="349188414">
          <w:marLeft w:val="0"/>
          <w:marRight w:val="0"/>
          <w:marTop w:val="0"/>
          <w:marBottom w:val="0"/>
          <w:divBdr>
            <w:top w:val="none" w:sz="0" w:space="0" w:color="auto"/>
            <w:left w:val="none" w:sz="0" w:space="0" w:color="auto"/>
            <w:bottom w:val="none" w:sz="0" w:space="0" w:color="auto"/>
            <w:right w:val="none" w:sz="0" w:space="0" w:color="auto"/>
          </w:divBdr>
          <w:divsChild>
            <w:div w:id="1261373297">
              <w:marLeft w:val="-75"/>
              <w:marRight w:val="0"/>
              <w:marTop w:val="30"/>
              <w:marBottom w:val="30"/>
              <w:divBdr>
                <w:top w:val="none" w:sz="0" w:space="0" w:color="auto"/>
                <w:left w:val="none" w:sz="0" w:space="0" w:color="auto"/>
                <w:bottom w:val="none" w:sz="0" w:space="0" w:color="auto"/>
                <w:right w:val="none" w:sz="0" w:space="0" w:color="auto"/>
              </w:divBdr>
              <w:divsChild>
                <w:div w:id="381246462">
                  <w:marLeft w:val="0"/>
                  <w:marRight w:val="0"/>
                  <w:marTop w:val="0"/>
                  <w:marBottom w:val="0"/>
                  <w:divBdr>
                    <w:top w:val="none" w:sz="0" w:space="0" w:color="auto"/>
                    <w:left w:val="none" w:sz="0" w:space="0" w:color="auto"/>
                    <w:bottom w:val="none" w:sz="0" w:space="0" w:color="auto"/>
                    <w:right w:val="none" w:sz="0" w:space="0" w:color="auto"/>
                  </w:divBdr>
                  <w:divsChild>
                    <w:div w:id="1106392402">
                      <w:marLeft w:val="0"/>
                      <w:marRight w:val="0"/>
                      <w:marTop w:val="0"/>
                      <w:marBottom w:val="0"/>
                      <w:divBdr>
                        <w:top w:val="none" w:sz="0" w:space="0" w:color="auto"/>
                        <w:left w:val="none" w:sz="0" w:space="0" w:color="auto"/>
                        <w:bottom w:val="none" w:sz="0" w:space="0" w:color="auto"/>
                        <w:right w:val="none" w:sz="0" w:space="0" w:color="auto"/>
                      </w:divBdr>
                    </w:div>
                  </w:divsChild>
                </w:div>
                <w:div w:id="519315185">
                  <w:marLeft w:val="0"/>
                  <w:marRight w:val="0"/>
                  <w:marTop w:val="0"/>
                  <w:marBottom w:val="0"/>
                  <w:divBdr>
                    <w:top w:val="none" w:sz="0" w:space="0" w:color="auto"/>
                    <w:left w:val="none" w:sz="0" w:space="0" w:color="auto"/>
                    <w:bottom w:val="none" w:sz="0" w:space="0" w:color="auto"/>
                    <w:right w:val="none" w:sz="0" w:space="0" w:color="auto"/>
                  </w:divBdr>
                  <w:divsChild>
                    <w:div w:id="409158184">
                      <w:marLeft w:val="0"/>
                      <w:marRight w:val="0"/>
                      <w:marTop w:val="0"/>
                      <w:marBottom w:val="0"/>
                      <w:divBdr>
                        <w:top w:val="none" w:sz="0" w:space="0" w:color="auto"/>
                        <w:left w:val="none" w:sz="0" w:space="0" w:color="auto"/>
                        <w:bottom w:val="none" w:sz="0" w:space="0" w:color="auto"/>
                        <w:right w:val="none" w:sz="0" w:space="0" w:color="auto"/>
                      </w:divBdr>
                    </w:div>
                  </w:divsChild>
                </w:div>
                <w:div w:id="685249044">
                  <w:marLeft w:val="0"/>
                  <w:marRight w:val="0"/>
                  <w:marTop w:val="0"/>
                  <w:marBottom w:val="0"/>
                  <w:divBdr>
                    <w:top w:val="none" w:sz="0" w:space="0" w:color="auto"/>
                    <w:left w:val="none" w:sz="0" w:space="0" w:color="auto"/>
                    <w:bottom w:val="none" w:sz="0" w:space="0" w:color="auto"/>
                    <w:right w:val="none" w:sz="0" w:space="0" w:color="auto"/>
                  </w:divBdr>
                  <w:divsChild>
                    <w:div w:id="4400568">
                      <w:marLeft w:val="0"/>
                      <w:marRight w:val="0"/>
                      <w:marTop w:val="0"/>
                      <w:marBottom w:val="0"/>
                      <w:divBdr>
                        <w:top w:val="none" w:sz="0" w:space="0" w:color="auto"/>
                        <w:left w:val="none" w:sz="0" w:space="0" w:color="auto"/>
                        <w:bottom w:val="none" w:sz="0" w:space="0" w:color="auto"/>
                        <w:right w:val="none" w:sz="0" w:space="0" w:color="auto"/>
                      </w:divBdr>
                    </w:div>
                  </w:divsChild>
                </w:div>
                <w:div w:id="736241425">
                  <w:marLeft w:val="0"/>
                  <w:marRight w:val="0"/>
                  <w:marTop w:val="0"/>
                  <w:marBottom w:val="0"/>
                  <w:divBdr>
                    <w:top w:val="none" w:sz="0" w:space="0" w:color="auto"/>
                    <w:left w:val="none" w:sz="0" w:space="0" w:color="auto"/>
                    <w:bottom w:val="none" w:sz="0" w:space="0" w:color="auto"/>
                    <w:right w:val="none" w:sz="0" w:space="0" w:color="auto"/>
                  </w:divBdr>
                  <w:divsChild>
                    <w:div w:id="525869396">
                      <w:marLeft w:val="0"/>
                      <w:marRight w:val="0"/>
                      <w:marTop w:val="0"/>
                      <w:marBottom w:val="0"/>
                      <w:divBdr>
                        <w:top w:val="none" w:sz="0" w:space="0" w:color="auto"/>
                        <w:left w:val="none" w:sz="0" w:space="0" w:color="auto"/>
                        <w:bottom w:val="none" w:sz="0" w:space="0" w:color="auto"/>
                        <w:right w:val="none" w:sz="0" w:space="0" w:color="auto"/>
                      </w:divBdr>
                    </w:div>
                  </w:divsChild>
                </w:div>
                <w:div w:id="916864426">
                  <w:marLeft w:val="0"/>
                  <w:marRight w:val="0"/>
                  <w:marTop w:val="0"/>
                  <w:marBottom w:val="0"/>
                  <w:divBdr>
                    <w:top w:val="none" w:sz="0" w:space="0" w:color="auto"/>
                    <w:left w:val="none" w:sz="0" w:space="0" w:color="auto"/>
                    <w:bottom w:val="none" w:sz="0" w:space="0" w:color="auto"/>
                    <w:right w:val="none" w:sz="0" w:space="0" w:color="auto"/>
                  </w:divBdr>
                  <w:divsChild>
                    <w:div w:id="148518844">
                      <w:marLeft w:val="0"/>
                      <w:marRight w:val="0"/>
                      <w:marTop w:val="0"/>
                      <w:marBottom w:val="0"/>
                      <w:divBdr>
                        <w:top w:val="none" w:sz="0" w:space="0" w:color="auto"/>
                        <w:left w:val="none" w:sz="0" w:space="0" w:color="auto"/>
                        <w:bottom w:val="none" w:sz="0" w:space="0" w:color="auto"/>
                        <w:right w:val="none" w:sz="0" w:space="0" w:color="auto"/>
                      </w:divBdr>
                    </w:div>
                  </w:divsChild>
                </w:div>
                <w:div w:id="949893634">
                  <w:marLeft w:val="0"/>
                  <w:marRight w:val="0"/>
                  <w:marTop w:val="0"/>
                  <w:marBottom w:val="0"/>
                  <w:divBdr>
                    <w:top w:val="none" w:sz="0" w:space="0" w:color="auto"/>
                    <w:left w:val="none" w:sz="0" w:space="0" w:color="auto"/>
                    <w:bottom w:val="none" w:sz="0" w:space="0" w:color="auto"/>
                    <w:right w:val="none" w:sz="0" w:space="0" w:color="auto"/>
                  </w:divBdr>
                  <w:divsChild>
                    <w:div w:id="1296251616">
                      <w:marLeft w:val="0"/>
                      <w:marRight w:val="0"/>
                      <w:marTop w:val="0"/>
                      <w:marBottom w:val="0"/>
                      <w:divBdr>
                        <w:top w:val="none" w:sz="0" w:space="0" w:color="auto"/>
                        <w:left w:val="none" w:sz="0" w:space="0" w:color="auto"/>
                        <w:bottom w:val="none" w:sz="0" w:space="0" w:color="auto"/>
                        <w:right w:val="none" w:sz="0" w:space="0" w:color="auto"/>
                      </w:divBdr>
                    </w:div>
                  </w:divsChild>
                </w:div>
                <w:div w:id="1303074118">
                  <w:marLeft w:val="0"/>
                  <w:marRight w:val="0"/>
                  <w:marTop w:val="0"/>
                  <w:marBottom w:val="0"/>
                  <w:divBdr>
                    <w:top w:val="none" w:sz="0" w:space="0" w:color="auto"/>
                    <w:left w:val="none" w:sz="0" w:space="0" w:color="auto"/>
                    <w:bottom w:val="none" w:sz="0" w:space="0" w:color="auto"/>
                    <w:right w:val="none" w:sz="0" w:space="0" w:color="auto"/>
                  </w:divBdr>
                  <w:divsChild>
                    <w:div w:id="430584490">
                      <w:marLeft w:val="0"/>
                      <w:marRight w:val="0"/>
                      <w:marTop w:val="0"/>
                      <w:marBottom w:val="0"/>
                      <w:divBdr>
                        <w:top w:val="none" w:sz="0" w:space="0" w:color="auto"/>
                        <w:left w:val="none" w:sz="0" w:space="0" w:color="auto"/>
                        <w:bottom w:val="none" w:sz="0" w:space="0" w:color="auto"/>
                        <w:right w:val="none" w:sz="0" w:space="0" w:color="auto"/>
                      </w:divBdr>
                    </w:div>
                  </w:divsChild>
                </w:div>
                <w:div w:id="1512917848">
                  <w:marLeft w:val="0"/>
                  <w:marRight w:val="0"/>
                  <w:marTop w:val="0"/>
                  <w:marBottom w:val="0"/>
                  <w:divBdr>
                    <w:top w:val="none" w:sz="0" w:space="0" w:color="auto"/>
                    <w:left w:val="none" w:sz="0" w:space="0" w:color="auto"/>
                    <w:bottom w:val="none" w:sz="0" w:space="0" w:color="auto"/>
                    <w:right w:val="none" w:sz="0" w:space="0" w:color="auto"/>
                  </w:divBdr>
                  <w:divsChild>
                    <w:div w:id="840773084">
                      <w:marLeft w:val="0"/>
                      <w:marRight w:val="0"/>
                      <w:marTop w:val="0"/>
                      <w:marBottom w:val="0"/>
                      <w:divBdr>
                        <w:top w:val="none" w:sz="0" w:space="0" w:color="auto"/>
                        <w:left w:val="none" w:sz="0" w:space="0" w:color="auto"/>
                        <w:bottom w:val="none" w:sz="0" w:space="0" w:color="auto"/>
                        <w:right w:val="none" w:sz="0" w:space="0" w:color="auto"/>
                      </w:divBdr>
                    </w:div>
                  </w:divsChild>
                </w:div>
                <w:div w:id="1515607711">
                  <w:marLeft w:val="0"/>
                  <w:marRight w:val="0"/>
                  <w:marTop w:val="0"/>
                  <w:marBottom w:val="0"/>
                  <w:divBdr>
                    <w:top w:val="none" w:sz="0" w:space="0" w:color="auto"/>
                    <w:left w:val="none" w:sz="0" w:space="0" w:color="auto"/>
                    <w:bottom w:val="none" w:sz="0" w:space="0" w:color="auto"/>
                    <w:right w:val="none" w:sz="0" w:space="0" w:color="auto"/>
                  </w:divBdr>
                  <w:divsChild>
                    <w:div w:id="1172259370">
                      <w:marLeft w:val="0"/>
                      <w:marRight w:val="0"/>
                      <w:marTop w:val="0"/>
                      <w:marBottom w:val="0"/>
                      <w:divBdr>
                        <w:top w:val="none" w:sz="0" w:space="0" w:color="auto"/>
                        <w:left w:val="none" w:sz="0" w:space="0" w:color="auto"/>
                        <w:bottom w:val="none" w:sz="0" w:space="0" w:color="auto"/>
                        <w:right w:val="none" w:sz="0" w:space="0" w:color="auto"/>
                      </w:divBdr>
                    </w:div>
                  </w:divsChild>
                </w:div>
                <w:div w:id="1532113150">
                  <w:marLeft w:val="0"/>
                  <w:marRight w:val="0"/>
                  <w:marTop w:val="0"/>
                  <w:marBottom w:val="0"/>
                  <w:divBdr>
                    <w:top w:val="none" w:sz="0" w:space="0" w:color="auto"/>
                    <w:left w:val="none" w:sz="0" w:space="0" w:color="auto"/>
                    <w:bottom w:val="none" w:sz="0" w:space="0" w:color="auto"/>
                    <w:right w:val="none" w:sz="0" w:space="0" w:color="auto"/>
                  </w:divBdr>
                  <w:divsChild>
                    <w:div w:id="951477197">
                      <w:marLeft w:val="0"/>
                      <w:marRight w:val="0"/>
                      <w:marTop w:val="0"/>
                      <w:marBottom w:val="0"/>
                      <w:divBdr>
                        <w:top w:val="none" w:sz="0" w:space="0" w:color="auto"/>
                        <w:left w:val="none" w:sz="0" w:space="0" w:color="auto"/>
                        <w:bottom w:val="none" w:sz="0" w:space="0" w:color="auto"/>
                        <w:right w:val="none" w:sz="0" w:space="0" w:color="auto"/>
                      </w:divBdr>
                    </w:div>
                  </w:divsChild>
                </w:div>
                <w:div w:id="2039044568">
                  <w:marLeft w:val="0"/>
                  <w:marRight w:val="0"/>
                  <w:marTop w:val="0"/>
                  <w:marBottom w:val="0"/>
                  <w:divBdr>
                    <w:top w:val="none" w:sz="0" w:space="0" w:color="auto"/>
                    <w:left w:val="none" w:sz="0" w:space="0" w:color="auto"/>
                    <w:bottom w:val="none" w:sz="0" w:space="0" w:color="auto"/>
                    <w:right w:val="none" w:sz="0" w:space="0" w:color="auto"/>
                  </w:divBdr>
                  <w:divsChild>
                    <w:div w:id="1076166712">
                      <w:marLeft w:val="0"/>
                      <w:marRight w:val="0"/>
                      <w:marTop w:val="0"/>
                      <w:marBottom w:val="0"/>
                      <w:divBdr>
                        <w:top w:val="none" w:sz="0" w:space="0" w:color="auto"/>
                        <w:left w:val="none" w:sz="0" w:space="0" w:color="auto"/>
                        <w:bottom w:val="none" w:sz="0" w:space="0" w:color="auto"/>
                        <w:right w:val="none" w:sz="0" w:space="0" w:color="auto"/>
                      </w:divBdr>
                    </w:div>
                  </w:divsChild>
                </w:div>
                <w:div w:id="2056614168">
                  <w:marLeft w:val="0"/>
                  <w:marRight w:val="0"/>
                  <w:marTop w:val="0"/>
                  <w:marBottom w:val="0"/>
                  <w:divBdr>
                    <w:top w:val="none" w:sz="0" w:space="0" w:color="auto"/>
                    <w:left w:val="none" w:sz="0" w:space="0" w:color="auto"/>
                    <w:bottom w:val="none" w:sz="0" w:space="0" w:color="auto"/>
                    <w:right w:val="none" w:sz="0" w:space="0" w:color="auto"/>
                  </w:divBdr>
                  <w:divsChild>
                    <w:div w:id="16457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90943">
          <w:marLeft w:val="0"/>
          <w:marRight w:val="0"/>
          <w:marTop w:val="0"/>
          <w:marBottom w:val="0"/>
          <w:divBdr>
            <w:top w:val="none" w:sz="0" w:space="0" w:color="auto"/>
            <w:left w:val="none" w:sz="0" w:space="0" w:color="auto"/>
            <w:bottom w:val="none" w:sz="0" w:space="0" w:color="auto"/>
            <w:right w:val="none" w:sz="0" w:space="0" w:color="auto"/>
          </w:divBdr>
        </w:div>
        <w:div w:id="1481196100">
          <w:marLeft w:val="0"/>
          <w:marRight w:val="0"/>
          <w:marTop w:val="0"/>
          <w:marBottom w:val="0"/>
          <w:divBdr>
            <w:top w:val="none" w:sz="0" w:space="0" w:color="auto"/>
            <w:left w:val="none" w:sz="0" w:space="0" w:color="auto"/>
            <w:bottom w:val="none" w:sz="0" w:space="0" w:color="auto"/>
            <w:right w:val="none" w:sz="0" w:space="0" w:color="auto"/>
          </w:divBdr>
        </w:div>
      </w:divsChild>
    </w:div>
    <w:div w:id="535002305">
      <w:bodyDiv w:val="1"/>
      <w:marLeft w:val="0"/>
      <w:marRight w:val="0"/>
      <w:marTop w:val="0"/>
      <w:marBottom w:val="0"/>
      <w:divBdr>
        <w:top w:val="none" w:sz="0" w:space="0" w:color="auto"/>
        <w:left w:val="none" w:sz="0" w:space="0" w:color="auto"/>
        <w:bottom w:val="none" w:sz="0" w:space="0" w:color="auto"/>
        <w:right w:val="none" w:sz="0" w:space="0" w:color="auto"/>
      </w:divBdr>
    </w:div>
    <w:div w:id="662659257">
      <w:bodyDiv w:val="1"/>
      <w:marLeft w:val="0"/>
      <w:marRight w:val="0"/>
      <w:marTop w:val="0"/>
      <w:marBottom w:val="0"/>
      <w:divBdr>
        <w:top w:val="none" w:sz="0" w:space="0" w:color="auto"/>
        <w:left w:val="none" w:sz="0" w:space="0" w:color="auto"/>
        <w:bottom w:val="none" w:sz="0" w:space="0" w:color="auto"/>
        <w:right w:val="none" w:sz="0" w:space="0" w:color="auto"/>
      </w:divBdr>
      <w:divsChild>
        <w:div w:id="891382172">
          <w:marLeft w:val="0"/>
          <w:marRight w:val="0"/>
          <w:marTop w:val="0"/>
          <w:marBottom w:val="0"/>
          <w:divBdr>
            <w:top w:val="none" w:sz="0" w:space="0" w:color="auto"/>
            <w:left w:val="none" w:sz="0" w:space="0" w:color="auto"/>
            <w:bottom w:val="none" w:sz="0" w:space="0" w:color="auto"/>
            <w:right w:val="none" w:sz="0" w:space="0" w:color="auto"/>
          </w:divBdr>
          <w:divsChild>
            <w:div w:id="1763991467">
              <w:marLeft w:val="-75"/>
              <w:marRight w:val="0"/>
              <w:marTop w:val="30"/>
              <w:marBottom w:val="30"/>
              <w:divBdr>
                <w:top w:val="none" w:sz="0" w:space="0" w:color="auto"/>
                <w:left w:val="none" w:sz="0" w:space="0" w:color="auto"/>
                <w:bottom w:val="none" w:sz="0" w:space="0" w:color="auto"/>
                <w:right w:val="none" w:sz="0" w:space="0" w:color="auto"/>
              </w:divBdr>
              <w:divsChild>
                <w:div w:id="344131957">
                  <w:marLeft w:val="0"/>
                  <w:marRight w:val="0"/>
                  <w:marTop w:val="0"/>
                  <w:marBottom w:val="0"/>
                  <w:divBdr>
                    <w:top w:val="none" w:sz="0" w:space="0" w:color="auto"/>
                    <w:left w:val="none" w:sz="0" w:space="0" w:color="auto"/>
                    <w:bottom w:val="none" w:sz="0" w:space="0" w:color="auto"/>
                    <w:right w:val="none" w:sz="0" w:space="0" w:color="auto"/>
                  </w:divBdr>
                  <w:divsChild>
                    <w:div w:id="1856725656">
                      <w:marLeft w:val="0"/>
                      <w:marRight w:val="0"/>
                      <w:marTop w:val="0"/>
                      <w:marBottom w:val="0"/>
                      <w:divBdr>
                        <w:top w:val="none" w:sz="0" w:space="0" w:color="auto"/>
                        <w:left w:val="none" w:sz="0" w:space="0" w:color="auto"/>
                        <w:bottom w:val="none" w:sz="0" w:space="0" w:color="auto"/>
                        <w:right w:val="none" w:sz="0" w:space="0" w:color="auto"/>
                      </w:divBdr>
                    </w:div>
                  </w:divsChild>
                </w:div>
                <w:div w:id="354382059">
                  <w:marLeft w:val="0"/>
                  <w:marRight w:val="0"/>
                  <w:marTop w:val="0"/>
                  <w:marBottom w:val="0"/>
                  <w:divBdr>
                    <w:top w:val="none" w:sz="0" w:space="0" w:color="auto"/>
                    <w:left w:val="none" w:sz="0" w:space="0" w:color="auto"/>
                    <w:bottom w:val="none" w:sz="0" w:space="0" w:color="auto"/>
                    <w:right w:val="none" w:sz="0" w:space="0" w:color="auto"/>
                  </w:divBdr>
                  <w:divsChild>
                    <w:div w:id="1437602998">
                      <w:marLeft w:val="0"/>
                      <w:marRight w:val="0"/>
                      <w:marTop w:val="0"/>
                      <w:marBottom w:val="0"/>
                      <w:divBdr>
                        <w:top w:val="none" w:sz="0" w:space="0" w:color="auto"/>
                        <w:left w:val="none" w:sz="0" w:space="0" w:color="auto"/>
                        <w:bottom w:val="none" w:sz="0" w:space="0" w:color="auto"/>
                        <w:right w:val="none" w:sz="0" w:space="0" w:color="auto"/>
                      </w:divBdr>
                    </w:div>
                  </w:divsChild>
                </w:div>
                <w:div w:id="645595744">
                  <w:marLeft w:val="0"/>
                  <w:marRight w:val="0"/>
                  <w:marTop w:val="0"/>
                  <w:marBottom w:val="0"/>
                  <w:divBdr>
                    <w:top w:val="none" w:sz="0" w:space="0" w:color="auto"/>
                    <w:left w:val="none" w:sz="0" w:space="0" w:color="auto"/>
                    <w:bottom w:val="none" w:sz="0" w:space="0" w:color="auto"/>
                    <w:right w:val="none" w:sz="0" w:space="0" w:color="auto"/>
                  </w:divBdr>
                  <w:divsChild>
                    <w:div w:id="1232354880">
                      <w:marLeft w:val="0"/>
                      <w:marRight w:val="0"/>
                      <w:marTop w:val="0"/>
                      <w:marBottom w:val="0"/>
                      <w:divBdr>
                        <w:top w:val="none" w:sz="0" w:space="0" w:color="auto"/>
                        <w:left w:val="none" w:sz="0" w:space="0" w:color="auto"/>
                        <w:bottom w:val="none" w:sz="0" w:space="0" w:color="auto"/>
                        <w:right w:val="none" w:sz="0" w:space="0" w:color="auto"/>
                      </w:divBdr>
                    </w:div>
                  </w:divsChild>
                </w:div>
                <w:div w:id="1220050328">
                  <w:marLeft w:val="0"/>
                  <w:marRight w:val="0"/>
                  <w:marTop w:val="0"/>
                  <w:marBottom w:val="0"/>
                  <w:divBdr>
                    <w:top w:val="none" w:sz="0" w:space="0" w:color="auto"/>
                    <w:left w:val="none" w:sz="0" w:space="0" w:color="auto"/>
                    <w:bottom w:val="none" w:sz="0" w:space="0" w:color="auto"/>
                    <w:right w:val="none" w:sz="0" w:space="0" w:color="auto"/>
                  </w:divBdr>
                  <w:divsChild>
                    <w:div w:id="1862281167">
                      <w:marLeft w:val="0"/>
                      <w:marRight w:val="0"/>
                      <w:marTop w:val="0"/>
                      <w:marBottom w:val="0"/>
                      <w:divBdr>
                        <w:top w:val="none" w:sz="0" w:space="0" w:color="auto"/>
                        <w:left w:val="none" w:sz="0" w:space="0" w:color="auto"/>
                        <w:bottom w:val="none" w:sz="0" w:space="0" w:color="auto"/>
                        <w:right w:val="none" w:sz="0" w:space="0" w:color="auto"/>
                      </w:divBdr>
                    </w:div>
                  </w:divsChild>
                </w:div>
                <w:div w:id="1579099155">
                  <w:marLeft w:val="0"/>
                  <w:marRight w:val="0"/>
                  <w:marTop w:val="0"/>
                  <w:marBottom w:val="0"/>
                  <w:divBdr>
                    <w:top w:val="none" w:sz="0" w:space="0" w:color="auto"/>
                    <w:left w:val="none" w:sz="0" w:space="0" w:color="auto"/>
                    <w:bottom w:val="none" w:sz="0" w:space="0" w:color="auto"/>
                    <w:right w:val="none" w:sz="0" w:space="0" w:color="auto"/>
                  </w:divBdr>
                  <w:divsChild>
                    <w:div w:id="152919406">
                      <w:marLeft w:val="0"/>
                      <w:marRight w:val="0"/>
                      <w:marTop w:val="0"/>
                      <w:marBottom w:val="0"/>
                      <w:divBdr>
                        <w:top w:val="none" w:sz="0" w:space="0" w:color="auto"/>
                        <w:left w:val="none" w:sz="0" w:space="0" w:color="auto"/>
                        <w:bottom w:val="none" w:sz="0" w:space="0" w:color="auto"/>
                        <w:right w:val="none" w:sz="0" w:space="0" w:color="auto"/>
                      </w:divBdr>
                    </w:div>
                  </w:divsChild>
                </w:div>
                <w:div w:id="1605457054">
                  <w:marLeft w:val="0"/>
                  <w:marRight w:val="0"/>
                  <w:marTop w:val="0"/>
                  <w:marBottom w:val="0"/>
                  <w:divBdr>
                    <w:top w:val="none" w:sz="0" w:space="0" w:color="auto"/>
                    <w:left w:val="none" w:sz="0" w:space="0" w:color="auto"/>
                    <w:bottom w:val="none" w:sz="0" w:space="0" w:color="auto"/>
                    <w:right w:val="none" w:sz="0" w:space="0" w:color="auto"/>
                  </w:divBdr>
                  <w:divsChild>
                    <w:div w:id="73559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93779">
          <w:marLeft w:val="0"/>
          <w:marRight w:val="0"/>
          <w:marTop w:val="0"/>
          <w:marBottom w:val="0"/>
          <w:divBdr>
            <w:top w:val="none" w:sz="0" w:space="0" w:color="auto"/>
            <w:left w:val="none" w:sz="0" w:space="0" w:color="auto"/>
            <w:bottom w:val="none" w:sz="0" w:space="0" w:color="auto"/>
            <w:right w:val="none" w:sz="0" w:space="0" w:color="auto"/>
          </w:divBdr>
        </w:div>
      </w:divsChild>
    </w:div>
    <w:div w:id="703870558">
      <w:bodyDiv w:val="1"/>
      <w:marLeft w:val="0"/>
      <w:marRight w:val="0"/>
      <w:marTop w:val="0"/>
      <w:marBottom w:val="0"/>
      <w:divBdr>
        <w:top w:val="none" w:sz="0" w:space="0" w:color="auto"/>
        <w:left w:val="none" w:sz="0" w:space="0" w:color="auto"/>
        <w:bottom w:val="none" w:sz="0" w:space="0" w:color="auto"/>
        <w:right w:val="none" w:sz="0" w:space="0" w:color="auto"/>
      </w:divBdr>
    </w:div>
    <w:div w:id="821237428">
      <w:bodyDiv w:val="1"/>
      <w:marLeft w:val="0"/>
      <w:marRight w:val="0"/>
      <w:marTop w:val="0"/>
      <w:marBottom w:val="0"/>
      <w:divBdr>
        <w:top w:val="none" w:sz="0" w:space="0" w:color="auto"/>
        <w:left w:val="none" w:sz="0" w:space="0" w:color="auto"/>
        <w:bottom w:val="none" w:sz="0" w:space="0" w:color="auto"/>
        <w:right w:val="none" w:sz="0" w:space="0" w:color="auto"/>
      </w:divBdr>
    </w:div>
    <w:div w:id="949896071">
      <w:bodyDiv w:val="1"/>
      <w:marLeft w:val="0"/>
      <w:marRight w:val="0"/>
      <w:marTop w:val="0"/>
      <w:marBottom w:val="0"/>
      <w:divBdr>
        <w:top w:val="none" w:sz="0" w:space="0" w:color="auto"/>
        <w:left w:val="none" w:sz="0" w:space="0" w:color="auto"/>
        <w:bottom w:val="none" w:sz="0" w:space="0" w:color="auto"/>
        <w:right w:val="none" w:sz="0" w:space="0" w:color="auto"/>
      </w:divBdr>
    </w:div>
    <w:div w:id="973290498">
      <w:bodyDiv w:val="1"/>
      <w:marLeft w:val="0"/>
      <w:marRight w:val="0"/>
      <w:marTop w:val="0"/>
      <w:marBottom w:val="0"/>
      <w:divBdr>
        <w:top w:val="none" w:sz="0" w:space="0" w:color="auto"/>
        <w:left w:val="none" w:sz="0" w:space="0" w:color="auto"/>
        <w:bottom w:val="none" w:sz="0" w:space="0" w:color="auto"/>
        <w:right w:val="none" w:sz="0" w:space="0" w:color="auto"/>
      </w:divBdr>
      <w:divsChild>
        <w:div w:id="556935840">
          <w:marLeft w:val="0"/>
          <w:marRight w:val="0"/>
          <w:marTop w:val="0"/>
          <w:marBottom w:val="0"/>
          <w:divBdr>
            <w:top w:val="none" w:sz="0" w:space="0" w:color="auto"/>
            <w:left w:val="none" w:sz="0" w:space="0" w:color="auto"/>
            <w:bottom w:val="none" w:sz="0" w:space="0" w:color="auto"/>
            <w:right w:val="none" w:sz="0" w:space="0" w:color="auto"/>
          </w:divBdr>
        </w:div>
        <w:div w:id="630981798">
          <w:marLeft w:val="0"/>
          <w:marRight w:val="0"/>
          <w:marTop w:val="0"/>
          <w:marBottom w:val="0"/>
          <w:divBdr>
            <w:top w:val="none" w:sz="0" w:space="0" w:color="auto"/>
            <w:left w:val="none" w:sz="0" w:space="0" w:color="auto"/>
            <w:bottom w:val="none" w:sz="0" w:space="0" w:color="auto"/>
            <w:right w:val="none" w:sz="0" w:space="0" w:color="auto"/>
          </w:divBdr>
        </w:div>
        <w:div w:id="1229535585">
          <w:marLeft w:val="0"/>
          <w:marRight w:val="0"/>
          <w:marTop w:val="0"/>
          <w:marBottom w:val="0"/>
          <w:divBdr>
            <w:top w:val="none" w:sz="0" w:space="0" w:color="auto"/>
            <w:left w:val="none" w:sz="0" w:space="0" w:color="auto"/>
            <w:bottom w:val="none" w:sz="0" w:space="0" w:color="auto"/>
            <w:right w:val="none" w:sz="0" w:space="0" w:color="auto"/>
          </w:divBdr>
        </w:div>
        <w:div w:id="1352103288">
          <w:marLeft w:val="0"/>
          <w:marRight w:val="0"/>
          <w:marTop w:val="0"/>
          <w:marBottom w:val="0"/>
          <w:divBdr>
            <w:top w:val="none" w:sz="0" w:space="0" w:color="auto"/>
            <w:left w:val="none" w:sz="0" w:space="0" w:color="auto"/>
            <w:bottom w:val="none" w:sz="0" w:space="0" w:color="auto"/>
            <w:right w:val="none" w:sz="0" w:space="0" w:color="auto"/>
          </w:divBdr>
        </w:div>
        <w:div w:id="1408069971">
          <w:marLeft w:val="0"/>
          <w:marRight w:val="0"/>
          <w:marTop w:val="0"/>
          <w:marBottom w:val="0"/>
          <w:divBdr>
            <w:top w:val="none" w:sz="0" w:space="0" w:color="auto"/>
            <w:left w:val="none" w:sz="0" w:space="0" w:color="auto"/>
            <w:bottom w:val="none" w:sz="0" w:space="0" w:color="auto"/>
            <w:right w:val="none" w:sz="0" w:space="0" w:color="auto"/>
          </w:divBdr>
        </w:div>
        <w:div w:id="1446341877">
          <w:marLeft w:val="0"/>
          <w:marRight w:val="0"/>
          <w:marTop w:val="0"/>
          <w:marBottom w:val="0"/>
          <w:divBdr>
            <w:top w:val="none" w:sz="0" w:space="0" w:color="auto"/>
            <w:left w:val="none" w:sz="0" w:space="0" w:color="auto"/>
            <w:bottom w:val="none" w:sz="0" w:space="0" w:color="auto"/>
            <w:right w:val="none" w:sz="0" w:space="0" w:color="auto"/>
          </w:divBdr>
        </w:div>
        <w:div w:id="2061130680">
          <w:marLeft w:val="0"/>
          <w:marRight w:val="0"/>
          <w:marTop w:val="0"/>
          <w:marBottom w:val="0"/>
          <w:divBdr>
            <w:top w:val="none" w:sz="0" w:space="0" w:color="auto"/>
            <w:left w:val="none" w:sz="0" w:space="0" w:color="auto"/>
            <w:bottom w:val="none" w:sz="0" w:space="0" w:color="auto"/>
            <w:right w:val="none" w:sz="0" w:space="0" w:color="auto"/>
          </w:divBdr>
        </w:div>
      </w:divsChild>
    </w:div>
    <w:div w:id="973829286">
      <w:bodyDiv w:val="1"/>
      <w:marLeft w:val="0"/>
      <w:marRight w:val="0"/>
      <w:marTop w:val="0"/>
      <w:marBottom w:val="0"/>
      <w:divBdr>
        <w:top w:val="none" w:sz="0" w:space="0" w:color="auto"/>
        <w:left w:val="none" w:sz="0" w:space="0" w:color="auto"/>
        <w:bottom w:val="none" w:sz="0" w:space="0" w:color="auto"/>
        <w:right w:val="none" w:sz="0" w:space="0" w:color="auto"/>
      </w:divBdr>
    </w:div>
    <w:div w:id="1038895962">
      <w:bodyDiv w:val="1"/>
      <w:marLeft w:val="0"/>
      <w:marRight w:val="0"/>
      <w:marTop w:val="0"/>
      <w:marBottom w:val="0"/>
      <w:divBdr>
        <w:top w:val="none" w:sz="0" w:space="0" w:color="auto"/>
        <w:left w:val="none" w:sz="0" w:space="0" w:color="auto"/>
        <w:bottom w:val="none" w:sz="0" w:space="0" w:color="auto"/>
        <w:right w:val="none" w:sz="0" w:space="0" w:color="auto"/>
      </w:divBdr>
    </w:div>
    <w:div w:id="1056900864">
      <w:bodyDiv w:val="1"/>
      <w:marLeft w:val="0"/>
      <w:marRight w:val="0"/>
      <w:marTop w:val="0"/>
      <w:marBottom w:val="0"/>
      <w:divBdr>
        <w:top w:val="none" w:sz="0" w:space="0" w:color="auto"/>
        <w:left w:val="none" w:sz="0" w:space="0" w:color="auto"/>
        <w:bottom w:val="none" w:sz="0" w:space="0" w:color="auto"/>
        <w:right w:val="none" w:sz="0" w:space="0" w:color="auto"/>
      </w:divBdr>
    </w:div>
    <w:div w:id="1074815551">
      <w:bodyDiv w:val="1"/>
      <w:marLeft w:val="0"/>
      <w:marRight w:val="0"/>
      <w:marTop w:val="0"/>
      <w:marBottom w:val="0"/>
      <w:divBdr>
        <w:top w:val="none" w:sz="0" w:space="0" w:color="auto"/>
        <w:left w:val="none" w:sz="0" w:space="0" w:color="auto"/>
        <w:bottom w:val="none" w:sz="0" w:space="0" w:color="auto"/>
        <w:right w:val="none" w:sz="0" w:space="0" w:color="auto"/>
      </w:divBdr>
    </w:div>
    <w:div w:id="1132097344">
      <w:bodyDiv w:val="1"/>
      <w:marLeft w:val="0"/>
      <w:marRight w:val="0"/>
      <w:marTop w:val="0"/>
      <w:marBottom w:val="0"/>
      <w:divBdr>
        <w:top w:val="none" w:sz="0" w:space="0" w:color="auto"/>
        <w:left w:val="none" w:sz="0" w:space="0" w:color="auto"/>
        <w:bottom w:val="none" w:sz="0" w:space="0" w:color="auto"/>
        <w:right w:val="none" w:sz="0" w:space="0" w:color="auto"/>
      </w:divBdr>
      <w:divsChild>
        <w:div w:id="79642540">
          <w:marLeft w:val="0"/>
          <w:marRight w:val="0"/>
          <w:marTop w:val="0"/>
          <w:marBottom w:val="0"/>
          <w:divBdr>
            <w:top w:val="none" w:sz="0" w:space="0" w:color="auto"/>
            <w:left w:val="none" w:sz="0" w:space="0" w:color="auto"/>
            <w:bottom w:val="none" w:sz="0" w:space="0" w:color="auto"/>
            <w:right w:val="none" w:sz="0" w:space="0" w:color="auto"/>
          </w:divBdr>
          <w:divsChild>
            <w:div w:id="496384494">
              <w:marLeft w:val="0"/>
              <w:marRight w:val="0"/>
              <w:marTop w:val="0"/>
              <w:marBottom w:val="0"/>
              <w:divBdr>
                <w:top w:val="none" w:sz="0" w:space="0" w:color="auto"/>
                <w:left w:val="none" w:sz="0" w:space="0" w:color="auto"/>
                <w:bottom w:val="none" w:sz="0" w:space="0" w:color="auto"/>
                <w:right w:val="none" w:sz="0" w:space="0" w:color="auto"/>
              </w:divBdr>
            </w:div>
            <w:div w:id="959729602">
              <w:marLeft w:val="0"/>
              <w:marRight w:val="0"/>
              <w:marTop w:val="0"/>
              <w:marBottom w:val="0"/>
              <w:divBdr>
                <w:top w:val="none" w:sz="0" w:space="0" w:color="auto"/>
                <w:left w:val="none" w:sz="0" w:space="0" w:color="auto"/>
                <w:bottom w:val="none" w:sz="0" w:space="0" w:color="auto"/>
                <w:right w:val="none" w:sz="0" w:space="0" w:color="auto"/>
              </w:divBdr>
            </w:div>
            <w:div w:id="1503205085">
              <w:marLeft w:val="0"/>
              <w:marRight w:val="0"/>
              <w:marTop w:val="0"/>
              <w:marBottom w:val="0"/>
              <w:divBdr>
                <w:top w:val="none" w:sz="0" w:space="0" w:color="auto"/>
                <w:left w:val="none" w:sz="0" w:space="0" w:color="auto"/>
                <w:bottom w:val="none" w:sz="0" w:space="0" w:color="auto"/>
                <w:right w:val="none" w:sz="0" w:space="0" w:color="auto"/>
              </w:divBdr>
            </w:div>
          </w:divsChild>
        </w:div>
        <w:div w:id="558244819">
          <w:marLeft w:val="0"/>
          <w:marRight w:val="0"/>
          <w:marTop w:val="0"/>
          <w:marBottom w:val="0"/>
          <w:divBdr>
            <w:top w:val="none" w:sz="0" w:space="0" w:color="auto"/>
            <w:left w:val="none" w:sz="0" w:space="0" w:color="auto"/>
            <w:bottom w:val="none" w:sz="0" w:space="0" w:color="auto"/>
            <w:right w:val="none" w:sz="0" w:space="0" w:color="auto"/>
          </w:divBdr>
          <w:divsChild>
            <w:div w:id="1002665674">
              <w:marLeft w:val="0"/>
              <w:marRight w:val="0"/>
              <w:marTop w:val="0"/>
              <w:marBottom w:val="0"/>
              <w:divBdr>
                <w:top w:val="none" w:sz="0" w:space="0" w:color="auto"/>
                <w:left w:val="none" w:sz="0" w:space="0" w:color="auto"/>
                <w:bottom w:val="none" w:sz="0" w:space="0" w:color="auto"/>
                <w:right w:val="none" w:sz="0" w:space="0" w:color="auto"/>
              </w:divBdr>
            </w:div>
            <w:div w:id="1062754586">
              <w:marLeft w:val="0"/>
              <w:marRight w:val="0"/>
              <w:marTop w:val="0"/>
              <w:marBottom w:val="0"/>
              <w:divBdr>
                <w:top w:val="none" w:sz="0" w:space="0" w:color="auto"/>
                <w:left w:val="none" w:sz="0" w:space="0" w:color="auto"/>
                <w:bottom w:val="none" w:sz="0" w:space="0" w:color="auto"/>
                <w:right w:val="none" w:sz="0" w:space="0" w:color="auto"/>
              </w:divBdr>
            </w:div>
            <w:div w:id="1285036919">
              <w:marLeft w:val="0"/>
              <w:marRight w:val="0"/>
              <w:marTop w:val="0"/>
              <w:marBottom w:val="0"/>
              <w:divBdr>
                <w:top w:val="none" w:sz="0" w:space="0" w:color="auto"/>
                <w:left w:val="none" w:sz="0" w:space="0" w:color="auto"/>
                <w:bottom w:val="none" w:sz="0" w:space="0" w:color="auto"/>
                <w:right w:val="none" w:sz="0" w:space="0" w:color="auto"/>
              </w:divBdr>
            </w:div>
          </w:divsChild>
        </w:div>
        <w:div w:id="590503550">
          <w:marLeft w:val="0"/>
          <w:marRight w:val="0"/>
          <w:marTop w:val="0"/>
          <w:marBottom w:val="0"/>
          <w:divBdr>
            <w:top w:val="none" w:sz="0" w:space="0" w:color="auto"/>
            <w:left w:val="none" w:sz="0" w:space="0" w:color="auto"/>
            <w:bottom w:val="none" w:sz="0" w:space="0" w:color="auto"/>
            <w:right w:val="none" w:sz="0" w:space="0" w:color="auto"/>
          </w:divBdr>
          <w:divsChild>
            <w:div w:id="1639339354">
              <w:marLeft w:val="0"/>
              <w:marRight w:val="0"/>
              <w:marTop w:val="0"/>
              <w:marBottom w:val="0"/>
              <w:divBdr>
                <w:top w:val="none" w:sz="0" w:space="0" w:color="auto"/>
                <w:left w:val="none" w:sz="0" w:space="0" w:color="auto"/>
                <w:bottom w:val="none" w:sz="0" w:space="0" w:color="auto"/>
                <w:right w:val="none" w:sz="0" w:space="0" w:color="auto"/>
              </w:divBdr>
            </w:div>
            <w:div w:id="1953970678">
              <w:marLeft w:val="0"/>
              <w:marRight w:val="0"/>
              <w:marTop w:val="0"/>
              <w:marBottom w:val="0"/>
              <w:divBdr>
                <w:top w:val="none" w:sz="0" w:space="0" w:color="auto"/>
                <w:left w:val="none" w:sz="0" w:space="0" w:color="auto"/>
                <w:bottom w:val="none" w:sz="0" w:space="0" w:color="auto"/>
                <w:right w:val="none" w:sz="0" w:space="0" w:color="auto"/>
              </w:divBdr>
            </w:div>
          </w:divsChild>
        </w:div>
        <w:div w:id="661157411">
          <w:marLeft w:val="0"/>
          <w:marRight w:val="0"/>
          <w:marTop w:val="0"/>
          <w:marBottom w:val="0"/>
          <w:divBdr>
            <w:top w:val="none" w:sz="0" w:space="0" w:color="auto"/>
            <w:left w:val="none" w:sz="0" w:space="0" w:color="auto"/>
            <w:bottom w:val="none" w:sz="0" w:space="0" w:color="auto"/>
            <w:right w:val="none" w:sz="0" w:space="0" w:color="auto"/>
          </w:divBdr>
          <w:divsChild>
            <w:div w:id="121923522">
              <w:marLeft w:val="0"/>
              <w:marRight w:val="0"/>
              <w:marTop w:val="0"/>
              <w:marBottom w:val="0"/>
              <w:divBdr>
                <w:top w:val="none" w:sz="0" w:space="0" w:color="auto"/>
                <w:left w:val="none" w:sz="0" w:space="0" w:color="auto"/>
                <w:bottom w:val="none" w:sz="0" w:space="0" w:color="auto"/>
                <w:right w:val="none" w:sz="0" w:space="0" w:color="auto"/>
              </w:divBdr>
            </w:div>
          </w:divsChild>
        </w:div>
        <w:div w:id="671490303">
          <w:marLeft w:val="0"/>
          <w:marRight w:val="0"/>
          <w:marTop w:val="0"/>
          <w:marBottom w:val="0"/>
          <w:divBdr>
            <w:top w:val="none" w:sz="0" w:space="0" w:color="auto"/>
            <w:left w:val="none" w:sz="0" w:space="0" w:color="auto"/>
            <w:bottom w:val="none" w:sz="0" w:space="0" w:color="auto"/>
            <w:right w:val="none" w:sz="0" w:space="0" w:color="auto"/>
          </w:divBdr>
          <w:divsChild>
            <w:div w:id="25763783">
              <w:marLeft w:val="0"/>
              <w:marRight w:val="0"/>
              <w:marTop w:val="0"/>
              <w:marBottom w:val="0"/>
              <w:divBdr>
                <w:top w:val="none" w:sz="0" w:space="0" w:color="auto"/>
                <w:left w:val="none" w:sz="0" w:space="0" w:color="auto"/>
                <w:bottom w:val="none" w:sz="0" w:space="0" w:color="auto"/>
                <w:right w:val="none" w:sz="0" w:space="0" w:color="auto"/>
              </w:divBdr>
            </w:div>
          </w:divsChild>
        </w:div>
        <w:div w:id="941690022">
          <w:marLeft w:val="0"/>
          <w:marRight w:val="0"/>
          <w:marTop w:val="0"/>
          <w:marBottom w:val="0"/>
          <w:divBdr>
            <w:top w:val="none" w:sz="0" w:space="0" w:color="auto"/>
            <w:left w:val="none" w:sz="0" w:space="0" w:color="auto"/>
            <w:bottom w:val="none" w:sz="0" w:space="0" w:color="auto"/>
            <w:right w:val="none" w:sz="0" w:space="0" w:color="auto"/>
          </w:divBdr>
          <w:divsChild>
            <w:div w:id="691497376">
              <w:marLeft w:val="0"/>
              <w:marRight w:val="0"/>
              <w:marTop w:val="0"/>
              <w:marBottom w:val="0"/>
              <w:divBdr>
                <w:top w:val="none" w:sz="0" w:space="0" w:color="auto"/>
                <w:left w:val="none" w:sz="0" w:space="0" w:color="auto"/>
                <w:bottom w:val="none" w:sz="0" w:space="0" w:color="auto"/>
                <w:right w:val="none" w:sz="0" w:space="0" w:color="auto"/>
              </w:divBdr>
            </w:div>
            <w:div w:id="1071462675">
              <w:marLeft w:val="0"/>
              <w:marRight w:val="0"/>
              <w:marTop w:val="0"/>
              <w:marBottom w:val="0"/>
              <w:divBdr>
                <w:top w:val="none" w:sz="0" w:space="0" w:color="auto"/>
                <w:left w:val="none" w:sz="0" w:space="0" w:color="auto"/>
                <w:bottom w:val="none" w:sz="0" w:space="0" w:color="auto"/>
                <w:right w:val="none" w:sz="0" w:space="0" w:color="auto"/>
              </w:divBdr>
            </w:div>
          </w:divsChild>
        </w:div>
        <w:div w:id="1064645009">
          <w:marLeft w:val="0"/>
          <w:marRight w:val="0"/>
          <w:marTop w:val="0"/>
          <w:marBottom w:val="0"/>
          <w:divBdr>
            <w:top w:val="none" w:sz="0" w:space="0" w:color="auto"/>
            <w:left w:val="none" w:sz="0" w:space="0" w:color="auto"/>
            <w:bottom w:val="none" w:sz="0" w:space="0" w:color="auto"/>
            <w:right w:val="none" w:sz="0" w:space="0" w:color="auto"/>
          </w:divBdr>
          <w:divsChild>
            <w:div w:id="1198662600">
              <w:marLeft w:val="0"/>
              <w:marRight w:val="0"/>
              <w:marTop w:val="0"/>
              <w:marBottom w:val="0"/>
              <w:divBdr>
                <w:top w:val="none" w:sz="0" w:space="0" w:color="auto"/>
                <w:left w:val="none" w:sz="0" w:space="0" w:color="auto"/>
                <w:bottom w:val="none" w:sz="0" w:space="0" w:color="auto"/>
                <w:right w:val="none" w:sz="0" w:space="0" w:color="auto"/>
              </w:divBdr>
            </w:div>
          </w:divsChild>
        </w:div>
        <w:div w:id="1403412690">
          <w:marLeft w:val="0"/>
          <w:marRight w:val="0"/>
          <w:marTop w:val="0"/>
          <w:marBottom w:val="0"/>
          <w:divBdr>
            <w:top w:val="none" w:sz="0" w:space="0" w:color="auto"/>
            <w:left w:val="none" w:sz="0" w:space="0" w:color="auto"/>
            <w:bottom w:val="none" w:sz="0" w:space="0" w:color="auto"/>
            <w:right w:val="none" w:sz="0" w:space="0" w:color="auto"/>
          </w:divBdr>
          <w:divsChild>
            <w:div w:id="1410616768">
              <w:marLeft w:val="0"/>
              <w:marRight w:val="0"/>
              <w:marTop w:val="0"/>
              <w:marBottom w:val="0"/>
              <w:divBdr>
                <w:top w:val="none" w:sz="0" w:space="0" w:color="auto"/>
                <w:left w:val="none" w:sz="0" w:space="0" w:color="auto"/>
                <w:bottom w:val="none" w:sz="0" w:space="0" w:color="auto"/>
                <w:right w:val="none" w:sz="0" w:space="0" w:color="auto"/>
              </w:divBdr>
            </w:div>
          </w:divsChild>
        </w:div>
        <w:div w:id="1416395501">
          <w:marLeft w:val="0"/>
          <w:marRight w:val="0"/>
          <w:marTop w:val="0"/>
          <w:marBottom w:val="0"/>
          <w:divBdr>
            <w:top w:val="none" w:sz="0" w:space="0" w:color="auto"/>
            <w:left w:val="none" w:sz="0" w:space="0" w:color="auto"/>
            <w:bottom w:val="none" w:sz="0" w:space="0" w:color="auto"/>
            <w:right w:val="none" w:sz="0" w:space="0" w:color="auto"/>
          </w:divBdr>
          <w:divsChild>
            <w:div w:id="1693384800">
              <w:marLeft w:val="0"/>
              <w:marRight w:val="0"/>
              <w:marTop w:val="0"/>
              <w:marBottom w:val="0"/>
              <w:divBdr>
                <w:top w:val="none" w:sz="0" w:space="0" w:color="auto"/>
                <w:left w:val="none" w:sz="0" w:space="0" w:color="auto"/>
                <w:bottom w:val="none" w:sz="0" w:space="0" w:color="auto"/>
                <w:right w:val="none" w:sz="0" w:space="0" w:color="auto"/>
              </w:divBdr>
            </w:div>
            <w:div w:id="1940946425">
              <w:marLeft w:val="0"/>
              <w:marRight w:val="0"/>
              <w:marTop w:val="0"/>
              <w:marBottom w:val="0"/>
              <w:divBdr>
                <w:top w:val="none" w:sz="0" w:space="0" w:color="auto"/>
                <w:left w:val="none" w:sz="0" w:space="0" w:color="auto"/>
                <w:bottom w:val="none" w:sz="0" w:space="0" w:color="auto"/>
                <w:right w:val="none" w:sz="0" w:space="0" w:color="auto"/>
              </w:divBdr>
            </w:div>
          </w:divsChild>
        </w:div>
        <w:div w:id="1428962282">
          <w:marLeft w:val="0"/>
          <w:marRight w:val="0"/>
          <w:marTop w:val="0"/>
          <w:marBottom w:val="0"/>
          <w:divBdr>
            <w:top w:val="none" w:sz="0" w:space="0" w:color="auto"/>
            <w:left w:val="none" w:sz="0" w:space="0" w:color="auto"/>
            <w:bottom w:val="none" w:sz="0" w:space="0" w:color="auto"/>
            <w:right w:val="none" w:sz="0" w:space="0" w:color="auto"/>
          </w:divBdr>
          <w:divsChild>
            <w:div w:id="102581754">
              <w:marLeft w:val="0"/>
              <w:marRight w:val="0"/>
              <w:marTop w:val="0"/>
              <w:marBottom w:val="0"/>
              <w:divBdr>
                <w:top w:val="none" w:sz="0" w:space="0" w:color="auto"/>
                <w:left w:val="none" w:sz="0" w:space="0" w:color="auto"/>
                <w:bottom w:val="none" w:sz="0" w:space="0" w:color="auto"/>
                <w:right w:val="none" w:sz="0" w:space="0" w:color="auto"/>
              </w:divBdr>
            </w:div>
            <w:div w:id="711223502">
              <w:marLeft w:val="0"/>
              <w:marRight w:val="0"/>
              <w:marTop w:val="0"/>
              <w:marBottom w:val="0"/>
              <w:divBdr>
                <w:top w:val="none" w:sz="0" w:space="0" w:color="auto"/>
                <w:left w:val="none" w:sz="0" w:space="0" w:color="auto"/>
                <w:bottom w:val="none" w:sz="0" w:space="0" w:color="auto"/>
                <w:right w:val="none" w:sz="0" w:space="0" w:color="auto"/>
              </w:divBdr>
            </w:div>
          </w:divsChild>
        </w:div>
        <w:div w:id="1531530554">
          <w:marLeft w:val="0"/>
          <w:marRight w:val="0"/>
          <w:marTop w:val="0"/>
          <w:marBottom w:val="0"/>
          <w:divBdr>
            <w:top w:val="none" w:sz="0" w:space="0" w:color="auto"/>
            <w:left w:val="none" w:sz="0" w:space="0" w:color="auto"/>
            <w:bottom w:val="none" w:sz="0" w:space="0" w:color="auto"/>
            <w:right w:val="none" w:sz="0" w:space="0" w:color="auto"/>
          </w:divBdr>
          <w:divsChild>
            <w:div w:id="746615130">
              <w:marLeft w:val="0"/>
              <w:marRight w:val="0"/>
              <w:marTop w:val="0"/>
              <w:marBottom w:val="0"/>
              <w:divBdr>
                <w:top w:val="none" w:sz="0" w:space="0" w:color="auto"/>
                <w:left w:val="none" w:sz="0" w:space="0" w:color="auto"/>
                <w:bottom w:val="none" w:sz="0" w:space="0" w:color="auto"/>
                <w:right w:val="none" w:sz="0" w:space="0" w:color="auto"/>
              </w:divBdr>
            </w:div>
            <w:div w:id="1065756850">
              <w:marLeft w:val="0"/>
              <w:marRight w:val="0"/>
              <w:marTop w:val="0"/>
              <w:marBottom w:val="0"/>
              <w:divBdr>
                <w:top w:val="none" w:sz="0" w:space="0" w:color="auto"/>
                <w:left w:val="none" w:sz="0" w:space="0" w:color="auto"/>
                <w:bottom w:val="none" w:sz="0" w:space="0" w:color="auto"/>
                <w:right w:val="none" w:sz="0" w:space="0" w:color="auto"/>
              </w:divBdr>
            </w:div>
          </w:divsChild>
        </w:div>
        <w:div w:id="2117434176">
          <w:marLeft w:val="0"/>
          <w:marRight w:val="0"/>
          <w:marTop w:val="0"/>
          <w:marBottom w:val="0"/>
          <w:divBdr>
            <w:top w:val="none" w:sz="0" w:space="0" w:color="auto"/>
            <w:left w:val="none" w:sz="0" w:space="0" w:color="auto"/>
            <w:bottom w:val="none" w:sz="0" w:space="0" w:color="auto"/>
            <w:right w:val="none" w:sz="0" w:space="0" w:color="auto"/>
          </w:divBdr>
          <w:divsChild>
            <w:div w:id="817841393">
              <w:marLeft w:val="0"/>
              <w:marRight w:val="0"/>
              <w:marTop w:val="0"/>
              <w:marBottom w:val="0"/>
              <w:divBdr>
                <w:top w:val="none" w:sz="0" w:space="0" w:color="auto"/>
                <w:left w:val="none" w:sz="0" w:space="0" w:color="auto"/>
                <w:bottom w:val="none" w:sz="0" w:space="0" w:color="auto"/>
                <w:right w:val="none" w:sz="0" w:space="0" w:color="auto"/>
              </w:divBdr>
            </w:div>
            <w:div w:id="20121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58569">
      <w:bodyDiv w:val="1"/>
      <w:marLeft w:val="0"/>
      <w:marRight w:val="0"/>
      <w:marTop w:val="0"/>
      <w:marBottom w:val="0"/>
      <w:divBdr>
        <w:top w:val="none" w:sz="0" w:space="0" w:color="auto"/>
        <w:left w:val="none" w:sz="0" w:space="0" w:color="auto"/>
        <w:bottom w:val="none" w:sz="0" w:space="0" w:color="auto"/>
        <w:right w:val="none" w:sz="0" w:space="0" w:color="auto"/>
      </w:divBdr>
    </w:div>
    <w:div w:id="1218008951">
      <w:bodyDiv w:val="1"/>
      <w:marLeft w:val="0"/>
      <w:marRight w:val="0"/>
      <w:marTop w:val="0"/>
      <w:marBottom w:val="0"/>
      <w:divBdr>
        <w:top w:val="none" w:sz="0" w:space="0" w:color="auto"/>
        <w:left w:val="none" w:sz="0" w:space="0" w:color="auto"/>
        <w:bottom w:val="none" w:sz="0" w:space="0" w:color="auto"/>
        <w:right w:val="none" w:sz="0" w:space="0" w:color="auto"/>
      </w:divBdr>
    </w:div>
    <w:div w:id="1314994176">
      <w:bodyDiv w:val="1"/>
      <w:marLeft w:val="0"/>
      <w:marRight w:val="0"/>
      <w:marTop w:val="0"/>
      <w:marBottom w:val="0"/>
      <w:divBdr>
        <w:top w:val="none" w:sz="0" w:space="0" w:color="auto"/>
        <w:left w:val="none" w:sz="0" w:space="0" w:color="auto"/>
        <w:bottom w:val="none" w:sz="0" w:space="0" w:color="auto"/>
        <w:right w:val="none" w:sz="0" w:space="0" w:color="auto"/>
      </w:divBdr>
      <w:divsChild>
        <w:div w:id="203711068">
          <w:marLeft w:val="0"/>
          <w:marRight w:val="0"/>
          <w:marTop w:val="0"/>
          <w:marBottom w:val="0"/>
          <w:divBdr>
            <w:top w:val="none" w:sz="0" w:space="0" w:color="auto"/>
            <w:left w:val="none" w:sz="0" w:space="0" w:color="auto"/>
            <w:bottom w:val="none" w:sz="0" w:space="0" w:color="auto"/>
            <w:right w:val="none" w:sz="0" w:space="0" w:color="auto"/>
          </w:divBdr>
          <w:divsChild>
            <w:div w:id="142241322">
              <w:marLeft w:val="0"/>
              <w:marRight w:val="0"/>
              <w:marTop w:val="0"/>
              <w:marBottom w:val="0"/>
              <w:divBdr>
                <w:top w:val="none" w:sz="0" w:space="0" w:color="auto"/>
                <w:left w:val="none" w:sz="0" w:space="0" w:color="auto"/>
                <w:bottom w:val="none" w:sz="0" w:space="0" w:color="auto"/>
                <w:right w:val="none" w:sz="0" w:space="0" w:color="auto"/>
              </w:divBdr>
            </w:div>
            <w:div w:id="1911883837">
              <w:marLeft w:val="0"/>
              <w:marRight w:val="0"/>
              <w:marTop w:val="0"/>
              <w:marBottom w:val="0"/>
              <w:divBdr>
                <w:top w:val="none" w:sz="0" w:space="0" w:color="auto"/>
                <w:left w:val="none" w:sz="0" w:space="0" w:color="auto"/>
                <w:bottom w:val="none" w:sz="0" w:space="0" w:color="auto"/>
                <w:right w:val="none" w:sz="0" w:space="0" w:color="auto"/>
              </w:divBdr>
            </w:div>
          </w:divsChild>
        </w:div>
        <w:div w:id="372929851">
          <w:marLeft w:val="0"/>
          <w:marRight w:val="0"/>
          <w:marTop w:val="0"/>
          <w:marBottom w:val="0"/>
          <w:divBdr>
            <w:top w:val="none" w:sz="0" w:space="0" w:color="auto"/>
            <w:left w:val="none" w:sz="0" w:space="0" w:color="auto"/>
            <w:bottom w:val="none" w:sz="0" w:space="0" w:color="auto"/>
            <w:right w:val="none" w:sz="0" w:space="0" w:color="auto"/>
          </w:divBdr>
          <w:divsChild>
            <w:div w:id="528489058">
              <w:marLeft w:val="0"/>
              <w:marRight w:val="0"/>
              <w:marTop w:val="0"/>
              <w:marBottom w:val="0"/>
              <w:divBdr>
                <w:top w:val="none" w:sz="0" w:space="0" w:color="auto"/>
                <w:left w:val="none" w:sz="0" w:space="0" w:color="auto"/>
                <w:bottom w:val="none" w:sz="0" w:space="0" w:color="auto"/>
                <w:right w:val="none" w:sz="0" w:space="0" w:color="auto"/>
              </w:divBdr>
            </w:div>
            <w:div w:id="871306409">
              <w:marLeft w:val="0"/>
              <w:marRight w:val="0"/>
              <w:marTop w:val="0"/>
              <w:marBottom w:val="0"/>
              <w:divBdr>
                <w:top w:val="none" w:sz="0" w:space="0" w:color="auto"/>
                <w:left w:val="none" w:sz="0" w:space="0" w:color="auto"/>
                <w:bottom w:val="none" w:sz="0" w:space="0" w:color="auto"/>
                <w:right w:val="none" w:sz="0" w:space="0" w:color="auto"/>
              </w:divBdr>
            </w:div>
          </w:divsChild>
        </w:div>
        <w:div w:id="525288314">
          <w:marLeft w:val="0"/>
          <w:marRight w:val="0"/>
          <w:marTop w:val="0"/>
          <w:marBottom w:val="0"/>
          <w:divBdr>
            <w:top w:val="none" w:sz="0" w:space="0" w:color="auto"/>
            <w:left w:val="none" w:sz="0" w:space="0" w:color="auto"/>
            <w:bottom w:val="none" w:sz="0" w:space="0" w:color="auto"/>
            <w:right w:val="none" w:sz="0" w:space="0" w:color="auto"/>
          </w:divBdr>
          <w:divsChild>
            <w:div w:id="281378177">
              <w:marLeft w:val="0"/>
              <w:marRight w:val="0"/>
              <w:marTop w:val="0"/>
              <w:marBottom w:val="0"/>
              <w:divBdr>
                <w:top w:val="none" w:sz="0" w:space="0" w:color="auto"/>
                <w:left w:val="none" w:sz="0" w:space="0" w:color="auto"/>
                <w:bottom w:val="none" w:sz="0" w:space="0" w:color="auto"/>
                <w:right w:val="none" w:sz="0" w:space="0" w:color="auto"/>
              </w:divBdr>
            </w:div>
            <w:div w:id="1811169849">
              <w:marLeft w:val="0"/>
              <w:marRight w:val="0"/>
              <w:marTop w:val="0"/>
              <w:marBottom w:val="0"/>
              <w:divBdr>
                <w:top w:val="none" w:sz="0" w:space="0" w:color="auto"/>
                <w:left w:val="none" w:sz="0" w:space="0" w:color="auto"/>
                <w:bottom w:val="none" w:sz="0" w:space="0" w:color="auto"/>
                <w:right w:val="none" w:sz="0" w:space="0" w:color="auto"/>
              </w:divBdr>
            </w:div>
          </w:divsChild>
        </w:div>
        <w:div w:id="526413477">
          <w:marLeft w:val="0"/>
          <w:marRight w:val="0"/>
          <w:marTop w:val="0"/>
          <w:marBottom w:val="0"/>
          <w:divBdr>
            <w:top w:val="none" w:sz="0" w:space="0" w:color="auto"/>
            <w:left w:val="none" w:sz="0" w:space="0" w:color="auto"/>
            <w:bottom w:val="none" w:sz="0" w:space="0" w:color="auto"/>
            <w:right w:val="none" w:sz="0" w:space="0" w:color="auto"/>
          </w:divBdr>
          <w:divsChild>
            <w:div w:id="283312297">
              <w:marLeft w:val="0"/>
              <w:marRight w:val="0"/>
              <w:marTop w:val="0"/>
              <w:marBottom w:val="0"/>
              <w:divBdr>
                <w:top w:val="none" w:sz="0" w:space="0" w:color="auto"/>
                <w:left w:val="none" w:sz="0" w:space="0" w:color="auto"/>
                <w:bottom w:val="none" w:sz="0" w:space="0" w:color="auto"/>
                <w:right w:val="none" w:sz="0" w:space="0" w:color="auto"/>
              </w:divBdr>
            </w:div>
            <w:div w:id="690187319">
              <w:marLeft w:val="0"/>
              <w:marRight w:val="0"/>
              <w:marTop w:val="0"/>
              <w:marBottom w:val="0"/>
              <w:divBdr>
                <w:top w:val="none" w:sz="0" w:space="0" w:color="auto"/>
                <w:left w:val="none" w:sz="0" w:space="0" w:color="auto"/>
                <w:bottom w:val="none" w:sz="0" w:space="0" w:color="auto"/>
                <w:right w:val="none" w:sz="0" w:space="0" w:color="auto"/>
              </w:divBdr>
            </w:div>
            <w:div w:id="1370062224">
              <w:marLeft w:val="0"/>
              <w:marRight w:val="0"/>
              <w:marTop w:val="0"/>
              <w:marBottom w:val="0"/>
              <w:divBdr>
                <w:top w:val="none" w:sz="0" w:space="0" w:color="auto"/>
                <w:left w:val="none" w:sz="0" w:space="0" w:color="auto"/>
                <w:bottom w:val="none" w:sz="0" w:space="0" w:color="auto"/>
                <w:right w:val="none" w:sz="0" w:space="0" w:color="auto"/>
              </w:divBdr>
            </w:div>
          </w:divsChild>
        </w:div>
        <w:div w:id="688290505">
          <w:marLeft w:val="0"/>
          <w:marRight w:val="0"/>
          <w:marTop w:val="0"/>
          <w:marBottom w:val="0"/>
          <w:divBdr>
            <w:top w:val="none" w:sz="0" w:space="0" w:color="auto"/>
            <w:left w:val="none" w:sz="0" w:space="0" w:color="auto"/>
            <w:bottom w:val="none" w:sz="0" w:space="0" w:color="auto"/>
            <w:right w:val="none" w:sz="0" w:space="0" w:color="auto"/>
          </w:divBdr>
          <w:divsChild>
            <w:div w:id="903881621">
              <w:marLeft w:val="0"/>
              <w:marRight w:val="0"/>
              <w:marTop w:val="0"/>
              <w:marBottom w:val="0"/>
              <w:divBdr>
                <w:top w:val="none" w:sz="0" w:space="0" w:color="auto"/>
                <w:left w:val="none" w:sz="0" w:space="0" w:color="auto"/>
                <w:bottom w:val="none" w:sz="0" w:space="0" w:color="auto"/>
                <w:right w:val="none" w:sz="0" w:space="0" w:color="auto"/>
              </w:divBdr>
            </w:div>
          </w:divsChild>
        </w:div>
        <w:div w:id="845023084">
          <w:marLeft w:val="0"/>
          <w:marRight w:val="0"/>
          <w:marTop w:val="0"/>
          <w:marBottom w:val="0"/>
          <w:divBdr>
            <w:top w:val="none" w:sz="0" w:space="0" w:color="auto"/>
            <w:left w:val="none" w:sz="0" w:space="0" w:color="auto"/>
            <w:bottom w:val="none" w:sz="0" w:space="0" w:color="auto"/>
            <w:right w:val="none" w:sz="0" w:space="0" w:color="auto"/>
          </w:divBdr>
          <w:divsChild>
            <w:div w:id="1559047636">
              <w:marLeft w:val="0"/>
              <w:marRight w:val="0"/>
              <w:marTop w:val="0"/>
              <w:marBottom w:val="0"/>
              <w:divBdr>
                <w:top w:val="none" w:sz="0" w:space="0" w:color="auto"/>
                <w:left w:val="none" w:sz="0" w:space="0" w:color="auto"/>
                <w:bottom w:val="none" w:sz="0" w:space="0" w:color="auto"/>
                <w:right w:val="none" w:sz="0" w:space="0" w:color="auto"/>
              </w:divBdr>
            </w:div>
            <w:div w:id="1661077076">
              <w:marLeft w:val="0"/>
              <w:marRight w:val="0"/>
              <w:marTop w:val="0"/>
              <w:marBottom w:val="0"/>
              <w:divBdr>
                <w:top w:val="none" w:sz="0" w:space="0" w:color="auto"/>
                <w:left w:val="none" w:sz="0" w:space="0" w:color="auto"/>
                <w:bottom w:val="none" w:sz="0" w:space="0" w:color="auto"/>
                <w:right w:val="none" w:sz="0" w:space="0" w:color="auto"/>
              </w:divBdr>
            </w:div>
          </w:divsChild>
        </w:div>
        <w:div w:id="1208103709">
          <w:marLeft w:val="0"/>
          <w:marRight w:val="0"/>
          <w:marTop w:val="0"/>
          <w:marBottom w:val="0"/>
          <w:divBdr>
            <w:top w:val="none" w:sz="0" w:space="0" w:color="auto"/>
            <w:left w:val="none" w:sz="0" w:space="0" w:color="auto"/>
            <w:bottom w:val="none" w:sz="0" w:space="0" w:color="auto"/>
            <w:right w:val="none" w:sz="0" w:space="0" w:color="auto"/>
          </w:divBdr>
          <w:divsChild>
            <w:div w:id="227302575">
              <w:marLeft w:val="0"/>
              <w:marRight w:val="0"/>
              <w:marTop w:val="0"/>
              <w:marBottom w:val="0"/>
              <w:divBdr>
                <w:top w:val="none" w:sz="0" w:space="0" w:color="auto"/>
                <w:left w:val="none" w:sz="0" w:space="0" w:color="auto"/>
                <w:bottom w:val="none" w:sz="0" w:space="0" w:color="auto"/>
                <w:right w:val="none" w:sz="0" w:space="0" w:color="auto"/>
              </w:divBdr>
            </w:div>
          </w:divsChild>
        </w:div>
        <w:div w:id="1387607612">
          <w:marLeft w:val="0"/>
          <w:marRight w:val="0"/>
          <w:marTop w:val="0"/>
          <w:marBottom w:val="0"/>
          <w:divBdr>
            <w:top w:val="none" w:sz="0" w:space="0" w:color="auto"/>
            <w:left w:val="none" w:sz="0" w:space="0" w:color="auto"/>
            <w:bottom w:val="none" w:sz="0" w:space="0" w:color="auto"/>
            <w:right w:val="none" w:sz="0" w:space="0" w:color="auto"/>
          </w:divBdr>
          <w:divsChild>
            <w:div w:id="253365577">
              <w:marLeft w:val="0"/>
              <w:marRight w:val="0"/>
              <w:marTop w:val="0"/>
              <w:marBottom w:val="0"/>
              <w:divBdr>
                <w:top w:val="none" w:sz="0" w:space="0" w:color="auto"/>
                <w:left w:val="none" w:sz="0" w:space="0" w:color="auto"/>
                <w:bottom w:val="none" w:sz="0" w:space="0" w:color="auto"/>
                <w:right w:val="none" w:sz="0" w:space="0" w:color="auto"/>
              </w:divBdr>
            </w:div>
            <w:div w:id="1178497274">
              <w:marLeft w:val="0"/>
              <w:marRight w:val="0"/>
              <w:marTop w:val="0"/>
              <w:marBottom w:val="0"/>
              <w:divBdr>
                <w:top w:val="none" w:sz="0" w:space="0" w:color="auto"/>
                <w:left w:val="none" w:sz="0" w:space="0" w:color="auto"/>
                <w:bottom w:val="none" w:sz="0" w:space="0" w:color="auto"/>
                <w:right w:val="none" w:sz="0" w:space="0" w:color="auto"/>
              </w:divBdr>
            </w:div>
          </w:divsChild>
        </w:div>
        <w:div w:id="1558930853">
          <w:marLeft w:val="0"/>
          <w:marRight w:val="0"/>
          <w:marTop w:val="0"/>
          <w:marBottom w:val="0"/>
          <w:divBdr>
            <w:top w:val="none" w:sz="0" w:space="0" w:color="auto"/>
            <w:left w:val="none" w:sz="0" w:space="0" w:color="auto"/>
            <w:bottom w:val="none" w:sz="0" w:space="0" w:color="auto"/>
            <w:right w:val="none" w:sz="0" w:space="0" w:color="auto"/>
          </w:divBdr>
          <w:divsChild>
            <w:div w:id="2067487299">
              <w:marLeft w:val="0"/>
              <w:marRight w:val="0"/>
              <w:marTop w:val="0"/>
              <w:marBottom w:val="0"/>
              <w:divBdr>
                <w:top w:val="none" w:sz="0" w:space="0" w:color="auto"/>
                <w:left w:val="none" w:sz="0" w:space="0" w:color="auto"/>
                <w:bottom w:val="none" w:sz="0" w:space="0" w:color="auto"/>
                <w:right w:val="none" w:sz="0" w:space="0" w:color="auto"/>
              </w:divBdr>
            </w:div>
          </w:divsChild>
        </w:div>
        <w:div w:id="1734543243">
          <w:marLeft w:val="0"/>
          <w:marRight w:val="0"/>
          <w:marTop w:val="0"/>
          <w:marBottom w:val="0"/>
          <w:divBdr>
            <w:top w:val="none" w:sz="0" w:space="0" w:color="auto"/>
            <w:left w:val="none" w:sz="0" w:space="0" w:color="auto"/>
            <w:bottom w:val="none" w:sz="0" w:space="0" w:color="auto"/>
            <w:right w:val="none" w:sz="0" w:space="0" w:color="auto"/>
          </w:divBdr>
          <w:divsChild>
            <w:div w:id="1262227583">
              <w:marLeft w:val="0"/>
              <w:marRight w:val="0"/>
              <w:marTop w:val="0"/>
              <w:marBottom w:val="0"/>
              <w:divBdr>
                <w:top w:val="none" w:sz="0" w:space="0" w:color="auto"/>
                <w:left w:val="none" w:sz="0" w:space="0" w:color="auto"/>
                <w:bottom w:val="none" w:sz="0" w:space="0" w:color="auto"/>
                <w:right w:val="none" w:sz="0" w:space="0" w:color="auto"/>
              </w:divBdr>
            </w:div>
          </w:divsChild>
        </w:div>
        <w:div w:id="1994529267">
          <w:marLeft w:val="0"/>
          <w:marRight w:val="0"/>
          <w:marTop w:val="0"/>
          <w:marBottom w:val="0"/>
          <w:divBdr>
            <w:top w:val="none" w:sz="0" w:space="0" w:color="auto"/>
            <w:left w:val="none" w:sz="0" w:space="0" w:color="auto"/>
            <w:bottom w:val="none" w:sz="0" w:space="0" w:color="auto"/>
            <w:right w:val="none" w:sz="0" w:space="0" w:color="auto"/>
          </w:divBdr>
          <w:divsChild>
            <w:div w:id="381055954">
              <w:marLeft w:val="0"/>
              <w:marRight w:val="0"/>
              <w:marTop w:val="0"/>
              <w:marBottom w:val="0"/>
              <w:divBdr>
                <w:top w:val="none" w:sz="0" w:space="0" w:color="auto"/>
                <w:left w:val="none" w:sz="0" w:space="0" w:color="auto"/>
                <w:bottom w:val="none" w:sz="0" w:space="0" w:color="auto"/>
                <w:right w:val="none" w:sz="0" w:space="0" w:color="auto"/>
              </w:divBdr>
            </w:div>
            <w:div w:id="1738094536">
              <w:marLeft w:val="0"/>
              <w:marRight w:val="0"/>
              <w:marTop w:val="0"/>
              <w:marBottom w:val="0"/>
              <w:divBdr>
                <w:top w:val="none" w:sz="0" w:space="0" w:color="auto"/>
                <w:left w:val="none" w:sz="0" w:space="0" w:color="auto"/>
                <w:bottom w:val="none" w:sz="0" w:space="0" w:color="auto"/>
                <w:right w:val="none" w:sz="0" w:space="0" w:color="auto"/>
              </w:divBdr>
            </w:div>
          </w:divsChild>
        </w:div>
        <w:div w:id="2003005159">
          <w:marLeft w:val="0"/>
          <w:marRight w:val="0"/>
          <w:marTop w:val="0"/>
          <w:marBottom w:val="0"/>
          <w:divBdr>
            <w:top w:val="none" w:sz="0" w:space="0" w:color="auto"/>
            <w:left w:val="none" w:sz="0" w:space="0" w:color="auto"/>
            <w:bottom w:val="none" w:sz="0" w:space="0" w:color="auto"/>
            <w:right w:val="none" w:sz="0" w:space="0" w:color="auto"/>
          </w:divBdr>
          <w:divsChild>
            <w:div w:id="321663816">
              <w:marLeft w:val="0"/>
              <w:marRight w:val="0"/>
              <w:marTop w:val="0"/>
              <w:marBottom w:val="0"/>
              <w:divBdr>
                <w:top w:val="none" w:sz="0" w:space="0" w:color="auto"/>
                <w:left w:val="none" w:sz="0" w:space="0" w:color="auto"/>
                <w:bottom w:val="none" w:sz="0" w:space="0" w:color="auto"/>
                <w:right w:val="none" w:sz="0" w:space="0" w:color="auto"/>
              </w:divBdr>
            </w:div>
            <w:div w:id="1080251618">
              <w:marLeft w:val="0"/>
              <w:marRight w:val="0"/>
              <w:marTop w:val="0"/>
              <w:marBottom w:val="0"/>
              <w:divBdr>
                <w:top w:val="none" w:sz="0" w:space="0" w:color="auto"/>
                <w:left w:val="none" w:sz="0" w:space="0" w:color="auto"/>
                <w:bottom w:val="none" w:sz="0" w:space="0" w:color="auto"/>
                <w:right w:val="none" w:sz="0" w:space="0" w:color="auto"/>
              </w:divBdr>
            </w:div>
            <w:div w:id="20028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7397">
      <w:bodyDiv w:val="1"/>
      <w:marLeft w:val="0"/>
      <w:marRight w:val="0"/>
      <w:marTop w:val="0"/>
      <w:marBottom w:val="0"/>
      <w:divBdr>
        <w:top w:val="none" w:sz="0" w:space="0" w:color="auto"/>
        <w:left w:val="none" w:sz="0" w:space="0" w:color="auto"/>
        <w:bottom w:val="none" w:sz="0" w:space="0" w:color="auto"/>
        <w:right w:val="none" w:sz="0" w:space="0" w:color="auto"/>
      </w:divBdr>
      <w:divsChild>
        <w:div w:id="167523949">
          <w:marLeft w:val="0"/>
          <w:marRight w:val="0"/>
          <w:marTop w:val="0"/>
          <w:marBottom w:val="0"/>
          <w:divBdr>
            <w:top w:val="none" w:sz="0" w:space="0" w:color="auto"/>
            <w:left w:val="none" w:sz="0" w:space="0" w:color="auto"/>
            <w:bottom w:val="none" w:sz="0" w:space="0" w:color="auto"/>
            <w:right w:val="none" w:sz="0" w:space="0" w:color="auto"/>
          </w:divBdr>
        </w:div>
        <w:div w:id="197282637">
          <w:marLeft w:val="0"/>
          <w:marRight w:val="0"/>
          <w:marTop w:val="0"/>
          <w:marBottom w:val="0"/>
          <w:divBdr>
            <w:top w:val="none" w:sz="0" w:space="0" w:color="auto"/>
            <w:left w:val="none" w:sz="0" w:space="0" w:color="auto"/>
            <w:bottom w:val="none" w:sz="0" w:space="0" w:color="auto"/>
            <w:right w:val="none" w:sz="0" w:space="0" w:color="auto"/>
          </w:divBdr>
        </w:div>
        <w:div w:id="331419193">
          <w:marLeft w:val="0"/>
          <w:marRight w:val="0"/>
          <w:marTop w:val="0"/>
          <w:marBottom w:val="0"/>
          <w:divBdr>
            <w:top w:val="none" w:sz="0" w:space="0" w:color="auto"/>
            <w:left w:val="none" w:sz="0" w:space="0" w:color="auto"/>
            <w:bottom w:val="none" w:sz="0" w:space="0" w:color="auto"/>
            <w:right w:val="none" w:sz="0" w:space="0" w:color="auto"/>
          </w:divBdr>
        </w:div>
        <w:div w:id="536545944">
          <w:marLeft w:val="0"/>
          <w:marRight w:val="0"/>
          <w:marTop w:val="0"/>
          <w:marBottom w:val="0"/>
          <w:divBdr>
            <w:top w:val="none" w:sz="0" w:space="0" w:color="auto"/>
            <w:left w:val="none" w:sz="0" w:space="0" w:color="auto"/>
            <w:bottom w:val="none" w:sz="0" w:space="0" w:color="auto"/>
            <w:right w:val="none" w:sz="0" w:space="0" w:color="auto"/>
          </w:divBdr>
        </w:div>
        <w:div w:id="789973735">
          <w:marLeft w:val="0"/>
          <w:marRight w:val="0"/>
          <w:marTop w:val="0"/>
          <w:marBottom w:val="0"/>
          <w:divBdr>
            <w:top w:val="none" w:sz="0" w:space="0" w:color="auto"/>
            <w:left w:val="none" w:sz="0" w:space="0" w:color="auto"/>
            <w:bottom w:val="none" w:sz="0" w:space="0" w:color="auto"/>
            <w:right w:val="none" w:sz="0" w:space="0" w:color="auto"/>
          </w:divBdr>
        </w:div>
        <w:div w:id="865563628">
          <w:marLeft w:val="0"/>
          <w:marRight w:val="0"/>
          <w:marTop w:val="0"/>
          <w:marBottom w:val="0"/>
          <w:divBdr>
            <w:top w:val="none" w:sz="0" w:space="0" w:color="auto"/>
            <w:left w:val="none" w:sz="0" w:space="0" w:color="auto"/>
            <w:bottom w:val="none" w:sz="0" w:space="0" w:color="auto"/>
            <w:right w:val="none" w:sz="0" w:space="0" w:color="auto"/>
          </w:divBdr>
        </w:div>
        <w:div w:id="873618567">
          <w:marLeft w:val="0"/>
          <w:marRight w:val="0"/>
          <w:marTop w:val="0"/>
          <w:marBottom w:val="0"/>
          <w:divBdr>
            <w:top w:val="none" w:sz="0" w:space="0" w:color="auto"/>
            <w:left w:val="none" w:sz="0" w:space="0" w:color="auto"/>
            <w:bottom w:val="none" w:sz="0" w:space="0" w:color="auto"/>
            <w:right w:val="none" w:sz="0" w:space="0" w:color="auto"/>
          </w:divBdr>
        </w:div>
        <w:div w:id="952249376">
          <w:marLeft w:val="0"/>
          <w:marRight w:val="0"/>
          <w:marTop w:val="0"/>
          <w:marBottom w:val="0"/>
          <w:divBdr>
            <w:top w:val="none" w:sz="0" w:space="0" w:color="auto"/>
            <w:left w:val="none" w:sz="0" w:space="0" w:color="auto"/>
            <w:bottom w:val="none" w:sz="0" w:space="0" w:color="auto"/>
            <w:right w:val="none" w:sz="0" w:space="0" w:color="auto"/>
          </w:divBdr>
        </w:div>
        <w:div w:id="1044721025">
          <w:marLeft w:val="0"/>
          <w:marRight w:val="0"/>
          <w:marTop w:val="0"/>
          <w:marBottom w:val="0"/>
          <w:divBdr>
            <w:top w:val="none" w:sz="0" w:space="0" w:color="auto"/>
            <w:left w:val="none" w:sz="0" w:space="0" w:color="auto"/>
            <w:bottom w:val="none" w:sz="0" w:space="0" w:color="auto"/>
            <w:right w:val="none" w:sz="0" w:space="0" w:color="auto"/>
          </w:divBdr>
        </w:div>
        <w:div w:id="1170681409">
          <w:marLeft w:val="0"/>
          <w:marRight w:val="0"/>
          <w:marTop w:val="0"/>
          <w:marBottom w:val="0"/>
          <w:divBdr>
            <w:top w:val="none" w:sz="0" w:space="0" w:color="auto"/>
            <w:left w:val="none" w:sz="0" w:space="0" w:color="auto"/>
            <w:bottom w:val="none" w:sz="0" w:space="0" w:color="auto"/>
            <w:right w:val="none" w:sz="0" w:space="0" w:color="auto"/>
          </w:divBdr>
        </w:div>
        <w:div w:id="1237864000">
          <w:marLeft w:val="0"/>
          <w:marRight w:val="0"/>
          <w:marTop w:val="0"/>
          <w:marBottom w:val="0"/>
          <w:divBdr>
            <w:top w:val="none" w:sz="0" w:space="0" w:color="auto"/>
            <w:left w:val="none" w:sz="0" w:space="0" w:color="auto"/>
            <w:bottom w:val="none" w:sz="0" w:space="0" w:color="auto"/>
            <w:right w:val="none" w:sz="0" w:space="0" w:color="auto"/>
          </w:divBdr>
        </w:div>
        <w:div w:id="1527476676">
          <w:marLeft w:val="0"/>
          <w:marRight w:val="0"/>
          <w:marTop w:val="0"/>
          <w:marBottom w:val="0"/>
          <w:divBdr>
            <w:top w:val="none" w:sz="0" w:space="0" w:color="auto"/>
            <w:left w:val="none" w:sz="0" w:space="0" w:color="auto"/>
            <w:bottom w:val="none" w:sz="0" w:space="0" w:color="auto"/>
            <w:right w:val="none" w:sz="0" w:space="0" w:color="auto"/>
          </w:divBdr>
        </w:div>
        <w:div w:id="1667243038">
          <w:marLeft w:val="0"/>
          <w:marRight w:val="0"/>
          <w:marTop w:val="0"/>
          <w:marBottom w:val="0"/>
          <w:divBdr>
            <w:top w:val="none" w:sz="0" w:space="0" w:color="auto"/>
            <w:left w:val="none" w:sz="0" w:space="0" w:color="auto"/>
            <w:bottom w:val="none" w:sz="0" w:space="0" w:color="auto"/>
            <w:right w:val="none" w:sz="0" w:space="0" w:color="auto"/>
          </w:divBdr>
        </w:div>
        <w:div w:id="1773820015">
          <w:marLeft w:val="0"/>
          <w:marRight w:val="0"/>
          <w:marTop w:val="0"/>
          <w:marBottom w:val="0"/>
          <w:divBdr>
            <w:top w:val="none" w:sz="0" w:space="0" w:color="auto"/>
            <w:left w:val="none" w:sz="0" w:space="0" w:color="auto"/>
            <w:bottom w:val="none" w:sz="0" w:space="0" w:color="auto"/>
            <w:right w:val="none" w:sz="0" w:space="0" w:color="auto"/>
          </w:divBdr>
        </w:div>
        <w:div w:id="1797260032">
          <w:marLeft w:val="0"/>
          <w:marRight w:val="0"/>
          <w:marTop w:val="0"/>
          <w:marBottom w:val="0"/>
          <w:divBdr>
            <w:top w:val="none" w:sz="0" w:space="0" w:color="auto"/>
            <w:left w:val="none" w:sz="0" w:space="0" w:color="auto"/>
            <w:bottom w:val="none" w:sz="0" w:space="0" w:color="auto"/>
            <w:right w:val="none" w:sz="0" w:space="0" w:color="auto"/>
          </w:divBdr>
        </w:div>
        <w:div w:id="1913809647">
          <w:marLeft w:val="0"/>
          <w:marRight w:val="0"/>
          <w:marTop w:val="0"/>
          <w:marBottom w:val="0"/>
          <w:divBdr>
            <w:top w:val="none" w:sz="0" w:space="0" w:color="auto"/>
            <w:left w:val="none" w:sz="0" w:space="0" w:color="auto"/>
            <w:bottom w:val="none" w:sz="0" w:space="0" w:color="auto"/>
            <w:right w:val="none" w:sz="0" w:space="0" w:color="auto"/>
          </w:divBdr>
        </w:div>
        <w:div w:id="2066565880">
          <w:marLeft w:val="0"/>
          <w:marRight w:val="0"/>
          <w:marTop w:val="0"/>
          <w:marBottom w:val="0"/>
          <w:divBdr>
            <w:top w:val="none" w:sz="0" w:space="0" w:color="auto"/>
            <w:left w:val="none" w:sz="0" w:space="0" w:color="auto"/>
            <w:bottom w:val="none" w:sz="0" w:space="0" w:color="auto"/>
            <w:right w:val="none" w:sz="0" w:space="0" w:color="auto"/>
          </w:divBdr>
        </w:div>
        <w:div w:id="2139372744">
          <w:marLeft w:val="0"/>
          <w:marRight w:val="0"/>
          <w:marTop w:val="0"/>
          <w:marBottom w:val="0"/>
          <w:divBdr>
            <w:top w:val="none" w:sz="0" w:space="0" w:color="auto"/>
            <w:left w:val="none" w:sz="0" w:space="0" w:color="auto"/>
            <w:bottom w:val="none" w:sz="0" w:space="0" w:color="auto"/>
            <w:right w:val="none" w:sz="0" w:space="0" w:color="auto"/>
          </w:divBdr>
        </w:div>
      </w:divsChild>
    </w:div>
    <w:div w:id="1352104427">
      <w:bodyDiv w:val="1"/>
      <w:marLeft w:val="0"/>
      <w:marRight w:val="0"/>
      <w:marTop w:val="0"/>
      <w:marBottom w:val="0"/>
      <w:divBdr>
        <w:top w:val="none" w:sz="0" w:space="0" w:color="auto"/>
        <w:left w:val="none" w:sz="0" w:space="0" w:color="auto"/>
        <w:bottom w:val="none" w:sz="0" w:space="0" w:color="auto"/>
        <w:right w:val="none" w:sz="0" w:space="0" w:color="auto"/>
      </w:divBdr>
      <w:divsChild>
        <w:div w:id="377777211">
          <w:marLeft w:val="0"/>
          <w:marRight w:val="0"/>
          <w:marTop w:val="0"/>
          <w:marBottom w:val="0"/>
          <w:divBdr>
            <w:top w:val="none" w:sz="0" w:space="0" w:color="auto"/>
            <w:left w:val="none" w:sz="0" w:space="0" w:color="auto"/>
            <w:bottom w:val="none" w:sz="0" w:space="0" w:color="auto"/>
            <w:right w:val="none" w:sz="0" w:space="0" w:color="auto"/>
          </w:divBdr>
        </w:div>
        <w:div w:id="689182238">
          <w:marLeft w:val="0"/>
          <w:marRight w:val="0"/>
          <w:marTop w:val="0"/>
          <w:marBottom w:val="0"/>
          <w:divBdr>
            <w:top w:val="none" w:sz="0" w:space="0" w:color="auto"/>
            <w:left w:val="none" w:sz="0" w:space="0" w:color="auto"/>
            <w:bottom w:val="none" w:sz="0" w:space="0" w:color="auto"/>
            <w:right w:val="none" w:sz="0" w:space="0" w:color="auto"/>
          </w:divBdr>
        </w:div>
        <w:div w:id="1052079474">
          <w:marLeft w:val="0"/>
          <w:marRight w:val="0"/>
          <w:marTop w:val="0"/>
          <w:marBottom w:val="0"/>
          <w:divBdr>
            <w:top w:val="none" w:sz="0" w:space="0" w:color="auto"/>
            <w:left w:val="none" w:sz="0" w:space="0" w:color="auto"/>
            <w:bottom w:val="none" w:sz="0" w:space="0" w:color="auto"/>
            <w:right w:val="none" w:sz="0" w:space="0" w:color="auto"/>
          </w:divBdr>
        </w:div>
      </w:divsChild>
    </w:div>
    <w:div w:id="1367681758">
      <w:bodyDiv w:val="1"/>
      <w:marLeft w:val="0"/>
      <w:marRight w:val="0"/>
      <w:marTop w:val="0"/>
      <w:marBottom w:val="0"/>
      <w:divBdr>
        <w:top w:val="none" w:sz="0" w:space="0" w:color="auto"/>
        <w:left w:val="none" w:sz="0" w:space="0" w:color="auto"/>
        <w:bottom w:val="none" w:sz="0" w:space="0" w:color="auto"/>
        <w:right w:val="none" w:sz="0" w:space="0" w:color="auto"/>
      </w:divBdr>
      <w:divsChild>
        <w:div w:id="290598410">
          <w:marLeft w:val="0"/>
          <w:marRight w:val="0"/>
          <w:marTop w:val="0"/>
          <w:marBottom w:val="0"/>
          <w:divBdr>
            <w:top w:val="none" w:sz="0" w:space="0" w:color="auto"/>
            <w:left w:val="none" w:sz="0" w:space="0" w:color="auto"/>
            <w:bottom w:val="none" w:sz="0" w:space="0" w:color="auto"/>
            <w:right w:val="none" w:sz="0" w:space="0" w:color="auto"/>
          </w:divBdr>
        </w:div>
        <w:div w:id="984317392">
          <w:marLeft w:val="0"/>
          <w:marRight w:val="0"/>
          <w:marTop w:val="0"/>
          <w:marBottom w:val="0"/>
          <w:divBdr>
            <w:top w:val="none" w:sz="0" w:space="0" w:color="auto"/>
            <w:left w:val="none" w:sz="0" w:space="0" w:color="auto"/>
            <w:bottom w:val="none" w:sz="0" w:space="0" w:color="auto"/>
            <w:right w:val="none" w:sz="0" w:space="0" w:color="auto"/>
          </w:divBdr>
        </w:div>
        <w:div w:id="1392271513">
          <w:marLeft w:val="0"/>
          <w:marRight w:val="0"/>
          <w:marTop w:val="0"/>
          <w:marBottom w:val="0"/>
          <w:divBdr>
            <w:top w:val="none" w:sz="0" w:space="0" w:color="auto"/>
            <w:left w:val="none" w:sz="0" w:space="0" w:color="auto"/>
            <w:bottom w:val="none" w:sz="0" w:space="0" w:color="auto"/>
            <w:right w:val="none" w:sz="0" w:space="0" w:color="auto"/>
          </w:divBdr>
        </w:div>
        <w:div w:id="2104035939">
          <w:marLeft w:val="0"/>
          <w:marRight w:val="0"/>
          <w:marTop w:val="0"/>
          <w:marBottom w:val="0"/>
          <w:divBdr>
            <w:top w:val="none" w:sz="0" w:space="0" w:color="auto"/>
            <w:left w:val="none" w:sz="0" w:space="0" w:color="auto"/>
            <w:bottom w:val="none" w:sz="0" w:space="0" w:color="auto"/>
            <w:right w:val="none" w:sz="0" w:space="0" w:color="auto"/>
          </w:divBdr>
        </w:div>
      </w:divsChild>
    </w:div>
    <w:div w:id="1387030572">
      <w:bodyDiv w:val="1"/>
      <w:marLeft w:val="0"/>
      <w:marRight w:val="0"/>
      <w:marTop w:val="0"/>
      <w:marBottom w:val="0"/>
      <w:divBdr>
        <w:top w:val="none" w:sz="0" w:space="0" w:color="auto"/>
        <w:left w:val="none" w:sz="0" w:space="0" w:color="auto"/>
        <w:bottom w:val="none" w:sz="0" w:space="0" w:color="auto"/>
        <w:right w:val="none" w:sz="0" w:space="0" w:color="auto"/>
      </w:divBdr>
    </w:div>
    <w:div w:id="1397321756">
      <w:bodyDiv w:val="1"/>
      <w:marLeft w:val="0"/>
      <w:marRight w:val="0"/>
      <w:marTop w:val="0"/>
      <w:marBottom w:val="0"/>
      <w:divBdr>
        <w:top w:val="none" w:sz="0" w:space="0" w:color="auto"/>
        <w:left w:val="none" w:sz="0" w:space="0" w:color="auto"/>
        <w:bottom w:val="none" w:sz="0" w:space="0" w:color="auto"/>
        <w:right w:val="none" w:sz="0" w:space="0" w:color="auto"/>
      </w:divBdr>
      <w:divsChild>
        <w:div w:id="696396975">
          <w:marLeft w:val="0"/>
          <w:marRight w:val="0"/>
          <w:marTop w:val="0"/>
          <w:marBottom w:val="0"/>
          <w:divBdr>
            <w:top w:val="none" w:sz="0" w:space="0" w:color="auto"/>
            <w:left w:val="none" w:sz="0" w:space="0" w:color="auto"/>
            <w:bottom w:val="none" w:sz="0" w:space="0" w:color="auto"/>
            <w:right w:val="none" w:sz="0" w:space="0" w:color="auto"/>
          </w:divBdr>
          <w:divsChild>
            <w:div w:id="1408067842">
              <w:marLeft w:val="-75"/>
              <w:marRight w:val="0"/>
              <w:marTop w:val="30"/>
              <w:marBottom w:val="30"/>
              <w:divBdr>
                <w:top w:val="none" w:sz="0" w:space="0" w:color="auto"/>
                <w:left w:val="none" w:sz="0" w:space="0" w:color="auto"/>
                <w:bottom w:val="none" w:sz="0" w:space="0" w:color="auto"/>
                <w:right w:val="none" w:sz="0" w:space="0" w:color="auto"/>
              </w:divBdr>
              <w:divsChild>
                <w:div w:id="104467874">
                  <w:marLeft w:val="0"/>
                  <w:marRight w:val="0"/>
                  <w:marTop w:val="0"/>
                  <w:marBottom w:val="0"/>
                  <w:divBdr>
                    <w:top w:val="none" w:sz="0" w:space="0" w:color="auto"/>
                    <w:left w:val="none" w:sz="0" w:space="0" w:color="auto"/>
                    <w:bottom w:val="none" w:sz="0" w:space="0" w:color="auto"/>
                    <w:right w:val="none" w:sz="0" w:space="0" w:color="auto"/>
                  </w:divBdr>
                  <w:divsChild>
                    <w:div w:id="699818965">
                      <w:marLeft w:val="0"/>
                      <w:marRight w:val="0"/>
                      <w:marTop w:val="0"/>
                      <w:marBottom w:val="0"/>
                      <w:divBdr>
                        <w:top w:val="none" w:sz="0" w:space="0" w:color="auto"/>
                        <w:left w:val="none" w:sz="0" w:space="0" w:color="auto"/>
                        <w:bottom w:val="none" w:sz="0" w:space="0" w:color="auto"/>
                        <w:right w:val="none" w:sz="0" w:space="0" w:color="auto"/>
                      </w:divBdr>
                    </w:div>
                    <w:div w:id="923798803">
                      <w:marLeft w:val="0"/>
                      <w:marRight w:val="0"/>
                      <w:marTop w:val="0"/>
                      <w:marBottom w:val="0"/>
                      <w:divBdr>
                        <w:top w:val="none" w:sz="0" w:space="0" w:color="auto"/>
                        <w:left w:val="none" w:sz="0" w:space="0" w:color="auto"/>
                        <w:bottom w:val="none" w:sz="0" w:space="0" w:color="auto"/>
                        <w:right w:val="none" w:sz="0" w:space="0" w:color="auto"/>
                      </w:divBdr>
                    </w:div>
                    <w:div w:id="987780063">
                      <w:marLeft w:val="0"/>
                      <w:marRight w:val="0"/>
                      <w:marTop w:val="0"/>
                      <w:marBottom w:val="0"/>
                      <w:divBdr>
                        <w:top w:val="none" w:sz="0" w:space="0" w:color="auto"/>
                        <w:left w:val="none" w:sz="0" w:space="0" w:color="auto"/>
                        <w:bottom w:val="none" w:sz="0" w:space="0" w:color="auto"/>
                        <w:right w:val="none" w:sz="0" w:space="0" w:color="auto"/>
                      </w:divBdr>
                    </w:div>
                  </w:divsChild>
                </w:div>
                <w:div w:id="325014030">
                  <w:marLeft w:val="0"/>
                  <w:marRight w:val="0"/>
                  <w:marTop w:val="0"/>
                  <w:marBottom w:val="0"/>
                  <w:divBdr>
                    <w:top w:val="none" w:sz="0" w:space="0" w:color="auto"/>
                    <w:left w:val="none" w:sz="0" w:space="0" w:color="auto"/>
                    <w:bottom w:val="none" w:sz="0" w:space="0" w:color="auto"/>
                    <w:right w:val="none" w:sz="0" w:space="0" w:color="auto"/>
                  </w:divBdr>
                  <w:divsChild>
                    <w:div w:id="301736556">
                      <w:marLeft w:val="0"/>
                      <w:marRight w:val="0"/>
                      <w:marTop w:val="0"/>
                      <w:marBottom w:val="0"/>
                      <w:divBdr>
                        <w:top w:val="none" w:sz="0" w:space="0" w:color="auto"/>
                        <w:left w:val="none" w:sz="0" w:space="0" w:color="auto"/>
                        <w:bottom w:val="none" w:sz="0" w:space="0" w:color="auto"/>
                        <w:right w:val="none" w:sz="0" w:space="0" w:color="auto"/>
                      </w:divBdr>
                    </w:div>
                  </w:divsChild>
                </w:div>
                <w:div w:id="379981493">
                  <w:marLeft w:val="0"/>
                  <w:marRight w:val="0"/>
                  <w:marTop w:val="0"/>
                  <w:marBottom w:val="0"/>
                  <w:divBdr>
                    <w:top w:val="none" w:sz="0" w:space="0" w:color="auto"/>
                    <w:left w:val="none" w:sz="0" w:space="0" w:color="auto"/>
                    <w:bottom w:val="none" w:sz="0" w:space="0" w:color="auto"/>
                    <w:right w:val="none" w:sz="0" w:space="0" w:color="auto"/>
                  </w:divBdr>
                  <w:divsChild>
                    <w:div w:id="773523280">
                      <w:marLeft w:val="0"/>
                      <w:marRight w:val="0"/>
                      <w:marTop w:val="0"/>
                      <w:marBottom w:val="0"/>
                      <w:divBdr>
                        <w:top w:val="none" w:sz="0" w:space="0" w:color="auto"/>
                        <w:left w:val="none" w:sz="0" w:space="0" w:color="auto"/>
                        <w:bottom w:val="none" w:sz="0" w:space="0" w:color="auto"/>
                        <w:right w:val="none" w:sz="0" w:space="0" w:color="auto"/>
                      </w:divBdr>
                    </w:div>
                  </w:divsChild>
                </w:div>
                <w:div w:id="741412918">
                  <w:marLeft w:val="0"/>
                  <w:marRight w:val="0"/>
                  <w:marTop w:val="0"/>
                  <w:marBottom w:val="0"/>
                  <w:divBdr>
                    <w:top w:val="none" w:sz="0" w:space="0" w:color="auto"/>
                    <w:left w:val="none" w:sz="0" w:space="0" w:color="auto"/>
                    <w:bottom w:val="none" w:sz="0" w:space="0" w:color="auto"/>
                    <w:right w:val="none" w:sz="0" w:space="0" w:color="auto"/>
                  </w:divBdr>
                  <w:divsChild>
                    <w:div w:id="200633156">
                      <w:marLeft w:val="0"/>
                      <w:marRight w:val="0"/>
                      <w:marTop w:val="0"/>
                      <w:marBottom w:val="0"/>
                      <w:divBdr>
                        <w:top w:val="none" w:sz="0" w:space="0" w:color="auto"/>
                        <w:left w:val="none" w:sz="0" w:space="0" w:color="auto"/>
                        <w:bottom w:val="none" w:sz="0" w:space="0" w:color="auto"/>
                        <w:right w:val="none" w:sz="0" w:space="0" w:color="auto"/>
                      </w:divBdr>
                    </w:div>
                    <w:div w:id="398942602">
                      <w:marLeft w:val="0"/>
                      <w:marRight w:val="0"/>
                      <w:marTop w:val="0"/>
                      <w:marBottom w:val="0"/>
                      <w:divBdr>
                        <w:top w:val="none" w:sz="0" w:space="0" w:color="auto"/>
                        <w:left w:val="none" w:sz="0" w:space="0" w:color="auto"/>
                        <w:bottom w:val="none" w:sz="0" w:space="0" w:color="auto"/>
                        <w:right w:val="none" w:sz="0" w:space="0" w:color="auto"/>
                      </w:divBdr>
                    </w:div>
                  </w:divsChild>
                </w:div>
                <w:div w:id="759523659">
                  <w:marLeft w:val="0"/>
                  <w:marRight w:val="0"/>
                  <w:marTop w:val="0"/>
                  <w:marBottom w:val="0"/>
                  <w:divBdr>
                    <w:top w:val="none" w:sz="0" w:space="0" w:color="auto"/>
                    <w:left w:val="none" w:sz="0" w:space="0" w:color="auto"/>
                    <w:bottom w:val="none" w:sz="0" w:space="0" w:color="auto"/>
                    <w:right w:val="none" w:sz="0" w:space="0" w:color="auto"/>
                  </w:divBdr>
                  <w:divsChild>
                    <w:div w:id="319817649">
                      <w:marLeft w:val="0"/>
                      <w:marRight w:val="0"/>
                      <w:marTop w:val="0"/>
                      <w:marBottom w:val="0"/>
                      <w:divBdr>
                        <w:top w:val="none" w:sz="0" w:space="0" w:color="auto"/>
                        <w:left w:val="none" w:sz="0" w:space="0" w:color="auto"/>
                        <w:bottom w:val="none" w:sz="0" w:space="0" w:color="auto"/>
                        <w:right w:val="none" w:sz="0" w:space="0" w:color="auto"/>
                      </w:divBdr>
                    </w:div>
                  </w:divsChild>
                </w:div>
                <w:div w:id="850486825">
                  <w:marLeft w:val="0"/>
                  <w:marRight w:val="0"/>
                  <w:marTop w:val="0"/>
                  <w:marBottom w:val="0"/>
                  <w:divBdr>
                    <w:top w:val="none" w:sz="0" w:space="0" w:color="auto"/>
                    <w:left w:val="none" w:sz="0" w:space="0" w:color="auto"/>
                    <w:bottom w:val="none" w:sz="0" w:space="0" w:color="auto"/>
                    <w:right w:val="none" w:sz="0" w:space="0" w:color="auto"/>
                  </w:divBdr>
                  <w:divsChild>
                    <w:div w:id="371732031">
                      <w:marLeft w:val="0"/>
                      <w:marRight w:val="0"/>
                      <w:marTop w:val="0"/>
                      <w:marBottom w:val="0"/>
                      <w:divBdr>
                        <w:top w:val="none" w:sz="0" w:space="0" w:color="auto"/>
                        <w:left w:val="none" w:sz="0" w:space="0" w:color="auto"/>
                        <w:bottom w:val="none" w:sz="0" w:space="0" w:color="auto"/>
                        <w:right w:val="none" w:sz="0" w:space="0" w:color="auto"/>
                      </w:divBdr>
                    </w:div>
                    <w:div w:id="2049723758">
                      <w:marLeft w:val="0"/>
                      <w:marRight w:val="0"/>
                      <w:marTop w:val="0"/>
                      <w:marBottom w:val="0"/>
                      <w:divBdr>
                        <w:top w:val="none" w:sz="0" w:space="0" w:color="auto"/>
                        <w:left w:val="none" w:sz="0" w:space="0" w:color="auto"/>
                        <w:bottom w:val="none" w:sz="0" w:space="0" w:color="auto"/>
                        <w:right w:val="none" w:sz="0" w:space="0" w:color="auto"/>
                      </w:divBdr>
                    </w:div>
                    <w:div w:id="2124879196">
                      <w:marLeft w:val="0"/>
                      <w:marRight w:val="0"/>
                      <w:marTop w:val="0"/>
                      <w:marBottom w:val="0"/>
                      <w:divBdr>
                        <w:top w:val="none" w:sz="0" w:space="0" w:color="auto"/>
                        <w:left w:val="none" w:sz="0" w:space="0" w:color="auto"/>
                        <w:bottom w:val="none" w:sz="0" w:space="0" w:color="auto"/>
                        <w:right w:val="none" w:sz="0" w:space="0" w:color="auto"/>
                      </w:divBdr>
                    </w:div>
                  </w:divsChild>
                </w:div>
                <w:div w:id="935555221">
                  <w:marLeft w:val="0"/>
                  <w:marRight w:val="0"/>
                  <w:marTop w:val="0"/>
                  <w:marBottom w:val="0"/>
                  <w:divBdr>
                    <w:top w:val="none" w:sz="0" w:space="0" w:color="auto"/>
                    <w:left w:val="none" w:sz="0" w:space="0" w:color="auto"/>
                    <w:bottom w:val="none" w:sz="0" w:space="0" w:color="auto"/>
                    <w:right w:val="none" w:sz="0" w:space="0" w:color="auto"/>
                  </w:divBdr>
                  <w:divsChild>
                    <w:div w:id="94134213">
                      <w:marLeft w:val="0"/>
                      <w:marRight w:val="0"/>
                      <w:marTop w:val="0"/>
                      <w:marBottom w:val="0"/>
                      <w:divBdr>
                        <w:top w:val="none" w:sz="0" w:space="0" w:color="auto"/>
                        <w:left w:val="none" w:sz="0" w:space="0" w:color="auto"/>
                        <w:bottom w:val="none" w:sz="0" w:space="0" w:color="auto"/>
                        <w:right w:val="none" w:sz="0" w:space="0" w:color="auto"/>
                      </w:divBdr>
                    </w:div>
                    <w:div w:id="1976984279">
                      <w:marLeft w:val="0"/>
                      <w:marRight w:val="0"/>
                      <w:marTop w:val="0"/>
                      <w:marBottom w:val="0"/>
                      <w:divBdr>
                        <w:top w:val="none" w:sz="0" w:space="0" w:color="auto"/>
                        <w:left w:val="none" w:sz="0" w:space="0" w:color="auto"/>
                        <w:bottom w:val="none" w:sz="0" w:space="0" w:color="auto"/>
                        <w:right w:val="none" w:sz="0" w:space="0" w:color="auto"/>
                      </w:divBdr>
                    </w:div>
                  </w:divsChild>
                </w:div>
                <w:div w:id="1025211087">
                  <w:marLeft w:val="0"/>
                  <w:marRight w:val="0"/>
                  <w:marTop w:val="0"/>
                  <w:marBottom w:val="0"/>
                  <w:divBdr>
                    <w:top w:val="none" w:sz="0" w:space="0" w:color="auto"/>
                    <w:left w:val="none" w:sz="0" w:space="0" w:color="auto"/>
                    <w:bottom w:val="none" w:sz="0" w:space="0" w:color="auto"/>
                    <w:right w:val="none" w:sz="0" w:space="0" w:color="auto"/>
                  </w:divBdr>
                  <w:divsChild>
                    <w:div w:id="209659180">
                      <w:marLeft w:val="0"/>
                      <w:marRight w:val="0"/>
                      <w:marTop w:val="0"/>
                      <w:marBottom w:val="0"/>
                      <w:divBdr>
                        <w:top w:val="none" w:sz="0" w:space="0" w:color="auto"/>
                        <w:left w:val="none" w:sz="0" w:space="0" w:color="auto"/>
                        <w:bottom w:val="none" w:sz="0" w:space="0" w:color="auto"/>
                        <w:right w:val="none" w:sz="0" w:space="0" w:color="auto"/>
                      </w:divBdr>
                    </w:div>
                    <w:div w:id="318927430">
                      <w:marLeft w:val="0"/>
                      <w:marRight w:val="0"/>
                      <w:marTop w:val="0"/>
                      <w:marBottom w:val="0"/>
                      <w:divBdr>
                        <w:top w:val="none" w:sz="0" w:space="0" w:color="auto"/>
                        <w:left w:val="none" w:sz="0" w:space="0" w:color="auto"/>
                        <w:bottom w:val="none" w:sz="0" w:space="0" w:color="auto"/>
                        <w:right w:val="none" w:sz="0" w:space="0" w:color="auto"/>
                      </w:divBdr>
                    </w:div>
                    <w:div w:id="607545166">
                      <w:marLeft w:val="0"/>
                      <w:marRight w:val="0"/>
                      <w:marTop w:val="0"/>
                      <w:marBottom w:val="0"/>
                      <w:divBdr>
                        <w:top w:val="none" w:sz="0" w:space="0" w:color="auto"/>
                        <w:left w:val="none" w:sz="0" w:space="0" w:color="auto"/>
                        <w:bottom w:val="none" w:sz="0" w:space="0" w:color="auto"/>
                        <w:right w:val="none" w:sz="0" w:space="0" w:color="auto"/>
                      </w:divBdr>
                    </w:div>
                  </w:divsChild>
                </w:div>
                <w:div w:id="1403257145">
                  <w:marLeft w:val="0"/>
                  <w:marRight w:val="0"/>
                  <w:marTop w:val="0"/>
                  <w:marBottom w:val="0"/>
                  <w:divBdr>
                    <w:top w:val="none" w:sz="0" w:space="0" w:color="auto"/>
                    <w:left w:val="none" w:sz="0" w:space="0" w:color="auto"/>
                    <w:bottom w:val="none" w:sz="0" w:space="0" w:color="auto"/>
                    <w:right w:val="none" w:sz="0" w:space="0" w:color="auto"/>
                  </w:divBdr>
                  <w:divsChild>
                    <w:div w:id="494762715">
                      <w:marLeft w:val="0"/>
                      <w:marRight w:val="0"/>
                      <w:marTop w:val="0"/>
                      <w:marBottom w:val="0"/>
                      <w:divBdr>
                        <w:top w:val="none" w:sz="0" w:space="0" w:color="auto"/>
                        <w:left w:val="none" w:sz="0" w:space="0" w:color="auto"/>
                        <w:bottom w:val="none" w:sz="0" w:space="0" w:color="auto"/>
                        <w:right w:val="none" w:sz="0" w:space="0" w:color="auto"/>
                      </w:divBdr>
                    </w:div>
                    <w:div w:id="1628774403">
                      <w:marLeft w:val="0"/>
                      <w:marRight w:val="0"/>
                      <w:marTop w:val="0"/>
                      <w:marBottom w:val="0"/>
                      <w:divBdr>
                        <w:top w:val="none" w:sz="0" w:space="0" w:color="auto"/>
                        <w:left w:val="none" w:sz="0" w:space="0" w:color="auto"/>
                        <w:bottom w:val="none" w:sz="0" w:space="0" w:color="auto"/>
                        <w:right w:val="none" w:sz="0" w:space="0" w:color="auto"/>
                      </w:divBdr>
                    </w:div>
                    <w:div w:id="1965887888">
                      <w:marLeft w:val="0"/>
                      <w:marRight w:val="0"/>
                      <w:marTop w:val="0"/>
                      <w:marBottom w:val="0"/>
                      <w:divBdr>
                        <w:top w:val="none" w:sz="0" w:space="0" w:color="auto"/>
                        <w:left w:val="none" w:sz="0" w:space="0" w:color="auto"/>
                        <w:bottom w:val="none" w:sz="0" w:space="0" w:color="auto"/>
                        <w:right w:val="none" w:sz="0" w:space="0" w:color="auto"/>
                      </w:divBdr>
                    </w:div>
                  </w:divsChild>
                </w:div>
                <w:div w:id="1746220223">
                  <w:marLeft w:val="0"/>
                  <w:marRight w:val="0"/>
                  <w:marTop w:val="0"/>
                  <w:marBottom w:val="0"/>
                  <w:divBdr>
                    <w:top w:val="none" w:sz="0" w:space="0" w:color="auto"/>
                    <w:left w:val="none" w:sz="0" w:space="0" w:color="auto"/>
                    <w:bottom w:val="none" w:sz="0" w:space="0" w:color="auto"/>
                    <w:right w:val="none" w:sz="0" w:space="0" w:color="auto"/>
                  </w:divBdr>
                  <w:divsChild>
                    <w:div w:id="1062559269">
                      <w:marLeft w:val="0"/>
                      <w:marRight w:val="0"/>
                      <w:marTop w:val="0"/>
                      <w:marBottom w:val="0"/>
                      <w:divBdr>
                        <w:top w:val="none" w:sz="0" w:space="0" w:color="auto"/>
                        <w:left w:val="none" w:sz="0" w:space="0" w:color="auto"/>
                        <w:bottom w:val="none" w:sz="0" w:space="0" w:color="auto"/>
                        <w:right w:val="none" w:sz="0" w:space="0" w:color="auto"/>
                      </w:divBdr>
                    </w:div>
                  </w:divsChild>
                </w:div>
                <w:div w:id="1792017917">
                  <w:marLeft w:val="0"/>
                  <w:marRight w:val="0"/>
                  <w:marTop w:val="0"/>
                  <w:marBottom w:val="0"/>
                  <w:divBdr>
                    <w:top w:val="none" w:sz="0" w:space="0" w:color="auto"/>
                    <w:left w:val="none" w:sz="0" w:space="0" w:color="auto"/>
                    <w:bottom w:val="none" w:sz="0" w:space="0" w:color="auto"/>
                    <w:right w:val="none" w:sz="0" w:space="0" w:color="auto"/>
                  </w:divBdr>
                  <w:divsChild>
                    <w:div w:id="983508764">
                      <w:marLeft w:val="0"/>
                      <w:marRight w:val="0"/>
                      <w:marTop w:val="0"/>
                      <w:marBottom w:val="0"/>
                      <w:divBdr>
                        <w:top w:val="none" w:sz="0" w:space="0" w:color="auto"/>
                        <w:left w:val="none" w:sz="0" w:space="0" w:color="auto"/>
                        <w:bottom w:val="none" w:sz="0" w:space="0" w:color="auto"/>
                        <w:right w:val="none" w:sz="0" w:space="0" w:color="auto"/>
                      </w:divBdr>
                    </w:div>
                    <w:div w:id="1985813058">
                      <w:marLeft w:val="0"/>
                      <w:marRight w:val="0"/>
                      <w:marTop w:val="0"/>
                      <w:marBottom w:val="0"/>
                      <w:divBdr>
                        <w:top w:val="none" w:sz="0" w:space="0" w:color="auto"/>
                        <w:left w:val="none" w:sz="0" w:space="0" w:color="auto"/>
                        <w:bottom w:val="none" w:sz="0" w:space="0" w:color="auto"/>
                        <w:right w:val="none" w:sz="0" w:space="0" w:color="auto"/>
                      </w:divBdr>
                    </w:div>
                  </w:divsChild>
                </w:div>
                <w:div w:id="1949659590">
                  <w:marLeft w:val="0"/>
                  <w:marRight w:val="0"/>
                  <w:marTop w:val="0"/>
                  <w:marBottom w:val="0"/>
                  <w:divBdr>
                    <w:top w:val="none" w:sz="0" w:space="0" w:color="auto"/>
                    <w:left w:val="none" w:sz="0" w:space="0" w:color="auto"/>
                    <w:bottom w:val="none" w:sz="0" w:space="0" w:color="auto"/>
                    <w:right w:val="none" w:sz="0" w:space="0" w:color="auto"/>
                  </w:divBdr>
                  <w:divsChild>
                    <w:div w:id="1755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9628">
          <w:marLeft w:val="0"/>
          <w:marRight w:val="0"/>
          <w:marTop w:val="0"/>
          <w:marBottom w:val="0"/>
          <w:divBdr>
            <w:top w:val="none" w:sz="0" w:space="0" w:color="auto"/>
            <w:left w:val="none" w:sz="0" w:space="0" w:color="auto"/>
            <w:bottom w:val="none" w:sz="0" w:space="0" w:color="auto"/>
            <w:right w:val="none" w:sz="0" w:space="0" w:color="auto"/>
          </w:divBdr>
        </w:div>
      </w:divsChild>
    </w:div>
    <w:div w:id="1668752297">
      <w:bodyDiv w:val="1"/>
      <w:marLeft w:val="0"/>
      <w:marRight w:val="0"/>
      <w:marTop w:val="0"/>
      <w:marBottom w:val="0"/>
      <w:divBdr>
        <w:top w:val="none" w:sz="0" w:space="0" w:color="auto"/>
        <w:left w:val="none" w:sz="0" w:space="0" w:color="auto"/>
        <w:bottom w:val="none" w:sz="0" w:space="0" w:color="auto"/>
        <w:right w:val="none" w:sz="0" w:space="0" w:color="auto"/>
      </w:divBdr>
      <w:divsChild>
        <w:div w:id="23484621">
          <w:marLeft w:val="0"/>
          <w:marRight w:val="0"/>
          <w:marTop w:val="0"/>
          <w:marBottom w:val="0"/>
          <w:divBdr>
            <w:top w:val="none" w:sz="0" w:space="0" w:color="auto"/>
            <w:left w:val="none" w:sz="0" w:space="0" w:color="auto"/>
            <w:bottom w:val="none" w:sz="0" w:space="0" w:color="auto"/>
            <w:right w:val="none" w:sz="0" w:space="0" w:color="auto"/>
          </w:divBdr>
        </w:div>
        <w:div w:id="40980891">
          <w:marLeft w:val="0"/>
          <w:marRight w:val="0"/>
          <w:marTop w:val="0"/>
          <w:marBottom w:val="0"/>
          <w:divBdr>
            <w:top w:val="none" w:sz="0" w:space="0" w:color="auto"/>
            <w:left w:val="none" w:sz="0" w:space="0" w:color="auto"/>
            <w:bottom w:val="none" w:sz="0" w:space="0" w:color="auto"/>
            <w:right w:val="none" w:sz="0" w:space="0" w:color="auto"/>
          </w:divBdr>
        </w:div>
        <w:div w:id="187984260">
          <w:marLeft w:val="0"/>
          <w:marRight w:val="0"/>
          <w:marTop w:val="0"/>
          <w:marBottom w:val="0"/>
          <w:divBdr>
            <w:top w:val="none" w:sz="0" w:space="0" w:color="auto"/>
            <w:left w:val="none" w:sz="0" w:space="0" w:color="auto"/>
            <w:bottom w:val="none" w:sz="0" w:space="0" w:color="auto"/>
            <w:right w:val="none" w:sz="0" w:space="0" w:color="auto"/>
          </w:divBdr>
        </w:div>
        <w:div w:id="194006647">
          <w:marLeft w:val="0"/>
          <w:marRight w:val="0"/>
          <w:marTop w:val="0"/>
          <w:marBottom w:val="0"/>
          <w:divBdr>
            <w:top w:val="none" w:sz="0" w:space="0" w:color="auto"/>
            <w:left w:val="none" w:sz="0" w:space="0" w:color="auto"/>
            <w:bottom w:val="none" w:sz="0" w:space="0" w:color="auto"/>
            <w:right w:val="none" w:sz="0" w:space="0" w:color="auto"/>
          </w:divBdr>
        </w:div>
        <w:div w:id="203098613">
          <w:marLeft w:val="0"/>
          <w:marRight w:val="0"/>
          <w:marTop w:val="0"/>
          <w:marBottom w:val="0"/>
          <w:divBdr>
            <w:top w:val="none" w:sz="0" w:space="0" w:color="auto"/>
            <w:left w:val="none" w:sz="0" w:space="0" w:color="auto"/>
            <w:bottom w:val="none" w:sz="0" w:space="0" w:color="auto"/>
            <w:right w:val="none" w:sz="0" w:space="0" w:color="auto"/>
          </w:divBdr>
        </w:div>
        <w:div w:id="319699360">
          <w:marLeft w:val="0"/>
          <w:marRight w:val="0"/>
          <w:marTop w:val="0"/>
          <w:marBottom w:val="0"/>
          <w:divBdr>
            <w:top w:val="none" w:sz="0" w:space="0" w:color="auto"/>
            <w:left w:val="none" w:sz="0" w:space="0" w:color="auto"/>
            <w:bottom w:val="none" w:sz="0" w:space="0" w:color="auto"/>
            <w:right w:val="none" w:sz="0" w:space="0" w:color="auto"/>
          </w:divBdr>
        </w:div>
        <w:div w:id="342050384">
          <w:marLeft w:val="0"/>
          <w:marRight w:val="0"/>
          <w:marTop w:val="0"/>
          <w:marBottom w:val="0"/>
          <w:divBdr>
            <w:top w:val="none" w:sz="0" w:space="0" w:color="auto"/>
            <w:left w:val="none" w:sz="0" w:space="0" w:color="auto"/>
            <w:bottom w:val="none" w:sz="0" w:space="0" w:color="auto"/>
            <w:right w:val="none" w:sz="0" w:space="0" w:color="auto"/>
          </w:divBdr>
        </w:div>
        <w:div w:id="523592840">
          <w:marLeft w:val="0"/>
          <w:marRight w:val="0"/>
          <w:marTop w:val="0"/>
          <w:marBottom w:val="0"/>
          <w:divBdr>
            <w:top w:val="none" w:sz="0" w:space="0" w:color="auto"/>
            <w:left w:val="none" w:sz="0" w:space="0" w:color="auto"/>
            <w:bottom w:val="none" w:sz="0" w:space="0" w:color="auto"/>
            <w:right w:val="none" w:sz="0" w:space="0" w:color="auto"/>
          </w:divBdr>
        </w:div>
        <w:div w:id="722561942">
          <w:marLeft w:val="0"/>
          <w:marRight w:val="0"/>
          <w:marTop w:val="0"/>
          <w:marBottom w:val="0"/>
          <w:divBdr>
            <w:top w:val="none" w:sz="0" w:space="0" w:color="auto"/>
            <w:left w:val="none" w:sz="0" w:space="0" w:color="auto"/>
            <w:bottom w:val="none" w:sz="0" w:space="0" w:color="auto"/>
            <w:right w:val="none" w:sz="0" w:space="0" w:color="auto"/>
          </w:divBdr>
        </w:div>
        <w:div w:id="770315501">
          <w:marLeft w:val="0"/>
          <w:marRight w:val="0"/>
          <w:marTop w:val="0"/>
          <w:marBottom w:val="0"/>
          <w:divBdr>
            <w:top w:val="none" w:sz="0" w:space="0" w:color="auto"/>
            <w:left w:val="none" w:sz="0" w:space="0" w:color="auto"/>
            <w:bottom w:val="none" w:sz="0" w:space="0" w:color="auto"/>
            <w:right w:val="none" w:sz="0" w:space="0" w:color="auto"/>
          </w:divBdr>
        </w:div>
        <w:div w:id="917788081">
          <w:marLeft w:val="0"/>
          <w:marRight w:val="0"/>
          <w:marTop w:val="0"/>
          <w:marBottom w:val="0"/>
          <w:divBdr>
            <w:top w:val="none" w:sz="0" w:space="0" w:color="auto"/>
            <w:left w:val="none" w:sz="0" w:space="0" w:color="auto"/>
            <w:bottom w:val="none" w:sz="0" w:space="0" w:color="auto"/>
            <w:right w:val="none" w:sz="0" w:space="0" w:color="auto"/>
          </w:divBdr>
        </w:div>
        <w:div w:id="933365074">
          <w:marLeft w:val="0"/>
          <w:marRight w:val="0"/>
          <w:marTop w:val="0"/>
          <w:marBottom w:val="0"/>
          <w:divBdr>
            <w:top w:val="none" w:sz="0" w:space="0" w:color="auto"/>
            <w:left w:val="none" w:sz="0" w:space="0" w:color="auto"/>
            <w:bottom w:val="none" w:sz="0" w:space="0" w:color="auto"/>
            <w:right w:val="none" w:sz="0" w:space="0" w:color="auto"/>
          </w:divBdr>
        </w:div>
        <w:div w:id="1176460882">
          <w:marLeft w:val="0"/>
          <w:marRight w:val="0"/>
          <w:marTop w:val="0"/>
          <w:marBottom w:val="0"/>
          <w:divBdr>
            <w:top w:val="none" w:sz="0" w:space="0" w:color="auto"/>
            <w:left w:val="none" w:sz="0" w:space="0" w:color="auto"/>
            <w:bottom w:val="none" w:sz="0" w:space="0" w:color="auto"/>
            <w:right w:val="none" w:sz="0" w:space="0" w:color="auto"/>
          </w:divBdr>
        </w:div>
        <w:div w:id="1233660494">
          <w:marLeft w:val="0"/>
          <w:marRight w:val="0"/>
          <w:marTop w:val="0"/>
          <w:marBottom w:val="0"/>
          <w:divBdr>
            <w:top w:val="none" w:sz="0" w:space="0" w:color="auto"/>
            <w:left w:val="none" w:sz="0" w:space="0" w:color="auto"/>
            <w:bottom w:val="none" w:sz="0" w:space="0" w:color="auto"/>
            <w:right w:val="none" w:sz="0" w:space="0" w:color="auto"/>
          </w:divBdr>
        </w:div>
        <w:div w:id="1313212254">
          <w:marLeft w:val="0"/>
          <w:marRight w:val="0"/>
          <w:marTop w:val="0"/>
          <w:marBottom w:val="0"/>
          <w:divBdr>
            <w:top w:val="none" w:sz="0" w:space="0" w:color="auto"/>
            <w:left w:val="none" w:sz="0" w:space="0" w:color="auto"/>
            <w:bottom w:val="none" w:sz="0" w:space="0" w:color="auto"/>
            <w:right w:val="none" w:sz="0" w:space="0" w:color="auto"/>
          </w:divBdr>
        </w:div>
        <w:div w:id="1472013791">
          <w:marLeft w:val="0"/>
          <w:marRight w:val="0"/>
          <w:marTop w:val="0"/>
          <w:marBottom w:val="0"/>
          <w:divBdr>
            <w:top w:val="none" w:sz="0" w:space="0" w:color="auto"/>
            <w:left w:val="none" w:sz="0" w:space="0" w:color="auto"/>
            <w:bottom w:val="none" w:sz="0" w:space="0" w:color="auto"/>
            <w:right w:val="none" w:sz="0" w:space="0" w:color="auto"/>
          </w:divBdr>
        </w:div>
        <w:div w:id="2009359924">
          <w:marLeft w:val="0"/>
          <w:marRight w:val="0"/>
          <w:marTop w:val="0"/>
          <w:marBottom w:val="0"/>
          <w:divBdr>
            <w:top w:val="none" w:sz="0" w:space="0" w:color="auto"/>
            <w:left w:val="none" w:sz="0" w:space="0" w:color="auto"/>
            <w:bottom w:val="none" w:sz="0" w:space="0" w:color="auto"/>
            <w:right w:val="none" w:sz="0" w:space="0" w:color="auto"/>
          </w:divBdr>
        </w:div>
        <w:div w:id="2098670985">
          <w:marLeft w:val="0"/>
          <w:marRight w:val="0"/>
          <w:marTop w:val="0"/>
          <w:marBottom w:val="0"/>
          <w:divBdr>
            <w:top w:val="none" w:sz="0" w:space="0" w:color="auto"/>
            <w:left w:val="none" w:sz="0" w:space="0" w:color="auto"/>
            <w:bottom w:val="none" w:sz="0" w:space="0" w:color="auto"/>
            <w:right w:val="none" w:sz="0" w:space="0" w:color="auto"/>
          </w:divBdr>
        </w:div>
      </w:divsChild>
    </w:div>
    <w:div w:id="1670281457">
      <w:bodyDiv w:val="1"/>
      <w:marLeft w:val="0"/>
      <w:marRight w:val="0"/>
      <w:marTop w:val="0"/>
      <w:marBottom w:val="0"/>
      <w:divBdr>
        <w:top w:val="none" w:sz="0" w:space="0" w:color="auto"/>
        <w:left w:val="none" w:sz="0" w:space="0" w:color="auto"/>
        <w:bottom w:val="none" w:sz="0" w:space="0" w:color="auto"/>
        <w:right w:val="none" w:sz="0" w:space="0" w:color="auto"/>
      </w:divBdr>
      <w:divsChild>
        <w:div w:id="1458061621">
          <w:marLeft w:val="0"/>
          <w:marRight w:val="0"/>
          <w:marTop w:val="0"/>
          <w:marBottom w:val="0"/>
          <w:divBdr>
            <w:top w:val="none" w:sz="0" w:space="0" w:color="auto"/>
            <w:left w:val="none" w:sz="0" w:space="0" w:color="auto"/>
            <w:bottom w:val="none" w:sz="0" w:space="0" w:color="auto"/>
            <w:right w:val="none" w:sz="0" w:space="0" w:color="auto"/>
          </w:divBdr>
        </w:div>
        <w:div w:id="2122258897">
          <w:marLeft w:val="0"/>
          <w:marRight w:val="0"/>
          <w:marTop w:val="0"/>
          <w:marBottom w:val="0"/>
          <w:divBdr>
            <w:top w:val="none" w:sz="0" w:space="0" w:color="auto"/>
            <w:left w:val="none" w:sz="0" w:space="0" w:color="auto"/>
            <w:bottom w:val="none" w:sz="0" w:space="0" w:color="auto"/>
            <w:right w:val="none" w:sz="0" w:space="0" w:color="auto"/>
          </w:divBdr>
          <w:divsChild>
            <w:div w:id="1118257420">
              <w:marLeft w:val="-75"/>
              <w:marRight w:val="0"/>
              <w:marTop w:val="30"/>
              <w:marBottom w:val="30"/>
              <w:divBdr>
                <w:top w:val="none" w:sz="0" w:space="0" w:color="auto"/>
                <w:left w:val="none" w:sz="0" w:space="0" w:color="auto"/>
                <w:bottom w:val="none" w:sz="0" w:space="0" w:color="auto"/>
                <w:right w:val="none" w:sz="0" w:space="0" w:color="auto"/>
              </w:divBdr>
              <w:divsChild>
                <w:div w:id="207105124">
                  <w:marLeft w:val="0"/>
                  <w:marRight w:val="0"/>
                  <w:marTop w:val="0"/>
                  <w:marBottom w:val="0"/>
                  <w:divBdr>
                    <w:top w:val="none" w:sz="0" w:space="0" w:color="auto"/>
                    <w:left w:val="none" w:sz="0" w:space="0" w:color="auto"/>
                    <w:bottom w:val="none" w:sz="0" w:space="0" w:color="auto"/>
                    <w:right w:val="none" w:sz="0" w:space="0" w:color="auto"/>
                  </w:divBdr>
                  <w:divsChild>
                    <w:div w:id="978539428">
                      <w:marLeft w:val="0"/>
                      <w:marRight w:val="0"/>
                      <w:marTop w:val="0"/>
                      <w:marBottom w:val="0"/>
                      <w:divBdr>
                        <w:top w:val="none" w:sz="0" w:space="0" w:color="auto"/>
                        <w:left w:val="none" w:sz="0" w:space="0" w:color="auto"/>
                        <w:bottom w:val="none" w:sz="0" w:space="0" w:color="auto"/>
                        <w:right w:val="none" w:sz="0" w:space="0" w:color="auto"/>
                      </w:divBdr>
                    </w:div>
                    <w:div w:id="1811634893">
                      <w:marLeft w:val="0"/>
                      <w:marRight w:val="0"/>
                      <w:marTop w:val="0"/>
                      <w:marBottom w:val="0"/>
                      <w:divBdr>
                        <w:top w:val="none" w:sz="0" w:space="0" w:color="auto"/>
                        <w:left w:val="none" w:sz="0" w:space="0" w:color="auto"/>
                        <w:bottom w:val="none" w:sz="0" w:space="0" w:color="auto"/>
                        <w:right w:val="none" w:sz="0" w:space="0" w:color="auto"/>
                      </w:divBdr>
                    </w:div>
                    <w:div w:id="1817643273">
                      <w:marLeft w:val="0"/>
                      <w:marRight w:val="0"/>
                      <w:marTop w:val="0"/>
                      <w:marBottom w:val="0"/>
                      <w:divBdr>
                        <w:top w:val="none" w:sz="0" w:space="0" w:color="auto"/>
                        <w:left w:val="none" w:sz="0" w:space="0" w:color="auto"/>
                        <w:bottom w:val="none" w:sz="0" w:space="0" w:color="auto"/>
                        <w:right w:val="none" w:sz="0" w:space="0" w:color="auto"/>
                      </w:divBdr>
                    </w:div>
                  </w:divsChild>
                </w:div>
                <w:div w:id="359166668">
                  <w:marLeft w:val="0"/>
                  <w:marRight w:val="0"/>
                  <w:marTop w:val="0"/>
                  <w:marBottom w:val="0"/>
                  <w:divBdr>
                    <w:top w:val="none" w:sz="0" w:space="0" w:color="auto"/>
                    <w:left w:val="none" w:sz="0" w:space="0" w:color="auto"/>
                    <w:bottom w:val="none" w:sz="0" w:space="0" w:color="auto"/>
                    <w:right w:val="none" w:sz="0" w:space="0" w:color="auto"/>
                  </w:divBdr>
                  <w:divsChild>
                    <w:div w:id="216088584">
                      <w:marLeft w:val="0"/>
                      <w:marRight w:val="0"/>
                      <w:marTop w:val="0"/>
                      <w:marBottom w:val="0"/>
                      <w:divBdr>
                        <w:top w:val="none" w:sz="0" w:space="0" w:color="auto"/>
                        <w:left w:val="none" w:sz="0" w:space="0" w:color="auto"/>
                        <w:bottom w:val="none" w:sz="0" w:space="0" w:color="auto"/>
                        <w:right w:val="none" w:sz="0" w:space="0" w:color="auto"/>
                      </w:divBdr>
                    </w:div>
                    <w:div w:id="638456550">
                      <w:marLeft w:val="0"/>
                      <w:marRight w:val="0"/>
                      <w:marTop w:val="0"/>
                      <w:marBottom w:val="0"/>
                      <w:divBdr>
                        <w:top w:val="none" w:sz="0" w:space="0" w:color="auto"/>
                        <w:left w:val="none" w:sz="0" w:space="0" w:color="auto"/>
                        <w:bottom w:val="none" w:sz="0" w:space="0" w:color="auto"/>
                        <w:right w:val="none" w:sz="0" w:space="0" w:color="auto"/>
                      </w:divBdr>
                    </w:div>
                    <w:div w:id="1461459577">
                      <w:marLeft w:val="0"/>
                      <w:marRight w:val="0"/>
                      <w:marTop w:val="0"/>
                      <w:marBottom w:val="0"/>
                      <w:divBdr>
                        <w:top w:val="none" w:sz="0" w:space="0" w:color="auto"/>
                        <w:left w:val="none" w:sz="0" w:space="0" w:color="auto"/>
                        <w:bottom w:val="none" w:sz="0" w:space="0" w:color="auto"/>
                        <w:right w:val="none" w:sz="0" w:space="0" w:color="auto"/>
                      </w:divBdr>
                    </w:div>
                  </w:divsChild>
                </w:div>
                <w:div w:id="388194377">
                  <w:marLeft w:val="0"/>
                  <w:marRight w:val="0"/>
                  <w:marTop w:val="0"/>
                  <w:marBottom w:val="0"/>
                  <w:divBdr>
                    <w:top w:val="none" w:sz="0" w:space="0" w:color="auto"/>
                    <w:left w:val="none" w:sz="0" w:space="0" w:color="auto"/>
                    <w:bottom w:val="none" w:sz="0" w:space="0" w:color="auto"/>
                    <w:right w:val="none" w:sz="0" w:space="0" w:color="auto"/>
                  </w:divBdr>
                  <w:divsChild>
                    <w:div w:id="97409781">
                      <w:marLeft w:val="0"/>
                      <w:marRight w:val="0"/>
                      <w:marTop w:val="0"/>
                      <w:marBottom w:val="0"/>
                      <w:divBdr>
                        <w:top w:val="none" w:sz="0" w:space="0" w:color="auto"/>
                        <w:left w:val="none" w:sz="0" w:space="0" w:color="auto"/>
                        <w:bottom w:val="none" w:sz="0" w:space="0" w:color="auto"/>
                        <w:right w:val="none" w:sz="0" w:space="0" w:color="auto"/>
                      </w:divBdr>
                    </w:div>
                    <w:div w:id="495076173">
                      <w:marLeft w:val="0"/>
                      <w:marRight w:val="0"/>
                      <w:marTop w:val="0"/>
                      <w:marBottom w:val="0"/>
                      <w:divBdr>
                        <w:top w:val="none" w:sz="0" w:space="0" w:color="auto"/>
                        <w:left w:val="none" w:sz="0" w:space="0" w:color="auto"/>
                        <w:bottom w:val="none" w:sz="0" w:space="0" w:color="auto"/>
                        <w:right w:val="none" w:sz="0" w:space="0" w:color="auto"/>
                      </w:divBdr>
                    </w:div>
                  </w:divsChild>
                </w:div>
                <w:div w:id="1269509768">
                  <w:marLeft w:val="0"/>
                  <w:marRight w:val="0"/>
                  <w:marTop w:val="0"/>
                  <w:marBottom w:val="0"/>
                  <w:divBdr>
                    <w:top w:val="none" w:sz="0" w:space="0" w:color="auto"/>
                    <w:left w:val="none" w:sz="0" w:space="0" w:color="auto"/>
                    <w:bottom w:val="none" w:sz="0" w:space="0" w:color="auto"/>
                    <w:right w:val="none" w:sz="0" w:space="0" w:color="auto"/>
                  </w:divBdr>
                  <w:divsChild>
                    <w:div w:id="315569623">
                      <w:marLeft w:val="0"/>
                      <w:marRight w:val="0"/>
                      <w:marTop w:val="0"/>
                      <w:marBottom w:val="0"/>
                      <w:divBdr>
                        <w:top w:val="none" w:sz="0" w:space="0" w:color="auto"/>
                        <w:left w:val="none" w:sz="0" w:space="0" w:color="auto"/>
                        <w:bottom w:val="none" w:sz="0" w:space="0" w:color="auto"/>
                        <w:right w:val="none" w:sz="0" w:space="0" w:color="auto"/>
                      </w:divBdr>
                    </w:div>
                    <w:div w:id="504780578">
                      <w:marLeft w:val="0"/>
                      <w:marRight w:val="0"/>
                      <w:marTop w:val="0"/>
                      <w:marBottom w:val="0"/>
                      <w:divBdr>
                        <w:top w:val="none" w:sz="0" w:space="0" w:color="auto"/>
                        <w:left w:val="none" w:sz="0" w:space="0" w:color="auto"/>
                        <w:bottom w:val="none" w:sz="0" w:space="0" w:color="auto"/>
                        <w:right w:val="none" w:sz="0" w:space="0" w:color="auto"/>
                      </w:divBdr>
                    </w:div>
                    <w:div w:id="2138448592">
                      <w:marLeft w:val="0"/>
                      <w:marRight w:val="0"/>
                      <w:marTop w:val="0"/>
                      <w:marBottom w:val="0"/>
                      <w:divBdr>
                        <w:top w:val="none" w:sz="0" w:space="0" w:color="auto"/>
                        <w:left w:val="none" w:sz="0" w:space="0" w:color="auto"/>
                        <w:bottom w:val="none" w:sz="0" w:space="0" w:color="auto"/>
                        <w:right w:val="none" w:sz="0" w:space="0" w:color="auto"/>
                      </w:divBdr>
                    </w:div>
                  </w:divsChild>
                </w:div>
                <w:div w:id="1378353972">
                  <w:marLeft w:val="0"/>
                  <w:marRight w:val="0"/>
                  <w:marTop w:val="0"/>
                  <w:marBottom w:val="0"/>
                  <w:divBdr>
                    <w:top w:val="none" w:sz="0" w:space="0" w:color="auto"/>
                    <w:left w:val="none" w:sz="0" w:space="0" w:color="auto"/>
                    <w:bottom w:val="none" w:sz="0" w:space="0" w:color="auto"/>
                    <w:right w:val="none" w:sz="0" w:space="0" w:color="auto"/>
                  </w:divBdr>
                  <w:divsChild>
                    <w:div w:id="355154340">
                      <w:marLeft w:val="0"/>
                      <w:marRight w:val="0"/>
                      <w:marTop w:val="0"/>
                      <w:marBottom w:val="0"/>
                      <w:divBdr>
                        <w:top w:val="none" w:sz="0" w:space="0" w:color="auto"/>
                        <w:left w:val="none" w:sz="0" w:space="0" w:color="auto"/>
                        <w:bottom w:val="none" w:sz="0" w:space="0" w:color="auto"/>
                        <w:right w:val="none" w:sz="0" w:space="0" w:color="auto"/>
                      </w:divBdr>
                    </w:div>
                  </w:divsChild>
                </w:div>
                <w:div w:id="1547450079">
                  <w:marLeft w:val="0"/>
                  <w:marRight w:val="0"/>
                  <w:marTop w:val="0"/>
                  <w:marBottom w:val="0"/>
                  <w:divBdr>
                    <w:top w:val="none" w:sz="0" w:space="0" w:color="auto"/>
                    <w:left w:val="none" w:sz="0" w:space="0" w:color="auto"/>
                    <w:bottom w:val="none" w:sz="0" w:space="0" w:color="auto"/>
                    <w:right w:val="none" w:sz="0" w:space="0" w:color="auto"/>
                  </w:divBdr>
                  <w:divsChild>
                    <w:div w:id="1815484517">
                      <w:marLeft w:val="0"/>
                      <w:marRight w:val="0"/>
                      <w:marTop w:val="0"/>
                      <w:marBottom w:val="0"/>
                      <w:divBdr>
                        <w:top w:val="none" w:sz="0" w:space="0" w:color="auto"/>
                        <w:left w:val="none" w:sz="0" w:space="0" w:color="auto"/>
                        <w:bottom w:val="none" w:sz="0" w:space="0" w:color="auto"/>
                        <w:right w:val="none" w:sz="0" w:space="0" w:color="auto"/>
                      </w:divBdr>
                    </w:div>
                  </w:divsChild>
                </w:div>
                <w:div w:id="1575778362">
                  <w:marLeft w:val="0"/>
                  <w:marRight w:val="0"/>
                  <w:marTop w:val="0"/>
                  <w:marBottom w:val="0"/>
                  <w:divBdr>
                    <w:top w:val="none" w:sz="0" w:space="0" w:color="auto"/>
                    <w:left w:val="none" w:sz="0" w:space="0" w:color="auto"/>
                    <w:bottom w:val="none" w:sz="0" w:space="0" w:color="auto"/>
                    <w:right w:val="none" w:sz="0" w:space="0" w:color="auto"/>
                  </w:divBdr>
                  <w:divsChild>
                    <w:div w:id="493648110">
                      <w:marLeft w:val="0"/>
                      <w:marRight w:val="0"/>
                      <w:marTop w:val="0"/>
                      <w:marBottom w:val="0"/>
                      <w:divBdr>
                        <w:top w:val="none" w:sz="0" w:space="0" w:color="auto"/>
                        <w:left w:val="none" w:sz="0" w:space="0" w:color="auto"/>
                        <w:bottom w:val="none" w:sz="0" w:space="0" w:color="auto"/>
                        <w:right w:val="none" w:sz="0" w:space="0" w:color="auto"/>
                      </w:divBdr>
                    </w:div>
                    <w:div w:id="2146004151">
                      <w:marLeft w:val="0"/>
                      <w:marRight w:val="0"/>
                      <w:marTop w:val="0"/>
                      <w:marBottom w:val="0"/>
                      <w:divBdr>
                        <w:top w:val="none" w:sz="0" w:space="0" w:color="auto"/>
                        <w:left w:val="none" w:sz="0" w:space="0" w:color="auto"/>
                        <w:bottom w:val="none" w:sz="0" w:space="0" w:color="auto"/>
                        <w:right w:val="none" w:sz="0" w:space="0" w:color="auto"/>
                      </w:divBdr>
                    </w:div>
                  </w:divsChild>
                </w:div>
                <w:div w:id="1597595027">
                  <w:marLeft w:val="0"/>
                  <w:marRight w:val="0"/>
                  <w:marTop w:val="0"/>
                  <w:marBottom w:val="0"/>
                  <w:divBdr>
                    <w:top w:val="none" w:sz="0" w:space="0" w:color="auto"/>
                    <w:left w:val="none" w:sz="0" w:space="0" w:color="auto"/>
                    <w:bottom w:val="none" w:sz="0" w:space="0" w:color="auto"/>
                    <w:right w:val="none" w:sz="0" w:space="0" w:color="auto"/>
                  </w:divBdr>
                  <w:divsChild>
                    <w:div w:id="1500006007">
                      <w:marLeft w:val="0"/>
                      <w:marRight w:val="0"/>
                      <w:marTop w:val="0"/>
                      <w:marBottom w:val="0"/>
                      <w:divBdr>
                        <w:top w:val="none" w:sz="0" w:space="0" w:color="auto"/>
                        <w:left w:val="none" w:sz="0" w:space="0" w:color="auto"/>
                        <w:bottom w:val="none" w:sz="0" w:space="0" w:color="auto"/>
                        <w:right w:val="none" w:sz="0" w:space="0" w:color="auto"/>
                      </w:divBdr>
                    </w:div>
                  </w:divsChild>
                </w:div>
                <w:div w:id="1678842267">
                  <w:marLeft w:val="0"/>
                  <w:marRight w:val="0"/>
                  <w:marTop w:val="0"/>
                  <w:marBottom w:val="0"/>
                  <w:divBdr>
                    <w:top w:val="none" w:sz="0" w:space="0" w:color="auto"/>
                    <w:left w:val="none" w:sz="0" w:space="0" w:color="auto"/>
                    <w:bottom w:val="none" w:sz="0" w:space="0" w:color="auto"/>
                    <w:right w:val="none" w:sz="0" w:space="0" w:color="auto"/>
                  </w:divBdr>
                  <w:divsChild>
                    <w:div w:id="289170141">
                      <w:marLeft w:val="0"/>
                      <w:marRight w:val="0"/>
                      <w:marTop w:val="0"/>
                      <w:marBottom w:val="0"/>
                      <w:divBdr>
                        <w:top w:val="none" w:sz="0" w:space="0" w:color="auto"/>
                        <w:left w:val="none" w:sz="0" w:space="0" w:color="auto"/>
                        <w:bottom w:val="none" w:sz="0" w:space="0" w:color="auto"/>
                        <w:right w:val="none" w:sz="0" w:space="0" w:color="auto"/>
                      </w:divBdr>
                    </w:div>
                    <w:div w:id="507451521">
                      <w:marLeft w:val="0"/>
                      <w:marRight w:val="0"/>
                      <w:marTop w:val="0"/>
                      <w:marBottom w:val="0"/>
                      <w:divBdr>
                        <w:top w:val="none" w:sz="0" w:space="0" w:color="auto"/>
                        <w:left w:val="none" w:sz="0" w:space="0" w:color="auto"/>
                        <w:bottom w:val="none" w:sz="0" w:space="0" w:color="auto"/>
                        <w:right w:val="none" w:sz="0" w:space="0" w:color="auto"/>
                      </w:divBdr>
                    </w:div>
                  </w:divsChild>
                </w:div>
                <w:div w:id="1945644793">
                  <w:marLeft w:val="0"/>
                  <w:marRight w:val="0"/>
                  <w:marTop w:val="0"/>
                  <w:marBottom w:val="0"/>
                  <w:divBdr>
                    <w:top w:val="none" w:sz="0" w:space="0" w:color="auto"/>
                    <w:left w:val="none" w:sz="0" w:space="0" w:color="auto"/>
                    <w:bottom w:val="none" w:sz="0" w:space="0" w:color="auto"/>
                    <w:right w:val="none" w:sz="0" w:space="0" w:color="auto"/>
                  </w:divBdr>
                  <w:divsChild>
                    <w:div w:id="2073502375">
                      <w:marLeft w:val="0"/>
                      <w:marRight w:val="0"/>
                      <w:marTop w:val="0"/>
                      <w:marBottom w:val="0"/>
                      <w:divBdr>
                        <w:top w:val="none" w:sz="0" w:space="0" w:color="auto"/>
                        <w:left w:val="none" w:sz="0" w:space="0" w:color="auto"/>
                        <w:bottom w:val="none" w:sz="0" w:space="0" w:color="auto"/>
                        <w:right w:val="none" w:sz="0" w:space="0" w:color="auto"/>
                      </w:divBdr>
                    </w:div>
                  </w:divsChild>
                </w:div>
                <w:div w:id="2033722623">
                  <w:marLeft w:val="0"/>
                  <w:marRight w:val="0"/>
                  <w:marTop w:val="0"/>
                  <w:marBottom w:val="0"/>
                  <w:divBdr>
                    <w:top w:val="none" w:sz="0" w:space="0" w:color="auto"/>
                    <w:left w:val="none" w:sz="0" w:space="0" w:color="auto"/>
                    <w:bottom w:val="none" w:sz="0" w:space="0" w:color="auto"/>
                    <w:right w:val="none" w:sz="0" w:space="0" w:color="auto"/>
                  </w:divBdr>
                  <w:divsChild>
                    <w:div w:id="511070845">
                      <w:marLeft w:val="0"/>
                      <w:marRight w:val="0"/>
                      <w:marTop w:val="0"/>
                      <w:marBottom w:val="0"/>
                      <w:divBdr>
                        <w:top w:val="none" w:sz="0" w:space="0" w:color="auto"/>
                        <w:left w:val="none" w:sz="0" w:space="0" w:color="auto"/>
                        <w:bottom w:val="none" w:sz="0" w:space="0" w:color="auto"/>
                        <w:right w:val="none" w:sz="0" w:space="0" w:color="auto"/>
                      </w:divBdr>
                    </w:div>
                    <w:div w:id="759446501">
                      <w:marLeft w:val="0"/>
                      <w:marRight w:val="0"/>
                      <w:marTop w:val="0"/>
                      <w:marBottom w:val="0"/>
                      <w:divBdr>
                        <w:top w:val="none" w:sz="0" w:space="0" w:color="auto"/>
                        <w:left w:val="none" w:sz="0" w:space="0" w:color="auto"/>
                        <w:bottom w:val="none" w:sz="0" w:space="0" w:color="auto"/>
                        <w:right w:val="none" w:sz="0" w:space="0" w:color="auto"/>
                      </w:divBdr>
                    </w:div>
                    <w:div w:id="1214850828">
                      <w:marLeft w:val="0"/>
                      <w:marRight w:val="0"/>
                      <w:marTop w:val="0"/>
                      <w:marBottom w:val="0"/>
                      <w:divBdr>
                        <w:top w:val="none" w:sz="0" w:space="0" w:color="auto"/>
                        <w:left w:val="none" w:sz="0" w:space="0" w:color="auto"/>
                        <w:bottom w:val="none" w:sz="0" w:space="0" w:color="auto"/>
                        <w:right w:val="none" w:sz="0" w:space="0" w:color="auto"/>
                      </w:divBdr>
                    </w:div>
                  </w:divsChild>
                </w:div>
                <w:div w:id="2036926394">
                  <w:marLeft w:val="0"/>
                  <w:marRight w:val="0"/>
                  <w:marTop w:val="0"/>
                  <w:marBottom w:val="0"/>
                  <w:divBdr>
                    <w:top w:val="none" w:sz="0" w:space="0" w:color="auto"/>
                    <w:left w:val="none" w:sz="0" w:space="0" w:color="auto"/>
                    <w:bottom w:val="none" w:sz="0" w:space="0" w:color="auto"/>
                    <w:right w:val="none" w:sz="0" w:space="0" w:color="auto"/>
                  </w:divBdr>
                  <w:divsChild>
                    <w:div w:id="20590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74930">
      <w:bodyDiv w:val="1"/>
      <w:marLeft w:val="0"/>
      <w:marRight w:val="0"/>
      <w:marTop w:val="0"/>
      <w:marBottom w:val="0"/>
      <w:divBdr>
        <w:top w:val="none" w:sz="0" w:space="0" w:color="auto"/>
        <w:left w:val="none" w:sz="0" w:space="0" w:color="auto"/>
        <w:bottom w:val="none" w:sz="0" w:space="0" w:color="auto"/>
        <w:right w:val="none" w:sz="0" w:space="0" w:color="auto"/>
      </w:divBdr>
      <w:divsChild>
        <w:div w:id="517306699">
          <w:marLeft w:val="0"/>
          <w:marRight w:val="0"/>
          <w:marTop w:val="0"/>
          <w:marBottom w:val="0"/>
          <w:divBdr>
            <w:top w:val="none" w:sz="0" w:space="0" w:color="auto"/>
            <w:left w:val="none" w:sz="0" w:space="0" w:color="auto"/>
            <w:bottom w:val="none" w:sz="0" w:space="0" w:color="auto"/>
            <w:right w:val="none" w:sz="0" w:space="0" w:color="auto"/>
          </w:divBdr>
        </w:div>
        <w:div w:id="1601791727">
          <w:marLeft w:val="0"/>
          <w:marRight w:val="0"/>
          <w:marTop w:val="0"/>
          <w:marBottom w:val="0"/>
          <w:divBdr>
            <w:top w:val="none" w:sz="0" w:space="0" w:color="auto"/>
            <w:left w:val="none" w:sz="0" w:space="0" w:color="auto"/>
            <w:bottom w:val="none" w:sz="0" w:space="0" w:color="auto"/>
            <w:right w:val="none" w:sz="0" w:space="0" w:color="auto"/>
          </w:divBdr>
        </w:div>
        <w:div w:id="1980069613">
          <w:marLeft w:val="0"/>
          <w:marRight w:val="0"/>
          <w:marTop w:val="0"/>
          <w:marBottom w:val="0"/>
          <w:divBdr>
            <w:top w:val="none" w:sz="0" w:space="0" w:color="auto"/>
            <w:left w:val="none" w:sz="0" w:space="0" w:color="auto"/>
            <w:bottom w:val="none" w:sz="0" w:space="0" w:color="auto"/>
            <w:right w:val="none" w:sz="0" w:space="0" w:color="auto"/>
          </w:divBdr>
        </w:div>
      </w:divsChild>
    </w:div>
    <w:div w:id="1922836141">
      <w:bodyDiv w:val="1"/>
      <w:marLeft w:val="0"/>
      <w:marRight w:val="0"/>
      <w:marTop w:val="0"/>
      <w:marBottom w:val="0"/>
      <w:divBdr>
        <w:top w:val="none" w:sz="0" w:space="0" w:color="auto"/>
        <w:left w:val="none" w:sz="0" w:space="0" w:color="auto"/>
        <w:bottom w:val="none" w:sz="0" w:space="0" w:color="auto"/>
        <w:right w:val="none" w:sz="0" w:space="0" w:color="auto"/>
      </w:divBdr>
    </w:div>
    <w:div w:id="1954365736">
      <w:bodyDiv w:val="1"/>
      <w:marLeft w:val="0"/>
      <w:marRight w:val="0"/>
      <w:marTop w:val="0"/>
      <w:marBottom w:val="0"/>
      <w:divBdr>
        <w:top w:val="none" w:sz="0" w:space="0" w:color="auto"/>
        <w:left w:val="none" w:sz="0" w:space="0" w:color="auto"/>
        <w:bottom w:val="none" w:sz="0" w:space="0" w:color="auto"/>
        <w:right w:val="none" w:sz="0" w:space="0" w:color="auto"/>
      </w:divBdr>
    </w:div>
    <w:div w:id="2120294484">
      <w:bodyDiv w:val="1"/>
      <w:marLeft w:val="0"/>
      <w:marRight w:val="0"/>
      <w:marTop w:val="0"/>
      <w:marBottom w:val="0"/>
      <w:divBdr>
        <w:top w:val="none" w:sz="0" w:space="0" w:color="auto"/>
        <w:left w:val="none" w:sz="0" w:space="0" w:color="auto"/>
        <w:bottom w:val="none" w:sz="0" w:space="0" w:color="auto"/>
        <w:right w:val="none" w:sz="0" w:space="0" w:color="auto"/>
      </w:divBdr>
    </w:div>
    <w:div w:id="212534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environment.govt.nz"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sv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what-government-is-doing/areas-of-work/climate-change/emissions-reductions/emissions-reduction-targets/new-zealands-projected-greenhouse-gas-emissions-to-2050/" TargetMode="External"/><Relationship Id="rId13" Type="http://schemas.openxmlformats.org/officeDocument/2006/relationships/hyperlink" Target="https://www.beehive.govt.nz/release/statement-minister-todd-mcclay-following-march-2025-pastoral-sector-group-meeting" TargetMode="External"/><Relationship Id="rId18" Type="http://schemas.openxmlformats.org/officeDocument/2006/relationships/hyperlink" Target="https://environment.govt.nz/assets/publications/Methane-science-and-target-review.pdf" TargetMode="External"/><Relationship Id="rId3" Type="http://schemas.openxmlformats.org/officeDocument/2006/relationships/hyperlink" Target="https://www.climatecommission.govt.nz/assets/Advice-to-govt-docs/Target-and-budgets-final-reports/Climate-Change-Commission-Target-and-ISA-Final-Advice-04Dec2024-with-errata-message.pdf" TargetMode="External"/><Relationship Id="rId7" Type="http://schemas.openxmlformats.org/officeDocument/2006/relationships/hyperlink" Target="https://environment.govt.nz/assets/publications/climate-change/ERP2/New-Zealands-second-emissions-reduction-plan-202630.pdf" TargetMode="External"/><Relationship Id="rId12" Type="http://schemas.openxmlformats.org/officeDocument/2006/relationships/hyperlink" Target="https://environment.govt.nz/assets/publications/climate-change/ERP2/New-Zealands-second-emissions-reduction-plan-202630.pdf" TargetMode="External"/><Relationship Id="rId17" Type="http://schemas.openxmlformats.org/officeDocument/2006/relationships/hyperlink" Target="https://environment.govt.nz/assets/news/Methane-Science-and-Target-Review-Terms-of-Reference.pdf" TargetMode="External"/><Relationship Id="rId2" Type="http://schemas.openxmlformats.org/officeDocument/2006/relationships/hyperlink" Target="https://environment.govt.nz/publications/methane-science-and-target-review/" TargetMode="External"/><Relationship Id="rId16" Type="http://schemas.openxmlformats.org/officeDocument/2006/relationships/hyperlink" Target="https://environment.govt.nz/assets/publications/Methane-science-and-target-review.pdf" TargetMode="External"/><Relationship Id="rId1" Type="http://schemas.openxmlformats.org/officeDocument/2006/relationships/hyperlink" Target="https://www.climatecommission.govt.nz/assets/Advice-to-govt-docs/Target-and-budgets-final-reports/Climate-Change-Commission-Target-and-ISA-Final-Advice-04Dec2024-with-errata-message.pdf" TargetMode="External"/><Relationship Id="rId6" Type="http://schemas.openxmlformats.org/officeDocument/2006/relationships/hyperlink" Target="https://environment.govt.nz/publications/methane-science-and-target-review/" TargetMode="External"/><Relationship Id="rId11" Type="http://schemas.openxmlformats.org/officeDocument/2006/relationships/hyperlink" Target="https://doi.org/10.1016/j.eiar.2022.106946" TargetMode="External"/><Relationship Id="rId5" Type="http://schemas.openxmlformats.org/officeDocument/2006/relationships/hyperlink" Target="https://www.climatecommission.govt.nz/assets/Advice-to-govt-docs/Target-and-budgets-final-reports/Climate-Change-Commission-Target-and-ISA-Final-Advice-04Dec2024-with-errata-message.pdf" TargetMode="External"/><Relationship Id="rId15" Type="http://schemas.openxmlformats.org/officeDocument/2006/relationships/hyperlink" Target="https://www.climatecommission.govt.nz/assets/Advice-to-govt-docs/Target-and-budgets-final-reports/Climate-Change-Commission-Target-and-ISA-Final-Advice-04Dec2024-with-errata-message.pdf" TargetMode="External"/><Relationship Id="rId10" Type="http://schemas.openxmlformats.org/officeDocument/2006/relationships/hyperlink" Target="https://www.mpi.govt.nz/dmsdocument/51076-Updating-the-carbon-footprint-for-selected-New-Zealand-agricultural-products-an-update-for-milk" TargetMode="External"/><Relationship Id="rId4" Type="http://schemas.openxmlformats.org/officeDocument/2006/relationships/hyperlink" Target="https://www.climatecommission.govt.nz/assets/Advice-to-govt-docs/Target-and-budgets-final-reports/Climate-Change-Commission-Target-and-ISA-Final-Advice-04Dec2024-with-errata-message.pdf" TargetMode="External"/><Relationship Id="rId9" Type="http://schemas.openxmlformats.org/officeDocument/2006/relationships/hyperlink" Target="https://www.mpi.govt.nz/dmsdocument/69612-Situation-and-Outlook-for-Primary-Industries-SOPI-June-2025/" TargetMode="External"/><Relationship Id="rId14" Type="http://schemas.openxmlformats.org/officeDocument/2006/relationships/hyperlink" Target="https://environment.govt.nz/assets/publications/climate-change/ERP2/New-Zealands-second-emissions-reduction-plan-20263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shK\OneDrive%20-%20ministryforenvironment\Desktop\Quick%20access%20files\Templates%20renames\Report%20template.dotx"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4b20094bf62eb2ce1f7893dc8ee53b6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3ce1ef68969a5d189f0db13cdd090eb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IconOverlay xmlns="http://schemas.microsoft.com/sharepoint/v4" xsi:nil="true"/>
    <lcf76f155ced4ddcb4097134ff3c332f xmlns="4a94300e-a927-4b92-9d3a-682523035cb6">
      <Terms xmlns="http://schemas.microsoft.com/office/infopath/2007/PartnerControls"/>
    </lcf76f155ced4ddcb4097134ff3c332f>
    <TaxCatchAll xmlns="58a6f171-52cb-4404-b47d-af1c8daf8fd1" xsi:nil="true"/>
    <_dlc_DocId xmlns="58a6f171-52cb-4404-b47d-af1c8daf8fd1">ECM-1122293896-127850</_dlc_DocId>
    <_dlc_DocIdUrl xmlns="58a6f171-52cb-4404-b47d-af1c8daf8fd1">
      <Url>https://ministryforenvironment.sharepoint.com/sites/ECM-ER-Comms/_layouts/15/DocIdRedir.aspx?ID=ECM-1122293896-127850</Url>
      <Description>ECM-1122293896-127850</Description>
    </_dlc_DocIdUrl>
  </documentManagement>
</p:properties>
</file>

<file path=customXml/itemProps1.xml><?xml version="1.0" encoding="utf-8"?>
<ds:datastoreItem xmlns:ds="http://schemas.openxmlformats.org/officeDocument/2006/customXml" ds:itemID="{89BD101C-0417-4785-85A7-A0C452AD7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368474-78AA-4D34-8D79-C3ADF72F961E}">
  <ds:schemaRefs>
    <ds:schemaRef ds:uri="http://schemas.openxmlformats.org/officeDocument/2006/bibliography"/>
  </ds:schemaRefs>
</ds:datastoreItem>
</file>

<file path=customXml/itemProps3.xml><?xml version="1.0" encoding="utf-8"?>
<ds:datastoreItem xmlns:ds="http://schemas.openxmlformats.org/officeDocument/2006/customXml" ds:itemID="{DB9806D5-368E-4213-A9EB-6FAA13F4F29B}">
  <ds:schemaRefs>
    <ds:schemaRef ds:uri="http://schemas.microsoft.com/sharepoint/events"/>
  </ds:schemaRefs>
</ds:datastoreItem>
</file>

<file path=customXml/itemProps4.xml><?xml version="1.0" encoding="utf-8"?>
<ds:datastoreItem xmlns:ds="http://schemas.openxmlformats.org/officeDocument/2006/customXml" ds:itemID="{DC5C4DAC-B181-464C-803C-89FE24673ACA}">
  <ds:schemaRefs>
    <ds:schemaRef ds:uri="http://schemas.microsoft.com/sharepoint/v3/contenttype/forms"/>
  </ds:schemaRefs>
</ds:datastoreItem>
</file>

<file path=customXml/itemProps5.xml><?xml version="1.0" encoding="utf-8"?>
<ds:datastoreItem xmlns:ds="http://schemas.openxmlformats.org/officeDocument/2006/customXml" ds:itemID="{BD321625-000B-4F0B-A58D-4998366D52E1}">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docProps/app.xml><?xml version="1.0" encoding="utf-8"?>
<Properties xmlns="http://schemas.openxmlformats.org/officeDocument/2006/extended-properties" xmlns:vt="http://schemas.openxmlformats.org/officeDocument/2006/docPropsVTypes">
  <Template>Report template</Template>
  <TotalTime>8</TotalTime>
  <Pages>1</Pages>
  <Words>7362</Words>
  <Characters>41970</Characters>
  <Application>Microsoft Office Word</Application>
  <DocSecurity>0</DocSecurity>
  <Lines>349</Lines>
  <Paragraphs>98</Paragraphs>
  <ScaleCrop>false</ScaleCrop>
  <Company/>
  <LinksUpToDate>false</LinksUpToDate>
  <CharactersWithSpaces>49234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cp:lastPrinted>2025-12-02T20:33:00Z</cp:lastPrinted>
  <dcterms:created xsi:type="dcterms:W3CDTF">2025-11-20T21:19:00Z</dcterms:created>
  <dcterms:modified xsi:type="dcterms:W3CDTF">2025-12-02T21:35:00Z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ShapeIds">
    <vt:lpwstr>126245d3,690191d1,55c0f2b5,7accfcf8,66932edc,780e5cc,3bbe28f7</vt:lpwstr>
  </property>
  <property fmtid="{D5CDD505-2E9C-101B-9397-08002B2CF9AE}" pid="5" name="ClassificationContentMarkingHeaderFontProps">
    <vt:lpwstr>#000000,9,Calibri</vt:lpwstr>
  </property>
  <property fmtid="{D5CDD505-2E9C-101B-9397-08002B2CF9AE}" pid="6" name="ClassificationContentMarkingHeaderText">
    <vt:lpwstr>[IN-CONFIDENCE]</vt:lpwstr>
  </property>
  <property fmtid="{D5CDD505-2E9C-101B-9397-08002B2CF9AE}" pid="7" name="ClassificationContentMarkingFooterShapeIds">
    <vt:lpwstr>7d776845,231b086c,422f1c7f,64df3716,7c15ae79,6649944c,4107e134</vt:lpwstr>
  </property>
  <property fmtid="{D5CDD505-2E9C-101B-9397-08002B2CF9AE}" pid="8" name="ClassificationContentMarkingFooterFontProps">
    <vt:lpwstr>#000000,9,Calibri</vt:lpwstr>
  </property>
  <property fmtid="{D5CDD505-2E9C-101B-9397-08002B2CF9AE}" pid="9" name="ClassificationContentMarkingFooterText">
    <vt:lpwstr>[IN-CONFIDENCE]</vt:lpwstr>
  </property>
  <property fmtid="{D5CDD505-2E9C-101B-9397-08002B2CF9AE}" pid="10" name="docLang">
    <vt:lpwstr>en</vt:lpwstr>
  </property>
  <property fmtid="{D5CDD505-2E9C-101B-9397-08002B2CF9AE}" pid="11" name="_dlc_DocIdItemGuid">
    <vt:lpwstr>0cdc0ee6-e18f-4aa4-87ac-a66ee24392aa</vt:lpwstr>
  </property>
  <property fmtid="{D5CDD505-2E9C-101B-9397-08002B2CF9AE}" pid="12" name="GrammarlyDocumentId">
    <vt:lpwstr>57a11864-fbec-44e0-b8ee-ca8fc5430415</vt:lpwstr>
  </property>
  <property fmtid="{D5CDD505-2E9C-101B-9397-08002B2CF9AE}" pid="13" name="MSIP_Label_52dda6cc-d61d-4fd2-bf18-9b3017d931cc_Enabled">
    <vt:lpwstr>true</vt:lpwstr>
  </property>
  <property fmtid="{D5CDD505-2E9C-101B-9397-08002B2CF9AE}" pid="14" name="MSIP_Label_52dda6cc-d61d-4fd2-bf18-9b3017d931cc_SetDate">
    <vt:lpwstr>2025-11-17T01:23:40Z</vt:lpwstr>
  </property>
  <property fmtid="{D5CDD505-2E9C-101B-9397-08002B2CF9AE}" pid="15" name="MSIP_Label_52dda6cc-d61d-4fd2-bf18-9b3017d931cc_Method">
    <vt:lpwstr>Privileged</vt:lpwstr>
  </property>
  <property fmtid="{D5CDD505-2E9C-101B-9397-08002B2CF9AE}" pid="16" name="MSIP_Label_52dda6cc-d61d-4fd2-bf18-9b3017d931cc_Name">
    <vt:lpwstr>[UNCLASSIFIED]</vt:lpwstr>
  </property>
  <property fmtid="{D5CDD505-2E9C-101B-9397-08002B2CF9AE}" pid="17" name="MSIP_Label_52dda6cc-d61d-4fd2-bf18-9b3017d931cc_SiteId">
    <vt:lpwstr>761dd003-d4ff-4049-8a72-8549b20fcbb1</vt:lpwstr>
  </property>
  <property fmtid="{D5CDD505-2E9C-101B-9397-08002B2CF9AE}" pid="18" name="MSIP_Label_52dda6cc-d61d-4fd2-bf18-9b3017d931cc_ActionId">
    <vt:lpwstr>8c304f49-58a7-4f4b-98d5-479289f54123</vt:lpwstr>
  </property>
  <property fmtid="{D5CDD505-2E9C-101B-9397-08002B2CF9AE}" pid="19" name="MSIP_Label_52dda6cc-d61d-4fd2-bf18-9b3017d931cc_ContentBits">
    <vt:lpwstr>0</vt:lpwstr>
  </property>
  <property fmtid="{D5CDD505-2E9C-101B-9397-08002B2CF9AE}" pid="20" name="MSIP_Label_52dda6cc-d61d-4fd2-bf18-9b3017d931cc_Tag">
    <vt:lpwstr>10, 0, 1, 1</vt:lpwstr>
  </property>
</Properties>
</file>