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903AD" w14:textId="1C2CBB03" w:rsidR="007B78F4" w:rsidRPr="007B78F4" w:rsidRDefault="007B78F4" w:rsidP="007B78F4">
      <w:pPr>
        <w:keepNext/>
        <w:tabs>
          <w:tab w:val="left" w:pos="851"/>
        </w:tabs>
        <w:spacing w:before="0" w:after="360" w:line="240" w:lineRule="auto"/>
        <w:jc w:val="left"/>
        <w:outlineLvl w:val="0"/>
        <w:rPr>
          <w:rFonts w:ascii="Georgia" w:eastAsia="Times New Roman" w:hAnsi="Georgia" w:cs="Times New Roman"/>
          <w:b/>
          <w:bCs/>
          <w:color w:val="1C556C"/>
          <w:sz w:val="48"/>
          <w:szCs w:val="28"/>
        </w:rPr>
      </w:pPr>
      <w:bookmarkStart w:id="0" w:name="_Toc24545932"/>
      <w:bookmarkStart w:id="1" w:name="_Toc172552322"/>
      <w:r w:rsidRPr="007B78F4">
        <w:rPr>
          <w:rFonts w:ascii="Georgia" w:eastAsia="Times New Roman" w:hAnsi="Georgia" w:cs="Times New Roman"/>
          <w:b/>
          <w:bCs/>
          <w:color w:val="1C556C"/>
          <w:sz w:val="48"/>
          <w:szCs w:val="28"/>
        </w:rPr>
        <w:t>Climate implications of policy assessment: Early engagement form</w:t>
      </w:r>
      <w:bookmarkEnd w:id="0"/>
      <w:bookmarkEnd w:id="1"/>
    </w:p>
    <w:p w14:paraId="251F009B" w14:textId="77777777" w:rsidR="007B78F4" w:rsidRPr="007B78F4" w:rsidRDefault="007B78F4" w:rsidP="007B78F4">
      <w:pPr>
        <w:keepNext/>
        <w:tabs>
          <w:tab w:val="left" w:pos="851"/>
        </w:tabs>
        <w:spacing w:before="240" w:after="0" w:line="240" w:lineRule="auto"/>
        <w:jc w:val="left"/>
        <w:outlineLvl w:val="2"/>
        <w:rPr>
          <w:rFonts w:ascii="Georgia" w:eastAsia="Times New Roman" w:hAnsi="Georgia" w:cs="Times New Roman"/>
          <w:b/>
          <w:bCs/>
          <w:sz w:val="28"/>
        </w:rPr>
      </w:pPr>
      <w:r w:rsidRPr="007B78F4">
        <w:rPr>
          <w:rFonts w:ascii="Georgia" w:eastAsia="Times New Roman" w:hAnsi="Georgia" w:cs="Times New Roman"/>
          <w:b/>
          <w:bCs/>
          <w:sz w:val="28"/>
        </w:rPr>
        <w:t>Background</w:t>
      </w:r>
    </w:p>
    <w:p w14:paraId="3166FE6B" w14:textId="77777777" w:rsidR="007B78F4" w:rsidRPr="007B78F4" w:rsidRDefault="007B78F4" w:rsidP="007B78F4">
      <w:pPr>
        <w:jc w:val="left"/>
        <w:rPr>
          <w:rFonts w:eastAsia="Times New Roman" w:cs="Times New Roman"/>
        </w:rPr>
      </w:pPr>
      <w:r w:rsidRPr="007B78F4">
        <w:rPr>
          <w:rFonts w:eastAsia="Times New Roman" w:cs="Times New Roman"/>
        </w:rPr>
        <w:t xml:space="preserve">The climate implications of policy assessment (CIPA) </w:t>
      </w:r>
      <w:proofErr w:type="gramStart"/>
      <w:r w:rsidRPr="007B78F4">
        <w:rPr>
          <w:rFonts w:eastAsia="Times New Roman" w:cs="Times New Roman"/>
        </w:rPr>
        <w:t>is</w:t>
      </w:r>
      <w:proofErr w:type="gramEnd"/>
      <w:r w:rsidRPr="007B78F4">
        <w:rPr>
          <w:rFonts w:eastAsia="Times New Roman" w:cs="Times New Roman"/>
        </w:rPr>
        <w:t xml:space="preserve"> a requirement on central government agencies to carry out and report on the greenhouse gas (GHG) emission impacts of policy proposals that go to Cabinet. The requirement applies for policy proposals where:</w:t>
      </w:r>
    </w:p>
    <w:p w14:paraId="573B2CFB" w14:textId="77777777" w:rsidR="007B78F4" w:rsidRPr="007B78F4" w:rsidRDefault="007B78F4" w:rsidP="007908AB">
      <w:pPr>
        <w:pStyle w:val="Bullet"/>
      </w:pPr>
      <w:r w:rsidRPr="007B78F4">
        <w:t>a reduction in greenhouse gas emissions is an explicit objective of the proposal</w:t>
      </w:r>
    </w:p>
    <w:p w14:paraId="1439786C" w14:textId="77777777" w:rsidR="007B78F4" w:rsidRPr="007B78F4" w:rsidRDefault="007B78F4" w:rsidP="007B78F4">
      <w:pPr>
        <w:spacing w:before="0" w:line="280" w:lineRule="exact"/>
        <w:jc w:val="left"/>
        <w:rPr>
          <w:rFonts w:eastAsia="Times New Roman" w:cs="Times New Roman"/>
          <w:szCs w:val="20"/>
        </w:rPr>
      </w:pPr>
      <w:r w:rsidRPr="007B78F4">
        <w:rPr>
          <w:rFonts w:eastAsia="Times New Roman" w:cs="Times New Roman"/>
          <w:szCs w:val="20"/>
        </w:rPr>
        <w:t>and/or:</w:t>
      </w:r>
    </w:p>
    <w:p w14:paraId="7BCD7589" w14:textId="77777777" w:rsidR="007B78F4" w:rsidRPr="007B78F4" w:rsidRDefault="007B78F4" w:rsidP="007908AB">
      <w:pPr>
        <w:pStyle w:val="Bullet"/>
      </w:pPr>
      <w:r w:rsidRPr="007B78F4">
        <w:t>the impact on greenhouse gas emissions is likely to be equal or above 0.5 million tonnes CO</w:t>
      </w:r>
      <w:r w:rsidRPr="007B78F4">
        <w:rPr>
          <w:vertAlign w:val="subscript"/>
        </w:rPr>
        <w:t>2</w:t>
      </w:r>
      <w:r w:rsidRPr="007B78F4">
        <w:t>-e within the first ten years of the proposal period (representing an annual average of 50,000 tonnes)</w:t>
      </w:r>
    </w:p>
    <w:p w14:paraId="142312B7" w14:textId="77777777" w:rsidR="007B78F4" w:rsidRPr="007B78F4" w:rsidRDefault="007B78F4" w:rsidP="007908AB">
      <w:pPr>
        <w:pStyle w:val="Bullet"/>
      </w:pPr>
      <w:r w:rsidRPr="007B78F4">
        <w:t>for forestry-related proposals, the impact on greenhouse gas emissions is likely to be equal or above 3 million tonnes of CO</w:t>
      </w:r>
      <w:r w:rsidRPr="007B78F4">
        <w:rPr>
          <w:vertAlign w:val="subscript"/>
        </w:rPr>
        <w:t>2</w:t>
      </w:r>
      <w:r w:rsidRPr="007B78F4">
        <w:t>-e within the first 30 years of the proposal period (representing an annual average of 100,000 tonnes).</w:t>
      </w:r>
    </w:p>
    <w:p w14:paraId="2091B965" w14:textId="77777777" w:rsidR="007B78F4" w:rsidRPr="007B78F4" w:rsidRDefault="007B78F4" w:rsidP="007B78F4">
      <w:pPr>
        <w:spacing w:before="0" w:line="280" w:lineRule="exact"/>
        <w:jc w:val="left"/>
        <w:rPr>
          <w:rFonts w:eastAsia="Times New Roman" w:cs="Times New Roman"/>
          <w:szCs w:val="20"/>
        </w:rPr>
      </w:pPr>
      <w:r w:rsidRPr="007B78F4">
        <w:rPr>
          <w:rFonts w:eastAsia="Times New Roman" w:cs="Times New Roman"/>
          <w:szCs w:val="20"/>
        </w:rPr>
        <w:t xml:space="preserve">More information on CIPA can be found at </w:t>
      </w:r>
      <w:hyperlink r:id="rId12">
        <w:r w:rsidRPr="007B78F4">
          <w:rPr>
            <w:rFonts w:eastAsia="Times New Roman" w:cs="Times New Roman"/>
            <w:color w:val="32809C"/>
            <w:szCs w:val="20"/>
          </w:rPr>
          <w:t>https://environment.govt.nz/guides/climate-implications-of-policy-assessment-guidance-on-cabinet-requirement-for-central-government-agencies/</w:t>
        </w:r>
      </w:hyperlink>
      <w:r w:rsidRPr="007B78F4">
        <w:rPr>
          <w:rFonts w:eastAsia="Times New Roman" w:cs="Times New Roman"/>
          <w:szCs w:val="20"/>
        </w:rPr>
        <w:t xml:space="preserve">. </w:t>
      </w:r>
    </w:p>
    <w:p w14:paraId="1182130A" w14:textId="77777777" w:rsidR="007B78F4" w:rsidRPr="007B78F4" w:rsidRDefault="007B78F4" w:rsidP="007B78F4">
      <w:pPr>
        <w:jc w:val="left"/>
        <w:rPr>
          <w:rFonts w:eastAsia="Times New Roman" w:cs="Times New Roman"/>
        </w:rPr>
      </w:pPr>
      <w:r w:rsidRPr="007B78F4">
        <w:rPr>
          <w:rFonts w:eastAsia="Times New Roman" w:cs="Arial"/>
        </w:rPr>
        <w:t>Compliance with this requirement is supported by the CIPA team at the Ministry for the Environment.</w:t>
      </w:r>
    </w:p>
    <w:p w14:paraId="462114B7" w14:textId="77777777" w:rsidR="007B78F4" w:rsidRPr="007B78F4" w:rsidRDefault="007B78F4" w:rsidP="007B78F4">
      <w:pPr>
        <w:keepNext/>
        <w:tabs>
          <w:tab w:val="left" w:pos="851"/>
        </w:tabs>
        <w:spacing w:before="240" w:after="0" w:line="240" w:lineRule="auto"/>
        <w:jc w:val="left"/>
        <w:outlineLvl w:val="2"/>
        <w:rPr>
          <w:rFonts w:ascii="Georgia" w:eastAsia="Times New Roman" w:hAnsi="Georgia" w:cs="Times New Roman"/>
          <w:b/>
          <w:bCs/>
          <w:sz w:val="28"/>
        </w:rPr>
      </w:pPr>
      <w:r w:rsidRPr="007B78F4">
        <w:rPr>
          <w:rFonts w:ascii="Georgia" w:eastAsia="Times New Roman" w:hAnsi="Georgia" w:cs="Times New Roman"/>
          <w:b/>
          <w:bCs/>
          <w:sz w:val="28"/>
        </w:rPr>
        <w:t>Purpose of this form</w:t>
      </w:r>
    </w:p>
    <w:p w14:paraId="7E247F27" w14:textId="77777777" w:rsidR="007B78F4" w:rsidRPr="007B78F4" w:rsidRDefault="007B78F4" w:rsidP="007B78F4">
      <w:pPr>
        <w:jc w:val="left"/>
        <w:rPr>
          <w:rFonts w:eastAsia="Times New Roman" w:cs="Times New Roman"/>
        </w:rPr>
      </w:pPr>
      <w:r w:rsidRPr="007B78F4">
        <w:rPr>
          <w:rFonts w:eastAsia="Times New Roman" w:cs="Times New Roman"/>
        </w:rPr>
        <w:t xml:space="preserve">The purpose of this early engagement form is to support policy officials considering whether a climate implications of policy assessment needs to be completed. </w:t>
      </w:r>
    </w:p>
    <w:p w14:paraId="592EF0BB" w14:textId="77777777" w:rsidR="007B78F4" w:rsidRPr="007B78F4" w:rsidRDefault="007B78F4" w:rsidP="007B78F4">
      <w:pPr>
        <w:keepNext/>
        <w:tabs>
          <w:tab w:val="left" w:pos="851"/>
        </w:tabs>
        <w:spacing w:before="240" w:after="0" w:line="240" w:lineRule="auto"/>
        <w:jc w:val="left"/>
        <w:outlineLvl w:val="2"/>
        <w:rPr>
          <w:rFonts w:ascii="Georgia" w:eastAsia="Times New Roman" w:hAnsi="Georgia" w:cs="Times New Roman"/>
          <w:b/>
          <w:bCs/>
          <w:sz w:val="28"/>
        </w:rPr>
      </w:pPr>
      <w:r w:rsidRPr="007B78F4">
        <w:rPr>
          <w:rFonts w:ascii="Georgia" w:eastAsia="Times New Roman" w:hAnsi="Georgia" w:cs="Times New Roman"/>
          <w:b/>
          <w:bCs/>
          <w:sz w:val="28"/>
        </w:rPr>
        <w:t>Instructions for completing the form</w:t>
      </w:r>
    </w:p>
    <w:p w14:paraId="78D60F9F" w14:textId="77777777" w:rsidR="007B78F4" w:rsidRPr="007B78F4" w:rsidRDefault="007B78F4" w:rsidP="007B78F4">
      <w:pPr>
        <w:jc w:val="left"/>
        <w:rPr>
          <w:rFonts w:eastAsia="Times New Roman" w:cs="Times New Roman"/>
        </w:rPr>
      </w:pPr>
      <w:r w:rsidRPr="007B78F4">
        <w:rPr>
          <w:rFonts w:eastAsia="Times New Roman" w:cs="Times New Roman"/>
        </w:rPr>
        <w:t xml:space="preserve">Please answer the questions below. </w:t>
      </w:r>
    </w:p>
    <w:p w14:paraId="472230DC" w14:textId="77777777" w:rsidR="007B78F4" w:rsidRPr="007B78F4" w:rsidRDefault="007B78F4" w:rsidP="007B78F4">
      <w:pPr>
        <w:jc w:val="left"/>
        <w:rPr>
          <w:rFonts w:eastAsia="Times New Roman" w:cs="Times New Roman"/>
        </w:rPr>
      </w:pPr>
      <w:r w:rsidRPr="007B78F4">
        <w:rPr>
          <w:rFonts w:eastAsia="Times New Roman" w:cs="Times New Roman"/>
        </w:rPr>
        <w:t xml:space="preserve">If you answer yes to any of the questions, please email a completed copy of this form to </w:t>
      </w:r>
      <w:hyperlink r:id="rId13" w:history="1">
        <w:r w:rsidRPr="007B78F4">
          <w:rPr>
            <w:rFonts w:eastAsia="Times New Roman" w:cs="Times New Roman"/>
            <w:color w:val="32809C"/>
          </w:rPr>
          <w:t>cipa@mfe.govt.nz</w:t>
        </w:r>
      </w:hyperlink>
      <w:r w:rsidRPr="007B78F4">
        <w:rPr>
          <w:rFonts w:eastAsia="Times New Roman" w:cs="Times New Roman"/>
        </w:rPr>
        <w:t xml:space="preserve"> with a brief explanation of what the policy is. The Ministry for the Environment will respond with further information as to whether the policy is subject to further analysis through the CIPA requirement. </w:t>
      </w:r>
    </w:p>
    <w:p w14:paraId="05B9498F" w14:textId="77777777" w:rsidR="007B78F4" w:rsidRPr="007B78F4" w:rsidRDefault="007B78F4" w:rsidP="007B78F4">
      <w:pPr>
        <w:jc w:val="left"/>
        <w:rPr>
          <w:rFonts w:eastAsia="Times New Roman" w:cs="Times New Roman"/>
        </w:rPr>
      </w:pPr>
      <w:r w:rsidRPr="007B78F4">
        <w:rPr>
          <w:rFonts w:eastAsia="Times New Roman" w:cs="Times New Roman"/>
        </w:rPr>
        <w:t xml:space="preserve">If you are unsure how to fill in the form, please contact the Ministry for the Environment at </w:t>
      </w:r>
      <w:hyperlink r:id="rId14" w:history="1">
        <w:r w:rsidRPr="007B78F4">
          <w:rPr>
            <w:rFonts w:eastAsia="Times New Roman" w:cs="Times New Roman"/>
            <w:color w:val="32809C"/>
          </w:rPr>
          <w:t>cipa@mfe.govt.nz</w:t>
        </w:r>
      </w:hyperlink>
      <w:r w:rsidRPr="007B78F4">
        <w:rPr>
          <w:rFonts w:eastAsia="Times New Roman" w:cs="Times New Roman"/>
        </w:rPr>
        <w:t xml:space="preserve">. </w:t>
      </w:r>
    </w:p>
    <w:p w14:paraId="30479A10" w14:textId="77777777" w:rsidR="007B78F4" w:rsidRPr="007B78F4" w:rsidRDefault="007B78F4" w:rsidP="007B78F4">
      <w:pPr>
        <w:keepNext/>
        <w:tabs>
          <w:tab w:val="left" w:pos="851"/>
        </w:tabs>
        <w:spacing w:before="240" w:after="0" w:line="240" w:lineRule="auto"/>
        <w:jc w:val="left"/>
        <w:outlineLvl w:val="2"/>
        <w:rPr>
          <w:rFonts w:ascii="Georgia" w:eastAsia="Times New Roman" w:hAnsi="Georgia" w:cs="Times New Roman"/>
          <w:b/>
          <w:bCs/>
          <w:sz w:val="28"/>
        </w:rPr>
      </w:pPr>
      <w:r w:rsidRPr="007B78F4">
        <w:rPr>
          <w:rFonts w:ascii="Georgia" w:eastAsia="Times New Roman" w:hAnsi="Georgia" w:cs="Times New Roman"/>
          <w:b/>
          <w:bCs/>
          <w:sz w:val="28"/>
        </w:rPr>
        <w:t>Regulatory proposals</w:t>
      </w:r>
    </w:p>
    <w:p w14:paraId="45EE2A9C" w14:textId="643897CF" w:rsidR="007B78F4" w:rsidRPr="007B78F4" w:rsidRDefault="007B78F4" w:rsidP="007B78F4">
      <w:pPr>
        <w:jc w:val="left"/>
        <w:rPr>
          <w:rFonts w:eastAsia="Times New Roman" w:cs="Arial"/>
        </w:rPr>
      </w:pPr>
      <w:r w:rsidRPr="007B78F4">
        <w:rPr>
          <w:rFonts w:eastAsia="Times New Roman" w:cs="Arial"/>
        </w:rPr>
        <w:t xml:space="preserve">For regulatory proposals, CIPA represents an additional, complementary requirement to RIA requirements. For regulatory proposals, the CIPA early engagement questions are included as part of the </w:t>
      </w:r>
      <w:r>
        <w:rPr>
          <w:rFonts w:eastAsia="Times New Roman" w:cs="Arial"/>
        </w:rPr>
        <w:t>r</w:t>
      </w:r>
      <w:r w:rsidRPr="007B78F4">
        <w:rPr>
          <w:rFonts w:eastAsia="Times New Roman" w:cs="Arial"/>
        </w:rPr>
        <w:t xml:space="preserve">egulatory </w:t>
      </w:r>
      <w:r>
        <w:rPr>
          <w:rFonts w:eastAsia="Times New Roman" w:cs="Arial"/>
        </w:rPr>
        <w:t>i</w:t>
      </w:r>
      <w:r w:rsidRPr="007B78F4">
        <w:rPr>
          <w:rFonts w:eastAsia="Times New Roman" w:cs="Arial"/>
        </w:rPr>
        <w:t xml:space="preserve">mpact </w:t>
      </w:r>
      <w:r>
        <w:rPr>
          <w:rFonts w:eastAsia="Times New Roman" w:cs="Arial"/>
        </w:rPr>
        <w:t>a</w:t>
      </w:r>
      <w:r w:rsidRPr="007B78F4">
        <w:rPr>
          <w:rFonts w:eastAsia="Times New Roman" w:cs="Arial"/>
        </w:rPr>
        <w:t>ssessment (RIA) process confirmation form.</w:t>
      </w:r>
    </w:p>
    <w:p w14:paraId="5CE5717F" w14:textId="77777777" w:rsidR="007B78F4" w:rsidRPr="007B78F4" w:rsidRDefault="007B78F4" w:rsidP="007B78F4">
      <w:pPr>
        <w:jc w:val="left"/>
        <w:rPr>
          <w:rFonts w:eastAsia="Times New Roman" w:cs="Arial"/>
        </w:rPr>
      </w:pPr>
      <w:r w:rsidRPr="007B78F4">
        <w:rPr>
          <w:rFonts w:eastAsia="Times New Roman" w:cs="Arial"/>
        </w:rPr>
        <w:lastRenderedPageBreak/>
        <w:t>You do not need to send a separate early engagement form to the CIPA team at the Ministry for the Environment.</w:t>
      </w:r>
    </w:p>
    <w:p w14:paraId="693FF245" w14:textId="6CDF2930" w:rsidR="007B78F4" w:rsidRPr="007B78F4" w:rsidRDefault="007908AB" w:rsidP="007B78F4">
      <w:pPr>
        <w:jc w:val="left"/>
        <w:rPr>
          <w:rFonts w:eastAsia="Times New Roman" w:cs="Times New Roman"/>
        </w:rPr>
        <w:sectPr w:rsidR="007B78F4" w:rsidRPr="007B78F4" w:rsidSect="007B78F4">
          <w:footerReference w:type="even" r:id="rId15"/>
          <w:footerReference w:type="default" r:id="rId16"/>
          <w:pgSz w:w="11907" w:h="16840" w:code="9"/>
          <w:pgMar w:top="1134" w:right="1701" w:bottom="1134" w:left="1701" w:header="567" w:footer="567" w:gutter="0"/>
          <w:cols w:space="720"/>
          <w:docGrid w:linePitch="299"/>
        </w:sectPr>
      </w:pPr>
      <w:r w:rsidRPr="5AF9C391">
        <w:rPr>
          <w:rFonts w:cs="Arial"/>
        </w:rPr>
        <w:t xml:space="preserve">The Ministry for Regulation has now been established, and on 1 May 2024, the Treasury Regulatory Strategy Team transferred to this new Ministry. The </w:t>
      </w:r>
      <w:r>
        <w:rPr>
          <w:rFonts w:cs="Arial"/>
        </w:rPr>
        <w:t>r</w:t>
      </w:r>
      <w:r w:rsidRPr="5AF9C391">
        <w:rPr>
          <w:rFonts w:cs="Arial"/>
        </w:rPr>
        <w:t xml:space="preserve">egulatory </w:t>
      </w:r>
      <w:r>
        <w:rPr>
          <w:rFonts w:cs="Arial"/>
        </w:rPr>
        <w:t>i</w:t>
      </w:r>
      <w:r w:rsidRPr="5AF9C391">
        <w:rPr>
          <w:rFonts w:cs="Arial"/>
        </w:rPr>
        <w:t xml:space="preserve">mpact </w:t>
      </w:r>
      <w:r>
        <w:rPr>
          <w:rFonts w:cs="Arial"/>
        </w:rPr>
        <w:t>a</w:t>
      </w:r>
      <w:r w:rsidRPr="5AF9C391">
        <w:rPr>
          <w:rFonts w:cs="Arial"/>
        </w:rPr>
        <w:t xml:space="preserve">ssessment (RIA) system will continue to operate as normal, including the RIA </w:t>
      </w:r>
      <w:r>
        <w:rPr>
          <w:rFonts w:cs="Arial"/>
        </w:rPr>
        <w:t>o</w:t>
      </w:r>
      <w:r w:rsidRPr="5AF9C391">
        <w:rPr>
          <w:rFonts w:cs="Arial"/>
        </w:rPr>
        <w:t xml:space="preserve">nline process, but with a new contact email address now in place </w:t>
      </w:r>
      <w:r>
        <w:rPr>
          <w:rFonts w:cs="Arial"/>
        </w:rPr>
        <w:t>–</w:t>
      </w:r>
      <w:r w:rsidRPr="5AF9C391">
        <w:rPr>
          <w:rFonts w:cs="Arial"/>
        </w:rPr>
        <w:t xml:space="preserve"> </w:t>
      </w:r>
      <w:hyperlink r:id="rId17" w:history="1">
        <w:r>
          <w:rPr>
            <w:rStyle w:val="Hyperlink"/>
            <w:rFonts w:cs="Arial"/>
          </w:rPr>
          <w:t>ria.team@regulation.govt.nz</w:t>
        </w:r>
      </w:hyperlink>
      <w:r w:rsidRPr="5AF9C391">
        <w:rPr>
          <w:rFonts w:cs="Arial"/>
        </w:rPr>
        <w:t>. The team has noted there will be some work with the transfer and staffing changes, so may be slower than normal to respond to queries</w:t>
      </w:r>
      <w:r>
        <w:rPr>
          <w:rFonts w:cs="Arial"/>
        </w:rPr>
        <w:t>.</w:t>
      </w:r>
    </w:p>
    <w:p w14:paraId="553E38CD" w14:textId="77777777" w:rsidR="007B78F4" w:rsidRPr="007B78F4" w:rsidRDefault="007B78F4" w:rsidP="007B78F4">
      <w:pPr>
        <w:keepNext/>
        <w:tabs>
          <w:tab w:val="left" w:pos="851"/>
        </w:tabs>
        <w:spacing w:before="320" w:after="240" w:line="240" w:lineRule="auto"/>
        <w:jc w:val="left"/>
        <w:outlineLvl w:val="2"/>
        <w:rPr>
          <w:rFonts w:ascii="Georgia" w:eastAsia="Times New Roman" w:hAnsi="Georgia" w:cs="Times New Roman"/>
          <w:b/>
          <w:bCs/>
          <w:sz w:val="28"/>
        </w:rPr>
      </w:pPr>
      <w:r w:rsidRPr="007B78F4">
        <w:rPr>
          <w:rFonts w:ascii="Georgia" w:eastAsia="Times New Roman" w:hAnsi="Georgia" w:cs="Times New Roman"/>
          <w:b/>
          <w:bCs/>
          <w:sz w:val="28"/>
        </w:rPr>
        <w:lastRenderedPageBreak/>
        <w:t>Key questions</w:t>
      </w:r>
    </w:p>
    <w:tbl>
      <w:tblPr>
        <w:tblW w:w="14176" w:type="dxa"/>
        <w:tblInd w:w="-142" w:type="dxa"/>
        <w:tblBorders>
          <w:top w:val="single" w:sz="4" w:space="0" w:color="1C556C"/>
          <w:left w:val="single" w:sz="4" w:space="0" w:color="1C556C"/>
          <w:bottom w:val="single" w:sz="4" w:space="0" w:color="1C556C"/>
          <w:right w:val="single" w:sz="4" w:space="0" w:color="1C556C"/>
          <w:insideH w:val="single" w:sz="4" w:space="0" w:color="1C556C"/>
          <w:insideV w:val="single" w:sz="4" w:space="0" w:color="1C556C"/>
        </w:tblBorders>
        <w:tblLayout w:type="fixed"/>
        <w:tblLook w:val="04A0" w:firstRow="1" w:lastRow="0" w:firstColumn="1" w:lastColumn="0" w:noHBand="0" w:noVBand="1"/>
      </w:tblPr>
      <w:tblGrid>
        <w:gridCol w:w="4248"/>
        <w:gridCol w:w="9928"/>
      </w:tblGrid>
      <w:tr w:rsidR="007B78F4" w:rsidRPr="007B78F4" w14:paraId="36920309" w14:textId="77777777" w:rsidTr="007B78F4">
        <w:trPr>
          <w:trHeight w:val="172"/>
          <w:tblHeader/>
        </w:trPr>
        <w:tc>
          <w:tcPr>
            <w:tcW w:w="4248" w:type="dxa"/>
            <w:shd w:val="clear" w:color="auto" w:fill="D2DDE2"/>
            <w:vAlign w:val="center"/>
          </w:tcPr>
          <w:p w14:paraId="4F15F45A" w14:textId="77777777" w:rsidR="007B78F4" w:rsidRPr="007B78F4" w:rsidRDefault="007B78F4" w:rsidP="007B78F4">
            <w:pPr>
              <w:spacing w:before="60" w:after="60" w:line="240" w:lineRule="atLeast"/>
              <w:jc w:val="left"/>
              <w:rPr>
                <w:rFonts w:eastAsia="Times New Roman" w:cs="Times New Roman"/>
                <w:b/>
                <w:bCs/>
                <w:sz w:val="18"/>
              </w:rPr>
            </w:pPr>
            <w:r w:rsidRPr="007B78F4">
              <w:rPr>
                <w:rFonts w:eastAsia="Times New Roman" w:cs="Times New Roman"/>
                <w:b/>
                <w:bCs/>
                <w:sz w:val="18"/>
              </w:rPr>
              <w:t>Name/title of policy proposal or policy option</w:t>
            </w:r>
          </w:p>
        </w:tc>
        <w:tc>
          <w:tcPr>
            <w:tcW w:w="9928" w:type="dxa"/>
            <w:shd w:val="clear" w:color="auto" w:fill="auto"/>
            <w:vAlign w:val="center"/>
          </w:tcPr>
          <w:p w14:paraId="184BFF68" w14:textId="77777777" w:rsidR="007B78F4" w:rsidRPr="007B78F4" w:rsidRDefault="007B78F4" w:rsidP="007B78F4">
            <w:pPr>
              <w:spacing w:before="60" w:after="60" w:line="240" w:lineRule="atLeast"/>
              <w:jc w:val="left"/>
              <w:rPr>
                <w:rFonts w:eastAsia="Times New Roman" w:cs="Times New Roman"/>
                <w:sz w:val="18"/>
              </w:rPr>
            </w:pPr>
          </w:p>
        </w:tc>
      </w:tr>
      <w:tr w:rsidR="007B78F4" w:rsidRPr="007B78F4" w14:paraId="249FA688" w14:textId="77777777" w:rsidTr="007B78F4">
        <w:trPr>
          <w:trHeight w:val="172"/>
          <w:tblHeader/>
        </w:trPr>
        <w:tc>
          <w:tcPr>
            <w:tcW w:w="4248" w:type="dxa"/>
            <w:shd w:val="clear" w:color="auto" w:fill="D2DDE2"/>
            <w:vAlign w:val="center"/>
          </w:tcPr>
          <w:p w14:paraId="1A8B4A56" w14:textId="77777777" w:rsidR="007B78F4" w:rsidRPr="007B78F4" w:rsidRDefault="007B78F4" w:rsidP="007B78F4">
            <w:pPr>
              <w:spacing w:before="60" w:after="60" w:line="240" w:lineRule="atLeast"/>
              <w:jc w:val="left"/>
              <w:rPr>
                <w:rFonts w:eastAsia="Times New Roman" w:cs="Times New Roman"/>
                <w:b/>
                <w:bCs/>
                <w:sz w:val="18"/>
              </w:rPr>
            </w:pPr>
            <w:r w:rsidRPr="007B78F4">
              <w:rPr>
                <w:rFonts w:eastAsia="Times New Roman" w:cs="Times New Roman"/>
                <w:b/>
                <w:bCs/>
                <w:sz w:val="18"/>
              </w:rPr>
              <w:t>Agency responsible for the Cabinet paper</w:t>
            </w:r>
          </w:p>
        </w:tc>
        <w:tc>
          <w:tcPr>
            <w:tcW w:w="9928" w:type="dxa"/>
            <w:shd w:val="clear" w:color="auto" w:fill="auto"/>
            <w:vAlign w:val="center"/>
          </w:tcPr>
          <w:p w14:paraId="6CAF8574" w14:textId="77777777" w:rsidR="007B78F4" w:rsidRPr="007B78F4" w:rsidRDefault="007B78F4" w:rsidP="007B78F4">
            <w:pPr>
              <w:spacing w:before="60" w:after="60" w:line="240" w:lineRule="atLeast"/>
              <w:jc w:val="left"/>
              <w:rPr>
                <w:rFonts w:eastAsia="Times New Roman" w:cs="Times New Roman"/>
                <w:sz w:val="18"/>
              </w:rPr>
            </w:pPr>
          </w:p>
        </w:tc>
      </w:tr>
    </w:tbl>
    <w:p w14:paraId="1BC47EC2" w14:textId="77777777" w:rsidR="007B78F4" w:rsidRPr="007B78F4" w:rsidRDefault="007B78F4" w:rsidP="007B78F4">
      <w:pPr>
        <w:jc w:val="left"/>
        <w:rPr>
          <w:rFonts w:eastAsia="Times New Roman" w:cs="Times New Roman"/>
        </w:rPr>
      </w:pPr>
    </w:p>
    <w:tbl>
      <w:tblPr>
        <w:tblW w:w="14176" w:type="dxa"/>
        <w:tblInd w:w="-142" w:type="dxa"/>
        <w:tblBorders>
          <w:bottom w:val="single" w:sz="4" w:space="0" w:color="1B556B"/>
          <w:insideH w:val="single" w:sz="4" w:space="0" w:color="1B556B"/>
          <w:insideV w:val="single" w:sz="4" w:space="0" w:color="1B556B"/>
        </w:tblBorders>
        <w:tblLayout w:type="fixed"/>
        <w:tblLook w:val="04A0" w:firstRow="1" w:lastRow="0" w:firstColumn="1" w:lastColumn="0" w:noHBand="0" w:noVBand="1"/>
      </w:tblPr>
      <w:tblGrid>
        <w:gridCol w:w="8647"/>
        <w:gridCol w:w="1701"/>
        <w:gridCol w:w="3828"/>
      </w:tblGrid>
      <w:tr w:rsidR="007B78F4" w:rsidRPr="007B78F4" w14:paraId="6E6AEC78" w14:textId="77777777" w:rsidTr="00D81250">
        <w:trPr>
          <w:trHeight w:val="172"/>
          <w:tblHeader/>
        </w:trPr>
        <w:tc>
          <w:tcPr>
            <w:tcW w:w="8647" w:type="dxa"/>
            <w:shd w:val="clear" w:color="auto" w:fill="1B556B"/>
            <w:vAlign w:val="center"/>
          </w:tcPr>
          <w:p w14:paraId="5C3F99AA" w14:textId="77777777" w:rsidR="007B78F4" w:rsidRPr="007B78F4" w:rsidRDefault="007B78F4" w:rsidP="007B78F4">
            <w:pPr>
              <w:spacing w:before="60" w:after="60" w:line="240" w:lineRule="atLeast"/>
              <w:jc w:val="left"/>
              <w:rPr>
                <w:rFonts w:eastAsia="Times New Roman" w:cs="Times New Roman"/>
                <w:b/>
                <w:bCs/>
                <w:sz w:val="18"/>
              </w:rPr>
            </w:pPr>
          </w:p>
        </w:tc>
        <w:tc>
          <w:tcPr>
            <w:tcW w:w="1701" w:type="dxa"/>
            <w:shd w:val="clear" w:color="auto" w:fill="1B556B"/>
            <w:vAlign w:val="center"/>
          </w:tcPr>
          <w:p w14:paraId="0EF6E9A6" w14:textId="77777777" w:rsidR="007B78F4" w:rsidRPr="007B78F4" w:rsidRDefault="007B78F4" w:rsidP="007B78F4">
            <w:pPr>
              <w:spacing w:before="60" w:after="60" w:line="240" w:lineRule="atLeast"/>
              <w:jc w:val="left"/>
              <w:rPr>
                <w:rFonts w:eastAsia="Times New Roman" w:cs="Times New Roman"/>
                <w:b/>
                <w:bCs/>
                <w:color w:val="FFFFFF"/>
                <w:sz w:val="20"/>
                <w:szCs w:val="20"/>
              </w:rPr>
            </w:pPr>
            <w:r w:rsidRPr="007B78F4">
              <w:rPr>
                <w:rFonts w:eastAsia="Times New Roman" w:cs="Times New Roman"/>
                <w:b/>
                <w:bCs/>
                <w:color w:val="FFFFFF"/>
                <w:sz w:val="20"/>
                <w:szCs w:val="20"/>
              </w:rPr>
              <w:t>Yes/no/unsure</w:t>
            </w:r>
          </w:p>
        </w:tc>
        <w:tc>
          <w:tcPr>
            <w:tcW w:w="3828" w:type="dxa"/>
            <w:shd w:val="clear" w:color="auto" w:fill="1B556B"/>
            <w:vAlign w:val="center"/>
          </w:tcPr>
          <w:p w14:paraId="316E4572" w14:textId="77777777" w:rsidR="007B78F4" w:rsidRPr="007B78F4" w:rsidRDefault="007B78F4" w:rsidP="007B78F4">
            <w:pPr>
              <w:spacing w:before="60" w:after="60" w:line="240" w:lineRule="atLeast"/>
              <w:jc w:val="left"/>
              <w:rPr>
                <w:rFonts w:eastAsia="Times New Roman" w:cs="Times New Roman"/>
                <w:b/>
                <w:bCs/>
                <w:color w:val="FFFFFF"/>
                <w:sz w:val="20"/>
                <w:szCs w:val="20"/>
              </w:rPr>
            </w:pPr>
            <w:r w:rsidRPr="007B78F4">
              <w:rPr>
                <w:rFonts w:eastAsia="Times New Roman" w:cs="Times New Roman"/>
                <w:b/>
                <w:bCs/>
                <w:color w:val="FFFFFF"/>
                <w:sz w:val="20"/>
                <w:szCs w:val="20"/>
              </w:rPr>
              <w:t>Comment if needed</w:t>
            </w:r>
          </w:p>
        </w:tc>
      </w:tr>
      <w:tr w:rsidR="007B78F4" w:rsidRPr="007B78F4" w14:paraId="1A186522" w14:textId="77777777" w:rsidTr="007B78F4">
        <w:trPr>
          <w:trHeight w:val="175"/>
        </w:trPr>
        <w:tc>
          <w:tcPr>
            <w:tcW w:w="8647" w:type="dxa"/>
            <w:shd w:val="clear" w:color="auto" w:fill="auto"/>
            <w:vAlign w:val="center"/>
            <w:hideMark/>
          </w:tcPr>
          <w:p w14:paraId="16FEB16E" w14:textId="77777777" w:rsidR="007B78F4" w:rsidRPr="007B78F4" w:rsidRDefault="007B78F4" w:rsidP="007B78F4">
            <w:pPr>
              <w:spacing w:before="60" w:after="60" w:line="240" w:lineRule="atLeast"/>
              <w:jc w:val="left"/>
              <w:rPr>
                <w:rFonts w:eastAsia="Times New Roman" w:cs="Times New Roman"/>
                <w:sz w:val="18"/>
              </w:rPr>
            </w:pPr>
            <w:r w:rsidRPr="007B78F4">
              <w:rPr>
                <w:rFonts w:eastAsia="Times New Roman" w:cs="Times New Roman"/>
                <w:sz w:val="18"/>
              </w:rPr>
              <w:t>Is a reduction in greenhouse gas emissions an explicit objective of the proposal?</w:t>
            </w:r>
          </w:p>
        </w:tc>
        <w:tc>
          <w:tcPr>
            <w:tcW w:w="1701" w:type="dxa"/>
            <w:shd w:val="clear" w:color="auto" w:fill="FFFFFF"/>
            <w:vAlign w:val="center"/>
            <w:hideMark/>
          </w:tcPr>
          <w:p w14:paraId="43E989ED" w14:textId="77777777" w:rsidR="007B78F4" w:rsidRPr="007B78F4" w:rsidRDefault="007B78F4" w:rsidP="007B78F4">
            <w:pPr>
              <w:spacing w:before="0" w:after="0" w:line="240" w:lineRule="auto"/>
              <w:rPr>
                <w:rFonts w:eastAsia="Times New Roman" w:cs="Calibri"/>
              </w:rPr>
            </w:pPr>
            <w:r w:rsidRPr="007B78F4">
              <w:rPr>
                <w:rFonts w:eastAsia="Times New Roman" w:cs="Calibri"/>
              </w:rPr>
              <w:t> </w:t>
            </w:r>
          </w:p>
        </w:tc>
        <w:tc>
          <w:tcPr>
            <w:tcW w:w="3828" w:type="dxa"/>
            <w:shd w:val="clear" w:color="auto" w:fill="FFFFFF"/>
            <w:vAlign w:val="center"/>
            <w:hideMark/>
          </w:tcPr>
          <w:p w14:paraId="715D0F14" w14:textId="77777777" w:rsidR="007B78F4" w:rsidRPr="007B78F4" w:rsidRDefault="007B78F4" w:rsidP="007B78F4">
            <w:pPr>
              <w:spacing w:before="0" w:after="0" w:line="240" w:lineRule="auto"/>
              <w:rPr>
                <w:rFonts w:eastAsia="Times New Roman" w:cs="Calibri"/>
              </w:rPr>
            </w:pPr>
            <w:r w:rsidRPr="007B78F4">
              <w:rPr>
                <w:rFonts w:eastAsia="Times New Roman" w:cs="Calibri"/>
              </w:rPr>
              <w:t> </w:t>
            </w:r>
          </w:p>
        </w:tc>
      </w:tr>
    </w:tbl>
    <w:p w14:paraId="34EC8E5D" w14:textId="77777777" w:rsidR="007B78F4" w:rsidRPr="007B78F4" w:rsidRDefault="007B78F4" w:rsidP="007B78F4">
      <w:pPr>
        <w:jc w:val="left"/>
        <w:rPr>
          <w:rFonts w:eastAsia="Times New Roman" w:cs="Times New Roman"/>
        </w:rPr>
      </w:pPr>
    </w:p>
    <w:tbl>
      <w:tblPr>
        <w:tblW w:w="14171" w:type="dxa"/>
        <w:tblInd w:w="-142" w:type="dxa"/>
        <w:tblBorders>
          <w:insideH w:val="single" w:sz="4" w:space="0" w:color="1B556B"/>
          <w:insideV w:val="single" w:sz="4" w:space="0" w:color="1B556B"/>
        </w:tblBorders>
        <w:tblLayout w:type="fixed"/>
        <w:tblLook w:val="04A0" w:firstRow="1" w:lastRow="0" w:firstColumn="1" w:lastColumn="0" w:noHBand="0" w:noVBand="1"/>
      </w:tblPr>
      <w:tblGrid>
        <w:gridCol w:w="8642"/>
        <w:gridCol w:w="1701"/>
        <w:gridCol w:w="3828"/>
      </w:tblGrid>
      <w:tr w:rsidR="007B78F4" w:rsidRPr="007B78F4" w14:paraId="6F273FFD" w14:textId="77777777" w:rsidTr="00D81250">
        <w:trPr>
          <w:trHeight w:val="605"/>
          <w:tblHeader/>
        </w:trPr>
        <w:tc>
          <w:tcPr>
            <w:tcW w:w="8642" w:type="dxa"/>
            <w:shd w:val="clear" w:color="auto" w:fill="1B556B"/>
            <w:vAlign w:val="center"/>
          </w:tcPr>
          <w:p w14:paraId="721E446C" w14:textId="77777777" w:rsidR="007B78F4" w:rsidRPr="007B78F4" w:rsidRDefault="007B78F4" w:rsidP="007B78F4">
            <w:pPr>
              <w:spacing w:before="60" w:after="60" w:line="240" w:lineRule="atLeast"/>
              <w:jc w:val="left"/>
              <w:rPr>
                <w:rFonts w:eastAsia="Times New Roman" w:cs="Times New Roman"/>
                <w:b/>
                <w:bCs/>
                <w:color w:val="FFFFFF"/>
                <w:sz w:val="20"/>
                <w:szCs w:val="20"/>
              </w:rPr>
            </w:pPr>
            <w:r w:rsidRPr="007B78F4">
              <w:rPr>
                <w:rFonts w:eastAsia="Times New Roman" w:cs="Times New Roman"/>
                <w:b/>
                <w:bCs/>
                <w:color w:val="FFFFFF"/>
                <w:sz w:val="20"/>
                <w:szCs w:val="20"/>
              </w:rPr>
              <w:t xml:space="preserve">Could any of the policy options considered have a significant impact on greenhouse gas emissions (increases or decreases) in the following </w:t>
            </w:r>
            <w:proofErr w:type="gramStart"/>
            <w:r w:rsidRPr="007B78F4">
              <w:rPr>
                <w:rFonts w:eastAsia="Times New Roman" w:cs="Times New Roman"/>
                <w:b/>
                <w:bCs/>
                <w:color w:val="FFFFFF"/>
                <w:sz w:val="20"/>
                <w:szCs w:val="20"/>
              </w:rPr>
              <w:t>sectors?:</w:t>
            </w:r>
            <w:proofErr w:type="gramEnd"/>
          </w:p>
        </w:tc>
        <w:tc>
          <w:tcPr>
            <w:tcW w:w="1701" w:type="dxa"/>
            <w:shd w:val="clear" w:color="auto" w:fill="1B556B"/>
            <w:vAlign w:val="center"/>
          </w:tcPr>
          <w:p w14:paraId="0E33DDBF" w14:textId="77777777" w:rsidR="007B78F4" w:rsidRPr="007B78F4" w:rsidRDefault="007B78F4" w:rsidP="007B78F4">
            <w:pPr>
              <w:spacing w:before="0" w:after="0" w:line="240" w:lineRule="auto"/>
              <w:rPr>
                <w:rFonts w:eastAsia="Times New Roman" w:cs="Calibri"/>
              </w:rPr>
            </w:pPr>
            <w:r w:rsidRPr="007B78F4">
              <w:rPr>
                <w:rFonts w:eastAsia="Times New Roman" w:cs="Calibri"/>
                <w:b/>
                <w:bCs/>
                <w:color w:val="FFFFFF"/>
                <w:sz w:val="20"/>
                <w:szCs w:val="20"/>
              </w:rPr>
              <w:t>Yes/no/unsure</w:t>
            </w:r>
          </w:p>
        </w:tc>
        <w:tc>
          <w:tcPr>
            <w:tcW w:w="3828" w:type="dxa"/>
            <w:shd w:val="clear" w:color="auto" w:fill="1B556B"/>
            <w:vAlign w:val="center"/>
          </w:tcPr>
          <w:p w14:paraId="76CE9B43" w14:textId="77777777" w:rsidR="007B78F4" w:rsidRPr="007B78F4" w:rsidRDefault="007B78F4" w:rsidP="007B78F4">
            <w:pPr>
              <w:spacing w:before="0" w:after="0" w:line="240" w:lineRule="auto"/>
              <w:rPr>
                <w:rFonts w:eastAsia="Times New Roman" w:cs="Calibri"/>
              </w:rPr>
            </w:pPr>
            <w:r w:rsidRPr="007B78F4">
              <w:rPr>
                <w:rFonts w:eastAsia="Times New Roman" w:cs="Calibri"/>
                <w:b/>
                <w:bCs/>
                <w:color w:val="FFFFFF"/>
                <w:sz w:val="20"/>
                <w:szCs w:val="20"/>
              </w:rPr>
              <w:t>Comment if needed</w:t>
            </w:r>
          </w:p>
        </w:tc>
      </w:tr>
      <w:tr w:rsidR="007B78F4" w:rsidRPr="007B78F4" w14:paraId="6F8F9F98" w14:textId="77777777" w:rsidTr="00D81250">
        <w:trPr>
          <w:trHeight w:val="145"/>
        </w:trPr>
        <w:tc>
          <w:tcPr>
            <w:tcW w:w="8642" w:type="dxa"/>
            <w:shd w:val="clear" w:color="auto" w:fill="auto"/>
            <w:vAlign w:val="center"/>
            <w:hideMark/>
          </w:tcPr>
          <w:p w14:paraId="4FCEC76B" w14:textId="77777777" w:rsidR="007B78F4" w:rsidRPr="007B78F4" w:rsidRDefault="007B78F4" w:rsidP="007B78F4">
            <w:pPr>
              <w:spacing w:before="60" w:after="60" w:line="240" w:lineRule="atLeast"/>
              <w:jc w:val="left"/>
              <w:rPr>
                <w:rFonts w:eastAsia="Times New Roman" w:cs="Times New Roman"/>
                <w:b/>
                <w:bCs/>
                <w:sz w:val="18"/>
              </w:rPr>
            </w:pPr>
            <w:r w:rsidRPr="007B78F4">
              <w:rPr>
                <w:rFonts w:eastAsia="Times New Roman" w:cs="Times New Roman"/>
                <w:b/>
                <w:bCs/>
                <w:sz w:val="18"/>
              </w:rPr>
              <w:t>Electricity</w:t>
            </w:r>
            <w:r w:rsidRPr="007B78F4">
              <w:rPr>
                <w:rFonts w:eastAsia="Times New Roman" w:cs="Times New Roman"/>
                <w:sz w:val="18"/>
              </w:rPr>
              <w:t>, for example, policies that have an impact on:</w:t>
            </w:r>
          </w:p>
          <w:p w14:paraId="4AC52D1C" w14:textId="77777777" w:rsidR="007B78F4" w:rsidRPr="007B78F4" w:rsidRDefault="007B78F4" w:rsidP="007908AB">
            <w:pPr>
              <w:pStyle w:val="TableBullet"/>
              <w:rPr>
                <w:rFonts w:eastAsia="Times New Roman"/>
                <w:b/>
                <w:bCs/>
              </w:rPr>
            </w:pPr>
            <w:r w:rsidRPr="007B78F4">
              <w:rPr>
                <w:rFonts w:eastAsia="Times New Roman"/>
              </w:rPr>
              <w:t>renewable sources to replace fossil fuels in electricity generation</w:t>
            </w:r>
          </w:p>
          <w:p w14:paraId="096071D4" w14:textId="77777777" w:rsidR="007B78F4" w:rsidRPr="007B78F4" w:rsidRDefault="007B78F4" w:rsidP="007908AB">
            <w:pPr>
              <w:pStyle w:val="TableBullet"/>
              <w:rPr>
                <w:rFonts w:eastAsia="Times New Roman"/>
                <w:b/>
                <w:bCs/>
              </w:rPr>
            </w:pPr>
            <w:r w:rsidRPr="007B78F4">
              <w:rPr>
                <w:rFonts w:eastAsia="Times New Roman"/>
              </w:rPr>
              <w:t>a change in the amount of electricity demanded, for example the building of a factory</w:t>
            </w:r>
          </w:p>
          <w:p w14:paraId="53FB7FA5" w14:textId="77777777" w:rsidR="007B78F4" w:rsidRPr="007B78F4" w:rsidRDefault="007B78F4" w:rsidP="007908AB">
            <w:pPr>
              <w:pStyle w:val="TableBullet"/>
              <w:rPr>
                <w:rFonts w:eastAsia="Times New Roman"/>
                <w:b/>
                <w:bCs/>
              </w:rPr>
            </w:pPr>
            <w:r w:rsidRPr="007B78F4">
              <w:rPr>
                <w:rFonts w:eastAsia="Times New Roman"/>
              </w:rPr>
              <w:t>the electrification of process heat</w:t>
            </w:r>
            <w:r w:rsidRPr="007B78F4">
              <w:rPr>
                <w:rFonts w:eastAsia="Times New Roman" w:cs="Calibri"/>
                <w:color w:val="183C47"/>
                <w:vertAlign w:val="superscript"/>
              </w:rPr>
              <w:footnoteReference w:id="2"/>
            </w:r>
          </w:p>
          <w:p w14:paraId="725CCE88" w14:textId="77777777" w:rsidR="007B78F4" w:rsidRPr="007B78F4" w:rsidRDefault="007B78F4" w:rsidP="007908AB">
            <w:pPr>
              <w:pStyle w:val="TableBullet"/>
              <w:rPr>
                <w:rFonts w:eastAsia="Times New Roman"/>
                <w:b/>
                <w:bCs/>
              </w:rPr>
            </w:pPr>
            <w:r w:rsidRPr="007B78F4">
              <w:rPr>
                <w:rFonts w:eastAsia="Times New Roman"/>
              </w:rPr>
              <w:t>geothermal carbon capture and storage</w:t>
            </w:r>
          </w:p>
          <w:p w14:paraId="67FAD751" w14:textId="48BE15A2" w:rsidR="007B78F4" w:rsidRPr="007B78F4" w:rsidRDefault="007B78F4" w:rsidP="007908AB">
            <w:pPr>
              <w:pStyle w:val="TableBullet"/>
              <w:rPr>
                <w:rFonts w:eastAsia="Times New Roman"/>
                <w:b/>
                <w:bCs/>
              </w:rPr>
            </w:pPr>
            <w:r w:rsidRPr="007B78F4">
              <w:rPr>
                <w:rFonts w:eastAsia="Times New Roman"/>
              </w:rPr>
              <w:t>energy efficiency of buildings.</w:t>
            </w:r>
          </w:p>
        </w:tc>
        <w:tc>
          <w:tcPr>
            <w:tcW w:w="1701" w:type="dxa"/>
            <w:shd w:val="clear" w:color="auto" w:fill="auto"/>
            <w:vAlign w:val="center"/>
          </w:tcPr>
          <w:p w14:paraId="1D233DBB" w14:textId="77777777" w:rsidR="007B78F4" w:rsidRPr="007B78F4" w:rsidRDefault="007B78F4" w:rsidP="007B78F4">
            <w:pPr>
              <w:spacing w:before="0" w:after="0" w:line="240" w:lineRule="auto"/>
              <w:rPr>
                <w:rFonts w:eastAsia="Times New Roman" w:cs="Calibri"/>
                <w:color w:val="000000"/>
              </w:rPr>
            </w:pPr>
          </w:p>
        </w:tc>
        <w:tc>
          <w:tcPr>
            <w:tcW w:w="3828" w:type="dxa"/>
            <w:shd w:val="clear" w:color="auto" w:fill="auto"/>
            <w:vAlign w:val="center"/>
            <w:hideMark/>
          </w:tcPr>
          <w:p w14:paraId="6C03F9B6" w14:textId="77777777" w:rsidR="007B78F4" w:rsidRPr="007B78F4" w:rsidRDefault="007B78F4" w:rsidP="007B78F4">
            <w:pPr>
              <w:spacing w:before="0" w:after="0" w:line="240" w:lineRule="auto"/>
              <w:rPr>
                <w:rFonts w:eastAsia="Times New Roman" w:cs="Calibri"/>
                <w:color w:val="000000"/>
              </w:rPr>
            </w:pPr>
            <w:r w:rsidRPr="007B78F4">
              <w:rPr>
                <w:rFonts w:eastAsia="Times New Roman" w:cs="Calibri"/>
                <w:color w:val="000000"/>
              </w:rPr>
              <w:t> </w:t>
            </w:r>
          </w:p>
        </w:tc>
      </w:tr>
      <w:tr w:rsidR="007B78F4" w:rsidRPr="007B78F4" w14:paraId="556226A2" w14:textId="77777777" w:rsidTr="00D81250">
        <w:trPr>
          <w:trHeight w:val="1019"/>
        </w:trPr>
        <w:tc>
          <w:tcPr>
            <w:tcW w:w="8642" w:type="dxa"/>
            <w:shd w:val="clear" w:color="auto" w:fill="auto"/>
            <w:vAlign w:val="center"/>
            <w:hideMark/>
          </w:tcPr>
          <w:p w14:paraId="73EA7A62" w14:textId="77777777" w:rsidR="007B78F4" w:rsidRPr="007B78F4" w:rsidRDefault="007B78F4" w:rsidP="007B78F4">
            <w:pPr>
              <w:spacing w:before="60" w:after="60" w:line="240" w:lineRule="atLeast"/>
              <w:jc w:val="left"/>
              <w:rPr>
                <w:rFonts w:eastAsia="Times New Roman" w:cs="Times New Roman"/>
                <w:sz w:val="18"/>
              </w:rPr>
            </w:pPr>
            <w:r w:rsidRPr="007B78F4">
              <w:rPr>
                <w:rFonts w:eastAsia="Times New Roman" w:cs="Times New Roman"/>
                <w:b/>
                <w:bCs/>
                <w:sz w:val="18"/>
              </w:rPr>
              <w:t>Transport</w:t>
            </w:r>
            <w:r w:rsidRPr="007B78F4">
              <w:rPr>
                <w:rFonts w:eastAsia="Times New Roman" w:cs="Times New Roman"/>
                <w:sz w:val="18"/>
              </w:rPr>
              <w:t>, for example, policies that have an impact on:</w:t>
            </w:r>
          </w:p>
          <w:p w14:paraId="0565FEA9" w14:textId="77777777" w:rsidR="007B78F4" w:rsidRPr="007B78F4" w:rsidRDefault="007B78F4" w:rsidP="007908AB">
            <w:pPr>
              <w:pStyle w:val="TableBullet"/>
              <w:rPr>
                <w:rFonts w:eastAsia="Times New Roman"/>
                <w:b/>
                <w:bCs/>
              </w:rPr>
            </w:pPr>
            <w:r w:rsidRPr="007B78F4">
              <w:rPr>
                <w:rFonts w:eastAsia="Times New Roman"/>
              </w:rPr>
              <w:t>total vehicle kilometres travelled by internal combustion engine vehicles (including public transport)</w:t>
            </w:r>
          </w:p>
          <w:p w14:paraId="34E75304" w14:textId="77777777" w:rsidR="007B78F4" w:rsidRPr="007B78F4" w:rsidRDefault="007B78F4" w:rsidP="007908AB">
            <w:pPr>
              <w:pStyle w:val="TableBullet"/>
              <w:rPr>
                <w:rFonts w:eastAsia="Times New Roman"/>
                <w:b/>
                <w:bCs/>
              </w:rPr>
            </w:pPr>
            <w:r w:rsidRPr="007B78F4">
              <w:rPr>
                <w:rFonts w:eastAsia="Times New Roman"/>
              </w:rPr>
              <w:t>fuel switching from fossil fuels to lower emission alternatives, such as electricity (battery), hydrogen and biofuels</w:t>
            </w:r>
          </w:p>
          <w:p w14:paraId="29688E15" w14:textId="77777777" w:rsidR="007B78F4" w:rsidRPr="007B78F4" w:rsidRDefault="007B78F4" w:rsidP="007908AB">
            <w:pPr>
              <w:pStyle w:val="TableBullet"/>
              <w:rPr>
                <w:rFonts w:eastAsia="Times New Roman"/>
                <w:b/>
                <w:bCs/>
              </w:rPr>
            </w:pPr>
            <w:r w:rsidRPr="007B78F4">
              <w:rPr>
                <w:rFonts w:eastAsia="Times New Roman"/>
              </w:rPr>
              <w:t>transport mode change (passenger and freight)</w:t>
            </w:r>
          </w:p>
          <w:p w14:paraId="70FEA494" w14:textId="65675894" w:rsidR="007B78F4" w:rsidRPr="007B78F4" w:rsidRDefault="007B78F4" w:rsidP="007908AB">
            <w:pPr>
              <w:pStyle w:val="TableBullet"/>
              <w:rPr>
                <w:rFonts w:eastAsia="Times New Roman"/>
                <w:b/>
                <w:bCs/>
              </w:rPr>
            </w:pPr>
            <w:r w:rsidRPr="007B78F4">
              <w:rPr>
                <w:rFonts w:eastAsia="Times New Roman"/>
              </w:rPr>
              <w:t xml:space="preserve">electric vehicle uptake. </w:t>
            </w:r>
          </w:p>
        </w:tc>
        <w:tc>
          <w:tcPr>
            <w:tcW w:w="1701" w:type="dxa"/>
            <w:shd w:val="clear" w:color="auto" w:fill="auto"/>
            <w:vAlign w:val="center"/>
          </w:tcPr>
          <w:p w14:paraId="73FCC603" w14:textId="77777777" w:rsidR="007B78F4" w:rsidRPr="007B78F4" w:rsidRDefault="007B78F4" w:rsidP="007B78F4">
            <w:pPr>
              <w:spacing w:before="0" w:after="0" w:line="240" w:lineRule="auto"/>
              <w:rPr>
                <w:rFonts w:eastAsia="Times New Roman" w:cs="Calibri"/>
                <w:color w:val="000000"/>
              </w:rPr>
            </w:pPr>
          </w:p>
        </w:tc>
        <w:tc>
          <w:tcPr>
            <w:tcW w:w="3828" w:type="dxa"/>
            <w:shd w:val="clear" w:color="auto" w:fill="auto"/>
            <w:vAlign w:val="center"/>
            <w:hideMark/>
          </w:tcPr>
          <w:p w14:paraId="434551DB" w14:textId="77777777" w:rsidR="007B78F4" w:rsidRPr="007B78F4" w:rsidRDefault="007B78F4" w:rsidP="007B78F4">
            <w:pPr>
              <w:spacing w:before="0" w:after="0" w:line="240" w:lineRule="auto"/>
              <w:rPr>
                <w:rFonts w:eastAsia="Times New Roman" w:cs="Calibri"/>
                <w:color w:val="000000"/>
              </w:rPr>
            </w:pPr>
            <w:r w:rsidRPr="007B78F4">
              <w:rPr>
                <w:rFonts w:eastAsia="Times New Roman" w:cs="Calibri"/>
                <w:color w:val="000000"/>
              </w:rPr>
              <w:t> </w:t>
            </w:r>
          </w:p>
        </w:tc>
      </w:tr>
      <w:tr w:rsidR="007B78F4" w:rsidRPr="007B78F4" w14:paraId="04A1C76E" w14:textId="77777777" w:rsidTr="00D81250">
        <w:trPr>
          <w:trHeight w:val="70"/>
        </w:trPr>
        <w:tc>
          <w:tcPr>
            <w:tcW w:w="8642" w:type="dxa"/>
            <w:shd w:val="clear" w:color="auto" w:fill="auto"/>
            <w:vAlign w:val="center"/>
            <w:hideMark/>
          </w:tcPr>
          <w:p w14:paraId="3170FA28" w14:textId="77777777" w:rsidR="007B78F4" w:rsidRPr="007B78F4" w:rsidRDefault="007B78F4" w:rsidP="007B78F4">
            <w:pPr>
              <w:spacing w:before="60" w:after="60" w:line="240" w:lineRule="atLeast"/>
              <w:jc w:val="left"/>
              <w:rPr>
                <w:rFonts w:eastAsia="Times New Roman" w:cs="Times New Roman"/>
                <w:sz w:val="18"/>
              </w:rPr>
            </w:pPr>
            <w:r w:rsidRPr="007B78F4">
              <w:rPr>
                <w:rFonts w:eastAsia="Times New Roman" w:cs="Times New Roman"/>
                <w:b/>
                <w:bCs/>
                <w:sz w:val="18"/>
              </w:rPr>
              <w:t>Waste</w:t>
            </w:r>
            <w:r w:rsidRPr="007B78F4">
              <w:rPr>
                <w:rFonts w:eastAsia="Times New Roman" w:cs="Times New Roman"/>
                <w:sz w:val="18"/>
              </w:rPr>
              <w:t xml:space="preserve">, for example: </w:t>
            </w:r>
          </w:p>
          <w:p w14:paraId="7ADCEC1D" w14:textId="4E27BC15" w:rsidR="007B78F4" w:rsidRPr="007B78F4" w:rsidRDefault="007B78F4" w:rsidP="007908AB">
            <w:pPr>
              <w:pStyle w:val="TableBullet"/>
              <w:rPr>
                <w:rFonts w:eastAsia="Times New Roman"/>
              </w:rPr>
            </w:pPr>
            <w:r w:rsidRPr="007B78F4">
              <w:rPr>
                <w:rFonts w:eastAsia="Times New Roman"/>
              </w:rPr>
              <w:t>policies that will result in an increase or decrease in waste going to landfill.</w:t>
            </w:r>
          </w:p>
        </w:tc>
        <w:tc>
          <w:tcPr>
            <w:tcW w:w="1701" w:type="dxa"/>
            <w:shd w:val="clear" w:color="auto" w:fill="auto"/>
            <w:vAlign w:val="center"/>
          </w:tcPr>
          <w:p w14:paraId="085B1C16" w14:textId="77777777" w:rsidR="007B78F4" w:rsidRPr="007B78F4" w:rsidRDefault="007B78F4" w:rsidP="007B78F4">
            <w:pPr>
              <w:spacing w:before="0" w:after="0" w:line="240" w:lineRule="auto"/>
              <w:rPr>
                <w:rFonts w:eastAsia="Times New Roman" w:cs="Calibri"/>
                <w:color w:val="000000"/>
              </w:rPr>
            </w:pPr>
          </w:p>
        </w:tc>
        <w:tc>
          <w:tcPr>
            <w:tcW w:w="3828" w:type="dxa"/>
            <w:shd w:val="clear" w:color="auto" w:fill="auto"/>
            <w:vAlign w:val="center"/>
            <w:hideMark/>
          </w:tcPr>
          <w:p w14:paraId="2A511BBC" w14:textId="77777777" w:rsidR="007B78F4" w:rsidRPr="007B78F4" w:rsidRDefault="007B78F4" w:rsidP="007B78F4">
            <w:pPr>
              <w:spacing w:before="0" w:after="0" w:line="240" w:lineRule="auto"/>
              <w:rPr>
                <w:rFonts w:eastAsia="Times New Roman" w:cs="Calibri"/>
                <w:color w:val="000000"/>
              </w:rPr>
            </w:pPr>
            <w:r w:rsidRPr="007B78F4">
              <w:rPr>
                <w:rFonts w:eastAsia="Times New Roman" w:cs="Calibri"/>
                <w:color w:val="000000"/>
              </w:rPr>
              <w:t> </w:t>
            </w:r>
          </w:p>
        </w:tc>
      </w:tr>
      <w:tr w:rsidR="007B78F4" w:rsidRPr="007B78F4" w14:paraId="3047D980" w14:textId="77777777" w:rsidTr="00D81250">
        <w:trPr>
          <w:trHeight w:val="70"/>
        </w:trPr>
        <w:tc>
          <w:tcPr>
            <w:tcW w:w="8642" w:type="dxa"/>
            <w:shd w:val="clear" w:color="auto" w:fill="auto"/>
            <w:vAlign w:val="center"/>
            <w:hideMark/>
          </w:tcPr>
          <w:p w14:paraId="4D6C690E" w14:textId="77777777" w:rsidR="007B78F4" w:rsidRPr="007B78F4" w:rsidRDefault="007B78F4" w:rsidP="007B78F4">
            <w:pPr>
              <w:keepNext/>
              <w:keepLines/>
              <w:spacing w:before="60" w:after="60" w:line="240" w:lineRule="atLeast"/>
              <w:jc w:val="left"/>
              <w:rPr>
                <w:rFonts w:eastAsia="Times New Roman" w:cs="Times New Roman"/>
                <w:sz w:val="18"/>
              </w:rPr>
            </w:pPr>
            <w:r w:rsidRPr="007B78F4">
              <w:rPr>
                <w:rFonts w:eastAsia="Times New Roman" w:cs="Times New Roman"/>
                <w:b/>
                <w:bCs/>
                <w:sz w:val="18"/>
              </w:rPr>
              <w:lastRenderedPageBreak/>
              <w:t>Agriculture</w:t>
            </w:r>
            <w:r w:rsidRPr="007B78F4">
              <w:rPr>
                <w:rFonts w:eastAsia="Times New Roman" w:cs="Times New Roman"/>
                <w:sz w:val="18"/>
              </w:rPr>
              <w:t xml:space="preserve">, for example, policies that have an impact on: </w:t>
            </w:r>
          </w:p>
          <w:p w14:paraId="53070A5D" w14:textId="77777777" w:rsidR="007B78F4" w:rsidRPr="007B78F4" w:rsidRDefault="007B78F4" w:rsidP="007908AB">
            <w:pPr>
              <w:pStyle w:val="TableBullet"/>
              <w:rPr>
                <w:rFonts w:eastAsia="Times New Roman"/>
              </w:rPr>
            </w:pPr>
            <w:r w:rsidRPr="007B78F4">
              <w:rPr>
                <w:rFonts w:eastAsia="Times New Roman"/>
              </w:rPr>
              <w:t>amounts and types of livestock on farms</w:t>
            </w:r>
          </w:p>
          <w:p w14:paraId="461A70BF" w14:textId="130F5475" w:rsidR="007B78F4" w:rsidRPr="007B78F4" w:rsidRDefault="007B78F4" w:rsidP="007908AB">
            <w:pPr>
              <w:pStyle w:val="TableBullet"/>
              <w:rPr>
                <w:rFonts w:eastAsia="Times New Roman"/>
              </w:rPr>
            </w:pPr>
            <w:r w:rsidRPr="007B78F4">
              <w:rPr>
                <w:rFonts w:eastAsia="Times New Roman"/>
              </w:rPr>
              <w:t>use of nitrogen fertiliser.</w:t>
            </w:r>
          </w:p>
        </w:tc>
        <w:tc>
          <w:tcPr>
            <w:tcW w:w="1701" w:type="dxa"/>
            <w:shd w:val="clear" w:color="auto" w:fill="auto"/>
            <w:vAlign w:val="center"/>
          </w:tcPr>
          <w:p w14:paraId="7F642686" w14:textId="77777777" w:rsidR="007B78F4" w:rsidRPr="007B78F4" w:rsidRDefault="007B78F4" w:rsidP="007B78F4">
            <w:pPr>
              <w:spacing w:before="0" w:after="0" w:line="240" w:lineRule="auto"/>
              <w:rPr>
                <w:rFonts w:eastAsia="Times New Roman" w:cs="Calibri"/>
                <w:color w:val="000000"/>
              </w:rPr>
            </w:pPr>
          </w:p>
        </w:tc>
        <w:tc>
          <w:tcPr>
            <w:tcW w:w="3828" w:type="dxa"/>
            <w:shd w:val="clear" w:color="auto" w:fill="auto"/>
            <w:vAlign w:val="center"/>
            <w:hideMark/>
          </w:tcPr>
          <w:p w14:paraId="4026EC66" w14:textId="77777777" w:rsidR="007B78F4" w:rsidRPr="007B78F4" w:rsidRDefault="007B78F4" w:rsidP="007B78F4">
            <w:pPr>
              <w:spacing w:before="0" w:after="0" w:line="240" w:lineRule="auto"/>
              <w:rPr>
                <w:rFonts w:eastAsia="Times New Roman" w:cs="Calibri"/>
                <w:color w:val="000000"/>
              </w:rPr>
            </w:pPr>
            <w:r w:rsidRPr="007B78F4">
              <w:rPr>
                <w:rFonts w:eastAsia="Times New Roman" w:cs="Calibri"/>
                <w:color w:val="000000"/>
              </w:rPr>
              <w:t> </w:t>
            </w:r>
          </w:p>
        </w:tc>
      </w:tr>
      <w:tr w:rsidR="007B78F4" w:rsidRPr="007B78F4" w14:paraId="6EFBE89E" w14:textId="77777777" w:rsidTr="00D81250">
        <w:trPr>
          <w:trHeight w:val="70"/>
        </w:trPr>
        <w:tc>
          <w:tcPr>
            <w:tcW w:w="8642" w:type="dxa"/>
            <w:tcBorders>
              <w:bottom w:val="single" w:sz="4" w:space="0" w:color="1B556B"/>
            </w:tcBorders>
            <w:shd w:val="clear" w:color="auto" w:fill="auto"/>
            <w:vAlign w:val="center"/>
            <w:hideMark/>
          </w:tcPr>
          <w:p w14:paraId="4F6FD22D" w14:textId="77777777" w:rsidR="007B78F4" w:rsidRPr="007B78F4" w:rsidRDefault="007B78F4" w:rsidP="007B78F4">
            <w:pPr>
              <w:keepNext/>
              <w:spacing w:before="60" w:after="60" w:line="240" w:lineRule="atLeast"/>
              <w:jc w:val="left"/>
              <w:rPr>
                <w:rFonts w:eastAsia="Times New Roman" w:cs="Times New Roman"/>
                <w:sz w:val="18"/>
              </w:rPr>
            </w:pPr>
            <w:r w:rsidRPr="007B78F4">
              <w:rPr>
                <w:rFonts w:eastAsia="Times New Roman" w:cs="Times New Roman"/>
                <w:b/>
                <w:bCs/>
                <w:sz w:val="18"/>
              </w:rPr>
              <w:t>Land use</w:t>
            </w:r>
            <w:r w:rsidRPr="007B78F4">
              <w:rPr>
                <w:rFonts w:eastAsia="Times New Roman" w:cs="Times New Roman"/>
                <w:sz w:val="18"/>
              </w:rPr>
              <w:t>, for example, policies that have an impact on:</w:t>
            </w:r>
          </w:p>
          <w:p w14:paraId="0FDED78D" w14:textId="77777777" w:rsidR="007B78F4" w:rsidRPr="007B78F4" w:rsidRDefault="007B78F4" w:rsidP="007908AB">
            <w:pPr>
              <w:pStyle w:val="TableBullet"/>
              <w:rPr>
                <w:rFonts w:eastAsia="Times New Roman"/>
              </w:rPr>
            </w:pPr>
            <w:r w:rsidRPr="007B78F4">
              <w:rPr>
                <w:rFonts w:eastAsia="Times New Roman"/>
              </w:rPr>
              <w:t>amount of land converted to or from forest land</w:t>
            </w:r>
          </w:p>
          <w:p w14:paraId="72FFEF79" w14:textId="77777777" w:rsidR="007B78F4" w:rsidRPr="007B78F4" w:rsidRDefault="007B78F4" w:rsidP="007908AB">
            <w:pPr>
              <w:pStyle w:val="TableBullet"/>
              <w:rPr>
                <w:rFonts w:eastAsia="Times New Roman"/>
              </w:rPr>
            </w:pPr>
            <w:r w:rsidRPr="007B78F4">
              <w:rPr>
                <w:rFonts w:eastAsia="Times New Roman"/>
              </w:rPr>
              <w:t>regenerating native forest</w:t>
            </w:r>
          </w:p>
          <w:p w14:paraId="5F92D816" w14:textId="77777777" w:rsidR="007B78F4" w:rsidRPr="007B78F4" w:rsidRDefault="007B78F4" w:rsidP="007908AB">
            <w:pPr>
              <w:pStyle w:val="TableBullet"/>
              <w:rPr>
                <w:rFonts w:eastAsia="Times New Roman"/>
              </w:rPr>
            </w:pPr>
            <w:r w:rsidRPr="007B78F4">
              <w:rPr>
                <w:rFonts w:eastAsia="Times New Roman"/>
              </w:rPr>
              <w:t>changes in forest type or species.</w:t>
            </w:r>
          </w:p>
        </w:tc>
        <w:tc>
          <w:tcPr>
            <w:tcW w:w="1701" w:type="dxa"/>
            <w:tcBorders>
              <w:bottom w:val="single" w:sz="4" w:space="0" w:color="1B556B"/>
            </w:tcBorders>
            <w:shd w:val="clear" w:color="auto" w:fill="auto"/>
            <w:vAlign w:val="center"/>
          </w:tcPr>
          <w:p w14:paraId="1F78A9D2" w14:textId="77777777" w:rsidR="007B78F4" w:rsidRPr="007B78F4" w:rsidRDefault="007B78F4" w:rsidP="007B78F4">
            <w:pPr>
              <w:keepNext/>
              <w:spacing w:before="0" w:after="0" w:line="240" w:lineRule="auto"/>
              <w:rPr>
                <w:rFonts w:eastAsia="Times New Roman" w:cs="Calibri"/>
                <w:color w:val="000000"/>
              </w:rPr>
            </w:pPr>
          </w:p>
        </w:tc>
        <w:tc>
          <w:tcPr>
            <w:tcW w:w="3828" w:type="dxa"/>
            <w:tcBorders>
              <w:bottom w:val="single" w:sz="4" w:space="0" w:color="1B556B"/>
            </w:tcBorders>
            <w:shd w:val="clear" w:color="auto" w:fill="auto"/>
            <w:vAlign w:val="center"/>
            <w:hideMark/>
          </w:tcPr>
          <w:p w14:paraId="7317B15B" w14:textId="77777777" w:rsidR="007B78F4" w:rsidRPr="007B78F4" w:rsidRDefault="007B78F4" w:rsidP="007B78F4">
            <w:pPr>
              <w:keepNext/>
              <w:spacing w:before="0" w:after="0" w:line="240" w:lineRule="auto"/>
              <w:rPr>
                <w:rFonts w:eastAsia="Times New Roman" w:cs="Calibri"/>
                <w:color w:val="000000"/>
              </w:rPr>
            </w:pPr>
            <w:r w:rsidRPr="007B78F4">
              <w:rPr>
                <w:rFonts w:eastAsia="Times New Roman" w:cs="Calibri"/>
                <w:color w:val="000000"/>
              </w:rPr>
              <w:t> </w:t>
            </w:r>
          </w:p>
        </w:tc>
      </w:tr>
      <w:tr w:rsidR="007B78F4" w:rsidRPr="007B78F4" w14:paraId="6B7BACCE" w14:textId="77777777" w:rsidTr="00D81250">
        <w:trPr>
          <w:trHeight w:val="70"/>
        </w:trPr>
        <w:tc>
          <w:tcPr>
            <w:tcW w:w="8642" w:type="dxa"/>
            <w:tcBorders>
              <w:top w:val="single" w:sz="4" w:space="0" w:color="1B556B"/>
              <w:bottom w:val="single" w:sz="4" w:space="0" w:color="1B556B"/>
            </w:tcBorders>
            <w:shd w:val="clear" w:color="auto" w:fill="auto"/>
            <w:vAlign w:val="center"/>
            <w:hideMark/>
          </w:tcPr>
          <w:p w14:paraId="5117D947" w14:textId="77777777" w:rsidR="007B78F4" w:rsidRPr="007B78F4" w:rsidRDefault="007B78F4" w:rsidP="007B78F4">
            <w:pPr>
              <w:keepNext/>
              <w:keepLines/>
              <w:spacing w:before="60" w:after="60" w:line="240" w:lineRule="atLeast"/>
              <w:jc w:val="left"/>
              <w:rPr>
                <w:rFonts w:eastAsia="Times New Roman" w:cs="Times New Roman"/>
                <w:sz w:val="18"/>
              </w:rPr>
            </w:pPr>
            <w:r w:rsidRPr="007B78F4">
              <w:rPr>
                <w:rFonts w:eastAsia="Times New Roman" w:cs="Times New Roman"/>
                <w:b/>
                <w:bCs/>
                <w:sz w:val="18"/>
              </w:rPr>
              <w:t>Industrial processes and product use</w:t>
            </w:r>
            <w:r w:rsidRPr="007B78F4">
              <w:rPr>
                <w:rFonts w:eastAsia="Times New Roman" w:cs="Times New Roman"/>
                <w:sz w:val="18"/>
              </w:rPr>
              <w:t>, for example, policies that have an impact on</w:t>
            </w:r>
          </w:p>
          <w:p w14:paraId="1AF75794" w14:textId="6A97BD1F" w:rsidR="007B78F4" w:rsidRPr="007B78F4" w:rsidRDefault="007B78F4" w:rsidP="007908AB">
            <w:pPr>
              <w:pStyle w:val="TableBullet"/>
              <w:rPr>
                <w:rFonts w:eastAsia="Times New Roman"/>
              </w:rPr>
            </w:pPr>
            <w:r w:rsidRPr="007B78F4">
              <w:rPr>
                <w:rFonts w:eastAsia="Times New Roman"/>
              </w:rPr>
              <w:t>use of greenhouse-gas-emitting process heat fuels and fuel</w:t>
            </w:r>
            <w:r w:rsidR="002D1D12">
              <w:rPr>
                <w:rFonts w:eastAsia="Times New Roman"/>
              </w:rPr>
              <w:t>-</w:t>
            </w:r>
            <w:r w:rsidRPr="007B78F4">
              <w:rPr>
                <w:rFonts w:eastAsia="Times New Roman"/>
              </w:rPr>
              <w:t>switching to biomass</w:t>
            </w:r>
          </w:p>
          <w:p w14:paraId="1DE799FE" w14:textId="77777777" w:rsidR="007B78F4" w:rsidRPr="007B78F4" w:rsidRDefault="007B78F4" w:rsidP="007908AB">
            <w:pPr>
              <w:pStyle w:val="TableBullet"/>
              <w:rPr>
                <w:rFonts w:eastAsia="Times New Roman"/>
              </w:rPr>
            </w:pPr>
            <w:r w:rsidRPr="007B78F4">
              <w:rPr>
                <w:rFonts w:eastAsia="Times New Roman"/>
              </w:rPr>
              <w:t>energy efficiency in process heat</w:t>
            </w:r>
          </w:p>
          <w:p w14:paraId="590B54DA" w14:textId="77777777" w:rsidR="007B78F4" w:rsidRPr="007B78F4" w:rsidRDefault="007B78F4" w:rsidP="007908AB">
            <w:pPr>
              <w:pStyle w:val="TableBullet"/>
              <w:rPr>
                <w:rFonts w:eastAsia="Times New Roman"/>
              </w:rPr>
            </w:pPr>
            <w:r w:rsidRPr="007B78F4">
              <w:rPr>
                <w:rFonts w:eastAsia="Times New Roman"/>
              </w:rPr>
              <w:t>the use of construction materials.</w:t>
            </w:r>
          </w:p>
        </w:tc>
        <w:tc>
          <w:tcPr>
            <w:tcW w:w="1701" w:type="dxa"/>
            <w:tcBorders>
              <w:top w:val="single" w:sz="4" w:space="0" w:color="1B556B"/>
              <w:bottom w:val="single" w:sz="4" w:space="0" w:color="1B556B"/>
            </w:tcBorders>
            <w:shd w:val="clear" w:color="auto" w:fill="auto"/>
            <w:vAlign w:val="center"/>
          </w:tcPr>
          <w:p w14:paraId="22C31626" w14:textId="77777777" w:rsidR="007B78F4" w:rsidRPr="007B78F4" w:rsidRDefault="007B78F4" w:rsidP="007B78F4">
            <w:pPr>
              <w:spacing w:before="0" w:after="0" w:line="240" w:lineRule="auto"/>
              <w:rPr>
                <w:rFonts w:eastAsia="Times New Roman" w:cs="Calibri"/>
                <w:color w:val="000000"/>
              </w:rPr>
            </w:pPr>
          </w:p>
        </w:tc>
        <w:tc>
          <w:tcPr>
            <w:tcW w:w="3828" w:type="dxa"/>
            <w:tcBorders>
              <w:top w:val="single" w:sz="4" w:space="0" w:color="1B556B"/>
              <w:bottom w:val="single" w:sz="4" w:space="0" w:color="1B556B"/>
            </w:tcBorders>
            <w:shd w:val="clear" w:color="auto" w:fill="auto"/>
            <w:vAlign w:val="center"/>
            <w:hideMark/>
          </w:tcPr>
          <w:p w14:paraId="31357950" w14:textId="77777777" w:rsidR="007B78F4" w:rsidRPr="007B78F4" w:rsidRDefault="007B78F4" w:rsidP="007B78F4">
            <w:pPr>
              <w:spacing w:before="0" w:after="0" w:line="240" w:lineRule="auto"/>
              <w:rPr>
                <w:rFonts w:eastAsia="Times New Roman" w:cs="Calibri"/>
                <w:color w:val="000000"/>
              </w:rPr>
            </w:pPr>
            <w:r w:rsidRPr="007B78F4">
              <w:rPr>
                <w:rFonts w:eastAsia="Times New Roman" w:cs="Calibri"/>
                <w:color w:val="000000"/>
              </w:rPr>
              <w:t> </w:t>
            </w:r>
          </w:p>
        </w:tc>
      </w:tr>
    </w:tbl>
    <w:p w14:paraId="02A14444" w14:textId="77777777" w:rsidR="007B78F4" w:rsidRPr="007B78F4" w:rsidRDefault="007B78F4" w:rsidP="007B78F4">
      <w:pPr>
        <w:spacing w:after="0"/>
        <w:rPr>
          <w:rFonts w:eastAsia="Times New Roman" w:cs="Times New Roman"/>
          <w:iCs/>
        </w:rPr>
      </w:pPr>
    </w:p>
    <w:p w14:paraId="7FC487B1" w14:textId="49454AEA" w:rsidR="007B78F4" w:rsidRPr="007B78F4" w:rsidRDefault="007B78F4" w:rsidP="007B78F4">
      <w:pPr>
        <w:spacing w:after="0"/>
        <w:rPr>
          <w:rFonts w:eastAsia="Times New Roman" w:cs="Times New Roman"/>
          <w:iCs/>
        </w:rPr>
      </w:pPr>
      <w:r w:rsidRPr="007B78F4">
        <w:rPr>
          <w:rFonts w:eastAsia="Times New Roman" w:cs="Times New Roman"/>
          <w:iCs/>
        </w:rPr>
        <w:t xml:space="preserve">Note: the listed examples are not an exhaustive list of all sources or activities associated with </w:t>
      </w:r>
      <w:r w:rsidR="007908AB">
        <w:rPr>
          <w:rFonts w:eastAsia="Times New Roman" w:cs="Times New Roman"/>
          <w:iCs/>
        </w:rPr>
        <w:t>greenhouse gas</w:t>
      </w:r>
      <w:r w:rsidRPr="007B78F4">
        <w:rPr>
          <w:rFonts w:eastAsia="Times New Roman" w:cs="Times New Roman"/>
          <w:iCs/>
        </w:rPr>
        <w:t xml:space="preserve"> emissions and are provided as indicative examples.</w:t>
      </w:r>
    </w:p>
    <w:p w14:paraId="6769FB34" w14:textId="45FBF093" w:rsidR="00D009D8" w:rsidRPr="007B78F4" w:rsidRDefault="00D009D8" w:rsidP="007B78F4"/>
    <w:sectPr w:rsidR="00D009D8" w:rsidRPr="007B78F4" w:rsidSect="007908AB">
      <w:footerReference w:type="even" r:id="rId18"/>
      <w:footerReference w:type="default" r:id="rId19"/>
      <w:pgSz w:w="16840" w:h="11907" w:orient="landscape" w:code="9"/>
      <w:pgMar w:top="1134" w:right="1814" w:bottom="1701"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0AF81" w14:textId="77777777" w:rsidR="008C448E" w:rsidRDefault="008C448E" w:rsidP="0080531E">
      <w:pPr>
        <w:spacing w:before="0" w:after="0" w:line="240" w:lineRule="auto"/>
      </w:pPr>
      <w:r>
        <w:separator/>
      </w:r>
    </w:p>
    <w:p w14:paraId="6829C286" w14:textId="77777777" w:rsidR="008C448E" w:rsidRDefault="008C448E"/>
  </w:endnote>
  <w:endnote w:type="continuationSeparator" w:id="0">
    <w:p w14:paraId="38F21400" w14:textId="77777777" w:rsidR="008C448E" w:rsidRDefault="008C448E" w:rsidP="0080531E">
      <w:pPr>
        <w:spacing w:before="0" w:after="0" w:line="240" w:lineRule="auto"/>
      </w:pPr>
      <w:r>
        <w:continuationSeparator/>
      </w:r>
    </w:p>
    <w:p w14:paraId="39F61659" w14:textId="77777777" w:rsidR="008C448E" w:rsidRDefault="008C448E"/>
  </w:endnote>
  <w:endnote w:type="continuationNotice" w:id="1">
    <w:p w14:paraId="6F01589D" w14:textId="77777777" w:rsidR="008C448E" w:rsidRDefault="008C44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AA3E8" w14:textId="3FADDF16" w:rsidR="007B78F4" w:rsidRDefault="007B78F4" w:rsidP="007B78F4">
    <w:pPr>
      <w:pStyle w:val="Footereven"/>
    </w:pPr>
    <w:r w:rsidRPr="004F458A">
      <w:rPr>
        <w:b/>
      </w:rPr>
      <w:fldChar w:fldCharType="begin"/>
    </w:r>
    <w:r w:rsidRPr="004F458A">
      <w:instrText xml:space="preserve"> PAGE </w:instrText>
    </w:r>
    <w:r w:rsidRPr="004F458A">
      <w:rPr>
        <w:b/>
      </w:rPr>
      <w:fldChar w:fldCharType="separate"/>
    </w:r>
    <w:r>
      <w:rPr>
        <w:b/>
      </w:rPr>
      <w:t>4</w:t>
    </w:r>
    <w:r w:rsidRPr="004F458A">
      <w:rPr>
        <w:b/>
      </w:rPr>
      <w:fldChar w:fldCharType="end"/>
    </w:r>
    <w:r>
      <w:tab/>
      <w:t>Climate implications of policy assessment: Early engagement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8921" w14:textId="5F416BFF" w:rsidR="007B78F4" w:rsidRDefault="007B78F4" w:rsidP="007B78F4">
    <w:pPr>
      <w:pStyle w:val="Footereven"/>
      <w:jc w:val="right"/>
    </w:pPr>
    <w:r>
      <w:tab/>
      <w:t>Climate implications of policy assessment: Early engagement form</w:t>
    </w:r>
    <w:r>
      <w:tab/>
    </w:r>
    <w:r>
      <w:fldChar w:fldCharType="begin"/>
    </w:r>
    <w:r>
      <w:instrText xml:space="preserve"> PAGE   \* MERGEFORMAT </w:instrText>
    </w:r>
    <w:r>
      <w:fldChar w:fldCharType="separate"/>
    </w:r>
    <w: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2A544" w14:textId="7D8C8676" w:rsidR="00A4249C" w:rsidRDefault="00E5210B" w:rsidP="007B78F4">
    <w:pPr>
      <w:pStyle w:val="Footereven"/>
    </w:pPr>
    <w:r w:rsidRPr="004F458A">
      <w:rPr>
        <w:b/>
      </w:rPr>
      <w:fldChar w:fldCharType="begin"/>
    </w:r>
    <w:r w:rsidRPr="004F458A">
      <w:instrText xml:space="preserve"> PAGE </w:instrText>
    </w:r>
    <w:r w:rsidRPr="004F458A">
      <w:rPr>
        <w:b/>
      </w:rPr>
      <w:fldChar w:fldCharType="separate"/>
    </w:r>
    <w:r w:rsidR="005D3242">
      <w:rPr>
        <w:noProof/>
      </w:rPr>
      <w:t>8</w:t>
    </w:r>
    <w:r w:rsidRPr="004F458A">
      <w:rPr>
        <w:b/>
      </w:rPr>
      <w:fldChar w:fldCharType="end"/>
    </w:r>
    <w:r>
      <w:tab/>
    </w:r>
    <w:r w:rsidR="007908AB">
      <w:t>Climate implications of policy assessment: Early engagement form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84A05" w14:textId="0D545FEF" w:rsidR="00A4249C" w:rsidRDefault="00E5210B" w:rsidP="007B78F4">
    <w:pPr>
      <w:pStyle w:val="Footerodd"/>
      <w:jc w:val="right"/>
    </w:pPr>
    <w:r w:rsidRPr="007B78F4">
      <w:tab/>
    </w:r>
    <w:r w:rsidR="007B78F4" w:rsidRPr="007B78F4">
      <w:t>Climate implications of policy assessment: Early engagement form</w:t>
    </w:r>
    <w:r>
      <w:tab/>
    </w:r>
    <w:r w:rsidR="008540A6">
      <w:fldChar w:fldCharType="begin"/>
    </w:r>
    <w:r w:rsidR="008540A6">
      <w:instrText xml:space="preserve"> PAGE   \* MERGEFORMAT </w:instrText>
    </w:r>
    <w:r w:rsidR="008540A6">
      <w:fldChar w:fldCharType="separate"/>
    </w:r>
    <w:r w:rsidR="005D3242">
      <w:rPr>
        <w:noProof/>
      </w:rPr>
      <w:t>7</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FEF53" w14:textId="77777777" w:rsidR="008C448E" w:rsidRDefault="008C448E" w:rsidP="00CB5C5F">
      <w:pPr>
        <w:spacing w:before="0" w:after="80" w:line="240" w:lineRule="auto"/>
      </w:pPr>
      <w:r>
        <w:separator/>
      </w:r>
    </w:p>
  </w:footnote>
  <w:footnote w:type="continuationSeparator" w:id="0">
    <w:p w14:paraId="585F0CDA" w14:textId="77777777" w:rsidR="008C448E" w:rsidRDefault="008C448E" w:rsidP="0080531E">
      <w:pPr>
        <w:spacing w:before="0" w:after="0" w:line="240" w:lineRule="auto"/>
      </w:pPr>
      <w:r>
        <w:continuationSeparator/>
      </w:r>
    </w:p>
    <w:p w14:paraId="517CFA82" w14:textId="77777777" w:rsidR="008C448E" w:rsidRDefault="008C448E"/>
  </w:footnote>
  <w:footnote w:type="continuationNotice" w:id="1">
    <w:p w14:paraId="0B4084C5" w14:textId="77777777" w:rsidR="008C448E" w:rsidRDefault="008C448E">
      <w:pPr>
        <w:spacing w:before="0" w:after="0" w:line="240" w:lineRule="auto"/>
      </w:pPr>
    </w:p>
  </w:footnote>
  <w:footnote w:id="2">
    <w:p w14:paraId="31968AD7" w14:textId="77777777" w:rsidR="007B78F4" w:rsidRDefault="007B78F4" w:rsidP="007B78F4">
      <w:pPr>
        <w:pStyle w:val="FootnoteText"/>
        <w:spacing w:after="0"/>
      </w:pPr>
      <w:r>
        <w:rPr>
          <w:rStyle w:val="FootnoteReference"/>
        </w:rPr>
        <w:footnoteRef/>
      </w:r>
      <w:r>
        <w:t xml:space="preserve"> </w:t>
      </w:r>
      <w:r>
        <w:tab/>
      </w:r>
      <w:r w:rsidRPr="00996BAE">
        <w:t xml:space="preserve">Process heat is energy </w:t>
      </w:r>
      <w:r>
        <w:t>that</w:t>
      </w:r>
      <w:r w:rsidRPr="00996BAE">
        <w:t xml:space="preserve"> is primarily used for warming spaces and industrial processes, often in the form of steam, hot water or hot gases.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6F201E"/>
    <w:multiLevelType w:val="multilevel"/>
    <w:tmpl w:val="C7440BB4"/>
    <w:numStyleLink w:val="Style2"/>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29"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42717"/>
    <w:multiLevelType w:val="multilevel"/>
    <w:tmpl w:val="DCDEB9D0"/>
    <w:numStyleLink w:val="Style1"/>
  </w:abstractNum>
  <w:abstractNum w:abstractNumId="3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3"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848715540">
    <w:abstractNumId w:val="14"/>
  </w:num>
  <w:num w:numId="2" w16cid:durableId="1287734805">
    <w:abstractNumId w:val="24"/>
  </w:num>
  <w:num w:numId="3" w16cid:durableId="1538541818">
    <w:abstractNumId w:val="35"/>
  </w:num>
  <w:num w:numId="4" w16cid:durableId="550508225">
    <w:abstractNumId w:val="19"/>
  </w:num>
  <w:num w:numId="5" w16cid:durableId="745567648">
    <w:abstractNumId w:val="12"/>
  </w:num>
  <w:num w:numId="6" w16cid:durableId="2076933510">
    <w:abstractNumId w:val="7"/>
  </w:num>
  <w:num w:numId="7" w16cid:durableId="1899433097">
    <w:abstractNumId w:val="22"/>
  </w:num>
  <w:num w:numId="8" w16cid:durableId="1088233813">
    <w:abstractNumId w:val="21"/>
  </w:num>
  <w:num w:numId="9" w16cid:durableId="394550804">
    <w:abstractNumId w:val="34"/>
  </w:num>
  <w:num w:numId="10" w16cid:durableId="170938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4602378">
    <w:abstractNumId w:val="1"/>
  </w:num>
  <w:num w:numId="12" w16cid:durableId="1912157551">
    <w:abstractNumId w:val="28"/>
  </w:num>
  <w:num w:numId="13" w16cid:durableId="797454537">
    <w:abstractNumId w:val="11"/>
  </w:num>
  <w:num w:numId="14" w16cid:durableId="284310654">
    <w:abstractNumId w:val="30"/>
  </w:num>
  <w:num w:numId="15" w16cid:durableId="1819420646">
    <w:abstractNumId w:val="20"/>
  </w:num>
  <w:num w:numId="16" w16cid:durableId="1770615197">
    <w:abstractNumId w:val="10"/>
  </w:num>
  <w:num w:numId="17" w16cid:durableId="1658604841">
    <w:abstractNumId w:val="29"/>
  </w:num>
  <w:num w:numId="18" w16cid:durableId="905535034">
    <w:abstractNumId w:val="25"/>
  </w:num>
  <w:num w:numId="19" w16cid:durableId="1465346826">
    <w:abstractNumId w:val="31"/>
  </w:num>
  <w:num w:numId="20" w16cid:durableId="676690097">
    <w:abstractNumId w:val="13"/>
  </w:num>
  <w:num w:numId="21" w16cid:durableId="2031447556">
    <w:abstractNumId w:val="26"/>
  </w:num>
  <w:num w:numId="22" w16cid:durableId="752623358">
    <w:abstractNumId w:val="4"/>
  </w:num>
  <w:num w:numId="23" w16cid:durableId="867841801">
    <w:abstractNumId w:val="23"/>
  </w:num>
  <w:num w:numId="24" w16cid:durableId="720790089">
    <w:abstractNumId w:val="15"/>
  </w:num>
  <w:num w:numId="25" w16cid:durableId="222520331">
    <w:abstractNumId w:val="33"/>
  </w:num>
  <w:num w:numId="26" w16cid:durableId="717584311">
    <w:abstractNumId w:val="27"/>
  </w:num>
  <w:num w:numId="27" w16cid:durableId="779765061">
    <w:abstractNumId w:val="0"/>
  </w:num>
  <w:num w:numId="28" w16cid:durableId="342437984">
    <w:abstractNumId w:val="17"/>
  </w:num>
  <w:num w:numId="29" w16cid:durableId="86079989">
    <w:abstractNumId w:val="8"/>
  </w:num>
  <w:num w:numId="30" w16cid:durableId="190724435">
    <w:abstractNumId w:val="3"/>
  </w:num>
  <w:num w:numId="31" w16cid:durableId="180439593">
    <w:abstractNumId w:val="2"/>
  </w:num>
  <w:num w:numId="32" w16cid:durableId="2007590403">
    <w:abstractNumId w:val="5"/>
  </w:num>
  <w:num w:numId="33" w16cid:durableId="1951621493">
    <w:abstractNumId w:val="9"/>
  </w:num>
  <w:num w:numId="34" w16cid:durableId="1425766684">
    <w:abstractNumId w:val="18"/>
  </w:num>
  <w:num w:numId="35" w16cid:durableId="11616712">
    <w:abstractNumId w:val="16"/>
  </w:num>
  <w:num w:numId="36" w16cid:durableId="1911882459">
    <w:abstractNumId w:val="6"/>
  </w:num>
  <w:num w:numId="37" w16cid:durableId="1044714646">
    <w:abstractNumId w:val="32"/>
  </w:num>
  <w:num w:numId="38" w16cid:durableId="19952593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BF"/>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303C"/>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35B5"/>
    <w:rsid w:val="00023BD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A0D"/>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32D"/>
    <w:rsid w:val="00091796"/>
    <w:rsid w:val="00091BA2"/>
    <w:rsid w:val="00091CB0"/>
    <w:rsid w:val="00094344"/>
    <w:rsid w:val="000953C6"/>
    <w:rsid w:val="000953F4"/>
    <w:rsid w:val="0009590C"/>
    <w:rsid w:val="000959E7"/>
    <w:rsid w:val="00095C45"/>
    <w:rsid w:val="00095E7D"/>
    <w:rsid w:val="000964DE"/>
    <w:rsid w:val="000972AB"/>
    <w:rsid w:val="00097B40"/>
    <w:rsid w:val="00097D0E"/>
    <w:rsid w:val="000A109B"/>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317"/>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18BB"/>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7A"/>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01AD"/>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0A41"/>
    <w:rsid w:val="001310BF"/>
    <w:rsid w:val="00133E73"/>
    <w:rsid w:val="00133FDB"/>
    <w:rsid w:val="00134F4A"/>
    <w:rsid w:val="001351CB"/>
    <w:rsid w:val="00135E4E"/>
    <w:rsid w:val="00136246"/>
    <w:rsid w:val="001364D4"/>
    <w:rsid w:val="001371C8"/>
    <w:rsid w:val="001372ED"/>
    <w:rsid w:val="00140FEF"/>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3E4B"/>
    <w:rsid w:val="00194BB7"/>
    <w:rsid w:val="00194CC5"/>
    <w:rsid w:val="001951B2"/>
    <w:rsid w:val="0019565D"/>
    <w:rsid w:val="00197564"/>
    <w:rsid w:val="00197EC2"/>
    <w:rsid w:val="00197ECE"/>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E91"/>
    <w:rsid w:val="001C147E"/>
    <w:rsid w:val="001C151B"/>
    <w:rsid w:val="001C19E5"/>
    <w:rsid w:val="001C3666"/>
    <w:rsid w:val="001C3800"/>
    <w:rsid w:val="001C3C7B"/>
    <w:rsid w:val="001C6122"/>
    <w:rsid w:val="001C6587"/>
    <w:rsid w:val="001C69BE"/>
    <w:rsid w:val="001C6DB5"/>
    <w:rsid w:val="001C71AC"/>
    <w:rsid w:val="001C7316"/>
    <w:rsid w:val="001C7E5C"/>
    <w:rsid w:val="001D00CC"/>
    <w:rsid w:val="001D02B8"/>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0F22"/>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5F6"/>
    <w:rsid w:val="00212A82"/>
    <w:rsid w:val="00214EA2"/>
    <w:rsid w:val="002160FA"/>
    <w:rsid w:val="002166DD"/>
    <w:rsid w:val="002168A2"/>
    <w:rsid w:val="00216AC3"/>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FE4"/>
    <w:rsid w:val="00240656"/>
    <w:rsid w:val="00241610"/>
    <w:rsid w:val="00241AED"/>
    <w:rsid w:val="00243182"/>
    <w:rsid w:val="002438E5"/>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46A4"/>
    <w:rsid w:val="0025539F"/>
    <w:rsid w:val="00256388"/>
    <w:rsid w:val="00256E44"/>
    <w:rsid w:val="002605BF"/>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867"/>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1CF"/>
    <w:rsid w:val="002B3ED7"/>
    <w:rsid w:val="002B4778"/>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1D12"/>
    <w:rsid w:val="002D2B10"/>
    <w:rsid w:val="002D3842"/>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1803"/>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687"/>
    <w:rsid w:val="002E69F5"/>
    <w:rsid w:val="002E6CAA"/>
    <w:rsid w:val="002E732D"/>
    <w:rsid w:val="002E73EC"/>
    <w:rsid w:val="002E78B2"/>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8DB"/>
    <w:rsid w:val="00301D0A"/>
    <w:rsid w:val="003027B8"/>
    <w:rsid w:val="0030293F"/>
    <w:rsid w:val="00302947"/>
    <w:rsid w:val="00302C50"/>
    <w:rsid w:val="003031C2"/>
    <w:rsid w:val="00303861"/>
    <w:rsid w:val="003049B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314B6"/>
    <w:rsid w:val="00331A20"/>
    <w:rsid w:val="00331A23"/>
    <w:rsid w:val="00331E65"/>
    <w:rsid w:val="00333107"/>
    <w:rsid w:val="0033343B"/>
    <w:rsid w:val="0033393C"/>
    <w:rsid w:val="003357EE"/>
    <w:rsid w:val="00337368"/>
    <w:rsid w:val="00337B4D"/>
    <w:rsid w:val="003407A9"/>
    <w:rsid w:val="00340BA3"/>
    <w:rsid w:val="00340BAF"/>
    <w:rsid w:val="00340C2B"/>
    <w:rsid w:val="00340F9A"/>
    <w:rsid w:val="00341018"/>
    <w:rsid w:val="00341723"/>
    <w:rsid w:val="003420D9"/>
    <w:rsid w:val="003423E0"/>
    <w:rsid w:val="0034301A"/>
    <w:rsid w:val="00343D76"/>
    <w:rsid w:val="00344DFD"/>
    <w:rsid w:val="003451D3"/>
    <w:rsid w:val="00345B64"/>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59C"/>
    <w:rsid w:val="0036587E"/>
    <w:rsid w:val="003660CD"/>
    <w:rsid w:val="00366AC2"/>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25"/>
    <w:rsid w:val="003E6B3C"/>
    <w:rsid w:val="003E6B95"/>
    <w:rsid w:val="003E70FF"/>
    <w:rsid w:val="003E7F1B"/>
    <w:rsid w:val="003F0B41"/>
    <w:rsid w:val="003F1150"/>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157"/>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41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0E98"/>
    <w:rsid w:val="004513A5"/>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6E90"/>
    <w:rsid w:val="00457135"/>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AD0"/>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5C26"/>
    <w:rsid w:val="00485EC0"/>
    <w:rsid w:val="00486A51"/>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95C"/>
    <w:rsid w:val="004A0D1E"/>
    <w:rsid w:val="004A0E66"/>
    <w:rsid w:val="004A0EEC"/>
    <w:rsid w:val="004A130F"/>
    <w:rsid w:val="004A17EF"/>
    <w:rsid w:val="004A1BDA"/>
    <w:rsid w:val="004A22DA"/>
    <w:rsid w:val="004A2700"/>
    <w:rsid w:val="004A36C8"/>
    <w:rsid w:val="004A3721"/>
    <w:rsid w:val="004A3742"/>
    <w:rsid w:val="004A37B8"/>
    <w:rsid w:val="004A3CC2"/>
    <w:rsid w:val="004A3ED3"/>
    <w:rsid w:val="004A47BC"/>
    <w:rsid w:val="004A4AC6"/>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4F1B"/>
    <w:rsid w:val="004C514A"/>
    <w:rsid w:val="004C645A"/>
    <w:rsid w:val="004C6572"/>
    <w:rsid w:val="004C6D4F"/>
    <w:rsid w:val="004C7541"/>
    <w:rsid w:val="004D1E71"/>
    <w:rsid w:val="004D2CDF"/>
    <w:rsid w:val="004D33CE"/>
    <w:rsid w:val="004D4AA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6CC"/>
    <w:rsid w:val="005019E0"/>
    <w:rsid w:val="0050211F"/>
    <w:rsid w:val="005022E7"/>
    <w:rsid w:val="00502A93"/>
    <w:rsid w:val="00506083"/>
    <w:rsid w:val="005068D6"/>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B30"/>
    <w:rsid w:val="00554FFB"/>
    <w:rsid w:val="005568DE"/>
    <w:rsid w:val="00557C50"/>
    <w:rsid w:val="005606B6"/>
    <w:rsid w:val="005608D6"/>
    <w:rsid w:val="00560F19"/>
    <w:rsid w:val="00561E6B"/>
    <w:rsid w:val="005621D2"/>
    <w:rsid w:val="005621E0"/>
    <w:rsid w:val="00562D90"/>
    <w:rsid w:val="00563317"/>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134"/>
    <w:rsid w:val="005831A7"/>
    <w:rsid w:val="00583321"/>
    <w:rsid w:val="0058341E"/>
    <w:rsid w:val="00584F3A"/>
    <w:rsid w:val="005853AB"/>
    <w:rsid w:val="00585748"/>
    <w:rsid w:val="005859C5"/>
    <w:rsid w:val="00585C79"/>
    <w:rsid w:val="00585FD0"/>
    <w:rsid w:val="00586144"/>
    <w:rsid w:val="00587785"/>
    <w:rsid w:val="0058788D"/>
    <w:rsid w:val="00587E29"/>
    <w:rsid w:val="00587FE6"/>
    <w:rsid w:val="0059040D"/>
    <w:rsid w:val="00591698"/>
    <w:rsid w:val="00593B87"/>
    <w:rsid w:val="00593C1C"/>
    <w:rsid w:val="00593E94"/>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4F39"/>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6CA5"/>
    <w:rsid w:val="005C760E"/>
    <w:rsid w:val="005C7E9E"/>
    <w:rsid w:val="005D18C9"/>
    <w:rsid w:val="005D1B72"/>
    <w:rsid w:val="005D2471"/>
    <w:rsid w:val="005D25A3"/>
    <w:rsid w:val="005D2779"/>
    <w:rsid w:val="005D3242"/>
    <w:rsid w:val="005D610C"/>
    <w:rsid w:val="005D74E7"/>
    <w:rsid w:val="005D7C64"/>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159D"/>
    <w:rsid w:val="00621680"/>
    <w:rsid w:val="00621EC5"/>
    <w:rsid w:val="006223E0"/>
    <w:rsid w:val="006224D0"/>
    <w:rsid w:val="006226A3"/>
    <w:rsid w:val="00622BCE"/>
    <w:rsid w:val="00622E29"/>
    <w:rsid w:val="00623643"/>
    <w:rsid w:val="00624018"/>
    <w:rsid w:val="006240C4"/>
    <w:rsid w:val="00624B3C"/>
    <w:rsid w:val="006252C2"/>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B1"/>
    <w:rsid w:val="006404D1"/>
    <w:rsid w:val="00640F43"/>
    <w:rsid w:val="006412CA"/>
    <w:rsid w:val="006420DA"/>
    <w:rsid w:val="00642A0A"/>
    <w:rsid w:val="00643AC1"/>
    <w:rsid w:val="00643D62"/>
    <w:rsid w:val="00644A5E"/>
    <w:rsid w:val="00644A6C"/>
    <w:rsid w:val="00644D69"/>
    <w:rsid w:val="006457A8"/>
    <w:rsid w:val="00645EA0"/>
    <w:rsid w:val="00645F76"/>
    <w:rsid w:val="00646EB0"/>
    <w:rsid w:val="0064714D"/>
    <w:rsid w:val="0064727D"/>
    <w:rsid w:val="006473CE"/>
    <w:rsid w:val="00647B32"/>
    <w:rsid w:val="00647C27"/>
    <w:rsid w:val="006519E6"/>
    <w:rsid w:val="00651CDE"/>
    <w:rsid w:val="00652326"/>
    <w:rsid w:val="006524F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52E"/>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8AA"/>
    <w:rsid w:val="00685BCF"/>
    <w:rsid w:val="006871D0"/>
    <w:rsid w:val="0068751F"/>
    <w:rsid w:val="006900D1"/>
    <w:rsid w:val="00690297"/>
    <w:rsid w:val="0069115A"/>
    <w:rsid w:val="006912F1"/>
    <w:rsid w:val="00691387"/>
    <w:rsid w:val="006927F2"/>
    <w:rsid w:val="006931E1"/>
    <w:rsid w:val="00693E3A"/>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4C5"/>
    <w:rsid w:val="006B555F"/>
    <w:rsid w:val="006B5A60"/>
    <w:rsid w:val="006B6242"/>
    <w:rsid w:val="006B62B8"/>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09AC"/>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5C9"/>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5B33"/>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4C7F"/>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1BF"/>
    <w:rsid w:val="00774400"/>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3D6"/>
    <w:rsid w:val="0078254E"/>
    <w:rsid w:val="00782628"/>
    <w:rsid w:val="007826AB"/>
    <w:rsid w:val="007840E2"/>
    <w:rsid w:val="0078569F"/>
    <w:rsid w:val="00785803"/>
    <w:rsid w:val="00785EB4"/>
    <w:rsid w:val="0078609A"/>
    <w:rsid w:val="00786F85"/>
    <w:rsid w:val="0078731A"/>
    <w:rsid w:val="00787487"/>
    <w:rsid w:val="007906F1"/>
    <w:rsid w:val="007908AB"/>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2C3"/>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FB4"/>
    <w:rsid w:val="007B6B2B"/>
    <w:rsid w:val="007B78F4"/>
    <w:rsid w:val="007B7949"/>
    <w:rsid w:val="007B7D30"/>
    <w:rsid w:val="007C0FA9"/>
    <w:rsid w:val="007C2413"/>
    <w:rsid w:val="007C25AE"/>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034"/>
    <w:rsid w:val="0084184A"/>
    <w:rsid w:val="008423F2"/>
    <w:rsid w:val="00842A30"/>
    <w:rsid w:val="00842F71"/>
    <w:rsid w:val="00843179"/>
    <w:rsid w:val="0084386A"/>
    <w:rsid w:val="00843E0E"/>
    <w:rsid w:val="008442EA"/>
    <w:rsid w:val="00844589"/>
    <w:rsid w:val="00844794"/>
    <w:rsid w:val="00844FE7"/>
    <w:rsid w:val="00845103"/>
    <w:rsid w:val="00845969"/>
    <w:rsid w:val="00845F37"/>
    <w:rsid w:val="00845FF5"/>
    <w:rsid w:val="00846001"/>
    <w:rsid w:val="0084615D"/>
    <w:rsid w:val="0084642A"/>
    <w:rsid w:val="008465C4"/>
    <w:rsid w:val="00846710"/>
    <w:rsid w:val="008478ED"/>
    <w:rsid w:val="0085087F"/>
    <w:rsid w:val="00851728"/>
    <w:rsid w:val="00851DFF"/>
    <w:rsid w:val="00853084"/>
    <w:rsid w:val="00853142"/>
    <w:rsid w:val="008540A6"/>
    <w:rsid w:val="00854420"/>
    <w:rsid w:val="00854481"/>
    <w:rsid w:val="008555EF"/>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290E"/>
    <w:rsid w:val="008732D8"/>
    <w:rsid w:val="00873377"/>
    <w:rsid w:val="00873577"/>
    <w:rsid w:val="0087409F"/>
    <w:rsid w:val="00874D58"/>
    <w:rsid w:val="008750D2"/>
    <w:rsid w:val="00875AB5"/>
    <w:rsid w:val="00875C91"/>
    <w:rsid w:val="00875F85"/>
    <w:rsid w:val="00876C6B"/>
    <w:rsid w:val="00876DC9"/>
    <w:rsid w:val="00877125"/>
    <w:rsid w:val="008777C2"/>
    <w:rsid w:val="0088063B"/>
    <w:rsid w:val="00881511"/>
    <w:rsid w:val="00882448"/>
    <w:rsid w:val="00882F1D"/>
    <w:rsid w:val="00883A4D"/>
    <w:rsid w:val="00883B21"/>
    <w:rsid w:val="00883F8F"/>
    <w:rsid w:val="00884235"/>
    <w:rsid w:val="00885285"/>
    <w:rsid w:val="00885985"/>
    <w:rsid w:val="00886699"/>
    <w:rsid w:val="0088709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3D62"/>
    <w:rsid w:val="008A448D"/>
    <w:rsid w:val="008A4A55"/>
    <w:rsid w:val="008A506F"/>
    <w:rsid w:val="008A528A"/>
    <w:rsid w:val="008A5298"/>
    <w:rsid w:val="008A535A"/>
    <w:rsid w:val="008A720F"/>
    <w:rsid w:val="008A7498"/>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5E54"/>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48E"/>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103C"/>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8F7F94"/>
    <w:rsid w:val="00900947"/>
    <w:rsid w:val="00900EB8"/>
    <w:rsid w:val="00900FBA"/>
    <w:rsid w:val="0090240E"/>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264C"/>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268"/>
    <w:rsid w:val="0094750E"/>
    <w:rsid w:val="00947C94"/>
    <w:rsid w:val="009507C8"/>
    <w:rsid w:val="0095115E"/>
    <w:rsid w:val="0095118A"/>
    <w:rsid w:val="00952468"/>
    <w:rsid w:val="00954767"/>
    <w:rsid w:val="0095487A"/>
    <w:rsid w:val="009548FB"/>
    <w:rsid w:val="0095538B"/>
    <w:rsid w:val="009575B9"/>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4E7"/>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6CB5"/>
    <w:rsid w:val="0099719E"/>
    <w:rsid w:val="009A0169"/>
    <w:rsid w:val="009A1B56"/>
    <w:rsid w:val="009A2A8A"/>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CA5"/>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1D7F"/>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596"/>
    <w:rsid w:val="00A36DFE"/>
    <w:rsid w:val="00A370FD"/>
    <w:rsid w:val="00A3798C"/>
    <w:rsid w:val="00A37DD9"/>
    <w:rsid w:val="00A40ED7"/>
    <w:rsid w:val="00A40F83"/>
    <w:rsid w:val="00A412BA"/>
    <w:rsid w:val="00A41416"/>
    <w:rsid w:val="00A4200D"/>
    <w:rsid w:val="00A4249C"/>
    <w:rsid w:val="00A424BF"/>
    <w:rsid w:val="00A4258E"/>
    <w:rsid w:val="00A432D1"/>
    <w:rsid w:val="00A43716"/>
    <w:rsid w:val="00A442C5"/>
    <w:rsid w:val="00A44712"/>
    <w:rsid w:val="00A44AF5"/>
    <w:rsid w:val="00A44B8B"/>
    <w:rsid w:val="00A45050"/>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4"/>
    <w:rsid w:val="00A74548"/>
    <w:rsid w:val="00A74DF2"/>
    <w:rsid w:val="00A74E4D"/>
    <w:rsid w:val="00A75633"/>
    <w:rsid w:val="00A7592E"/>
    <w:rsid w:val="00A76C1F"/>
    <w:rsid w:val="00A803FC"/>
    <w:rsid w:val="00A8071A"/>
    <w:rsid w:val="00A80DD9"/>
    <w:rsid w:val="00A80FCA"/>
    <w:rsid w:val="00A81CBC"/>
    <w:rsid w:val="00A82506"/>
    <w:rsid w:val="00A837CE"/>
    <w:rsid w:val="00A83DB5"/>
    <w:rsid w:val="00A83FBA"/>
    <w:rsid w:val="00A84636"/>
    <w:rsid w:val="00A84FE1"/>
    <w:rsid w:val="00A85080"/>
    <w:rsid w:val="00A85337"/>
    <w:rsid w:val="00A8626D"/>
    <w:rsid w:val="00A86406"/>
    <w:rsid w:val="00A86853"/>
    <w:rsid w:val="00A86B75"/>
    <w:rsid w:val="00A86E75"/>
    <w:rsid w:val="00A86F33"/>
    <w:rsid w:val="00A87AF0"/>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272"/>
    <w:rsid w:val="00B224AA"/>
    <w:rsid w:val="00B22998"/>
    <w:rsid w:val="00B229FE"/>
    <w:rsid w:val="00B2302B"/>
    <w:rsid w:val="00B24363"/>
    <w:rsid w:val="00B2456E"/>
    <w:rsid w:val="00B24979"/>
    <w:rsid w:val="00B250A5"/>
    <w:rsid w:val="00B25651"/>
    <w:rsid w:val="00B26309"/>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D70"/>
    <w:rsid w:val="00B41FD8"/>
    <w:rsid w:val="00B420DF"/>
    <w:rsid w:val="00B428E2"/>
    <w:rsid w:val="00B42A2C"/>
    <w:rsid w:val="00B42A5C"/>
    <w:rsid w:val="00B42A98"/>
    <w:rsid w:val="00B42C64"/>
    <w:rsid w:val="00B448EF"/>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E9D"/>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6F2A"/>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62C6"/>
    <w:rsid w:val="00BA7EEE"/>
    <w:rsid w:val="00BB2008"/>
    <w:rsid w:val="00BB29DF"/>
    <w:rsid w:val="00BB2CFC"/>
    <w:rsid w:val="00BB34DC"/>
    <w:rsid w:val="00BB35D0"/>
    <w:rsid w:val="00BB3AC4"/>
    <w:rsid w:val="00BB4999"/>
    <w:rsid w:val="00BB4BCD"/>
    <w:rsid w:val="00BB52EB"/>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110D"/>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F0A44"/>
    <w:rsid w:val="00BF0CEC"/>
    <w:rsid w:val="00BF1A44"/>
    <w:rsid w:val="00BF1EDF"/>
    <w:rsid w:val="00BF487A"/>
    <w:rsid w:val="00BF4D3D"/>
    <w:rsid w:val="00BF5B8C"/>
    <w:rsid w:val="00BF66B7"/>
    <w:rsid w:val="00BF6A68"/>
    <w:rsid w:val="00BF6FC6"/>
    <w:rsid w:val="00BF7152"/>
    <w:rsid w:val="00BF73F0"/>
    <w:rsid w:val="00BF75B1"/>
    <w:rsid w:val="00BF75C9"/>
    <w:rsid w:val="00BF7BD3"/>
    <w:rsid w:val="00C00352"/>
    <w:rsid w:val="00C007CE"/>
    <w:rsid w:val="00C00A22"/>
    <w:rsid w:val="00C00F18"/>
    <w:rsid w:val="00C01D39"/>
    <w:rsid w:val="00C0200C"/>
    <w:rsid w:val="00C020A8"/>
    <w:rsid w:val="00C034A4"/>
    <w:rsid w:val="00C03DD0"/>
    <w:rsid w:val="00C04445"/>
    <w:rsid w:val="00C04705"/>
    <w:rsid w:val="00C04A7F"/>
    <w:rsid w:val="00C04E2B"/>
    <w:rsid w:val="00C051AA"/>
    <w:rsid w:val="00C060A0"/>
    <w:rsid w:val="00C07187"/>
    <w:rsid w:val="00C075C9"/>
    <w:rsid w:val="00C07FAD"/>
    <w:rsid w:val="00C106C4"/>
    <w:rsid w:val="00C111EA"/>
    <w:rsid w:val="00C119AD"/>
    <w:rsid w:val="00C1228D"/>
    <w:rsid w:val="00C13FED"/>
    <w:rsid w:val="00C14E7D"/>
    <w:rsid w:val="00C15722"/>
    <w:rsid w:val="00C16897"/>
    <w:rsid w:val="00C200C9"/>
    <w:rsid w:val="00C218FD"/>
    <w:rsid w:val="00C21D8E"/>
    <w:rsid w:val="00C22525"/>
    <w:rsid w:val="00C23DBB"/>
    <w:rsid w:val="00C23FE1"/>
    <w:rsid w:val="00C2410D"/>
    <w:rsid w:val="00C24BAF"/>
    <w:rsid w:val="00C25F8B"/>
    <w:rsid w:val="00C25FB5"/>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47748"/>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C81"/>
    <w:rsid w:val="00C666DE"/>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77800"/>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87EDA"/>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97913"/>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1DB1"/>
    <w:rsid w:val="00CD22B5"/>
    <w:rsid w:val="00CD22F4"/>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4AB"/>
    <w:rsid w:val="00CF2518"/>
    <w:rsid w:val="00CF2DDE"/>
    <w:rsid w:val="00CF344A"/>
    <w:rsid w:val="00CF39A0"/>
    <w:rsid w:val="00CF3D1C"/>
    <w:rsid w:val="00CF4713"/>
    <w:rsid w:val="00CF4B12"/>
    <w:rsid w:val="00CF58FE"/>
    <w:rsid w:val="00CF5EBE"/>
    <w:rsid w:val="00CF783B"/>
    <w:rsid w:val="00CF7D97"/>
    <w:rsid w:val="00CF7EEC"/>
    <w:rsid w:val="00D001C2"/>
    <w:rsid w:val="00D00779"/>
    <w:rsid w:val="00D009D8"/>
    <w:rsid w:val="00D012E1"/>
    <w:rsid w:val="00D01318"/>
    <w:rsid w:val="00D01665"/>
    <w:rsid w:val="00D01D1E"/>
    <w:rsid w:val="00D01DD6"/>
    <w:rsid w:val="00D02580"/>
    <w:rsid w:val="00D03BF7"/>
    <w:rsid w:val="00D03F1E"/>
    <w:rsid w:val="00D0428E"/>
    <w:rsid w:val="00D04426"/>
    <w:rsid w:val="00D0482F"/>
    <w:rsid w:val="00D04A33"/>
    <w:rsid w:val="00D05892"/>
    <w:rsid w:val="00D06824"/>
    <w:rsid w:val="00D06C03"/>
    <w:rsid w:val="00D1037A"/>
    <w:rsid w:val="00D105AF"/>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27B1E"/>
    <w:rsid w:val="00D30718"/>
    <w:rsid w:val="00D322FB"/>
    <w:rsid w:val="00D32475"/>
    <w:rsid w:val="00D32EF4"/>
    <w:rsid w:val="00D33F81"/>
    <w:rsid w:val="00D34850"/>
    <w:rsid w:val="00D35060"/>
    <w:rsid w:val="00D369D4"/>
    <w:rsid w:val="00D36AD7"/>
    <w:rsid w:val="00D373E9"/>
    <w:rsid w:val="00D37C61"/>
    <w:rsid w:val="00D403FF"/>
    <w:rsid w:val="00D404C4"/>
    <w:rsid w:val="00D40C02"/>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6916"/>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B40"/>
    <w:rsid w:val="00D8155B"/>
    <w:rsid w:val="00D816D5"/>
    <w:rsid w:val="00D81E79"/>
    <w:rsid w:val="00D81FEA"/>
    <w:rsid w:val="00D825A5"/>
    <w:rsid w:val="00D825B7"/>
    <w:rsid w:val="00D8290E"/>
    <w:rsid w:val="00D82AD1"/>
    <w:rsid w:val="00D82E6E"/>
    <w:rsid w:val="00D83040"/>
    <w:rsid w:val="00D8323B"/>
    <w:rsid w:val="00D83489"/>
    <w:rsid w:val="00D83D13"/>
    <w:rsid w:val="00D841AC"/>
    <w:rsid w:val="00D8589D"/>
    <w:rsid w:val="00D85A81"/>
    <w:rsid w:val="00D86466"/>
    <w:rsid w:val="00D86997"/>
    <w:rsid w:val="00D870E8"/>
    <w:rsid w:val="00D87423"/>
    <w:rsid w:val="00D87452"/>
    <w:rsid w:val="00D87485"/>
    <w:rsid w:val="00D907CB"/>
    <w:rsid w:val="00D91BF2"/>
    <w:rsid w:val="00D9332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1A06"/>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A2B"/>
    <w:rsid w:val="00DB6F45"/>
    <w:rsid w:val="00DB72B7"/>
    <w:rsid w:val="00DB7546"/>
    <w:rsid w:val="00DB782D"/>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3CFC"/>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1D31"/>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6EE"/>
    <w:rsid w:val="00E2792D"/>
    <w:rsid w:val="00E30828"/>
    <w:rsid w:val="00E30B37"/>
    <w:rsid w:val="00E3109C"/>
    <w:rsid w:val="00E311D1"/>
    <w:rsid w:val="00E31C2D"/>
    <w:rsid w:val="00E32432"/>
    <w:rsid w:val="00E33B1E"/>
    <w:rsid w:val="00E34277"/>
    <w:rsid w:val="00E3621B"/>
    <w:rsid w:val="00E36F43"/>
    <w:rsid w:val="00E37F0C"/>
    <w:rsid w:val="00E40ADF"/>
    <w:rsid w:val="00E418E3"/>
    <w:rsid w:val="00E423DE"/>
    <w:rsid w:val="00E42F07"/>
    <w:rsid w:val="00E4370F"/>
    <w:rsid w:val="00E4441D"/>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46B5"/>
    <w:rsid w:val="00E65427"/>
    <w:rsid w:val="00E6543F"/>
    <w:rsid w:val="00E661C0"/>
    <w:rsid w:val="00E663F5"/>
    <w:rsid w:val="00E66E97"/>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4DB"/>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6E0B"/>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5C"/>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07"/>
    <w:rsid w:val="00F423C2"/>
    <w:rsid w:val="00F433F8"/>
    <w:rsid w:val="00F433FE"/>
    <w:rsid w:val="00F435C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1C5F"/>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192"/>
    <w:rsid w:val="00FA7699"/>
    <w:rsid w:val="00FA7BB5"/>
    <w:rsid w:val="00FA7C85"/>
    <w:rsid w:val="00FB12D8"/>
    <w:rsid w:val="00FB176A"/>
    <w:rsid w:val="00FB1CDC"/>
    <w:rsid w:val="00FB238A"/>
    <w:rsid w:val="00FB2446"/>
    <w:rsid w:val="00FB2C81"/>
    <w:rsid w:val="00FB2C82"/>
    <w:rsid w:val="00FB3BC4"/>
    <w:rsid w:val="00FB3F9C"/>
    <w:rsid w:val="00FB3FDE"/>
    <w:rsid w:val="00FB4676"/>
    <w:rsid w:val="00FB5552"/>
    <w:rsid w:val="00FB5789"/>
    <w:rsid w:val="00FB5F3A"/>
    <w:rsid w:val="00FB6382"/>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491"/>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AA5"/>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4FB0D"/>
  <w14:defaultImageDpi w14:val="330"/>
  <w15:docId w15:val="{29662D4E-2915-45D7-B77D-2F0AFAB5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qFormat="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55E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585FD0"/>
    <w:pPr>
      <w:keepNext/>
      <w:tabs>
        <w:tab w:val="left" w:pos="851"/>
      </w:tabs>
      <w:spacing w:before="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66352E"/>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9A2A8A"/>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FD0"/>
    <w:rPr>
      <w:rFonts w:ascii="Georgia" w:eastAsiaTheme="majorEastAsia" w:hAnsi="Georgia" w:cstheme="majorBidi"/>
      <w:b/>
      <w:bCs/>
      <w:color w:val="1B556B"/>
      <w:sz w:val="48"/>
      <w:szCs w:val="28"/>
      <w:lang w:eastAsia="en-NZ"/>
    </w:rPr>
  </w:style>
  <w:style w:type="character" w:customStyle="1" w:styleId="Heading2Char">
    <w:name w:val="Heading 2 Char"/>
    <w:basedOn w:val="DefaultParagraphFont"/>
    <w:link w:val="Heading2"/>
    <w:rsid w:val="0066352E"/>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2A8A"/>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ullet">
    <w:name w:val="Bullet"/>
    <w:basedOn w:val="Normal"/>
    <w:link w:val="BulletChar"/>
    <w:qFormat/>
    <w:rsid w:val="000A109B"/>
    <w:pPr>
      <w:numPr>
        <w:numId w:val="34"/>
      </w:numPr>
      <w:tabs>
        <w:tab w:val="left" w:pos="397"/>
      </w:tabs>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uiPriority w:val="99"/>
    <w:qFormat/>
    <w:rsid w:val="00EA64B4"/>
    <w:rPr>
      <w:rFonts w:ascii="Calibri" w:hAnsi="Calibri"/>
      <w:color w:val="183C47"/>
      <w:sz w:val="22"/>
      <w:vertAlign w:val="superscript"/>
    </w:rPr>
  </w:style>
  <w:style w:type="paragraph" w:styleId="FootnoteText">
    <w:name w:val="footnote text"/>
    <w:basedOn w:val="Normal"/>
    <w:link w:val="FootnoteTextChar"/>
    <w:uiPriority w:val="99"/>
    <w:qFormat/>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4A3CC2"/>
    <w:pPr>
      <w:spacing w:line="360" w:lineRule="auto"/>
      <w:jc w:val="center"/>
    </w:pPr>
    <w:rPr>
      <w:rFonts w:ascii="Georgia" w:hAnsi="Georgia"/>
      <w:b/>
      <w:color w:val="1B556B"/>
      <w:sz w:val="56"/>
    </w:rPr>
  </w:style>
  <w:style w:type="character" w:customStyle="1" w:styleId="TitleChar">
    <w:name w:val="Title Char"/>
    <w:basedOn w:val="DefaultParagraphFont"/>
    <w:link w:val="Title"/>
    <w:uiPriority w:val="2"/>
    <w:rsid w:val="004A3CC2"/>
    <w:rPr>
      <w:rFonts w:ascii="Georgia" w:eastAsiaTheme="minorEastAsia" w:hAnsi="Georgia"/>
      <w:b/>
      <w:color w:val="1B556B"/>
      <w:sz w:val="56"/>
      <w:lang w:eastAsia="en-NZ"/>
    </w:rPr>
  </w:style>
  <w:style w:type="paragraph" w:styleId="Subtitle">
    <w:name w:val="Subtitle"/>
    <w:basedOn w:val="Title"/>
    <w:link w:val="SubtitleChar"/>
    <w:uiPriority w:val="2"/>
    <w:rsid w:val="004A3CC2"/>
    <w:pPr>
      <w:spacing w:before="600" w:line="240" w:lineRule="auto"/>
    </w:pPr>
    <w:rPr>
      <w:sz w:val="36"/>
      <w:szCs w:val="36"/>
    </w:rPr>
  </w:style>
  <w:style w:type="character" w:customStyle="1" w:styleId="SubtitleChar">
    <w:name w:val="Subtitle Char"/>
    <w:basedOn w:val="DefaultParagraphFont"/>
    <w:link w:val="Subtitle"/>
    <w:uiPriority w:val="2"/>
    <w:rsid w:val="004A3CC2"/>
    <w:rPr>
      <w:rFonts w:ascii="Georgia" w:eastAsiaTheme="minorEastAsia" w:hAnsi="Georgia"/>
      <w:b/>
      <w:color w:val="1B556B"/>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33"/>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2"/>
      </w:numPr>
      <w:tabs>
        <w:tab w:val="left" w:pos="680"/>
      </w:tabs>
      <w:spacing w:before="0"/>
      <w:ind w:left="681" w:hanging="397"/>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character" w:styleId="UnresolvedMention">
    <w:name w:val="Unresolved Mention"/>
    <w:basedOn w:val="DefaultParagraphFont"/>
    <w:uiPriority w:val="99"/>
    <w:semiHidden/>
    <w:unhideWhenUsed/>
    <w:rsid w:val="00563317"/>
    <w:rPr>
      <w:color w:val="605E5C"/>
      <w:shd w:val="clear" w:color="auto" w:fill="E1DFDD"/>
    </w:rPr>
  </w:style>
  <w:style w:type="paragraph" w:styleId="CommentText">
    <w:name w:val="annotation text"/>
    <w:basedOn w:val="Normal"/>
    <w:link w:val="CommentTextChar"/>
    <w:uiPriority w:val="99"/>
    <w:semiHidden/>
    <w:rsid w:val="00456E90"/>
    <w:pPr>
      <w:spacing w:line="240" w:lineRule="auto"/>
    </w:pPr>
    <w:rPr>
      <w:sz w:val="20"/>
      <w:szCs w:val="20"/>
    </w:rPr>
  </w:style>
  <w:style w:type="character" w:customStyle="1" w:styleId="CommentTextChar">
    <w:name w:val="Comment Text Char"/>
    <w:basedOn w:val="DefaultParagraphFont"/>
    <w:link w:val="CommentText"/>
    <w:uiPriority w:val="99"/>
    <w:semiHidden/>
    <w:rsid w:val="00456E90"/>
    <w:rPr>
      <w:rFonts w:ascii="Calibri" w:eastAsiaTheme="minorEastAsia" w:hAnsi="Calibri"/>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ansonje/AppData/Roaming/OpenText/OTEdit/EC_tepuna/c11677008/mailto_cipa@mfe.govt%20(2).nz"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nvironment.govt.nz/guides/climate-implications-of-policy-assessment-guidance-on-cabinet-requirement-for-central-government-agencies/" TargetMode="External"/><Relationship Id="rId17" Type="http://schemas.openxmlformats.org/officeDocument/2006/relationships/hyperlink" Target="mailto:ria.team@regulation.govt.nz"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ansonje/AppData/Roaming/OpenText/OTEdit/EC_tepuna/c11677008/mailto_cipa@mfe.govt%20(2).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MfE%20Publication%20template.dotx" TargetMode="External"/></Relationships>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ECM-1122293896-119533</_dlc_DocId>
    <_dlc_DocIdUrl xmlns="58a6f171-52cb-4404-b47d-af1c8daf8fd1">
      <Url>https://ministryforenvironment.sharepoint.com/sites/ECM-ER-Comms/_layouts/15/DocIdRedir.aspx?ID=ECM-1122293896-119533</Url>
      <Description>ECM-1122293896-119533</Description>
    </_dlc_DocIdUrl>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a9fc1f031f880e754432f1b8c8ae5595">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120c695b11737ea56ee1a9c34dff7b4"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CDAC4-0417-4665-BFBD-38D6177B7AAE}">
  <ds:schemaRefs>
    <ds:schemaRef ds:uri="http://schemas.microsoft.com/sharepoint/v3/contenttype/forms"/>
  </ds:schemaRefs>
</ds:datastoreItem>
</file>

<file path=customXml/itemProps2.xml><?xml version="1.0" encoding="utf-8"?>
<ds:datastoreItem xmlns:ds="http://schemas.openxmlformats.org/officeDocument/2006/customXml" ds:itemID="{E915373F-630C-45C1-9D1D-0033FB98D60B}">
  <ds:schemaRefs>
    <ds:schemaRef ds:uri="http://schemas.microsoft.com/sharepoint/events"/>
  </ds:schemaRefs>
</ds:datastoreItem>
</file>

<file path=customXml/itemProps3.xml><?xml version="1.0" encoding="utf-8"?>
<ds:datastoreItem xmlns:ds="http://schemas.openxmlformats.org/officeDocument/2006/customXml" ds:itemID="{A6ABE385-CC81-41C6-A3F2-1BC9449571F7}">
  <ds:schemaRefs>
    <ds:schemaRef ds:uri="http://www.w3.org/XML/1998/namespace"/>
    <ds:schemaRef ds:uri="http://purl.org/dc/dcmitype/"/>
    <ds:schemaRef ds:uri="http://schemas.microsoft.com/office/2006/documentManagement/types"/>
    <ds:schemaRef ds:uri="0a5b0190-e301-4766-933d-448c7c363fce"/>
    <ds:schemaRef ds:uri="4a94300e-a927-4b92-9d3a-682523035cb6"/>
    <ds:schemaRef ds:uri="http://schemas.microsoft.com/office/infopath/2007/PartnerControls"/>
    <ds:schemaRef ds:uri="http://schemas.openxmlformats.org/package/2006/metadata/core-properties"/>
    <ds:schemaRef ds:uri="http://schemas.microsoft.com/sharepoint/v4"/>
    <ds:schemaRef ds:uri="58a6f171-52cb-4404-b47d-af1c8daf8fd1"/>
    <ds:schemaRef ds:uri="http://schemas.microsoft.com/sharepoint/v3"/>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C4775351-9F71-47BE-924D-8441E7B32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MfE Publication template</Template>
  <TotalTime>1</TotalTime>
  <Pages>4</Pages>
  <Words>744</Words>
  <Characters>4292</Characters>
  <Application>Microsoft Office Word</Application>
  <DocSecurity>0</DocSecurity>
  <Lines>112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MfE</dc:creator>
  <cp:lastModifiedBy>Katrina Walsh</cp:lastModifiedBy>
  <cp:revision>2</cp:revision>
  <dcterms:created xsi:type="dcterms:W3CDTF">2024-07-22T04:19:00Z</dcterms:created>
  <dcterms:modified xsi:type="dcterms:W3CDTF">2024-07-22T04:19:00Z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_dlc_DocIdItemGuid">
    <vt:lpwstr>a99758cd-cb59-4a21-87e3-a8219945e761</vt:lpwstr>
  </property>
  <property fmtid="{D5CDD505-2E9C-101B-9397-08002B2CF9AE}" pid="4" name="MSIP_Label_52dda6cc-d61d-4fd2-bf18-9b3017d931cc_Enabled">
    <vt:lpwstr>true</vt:lpwstr>
  </property>
  <property fmtid="{D5CDD505-2E9C-101B-9397-08002B2CF9AE}" pid="5" name="MSIP_Label_52dda6cc-d61d-4fd2-bf18-9b3017d931cc_SetDate">
    <vt:lpwstr>2022-01-16T22:14:40Z</vt:lpwstr>
  </property>
  <property fmtid="{D5CDD505-2E9C-101B-9397-08002B2CF9AE}" pid="6" name="MSIP_Label_52dda6cc-d61d-4fd2-bf18-9b3017d931cc_Method">
    <vt:lpwstr>Privileged</vt:lpwstr>
  </property>
  <property fmtid="{D5CDD505-2E9C-101B-9397-08002B2CF9AE}" pid="7" name="MSIP_Label_52dda6cc-d61d-4fd2-bf18-9b3017d931cc_Name">
    <vt:lpwstr>[UNCLASSIFIED]</vt:lpwstr>
  </property>
  <property fmtid="{D5CDD505-2E9C-101B-9397-08002B2CF9AE}" pid="8" name="MSIP_Label_52dda6cc-d61d-4fd2-bf18-9b3017d931cc_SiteId">
    <vt:lpwstr>761dd003-d4ff-4049-8a72-8549b20fcbb1</vt:lpwstr>
  </property>
  <property fmtid="{D5CDD505-2E9C-101B-9397-08002B2CF9AE}" pid="9" name="MSIP_Label_52dda6cc-d61d-4fd2-bf18-9b3017d931cc_ActionId">
    <vt:lpwstr>9adb5016-2886-4e41-9a13-e62dbe13137f</vt:lpwstr>
  </property>
  <property fmtid="{D5CDD505-2E9C-101B-9397-08002B2CF9AE}" pid="10" name="MSIP_Label_52dda6cc-d61d-4fd2-bf18-9b3017d931cc_ContentBits">
    <vt:lpwstr>0</vt:lpwstr>
  </property>
  <property fmtid="{D5CDD505-2E9C-101B-9397-08002B2CF9AE}" pid="11" name="MediaServiceImageTags">
    <vt:lpwstr/>
  </property>
</Properties>
</file>