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57044" w:rsidR="00B8732C" w:rsidP="00B8732C" w:rsidRDefault="009B2CB3" w14:paraId="75AB1AB9" w14:textId="7644E702">
      <w:pPr>
        <w:jc w:val="left"/>
        <w:rPr>
          <w:color w:val="FF0000"/>
        </w:rPr>
        <w:sectPr w:rsidRPr="00F57044" w:rsidR="00B8732C" w:rsidSect="005F62FD">
          <w:headerReference w:type="even" r:id="rId12"/>
          <w:headerReference w:type="default" r:id="rId13"/>
          <w:footerReference w:type="even" r:id="rId14"/>
          <w:footerReference w:type="default" r:id="rId15"/>
          <w:headerReference w:type="first" r:id="rId16"/>
          <w:footerReference w:type="first" r:id="rId17"/>
          <w:pgSz w:w="11907" w:h="16840" w:orient="portrait" w:code="9"/>
          <w:pgMar w:top="5670" w:right="1701" w:bottom="1701" w:left="1701" w:header="567" w:footer="1134" w:gutter="0"/>
          <w:cols w:space="720"/>
        </w:sectPr>
      </w:pPr>
      <w:r w:rsidRPr="00F57044">
        <w:rPr>
          <w:noProof/>
          <w:color w:val="FF0000"/>
        </w:rPr>
        <w:drawing>
          <wp:anchor distT="0" distB="0" distL="114300" distR="114300" simplePos="0" relativeHeight="251658240" behindDoc="0" locked="0" layoutInCell="1" allowOverlap="1" wp14:anchorId="32CE0EAB" wp14:editId="76CE6530">
            <wp:simplePos x="0" y="0"/>
            <wp:positionH relativeFrom="page">
              <wp:align>right</wp:align>
            </wp:positionH>
            <wp:positionV relativeFrom="paragraph">
              <wp:posOffset>-3600450</wp:posOffset>
            </wp:positionV>
            <wp:extent cx="7594282" cy="10680700"/>
            <wp:effectExtent l="0" t="0" r="6985" b="6350"/>
            <wp:wrapNone/>
            <wp:docPr id="2091393491"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3491" name="Picture 1" descr="A blue and white background with whit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4282" cy="10680700"/>
                    </a:xfrm>
                    <a:prstGeom prst="rect">
                      <a:avLst/>
                    </a:prstGeom>
                  </pic:spPr>
                </pic:pic>
              </a:graphicData>
            </a:graphic>
            <wp14:sizeRelH relativeFrom="page">
              <wp14:pctWidth>0</wp14:pctWidth>
            </wp14:sizeRelH>
            <wp14:sizeRelV relativeFrom="page">
              <wp14:pctHeight>0</wp14:pctHeight>
            </wp14:sizeRelV>
          </wp:anchor>
        </w:drawing>
      </w:r>
      <w:r w:rsidRPr="00F57044" w:rsidR="00EF12E1">
        <w:rPr>
          <w:color w:val="FF0000"/>
        </w:rPr>
        <w:t>S</w:t>
      </w:r>
      <w:proofErr w:type="gramStart"/>
      <w:r w:rsidRPr="00F57044" w:rsidR="00EF12E1">
        <w:rPr>
          <w:color w:val="FF0000"/>
        </w:rPr>
        <w:t>1,t</w:t>
      </w:r>
      <w:proofErr w:type="gramEnd"/>
    </w:p>
    <w:p w:rsidRPr="00F57044" w:rsidR="00B8732C" w:rsidP="00B8732C" w:rsidRDefault="00B8732C" w14:paraId="402D32C1" w14:textId="7B815C2C">
      <w:pPr>
        <w:pStyle w:val="Imprint"/>
        <w:spacing w:before="0" w:after="0"/>
        <w:rPr>
          <w:b/>
        </w:rPr>
      </w:pPr>
      <w:r w:rsidRPr="00F57044">
        <w:rPr>
          <w:b/>
        </w:rPr>
        <w:t>Disclaimer</w:t>
      </w:r>
    </w:p>
    <w:p w:rsidRPr="00F57044" w:rsidR="00B8732C" w:rsidP="00B0384D" w:rsidRDefault="00B8732C" w14:paraId="2100E038" w14:textId="6D9203EA">
      <w:pPr>
        <w:pStyle w:val="Imprint"/>
      </w:pPr>
      <w:r w:rsidRPr="00F57044">
        <w:t>The information in this publication is, according to the Ministry for the Environment’s best efforts, accurate at the time of publication. The Ministry will make every reasonable effort to</w:t>
      </w:r>
      <w:r w:rsidRPr="00F57044" w:rsidR="00B0384D">
        <w:t> </w:t>
      </w:r>
      <w:r w:rsidRPr="00F57044">
        <w:t>keep it current and accurate. However, users of this publication are advised that:</w:t>
      </w:r>
    </w:p>
    <w:p w:rsidRPr="00F57044" w:rsidR="00B8732C" w:rsidP="00B8732C" w:rsidRDefault="00B8732C" w14:paraId="39A69079" w14:textId="7BABF89C">
      <w:pPr>
        <w:pStyle w:val="Bullet"/>
        <w:tabs>
          <w:tab w:val="left" w:pos="397"/>
        </w:tabs>
      </w:pPr>
      <w:r w:rsidRPr="00F57044">
        <w:t>the information does not alter the laws of New Zealand, other official guidelines, or requirements</w:t>
      </w:r>
    </w:p>
    <w:p w:rsidRPr="00F57044" w:rsidR="00B8732C" w:rsidP="00B8732C" w:rsidRDefault="00B8732C" w14:paraId="46013A6A" w14:textId="7219E547">
      <w:pPr>
        <w:pStyle w:val="Bullet"/>
        <w:tabs>
          <w:tab w:val="left" w:pos="397"/>
        </w:tabs>
      </w:pPr>
      <w:r w:rsidRPr="00F57044">
        <w:t>it does not constitute legal advice, and users should take specific advice from qualified professionals before taking any action based on information in this publication</w:t>
      </w:r>
    </w:p>
    <w:p w:rsidRPr="00F57044" w:rsidR="00B8732C" w:rsidP="00B8732C" w:rsidRDefault="00B8732C" w14:paraId="382AC0C9" w14:textId="29CA3354">
      <w:pPr>
        <w:pStyle w:val="Bullet"/>
        <w:tabs>
          <w:tab w:val="left" w:pos="397"/>
        </w:tabs>
      </w:pPr>
      <w:r w:rsidRPr="00F57044">
        <w:t xml:space="preserve">the Ministry does not accept any responsibility or liability whatsoever whether in contract, tort, equity, or otherwise for any action taken </w:t>
      </w:r>
      <w:proofErr w:type="gramStart"/>
      <w:r w:rsidRPr="00F57044">
        <w:t>as a result of</w:t>
      </w:r>
      <w:proofErr w:type="gramEnd"/>
      <w:r w:rsidRPr="00F57044">
        <w:t xml:space="preserve"> reading, or reliance placed on</w:t>
      </w:r>
      <w:r w:rsidRPr="00F57044" w:rsidR="00B0384D">
        <w:t> </w:t>
      </w:r>
      <w:r w:rsidRPr="00F57044">
        <w:t>this publication because of having read any part, or all, of the information in this publication or for any error, or inadequacy, deficiency, flaw in, or omission from the information in this publication</w:t>
      </w:r>
    </w:p>
    <w:p w:rsidRPr="00F57044" w:rsidR="00B8732C" w:rsidP="00B8732C" w:rsidRDefault="00B8732C" w14:paraId="5B32B569" w14:textId="6721003F">
      <w:pPr>
        <w:pStyle w:val="Bullet"/>
        <w:tabs>
          <w:tab w:val="left" w:pos="397"/>
        </w:tabs>
      </w:pPr>
      <w:r w:rsidRPr="00F57044">
        <w:t>all references to websites, organisations or people not within the Ministry are for convenience only and should not be taken as endorsement of those websites or information contained in those websites nor of organisations or people referred to.</w:t>
      </w:r>
    </w:p>
    <w:p w:rsidRPr="00F57044" w:rsidR="00D027C6" w:rsidP="00D027C6" w:rsidRDefault="00D027C6" w14:paraId="54344E92" w14:textId="781366AC">
      <w:pPr>
        <w:pStyle w:val="Imprint"/>
      </w:pPr>
    </w:p>
    <w:p w:rsidRPr="00F57044" w:rsidR="00B8732C" w:rsidP="00B8732C" w:rsidRDefault="00B8732C" w14:paraId="75B70B55" w14:textId="1B56C302">
      <w:pPr>
        <w:pStyle w:val="Imprint"/>
      </w:pPr>
    </w:p>
    <w:p w:rsidRPr="00F57044" w:rsidR="00B8732C" w:rsidP="00B8732C" w:rsidRDefault="00B8732C" w14:paraId="0A3AA2FC" w14:textId="598D2757">
      <w:pPr>
        <w:pStyle w:val="Imprint"/>
      </w:pPr>
      <w:r w:rsidRPr="00F57044">
        <w:t>This document may be cited as: Ministry for the Environment. 202</w:t>
      </w:r>
      <w:r w:rsidRPr="00F57044" w:rsidR="009B5622">
        <w:t>5</w:t>
      </w:r>
      <w:r w:rsidRPr="00F57044">
        <w:t xml:space="preserve">. </w:t>
      </w:r>
      <w:r w:rsidRPr="00F57044">
        <w:rPr>
          <w:i/>
        </w:rPr>
        <w:t>Annual updates to New</w:t>
      </w:r>
      <w:r w:rsidRPr="00F57044" w:rsidR="00B0384D">
        <w:rPr>
          <w:i/>
        </w:rPr>
        <w:t> </w:t>
      </w:r>
      <w:r w:rsidRPr="00F57044">
        <w:rPr>
          <w:i/>
        </w:rPr>
        <w:t>Zealand Emissions Trading Scheme limits and price control settings for units 202</w:t>
      </w:r>
      <w:r w:rsidRPr="00F57044" w:rsidR="009B5622">
        <w:rPr>
          <w:i/>
        </w:rPr>
        <w:t>5</w:t>
      </w:r>
      <w:r w:rsidRPr="00F57044">
        <w:rPr>
          <w:i/>
        </w:rPr>
        <w:t>: Consultation document</w:t>
      </w:r>
      <w:r w:rsidRPr="00F57044">
        <w:t>. Wellington: Ministry for the Environment.</w:t>
      </w:r>
    </w:p>
    <w:p w:rsidRPr="00F57044" w:rsidR="00B8732C" w:rsidP="00B8732C" w:rsidRDefault="00B8732C" w14:paraId="068B4EA1" w14:textId="156AC19B">
      <w:pPr>
        <w:pStyle w:val="Imprint"/>
      </w:pPr>
    </w:p>
    <w:p w:rsidRPr="00F57044" w:rsidR="00B8732C" w:rsidP="00B8732C" w:rsidRDefault="00B8732C" w14:paraId="295428FE" w14:textId="3B920624">
      <w:pPr>
        <w:pStyle w:val="Imprint"/>
      </w:pPr>
    </w:p>
    <w:p w:rsidRPr="00F57044" w:rsidR="00B8732C" w:rsidP="00B8732C" w:rsidRDefault="00B8732C" w14:paraId="1CB55C16" w14:textId="6C025AB5">
      <w:pPr>
        <w:pStyle w:val="Imprint"/>
      </w:pPr>
    </w:p>
    <w:p w:rsidRPr="00F57044" w:rsidR="0051174C" w:rsidP="00B8732C" w:rsidRDefault="0051174C" w14:paraId="466E27D0" w14:textId="315EC478">
      <w:pPr>
        <w:pStyle w:val="Imprint"/>
      </w:pPr>
    </w:p>
    <w:p w:rsidRPr="00F57044" w:rsidR="0051174C" w:rsidP="00B8732C" w:rsidRDefault="0051174C" w14:paraId="4B7A1370" w14:textId="1BA40D08">
      <w:pPr>
        <w:pStyle w:val="Imprint"/>
      </w:pPr>
    </w:p>
    <w:p w:rsidRPr="00F57044" w:rsidR="00B8732C" w:rsidP="00B8732C" w:rsidRDefault="00B8732C" w14:paraId="749A7A3A" w14:textId="7F94B2C9">
      <w:pPr>
        <w:pStyle w:val="Imprint"/>
      </w:pPr>
    </w:p>
    <w:p w:rsidRPr="00F57044" w:rsidR="00B8732C" w:rsidP="00B8732C" w:rsidRDefault="00B8732C" w14:paraId="654FF2C9" w14:textId="069BC2C8">
      <w:pPr>
        <w:pStyle w:val="Imprint"/>
      </w:pPr>
    </w:p>
    <w:p w:rsidRPr="00F57044" w:rsidR="00B8732C" w:rsidP="00B8732C" w:rsidRDefault="00B8732C" w14:paraId="472202A1" w14:textId="208C2C94">
      <w:pPr>
        <w:pStyle w:val="Imprint"/>
      </w:pPr>
    </w:p>
    <w:p w:rsidRPr="00F57044" w:rsidR="00F353A0" w:rsidP="00F353A0" w:rsidRDefault="00F353A0" w14:paraId="54082777" w14:textId="77777777">
      <w:pPr>
        <w:pStyle w:val="Imprint"/>
        <w:spacing w:after="0"/>
      </w:pPr>
    </w:p>
    <w:p w:rsidRPr="00F57044" w:rsidR="00B8732C" w:rsidP="00F353A0" w:rsidRDefault="00B8732C" w14:paraId="7ECBACC2" w14:textId="57AAF1B9">
      <w:pPr>
        <w:pStyle w:val="Imprint"/>
        <w:spacing w:before="0" w:after="0"/>
      </w:pPr>
      <w:r w:rsidRPr="00F57044">
        <w:t xml:space="preserve">Published in </w:t>
      </w:r>
      <w:r w:rsidRPr="00F57044" w:rsidR="00C154D6">
        <w:t>May</w:t>
      </w:r>
      <w:r w:rsidRPr="00F57044">
        <w:t xml:space="preserve"> 202</w:t>
      </w:r>
      <w:r w:rsidRPr="00F57044" w:rsidR="009B5622">
        <w:t>5</w:t>
      </w:r>
      <w:r w:rsidRPr="00F57044">
        <w:t xml:space="preserve"> by the</w:t>
      </w:r>
      <w:r w:rsidRPr="00F57044">
        <w:br/>
      </w:r>
      <w:r w:rsidRPr="00F57044">
        <w:t xml:space="preserve">Ministry for the Environment </w:t>
      </w:r>
      <w:r w:rsidRPr="00F57044">
        <w:br/>
      </w:r>
      <w:proofErr w:type="spellStart"/>
      <w:r w:rsidRPr="00F57044">
        <w:t>Manatū</w:t>
      </w:r>
      <w:proofErr w:type="spellEnd"/>
      <w:r w:rsidRPr="00F57044">
        <w:t xml:space="preserve"> </w:t>
      </w:r>
      <w:proofErr w:type="spellStart"/>
      <w:r w:rsidRPr="00F57044">
        <w:t>mō</w:t>
      </w:r>
      <w:proofErr w:type="spellEnd"/>
      <w:r w:rsidRPr="00F57044">
        <w:t xml:space="preserve"> </w:t>
      </w:r>
      <w:proofErr w:type="spellStart"/>
      <w:r w:rsidRPr="00F57044">
        <w:t>te</w:t>
      </w:r>
      <w:proofErr w:type="spellEnd"/>
      <w:r w:rsidRPr="00F57044">
        <w:t xml:space="preserve"> Taiao</w:t>
      </w:r>
      <w:r w:rsidRPr="00F57044">
        <w:br/>
      </w:r>
      <w:r w:rsidRPr="00F57044">
        <w:t>PO Box 10362, Wellington 6143, New Zealand</w:t>
      </w:r>
      <w:r w:rsidRPr="00F57044">
        <w:br/>
      </w:r>
      <w:hyperlink w:history="1" r:id="rId19">
        <w:r w:rsidRPr="00F57044" w:rsidR="00D027C6">
          <w:rPr>
            <w:rStyle w:val="Hyperlink"/>
          </w:rPr>
          <w:t>environment.govt.nz</w:t>
        </w:r>
      </w:hyperlink>
    </w:p>
    <w:p w:rsidRPr="00F57044" w:rsidR="00B8732C" w:rsidP="00B8732C" w:rsidRDefault="00B8732C" w14:paraId="66AF793F" w14:textId="01B894C6">
      <w:pPr>
        <w:pStyle w:val="Imprint"/>
      </w:pPr>
      <w:r w:rsidRPr="00F57044">
        <w:t xml:space="preserve">ISBN: </w:t>
      </w:r>
      <w:r w:rsidRPr="00F57044" w:rsidR="00112BF8">
        <w:t>978-1-991140-84-5</w:t>
      </w:r>
      <w:r w:rsidRPr="00F57044">
        <w:br/>
      </w:r>
      <w:r w:rsidRPr="00F57044">
        <w:t xml:space="preserve">Publication number: ME </w:t>
      </w:r>
      <w:r w:rsidRPr="00F57044" w:rsidR="00C968DA">
        <w:t>1893</w:t>
      </w:r>
    </w:p>
    <w:p w:rsidRPr="00F57044" w:rsidR="00B8732C" w:rsidP="00B8732C" w:rsidRDefault="00B8732C" w14:paraId="12379D14" w14:textId="5F8218BE">
      <w:pPr>
        <w:pStyle w:val="Imprint"/>
      </w:pPr>
      <w:r w:rsidRPr="00F57044">
        <w:t>© Crown copyright New Zealand 202</w:t>
      </w:r>
      <w:r w:rsidRPr="00F57044" w:rsidR="009B5622">
        <w:t>5</w:t>
      </w:r>
    </w:p>
    <w:p w:rsidRPr="00F57044" w:rsidR="0080531E" w:rsidP="00A84FE1" w:rsidRDefault="0080531E" w14:paraId="7A91C075" w14:textId="1CFC1AC0">
      <w:pPr>
        <w:sectPr w:rsidRPr="00F57044" w:rsidR="0080531E" w:rsidSect="005F62FD">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134" w:right="1701" w:bottom="1134" w:left="1701" w:header="567" w:footer="567" w:gutter="0"/>
          <w:pgNumType w:fmt="lowerRoman"/>
          <w:cols w:space="720"/>
        </w:sectPr>
      </w:pPr>
    </w:p>
    <w:p w:rsidRPr="00F57044" w:rsidR="0080531E" w:rsidP="009E3890" w:rsidRDefault="0080531E" w14:paraId="0667D6D5" w14:textId="2649E9F5">
      <w:pPr>
        <w:pStyle w:val="Heading"/>
      </w:pPr>
      <w:r w:rsidRPr="00F57044">
        <w:t>Contents</w:t>
      </w:r>
    </w:p>
    <w:p w:rsidR="00840165" w:rsidRDefault="00775F57" w14:paraId="0C7C17DF" w14:textId="0FEA0207">
      <w:pPr>
        <w:pStyle w:val="TOC1"/>
        <w:rPr>
          <w:rFonts w:asciiTheme="minorHAnsi" w:hAnsiTheme="minorHAnsi" w:eastAsiaTheme="minorEastAsia" w:cstheme="minorBidi"/>
          <w:kern w:val="2"/>
          <w:sz w:val="24"/>
          <w:szCs w:val="24"/>
          <w14:ligatures w14:val="standardContextual"/>
        </w:rPr>
      </w:pPr>
      <w:r w:rsidRPr="00F57044">
        <w:rPr>
          <w:noProof w:val="0"/>
          <w:color w:val="0092CF"/>
          <w:highlight w:val="yellow"/>
        </w:rPr>
        <w:fldChar w:fldCharType="begin"/>
      </w:r>
      <w:r w:rsidRPr="00F57044">
        <w:rPr>
          <w:noProof w:val="0"/>
          <w:color w:val="0092CF"/>
          <w:highlight w:val="yellow"/>
        </w:rPr>
        <w:instrText xml:space="preserve"> TOC \h \z \t "Heading 1,1,Heading 2,2" </w:instrText>
      </w:r>
      <w:r w:rsidRPr="00F57044">
        <w:rPr>
          <w:noProof w:val="0"/>
          <w:color w:val="0092CF"/>
          <w:highlight w:val="yellow"/>
        </w:rPr>
        <w:fldChar w:fldCharType="separate"/>
      </w:r>
      <w:hyperlink w:history="1" w:anchor="_Toc199231012">
        <w:r w:rsidRPr="0056758E" w:rsidR="00840165">
          <w:rPr>
            <w:rStyle w:val="Hyperlink"/>
          </w:rPr>
          <w:t>Executive summary</w:t>
        </w:r>
        <w:r w:rsidR="00840165">
          <w:rPr>
            <w:webHidden/>
          </w:rPr>
          <w:tab/>
        </w:r>
        <w:r w:rsidR="00840165">
          <w:rPr>
            <w:webHidden/>
          </w:rPr>
          <w:fldChar w:fldCharType="begin"/>
        </w:r>
        <w:r w:rsidR="00840165">
          <w:rPr>
            <w:webHidden/>
          </w:rPr>
          <w:instrText xml:space="preserve"> PAGEREF _Toc199231012 \h </w:instrText>
        </w:r>
        <w:r w:rsidR="00840165">
          <w:rPr>
            <w:webHidden/>
          </w:rPr>
        </w:r>
        <w:r w:rsidR="00840165">
          <w:rPr>
            <w:webHidden/>
          </w:rPr>
          <w:fldChar w:fldCharType="separate"/>
        </w:r>
        <w:r w:rsidR="00AE6428">
          <w:rPr>
            <w:webHidden/>
          </w:rPr>
          <w:t>6</w:t>
        </w:r>
        <w:r w:rsidR="00840165">
          <w:rPr>
            <w:webHidden/>
          </w:rPr>
          <w:fldChar w:fldCharType="end"/>
        </w:r>
      </w:hyperlink>
    </w:p>
    <w:p w:rsidR="00840165" w:rsidRDefault="00840165" w14:paraId="0FAC7811" w14:textId="6D545978">
      <w:pPr>
        <w:pStyle w:val="TOC1"/>
        <w:rPr>
          <w:rFonts w:asciiTheme="minorHAnsi" w:hAnsiTheme="minorHAnsi" w:eastAsiaTheme="minorEastAsia" w:cstheme="minorBidi"/>
          <w:kern w:val="2"/>
          <w:sz w:val="24"/>
          <w:szCs w:val="24"/>
          <w14:ligatures w14:val="standardContextual"/>
        </w:rPr>
      </w:pPr>
      <w:hyperlink w:history="1" w:anchor="_Toc199231013">
        <w:r w:rsidRPr="0056758E">
          <w:rPr>
            <w:rStyle w:val="Hyperlink"/>
          </w:rPr>
          <w:t>About this consultation</w:t>
        </w:r>
        <w:r>
          <w:rPr>
            <w:webHidden/>
          </w:rPr>
          <w:tab/>
        </w:r>
        <w:r>
          <w:rPr>
            <w:webHidden/>
          </w:rPr>
          <w:fldChar w:fldCharType="begin"/>
        </w:r>
        <w:r>
          <w:rPr>
            <w:webHidden/>
          </w:rPr>
          <w:instrText xml:space="preserve"> PAGEREF _Toc199231013 \h </w:instrText>
        </w:r>
        <w:r>
          <w:rPr>
            <w:webHidden/>
          </w:rPr>
        </w:r>
        <w:r>
          <w:rPr>
            <w:webHidden/>
          </w:rPr>
          <w:fldChar w:fldCharType="separate"/>
        </w:r>
        <w:r w:rsidR="00AE6428">
          <w:rPr>
            <w:webHidden/>
          </w:rPr>
          <w:t>7</w:t>
        </w:r>
        <w:r>
          <w:rPr>
            <w:webHidden/>
          </w:rPr>
          <w:fldChar w:fldCharType="end"/>
        </w:r>
      </w:hyperlink>
    </w:p>
    <w:p w:rsidR="00840165" w:rsidRDefault="00840165" w14:paraId="6686E48A" w14:textId="0E678448">
      <w:pPr>
        <w:pStyle w:val="TOC2"/>
        <w:rPr>
          <w:rFonts w:asciiTheme="minorHAnsi" w:hAnsiTheme="minorHAnsi" w:eastAsiaTheme="minorEastAsia" w:cstheme="minorBidi"/>
          <w:noProof/>
          <w:kern w:val="2"/>
          <w:sz w:val="24"/>
          <w:szCs w:val="24"/>
          <w14:ligatures w14:val="standardContextual"/>
        </w:rPr>
      </w:pPr>
      <w:hyperlink w:history="1" w:anchor="_Toc199231014">
        <w:r w:rsidRPr="0056758E">
          <w:rPr>
            <w:rStyle w:val="Hyperlink"/>
            <w:noProof/>
          </w:rPr>
          <w:t>Scope</w:t>
        </w:r>
        <w:r>
          <w:rPr>
            <w:noProof/>
            <w:webHidden/>
          </w:rPr>
          <w:tab/>
        </w:r>
        <w:r w:rsidR="003F0174">
          <w:rPr>
            <w:noProof/>
            <w:webHidden/>
          </w:rPr>
          <w:tab/>
        </w:r>
        <w:r>
          <w:rPr>
            <w:noProof/>
            <w:webHidden/>
          </w:rPr>
          <w:fldChar w:fldCharType="begin"/>
        </w:r>
        <w:r>
          <w:rPr>
            <w:noProof/>
            <w:webHidden/>
          </w:rPr>
          <w:instrText xml:space="preserve"> PAGEREF _Toc199231014 \h </w:instrText>
        </w:r>
        <w:r>
          <w:rPr>
            <w:noProof/>
            <w:webHidden/>
          </w:rPr>
        </w:r>
        <w:r>
          <w:rPr>
            <w:noProof/>
            <w:webHidden/>
          </w:rPr>
          <w:fldChar w:fldCharType="separate"/>
        </w:r>
        <w:r w:rsidR="00AE6428">
          <w:rPr>
            <w:noProof/>
            <w:webHidden/>
          </w:rPr>
          <w:t>7</w:t>
        </w:r>
        <w:r>
          <w:rPr>
            <w:noProof/>
            <w:webHidden/>
          </w:rPr>
          <w:fldChar w:fldCharType="end"/>
        </w:r>
      </w:hyperlink>
    </w:p>
    <w:p w:rsidR="00840165" w:rsidRDefault="00840165" w14:paraId="5FFA5D18" w14:textId="2885B38D">
      <w:pPr>
        <w:pStyle w:val="TOC2"/>
        <w:rPr>
          <w:rFonts w:asciiTheme="minorHAnsi" w:hAnsiTheme="minorHAnsi" w:eastAsiaTheme="minorEastAsia" w:cstheme="minorBidi"/>
          <w:noProof/>
          <w:kern w:val="2"/>
          <w:sz w:val="24"/>
          <w:szCs w:val="24"/>
          <w14:ligatures w14:val="standardContextual"/>
        </w:rPr>
      </w:pPr>
      <w:hyperlink w:history="1" w:anchor="_Toc199231015">
        <w:r w:rsidRPr="0056758E">
          <w:rPr>
            <w:rStyle w:val="Hyperlink"/>
            <w:noProof/>
          </w:rPr>
          <w:t>Structure</w:t>
        </w:r>
        <w:r>
          <w:rPr>
            <w:noProof/>
            <w:webHidden/>
          </w:rPr>
          <w:tab/>
        </w:r>
        <w:r>
          <w:rPr>
            <w:noProof/>
            <w:webHidden/>
          </w:rPr>
          <w:fldChar w:fldCharType="begin"/>
        </w:r>
        <w:r>
          <w:rPr>
            <w:noProof/>
            <w:webHidden/>
          </w:rPr>
          <w:instrText xml:space="preserve"> PAGEREF _Toc199231015 \h </w:instrText>
        </w:r>
        <w:r>
          <w:rPr>
            <w:noProof/>
            <w:webHidden/>
          </w:rPr>
        </w:r>
        <w:r>
          <w:rPr>
            <w:noProof/>
            <w:webHidden/>
          </w:rPr>
          <w:fldChar w:fldCharType="separate"/>
        </w:r>
        <w:r w:rsidR="00AE6428">
          <w:rPr>
            <w:noProof/>
            <w:webHidden/>
          </w:rPr>
          <w:t>7</w:t>
        </w:r>
        <w:r>
          <w:rPr>
            <w:noProof/>
            <w:webHidden/>
          </w:rPr>
          <w:fldChar w:fldCharType="end"/>
        </w:r>
      </w:hyperlink>
    </w:p>
    <w:p w:rsidR="00840165" w:rsidRDefault="00840165" w14:paraId="22D24F31" w14:textId="0F5D8FF4">
      <w:pPr>
        <w:pStyle w:val="TOC2"/>
        <w:rPr>
          <w:rFonts w:asciiTheme="minorHAnsi" w:hAnsiTheme="minorHAnsi" w:eastAsiaTheme="minorEastAsia" w:cstheme="minorBidi"/>
          <w:noProof/>
          <w:kern w:val="2"/>
          <w:sz w:val="24"/>
          <w:szCs w:val="24"/>
          <w14:ligatures w14:val="standardContextual"/>
        </w:rPr>
      </w:pPr>
      <w:hyperlink w:history="1" w:anchor="_Toc199231016">
        <w:r w:rsidRPr="0056758E">
          <w:rPr>
            <w:rStyle w:val="Hyperlink"/>
            <w:noProof/>
          </w:rPr>
          <w:t>How to have your say</w:t>
        </w:r>
        <w:r>
          <w:rPr>
            <w:noProof/>
            <w:webHidden/>
          </w:rPr>
          <w:tab/>
        </w:r>
        <w:r>
          <w:rPr>
            <w:noProof/>
            <w:webHidden/>
          </w:rPr>
          <w:fldChar w:fldCharType="begin"/>
        </w:r>
        <w:r>
          <w:rPr>
            <w:noProof/>
            <w:webHidden/>
          </w:rPr>
          <w:instrText xml:space="preserve"> PAGEREF _Toc199231016 \h </w:instrText>
        </w:r>
        <w:r>
          <w:rPr>
            <w:noProof/>
            <w:webHidden/>
          </w:rPr>
        </w:r>
        <w:r>
          <w:rPr>
            <w:noProof/>
            <w:webHidden/>
          </w:rPr>
          <w:fldChar w:fldCharType="separate"/>
        </w:r>
        <w:r w:rsidR="00AE6428">
          <w:rPr>
            <w:noProof/>
            <w:webHidden/>
          </w:rPr>
          <w:t>8</w:t>
        </w:r>
        <w:r>
          <w:rPr>
            <w:noProof/>
            <w:webHidden/>
          </w:rPr>
          <w:fldChar w:fldCharType="end"/>
        </w:r>
      </w:hyperlink>
    </w:p>
    <w:p w:rsidR="00840165" w:rsidRDefault="00840165" w14:paraId="7934CCBC" w14:textId="1F5C73FB">
      <w:pPr>
        <w:pStyle w:val="TOC2"/>
        <w:rPr>
          <w:rFonts w:asciiTheme="minorHAnsi" w:hAnsiTheme="minorHAnsi" w:eastAsiaTheme="minorEastAsia" w:cstheme="minorBidi"/>
          <w:noProof/>
          <w:kern w:val="2"/>
          <w:sz w:val="24"/>
          <w:szCs w:val="24"/>
          <w14:ligatures w14:val="standardContextual"/>
        </w:rPr>
      </w:pPr>
      <w:hyperlink w:history="1" w:anchor="_Toc199231017">
        <w:r w:rsidRPr="0056758E">
          <w:rPr>
            <w:rStyle w:val="Hyperlink"/>
            <w:noProof/>
          </w:rPr>
          <w:t>Closing date for submissions</w:t>
        </w:r>
        <w:r>
          <w:rPr>
            <w:noProof/>
            <w:webHidden/>
          </w:rPr>
          <w:tab/>
        </w:r>
        <w:r>
          <w:rPr>
            <w:noProof/>
            <w:webHidden/>
          </w:rPr>
          <w:fldChar w:fldCharType="begin"/>
        </w:r>
        <w:r>
          <w:rPr>
            <w:noProof/>
            <w:webHidden/>
          </w:rPr>
          <w:instrText xml:space="preserve"> PAGEREF _Toc199231017 \h </w:instrText>
        </w:r>
        <w:r>
          <w:rPr>
            <w:noProof/>
            <w:webHidden/>
          </w:rPr>
        </w:r>
        <w:r>
          <w:rPr>
            <w:noProof/>
            <w:webHidden/>
          </w:rPr>
          <w:fldChar w:fldCharType="separate"/>
        </w:r>
        <w:r w:rsidR="00AE6428">
          <w:rPr>
            <w:noProof/>
            <w:webHidden/>
          </w:rPr>
          <w:t>8</w:t>
        </w:r>
        <w:r>
          <w:rPr>
            <w:noProof/>
            <w:webHidden/>
          </w:rPr>
          <w:fldChar w:fldCharType="end"/>
        </w:r>
      </w:hyperlink>
    </w:p>
    <w:p w:rsidR="00840165" w:rsidRDefault="00840165" w14:paraId="799F4280" w14:textId="219F6202">
      <w:pPr>
        <w:pStyle w:val="TOC2"/>
        <w:rPr>
          <w:rFonts w:asciiTheme="minorHAnsi" w:hAnsiTheme="minorHAnsi" w:eastAsiaTheme="minorEastAsia" w:cstheme="minorBidi"/>
          <w:noProof/>
          <w:kern w:val="2"/>
          <w:sz w:val="24"/>
          <w:szCs w:val="24"/>
          <w14:ligatures w14:val="standardContextual"/>
        </w:rPr>
      </w:pPr>
      <w:hyperlink w:history="1" w:anchor="_Toc199231018">
        <w:r w:rsidRPr="0056758E">
          <w:rPr>
            <w:rStyle w:val="Hyperlink"/>
            <w:noProof/>
          </w:rPr>
          <w:t>What happens next?</w:t>
        </w:r>
        <w:r>
          <w:rPr>
            <w:noProof/>
            <w:webHidden/>
          </w:rPr>
          <w:tab/>
        </w:r>
        <w:r>
          <w:rPr>
            <w:noProof/>
            <w:webHidden/>
          </w:rPr>
          <w:fldChar w:fldCharType="begin"/>
        </w:r>
        <w:r>
          <w:rPr>
            <w:noProof/>
            <w:webHidden/>
          </w:rPr>
          <w:instrText xml:space="preserve"> PAGEREF _Toc199231018 \h </w:instrText>
        </w:r>
        <w:r>
          <w:rPr>
            <w:noProof/>
            <w:webHidden/>
          </w:rPr>
        </w:r>
        <w:r>
          <w:rPr>
            <w:noProof/>
            <w:webHidden/>
          </w:rPr>
          <w:fldChar w:fldCharType="separate"/>
        </w:r>
        <w:r w:rsidR="00AE6428">
          <w:rPr>
            <w:noProof/>
            <w:webHidden/>
          </w:rPr>
          <w:t>8</w:t>
        </w:r>
        <w:r>
          <w:rPr>
            <w:noProof/>
            <w:webHidden/>
          </w:rPr>
          <w:fldChar w:fldCharType="end"/>
        </w:r>
      </w:hyperlink>
    </w:p>
    <w:p w:rsidR="00840165" w:rsidRDefault="00840165" w14:paraId="6DC73297" w14:textId="0FBE06DD">
      <w:pPr>
        <w:pStyle w:val="TOC2"/>
        <w:rPr>
          <w:rFonts w:asciiTheme="minorHAnsi" w:hAnsiTheme="minorHAnsi" w:eastAsiaTheme="minorEastAsia" w:cstheme="minorBidi"/>
          <w:noProof/>
          <w:kern w:val="2"/>
          <w:sz w:val="24"/>
          <w:szCs w:val="24"/>
          <w14:ligatures w14:val="standardContextual"/>
        </w:rPr>
      </w:pPr>
      <w:hyperlink w:history="1" w:anchor="_Toc199231019">
        <w:r w:rsidRPr="0056758E">
          <w:rPr>
            <w:rStyle w:val="Hyperlink"/>
            <w:noProof/>
          </w:rPr>
          <w:t>Other consultations</w:t>
        </w:r>
        <w:r>
          <w:rPr>
            <w:noProof/>
            <w:webHidden/>
          </w:rPr>
          <w:tab/>
        </w:r>
        <w:r>
          <w:rPr>
            <w:noProof/>
            <w:webHidden/>
          </w:rPr>
          <w:fldChar w:fldCharType="begin"/>
        </w:r>
        <w:r>
          <w:rPr>
            <w:noProof/>
            <w:webHidden/>
          </w:rPr>
          <w:instrText xml:space="preserve"> PAGEREF _Toc199231019 \h </w:instrText>
        </w:r>
        <w:r>
          <w:rPr>
            <w:noProof/>
            <w:webHidden/>
          </w:rPr>
        </w:r>
        <w:r>
          <w:rPr>
            <w:noProof/>
            <w:webHidden/>
          </w:rPr>
          <w:fldChar w:fldCharType="separate"/>
        </w:r>
        <w:r w:rsidR="00AE6428">
          <w:rPr>
            <w:noProof/>
            <w:webHidden/>
          </w:rPr>
          <w:t>8</w:t>
        </w:r>
        <w:r>
          <w:rPr>
            <w:noProof/>
            <w:webHidden/>
          </w:rPr>
          <w:fldChar w:fldCharType="end"/>
        </w:r>
      </w:hyperlink>
    </w:p>
    <w:p w:rsidR="00840165" w:rsidRDefault="00840165" w14:paraId="0DECC212" w14:textId="6886ECBC">
      <w:pPr>
        <w:pStyle w:val="TOC1"/>
        <w:rPr>
          <w:rFonts w:asciiTheme="minorHAnsi" w:hAnsiTheme="minorHAnsi" w:eastAsiaTheme="minorEastAsia" w:cstheme="minorBidi"/>
          <w:kern w:val="2"/>
          <w:sz w:val="24"/>
          <w:szCs w:val="24"/>
          <w14:ligatures w14:val="standardContextual"/>
        </w:rPr>
      </w:pPr>
      <w:hyperlink w:history="1" w:anchor="_Toc199231020">
        <w:r w:rsidRPr="0056758E">
          <w:rPr>
            <w:rStyle w:val="Hyperlink"/>
          </w:rPr>
          <w:t>Background</w:t>
        </w:r>
        <w:r>
          <w:rPr>
            <w:webHidden/>
          </w:rPr>
          <w:tab/>
        </w:r>
        <w:r>
          <w:rPr>
            <w:webHidden/>
          </w:rPr>
          <w:fldChar w:fldCharType="begin"/>
        </w:r>
        <w:r>
          <w:rPr>
            <w:webHidden/>
          </w:rPr>
          <w:instrText xml:space="preserve"> PAGEREF _Toc199231020 \h </w:instrText>
        </w:r>
        <w:r>
          <w:rPr>
            <w:webHidden/>
          </w:rPr>
        </w:r>
        <w:r>
          <w:rPr>
            <w:webHidden/>
          </w:rPr>
          <w:fldChar w:fldCharType="separate"/>
        </w:r>
        <w:r w:rsidR="00AE6428">
          <w:rPr>
            <w:webHidden/>
          </w:rPr>
          <w:t>9</w:t>
        </w:r>
        <w:r>
          <w:rPr>
            <w:webHidden/>
          </w:rPr>
          <w:fldChar w:fldCharType="end"/>
        </w:r>
      </w:hyperlink>
    </w:p>
    <w:p w:rsidR="00840165" w:rsidRDefault="00840165" w14:paraId="4EDDDFB7" w14:textId="540273A0">
      <w:pPr>
        <w:pStyle w:val="TOC2"/>
        <w:rPr>
          <w:rFonts w:asciiTheme="minorHAnsi" w:hAnsiTheme="minorHAnsi" w:eastAsiaTheme="minorEastAsia" w:cstheme="minorBidi"/>
          <w:noProof/>
          <w:kern w:val="2"/>
          <w:sz w:val="24"/>
          <w:szCs w:val="24"/>
          <w14:ligatures w14:val="standardContextual"/>
        </w:rPr>
      </w:pPr>
      <w:hyperlink w:history="1" w:anchor="_Toc199231021">
        <w:r w:rsidRPr="0056758E">
          <w:rPr>
            <w:rStyle w:val="Hyperlink"/>
            <w:noProof/>
          </w:rPr>
          <w:t>The role of the NZ ETS</w:t>
        </w:r>
        <w:r>
          <w:rPr>
            <w:noProof/>
            <w:webHidden/>
          </w:rPr>
          <w:tab/>
        </w:r>
        <w:r>
          <w:rPr>
            <w:noProof/>
            <w:webHidden/>
          </w:rPr>
          <w:fldChar w:fldCharType="begin"/>
        </w:r>
        <w:r>
          <w:rPr>
            <w:noProof/>
            <w:webHidden/>
          </w:rPr>
          <w:instrText xml:space="preserve"> PAGEREF _Toc199231021 \h </w:instrText>
        </w:r>
        <w:r>
          <w:rPr>
            <w:noProof/>
            <w:webHidden/>
          </w:rPr>
        </w:r>
        <w:r>
          <w:rPr>
            <w:noProof/>
            <w:webHidden/>
          </w:rPr>
          <w:fldChar w:fldCharType="separate"/>
        </w:r>
        <w:r w:rsidR="00AE6428">
          <w:rPr>
            <w:noProof/>
            <w:webHidden/>
          </w:rPr>
          <w:t>9</w:t>
        </w:r>
        <w:r>
          <w:rPr>
            <w:noProof/>
            <w:webHidden/>
          </w:rPr>
          <w:fldChar w:fldCharType="end"/>
        </w:r>
      </w:hyperlink>
    </w:p>
    <w:p w:rsidR="00840165" w:rsidRDefault="00840165" w14:paraId="30DC4BA5" w14:textId="013081FA">
      <w:pPr>
        <w:pStyle w:val="TOC2"/>
        <w:rPr>
          <w:rFonts w:asciiTheme="minorHAnsi" w:hAnsiTheme="minorHAnsi" w:eastAsiaTheme="minorEastAsia" w:cstheme="minorBidi"/>
          <w:noProof/>
          <w:kern w:val="2"/>
          <w:sz w:val="24"/>
          <w:szCs w:val="24"/>
          <w14:ligatures w14:val="standardContextual"/>
        </w:rPr>
      </w:pPr>
      <w:hyperlink w:history="1" w:anchor="_Toc199231022">
        <w:r w:rsidRPr="0056758E">
          <w:rPr>
            <w:rStyle w:val="Hyperlink"/>
            <w:noProof/>
          </w:rPr>
          <w:t>Annual process for unit limits and price control settings</w:t>
        </w:r>
        <w:r>
          <w:rPr>
            <w:noProof/>
            <w:webHidden/>
          </w:rPr>
          <w:tab/>
        </w:r>
        <w:r>
          <w:rPr>
            <w:noProof/>
            <w:webHidden/>
          </w:rPr>
          <w:fldChar w:fldCharType="begin"/>
        </w:r>
        <w:r>
          <w:rPr>
            <w:noProof/>
            <w:webHidden/>
          </w:rPr>
          <w:instrText xml:space="preserve"> PAGEREF _Toc199231022 \h </w:instrText>
        </w:r>
        <w:r>
          <w:rPr>
            <w:noProof/>
            <w:webHidden/>
          </w:rPr>
        </w:r>
        <w:r>
          <w:rPr>
            <w:noProof/>
            <w:webHidden/>
          </w:rPr>
          <w:fldChar w:fldCharType="separate"/>
        </w:r>
        <w:r w:rsidR="00AE6428">
          <w:rPr>
            <w:noProof/>
            <w:webHidden/>
          </w:rPr>
          <w:t>9</w:t>
        </w:r>
        <w:r>
          <w:rPr>
            <w:noProof/>
            <w:webHidden/>
          </w:rPr>
          <w:fldChar w:fldCharType="end"/>
        </w:r>
      </w:hyperlink>
    </w:p>
    <w:p w:rsidR="00840165" w:rsidRDefault="00840165" w14:paraId="0E4EBC75" w14:textId="68DD62F1">
      <w:pPr>
        <w:pStyle w:val="TOC2"/>
        <w:rPr>
          <w:rFonts w:asciiTheme="minorHAnsi" w:hAnsiTheme="minorHAnsi" w:eastAsiaTheme="minorEastAsia" w:cstheme="minorBidi"/>
          <w:noProof/>
          <w:kern w:val="2"/>
          <w:sz w:val="24"/>
          <w:szCs w:val="24"/>
          <w14:ligatures w14:val="standardContextual"/>
        </w:rPr>
      </w:pPr>
      <w:hyperlink w:history="1" w:anchor="_Toc199231023">
        <w:r w:rsidRPr="0056758E">
          <w:rPr>
            <w:rStyle w:val="Hyperlink"/>
            <w:noProof/>
          </w:rPr>
          <w:t>The Climate Change Commission has advised on NZ ETS unit settings</w:t>
        </w:r>
        <w:r>
          <w:rPr>
            <w:noProof/>
            <w:webHidden/>
          </w:rPr>
          <w:tab/>
        </w:r>
        <w:r>
          <w:rPr>
            <w:noProof/>
            <w:webHidden/>
          </w:rPr>
          <w:fldChar w:fldCharType="begin"/>
        </w:r>
        <w:r>
          <w:rPr>
            <w:noProof/>
            <w:webHidden/>
          </w:rPr>
          <w:instrText xml:space="preserve"> PAGEREF _Toc199231023 \h </w:instrText>
        </w:r>
        <w:r>
          <w:rPr>
            <w:noProof/>
            <w:webHidden/>
          </w:rPr>
        </w:r>
        <w:r>
          <w:rPr>
            <w:noProof/>
            <w:webHidden/>
          </w:rPr>
          <w:fldChar w:fldCharType="separate"/>
        </w:r>
        <w:r w:rsidR="00AE6428">
          <w:rPr>
            <w:noProof/>
            <w:webHidden/>
          </w:rPr>
          <w:t>11</w:t>
        </w:r>
        <w:r>
          <w:rPr>
            <w:noProof/>
            <w:webHidden/>
          </w:rPr>
          <w:fldChar w:fldCharType="end"/>
        </w:r>
      </w:hyperlink>
    </w:p>
    <w:p w:rsidR="00840165" w:rsidRDefault="00840165" w14:paraId="7DA07ADD" w14:textId="262B95F5">
      <w:pPr>
        <w:pStyle w:val="TOC1"/>
        <w:rPr>
          <w:rFonts w:asciiTheme="minorHAnsi" w:hAnsiTheme="minorHAnsi" w:eastAsiaTheme="minorEastAsia" w:cstheme="minorBidi"/>
          <w:kern w:val="2"/>
          <w:sz w:val="24"/>
          <w:szCs w:val="24"/>
          <w14:ligatures w14:val="standardContextual"/>
        </w:rPr>
      </w:pPr>
      <w:hyperlink w:history="1" w:anchor="_Toc199231024">
        <w:r w:rsidRPr="0056758E">
          <w:rPr>
            <w:rStyle w:val="Hyperlink"/>
          </w:rPr>
          <w:t>How we assessed the options</w:t>
        </w:r>
        <w:r>
          <w:rPr>
            <w:webHidden/>
          </w:rPr>
          <w:tab/>
        </w:r>
        <w:r>
          <w:rPr>
            <w:webHidden/>
          </w:rPr>
          <w:fldChar w:fldCharType="begin"/>
        </w:r>
        <w:r>
          <w:rPr>
            <w:webHidden/>
          </w:rPr>
          <w:instrText xml:space="preserve"> PAGEREF _Toc199231024 \h </w:instrText>
        </w:r>
        <w:r>
          <w:rPr>
            <w:webHidden/>
          </w:rPr>
        </w:r>
        <w:r>
          <w:rPr>
            <w:webHidden/>
          </w:rPr>
          <w:fldChar w:fldCharType="separate"/>
        </w:r>
        <w:r w:rsidR="00AE6428">
          <w:rPr>
            <w:webHidden/>
          </w:rPr>
          <w:t>12</w:t>
        </w:r>
        <w:r>
          <w:rPr>
            <w:webHidden/>
          </w:rPr>
          <w:fldChar w:fldCharType="end"/>
        </w:r>
      </w:hyperlink>
    </w:p>
    <w:p w:rsidR="00840165" w:rsidRDefault="00840165" w14:paraId="1096707E" w14:textId="269F6A77">
      <w:pPr>
        <w:pStyle w:val="TOC2"/>
        <w:rPr>
          <w:rFonts w:asciiTheme="minorHAnsi" w:hAnsiTheme="minorHAnsi" w:eastAsiaTheme="minorEastAsia" w:cstheme="minorBidi"/>
          <w:noProof/>
          <w:kern w:val="2"/>
          <w:sz w:val="24"/>
          <w:szCs w:val="24"/>
          <w14:ligatures w14:val="standardContextual"/>
        </w:rPr>
      </w:pPr>
      <w:hyperlink w:history="1" w:anchor="_Toc199231025">
        <w:r w:rsidRPr="0056758E">
          <w:rPr>
            <w:rStyle w:val="Hyperlink"/>
            <w:noProof/>
          </w:rPr>
          <w:t>Objectives – accordance test</w:t>
        </w:r>
        <w:r>
          <w:rPr>
            <w:noProof/>
            <w:webHidden/>
          </w:rPr>
          <w:tab/>
        </w:r>
        <w:r>
          <w:rPr>
            <w:noProof/>
            <w:webHidden/>
          </w:rPr>
          <w:fldChar w:fldCharType="begin"/>
        </w:r>
        <w:r>
          <w:rPr>
            <w:noProof/>
            <w:webHidden/>
          </w:rPr>
          <w:instrText xml:space="preserve"> PAGEREF _Toc199231025 \h </w:instrText>
        </w:r>
        <w:r>
          <w:rPr>
            <w:noProof/>
            <w:webHidden/>
          </w:rPr>
        </w:r>
        <w:r>
          <w:rPr>
            <w:noProof/>
            <w:webHidden/>
          </w:rPr>
          <w:fldChar w:fldCharType="separate"/>
        </w:r>
        <w:r w:rsidR="00AE6428">
          <w:rPr>
            <w:noProof/>
            <w:webHidden/>
          </w:rPr>
          <w:t>12</w:t>
        </w:r>
        <w:r>
          <w:rPr>
            <w:noProof/>
            <w:webHidden/>
          </w:rPr>
          <w:fldChar w:fldCharType="end"/>
        </w:r>
      </w:hyperlink>
    </w:p>
    <w:p w:rsidR="00840165" w:rsidRDefault="00840165" w14:paraId="76663D27" w14:textId="182C0FCF">
      <w:pPr>
        <w:pStyle w:val="TOC2"/>
        <w:rPr>
          <w:rFonts w:asciiTheme="minorHAnsi" w:hAnsiTheme="minorHAnsi" w:eastAsiaTheme="minorEastAsia" w:cstheme="minorBidi"/>
          <w:noProof/>
          <w:kern w:val="2"/>
          <w:sz w:val="24"/>
          <w:szCs w:val="24"/>
          <w14:ligatures w14:val="standardContextual"/>
        </w:rPr>
      </w:pPr>
      <w:hyperlink w:history="1" w:anchor="_Toc199231026">
        <w:r w:rsidRPr="0056758E">
          <w:rPr>
            <w:rStyle w:val="Hyperlink"/>
            <w:noProof/>
          </w:rPr>
          <w:t>Criteria</w:t>
        </w:r>
        <w:r>
          <w:rPr>
            <w:noProof/>
            <w:webHidden/>
          </w:rPr>
          <w:tab/>
        </w:r>
        <w:r>
          <w:rPr>
            <w:noProof/>
            <w:webHidden/>
          </w:rPr>
          <w:fldChar w:fldCharType="begin"/>
        </w:r>
        <w:r>
          <w:rPr>
            <w:noProof/>
            <w:webHidden/>
          </w:rPr>
          <w:instrText xml:space="preserve"> PAGEREF _Toc199231026 \h </w:instrText>
        </w:r>
        <w:r>
          <w:rPr>
            <w:noProof/>
            <w:webHidden/>
          </w:rPr>
        </w:r>
        <w:r>
          <w:rPr>
            <w:noProof/>
            <w:webHidden/>
          </w:rPr>
          <w:fldChar w:fldCharType="separate"/>
        </w:r>
        <w:r w:rsidR="00AE6428">
          <w:rPr>
            <w:noProof/>
            <w:webHidden/>
          </w:rPr>
          <w:t>12</w:t>
        </w:r>
        <w:r>
          <w:rPr>
            <w:noProof/>
            <w:webHidden/>
          </w:rPr>
          <w:fldChar w:fldCharType="end"/>
        </w:r>
      </w:hyperlink>
    </w:p>
    <w:p w:rsidR="00840165" w:rsidRDefault="00840165" w14:paraId="4B4507E4" w14:textId="29E69ED0">
      <w:pPr>
        <w:pStyle w:val="TOC1"/>
        <w:rPr>
          <w:rFonts w:asciiTheme="minorHAnsi" w:hAnsiTheme="minorHAnsi" w:eastAsiaTheme="minorEastAsia" w:cstheme="minorBidi"/>
          <w:kern w:val="2"/>
          <w:sz w:val="24"/>
          <w:szCs w:val="24"/>
          <w14:ligatures w14:val="standardContextual"/>
        </w:rPr>
      </w:pPr>
      <w:hyperlink w:history="1" w:anchor="_Toc199231027">
        <w:r w:rsidRPr="0056758E">
          <w:rPr>
            <w:rStyle w:val="Hyperlink"/>
          </w:rPr>
          <w:t>How we developed the options</w:t>
        </w:r>
        <w:r>
          <w:rPr>
            <w:webHidden/>
          </w:rPr>
          <w:tab/>
        </w:r>
        <w:r>
          <w:rPr>
            <w:webHidden/>
          </w:rPr>
          <w:fldChar w:fldCharType="begin"/>
        </w:r>
        <w:r>
          <w:rPr>
            <w:webHidden/>
          </w:rPr>
          <w:instrText xml:space="preserve"> PAGEREF _Toc199231027 \h </w:instrText>
        </w:r>
        <w:r>
          <w:rPr>
            <w:webHidden/>
          </w:rPr>
        </w:r>
        <w:r>
          <w:rPr>
            <w:webHidden/>
          </w:rPr>
          <w:fldChar w:fldCharType="separate"/>
        </w:r>
        <w:r w:rsidR="00AE6428">
          <w:rPr>
            <w:webHidden/>
          </w:rPr>
          <w:t>14</w:t>
        </w:r>
        <w:r>
          <w:rPr>
            <w:webHidden/>
          </w:rPr>
          <w:fldChar w:fldCharType="end"/>
        </w:r>
      </w:hyperlink>
    </w:p>
    <w:p w:rsidR="00840165" w:rsidRDefault="00840165" w14:paraId="324C8015" w14:textId="0DEC1BF4">
      <w:pPr>
        <w:pStyle w:val="TOC2"/>
        <w:rPr>
          <w:rFonts w:asciiTheme="minorHAnsi" w:hAnsiTheme="minorHAnsi" w:eastAsiaTheme="minorEastAsia" w:cstheme="minorBidi"/>
          <w:noProof/>
          <w:kern w:val="2"/>
          <w:sz w:val="24"/>
          <w:szCs w:val="24"/>
          <w14:ligatures w14:val="standardContextual"/>
        </w:rPr>
      </w:pPr>
      <w:hyperlink w:history="1" w:anchor="_Toc199231028">
        <w:r w:rsidRPr="0056758E">
          <w:rPr>
            <w:rStyle w:val="Hyperlink"/>
            <w:noProof/>
          </w:rPr>
          <w:t>Seven steps methodology</w:t>
        </w:r>
        <w:r>
          <w:rPr>
            <w:noProof/>
            <w:webHidden/>
          </w:rPr>
          <w:tab/>
        </w:r>
        <w:r>
          <w:rPr>
            <w:noProof/>
            <w:webHidden/>
          </w:rPr>
          <w:fldChar w:fldCharType="begin"/>
        </w:r>
        <w:r>
          <w:rPr>
            <w:noProof/>
            <w:webHidden/>
          </w:rPr>
          <w:instrText xml:space="preserve"> PAGEREF _Toc199231028 \h </w:instrText>
        </w:r>
        <w:r>
          <w:rPr>
            <w:noProof/>
            <w:webHidden/>
          </w:rPr>
        </w:r>
        <w:r>
          <w:rPr>
            <w:noProof/>
            <w:webHidden/>
          </w:rPr>
          <w:fldChar w:fldCharType="separate"/>
        </w:r>
        <w:r w:rsidR="00AE6428">
          <w:rPr>
            <w:noProof/>
            <w:webHidden/>
          </w:rPr>
          <w:t>14</w:t>
        </w:r>
        <w:r>
          <w:rPr>
            <w:noProof/>
            <w:webHidden/>
          </w:rPr>
          <w:fldChar w:fldCharType="end"/>
        </w:r>
      </w:hyperlink>
    </w:p>
    <w:p w:rsidR="00840165" w:rsidRDefault="00840165" w14:paraId="3BDA7FB1" w14:textId="3289D31A">
      <w:pPr>
        <w:pStyle w:val="TOC2"/>
        <w:rPr>
          <w:rFonts w:asciiTheme="minorHAnsi" w:hAnsiTheme="minorHAnsi" w:eastAsiaTheme="minorEastAsia" w:cstheme="minorBidi"/>
          <w:noProof/>
          <w:kern w:val="2"/>
          <w:sz w:val="24"/>
          <w:szCs w:val="24"/>
          <w14:ligatures w14:val="standardContextual"/>
        </w:rPr>
      </w:pPr>
      <w:hyperlink w:history="1" w:anchor="_Toc199231029">
        <w:r w:rsidRPr="0056758E">
          <w:rPr>
            <w:rStyle w:val="Hyperlink"/>
            <w:noProof/>
          </w:rPr>
          <w:t>NZ ETS market model</w:t>
        </w:r>
        <w:r>
          <w:rPr>
            <w:noProof/>
            <w:webHidden/>
          </w:rPr>
          <w:tab/>
        </w:r>
        <w:r>
          <w:rPr>
            <w:noProof/>
            <w:webHidden/>
          </w:rPr>
          <w:fldChar w:fldCharType="begin"/>
        </w:r>
        <w:r>
          <w:rPr>
            <w:noProof/>
            <w:webHidden/>
          </w:rPr>
          <w:instrText xml:space="preserve"> PAGEREF _Toc199231029 \h </w:instrText>
        </w:r>
        <w:r>
          <w:rPr>
            <w:noProof/>
            <w:webHidden/>
          </w:rPr>
        </w:r>
        <w:r>
          <w:rPr>
            <w:noProof/>
            <w:webHidden/>
          </w:rPr>
          <w:fldChar w:fldCharType="separate"/>
        </w:r>
        <w:r w:rsidR="00AE6428">
          <w:rPr>
            <w:noProof/>
            <w:webHidden/>
          </w:rPr>
          <w:t>15</w:t>
        </w:r>
        <w:r>
          <w:rPr>
            <w:noProof/>
            <w:webHidden/>
          </w:rPr>
          <w:fldChar w:fldCharType="end"/>
        </w:r>
      </w:hyperlink>
    </w:p>
    <w:p w:rsidR="00840165" w:rsidRDefault="00840165" w14:paraId="48618FE1" w14:textId="46C4645E">
      <w:pPr>
        <w:pStyle w:val="TOC2"/>
        <w:rPr>
          <w:rFonts w:asciiTheme="minorHAnsi" w:hAnsiTheme="minorHAnsi" w:eastAsiaTheme="minorEastAsia" w:cstheme="minorBidi"/>
          <w:noProof/>
          <w:kern w:val="2"/>
          <w:sz w:val="24"/>
          <w:szCs w:val="24"/>
          <w14:ligatures w14:val="standardContextual"/>
        </w:rPr>
      </w:pPr>
      <w:hyperlink w:history="1" w:anchor="_Toc199231030">
        <w:r w:rsidRPr="0056758E">
          <w:rPr>
            <w:rStyle w:val="Hyperlink"/>
            <w:noProof/>
          </w:rPr>
          <w:t>How we use both models together</w:t>
        </w:r>
        <w:r>
          <w:rPr>
            <w:noProof/>
            <w:webHidden/>
          </w:rPr>
          <w:tab/>
        </w:r>
        <w:r>
          <w:rPr>
            <w:noProof/>
            <w:webHidden/>
          </w:rPr>
          <w:fldChar w:fldCharType="begin"/>
        </w:r>
        <w:r>
          <w:rPr>
            <w:noProof/>
            <w:webHidden/>
          </w:rPr>
          <w:instrText xml:space="preserve"> PAGEREF _Toc199231030 \h </w:instrText>
        </w:r>
        <w:r>
          <w:rPr>
            <w:noProof/>
            <w:webHidden/>
          </w:rPr>
        </w:r>
        <w:r>
          <w:rPr>
            <w:noProof/>
            <w:webHidden/>
          </w:rPr>
          <w:fldChar w:fldCharType="separate"/>
        </w:r>
        <w:r w:rsidR="00AE6428">
          <w:rPr>
            <w:noProof/>
            <w:webHidden/>
          </w:rPr>
          <w:t>15</w:t>
        </w:r>
        <w:r>
          <w:rPr>
            <w:noProof/>
            <w:webHidden/>
          </w:rPr>
          <w:fldChar w:fldCharType="end"/>
        </w:r>
      </w:hyperlink>
    </w:p>
    <w:p w:rsidR="00840165" w:rsidRDefault="00840165" w14:paraId="61D977C3" w14:textId="1C0C2323">
      <w:pPr>
        <w:pStyle w:val="TOC1"/>
        <w:rPr>
          <w:rFonts w:asciiTheme="minorHAnsi" w:hAnsiTheme="minorHAnsi" w:eastAsiaTheme="minorEastAsia" w:cstheme="minorBidi"/>
          <w:kern w:val="2"/>
          <w:sz w:val="24"/>
          <w:szCs w:val="24"/>
          <w14:ligatures w14:val="standardContextual"/>
        </w:rPr>
      </w:pPr>
      <w:hyperlink w:history="1" w:anchor="_Toc199231031">
        <w:r w:rsidRPr="0056758E">
          <w:rPr>
            <w:rStyle w:val="Hyperlink"/>
          </w:rPr>
          <w:t>Recent secondary market price dynamics</w:t>
        </w:r>
        <w:r>
          <w:rPr>
            <w:webHidden/>
          </w:rPr>
          <w:tab/>
        </w:r>
        <w:r>
          <w:rPr>
            <w:webHidden/>
          </w:rPr>
          <w:fldChar w:fldCharType="begin"/>
        </w:r>
        <w:r>
          <w:rPr>
            <w:webHidden/>
          </w:rPr>
          <w:instrText xml:space="preserve"> PAGEREF _Toc199231031 \h </w:instrText>
        </w:r>
        <w:r>
          <w:rPr>
            <w:webHidden/>
          </w:rPr>
        </w:r>
        <w:r>
          <w:rPr>
            <w:webHidden/>
          </w:rPr>
          <w:fldChar w:fldCharType="separate"/>
        </w:r>
        <w:r w:rsidR="00AE6428">
          <w:rPr>
            <w:webHidden/>
          </w:rPr>
          <w:t>16</w:t>
        </w:r>
        <w:r>
          <w:rPr>
            <w:webHidden/>
          </w:rPr>
          <w:fldChar w:fldCharType="end"/>
        </w:r>
      </w:hyperlink>
    </w:p>
    <w:p w:rsidR="00840165" w:rsidRDefault="00840165" w14:paraId="6ED4698D" w14:textId="3727DD54">
      <w:pPr>
        <w:pStyle w:val="TOC1"/>
        <w:rPr>
          <w:rFonts w:asciiTheme="minorHAnsi" w:hAnsiTheme="minorHAnsi" w:eastAsiaTheme="minorEastAsia" w:cstheme="minorBidi"/>
          <w:kern w:val="2"/>
          <w:sz w:val="24"/>
          <w:szCs w:val="24"/>
          <w14:ligatures w14:val="standardContextual"/>
        </w:rPr>
      </w:pPr>
      <w:hyperlink w:history="1" w:anchor="_Toc199231032">
        <w:r w:rsidRPr="0056758E">
          <w:rPr>
            <w:rStyle w:val="Hyperlink"/>
          </w:rPr>
          <w:t>Key options for 2025 settings</w:t>
        </w:r>
        <w:r>
          <w:rPr>
            <w:webHidden/>
          </w:rPr>
          <w:tab/>
        </w:r>
        <w:r>
          <w:rPr>
            <w:webHidden/>
          </w:rPr>
          <w:fldChar w:fldCharType="begin"/>
        </w:r>
        <w:r>
          <w:rPr>
            <w:webHidden/>
          </w:rPr>
          <w:instrText xml:space="preserve"> PAGEREF _Toc199231032 \h </w:instrText>
        </w:r>
        <w:r>
          <w:rPr>
            <w:webHidden/>
          </w:rPr>
        </w:r>
        <w:r>
          <w:rPr>
            <w:webHidden/>
          </w:rPr>
          <w:fldChar w:fldCharType="separate"/>
        </w:r>
        <w:r w:rsidR="00AE6428">
          <w:rPr>
            <w:webHidden/>
          </w:rPr>
          <w:t>18</w:t>
        </w:r>
        <w:r>
          <w:rPr>
            <w:webHidden/>
          </w:rPr>
          <w:fldChar w:fldCharType="end"/>
        </w:r>
      </w:hyperlink>
    </w:p>
    <w:p w:rsidR="00840165" w:rsidRDefault="00840165" w14:paraId="65E22DC6" w14:textId="5A64DE9B">
      <w:pPr>
        <w:pStyle w:val="TOC2"/>
        <w:rPr>
          <w:rFonts w:asciiTheme="minorHAnsi" w:hAnsiTheme="minorHAnsi" w:eastAsiaTheme="minorEastAsia" w:cstheme="minorBidi"/>
          <w:noProof/>
          <w:kern w:val="2"/>
          <w:sz w:val="24"/>
          <w:szCs w:val="24"/>
          <w14:ligatures w14:val="standardContextual"/>
        </w:rPr>
      </w:pPr>
      <w:hyperlink w:history="1" w:anchor="_Toc199231033">
        <w:r w:rsidRPr="0056758E">
          <w:rPr>
            <w:rStyle w:val="Hyperlink"/>
            <w:noProof/>
          </w:rPr>
          <w:t>The Climate Change Commission’s recommended unit limits</w:t>
        </w:r>
        <w:r>
          <w:rPr>
            <w:noProof/>
            <w:webHidden/>
          </w:rPr>
          <w:tab/>
        </w:r>
        <w:r>
          <w:rPr>
            <w:noProof/>
            <w:webHidden/>
          </w:rPr>
          <w:fldChar w:fldCharType="begin"/>
        </w:r>
        <w:r>
          <w:rPr>
            <w:noProof/>
            <w:webHidden/>
          </w:rPr>
          <w:instrText xml:space="preserve"> PAGEREF _Toc199231033 \h </w:instrText>
        </w:r>
        <w:r>
          <w:rPr>
            <w:noProof/>
            <w:webHidden/>
          </w:rPr>
        </w:r>
        <w:r>
          <w:rPr>
            <w:noProof/>
            <w:webHidden/>
          </w:rPr>
          <w:fldChar w:fldCharType="separate"/>
        </w:r>
        <w:r w:rsidR="00AE6428">
          <w:rPr>
            <w:noProof/>
            <w:webHidden/>
          </w:rPr>
          <w:t>18</w:t>
        </w:r>
        <w:r>
          <w:rPr>
            <w:noProof/>
            <w:webHidden/>
          </w:rPr>
          <w:fldChar w:fldCharType="end"/>
        </w:r>
      </w:hyperlink>
    </w:p>
    <w:p w:rsidR="00840165" w:rsidRDefault="00840165" w14:paraId="3102DFF8" w14:textId="698DE3D0">
      <w:pPr>
        <w:pStyle w:val="TOC2"/>
        <w:rPr>
          <w:rFonts w:asciiTheme="minorHAnsi" w:hAnsiTheme="minorHAnsi" w:eastAsiaTheme="minorEastAsia" w:cstheme="minorBidi"/>
          <w:noProof/>
          <w:kern w:val="2"/>
          <w:sz w:val="24"/>
          <w:szCs w:val="24"/>
          <w14:ligatures w14:val="standardContextual"/>
        </w:rPr>
      </w:pPr>
      <w:hyperlink w:history="1" w:anchor="_Toc199231034">
        <w:r w:rsidRPr="0056758E">
          <w:rPr>
            <w:rStyle w:val="Hyperlink"/>
            <w:noProof/>
          </w:rPr>
          <w:t>Option for tighter unit limits</w:t>
        </w:r>
        <w:r>
          <w:rPr>
            <w:noProof/>
            <w:webHidden/>
          </w:rPr>
          <w:tab/>
        </w:r>
        <w:r>
          <w:rPr>
            <w:noProof/>
            <w:webHidden/>
          </w:rPr>
          <w:fldChar w:fldCharType="begin"/>
        </w:r>
        <w:r>
          <w:rPr>
            <w:noProof/>
            <w:webHidden/>
          </w:rPr>
          <w:instrText xml:space="preserve"> PAGEREF _Toc199231034 \h </w:instrText>
        </w:r>
        <w:r>
          <w:rPr>
            <w:noProof/>
            <w:webHidden/>
          </w:rPr>
        </w:r>
        <w:r>
          <w:rPr>
            <w:noProof/>
            <w:webHidden/>
          </w:rPr>
          <w:fldChar w:fldCharType="separate"/>
        </w:r>
        <w:r w:rsidR="00AE6428">
          <w:rPr>
            <w:noProof/>
            <w:webHidden/>
          </w:rPr>
          <w:t>19</w:t>
        </w:r>
        <w:r>
          <w:rPr>
            <w:noProof/>
            <w:webHidden/>
          </w:rPr>
          <w:fldChar w:fldCharType="end"/>
        </w:r>
      </w:hyperlink>
    </w:p>
    <w:p w:rsidR="00840165" w:rsidRDefault="00840165" w14:paraId="5656FB2B" w14:textId="0514DC35">
      <w:pPr>
        <w:pStyle w:val="TOC2"/>
        <w:rPr>
          <w:rFonts w:asciiTheme="minorHAnsi" w:hAnsiTheme="minorHAnsi" w:eastAsiaTheme="minorEastAsia" w:cstheme="minorBidi"/>
          <w:noProof/>
          <w:kern w:val="2"/>
          <w:sz w:val="24"/>
          <w:szCs w:val="24"/>
          <w14:ligatures w14:val="standardContextual"/>
        </w:rPr>
      </w:pPr>
      <w:hyperlink w:history="1" w:anchor="_Toc199231035">
        <w:r w:rsidRPr="0056758E">
          <w:rPr>
            <w:rStyle w:val="Hyperlink"/>
            <w:noProof/>
          </w:rPr>
          <w:t>NZ ETS settings options</w:t>
        </w:r>
        <w:r>
          <w:rPr>
            <w:noProof/>
            <w:webHidden/>
          </w:rPr>
          <w:tab/>
        </w:r>
        <w:r>
          <w:rPr>
            <w:noProof/>
            <w:webHidden/>
          </w:rPr>
          <w:fldChar w:fldCharType="begin"/>
        </w:r>
        <w:r>
          <w:rPr>
            <w:noProof/>
            <w:webHidden/>
          </w:rPr>
          <w:instrText xml:space="preserve"> PAGEREF _Toc199231035 \h </w:instrText>
        </w:r>
        <w:r>
          <w:rPr>
            <w:noProof/>
            <w:webHidden/>
          </w:rPr>
        </w:r>
        <w:r>
          <w:rPr>
            <w:noProof/>
            <w:webHidden/>
          </w:rPr>
          <w:fldChar w:fldCharType="separate"/>
        </w:r>
        <w:r w:rsidR="00AE6428">
          <w:rPr>
            <w:noProof/>
            <w:webHidden/>
          </w:rPr>
          <w:t>20</w:t>
        </w:r>
        <w:r>
          <w:rPr>
            <w:noProof/>
            <w:webHidden/>
          </w:rPr>
          <w:fldChar w:fldCharType="end"/>
        </w:r>
      </w:hyperlink>
    </w:p>
    <w:p w:rsidR="00840165" w:rsidRDefault="00840165" w14:paraId="61EE84CC" w14:textId="0C008E43">
      <w:pPr>
        <w:pStyle w:val="TOC2"/>
        <w:rPr>
          <w:rFonts w:asciiTheme="minorHAnsi" w:hAnsiTheme="minorHAnsi" w:eastAsiaTheme="minorEastAsia" w:cstheme="minorBidi"/>
          <w:noProof/>
          <w:kern w:val="2"/>
          <w:sz w:val="24"/>
          <w:szCs w:val="24"/>
          <w14:ligatures w14:val="standardContextual"/>
        </w:rPr>
      </w:pPr>
      <w:hyperlink w:history="1" w:anchor="_Toc199231036">
        <w:r w:rsidRPr="0056758E">
          <w:rPr>
            <w:rStyle w:val="Hyperlink"/>
            <w:noProof/>
          </w:rPr>
          <w:t>Implications of the options for market dynamics and emissions budgets</w:t>
        </w:r>
        <w:r>
          <w:rPr>
            <w:noProof/>
            <w:webHidden/>
          </w:rPr>
          <w:tab/>
        </w:r>
        <w:r>
          <w:rPr>
            <w:noProof/>
            <w:webHidden/>
          </w:rPr>
          <w:fldChar w:fldCharType="begin"/>
        </w:r>
        <w:r>
          <w:rPr>
            <w:noProof/>
            <w:webHidden/>
          </w:rPr>
          <w:instrText xml:space="preserve"> PAGEREF _Toc199231036 \h </w:instrText>
        </w:r>
        <w:r>
          <w:rPr>
            <w:noProof/>
            <w:webHidden/>
          </w:rPr>
        </w:r>
        <w:r>
          <w:rPr>
            <w:noProof/>
            <w:webHidden/>
          </w:rPr>
          <w:fldChar w:fldCharType="separate"/>
        </w:r>
        <w:r w:rsidR="00AE6428">
          <w:rPr>
            <w:noProof/>
            <w:webHidden/>
          </w:rPr>
          <w:t>23</w:t>
        </w:r>
        <w:r>
          <w:rPr>
            <w:noProof/>
            <w:webHidden/>
          </w:rPr>
          <w:fldChar w:fldCharType="end"/>
        </w:r>
      </w:hyperlink>
    </w:p>
    <w:p w:rsidR="00840165" w:rsidRDefault="00840165" w14:paraId="166980B2" w14:textId="19608EFF">
      <w:pPr>
        <w:pStyle w:val="TOC2"/>
        <w:rPr>
          <w:rFonts w:asciiTheme="minorHAnsi" w:hAnsiTheme="minorHAnsi" w:eastAsiaTheme="minorEastAsia" w:cstheme="minorBidi"/>
          <w:noProof/>
          <w:kern w:val="2"/>
          <w:sz w:val="24"/>
          <w:szCs w:val="24"/>
          <w14:ligatures w14:val="standardContextual"/>
        </w:rPr>
      </w:pPr>
      <w:hyperlink w:history="1" w:anchor="_Toc199231037">
        <w:r w:rsidRPr="0056758E">
          <w:rPr>
            <w:rStyle w:val="Hyperlink"/>
            <w:noProof/>
          </w:rPr>
          <w:t>Impacts on the economy and households</w:t>
        </w:r>
        <w:r>
          <w:rPr>
            <w:noProof/>
            <w:webHidden/>
          </w:rPr>
          <w:tab/>
        </w:r>
        <w:r>
          <w:rPr>
            <w:noProof/>
            <w:webHidden/>
          </w:rPr>
          <w:fldChar w:fldCharType="begin"/>
        </w:r>
        <w:r>
          <w:rPr>
            <w:noProof/>
            <w:webHidden/>
          </w:rPr>
          <w:instrText xml:space="preserve"> PAGEREF _Toc199231037 \h </w:instrText>
        </w:r>
        <w:r>
          <w:rPr>
            <w:noProof/>
            <w:webHidden/>
          </w:rPr>
        </w:r>
        <w:r>
          <w:rPr>
            <w:noProof/>
            <w:webHidden/>
          </w:rPr>
          <w:fldChar w:fldCharType="separate"/>
        </w:r>
        <w:r w:rsidR="00AE6428">
          <w:rPr>
            <w:noProof/>
            <w:webHidden/>
          </w:rPr>
          <w:t>27</w:t>
        </w:r>
        <w:r>
          <w:rPr>
            <w:noProof/>
            <w:webHidden/>
          </w:rPr>
          <w:fldChar w:fldCharType="end"/>
        </w:r>
      </w:hyperlink>
    </w:p>
    <w:p w:rsidR="00840165" w:rsidRDefault="00840165" w14:paraId="687AE66E" w14:textId="36A07FCA">
      <w:pPr>
        <w:pStyle w:val="TOC2"/>
        <w:rPr>
          <w:rFonts w:asciiTheme="minorHAnsi" w:hAnsiTheme="minorHAnsi" w:eastAsiaTheme="minorEastAsia" w:cstheme="minorBidi"/>
          <w:noProof/>
          <w:kern w:val="2"/>
          <w:sz w:val="24"/>
          <w:szCs w:val="24"/>
          <w14:ligatures w14:val="standardContextual"/>
        </w:rPr>
      </w:pPr>
      <w:hyperlink w:history="1" w:anchor="_Toc199231038">
        <w:r w:rsidRPr="0056758E">
          <w:rPr>
            <w:rStyle w:val="Hyperlink"/>
            <w:noProof/>
          </w:rPr>
          <w:t>Assessing the options</w:t>
        </w:r>
        <w:r>
          <w:rPr>
            <w:noProof/>
            <w:webHidden/>
          </w:rPr>
          <w:tab/>
        </w:r>
        <w:r>
          <w:rPr>
            <w:noProof/>
            <w:webHidden/>
          </w:rPr>
          <w:fldChar w:fldCharType="begin"/>
        </w:r>
        <w:r>
          <w:rPr>
            <w:noProof/>
            <w:webHidden/>
          </w:rPr>
          <w:instrText xml:space="preserve"> PAGEREF _Toc199231038 \h </w:instrText>
        </w:r>
        <w:r>
          <w:rPr>
            <w:noProof/>
            <w:webHidden/>
          </w:rPr>
        </w:r>
        <w:r>
          <w:rPr>
            <w:noProof/>
            <w:webHidden/>
          </w:rPr>
          <w:fldChar w:fldCharType="separate"/>
        </w:r>
        <w:r w:rsidR="00AE6428">
          <w:rPr>
            <w:noProof/>
            <w:webHidden/>
          </w:rPr>
          <w:t>29</w:t>
        </w:r>
        <w:r>
          <w:rPr>
            <w:noProof/>
            <w:webHidden/>
          </w:rPr>
          <w:fldChar w:fldCharType="end"/>
        </w:r>
      </w:hyperlink>
    </w:p>
    <w:p w:rsidR="00840165" w:rsidRDefault="00840165" w14:paraId="4DE70BE3" w14:textId="01B626AE">
      <w:pPr>
        <w:pStyle w:val="TOC1"/>
        <w:rPr>
          <w:rFonts w:asciiTheme="minorHAnsi" w:hAnsiTheme="minorHAnsi" w:eastAsiaTheme="minorEastAsia" w:cstheme="minorBidi"/>
          <w:kern w:val="2"/>
          <w:sz w:val="24"/>
          <w:szCs w:val="24"/>
          <w14:ligatures w14:val="standardContextual"/>
        </w:rPr>
      </w:pPr>
      <w:hyperlink w:history="1" w:anchor="_Toc199231039">
        <w:r w:rsidRPr="0056758E">
          <w:rPr>
            <w:rStyle w:val="Hyperlink"/>
          </w:rPr>
          <w:t>Questions on detailed methodology</w:t>
        </w:r>
        <w:r>
          <w:rPr>
            <w:webHidden/>
          </w:rPr>
          <w:tab/>
        </w:r>
        <w:r>
          <w:rPr>
            <w:webHidden/>
          </w:rPr>
          <w:fldChar w:fldCharType="begin"/>
        </w:r>
        <w:r>
          <w:rPr>
            <w:webHidden/>
          </w:rPr>
          <w:instrText xml:space="preserve"> PAGEREF _Toc199231039 \h </w:instrText>
        </w:r>
        <w:r>
          <w:rPr>
            <w:webHidden/>
          </w:rPr>
        </w:r>
        <w:r>
          <w:rPr>
            <w:webHidden/>
          </w:rPr>
          <w:fldChar w:fldCharType="separate"/>
        </w:r>
        <w:r w:rsidR="00AE6428">
          <w:rPr>
            <w:webHidden/>
          </w:rPr>
          <w:t>32</w:t>
        </w:r>
        <w:r>
          <w:rPr>
            <w:webHidden/>
          </w:rPr>
          <w:fldChar w:fldCharType="end"/>
        </w:r>
      </w:hyperlink>
    </w:p>
    <w:p w:rsidR="00840165" w:rsidRDefault="00840165" w14:paraId="33BFDBF5" w14:textId="62F5952A">
      <w:pPr>
        <w:pStyle w:val="TOC2"/>
        <w:rPr>
          <w:rFonts w:asciiTheme="minorHAnsi" w:hAnsiTheme="minorHAnsi" w:eastAsiaTheme="minorEastAsia" w:cstheme="minorBidi"/>
          <w:noProof/>
          <w:kern w:val="2"/>
          <w:sz w:val="24"/>
          <w:szCs w:val="24"/>
          <w14:ligatures w14:val="standardContextual"/>
        </w:rPr>
      </w:pPr>
      <w:hyperlink w:history="1" w:anchor="_Toc199231040">
        <w:r w:rsidRPr="0056758E">
          <w:rPr>
            <w:rStyle w:val="Hyperlink"/>
            <w:noProof/>
          </w:rPr>
          <w:t>NZ ETS cap for EB2</w:t>
        </w:r>
        <w:r>
          <w:rPr>
            <w:noProof/>
            <w:webHidden/>
          </w:rPr>
          <w:tab/>
        </w:r>
        <w:r>
          <w:rPr>
            <w:noProof/>
            <w:webHidden/>
          </w:rPr>
          <w:fldChar w:fldCharType="begin"/>
        </w:r>
        <w:r>
          <w:rPr>
            <w:noProof/>
            <w:webHidden/>
          </w:rPr>
          <w:instrText xml:space="preserve"> PAGEREF _Toc199231040 \h </w:instrText>
        </w:r>
        <w:r>
          <w:rPr>
            <w:noProof/>
            <w:webHidden/>
          </w:rPr>
        </w:r>
        <w:r>
          <w:rPr>
            <w:noProof/>
            <w:webHidden/>
          </w:rPr>
          <w:fldChar w:fldCharType="separate"/>
        </w:r>
        <w:r w:rsidR="00AE6428">
          <w:rPr>
            <w:noProof/>
            <w:webHidden/>
          </w:rPr>
          <w:t>32</w:t>
        </w:r>
        <w:r>
          <w:rPr>
            <w:noProof/>
            <w:webHidden/>
          </w:rPr>
          <w:fldChar w:fldCharType="end"/>
        </w:r>
      </w:hyperlink>
    </w:p>
    <w:p w:rsidR="00840165" w:rsidRDefault="00840165" w14:paraId="62660D55" w14:textId="79EDA9DB">
      <w:pPr>
        <w:pStyle w:val="TOC2"/>
        <w:rPr>
          <w:rFonts w:asciiTheme="minorHAnsi" w:hAnsiTheme="minorHAnsi" w:eastAsiaTheme="minorEastAsia" w:cstheme="minorBidi"/>
          <w:noProof/>
          <w:kern w:val="2"/>
          <w:sz w:val="24"/>
          <w:szCs w:val="24"/>
          <w14:ligatures w14:val="standardContextual"/>
        </w:rPr>
      </w:pPr>
      <w:hyperlink w:history="1" w:anchor="_Toc199231041">
        <w:r w:rsidRPr="0056758E">
          <w:rPr>
            <w:rStyle w:val="Hyperlink"/>
            <w:noProof/>
          </w:rPr>
          <w:t>Provisional NZ ETS cap for EB3</w:t>
        </w:r>
        <w:r>
          <w:rPr>
            <w:noProof/>
            <w:webHidden/>
          </w:rPr>
          <w:tab/>
        </w:r>
        <w:r>
          <w:rPr>
            <w:noProof/>
            <w:webHidden/>
          </w:rPr>
          <w:fldChar w:fldCharType="begin"/>
        </w:r>
        <w:r>
          <w:rPr>
            <w:noProof/>
            <w:webHidden/>
          </w:rPr>
          <w:instrText xml:space="preserve"> PAGEREF _Toc199231041 \h </w:instrText>
        </w:r>
        <w:r>
          <w:rPr>
            <w:noProof/>
            <w:webHidden/>
          </w:rPr>
        </w:r>
        <w:r>
          <w:rPr>
            <w:noProof/>
            <w:webHidden/>
          </w:rPr>
          <w:fldChar w:fldCharType="separate"/>
        </w:r>
        <w:r w:rsidR="00AE6428">
          <w:rPr>
            <w:noProof/>
            <w:webHidden/>
          </w:rPr>
          <w:t>32</w:t>
        </w:r>
        <w:r>
          <w:rPr>
            <w:noProof/>
            <w:webHidden/>
          </w:rPr>
          <w:fldChar w:fldCharType="end"/>
        </w:r>
      </w:hyperlink>
    </w:p>
    <w:p w:rsidR="00840165" w:rsidRDefault="00840165" w14:paraId="001A7317" w14:textId="10815C1A">
      <w:pPr>
        <w:pStyle w:val="TOC2"/>
        <w:rPr>
          <w:rFonts w:asciiTheme="minorHAnsi" w:hAnsiTheme="minorHAnsi" w:eastAsiaTheme="minorEastAsia" w:cstheme="minorBidi"/>
          <w:noProof/>
          <w:kern w:val="2"/>
          <w:sz w:val="24"/>
          <w:szCs w:val="24"/>
          <w14:ligatures w14:val="standardContextual"/>
        </w:rPr>
      </w:pPr>
      <w:hyperlink w:history="1" w:anchor="_Toc199231042">
        <w:r w:rsidRPr="0056758E">
          <w:rPr>
            <w:rStyle w:val="Hyperlink"/>
            <w:noProof/>
          </w:rPr>
          <w:t>Changes to surplus methodology</w:t>
        </w:r>
        <w:r>
          <w:rPr>
            <w:noProof/>
            <w:webHidden/>
          </w:rPr>
          <w:tab/>
        </w:r>
        <w:r>
          <w:rPr>
            <w:noProof/>
            <w:webHidden/>
          </w:rPr>
          <w:fldChar w:fldCharType="begin"/>
        </w:r>
        <w:r>
          <w:rPr>
            <w:noProof/>
            <w:webHidden/>
          </w:rPr>
          <w:instrText xml:space="preserve"> PAGEREF _Toc199231042 \h </w:instrText>
        </w:r>
        <w:r>
          <w:rPr>
            <w:noProof/>
            <w:webHidden/>
          </w:rPr>
        </w:r>
        <w:r>
          <w:rPr>
            <w:noProof/>
            <w:webHidden/>
          </w:rPr>
          <w:fldChar w:fldCharType="separate"/>
        </w:r>
        <w:r w:rsidR="00AE6428">
          <w:rPr>
            <w:noProof/>
            <w:webHidden/>
          </w:rPr>
          <w:t>33</w:t>
        </w:r>
        <w:r>
          <w:rPr>
            <w:noProof/>
            <w:webHidden/>
          </w:rPr>
          <w:fldChar w:fldCharType="end"/>
        </w:r>
      </w:hyperlink>
    </w:p>
    <w:p w:rsidR="00840165" w:rsidRDefault="00840165" w14:paraId="11BDDA7A" w14:textId="01758136">
      <w:pPr>
        <w:pStyle w:val="TOC2"/>
        <w:rPr>
          <w:rFonts w:asciiTheme="minorHAnsi" w:hAnsiTheme="minorHAnsi" w:eastAsiaTheme="minorEastAsia" w:cstheme="minorBidi"/>
          <w:noProof/>
          <w:kern w:val="2"/>
          <w:sz w:val="24"/>
          <w:szCs w:val="24"/>
          <w14:ligatures w14:val="standardContextual"/>
        </w:rPr>
      </w:pPr>
      <w:hyperlink w:history="1" w:anchor="_Toc199231043">
        <w:r w:rsidRPr="0056758E">
          <w:rPr>
            <w:rStyle w:val="Hyperlink"/>
            <w:noProof/>
          </w:rPr>
          <w:t>Unsold auction volumes</w:t>
        </w:r>
        <w:r>
          <w:rPr>
            <w:noProof/>
            <w:webHidden/>
          </w:rPr>
          <w:tab/>
        </w:r>
        <w:r>
          <w:rPr>
            <w:noProof/>
            <w:webHidden/>
          </w:rPr>
          <w:fldChar w:fldCharType="begin"/>
        </w:r>
        <w:r>
          <w:rPr>
            <w:noProof/>
            <w:webHidden/>
          </w:rPr>
          <w:instrText xml:space="preserve"> PAGEREF _Toc199231043 \h </w:instrText>
        </w:r>
        <w:r>
          <w:rPr>
            <w:noProof/>
            <w:webHidden/>
          </w:rPr>
        </w:r>
        <w:r>
          <w:rPr>
            <w:noProof/>
            <w:webHidden/>
          </w:rPr>
          <w:fldChar w:fldCharType="separate"/>
        </w:r>
        <w:r w:rsidR="00AE6428">
          <w:rPr>
            <w:noProof/>
            <w:webHidden/>
          </w:rPr>
          <w:t>38</w:t>
        </w:r>
        <w:r>
          <w:rPr>
            <w:noProof/>
            <w:webHidden/>
          </w:rPr>
          <w:fldChar w:fldCharType="end"/>
        </w:r>
      </w:hyperlink>
    </w:p>
    <w:p w:rsidR="00840165" w:rsidRDefault="00840165" w14:paraId="3B7338BD" w14:textId="2D2E07A9">
      <w:pPr>
        <w:pStyle w:val="TOC2"/>
        <w:rPr>
          <w:rFonts w:asciiTheme="minorHAnsi" w:hAnsiTheme="minorHAnsi" w:eastAsiaTheme="minorEastAsia" w:cstheme="minorBidi"/>
          <w:noProof/>
          <w:kern w:val="2"/>
          <w:sz w:val="24"/>
          <w:szCs w:val="24"/>
          <w14:ligatures w14:val="standardContextual"/>
        </w:rPr>
      </w:pPr>
      <w:hyperlink w:history="1" w:anchor="_Toc199231044">
        <w:r w:rsidRPr="0056758E">
          <w:rPr>
            <w:rStyle w:val="Hyperlink"/>
            <w:noProof/>
          </w:rPr>
          <w:t>Further feedback on methodology for calculating unit limits</w:t>
        </w:r>
        <w:r>
          <w:rPr>
            <w:noProof/>
            <w:webHidden/>
          </w:rPr>
          <w:tab/>
        </w:r>
        <w:r>
          <w:rPr>
            <w:noProof/>
            <w:webHidden/>
          </w:rPr>
          <w:fldChar w:fldCharType="begin"/>
        </w:r>
        <w:r>
          <w:rPr>
            <w:noProof/>
            <w:webHidden/>
          </w:rPr>
          <w:instrText xml:space="preserve"> PAGEREF _Toc199231044 \h </w:instrText>
        </w:r>
        <w:r>
          <w:rPr>
            <w:noProof/>
            <w:webHidden/>
          </w:rPr>
        </w:r>
        <w:r>
          <w:rPr>
            <w:noProof/>
            <w:webHidden/>
          </w:rPr>
          <w:fldChar w:fldCharType="separate"/>
        </w:r>
        <w:r w:rsidR="00AE6428">
          <w:rPr>
            <w:noProof/>
            <w:webHidden/>
          </w:rPr>
          <w:t>39</w:t>
        </w:r>
        <w:r>
          <w:rPr>
            <w:noProof/>
            <w:webHidden/>
          </w:rPr>
          <w:fldChar w:fldCharType="end"/>
        </w:r>
      </w:hyperlink>
    </w:p>
    <w:p w:rsidR="00840165" w:rsidRDefault="00840165" w14:paraId="4E547844" w14:textId="4C54810C">
      <w:pPr>
        <w:pStyle w:val="TOC1"/>
        <w:rPr>
          <w:rFonts w:asciiTheme="minorHAnsi" w:hAnsiTheme="minorHAnsi" w:eastAsiaTheme="minorEastAsia" w:cstheme="minorBidi"/>
          <w:kern w:val="2"/>
          <w:sz w:val="24"/>
          <w:szCs w:val="24"/>
          <w14:ligatures w14:val="standardContextual"/>
        </w:rPr>
      </w:pPr>
      <w:hyperlink w:history="1" w:anchor="_Toc199231045">
        <w:r w:rsidRPr="0056758E">
          <w:rPr>
            <w:rStyle w:val="Hyperlink"/>
          </w:rPr>
          <w:t>Consultation questions</w:t>
        </w:r>
        <w:r>
          <w:rPr>
            <w:webHidden/>
          </w:rPr>
          <w:tab/>
        </w:r>
        <w:r>
          <w:rPr>
            <w:webHidden/>
          </w:rPr>
          <w:fldChar w:fldCharType="begin"/>
        </w:r>
        <w:r>
          <w:rPr>
            <w:webHidden/>
          </w:rPr>
          <w:instrText xml:space="preserve"> PAGEREF _Toc199231045 \h </w:instrText>
        </w:r>
        <w:r>
          <w:rPr>
            <w:webHidden/>
          </w:rPr>
        </w:r>
        <w:r>
          <w:rPr>
            <w:webHidden/>
          </w:rPr>
          <w:fldChar w:fldCharType="separate"/>
        </w:r>
        <w:r w:rsidR="00AE6428">
          <w:rPr>
            <w:webHidden/>
          </w:rPr>
          <w:t>40</w:t>
        </w:r>
        <w:r>
          <w:rPr>
            <w:webHidden/>
          </w:rPr>
          <w:fldChar w:fldCharType="end"/>
        </w:r>
      </w:hyperlink>
    </w:p>
    <w:p w:rsidR="00840165" w:rsidRDefault="00840165" w14:paraId="1996B14E" w14:textId="2CC66B85">
      <w:pPr>
        <w:pStyle w:val="TOC1"/>
        <w:rPr>
          <w:rFonts w:asciiTheme="minorHAnsi" w:hAnsiTheme="minorHAnsi" w:eastAsiaTheme="minorEastAsia" w:cstheme="minorBidi"/>
          <w:kern w:val="2"/>
          <w:sz w:val="24"/>
          <w:szCs w:val="24"/>
          <w14:ligatures w14:val="standardContextual"/>
        </w:rPr>
      </w:pPr>
      <w:hyperlink w:history="1" w:anchor="_Toc199231046">
        <w:r w:rsidRPr="0056758E">
          <w:rPr>
            <w:rStyle w:val="Hyperlink"/>
          </w:rPr>
          <w:t>How to have your say</w:t>
        </w:r>
        <w:r>
          <w:rPr>
            <w:webHidden/>
          </w:rPr>
          <w:tab/>
        </w:r>
        <w:r>
          <w:rPr>
            <w:webHidden/>
          </w:rPr>
          <w:fldChar w:fldCharType="begin"/>
        </w:r>
        <w:r>
          <w:rPr>
            <w:webHidden/>
          </w:rPr>
          <w:instrText xml:space="preserve"> PAGEREF _Toc199231046 \h </w:instrText>
        </w:r>
        <w:r>
          <w:rPr>
            <w:webHidden/>
          </w:rPr>
        </w:r>
        <w:r>
          <w:rPr>
            <w:webHidden/>
          </w:rPr>
          <w:fldChar w:fldCharType="separate"/>
        </w:r>
        <w:r w:rsidR="00AE6428">
          <w:rPr>
            <w:webHidden/>
          </w:rPr>
          <w:t>41</w:t>
        </w:r>
        <w:r>
          <w:rPr>
            <w:webHidden/>
          </w:rPr>
          <w:fldChar w:fldCharType="end"/>
        </w:r>
      </w:hyperlink>
    </w:p>
    <w:p w:rsidR="00840165" w:rsidRDefault="00840165" w14:paraId="451CC6B1" w14:textId="4B1BB63B">
      <w:pPr>
        <w:pStyle w:val="TOC2"/>
        <w:rPr>
          <w:rFonts w:asciiTheme="minorHAnsi" w:hAnsiTheme="minorHAnsi" w:eastAsiaTheme="minorEastAsia" w:cstheme="minorBidi"/>
          <w:noProof/>
          <w:kern w:val="2"/>
          <w:sz w:val="24"/>
          <w:szCs w:val="24"/>
          <w14:ligatures w14:val="standardContextual"/>
        </w:rPr>
      </w:pPr>
      <w:hyperlink w:history="1" w:anchor="_Toc199231047">
        <w:r w:rsidRPr="0056758E">
          <w:rPr>
            <w:rStyle w:val="Hyperlink"/>
            <w:noProof/>
          </w:rPr>
          <w:t>Timeframes</w:t>
        </w:r>
        <w:r>
          <w:rPr>
            <w:noProof/>
            <w:webHidden/>
          </w:rPr>
          <w:tab/>
        </w:r>
        <w:r>
          <w:rPr>
            <w:noProof/>
            <w:webHidden/>
          </w:rPr>
          <w:fldChar w:fldCharType="begin"/>
        </w:r>
        <w:r>
          <w:rPr>
            <w:noProof/>
            <w:webHidden/>
          </w:rPr>
          <w:instrText xml:space="preserve"> PAGEREF _Toc199231047 \h </w:instrText>
        </w:r>
        <w:r>
          <w:rPr>
            <w:noProof/>
            <w:webHidden/>
          </w:rPr>
        </w:r>
        <w:r>
          <w:rPr>
            <w:noProof/>
            <w:webHidden/>
          </w:rPr>
          <w:fldChar w:fldCharType="separate"/>
        </w:r>
        <w:r w:rsidR="00AE6428">
          <w:rPr>
            <w:noProof/>
            <w:webHidden/>
          </w:rPr>
          <w:t>41</w:t>
        </w:r>
        <w:r>
          <w:rPr>
            <w:noProof/>
            <w:webHidden/>
          </w:rPr>
          <w:fldChar w:fldCharType="end"/>
        </w:r>
      </w:hyperlink>
    </w:p>
    <w:p w:rsidR="00840165" w:rsidRDefault="00840165" w14:paraId="7BFF4778" w14:textId="64E54500">
      <w:pPr>
        <w:pStyle w:val="TOC2"/>
        <w:rPr>
          <w:rFonts w:asciiTheme="minorHAnsi" w:hAnsiTheme="minorHAnsi" w:eastAsiaTheme="minorEastAsia" w:cstheme="minorBidi"/>
          <w:noProof/>
          <w:kern w:val="2"/>
          <w:sz w:val="24"/>
          <w:szCs w:val="24"/>
          <w14:ligatures w14:val="standardContextual"/>
        </w:rPr>
      </w:pPr>
      <w:hyperlink w:history="1" w:anchor="_Toc199231048">
        <w:r w:rsidRPr="0056758E">
          <w:rPr>
            <w:rStyle w:val="Hyperlink"/>
            <w:noProof/>
          </w:rPr>
          <w:t>How to provide feedback</w:t>
        </w:r>
        <w:r>
          <w:rPr>
            <w:noProof/>
            <w:webHidden/>
          </w:rPr>
          <w:tab/>
        </w:r>
        <w:r>
          <w:rPr>
            <w:noProof/>
            <w:webHidden/>
          </w:rPr>
          <w:fldChar w:fldCharType="begin"/>
        </w:r>
        <w:r>
          <w:rPr>
            <w:noProof/>
            <w:webHidden/>
          </w:rPr>
          <w:instrText xml:space="preserve"> PAGEREF _Toc199231048 \h </w:instrText>
        </w:r>
        <w:r>
          <w:rPr>
            <w:noProof/>
            <w:webHidden/>
          </w:rPr>
        </w:r>
        <w:r>
          <w:rPr>
            <w:noProof/>
            <w:webHidden/>
          </w:rPr>
          <w:fldChar w:fldCharType="separate"/>
        </w:r>
        <w:r w:rsidR="00AE6428">
          <w:rPr>
            <w:noProof/>
            <w:webHidden/>
          </w:rPr>
          <w:t>41</w:t>
        </w:r>
        <w:r>
          <w:rPr>
            <w:noProof/>
            <w:webHidden/>
          </w:rPr>
          <w:fldChar w:fldCharType="end"/>
        </w:r>
      </w:hyperlink>
    </w:p>
    <w:p w:rsidR="00840165" w:rsidRDefault="00840165" w14:paraId="0B65B843" w14:textId="52B6810E">
      <w:pPr>
        <w:pStyle w:val="TOC2"/>
        <w:rPr>
          <w:rFonts w:asciiTheme="minorHAnsi" w:hAnsiTheme="minorHAnsi" w:eastAsiaTheme="minorEastAsia" w:cstheme="minorBidi"/>
          <w:noProof/>
          <w:kern w:val="2"/>
          <w:sz w:val="24"/>
          <w:szCs w:val="24"/>
          <w14:ligatures w14:val="standardContextual"/>
        </w:rPr>
      </w:pPr>
      <w:hyperlink w:history="1" w:anchor="_Toc199231049">
        <w:r w:rsidRPr="0056758E">
          <w:rPr>
            <w:rStyle w:val="Hyperlink"/>
            <w:noProof/>
          </w:rPr>
          <w:t>For more information</w:t>
        </w:r>
        <w:r>
          <w:rPr>
            <w:noProof/>
            <w:webHidden/>
          </w:rPr>
          <w:tab/>
        </w:r>
        <w:r>
          <w:rPr>
            <w:noProof/>
            <w:webHidden/>
          </w:rPr>
          <w:fldChar w:fldCharType="begin"/>
        </w:r>
        <w:r>
          <w:rPr>
            <w:noProof/>
            <w:webHidden/>
          </w:rPr>
          <w:instrText xml:space="preserve"> PAGEREF _Toc199231049 \h </w:instrText>
        </w:r>
        <w:r>
          <w:rPr>
            <w:noProof/>
            <w:webHidden/>
          </w:rPr>
        </w:r>
        <w:r>
          <w:rPr>
            <w:noProof/>
            <w:webHidden/>
          </w:rPr>
          <w:fldChar w:fldCharType="separate"/>
        </w:r>
        <w:r w:rsidR="00AE6428">
          <w:rPr>
            <w:noProof/>
            <w:webHidden/>
          </w:rPr>
          <w:t>42</w:t>
        </w:r>
        <w:r>
          <w:rPr>
            <w:noProof/>
            <w:webHidden/>
          </w:rPr>
          <w:fldChar w:fldCharType="end"/>
        </w:r>
      </w:hyperlink>
    </w:p>
    <w:p w:rsidR="00840165" w:rsidRDefault="00840165" w14:paraId="585AAAF2" w14:textId="13BF5808">
      <w:pPr>
        <w:pStyle w:val="TOC2"/>
        <w:rPr>
          <w:rFonts w:asciiTheme="minorHAnsi" w:hAnsiTheme="minorHAnsi" w:eastAsiaTheme="minorEastAsia" w:cstheme="minorBidi"/>
          <w:noProof/>
          <w:kern w:val="2"/>
          <w:sz w:val="24"/>
          <w:szCs w:val="24"/>
          <w14:ligatures w14:val="standardContextual"/>
        </w:rPr>
      </w:pPr>
      <w:hyperlink w:history="1" w:anchor="_Toc199231050">
        <w:r w:rsidRPr="0056758E">
          <w:rPr>
            <w:rStyle w:val="Hyperlink"/>
            <w:noProof/>
          </w:rPr>
          <w:t>Publishing and releasing submissions</w:t>
        </w:r>
        <w:r>
          <w:rPr>
            <w:noProof/>
            <w:webHidden/>
          </w:rPr>
          <w:tab/>
        </w:r>
        <w:r>
          <w:rPr>
            <w:noProof/>
            <w:webHidden/>
          </w:rPr>
          <w:fldChar w:fldCharType="begin"/>
        </w:r>
        <w:r>
          <w:rPr>
            <w:noProof/>
            <w:webHidden/>
          </w:rPr>
          <w:instrText xml:space="preserve"> PAGEREF _Toc199231050 \h </w:instrText>
        </w:r>
        <w:r>
          <w:rPr>
            <w:noProof/>
            <w:webHidden/>
          </w:rPr>
        </w:r>
        <w:r>
          <w:rPr>
            <w:noProof/>
            <w:webHidden/>
          </w:rPr>
          <w:fldChar w:fldCharType="separate"/>
        </w:r>
        <w:r w:rsidR="00AE6428">
          <w:rPr>
            <w:noProof/>
            <w:webHidden/>
          </w:rPr>
          <w:t>42</w:t>
        </w:r>
        <w:r>
          <w:rPr>
            <w:noProof/>
            <w:webHidden/>
          </w:rPr>
          <w:fldChar w:fldCharType="end"/>
        </w:r>
      </w:hyperlink>
    </w:p>
    <w:p w:rsidR="00840165" w:rsidRDefault="00840165" w14:paraId="295CE021" w14:textId="70517B4D">
      <w:pPr>
        <w:pStyle w:val="TOC1"/>
        <w:rPr>
          <w:rFonts w:asciiTheme="minorHAnsi" w:hAnsiTheme="minorHAnsi" w:eastAsiaTheme="minorEastAsia" w:cstheme="minorBidi"/>
          <w:kern w:val="2"/>
          <w:sz w:val="24"/>
          <w:szCs w:val="24"/>
          <w14:ligatures w14:val="standardContextual"/>
        </w:rPr>
      </w:pPr>
      <w:hyperlink w:history="1" w:anchor="_Toc199231051">
        <w:r w:rsidRPr="0056758E">
          <w:rPr>
            <w:rStyle w:val="Hyperlink"/>
          </w:rPr>
          <w:t>Appendix 1: Seven steps methodology</w:t>
        </w:r>
        <w:r>
          <w:rPr>
            <w:webHidden/>
          </w:rPr>
          <w:tab/>
        </w:r>
        <w:r>
          <w:rPr>
            <w:webHidden/>
          </w:rPr>
          <w:fldChar w:fldCharType="begin"/>
        </w:r>
        <w:r>
          <w:rPr>
            <w:webHidden/>
          </w:rPr>
          <w:instrText xml:space="preserve"> PAGEREF _Toc199231051 \h </w:instrText>
        </w:r>
        <w:r>
          <w:rPr>
            <w:webHidden/>
          </w:rPr>
        </w:r>
        <w:r>
          <w:rPr>
            <w:webHidden/>
          </w:rPr>
          <w:fldChar w:fldCharType="separate"/>
        </w:r>
        <w:r w:rsidR="00AE6428">
          <w:rPr>
            <w:webHidden/>
          </w:rPr>
          <w:t>43</w:t>
        </w:r>
        <w:r>
          <w:rPr>
            <w:webHidden/>
          </w:rPr>
          <w:fldChar w:fldCharType="end"/>
        </w:r>
      </w:hyperlink>
    </w:p>
    <w:p w:rsidR="00840165" w:rsidRDefault="00840165" w14:paraId="6B0F2023" w14:textId="312EA888">
      <w:pPr>
        <w:pStyle w:val="TOC1"/>
        <w:rPr>
          <w:rFonts w:asciiTheme="minorHAnsi" w:hAnsiTheme="minorHAnsi" w:eastAsiaTheme="minorEastAsia" w:cstheme="minorBidi"/>
          <w:kern w:val="2"/>
          <w:sz w:val="24"/>
          <w:szCs w:val="24"/>
          <w14:ligatures w14:val="standardContextual"/>
        </w:rPr>
      </w:pPr>
      <w:hyperlink w:history="1" w:anchor="_Toc199231052">
        <w:r w:rsidRPr="0056758E">
          <w:rPr>
            <w:rStyle w:val="Hyperlink"/>
          </w:rPr>
          <w:t>Appendix 2: Aligning criteria with mandatory considerations for NZ ETS settings</w:t>
        </w:r>
        <w:r>
          <w:rPr>
            <w:webHidden/>
          </w:rPr>
          <w:tab/>
        </w:r>
        <w:r>
          <w:rPr>
            <w:webHidden/>
          </w:rPr>
          <w:fldChar w:fldCharType="begin"/>
        </w:r>
        <w:r>
          <w:rPr>
            <w:webHidden/>
          </w:rPr>
          <w:instrText xml:space="preserve"> PAGEREF _Toc199231052 \h </w:instrText>
        </w:r>
        <w:r>
          <w:rPr>
            <w:webHidden/>
          </w:rPr>
        </w:r>
        <w:r>
          <w:rPr>
            <w:webHidden/>
          </w:rPr>
          <w:fldChar w:fldCharType="separate"/>
        </w:r>
        <w:r w:rsidR="00AE6428">
          <w:rPr>
            <w:webHidden/>
          </w:rPr>
          <w:t>53</w:t>
        </w:r>
        <w:r>
          <w:rPr>
            <w:webHidden/>
          </w:rPr>
          <w:fldChar w:fldCharType="end"/>
        </w:r>
      </w:hyperlink>
    </w:p>
    <w:p w:rsidR="00840165" w:rsidRDefault="00840165" w14:paraId="3E50C9DD" w14:textId="4A4D1F50">
      <w:pPr>
        <w:pStyle w:val="TOC1"/>
        <w:rPr>
          <w:rFonts w:asciiTheme="minorHAnsi" w:hAnsiTheme="minorHAnsi" w:eastAsiaTheme="minorEastAsia" w:cstheme="minorBidi"/>
          <w:kern w:val="2"/>
          <w:sz w:val="24"/>
          <w:szCs w:val="24"/>
          <w14:ligatures w14:val="standardContextual"/>
        </w:rPr>
      </w:pPr>
      <w:hyperlink w:history="1" w:anchor="_Toc199231053">
        <w:r w:rsidRPr="0056758E">
          <w:rPr>
            <w:rStyle w:val="Hyperlink"/>
          </w:rPr>
          <w:t>Appendix 3: Detailed impacts of options for New Zealand Emissions Trading Scheme (NZ ETS) settings</w:t>
        </w:r>
        <w:r>
          <w:rPr>
            <w:webHidden/>
          </w:rPr>
          <w:tab/>
        </w:r>
        <w:r>
          <w:rPr>
            <w:webHidden/>
          </w:rPr>
          <w:fldChar w:fldCharType="begin"/>
        </w:r>
        <w:r>
          <w:rPr>
            <w:webHidden/>
          </w:rPr>
          <w:instrText xml:space="preserve"> PAGEREF _Toc199231053 \h </w:instrText>
        </w:r>
        <w:r>
          <w:rPr>
            <w:webHidden/>
          </w:rPr>
        </w:r>
        <w:r>
          <w:rPr>
            <w:webHidden/>
          </w:rPr>
          <w:fldChar w:fldCharType="separate"/>
        </w:r>
        <w:r w:rsidR="00AE6428">
          <w:rPr>
            <w:webHidden/>
          </w:rPr>
          <w:t>54</w:t>
        </w:r>
        <w:r>
          <w:rPr>
            <w:webHidden/>
          </w:rPr>
          <w:fldChar w:fldCharType="end"/>
        </w:r>
      </w:hyperlink>
    </w:p>
    <w:p w:rsidRPr="00F57044" w:rsidR="00E305BF" w:rsidP="004B1653" w:rsidRDefault="00775F57" w14:paraId="2DD72122" w14:textId="3C5CF389">
      <w:pPr>
        <w:pStyle w:val="TOC1"/>
        <w:rPr>
          <w:rFonts w:eastAsiaTheme="minorEastAsia"/>
          <w:noProof w:val="0"/>
          <w:shd w:val="clear" w:color="auto" w:fill="E6E6E6"/>
        </w:rPr>
      </w:pPr>
      <w:r w:rsidRPr="00F57044">
        <w:rPr>
          <w:noProof w:val="0"/>
          <w:highlight w:val="yellow"/>
          <w:shd w:val="clear" w:color="auto" w:fill="E6E6E6"/>
        </w:rPr>
        <w:fldChar w:fldCharType="end"/>
      </w:r>
    </w:p>
    <w:p w:rsidRPr="00F57044" w:rsidR="00D21D70" w:rsidP="00696935" w:rsidRDefault="00D21D70" w14:paraId="0236A602" w14:textId="29692178">
      <w:pPr>
        <w:pStyle w:val="BodyText"/>
      </w:pPr>
      <w:r w:rsidRPr="00F57044">
        <w:br w:type="page"/>
      </w:r>
    </w:p>
    <w:p w:rsidRPr="00F57044" w:rsidR="00C222CE" w:rsidP="009E3890" w:rsidRDefault="00C222CE" w14:paraId="00CC5404" w14:textId="7CA12D99">
      <w:pPr>
        <w:pStyle w:val="Heading"/>
      </w:pPr>
      <w:r w:rsidRPr="00F57044">
        <w:t>Tables</w:t>
      </w:r>
    </w:p>
    <w:p w:rsidRPr="00F57044" w:rsidR="009328D6" w:rsidRDefault="00C222CE" w14:paraId="23825941" w14:textId="0FC8F3DF">
      <w:pPr>
        <w:pStyle w:val="TableofFigures"/>
        <w:tabs>
          <w:tab w:val="right" w:pos="8495"/>
        </w:tabs>
        <w:rPr>
          <w:rFonts w:asciiTheme="minorHAnsi" w:hAnsiTheme="minorHAnsi" w:eastAsiaTheme="minorEastAsia" w:cstheme="minorBidi"/>
          <w:noProof/>
          <w:kern w:val="2"/>
          <w:sz w:val="24"/>
          <w:szCs w:val="24"/>
          <w14:ligatures w14:val="standardContextual"/>
        </w:rPr>
      </w:pPr>
      <w:r w:rsidRPr="00F57044">
        <w:rPr>
          <w:highlight w:val="yellow"/>
        </w:rPr>
        <w:fldChar w:fldCharType="begin"/>
      </w:r>
      <w:r w:rsidRPr="00F57044">
        <w:rPr>
          <w:highlight w:val="yellow"/>
        </w:rPr>
        <w:instrText xml:space="preserve"> TOC \h \z \t "Table heading" \c </w:instrText>
      </w:r>
      <w:r w:rsidRPr="00F57044">
        <w:rPr>
          <w:highlight w:val="yellow"/>
        </w:rPr>
        <w:fldChar w:fldCharType="separate"/>
      </w:r>
      <w:hyperlink w:history="1" w:anchor="_Toc198901871">
        <w:r w:rsidRPr="00F57044" w:rsidR="009328D6">
          <w:rPr>
            <w:rStyle w:val="Hyperlink"/>
            <w:rFonts w:eastAsiaTheme="majorEastAsia"/>
            <w:noProof/>
          </w:rPr>
          <w:t xml:space="preserve">Table 1: </w:t>
        </w:r>
        <w:r w:rsidRPr="00F57044" w:rsidR="009328D6">
          <w:rPr>
            <w:rFonts w:asciiTheme="minorHAnsi" w:hAnsiTheme="minorHAnsi" w:eastAsiaTheme="minorEastAsia" w:cstheme="minorBidi"/>
            <w:noProof/>
            <w:kern w:val="2"/>
            <w:sz w:val="24"/>
            <w:szCs w:val="24"/>
            <w14:ligatures w14:val="standardContextual"/>
          </w:rPr>
          <w:tab/>
        </w:r>
        <w:r w:rsidRPr="00F57044" w:rsidR="009328D6">
          <w:rPr>
            <w:rStyle w:val="Hyperlink"/>
            <w:rFonts w:eastAsiaTheme="majorEastAsia"/>
            <w:noProof/>
          </w:rPr>
          <w:t>Criteria for assessing options for NZ ETS settings</w:t>
        </w:r>
        <w:r w:rsidRPr="00F57044" w:rsidR="009328D6">
          <w:rPr>
            <w:noProof/>
            <w:webHidden/>
          </w:rPr>
          <w:tab/>
        </w:r>
        <w:r w:rsidRPr="00F57044" w:rsidR="009328D6">
          <w:rPr>
            <w:noProof/>
            <w:webHidden/>
          </w:rPr>
          <w:fldChar w:fldCharType="begin"/>
        </w:r>
        <w:r w:rsidRPr="00F57044" w:rsidR="009328D6">
          <w:rPr>
            <w:noProof/>
            <w:webHidden/>
          </w:rPr>
          <w:instrText xml:space="preserve"> PAGEREF _Toc198901871 \h </w:instrText>
        </w:r>
        <w:r w:rsidRPr="00F57044" w:rsidR="009328D6">
          <w:rPr>
            <w:noProof/>
            <w:webHidden/>
          </w:rPr>
        </w:r>
        <w:r w:rsidRPr="00F57044" w:rsidR="009328D6">
          <w:rPr>
            <w:noProof/>
            <w:webHidden/>
          </w:rPr>
          <w:fldChar w:fldCharType="separate"/>
        </w:r>
        <w:r w:rsidR="00AE6428">
          <w:rPr>
            <w:noProof/>
            <w:webHidden/>
          </w:rPr>
          <w:t>13</w:t>
        </w:r>
        <w:r w:rsidRPr="00F57044" w:rsidR="009328D6">
          <w:rPr>
            <w:noProof/>
            <w:webHidden/>
          </w:rPr>
          <w:fldChar w:fldCharType="end"/>
        </w:r>
      </w:hyperlink>
    </w:p>
    <w:p w:rsidRPr="00F57044" w:rsidR="009328D6" w:rsidRDefault="009328D6" w14:paraId="5AA6D346" w14:textId="5F294D99">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2">
        <w:r w:rsidRPr="00F57044">
          <w:rPr>
            <w:rStyle w:val="Hyperlink"/>
            <w:rFonts w:eastAsiaTheme="majorEastAsia"/>
            <w:noProof/>
          </w:rPr>
          <w:t>Table 2:</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Options for auction volumes, 2026–30</w:t>
        </w:r>
        <w:r w:rsidRPr="00F57044">
          <w:rPr>
            <w:noProof/>
            <w:webHidden/>
          </w:rPr>
          <w:tab/>
        </w:r>
        <w:r w:rsidRPr="00F57044">
          <w:rPr>
            <w:noProof/>
            <w:webHidden/>
          </w:rPr>
          <w:fldChar w:fldCharType="begin"/>
        </w:r>
        <w:r w:rsidRPr="00F57044">
          <w:rPr>
            <w:noProof/>
            <w:webHidden/>
          </w:rPr>
          <w:instrText xml:space="preserve"> PAGEREF _Toc198901872 \h </w:instrText>
        </w:r>
        <w:r w:rsidRPr="00F57044">
          <w:rPr>
            <w:noProof/>
            <w:webHidden/>
          </w:rPr>
        </w:r>
        <w:r w:rsidRPr="00F57044">
          <w:rPr>
            <w:noProof/>
            <w:webHidden/>
          </w:rPr>
          <w:fldChar w:fldCharType="separate"/>
        </w:r>
        <w:r w:rsidR="00AE6428">
          <w:rPr>
            <w:noProof/>
            <w:webHidden/>
          </w:rPr>
          <w:t>23</w:t>
        </w:r>
        <w:r w:rsidRPr="00F57044">
          <w:rPr>
            <w:noProof/>
            <w:webHidden/>
          </w:rPr>
          <w:fldChar w:fldCharType="end"/>
        </w:r>
      </w:hyperlink>
    </w:p>
    <w:p w:rsidRPr="00F57044" w:rsidR="009328D6" w:rsidRDefault="009328D6" w14:paraId="4D041B44" w14:textId="73FA46B5">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3">
        <w:r w:rsidRPr="00F57044">
          <w:rPr>
            <w:rStyle w:val="Hyperlink"/>
            <w:rFonts w:eastAsiaTheme="majorEastAsia"/>
            <w:noProof/>
          </w:rPr>
          <w:t xml:space="preserve">Table 3: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Proposed price control settings for the next five years, 2026–30</w:t>
        </w:r>
        <w:r w:rsidRPr="00F57044">
          <w:rPr>
            <w:noProof/>
            <w:webHidden/>
          </w:rPr>
          <w:tab/>
        </w:r>
        <w:r w:rsidRPr="00F57044">
          <w:rPr>
            <w:noProof/>
            <w:webHidden/>
          </w:rPr>
          <w:fldChar w:fldCharType="begin"/>
        </w:r>
        <w:r w:rsidRPr="00F57044">
          <w:rPr>
            <w:noProof/>
            <w:webHidden/>
          </w:rPr>
          <w:instrText xml:space="preserve"> PAGEREF _Toc198901873 \h </w:instrText>
        </w:r>
        <w:r w:rsidRPr="00F57044">
          <w:rPr>
            <w:noProof/>
            <w:webHidden/>
          </w:rPr>
        </w:r>
        <w:r w:rsidRPr="00F57044">
          <w:rPr>
            <w:noProof/>
            <w:webHidden/>
          </w:rPr>
          <w:fldChar w:fldCharType="separate"/>
        </w:r>
        <w:r w:rsidR="00AE6428">
          <w:rPr>
            <w:noProof/>
            <w:webHidden/>
          </w:rPr>
          <w:t>23</w:t>
        </w:r>
        <w:r w:rsidRPr="00F57044">
          <w:rPr>
            <w:noProof/>
            <w:webHidden/>
          </w:rPr>
          <w:fldChar w:fldCharType="end"/>
        </w:r>
      </w:hyperlink>
    </w:p>
    <w:p w:rsidRPr="00F57044" w:rsidR="009328D6" w:rsidRDefault="009328D6" w14:paraId="3196DCB1" w14:textId="7A885907">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4">
        <w:r w:rsidRPr="00F57044">
          <w:rPr>
            <w:rStyle w:val="Hyperlink"/>
            <w:rFonts w:eastAsiaTheme="majorEastAsia"/>
            <w:noProof/>
          </w:rPr>
          <w:t>Table 4:</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Assessment of options</w:t>
        </w:r>
        <w:r w:rsidRPr="00F57044">
          <w:rPr>
            <w:noProof/>
            <w:webHidden/>
          </w:rPr>
          <w:tab/>
        </w:r>
        <w:r w:rsidRPr="00F57044">
          <w:rPr>
            <w:noProof/>
            <w:webHidden/>
          </w:rPr>
          <w:fldChar w:fldCharType="begin"/>
        </w:r>
        <w:r w:rsidRPr="00F57044">
          <w:rPr>
            <w:noProof/>
            <w:webHidden/>
          </w:rPr>
          <w:instrText xml:space="preserve"> PAGEREF _Toc198901874 \h </w:instrText>
        </w:r>
        <w:r w:rsidRPr="00F57044">
          <w:rPr>
            <w:noProof/>
            <w:webHidden/>
          </w:rPr>
        </w:r>
        <w:r w:rsidRPr="00F57044">
          <w:rPr>
            <w:noProof/>
            <w:webHidden/>
          </w:rPr>
          <w:fldChar w:fldCharType="separate"/>
        </w:r>
        <w:r w:rsidR="00AE6428">
          <w:rPr>
            <w:noProof/>
            <w:webHidden/>
          </w:rPr>
          <w:t>30</w:t>
        </w:r>
        <w:r w:rsidRPr="00F57044">
          <w:rPr>
            <w:noProof/>
            <w:webHidden/>
          </w:rPr>
          <w:fldChar w:fldCharType="end"/>
        </w:r>
      </w:hyperlink>
    </w:p>
    <w:p w:rsidRPr="00F57044" w:rsidR="009328D6" w:rsidRDefault="009328D6" w14:paraId="039D35BE" w14:textId="47F76EED">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5">
        <w:r w:rsidRPr="00F57044">
          <w:rPr>
            <w:rStyle w:val="Hyperlink"/>
            <w:rFonts w:eastAsiaTheme="majorEastAsia"/>
            <w:noProof/>
          </w:rPr>
          <w:t xml:space="preserve">Table 5: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Proposed provisional allocation of EB3 volume across ETS and non-ETS covered sectors, 2031–35</w:t>
        </w:r>
        <w:r w:rsidRPr="00F57044">
          <w:rPr>
            <w:noProof/>
            <w:webHidden/>
          </w:rPr>
          <w:tab/>
        </w:r>
        <w:r w:rsidRPr="00F57044">
          <w:rPr>
            <w:noProof/>
            <w:webHidden/>
          </w:rPr>
          <w:fldChar w:fldCharType="begin"/>
        </w:r>
        <w:r w:rsidRPr="00F57044">
          <w:rPr>
            <w:noProof/>
            <w:webHidden/>
          </w:rPr>
          <w:instrText xml:space="preserve"> PAGEREF _Toc198901875 \h </w:instrText>
        </w:r>
        <w:r w:rsidRPr="00F57044">
          <w:rPr>
            <w:noProof/>
            <w:webHidden/>
          </w:rPr>
        </w:r>
        <w:r w:rsidRPr="00F57044">
          <w:rPr>
            <w:noProof/>
            <w:webHidden/>
          </w:rPr>
          <w:fldChar w:fldCharType="separate"/>
        </w:r>
        <w:r w:rsidR="00AE6428">
          <w:rPr>
            <w:noProof/>
            <w:webHidden/>
          </w:rPr>
          <w:t>33</w:t>
        </w:r>
        <w:r w:rsidRPr="00F57044">
          <w:rPr>
            <w:noProof/>
            <w:webHidden/>
          </w:rPr>
          <w:fldChar w:fldCharType="end"/>
        </w:r>
      </w:hyperlink>
    </w:p>
    <w:p w:rsidRPr="00F57044" w:rsidR="009328D6" w:rsidRDefault="009328D6" w14:paraId="4123596B" w14:textId="6C16ECCF">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6">
        <w:r w:rsidRPr="00F57044">
          <w:rPr>
            <w:rStyle w:val="Hyperlink"/>
            <w:rFonts w:eastAsiaTheme="majorEastAsia"/>
            <w:noProof/>
          </w:rPr>
          <w:t>Table 6:</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Approximate impact of methodological changes on the size of the surplus stockpile</w:t>
        </w:r>
        <w:r w:rsidRPr="00F57044">
          <w:rPr>
            <w:noProof/>
            <w:webHidden/>
          </w:rPr>
          <w:tab/>
        </w:r>
        <w:r w:rsidRPr="00F57044">
          <w:rPr>
            <w:noProof/>
            <w:webHidden/>
          </w:rPr>
          <w:fldChar w:fldCharType="begin"/>
        </w:r>
        <w:r w:rsidRPr="00F57044">
          <w:rPr>
            <w:noProof/>
            <w:webHidden/>
          </w:rPr>
          <w:instrText xml:space="preserve"> PAGEREF _Toc198901876 \h </w:instrText>
        </w:r>
        <w:r w:rsidRPr="00F57044">
          <w:rPr>
            <w:noProof/>
            <w:webHidden/>
          </w:rPr>
        </w:r>
        <w:r w:rsidRPr="00F57044">
          <w:rPr>
            <w:noProof/>
            <w:webHidden/>
          </w:rPr>
          <w:fldChar w:fldCharType="separate"/>
        </w:r>
        <w:r w:rsidR="00AE6428">
          <w:rPr>
            <w:noProof/>
            <w:webHidden/>
          </w:rPr>
          <w:t>34</w:t>
        </w:r>
        <w:r w:rsidRPr="00F57044">
          <w:rPr>
            <w:noProof/>
            <w:webHidden/>
          </w:rPr>
          <w:fldChar w:fldCharType="end"/>
        </w:r>
      </w:hyperlink>
    </w:p>
    <w:p w:rsidRPr="00F57044" w:rsidR="009328D6" w:rsidRDefault="009328D6" w14:paraId="042A3BD6" w14:textId="6061262E">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7">
        <w:r w:rsidRPr="00F57044">
          <w:rPr>
            <w:rStyle w:val="Hyperlink"/>
            <w:rFonts w:eastAsiaTheme="majorEastAsia"/>
            <w:noProof/>
          </w:rPr>
          <w:t xml:space="preserve">Table A1.1: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Update for step 1 in the seven steps methodology, 2026–30</w:t>
        </w:r>
        <w:r w:rsidRPr="00F57044">
          <w:rPr>
            <w:noProof/>
            <w:webHidden/>
          </w:rPr>
          <w:tab/>
        </w:r>
        <w:r w:rsidRPr="00F57044">
          <w:rPr>
            <w:noProof/>
            <w:webHidden/>
          </w:rPr>
          <w:fldChar w:fldCharType="begin"/>
        </w:r>
        <w:r w:rsidRPr="00F57044">
          <w:rPr>
            <w:noProof/>
            <w:webHidden/>
          </w:rPr>
          <w:instrText xml:space="preserve"> PAGEREF _Toc198901877 \h </w:instrText>
        </w:r>
        <w:r w:rsidRPr="00F57044">
          <w:rPr>
            <w:noProof/>
            <w:webHidden/>
          </w:rPr>
        </w:r>
        <w:r w:rsidRPr="00F57044">
          <w:rPr>
            <w:noProof/>
            <w:webHidden/>
          </w:rPr>
          <w:fldChar w:fldCharType="separate"/>
        </w:r>
        <w:r w:rsidR="00AE6428">
          <w:rPr>
            <w:noProof/>
            <w:webHidden/>
          </w:rPr>
          <w:t>44</w:t>
        </w:r>
        <w:r w:rsidRPr="00F57044">
          <w:rPr>
            <w:noProof/>
            <w:webHidden/>
          </w:rPr>
          <w:fldChar w:fldCharType="end"/>
        </w:r>
      </w:hyperlink>
    </w:p>
    <w:p w:rsidRPr="00F57044" w:rsidR="009328D6" w:rsidRDefault="009328D6" w14:paraId="63462BAD" w14:textId="239C77EF">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8">
        <w:r w:rsidRPr="00F57044">
          <w:rPr>
            <w:rStyle w:val="Hyperlink"/>
            <w:rFonts w:eastAsiaTheme="majorEastAsia"/>
            <w:noProof/>
          </w:rPr>
          <w:t xml:space="preserve">Table A1.2: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Update for step 2 in the seven steps methodology, 2026–30</w:t>
        </w:r>
        <w:r w:rsidRPr="00F57044">
          <w:rPr>
            <w:noProof/>
            <w:webHidden/>
          </w:rPr>
          <w:tab/>
        </w:r>
        <w:r w:rsidRPr="00F57044">
          <w:rPr>
            <w:noProof/>
            <w:webHidden/>
          </w:rPr>
          <w:fldChar w:fldCharType="begin"/>
        </w:r>
        <w:r w:rsidRPr="00F57044">
          <w:rPr>
            <w:noProof/>
            <w:webHidden/>
          </w:rPr>
          <w:instrText xml:space="preserve"> PAGEREF _Toc198901878 \h </w:instrText>
        </w:r>
        <w:r w:rsidRPr="00F57044">
          <w:rPr>
            <w:noProof/>
            <w:webHidden/>
          </w:rPr>
        </w:r>
        <w:r w:rsidRPr="00F57044">
          <w:rPr>
            <w:noProof/>
            <w:webHidden/>
          </w:rPr>
          <w:fldChar w:fldCharType="separate"/>
        </w:r>
        <w:r w:rsidR="00AE6428">
          <w:rPr>
            <w:noProof/>
            <w:webHidden/>
          </w:rPr>
          <w:t>45</w:t>
        </w:r>
        <w:r w:rsidRPr="00F57044">
          <w:rPr>
            <w:noProof/>
            <w:webHidden/>
          </w:rPr>
          <w:fldChar w:fldCharType="end"/>
        </w:r>
      </w:hyperlink>
    </w:p>
    <w:p w:rsidRPr="00F57044" w:rsidR="009328D6" w:rsidRDefault="009328D6" w14:paraId="160668C3" w14:textId="73F04887">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79">
        <w:r w:rsidRPr="00F57044">
          <w:rPr>
            <w:rStyle w:val="Hyperlink"/>
            <w:rFonts w:eastAsiaTheme="majorEastAsia"/>
            <w:noProof/>
          </w:rPr>
          <w:t xml:space="preserve">Table A1.3: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Update for step 3 in the seven steps methodology, 2026–30</w:t>
        </w:r>
        <w:r w:rsidRPr="00F57044">
          <w:rPr>
            <w:noProof/>
            <w:webHidden/>
          </w:rPr>
          <w:tab/>
        </w:r>
        <w:r w:rsidRPr="00F57044">
          <w:rPr>
            <w:noProof/>
            <w:webHidden/>
          </w:rPr>
          <w:fldChar w:fldCharType="begin"/>
        </w:r>
        <w:r w:rsidRPr="00F57044">
          <w:rPr>
            <w:noProof/>
            <w:webHidden/>
          </w:rPr>
          <w:instrText xml:space="preserve"> PAGEREF _Toc198901879 \h </w:instrText>
        </w:r>
        <w:r w:rsidRPr="00F57044">
          <w:rPr>
            <w:noProof/>
            <w:webHidden/>
          </w:rPr>
        </w:r>
        <w:r w:rsidRPr="00F57044">
          <w:rPr>
            <w:noProof/>
            <w:webHidden/>
          </w:rPr>
          <w:fldChar w:fldCharType="separate"/>
        </w:r>
        <w:r w:rsidR="00AE6428">
          <w:rPr>
            <w:noProof/>
            <w:webHidden/>
          </w:rPr>
          <w:t>46</w:t>
        </w:r>
        <w:r w:rsidRPr="00F57044">
          <w:rPr>
            <w:noProof/>
            <w:webHidden/>
          </w:rPr>
          <w:fldChar w:fldCharType="end"/>
        </w:r>
      </w:hyperlink>
    </w:p>
    <w:p w:rsidRPr="00F57044" w:rsidR="009328D6" w:rsidRDefault="009328D6" w14:paraId="0EEDBD4F" w14:textId="078AB2C8">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0">
        <w:r w:rsidRPr="00F57044">
          <w:rPr>
            <w:rStyle w:val="Hyperlink"/>
            <w:rFonts w:eastAsiaTheme="majorEastAsia"/>
            <w:noProof/>
          </w:rPr>
          <w:t xml:space="preserve">Table A1.4: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Drivers of change in forecast industrial allocation volumes for 2026–30 settings period</w:t>
        </w:r>
        <w:r w:rsidRPr="00F57044">
          <w:rPr>
            <w:noProof/>
            <w:webHidden/>
          </w:rPr>
          <w:tab/>
        </w:r>
        <w:r w:rsidRPr="00F57044">
          <w:rPr>
            <w:noProof/>
            <w:webHidden/>
          </w:rPr>
          <w:fldChar w:fldCharType="begin"/>
        </w:r>
        <w:r w:rsidRPr="00F57044">
          <w:rPr>
            <w:noProof/>
            <w:webHidden/>
          </w:rPr>
          <w:instrText xml:space="preserve"> PAGEREF _Toc198901880 \h </w:instrText>
        </w:r>
        <w:r w:rsidRPr="00F57044">
          <w:rPr>
            <w:noProof/>
            <w:webHidden/>
          </w:rPr>
        </w:r>
        <w:r w:rsidRPr="00F57044">
          <w:rPr>
            <w:noProof/>
            <w:webHidden/>
          </w:rPr>
          <w:fldChar w:fldCharType="separate"/>
        </w:r>
        <w:r w:rsidR="00AE6428">
          <w:rPr>
            <w:noProof/>
            <w:webHidden/>
          </w:rPr>
          <w:t>46</w:t>
        </w:r>
        <w:r w:rsidRPr="00F57044">
          <w:rPr>
            <w:noProof/>
            <w:webHidden/>
          </w:rPr>
          <w:fldChar w:fldCharType="end"/>
        </w:r>
      </w:hyperlink>
    </w:p>
    <w:p w:rsidRPr="00F57044" w:rsidR="009328D6" w:rsidRDefault="009328D6" w14:paraId="51844994" w14:textId="6E0B4C4A">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1">
        <w:r w:rsidRPr="00F57044">
          <w:rPr>
            <w:rStyle w:val="Hyperlink"/>
            <w:rFonts w:eastAsiaTheme="majorEastAsia"/>
            <w:noProof/>
          </w:rPr>
          <w:t xml:space="preserve">Table A1.5: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Update for step 4 in the seven steps methodology, 2026–30</w:t>
        </w:r>
        <w:r w:rsidRPr="00F57044">
          <w:rPr>
            <w:noProof/>
            <w:webHidden/>
          </w:rPr>
          <w:tab/>
        </w:r>
        <w:r w:rsidRPr="00F57044">
          <w:rPr>
            <w:noProof/>
            <w:webHidden/>
          </w:rPr>
          <w:fldChar w:fldCharType="begin"/>
        </w:r>
        <w:r w:rsidRPr="00F57044">
          <w:rPr>
            <w:noProof/>
            <w:webHidden/>
          </w:rPr>
          <w:instrText xml:space="preserve"> PAGEREF _Toc198901881 \h </w:instrText>
        </w:r>
        <w:r w:rsidRPr="00F57044">
          <w:rPr>
            <w:noProof/>
            <w:webHidden/>
          </w:rPr>
        </w:r>
        <w:r w:rsidRPr="00F57044">
          <w:rPr>
            <w:noProof/>
            <w:webHidden/>
          </w:rPr>
          <w:fldChar w:fldCharType="separate"/>
        </w:r>
        <w:r w:rsidR="00AE6428">
          <w:rPr>
            <w:noProof/>
            <w:webHidden/>
          </w:rPr>
          <w:t>47</w:t>
        </w:r>
        <w:r w:rsidRPr="00F57044">
          <w:rPr>
            <w:noProof/>
            <w:webHidden/>
          </w:rPr>
          <w:fldChar w:fldCharType="end"/>
        </w:r>
      </w:hyperlink>
    </w:p>
    <w:p w:rsidRPr="00F57044" w:rsidR="009328D6" w:rsidRDefault="009328D6" w14:paraId="5B07905A" w14:textId="75890384">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2">
        <w:r w:rsidRPr="00F57044">
          <w:rPr>
            <w:rStyle w:val="Hyperlink"/>
            <w:rFonts w:eastAsiaTheme="majorEastAsia"/>
            <w:noProof/>
          </w:rPr>
          <w:t xml:space="preserve">Table A1.6: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Update for step 5b in the seven steps methodology, 2026–30</w:t>
        </w:r>
        <w:r w:rsidRPr="00F57044">
          <w:rPr>
            <w:noProof/>
            <w:webHidden/>
          </w:rPr>
          <w:tab/>
        </w:r>
        <w:r w:rsidRPr="00F57044">
          <w:rPr>
            <w:noProof/>
            <w:webHidden/>
          </w:rPr>
          <w:fldChar w:fldCharType="begin"/>
        </w:r>
        <w:r w:rsidRPr="00F57044">
          <w:rPr>
            <w:noProof/>
            <w:webHidden/>
          </w:rPr>
          <w:instrText xml:space="preserve"> PAGEREF _Toc198901882 \h </w:instrText>
        </w:r>
        <w:r w:rsidRPr="00F57044">
          <w:rPr>
            <w:noProof/>
            <w:webHidden/>
          </w:rPr>
        </w:r>
        <w:r w:rsidRPr="00F57044">
          <w:rPr>
            <w:noProof/>
            <w:webHidden/>
          </w:rPr>
          <w:fldChar w:fldCharType="separate"/>
        </w:r>
        <w:r w:rsidR="00AE6428">
          <w:rPr>
            <w:noProof/>
            <w:webHidden/>
          </w:rPr>
          <w:t>52</w:t>
        </w:r>
        <w:r w:rsidRPr="00F57044">
          <w:rPr>
            <w:noProof/>
            <w:webHidden/>
          </w:rPr>
          <w:fldChar w:fldCharType="end"/>
        </w:r>
      </w:hyperlink>
    </w:p>
    <w:p w:rsidRPr="00F57044" w:rsidR="009328D6" w:rsidRDefault="009328D6" w14:paraId="4C39A184" w14:textId="7EF1C4A9">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3">
        <w:r w:rsidRPr="00F57044">
          <w:rPr>
            <w:rStyle w:val="Hyperlink"/>
            <w:rFonts w:eastAsiaTheme="majorEastAsia"/>
            <w:noProof/>
          </w:rPr>
          <w:t xml:space="preserve">Table A1.7: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Calculation of the base auction volume, 2026–30</w:t>
        </w:r>
        <w:r w:rsidRPr="00F57044">
          <w:rPr>
            <w:noProof/>
            <w:webHidden/>
          </w:rPr>
          <w:tab/>
        </w:r>
        <w:r w:rsidRPr="00F57044">
          <w:rPr>
            <w:noProof/>
            <w:webHidden/>
          </w:rPr>
          <w:fldChar w:fldCharType="begin"/>
        </w:r>
        <w:r w:rsidRPr="00F57044">
          <w:rPr>
            <w:noProof/>
            <w:webHidden/>
          </w:rPr>
          <w:instrText xml:space="preserve"> PAGEREF _Toc198901883 \h </w:instrText>
        </w:r>
        <w:r w:rsidRPr="00F57044">
          <w:rPr>
            <w:noProof/>
            <w:webHidden/>
          </w:rPr>
        </w:r>
        <w:r w:rsidRPr="00F57044">
          <w:rPr>
            <w:noProof/>
            <w:webHidden/>
          </w:rPr>
          <w:fldChar w:fldCharType="separate"/>
        </w:r>
        <w:r w:rsidR="00AE6428">
          <w:rPr>
            <w:noProof/>
            <w:webHidden/>
          </w:rPr>
          <w:t>52</w:t>
        </w:r>
        <w:r w:rsidRPr="00F57044">
          <w:rPr>
            <w:noProof/>
            <w:webHidden/>
          </w:rPr>
          <w:fldChar w:fldCharType="end"/>
        </w:r>
      </w:hyperlink>
    </w:p>
    <w:p w:rsidRPr="00F57044" w:rsidR="009328D6" w:rsidRDefault="009328D6" w14:paraId="59F6101B" w14:textId="0AFA8C29">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4">
        <w:r w:rsidRPr="00F57044">
          <w:rPr>
            <w:rStyle w:val="Hyperlink"/>
            <w:rFonts w:eastAsiaTheme="majorEastAsia"/>
            <w:noProof/>
          </w:rPr>
          <w:t xml:space="preserve">Table A2.1: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Considerations for determining unit limits and price control settings</w:t>
        </w:r>
        <w:r w:rsidRPr="00F57044">
          <w:rPr>
            <w:noProof/>
            <w:webHidden/>
          </w:rPr>
          <w:tab/>
        </w:r>
        <w:r w:rsidRPr="00F57044">
          <w:rPr>
            <w:noProof/>
            <w:webHidden/>
          </w:rPr>
          <w:fldChar w:fldCharType="begin"/>
        </w:r>
        <w:r w:rsidRPr="00F57044">
          <w:rPr>
            <w:noProof/>
            <w:webHidden/>
          </w:rPr>
          <w:instrText xml:space="preserve"> PAGEREF _Toc198901884 \h </w:instrText>
        </w:r>
        <w:r w:rsidRPr="00F57044">
          <w:rPr>
            <w:noProof/>
            <w:webHidden/>
          </w:rPr>
        </w:r>
        <w:r w:rsidRPr="00F57044">
          <w:rPr>
            <w:noProof/>
            <w:webHidden/>
          </w:rPr>
          <w:fldChar w:fldCharType="separate"/>
        </w:r>
        <w:r w:rsidR="00AE6428">
          <w:rPr>
            <w:noProof/>
            <w:webHidden/>
          </w:rPr>
          <w:t>53</w:t>
        </w:r>
        <w:r w:rsidRPr="00F57044">
          <w:rPr>
            <w:noProof/>
            <w:webHidden/>
          </w:rPr>
          <w:fldChar w:fldCharType="end"/>
        </w:r>
      </w:hyperlink>
    </w:p>
    <w:p w:rsidRPr="00F57044" w:rsidR="009328D6" w:rsidRDefault="009328D6" w14:paraId="4FD4BCC4" w14:textId="4B537873">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5">
        <w:r w:rsidRPr="00F57044">
          <w:rPr>
            <w:rStyle w:val="Hyperlink"/>
            <w:rFonts w:eastAsiaTheme="majorEastAsia"/>
            <w:noProof/>
          </w:rPr>
          <w:t xml:space="preserve">Table A3.1: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Estimated NZ ETS cost to households (2025 dollars and as percentage of gross income)</w:t>
        </w:r>
        <w:r w:rsidRPr="00F57044">
          <w:rPr>
            <w:noProof/>
            <w:webHidden/>
          </w:rPr>
          <w:tab/>
        </w:r>
        <w:r w:rsidRPr="00F57044">
          <w:rPr>
            <w:noProof/>
            <w:webHidden/>
          </w:rPr>
          <w:fldChar w:fldCharType="begin"/>
        </w:r>
        <w:r w:rsidRPr="00F57044">
          <w:rPr>
            <w:noProof/>
            <w:webHidden/>
          </w:rPr>
          <w:instrText xml:space="preserve"> PAGEREF _Toc198901885 \h </w:instrText>
        </w:r>
        <w:r w:rsidRPr="00F57044">
          <w:rPr>
            <w:noProof/>
            <w:webHidden/>
          </w:rPr>
        </w:r>
        <w:r w:rsidRPr="00F57044">
          <w:rPr>
            <w:noProof/>
            <w:webHidden/>
          </w:rPr>
          <w:fldChar w:fldCharType="separate"/>
        </w:r>
        <w:r w:rsidR="00AE6428">
          <w:rPr>
            <w:noProof/>
            <w:webHidden/>
          </w:rPr>
          <w:t>54</w:t>
        </w:r>
        <w:r w:rsidRPr="00F57044">
          <w:rPr>
            <w:noProof/>
            <w:webHidden/>
          </w:rPr>
          <w:fldChar w:fldCharType="end"/>
        </w:r>
      </w:hyperlink>
    </w:p>
    <w:p w:rsidRPr="00F57044" w:rsidR="009328D6" w:rsidRDefault="009328D6" w14:paraId="2F5A86B1" w14:textId="361551CF">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6">
        <w:r w:rsidRPr="00F57044">
          <w:rPr>
            <w:rStyle w:val="Hyperlink"/>
            <w:rFonts w:eastAsiaTheme="majorEastAsia"/>
            <w:noProof/>
          </w:rPr>
          <w:t xml:space="preserve">Table A3.2: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Estimated impacts of each option on different groups</w:t>
        </w:r>
        <w:r w:rsidRPr="00F57044">
          <w:rPr>
            <w:noProof/>
            <w:webHidden/>
          </w:rPr>
          <w:tab/>
        </w:r>
        <w:r w:rsidRPr="00F57044">
          <w:rPr>
            <w:noProof/>
            <w:webHidden/>
          </w:rPr>
          <w:fldChar w:fldCharType="begin"/>
        </w:r>
        <w:r w:rsidRPr="00F57044">
          <w:rPr>
            <w:noProof/>
            <w:webHidden/>
          </w:rPr>
          <w:instrText xml:space="preserve"> PAGEREF _Toc198901886 \h </w:instrText>
        </w:r>
        <w:r w:rsidRPr="00F57044">
          <w:rPr>
            <w:noProof/>
            <w:webHidden/>
          </w:rPr>
        </w:r>
        <w:r w:rsidRPr="00F57044">
          <w:rPr>
            <w:noProof/>
            <w:webHidden/>
          </w:rPr>
          <w:fldChar w:fldCharType="separate"/>
        </w:r>
        <w:r w:rsidR="00AE6428">
          <w:rPr>
            <w:noProof/>
            <w:webHidden/>
          </w:rPr>
          <w:t>55</w:t>
        </w:r>
        <w:r w:rsidRPr="00F57044">
          <w:rPr>
            <w:noProof/>
            <w:webHidden/>
          </w:rPr>
          <w:fldChar w:fldCharType="end"/>
        </w:r>
      </w:hyperlink>
    </w:p>
    <w:p w:rsidRPr="00F57044" w:rsidR="00A81995" w:rsidP="00C222CE" w:rsidRDefault="00C222CE" w14:paraId="35975392" w14:textId="3EEE05D3">
      <w:pPr>
        <w:pStyle w:val="BodyText"/>
      </w:pPr>
      <w:r w:rsidRPr="00F57044">
        <w:rPr>
          <w:highlight w:val="yellow"/>
        </w:rPr>
        <w:fldChar w:fldCharType="end"/>
      </w:r>
    </w:p>
    <w:p w:rsidRPr="00F57044" w:rsidR="00826DD5" w:rsidP="00826DD5" w:rsidRDefault="00826DD5" w14:paraId="10CA9FDF" w14:textId="041F58E5">
      <w:pPr>
        <w:keepNext/>
        <w:tabs>
          <w:tab w:val="left" w:pos="851"/>
        </w:tabs>
        <w:spacing w:before="0" w:after="360" w:line="600" w:lineRule="atLeast"/>
        <w:jc w:val="left"/>
        <w:outlineLvl w:val="0"/>
        <w:rPr>
          <w:rFonts w:ascii="Georgia" w:hAnsi="Georgia"/>
          <w:b/>
          <w:bCs/>
          <w:color w:val="1B556B"/>
          <w:sz w:val="48"/>
          <w:szCs w:val="28"/>
        </w:rPr>
      </w:pPr>
      <w:r w:rsidRPr="00F57044">
        <w:rPr>
          <w:rFonts w:ascii="Georgia" w:hAnsi="Georgia"/>
          <w:b/>
          <w:bCs/>
          <w:color w:val="1B556B"/>
          <w:sz w:val="48"/>
          <w:szCs w:val="28"/>
        </w:rPr>
        <w:t>Figures</w:t>
      </w:r>
    </w:p>
    <w:p w:rsidRPr="00F57044" w:rsidR="00DE5DEC" w:rsidRDefault="00826DD5" w14:paraId="0921856A" w14:textId="1BFBB757">
      <w:pPr>
        <w:pStyle w:val="TableofFigures"/>
        <w:tabs>
          <w:tab w:val="right" w:pos="8495"/>
        </w:tabs>
        <w:rPr>
          <w:rFonts w:asciiTheme="minorHAnsi" w:hAnsiTheme="minorHAnsi" w:eastAsiaTheme="minorEastAsia" w:cstheme="minorBidi"/>
          <w:noProof/>
          <w:kern w:val="2"/>
          <w:sz w:val="24"/>
          <w:szCs w:val="24"/>
          <w14:ligatures w14:val="standardContextual"/>
        </w:rPr>
      </w:pPr>
      <w:r w:rsidRPr="00F57044">
        <w:fldChar w:fldCharType="begin"/>
      </w:r>
      <w:r w:rsidRPr="00F57044">
        <w:instrText xml:space="preserve"> TOC \h \z \t "Figure heading" \c </w:instrText>
      </w:r>
      <w:r w:rsidRPr="00F57044">
        <w:fldChar w:fldCharType="separate"/>
      </w:r>
      <w:hyperlink w:history="1" w:anchor="_Toc198901887">
        <w:r w:rsidRPr="00F57044" w:rsidR="00DE5DEC">
          <w:rPr>
            <w:rStyle w:val="Hyperlink"/>
            <w:rFonts w:eastAsiaTheme="majorEastAsia"/>
            <w:noProof/>
          </w:rPr>
          <w:t>Figure</w:t>
        </w:r>
        <w:r w:rsidRPr="00F57044" w:rsidR="00DE5DEC">
          <w:rPr>
            <w:rStyle w:val="Hyperlink"/>
            <w:rFonts w:eastAsiaTheme="majorEastAsia"/>
            <w:bCs/>
            <w:noProof/>
          </w:rPr>
          <w:t xml:space="preserve"> </w:t>
        </w:r>
        <w:r w:rsidRPr="00F57044" w:rsidR="00DE5DEC">
          <w:rPr>
            <w:rStyle w:val="Hyperlink"/>
            <w:rFonts w:eastAsiaTheme="majorEastAsia"/>
            <w:noProof/>
          </w:rPr>
          <w:t>1:</w:t>
        </w:r>
        <w:r w:rsidRPr="00F57044" w:rsidR="00DE5DEC">
          <w:rPr>
            <w:rFonts w:asciiTheme="minorHAnsi" w:hAnsiTheme="minorHAnsi" w:eastAsiaTheme="minorEastAsia" w:cstheme="minorBidi"/>
            <w:noProof/>
            <w:kern w:val="2"/>
            <w:sz w:val="24"/>
            <w:szCs w:val="24"/>
            <w14:ligatures w14:val="standardContextual"/>
          </w:rPr>
          <w:tab/>
        </w:r>
        <w:r w:rsidRPr="00F57044" w:rsidR="00DE5DEC">
          <w:rPr>
            <w:rStyle w:val="Hyperlink"/>
            <w:rFonts w:eastAsiaTheme="majorEastAsia"/>
            <w:noProof/>
          </w:rPr>
          <w:t>The five-year rolling process for unit limits and price control settings</w:t>
        </w:r>
        <w:r w:rsidRPr="00F57044" w:rsidR="00DE5DEC">
          <w:rPr>
            <w:noProof/>
            <w:webHidden/>
          </w:rPr>
          <w:tab/>
        </w:r>
        <w:r w:rsidRPr="00F57044" w:rsidR="00DE5DEC">
          <w:rPr>
            <w:noProof/>
            <w:webHidden/>
          </w:rPr>
          <w:fldChar w:fldCharType="begin"/>
        </w:r>
        <w:r w:rsidRPr="00F57044" w:rsidR="00DE5DEC">
          <w:rPr>
            <w:noProof/>
            <w:webHidden/>
          </w:rPr>
          <w:instrText xml:space="preserve"> PAGEREF _Toc198901887 \h </w:instrText>
        </w:r>
        <w:r w:rsidRPr="00F57044" w:rsidR="00DE5DEC">
          <w:rPr>
            <w:noProof/>
            <w:webHidden/>
          </w:rPr>
        </w:r>
        <w:r w:rsidRPr="00F57044" w:rsidR="00DE5DEC">
          <w:rPr>
            <w:noProof/>
            <w:webHidden/>
          </w:rPr>
          <w:fldChar w:fldCharType="separate"/>
        </w:r>
        <w:r w:rsidR="00AE6428">
          <w:rPr>
            <w:noProof/>
            <w:webHidden/>
          </w:rPr>
          <w:t>11</w:t>
        </w:r>
        <w:r w:rsidRPr="00F57044" w:rsidR="00DE5DEC">
          <w:rPr>
            <w:noProof/>
            <w:webHidden/>
          </w:rPr>
          <w:fldChar w:fldCharType="end"/>
        </w:r>
      </w:hyperlink>
    </w:p>
    <w:p w:rsidRPr="00F57044" w:rsidR="00DE5DEC" w:rsidRDefault="00DE5DEC" w14:paraId="6607E76E" w14:textId="1CA595C5">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8">
        <w:r w:rsidRPr="00F57044">
          <w:rPr>
            <w:rStyle w:val="Hyperlink"/>
            <w:rFonts w:eastAsiaTheme="majorEastAsia"/>
            <w:noProof/>
          </w:rPr>
          <w:t>Figure 2:</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New Zealand Unit secondary market spot price and auction price floors, January 2022–April 2025</w:t>
        </w:r>
        <w:r w:rsidRPr="00F57044">
          <w:rPr>
            <w:noProof/>
            <w:webHidden/>
          </w:rPr>
          <w:tab/>
        </w:r>
        <w:r w:rsidRPr="00F57044">
          <w:rPr>
            <w:noProof/>
            <w:webHidden/>
          </w:rPr>
          <w:fldChar w:fldCharType="begin"/>
        </w:r>
        <w:r w:rsidRPr="00F57044">
          <w:rPr>
            <w:noProof/>
            <w:webHidden/>
          </w:rPr>
          <w:instrText xml:space="preserve"> PAGEREF _Toc198901888 \h </w:instrText>
        </w:r>
        <w:r w:rsidRPr="00F57044">
          <w:rPr>
            <w:noProof/>
            <w:webHidden/>
          </w:rPr>
        </w:r>
        <w:r w:rsidRPr="00F57044">
          <w:rPr>
            <w:noProof/>
            <w:webHidden/>
          </w:rPr>
          <w:fldChar w:fldCharType="separate"/>
        </w:r>
        <w:r w:rsidR="00AE6428">
          <w:rPr>
            <w:noProof/>
            <w:webHidden/>
          </w:rPr>
          <w:t>16</w:t>
        </w:r>
        <w:r w:rsidRPr="00F57044">
          <w:rPr>
            <w:noProof/>
            <w:webHidden/>
          </w:rPr>
          <w:fldChar w:fldCharType="end"/>
        </w:r>
      </w:hyperlink>
    </w:p>
    <w:p w:rsidRPr="00F57044" w:rsidR="00DE5DEC" w:rsidRDefault="00DE5DEC" w14:paraId="58466271" w14:textId="27EF11E0">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89">
        <w:r w:rsidRPr="00F57044">
          <w:rPr>
            <w:rStyle w:val="Hyperlink"/>
            <w:rFonts w:eastAsiaTheme="majorEastAsia"/>
            <w:noProof/>
          </w:rPr>
          <w:t>Figure 3:</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Drivers of changes in estimated auction volumes across 2026–30</w:t>
        </w:r>
        <w:r w:rsidRPr="00F57044">
          <w:rPr>
            <w:noProof/>
            <w:webHidden/>
          </w:rPr>
          <w:tab/>
        </w:r>
        <w:r w:rsidRPr="00F57044">
          <w:rPr>
            <w:noProof/>
            <w:webHidden/>
          </w:rPr>
          <w:fldChar w:fldCharType="begin"/>
        </w:r>
        <w:r w:rsidRPr="00F57044">
          <w:rPr>
            <w:noProof/>
            <w:webHidden/>
          </w:rPr>
          <w:instrText xml:space="preserve"> PAGEREF _Toc198901889 \h </w:instrText>
        </w:r>
        <w:r w:rsidRPr="00F57044">
          <w:rPr>
            <w:noProof/>
            <w:webHidden/>
          </w:rPr>
        </w:r>
        <w:r w:rsidRPr="00F57044">
          <w:rPr>
            <w:noProof/>
            <w:webHidden/>
          </w:rPr>
          <w:fldChar w:fldCharType="separate"/>
        </w:r>
        <w:r w:rsidR="00AE6428">
          <w:rPr>
            <w:noProof/>
            <w:webHidden/>
          </w:rPr>
          <w:t>19</w:t>
        </w:r>
        <w:r w:rsidRPr="00F57044">
          <w:rPr>
            <w:noProof/>
            <w:webHidden/>
          </w:rPr>
          <w:fldChar w:fldCharType="end"/>
        </w:r>
      </w:hyperlink>
    </w:p>
    <w:p w:rsidRPr="00F57044" w:rsidR="00DE5DEC" w:rsidRDefault="00DE5DEC" w14:paraId="1F3B7014" w14:textId="639D3B1F">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90">
        <w:r w:rsidRPr="00F57044">
          <w:rPr>
            <w:rStyle w:val="Hyperlink"/>
            <w:rFonts w:eastAsiaTheme="majorEastAsia"/>
            <w:noProof/>
          </w:rPr>
          <w:t xml:space="preserve">Figure 4: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Projected sources of New Zealand Unit supply dynamics under option 1 (status quo) unit and price control settings, 2024–50</w:t>
        </w:r>
        <w:r w:rsidRPr="00F57044">
          <w:rPr>
            <w:noProof/>
            <w:webHidden/>
          </w:rPr>
          <w:tab/>
        </w:r>
        <w:r w:rsidRPr="00F57044">
          <w:rPr>
            <w:noProof/>
            <w:webHidden/>
          </w:rPr>
          <w:fldChar w:fldCharType="begin"/>
        </w:r>
        <w:r w:rsidRPr="00F57044">
          <w:rPr>
            <w:noProof/>
            <w:webHidden/>
          </w:rPr>
          <w:instrText xml:space="preserve"> PAGEREF _Toc198901890 \h </w:instrText>
        </w:r>
        <w:r w:rsidRPr="00F57044">
          <w:rPr>
            <w:noProof/>
            <w:webHidden/>
          </w:rPr>
        </w:r>
        <w:r w:rsidRPr="00F57044">
          <w:rPr>
            <w:noProof/>
            <w:webHidden/>
          </w:rPr>
          <w:fldChar w:fldCharType="separate"/>
        </w:r>
        <w:r w:rsidR="00AE6428">
          <w:rPr>
            <w:noProof/>
            <w:webHidden/>
          </w:rPr>
          <w:t>25</w:t>
        </w:r>
        <w:r w:rsidRPr="00F57044">
          <w:rPr>
            <w:noProof/>
            <w:webHidden/>
          </w:rPr>
          <w:fldChar w:fldCharType="end"/>
        </w:r>
      </w:hyperlink>
    </w:p>
    <w:p w:rsidRPr="00F57044" w:rsidR="00DE5DEC" w:rsidRDefault="00DE5DEC" w14:paraId="46477FBD" w14:textId="5D8C7BF9">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91">
        <w:r w:rsidRPr="00F57044">
          <w:rPr>
            <w:rStyle w:val="Hyperlink"/>
            <w:rFonts w:eastAsiaTheme="majorEastAsia"/>
            <w:noProof/>
          </w:rPr>
          <w:t xml:space="preserve">Figure 5: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Projected price paths under option 1, 2021–35</w:t>
        </w:r>
        <w:r w:rsidRPr="00F57044">
          <w:rPr>
            <w:noProof/>
            <w:webHidden/>
          </w:rPr>
          <w:tab/>
        </w:r>
        <w:r w:rsidRPr="00F57044">
          <w:rPr>
            <w:noProof/>
            <w:webHidden/>
          </w:rPr>
          <w:fldChar w:fldCharType="begin"/>
        </w:r>
        <w:r w:rsidRPr="00F57044">
          <w:rPr>
            <w:noProof/>
            <w:webHidden/>
          </w:rPr>
          <w:instrText xml:space="preserve"> PAGEREF _Toc198901891 \h </w:instrText>
        </w:r>
        <w:r w:rsidRPr="00F57044">
          <w:rPr>
            <w:noProof/>
            <w:webHidden/>
          </w:rPr>
        </w:r>
        <w:r w:rsidRPr="00F57044">
          <w:rPr>
            <w:noProof/>
            <w:webHidden/>
          </w:rPr>
          <w:fldChar w:fldCharType="separate"/>
        </w:r>
        <w:r w:rsidR="00AE6428">
          <w:rPr>
            <w:noProof/>
            <w:webHidden/>
          </w:rPr>
          <w:t>26</w:t>
        </w:r>
        <w:r w:rsidRPr="00F57044">
          <w:rPr>
            <w:noProof/>
            <w:webHidden/>
          </w:rPr>
          <w:fldChar w:fldCharType="end"/>
        </w:r>
      </w:hyperlink>
    </w:p>
    <w:p w:rsidRPr="00F57044" w:rsidR="00DE5DEC" w:rsidRDefault="00DE5DEC" w14:paraId="3FFC52A6" w14:textId="5EA03F28">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92">
        <w:r w:rsidRPr="00F57044">
          <w:rPr>
            <w:rStyle w:val="Hyperlink"/>
            <w:rFonts w:eastAsiaTheme="majorEastAsia"/>
            <w:noProof/>
          </w:rPr>
          <w:t xml:space="preserve">Figure 6: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Projected price paths under option 2, 2021–35</w:t>
        </w:r>
        <w:r w:rsidRPr="00F57044">
          <w:rPr>
            <w:noProof/>
            <w:webHidden/>
          </w:rPr>
          <w:tab/>
        </w:r>
        <w:r w:rsidRPr="00F57044">
          <w:rPr>
            <w:noProof/>
            <w:webHidden/>
          </w:rPr>
          <w:fldChar w:fldCharType="begin"/>
        </w:r>
        <w:r w:rsidRPr="00F57044">
          <w:rPr>
            <w:noProof/>
            <w:webHidden/>
          </w:rPr>
          <w:instrText xml:space="preserve"> PAGEREF _Toc198901892 \h </w:instrText>
        </w:r>
        <w:r w:rsidRPr="00F57044">
          <w:rPr>
            <w:noProof/>
            <w:webHidden/>
          </w:rPr>
        </w:r>
        <w:r w:rsidRPr="00F57044">
          <w:rPr>
            <w:noProof/>
            <w:webHidden/>
          </w:rPr>
          <w:fldChar w:fldCharType="separate"/>
        </w:r>
        <w:r w:rsidR="00AE6428">
          <w:rPr>
            <w:noProof/>
            <w:webHidden/>
          </w:rPr>
          <w:t>26</w:t>
        </w:r>
        <w:r w:rsidRPr="00F57044">
          <w:rPr>
            <w:noProof/>
            <w:webHidden/>
          </w:rPr>
          <w:fldChar w:fldCharType="end"/>
        </w:r>
      </w:hyperlink>
    </w:p>
    <w:p w:rsidRPr="00F57044" w:rsidR="00DE5DEC" w:rsidRDefault="00DE5DEC" w14:paraId="4DFB6DBD" w14:textId="5CA7CB85">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93">
        <w:r w:rsidRPr="00F57044">
          <w:rPr>
            <w:rStyle w:val="Hyperlink"/>
            <w:rFonts w:eastAsiaTheme="majorEastAsia"/>
            <w:noProof/>
          </w:rPr>
          <w:t xml:space="preserve">Figure 7: </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Projected total net emissions in the second and third emissions budgets</w:t>
        </w:r>
        <w:r w:rsidRPr="00F57044">
          <w:rPr>
            <w:noProof/>
            <w:webHidden/>
          </w:rPr>
          <w:tab/>
        </w:r>
        <w:r w:rsidRPr="00F57044">
          <w:rPr>
            <w:noProof/>
            <w:webHidden/>
          </w:rPr>
          <w:fldChar w:fldCharType="begin"/>
        </w:r>
        <w:r w:rsidRPr="00F57044">
          <w:rPr>
            <w:noProof/>
            <w:webHidden/>
          </w:rPr>
          <w:instrText xml:space="preserve"> PAGEREF _Toc198901893 \h </w:instrText>
        </w:r>
        <w:r w:rsidRPr="00F57044">
          <w:rPr>
            <w:noProof/>
            <w:webHidden/>
          </w:rPr>
        </w:r>
        <w:r w:rsidRPr="00F57044">
          <w:rPr>
            <w:noProof/>
            <w:webHidden/>
          </w:rPr>
          <w:fldChar w:fldCharType="separate"/>
        </w:r>
        <w:r w:rsidR="00AE6428">
          <w:rPr>
            <w:noProof/>
            <w:webHidden/>
          </w:rPr>
          <w:t>27</w:t>
        </w:r>
        <w:r w:rsidRPr="00F57044">
          <w:rPr>
            <w:noProof/>
            <w:webHidden/>
          </w:rPr>
          <w:fldChar w:fldCharType="end"/>
        </w:r>
      </w:hyperlink>
    </w:p>
    <w:p w:rsidRPr="00F57044" w:rsidR="00DE5DEC" w:rsidRDefault="00DE5DEC" w14:paraId="41ADD7C8" w14:textId="6D876A51">
      <w:pPr>
        <w:pStyle w:val="TableofFigures"/>
        <w:tabs>
          <w:tab w:val="right" w:pos="8495"/>
        </w:tabs>
        <w:rPr>
          <w:rFonts w:asciiTheme="minorHAnsi" w:hAnsiTheme="minorHAnsi" w:eastAsiaTheme="minorEastAsia" w:cstheme="minorBidi"/>
          <w:noProof/>
          <w:kern w:val="2"/>
          <w:sz w:val="24"/>
          <w:szCs w:val="24"/>
          <w14:ligatures w14:val="standardContextual"/>
        </w:rPr>
      </w:pPr>
      <w:hyperlink w:history="1" w:anchor="_Toc198901894">
        <w:r w:rsidRPr="00F57044">
          <w:rPr>
            <w:rStyle w:val="Hyperlink"/>
            <w:rFonts w:eastAsiaTheme="majorEastAsia"/>
            <w:noProof/>
          </w:rPr>
          <w:t>Figure A1.1:</w:t>
        </w:r>
        <w:r w:rsidRPr="00F57044">
          <w:rPr>
            <w:rFonts w:asciiTheme="minorHAnsi" w:hAnsiTheme="minorHAnsi" w:eastAsiaTheme="minorEastAsia" w:cstheme="minorBidi"/>
            <w:noProof/>
            <w:kern w:val="2"/>
            <w:sz w:val="24"/>
            <w:szCs w:val="24"/>
            <w14:ligatures w14:val="standardContextual"/>
          </w:rPr>
          <w:tab/>
        </w:r>
        <w:r w:rsidRPr="00F57044">
          <w:rPr>
            <w:rStyle w:val="Hyperlink"/>
            <w:rFonts w:eastAsiaTheme="majorEastAsia"/>
            <w:noProof/>
          </w:rPr>
          <w:t>Approximate drivers of change in surplus stockpile estimate, 2024–25</w:t>
        </w:r>
        <w:r w:rsidRPr="00F57044">
          <w:rPr>
            <w:noProof/>
            <w:webHidden/>
          </w:rPr>
          <w:tab/>
        </w:r>
        <w:r w:rsidRPr="00F57044">
          <w:rPr>
            <w:noProof/>
            <w:webHidden/>
          </w:rPr>
          <w:fldChar w:fldCharType="begin"/>
        </w:r>
        <w:r w:rsidRPr="00F57044">
          <w:rPr>
            <w:noProof/>
            <w:webHidden/>
          </w:rPr>
          <w:instrText xml:space="preserve"> PAGEREF _Toc198901894 \h </w:instrText>
        </w:r>
        <w:r w:rsidRPr="00F57044">
          <w:rPr>
            <w:noProof/>
            <w:webHidden/>
          </w:rPr>
        </w:r>
        <w:r w:rsidRPr="00F57044">
          <w:rPr>
            <w:noProof/>
            <w:webHidden/>
          </w:rPr>
          <w:fldChar w:fldCharType="separate"/>
        </w:r>
        <w:r w:rsidR="00AE6428">
          <w:rPr>
            <w:noProof/>
            <w:webHidden/>
          </w:rPr>
          <w:t>49</w:t>
        </w:r>
        <w:r w:rsidRPr="00F57044">
          <w:rPr>
            <w:noProof/>
            <w:webHidden/>
          </w:rPr>
          <w:fldChar w:fldCharType="end"/>
        </w:r>
      </w:hyperlink>
    </w:p>
    <w:p w:rsidRPr="00F57044" w:rsidR="007F4C75" w:rsidP="00BB0865" w:rsidRDefault="00826DD5" w14:paraId="14E954F1" w14:textId="453BF19E">
      <w:pPr>
        <w:pStyle w:val="BodyText"/>
      </w:pPr>
      <w:r w:rsidRPr="00F57044">
        <w:rPr>
          <w:rFonts w:eastAsia="Times New Roman" w:cs="Times New Roman"/>
        </w:rPr>
        <w:fldChar w:fldCharType="end"/>
      </w:r>
      <w:r w:rsidRPr="00F57044" w:rsidR="007F4C75">
        <w:br w:type="page"/>
      </w:r>
    </w:p>
    <w:p w:rsidRPr="00F57044" w:rsidR="00A95C49" w:rsidP="009E3890" w:rsidRDefault="00A95C49" w14:paraId="3B1729D9" w14:textId="48468B01">
      <w:pPr>
        <w:pStyle w:val="Heading1"/>
      </w:pPr>
      <w:bookmarkStart w:name="_Toc199231012" w:id="0"/>
      <w:bookmarkStart w:name="_Toc161831658" w:id="1"/>
      <w:bookmarkStart w:name="_Toc161762869" w:id="2"/>
      <w:bookmarkStart w:name="_Toc95397061" w:id="3"/>
      <w:r w:rsidRPr="00F57044">
        <w:t>Executive summary</w:t>
      </w:r>
      <w:bookmarkEnd w:id="0"/>
    </w:p>
    <w:p w:rsidRPr="00F57044" w:rsidR="004E2AC3" w:rsidP="009E4DFF" w:rsidRDefault="00215988" w14:paraId="3D0B77C3" w14:textId="2B05856E">
      <w:pPr>
        <w:pStyle w:val="BodyText"/>
      </w:pPr>
      <w:r w:rsidRPr="00F57044">
        <w:t xml:space="preserve">Every year the Government is required to </w:t>
      </w:r>
      <w:r w:rsidRPr="00F57044" w:rsidR="00F11150">
        <w:t xml:space="preserve">review settings for </w:t>
      </w:r>
      <w:r w:rsidRPr="00F57044" w:rsidR="00E7506C">
        <w:t>the New Zealand Emissions Trading Scheme (</w:t>
      </w:r>
      <w:r w:rsidRPr="00F57044" w:rsidR="00A26DF5">
        <w:t xml:space="preserve">NZ </w:t>
      </w:r>
      <w:r w:rsidRPr="00F57044" w:rsidR="00F11150">
        <w:t>ETS</w:t>
      </w:r>
      <w:r w:rsidRPr="00F57044" w:rsidR="00E7506C">
        <w:t>)</w:t>
      </w:r>
      <w:r w:rsidRPr="00F57044" w:rsidR="00F11150">
        <w:t xml:space="preserve"> auctions</w:t>
      </w:r>
      <w:r w:rsidRPr="00F57044" w:rsidR="000C6B31">
        <w:t xml:space="preserve"> </w:t>
      </w:r>
      <w:r w:rsidRPr="00F57044" w:rsidR="006A4595">
        <w:t>for the next five years</w:t>
      </w:r>
      <w:r w:rsidRPr="00F57044" w:rsidR="001C2CBE">
        <w:t xml:space="preserve">. </w:t>
      </w:r>
      <w:r w:rsidRPr="00F57044" w:rsidR="00A90E8E">
        <w:t xml:space="preserve">It </w:t>
      </w:r>
      <w:r w:rsidRPr="00F57044" w:rsidR="001C2CBE">
        <w:t>must decide</w:t>
      </w:r>
      <w:r w:rsidRPr="00F57044" w:rsidR="000C6B31">
        <w:t xml:space="preserve"> </w:t>
      </w:r>
      <w:r w:rsidRPr="00F57044" w:rsidR="008E24C0">
        <w:t xml:space="preserve">on </w:t>
      </w:r>
      <w:r w:rsidRPr="00F57044" w:rsidR="000C6B31">
        <w:t xml:space="preserve">the appropriate </w:t>
      </w:r>
      <w:r w:rsidRPr="00F57044" w:rsidR="00EC16A6">
        <w:rPr>
          <w:b/>
          <w:bCs/>
        </w:rPr>
        <w:t xml:space="preserve">supply of </w:t>
      </w:r>
      <w:r w:rsidRPr="00F57044" w:rsidR="003B3258">
        <w:rPr>
          <w:b/>
          <w:bCs/>
        </w:rPr>
        <w:t>New Zealand U</w:t>
      </w:r>
      <w:r w:rsidRPr="00F57044" w:rsidR="00EC16A6">
        <w:rPr>
          <w:b/>
          <w:bCs/>
        </w:rPr>
        <w:t>nits</w:t>
      </w:r>
      <w:r w:rsidRPr="00F57044" w:rsidR="00EC16A6">
        <w:t xml:space="preserve"> </w:t>
      </w:r>
      <w:r w:rsidRPr="00F57044" w:rsidR="003B3258">
        <w:t xml:space="preserve">(NZUs or units) </w:t>
      </w:r>
      <w:r w:rsidRPr="00F57044" w:rsidR="00B1351E">
        <w:t xml:space="preserve">and </w:t>
      </w:r>
      <w:r w:rsidRPr="00F57044" w:rsidR="00B1351E">
        <w:rPr>
          <w:b/>
          <w:bCs/>
        </w:rPr>
        <w:t xml:space="preserve">price control </w:t>
      </w:r>
      <w:r w:rsidRPr="00F57044" w:rsidR="00D17072">
        <w:rPr>
          <w:b/>
          <w:bCs/>
        </w:rPr>
        <w:t>settings</w:t>
      </w:r>
      <w:r w:rsidRPr="00F57044" w:rsidR="00D17072">
        <w:t xml:space="preserve"> that </w:t>
      </w:r>
      <w:r w:rsidRPr="00F57044" w:rsidR="00C240B0">
        <w:t>align with</w:t>
      </w:r>
      <w:r w:rsidRPr="00F57044" w:rsidR="004E2AC3">
        <w:t>:</w:t>
      </w:r>
    </w:p>
    <w:p w:rsidRPr="00F57044" w:rsidR="0007152E" w:rsidP="00F353A0" w:rsidRDefault="00731B7E" w14:paraId="191F4D8B" w14:textId="03592ACA">
      <w:pPr>
        <w:pStyle w:val="Bullet"/>
      </w:pPr>
      <w:r w:rsidRPr="00F57044">
        <w:t>emissions budgets</w:t>
      </w:r>
      <w:r w:rsidRPr="00F57044" w:rsidR="004E2AC3">
        <w:t xml:space="preserve"> </w:t>
      </w:r>
    </w:p>
    <w:p w:rsidRPr="00F57044" w:rsidR="004E2AC3" w:rsidP="00B43650" w:rsidRDefault="00731B7E" w14:paraId="2B5CFC4C" w14:textId="25F417B7">
      <w:pPr>
        <w:pStyle w:val="Bullet"/>
      </w:pPr>
      <w:r w:rsidRPr="00F57044">
        <w:t xml:space="preserve">the 2050 target </w:t>
      </w:r>
    </w:p>
    <w:p w:rsidRPr="00F57044" w:rsidR="0007152E" w:rsidP="00B43650" w:rsidRDefault="006E2080" w14:paraId="1F7EE3C0" w14:textId="776915C8">
      <w:pPr>
        <w:pStyle w:val="Bullet"/>
      </w:pPr>
      <w:r>
        <w:t>N</w:t>
      </w:r>
      <w:r w:rsidRPr="00F57044" w:rsidR="00731B7E">
        <w:t>ational</w:t>
      </w:r>
      <w:r w:rsidRPr="00F57044" w:rsidR="00C81127">
        <w:t>ly</w:t>
      </w:r>
      <w:r w:rsidRPr="00F57044" w:rsidR="00731B7E">
        <w:t xml:space="preserve"> </w:t>
      </w:r>
      <w:r>
        <w:t>D</w:t>
      </w:r>
      <w:r w:rsidRPr="00F57044" w:rsidR="00731B7E">
        <w:t xml:space="preserve">etermined </w:t>
      </w:r>
      <w:r>
        <w:t>C</w:t>
      </w:r>
      <w:r w:rsidRPr="00F57044" w:rsidR="00731B7E">
        <w:t>ontributions</w:t>
      </w:r>
      <w:r w:rsidRPr="00F57044" w:rsidDel="00AE3BF9" w:rsidR="00731B7E">
        <w:t xml:space="preserve"> </w:t>
      </w:r>
      <w:r w:rsidRPr="00F57044" w:rsidR="00731B7E">
        <w:t xml:space="preserve">under the Paris </w:t>
      </w:r>
      <w:r w:rsidRPr="00F57044" w:rsidR="0046681D">
        <w:t>A</w:t>
      </w:r>
      <w:r w:rsidRPr="00F57044" w:rsidR="00731B7E">
        <w:t>greement</w:t>
      </w:r>
      <w:r w:rsidRPr="00F57044" w:rsidR="005C2A6F">
        <w:t>.</w:t>
      </w:r>
      <w:r w:rsidRPr="00F57044" w:rsidDel="00731B7E" w:rsidR="00F17BCA">
        <w:t xml:space="preserve"> </w:t>
      </w:r>
    </w:p>
    <w:p w:rsidRPr="00F57044" w:rsidR="00215988" w:rsidP="009E4DFF" w:rsidRDefault="005C2A6F" w14:paraId="27176E5A" w14:textId="1C16E51A">
      <w:pPr>
        <w:pStyle w:val="BodyText"/>
      </w:pPr>
      <w:r w:rsidRPr="00F57044">
        <w:t xml:space="preserve">These are </w:t>
      </w:r>
      <w:r w:rsidRPr="00F57044" w:rsidR="00731B7E">
        <w:t xml:space="preserve">collectively referred to </w:t>
      </w:r>
      <w:r w:rsidRPr="00F57044" w:rsidR="008E24C0">
        <w:t>here</w:t>
      </w:r>
      <w:r w:rsidRPr="00F57044" w:rsidR="0055006A">
        <w:t xml:space="preserve"> </w:t>
      </w:r>
      <w:r w:rsidRPr="00F57044" w:rsidR="00731B7E">
        <w:t xml:space="preserve">as </w:t>
      </w:r>
      <w:r w:rsidRPr="00F57044" w:rsidR="006E0A41">
        <w:t>‘</w:t>
      </w:r>
      <w:r w:rsidRPr="00F57044" w:rsidR="00731B7E">
        <w:t xml:space="preserve">emissions reduction </w:t>
      </w:r>
      <w:proofErr w:type="gramStart"/>
      <w:r w:rsidRPr="00F57044" w:rsidR="00731B7E">
        <w:t>targets</w:t>
      </w:r>
      <w:r w:rsidRPr="00F57044" w:rsidR="006E0A41">
        <w:t>’</w:t>
      </w:r>
      <w:proofErr w:type="gramEnd"/>
      <w:r w:rsidRPr="00F57044" w:rsidR="004820FA">
        <w:t>.</w:t>
      </w:r>
      <w:r w:rsidRPr="00F57044">
        <w:t xml:space="preserve"> </w:t>
      </w:r>
    </w:p>
    <w:p w:rsidRPr="00F57044" w:rsidR="00945C6E" w:rsidP="009E4DFF" w:rsidRDefault="00B00DB1" w14:paraId="277B2E9D" w14:textId="3425548C">
      <w:pPr>
        <w:pStyle w:val="BodyText"/>
      </w:pPr>
      <w:r w:rsidRPr="00F57044">
        <w:rPr>
          <w:spacing w:val="-2"/>
        </w:rPr>
        <w:t>As part of this annual process, the Government must consider the advice and</w:t>
      </w:r>
      <w:r w:rsidRPr="00F57044">
        <w:t xml:space="preserve"> recommendations of the Climate Change Commission</w:t>
      </w:r>
      <w:r w:rsidRPr="00F57044" w:rsidR="005B7B66">
        <w:t xml:space="preserve"> (the Commission)</w:t>
      </w:r>
      <w:r w:rsidRPr="00F57044">
        <w:t xml:space="preserve">. </w:t>
      </w:r>
    </w:p>
    <w:p w:rsidRPr="00F57044" w:rsidR="005F17C8" w:rsidP="009E4DFF" w:rsidRDefault="003043A1" w14:paraId="5C84BC9A" w14:textId="730BB0D5">
      <w:pPr>
        <w:pStyle w:val="BodyText"/>
      </w:pPr>
      <w:r w:rsidRPr="00F57044">
        <w:t xml:space="preserve">The Commission’s advice is </w:t>
      </w:r>
      <w:r w:rsidRPr="00F57044" w:rsidR="007123FB">
        <w:t xml:space="preserve">that </w:t>
      </w:r>
      <w:r w:rsidRPr="00F57044" w:rsidR="008D1189">
        <w:t>the Government</w:t>
      </w:r>
      <w:r w:rsidRPr="00F57044">
        <w:t xml:space="preserve"> could </w:t>
      </w:r>
      <w:r w:rsidRPr="00F57044" w:rsidR="00817942">
        <w:t xml:space="preserve">auction a total of 30.5 million </w:t>
      </w:r>
      <w:r w:rsidRPr="00F57044" w:rsidR="003B3258">
        <w:t xml:space="preserve">NZUs </w:t>
      </w:r>
      <w:r w:rsidRPr="00F57044" w:rsidR="00817942">
        <w:t xml:space="preserve">across the settings period </w:t>
      </w:r>
      <w:r w:rsidRPr="00F57044" w:rsidR="00135B89">
        <w:t>2026</w:t>
      </w:r>
      <w:r w:rsidRPr="00F57044" w:rsidR="002B1E69">
        <w:t>–</w:t>
      </w:r>
      <w:r w:rsidRPr="00F57044" w:rsidR="00135B89">
        <w:t>30</w:t>
      </w:r>
      <w:r w:rsidRPr="00F57044" w:rsidR="00CC2274">
        <w:t>,</w:t>
      </w:r>
      <w:r w:rsidRPr="00F57044" w:rsidR="00031199">
        <w:t xml:space="preserve"> </w:t>
      </w:r>
      <w:r w:rsidRPr="00F57044" w:rsidR="008016CB">
        <w:t>while remaining</w:t>
      </w:r>
      <w:r w:rsidRPr="00F57044" w:rsidDel="008016CB" w:rsidR="00817942">
        <w:t xml:space="preserve"> </w:t>
      </w:r>
      <w:r w:rsidRPr="00F57044" w:rsidR="00817942">
        <w:t>align</w:t>
      </w:r>
      <w:r w:rsidRPr="00F57044" w:rsidR="008016CB">
        <w:t>ed</w:t>
      </w:r>
      <w:r w:rsidRPr="00F57044" w:rsidR="00817942">
        <w:t xml:space="preserve"> with </w:t>
      </w:r>
      <w:r w:rsidRPr="00F57044" w:rsidR="00C34675">
        <w:t>emissions reduction</w:t>
      </w:r>
      <w:r w:rsidRPr="00F57044" w:rsidR="00817942">
        <w:t xml:space="preserve"> targets</w:t>
      </w:r>
      <w:r w:rsidRPr="00F57044" w:rsidR="00CC2274">
        <w:t>.</w:t>
      </w:r>
      <w:r w:rsidRPr="00F57044" w:rsidR="00817942">
        <w:t xml:space="preserve"> </w:t>
      </w:r>
    </w:p>
    <w:p w:rsidRPr="00F57044" w:rsidR="00924AA2" w:rsidP="003043A1" w:rsidRDefault="003043A1" w14:paraId="370DC052" w14:textId="28737CCF">
      <w:pPr>
        <w:pStyle w:val="BodyText"/>
      </w:pPr>
      <w:r w:rsidRPr="00F57044">
        <w:t xml:space="preserve">This volume of units for auction would represent an increase of 13.6 million units compared with </w:t>
      </w:r>
      <w:r w:rsidRPr="00F57044" w:rsidR="00DD3225">
        <w:t xml:space="preserve">the projection in 2024 </w:t>
      </w:r>
      <w:r w:rsidRPr="00F57044" w:rsidR="00252C91">
        <w:t xml:space="preserve">NZ </w:t>
      </w:r>
      <w:r w:rsidRPr="00F57044" w:rsidR="00DD3225">
        <w:t>ETS settings</w:t>
      </w:r>
      <w:r w:rsidRPr="00F57044" w:rsidR="00534D7F">
        <w:t>.</w:t>
      </w:r>
      <w:r w:rsidRPr="00F57044" w:rsidDel="00DD3225" w:rsidR="00DD3225">
        <w:t xml:space="preserve"> </w:t>
      </w:r>
      <w:r w:rsidRPr="00F57044">
        <w:t xml:space="preserve">The increase is driven by </w:t>
      </w:r>
      <w:r w:rsidRPr="00F57044" w:rsidR="00B917A2">
        <w:t xml:space="preserve">three </w:t>
      </w:r>
      <w:r w:rsidRPr="00F57044" w:rsidR="00924AA2">
        <w:t xml:space="preserve">factors: </w:t>
      </w:r>
    </w:p>
    <w:p w:rsidRPr="00F57044" w:rsidR="00924AA2" w:rsidP="008A368F" w:rsidRDefault="003043A1" w14:paraId="64D02BC0" w14:textId="61ABF7BC">
      <w:pPr>
        <w:pStyle w:val="Bullet"/>
      </w:pPr>
      <w:r w:rsidRPr="00F57044">
        <w:t xml:space="preserve">significant changes in the methodology </w:t>
      </w:r>
    </w:p>
    <w:p w:rsidRPr="00F57044" w:rsidR="00B917A2" w:rsidP="008A368F" w:rsidRDefault="00F62707" w14:paraId="03AF80A8" w14:textId="52398BBB">
      <w:pPr>
        <w:pStyle w:val="Bullet"/>
      </w:pPr>
      <w:r w:rsidRPr="00F57044">
        <w:t xml:space="preserve">a </w:t>
      </w:r>
      <w:r w:rsidRPr="00F57044" w:rsidR="00050041">
        <w:t>smaller surplus</w:t>
      </w:r>
      <w:r w:rsidRPr="00F57044" w:rsidR="00B52CB7">
        <w:t xml:space="preserve"> estimate (using </w:t>
      </w:r>
      <w:r w:rsidRPr="00F57044" w:rsidR="00BA5C71">
        <w:t xml:space="preserve">the updated </w:t>
      </w:r>
      <w:r w:rsidRPr="00F57044" w:rsidR="00B52CB7">
        <w:t>methodolo</w:t>
      </w:r>
      <w:r w:rsidRPr="00F57044" w:rsidR="00BA5C71">
        <w:t>gy</w:t>
      </w:r>
      <w:r w:rsidRPr="00F57044" w:rsidR="00B52CB7">
        <w:t>)</w:t>
      </w:r>
      <w:r w:rsidRPr="00F57044" w:rsidR="00925829">
        <w:t xml:space="preserve"> than previously anticipated, </w:t>
      </w:r>
      <w:r w:rsidRPr="00F57044" w:rsidR="003F2F0E">
        <w:t>in part</w:t>
      </w:r>
      <w:r w:rsidRPr="00F57044" w:rsidR="00925829">
        <w:t xml:space="preserve"> </w:t>
      </w:r>
      <w:r w:rsidRPr="00F57044" w:rsidR="00875F07">
        <w:t>because few</w:t>
      </w:r>
      <w:r w:rsidRPr="00F57044" w:rsidR="00E2654F">
        <w:t>er units were sold at auction than previously forecast</w:t>
      </w:r>
      <w:r w:rsidRPr="00F57044" w:rsidDel="00DE6360" w:rsidR="003043A1">
        <w:t xml:space="preserve"> </w:t>
      </w:r>
    </w:p>
    <w:p w:rsidRPr="00F57044" w:rsidR="00924AA2" w:rsidP="008A368F" w:rsidRDefault="003043A1" w14:paraId="10183DCD" w14:textId="3AEF26C7">
      <w:pPr>
        <w:pStyle w:val="Bullet"/>
      </w:pPr>
      <w:r w:rsidRPr="00F57044">
        <w:t>industrial allocation</w:t>
      </w:r>
      <w:r w:rsidRPr="00F57044" w:rsidR="00DE6360">
        <w:t xml:space="preserve"> fo</w:t>
      </w:r>
      <w:r w:rsidRPr="00F57044" w:rsidR="0006110C">
        <w:t>recasts</w:t>
      </w:r>
      <w:r w:rsidRPr="00F57044" w:rsidR="00DE6360">
        <w:t xml:space="preserve"> being revised downwards</w:t>
      </w:r>
      <w:r w:rsidRPr="00F57044" w:rsidR="00924AA2">
        <w:t>.</w:t>
      </w:r>
      <w:r w:rsidRPr="00F57044">
        <w:t xml:space="preserve"> </w:t>
      </w:r>
    </w:p>
    <w:p w:rsidRPr="00F57044" w:rsidR="003043A1" w:rsidP="003043A1" w:rsidRDefault="00A90E8E" w14:paraId="5D7A70E4" w14:textId="2109279E">
      <w:pPr>
        <w:pStyle w:val="BodyText"/>
        <w:rPr>
          <w:b/>
          <w:bCs/>
        </w:rPr>
      </w:pPr>
      <w:r w:rsidRPr="00F57044">
        <w:rPr>
          <w:b/>
          <w:bCs/>
        </w:rPr>
        <w:t xml:space="preserve">The </w:t>
      </w:r>
      <w:r w:rsidRPr="00F57044" w:rsidR="000C5624">
        <w:rPr>
          <w:b/>
          <w:bCs/>
        </w:rPr>
        <w:t>Government</w:t>
      </w:r>
      <w:r w:rsidRPr="00F57044">
        <w:rPr>
          <w:b/>
          <w:bCs/>
        </w:rPr>
        <w:t xml:space="preserve"> is</w:t>
      </w:r>
      <w:r w:rsidRPr="00F57044" w:rsidR="00924AA2">
        <w:rPr>
          <w:b/>
          <w:bCs/>
        </w:rPr>
        <w:t xml:space="preserve"> keen </w:t>
      </w:r>
      <w:r w:rsidRPr="00F57044" w:rsidR="003043A1">
        <w:rPr>
          <w:b/>
          <w:bCs/>
        </w:rPr>
        <w:t xml:space="preserve">to hear </w:t>
      </w:r>
      <w:r w:rsidRPr="00F57044" w:rsidR="006B1E81">
        <w:rPr>
          <w:b/>
          <w:bCs/>
        </w:rPr>
        <w:t xml:space="preserve">your </w:t>
      </w:r>
      <w:r w:rsidRPr="00F57044" w:rsidR="003043A1">
        <w:rPr>
          <w:b/>
          <w:bCs/>
        </w:rPr>
        <w:t xml:space="preserve">feedback on </w:t>
      </w:r>
      <w:r w:rsidRPr="00F57044" w:rsidR="0047420C">
        <w:rPr>
          <w:b/>
          <w:bCs/>
        </w:rPr>
        <w:t xml:space="preserve">both </w:t>
      </w:r>
      <w:r w:rsidRPr="00F57044" w:rsidR="003043A1">
        <w:rPr>
          <w:b/>
          <w:bCs/>
        </w:rPr>
        <w:t>the option and</w:t>
      </w:r>
      <w:r w:rsidRPr="00F57044">
        <w:rPr>
          <w:b/>
          <w:bCs/>
        </w:rPr>
        <w:t xml:space="preserve"> the</w:t>
      </w:r>
      <w:r w:rsidRPr="00F57044" w:rsidR="003043A1">
        <w:rPr>
          <w:b/>
          <w:bCs/>
        </w:rPr>
        <w:t xml:space="preserve"> methodological changes </w:t>
      </w:r>
      <w:r w:rsidRPr="00F57044" w:rsidR="008E24C0">
        <w:rPr>
          <w:b/>
          <w:bCs/>
        </w:rPr>
        <w:t>that</w:t>
      </w:r>
      <w:r w:rsidRPr="00F57044" w:rsidR="003043A1">
        <w:rPr>
          <w:b/>
          <w:bCs/>
        </w:rPr>
        <w:t xml:space="preserve"> the Commission</w:t>
      </w:r>
      <w:r w:rsidRPr="00F57044" w:rsidR="008E24C0">
        <w:rPr>
          <w:b/>
          <w:bCs/>
        </w:rPr>
        <w:t xml:space="preserve"> proposes</w:t>
      </w:r>
      <w:r w:rsidRPr="00F57044" w:rsidR="003043A1">
        <w:rPr>
          <w:b/>
          <w:bCs/>
        </w:rPr>
        <w:t xml:space="preserve">. </w:t>
      </w:r>
    </w:p>
    <w:p w:rsidRPr="00F57044" w:rsidR="005C2A6F" w:rsidP="009E4DFF" w:rsidRDefault="00495143" w14:paraId="199B5870" w14:textId="0ABAE051">
      <w:pPr>
        <w:pStyle w:val="BodyText"/>
      </w:pPr>
      <w:r w:rsidRPr="00F57044">
        <w:t>Alongs</w:t>
      </w:r>
      <w:r w:rsidRPr="00F57044" w:rsidR="00CE15A9">
        <w:t>ide</w:t>
      </w:r>
      <w:r w:rsidRPr="00F57044" w:rsidR="00D6783F">
        <w:t xml:space="preserve"> th</w:t>
      </w:r>
      <w:r w:rsidRPr="00F57044" w:rsidR="0080784A">
        <w:t>e Commission’s</w:t>
      </w:r>
      <w:r w:rsidRPr="00F57044" w:rsidR="00D6783F">
        <w:t xml:space="preserve"> option, we are consulting </w:t>
      </w:r>
      <w:r w:rsidRPr="00F57044" w:rsidR="00BA7E14">
        <w:t xml:space="preserve">on an </w:t>
      </w:r>
      <w:r w:rsidRPr="00F57044" w:rsidR="00867058">
        <w:t xml:space="preserve">alternative </w:t>
      </w:r>
      <w:r w:rsidRPr="00F57044" w:rsidR="00BA7E14">
        <w:t>option</w:t>
      </w:r>
      <w:r w:rsidRPr="00F57044" w:rsidR="00945C6E">
        <w:t>. This</w:t>
      </w:r>
      <w:r w:rsidRPr="00F57044" w:rsidR="00BA7E14">
        <w:t xml:space="preserve"> </w:t>
      </w:r>
      <w:r w:rsidRPr="00F57044" w:rsidR="00945C6E">
        <w:t xml:space="preserve">would </w:t>
      </w:r>
      <w:r w:rsidRPr="00F57044" w:rsidR="002C2446">
        <w:t>maintai</w:t>
      </w:r>
      <w:r w:rsidRPr="00F57044" w:rsidR="00867058">
        <w:t xml:space="preserve">n </w:t>
      </w:r>
      <w:r w:rsidRPr="00F57044" w:rsidR="001E50C6">
        <w:t>status quo unit settings,</w:t>
      </w:r>
      <w:r w:rsidRPr="00F57044" w:rsidR="000E41CF">
        <w:t xml:space="preserve"> extended </w:t>
      </w:r>
      <w:r w:rsidRPr="00F57044" w:rsidR="008B6598">
        <w:t>to 2030</w:t>
      </w:r>
      <w:r w:rsidRPr="00F57044" w:rsidR="0000672F">
        <w:t>.</w:t>
      </w:r>
      <w:r w:rsidRPr="00F57044" w:rsidR="00F45D13">
        <w:t xml:space="preserve"> </w:t>
      </w:r>
    </w:p>
    <w:p w:rsidRPr="00F57044" w:rsidR="000B78F7" w:rsidP="009E4DFF" w:rsidRDefault="00696935" w14:paraId="24E1A4F0" w14:textId="3CF3E58B">
      <w:pPr>
        <w:pStyle w:val="BodyText"/>
      </w:pPr>
      <w:r w:rsidRPr="00F57044">
        <w:t xml:space="preserve">There </w:t>
      </w:r>
      <w:r w:rsidRPr="00F57044" w:rsidR="00CF6D8B">
        <w:t>are three main reasons</w:t>
      </w:r>
      <w:r w:rsidRPr="00F57044" w:rsidR="0052305E">
        <w:t xml:space="preserve"> why</w:t>
      </w:r>
      <w:r w:rsidRPr="00F57044" w:rsidR="00CF6D8B">
        <w:t xml:space="preserve"> we’re consulting on this option</w:t>
      </w:r>
      <w:r w:rsidRPr="00F57044" w:rsidR="00FC5591">
        <w:t>:</w:t>
      </w:r>
    </w:p>
    <w:p w:rsidRPr="00F57044" w:rsidR="00FC5591" w:rsidP="00F353A0" w:rsidRDefault="00FC5591" w14:paraId="265AEE07" w14:textId="44341B98">
      <w:pPr>
        <w:pStyle w:val="Numberedparagraph"/>
      </w:pPr>
      <w:r w:rsidRPr="00F57044">
        <w:t xml:space="preserve">Uncertainty </w:t>
      </w:r>
      <w:r w:rsidRPr="00F57044" w:rsidR="005C2A6F">
        <w:t xml:space="preserve">about </w:t>
      </w:r>
      <w:r w:rsidRPr="00F57044">
        <w:t>methodological changes</w:t>
      </w:r>
      <w:r w:rsidRPr="00F57044" w:rsidR="005C2A6F">
        <w:t>.</w:t>
      </w:r>
      <w:r w:rsidRPr="00F57044">
        <w:t xml:space="preserve"> </w:t>
      </w:r>
      <w:r w:rsidRPr="00F57044" w:rsidR="005C2A6F">
        <w:t>E</w:t>
      </w:r>
      <w:r w:rsidRPr="00F57044" w:rsidR="004714B0">
        <w:t>ven</w:t>
      </w:r>
      <w:r w:rsidRPr="00F57044" w:rsidDel="006E40C6" w:rsidR="004714B0">
        <w:t xml:space="preserve"> </w:t>
      </w:r>
      <w:r w:rsidRPr="00F57044" w:rsidR="006E40C6">
        <w:t>propo</w:t>
      </w:r>
      <w:r w:rsidRPr="00F57044" w:rsidR="0059196C">
        <w:t>r</w:t>
      </w:r>
      <w:r w:rsidRPr="00F57044" w:rsidR="006E40C6">
        <w:t>tionally</w:t>
      </w:r>
      <w:r w:rsidRPr="00F57044" w:rsidR="004714B0">
        <w:t xml:space="preserve"> small refinements to some of the </w:t>
      </w:r>
      <w:r w:rsidRPr="00F57044" w:rsidR="002B1E69">
        <w:t xml:space="preserve">Commission’s </w:t>
      </w:r>
      <w:r w:rsidRPr="00F57044" w:rsidR="004714B0">
        <w:t xml:space="preserve">changes </w:t>
      </w:r>
      <w:r w:rsidRPr="00F57044" w:rsidR="00330EB2">
        <w:t>this year</w:t>
      </w:r>
      <w:r w:rsidRPr="00F57044" w:rsidR="004714B0">
        <w:t xml:space="preserve"> could have a material impact on the number of units that are assessed </w:t>
      </w:r>
      <w:r w:rsidRPr="00F57044" w:rsidR="002B1E69">
        <w:t>as aligning</w:t>
      </w:r>
      <w:r w:rsidRPr="00F57044" w:rsidR="004714B0">
        <w:t xml:space="preserve"> with </w:t>
      </w:r>
      <w:r w:rsidRPr="00F57044" w:rsidR="00321B55">
        <w:t>emissions reduction targets</w:t>
      </w:r>
      <w:r w:rsidRPr="00F57044" w:rsidR="004714B0">
        <w:t>.</w:t>
      </w:r>
    </w:p>
    <w:p w:rsidRPr="00F57044" w:rsidR="00CC1954" w:rsidP="00F353A0" w:rsidRDefault="00A7486D" w14:paraId="4AFE1806" w14:textId="29D00503">
      <w:pPr>
        <w:pStyle w:val="Numberedparagraph"/>
      </w:pPr>
      <w:r w:rsidRPr="00F57044">
        <w:t xml:space="preserve">Delivering emissions </w:t>
      </w:r>
      <w:r w:rsidRPr="00F57044" w:rsidR="00A43CA1">
        <w:t>reduction targets</w:t>
      </w:r>
      <w:r w:rsidRPr="00F57044" w:rsidR="005C2A6F">
        <w:t>.</w:t>
      </w:r>
      <w:r w:rsidRPr="00F57044">
        <w:t xml:space="preserve"> </w:t>
      </w:r>
      <w:r w:rsidRPr="00F57044" w:rsidR="005C2A6F">
        <w:t>T</w:t>
      </w:r>
      <w:r w:rsidRPr="00F57044" w:rsidR="00D40299">
        <w:t xml:space="preserve">ighter unit settings </w:t>
      </w:r>
      <w:r w:rsidRPr="00F57044" w:rsidR="00B3660D">
        <w:t>w</w:t>
      </w:r>
      <w:r w:rsidRPr="00F57044" w:rsidR="00D40299">
        <w:t xml:space="preserve">ould </w:t>
      </w:r>
      <w:r w:rsidRPr="00F57044" w:rsidR="00B06DD6">
        <w:t xml:space="preserve">strengthen </w:t>
      </w:r>
      <w:r w:rsidRPr="00F57044" w:rsidR="00D726EB">
        <w:t>the</w:t>
      </w:r>
      <w:r w:rsidRPr="00F57044" w:rsidR="00B06DD6">
        <w:t xml:space="preserve"> </w:t>
      </w:r>
      <w:r w:rsidRPr="00F57044" w:rsidR="00453CE9">
        <w:t xml:space="preserve">likelihood of achieving </w:t>
      </w:r>
      <w:r w:rsidRPr="00F57044" w:rsidR="00D40299">
        <w:t>emission</w:t>
      </w:r>
      <w:r w:rsidRPr="00F57044" w:rsidR="00BD066A">
        <w:t>s</w:t>
      </w:r>
      <w:r w:rsidRPr="00F57044" w:rsidR="00D726EB">
        <w:t xml:space="preserve"> reduction targets</w:t>
      </w:r>
      <w:r w:rsidRPr="00F57044" w:rsidR="006B1E81">
        <w:t>. This</w:t>
      </w:r>
      <w:r w:rsidRPr="00F57044" w:rsidR="00BA25A1">
        <w:t xml:space="preserve"> </w:t>
      </w:r>
      <w:r w:rsidRPr="00F57044" w:rsidR="001069E5">
        <w:t>is especially relevant</w:t>
      </w:r>
      <w:r w:rsidRPr="00F57044" w:rsidR="00453CE9">
        <w:t xml:space="preserve"> for achieving</w:t>
      </w:r>
      <w:r w:rsidRPr="00F57044" w:rsidR="009F1B88">
        <w:t xml:space="preserve"> </w:t>
      </w:r>
      <w:r w:rsidRPr="00F57044" w:rsidR="00662F83">
        <w:t>the</w:t>
      </w:r>
      <w:r w:rsidRPr="00F57044" w:rsidR="009F1B88">
        <w:t xml:space="preserve"> challenging </w:t>
      </w:r>
      <w:r w:rsidRPr="00F57044" w:rsidR="000215E3">
        <w:t xml:space="preserve">third </w:t>
      </w:r>
      <w:r w:rsidRPr="00F57044" w:rsidR="0052305E">
        <w:t>e</w:t>
      </w:r>
      <w:r w:rsidRPr="00F57044" w:rsidR="000215E3">
        <w:t xml:space="preserve">missions </w:t>
      </w:r>
      <w:r w:rsidRPr="00F57044" w:rsidR="0052305E">
        <w:t>b</w:t>
      </w:r>
      <w:r w:rsidRPr="00F57044" w:rsidR="000215E3">
        <w:t>udget</w:t>
      </w:r>
      <w:r w:rsidRPr="00F57044" w:rsidR="006B1E81">
        <w:t>,</w:t>
      </w:r>
      <w:r w:rsidRPr="00F57044" w:rsidR="000215E3">
        <w:t xml:space="preserve"> </w:t>
      </w:r>
      <w:r w:rsidRPr="00F57044" w:rsidR="006B1E81">
        <w:t xml:space="preserve">for </w:t>
      </w:r>
      <w:r w:rsidRPr="00F57044" w:rsidR="000215E3">
        <w:t>2031</w:t>
      </w:r>
      <w:r w:rsidRPr="00F57044" w:rsidR="0052305E">
        <w:t>–</w:t>
      </w:r>
      <w:r w:rsidRPr="00F57044" w:rsidR="000215E3">
        <w:t>35</w:t>
      </w:r>
      <w:r w:rsidRPr="00F57044" w:rsidR="009F1B88">
        <w:t>.</w:t>
      </w:r>
    </w:p>
    <w:p w:rsidRPr="00F57044" w:rsidR="00B865AC" w:rsidP="00F353A0" w:rsidRDefault="0072728C" w14:paraId="3E38255B" w14:textId="25DC9B8F">
      <w:pPr>
        <w:pStyle w:val="Numberedparagraph"/>
      </w:pPr>
      <w:r w:rsidRPr="00F57044">
        <w:t>Recent market dynamics</w:t>
      </w:r>
      <w:r w:rsidRPr="00F57044" w:rsidR="006B1E81">
        <w:t>.</w:t>
      </w:r>
      <w:r w:rsidRPr="00F57044">
        <w:t xml:space="preserve"> </w:t>
      </w:r>
      <w:r w:rsidRPr="00F57044" w:rsidR="008F136C">
        <w:t>R</w:t>
      </w:r>
      <w:r w:rsidRPr="00F57044">
        <w:t xml:space="preserve">ecent market pricing and </w:t>
      </w:r>
      <w:r w:rsidRPr="00F57044" w:rsidR="00140D20">
        <w:t xml:space="preserve">the </w:t>
      </w:r>
      <w:r w:rsidRPr="00F57044">
        <w:t xml:space="preserve">partial clearance of auctions </w:t>
      </w:r>
      <w:r w:rsidRPr="00F57044" w:rsidR="00140D20">
        <w:t>in 2024</w:t>
      </w:r>
      <w:r w:rsidRPr="00F57044" w:rsidR="002A504A">
        <w:t xml:space="preserve"> </w:t>
      </w:r>
      <w:r w:rsidRPr="00F57044">
        <w:t>suggest that additional auction volumes</w:t>
      </w:r>
      <w:r w:rsidRPr="00F57044" w:rsidR="00B84C7C">
        <w:t xml:space="preserve"> </w:t>
      </w:r>
      <w:r w:rsidRPr="00F57044" w:rsidR="002A504A">
        <w:t>may</w:t>
      </w:r>
      <w:r w:rsidRPr="00F57044" w:rsidR="00B84C7C">
        <w:t xml:space="preserve"> not</w:t>
      </w:r>
      <w:r w:rsidRPr="00F57044" w:rsidR="002A504A">
        <w:t xml:space="preserve"> be</w:t>
      </w:r>
      <w:r w:rsidRPr="00F57044" w:rsidR="00B84C7C">
        <w:t xml:space="preserve"> needed</w:t>
      </w:r>
      <w:r w:rsidRPr="00F57044">
        <w:t>.</w:t>
      </w:r>
      <w:r w:rsidRPr="00F57044" w:rsidR="00F45D13">
        <w:t xml:space="preserve"> </w:t>
      </w:r>
    </w:p>
    <w:p w:rsidRPr="00F57044" w:rsidR="00BE037E" w:rsidP="00ED175A" w:rsidRDefault="00B865AC" w14:paraId="5BBF3F09" w14:textId="48E64F1F">
      <w:pPr>
        <w:pStyle w:val="BodyText"/>
      </w:pPr>
      <w:r w:rsidRPr="00F57044">
        <w:rPr>
          <w:b/>
          <w:bCs/>
        </w:rPr>
        <w:t xml:space="preserve">We welcome your feedback on this alternative option. </w:t>
      </w:r>
    </w:p>
    <w:p w:rsidRPr="00F57044" w:rsidR="00F353A0" w:rsidP="000974A8" w:rsidRDefault="00334189" w14:paraId="1E2CA616" w14:textId="239A336E">
      <w:pPr>
        <w:pStyle w:val="BodyText"/>
        <w:spacing w:after="0"/>
        <w:rPr>
          <w:b/>
          <w:bCs/>
        </w:rPr>
      </w:pPr>
      <w:r w:rsidRPr="00F57044">
        <w:t>The Commission ha</w:t>
      </w:r>
      <w:r w:rsidRPr="00F57044" w:rsidR="001D4DA7">
        <w:t>s</w:t>
      </w:r>
      <w:r w:rsidRPr="00F57044">
        <w:t xml:space="preserve"> recommended </w:t>
      </w:r>
      <w:r w:rsidRPr="00F57044" w:rsidR="00945C6E">
        <w:t xml:space="preserve">that </w:t>
      </w:r>
      <w:r w:rsidRPr="00F57044">
        <w:t xml:space="preserve">there </w:t>
      </w:r>
      <w:r w:rsidR="007F5157">
        <w:t>be</w:t>
      </w:r>
      <w:r w:rsidRPr="00F57044" w:rsidR="007F5157">
        <w:t xml:space="preserve"> </w:t>
      </w:r>
      <w:r w:rsidRPr="00F57044" w:rsidR="00CC6CF6">
        <w:t xml:space="preserve">no changes to </w:t>
      </w:r>
      <w:r w:rsidRPr="00F57044" w:rsidR="00184D22">
        <w:t>price control settings</w:t>
      </w:r>
      <w:r w:rsidRPr="00F57044" w:rsidR="006B1E81">
        <w:t>. It</w:t>
      </w:r>
      <w:r w:rsidRPr="00F57044" w:rsidR="000974A8">
        <w:t> </w:t>
      </w:r>
      <w:r w:rsidRPr="00F57044" w:rsidR="006B1E81">
        <w:t xml:space="preserve">advises </w:t>
      </w:r>
      <w:r w:rsidRPr="00F57044" w:rsidR="0026664F">
        <w:t xml:space="preserve">that </w:t>
      </w:r>
      <w:r w:rsidR="00620120">
        <w:t>the current settings</w:t>
      </w:r>
      <w:r w:rsidRPr="00F57044" w:rsidR="00620120">
        <w:t xml:space="preserve"> </w:t>
      </w:r>
      <w:r w:rsidRPr="00F57044" w:rsidR="0026664F">
        <w:t xml:space="preserve">are consistent with the range of emissions prices </w:t>
      </w:r>
      <w:r w:rsidRPr="00F57044" w:rsidR="006B1E81">
        <w:t>we will</w:t>
      </w:r>
      <w:r w:rsidRPr="00F57044" w:rsidR="0026664F">
        <w:t xml:space="preserve"> likely </w:t>
      </w:r>
      <w:r w:rsidRPr="00F57044" w:rsidR="006B1E81">
        <w:t>need</w:t>
      </w:r>
      <w:r w:rsidRPr="00F57044" w:rsidR="0026664F">
        <w:t xml:space="preserve"> </w:t>
      </w:r>
      <w:r w:rsidRPr="00F57044" w:rsidR="00945C6E">
        <w:t>to meet</w:t>
      </w:r>
      <w:r w:rsidRPr="00F57044" w:rsidR="000974A8">
        <w:t> </w:t>
      </w:r>
      <w:r w:rsidRPr="00F57044" w:rsidR="0026664F">
        <w:t xml:space="preserve">our emissions reduction targets. </w:t>
      </w:r>
      <w:r w:rsidRPr="00F57044" w:rsidR="006B1E81">
        <w:rPr>
          <w:b/>
          <w:bCs/>
        </w:rPr>
        <w:t>We</w:t>
      </w:r>
      <w:r w:rsidRPr="00F57044" w:rsidR="00184D22">
        <w:rPr>
          <w:b/>
          <w:bCs/>
        </w:rPr>
        <w:t xml:space="preserve"> agree</w:t>
      </w:r>
      <w:r w:rsidRPr="00F57044" w:rsidR="00EF376F">
        <w:rPr>
          <w:b/>
          <w:bCs/>
        </w:rPr>
        <w:t xml:space="preserve"> with this recommendation</w:t>
      </w:r>
      <w:r w:rsidRPr="00F57044" w:rsidR="00945C6E">
        <w:rPr>
          <w:b/>
          <w:bCs/>
        </w:rPr>
        <w:t>,</w:t>
      </w:r>
      <w:r w:rsidRPr="00F57044" w:rsidR="003F55BD">
        <w:rPr>
          <w:b/>
          <w:bCs/>
        </w:rPr>
        <w:t xml:space="preserve"> and we now seek</w:t>
      </w:r>
      <w:r w:rsidRPr="00F57044" w:rsidR="000974A8">
        <w:rPr>
          <w:b/>
          <w:bCs/>
        </w:rPr>
        <w:t> </w:t>
      </w:r>
      <w:r w:rsidRPr="00F57044" w:rsidR="002B1E69">
        <w:rPr>
          <w:b/>
          <w:bCs/>
        </w:rPr>
        <w:t xml:space="preserve">your </w:t>
      </w:r>
      <w:r w:rsidRPr="00F57044" w:rsidR="0026664F">
        <w:rPr>
          <w:b/>
          <w:bCs/>
        </w:rPr>
        <w:t>feedback</w:t>
      </w:r>
      <w:r w:rsidRPr="00F57044" w:rsidDel="004803E6" w:rsidR="00BA0435">
        <w:rPr>
          <w:b/>
          <w:bCs/>
        </w:rPr>
        <w:t>.</w:t>
      </w:r>
    </w:p>
    <w:p w:rsidRPr="00F57044" w:rsidR="00752BD7" w:rsidP="000974A8" w:rsidRDefault="00752BD7" w14:paraId="2D6BEF5A" w14:textId="2618BD8E">
      <w:pPr>
        <w:pStyle w:val="BodyText"/>
        <w:spacing w:before="0" w:after="0"/>
        <w:rPr>
          <w:rFonts w:cstheme="minorHAnsi"/>
        </w:rPr>
      </w:pPr>
      <w:r w:rsidRPr="00F57044">
        <w:rPr>
          <w:highlight w:val="yellow"/>
        </w:rPr>
        <w:br w:type="page"/>
      </w:r>
    </w:p>
    <w:p w:rsidRPr="00F57044" w:rsidR="001A7C31" w:rsidP="009E3890" w:rsidRDefault="001A7C31" w14:paraId="48805AF0" w14:textId="1D5808E2">
      <w:pPr>
        <w:pStyle w:val="Heading1"/>
      </w:pPr>
      <w:bookmarkStart w:name="_Toc163048573" w:id="4"/>
      <w:bookmarkStart w:name="_Toc199231013" w:id="5"/>
      <w:r w:rsidRPr="00F57044">
        <w:t>About this consultation</w:t>
      </w:r>
      <w:bookmarkEnd w:id="1"/>
      <w:bookmarkEnd w:id="2"/>
      <w:bookmarkEnd w:id="4"/>
      <w:bookmarkEnd w:id="5"/>
    </w:p>
    <w:p w:rsidRPr="00F57044" w:rsidR="00BE4AB1" w:rsidP="009C16D7" w:rsidRDefault="001A7C31" w14:paraId="1B305D34" w14:textId="00787396">
      <w:pPr>
        <w:pStyle w:val="BodyText"/>
        <w:spacing w:before="100" w:after="100"/>
      </w:pPr>
      <w:r w:rsidRPr="00F57044">
        <w:t xml:space="preserve">This consultation seeks your views on options for annual updates to New Zealand Emissions Trading Scheme </w:t>
      </w:r>
      <w:r w:rsidRPr="00F57044">
        <w:rPr>
          <w:b/>
          <w:bCs/>
        </w:rPr>
        <w:t>unit limits</w:t>
      </w:r>
      <w:r w:rsidRPr="00F57044">
        <w:t xml:space="preserve"> and </w:t>
      </w:r>
      <w:r w:rsidRPr="00F57044">
        <w:rPr>
          <w:b/>
          <w:bCs/>
        </w:rPr>
        <w:t>price control settings</w:t>
      </w:r>
      <w:r w:rsidRPr="00F57044">
        <w:t xml:space="preserve"> </w:t>
      </w:r>
      <w:r w:rsidRPr="00F57044" w:rsidR="00221528">
        <w:t xml:space="preserve">(NZ ETS settings) </w:t>
      </w:r>
      <w:r w:rsidRPr="00F57044">
        <w:t>for 202</w:t>
      </w:r>
      <w:r w:rsidRPr="00F57044" w:rsidR="00B9409E">
        <w:t>6</w:t>
      </w:r>
      <w:r w:rsidRPr="00F57044" w:rsidR="004E2AC3">
        <w:t>–</w:t>
      </w:r>
      <w:r w:rsidRPr="00F57044" w:rsidR="00B9409E">
        <w:t>30</w:t>
      </w:r>
      <w:r w:rsidRPr="00F57044">
        <w:t xml:space="preserve">. </w:t>
      </w:r>
    </w:p>
    <w:p w:rsidRPr="00F57044" w:rsidR="00BE4AB1" w:rsidP="009C16D7" w:rsidRDefault="003619F3" w14:paraId="34662080" w14:textId="47DDB24D">
      <w:pPr>
        <w:pStyle w:val="BodyText"/>
        <w:spacing w:before="100" w:after="100"/>
      </w:pPr>
      <w:r w:rsidRPr="00F57044">
        <w:t xml:space="preserve">The </w:t>
      </w:r>
      <w:r w:rsidRPr="00F57044" w:rsidR="00BE4AB1">
        <w:t xml:space="preserve">NZ ETS is the key tool to help </w:t>
      </w:r>
      <w:r w:rsidRPr="00F57044" w:rsidR="006C5E66">
        <w:t xml:space="preserve">Aotearoa </w:t>
      </w:r>
      <w:r w:rsidRPr="00F57044" w:rsidR="00BE4AB1">
        <w:t xml:space="preserve">New Zealand meet its emissions budgets, </w:t>
      </w:r>
      <w:r w:rsidR="00277026">
        <w:t>N</w:t>
      </w:r>
      <w:r w:rsidRPr="00F57044" w:rsidR="00BE4AB1">
        <w:t xml:space="preserve">ationally </w:t>
      </w:r>
      <w:r w:rsidR="00277026">
        <w:t>D</w:t>
      </w:r>
      <w:r w:rsidRPr="00F57044" w:rsidR="00B02691">
        <w:t>e</w:t>
      </w:r>
      <w:r w:rsidRPr="00F57044" w:rsidR="00BE4AB1">
        <w:t xml:space="preserve">termined </w:t>
      </w:r>
      <w:r w:rsidR="00277026">
        <w:t>C</w:t>
      </w:r>
      <w:r w:rsidRPr="00F57044" w:rsidR="00BE4AB1">
        <w:t>ontribution</w:t>
      </w:r>
      <w:r w:rsidRPr="00F57044" w:rsidR="00A26AB3">
        <w:t>s</w:t>
      </w:r>
      <w:r w:rsidRPr="00F57044" w:rsidR="00BE4AB1">
        <w:t xml:space="preserve"> (NDC</w:t>
      </w:r>
      <w:r w:rsidRPr="00F57044" w:rsidR="00A26AB3">
        <w:t>s</w:t>
      </w:r>
      <w:r w:rsidRPr="00F57044" w:rsidR="00BE4AB1">
        <w:t xml:space="preserve">) </w:t>
      </w:r>
      <w:r w:rsidR="006D4F96">
        <w:t xml:space="preserve">under the Paris Agreement </w:t>
      </w:r>
      <w:r w:rsidRPr="00F57044" w:rsidR="00BE4AB1">
        <w:t xml:space="preserve">and the 2050 target. </w:t>
      </w:r>
      <w:r w:rsidRPr="00F57044" w:rsidR="007A0041">
        <w:t xml:space="preserve">Updating NZ ETS settings every year helps New Zealand stay on track to meet </w:t>
      </w:r>
      <w:r w:rsidRPr="00F57044" w:rsidR="00BE4AB1">
        <w:t>th</w:t>
      </w:r>
      <w:r w:rsidRPr="00F57044" w:rsidR="009D6347">
        <w:t>o</w:t>
      </w:r>
      <w:r w:rsidRPr="00F57044" w:rsidR="00BE4AB1">
        <w:t xml:space="preserve">se emissions </w:t>
      </w:r>
      <w:r w:rsidRPr="00F57044" w:rsidR="000C43B5">
        <w:t xml:space="preserve">reduction </w:t>
      </w:r>
      <w:r w:rsidRPr="00F57044" w:rsidR="00BE4AB1">
        <w:t xml:space="preserve">targets. </w:t>
      </w:r>
    </w:p>
    <w:p w:rsidRPr="00F57044" w:rsidR="00897D5E" w:rsidP="009C16D7" w:rsidRDefault="001A7C31" w14:paraId="53E69628" w14:textId="0E50D488">
      <w:pPr>
        <w:pStyle w:val="BodyText"/>
        <w:spacing w:before="100" w:after="100"/>
      </w:pPr>
      <w:r w:rsidRPr="00F57044">
        <w:t xml:space="preserve">This is the </w:t>
      </w:r>
      <w:r w:rsidRPr="00F57044" w:rsidR="00B9409E">
        <w:t>fifth</w:t>
      </w:r>
      <w:r w:rsidRPr="00F57044">
        <w:t xml:space="preserve"> year that these settings will be updated since 2020.</w:t>
      </w:r>
      <w:r w:rsidRPr="00F57044" w:rsidR="00897D5E">
        <w:t xml:space="preserve"> NZ ETS settings must be updated by the end of September </w:t>
      </w:r>
      <w:r w:rsidRPr="00F57044" w:rsidR="008944E9">
        <w:t xml:space="preserve">each </w:t>
      </w:r>
      <w:r w:rsidRPr="00F57044" w:rsidR="00897D5E">
        <w:t>year</w:t>
      </w:r>
      <w:r w:rsidRPr="00F57044" w:rsidR="00836FC1">
        <w:t>,</w:t>
      </w:r>
      <w:r w:rsidRPr="00F57044" w:rsidR="00DB6B13">
        <w:t xml:space="preserve"> after consultation</w:t>
      </w:r>
      <w:r w:rsidRPr="00F57044" w:rsidR="00897D5E">
        <w:t>.</w:t>
      </w:r>
    </w:p>
    <w:p w:rsidRPr="00F57044" w:rsidR="007874C6" w:rsidP="009C16D7" w:rsidRDefault="0048015E" w14:paraId="73226EA9" w14:textId="5FA66CD2">
      <w:pPr>
        <w:pStyle w:val="BodyText"/>
        <w:spacing w:before="100" w:after="100"/>
      </w:pPr>
      <w:r w:rsidRPr="00F57044">
        <w:t>The Climate Change Response Act 2002 (</w:t>
      </w:r>
      <w:r w:rsidRPr="00F57044" w:rsidR="00A22F12">
        <w:t>CCRA</w:t>
      </w:r>
      <w:r w:rsidRPr="00F57044">
        <w:t xml:space="preserve">) </w:t>
      </w:r>
      <w:r w:rsidRPr="00F57044" w:rsidR="00DC2929">
        <w:t xml:space="preserve">establishes the process for updating NZ ETS settings. </w:t>
      </w:r>
      <w:r w:rsidRPr="00F57044" w:rsidR="00B02691">
        <w:t>It</w:t>
      </w:r>
      <w:r w:rsidRPr="00F57044" w:rsidR="00DC2929">
        <w:t xml:space="preserve"> requires that </w:t>
      </w:r>
      <w:r w:rsidRPr="00F57044" w:rsidR="004E2AC3">
        <w:t>they</w:t>
      </w:r>
      <w:r w:rsidRPr="00F57044" w:rsidDel="00DC2929" w:rsidR="00897D5E">
        <w:t xml:space="preserve"> </w:t>
      </w:r>
      <w:r w:rsidRPr="00F57044" w:rsidR="00897D5E">
        <w:t>accord with New Zealand’s emissions budgets</w:t>
      </w:r>
      <w:r w:rsidRPr="00F57044" w:rsidR="00FF69EE">
        <w:t>,</w:t>
      </w:r>
      <w:r w:rsidRPr="00F57044" w:rsidR="004B49B6">
        <w:t xml:space="preserve"> </w:t>
      </w:r>
      <w:r w:rsidRPr="00F57044" w:rsidR="007A0041">
        <w:t>NDC</w:t>
      </w:r>
      <w:r w:rsidRPr="00F57044" w:rsidR="003835E4">
        <w:t>s</w:t>
      </w:r>
      <w:r w:rsidRPr="00F57044" w:rsidR="00897D5E">
        <w:t xml:space="preserve"> and the 2050 target</w:t>
      </w:r>
      <w:r w:rsidRPr="00F57044" w:rsidR="00856B8E">
        <w:t xml:space="preserve">. </w:t>
      </w:r>
      <w:r w:rsidRPr="00F57044" w:rsidR="00F544F2">
        <w:t>I</w:t>
      </w:r>
      <w:r w:rsidRPr="00F57044" w:rsidR="007874C6">
        <w:t xml:space="preserve">f settings </w:t>
      </w:r>
      <w:r w:rsidRPr="00F57044" w:rsidR="00A34972">
        <w:t>do not strictly accord</w:t>
      </w:r>
      <w:r w:rsidRPr="00F57044" w:rsidR="007874C6">
        <w:t xml:space="preserve"> with </w:t>
      </w:r>
      <w:r w:rsidRPr="00F57044" w:rsidR="00B02691">
        <w:t xml:space="preserve">the </w:t>
      </w:r>
      <w:r w:rsidRPr="00F57044" w:rsidR="007874C6">
        <w:t>emissions budgets or NDC</w:t>
      </w:r>
      <w:r w:rsidRPr="00F57044" w:rsidR="009A1826">
        <w:t>s</w:t>
      </w:r>
      <w:r w:rsidRPr="00F57044" w:rsidR="00D4646F">
        <w:t>,</w:t>
      </w:r>
      <w:r w:rsidRPr="00F57044" w:rsidR="007874C6">
        <w:t xml:space="preserve"> any departure must be justified </w:t>
      </w:r>
      <w:r w:rsidRPr="00F57044" w:rsidR="00076135">
        <w:t xml:space="preserve">with reference to the </w:t>
      </w:r>
      <w:r w:rsidRPr="00F57044" w:rsidR="004C12E5">
        <w:t>consideration</w:t>
      </w:r>
      <w:r w:rsidRPr="00F57044" w:rsidR="007874C6">
        <w:t>s</w:t>
      </w:r>
      <w:r w:rsidRPr="00F57044" w:rsidR="004C12E5">
        <w:t xml:space="preserve"> listed in the </w:t>
      </w:r>
      <w:r w:rsidRPr="00F57044" w:rsidR="00A22F12">
        <w:t xml:space="preserve">CCRA </w:t>
      </w:r>
      <w:r w:rsidRPr="00F57044" w:rsidR="00DC2929">
        <w:t>(</w:t>
      </w:r>
      <w:r w:rsidRPr="00F57044" w:rsidDel="001D391D" w:rsidR="007874C6">
        <w:t>s</w:t>
      </w:r>
      <w:r w:rsidRPr="00F57044" w:rsidR="007874C6">
        <w:t>ee</w:t>
      </w:r>
      <w:r w:rsidRPr="00F57044" w:rsidR="003C3408">
        <w:t xml:space="preserve"> </w:t>
      </w:r>
      <w:hyperlink w:history="1" w:anchor="_Objectives_–_accordance">
        <w:r w:rsidRPr="00F57044" w:rsidR="00D11057">
          <w:rPr>
            <w:rStyle w:val="Hyperlink"/>
          </w:rPr>
          <w:t>Objectives – accordance test</w:t>
        </w:r>
      </w:hyperlink>
      <w:r w:rsidRPr="00F57044" w:rsidR="008B1760">
        <w:t>)</w:t>
      </w:r>
      <w:r w:rsidRPr="00F57044" w:rsidR="007874C6">
        <w:t>. Collectively, these are the ‘accordance test’.</w:t>
      </w:r>
    </w:p>
    <w:p w:rsidRPr="00F57044" w:rsidR="00B02691" w:rsidP="009C16D7" w:rsidRDefault="00CB0D70" w14:paraId="7EF0797A" w14:textId="135E26B4">
      <w:pPr>
        <w:pStyle w:val="BodyText"/>
        <w:spacing w:before="100" w:after="100"/>
      </w:pPr>
      <w:r w:rsidRPr="00F57044">
        <w:t xml:space="preserve">The </w:t>
      </w:r>
      <w:r w:rsidRPr="00F57044" w:rsidR="00856B8E">
        <w:t xml:space="preserve">options presented </w:t>
      </w:r>
      <w:r w:rsidRPr="00F57044" w:rsidR="00B02691">
        <w:t xml:space="preserve">here </w:t>
      </w:r>
      <w:r w:rsidRPr="00F57044">
        <w:t xml:space="preserve">have been </w:t>
      </w:r>
      <w:r w:rsidRPr="00F57044" w:rsidR="00C11278">
        <w:t xml:space="preserve">assessed </w:t>
      </w:r>
      <w:r w:rsidRPr="00F57044" w:rsidR="00856B8E">
        <w:t xml:space="preserve">against </w:t>
      </w:r>
      <w:r w:rsidRPr="00F57044" w:rsidR="00D4646F">
        <w:t>the accordance test</w:t>
      </w:r>
      <w:r w:rsidRPr="00F57044" w:rsidR="00B02691">
        <w:t>,</w:t>
      </w:r>
      <w:r w:rsidRPr="00F57044" w:rsidR="00856B8E">
        <w:t xml:space="preserve"> based on currently available evidence</w:t>
      </w:r>
      <w:r w:rsidRPr="00F57044" w:rsidR="003C3408">
        <w:t xml:space="preserve"> and information</w:t>
      </w:r>
      <w:r w:rsidRPr="00F57044" w:rsidR="00107F18">
        <w:t xml:space="preserve"> </w:t>
      </w:r>
      <w:r w:rsidRPr="00F57044" w:rsidR="007C338F">
        <w:t>(see</w:t>
      </w:r>
      <w:r w:rsidRPr="00F57044" w:rsidR="00195F3A">
        <w:t xml:space="preserve"> </w:t>
      </w:r>
      <w:hyperlink w:history="1" w:anchor="_Accordance_with_emissions">
        <w:r w:rsidRPr="00F57044" w:rsidR="00E50B85">
          <w:rPr>
            <w:rStyle w:val="Hyperlink"/>
          </w:rPr>
          <w:t>Accordance with emissions budgets</w:t>
        </w:r>
      </w:hyperlink>
      <w:r w:rsidRPr="00F57044" w:rsidR="007C338F">
        <w:t>)</w:t>
      </w:r>
      <w:r w:rsidRPr="00F57044" w:rsidR="00E50B85">
        <w:t xml:space="preserve">. </w:t>
      </w:r>
    </w:p>
    <w:p w:rsidRPr="00F57044" w:rsidR="00290F9A" w:rsidP="009C16D7" w:rsidRDefault="00981927" w14:paraId="2A59B815" w14:textId="42015951">
      <w:pPr>
        <w:pStyle w:val="BodyText"/>
        <w:spacing w:before="100" w:after="100"/>
        <w:rPr>
          <w:b/>
          <w:bCs/>
        </w:rPr>
      </w:pPr>
      <w:r w:rsidRPr="00F57044">
        <w:rPr>
          <w:b/>
          <w:bCs/>
        </w:rPr>
        <w:t>The Ministry for the Environment is</w:t>
      </w:r>
      <w:r w:rsidRPr="00F57044" w:rsidR="0001303D">
        <w:rPr>
          <w:b/>
          <w:bCs/>
        </w:rPr>
        <w:t xml:space="preserve"> </w:t>
      </w:r>
      <w:r w:rsidRPr="00F57044" w:rsidR="00E50B85">
        <w:rPr>
          <w:b/>
          <w:bCs/>
        </w:rPr>
        <w:t>seeking your feedback on th</w:t>
      </w:r>
      <w:r w:rsidRPr="00F57044" w:rsidR="00B02691">
        <w:rPr>
          <w:b/>
          <w:bCs/>
        </w:rPr>
        <w:t>es</w:t>
      </w:r>
      <w:r w:rsidRPr="00F57044" w:rsidR="00E50B85">
        <w:rPr>
          <w:b/>
          <w:bCs/>
        </w:rPr>
        <w:t>e options</w:t>
      </w:r>
      <w:r w:rsidRPr="00F57044" w:rsidR="00EA0836">
        <w:rPr>
          <w:b/>
          <w:bCs/>
        </w:rPr>
        <w:t>. We are also</w:t>
      </w:r>
      <w:r w:rsidRPr="00F57044" w:rsidR="00E50B85">
        <w:rPr>
          <w:b/>
          <w:bCs/>
        </w:rPr>
        <w:t xml:space="preserve"> asking if you have other options</w:t>
      </w:r>
      <w:r w:rsidRPr="00F57044" w:rsidR="002F7B73">
        <w:rPr>
          <w:b/>
          <w:bCs/>
        </w:rPr>
        <w:t>,</w:t>
      </w:r>
      <w:r w:rsidRPr="00F57044" w:rsidR="00FF080B">
        <w:rPr>
          <w:b/>
          <w:bCs/>
        </w:rPr>
        <w:t xml:space="preserve"> with supporting evidence</w:t>
      </w:r>
      <w:r w:rsidRPr="00F57044" w:rsidR="00E50B85">
        <w:rPr>
          <w:b/>
          <w:bCs/>
        </w:rPr>
        <w:t xml:space="preserve">, </w:t>
      </w:r>
      <w:r w:rsidRPr="00F57044" w:rsidR="005036A5">
        <w:rPr>
          <w:b/>
          <w:bCs/>
        </w:rPr>
        <w:t>that meet</w:t>
      </w:r>
      <w:r w:rsidRPr="00F57044" w:rsidR="00E50B85">
        <w:rPr>
          <w:b/>
          <w:bCs/>
        </w:rPr>
        <w:t xml:space="preserve"> the accordance test. </w:t>
      </w:r>
    </w:p>
    <w:p w:rsidRPr="00F57044" w:rsidR="001A7C31" w:rsidP="009C16D7" w:rsidRDefault="001A7C31" w14:paraId="29B1CF26" w14:textId="566BF75D">
      <w:pPr>
        <w:pStyle w:val="Heading2"/>
      </w:pPr>
      <w:bookmarkStart w:name="_Toc161831659" w:id="6"/>
      <w:bookmarkStart w:name="_Toc161762870" w:id="7"/>
      <w:bookmarkStart w:name="_Toc163048574" w:id="8"/>
      <w:bookmarkStart w:name="_Toc199231014" w:id="9"/>
      <w:r w:rsidRPr="00F57044">
        <w:t>Scope</w:t>
      </w:r>
      <w:bookmarkEnd w:id="6"/>
      <w:bookmarkEnd w:id="7"/>
      <w:bookmarkEnd w:id="8"/>
      <w:bookmarkEnd w:id="9"/>
    </w:p>
    <w:p w:rsidRPr="00F57044" w:rsidR="001A7C31" w:rsidP="009C16D7" w:rsidRDefault="508AB467" w14:paraId="2564A9E4" w14:textId="4F9C99B7">
      <w:pPr>
        <w:pStyle w:val="BodyText"/>
        <w:spacing w:after="100"/>
      </w:pPr>
      <w:r w:rsidRPr="00F57044">
        <w:rPr>
          <w:spacing w:val="-2"/>
        </w:rPr>
        <w:t>This consultation focuses</w:t>
      </w:r>
      <w:r w:rsidRPr="00F57044" w:rsidR="001A7C31">
        <w:rPr>
          <w:spacing w:val="-2"/>
        </w:rPr>
        <w:t xml:space="preserve"> on options for NZ ETS unit limit and price control settings for 202</w:t>
      </w:r>
      <w:r w:rsidRPr="00F57044" w:rsidR="00176466">
        <w:rPr>
          <w:spacing w:val="-2"/>
        </w:rPr>
        <w:t>6</w:t>
      </w:r>
      <w:r w:rsidRPr="00F57044" w:rsidR="002A2CE8">
        <w:rPr>
          <w:spacing w:val="-2"/>
        </w:rPr>
        <w:t>–</w:t>
      </w:r>
      <w:r w:rsidRPr="00F57044" w:rsidR="00176466">
        <w:rPr>
          <w:spacing w:val="-2"/>
        </w:rPr>
        <w:t>30</w:t>
      </w:r>
      <w:r w:rsidRPr="00F57044" w:rsidR="001A7C31">
        <w:t xml:space="preserve">. </w:t>
      </w:r>
    </w:p>
    <w:p w:rsidRPr="00F57044" w:rsidR="00B02691" w:rsidP="009C16D7" w:rsidRDefault="004E2AC3" w14:paraId="0C3038E7" w14:textId="27B8D559">
      <w:pPr>
        <w:pStyle w:val="BodyText"/>
        <w:spacing w:after="100"/>
      </w:pPr>
      <w:r w:rsidRPr="00F57044">
        <w:t>We</w:t>
      </w:r>
      <w:r w:rsidRPr="00F57044" w:rsidR="00E961BF">
        <w:t xml:space="preserve"> also </w:t>
      </w:r>
      <w:r w:rsidRPr="00F57044" w:rsidR="0062353A">
        <w:t>seek input on</w:t>
      </w:r>
      <w:r w:rsidRPr="00F57044" w:rsidR="00E41836">
        <w:t xml:space="preserve"> </w:t>
      </w:r>
      <w:r w:rsidRPr="00F57044" w:rsidR="00EC2551">
        <w:t xml:space="preserve">a provisional </w:t>
      </w:r>
      <w:r w:rsidRPr="00F57044" w:rsidR="00031FA7">
        <w:t xml:space="preserve">NZ </w:t>
      </w:r>
      <w:r w:rsidRPr="00F57044" w:rsidR="00EC2551">
        <w:t xml:space="preserve">ETS cap for </w:t>
      </w:r>
      <w:r w:rsidRPr="00F57044" w:rsidR="00220FA8">
        <w:t>the third emissions budget</w:t>
      </w:r>
      <w:r w:rsidRPr="00F57044" w:rsidR="00031FA7">
        <w:t>.</w:t>
      </w:r>
      <w:r w:rsidRPr="00F57044" w:rsidR="00EC2551">
        <w:t xml:space="preserve"> </w:t>
      </w:r>
    </w:p>
    <w:p w:rsidRPr="00F57044" w:rsidR="001A7C31" w:rsidP="009C16D7" w:rsidRDefault="001A7C31" w14:paraId="21D65570" w14:textId="63F23ADE">
      <w:pPr>
        <w:pStyle w:val="BodyText"/>
        <w:spacing w:after="100"/>
      </w:pPr>
      <w:r w:rsidRPr="00F57044">
        <w:t>The consultation does not:</w:t>
      </w:r>
    </w:p>
    <w:p w:rsidRPr="00F57044" w:rsidR="001A7C31" w:rsidP="009C16D7" w:rsidRDefault="23975AA1" w14:paraId="369879B6" w14:textId="055E94F0">
      <w:pPr>
        <w:pStyle w:val="Bullet"/>
        <w:spacing w:after="100"/>
      </w:pPr>
      <w:r w:rsidRPr="00F57044">
        <w:t>r</w:t>
      </w:r>
      <w:r w:rsidRPr="00F57044" w:rsidR="001A7C31">
        <w:t xml:space="preserve">eassess </w:t>
      </w:r>
      <w:r w:rsidRPr="00F57044" w:rsidR="1A4FA136">
        <w:t>New Zealand’s</w:t>
      </w:r>
      <w:r w:rsidRPr="00F57044" w:rsidR="001A7C31">
        <w:t xml:space="preserve"> level of</w:t>
      </w:r>
      <w:r w:rsidR="00DD2643">
        <w:t>,</w:t>
      </w:r>
      <w:r w:rsidRPr="00F57044" w:rsidR="001A7C31">
        <w:t xml:space="preserve"> or commitment to</w:t>
      </w:r>
      <w:r w:rsidR="00DD2643">
        <w:t>,</w:t>
      </w:r>
      <w:r w:rsidRPr="00F57044" w:rsidR="001A7C31">
        <w:t xml:space="preserve"> </w:t>
      </w:r>
      <w:r w:rsidRPr="00F57044" w:rsidR="5991C0D9">
        <w:t>our</w:t>
      </w:r>
      <w:r w:rsidRPr="00F57044" w:rsidR="001A7C31">
        <w:t xml:space="preserve"> international obligations, emissions budgets, </w:t>
      </w:r>
      <w:r w:rsidRPr="00F57044" w:rsidR="38F1B626">
        <w:t>NDC</w:t>
      </w:r>
      <w:r w:rsidR="00DD2643">
        <w:t>s</w:t>
      </w:r>
      <w:r w:rsidRPr="00F57044" w:rsidR="38F1B626">
        <w:t xml:space="preserve"> </w:t>
      </w:r>
      <w:r w:rsidRPr="00F57044" w:rsidR="001A7C31">
        <w:t xml:space="preserve">or 2050 target </w:t>
      </w:r>
      <w:r w:rsidRPr="00F57044" w:rsidR="1DC73DFD">
        <w:t>(</w:t>
      </w:r>
      <w:r w:rsidRPr="00F57044" w:rsidR="001A7C31">
        <w:t xml:space="preserve">which the proposed </w:t>
      </w:r>
      <w:r w:rsidR="00701B7B">
        <w:t>settings</w:t>
      </w:r>
      <w:r w:rsidRPr="00F57044" w:rsidR="00701B7B">
        <w:t xml:space="preserve"> </w:t>
      </w:r>
      <w:r w:rsidRPr="00F57044" w:rsidR="001A7C31">
        <w:t>are intended to support</w:t>
      </w:r>
      <w:r w:rsidRPr="00F57044" w:rsidR="576EF949">
        <w:t>)</w:t>
      </w:r>
    </w:p>
    <w:p w:rsidRPr="00E700BF" w:rsidR="00026EEC" w:rsidP="009C16D7" w:rsidRDefault="0052305E" w14:paraId="20BCDFFC" w14:textId="286C3AC0">
      <w:pPr>
        <w:pStyle w:val="Bullet"/>
        <w:spacing w:after="100"/>
        <w:rPr>
          <w:spacing w:val="-2"/>
        </w:rPr>
      </w:pPr>
      <w:r w:rsidRPr="00E700BF">
        <w:rPr>
          <w:spacing w:val="-2"/>
        </w:rPr>
        <w:t xml:space="preserve">include </w:t>
      </w:r>
      <w:r w:rsidRPr="00E700BF" w:rsidR="576EF949">
        <w:rPr>
          <w:spacing w:val="-2"/>
        </w:rPr>
        <w:t>a</w:t>
      </w:r>
      <w:r w:rsidRPr="00E700BF" w:rsidR="001A7C31">
        <w:rPr>
          <w:spacing w:val="-2"/>
        </w:rPr>
        <w:t xml:space="preserve">ny changes to the </w:t>
      </w:r>
      <w:r w:rsidRPr="00E700BF" w:rsidR="00EC031E">
        <w:rPr>
          <w:spacing w:val="-2"/>
        </w:rPr>
        <w:t xml:space="preserve">framework </w:t>
      </w:r>
      <w:r w:rsidRPr="00E700BF" w:rsidR="001A7C31">
        <w:rPr>
          <w:spacing w:val="-2"/>
        </w:rPr>
        <w:t xml:space="preserve">or purpose of the </w:t>
      </w:r>
      <w:r w:rsidRPr="00E700BF" w:rsidR="00031FA7">
        <w:rPr>
          <w:spacing w:val="-2"/>
        </w:rPr>
        <w:t xml:space="preserve">NZ </w:t>
      </w:r>
      <w:r w:rsidRPr="00E700BF" w:rsidR="001A7C31">
        <w:rPr>
          <w:spacing w:val="-2"/>
        </w:rPr>
        <w:t>ETS, as provided for in the</w:t>
      </w:r>
      <w:r w:rsidRPr="00E700BF" w:rsidR="006F400B">
        <w:rPr>
          <w:spacing w:val="-2"/>
        </w:rPr>
        <w:t> </w:t>
      </w:r>
      <w:r w:rsidRPr="00E700BF" w:rsidR="00853C2F">
        <w:rPr>
          <w:spacing w:val="-2"/>
        </w:rPr>
        <w:t>CCRA</w:t>
      </w:r>
    </w:p>
    <w:p w:rsidRPr="00F57044" w:rsidR="001A7C31" w:rsidP="009C16D7" w:rsidRDefault="0052305E" w14:paraId="235F4D32" w14:textId="089AF7AF">
      <w:pPr>
        <w:pStyle w:val="Bullet"/>
        <w:spacing w:after="100"/>
      </w:pPr>
      <w:r w:rsidRPr="00F57044">
        <w:t xml:space="preserve">include </w:t>
      </w:r>
      <w:r w:rsidRPr="00F57044" w:rsidR="00853C2F">
        <w:t>options for reforming the CCRA</w:t>
      </w:r>
      <w:r w:rsidRPr="00F57044" w:rsidR="25522732">
        <w:t>.</w:t>
      </w:r>
    </w:p>
    <w:p w:rsidRPr="00F57044" w:rsidR="001A7C31" w:rsidP="009C16D7" w:rsidRDefault="006616FE" w14:paraId="07D4CB94" w14:textId="75B66CE9">
      <w:pPr>
        <w:pStyle w:val="BodyText"/>
        <w:spacing w:after="100"/>
      </w:pPr>
      <w:bookmarkStart w:name="_Toc161831660" w:id="10"/>
      <w:bookmarkStart w:name="_Toc161762871" w:id="11"/>
      <w:r w:rsidRPr="00F57044">
        <w:t xml:space="preserve">The options presented </w:t>
      </w:r>
      <w:r w:rsidRPr="00F57044" w:rsidR="00EA0836">
        <w:t>here</w:t>
      </w:r>
      <w:r w:rsidRPr="00F57044">
        <w:t xml:space="preserve"> are based on the information and decisions that are available at</w:t>
      </w:r>
      <w:r w:rsidRPr="00F57044" w:rsidR="008E2D7A">
        <w:t> </w:t>
      </w:r>
      <w:r w:rsidRPr="00F57044">
        <w:t xml:space="preserve">the time of writing, including the </w:t>
      </w:r>
      <w:r w:rsidRPr="00F57044" w:rsidR="00C44309">
        <w:t xml:space="preserve">second </w:t>
      </w:r>
      <w:r w:rsidRPr="00F57044">
        <w:t xml:space="preserve">emissions reduction plan </w:t>
      </w:r>
      <w:r w:rsidRPr="00F57044" w:rsidR="00E401AE">
        <w:t xml:space="preserve">(ERP2) </w:t>
      </w:r>
      <w:r w:rsidRPr="00F57044">
        <w:t>and the 202</w:t>
      </w:r>
      <w:r w:rsidRPr="00F57044" w:rsidR="00C44309">
        <w:t>4</w:t>
      </w:r>
      <w:r w:rsidRPr="00F57044">
        <w:t xml:space="preserve"> </w:t>
      </w:r>
      <w:r w:rsidRPr="00F57044" w:rsidR="006F400B">
        <w:t>g</w:t>
      </w:r>
      <w:r w:rsidRPr="00F57044">
        <w:t xml:space="preserve">reenhouse </w:t>
      </w:r>
      <w:r w:rsidRPr="00F57044" w:rsidR="006F400B">
        <w:t>g</w:t>
      </w:r>
      <w:r w:rsidRPr="00F57044">
        <w:t xml:space="preserve">as </w:t>
      </w:r>
      <w:r w:rsidRPr="00F57044" w:rsidR="006F400B">
        <w:t>i</w:t>
      </w:r>
      <w:r w:rsidRPr="00F57044">
        <w:t xml:space="preserve">nventory. </w:t>
      </w:r>
      <w:bookmarkEnd w:id="10"/>
      <w:bookmarkEnd w:id="11"/>
    </w:p>
    <w:p w:rsidRPr="00F57044" w:rsidR="006B6170" w:rsidP="009C16D7" w:rsidRDefault="006B6170" w14:paraId="365DB8A3" w14:textId="29E84B47">
      <w:pPr>
        <w:pStyle w:val="Heading2"/>
      </w:pPr>
      <w:bookmarkStart w:name="_Toc199231015" w:id="12"/>
      <w:bookmarkStart w:name="_Toc194674907" w:id="13"/>
      <w:r w:rsidRPr="00F57044">
        <w:t>Structure</w:t>
      </w:r>
      <w:bookmarkEnd w:id="12"/>
    </w:p>
    <w:p w:rsidRPr="00F57044" w:rsidR="006B6170" w:rsidP="006B6170" w:rsidRDefault="00607570" w14:paraId="44811071" w14:textId="59694E7F">
      <w:pPr>
        <w:pStyle w:val="BodyText"/>
      </w:pPr>
      <w:r w:rsidRPr="00F57044">
        <w:t>In this consultation document, w</w:t>
      </w:r>
      <w:r w:rsidRPr="00F57044" w:rsidR="006B6170">
        <w:t xml:space="preserve">e </w:t>
      </w:r>
      <w:r w:rsidRPr="00F57044" w:rsidR="00403DB3">
        <w:t xml:space="preserve">have </w:t>
      </w:r>
      <w:r w:rsidRPr="00F57044" w:rsidR="00F91067">
        <w:t>elevated</w:t>
      </w:r>
      <w:r w:rsidRPr="00F57044" w:rsidR="00403DB3">
        <w:t xml:space="preserve"> the major, overarching question on the </w:t>
      </w:r>
      <w:r w:rsidRPr="00F57044" w:rsidR="0050216F">
        <w:t xml:space="preserve">appropriate auction unit </w:t>
      </w:r>
      <w:r w:rsidR="000455A8">
        <w:t>limits</w:t>
      </w:r>
      <w:r w:rsidRPr="00F57044" w:rsidR="000455A8">
        <w:t xml:space="preserve"> </w:t>
      </w:r>
      <w:r w:rsidRPr="00F57044" w:rsidR="00E15F8E">
        <w:t>and price controls</w:t>
      </w:r>
      <w:r w:rsidRPr="00F57044" w:rsidR="00F91067">
        <w:t xml:space="preserve">. </w:t>
      </w:r>
      <w:r w:rsidRPr="00F57044" w:rsidR="00123380">
        <w:t>Below this</w:t>
      </w:r>
      <w:r w:rsidRPr="00F57044">
        <w:t>,</w:t>
      </w:r>
      <w:r w:rsidRPr="00F57044" w:rsidR="00123380">
        <w:t xml:space="preserve"> </w:t>
      </w:r>
      <w:r w:rsidRPr="00F57044" w:rsidR="00654BB2">
        <w:t xml:space="preserve">we </w:t>
      </w:r>
      <w:r w:rsidRPr="00F57044" w:rsidR="00FE1DD5">
        <w:t xml:space="preserve">highlight </w:t>
      </w:r>
      <w:proofErr w:type="gramStart"/>
      <w:r w:rsidRPr="00F57044" w:rsidR="00FE1DD5">
        <w:t>a number of</w:t>
      </w:r>
      <w:proofErr w:type="gramEnd"/>
      <w:r w:rsidRPr="00F57044" w:rsidR="00FE1DD5">
        <w:t xml:space="preserve"> important additional questions</w:t>
      </w:r>
      <w:r w:rsidRPr="00F57044" w:rsidR="002D7577">
        <w:t xml:space="preserve"> on methodology</w:t>
      </w:r>
      <w:r w:rsidRPr="00F57044" w:rsidR="004F7CC7">
        <w:t xml:space="preserve"> that</w:t>
      </w:r>
      <w:r w:rsidRPr="00F57044" w:rsidR="00EA0836">
        <w:t xml:space="preserve"> </w:t>
      </w:r>
      <w:r w:rsidRPr="00F57044" w:rsidR="00BA1F68">
        <w:t xml:space="preserve">will </w:t>
      </w:r>
      <w:r w:rsidRPr="00F57044" w:rsidR="004F7CC7">
        <w:t>help</w:t>
      </w:r>
      <w:r w:rsidRPr="00F57044" w:rsidR="002F7C8A">
        <w:t xml:space="preserve"> inform </w:t>
      </w:r>
      <w:r w:rsidRPr="00F57044" w:rsidR="0037324D">
        <w:t xml:space="preserve">this and future </w:t>
      </w:r>
      <w:r w:rsidRPr="00F57044" w:rsidR="00B72ABA">
        <w:t xml:space="preserve">NZ </w:t>
      </w:r>
      <w:r w:rsidRPr="00F57044" w:rsidR="0037324D">
        <w:t xml:space="preserve">ETS settings. </w:t>
      </w:r>
      <w:r w:rsidRPr="00F57044" w:rsidR="00E401AE">
        <w:t>The appendices s</w:t>
      </w:r>
      <w:r w:rsidRPr="00F57044" w:rsidR="00EA0836">
        <w:t>upport a</w:t>
      </w:r>
      <w:r w:rsidRPr="00F57044" w:rsidR="00F95E78">
        <w:t>ll these questions and decisions</w:t>
      </w:r>
      <w:r w:rsidRPr="00F57044" w:rsidR="00EA0836">
        <w:t>.</w:t>
      </w:r>
      <w:r w:rsidRPr="00F57044" w:rsidR="00DD6749">
        <w:t xml:space="preserve"> </w:t>
      </w:r>
      <w:r w:rsidRPr="00F57044" w:rsidR="00EA0836">
        <w:t>The</w:t>
      </w:r>
      <w:r w:rsidRPr="00F57044" w:rsidR="00E401AE">
        <w:t>y</w:t>
      </w:r>
      <w:r w:rsidRPr="00F57044" w:rsidR="00EA0836">
        <w:t xml:space="preserve"> give more detail on</w:t>
      </w:r>
      <w:r w:rsidRPr="00F57044" w:rsidR="00865886">
        <w:t xml:space="preserve"> how </w:t>
      </w:r>
      <w:r w:rsidRPr="00F57044" w:rsidR="00EA0836">
        <w:t xml:space="preserve">we reached </w:t>
      </w:r>
      <w:r w:rsidRPr="00F57044" w:rsidR="00865886">
        <w:t>decisions</w:t>
      </w:r>
      <w:r w:rsidRPr="00F57044" w:rsidR="00EA0836">
        <w:t>,</w:t>
      </w:r>
      <w:r w:rsidRPr="00F57044" w:rsidR="00865886">
        <w:t xml:space="preserve"> </w:t>
      </w:r>
      <w:r w:rsidRPr="00F57044">
        <w:t xml:space="preserve">as well as providing </w:t>
      </w:r>
      <w:r w:rsidRPr="00F57044" w:rsidR="004F6E20">
        <w:t>info</w:t>
      </w:r>
      <w:r w:rsidRPr="00F57044" w:rsidR="00277D05">
        <w:t xml:space="preserve">rmation </w:t>
      </w:r>
      <w:r w:rsidRPr="00F57044" w:rsidR="00B75ACE">
        <w:t>that can support your</w:t>
      </w:r>
      <w:r w:rsidRPr="00F57044" w:rsidR="00EB30BB">
        <w:t> </w:t>
      </w:r>
      <w:r w:rsidRPr="00F57044" w:rsidR="00B75ACE">
        <w:t>feedback.</w:t>
      </w:r>
    </w:p>
    <w:p w:rsidRPr="00F57044" w:rsidR="00D5297D" w:rsidP="009C16D7" w:rsidRDefault="00D5297D" w14:paraId="78774377" w14:textId="79F790B5">
      <w:pPr>
        <w:pStyle w:val="Heading2"/>
      </w:pPr>
      <w:bookmarkStart w:name="_Toc199231016" w:id="14"/>
      <w:bookmarkEnd w:id="13"/>
      <w:r w:rsidRPr="00F57044">
        <w:t xml:space="preserve">How to </w:t>
      </w:r>
      <w:r w:rsidRPr="00F57044" w:rsidR="00E96826">
        <w:t>have your say</w:t>
      </w:r>
      <w:bookmarkEnd w:id="14"/>
      <w:r w:rsidRPr="00F57044">
        <w:t xml:space="preserve"> </w:t>
      </w:r>
    </w:p>
    <w:p w:rsidRPr="00F57044" w:rsidR="004918CA" w:rsidP="004918CA" w:rsidRDefault="004918CA" w14:paraId="0088A985" w14:textId="32B43C05">
      <w:pPr>
        <w:pStyle w:val="BodyText"/>
      </w:pPr>
      <w:r w:rsidRPr="00F57044">
        <w:t xml:space="preserve">The Government welcomes your comments on this consultation document. The questions throughout the document are a guide only and all comments are welcome. See </w:t>
      </w:r>
      <w:r w:rsidRPr="00F57044" w:rsidR="000F3559">
        <w:t xml:space="preserve">the </w:t>
      </w:r>
      <w:hyperlink w:history="1" w:anchor="_Consultation_questions_and">
        <w:r w:rsidRPr="00F57044" w:rsidR="000F3559">
          <w:rPr>
            <w:rStyle w:val="Hyperlink"/>
          </w:rPr>
          <w:t>Consultation questions</w:t>
        </w:r>
      </w:hyperlink>
      <w:r w:rsidRPr="00F57044" w:rsidR="000F3559">
        <w:t xml:space="preserve"> section for</w:t>
      </w:r>
      <w:r w:rsidRPr="00F57044">
        <w:t xml:space="preserve"> the full list of questions. You do not have to answer them all, and all comments are welcome. To ensure others clearly understand your point of view, you should explain the reasons for your views and give supporting evidence if needed.</w:t>
      </w:r>
    </w:p>
    <w:p w:rsidRPr="00F57044" w:rsidR="007D7756" w:rsidP="008E2D7A" w:rsidRDefault="007D7756" w14:paraId="068B3E01" w14:textId="36D40A6C">
      <w:pPr>
        <w:pStyle w:val="Heading2"/>
      </w:pPr>
      <w:bookmarkStart w:name="_Toc131577156" w:id="15"/>
      <w:bookmarkStart w:name="_Toc199231017" w:id="16"/>
      <w:r w:rsidRPr="00F57044">
        <w:t>Closing date for submissions</w:t>
      </w:r>
      <w:bookmarkEnd w:id="15"/>
      <w:bookmarkEnd w:id="16"/>
    </w:p>
    <w:p w:rsidRPr="00F57044" w:rsidR="007D7756" w:rsidP="008E2D7A" w:rsidRDefault="007D7756" w14:paraId="26D65D98" w14:textId="5905BD45">
      <w:pPr>
        <w:pStyle w:val="BodyText"/>
      </w:pPr>
      <w:r w:rsidRPr="00F57044">
        <w:t xml:space="preserve">Send in your submission by 11:59pm, </w:t>
      </w:r>
      <w:r w:rsidRPr="00F57044" w:rsidR="007B160C">
        <w:t>29</w:t>
      </w:r>
      <w:r w:rsidRPr="00F57044">
        <w:t xml:space="preserve"> June 2025. For details on how to make your submission, see </w:t>
      </w:r>
      <w:hyperlink w:anchor="_How_to_have">
        <w:r w:rsidRPr="00F57044">
          <w:rPr>
            <w:rStyle w:val="Hyperlink"/>
          </w:rPr>
          <w:t>How to have your say</w:t>
        </w:r>
      </w:hyperlink>
      <w:r w:rsidRPr="00F57044">
        <w:t>.</w:t>
      </w:r>
    </w:p>
    <w:p w:rsidRPr="00F57044" w:rsidR="007D7756" w:rsidP="007D7756" w:rsidRDefault="007D7756" w14:paraId="08D150A9" w14:textId="1D6B497C">
      <w:pPr>
        <w:pStyle w:val="BodyText"/>
      </w:pPr>
      <w:r w:rsidRPr="00F57044">
        <w:t>The consultation documents, and further details on how to make a submission, are available at </w:t>
      </w:r>
      <w:hyperlink w:history="1" r:id="rId26">
        <w:r w:rsidRPr="00F57044" w:rsidR="00F8252B">
          <w:rPr>
            <w:rStyle w:val="Hyperlink"/>
          </w:rPr>
          <w:t>https://consult.environment.govt.nz/climate/nz-ets-unit-settings-and-regulatory-updates-2025</w:t>
        </w:r>
      </w:hyperlink>
      <w:r w:rsidRPr="00F57044">
        <w:t xml:space="preserve">. If you have questions or want more information about the policy proposals or the submission process, please email </w:t>
      </w:r>
      <w:hyperlink w:history="1" r:id="rId27">
        <w:r w:rsidRPr="00F57044" w:rsidR="00840363">
          <w:rPr>
            <w:rStyle w:val="Hyperlink"/>
            <w:rFonts w:eastAsia="Calibri" w:cs="Calibri"/>
          </w:rPr>
          <w:t>etsconsultation@mfe.govt.nz</w:t>
        </w:r>
      </w:hyperlink>
      <w:r w:rsidRPr="00F57044">
        <w:t>.</w:t>
      </w:r>
    </w:p>
    <w:p w:rsidRPr="00F57044" w:rsidR="007D7756" w:rsidP="008E2D7A" w:rsidRDefault="007D7756" w14:paraId="61101EF6" w14:textId="37EEED71">
      <w:pPr>
        <w:pStyle w:val="Heading2"/>
      </w:pPr>
      <w:bookmarkStart w:name="_Toc131577157" w:id="17"/>
      <w:bookmarkStart w:name="_Toc199231018" w:id="18"/>
      <w:r w:rsidRPr="00F57044">
        <w:t>What happens next?</w:t>
      </w:r>
      <w:bookmarkEnd w:id="17"/>
      <w:bookmarkEnd w:id="18"/>
    </w:p>
    <w:p w:rsidRPr="00F57044" w:rsidR="00CE0897" w:rsidP="00E64EF7" w:rsidRDefault="0052200B" w14:paraId="6F83F7BD" w14:textId="5668ADE5">
      <w:pPr>
        <w:pStyle w:val="BodyText"/>
      </w:pPr>
      <w:r w:rsidRPr="00F57044">
        <w:t xml:space="preserve">Once we have considered </w:t>
      </w:r>
      <w:r w:rsidRPr="00F57044" w:rsidR="001A7C31">
        <w:t>submissions, the Minister of Climate Change</w:t>
      </w:r>
      <w:r w:rsidRPr="00F57044" w:rsidDel="00A611EF" w:rsidR="001A7C31">
        <w:t xml:space="preserve"> </w:t>
      </w:r>
      <w:r w:rsidRPr="00F57044" w:rsidR="001A7C31">
        <w:t>and Cabinet</w:t>
      </w:r>
      <w:r w:rsidRPr="00F57044" w:rsidR="00EC031E">
        <w:t xml:space="preserve"> will make decisions</w:t>
      </w:r>
      <w:r w:rsidRPr="00F57044" w:rsidR="001A7C31">
        <w:t xml:space="preserve">. </w:t>
      </w:r>
      <w:r w:rsidRPr="00F57044" w:rsidR="00EC031E">
        <w:t>A</w:t>
      </w:r>
      <w:r w:rsidRPr="00F57044" w:rsidR="001A7C31">
        <w:t xml:space="preserve">ny new regulations or amendments to existing regulations will </w:t>
      </w:r>
      <w:r w:rsidRPr="00F57044" w:rsidR="00EC031E">
        <w:t xml:space="preserve">then </w:t>
      </w:r>
      <w:r w:rsidRPr="00F57044" w:rsidR="001A7C31">
        <w:t xml:space="preserve">be published in the </w:t>
      </w:r>
      <w:r w:rsidRPr="00F57044" w:rsidR="001A7C31">
        <w:rPr>
          <w:i/>
        </w:rPr>
        <w:t xml:space="preserve">New Zealand Gazette </w:t>
      </w:r>
      <w:r w:rsidRPr="00F57044" w:rsidR="001A7C31">
        <w:t xml:space="preserve">by 30 September </w:t>
      </w:r>
      <w:r w:rsidRPr="00F57044" w:rsidR="00F86222">
        <w:t>2025</w:t>
      </w:r>
      <w:r w:rsidRPr="00F57044" w:rsidR="001A7C31">
        <w:t xml:space="preserve"> and </w:t>
      </w:r>
      <w:r w:rsidRPr="00F57044" w:rsidR="10250283">
        <w:t>will</w:t>
      </w:r>
      <w:r w:rsidRPr="00F57044" w:rsidR="001A7C31">
        <w:t xml:space="preserve"> come into force from 1 January </w:t>
      </w:r>
      <w:r w:rsidRPr="00F57044" w:rsidR="00F86222">
        <w:t>2026</w:t>
      </w:r>
      <w:r w:rsidRPr="00F57044" w:rsidR="001A7C31">
        <w:t>.</w:t>
      </w:r>
    </w:p>
    <w:p w:rsidRPr="00F57044" w:rsidR="00855AF3" w:rsidP="008E2D7A" w:rsidRDefault="00855AF3" w14:paraId="16393417" w14:textId="40BFDF12">
      <w:pPr>
        <w:pStyle w:val="Heading2"/>
      </w:pPr>
      <w:bookmarkStart w:name="_Toc199231019" w:id="19"/>
      <w:bookmarkStart w:name="_Hlk197591066" w:id="20"/>
      <w:r w:rsidRPr="00F57044">
        <w:t>Other consultations</w:t>
      </w:r>
      <w:bookmarkEnd w:id="19"/>
    </w:p>
    <w:bookmarkEnd w:id="20"/>
    <w:p w:rsidRPr="00F57044" w:rsidR="00354F7E" w:rsidP="007576E6" w:rsidRDefault="00CC0AA2" w14:paraId="5A5DC48C" w14:textId="51B503A9">
      <w:pPr>
        <w:pStyle w:val="BodyText"/>
      </w:pPr>
      <w:r w:rsidRPr="00F57044">
        <w:t xml:space="preserve">The Ministry for the Environment is also </w:t>
      </w:r>
      <w:r w:rsidRPr="00F57044" w:rsidR="0054073F">
        <w:t xml:space="preserve">seeking </w:t>
      </w:r>
      <w:r w:rsidRPr="00F57044" w:rsidR="002A2A4B">
        <w:t xml:space="preserve">feedback </w:t>
      </w:r>
      <w:r w:rsidRPr="00F57044" w:rsidR="00FF412D">
        <w:t xml:space="preserve">on </w:t>
      </w:r>
      <w:r w:rsidRPr="00F57044" w:rsidR="00095C0A">
        <w:t xml:space="preserve">proposed changes to the </w:t>
      </w:r>
      <w:r w:rsidRPr="00F57044" w:rsidR="00C65C08">
        <w:t>New </w:t>
      </w:r>
      <w:r w:rsidRPr="00F57044" w:rsidR="00095C0A">
        <w:t>Zealand Emissions Trading Scheme regulations 2025</w:t>
      </w:r>
      <w:r w:rsidRPr="00F57044" w:rsidR="009E5BF9">
        <w:t xml:space="preserve">. </w:t>
      </w:r>
      <w:r w:rsidRPr="00F57044" w:rsidR="00B16114">
        <w:t xml:space="preserve">See </w:t>
      </w:r>
      <w:r w:rsidRPr="00F57044" w:rsidR="00321512">
        <w:t>the</w:t>
      </w:r>
      <w:r w:rsidRPr="00F57044" w:rsidR="002A2A4B">
        <w:t xml:space="preserve"> related</w:t>
      </w:r>
      <w:r w:rsidRPr="00F57044" w:rsidR="00321512">
        <w:t xml:space="preserve"> </w:t>
      </w:r>
      <w:hyperlink r:id="rId28">
        <w:r w:rsidRPr="00F57044" w:rsidR="00321512">
          <w:rPr>
            <w:rStyle w:val="Hyperlink"/>
          </w:rPr>
          <w:t>consultation document</w:t>
        </w:r>
      </w:hyperlink>
      <w:r w:rsidRPr="00F57044" w:rsidR="00321512">
        <w:t xml:space="preserve"> for further information.</w:t>
      </w:r>
      <w:r w:rsidRPr="00F57044" w:rsidR="00F45D13">
        <w:t xml:space="preserve"> </w:t>
      </w:r>
    </w:p>
    <w:p w:rsidRPr="00F57044" w:rsidR="001A7C31" w:rsidP="00E64EF7" w:rsidRDefault="001A7C31" w14:paraId="6EB4BE22" w14:textId="1094D251">
      <w:pPr>
        <w:pStyle w:val="BodyText"/>
        <w:rPr>
          <w:highlight w:val="yellow"/>
        </w:rPr>
      </w:pPr>
      <w:r w:rsidRPr="00F57044">
        <w:rPr>
          <w:highlight w:val="yellow"/>
        </w:rPr>
        <w:br w:type="page"/>
      </w:r>
    </w:p>
    <w:p w:rsidRPr="00F57044" w:rsidR="001A7C31" w:rsidP="009E3890" w:rsidRDefault="001A7C31" w14:paraId="26EF2034" w14:textId="356BC920">
      <w:pPr>
        <w:pStyle w:val="Heading1"/>
      </w:pPr>
      <w:bookmarkStart w:name="_Toc161831662" w:id="21"/>
      <w:bookmarkStart w:name="_Toc161762873" w:id="22"/>
      <w:bookmarkStart w:name="_Toc163048577" w:id="23"/>
      <w:bookmarkStart w:name="_Toc199231020" w:id="24"/>
      <w:r w:rsidRPr="00F57044">
        <w:t>Background</w:t>
      </w:r>
      <w:bookmarkEnd w:id="21"/>
      <w:bookmarkEnd w:id="22"/>
      <w:bookmarkEnd w:id="23"/>
      <w:bookmarkEnd w:id="24"/>
    </w:p>
    <w:p w:rsidRPr="00F57044" w:rsidR="001A7C31" w:rsidP="008E2D7A" w:rsidRDefault="001A7C31" w14:paraId="3EB33C7D" w14:textId="08D80241">
      <w:pPr>
        <w:pStyle w:val="Heading2"/>
        <w:spacing w:before="240"/>
      </w:pPr>
      <w:bookmarkStart w:name="_Toc161831663" w:id="25"/>
      <w:bookmarkStart w:name="_Toc161762874" w:id="26"/>
      <w:bookmarkStart w:name="_Toc163048578" w:id="27"/>
      <w:bookmarkStart w:name="_Toc199231021" w:id="28"/>
      <w:r w:rsidRPr="00F57044">
        <w:t>The role of the NZ ETS</w:t>
      </w:r>
      <w:bookmarkEnd w:id="25"/>
      <w:bookmarkEnd w:id="26"/>
      <w:bookmarkEnd w:id="27"/>
      <w:bookmarkEnd w:id="28"/>
    </w:p>
    <w:p w:rsidRPr="00F57044" w:rsidR="001A7C31" w:rsidP="001A7C31" w:rsidRDefault="001A7C31" w14:paraId="7D2459D4" w14:textId="006929EA">
      <w:pPr>
        <w:pStyle w:val="BodyText"/>
      </w:pPr>
      <w:r w:rsidRPr="00F57044">
        <w:t xml:space="preserve">The </w:t>
      </w:r>
      <w:r w:rsidRPr="00F57044" w:rsidR="002A2A4B">
        <w:t>New Zealand Emissions Trading Scheme (</w:t>
      </w:r>
      <w:r w:rsidRPr="00F57044">
        <w:t>NZ ETS</w:t>
      </w:r>
      <w:r w:rsidRPr="00F57044" w:rsidR="002A2A4B">
        <w:t>)</w:t>
      </w:r>
      <w:r w:rsidRPr="00F57044">
        <w:t xml:space="preserve"> is the Government’s key tool to help </w:t>
      </w:r>
      <w:r w:rsidRPr="00F57044" w:rsidR="000F4D7A">
        <w:t xml:space="preserve">Aotearoa </w:t>
      </w:r>
      <w:r w:rsidRPr="00F57044">
        <w:t xml:space="preserve">New Zealand meet its: </w:t>
      </w:r>
    </w:p>
    <w:p w:rsidRPr="00F57044" w:rsidR="001A7C31" w:rsidP="009745E1" w:rsidRDefault="59083E71" w14:paraId="769712B9" w14:textId="3E7F3B09">
      <w:pPr>
        <w:pStyle w:val="Bullet"/>
        <w:spacing w:after="80"/>
        <w:rPr>
          <w:rFonts w:eastAsia="Calibri"/>
        </w:rPr>
      </w:pPr>
      <w:r w:rsidRPr="00F57044">
        <w:rPr>
          <w:rFonts w:eastAsia="Calibri"/>
        </w:rPr>
        <w:t>international obligations under the United Nations Framework Convention on Climate Change and its Paris Agreement</w:t>
      </w:r>
      <w:r w:rsidR="008D1084">
        <w:rPr>
          <w:rFonts w:eastAsia="Calibri"/>
        </w:rPr>
        <w:t>, including Nationally Determined Contributions</w:t>
      </w:r>
      <w:r w:rsidRPr="00F57044" w:rsidR="2C1901F6">
        <w:rPr>
          <w:rFonts w:eastAsia="Calibri"/>
        </w:rPr>
        <w:t xml:space="preserve"> </w:t>
      </w:r>
    </w:p>
    <w:p w:rsidRPr="00F57044" w:rsidR="001A7C31" w:rsidP="009745E1" w:rsidRDefault="001A7C31" w14:paraId="1CB63507" w14:textId="222EF619">
      <w:pPr>
        <w:pStyle w:val="Bullet"/>
        <w:spacing w:after="80"/>
        <w:rPr>
          <w:rFonts w:eastAsia="Calibri"/>
        </w:rPr>
      </w:pPr>
      <w:r w:rsidRPr="00F57044">
        <w:rPr>
          <w:rFonts w:eastAsia="Calibri"/>
        </w:rPr>
        <w:t>2050 target</w:t>
      </w:r>
      <w:r w:rsidRPr="00F57044" w:rsidR="6DF86BA1">
        <w:rPr>
          <w:rFonts w:eastAsia="Calibri"/>
        </w:rPr>
        <w:t>:</w:t>
      </w:r>
      <w:r w:rsidRPr="00F57044">
        <w:rPr>
          <w:rFonts w:eastAsia="Calibri"/>
        </w:rPr>
        <w:t xml:space="preserve"> net zero greenhouse gas emissions (except biogenic methane) and a 24</w:t>
      </w:r>
      <w:r w:rsidRPr="00F57044" w:rsidR="008E2D7A">
        <w:rPr>
          <w:rFonts w:eastAsia="Calibri"/>
        </w:rPr>
        <w:t> </w:t>
      </w:r>
      <w:r w:rsidRPr="00F57044" w:rsidR="5EC6C77F">
        <w:rPr>
          <w:rFonts w:eastAsia="Calibri"/>
        </w:rPr>
        <w:t>to</w:t>
      </w:r>
      <w:r w:rsidRPr="00F57044" w:rsidR="008E2D7A">
        <w:rPr>
          <w:rFonts w:eastAsia="Calibri"/>
        </w:rPr>
        <w:t> </w:t>
      </w:r>
      <w:r w:rsidRPr="00F57044">
        <w:rPr>
          <w:rFonts w:eastAsia="Calibri"/>
        </w:rPr>
        <w:t>47</w:t>
      </w:r>
      <w:r w:rsidRPr="00F57044" w:rsidR="008E2D7A">
        <w:rPr>
          <w:rFonts w:eastAsia="Calibri"/>
        </w:rPr>
        <w:t> </w:t>
      </w:r>
      <w:r w:rsidRPr="00F57044" w:rsidR="4F87405A">
        <w:rPr>
          <w:rFonts w:eastAsia="Calibri"/>
        </w:rPr>
        <w:t>per cent</w:t>
      </w:r>
      <w:r w:rsidRPr="00F57044">
        <w:rPr>
          <w:rFonts w:eastAsia="Calibri"/>
        </w:rPr>
        <w:t xml:space="preserve"> reduction in biogenic methane</w:t>
      </w:r>
    </w:p>
    <w:p w:rsidRPr="00F57044" w:rsidR="001A7C31" w:rsidP="009745E1" w:rsidRDefault="001A7C31" w14:paraId="151CFDBA" w14:textId="5EFC357E">
      <w:pPr>
        <w:pStyle w:val="Bullet"/>
        <w:spacing w:after="80"/>
        <w:rPr>
          <w:rFonts w:eastAsia="Calibri"/>
        </w:rPr>
      </w:pPr>
      <w:r w:rsidRPr="00F57044">
        <w:rPr>
          <w:rFonts w:eastAsia="Calibri"/>
        </w:rPr>
        <w:t>emissions budgets</w:t>
      </w:r>
      <w:r w:rsidRPr="00F57044" w:rsidR="50A9BC5B">
        <w:rPr>
          <w:rFonts w:eastAsia="Calibri"/>
        </w:rPr>
        <w:t>:</w:t>
      </w:r>
      <w:r w:rsidRPr="00F57044">
        <w:rPr>
          <w:rFonts w:eastAsia="Calibri"/>
        </w:rPr>
        <w:t xml:space="preserve"> a set of interim targets to</w:t>
      </w:r>
      <w:r w:rsidR="00DF1C91">
        <w:rPr>
          <w:rFonts w:eastAsia="Calibri"/>
        </w:rPr>
        <w:t>wards</w:t>
      </w:r>
      <w:r w:rsidRPr="00F57044">
        <w:rPr>
          <w:rFonts w:eastAsia="Calibri"/>
        </w:rPr>
        <w:t xml:space="preserve"> the 2050 emissions reduction target. </w:t>
      </w:r>
    </w:p>
    <w:p w:rsidRPr="00F57044" w:rsidR="001A7C31" w:rsidP="00161B39" w:rsidRDefault="001A7C31" w14:paraId="143E742E" w14:textId="3FC07F0C">
      <w:pPr>
        <w:pStyle w:val="BodyText"/>
      </w:pPr>
      <w:r w:rsidRPr="00F57044">
        <w:t xml:space="preserve">The NZ ETS supports </w:t>
      </w:r>
      <w:r w:rsidR="001346E9">
        <w:t xml:space="preserve">net </w:t>
      </w:r>
      <w:r w:rsidRPr="00F57044">
        <w:t>emissions reductions by:</w:t>
      </w:r>
    </w:p>
    <w:p w:rsidRPr="00F57044" w:rsidR="001A7C31" w:rsidP="009745E1" w:rsidRDefault="001A7C31" w14:paraId="3AFBD79C" w14:textId="31366C16">
      <w:pPr>
        <w:pStyle w:val="Bullet"/>
        <w:spacing w:after="80"/>
        <w:rPr>
          <w:rFonts w:eastAsia="Calibri"/>
        </w:rPr>
      </w:pPr>
      <w:r w:rsidRPr="00F57044">
        <w:t>requiring businesses to measure and report on their greenhouse gas</w:t>
      </w:r>
      <w:r w:rsidRPr="00F57044">
        <w:rPr>
          <w:rFonts w:eastAsia="Calibri"/>
        </w:rPr>
        <w:t xml:space="preserve"> emissions</w:t>
      </w:r>
    </w:p>
    <w:p w:rsidRPr="00F57044" w:rsidR="001A7C31" w:rsidP="009745E1" w:rsidRDefault="001A7C31" w14:paraId="6A8B5FC6" w14:textId="3A977EB5">
      <w:pPr>
        <w:pStyle w:val="Bullet"/>
        <w:spacing w:after="80"/>
        <w:rPr>
          <w:rFonts w:eastAsia="Calibri"/>
        </w:rPr>
      </w:pPr>
      <w:r w:rsidRPr="00F57044">
        <w:rPr>
          <w:rFonts w:eastAsia="Calibri"/>
        </w:rPr>
        <w:t>pricing emissions and removals</w:t>
      </w:r>
    </w:p>
    <w:p w:rsidRPr="00F57044" w:rsidR="001A7C31" w:rsidP="009745E1" w:rsidRDefault="001A7C31" w14:paraId="7FE6228A" w14:textId="71959DA5">
      <w:pPr>
        <w:pStyle w:val="Bullet"/>
        <w:spacing w:after="80"/>
        <w:rPr>
          <w:rFonts w:eastAsia="Calibri"/>
        </w:rPr>
      </w:pPr>
      <w:r w:rsidRPr="00F57044">
        <w:t xml:space="preserve">requiring businesses to surrender one ‘emissions unit’ </w:t>
      </w:r>
      <w:r w:rsidRPr="00F57044" w:rsidR="00B82BDF">
        <w:t xml:space="preserve">– a New Zealand Unit (NZU or unit) </w:t>
      </w:r>
      <w:r w:rsidRPr="00F57044" w:rsidR="00B82BDF">
        <w:rPr>
          <w:spacing w:val="-2"/>
        </w:rPr>
        <w:t xml:space="preserve">– </w:t>
      </w:r>
      <w:r w:rsidRPr="00F57044">
        <w:rPr>
          <w:spacing w:val="-2"/>
        </w:rPr>
        <w:t>to the Government for each tonne of emissions they are responsible for under the NZ</w:t>
      </w:r>
      <w:r w:rsidRPr="00F57044" w:rsidR="00B82BDF">
        <w:rPr>
          <w:spacing w:val="-2"/>
        </w:rPr>
        <w:t> </w:t>
      </w:r>
      <w:r w:rsidRPr="00F57044">
        <w:rPr>
          <w:spacing w:val="-2"/>
        </w:rPr>
        <w:t>ETS</w:t>
      </w:r>
    </w:p>
    <w:p w:rsidRPr="00F57044" w:rsidR="001A7C31" w:rsidP="009745E1" w:rsidRDefault="001A7C31" w14:paraId="3AC812C0" w14:textId="250E2236">
      <w:pPr>
        <w:pStyle w:val="Bullet"/>
        <w:spacing w:after="80"/>
        <w:rPr>
          <w:rFonts w:eastAsia="Calibri"/>
        </w:rPr>
      </w:pPr>
      <w:r w:rsidRPr="00F57044">
        <w:t xml:space="preserve">limiting the number of units supplied into the </w:t>
      </w:r>
      <w:r w:rsidRPr="00F57044" w:rsidR="00012F74">
        <w:t>NZ ETS</w:t>
      </w:r>
      <w:r w:rsidRPr="00F57044" w:rsidR="00012F74">
        <w:rPr>
          <w:rFonts w:eastAsia="Calibri"/>
        </w:rPr>
        <w:t xml:space="preserve"> </w:t>
      </w:r>
      <w:r w:rsidRPr="00F57044">
        <w:rPr>
          <w:rFonts w:eastAsia="Calibri"/>
        </w:rPr>
        <w:t>through auctioning and industrial allocation</w:t>
      </w:r>
      <w:r w:rsidRPr="00F57044" w:rsidR="00EA2CB6">
        <w:rPr>
          <w:rFonts w:eastAsia="Calibri"/>
        </w:rPr>
        <w:t>.</w:t>
      </w:r>
    </w:p>
    <w:p w:rsidRPr="00F57044" w:rsidR="00A92AEE" w:rsidP="001A7C31" w:rsidRDefault="00C15059" w14:paraId="5205FE6C" w14:textId="0C05EDE9">
      <w:pPr>
        <w:pStyle w:val="BodyText"/>
      </w:pPr>
      <w:r w:rsidRPr="00F57044">
        <w:t>Participants can access</w:t>
      </w:r>
      <w:r w:rsidRPr="00F57044" w:rsidR="00A92AEE">
        <w:t xml:space="preserve"> </w:t>
      </w:r>
      <w:r w:rsidRPr="00F57044">
        <w:t xml:space="preserve">units from </w:t>
      </w:r>
      <w:r w:rsidRPr="00F57044" w:rsidR="00A92AEE">
        <w:t>several sources</w:t>
      </w:r>
      <w:r w:rsidRPr="00F57044" w:rsidR="001250E9">
        <w:t>:</w:t>
      </w:r>
    </w:p>
    <w:p w:rsidRPr="00F57044" w:rsidR="001250E9" w:rsidP="008E2D7A" w:rsidRDefault="00321CAF" w14:paraId="1DC4B4B3" w14:textId="06ECF4EB">
      <w:pPr>
        <w:pStyle w:val="Bullet"/>
      </w:pPr>
      <w:r w:rsidRPr="00F57044">
        <w:t>g</w:t>
      </w:r>
      <w:r w:rsidRPr="00F57044" w:rsidR="00463407">
        <w:t>overnment auctions of units</w:t>
      </w:r>
    </w:p>
    <w:p w:rsidRPr="00F57044" w:rsidR="005F5711" w:rsidP="008E2D7A" w:rsidRDefault="00321CAF" w14:paraId="507D0F5D" w14:textId="0BCDAC61">
      <w:pPr>
        <w:pStyle w:val="Bullet"/>
      </w:pPr>
      <w:r w:rsidRPr="00F57044">
        <w:t>g</w:t>
      </w:r>
      <w:r w:rsidRPr="00F57044" w:rsidR="00463407">
        <w:t>overnment a</w:t>
      </w:r>
      <w:r w:rsidRPr="00F57044" w:rsidR="005F5711">
        <w:t xml:space="preserve">llocation of units to </w:t>
      </w:r>
      <w:r w:rsidRPr="00F57044" w:rsidR="00436ED4">
        <w:t xml:space="preserve">agreed </w:t>
      </w:r>
      <w:r w:rsidRPr="00F57044" w:rsidR="000A5FF7">
        <w:t xml:space="preserve">carbon-intensive and trade-exposed </w:t>
      </w:r>
      <w:r w:rsidRPr="00F57044" w:rsidR="00463407">
        <w:t>firms (industrial allocation)</w:t>
      </w:r>
    </w:p>
    <w:p w:rsidRPr="00F57044" w:rsidR="00463407" w:rsidP="008E2D7A" w:rsidRDefault="00321CAF" w14:paraId="373C9257" w14:textId="20E9636E">
      <w:pPr>
        <w:pStyle w:val="Bullet"/>
      </w:pPr>
      <w:r w:rsidRPr="00F57044">
        <w:t>r</w:t>
      </w:r>
      <w:r w:rsidRPr="00F57044" w:rsidR="00B67BDE">
        <w:t xml:space="preserve">emoval activities that generate </w:t>
      </w:r>
      <w:r w:rsidRPr="00F57044" w:rsidR="002B6FF9">
        <w:t>units (</w:t>
      </w:r>
      <w:r w:rsidRPr="00F57044" w:rsidR="00EA2CB6">
        <w:t xml:space="preserve">mainly </w:t>
      </w:r>
      <w:r w:rsidRPr="00F57044" w:rsidR="002B6FF9">
        <w:t>forestry)</w:t>
      </w:r>
    </w:p>
    <w:p w:rsidRPr="00F57044" w:rsidR="00CD7DEE" w:rsidP="008E2D7A" w:rsidRDefault="00321CAF" w14:paraId="7C5C3588" w14:textId="069556B5">
      <w:pPr>
        <w:pStyle w:val="Bullet"/>
      </w:pPr>
      <w:r w:rsidRPr="00F57044">
        <w:t>t</w:t>
      </w:r>
      <w:r w:rsidRPr="00F57044" w:rsidR="00B65359">
        <w:t xml:space="preserve">he stockpile of units </w:t>
      </w:r>
      <w:r w:rsidRPr="00F57044" w:rsidR="002B1FB4">
        <w:t>–</w:t>
      </w:r>
      <w:r w:rsidRPr="00F57044" w:rsidR="00B65359">
        <w:t xml:space="preserve"> </w:t>
      </w:r>
      <w:r w:rsidRPr="00F57044" w:rsidR="002B1FB4">
        <w:t xml:space="preserve">banked </w:t>
      </w:r>
      <w:r w:rsidRPr="00F57044" w:rsidR="009C441F">
        <w:t xml:space="preserve">units </w:t>
      </w:r>
      <w:r w:rsidRPr="00F57044" w:rsidR="0021036B">
        <w:t xml:space="preserve">that originated from the above </w:t>
      </w:r>
      <w:r w:rsidRPr="00F57044" w:rsidR="00FD7438">
        <w:t xml:space="preserve">sources and </w:t>
      </w:r>
      <w:r w:rsidRPr="00F57044" w:rsidR="00D940AC">
        <w:t xml:space="preserve">that </w:t>
      </w:r>
      <w:r w:rsidRPr="00F57044" w:rsidR="00FD7438">
        <w:t>can</w:t>
      </w:r>
      <w:r w:rsidRPr="00F57044" w:rsidR="008E2D7A">
        <w:t> </w:t>
      </w:r>
      <w:r w:rsidRPr="00F57044" w:rsidR="00FD7438">
        <w:t xml:space="preserve">now </w:t>
      </w:r>
      <w:r w:rsidRPr="00F57044" w:rsidR="00B536D3">
        <w:t>be traded and ultimately surrendered by emitters.</w:t>
      </w:r>
      <w:r w:rsidRPr="00F57044" w:rsidR="003E3939">
        <w:t xml:space="preserve"> </w:t>
      </w:r>
      <w:r w:rsidRPr="00F57044" w:rsidR="00D851F1">
        <w:t xml:space="preserve">This includes ‘surplus’ units, </w:t>
      </w:r>
      <w:r w:rsidRPr="00F57044" w:rsidR="008869B0">
        <w:t xml:space="preserve">which are not held for future surrender or other </w:t>
      </w:r>
      <w:proofErr w:type="gramStart"/>
      <w:r w:rsidRPr="00F57044" w:rsidR="008869B0">
        <w:t>purposes, and</w:t>
      </w:r>
      <w:proofErr w:type="gramEnd"/>
      <w:r w:rsidRPr="00F57044" w:rsidR="008869B0">
        <w:t xml:space="preserve"> thus may be sold freely into the market</w:t>
      </w:r>
      <w:r w:rsidRPr="00F57044" w:rsidR="001D114C">
        <w:t>.</w:t>
      </w:r>
    </w:p>
    <w:p w:rsidRPr="00F57044" w:rsidR="001A7C31" w:rsidP="001A7C31" w:rsidRDefault="001A7C31" w14:paraId="28842B17" w14:textId="012C62C6">
      <w:pPr>
        <w:pStyle w:val="BodyText"/>
      </w:pPr>
      <w:r w:rsidRPr="00F57044">
        <w:t xml:space="preserve">The Government sets </w:t>
      </w:r>
      <w:r w:rsidRPr="00F57044" w:rsidR="00D940AC">
        <w:t xml:space="preserve">the number of units </w:t>
      </w:r>
      <w:r w:rsidRPr="00F57044">
        <w:t xml:space="preserve">supplied into the </w:t>
      </w:r>
      <w:r w:rsidRPr="00F57044" w:rsidR="00012F74">
        <w:t>NZ</w:t>
      </w:r>
      <w:r w:rsidRPr="00F57044" w:rsidR="008E2D7A">
        <w:t> </w:t>
      </w:r>
      <w:r w:rsidRPr="00F57044" w:rsidR="00012F74">
        <w:t xml:space="preserve">ETS </w:t>
      </w:r>
      <w:r w:rsidRPr="00F57044">
        <w:rPr>
          <w:spacing w:val="-2"/>
        </w:rPr>
        <w:t>over time</w:t>
      </w:r>
      <w:r w:rsidRPr="00F57044" w:rsidR="00086497">
        <w:rPr>
          <w:spacing w:val="-2"/>
        </w:rPr>
        <w:t>,</w:t>
      </w:r>
      <w:r w:rsidRPr="00F57044" w:rsidR="00B80151">
        <w:rPr>
          <w:spacing w:val="-2"/>
        </w:rPr>
        <w:t xml:space="preserve"> </w:t>
      </w:r>
      <w:r w:rsidRPr="00F57044" w:rsidR="00B536D3">
        <w:rPr>
          <w:spacing w:val="-2"/>
        </w:rPr>
        <w:t xml:space="preserve">through auctions and </w:t>
      </w:r>
      <w:r w:rsidRPr="00F57044" w:rsidR="00B80151">
        <w:rPr>
          <w:spacing w:val="-2"/>
        </w:rPr>
        <w:t>industrial allocation</w:t>
      </w:r>
      <w:r w:rsidR="004E2745">
        <w:rPr>
          <w:spacing w:val="-2"/>
        </w:rPr>
        <w:t>, and reduces the number over time</w:t>
      </w:r>
      <w:r w:rsidRPr="00F57044">
        <w:rPr>
          <w:spacing w:val="-2"/>
        </w:rPr>
        <w:t xml:space="preserve">. This limits the total volume of net emissions </w:t>
      </w:r>
      <w:r w:rsidRPr="00F57044" w:rsidR="00147994">
        <w:rPr>
          <w:spacing w:val="-2"/>
        </w:rPr>
        <w:t>for</w:t>
      </w:r>
      <w:r w:rsidRPr="00F57044">
        <w:rPr>
          <w:spacing w:val="-2"/>
        </w:rPr>
        <w:t xml:space="preserve"> participants</w:t>
      </w:r>
      <w:r w:rsidRPr="00F57044" w:rsidR="239D129C">
        <w:rPr>
          <w:spacing w:val="-2"/>
        </w:rPr>
        <w:t xml:space="preserve"> in the </w:t>
      </w:r>
      <w:r w:rsidRPr="00F57044" w:rsidR="00012F74">
        <w:rPr>
          <w:spacing w:val="-2"/>
        </w:rPr>
        <w:t>NZ ETS</w:t>
      </w:r>
      <w:r w:rsidRPr="00F57044">
        <w:rPr>
          <w:spacing w:val="-2"/>
        </w:rPr>
        <w:t>, in line with New Zealand’s emission</w:t>
      </w:r>
      <w:r w:rsidRPr="00F57044" w:rsidR="00F809BF">
        <w:rPr>
          <w:spacing w:val="-2"/>
        </w:rPr>
        <w:t>s</w:t>
      </w:r>
      <w:r w:rsidRPr="00F57044">
        <w:rPr>
          <w:spacing w:val="-2"/>
        </w:rPr>
        <w:t xml:space="preserve"> reduction targets</w:t>
      </w:r>
      <w:r w:rsidRPr="00F57044">
        <w:t>.</w:t>
      </w:r>
      <w:r w:rsidRPr="00F57044" w:rsidR="0066572D">
        <w:t xml:space="preserve"> </w:t>
      </w:r>
    </w:p>
    <w:p w:rsidRPr="00F57044" w:rsidR="001A7C31" w:rsidP="001A7C31" w:rsidRDefault="00086497" w14:paraId="7175D4F0" w14:textId="46A2C1B1">
      <w:pPr>
        <w:pStyle w:val="BodyText"/>
      </w:pPr>
      <w:r w:rsidRPr="00F57044">
        <w:t>Participants</w:t>
      </w:r>
      <w:r w:rsidRPr="00F57044" w:rsidR="001A7C31">
        <w:t xml:space="preserve"> can buy </w:t>
      </w:r>
      <w:r w:rsidRPr="00F57044" w:rsidDel="00517253" w:rsidR="001A7C31">
        <w:t xml:space="preserve">and sell </w:t>
      </w:r>
      <w:r w:rsidRPr="00F57044" w:rsidR="001A7C31">
        <w:t xml:space="preserve">units </w:t>
      </w:r>
      <w:r w:rsidRPr="00F57044" w:rsidR="00560E17">
        <w:t>among themselves</w:t>
      </w:r>
      <w:r w:rsidRPr="00F57044" w:rsidR="001A7C31">
        <w:t xml:space="preserve">. The </w:t>
      </w:r>
      <w:r w:rsidRPr="00F57044" w:rsidR="00EA2CB6">
        <w:t xml:space="preserve">unit </w:t>
      </w:r>
      <w:r w:rsidRPr="00F57044" w:rsidR="001A7C31">
        <w:t xml:space="preserve">price reflects supply and demand in the </w:t>
      </w:r>
      <w:r w:rsidRPr="00F57044" w:rsidR="00012F74">
        <w:t>NZ ETS</w:t>
      </w:r>
      <w:r w:rsidRPr="00F57044" w:rsidR="001A7C31">
        <w:t>. This price signal allows businesses to make economically efficient choices about how</w:t>
      </w:r>
      <w:r w:rsidRPr="00F57044" w:rsidR="00151DB8">
        <w:t xml:space="preserve"> and when</w:t>
      </w:r>
      <w:r w:rsidRPr="00F57044" w:rsidR="001A7C31">
        <w:t xml:space="preserve"> to reduce emissions and increase removals.</w:t>
      </w:r>
    </w:p>
    <w:p w:rsidRPr="00F57044" w:rsidR="001A7C31" w:rsidP="009C16D7" w:rsidRDefault="001A7C31" w14:paraId="5076F53F" w14:textId="4685658B">
      <w:pPr>
        <w:pStyle w:val="Heading2"/>
      </w:pPr>
      <w:bookmarkStart w:name="_Toc161831664" w:id="29"/>
      <w:bookmarkStart w:name="_Toc161762875" w:id="30"/>
      <w:bookmarkStart w:name="_Toc163048579" w:id="31"/>
      <w:bookmarkStart w:name="_Toc199231022" w:id="32"/>
      <w:r w:rsidRPr="00F57044">
        <w:t>Annual process for unit limit</w:t>
      </w:r>
      <w:r w:rsidRPr="00F57044" w:rsidR="00F8460D">
        <w:t>s</w:t>
      </w:r>
      <w:r w:rsidRPr="00F57044">
        <w:t xml:space="preserve"> and price</w:t>
      </w:r>
      <w:r w:rsidRPr="00F57044" w:rsidR="008E2D7A">
        <w:t> </w:t>
      </w:r>
      <w:r w:rsidRPr="00F57044">
        <w:t>control settings</w:t>
      </w:r>
      <w:bookmarkEnd w:id="29"/>
      <w:bookmarkEnd w:id="30"/>
      <w:bookmarkEnd w:id="31"/>
      <w:bookmarkEnd w:id="32"/>
    </w:p>
    <w:p w:rsidRPr="00F57044" w:rsidR="00086497" w:rsidP="00BC53BB" w:rsidRDefault="001A7C31" w14:paraId="48D58BAF" w14:textId="056B55FB">
      <w:pPr>
        <w:pStyle w:val="BodyText"/>
      </w:pPr>
      <w:r w:rsidRPr="00F57044">
        <w:t xml:space="preserve">Under the </w:t>
      </w:r>
      <w:r w:rsidRPr="00F57044" w:rsidR="00517253">
        <w:t>Climate Change Response Act 2002</w:t>
      </w:r>
      <w:r w:rsidRPr="00F57044" w:rsidR="00F809BF">
        <w:t xml:space="preserve"> (</w:t>
      </w:r>
      <w:r w:rsidRPr="00F57044" w:rsidR="004C62B7">
        <w:t>CCRA</w:t>
      </w:r>
      <w:r w:rsidRPr="00F57044" w:rsidR="00F809BF">
        <w:t>)</w:t>
      </w:r>
      <w:r w:rsidRPr="00F57044">
        <w:t>, NZ ETS unit limit</w:t>
      </w:r>
      <w:r w:rsidRPr="00F57044" w:rsidR="00086497">
        <w:t>s</w:t>
      </w:r>
      <w:r w:rsidRPr="00F57044">
        <w:t xml:space="preserve"> and price control settings for the next five years are made </w:t>
      </w:r>
      <w:r w:rsidRPr="00F57044" w:rsidR="00DD2F59">
        <w:t xml:space="preserve">through </w:t>
      </w:r>
      <w:r w:rsidRPr="00F57044">
        <w:t xml:space="preserve">an annual update process to the Climate Change (Auctions, Limits, and Price Controls for Units) Regulations 2020. </w:t>
      </w:r>
    </w:p>
    <w:p w:rsidRPr="00F57044" w:rsidR="00BC53BB" w:rsidP="00BC53BB" w:rsidRDefault="00BC53BB" w14:paraId="14DFCD63" w14:textId="7B48C864">
      <w:pPr>
        <w:pStyle w:val="BodyText"/>
      </w:pPr>
      <w:r w:rsidRPr="00F57044">
        <w:t xml:space="preserve">At present, </w:t>
      </w:r>
      <w:r w:rsidRPr="00F57044" w:rsidR="00086497">
        <w:t xml:space="preserve">the </w:t>
      </w:r>
      <w:r w:rsidRPr="00F57044">
        <w:t>settings</w:t>
      </w:r>
      <w:r w:rsidRPr="00F57044" w:rsidR="00086497">
        <w:t xml:space="preserve"> are</w:t>
      </w:r>
      <w:r w:rsidRPr="00F57044">
        <w:t xml:space="preserve"> informed by previous tests of accordance with emission </w:t>
      </w:r>
      <w:proofErr w:type="gramStart"/>
      <w:r w:rsidRPr="00F57044">
        <w:t xml:space="preserve">targets, </w:t>
      </w:r>
      <w:r w:rsidRPr="00F57044" w:rsidR="00086497">
        <w:t>and</w:t>
      </w:r>
      <w:proofErr w:type="gramEnd"/>
      <w:r w:rsidRPr="00F57044" w:rsidR="00086497">
        <w:t xml:space="preserve"> </w:t>
      </w:r>
      <w:r w:rsidRPr="00F57044">
        <w:t>are prescribed for only the next four years. The</w:t>
      </w:r>
      <w:r w:rsidRPr="00F57044" w:rsidR="007D53E5">
        <w:t xml:space="preserve"> </w:t>
      </w:r>
      <w:r w:rsidRPr="00F57044" w:rsidR="00086497">
        <w:t>G</w:t>
      </w:r>
      <w:r w:rsidRPr="00F57044" w:rsidR="007D53E5">
        <w:t xml:space="preserve">overnment needs to </w:t>
      </w:r>
      <w:r w:rsidRPr="00F57044">
        <w:t xml:space="preserve">decide on settings for the full five-year period </w:t>
      </w:r>
      <w:r w:rsidRPr="00F57044" w:rsidR="00232A44">
        <w:t>by</w:t>
      </w:r>
      <w:r w:rsidRPr="00F57044">
        <w:t xml:space="preserve"> re-evaluati</w:t>
      </w:r>
      <w:r w:rsidRPr="00F57044" w:rsidR="00232A44">
        <w:t>ng</w:t>
      </w:r>
      <w:r w:rsidRPr="00F57044">
        <w:t xml:space="preserve"> accordance against emissions</w:t>
      </w:r>
      <w:r w:rsidRPr="00F57044" w:rsidR="00F62391">
        <w:t xml:space="preserve"> reduction</w:t>
      </w:r>
      <w:r w:rsidRPr="00F57044">
        <w:t xml:space="preserve"> </w:t>
      </w:r>
      <w:proofErr w:type="gramStart"/>
      <w:r w:rsidRPr="00F57044">
        <w:t>targets</w:t>
      </w:r>
      <w:r w:rsidRPr="00F57044" w:rsidR="00086497">
        <w:t>,</w:t>
      </w:r>
      <w:r w:rsidRPr="00F57044">
        <w:t xml:space="preserve"> and</w:t>
      </w:r>
      <w:proofErr w:type="gramEnd"/>
      <w:r w:rsidRPr="00F57044">
        <w:t xml:space="preserve"> consider</w:t>
      </w:r>
      <w:r w:rsidRPr="00F57044" w:rsidR="002308FF">
        <w:t xml:space="preserve">ing </w:t>
      </w:r>
      <w:r w:rsidRPr="00F57044">
        <w:t>new information.</w:t>
      </w:r>
    </w:p>
    <w:p w:rsidRPr="00F57044" w:rsidR="00314EAD" w:rsidDel="00314EAD" w:rsidP="00314EAD" w:rsidRDefault="00ED7BD6" w14:paraId="715F5F9C" w14:textId="7AE9AA0F">
      <w:pPr>
        <w:pStyle w:val="BodyText"/>
      </w:pPr>
      <w:r w:rsidRPr="00F57044">
        <w:t>T</w:t>
      </w:r>
      <w:r w:rsidRPr="00F57044" w:rsidR="00314EAD">
        <w:t>he unit settings must accord with New Zealand’s emissions budgets</w:t>
      </w:r>
      <w:r w:rsidRPr="00F57044" w:rsidR="00086497">
        <w:t>,</w:t>
      </w:r>
      <w:r w:rsidRPr="00F57044" w:rsidR="00314EAD">
        <w:t xml:space="preserve"> </w:t>
      </w:r>
      <w:r w:rsidR="002423A1">
        <w:t>N</w:t>
      </w:r>
      <w:r w:rsidRPr="00F57044" w:rsidR="00974BFD">
        <w:t xml:space="preserve">ationally </w:t>
      </w:r>
      <w:r w:rsidR="002423A1">
        <w:t>D</w:t>
      </w:r>
      <w:r w:rsidRPr="00F57044" w:rsidR="00974BFD">
        <w:t xml:space="preserve">etermined </w:t>
      </w:r>
      <w:r w:rsidR="002423A1">
        <w:t>C</w:t>
      </w:r>
      <w:r w:rsidRPr="00F57044" w:rsidR="00974BFD">
        <w:t xml:space="preserve">ontributions </w:t>
      </w:r>
      <w:r w:rsidRPr="00F57044" w:rsidR="00314EAD">
        <w:t>and the 2050 target</w:t>
      </w:r>
      <w:r w:rsidRPr="00F57044" w:rsidR="00086497">
        <w:t>.</w:t>
      </w:r>
      <w:r w:rsidRPr="00F57044" w:rsidR="007A7677">
        <w:rPr>
          <w:rStyle w:val="FootnoteReference"/>
        </w:rPr>
        <w:footnoteReference w:id="2"/>
      </w:r>
      <w:r w:rsidRPr="00F57044" w:rsidDel="00314EAD" w:rsidR="00785802">
        <w:t xml:space="preserve"> </w:t>
      </w:r>
    </w:p>
    <w:p w:rsidRPr="00F57044" w:rsidR="007F4489" w:rsidP="007F4489" w:rsidRDefault="007F4489" w14:paraId="732E42DA" w14:textId="42203281">
      <w:pPr>
        <w:pStyle w:val="BodyText"/>
      </w:pPr>
      <w:r w:rsidRPr="00F57044">
        <w:t>Unit limits include:</w:t>
      </w:r>
    </w:p>
    <w:p w:rsidRPr="00F57044" w:rsidR="007F4489" w:rsidP="008E2D7A" w:rsidRDefault="007F4489" w14:paraId="50C7A6BF" w14:textId="1586B6BE">
      <w:pPr>
        <w:pStyle w:val="Bullet"/>
      </w:pPr>
      <w:r w:rsidRPr="00F57044">
        <w:t>a limit on the units available by auction</w:t>
      </w:r>
    </w:p>
    <w:p w:rsidRPr="00F57044" w:rsidR="007F4489" w:rsidP="008E2D7A" w:rsidRDefault="007F4489" w14:paraId="1654C97A" w14:textId="3D40E555">
      <w:pPr>
        <w:pStyle w:val="Bullet"/>
      </w:pPr>
      <w:r w:rsidRPr="00F57044">
        <w:t>a limit on approved overseas units – currently zero</w:t>
      </w:r>
    </w:p>
    <w:p w:rsidRPr="00F57044" w:rsidR="007F4489" w:rsidP="008E2D7A" w:rsidRDefault="007F4489" w14:paraId="4DC209DD" w14:textId="796B88B5">
      <w:pPr>
        <w:pStyle w:val="Bullet"/>
      </w:pPr>
      <w:r w:rsidRPr="00F57044">
        <w:t xml:space="preserve">an overall limit on units – which consists of units available by auction and </w:t>
      </w:r>
      <w:r w:rsidRPr="00F57044" w:rsidR="008F197F">
        <w:t xml:space="preserve">industrial </w:t>
      </w:r>
      <w:proofErr w:type="gramStart"/>
      <w:r w:rsidRPr="00F57044" w:rsidR="008F197F">
        <w:t>allocation</w:t>
      </w:r>
      <w:r w:rsidRPr="00F57044" w:rsidR="00086497">
        <w:t>,</w:t>
      </w:r>
      <w:r w:rsidRPr="00F57044">
        <w:t xml:space="preserve"> and</w:t>
      </w:r>
      <w:proofErr w:type="gramEnd"/>
      <w:r w:rsidRPr="00F57044">
        <w:t xml:space="preserve"> approved overseas units.</w:t>
      </w:r>
    </w:p>
    <w:p w:rsidRPr="00F57044" w:rsidR="007F4489" w:rsidP="008E2D7A" w:rsidRDefault="007F4489" w14:paraId="28013422" w14:textId="1A605FEE">
      <w:pPr>
        <w:pStyle w:val="BodyText"/>
      </w:pPr>
      <w:r w:rsidRPr="00F57044">
        <w:t>The price control settings for units are the:</w:t>
      </w:r>
    </w:p>
    <w:p w:rsidRPr="00F57044" w:rsidR="007F4489" w:rsidP="008E2D7A" w:rsidRDefault="007F4489" w14:paraId="5139D5D1" w14:textId="66444A05">
      <w:pPr>
        <w:pStyle w:val="Bullet"/>
      </w:pPr>
      <w:r w:rsidRPr="00F57044">
        <w:t>auction price floor – the price below which the Government will not sell units at auction (the lower price floor)</w:t>
      </w:r>
    </w:p>
    <w:p w:rsidRPr="00F57044" w:rsidR="007F4489" w:rsidP="008E2D7A" w:rsidRDefault="007F4489" w14:paraId="32CC881F" w14:textId="23D07BC4">
      <w:pPr>
        <w:pStyle w:val="Bullet"/>
      </w:pPr>
      <w:r w:rsidRPr="00F57044">
        <w:t>cost containment reserve (CCR) trigger price</w:t>
      </w:r>
      <w:r w:rsidRPr="00F57044" w:rsidR="00363DC5">
        <w:t>s</w:t>
      </w:r>
      <w:r w:rsidRPr="00F57044" w:rsidR="00621714">
        <w:t xml:space="preserve"> </w:t>
      </w:r>
      <w:r w:rsidRPr="00F57044">
        <w:t>– the prices at which additional units will be</w:t>
      </w:r>
      <w:r w:rsidRPr="00F57044" w:rsidR="00C75CBD">
        <w:t> </w:t>
      </w:r>
      <w:r w:rsidRPr="00F57044">
        <w:t>released if an auction’s interim clearing price reaches or exceeds this level (the upper price floor)</w:t>
      </w:r>
    </w:p>
    <w:p w:rsidRPr="00F57044" w:rsidR="007F4489" w:rsidP="008E2D7A" w:rsidRDefault="007F4489" w14:paraId="6B8ED4E4" w14:textId="22972D49">
      <w:pPr>
        <w:pStyle w:val="Bullet"/>
      </w:pPr>
      <w:r w:rsidRPr="00F57044">
        <w:t>CCR volume</w:t>
      </w:r>
      <w:r w:rsidRPr="00F57044" w:rsidR="00363DC5">
        <w:t>s</w:t>
      </w:r>
      <w:r w:rsidRPr="00F57044" w:rsidR="00BE51A8">
        <w:t xml:space="preserve"> </w:t>
      </w:r>
      <w:r w:rsidRPr="00F57044">
        <w:t xml:space="preserve">– the number of units that will be released if the </w:t>
      </w:r>
      <w:r w:rsidR="00087195">
        <w:t>CCR</w:t>
      </w:r>
      <w:r w:rsidRPr="00F57044">
        <w:t xml:space="preserve"> trigger price is reached.</w:t>
      </w:r>
    </w:p>
    <w:p w:rsidRPr="00F57044" w:rsidR="00086497" w:rsidP="008E2D7A" w:rsidRDefault="00086497" w14:paraId="6B2EDB81" w14:textId="14F6A908">
      <w:pPr>
        <w:pStyle w:val="BodyText"/>
      </w:pPr>
      <w:r w:rsidRPr="00F57044">
        <w:t>Unit limit</w:t>
      </w:r>
      <w:r w:rsidRPr="00F57044" w:rsidR="00621714">
        <w:t>s</w:t>
      </w:r>
      <w:r w:rsidRPr="00F57044">
        <w:t xml:space="preserve"> help </w:t>
      </w:r>
      <w:r w:rsidRPr="00F57044" w:rsidR="009B2789">
        <w:t>constrain</w:t>
      </w:r>
      <w:r w:rsidRPr="00F57044">
        <w:t xml:space="preserve"> the supply of units into the NZ ETS over time</w:t>
      </w:r>
      <w:r w:rsidRPr="00F57044" w:rsidR="00BE51A8">
        <w:t>. This</w:t>
      </w:r>
      <w:r w:rsidRPr="00F57044">
        <w:t xml:space="preserve"> limits the quantity of net emissions that can occur, in line with New Zealand’s emissions reduction targets.</w:t>
      </w:r>
    </w:p>
    <w:p w:rsidRPr="00F57044" w:rsidR="00086497" w:rsidP="008E2D7A" w:rsidRDefault="00086497" w14:paraId="631B7097" w14:textId="119A15B2">
      <w:pPr>
        <w:pStyle w:val="BodyText"/>
      </w:pPr>
      <w:r w:rsidRPr="00F57044">
        <w:t>P</w:t>
      </w:r>
      <w:r w:rsidRPr="00F57044" w:rsidR="007F4489">
        <w:t>rice control</w:t>
      </w:r>
      <w:r w:rsidRPr="00F57044" w:rsidR="00B40002">
        <w:t>s</w:t>
      </w:r>
      <w:r w:rsidRPr="00F57044" w:rsidR="007F4489">
        <w:t xml:space="preserve"> set a minimum</w:t>
      </w:r>
      <w:r w:rsidRPr="00F57044" w:rsidR="00974BFD">
        <w:t xml:space="preserve"> price</w:t>
      </w:r>
      <w:r w:rsidRPr="00F57044" w:rsidR="007F4489">
        <w:t xml:space="preserve"> and </w:t>
      </w:r>
      <w:r w:rsidRPr="00F57044" w:rsidR="00974BFD">
        <w:t xml:space="preserve">a </w:t>
      </w:r>
      <w:r w:rsidRPr="00F57044" w:rsidR="007F4489">
        <w:t xml:space="preserve">maximum price for auctions for the next five years, providing a forward-looking ‘price corridor’. </w:t>
      </w:r>
    </w:p>
    <w:p w:rsidRPr="00F57044" w:rsidR="001A7C31" w:rsidP="008E2D7A" w:rsidRDefault="001A7C31" w14:paraId="0BE9B73B" w14:textId="7566ADFA">
      <w:pPr>
        <w:pStyle w:val="BodyText"/>
      </w:pPr>
      <w:r w:rsidRPr="00F57044">
        <w:t>This five-year look</w:t>
      </w:r>
      <w:r w:rsidRPr="00F57044" w:rsidR="5467C488">
        <w:t>-</w:t>
      </w:r>
      <w:r w:rsidRPr="00F57044">
        <w:t>ahead period</w:t>
      </w:r>
      <w:r w:rsidRPr="00F57044" w:rsidR="00BC53BB">
        <w:t xml:space="preserve"> </w:t>
      </w:r>
      <w:r w:rsidRPr="00F57044" w:rsidR="00C74D8C">
        <w:t>(as illustrated in Figure 1)</w:t>
      </w:r>
      <w:r w:rsidRPr="00F57044" w:rsidR="00BC53BB">
        <w:t xml:space="preserve"> </w:t>
      </w:r>
      <w:r w:rsidRPr="00F57044">
        <w:t>provid</w:t>
      </w:r>
      <w:r w:rsidRPr="00F57044" w:rsidR="00BC53BB">
        <w:t>es</w:t>
      </w:r>
      <w:r w:rsidRPr="00F57044">
        <w:t xml:space="preserve"> regulatory certainty to NZ</w:t>
      </w:r>
      <w:r w:rsidRPr="00F57044" w:rsidR="008E2D7A">
        <w:t> </w:t>
      </w:r>
      <w:r w:rsidRPr="00F57044">
        <w:t>ETS participants.</w:t>
      </w:r>
      <w:r w:rsidRPr="00F57044" w:rsidR="00095AA7">
        <w:t xml:space="preserve"> </w:t>
      </w:r>
      <w:r w:rsidRPr="00F57044" w:rsidR="00BC53BB">
        <w:t xml:space="preserve">To increase certainty, </w:t>
      </w:r>
      <w:r w:rsidRPr="00F57044" w:rsidR="15618F04">
        <w:t xml:space="preserve">these updates </w:t>
      </w:r>
      <w:r w:rsidRPr="00F57044" w:rsidR="008C71FB">
        <w:t xml:space="preserve">are </w:t>
      </w:r>
      <w:r w:rsidRPr="00F57044" w:rsidR="15618F04">
        <w:t xml:space="preserve">generally </w:t>
      </w:r>
      <w:r w:rsidRPr="00F57044" w:rsidR="008C71FB">
        <w:t xml:space="preserve">intended to </w:t>
      </w:r>
      <w:r w:rsidRPr="00F57044" w:rsidR="15618F04">
        <w:t>exclude</w:t>
      </w:r>
      <w:r w:rsidRPr="00F57044">
        <w:t xml:space="preserve"> changes to unit settings for the first two years (</w:t>
      </w:r>
      <w:proofErr w:type="spellStart"/>
      <w:r w:rsidRPr="00F57044" w:rsidR="00262B0E">
        <w:t>i</w:t>
      </w:r>
      <w:r w:rsidRPr="00F57044" w:rsidR="66A7E82F">
        <w:t>e</w:t>
      </w:r>
      <w:proofErr w:type="spellEnd"/>
      <w:r w:rsidRPr="00F57044" w:rsidR="66A7E82F">
        <w:t>,</w:t>
      </w:r>
      <w:r w:rsidRPr="00F57044">
        <w:t xml:space="preserve"> 202</w:t>
      </w:r>
      <w:r w:rsidRPr="00F57044" w:rsidR="0004347E">
        <w:t>6</w:t>
      </w:r>
      <w:r w:rsidRPr="00F57044">
        <w:t xml:space="preserve"> and 202</w:t>
      </w:r>
      <w:r w:rsidRPr="00F57044" w:rsidR="0004347E">
        <w:t>7</w:t>
      </w:r>
      <w:r w:rsidRPr="00F57044" w:rsidR="5107CC89">
        <w:t>, from</w:t>
      </w:r>
      <w:r w:rsidRPr="00F57044">
        <w:t xml:space="preserve"> this year). </w:t>
      </w:r>
      <w:r w:rsidRPr="00F57044" w:rsidR="00F8460D">
        <w:t>Changes can</w:t>
      </w:r>
      <w:r w:rsidRPr="00F57044" w:rsidR="008E2D7A">
        <w:t> </w:t>
      </w:r>
      <w:r w:rsidRPr="00F57044" w:rsidR="00F8460D">
        <w:t>only be made</w:t>
      </w:r>
      <w:r w:rsidRPr="00F57044" w:rsidR="0DC8D637">
        <w:t xml:space="preserve"> in specified circumstances</w:t>
      </w:r>
      <w:r w:rsidRPr="00F57044" w:rsidR="006A6FFF">
        <w:t xml:space="preserve"> </w:t>
      </w:r>
      <w:r w:rsidRPr="00F57044" w:rsidR="00D565F4">
        <w:t>for the</w:t>
      </w:r>
      <w:r w:rsidRPr="00F57044" w:rsidR="00374A65">
        <w:t>se</w:t>
      </w:r>
      <w:r w:rsidRPr="00F57044" w:rsidR="00D565F4">
        <w:t xml:space="preserve"> first tw</w:t>
      </w:r>
      <w:r w:rsidRPr="00F57044" w:rsidR="00B473D1">
        <w:t>o years</w:t>
      </w:r>
      <w:r w:rsidRPr="00F57044" w:rsidR="00126E26">
        <w:t xml:space="preserve"> – f</w:t>
      </w:r>
      <w:r w:rsidRPr="00F57044" w:rsidR="0DC8D637">
        <w:t>or example, if</w:t>
      </w:r>
      <w:r w:rsidRPr="00F57044">
        <w:t xml:space="preserve"> a change significantly affect</w:t>
      </w:r>
      <w:r w:rsidRPr="00F57044" w:rsidR="22CF29EE">
        <w:t>s</w:t>
      </w:r>
      <w:r w:rsidRPr="00F57044">
        <w:t xml:space="preserve"> one of the matters </w:t>
      </w:r>
      <w:r w:rsidRPr="00F57044" w:rsidR="00A611EF">
        <w:t>the Minister of Climate Change (</w:t>
      </w:r>
      <w:r w:rsidRPr="00F57044">
        <w:t>the Minister</w:t>
      </w:r>
      <w:r w:rsidRPr="00F57044" w:rsidR="00A611EF">
        <w:t>)</w:t>
      </w:r>
      <w:r w:rsidRPr="00F57044">
        <w:t xml:space="preserve"> must consider when recommending changes to settings.</w:t>
      </w:r>
      <w:r w:rsidRPr="00F57044" w:rsidR="00314EAD">
        <w:rPr>
          <w:rStyle w:val="FootnoteReference"/>
        </w:rPr>
        <w:footnoteReference w:id="3"/>
      </w:r>
    </w:p>
    <w:p w:rsidRPr="00F57044" w:rsidR="006B3E74" w:rsidP="008E2D7A" w:rsidRDefault="006B3E74" w14:paraId="320AAD41" w14:textId="1028CBDF">
      <w:pPr>
        <w:pStyle w:val="BodyText"/>
      </w:pPr>
    </w:p>
    <w:p w:rsidRPr="00F57044" w:rsidR="00940ED3" w:rsidP="008E2D7A" w:rsidRDefault="00731BAB" w14:paraId="5B9BCEB6" w14:textId="3368D8F0">
      <w:pPr>
        <w:pStyle w:val="Figureheading"/>
      </w:pPr>
      <w:bookmarkStart w:name="_Toc198901887" w:id="33"/>
      <w:r w:rsidRPr="00F57044">
        <w:t>Figure</w:t>
      </w:r>
      <w:r w:rsidRPr="00F57044">
        <w:rPr>
          <w:bCs/>
        </w:rPr>
        <w:t xml:space="preserve"> </w:t>
      </w:r>
      <w:r w:rsidRPr="00F57044" w:rsidR="00E565FE">
        <w:t>1</w:t>
      </w:r>
      <w:r w:rsidRPr="00F57044">
        <w:t>:</w:t>
      </w:r>
      <w:r w:rsidRPr="00F57044" w:rsidR="00FF1D49">
        <w:rPr>
          <w:bCs/>
        </w:rPr>
        <w:tab/>
      </w:r>
      <w:r w:rsidRPr="00F57044">
        <w:t xml:space="preserve">The five-year rolling process for </w:t>
      </w:r>
      <w:r w:rsidRPr="00F57044" w:rsidR="00B40002">
        <w:t xml:space="preserve">unit </w:t>
      </w:r>
      <w:r w:rsidRPr="00F57044">
        <w:t>limits and price control settings</w:t>
      </w:r>
      <w:bookmarkEnd w:id="33"/>
      <w:r w:rsidRPr="00F57044">
        <w:t xml:space="preserve"> </w:t>
      </w:r>
    </w:p>
    <w:p w:rsidRPr="00F57044" w:rsidR="00DA5C38" w:rsidP="00444006" w:rsidRDefault="00BA1FC5" w14:paraId="310361BE" w14:textId="2440C9C2">
      <w:pPr>
        <w:pStyle w:val="BodyText"/>
      </w:pPr>
      <w:r w:rsidRPr="00F57044">
        <w:rPr>
          <w:noProof/>
        </w:rPr>
        <w:drawing>
          <wp:inline distT="0" distB="0" distL="0" distR="0" wp14:anchorId="3A17EDB8" wp14:editId="21EAD4FE">
            <wp:extent cx="5399874" cy="2910685"/>
            <wp:effectExtent l="0" t="0" r="0" b="4445"/>
            <wp:docPr id="962461805" name="Picture 2" descr="Five year look ahead period for unit supply settings 0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year look ahead period for unit supply settings 0 v3"/>
                    <pic:cNvPicPr>
                      <a:picLocks noChangeAspect="1" noChangeArrowheads="1"/>
                    </pic:cNvPicPr>
                  </pic:nvPicPr>
                  <pic:blipFill rotWithShape="1">
                    <a:blip r:embed="rId29">
                      <a:extLst>
                        <a:ext uri="{28A0092B-C50C-407E-A947-70E740481C1C}">
                          <a14:useLocalDpi xmlns:a14="http://schemas.microsoft.com/office/drawing/2010/main" val="0"/>
                        </a:ext>
                      </a:extLst>
                    </a:blip>
                    <a:srcRect t="7128" b="5098"/>
                    <a:stretch/>
                  </pic:blipFill>
                  <pic:spPr bwMode="auto">
                    <a:xfrm>
                      <a:off x="0" y="0"/>
                      <a:ext cx="5400675" cy="2911117"/>
                    </a:xfrm>
                    <a:prstGeom prst="rect">
                      <a:avLst/>
                    </a:prstGeom>
                    <a:noFill/>
                    <a:ln>
                      <a:noFill/>
                    </a:ln>
                    <a:extLst>
                      <a:ext uri="{53640926-AAD7-44D8-BBD7-CCE9431645EC}">
                        <a14:shadowObscured xmlns:a14="http://schemas.microsoft.com/office/drawing/2010/main"/>
                      </a:ext>
                    </a:extLst>
                  </pic:spPr>
                </pic:pic>
              </a:graphicData>
            </a:graphic>
          </wp:inline>
        </w:drawing>
      </w:r>
    </w:p>
    <w:p w:rsidRPr="00F57044" w:rsidR="001A7C31" w:rsidP="008E2D7A" w:rsidRDefault="001A7C31" w14:paraId="223BA5F2" w14:textId="2836DB46">
      <w:pPr>
        <w:pStyle w:val="Heading2"/>
      </w:pPr>
      <w:bookmarkStart w:name="_Toc161831665" w:id="34"/>
      <w:bookmarkStart w:name="_Toc161762876" w:id="35"/>
      <w:bookmarkStart w:name="_Toc163048580" w:id="36"/>
      <w:bookmarkStart w:name="_Toc199231023" w:id="37"/>
      <w:r w:rsidRPr="00F57044">
        <w:t>The Climate Change Commission</w:t>
      </w:r>
      <w:r w:rsidRPr="00F57044" w:rsidR="00F61496">
        <w:br/>
      </w:r>
      <w:r w:rsidRPr="00F57044">
        <w:t xml:space="preserve">has </w:t>
      </w:r>
      <w:r w:rsidRPr="00F57044" w:rsidR="00AF2E6A">
        <w:t>advised</w:t>
      </w:r>
      <w:r w:rsidRPr="00F57044">
        <w:t xml:space="preserve"> on NZ ETS unit settings</w:t>
      </w:r>
      <w:bookmarkEnd w:id="34"/>
      <w:bookmarkEnd w:id="35"/>
      <w:bookmarkEnd w:id="36"/>
      <w:bookmarkEnd w:id="37"/>
    </w:p>
    <w:p w:rsidRPr="00F57044" w:rsidR="001A7C31" w:rsidP="001A7C31" w:rsidRDefault="001A7C31" w14:paraId="6559F247" w14:textId="0467109F">
      <w:pPr>
        <w:pStyle w:val="BodyText"/>
        <w:rPr>
          <w:highlight w:val="yellow"/>
        </w:rPr>
      </w:pPr>
      <w:r w:rsidRPr="00F57044">
        <w:t xml:space="preserve">The Climate Change Commission (the Commission) is required to give annual advice on NZ ETS </w:t>
      </w:r>
      <w:r w:rsidRPr="00F57044">
        <w:rPr>
          <w:spacing w:val="-2"/>
        </w:rPr>
        <w:t>unit settings. The Minister must consider the Commission’s advice when recommending updates</w:t>
      </w:r>
      <w:r w:rsidRPr="00F57044">
        <w:t xml:space="preserve"> to settings. If there are any differences between the recommendations of the Commission and those made by the Minister, the Minister must table a report in Parliament to explain the reasons</w:t>
      </w:r>
      <w:r w:rsidRPr="00F57044" w:rsidR="00126E26">
        <w:t xml:space="preserve"> for those differences</w:t>
      </w:r>
      <w:r w:rsidRPr="00F57044">
        <w:t>.</w:t>
      </w:r>
    </w:p>
    <w:p w:rsidRPr="00F57044" w:rsidR="001A7C31" w:rsidP="001A7C31" w:rsidRDefault="001A7C31" w14:paraId="7CE870F4" w14:textId="7FD83FD8">
      <w:pPr>
        <w:pStyle w:val="BodyText"/>
      </w:pPr>
      <w:r w:rsidRPr="00F57044">
        <w:t>The Commission</w:t>
      </w:r>
      <w:r w:rsidRPr="00F57044" w:rsidR="00221A66">
        <w:t xml:space="preserve">’s advice on </w:t>
      </w:r>
      <w:r w:rsidRPr="00F57044">
        <w:t>settings</w:t>
      </w:r>
      <w:r w:rsidRPr="00F57044" w:rsidR="00221A66">
        <w:t xml:space="preserve"> was published </w:t>
      </w:r>
      <w:r w:rsidRPr="00F57044" w:rsidR="006423B5">
        <w:t xml:space="preserve">in </w:t>
      </w:r>
      <w:r w:rsidRPr="00F57044" w:rsidR="0073504C">
        <w:t>April</w:t>
      </w:r>
      <w:r w:rsidRPr="00F57044" w:rsidR="006423B5">
        <w:t xml:space="preserve"> 202</w:t>
      </w:r>
      <w:r w:rsidRPr="00F57044" w:rsidR="0073504C">
        <w:t>5</w:t>
      </w:r>
      <w:r w:rsidRPr="00F57044" w:rsidR="00AF2E6A">
        <w:t>.</w:t>
      </w:r>
      <w:r w:rsidRPr="00F57044">
        <w:rPr>
          <w:rStyle w:val="FootnoteReference"/>
        </w:rPr>
        <w:footnoteReference w:id="4"/>
      </w:r>
      <w:r w:rsidRPr="00F57044" w:rsidR="00F8460D">
        <w:t xml:space="preserve"> </w:t>
      </w:r>
      <w:r w:rsidRPr="00F57044" w:rsidR="00AF2E6A">
        <w:t>Its</w:t>
      </w:r>
      <w:r w:rsidRPr="00F57044">
        <w:t xml:space="preserve"> </w:t>
      </w:r>
      <w:r w:rsidRPr="00F57044" w:rsidR="006A0B3A">
        <w:t>major recommendations</w:t>
      </w:r>
      <w:r w:rsidRPr="00F57044">
        <w:t xml:space="preserve"> this year </w:t>
      </w:r>
      <w:r w:rsidRPr="00F57044" w:rsidR="00DD26DB">
        <w:t>are</w:t>
      </w:r>
      <w:r w:rsidRPr="00F57044">
        <w:t>:</w:t>
      </w:r>
    </w:p>
    <w:p w:rsidRPr="00F57044" w:rsidR="001A7C31" w:rsidP="00834CC8" w:rsidRDefault="008F28DC" w14:paraId="7C424051" w14:textId="2490CF40">
      <w:pPr>
        <w:pStyle w:val="Bullet"/>
      </w:pPr>
      <w:r w:rsidRPr="00F57044">
        <w:t xml:space="preserve">13.6 </w:t>
      </w:r>
      <w:r w:rsidRPr="00F57044" w:rsidR="004574CA">
        <w:t xml:space="preserve">million more units </w:t>
      </w:r>
      <w:r w:rsidRPr="00F57044" w:rsidDel="00126E26" w:rsidR="004574CA">
        <w:t xml:space="preserve">could be auctioned </w:t>
      </w:r>
      <w:r w:rsidRPr="00F57044" w:rsidR="00AF2E6A">
        <w:t xml:space="preserve">across </w:t>
      </w:r>
      <w:r w:rsidRPr="00F57044" w:rsidR="004574CA">
        <w:t>2026</w:t>
      </w:r>
      <w:r w:rsidRPr="00F57044" w:rsidR="008F66EE">
        <w:t>–</w:t>
      </w:r>
      <w:r w:rsidRPr="00F57044" w:rsidR="004574CA">
        <w:t>30 than the current settings allow</w:t>
      </w:r>
      <w:r w:rsidRPr="00F57044" w:rsidR="001A7C31">
        <w:t xml:space="preserve"> </w:t>
      </w:r>
    </w:p>
    <w:p w:rsidRPr="00F57044" w:rsidR="001A7C31" w:rsidP="00834CC8" w:rsidRDefault="00444A3A" w14:paraId="14AA510D" w14:textId="0F47C501">
      <w:pPr>
        <w:pStyle w:val="Bullet"/>
      </w:pPr>
      <w:r w:rsidRPr="00F57044">
        <w:t xml:space="preserve">to </w:t>
      </w:r>
      <w:r w:rsidRPr="00F57044" w:rsidR="00126E26">
        <w:t xml:space="preserve">make </w:t>
      </w:r>
      <w:r w:rsidRPr="00F57044" w:rsidR="003C2558">
        <w:t>n</w:t>
      </w:r>
      <w:r w:rsidRPr="00F57044" w:rsidR="00096B12">
        <w:t>o changes to the unit limits for 2026</w:t>
      </w:r>
      <w:r w:rsidRPr="00F57044" w:rsidR="00BC6D40">
        <w:t>–</w:t>
      </w:r>
      <w:r w:rsidRPr="00F57044" w:rsidR="00096B12">
        <w:t xml:space="preserve">27, </w:t>
      </w:r>
      <w:r w:rsidRPr="00F57044" w:rsidR="003C2558">
        <w:t xml:space="preserve">with </w:t>
      </w:r>
      <w:r w:rsidRPr="00F57044" w:rsidR="008F66EE">
        <w:t xml:space="preserve">higher </w:t>
      </w:r>
      <w:r w:rsidRPr="00F57044" w:rsidR="00EA57E8">
        <w:t xml:space="preserve">auction volumes distributed </w:t>
      </w:r>
      <w:r w:rsidRPr="00F57044" w:rsidR="004574CA">
        <w:t xml:space="preserve">flatly </w:t>
      </w:r>
      <w:r w:rsidRPr="00F57044" w:rsidR="00DC40EA">
        <w:t xml:space="preserve">across </w:t>
      </w:r>
      <w:r w:rsidRPr="00F57044" w:rsidR="00262078">
        <w:t>2028</w:t>
      </w:r>
      <w:r w:rsidRPr="00F57044" w:rsidR="00AF2E6A">
        <w:t>–</w:t>
      </w:r>
      <w:r w:rsidRPr="00F57044" w:rsidR="00262078">
        <w:t>30</w:t>
      </w:r>
    </w:p>
    <w:p w:rsidRPr="00F57044" w:rsidR="004574CA" w:rsidP="00834CC8" w:rsidRDefault="00126E26" w14:paraId="3D9C7556" w14:textId="4E8BE03F">
      <w:pPr>
        <w:pStyle w:val="Bullet"/>
      </w:pPr>
      <w:r w:rsidRPr="00F57044">
        <w:t xml:space="preserve">keep </w:t>
      </w:r>
      <w:r w:rsidRPr="00F57044" w:rsidR="009053D0">
        <w:t xml:space="preserve">the auction price floor and </w:t>
      </w:r>
      <w:r w:rsidRPr="00F57044" w:rsidR="00AF2E6A">
        <w:t>CCR</w:t>
      </w:r>
      <w:r w:rsidRPr="00F57044" w:rsidR="009053D0">
        <w:t xml:space="preserve"> </w:t>
      </w:r>
      <w:r w:rsidRPr="00F57044" w:rsidR="00ED7B37">
        <w:t>settings</w:t>
      </w:r>
      <w:r w:rsidRPr="00F57044" w:rsidDel="00126E26" w:rsidR="00ED7B37">
        <w:t xml:space="preserve"> </w:t>
      </w:r>
      <w:r w:rsidRPr="00F57044" w:rsidR="00F90C2D">
        <w:t>at current levels, adjusted only for inflation</w:t>
      </w:r>
      <w:r w:rsidRPr="00F57044" w:rsidR="00AF2E6A">
        <w:t>.</w:t>
      </w:r>
    </w:p>
    <w:p w:rsidRPr="00F57044" w:rsidR="00DB69C7" w:rsidP="00DB69C7" w:rsidRDefault="00AF2E6A" w14:paraId="4338EF8F" w14:textId="18E59CF6">
      <w:pPr>
        <w:pStyle w:val="BodyText"/>
        <w:rPr>
          <w:b/>
          <w:bCs/>
        </w:rPr>
      </w:pPr>
      <w:r w:rsidRPr="00F57044">
        <w:rPr>
          <w:b/>
          <w:bCs/>
        </w:rPr>
        <w:t>We are seeking</w:t>
      </w:r>
      <w:r w:rsidRPr="00F57044" w:rsidR="00D710C6">
        <w:rPr>
          <w:b/>
          <w:bCs/>
        </w:rPr>
        <w:t xml:space="preserve"> feedback on</w:t>
      </w:r>
      <w:r w:rsidRPr="00F57044" w:rsidR="00794B26">
        <w:rPr>
          <w:b/>
          <w:bCs/>
        </w:rPr>
        <w:t xml:space="preserve"> </w:t>
      </w:r>
      <w:r w:rsidRPr="00F57044">
        <w:rPr>
          <w:b/>
          <w:bCs/>
        </w:rPr>
        <w:t xml:space="preserve">options for </w:t>
      </w:r>
      <w:r w:rsidRPr="00F57044" w:rsidR="00D94E7A">
        <w:rPr>
          <w:b/>
          <w:bCs/>
        </w:rPr>
        <w:t>NZ ETS settings</w:t>
      </w:r>
      <w:r w:rsidRPr="00F57044" w:rsidR="0022734E">
        <w:rPr>
          <w:b/>
          <w:bCs/>
        </w:rPr>
        <w:t>. These</w:t>
      </w:r>
      <w:r w:rsidRPr="00F57044" w:rsidR="00D94E7A">
        <w:rPr>
          <w:b/>
          <w:bCs/>
        </w:rPr>
        <w:t xml:space="preserve"> </w:t>
      </w:r>
      <w:r w:rsidRPr="00F57044" w:rsidR="00126E26">
        <w:rPr>
          <w:b/>
          <w:bCs/>
        </w:rPr>
        <w:t xml:space="preserve">options </w:t>
      </w:r>
      <w:r w:rsidRPr="00F57044" w:rsidR="00D94E7A">
        <w:rPr>
          <w:b/>
          <w:bCs/>
        </w:rPr>
        <w:t>includ</w:t>
      </w:r>
      <w:r w:rsidRPr="00F57044" w:rsidR="0022734E">
        <w:rPr>
          <w:b/>
          <w:bCs/>
        </w:rPr>
        <w:t>e</w:t>
      </w:r>
      <w:r w:rsidRPr="00F57044" w:rsidR="00794B26">
        <w:rPr>
          <w:b/>
          <w:bCs/>
        </w:rPr>
        <w:t xml:space="preserve"> </w:t>
      </w:r>
      <w:r w:rsidRPr="00F57044" w:rsidR="001A7C31">
        <w:rPr>
          <w:b/>
          <w:bCs/>
        </w:rPr>
        <w:t xml:space="preserve">the </w:t>
      </w:r>
      <w:hyperlink r:id="rId30">
        <w:r w:rsidRPr="00F57044" w:rsidR="001A7C31">
          <w:rPr>
            <w:rStyle w:val="Hyperlink"/>
            <w:b/>
            <w:bCs/>
          </w:rPr>
          <w:t>Commission’s recommend</w:t>
        </w:r>
        <w:r w:rsidRPr="00F57044" w:rsidR="00A04CEB">
          <w:rPr>
            <w:rStyle w:val="Hyperlink"/>
            <w:b/>
            <w:bCs/>
          </w:rPr>
          <w:t>ed</w:t>
        </w:r>
      </w:hyperlink>
      <w:r w:rsidRPr="00F57044" w:rsidR="00A04CEB">
        <w:rPr>
          <w:b/>
          <w:bCs/>
        </w:rPr>
        <w:t xml:space="preserve"> approach</w:t>
      </w:r>
      <w:r w:rsidRPr="00F57044" w:rsidR="00794B26">
        <w:rPr>
          <w:b/>
          <w:bCs/>
        </w:rPr>
        <w:t>.</w:t>
      </w:r>
      <w:r w:rsidRPr="00F57044" w:rsidDel="000D2E2E" w:rsidR="000D2E2E">
        <w:rPr>
          <w:b/>
          <w:bCs/>
        </w:rPr>
        <w:t xml:space="preserve"> </w:t>
      </w:r>
    </w:p>
    <w:p w:rsidRPr="00F57044" w:rsidR="006D5710" w:rsidP="00772ABB" w:rsidRDefault="006D5710" w14:paraId="31279465" w14:textId="63300F0E">
      <w:pPr>
        <w:pStyle w:val="BodyText"/>
      </w:pPr>
      <w:r w:rsidRPr="00F57044">
        <w:br w:type="page"/>
      </w:r>
      <w:bookmarkStart w:name="_Toc161831667" w:id="38"/>
      <w:bookmarkStart w:name="_Toc161762878" w:id="39"/>
    </w:p>
    <w:p w:rsidRPr="00F57044" w:rsidR="001A7C31" w:rsidP="009E3890" w:rsidRDefault="001A7C31" w14:paraId="01A118D6" w14:textId="1949E3CC">
      <w:pPr>
        <w:pStyle w:val="Heading1"/>
      </w:pPr>
      <w:bookmarkStart w:name="_Toc163048582" w:id="40"/>
      <w:bookmarkStart w:name="_Toc199231024" w:id="41"/>
      <w:r w:rsidRPr="00F57044">
        <w:t xml:space="preserve">How we assessed </w:t>
      </w:r>
      <w:r w:rsidRPr="00F57044" w:rsidR="00476DD8">
        <w:t xml:space="preserve">the </w:t>
      </w:r>
      <w:r w:rsidRPr="00F57044">
        <w:t>options</w:t>
      </w:r>
      <w:bookmarkEnd w:id="38"/>
      <w:bookmarkEnd w:id="39"/>
      <w:bookmarkEnd w:id="40"/>
      <w:bookmarkEnd w:id="41"/>
    </w:p>
    <w:p w:rsidRPr="00F57044" w:rsidR="001A7C31" w:rsidP="00834CC8" w:rsidRDefault="001A7C31" w14:paraId="1C427F18" w14:textId="27DFBFE3">
      <w:pPr>
        <w:pStyle w:val="Heading2"/>
        <w:spacing w:before="240"/>
      </w:pPr>
      <w:bookmarkStart w:name="_Objectives_–_accordance" w:id="42"/>
      <w:bookmarkStart w:name="_Toc161831668" w:id="43"/>
      <w:bookmarkStart w:name="_Toc161762879" w:id="44"/>
      <w:bookmarkStart w:name="_Toc163048583" w:id="45"/>
      <w:bookmarkStart w:name="_Toc199231025" w:id="46"/>
      <w:bookmarkEnd w:id="42"/>
      <w:r w:rsidRPr="00F57044">
        <w:t>Objectives – accordance test</w:t>
      </w:r>
      <w:bookmarkEnd w:id="43"/>
      <w:bookmarkEnd w:id="44"/>
      <w:bookmarkEnd w:id="45"/>
      <w:bookmarkEnd w:id="46"/>
    </w:p>
    <w:p w:rsidRPr="00F57044" w:rsidR="001A7C31" w:rsidP="00834CC8" w:rsidRDefault="001A7C31" w14:paraId="3E127BC9" w14:textId="1EE26B2B">
      <w:pPr>
        <w:pStyle w:val="BodyText"/>
      </w:pPr>
      <w:r w:rsidRPr="00F57044">
        <w:t xml:space="preserve">The </w:t>
      </w:r>
      <w:r w:rsidRPr="00F57044" w:rsidR="00517253">
        <w:t>Climate Change Response Act 2002 (</w:t>
      </w:r>
      <w:r w:rsidRPr="00F57044" w:rsidR="001B167D">
        <w:t>CCRA</w:t>
      </w:r>
      <w:r w:rsidRPr="00F57044" w:rsidR="00517253">
        <w:t>)</w:t>
      </w:r>
      <w:r w:rsidRPr="00F57044" w:rsidR="001B167D">
        <w:t xml:space="preserve"> </w:t>
      </w:r>
      <w:r w:rsidRPr="00F57044">
        <w:t>requires that</w:t>
      </w:r>
      <w:r w:rsidRPr="00F57044" w:rsidR="00126E26">
        <w:t xml:space="preserve"> New Zealand Emissions Trading Scheme (NZ</w:t>
      </w:r>
      <w:r w:rsidRPr="00F57044">
        <w:t xml:space="preserve"> </w:t>
      </w:r>
      <w:r w:rsidRPr="00F57044" w:rsidR="00F775CC">
        <w:t>ETS</w:t>
      </w:r>
      <w:r w:rsidRPr="00F57044" w:rsidR="00126E26">
        <w:t>)</w:t>
      </w:r>
      <w:r w:rsidRPr="00F57044">
        <w:t xml:space="preserve"> settings must accord with </w:t>
      </w:r>
      <w:r w:rsidRPr="00F57044" w:rsidR="00AB0CB3">
        <w:t xml:space="preserve">Aotearoa </w:t>
      </w:r>
      <w:r w:rsidRPr="00F57044">
        <w:t>New Zealand’s:</w:t>
      </w:r>
    </w:p>
    <w:p w:rsidRPr="00F57044" w:rsidR="001A7C31" w:rsidP="00161B39" w:rsidRDefault="001A7C31" w14:paraId="6623989C" w14:textId="0886EAE4">
      <w:pPr>
        <w:pStyle w:val="Bullet"/>
      </w:pPr>
      <w:r w:rsidRPr="00F57044">
        <w:t>2050 target, which is:</w:t>
      </w:r>
    </w:p>
    <w:p w:rsidRPr="00F57044" w:rsidR="001A7C31" w:rsidP="002E4F48" w:rsidRDefault="382355F0" w14:paraId="7EA27EDF" w14:textId="672DD8E3">
      <w:pPr>
        <w:pStyle w:val="Sub-list"/>
      </w:pPr>
      <w:r w:rsidRPr="00F57044">
        <w:t>net</w:t>
      </w:r>
      <w:r w:rsidRPr="00F57044" w:rsidR="4D4DD739">
        <w:t xml:space="preserve"> zero emissions of all greenhouse gas emissions other than biogenic methane by</w:t>
      </w:r>
      <w:r w:rsidRPr="00F57044" w:rsidR="00492213">
        <w:t> </w:t>
      </w:r>
      <w:r w:rsidRPr="00F57044" w:rsidR="4D4DD739">
        <w:t>2050</w:t>
      </w:r>
    </w:p>
    <w:p w:rsidRPr="00F57044" w:rsidR="001A7C31" w:rsidP="002E4F48" w:rsidRDefault="008F66EE" w14:paraId="3AEA27EC" w14:textId="33DA8D32">
      <w:pPr>
        <w:pStyle w:val="Sub-list"/>
      </w:pPr>
      <w:r w:rsidRPr="00F57044">
        <w:t xml:space="preserve">a </w:t>
      </w:r>
      <w:r w:rsidRPr="00F57044" w:rsidR="001A7C31">
        <w:t>24</w:t>
      </w:r>
      <w:r w:rsidRPr="00F57044" w:rsidR="5F637692">
        <w:t xml:space="preserve"> to</w:t>
      </w:r>
      <w:r w:rsidRPr="00F57044" w:rsidR="62C14546">
        <w:t xml:space="preserve"> </w:t>
      </w:r>
      <w:r w:rsidRPr="00F57044" w:rsidR="001A7C31">
        <w:t>47</w:t>
      </w:r>
      <w:r w:rsidRPr="00F57044" w:rsidR="62C14546">
        <w:t xml:space="preserve"> per cent</w:t>
      </w:r>
      <w:r w:rsidRPr="00F57044" w:rsidR="001A7C31">
        <w:t xml:space="preserve"> reduction below 2017 biogenic methane emissions by 2050, including </w:t>
      </w:r>
      <w:r w:rsidRPr="00F57044">
        <w:t xml:space="preserve">a </w:t>
      </w:r>
      <w:r w:rsidRPr="00F57044" w:rsidR="001A7C31">
        <w:t>10 per cent reduction below 2017 biogenic methane emissions by 2030</w:t>
      </w:r>
    </w:p>
    <w:p w:rsidRPr="00F57044" w:rsidR="001A7C31" w:rsidP="00D716CA" w:rsidRDefault="00FB1019" w14:paraId="440A6CC4" w14:textId="602716F1">
      <w:pPr>
        <w:pStyle w:val="Bullet"/>
      </w:pPr>
      <w:r w:rsidRPr="00F57044">
        <w:t>emissions</w:t>
      </w:r>
      <w:r w:rsidRPr="00F57044" w:rsidR="001A7C31">
        <w:t xml:space="preserve"> budgets, which are stepping stones along the path to the 2050 target</w:t>
      </w:r>
    </w:p>
    <w:p w:rsidRPr="00F57044" w:rsidR="001A7C31" w:rsidP="00844AA1" w:rsidRDefault="005D2E30" w14:paraId="5EFB617C" w14:textId="57EFE6B9">
      <w:pPr>
        <w:pStyle w:val="Bullet"/>
      </w:pPr>
      <w:r>
        <w:t>N</w:t>
      </w:r>
      <w:r w:rsidRPr="00F57044" w:rsidR="001A7C31">
        <w:t xml:space="preserve">ationally </w:t>
      </w:r>
      <w:r>
        <w:t>D</w:t>
      </w:r>
      <w:r w:rsidRPr="00F57044">
        <w:t xml:space="preserve">etermined </w:t>
      </w:r>
      <w:r>
        <w:t>C</w:t>
      </w:r>
      <w:r w:rsidRPr="00F57044">
        <w:t>ontributions</w:t>
      </w:r>
      <w:r w:rsidRPr="00F57044" w:rsidR="001A7C31">
        <w:t xml:space="preserve"> </w:t>
      </w:r>
      <w:r w:rsidRPr="00F57044" w:rsidR="00476DD8">
        <w:t xml:space="preserve">(NDCs) </w:t>
      </w:r>
      <w:r w:rsidRPr="00F57044" w:rsidR="001A7C31">
        <w:t>under the Paris Agreement, which</w:t>
      </w:r>
      <w:r w:rsidRPr="00F57044" w:rsidR="00613E4E">
        <w:t xml:space="preserve"> </w:t>
      </w:r>
      <w:r w:rsidRPr="00F57044" w:rsidR="001A7C31">
        <w:t>sets target</w:t>
      </w:r>
      <w:r w:rsidRPr="00F57044" w:rsidR="00765762">
        <w:t>s</w:t>
      </w:r>
      <w:r w:rsidRPr="00F57044" w:rsidR="001A7C31">
        <w:t xml:space="preserve"> of a 50</w:t>
      </w:r>
      <w:r w:rsidRPr="00F57044" w:rsidR="76EDC0F0">
        <w:t xml:space="preserve"> per cent</w:t>
      </w:r>
      <w:r w:rsidRPr="00F57044" w:rsidR="001A7C31">
        <w:t xml:space="preserve"> reduction of net emissions below the gross 2005 level</w:t>
      </w:r>
      <w:r w:rsidRPr="00F57044" w:rsidR="00613E4E">
        <w:t xml:space="preserve"> </w:t>
      </w:r>
      <w:r w:rsidRPr="00F57044" w:rsidR="001A7C31">
        <w:t xml:space="preserve">by 2030 </w:t>
      </w:r>
      <w:r w:rsidRPr="00F57044" w:rsidR="00AE4076">
        <w:t>(NDC1)</w:t>
      </w:r>
      <w:r w:rsidRPr="00F57044" w:rsidR="00476DD8">
        <w:t>,</w:t>
      </w:r>
      <w:r w:rsidRPr="00F57044" w:rsidR="00AE4076">
        <w:t xml:space="preserve"> </w:t>
      </w:r>
      <w:r w:rsidRPr="00F57044" w:rsidR="00412709">
        <w:t xml:space="preserve">and </w:t>
      </w:r>
      <w:r w:rsidRPr="00F57044" w:rsidR="006A7CDC">
        <w:t>a 51</w:t>
      </w:r>
      <w:r w:rsidRPr="00F57044" w:rsidR="00476DD8">
        <w:t>–</w:t>
      </w:r>
      <w:r w:rsidRPr="00F57044" w:rsidR="006A7CDC">
        <w:t>55 per cent reduction by 2035</w:t>
      </w:r>
      <w:r w:rsidRPr="00F57044" w:rsidR="00AE4076">
        <w:t xml:space="preserve"> (NDC2)</w:t>
      </w:r>
      <w:r w:rsidRPr="00F57044" w:rsidR="006A7CDC">
        <w:t>.</w:t>
      </w:r>
    </w:p>
    <w:p w:rsidRPr="00F57044" w:rsidR="00F775CC" w:rsidP="001A7C31" w:rsidRDefault="0050715F" w14:paraId="1E7C102F" w14:textId="6B8027A1">
      <w:pPr>
        <w:pStyle w:val="BodyText"/>
      </w:pPr>
      <w:r w:rsidRPr="00F57044">
        <w:t xml:space="preserve">We propose to </w:t>
      </w:r>
      <w:r w:rsidRPr="00F57044" w:rsidR="00E93B77">
        <w:t xml:space="preserve">align the </w:t>
      </w:r>
      <w:r w:rsidRPr="00F57044" w:rsidDel="008F66EE" w:rsidR="00E93B77">
        <w:t xml:space="preserve">NZ </w:t>
      </w:r>
      <w:r w:rsidRPr="00F57044" w:rsidR="00E93B77">
        <w:t xml:space="preserve">ETS cap </w:t>
      </w:r>
      <w:r w:rsidRPr="00F57044" w:rsidR="00EC390B">
        <w:t xml:space="preserve">for </w:t>
      </w:r>
      <w:r w:rsidRPr="00F57044" w:rsidR="00E42B7D">
        <w:t>2026</w:t>
      </w:r>
      <w:r w:rsidRPr="00F57044" w:rsidR="00573F80">
        <w:t>–</w:t>
      </w:r>
      <w:r w:rsidRPr="00F57044" w:rsidR="00E42B7D">
        <w:t xml:space="preserve">30 </w:t>
      </w:r>
      <w:r w:rsidRPr="00F57044" w:rsidR="00E93B77">
        <w:t xml:space="preserve">with the projected emissions from NZ ETS sectors under </w:t>
      </w:r>
      <w:r w:rsidRPr="00F57044" w:rsidR="00573F80">
        <w:t>the second emissions reduction plan</w:t>
      </w:r>
      <w:r w:rsidRPr="00F57044">
        <w:t xml:space="preserve">, reflecting </w:t>
      </w:r>
      <w:r w:rsidRPr="00F57044" w:rsidR="008878DC">
        <w:t xml:space="preserve">both </w:t>
      </w:r>
      <w:r w:rsidRPr="00F57044" w:rsidR="00573F80">
        <w:t xml:space="preserve">the second emissions budget </w:t>
      </w:r>
      <w:r w:rsidRPr="00F57044" w:rsidR="006E4967">
        <w:t>and</w:t>
      </w:r>
      <w:r w:rsidRPr="00F57044">
        <w:t xml:space="preserve"> </w:t>
      </w:r>
      <w:r w:rsidRPr="00F57044" w:rsidR="00573F80">
        <w:t xml:space="preserve">the </w:t>
      </w:r>
      <w:r w:rsidRPr="00F57044" w:rsidR="008878DC">
        <w:t xml:space="preserve">domestic contribution to </w:t>
      </w:r>
      <w:r w:rsidRPr="00F57044">
        <w:t>NDC1</w:t>
      </w:r>
      <w:r w:rsidRPr="00F57044" w:rsidR="00D53064">
        <w:t xml:space="preserve">. NDC1 was </w:t>
      </w:r>
      <w:r w:rsidRPr="00F57044" w:rsidR="00581BAF">
        <w:t>set with the intent</w:t>
      </w:r>
      <w:r w:rsidRPr="00F57044" w:rsidR="00863266">
        <w:t xml:space="preserve">ion </w:t>
      </w:r>
      <w:r w:rsidRPr="00F57044" w:rsidR="00476DD8">
        <w:t xml:space="preserve">that </w:t>
      </w:r>
      <w:r w:rsidRPr="00F57044" w:rsidR="00863266">
        <w:t>it would</w:t>
      </w:r>
      <w:r w:rsidRPr="00F57044" w:rsidR="0020747C">
        <w:t> </w:t>
      </w:r>
      <w:r w:rsidRPr="00F57044" w:rsidR="00863266">
        <w:t>be met</w:t>
      </w:r>
      <w:r w:rsidRPr="00F57044" w:rsidR="00117B70">
        <w:t>,</w:t>
      </w:r>
      <w:r w:rsidRPr="00F57044" w:rsidR="00D53064">
        <w:t xml:space="preserve"> in part, </w:t>
      </w:r>
      <w:r w:rsidRPr="00F57044" w:rsidR="00476DD8">
        <w:t xml:space="preserve">by </w:t>
      </w:r>
      <w:r w:rsidRPr="00F57044" w:rsidR="00D53064">
        <w:t>using offshore mitigation.</w:t>
      </w:r>
      <w:r w:rsidRPr="00F57044" w:rsidR="003C1094">
        <w:t xml:space="preserve"> This aligns with the approach followed in</w:t>
      </w:r>
      <w:r w:rsidRPr="00F57044" w:rsidR="0020747C">
        <w:t> </w:t>
      </w:r>
      <w:r w:rsidRPr="00F57044" w:rsidR="003C1094">
        <w:t xml:space="preserve">previous </w:t>
      </w:r>
      <w:r w:rsidRPr="00F57044" w:rsidR="00476DD8">
        <w:t>s</w:t>
      </w:r>
      <w:r w:rsidRPr="00F57044" w:rsidR="009A07A7">
        <w:t>ettings</w:t>
      </w:r>
      <w:r w:rsidRPr="00F57044" w:rsidR="00950665">
        <w:t xml:space="preserve"> decisions</w:t>
      </w:r>
      <w:r w:rsidRPr="00F57044" w:rsidR="009A07A7">
        <w:t xml:space="preserve"> and recommended by the </w:t>
      </w:r>
      <w:r w:rsidRPr="00F57044" w:rsidR="00573F80">
        <w:t xml:space="preserve">Climate Change </w:t>
      </w:r>
      <w:r w:rsidRPr="00F57044" w:rsidR="009A07A7">
        <w:t>Commission.</w:t>
      </w:r>
    </w:p>
    <w:p w:rsidRPr="00F57044" w:rsidR="00567F7B" w:rsidP="00567F7B" w:rsidRDefault="00897892" w14:paraId="78A22678" w14:textId="72E42FBA">
      <w:pPr>
        <w:pStyle w:val="BodyText"/>
      </w:pPr>
      <w:r w:rsidRPr="00F57044">
        <w:t xml:space="preserve">NZ </w:t>
      </w:r>
      <w:r w:rsidRPr="00F57044" w:rsidR="00567F7B">
        <w:t xml:space="preserve">ETS settings must strictly accord with New Zealand’s 2050 target, meaning there is a </w:t>
      </w:r>
      <w:r w:rsidRPr="00F57044">
        <w:rPr>
          <w:b/>
          <w:bCs/>
        </w:rPr>
        <w:t>very</w:t>
      </w:r>
      <w:r w:rsidRPr="00F57044">
        <w:t xml:space="preserve"> </w:t>
      </w:r>
      <w:r w:rsidRPr="00F57044" w:rsidR="00567F7B">
        <w:rPr>
          <w:b/>
          <w:bCs/>
        </w:rPr>
        <w:t>high</w:t>
      </w:r>
      <w:r w:rsidRPr="00F57044" w:rsidR="00567F7B">
        <w:t xml:space="preserve"> probability that settings constrain emissions to levels necessary to meet the target.</w:t>
      </w:r>
      <w:r w:rsidRPr="00F57044" w:rsidR="00BB5965">
        <w:rPr>
          <w:rStyle w:val="FootnoteReference"/>
        </w:rPr>
        <w:footnoteReference w:id="5"/>
      </w:r>
    </w:p>
    <w:p w:rsidRPr="00F57044" w:rsidR="00567F7B" w:rsidP="00567F7B" w:rsidRDefault="00567F7B" w14:paraId="7FAAD4A8" w14:textId="13905C94">
      <w:pPr>
        <w:pStyle w:val="BodyText"/>
      </w:pPr>
      <w:r w:rsidRPr="00F57044">
        <w:t xml:space="preserve">For emissions budgets and NDCs, </w:t>
      </w:r>
      <w:r w:rsidRPr="00F57044" w:rsidR="003933DC">
        <w:t xml:space="preserve">the </w:t>
      </w:r>
      <w:r w:rsidRPr="00F57044">
        <w:t>settings do not have to strictly accord</w:t>
      </w:r>
      <w:r w:rsidRPr="00F57044" w:rsidR="00765216">
        <w:rPr>
          <w:rStyle w:val="FootnoteReference"/>
        </w:rPr>
        <w:footnoteReference w:id="6"/>
      </w:r>
      <w:r w:rsidRPr="00F57044">
        <w:t xml:space="preserve"> if the </w:t>
      </w:r>
      <w:r w:rsidRPr="00F57044" w:rsidR="006A1508">
        <w:t xml:space="preserve">discrepancy </w:t>
      </w:r>
      <w:r w:rsidRPr="00F57044">
        <w:t xml:space="preserve">is justified </w:t>
      </w:r>
      <w:r w:rsidRPr="00F57044" w:rsidR="006A1508">
        <w:t>after considering matters</w:t>
      </w:r>
      <w:r w:rsidRPr="00F57044">
        <w:t xml:space="preserve"> prescribed in the </w:t>
      </w:r>
      <w:r w:rsidRPr="00F57044" w:rsidR="00A22F12">
        <w:t>CCRA</w:t>
      </w:r>
      <w:r w:rsidRPr="00F57044">
        <w:t>.</w:t>
      </w:r>
      <w:r w:rsidRPr="00F57044">
        <w:rPr>
          <w:rStyle w:val="FootnoteReference"/>
        </w:rPr>
        <w:footnoteReference w:id="7"/>
      </w:r>
      <w:r w:rsidRPr="00F57044">
        <w:t xml:space="preserve"> Even if </w:t>
      </w:r>
      <w:r w:rsidRPr="00F57044" w:rsidR="001B5831">
        <w:t xml:space="preserve">deviating </w:t>
      </w:r>
      <w:r w:rsidRPr="00F57044">
        <w:t xml:space="preserve">from strict accordance, </w:t>
      </w:r>
      <w:r w:rsidRPr="00F57044" w:rsidR="003933DC">
        <w:t xml:space="preserve">the </w:t>
      </w:r>
      <w:r w:rsidRPr="00F57044">
        <w:t xml:space="preserve">settings must still accord, meaning there is a </w:t>
      </w:r>
      <w:r w:rsidRPr="00F57044">
        <w:rPr>
          <w:b/>
          <w:bCs/>
        </w:rPr>
        <w:t>good</w:t>
      </w:r>
      <w:r w:rsidRPr="00F57044">
        <w:t xml:space="preserve"> probability that settings constrain emissions to </w:t>
      </w:r>
      <w:r w:rsidRPr="00F57044" w:rsidR="003933DC">
        <w:t xml:space="preserve">the </w:t>
      </w:r>
      <w:r w:rsidRPr="00F57044">
        <w:t>levels necessary to meet the targets</w:t>
      </w:r>
      <w:r w:rsidRPr="00F57044" w:rsidR="003933DC">
        <w:t>.</w:t>
      </w:r>
    </w:p>
    <w:p w:rsidRPr="00F57044" w:rsidR="001A7C31" w:rsidP="0020747C" w:rsidRDefault="001A7C31" w14:paraId="2B179C0D" w14:textId="377D7FEE">
      <w:pPr>
        <w:pStyle w:val="Heading2"/>
      </w:pPr>
      <w:bookmarkStart w:name="_Toc161831669" w:id="47"/>
      <w:bookmarkStart w:name="_Toc161762880" w:id="48"/>
      <w:bookmarkStart w:name="_Toc163048584" w:id="49"/>
      <w:bookmarkStart w:name="_Toc199231026" w:id="50"/>
      <w:r w:rsidRPr="00F57044">
        <w:t>Criteria</w:t>
      </w:r>
      <w:bookmarkEnd w:id="47"/>
      <w:bookmarkEnd w:id="48"/>
      <w:bookmarkEnd w:id="49"/>
      <w:bookmarkEnd w:id="50"/>
    </w:p>
    <w:p w:rsidRPr="00F57044" w:rsidR="001A7C31" w:rsidP="001A7C31" w:rsidRDefault="003933DC" w14:paraId="43CA57E5" w14:textId="754F9E47">
      <w:pPr>
        <w:pStyle w:val="BodyText"/>
      </w:pPr>
      <w:r w:rsidRPr="00F57044">
        <w:rPr>
          <w:spacing w:val="-2"/>
        </w:rPr>
        <w:t>To assess the options, w</w:t>
      </w:r>
      <w:r w:rsidRPr="00F57044" w:rsidR="001A7C31">
        <w:rPr>
          <w:spacing w:val="-2"/>
        </w:rPr>
        <w:t xml:space="preserve">e used </w:t>
      </w:r>
      <w:r w:rsidRPr="00F57044">
        <w:rPr>
          <w:spacing w:val="-2"/>
        </w:rPr>
        <w:t xml:space="preserve">a set of </w:t>
      </w:r>
      <w:r w:rsidRPr="00F57044" w:rsidR="001A7C31">
        <w:rPr>
          <w:spacing w:val="-2"/>
        </w:rPr>
        <w:t xml:space="preserve">criteria </w:t>
      </w:r>
      <w:r w:rsidRPr="00F57044">
        <w:rPr>
          <w:spacing w:val="-2"/>
        </w:rPr>
        <w:t xml:space="preserve">(table 1). </w:t>
      </w:r>
      <w:r w:rsidRPr="00F57044" w:rsidR="001A7C31">
        <w:rPr>
          <w:spacing w:val="-2"/>
        </w:rPr>
        <w:t>These</w:t>
      </w:r>
      <w:r w:rsidRPr="00F57044" w:rsidR="00573F80">
        <w:rPr>
          <w:spacing w:val="-2"/>
        </w:rPr>
        <w:t xml:space="preserve"> criteria</w:t>
      </w:r>
      <w:r w:rsidRPr="00F57044" w:rsidR="001A7C31">
        <w:rPr>
          <w:spacing w:val="-2"/>
        </w:rPr>
        <w:t xml:space="preserve"> align with the mandatory</w:t>
      </w:r>
      <w:r w:rsidRPr="00F57044" w:rsidR="001A7C31">
        <w:t xml:space="preserve"> considerations for updating</w:t>
      </w:r>
      <w:r w:rsidRPr="00F57044" w:rsidR="0001245D">
        <w:t xml:space="preserve"> New Zealand Unit (NZU or</w:t>
      </w:r>
      <w:r w:rsidRPr="00F57044" w:rsidR="001A7C31">
        <w:t xml:space="preserve"> unit</w:t>
      </w:r>
      <w:r w:rsidRPr="00F57044" w:rsidR="0001245D">
        <w:t>)</w:t>
      </w:r>
      <w:r w:rsidRPr="00F57044" w:rsidR="001A7C31">
        <w:t xml:space="preserve"> settings</w:t>
      </w:r>
      <w:r w:rsidRPr="00F57044">
        <w:t>,</w:t>
      </w:r>
      <w:r w:rsidRPr="00F57044" w:rsidR="001A7C31">
        <w:t xml:space="preserve"> as prescribed in the </w:t>
      </w:r>
      <w:r w:rsidRPr="00F57044" w:rsidR="0024039D">
        <w:t xml:space="preserve">CCRA </w:t>
      </w:r>
      <w:r w:rsidRPr="00F57044" w:rsidR="001A7C31">
        <w:t xml:space="preserve">(see </w:t>
      </w:r>
      <w:hyperlink w:history="1" w:anchor="_Appendix_2:_Aligning">
        <w:r w:rsidRPr="00F57044" w:rsidR="00B6760D">
          <w:rPr>
            <w:rStyle w:val="Hyperlink"/>
          </w:rPr>
          <w:t>appendix 2</w:t>
        </w:r>
      </w:hyperlink>
      <w:r w:rsidRPr="00F57044" w:rsidR="00B6760D">
        <w:t xml:space="preserve"> </w:t>
      </w:r>
      <w:r w:rsidRPr="00F57044" w:rsidR="001A7C31">
        <w:t>for how they</w:t>
      </w:r>
      <w:r w:rsidRPr="00F57044" w:rsidR="009E1ADA">
        <w:t> </w:t>
      </w:r>
      <w:r w:rsidRPr="00F57044" w:rsidR="001A7C31">
        <w:t>align).</w:t>
      </w:r>
      <w:r w:rsidRPr="00F57044" w:rsidR="00312A75">
        <w:t xml:space="preserve"> They are </w:t>
      </w:r>
      <w:r w:rsidRPr="00F57044" w:rsidR="00373AB5">
        <w:t xml:space="preserve">identical to </w:t>
      </w:r>
      <w:r w:rsidRPr="00F57044" w:rsidR="00125BB8">
        <w:t>the criteria used last year</w:t>
      </w:r>
      <w:r w:rsidRPr="00F57044" w:rsidR="00FE1B0A">
        <w:t>.</w:t>
      </w:r>
      <w:r w:rsidRPr="00F57044" w:rsidR="00373AB5">
        <w:t xml:space="preserve"> </w:t>
      </w:r>
    </w:p>
    <w:p w:rsidRPr="00F57044" w:rsidR="001A7C31" w:rsidP="001A7C31" w:rsidRDefault="001A7C31" w14:paraId="449AB65F" w14:textId="57D33122">
      <w:pPr>
        <w:pStyle w:val="BodyText"/>
      </w:pPr>
      <w:r w:rsidRPr="00F57044">
        <w:t xml:space="preserve">The first </w:t>
      </w:r>
      <w:r w:rsidRPr="00F57044" w:rsidR="00244EC7">
        <w:t xml:space="preserve">two </w:t>
      </w:r>
      <w:r w:rsidRPr="00F57044">
        <w:t xml:space="preserve">criteria apply to both unit limit and price control settings. The </w:t>
      </w:r>
      <w:r w:rsidRPr="00F57044" w:rsidR="00244EC7">
        <w:t xml:space="preserve">third and </w:t>
      </w:r>
      <w:r w:rsidRPr="00F57044" w:rsidR="003933DC">
        <w:t>fourth</w:t>
      </w:r>
      <w:r w:rsidRPr="00F57044" w:rsidR="008F66EE">
        <w:t xml:space="preserve"> </w:t>
      </w:r>
      <w:r w:rsidRPr="00F57044" w:rsidR="004A15E5">
        <w:t xml:space="preserve">criteria </w:t>
      </w:r>
      <w:r w:rsidRPr="00F57044">
        <w:t>appl</w:t>
      </w:r>
      <w:r w:rsidRPr="00F57044" w:rsidR="004A15E5">
        <w:t>y</w:t>
      </w:r>
      <w:r w:rsidRPr="00F57044">
        <w:t xml:space="preserve"> to price control settings only.</w:t>
      </w:r>
    </w:p>
    <w:p w:rsidRPr="00F57044" w:rsidR="00A31DE4" w:rsidP="21CB1DAB" w:rsidRDefault="001A7C31" w14:paraId="5D12FE5C" w14:textId="7DE104BF">
      <w:pPr>
        <w:pStyle w:val="BodyText"/>
      </w:pPr>
      <w:r w:rsidRPr="00F57044">
        <w:t xml:space="preserve">We have put more weighting on the criterion </w:t>
      </w:r>
      <w:r w:rsidRPr="00F57044" w:rsidR="00CC585E">
        <w:t>‘</w:t>
      </w:r>
      <w:r w:rsidRPr="00F57044">
        <w:t xml:space="preserve">likelihood of incentivising (net) </w:t>
      </w:r>
      <w:bookmarkStart w:name="_Int_ldRoqana" w:id="51"/>
      <w:proofErr w:type="gramStart"/>
      <w:r w:rsidRPr="00F57044">
        <w:t>emissions reductions</w:t>
      </w:r>
      <w:r w:rsidRPr="00F57044" w:rsidR="00CC585E">
        <w:t>’</w:t>
      </w:r>
      <w:bookmarkEnd w:id="51"/>
      <w:proofErr w:type="gramEnd"/>
      <w:r w:rsidRPr="00F57044">
        <w:t xml:space="preserve">. This is because this criterion relates </w:t>
      </w:r>
      <w:r w:rsidRPr="00F57044" w:rsidR="008F66EE">
        <w:t xml:space="preserve">the most </w:t>
      </w:r>
      <w:r w:rsidRPr="00F57044" w:rsidR="004A15E5">
        <w:t xml:space="preserve">closely </w:t>
      </w:r>
      <w:r w:rsidRPr="00F57044">
        <w:t>to the overarching objective.</w:t>
      </w:r>
    </w:p>
    <w:p w:rsidRPr="00F57044" w:rsidR="00B57DEF" w:rsidP="0020747C" w:rsidRDefault="00B57DEF" w14:paraId="10F54C34" w14:textId="456559A6">
      <w:pPr>
        <w:pStyle w:val="Tableheading"/>
      </w:pPr>
      <w:bookmarkStart w:name="_Toc198901871" w:id="52"/>
      <w:r w:rsidRPr="00F57044">
        <w:t>Table 1:</w:t>
      </w:r>
      <w:r w:rsidRPr="00F57044" w:rsidR="00CB6FB5">
        <w:t xml:space="preserve"> </w:t>
      </w:r>
      <w:r w:rsidRPr="00F57044" w:rsidR="00C31713">
        <w:tab/>
      </w:r>
      <w:r w:rsidRPr="00F57044" w:rsidR="007F4B36">
        <w:t>Criteria for assessi</w:t>
      </w:r>
      <w:r w:rsidRPr="00F57044" w:rsidR="00621714">
        <w:t>ng</w:t>
      </w:r>
      <w:r w:rsidRPr="00F57044" w:rsidR="007F4B36">
        <w:t xml:space="preserve"> o</w:t>
      </w:r>
      <w:r w:rsidRPr="00F57044">
        <w:t>ption</w:t>
      </w:r>
      <w:r w:rsidRPr="00F57044" w:rsidR="007F4B36">
        <w:t>s</w:t>
      </w:r>
      <w:r w:rsidRPr="00F57044">
        <w:t xml:space="preserve"> </w:t>
      </w:r>
      <w:r w:rsidRPr="00F57044" w:rsidR="009956A0">
        <w:t>for NZ ETS settings</w:t>
      </w:r>
      <w:bookmarkEnd w:id="52"/>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2694"/>
        <w:gridCol w:w="5811"/>
      </w:tblGrid>
      <w:tr w:rsidRPr="00F57044" w:rsidR="00B57DEF" w:rsidTr="008458AE" w14:paraId="7689A7D9" w14:textId="77777777">
        <w:trPr>
          <w:tblHeader/>
        </w:trPr>
        <w:tc>
          <w:tcPr>
            <w:tcW w:w="1584" w:type="pct"/>
            <w:shd w:val="clear" w:color="auto" w:fill="1B556B" w:themeFill="text2"/>
          </w:tcPr>
          <w:p w:rsidRPr="00F57044" w:rsidR="00B57DEF" w:rsidRDefault="00B57DEF" w14:paraId="2D791832" w14:textId="67140B32">
            <w:pPr>
              <w:pStyle w:val="TableTextbold"/>
              <w:rPr>
                <w:color w:val="FFFFFF" w:themeColor="background1"/>
              </w:rPr>
            </w:pPr>
            <w:r w:rsidRPr="00F57044">
              <w:rPr>
                <w:color w:val="FFFFFF" w:themeColor="background1"/>
              </w:rPr>
              <w:t>Criteri</w:t>
            </w:r>
            <w:r w:rsidRPr="00F57044" w:rsidR="007F4B36">
              <w:rPr>
                <w:color w:val="FFFFFF" w:themeColor="background1"/>
              </w:rPr>
              <w:t>on</w:t>
            </w:r>
          </w:p>
        </w:tc>
        <w:tc>
          <w:tcPr>
            <w:tcW w:w="3416" w:type="pct"/>
            <w:shd w:val="clear" w:color="auto" w:fill="1B556B" w:themeFill="text2"/>
          </w:tcPr>
          <w:p w:rsidRPr="00F57044" w:rsidR="00B57DEF" w:rsidRDefault="00B57DEF" w14:paraId="19A1FD93" w14:textId="6776465C">
            <w:pPr>
              <w:pStyle w:val="TableTextbold"/>
              <w:rPr>
                <w:color w:val="FFFFFF" w:themeColor="background1"/>
              </w:rPr>
            </w:pPr>
            <w:r w:rsidRPr="00F57044">
              <w:rPr>
                <w:color w:val="FFFFFF" w:themeColor="background1"/>
              </w:rPr>
              <w:t>Description</w:t>
            </w:r>
          </w:p>
        </w:tc>
      </w:tr>
      <w:tr w:rsidRPr="00F57044" w:rsidR="00B57DEF" w:rsidTr="008458AE" w14:paraId="7C27B19C" w14:textId="77777777">
        <w:tc>
          <w:tcPr>
            <w:tcW w:w="1584" w:type="pct"/>
            <w:shd w:val="clear" w:color="auto" w:fill="auto"/>
          </w:tcPr>
          <w:p w:rsidRPr="00F57044" w:rsidR="00B57DEF" w:rsidRDefault="00B57DEF" w14:paraId="19F9198F" w14:textId="2D2D2FAD">
            <w:pPr>
              <w:pStyle w:val="TableText"/>
            </w:pPr>
            <w:bookmarkStart w:name="_Hlk198546003" w:id="53"/>
            <w:r w:rsidRPr="00F57044">
              <w:rPr>
                <w:b/>
                <w:bCs/>
              </w:rPr>
              <w:t>Likelihood of incentivising (net) emissions reductions</w:t>
            </w:r>
          </w:p>
        </w:tc>
        <w:tc>
          <w:tcPr>
            <w:tcW w:w="3416" w:type="pct"/>
            <w:shd w:val="clear" w:color="auto" w:fill="auto"/>
          </w:tcPr>
          <w:p w:rsidRPr="00F57044" w:rsidR="00B57DEF" w:rsidP="00B57DEF" w:rsidRDefault="00B57DEF" w14:paraId="213E6A16" w14:textId="610A83B1">
            <w:pPr>
              <w:pStyle w:val="TableText"/>
            </w:pPr>
            <w:r w:rsidRPr="00F57044">
              <w:t>The NZ ETS must accord with New Zealand’s emissions budgets, NDC</w:t>
            </w:r>
            <w:r w:rsidRPr="00F57044" w:rsidR="001E44D7">
              <w:t>s</w:t>
            </w:r>
            <w:r w:rsidRPr="00F57044">
              <w:t xml:space="preserve"> and </w:t>
            </w:r>
            <w:r w:rsidRPr="00F57044" w:rsidR="00E56F7F">
              <w:t xml:space="preserve">the </w:t>
            </w:r>
            <w:r w:rsidRPr="00F57044">
              <w:t xml:space="preserve">2050 target, which all require </w:t>
            </w:r>
            <w:r w:rsidRPr="00F57044" w:rsidR="00D341E7">
              <w:t xml:space="preserve">a mix of </w:t>
            </w:r>
            <w:r w:rsidRPr="00F57044">
              <w:t xml:space="preserve">gross emissions reductions </w:t>
            </w:r>
            <w:r w:rsidRPr="00F57044" w:rsidR="00D341E7">
              <w:t>and</w:t>
            </w:r>
            <w:r w:rsidRPr="00F57044">
              <w:t xml:space="preserve"> removals. </w:t>
            </w:r>
            <w:r w:rsidRPr="00F57044" w:rsidR="007F4B36">
              <w:t>S</w:t>
            </w:r>
            <w:r w:rsidRPr="00F57044">
              <w:t>ettings should</w:t>
            </w:r>
            <w:r w:rsidRPr="00F57044" w:rsidR="00C80219">
              <w:t xml:space="preserve"> provide a price signal to incentivise</w:t>
            </w:r>
            <w:r w:rsidRPr="00F57044">
              <w:t xml:space="preserve"> emissions reductions and removals.</w:t>
            </w:r>
          </w:p>
          <w:p w:rsidRPr="00F57044" w:rsidR="00B57DEF" w:rsidP="00B57DEF" w:rsidRDefault="008F66EE" w14:paraId="045641D1" w14:textId="620718C4">
            <w:pPr>
              <w:pStyle w:val="TableText"/>
            </w:pPr>
            <w:r w:rsidRPr="00F57044">
              <w:t>Because</w:t>
            </w:r>
            <w:r w:rsidRPr="00F57044" w:rsidR="00A56091">
              <w:t xml:space="preserve"> </w:t>
            </w:r>
            <w:r w:rsidRPr="00F57044" w:rsidR="00B57DEF">
              <w:t>the stockpile</w:t>
            </w:r>
            <w:r w:rsidRPr="00F57044" w:rsidR="00A56091">
              <w:t xml:space="preserve"> </w:t>
            </w:r>
            <w:r w:rsidRPr="00F57044">
              <w:t xml:space="preserve">could impede </w:t>
            </w:r>
            <w:r w:rsidRPr="00F57044" w:rsidR="00A56091">
              <w:t xml:space="preserve">the achievement of </w:t>
            </w:r>
            <w:r w:rsidRPr="00F57044" w:rsidR="00B91629">
              <w:t xml:space="preserve">emissions reductions and </w:t>
            </w:r>
            <w:r w:rsidRPr="00F57044" w:rsidR="00514598">
              <w:t xml:space="preserve">increase the </w:t>
            </w:r>
            <w:r w:rsidRPr="00F57044" w:rsidR="00A7715E">
              <w:t xml:space="preserve">risk </w:t>
            </w:r>
            <w:r w:rsidRPr="00F57044" w:rsidR="00514598">
              <w:t xml:space="preserve">of not </w:t>
            </w:r>
            <w:r w:rsidRPr="00F57044" w:rsidR="00A7715E">
              <w:t xml:space="preserve">meeting </w:t>
            </w:r>
            <w:r w:rsidRPr="00F57044" w:rsidR="00B57DEF">
              <w:t xml:space="preserve">budgets, options that risk </w:t>
            </w:r>
            <w:r w:rsidRPr="00F57044" w:rsidR="00A56091">
              <w:t>continuing</w:t>
            </w:r>
            <w:r w:rsidRPr="00F57044" w:rsidR="00B57DEF">
              <w:t xml:space="preserve"> the stockpile</w:t>
            </w:r>
            <w:r w:rsidRPr="00F57044" w:rsidR="00AA453A">
              <w:t xml:space="preserve"> beyond the intended drawdown date</w:t>
            </w:r>
            <w:r w:rsidRPr="00F57044" w:rsidR="00B57DEF">
              <w:t xml:space="preserve"> will rate negatively </w:t>
            </w:r>
            <w:r w:rsidRPr="00F57044">
              <w:t>for</w:t>
            </w:r>
            <w:r w:rsidRPr="00F57044" w:rsidR="00B57DEF">
              <w:t xml:space="preserve"> this criterion.</w:t>
            </w:r>
          </w:p>
        </w:tc>
      </w:tr>
      <w:tr w:rsidRPr="00F57044" w:rsidR="00B57DEF" w:rsidTr="008458AE" w14:paraId="063F58A6" w14:textId="77777777">
        <w:tc>
          <w:tcPr>
            <w:tcW w:w="1584" w:type="pct"/>
            <w:shd w:val="clear" w:color="auto" w:fill="auto"/>
          </w:tcPr>
          <w:p w:rsidRPr="00F57044" w:rsidR="00B57DEF" w:rsidRDefault="00B57DEF" w14:paraId="19D5A0D7" w14:textId="7A40C13C">
            <w:pPr>
              <w:pStyle w:val="TableText"/>
            </w:pPr>
            <w:r w:rsidRPr="00F57044">
              <w:rPr>
                <w:b/>
                <w:bCs/>
              </w:rPr>
              <w:t>Support for proper functioning of the NZ ETS</w:t>
            </w:r>
          </w:p>
        </w:tc>
        <w:tc>
          <w:tcPr>
            <w:tcW w:w="3416" w:type="pct"/>
            <w:shd w:val="clear" w:color="auto" w:fill="auto"/>
          </w:tcPr>
          <w:p w:rsidRPr="00F57044" w:rsidR="00FC3636" w:rsidP="00FC3636" w:rsidRDefault="00FC3636" w14:paraId="3A4C38B8" w14:textId="20C92759">
            <w:pPr>
              <w:pStyle w:val="TableText"/>
            </w:pPr>
            <w:r w:rsidRPr="00F57044">
              <w:t>The NZ ETS should operate in a transparent and durable manner</w:t>
            </w:r>
            <w:r w:rsidRPr="00F57044" w:rsidR="00A56091">
              <w:t>, so</w:t>
            </w:r>
            <w:r w:rsidRPr="00F57044">
              <w:t xml:space="preserve"> that participants </w:t>
            </w:r>
            <w:r w:rsidRPr="00F57044" w:rsidR="00A56091">
              <w:t xml:space="preserve">can </w:t>
            </w:r>
            <w:r w:rsidRPr="00F57044">
              <w:t>form expectations about supply and demand</w:t>
            </w:r>
            <w:r w:rsidRPr="00F57044" w:rsidR="00A56091">
              <w:t>,</w:t>
            </w:r>
            <w:r w:rsidRPr="00F57044">
              <w:t xml:space="preserve"> to support investment in </w:t>
            </w:r>
            <w:r w:rsidRPr="00F57044" w:rsidR="00A56091">
              <w:t xml:space="preserve">reducing </w:t>
            </w:r>
            <w:r w:rsidRPr="00F57044">
              <w:t>emissions.</w:t>
            </w:r>
          </w:p>
          <w:p w:rsidRPr="00F57044" w:rsidR="00FC3636" w:rsidP="00FC3636" w:rsidRDefault="00FC3636" w14:paraId="1928AE22" w14:textId="6459C5E5">
            <w:pPr>
              <w:pStyle w:val="TableText"/>
            </w:pPr>
            <w:r w:rsidRPr="00F57044">
              <w:t xml:space="preserve">The restrictions on how settings are updated allow </w:t>
            </w:r>
            <w:r w:rsidRPr="00F57044" w:rsidR="00A06B00">
              <w:t xml:space="preserve">for </w:t>
            </w:r>
            <w:r w:rsidRPr="00F57044">
              <w:t xml:space="preserve">changes in response to new information, while maintaining regulatory predictability. Options that undermine this standard approach </w:t>
            </w:r>
            <w:r w:rsidRPr="00F57044" w:rsidR="00A06B00">
              <w:t xml:space="preserve">will </w:t>
            </w:r>
            <w:r w:rsidRPr="00F57044">
              <w:t xml:space="preserve">rate negatively </w:t>
            </w:r>
            <w:r w:rsidRPr="00F57044" w:rsidR="008F66EE">
              <w:t xml:space="preserve">for </w:t>
            </w:r>
            <w:r w:rsidRPr="00F57044">
              <w:t>this criterion.</w:t>
            </w:r>
          </w:p>
          <w:p w:rsidRPr="00F57044" w:rsidR="00FC3636" w:rsidP="00FC3636" w:rsidRDefault="00FC3636" w14:paraId="48AD062C" w14:textId="0A08F35B">
            <w:pPr>
              <w:pStyle w:val="TableText"/>
            </w:pPr>
            <w:r w:rsidRPr="00F57044">
              <w:t>This criterion also includes NZ ETS participants being able to attain and surrender NZUs to meet NZ ETS obligations.</w:t>
            </w:r>
          </w:p>
          <w:p w:rsidRPr="00F57044" w:rsidR="00B57DEF" w:rsidP="00FC3636" w:rsidRDefault="00470A0E" w14:paraId="338812A0" w14:textId="602E89C8">
            <w:pPr>
              <w:pStyle w:val="TableText"/>
            </w:pPr>
            <w:r w:rsidRPr="00F57044">
              <w:t xml:space="preserve">The </w:t>
            </w:r>
            <w:r w:rsidRPr="00F57044" w:rsidR="00FC3636">
              <w:t xml:space="preserve">NZ ETS </w:t>
            </w:r>
            <w:r w:rsidRPr="00F57044" w:rsidR="002B6E02">
              <w:t>must function properly</w:t>
            </w:r>
            <w:r w:rsidRPr="00F57044" w:rsidR="00A06B00">
              <w:t>,</w:t>
            </w:r>
            <w:r w:rsidRPr="00F57044" w:rsidR="002B6E02">
              <w:t xml:space="preserve"> to effectively </w:t>
            </w:r>
            <w:r w:rsidRPr="00F57044">
              <w:t>play its role</w:t>
            </w:r>
            <w:r w:rsidRPr="00F57044" w:rsidR="00FC3636">
              <w:t xml:space="preserve"> in meeting emissions </w:t>
            </w:r>
            <w:r w:rsidRPr="00F57044" w:rsidR="00091801">
              <w:t>reduction</w:t>
            </w:r>
            <w:r w:rsidRPr="00F57044" w:rsidR="00FC3636">
              <w:t xml:space="preserve"> targets.</w:t>
            </w:r>
          </w:p>
        </w:tc>
      </w:tr>
      <w:tr w:rsidRPr="00F57044" w:rsidR="003E609A" w:rsidTr="008458AE" w14:paraId="133DCB08" w14:textId="77777777">
        <w:tc>
          <w:tcPr>
            <w:tcW w:w="1584" w:type="pct"/>
          </w:tcPr>
          <w:p w:rsidRPr="00F57044" w:rsidR="003E609A" w:rsidP="003E609A" w:rsidRDefault="003E609A" w14:paraId="47388796" w14:textId="0225E277">
            <w:pPr>
              <w:pStyle w:val="TableText"/>
            </w:pPr>
            <w:r w:rsidRPr="00F57044">
              <w:rPr>
                <w:b/>
                <w:bCs/>
              </w:rPr>
              <w:t>Support for NZU prices consistent with the level and trajectory of international emissions prices</w:t>
            </w:r>
          </w:p>
        </w:tc>
        <w:tc>
          <w:tcPr>
            <w:tcW w:w="3416" w:type="pct"/>
          </w:tcPr>
          <w:p w:rsidRPr="00F57044" w:rsidR="003E609A" w:rsidP="003E609A" w:rsidRDefault="003E609A" w14:paraId="7A56C87E" w14:textId="5FEE5B14">
            <w:pPr>
              <w:pStyle w:val="TableText"/>
            </w:pPr>
            <w:r w:rsidRPr="00F57044">
              <w:t>There are two reasons for considering the level and trajectory of international emissions prices</w:t>
            </w:r>
            <w:r w:rsidRPr="00F57044" w:rsidR="00FC6390">
              <w:t>.</w:t>
            </w:r>
          </w:p>
          <w:p w:rsidRPr="00F57044" w:rsidR="003E609A" w:rsidP="003E609A" w:rsidRDefault="00FC6390" w14:paraId="4824C2FF" w14:textId="7768D947">
            <w:pPr>
              <w:pStyle w:val="TableBullet"/>
            </w:pPr>
            <w:r w:rsidRPr="00F57044">
              <w:t>I</w:t>
            </w:r>
            <w:r w:rsidRPr="00F57044" w:rsidR="003E609A">
              <w:t xml:space="preserve">nternational emissions prices provide a </w:t>
            </w:r>
            <w:r w:rsidRPr="00F57044">
              <w:t xml:space="preserve">way </w:t>
            </w:r>
            <w:r w:rsidRPr="00F57044" w:rsidR="003E609A">
              <w:t xml:space="preserve">of </w:t>
            </w:r>
            <w:r w:rsidRPr="00F57044">
              <w:t xml:space="preserve">comparing </w:t>
            </w:r>
            <w:r w:rsidRPr="00F57044" w:rsidR="003E609A">
              <w:t xml:space="preserve">New Zealand’s contribution </w:t>
            </w:r>
            <w:r w:rsidRPr="00F57044">
              <w:t xml:space="preserve">with that of other countries in </w:t>
            </w:r>
            <w:r w:rsidRPr="00F57044" w:rsidR="003E609A">
              <w:t>the global effort towards addressing climate change, notwithstanding fundamental differences between individual emission</w:t>
            </w:r>
            <w:r w:rsidRPr="00F57044">
              <w:t>s</w:t>
            </w:r>
            <w:r w:rsidRPr="00F57044" w:rsidR="003E609A">
              <w:t xml:space="preserve"> pricing schemes</w:t>
            </w:r>
            <w:r w:rsidRPr="00F57044">
              <w:t>.</w:t>
            </w:r>
          </w:p>
          <w:p w:rsidRPr="00F57044" w:rsidR="003E609A" w:rsidP="003E609A" w:rsidRDefault="00FC6390" w14:paraId="5EB65092" w14:textId="67A61350">
            <w:pPr>
              <w:pStyle w:val="TableBullet"/>
            </w:pPr>
            <w:r w:rsidRPr="00F57044">
              <w:t>O</w:t>
            </w:r>
            <w:r w:rsidRPr="00F57044" w:rsidR="003E609A">
              <w:t>ffshore mitigation could be needed to meet emissions reduction targets in addition to reducing emissions domestically.</w:t>
            </w:r>
          </w:p>
        </w:tc>
      </w:tr>
      <w:tr w:rsidRPr="00F57044" w:rsidR="003E609A" w:rsidTr="008458AE" w14:paraId="1E9FABD3" w14:textId="77777777">
        <w:tc>
          <w:tcPr>
            <w:tcW w:w="1584" w:type="pct"/>
            <w:shd w:val="clear" w:color="auto" w:fill="auto"/>
          </w:tcPr>
          <w:p w:rsidRPr="00F57044" w:rsidR="003E609A" w:rsidP="003E609A" w:rsidRDefault="003E609A" w14:paraId="7CB86326" w14:textId="3416D284">
            <w:pPr>
              <w:pStyle w:val="TableText"/>
              <w:rPr>
                <w:b/>
                <w:bCs/>
              </w:rPr>
            </w:pPr>
            <w:r w:rsidRPr="00F57044">
              <w:rPr>
                <w:b/>
                <w:bCs/>
              </w:rPr>
              <w:t>Management of overall costs to the economy and households</w:t>
            </w:r>
          </w:p>
        </w:tc>
        <w:tc>
          <w:tcPr>
            <w:tcW w:w="3416" w:type="pct"/>
            <w:shd w:val="clear" w:color="auto" w:fill="auto"/>
          </w:tcPr>
          <w:p w:rsidRPr="00F57044" w:rsidR="003E609A" w:rsidP="003E609A" w:rsidRDefault="003E609A" w14:paraId="48C091A1" w14:textId="5AD87796">
            <w:pPr>
              <w:pStyle w:val="TableBullet"/>
              <w:numPr>
                <w:ilvl w:val="0"/>
                <w:numId w:val="0"/>
              </w:numPr>
            </w:pPr>
            <w:r w:rsidRPr="00F57044">
              <w:t>Settings influence, and can help manage, the costs of the NZ ETS on the economy, households, sectors and regions.</w:t>
            </w:r>
          </w:p>
        </w:tc>
      </w:tr>
      <w:bookmarkEnd w:id="53"/>
    </w:tbl>
    <w:p w:rsidRPr="00F57044" w:rsidR="00B57DEF" w:rsidP="0020747C" w:rsidRDefault="00B57DEF" w14:paraId="44A2AB27" w14:textId="260E9553">
      <w:pPr>
        <w:pStyle w:val="BodyText"/>
        <w:rPr>
          <w:highlight w:val="yellow"/>
        </w:rPr>
      </w:pPr>
    </w:p>
    <w:p w:rsidRPr="00F57044" w:rsidR="001A7C31" w:rsidP="00D716CA" w:rsidRDefault="001A7C31" w14:paraId="7A8A3957" w14:textId="005C959C">
      <w:pPr>
        <w:pStyle w:val="BodyText"/>
        <w:rPr>
          <w:highlight w:val="yellow"/>
        </w:rPr>
      </w:pPr>
      <w:r w:rsidRPr="00F57044">
        <w:rPr>
          <w:highlight w:val="yellow"/>
        </w:rPr>
        <w:br w:type="page"/>
      </w:r>
    </w:p>
    <w:p w:rsidRPr="00F57044" w:rsidR="002D3E0C" w:rsidP="009E3890" w:rsidRDefault="002D3E0C" w14:paraId="2929A3D5" w14:textId="79751AB3">
      <w:pPr>
        <w:pStyle w:val="Heading1"/>
      </w:pPr>
      <w:bookmarkStart w:name="_Toc199231027" w:id="54"/>
      <w:bookmarkStart w:name="_Toc161831670" w:id="55"/>
      <w:bookmarkStart w:name="_Toc161762881" w:id="56"/>
      <w:bookmarkStart w:name="_Toc163048585" w:id="57"/>
      <w:r w:rsidRPr="00F57044">
        <w:t xml:space="preserve">How we developed </w:t>
      </w:r>
      <w:r w:rsidRPr="00F57044" w:rsidR="000946F1">
        <w:t xml:space="preserve">the </w:t>
      </w:r>
      <w:r w:rsidRPr="00F57044">
        <w:t>options</w:t>
      </w:r>
      <w:bookmarkEnd w:id="54"/>
      <w:r w:rsidRPr="00F57044">
        <w:t xml:space="preserve"> </w:t>
      </w:r>
    </w:p>
    <w:p w:rsidRPr="00F57044" w:rsidR="002D3E0C" w:rsidP="002D3E0C" w:rsidRDefault="00376CE3" w14:paraId="46E77855" w14:textId="1F90A00E">
      <w:pPr>
        <w:pStyle w:val="BodyText"/>
      </w:pPr>
      <w:r w:rsidRPr="00F57044">
        <w:t xml:space="preserve">We used two </w:t>
      </w:r>
      <w:r w:rsidRPr="00F57044" w:rsidR="008D5990">
        <w:t xml:space="preserve">major </w:t>
      </w:r>
      <w:r w:rsidRPr="00F57044" w:rsidR="004B4B3B">
        <w:t xml:space="preserve">approaches </w:t>
      </w:r>
      <w:r w:rsidRPr="00F57044" w:rsidR="00B90516">
        <w:t xml:space="preserve">together </w:t>
      </w:r>
      <w:r w:rsidRPr="00F57044" w:rsidR="004B4B3B">
        <w:t>to determine options</w:t>
      </w:r>
      <w:r w:rsidRPr="00F57044" w:rsidR="000A29D1">
        <w:t xml:space="preserve"> for unit settings</w:t>
      </w:r>
      <w:r w:rsidRPr="00F57044" w:rsidR="004B4B3B">
        <w:t xml:space="preserve"> </w:t>
      </w:r>
      <w:r w:rsidRPr="00F57044" w:rsidR="00E80917">
        <w:t xml:space="preserve">that would meet </w:t>
      </w:r>
      <w:r w:rsidRPr="00F57044" w:rsidR="001569D6">
        <w:t xml:space="preserve">the accordance tests and goals of </w:t>
      </w:r>
      <w:r w:rsidRPr="00F57044" w:rsidR="00CB1863">
        <w:t>the</w:t>
      </w:r>
      <w:r w:rsidRPr="00F57044" w:rsidR="00FC6390">
        <w:t xml:space="preserve"> New Zealand Emissions Trading Scheme</w:t>
      </w:r>
      <w:r w:rsidRPr="00F57044" w:rsidR="00CB1863">
        <w:t xml:space="preserve"> </w:t>
      </w:r>
      <w:r w:rsidRPr="00F57044" w:rsidR="00FC6390">
        <w:t>(</w:t>
      </w:r>
      <w:r w:rsidRPr="00F57044" w:rsidR="008D3712">
        <w:t xml:space="preserve">NZ </w:t>
      </w:r>
      <w:r w:rsidRPr="00F57044" w:rsidR="00CB1863">
        <w:t>ETS</w:t>
      </w:r>
      <w:r w:rsidRPr="00F57044" w:rsidR="00FC6390">
        <w:t>)</w:t>
      </w:r>
      <w:r w:rsidRPr="00F57044" w:rsidR="000946F1">
        <w:t>:</w:t>
      </w:r>
    </w:p>
    <w:p w:rsidRPr="00F57044" w:rsidR="002D3E0C" w:rsidP="00CB1863" w:rsidRDefault="00FC6390" w14:paraId="6B6ED024" w14:textId="1D94779B">
      <w:pPr>
        <w:pStyle w:val="Bullet"/>
      </w:pPr>
      <w:r w:rsidRPr="00F57044">
        <w:t>s</w:t>
      </w:r>
      <w:r w:rsidRPr="00F57044" w:rsidR="00CB1863">
        <w:t xml:space="preserve">even </w:t>
      </w:r>
      <w:r w:rsidRPr="00F57044" w:rsidR="008D6F68">
        <w:t>s</w:t>
      </w:r>
      <w:r w:rsidRPr="00F57044" w:rsidR="00CB1863">
        <w:t>tep</w:t>
      </w:r>
      <w:r w:rsidRPr="00F57044" w:rsidR="008D6F68">
        <w:t>s</w:t>
      </w:r>
      <w:r w:rsidRPr="00F57044" w:rsidR="00CB1863">
        <w:t xml:space="preserve"> methodology</w:t>
      </w:r>
    </w:p>
    <w:p w:rsidRPr="00F57044" w:rsidR="00452F2D" w:rsidP="00830214" w:rsidRDefault="008E2198" w14:paraId="790C4F78" w14:textId="4FD893C0">
      <w:pPr>
        <w:pStyle w:val="Bullet"/>
      </w:pPr>
      <w:r w:rsidRPr="00F57044">
        <w:t xml:space="preserve">NZ ETS </w:t>
      </w:r>
      <w:r w:rsidRPr="00F57044" w:rsidR="00FC6390">
        <w:t>m</w:t>
      </w:r>
      <w:r w:rsidRPr="00F57044">
        <w:t xml:space="preserve">arket </w:t>
      </w:r>
      <w:r w:rsidRPr="00F57044" w:rsidR="00FC6390">
        <w:t>m</w:t>
      </w:r>
      <w:r w:rsidRPr="00F57044">
        <w:t>odel</w:t>
      </w:r>
      <w:r w:rsidRPr="00F57044" w:rsidR="000946F1">
        <w:t>.</w:t>
      </w:r>
      <w:r w:rsidRPr="00F57044" w:rsidR="00830214">
        <w:t xml:space="preserve"> </w:t>
      </w:r>
    </w:p>
    <w:p w:rsidRPr="00F57044" w:rsidR="00237AA0" w:rsidP="009C16D7" w:rsidRDefault="00237AA0" w14:paraId="7484465E" w14:textId="52A4CE2C">
      <w:pPr>
        <w:pStyle w:val="Heading2"/>
      </w:pPr>
      <w:bookmarkStart w:name="_Toc199231028" w:id="58"/>
      <w:r w:rsidRPr="00F57044">
        <w:t xml:space="preserve">Seven </w:t>
      </w:r>
      <w:r w:rsidRPr="00F57044" w:rsidR="00B90516">
        <w:t xml:space="preserve">steps </w:t>
      </w:r>
      <w:r w:rsidRPr="00F57044">
        <w:t>methodology</w:t>
      </w:r>
      <w:bookmarkEnd w:id="58"/>
    </w:p>
    <w:p w:rsidRPr="00F57044" w:rsidR="00A05298" w:rsidP="00A05298" w:rsidRDefault="000946F1" w14:paraId="15299E79" w14:textId="336B9E15">
      <w:pPr>
        <w:pStyle w:val="BodyText"/>
      </w:pPr>
      <w:r w:rsidRPr="00F57044">
        <w:t xml:space="preserve">Developed in 2020, </w:t>
      </w:r>
      <w:r w:rsidRPr="00F57044" w:rsidR="007F4F73">
        <w:t>th</w:t>
      </w:r>
      <w:r w:rsidRPr="00F57044" w:rsidR="00FC6390">
        <w:t>e seven steps methodology</w:t>
      </w:r>
      <w:r w:rsidRPr="00F57044" w:rsidR="00A05298">
        <w:t xml:space="preserve"> is </w:t>
      </w:r>
      <w:r w:rsidRPr="00F57044" w:rsidR="00376CE3">
        <w:t>a</w:t>
      </w:r>
      <w:r w:rsidRPr="00F57044" w:rsidR="00566E22">
        <w:t>n approach</w:t>
      </w:r>
      <w:r w:rsidRPr="00F57044" w:rsidDel="00FC6390" w:rsidR="00A05298">
        <w:t xml:space="preserve"> for </w:t>
      </w:r>
      <w:r w:rsidRPr="00F57044" w:rsidR="00A05298">
        <w:t xml:space="preserve">calculating </w:t>
      </w:r>
      <w:r w:rsidRPr="00F57044" w:rsidR="005D038B">
        <w:t>maximum</w:t>
      </w:r>
      <w:r w:rsidRPr="00F57044" w:rsidR="006E67F1">
        <w:t xml:space="preserve"> </w:t>
      </w:r>
      <w:r w:rsidRPr="00F57044" w:rsidR="00A05298">
        <w:t>annual auction volumes</w:t>
      </w:r>
      <w:r w:rsidRPr="00F57044" w:rsidR="00A7510A">
        <w:t xml:space="preserve">. </w:t>
      </w:r>
      <w:r w:rsidRPr="00F57044">
        <w:t>T</w:t>
      </w:r>
      <w:r w:rsidRPr="00F57044" w:rsidR="00A05298">
        <w:t xml:space="preserve">he Government and the </w:t>
      </w:r>
      <w:r w:rsidRPr="00F57044" w:rsidR="00FC6390">
        <w:t xml:space="preserve">Climate Change </w:t>
      </w:r>
      <w:r w:rsidRPr="00F57044" w:rsidR="00A05298">
        <w:t>Commission ha</w:t>
      </w:r>
      <w:r w:rsidRPr="00F57044">
        <w:t>ve</w:t>
      </w:r>
      <w:r w:rsidRPr="00F57044" w:rsidR="00A05298">
        <w:t xml:space="preserve"> used </w:t>
      </w:r>
      <w:r w:rsidRPr="00F57044">
        <w:t>it</w:t>
      </w:r>
      <w:r w:rsidRPr="00F57044" w:rsidR="00A05298">
        <w:t xml:space="preserve"> every year since</w:t>
      </w:r>
      <w:r w:rsidRPr="00F57044" w:rsidR="00AE083A">
        <w:t xml:space="preserve"> then</w:t>
      </w:r>
      <w:r w:rsidRPr="00F57044" w:rsidR="00A05298">
        <w:t>.</w:t>
      </w:r>
    </w:p>
    <w:p w:rsidRPr="00F57044" w:rsidR="00A05298" w:rsidP="00A05298" w:rsidRDefault="00A05298" w14:paraId="78B132D0" w14:textId="179E7D9D">
      <w:pPr>
        <w:pStyle w:val="BodyText"/>
      </w:pPr>
      <w:r w:rsidRPr="00F57044">
        <w:t xml:space="preserve">The appropriate auction volumes are determined using </w:t>
      </w:r>
      <w:r w:rsidRPr="00F57044" w:rsidR="00376CE3">
        <w:t xml:space="preserve">seven </w:t>
      </w:r>
      <w:r w:rsidRPr="00F57044">
        <w:t>calculation</w:t>
      </w:r>
      <w:r w:rsidRPr="00F57044" w:rsidR="00376CE3">
        <w:t>s</w:t>
      </w:r>
      <w:r w:rsidRPr="00F57044" w:rsidR="00AE083A">
        <w:t>.</w:t>
      </w:r>
    </w:p>
    <w:p w:rsidRPr="00F57044" w:rsidR="00A05298" w:rsidP="001A0A77" w:rsidRDefault="00A05298" w14:paraId="40F751DE" w14:textId="1BDE438A">
      <w:pPr>
        <w:pStyle w:val="Numberedparagraph"/>
        <w:numPr>
          <w:ilvl w:val="0"/>
          <w:numId w:val="33"/>
        </w:numPr>
      </w:pPr>
      <w:r w:rsidRPr="00F57044">
        <w:t xml:space="preserve">Align with </w:t>
      </w:r>
      <w:r w:rsidRPr="00F57044" w:rsidR="00DF37B4">
        <w:t>emissions reduction targets</w:t>
      </w:r>
      <w:r w:rsidRPr="00F57044">
        <w:t>.</w:t>
      </w:r>
    </w:p>
    <w:p w:rsidRPr="00F57044" w:rsidR="00A05298" w:rsidP="001A0A77" w:rsidRDefault="00A05298" w14:paraId="6B0C98AC" w14:textId="62C07207">
      <w:pPr>
        <w:pStyle w:val="Numberedparagraph"/>
        <w:numPr>
          <w:ilvl w:val="0"/>
          <w:numId w:val="33"/>
        </w:numPr>
      </w:pPr>
      <w:r w:rsidRPr="00F57044">
        <w:t>Allocate the emissions budgets to</w:t>
      </w:r>
      <w:r w:rsidRPr="00F57044" w:rsidR="00012F74">
        <w:t xml:space="preserve"> </w:t>
      </w:r>
      <w:r w:rsidRPr="00F57044">
        <w:t xml:space="preserve">NZ ETS and </w:t>
      </w:r>
      <w:r w:rsidRPr="00F57044" w:rsidDel="00012F74">
        <w:t>non-NZ ETS sectors</w:t>
      </w:r>
      <w:r w:rsidRPr="00F57044">
        <w:t>.</w:t>
      </w:r>
    </w:p>
    <w:p w:rsidRPr="00F57044" w:rsidR="00A05298" w:rsidP="001A0A77" w:rsidRDefault="00A05298" w14:paraId="5D49F552" w14:textId="2F1E9CC5">
      <w:pPr>
        <w:pStyle w:val="Numberedparagraph"/>
        <w:numPr>
          <w:ilvl w:val="0"/>
          <w:numId w:val="33"/>
        </w:numPr>
      </w:pPr>
      <w:r w:rsidRPr="00F57044">
        <w:t>Make technical adjustments.</w:t>
      </w:r>
    </w:p>
    <w:p w:rsidRPr="00F57044" w:rsidR="00A05298" w:rsidP="001A0A77" w:rsidRDefault="00A05298" w14:paraId="795527EC" w14:textId="3C378FD7">
      <w:pPr>
        <w:pStyle w:val="Numberedparagraph"/>
        <w:numPr>
          <w:ilvl w:val="0"/>
          <w:numId w:val="33"/>
        </w:numPr>
      </w:pPr>
      <w:r w:rsidRPr="00F57044">
        <w:t>Account for industrial allocation volumes.</w:t>
      </w:r>
    </w:p>
    <w:p w:rsidRPr="00F57044" w:rsidR="00A05298" w:rsidP="001A0A77" w:rsidRDefault="00A05298" w14:paraId="52E98078" w14:textId="62230D8B">
      <w:pPr>
        <w:pStyle w:val="Numberedparagraph"/>
        <w:numPr>
          <w:ilvl w:val="0"/>
          <w:numId w:val="33"/>
        </w:numPr>
      </w:pPr>
      <w:r w:rsidRPr="00F57044">
        <w:t xml:space="preserve">Set the reduction volume to address the </w:t>
      </w:r>
      <w:r w:rsidRPr="00F57044" w:rsidR="004A54C8">
        <w:t xml:space="preserve">New Zealand Unit (NZU or </w:t>
      </w:r>
      <w:r w:rsidRPr="00F57044">
        <w:t>unit</w:t>
      </w:r>
      <w:r w:rsidRPr="00F57044" w:rsidR="004A54C8">
        <w:t>)</w:t>
      </w:r>
      <w:r w:rsidRPr="00F57044">
        <w:t xml:space="preserve"> surplus.</w:t>
      </w:r>
    </w:p>
    <w:p w:rsidRPr="00F57044" w:rsidR="00A05298" w:rsidP="001A0A77" w:rsidRDefault="00A05298" w14:paraId="62F25F9F" w14:textId="18CF0E54">
      <w:pPr>
        <w:pStyle w:val="Numberedparagraph"/>
        <w:numPr>
          <w:ilvl w:val="0"/>
          <w:numId w:val="33"/>
        </w:numPr>
      </w:pPr>
      <w:r w:rsidRPr="00F57044">
        <w:t>Set the approved overseas unit limit.</w:t>
      </w:r>
    </w:p>
    <w:p w:rsidRPr="00F57044" w:rsidR="00A05298" w:rsidP="001A0A77" w:rsidRDefault="00A05298" w14:paraId="074B4369" w14:textId="0053CB9A">
      <w:pPr>
        <w:pStyle w:val="Numberedparagraph"/>
        <w:numPr>
          <w:ilvl w:val="0"/>
          <w:numId w:val="33"/>
        </w:numPr>
        <w:rPr>
          <w:rFonts w:ascii="Arial" w:hAnsi="Arial" w:cs="Arial"/>
        </w:rPr>
      </w:pPr>
      <w:r w:rsidRPr="00F57044">
        <w:t>Calculate the base auction volumes.</w:t>
      </w:r>
    </w:p>
    <w:p w:rsidRPr="00F57044" w:rsidR="00844B5A" w:rsidP="001A0A77" w:rsidRDefault="00E941B5" w14:paraId="0D18BB21" w14:textId="252ED068">
      <w:pPr>
        <w:pStyle w:val="BodyText"/>
      </w:pPr>
      <w:r w:rsidRPr="00F57044">
        <w:t>W</w:t>
      </w:r>
      <w:r w:rsidRPr="00F57044" w:rsidR="003B08E8">
        <w:t xml:space="preserve">orking through these seven steps </w:t>
      </w:r>
      <w:r w:rsidRPr="00F57044" w:rsidR="00ED46EE">
        <w:t>provides an estimate of the maximum number of</w:t>
      </w:r>
      <w:r w:rsidRPr="00F57044" w:rsidR="005862B7">
        <w:t xml:space="preserve"> un</w:t>
      </w:r>
      <w:r w:rsidRPr="00F57044" w:rsidR="00F536A2">
        <w:t xml:space="preserve">its </w:t>
      </w:r>
      <w:r w:rsidRPr="00F57044" w:rsidR="007E7911">
        <w:t xml:space="preserve">that </w:t>
      </w:r>
      <w:r w:rsidRPr="00F57044" w:rsidR="00F536A2">
        <w:t xml:space="preserve">could </w:t>
      </w:r>
      <w:r w:rsidRPr="00F57044" w:rsidR="00CB28C2">
        <w:t xml:space="preserve">be auctioned </w:t>
      </w:r>
      <w:r w:rsidRPr="00F57044" w:rsidR="00116497">
        <w:t xml:space="preserve">while meeting </w:t>
      </w:r>
      <w:r w:rsidRPr="00F57044" w:rsidR="00B10BC3">
        <w:t xml:space="preserve">our </w:t>
      </w:r>
      <w:r w:rsidRPr="00F57044" w:rsidR="00922639">
        <w:t xml:space="preserve">emissions reduction </w:t>
      </w:r>
      <w:r w:rsidRPr="00F57044" w:rsidR="00E56A1E">
        <w:t>targets</w:t>
      </w:r>
      <w:r w:rsidRPr="00F57044" w:rsidR="00A74B23">
        <w:t>, given current circumstances and our best assumptions</w:t>
      </w:r>
      <w:r w:rsidRPr="00F57044" w:rsidR="002A7255">
        <w:t xml:space="preserve"> for </w:t>
      </w:r>
      <w:r w:rsidRPr="00F57044" w:rsidR="000C746A">
        <w:t xml:space="preserve">other sources </w:t>
      </w:r>
      <w:r w:rsidRPr="00F57044" w:rsidR="00C975A9">
        <w:t>of units.</w:t>
      </w:r>
      <w:r w:rsidRPr="00F57044" w:rsidR="00A74B23">
        <w:t xml:space="preserve"> </w:t>
      </w:r>
    </w:p>
    <w:p w:rsidRPr="00F57044" w:rsidR="008920E3" w:rsidP="001A0A77" w:rsidRDefault="008920E3" w14:paraId="774F2314" w14:textId="3A480510">
      <w:pPr>
        <w:pStyle w:val="BodyText"/>
      </w:pPr>
      <w:r w:rsidRPr="00F57044">
        <w:t>Steps</w:t>
      </w:r>
      <w:r w:rsidRPr="00F57044" w:rsidR="00036295">
        <w:t xml:space="preserve"> 1</w:t>
      </w:r>
      <w:r w:rsidRPr="00F57044" w:rsidR="00A23FD3">
        <w:t xml:space="preserve"> and </w:t>
      </w:r>
      <w:r w:rsidRPr="00F57044" w:rsidR="00036295">
        <w:t xml:space="preserve">2 combined </w:t>
      </w:r>
      <w:r w:rsidRPr="00F57044" w:rsidR="00A23FD3">
        <w:t xml:space="preserve">provide us with </w:t>
      </w:r>
      <w:r w:rsidRPr="00F57044" w:rsidR="00807F02">
        <w:t>the ‘</w:t>
      </w:r>
      <w:r w:rsidRPr="00F57044" w:rsidDel="008D6F68" w:rsidR="004316C1">
        <w:t xml:space="preserve">NZ </w:t>
      </w:r>
      <w:r w:rsidRPr="00F57044" w:rsidR="00807F02">
        <w:t xml:space="preserve">ETS </w:t>
      </w:r>
      <w:r w:rsidRPr="00F57044" w:rsidR="00EE78FA">
        <w:t>c</w:t>
      </w:r>
      <w:r w:rsidRPr="00F57044" w:rsidR="00807F02">
        <w:t>ap’</w:t>
      </w:r>
      <w:r w:rsidRPr="00F57044" w:rsidR="001E579F">
        <w:t xml:space="preserve">. This is the total level of net emissions </w:t>
      </w:r>
      <w:r w:rsidRPr="00F57044" w:rsidR="00443AC9">
        <w:t xml:space="preserve">allowed under the </w:t>
      </w:r>
      <w:r w:rsidRPr="00F57044" w:rsidR="00012F74">
        <w:t xml:space="preserve">NZ ETS </w:t>
      </w:r>
      <w:r w:rsidRPr="00F57044" w:rsidR="005A1973">
        <w:t>for the</w:t>
      </w:r>
      <w:r w:rsidRPr="00F57044" w:rsidR="00850EED">
        <w:t xml:space="preserve"> settings period. </w:t>
      </w:r>
      <w:r w:rsidRPr="00F57044" w:rsidR="00376CE3">
        <w:t>Caps</w:t>
      </w:r>
      <w:r w:rsidRPr="00F57044" w:rsidR="00894820">
        <w:t xml:space="preserve"> can also be determined </w:t>
      </w:r>
      <w:r w:rsidRPr="00F57044" w:rsidR="00245FCB">
        <w:t xml:space="preserve">for </w:t>
      </w:r>
      <w:r w:rsidRPr="00F57044" w:rsidR="00D41A1C">
        <w:t xml:space="preserve">emissions budget periods </w:t>
      </w:r>
      <w:r w:rsidRPr="00F57044" w:rsidR="00376CE3">
        <w:t xml:space="preserve">– </w:t>
      </w:r>
      <w:r w:rsidRPr="00F57044" w:rsidR="00D41A1C">
        <w:t>for example</w:t>
      </w:r>
      <w:r w:rsidRPr="00F57044" w:rsidR="00376CE3">
        <w:t>,</w:t>
      </w:r>
      <w:r w:rsidRPr="00F57044" w:rsidR="00D41A1C">
        <w:t xml:space="preserve"> the </w:t>
      </w:r>
      <w:r w:rsidRPr="00F57044" w:rsidDel="00AE083A" w:rsidR="00D41A1C">
        <w:t xml:space="preserve">EB2 </w:t>
      </w:r>
      <w:r w:rsidRPr="00F57044" w:rsidR="004316C1">
        <w:t xml:space="preserve">NZ </w:t>
      </w:r>
      <w:r w:rsidRPr="00F57044" w:rsidR="00D41A1C">
        <w:t xml:space="preserve">ETS </w:t>
      </w:r>
      <w:r w:rsidRPr="00F57044" w:rsidR="004316C1">
        <w:t>c</w:t>
      </w:r>
      <w:r w:rsidRPr="00F57044" w:rsidR="00D41A1C">
        <w:t>ap</w:t>
      </w:r>
      <w:r w:rsidRPr="00F57044" w:rsidR="00AE083A">
        <w:t xml:space="preserve"> </w:t>
      </w:r>
      <w:r w:rsidRPr="00F57044" w:rsidR="009660FE">
        <w:t xml:space="preserve">sets the </w:t>
      </w:r>
      <w:r w:rsidRPr="00F57044" w:rsidR="00D273E7">
        <w:t xml:space="preserve">total level of net emissions allowed under the </w:t>
      </w:r>
      <w:r w:rsidRPr="00F57044" w:rsidR="00012F74">
        <w:t xml:space="preserve">NZ ETS </w:t>
      </w:r>
      <w:r w:rsidRPr="00F57044" w:rsidR="00D273E7">
        <w:t>for the EB2 period.</w:t>
      </w:r>
    </w:p>
    <w:p w:rsidRPr="00F57044" w:rsidR="004943E2" w:rsidP="001A0A77" w:rsidRDefault="00E4176D" w14:paraId="7AB1772E" w14:textId="45DFA1D7">
      <w:pPr>
        <w:pStyle w:val="BodyText"/>
      </w:pPr>
      <w:hyperlink w:history="1" w:anchor="_Appendix_1:_Seven">
        <w:r w:rsidRPr="00F57044">
          <w:rPr>
            <w:rStyle w:val="Hyperlink"/>
            <w:rFonts w:asciiTheme="minorHAnsi" w:hAnsiTheme="minorHAnsi"/>
          </w:rPr>
          <w:t>A</w:t>
        </w:r>
        <w:r w:rsidRPr="00F57044" w:rsidR="00376CE3">
          <w:rPr>
            <w:rStyle w:val="Hyperlink"/>
            <w:rFonts w:asciiTheme="minorHAnsi" w:hAnsiTheme="minorHAnsi"/>
          </w:rPr>
          <w:t xml:space="preserve">ppendix </w:t>
        </w:r>
        <w:r w:rsidRPr="00F57044" w:rsidR="00E90CFB">
          <w:rPr>
            <w:rStyle w:val="Hyperlink"/>
            <w:rFonts w:asciiTheme="minorHAnsi" w:hAnsiTheme="minorHAnsi"/>
          </w:rPr>
          <w:t>1</w:t>
        </w:r>
      </w:hyperlink>
      <w:r w:rsidRPr="00F57044" w:rsidR="00E90CFB">
        <w:t xml:space="preserve"> </w:t>
      </w:r>
      <w:r w:rsidRPr="00F57044" w:rsidR="00376CE3">
        <w:t xml:space="preserve">shows </w:t>
      </w:r>
      <w:r w:rsidRPr="00F57044" w:rsidR="00902D27">
        <w:t>the seven steps</w:t>
      </w:r>
      <w:r w:rsidRPr="00F57044" w:rsidR="00376CE3">
        <w:t>,</w:t>
      </w:r>
      <w:r w:rsidRPr="00F57044" w:rsidR="00902D27">
        <w:t xml:space="preserve"> and the underpinning methodology and assumptions</w:t>
      </w:r>
      <w:r w:rsidRPr="00F57044" w:rsidR="00376CE3">
        <w:t>.</w:t>
      </w:r>
    </w:p>
    <w:p w:rsidRPr="00F57044" w:rsidR="00B24B3D" w:rsidP="00B24B3D" w:rsidRDefault="00B24B3D" w14:paraId="5DF90F47" w14:textId="4099EACF">
      <w:pPr>
        <w:pStyle w:val="Heading3"/>
      </w:pPr>
      <w:r w:rsidRPr="00F57044">
        <w:t>Addressing the unit surplus stockpile</w:t>
      </w:r>
    </w:p>
    <w:p w:rsidRPr="00F57044" w:rsidR="00E31C87" w:rsidP="007E7962" w:rsidRDefault="007E7962" w14:paraId="2C5E8C65" w14:textId="09E5AD19">
      <w:pPr>
        <w:pStyle w:val="BodyText"/>
      </w:pPr>
      <w:r w:rsidRPr="00F57044">
        <w:t xml:space="preserve">A large quantity of units is banked in private accounts. These provide liquidity to the market and help to reduce price volatility. However, the current number of </w:t>
      </w:r>
      <w:r w:rsidRPr="00F57044" w:rsidR="00376CE3">
        <w:t xml:space="preserve">banked </w:t>
      </w:r>
      <w:r w:rsidRPr="00F57044">
        <w:t xml:space="preserve">units presents </w:t>
      </w:r>
      <w:r w:rsidRPr="00F57044" w:rsidR="00376CE3">
        <w:t xml:space="preserve">a </w:t>
      </w:r>
      <w:r w:rsidRPr="00F57044">
        <w:t>risk to achieving emissions budgets.</w:t>
      </w:r>
    </w:p>
    <w:p w:rsidRPr="00F57044" w:rsidR="008F35B3" w:rsidP="007E7962" w:rsidRDefault="007E7962" w14:paraId="0551D3D5" w14:textId="4DB6A297">
      <w:pPr>
        <w:pStyle w:val="BodyText"/>
      </w:pPr>
      <w:r w:rsidRPr="00F57044">
        <w:t>Some of the banked NZUs are held to meet future surrender liabilities</w:t>
      </w:r>
      <w:r w:rsidRPr="00F57044" w:rsidR="00376CE3">
        <w:t>,</w:t>
      </w:r>
      <w:r w:rsidRPr="00F57044">
        <w:t xml:space="preserve"> or for other reasons</w:t>
      </w:r>
      <w:r w:rsidRPr="00F57044" w:rsidR="001478C9">
        <w:t>. O</w:t>
      </w:r>
      <w:r w:rsidRPr="00F57044">
        <w:t xml:space="preserve">thers are estimated to be held for investment purposes and </w:t>
      </w:r>
      <w:r w:rsidRPr="00F57044" w:rsidR="00A25C55">
        <w:t>can be</w:t>
      </w:r>
      <w:r w:rsidRPr="00F57044">
        <w:t xml:space="preserve"> more readily sold when market price expectations change – these are considered ‘surplus’. </w:t>
      </w:r>
      <w:r w:rsidRPr="00F57044" w:rsidR="00187278">
        <w:t>E</w:t>
      </w:r>
      <w:r w:rsidRPr="00F57044" w:rsidR="00376CE3">
        <w:t>mitters</w:t>
      </w:r>
      <w:r w:rsidRPr="00F57044" w:rsidR="00187278">
        <w:t>’</w:t>
      </w:r>
      <w:r w:rsidRPr="00F57044" w:rsidR="00376CE3">
        <w:t xml:space="preserve"> </w:t>
      </w:r>
      <w:r w:rsidRPr="00F57044">
        <w:t xml:space="preserve">use of these surplus </w:t>
      </w:r>
      <w:r w:rsidRPr="00F57044" w:rsidR="00376CE3">
        <w:t xml:space="preserve">units </w:t>
      </w:r>
      <w:r w:rsidRPr="00F57044">
        <w:t xml:space="preserve">to meet increased NZ ETS obligations </w:t>
      </w:r>
      <w:r w:rsidRPr="00F57044" w:rsidR="00376CE3">
        <w:t>could cause</w:t>
      </w:r>
      <w:r w:rsidRPr="00F57044">
        <w:t xml:space="preserve"> challenges in meeting emissions budgets.</w:t>
      </w:r>
    </w:p>
    <w:p w:rsidRPr="00F57044" w:rsidR="00C815C6" w:rsidP="00407046" w:rsidRDefault="007E7962" w14:paraId="7570C2B1" w14:textId="240BCFB2">
      <w:pPr>
        <w:pStyle w:val="BodyText"/>
        <w:spacing w:after="100"/>
      </w:pPr>
      <w:r w:rsidRPr="00F57044">
        <w:t xml:space="preserve">To reduce this risk, </w:t>
      </w:r>
      <w:r w:rsidRPr="00F57044" w:rsidR="00376CE3">
        <w:t xml:space="preserve">we need to manage </w:t>
      </w:r>
      <w:r w:rsidRPr="00F57044">
        <w:t>the surpl</w:t>
      </w:r>
      <w:r w:rsidRPr="00F57044" w:rsidR="00376CE3">
        <w:t>us</w:t>
      </w:r>
      <w:r w:rsidRPr="00F57044">
        <w:t>.</w:t>
      </w:r>
      <w:r w:rsidRPr="00F57044" w:rsidR="008F35B3">
        <w:t xml:space="preserve"> </w:t>
      </w:r>
      <w:r w:rsidRPr="00F57044" w:rsidR="00291B6C">
        <w:t>Last year, t</w:t>
      </w:r>
      <w:r w:rsidRPr="00F57044" w:rsidR="00E95B97">
        <w:t>he</w:t>
      </w:r>
      <w:r w:rsidRPr="00F57044" w:rsidR="008F35B3">
        <w:t xml:space="preserve"> Government agreed to</w:t>
      </w:r>
      <w:r w:rsidRPr="00F57044" w:rsidR="0025679A">
        <w:t xml:space="preserve"> </w:t>
      </w:r>
      <w:r w:rsidRPr="00F57044" w:rsidR="00E95B97">
        <w:t>set unit</w:t>
      </w:r>
      <w:r w:rsidRPr="00F57044" w:rsidR="00703ED0">
        <w:t xml:space="preserve"> limits </w:t>
      </w:r>
      <w:r w:rsidRPr="00F57044" w:rsidR="00AE083A">
        <w:t xml:space="preserve">with the </w:t>
      </w:r>
      <w:r w:rsidRPr="00F57044" w:rsidR="00FB1FC1">
        <w:t xml:space="preserve">aim </w:t>
      </w:r>
      <w:r w:rsidRPr="00F57044" w:rsidR="00AE083A">
        <w:t>of</w:t>
      </w:r>
      <w:r w:rsidRPr="00F57044" w:rsidR="00E95B97">
        <w:t xml:space="preserve"> reduc</w:t>
      </w:r>
      <w:r w:rsidRPr="00F57044" w:rsidR="00AE083A">
        <w:t>ing</w:t>
      </w:r>
      <w:r w:rsidRPr="00F57044" w:rsidR="00E95B97">
        <w:t xml:space="preserve"> the</w:t>
      </w:r>
      <w:r w:rsidRPr="00F57044" w:rsidR="00703ED0">
        <w:t xml:space="preserve"> surplus </w:t>
      </w:r>
      <w:r w:rsidRPr="00F57044" w:rsidR="00E95B97">
        <w:t xml:space="preserve">to zero </w:t>
      </w:r>
      <w:r w:rsidRPr="00F57044" w:rsidR="00703ED0">
        <w:t>by 2030.</w:t>
      </w:r>
      <w:r w:rsidRPr="00F57044" w:rsidR="006E6829">
        <w:t xml:space="preserve"> </w:t>
      </w:r>
      <w:r w:rsidRPr="00F57044" w:rsidR="00F21F5D">
        <w:t xml:space="preserve">This is reflected in </w:t>
      </w:r>
      <w:r w:rsidRPr="00F57044" w:rsidR="00AE083A">
        <w:t>s</w:t>
      </w:r>
      <w:r w:rsidRPr="00F57044" w:rsidR="00F21F5D">
        <w:t>tep 5</w:t>
      </w:r>
      <w:r w:rsidR="00E27D90">
        <w:t>a</w:t>
      </w:r>
      <w:r w:rsidRPr="00F57044" w:rsidR="00AE083A">
        <w:t xml:space="preserve"> of the </w:t>
      </w:r>
      <w:r w:rsidRPr="00F57044" w:rsidR="003434EB">
        <w:t>seven step</w:t>
      </w:r>
      <w:r w:rsidRPr="00F57044" w:rsidR="004218D2">
        <w:t>s</w:t>
      </w:r>
      <w:r w:rsidRPr="00F57044" w:rsidR="003434EB">
        <w:t xml:space="preserve"> </w:t>
      </w:r>
      <w:r w:rsidRPr="00F57044" w:rsidR="00AE083A">
        <w:t>methodology</w:t>
      </w:r>
      <w:r w:rsidRPr="00F57044" w:rsidR="00762B13">
        <w:t>.</w:t>
      </w:r>
      <w:r w:rsidRPr="00F57044" w:rsidR="00B17ECC">
        <w:t xml:space="preserve"> </w:t>
      </w:r>
    </w:p>
    <w:p w:rsidRPr="00F57044" w:rsidR="0099779B" w:rsidP="00407046" w:rsidRDefault="00B17ECC" w14:paraId="128AB853" w14:textId="27458F4E">
      <w:pPr>
        <w:pStyle w:val="BodyText"/>
        <w:spacing w:after="100"/>
        <w:rPr>
          <w:rFonts w:asciiTheme="minorHAnsi" w:hAnsiTheme="minorHAnsi" w:cstheme="minorHAnsi"/>
        </w:rPr>
      </w:pPr>
      <w:r w:rsidRPr="00F57044">
        <w:rPr>
          <w:spacing w:val="-2"/>
        </w:rPr>
        <w:t xml:space="preserve">However, there is inherent uncertainty </w:t>
      </w:r>
      <w:r w:rsidRPr="00F57044" w:rsidR="00B3017E">
        <w:rPr>
          <w:spacing w:val="-2"/>
        </w:rPr>
        <w:t>about the size of the surplus</w:t>
      </w:r>
      <w:r w:rsidRPr="00F57044" w:rsidR="009234ED">
        <w:rPr>
          <w:spacing w:val="-2"/>
        </w:rPr>
        <w:t xml:space="preserve">, </w:t>
      </w:r>
      <w:r w:rsidRPr="00F57044" w:rsidR="00D8152A">
        <w:rPr>
          <w:spacing w:val="-2"/>
        </w:rPr>
        <w:t>as it is not a fixed number</w:t>
      </w:r>
      <w:r w:rsidRPr="00F57044" w:rsidR="00D8152A">
        <w:t>.</w:t>
      </w:r>
      <w:r w:rsidRPr="00F57044" w:rsidR="00B3017E">
        <w:t xml:space="preserve"> Estimating </w:t>
      </w:r>
      <w:r w:rsidRPr="00F57044" w:rsidR="00ED20E8">
        <w:t xml:space="preserve">the size of the surplus </w:t>
      </w:r>
      <w:r w:rsidRPr="00F57044" w:rsidR="00A63181">
        <w:t xml:space="preserve">also </w:t>
      </w:r>
      <w:r w:rsidRPr="00F57044" w:rsidR="009B4580">
        <w:t xml:space="preserve">requires </w:t>
      </w:r>
      <w:r w:rsidRPr="00F57044" w:rsidR="00012F74">
        <w:t xml:space="preserve">making </w:t>
      </w:r>
      <w:r w:rsidRPr="00F57044" w:rsidR="009B4580">
        <w:t xml:space="preserve">assumptions about how </w:t>
      </w:r>
      <w:r w:rsidRPr="00F57044" w:rsidR="00B77BE3">
        <w:t xml:space="preserve">participants respond to changing market dynamics. In particular, </w:t>
      </w:r>
      <w:r w:rsidRPr="00F57044" w:rsidR="00334C5A">
        <w:t>the seven step</w:t>
      </w:r>
      <w:r w:rsidRPr="00F57044" w:rsidR="003D0CA1">
        <w:t>s</w:t>
      </w:r>
      <w:r w:rsidRPr="00F57044" w:rsidR="00334C5A">
        <w:t xml:space="preserve"> methodology</w:t>
      </w:r>
      <w:r w:rsidRPr="00F57044" w:rsidR="007E6AD0">
        <w:t xml:space="preserve"> assumes</w:t>
      </w:r>
      <w:r w:rsidRPr="00F57044" w:rsidR="00D670BD">
        <w:t xml:space="preserve"> that the permanent (</w:t>
      </w:r>
      <w:proofErr w:type="spellStart"/>
      <w:r w:rsidRPr="00F57044" w:rsidR="00D670BD">
        <w:t>ie</w:t>
      </w:r>
      <w:proofErr w:type="spellEnd"/>
      <w:r w:rsidRPr="00F57044" w:rsidR="00D670BD">
        <w:t xml:space="preserve">, non-surplus) stockpile </w:t>
      </w:r>
      <w:r w:rsidRPr="00F57044" w:rsidR="000D0968">
        <w:t xml:space="preserve">is </w:t>
      </w:r>
      <w:r w:rsidRPr="00F57044" w:rsidR="003A5535">
        <w:t>illiquid</w:t>
      </w:r>
      <w:r w:rsidRPr="00F57044" w:rsidR="0078065C">
        <w:t xml:space="preserve"> and will not </w:t>
      </w:r>
      <w:r w:rsidRPr="00F57044" w:rsidR="000E0190">
        <w:t>become available in response to price changes.</w:t>
      </w:r>
    </w:p>
    <w:p w:rsidRPr="00F57044" w:rsidR="00B46257" w:rsidP="00407046" w:rsidRDefault="00237AA0" w14:paraId="389409BD" w14:textId="6C47454D">
      <w:pPr>
        <w:pStyle w:val="Heading2"/>
        <w:spacing w:before="280"/>
      </w:pPr>
      <w:bookmarkStart w:name="_Toc199231029" w:id="59"/>
      <w:r w:rsidRPr="00F57044">
        <w:t xml:space="preserve">NZ ETS </w:t>
      </w:r>
      <w:r w:rsidRPr="00F57044" w:rsidR="00085067">
        <w:t>m</w:t>
      </w:r>
      <w:r w:rsidRPr="00F57044">
        <w:t xml:space="preserve">arket </w:t>
      </w:r>
      <w:r w:rsidRPr="00F57044" w:rsidR="00085067">
        <w:t>m</w:t>
      </w:r>
      <w:r w:rsidRPr="00F57044">
        <w:t>odel</w:t>
      </w:r>
      <w:bookmarkEnd w:id="59"/>
    </w:p>
    <w:p w:rsidRPr="00F57044" w:rsidR="009E04EE" w:rsidP="00407046" w:rsidRDefault="00B54E35" w14:paraId="61A3610B" w14:textId="118E80F7">
      <w:pPr>
        <w:pStyle w:val="BodyText"/>
        <w:spacing w:before="100" w:after="100"/>
      </w:pPr>
      <w:r w:rsidRPr="00F57044">
        <w:t xml:space="preserve">The NZ ETS </w:t>
      </w:r>
      <w:r w:rsidRPr="00F57044" w:rsidR="008D6F68">
        <w:t>m</w:t>
      </w:r>
      <w:r w:rsidRPr="00F57044">
        <w:t xml:space="preserve">arket </w:t>
      </w:r>
      <w:r w:rsidRPr="00F57044" w:rsidR="008D6F68">
        <w:t>m</w:t>
      </w:r>
      <w:r w:rsidRPr="00F57044">
        <w:t xml:space="preserve">odel estimates supply and demand for NZUs under different </w:t>
      </w:r>
      <w:proofErr w:type="gramStart"/>
      <w:r w:rsidRPr="00F57044">
        <w:t>conditions</w:t>
      </w:r>
      <w:r w:rsidRPr="00F57044" w:rsidR="009E04EE">
        <w:t>,</w:t>
      </w:r>
      <w:r w:rsidRPr="00F57044">
        <w:t xml:space="preserve"> and</w:t>
      </w:r>
      <w:proofErr w:type="gramEnd"/>
      <w:r w:rsidRPr="00F57044">
        <w:t xml:space="preserve"> can generate price projections based on supply and demand.</w:t>
      </w:r>
      <w:r w:rsidRPr="00F57044">
        <w:rPr>
          <w:vertAlign w:val="superscript"/>
        </w:rPr>
        <w:footnoteReference w:id="8"/>
      </w:r>
      <w:r w:rsidRPr="00F57044" w:rsidR="0055080F">
        <w:rPr>
          <w:vertAlign w:val="superscript"/>
        </w:rPr>
        <w:t>,</w:t>
      </w:r>
      <w:r w:rsidRPr="00F57044" w:rsidR="0055080F">
        <w:rPr>
          <w:rStyle w:val="FootnoteReference"/>
        </w:rPr>
        <w:t xml:space="preserve"> </w:t>
      </w:r>
      <w:r w:rsidRPr="00F57044" w:rsidR="0055080F">
        <w:rPr>
          <w:rStyle w:val="FootnoteReference"/>
        </w:rPr>
        <w:footnoteReference w:id="9"/>
      </w:r>
    </w:p>
    <w:p w:rsidRPr="00F57044" w:rsidR="00E0346A" w:rsidP="00407046" w:rsidRDefault="00E0346A" w14:paraId="152328CD" w14:textId="27887CEB">
      <w:pPr>
        <w:pStyle w:val="BodyText"/>
        <w:spacing w:before="100" w:after="100"/>
      </w:pPr>
      <w:r w:rsidRPr="00F57044">
        <w:t>The model estimates emission</w:t>
      </w:r>
      <w:r w:rsidRPr="00F57044" w:rsidR="00DA078F">
        <w:t>s</w:t>
      </w:r>
      <w:r w:rsidRPr="00F57044">
        <w:t xml:space="preserve"> reductions and removals, and the flow of units in and out of</w:t>
      </w:r>
      <w:r w:rsidRPr="00F57044" w:rsidR="00CC05A4">
        <w:t> </w:t>
      </w:r>
      <w:r w:rsidRPr="00F57044">
        <w:t>the stockpile, internally (endogenously) in the model using equations that relate these changes to different prices. It sets an objective for the market (minimising the stockpile by 2050 while meeting demand every year) and uses price to optimise supply and demand relative to that objective.</w:t>
      </w:r>
    </w:p>
    <w:p w:rsidRPr="00F57044" w:rsidR="009E04EE" w:rsidP="00407046" w:rsidRDefault="003238FE" w14:paraId="22930324" w14:textId="7F637856">
      <w:pPr>
        <w:pStyle w:val="BodyText"/>
        <w:spacing w:before="100" w:after="100"/>
      </w:pPr>
      <w:r w:rsidRPr="00F57044">
        <w:t>2024 was the first</w:t>
      </w:r>
      <w:r w:rsidRPr="00F57044" w:rsidDel="00DA078F">
        <w:t xml:space="preserve"> </w:t>
      </w:r>
      <w:r w:rsidRPr="00F57044" w:rsidR="00DA078F">
        <w:t xml:space="preserve">year in which </w:t>
      </w:r>
      <w:r w:rsidRPr="00F57044" w:rsidR="009E04EE">
        <w:t>we have used this</w:t>
      </w:r>
      <w:r w:rsidRPr="00F57044">
        <w:t xml:space="preserve"> model to support </w:t>
      </w:r>
      <w:r w:rsidRPr="00F57044" w:rsidR="00441E4F">
        <w:t xml:space="preserve">decisions about </w:t>
      </w:r>
      <w:r w:rsidRPr="00F57044">
        <w:t xml:space="preserve">settings. </w:t>
      </w:r>
      <w:r w:rsidRPr="00F57044" w:rsidR="005E4E5A">
        <w:t xml:space="preserve">We are continuing to refine and improve </w:t>
      </w:r>
      <w:r w:rsidRPr="00F57044" w:rsidDel="009E04EE" w:rsidR="005E4E5A">
        <w:t>the model</w:t>
      </w:r>
      <w:r w:rsidRPr="00F57044" w:rsidR="009E04EE">
        <w:t>,</w:t>
      </w:r>
      <w:r w:rsidRPr="00F57044" w:rsidDel="009E04EE" w:rsidR="005E4E5A">
        <w:t xml:space="preserve"> </w:t>
      </w:r>
      <w:r w:rsidRPr="00F57044" w:rsidR="005E4E5A">
        <w:t xml:space="preserve">and how we use it to support analysis of </w:t>
      </w:r>
      <w:r w:rsidRPr="00F57044" w:rsidR="00975C24">
        <w:t xml:space="preserve">the </w:t>
      </w:r>
      <w:r w:rsidRPr="00F57044" w:rsidR="00012F74">
        <w:t>NZ ETS</w:t>
      </w:r>
      <w:r w:rsidRPr="00F57044" w:rsidR="006F19DC">
        <w:t>.</w:t>
      </w:r>
      <w:r w:rsidRPr="00F57044" w:rsidR="00A77D58">
        <w:t xml:space="preserve"> F</w:t>
      </w:r>
      <w:r w:rsidRPr="00F57044" w:rsidR="009E04EE">
        <w:t xml:space="preserve">or more </w:t>
      </w:r>
      <w:r w:rsidRPr="00F57044" w:rsidR="00A77D58">
        <w:t>detail and recent updates</w:t>
      </w:r>
      <w:r w:rsidRPr="00F57044" w:rsidR="009E04EE">
        <w:t>, see</w:t>
      </w:r>
      <w:r w:rsidRPr="00F57044" w:rsidR="00A77D58">
        <w:t xml:space="preserve"> the</w:t>
      </w:r>
      <w:r w:rsidRPr="00F57044" w:rsidDel="009E04EE" w:rsidR="00A77D58">
        <w:t xml:space="preserve"> </w:t>
      </w:r>
      <w:hyperlink w:history="1" r:id="rId31">
        <w:r w:rsidRPr="00F57044" w:rsidR="00A77D58">
          <w:rPr>
            <w:rStyle w:val="Hyperlink"/>
          </w:rPr>
          <w:t>technical annex</w:t>
        </w:r>
      </w:hyperlink>
      <w:r w:rsidRPr="00F57044" w:rsidR="00A77D58">
        <w:t xml:space="preserve">. </w:t>
      </w:r>
    </w:p>
    <w:p w:rsidRPr="00F57044" w:rsidR="009E04EE" w:rsidP="00407046" w:rsidRDefault="00A77D58" w14:paraId="6266E74F" w14:textId="2B18D974">
      <w:pPr>
        <w:pStyle w:val="BodyText"/>
        <w:spacing w:before="100" w:after="100"/>
      </w:pPr>
      <w:r w:rsidRPr="00F57044">
        <w:t>The</w:t>
      </w:r>
      <w:r w:rsidRPr="00F57044" w:rsidDel="009E04EE">
        <w:t xml:space="preserve"> </w:t>
      </w:r>
      <w:r w:rsidRPr="00F57044">
        <w:t xml:space="preserve">annex also includes further </w:t>
      </w:r>
      <w:r w:rsidRPr="00F57044" w:rsidR="008172EE">
        <w:t>sensitivity analysis</w:t>
      </w:r>
      <w:r w:rsidRPr="00F57044" w:rsidR="003A20B9">
        <w:t xml:space="preserve"> to supplement the modelling insights in this </w:t>
      </w:r>
      <w:r w:rsidRPr="00F57044" w:rsidR="00DA078F">
        <w:t xml:space="preserve">consultation </w:t>
      </w:r>
      <w:r w:rsidRPr="00F57044" w:rsidR="003A20B9">
        <w:t xml:space="preserve">document. </w:t>
      </w:r>
    </w:p>
    <w:p w:rsidRPr="00F57044" w:rsidR="005E4E5A" w:rsidP="00407046" w:rsidRDefault="006E568C" w14:paraId="20E23775" w14:textId="6D5EC327">
      <w:pPr>
        <w:pStyle w:val="BodyText"/>
        <w:spacing w:before="100" w:after="100"/>
        <w:rPr>
          <w:b/>
        </w:rPr>
      </w:pPr>
      <w:r w:rsidRPr="00F57044">
        <w:rPr>
          <w:b/>
        </w:rPr>
        <w:t xml:space="preserve">We </w:t>
      </w:r>
      <w:r w:rsidRPr="00F57044" w:rsidR="00E5545F">
        <w:rPr>
          <w:b/>
        </w:rPr>
        <w:t xml:space="preserve">appreciate </w:t>
      </w:r>
      <w:r w:rsidRPr="00F57044" w:rsidR="008D6F68">
        <w:rPr>
          <w:b/>
          <w:bCs/>
        </w:rPr>
        <w:t xml:space="preserve">the </w:t>
      </w:r>
      <w:r w:rsidRPr="00F57044" w:rsidR="00E5545F">
        <w:rPr>
          <w:b/>
        </w:rPr>
        <w:t xml:space="preserve">feedback on the model </w:t>
      </w:r>
      <w:r w:rsidRPr="00F57044" w:rsidR="009E04EE">
        <w:rPr>
          <w:b/>
          <w:bCs/>
        </w:rPr>
        <w:t>received</w:t>
      </w:r>
      <w:r w:rsidRPr="00F57044" w:rsidR="009E04EE">
        <w:rPr>
          <w:b/>
        </w:rPr>
        <w:t xml:space="preserve"> </w:t>
      </w:r>
      <w:r w:rsidRPr="00F57044" w:rsidR="00E5545F">
        <w:rPr>
          <w:b/>
        </w:rPr>
        <w:t xml:space="preserve">to date </w:t>
      </w:r>
      <w:r w:rsidRPr="00F57044" w:rsidR="00350747">
        <w:rPr>
          <w:b/>
        </w:rPr>
        <w:t xml:space="preserve">and welcome </w:t>
      </w:r>
      <w:r w:rsidRPr="00F57044" w:rsidR="00C56713">
        <w:rPr>
          <w:b/>
        </w:rPr>
        <w:t xml:space="preserve">any further </w:t>
      </w:r>
      <w:r w:rsidRPr="00F57044" w:rsidR="0042345B">
        <w:rPr>
          <w:b/>
          <w:bCs/>
        </w:rPr>
        <w:t>input</w:t>
      </w:r>
      <w:r w:rsidRPr="00F57044" w:rsidR="0042345B">
        <w:rPr>
          <w:b/>
        </w:rPr>
        <w:t xml:space="preserve"> </w:t>
      </w:r>
      <w:r w:rsidRPr="00F57044" w:rsidR="009E04EE">
        <w:rPr>
          <w:b/>
          <w:bCs/>
        </w:rPr>
        <w:t xml:space="preserve">from </w:t>
      </w:r>
      <w:r w:rsidRPr="00F57044" w:rsidR="00C56713">
        <w:rPr>
          <w:b/>
        </w:rPr>
        <w:t>participants.</w:t>
      </w:r>
    </w:p>
    <w:p w:rsidRPr="00F57044" w:rsidR="00D87DFB" w:rsidP="00407046" w:rsidRDefault="00D87DFB" w14:paraId="34C8168D" w14:textId="7033BCD1">
      <w:pPr>
        <w:pStyle w:val="Heading2"/>
        <w:spacing w:before="280"/>
      </w:pPr>
      <w:bookmarkStart w:name="_Toc199231030" w:id="60"/>
      <w:r w:rsidRPr="00F57044">
        <w:t xml:space="preserve">How </w:t>
      </w:r>
      <w:r w:rsidRPr="00F57044" w:rsidR="00C72A9B">
        <w:t>we use both model</w:t>
      </w:r>
      <w:r w:rsidRPr="00F57044" w:rsidR="00457852">
        <w:t>s together</w:t>
      </w:r>
      <w:bookmarkEnd w:id="60"/>
      <w:r w:rsidRPr="00F57044" w:rsidR="00D54674">
        <w:t xml:space="preserve"> </w:t>
      </w:r>
    </w:p>
    <w:p w:rsidRPr="00F57044" w:rsidR="00EA3ED9" w:rsidP="00407046" w:rsidRDefault="00EA3ED9" w14:paraId="39B5DB95" w14:textId="52D9A0B3">
      <w:pPr>
        <w:pStyle w:val="BodyText"/>
        <w:spacing w:before="100" w:after="100"/>
      </w:pPr>
      <w:r w:rsidRPr="00F57044">
        <w:t xml:space="preserve">The market model and </w:t>
      </w:r>
      <w:r w:rsidRPr="00F57044" w:rsidR="00304EFE">
        <w:t>s</w:t>
      </w:r>
      <w:r w:rsidRPr="00F57044" w:rsidR="00C21A6B">
        <w:t xml:space="preserve">even </w:t>
      </w:r>
      <w:r w:rsidRPr="00F57044" w:rsidR="00304EFE">
        <w:t>s</w:t>
      </w:r>
      <w:r w:rsidRPr="00F57044" w:rsidR="00C21A6B">
        <w:t>teps</w:t>
      </w:r>
      <w:r w:rsidRPr="00F57044">
        <w:t xml:space="preserve"> are fundamentally different models, </w:t>
      </w:r>
      <w:r w:rsidRPr="00F57044" w:rsidR="00C21A6B">
        <w:t xml:space="preserve">though </w:t>
      </w:r>
      <w:r w:rsidRPr="00F57044">
        <w:t>with considerable overlap</w:t>
      </w:r>
      <w:r w:rsidRPr="00F57044" w:rsidR="00C21A6B">
        <w:t>.</w:t>
      </w:r>
      <w:r w:rsidRPr="00F57044">
        <w:t xml:space="preserve"> </w:t>
      </w:r>
      <w:r w:rsidRPr="00F57044" w:rsidR="00C21A6B">
        <w:t>Both</w:t>
      </w:r>
      <w:r w:rsidRPr="00F57044" w:rsidDel="0042345B">
        <w:t xml:space="preserve"> </w:t>
      </w:r>
      <w:r w:rsidRPr="00F57044">
        <w:t xml:space="preserve">provide insights </w:t>
      </w:r>
      <w:r w:rsidRPr="00F57044" w:rsidR="00C21A6B">
        <w:t xml:space="preserve">into </w:t>
      </w:r>
      <w:r w:rsidRPr="00F57044">
        <w:t xml:space="preserve">the </w:t>
      </w:r>
      <w:r w:rsidRPr="00F57044" w:rsidDel="008D6F68">
        <w:t xml:space="preserve">NZ </w:t>
      </w:r>
      <w:r w:rsidRPr="00F57044">
        <w:t>ETS.</w:t>
      </w:r>
      <w:r w:rsidRPr="00F57044" w:rsidR="0089479C">
        <w:t xml:space="preserve"> </w:t>
      </w:r>
    </w:p>
    <w:p w:rsidRPr="00F57044" w:rsidR="0042345B" w:rsidP="00407046" w:rsidRDefault="003F1B8C" w14:paraId="11A83437" w14:textId="44C40D1F">
      <w:pPr>
        <w:pStyle w:val="BodyText"/>
        <w:spacing w:before="100" w:after="100"/>
      </w:pPr>
      <w:r w:rsidRPr="00F57044">
        <w:t xml:space="preserve">The </w:t>
      </w:r>
      <w:r w:rsidR="003F4839">
        <w:t>s</w:t>
      </w:r>
      <w:r w:rsidRPr="00F57044" w:rsidR="003F4839">
        <w:t>even</w:t>
      </w:r>
      <w:r w:rsidRPr="00F57044" w:rsidR="0042345B">
        <w:t xml:space="preserve"> </w:t>
      </w:r>
      <w:r w:rsidRPr="00F57044" w:rsidR="00304EFE">
        <w:t xml:space="preserve">steps </w:t>
      </w:r>
      <w:r w:rsidRPr="00F57044">
        <w:t xml:space="preserve">methodology </w:t>
      </w:r>
      <w:r w:rsidRPr="00F57044" w:rsidR="0035244F">
        <w:t xml:space="preserve">is </w:t>
      </w:r>
      <w:r w:rsidRPr="00F57044" w:rsidR="00FA4DB8">
        <w:t>one approach</w:t>
      </w:r>
      <w:r w:rsidRPr="00F57044" w:rsidR="0035244F">
        <w:t xml:space="preserve"> </w:t>
      </w:r>
      <w:r w:rsidRPr="00F57044" w:rsidDel="006D3195" w:rsidR="0035244F">
        <w:t xml:space="preserve">for </w:t>
      </w:r>
      <w:r w:rsidRPr="00F57044" w:rsidR="00BA7B5A">
        <w:t xml:space="preserve">identifying </w:t>
      </w:r>
      <w:r w:rsidRPr="00F57044" w:rsidR="00A44FAC">
        <w:t>the</w:t>
      </w:r>
      <w:r w:rsidRPr="00F57044" w:rsidR="00BA7B5A">
        <w:t xml:space="preserve"> maximum</w:t>
      </w:r>
      <w:r w:rsidRPr="00F57044" w:rsidR="00BE29E7">
        <w:t xml:space="preserve"> volume of</w:t>
      </w:r>
      <w:r w:rsidRPr="00F57044" w:rsidR="0035244F">
        <w:t xml:space="preserve"> unit settings </w:t>
      </w:r>
      <w:r w:rsidRPr="00F57044" w:rsidR="00BA7B5A">
        <w:t>that</w:t>
      </w:r>
      <w:r w:rsidRPr="00F57044" w:rsidR="0035244F">
        <w:t xml:space="preserve"> satisfy the accordance tests.</w:t>
      </w:r>
      <w:r w:rsidRPr="00F57044" w:rsidR="008A2099">
        <w:t xml:space="preserve"> </w:t>
      </w:r>
      <w:r w:rsidRPr="00F57044" w:rsidR="00792385">
        <w:t xml:space="preserve">The Government </w:t>
      </w:r>
      <w:r w:rsidRPr="00F57044" w:rsidR="00C31F71">
        <w:t xml:space="preserve">may </w:t>
      </w:r>
      <w:r w:rsidRPr="00F57044" w:rsidR="00792385">
        <w:t xml:space="preserve">also </w:t>
      </w:r>
      <w:r w:rsidRPr="00F57044" w:rsidR="00580DEF">
        <w:t xml:space="preserve">explore </w:t>
      </w:r>
      <w:r w:rsidRPr="00F57044" w:rsidR="006802B3">
        <w:t xml:space="preserve">settings </w:t>
      </w:r>
      <w:r w:rsidRPr="00F57044" w:rsidR="008B0935">
        <w:t xml:space="preserve">that </w:t>
      </w:r>
      <w:r w:rsidRPr="00F57044" w:rsidR="002B5E31">
        <w:t>are tighter</w:t>
      </w:r>
      <w:r w:rsidRPr="00F57044" w:rsidR="00C31F71">
        <w:t xml:space="preserve"> or looser</w:t>
      </w:r>
      <w:r w:rsidRPr="00F57044" w:rsidR="00821EB0">
        <w:t xml:space="preserve"> than this</w:t>
      </w:r>
      <w:r w:rsidRPr="00F57044" w:rsidR="00C31F71">
        <w:t xml:space="preserve"> estimated</w:t>
      </w:r>
      <w:r w:rsidRPr="00F57044" w:rsidR="00821EB0">
        <w:t xml:space="preserve"> maximum.</w:t>
      </w:r>
      <w:r w:rsidRPr="00F57044" w:rsidR="00F45D13">
        <w:t xml:space="preserve"> </w:t>
      </w:r>
    </w:p>
    <w:p w:rsidRPr="00F57044" w:rsidR="00784B5C" w:rsidP="00407046" w:rsidRDefault="0035244F" w14:paraId="648F5018" w14:textId="0EA3C43D">
      <w:pPr>
        <w:pStyle w:val="BodyText"/>
        <w:spacing w:before="100" w:after="100"/>
      </w:pPr>
      <w:r w:rsidRPr="00F57044">
        <w:t xml:space="preserve">The market model </w:t>
      </w:r>
      <w:r w:rsidRPr="00F57044" w:rsidR="00784B5C">
        <w:t xml:space="preserve">explores </w:t>
      </w:r>
      <w:r w:rsidRPr="00F57044">
        <w:t xml:space="preserve">potential implications of different unit and price control </w:t>
      </w:r>
      <w:proofErr w:type="gramStart"/>
      <w:r w:rsidRPr="00F57044">
        <w:t xml:space="preserve">settings, </w:t>
      </w:r>
      <w:r w:rsidRPr="00F57044" w:rsidR="0042345B">
        <w:t>and</w:t>
      </w:r>
      <w:proofErr w:type="gramEnd"/>
      <w:r w:rsidRPr="00F57044" w:rsidR="0042345B">
        <w:t xml:space="preserve"> </w:t>
      </w:r>
      <w:r w:rsidRPr="00F57044">
        <w:t>inform</w:t>
      </w:r>
      <w:r w:rsidRPr="00F57044" w:rsidR="0042345B">
        <w:t>s</w:t>
      </w:r>
      <w:r w:rsidRPr="00F57044">
        <w:t xml:space="preserve"> impact analysis.</w:t>
      </w:r>
      <w:r w:rsidRPr="00F57044" w:rsidR="005C6AF8">
        <w:t xml:space="preserve"> </w:t>
      </w:r>
    </w:p>
    <w:p w:rsidRPr="00F57044" w:rsidR="002D3E0C" w:rsidP="00407046" w:rsidRDefault="005C6AF8" w14:paraId="0D245D63" w14:textId="6840397E">
      <w:pPr>
        <w:pStyle w:val="BodyText"/>
        <w:spacing w:before="100" w:after="100"/>
      </w:pPr>
      <w:r w:rsidRPr="00F57044">
        <w:t>Using both models together</w:t>
      </w:r>
      <w:r w:rsidRPr="00F57044" w:rsidR="00051A2D">
        <w:t xml:space="preserve"> can help overcome the shortcomings of </w:t>
      </w:r>
      <w:r w:rsidRPr="00F57044" w:rsidR="00995B70">
        <w:t>each approach</w:t>
      </w:r>
      <w:r w:rsidRPr="00F57044" w:rsidR="0042345B">
        <w:t>. It also</w:t>
      </w:r>
      <w:r w:rsidRPr="00F57044" w:rsidR="00995B70">
        <w:t xml:space="preserve"> provide</w:t>
      </w:r>
      <w:r w:rsidRPr="00F57044" w:rsidR="0042345B">
        <w:t>s</w:t>
      </w:r>
      <w:r w:rsidRPr="00F57044" w:rsidR="00995B70">
        <w:t xml:space="preserve"> a </w:t>
      </w:r>
      <w:r w:rsidRPr="00F57044" w:rsidR="00D75A09">
        <w:t xml:space="preserve">more robust </w:t>
      </w:r>
      <w:r w:rsidRPr="00F57044" w:rsidR="00BE6194">
        <w:t xml:space="preserve">overall </w:t>
      </w:r>
      <w:r w:rsidRPr="00F57044" w:rsidR="00D75A09">
        <w:t xml:space="preserve">assessment of the </w:t>
      </w:r>
      <w:r w:rsidRPr="00F57044" w:rsidR="00E63B2A">
        <w:t xml:space="preserve">merits and trade-offs of each option considered </w:t>
      </w:r>
      <w:r w:rsidRPr="00F57044" w:rsidR="0042345B">
        <w:t>here</w:t>
      </w:r>
      <w:r w:rsidRPr="00F57044" w:rsidR="00E63B2A">
        <w:t>.</w:t>
      </w:r>
      <w:r w:rsidRPr="00F57044" w:rsidR="005D3585">
        <w:t xml:space="preserve"> As with all models</w:t>
      </w:r>
      <w:r w:rsidRPr="00F57044" w:rsidR="007F4FE2">
        <w:t xml:space="preserve"> that attempt to simplify complex real</w:t>
      </w:r>
      <w:r w:rsidRPr="00F57044" w:rsidR="00DA078F">
        <w:t>-</w:t>
      </w:r>
      <w:r w:rsidRPr="00F57044" w:rsidR="007F4FE2">
        <w:t>wor</w:t>
      </w:r>
      <w:r w:rsidRPr="00F57044" w:rsidR="00DA078F">
        <w:t>ld</w:t>
      </w:r>
      <w:r w:rsidRPr="00F57044" w:rsidR="007F4FE2">
        <w:t xml:space="preserve"> interactions</w:t>
      </w:r>
      <w:r w:rsidRPr="00F57044" w:rsidR="005D3585">
        <w:t>, the</w:t>
      </w:r>
      <w:r w:rsidRPr="00F57044" w:rsidDel="006D3195" w:rsidR="005D3585">
        <w:t>re is</w:t>
      </w:r>
      <w:r w:rsidRPr="00F57044" w:rsidR="005D3585">
        <w:t xml:space="preserve"> a high d</w:t>
      </w:r>
      <w:r w:rsidRPr="00F57044" w:rsidR="006C28BE">
        <w:t>egree of uncertainty</w:t>
      </w:r>
      <w:r w:rsidRPr="00F57044" w:rsidR="00386072">
        <w:t>.</w:t>
      </w:r>
      <w:r w:rsidRPr="00F57044" w:rsidR="004D3D40">
        <w:t xml:space="preserve"> </w:t>
      </w:r>
      <w:r w:rsidRPr="00F57044" w:rsidR="0042345B">
        <w:t>T</w:t>
      </w:r>
      <w:r w:rsidRPr="00F57044" w:rsidR="000110A9">
        <w:t xml:space="preserve">he sensitivity analysis </w:t>
      </w:r>
      <w:r w:rsidRPr="00F57044" w:rsidR="0042345B">
        <w:t xml:space="preserve">touches on some of this – see </w:t>
      </w:r>
      <w:r w:rsidRPr="00F57044" w:rsidR="00DA078F">
        <w:t xml:space="preserve">the </w:t>
      </w:r>
      <w:hyperlink w:history="1" r:id="rId32">
        <w:r w:rsidRPr="00F57044" w:rsidR="00C83E3F">
          <w:rPr>
            <w:rStyle w:val="Hyperlink"/>
          </w:rPr>
          <w:t>technical annex</w:t>
        </w:r>
      </w:hyperlink>
      <w:r w:rsidRPr="00F57044" w:rsidR="000110A9">
        <w:t>.</w:t>
      </w:r>
      <w:r w:rsidRPr="00F57044" w:rsidR="00407046">
        <w:t xml:space="preserve"> </w:t>
      </w:r>
      <w:r w:rsidRPr="00F57044" w:rsidR="002D3E0C">
        <w:br w:type="page"/>
      </w:r>
    </w:p>
    <w:p w:rsidRPr="00F57044" w:rsidR="00E8053E" w:rsidP="009E3890" w:rsidRDefault="00E8053E" w14:paraId="711CCADF" w14:textId="6AC18C18">
      <w:pPr>
        <w:pStyle w:val="Heading1"/>
      </w:pPr>
      <w:bookmarkStart w:name="_Ref196921013" w:id="61"/>
      <w:bookmarkStart w:name="_Toc199231031" w:id="62"/>
      <w:r w:rsidRPr="00F57044">
        <w:t>Recent secondary market price</w:t>
      </w:r>
      <w:r w:rsidRPr="00F57044" w:rsidR="00CC05A4">
        <w:t> </w:t>
      </w:r>
      <w:r w:rsidRPr="00F57044">
        <w:t>dynamics</w:t>
      </w:r>
      <w:bookmarkEnd w:id="61"/>
      <w:bookmarkEnd w:id="62"/>
    </w:p>
    <w:p w:rsidRPr="00F57044" w:rsidR="00A74D1D" w:rsidP="00E8053E" w:rsidRDefault="00E8053E" w14:paraId="697BBA04" w14:textId="60BEA309">
      <w:pPr>
        <w:pStyle w:val="BodyText"/>
      </w:pPr>
      <w:r w:rsidRPr="00F57044">
        <w:t>Following a period of stability</w:t>
      </w:r>
      <w:r w:rsidRPr="00F57044" w:rsidR="00FF0EC6">
        <w:t xml:space="preserve"> </w:t>
      </w:r>
      <w:r w:rsidRPr="00F57044" w:rsidR="006D3195">
        <w:t xml:space="preserve">after </w:t>
      </w:r>
      <w:r w:rsidRPr="00F57044" w:rsidR="00A74D1D">
        <w:t xml:space="preserve">the </w:t>
      </w:r>
      <w:r w:rsidRPr="00F57044" w:rsidR="006E7E5F">
        <w:t xml:space="preserve">2024 </w:t>
      </w:r>
      <w:r w:rsidRPr="00F57044" w:rsidR="000C6F3C">
        <w:t>settings decisions were announ</w:t>
      </w:r>
      <w:r w:rsidRPr="00F57044" w:rsidR="00AC3BF8">
        <w:t>c</w:t>
      </w:r>
      <w:r w:rsidRPr="00F57044" w:rsidR="000C6F3C">
        <w:t>ed</w:t>
      </w:r>
      <w:r w:rsidRPr="00F57044">
        <w:t xml:space="preserve">, secondary market </w:t>
      </w:r>
      <w:r w:rsidRPr="00F57044" w:rsidR="008305AE">
        <w:t xml:space="preserve">spot </w:t>
      </w:r>
      <w:r w:rsidRPr="00F57044">
        <w:t>prices have declined from around $65 in January</w:t>
      </w:r>
      <w:r w:rsidRPr="00F57044" w:rsidR="006D3195">
        <w:t xml:space="preserve"> 2025</w:t>
      </w:r>
      <w:r w:rsidRPr="00F57044">
        <w:t xml:space="preserve"> to around $50 at </w:t>
      </w:r>
      <w:r w:rsidRPr="00F57044" w:rsidR="001D2D06">
        <w:t>the time of writing</w:t>
      </w:r>
      <w:r w:rsidRPr="00F57044" w:rsidR="0023179F">
        <w:t>.</w:t>
      </w:r>
      <w:r w:rsidRPr="00F57044" w:rsidR="00A74D1D">
        <w:t xml:space="preserve"> This</w:t>
      </w:r>
      <w:r w:rsidRPr="00F57044" w:rsidDel="00A74D1D">
        <w:t xml:space="preserve"> </w:t>
      </w:r>
      <w:r w:rsidRPr="00F57044">
        <w:t>is more than 25 per cent below the 2025 auction reserve price of $68</w:t>
      </w:r>
      <w:r w:rsidRPr="00F57044" w:rsidR="00407D9D">
        <w:t xml:space="preserve"> (</w:t>
      </w:r>
      <w:r w:rsidRPr="00F57044" w:rsidR="004017D9">
        <w:t>f</w:t>
      </w:r>
      <w:r w:rsidRPr="00F57044" w:rsidR="00407D9D">
        <w:t xml:space="preserve">igure </w:t>
      </w:r>
      <w:r w:rsidRPr="00F57044" w:rsidR="00194C32">
        <w:t>2</w:t>
      </w:r>
      <w:r w:rsidRPr="00F57044" w:rsidR="00407D9D">
        <w:t>)</w:t>
      </w:r>
      <w:r w:rsidRPr="00F57044">
        <w:t xml:space="preserve">. </w:t>
      </w:r>
    </w:p>
    <w:p w:rsidRPr="00F57044" w:rsidR="00E8053E" w:rsidP="00E8053E" w:rsidRDefault="00610445" w14:paraId="13680E83" w14:textId="782CFF04">
      <w:pPr>
        <w:pStyle w:val="BodyText"/>
      </w:pPr>
      <w:r w:rsidRPr="00F57044">
        <w:t>Forward and future</w:t>
      </w:r>
      <w:r w:rsidRPr="00F57044" w:rsidDel="004017D9">
        <w:t>s</w:t>
      </w:r>
      <w:r w:rsidRPr="00F57044">
        <w:t xml:space="preserve"> price curves are sitting below future auction price floor levels, </w:t>
      </w:r>
      <w:r w:rsidRPr="00F57044" w:rsidR="00A74D1D">
        <w:t xml:space="preserve">although </w:t>
      </w:r>
      <w:r w:rsidRPr="00F57044">
        <w:t xml:space="preserve">these instruments are not traded in large volumes. </w:t>
      </w:r>
      <w:r w:rsidRPr="00F57044" w:rsidR="008F74D2">
        <w:t>These prices are</w:t>
      </w:r>
      <w:r w:rsidRPr="00F57044" w:rsidR="00E8053E">
        <w:t xml:space="preserve"> significantly </w:t>
      </w:r>
      <w:r w:rsidRPr="00F57044" w:rsidR="00194DF6">
        <w:t>below</w:t>
      </w:r>
      <w:r w:rsidRPr="00F57044" w:rsidR="00E8053E">
        <w:t xml:space="preserve"> the expected price path generated from </w:t>
      </w:r>
      <w:r w:rsidRPr="00F57044" w:rsidR="00A74D1D">
        <w:t xml:space="preserve">the </w:t>
      </w:r>
      <w:r w:rsidRPr="00F57044" w:rsidR="00E8053E">
        <w:t xml:space="preserve">modelling </w:t>
      </w:r>
      <w:r w:rsidRPr="00F57044" w:rsidR="004017D9">
        <w:t>to develop</w:t>
      </w:r>
      <w:r w:rsidRPr="00F57044" w:rsidR="00E8053E">
        <w:t xml:space="preserve"> </w:t>
      </w:r>
      <w:r w:rsidRPr="00F57044" w:rsidR="000A506F">
        <w:t xml:space="preserve">the second emissions reduction plan </w:t>
      </w:r>
      <w:r w:rsidRPr="00F57044" w:rsidR="00E8053E">
        <w:t xml:space="preserve">and the </w:t>
      </w:r>
      <w:r w:rsidRPr="00F57044" w:rsidR="00F374C3">
        <w:t>2024</w:t>
      </w:r>
      <w:r w:rsidRPr="00F57044" w:rsidR="00E8053E">
        <w:t xml:space="preserve"> </w:t>
      </w:r>
      <w:r w:rsidRPr="00F57044" w:rsidR="002F12F5">
        <w:t xml:space="preserve">New Zealand Emissions Trading Scheme </w:t>
      </w:r>
      <w:r w:rsidRPr="00F57044" w:rsidR="00E8053E">
        <w:t>settings.</w:t>
      </w:r>
    </w:p>
    <w:p w:rsidRPr="00F57044" w:rsidR="004D0E8C" w:rsidP="00BB0865" w:rsidRDefault="004D0E8C" w14:paraId="2FC20DF5" w14:textId="34DB2667">
      <w:pPr>
        <w:pStyle w:val="Figureheading"/>
      </w:pPr>
      <w:bookmarkStart w:name="_Toc198901888" w:id="63"/>
      <w:r w:rsidRPr="00F57044">
        <w:t xml:space="preserve">Figure </w:t>
      </w:r>
      <w:r w:rsidRPr="00F57044" w:rsidR="009C1214">
        <w:t>2</w:t>
      </w:r>
      <w:r w:rsidRPr="00F57044" w:rsidR="00A74D1D">
        <w:t>:</w:t>
      </w:r>
      <w:r w:rsidRPr="00F57044" w:rsidR="00FF1D49">
        <w:tab/>
      </w:r>
      <w:r w:rsidRPr="00F57044" w:rsidR="002F12F5">
        <w:t>New Zealand Unit</w:t>
      </w:r>
      <w:r w:rsidRPr="00F57044" w:rsidR="00C04613">
        <w:t xml:space="preserve"> </w:t>
      </w:r>
      <w:r w:rsidRPr="00F57044" w:rsidR="00F06373">
        <w:t>secondary market spot p</w:t>
      </w:r>
      <w:r w:rsidRPr="00F57044" w:rsidR="00C04613">
        <w:t>rice</w:t>
      </w:r>
      <w:r w:rsidRPr="00F57044" w:rsidR="00F04EF2">
        <w:t xml:space="preserve"> </w:t>
      </w:r>
      <w:r w:rsidRPr="00F57044" w:rsidR="00D412E8">
        <w:t>and a</w:t>
      </w:r>
      <w:r w:rsidRPr="00F57044" w:rsidR="00AF40CE">
        <w:t>uction price floors</w:t>
      </w:r>
      <w:r w:rsidRPr="00F57044" w:rsidR="006D3195">
        <w:t>,</w:t>
      </w:r>
      <w:r w:rsidRPr="00F57044" w:rsidR="00262D31">
        <w:br/>
      </w:r>
      <w:r w:rsidRPr="00F57044" w:rsidR="004863D0">
        <w:t xml:space="preserve">January </w:t>
      </w:r>
      <w:r w:rsidRPr="00F57044" w:rsidR="0015126F">
        <w:t>2022</w:t>
      </w:r>
      <w:r w:rsidRPr="00F57044" w:rsidR="00A74D1D">
        <w:t>–</w:t>
      </w:r>
      <w:r w:rsidRPr="00F57044" w:rsidR="0015126F">
        <w:t>April 2025</w:t>
      </w:r>
      <w:bookmarkEnd w:id="63"/>
    </w:p>
    <w:p w:rsidRPr="00F57044" w:rsidR="00C04613" w:rsidP="001F5A53" w:rsidRDefault="00DC3BB8" w14:paraId="1E71D34F" w14:textId="5C05C030">
      <w:pPr>
        <w:pStyle w:val="BodyText"/>
      </w:pPr>
      <w:r w:rsidRPr="00F57044">
        <w:rPr>
          <w:noProof/>
        </w:rPr>
        <w:drawing>
          <wp:inline distT="0" distB="0" distL="0" distR="0" wp14:anchorId="56317248" wp14:editId="5253E6D0">
            <wp:extent cx="5400675" cy="3632719"/>
            <wp:effectExtent l="0" t="0" r="0" b="6350"/>
            <wp:docPr id="254855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2091"/>
                    <a:stretch/>
                  </pic:blipFill>
                  <pic:spPr bwMode="auto">
                    <a:xfrm>
                      <a:off x="0" y="0"/>
                      <a:ext cx="5400675" cy="3632719"/>
                    </a:xfrm>
                    <a:prstGeom prst="rect">
                      <a:avLst/>
                    </a:prstGeom>
                    <a:noFill/>
                    <a:ln>
                      <a:noFill/>
                    </a:ln>
                    <a:extLst>
                      <a:ext uri="{53640926-AAD7-44D8-BBD7-CCE9431645EC}">
                        <a14:shadowObscured xmlns:a14="http://schemas.microsoft.com/office/drawing/2010/main"/>
                      </a:ext>
                    </a:extLst>
                  </pic:spPr>
                </pic:pic>
              </a:graphicData>
            </a:graphic>
          </wp:inline>
        </w:drawing>
      </w:r>
    </w:p>
    <w:p w:rsidRPr="00F57044" w:rsidR="00C04613" w:rsidP="00310B1C" w:rsidRDefault="00C04613" w14:paraId="2B512360" w14:textId="3063D796">
      <w:pPr>
        <w:pStyle w:val="Note"/>
      </w:pPr>
      <w:r w:rsidRPr="00F57044">
        <w:t xml:space="preserve">Source: </w:t>
      </w:r>
      <w:r w:rsidRPr="00F57044" w:rsidR="00FD3BAD">
        <w:t xml:space="preserve">NZU secondary market spot prices from </w:t>
      </w:r>
      <w:r w:rsidRPr="00F57044">
        <w:t>Jarden</w:t>
      </w:r>
      <w:r w:rsidRPr="00F57044" w:rsidR="00D001DA">
        <w:t xml:space="preserve"> </w:t>
      </w:r>
      <w:proofErr w:type="spellStart"/>
      <w:r w:rsidRPr="00F57044" w:rsidR="00A77613">
        <w:t>c</w:t>
      </w:r>
      <w:r w:rsidRPr="00F57044" w:rsidR="00D001DA">
        <w:t>ommtrade</w:t>
      </w:r>
      <w:proofErr w:type="spellEnd"/>
    </w:p>
    <w:p w:rsidRPr="00F57044" w:rsidR="00310B1C" w:rsidP="00E8053E" w:rsidRDefault="00E8053E" w14:paraId="2EEE9954" w14:textId="27143988">
      <w:pPr>
        <w:pStyle w:val="BodyText"/>
      </w:pPr>
      <w:r w:rsidRPr="00F57044">
        <w:t xml:space="preserve">Market commentary has been mixed on the </w:t>
      </w:r>
      <w:r w:rsidRPr="00F57044" w:rsidR="00A74D1D">
        <w:t xml:space="preserve">possible </w:t>
      </w:r>
      <w:r w:rsidRPr="00F57044">
        <w:t>cause of th</w:t>
      </w:r>
      <w:r w:rsidRPr="00F57044" w:rsidR="00294741">
        <w:t>e</w:t>
      </w:r>
      <w:r w:rsidRPr="00F57044">
        <w:t xml:space="preserve"> decline</w:t>
      </w:r>
      <w:r w:rsidRPr="00F57044" w:rsidR="00294741">
        <w:t xml:space="preserve"> in prices</w:t>
      </w:r>
      <w:r w:rsidRPr="00F57044">
        <w:t xml:space="preserve">. </w:t>
      </w:r>
      <w:r w:rsidRPr="00F57044" w:rsidR="003B1982">
        <w:t>Some</w:t>
      </w:r>
      <w:r w:rsidRPr="00F57044" w:rsidDel="00A74D1D" w:rsidR="003B1982">
        <w:t xml:space="preserve"> </w:t>
      </w:r>
      <w:r w:rsidRPr="00F57044" w:rsidR="003B1982">
        <w:t>has</w:t>
      </w:r>
      <w:r w:rsidRPr="00F57044">
        <w:t xml:space="preserve"> </w:t>
      </w:r>
      <w:r w:rsidRPr="00F57044">
        <w:rPr>
          <w:spacing w:val="-2"/>
        </w:rPr>
        <w:t xml:space="preserve">focused on short-term </w:t>
      </w:r>
      <w:r w:rsidRPr="00F57044" w:rsidR="00294BC1">
        <w:rPr>
          <w:spacing w:val="-2"/>
        </w:rPr>
        <w:t>factors</w:t>
      </w:r>
      <w:r w:rsidRPr="00F57044">
        <w:rPr>
          <w:spacing w:val="-2"/>
        </w:rPr>
        <w:t xml:space="preserve"> that could reverse. </w:t>
      </w:r>
      <w:r w:rsidRPr="00F57044" w:rsidR="004E08EB">
        <w:rPr>
          <w:spacing w:val="-2"/>
        </w:rPr>
        <w:t xml:space="preserve">Initially </w:t>
      </w:r>
      <w:r w:rsidRPr="00F57044" w:rsidR="009D10C8">
        <w:rPr>
          <w:spacing w:val="-2"/>
        </w:rPr>
        <w:t xml:space="preserve">much of </w:t>
      </w:r>
      <w:r w:rsidRPr="00F57044" w:rsidR="00A74D1D">
        <w:rPr>
          <w:spacing w:val="-2"/>
        </w:rPr>
        <w:t>the focus was</w:t>
      </w:r>
      <w:r w:rsidRPr="00F57044" w:rsidR="004E08EB">
        <w:rPr>
          <w:spacing w:val="-2"/>
        </w:rPr>
        <w:t xml:space="preserve"> on</w:t>
      </w:r>
      <w:r w:rsidRPr="00F57044" w:rsidR="006B6586">
        <w:rPr>
          <w:spacing w:val="-2"/>
        </w:rPr>
        <w:t xml:space="preserve"> the financial pressures on small-scale foresters</w:t>
      </w:r>
      <w:r w:rsidRPr="00F57044" w:rsidR="00FB709C">
        <w:rPr>
          <w:spacing w:val="-2"/>
        </w:rPr>
        <w:t xml:space="preserve">, </w:t>
      </w:r>
      <w:r w:rsidRPr="00F57044" w:rsidR="00042A30">
        <w:rPr>
          <w:spacing w:val="-2"/>
        </w:rPr>
        <w:t>some of whom were thought to be selling</w:t>
      </w:r>
      <w:r w:rsidRPr="00F57044" w:rsidR="00FE7D8A">
        <w:rPr>
          <w:spacing w:val="-2"/>
        </w:rPr>
        <w:t xml:space="preserve"> New Zealand</w:t>
      </w:r>
      <w:r w:rsidRPr="00F57044" w:rsidR="00FE7D8A">
        <w:t xml:space="preserve"> Units (NZUs or</w:t>
      </w:r>
      <w:r w:rsidRPr="00F57044" w:rsidR="00042A30">
        <w:t xml:space="preserve"> units</w:t>
      </w:r>
      <w:r w:rsidRPr="00F57044" w:rsidR="00FE7D8A">
        <w:t>)</w:t>
      </w:r>
      <w:r w:rsidRPr="00F57044" w:rsidR="00042A30">
        <w:t xml:space="preserve"> to meet cashflow needs.</w:t>
      </w:r>
      <w:r w:rsidRPr="00F57044" w:rsidR="00F278B7">
        <w:t xml:space="preserve"> Larger compliance buyers are generally well supplied and have been able to</w:t>
      </w:r>
      <w:r w:rsidRPr="00F57044" w:rsidR="0017542C">
        <w:t xml:space="preserve"> buy opportunistically </w:t>
      </w:r>
      <w:r w:rsidRPr="00F57044" w:rsidR="00413CC3">
        <w:t>when certain price triggers are met.</w:t>
      </w:r>
      <w:r w:rsidRPr="00F57044" w:rsidR="00715F9A">
        <w:t xml:space="preserve"> </w:t>
      </w:r>
    </w:p>
    <w:p w:rsidRPr="00F57044" w:rsidR="004E08EB" w:rsidP="00E8053E" w:rsidRDefault="00715F9A" w14:paraId="295F29D6" w14:textId="27CEE1AE">
      <w:pPr>
        <w:pStyle w:val="BodyText"/>
      </w:pPr>
      <w:r w:rsidRPr="00F57044">
        <w:t>More recently, global sentiment has deteriorated significantly</w:t>
      </w:r>
      <w:r w:rsidRPr="00F57044" w:rsidR="00A74D1D">
        <w:t>,</w:t>
      </w:r>
      <w:r w:rsidRPr="00F57044" w:rsidR="00887DD8">
        <w:t xml:space="preserve"> which </w:t>
      </w:r>
      <w:r w:rsidRPr="00F57044" w:rsidR="00681566">
        <w:t>is</w:t>
      </w:r>
      <w:r w:rsidRPr="00F57044" w:rsidR="00887DD8">
        <w:t xml:space="preserve"> weighing on markets</w:t>
      </w:r>
      <w:r w:rsidRPr="00F57044" w:rsidR="009D5D91">
        <w:t xml:space="preserve"> in</w:t>
      </w:r>
      <w:r w:rsidR="00B776A4">
        <w:t> </w:t>
      </w:r>
      <w:r w:rsidRPr="00F57044" w:rsidR="009D5D91">
        <w:t>general</w:t>
      </w:r>
      <w:r w:rsidRPr="00F57044" w:rsidR="00887DD8">
        <w:t>.</w:t>
      </w:r>
      <w:r w:rsidRPr="00F57044" w:rsidR="009D5D91">
        <w:t xml:space="preserve"> </w:t>
      </w:r>
      <w:r w:rsidRPr="00F57044" w:rsidR="00B6034D">
        <w:t>This appears to be spilling over into carbon markets,</w:t>
      </w:r>
      <w:r w:rsidRPr="00F57044" w:rsidR="00F57D09">
        <w:t xml:space="preserve"> most notably the </w:t>
      </w:r>
      <w:r w:rsidRPr="00F57044" w:rsidR="00F8687A">
        <w:t>Californian scheme</w:t>
      </w:r>
      <w:r w:rsidRPr="00F57044" w:rsidR="00A96B50">
        <w:t xml:space="preserve">, but also </w:t>
      </w:r>
      <w:r w:rsidRPr="00F57044" w:rsidR="00B138CE">
        <w:t>the European and Australian schemes</w:t>
      </w:r>
      <w:r w:rsidRPr="00F57044" w:rsidR="00F8687A">
        <w:t xml:space="preserve">. </w:t>
      </w:r>
      <w:r w:rsidRPr="00F57044" w:rsidR="00377E83">
        <w:t>T</w:t>
      </w:r>
      <w:r w:rsidRPr="00F57044" w:rsidR="009D5D91">
        <w:t>here is</w:t>
      </w:r>
      <w:r w:rsidRPr="00F57044" w:rsidR="00BE50F0">
        <w:t xml:space="preserve"> also</w:t>
      </w:r>
      <w:r w:rsidRPr="00F57044" w:rsidR="009D5D91">
        <w:t xml:space="preserve"> some domestic policy uncertainty as </w:t>
      </w:r>
      <w:r w:rsidRPr="00F57044" w:rsidDel="004017D9" w:rsidR="009D5D91">
        <w:t xml:space="preserve">the details </w:t>
      </w:r>
      <w:r w:rsidRPr="00F57044" w:rsidDel="00A74D1D" w:rsidR="009D5D91">
        <w:t xml:space="preserve">on </w:t>
      </w:r>
      <w:r w:rsidRPr="00F57044" w:rsidDel="004017D9" w:rsidR="009D5D91">
        <w:t>policies</w:t>
      </w:r>
      <w:r w:rsidRPr="00F57044" w:rsidR="009D5D91">
        <w:t xml:space="preserve"> such as the </w:t>
      </w:r>
      <w:r w:rsidRPr="00F57044" w:rsidR="00AD5CBA">
        <w:t xml:space="preserve">proposed limits on whole-farm conversions </w:t>
      </w:r>
      <w:r w:rsidR="007F2E28">
        <w:t xml:space="preserve">of high-quality productive land </w:t>
      </w:r>
      <w:r w:rsidRPr="00F57044" w:rsidR="00AD5CBA">
        <w:t>to</w:t>
      </w:r>
      <w:r w:rsidRPr="00F57044" w:rsidR="00616A24">
        <w:t> </w:t>
      </w:r>
      <w:r w:rsidRPr="00F57044" w:rsidR="00AD5CBA">
        <w:t xml:space="preserve">exotic forestry </w:t>
      </w:r>
      <w:r w:rsidR="002431B6">
        <w:t xml:space="preserve">registering </w:t>
      </w:r>
      <w:r w:rsidR="004D33AD">
        <w:t xml:space="preserve">in the </w:t>
      </w:r>
      <w:r w:rsidR="00AF0C23">
        <w:t xml:space="preserve">NZ ETS </w:t>
      </w:r>
      <w:r w:rsidRPr="00F57044" w:rsidR="00866AAF">
        <w:t>and afforestation on Crown-owned land are being confirmed.</w:t>
      </w:r>
      <w:r w:rsidRPr="00F57044" w:rsidR="00C053D5">
        <w:t xml:space="preserve"> </w:t>
      </w:r>
    </w:p>
    <w:p w:rsidRPr="00F57044" w:rsidR="00294BC1" w:rsidP="00E8053E" w:rsidRDefault="002A1AD1" w14:paraId="06E83FFE" w14:textId="2D128F06">
      <w:pPr>
        <w:pStyle w:val="BodyText"/>
      </w:pPr>
      <w:r w:rsidRPr="00F57044">
        <w:t>Other</w:t>
      </w:r>
      <w:r w:rsidRPr="00F57044" w:rsidR="00E40471">
        <w:t xml:space="preserve"> commentators</w:t>
      </w:r>
      <w:r w:rsidRPr="00F57044" w:rsidR="00E8053E">
        <w:t xml:space="preserve"> have noted that current price dynamics could represent a more fundamental re-pricing of the cost of </w:t>
      </w:r>
      <w:r w:rsidRPr="00F57044" w:rsidR="00A74D1D">
        <w:t xml:space="preserve">reducing </w:t>
      </w:r>
      <w:r w:rsidRPr="00F57044" w:rsidR="00E8053E">
        <w:t>net emissions</w:t>
      </w:r>
      <w:r w:rsidRPr="00F57044" w:rsidR="00D3258E">
        <w:t xml:space="preserve">. </w:t>
      </w:r>
      <w:r w:rsidRPr="00F57044" w:rsidR="00F514E3">
        <w:t xml:space="preserve">This means that </w:t>
      </w:r>
      <w:r w:rsidRPr="00F57044" w:rsidR="00E8053E">
        <w:t xml:space="preserve">emissions budgets could be achievable at a lower market price than previously anticipated. </w:t>
      </w:r>
    </w:p>
    <w:p w:rsidRPr="00F57044" w:rsidR="00294BC1" w:rsidP="00E8053E" w:rsidRDefault="00985EDA" w14:paraId="29C4DD19" w14:textId="221ECD83">
      <w:pPr>
        <w:pStyle w:val="BodyText"/>
      </w:pPr>
      <w:r w:rsidRPr="00F57044">
        <w:t xml:space="preserve">Afforestation has been considerably </w:t>
      </w:r>
      <w:r w:rsidRPr="00F57044" w:rsidR="0011673D">
        <w:t>higher</w:t>
      </w:r>
      <w:r w:rsidRPr="00F57044">
        <w:t xml:space="preserve"> over the past few years than</w:t>
      </w:r>
      <w:r w:rsidRPr="00F57044" w:rsidR="00B25FF4">
        <w:t xml:space="preserve"> </w:t>
      </w:r>
      <w:r w:rsidRPr="00F57044" w:rsidR="0031395E">
        <w:t xml:space="preserve">was anticipated </w:t>
      </w:r>
      <w:r w:rsidRPr="00F57044" w:rsidR="00A74D1D">
        <w:t>when</w:t>
      </w:r>
      <w:r w:rsidRPr="00F57044" w:rsidR="00616A24">
        <w:t> </w:t>
      </w:r>
      <w:r w:rsidRPr="00F57044" w:rsidR="00C42242">
        <w:rPr>
          <w:spacing w:val="-2"/>
        </w:rPr>
        <w:t xml:space="preserve">auctions were introduced. </w:t>
      </w:r>
      <w:r w:rsidRPr="00F57044" w:rsidR="0052118D">
        <w:rPr>
          <w:spacing w:val="-2"/>
        </w:rPr>
        <w:t>In addition,</w:t>
      </w:r>
      <w:r w:rsidRPr="00F57044" w:rsidR="00A74D1D">
        <w:rPr>
          <w:spacing w:val="-2"/>
        </w:rPr>
        <w:t xml:space="preserve"> </w:t>
      </w:r>
      <w:r w:rsidRPr="00F57044" w:rsidR="006E1BB1">
        <w:rPr>
          <w:spacing w:val="-2"/>
        </w:rPr>
        <w:t xml:space="preserve">a </w:t>
      </w:r>
      <w:r w:rsidRPr="00F57044" w:rsidR="00CB7C61">
        <w:rPr>
          <w:spacing w:val="-2"/>
        </w:rPr>
        <w:t xml:space="preserve">growing share of forestry </w:t>
      </w:r>
      <w:r w:rsidRPr="00F57044" w:rsidR="0052118D">
        <w:rPr>
          <w:spacing w:val="-2"/>
        </w:rPr>
        <w:t>has</w:t>
      </w:r>
      <w:r w:rsidRPr="00F57044" w:rsidR="00CB7C61">
        <w:rPr>
          <w:spacing w:val="-2"/>
        </w:rPr>
        <w:t xml:space="preserve"> switch</w:t>
      </w:r>
      <w:r w:rsidRPr="00F57044" w:rsidR="0052118D">
        <w:rPr>
          <w:spacing w:val="-2"/>
        </w:rPr>
        <w:t>ed</w:t>
      </w:r>
      <w:r w:rsidRPr="00F57044" w:rsidR="00CB7C61">
        <w:rPr>
          <w:spacing w:val="-2"/>
        </w:rPr>
        <w:t xml:space="preserve"> </w:t>
      </w:r>
      <w:r w:rsidRPr="00F57044" w:rsidR="006E1BB1">
        <w:rPr>
          <w:spacing w:val="-2"/>
        </w:rPr>
        <w:t xml:space="preserve">into the </w:t>
      </w:r>
      <w:r w:rsidRPr="00F57044" w:rsidR="00F75E96">
        <w:rPr>
          <w:spacing w:val="-2"/>
        </w:rPr>
        <w:t>permanent forest category</w:t>
      </w:r>
      <w:r w:rsidRPr="00F57044" w:rsidR="005F10BE">
        <w:rPr>
          <w:spacing w:val="-2"/>
        </w:rPr>
        <w:t>, which frees</w:t>
      </w:r>
      <w:r w:rsidRPr="00F57044" w:rsidR="00037995">
        <w:rPr>
          <w:spacing w:val="-2"/>
        </w:rPr>
        <w:t xml:space="preserve"> up NZUs previou</w:t>
      </w:r>
      <w:r w:rsidRPr="00F57044" w:rsidR="00BF6D84">
        <w:rPr>
          <w:spacing w:val="-2"/>
        </w:rPr>
        <w:t>sly held against future harvest liabilit</w:t>
      </w:r>
      <w:r w:rsidRPr="00F57044" w:rsidR="00BF6D84">
        <w:t>ies.</w:t>
      </w:r>
      <w:r w:rsidRPr="00F57044" w:rsidR="0081608B">
        <w:t xml:space="preserve"> </w:t>
      </w:r>
    </w:p>
    <w:p w:rsidRPr="00F57044" w:rsidR="00E8053E" w:rsidP="00E8053E" w:rsidRDefault="0081608B" w14:paraId="1A017110" w14:textId="089349DA">
      <w:pPr>
        <w:pStyle w:val="BodyText"/>
      </w:pPr>
      <w:r w:rsidRPr="00F57044">
        <w:t xml:space="preserve">To the extent a repricing is taking place, current price levels would indicate that the market </w:t>
      </w:r>
      <w:r w:rsidRPr="00F57044" w:rsidDel="00256542" w:rsidR="007F4F73">
        <w:t xml:space="preserve">has enough </w:t>
      </w:r>
      <w:r w:rsidRPr="00F57044" w:rsidR="007F4F73">
        <w:t>supply</w:t>
      </w:r>
      <w:r w:rsidRPr="00F57044" w:rsidR="00256542">
        <w:t xml:space="preserve"> </w:t>
      </w:r>
      <w:r w:rsidRPr="00F57044" w:rsidDel="00256542">
        <w:t>that</w:t>
      </w:r>
      <w:r w:rsidRPr="00F57044">
        <w:t xml:space="preserve"> additional units from auction</w:t>
      </w:r>
      <w:r w:rsidRPr="00F57044" w:rsidDel="00256542">
        <w:t xml:space="preserve"> are not needed</w:t>
      </w:r>
      <w:r w:rsidRPr="00F57044">
        <w:t>.</w:t>
      </w:r>
    </w:p>
    <w:p w:rsidRPr="00F57044" w:rsidR="005011A0" w:rsidP="00E8053E" w:rsidRDefault="00F32889" w14:paraId="6974B0BF" w14:textId="191D398B">
      <w:pPr>
        <w:pStyle w:val="BodyText"/>
        <w:rPr>
          <w:b/>
        </w:rPr>
      </w:pPr>
      <w:r w:rsidRPr="00F57044">
        <w:rPr>
          <w:b/>
        </w:rPr>
        <w:t>We</w:t>
      </w:r>
      <w:r w:rsidRPr="00F57044" w:rsidR="00E8053E">
        <w:rPr>
          <w:b/>
        </w:rPr>
        <w:t xml:space="preserve"> are keen to hear your views on the </w:t>
      </w:r>
      <w:r w:rsidRPr="00F57044" w:rsidR="00A74D1D">
        <w:rPr>
          <w:b/>
          <w:bCs/>
        </w:rPr>
        <w:t>possible</w:t>
      </w:r>
      <w:r w:rsidRPr="00F57044" w:rsidR="00A74D1D">
        <w:rPr>
          <w:b/>
        </w:rPr>
        <w:t xml:space="preserve"> </w:t>
      </w:r>
      <w:r w:rsidRPr="00F57044" w:rsidR="00E8053E">
        <w:rPr>
          <w:b/>
        </w:rPr>
        <w:t xml:space="preserve">causes and implications of current market pricing. </w:t>
      </w:r>
    </w:p>
    <w:p w:rsidRPr="00F57044" w:rsidR="00E8053E" w:rsidP="00616A24" w:rsidRDefault="00C66490" w14:paraId="445B3280" w14:textId="7380C98F">
      <w:pPr>
        <w:pStyle w:val="BodyText"/>
        <w:spacing w:after="240"/>
      </w:pPr>
      <w:r w:rsidRPr="00F57044">
        <w:t>We also gratefully acknowledge those who responded to the recent</w:t>
      </w:r>
      <w:r w:rsidRPr="00F57044" w:rsidR="0052617E">
        <w:t xml:space="preserve"> survey of NZU</w:t>
      </w:r>
      <w:r w:rsidRPr="00F57044" w:rsidR="0098362C">
        <w:t xml:space="preserve"> holders</w:t>
      </w:r>
      <w:r w:rsidRPr="00F57044" w:rsidR="0028301F">
        <w:t>. The results are still being analysed</w:t>
      </w:r>
      <w:r w:rsidRPr="00F57044" w:rsidR="00A74D1D">
        <w:t>,</w:t>
      </w:r>
      <w:r w:rsidRPr="00F57044" w:rsidR="0028301F">
        <w:t xml:space="preserve"> but we </w:t>
      </w:r>
      <w:r w:rsidRPr="00F57044" w:rsidR="008C25EB">
        <w:t xml:space="preserve">expect to be able to draw on insights </w:t>
      </w:r>
      <w:r w:rsidRPr="00F57044" w:rsidR="00A74D1D">
        <w:t>when making</w:t>
      </w:r>
      <w:r w:rsidRPr="00F57044" w:rsidR="00AD1578">
        <w:t xml:space="preserve"> final policy decisions</w:t>
      </w:r>
      <w:r w:rsidRPr="00F57044" w:rsidR="00A74D1D">
        <w:t>. This includes</w:t>
      </w:r>
      <w:r w:rsidRPr="00F57044" w:rsidDel="00A74D1D" w:rsidR="00AD1578">
        <w:t xml:space="preserve"> </w:t>
      </w:r>
      <w:r w:rsidRPr="00F57044" w:rsidR="00AD1578">
        <w:t xml:space="preserve">the extent to which the insights </w:t>
      </w:r>
      <w:r w:rsidRPr="00F57044" w:rsidR="002424A2">
        <w:t>shed light on recent market dynamics.</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4B7C99" w14:paraId="55FD0728" w14:textId="77777777">
        <w:tc>
          <w:tcPr>
            <w:tcW w:w="5000" w:type="pct"/>
            <w:gridSpan w:val="2"/>
            <w:shd w:val="clear" w:color="auto" w:fill="1B556B" w:themeFill="text2"/>
          </w:tcPr>
          <w:p w:rsidRPr="00F57044" w:rsidR="00211D91" w:rsidP="004B7C99" w:rsidRDefault="00211D91" w14:paraId="2BAE3A3D" w14:textId="6599CE51">
            <w:pPr>
              <w:pStyle w:val="TableTextbold"/>
              <w:rPr>
                <w:color w:val="FFFFFF" w:themeColor="background1"/>
                <w:sz w:val="20"/>
                <w:szCs w:val="20"/>
              </w:rPr>
            </w:pPr>
            <w:r w:rsidRPr="00F57044">
              <w:rPr>
                <w:color w:val="FFFFFF" w:themeColor="background1"/>
                <w:sz w:val="20"/>
                <w:szCs w:val="20"/>
              </w:rPr>
              <w:t>Questions</w:t>
            </w:r>
          </w:p>
        </w:tc>
      </w:tr>
      <w:tr w:rsidRPr="00F57044" w:rsidR="00211D91" w14:paraId="637193AC" w14:textId="77777777">
        <w:tc>
          <w:tcPr>
            <w:tcW w:w="333" w:type="pct"/>
          </w:tcPr>
          <w:p w:rsidRPr="00F57044" w:rsidR="00211D91" w:rsidP="00EC7F33" w:rsidRDefault="00211D91" w14:paraId="670870EE" w14:textId="62FA545F">
            <w:pPr>
              <w:pStyle w:val="Questions"/>
            </w:pPr>
            <w:r w:rsidRPr="00F57044">
              <w:t>1</w:t>
            </w:r>
          </w:p>
        </w:tc>
        <w:tc>
          <w:tcPr>
            <w:tcW w:w="4667" w:type="pct"/>
          </w:tcPr>
          <w:p w:rsidRPr="00F57044" w:rsidR="00211D91" w:rsidP="00EC7F33" w:rsidRDefault="00211D91" w14:paraId="49E14DC6" w14:textId="2DC7C938">
            <w:pPr>
              <w:pStyle w:val="Questions"/>
            </w:pPr>
            <w:r w:rsidRPr="00F57044">
              <w:t>What do you think are the key drivers behind recent market price dynamics?</w:t>
            </w:r>
          </w:p>
        </w:tc>
      </w:tr>
      <w:tr w:rsidRPr="00F57044" w:rsidR="00211D91" w14:paraId="3C539144" w14:textId="77777777">
        <w:tc>
          <w:tcPr>
            <w:tcW w:w="333" w:type="pct"/>
          </w:tcPr>
          <w:p w:rsidRPr="00F57044" w:rsidR="00211D91" w:rsidP="00EC7F33" w:rsidRDefault="00211D91" w14:paraId="1A20AE83" w14:textId="41961F3A">
            <w:pPr>
              <w:pStyle w:val="Questions"/>
            </w:pPr>
            <w:r w:rsidRPr="00F57044">
              <w:t>2</w:t>
            </w:r>
          </w:p>
        </w:tc>
        <w:tc>
          <w:tcPr>
            <w:tcW w:w="4667" w:type="pct"/>
          </w:tcPr>
          <w:p w:rsidRPr="00F57044" w:rsidR="00211D91" w:rsidP="00EC7F33" w:rsidRDefault="00211D91" w14:paraId="72D3A450" w14:textId="08E059CF">
            <w:pPr>
              <w:pStyle w:val="Questions"/>
            </w:pPr>
            <w:r w:rsidRPr="00F57044">
              <w:t>How do you think recent price developments should factor into the Government’s thinking about unit settings and price controls?</w:t>
            </w:r>
          </w:p>
        </w:tc>
      </w:tr>
    </w:tbl>
    <w:p w:rsidRPr="00F57044" w:rsidR="00E8053E" w:rsidP="00E8053E" w:rsidRDefault="00E8053E" w14:paraId="0238D1FE" w14:textId="7955CA74">
      <w:pPr>
        <w:pStyle w:val="BodyText"/>
      </w:pPr>
    </w:p>
    <w:p w:rsidRPr="00F57044" w:rsidR="009E2A09" w:rsidP="00046CC8" w:rsidRDefault="009E2A09" w14:paraId="4DC772C9" w14:textId="48F94C9C">
      <w:pPr>
        <w:pStyle w:val="BodyText"/>
      </w:pPr>
      <w:r w:rsidRPr="00F57044">
        <w:br w:type="page"/>
      </w:r>
    </w:p>
    <w:p w:rsidRPr="00F57044" w:rsidR="00B76267" w:rsidP="009E3890" w:rsidRDefault="00FF545E" w14:paraId="3601FF3C" w14:textId="5B6082E6">
      <w:pPr>
        <w:pStyle w:val="Heading1"/>
      </w:pPr>
      <w:bookmarkStart w:name="_Key_decisions_for" w:id="64"/>
      <w:bookmarkStart w:name="_Key_options_for" w:id="65"/>
      <w:bookmarkStart w:name="_Toc199231032" w:id="66"/>
      <w:bookmarkEnd w:id="64"/>
      <w:bookmarkEnd w:id="65"/>
      <w:r w:rsidRPr="00F57044">
        <w:t xml:space="preserve">Key </w:t>
      </w:r>
      <w:r w:rsidRPr="00F57044" w:rsidR="004506A7">
        <w:t xml:space="preserve">options </w:t>
      </w:r>
      <w:r w:rsidRPr="00F57044">
        <w:t xml:space="preserve">for 2025 </w:t>
      </w:r>
      <w:r w:rsidRPr="00F57044" w:rsidR="00A74D1D">
        <w:t>s</w:t>
      </w:r>
      <w:r w:rsidRPr="00F57044">
        <w:t>ettings</w:t>
      </w:r>
      <w:bookmarkEnd w:id="66"/>
    </w:p>
    <w:p w:rsidRPr="00F57044" w:rsidR="0037154B" w:rsidP="004B7C99" w:rsidRDefault="008112E0" w14:paraId="609D8C43" w14:textId="523F6D4B">
      <w:pPr>
        <w:pStyle w:val="Heading2"/>
        <w:spacing w:before="240"/>
      </w:pPr>
      <w:bookmarkStart w:name="_Toc199231033" w:id="67"/>
      <w:r w:rsidRPr="00F57044">
        <w:t xml:space="preserve">The </w:t>
      </w:r>
      <w:r w:rsidRPr="00F57044" w:rsidR="00256542">
        <w:t xml:space="preserve">Climate Change </w:t>
      </w:r>
      <w:r w:rsidRPr="00F57044">
        <w:t xml:space="preserve">Commission’s </w:t>
      </w:r>
      <w:r w:rsidRPr="00F57044" w:rsidR="00FE08D3">
        <w:t>recommended</w:t>
      </w:r>
      <w:r w:rsidRPr="00F57044" w:rsidR="0043624A">
        <w:t xml:space="preserve"> </w:t>
      </w:r>
      <w:r w:rsidRPr="00F57044" w:rsidR="00FE08D3">
        <w:t>unit l</w:t>
      </w:r>
      <w:r w:rsidRPr="00F57044" w:rsidR="0043624A">
        <w:t>imits</w:t>
      </w:r>
      <w:bookmarkEnd w:id="67"/>
    </w:p>
    <w:p w:rsidRPr="00F57044" w:rsidR="00BB72F2" w:rsidP="004B7C99" w:rsidRDefault="00967226" w14:paraId="32E7C33E" w14:textId="05CCDC6D">
      <w:pPr>
        <w:pStyle w:val="BodyText"/>
      </w:pPr>
      <w:r w:rsidRPr="00F57044">
        <w:t>Analysis</w:t>
      </w:r>
      <w:r w:rsidRPr="00F57044" w:rsidR="00CC1FD3">
        <w:t xml:space="preserve"> </w:t>
      </w:r>
      <w:r w:rsidRPr="00F57044" w:rsidR="00E430D1">
        <w:t xml:space="preserve">by the </w:t>
      </w:r>
      <w:r w:rsidRPr="00F57044" w:rsidR="00256542">
        <w:t xml:space="preserve">Climate Change </w:t>
      </w:r>
      <w:r w:rsidRPr="00F57044" w:rsidR="00E430D1">
        <w:t>Commission</w:t>
      </w:r>
      <w:r w:rsidRPr="00F57044" w:rsidR="00256542">
        <w:t xml:space="preserve"> (the Commission)</w:t>
      </w:r>
      <w:r w:rsidRPr="00F57044" w:rsidR="001E1288">
        <w:t>, using the seven step</w:t>
      </w:r>
      <w:r w:rsidRPr="00F57044" w:rsidR="003D0CA1">
        <w:t>s</w:t>
      </w:r>
      <w:r w:rsidRPr="00F57044" w:rsidR="001E1288">
        <w:t xml:space="preserve"> methodology</w:t>
      </w:r>
      <w:r w:rsidRPr="00F57044" w:rsidR="00D247A5">
        <w:t>,</w:t>
      </w:r>
      <w:r w:rsidRPr="00F57044" w:rsidR="00E430D1">
        <w:t xml:space="preserve"> </w:t>
      </w:r>
      <w:r w:rsidRPr="00F57044" w:rsidR="00CC1FD3">
        <w:t xml:space="preserve">suggests that </w:t>
      </w:r>
      <w:r w:rsidRPr="00F57044" w:rsidR="006A78BD">
        <w:t xml:space="preserve">the Government could </w:t>
      </w:r>
      <w:r w:rsidRPr="00F57044" w:rsidR="007D0394">
        <w:t xml:space="preserve">auction a total of </w:t>
      </w:r>
      <w:r w:rsidRPr="00F57044" w:rsidR="000F55DC">
        <w:t xml:space="preserve">30.5 </w:t>
      </w:r>
      <w:r w:rsidRPr="00F57044" w:rsidR="009A0927">
        <w:t>million</w:t>
      </w:r>
      <w:r w:rsidRPr="00F57044" w:rsidR="00FE7D8A">
        <w:t xml:space="preserve"> New Zealand Units (NZUs or</w:t>
      </w:r>
      <w:r w:rsidRPr="00F57044" w:rsidR="009A0927">
        <w:t xml:space="preserve"> units</w:t>
      </w:r>
      <w:r w:rsidRPr="00F57044" w:rsidR="00FE7D8A">
        <w:t>)</w:t>
      </w:r>
      <w:r w:rsidRPr="00F57044" w:rsidR="009A0927">
        <w:t xml:space="preserve"> across </w:t>
      </w:r>
      <w:r w:rsidRPr="00F57044" w:rsidR="00046CC8">
        <w:t>2026</w:t>
      </w:r>
      <w:r w:rsidRPr="00F57044" w:rsidR="00256542">
        <w:t>–</w:t>
      </w:r>
      <w:r w:rsidRPr="00F57044" w:rsidR="00046CC8">
        <w:t>30</w:t>
      </w:r>
      <w:r w:rsidRPr="00F57044">
        <w:t xml:space="preserve"> and still </w:t>
      </w:r>
      <w:r w:rsidRPr="00F57044" w:rsidR="00FE1629">
        <w:t>align</w:t>
      </w:r>
      <w:r w:rsidRPr="00F57044" w:rsidR="009E301E">
        <w:t xml:space="preserve"> with</w:t>
      </w:r>
      <w:r w:rsidRPr="00F57044" w:rsidR="008A55E6">
        <w:t xml:space="preserve"> the </w:t>
      </w:r>
      <w:r w:rsidRPr="00F57044" w:rsidR="00256542">
        <w:t>New Zealand Emissions Trading Scheme (</w:t>
      </w:r>
      <w:r w:rsidRPr="00F57044" w:rsidR="00D21D70">
        <w:t xml:space="preserve">NZ </w:t>
      </w:r>
      <w:r w:rsidRPr="00F57044" w:rsidR="008A55E6">
        <w:t>ETS</w:t>
      </w:r>
      <w:r w:rsidRPr="00F57044" w:rsidR="00256542">
        <w:t>)</w:t>
      </w:r>
      <w:r w:rsidRPr="00F57044" w:rsidR="008A55E6">
        <w:t xml:space="preserve"> ca</w:t>
      </w:r>
      <w:r w:rsidRPr="00F57044" w:rsidR="0093509F">
        <w:t xml:space="preserve">p outlined </w:t>
      </w:r>
      <w:r w:rsidRPr="00F57044" w:rsidR="00311C42">
        <w:t xml:space="preserve">in </w:t>
      </w:r>
      <w:r w:rsidRPr="00F57044" w:rsidR="00256542">
        <w:t>the second emissions reduction scheme (</w:t>
      </w:r>
      <w:r w:rsidRPr="00F57044" w:rsidR="00311C42">
        <w:t>ERP2</w:t>
      </w:r>
      <w:r w:rsidRPr="00F57044" w:rsidR="00256542">
        <w:t>)</w:t>
      </w:r>
      <w:r w:rsidRPr="00F57044" w:rsidR="00311C42">
        <w:t>,</w:t>
      </w:r>
      <w:r w:rsidRPr="00F57044" w:rsidR="00F2277B">
        <w:t xml:space="preserve"> and</w:t>
      </w:r>
      <w:r w:rsidRPr="00F57044" w:rsidR="00311C42">
        <w:t xml:space="preserve"> </w:t>
      </w:r>
      <w:r w:rsidRPr="00F57044">
        <w:t xml:space="preserve">achieving </w:t>
      </w:r>
      <w:r w:rsidRPr="00F57044" w:rsidR="00D216D2">
        <w:t>Aotearoa</w:t>
      </w:r>
      <w:r w:rsidRPr="00F57044">
        <w:t xml:space="preserve"> </w:t>
      </w:r>
      <w:r w:rsidRPr="00F57044" w:rsidR="00967021">
        <w:t xml:space="preserve">New Zealand’s </w:t>
      </w:r>
      <w:r w:rsidRPr="00F57044" w:rsidR="0028596D">
        <w:t>emissions reduction</w:t>
      </w:r>
      <w:r w:rsidRPr="00F57044" w:rsidR="00967021">
        <w:t xml:space="preserve"> targets</w:t>
      </w:r>
      <w:r w:rsidRPr="00F57044" w:rsidR="009A0927">
        <w:t xml:space="preserve">. </w:t>
      </w:r>
      <w:r w:rsidRPr="00F57044" w:rsidR="00EA75BD">
        <w:t xml:space="preserve">The Commission’s </w:t>
      </w:r>
      <w:r w:rsidRPr="00F57044" w:rsidR="0020660C">
        <w:t>approach</w:t>
      </w:r>
      <w:r w:rsidRPr="00F57044" w:rsidR="00F2277B">
        <w:t xml:space="preserve"> also </w:t>
      </w:r>
      <w:r w:rsidRPr="00F57044" w:rsidR="00406306">
        <w:t xml:space="preserve">aligns with </w:t>
      </w:r>
      <w:r w:rsidRPr="00F57044" w:rsidR="00BE7720">
        <w:t xml:space="preserve">the </w:t>
      </w:r>
      <w:r w:rsidRPr="00F57044" w:rsidR="002011A1">
        <w:t>objective of the</w:t>
      </w:r>
      <w:r w:rsidRPr="00F57044" w:rsidR="00A67D7C">
        <w:t xml:space="preserve"> 2024 </w:t>
      </w:r>
      <w:r w:rsidRPr="00F57044" w:rsidR="0028596D">
        <w:t xml:space="preserve">NZ </w:t>
      </w:r>
      <w:r w:rsidRPr="00F57044" w:rsidR="00A67D7C">
        <w:t xml:space="preserve">ETS settings </w:t>
      </w:r>
      <w:r w:rsidRPr="00F57044" w:rsidR="002011A1">
        <w:t>decision</w:t>
      </w:r>
      <w:r w:rsidRPr="00F57044" w:rsidR="00A67D7C">
        <w:t xml:space="preserve"> to draw</w:t>
      </w:r>
      <w:r w:rsidRPr="00F57044" w:rsidR="00BE7720">
        <w:t xml:space="preserve"> down the surplus stockpile</w:t>
      </w:r>
      <w:r w:rsidRPr="00F57044" w:rsidR="00A67D7C">
        <w:t xml:space="preserve"> </w:t>
      </w:r>
      <w:r w:rsidRPr="00F57044" w:rsidR="00E507CF">
        <w:t xml:space="preserve">to zero </w:t>
      </w:r>
      <w:r w:rsidRPr="00F57044" w:rsidR="00A67D7C">
        <w:t>by 2030</w:t>
      </w:r>
      <w:r w:rsidRPr="00F57044" w:rsidR="00790C31">
        <w:t>.</w:t>
      </w:r>
      <w:r w:rsidRPr="00F57044" w:rsidR="00BE7720">
        <w:t xml:space="preserve"> </w:t>
      </w:r>
      <w:r w:rsidRPr="00F57044" w:rsidR="009A0927">
        <w:t>Th</w:t>
      </w:r>
      <w:r w:rsidRPr="00F57044" w:rsidR="00294741">
        <w:t>e total auction volume of 30.5 million units</w:t>
      </w:r>
      <w:r w:rsidRPr="00F57044" w:rsidR="009A0927">
        <w:t xml:space="preserve"> is an increase of 13.6 million units</w:t>
      </w:r>
      <w:r w:rsidRPr="00F57044" w:rsidR="004B7C99">
        <w:t> </w:t>
      </w:r>
      <w:r w:rsidRPr="00F57044" w:rsidR="009A0927">
        <w:t xml:space="preserve">compared with </w:t>
      </w:r>
      <w:r w:rsidRPr="00F57044" w:rsidR="003F6DAB">
        <w:t>the projection</w:t>
      </w:r>
      <w:r w:rsidRPr="00F57044" w:rsidR="00D647A6">
        <w:t xml:space="preserve"> in </w:t>
      </w:r>
      <w:r w:rsidRPr="00F57044" w:rsidR="00454BD3">
        <w:t xml:space="preserve">2024 </w:t>
      </w:r>
      <w:r w:rsidRPr="00F57044" w:rsidR="00256542">
        <w:t xml:space="preserve">NZ </w:t>
      </w:r>
      <w:r w:rsidRPr="00F57044" w:rsidR="00BC4A88">
        <w:t xml:space="preserve">ETS </w:t>
      </w:r>
      <w:r w:rsidRPr="00F57044" w:rsidR="00454BD3">
        <w:t>settings</w:t>
      </w:r>
      <w:r w:rsidRPr="00F57044" w:rsidR="00435E80">
        <w:t xml:space="preserve">. This change was </w:t>
      </w:r>
      <w:r w:rsidRPr="00F57044" w:rsidR="00F21486">
        <w:t>driven by</w:t>
      </w:r>
      <w:r w:rsidRPr="00F57044" w:rsidR="00710968">
        <w:t xml:space="preserve"> the following developments</w:t>
      </w:r>
      <w:r w:rsidRPr="00F57044" w:rsidR="003F6CFA">
        <w:t>.</w:t>
      </w:r>
    </w:p>
    <w:p w:rsidRPr="00F57044" w:rsidR="00E807C2" w:rsidP="00471DEC" w:rsidRDefault="004D53B9" w14:paraId="2DFCB5B1" w14:textId="7065BB28">
      <w:pPr>
        <w:pStyle w:val="BodyText"/>
      </w:pPr>
      <w:r w:rsidRPr="00F57044">
        <w:t xml:space="preserve">Drivers </w:t>
      </w:r>
      <w:r w:rsidRPr="00F57044" w:rsidR="00EA5882">
        <w:t>de</w:t>
      </w:r>
      <w:r w:rsidRPr="00F57044">
        <w:t xml:space="preserve">creasing </w:t>
      </w:r>
      <w:r w:rsidRPr="00F57044" w:rsidR="003B2906">
        <w:t xml:space="preserve">unit </w:t>
      </w:r>
      <w:r w:rsidRPr="00F57044" w:rsidR="00944204">
        <w:t>limits</w:t>
      </w:r>
    </w:p>
    <w:p w:rsidRPr="00F57044" w:rsidR="00F21486" w:rsidP="00A46EAF" w:rsidRDefault="00DB5B68" w14:paraId="3B67B1BF" w14:textId="4D1E3731">
      <w:pPr>
        <w:pStyle w:val="Bullet"/>
      </w:pPr>
      <w:r w:rsidRPr="00F57044">
        <w:t>6.7</w:t>
      </w:r>
      <w:r w:rsidRPr="00F57044" w:rsidR="00DE5320">
        <w:t xml:space="preserve"> million fewer units </w:t>
      </w:r>
      <w:r w:rsidRPr="00F57044" w:rsidR="00ED75DB">
        <w:t>from</w:t>
      </w:r>
      <w:r w:rsidRPr="00F57044" w:rsidR="0031552F">
        <w:t xml:space="preserve"> </w:t>
      </w:r>
      <w:r w:rsidRPr="00F57044" w:rsidR="0042275E">
        <w:t>c</w:t>
      </w:r>
      <w:r w:rsidRPr="00F57044" w:rsidR="007A332C">
        <w:t xml:space="preserve">hanges to the </w:t>
      </w:r>
      <w:r w:rsidRPr="00F57044" w:rsidR="00EB40CC">
        <w:t xml:space="preserve">NZ </w:t>
      </w:r>
      <w:r w:rsidRPr="00F57044" w:rsidR="007A332C">
        <w:t>ETS cap. Thi</w:t>
      </w:r>
      <w:r w:rsidRPr="00F57044" w:rsidR="00003E40">
        <w:t xml:space="preserve">s </w:t>
      </w:r>
      <w:r w:rsidRPr="00F57044" w:rsidR="00B94159">
        <w:t xml:space="preserve">mainly </w:t>
      </w:r>
      <w:r w:rsidRPr="00F57044" w:rsidR="00003E40">
        <w:t>stems from ERP2 clarifying</w:t>
      </w:r>
      <w:r w:rsidRPr="00F57044" w:rsidR="00F21486">
        <w:t xml:space="preserve"> expected emissions across</w:t>
      </w:r>
      <w:r w:rsidRPr="00F57044" w:rsidR="00ED1213">
        <w:t xml:space="preserve"> </w:t>
      </w:r>
      <w:r w:rsidRPr="00F57044" w:rsidR="00F21486">
        <w:t xml:space="preserve">ETS </w:t>
      </w:r>
      <w:r w:rsidRPr="00F57044" w:rsidDel="00ED1213" w:rsidR="00F21486">
        <w:t xml:space="preserve">and non-ETS covered sectors </w:t>
      </w:r>
      <w:r w:rsidRPr="00F57044" w:rsidR="00F21486">
        <w:t>between 2026</w:t>
      </w:r>
      <w:r w:rsidRPr="00F57044" w:rsidR="00B94159">
        <w:t xml:space="preserve"> and </w:t>
      </w:r>
      <w:r w:rsidRPr="00F57044" w:rsidR="00F21486">
        <w:t>2030</w:t>
      </w:r>
      <w:r w:rsidRPr="00F57044" w:rsidR="00862D64">
        <w:t>. ERP2</w:t>
      </w:r>
      <w:r w:rsidRPr="00F57044" w:rsidR="007E76BC">
        <w:t xml:space="preserve"> </w:t>
      </w:r>
      <w:r w:rsidRPr="00F57044" w:rsidR="00862D64">
        <w:t>proposed</w:t>
      </w:r>
      <w:r w:rsidRPr="00F57044" w:rsidR="007E76BC">
        <w:t xml:space="preserve"> a</w:t>
      </w:r>
      <w:r w:rsidRPr="00F57044" w:rsidDel="002414B3" w:rsidR="00862D64">
        <w:t>n</w:t>
      </w:r>
      <w:r w:rsidRPr="00F57044" w:rsidR="00862D64">
        <w:t xml:space="preserve"> EB2</w:t>
      </w:r>
      <w:r w:rsidRPr="00F57044" w:rsidR="00EB40CC">
        <w:t xml:space="preserve"> NZ</w:t>
      </w:r>
      <w:r w:rsidRPr="00F57044" w:rsidR="00862D64">
        <w:t xml:space="preserve"> ETS cap</w:t>
      </w:r>
      <w:r w:rsidRPr="00F57044" w:rsidR="00CF4B5A">
        <w:t xml:space="preserve"> of 91 Mt</w:t>
      </w:r>
      <w:r w:rsidRPr="00F57044" w:rsidR="002414B3">
        <w:t xml:space="preserve"> CO</w:t>
      </w:r>
      <w:r w:rsidRPr="00F57044" w:rsidR="002414B3">
        <w:rPr>
          <w:vertAlign w:val="subscript"/>
        </w:rPr>
        <w:t>2</w:t>
      </w:r>
      <w:r w:rsidRPr="00F57044" w:rsidR="002414B3">
        <w:t>e</w:t>
      </w:r>
      <w:r w:rsidRPr="00F57044" w:rsidR="00F21486">
        <w:t>.</w:t>
      </w:r>
      <w:r w:rsidRPr="00F57044" w:rsidR="00591F5B">
        <w:t xml:space="preserve"> </w:t>
      </w:r>
      <w:r w:rsidRPr="00F57044" w:rsidR="009D4317">
        <w:t xml:space="preserve">The changes to the </w:t>
      </w:r>
      <w:r w:rsidRPr="00F57044" w:rsidR="002B3E7C">
        <w:t xml:space="preserve">NZ </w:t>
      </w:r>
      <w:r w:rsidRPr="00F57044" w:rsidR="009D4317">
        <w:t>ETS cap</w:t>
      </w:r>
      <w:r w:rsidRPr="00F57044" w:rsidR="00FF0DA4">
        <w:t xml:space="preserve"> also reflect methodological changes </w:t>
      </w:r>
      <w:r w:rsidRPr="00F57044" w:rsidR="00B94159">
        <w:t>to</w:t>
      </w:r>
      <w:r w:rsidRPr="00F57044" w:rsidR="00FF0DA4">
        <w:t xml:space="preserve"> New Zealand’s </w:t>
      </w:r>
      <w:r w:rsidRPr="00F57044" w:rsidR="006F400B">
        <w:t>2024 g</w:t>
      </w:r>
      <w:r w:rsidRPr="00F57044" w:rsidR="00FF0DA4">
        <w:t xml:space="preserve">reenhouse </w:t>
      </w:r>
      <w:r w:rsidRPr="00F57044" w:rsidR="006F400B">
        <w:t>g</w:t>
      </w:r>
      <w:r w:rsidRPr="00F57044" w:rsidR="00FF0DA4">
        <w:t xml:space="preserve">as </w:t>
      </w:r>
      <w:r w:rsidRPr="00F57044" w:rsidR="006F400B">
        <w:t>i</w:t>
      </w:r>
      <w:r w:rsidRPr="00F57044" w:rsidR="00FF0DA4">
        <w:t>nventory.</w:t>
      </w:r>
    </w:p>
    <w:p w:rsidRPr="00F57044" w:rsidR="00EA5882" w:rsidP="00A46EAF" w:rsidRDefault="009A4CD3" w14:paraId="3A4C94CC" w14:textId="695ABD8F">
      <w:pPr>
        <w:pStyle w:val="Bullet"/>
      </w:pPr>
      <w:r w:rsidRPr="00F57044">
        <w:t xml:space="preserve">Approximately </w:t>
      </w:r>
      <w:r w:rsidRPr="00F57044" w:rsidR="00A43596">
        <w:t>5</w:t>
      </w:r>
      <w:r w:rsidRPr="00F57044" w:rsidR="00E23641">
        <w:t xml:space="preserve"> million fewer units </w:t>
      </w:r>
      <w:r w:rsidRPr="00F57044" w:rsidR="00A21FA1">
        <w:t>(</w:t>
      </w:r>
      <w:r w:rsidRPr="00F57044" w:rsidR="00816B81">
        <w:t>± 1 million)</w:t>
      </w:r>
      <w:r w:rsidRPr="00F57044" w:rsidR="00E23641">
        <w:t xml:space="preserve"> </w:t>
      </w:r>
      <w:r w:rsidRPr="00F57044" w:rsidR="003616FE">
        <w:t xml:space="preserve">drawn down </w:t>
      </w:r>
      <w:r w:rsidRPr="00F57044" w:rsidR="002062B7">
        <w:t>from</w:t>
      </w:r>
      <w:r w:rsidRPr="00F57044" w:rsidR="00246C42">
        <w:t xml:space="preserve"> </w:t>
      </w:r>
      <w:r w:rsidRPr="00F57044" w:rsidR="00527A3C">
        <w:t>the stockpile</w:t>
      </w:r>
      <w:r w:rsidRPr="00F57044" w:rsidR="00103773">
        <w:t xml:space="preserve"> </w:t>
      </w:r>
      <w:r w:rsidRPr="00F57044" w:rsidR="00EA5882">
        <w:t xml:space="preserve">than </w:t>
      </w:r>
      <w:r w:rsidRPr="00F57044" w:rsidR="00103773">
        <w:t>projected</w:t>
      </w:r>
      <w:r w:rsidRPr="00F57044" w:rsidR="00492AE4">
        <w:t xml:space="preserve"> (</w:t>
      </w:r>
      <w:r w:rsidRPr="00F57044" w:rsidR="00EC1D4F">
        <w:t>excluding impacts of methodolog</w:t>
      </w:r>
      <w:r w:rsidR="00C53586">
        <w:t>ical</w:t>
      </w:r>
      <w:r w:rsidRPr="00F57044" w:rsidR="00EC1D4F">
        <w:t xml:space="preserve"> </w:t>
      </w:r>
      <w:r w:rsidR="001F0705">
        <w:t>changes</w:t>
      </w:r>
      <w:r w:rsidRPr="00F57044" w:rsidR="00EC1D4F">
        <w:t xml:space="preserve"> and </w:t>
      </w:r>
      <w:r w:rsidRPr="00F57044" w:rsidR="009C48D4">
        <w:t xml:space="preserve">unsold </w:t>
      </w:r>
      <w:r w:rsidRPr="00F57044" w:rsidR="00CE0587">
        <w:t>units from 2024 auctions)</w:t>
      </w:r>
      <w:r w:rsidRPr="00F57044" w:rsidR="006130BE">
        <w:t>.</w:t>
      </w:r>
    </w:p>
    <w:p w:rsidRPr="00F57044" w:rsidR="00EA5882" w:rsidP="00836E5F" w:rsidRDefault="00EA5882" w14:paraId="72EA8AC4" w14:textId="5F73C7AB">
      <w:pPr>
        <w:pStyle w:val="BodyText"/>
      </w:pPr>
      <w:r w:rsidRPr="00F57044">
        <w:t xml:space="preserve">Drivers increasing </w:t>
      </w:r>
      <w:r w:rsidRPr="00F57044" w:rsidR="00876F02">
        <w:t>unit</w:t>
      </w:r>
      <w:r w:rsidRPr="00F57044">
        <w:t xml:space="preserve"> </w:t>
      </w:r>
      <w:r w:rsidRPr="00F57044" w:rsidR="0047037E">
        <w:t>limits</w:t>
      </w:r>
    </w:p>
    <w:p w:rsidRPr="00F57044" w:rsidR="00F21486" w:rsidP="00A46EAF" w:rsidRDefault="00F21486" w14:paraId="141AB239" w14:textId="2FE09F73">
      <w:pPr>
        <w:pStyle w:val="Bullet"/>
      </w:pPr>
      <w:r w:rsidRPr="00F57044">
        <w:t>7.1 million</w:t>
      </w:r>
      <w:r w:rsidRPr="00F57044" w:rsidR="00DE5320">
        <w:t xml:space="preserve"> more</w:t>
      </w:r>
      <w:r w:rsidRPr="00F57044">
        <w:t xml:space="preserve"> </w:t>
      </w:r>
      <w:r w:rsidRPr="00F57044" w:rsidR="0044463A">
        <w:t xml:space="preserve">units </w:t>
      </w:r>
      <w:proofErr w:type="gramStart"/>
      <w:r w:rsidRPr="00F57044" w:rsidDel="008D28F8" w:rsidR="0044463A">
        <w:t xml:space="preserve">as a </w:t>
      </w:r>
      <w:r w:rsidRPr="00F57044" w:rsidR="0044463A">
        <w:t>result</w:t>
      </w:r>
      <w:r w:rsidRPr="00F57044" w:rsidDel="008D28F8" w:rsidR="0044463A">
        <w:t xml:space="preserve"> of</w:t>
      </w:r>
      <w:proofErr w:type="gramEnd"/>
      <w:r w:rsidRPr="00F57044" w:rsidR="0044463A">
        <w:t xml:space="preserve"> </w:t>
      </w:r>
      <w:r w:rsidRPr="00F57044" w:rsidR="003D1B89">
        <w:t xml:space="preserve">the </w:t>
      </w:r>
      <w:r w:rsidRPr="00F57044">
        <w:t xml:space="preserve">2024 </w:t>
      </w:r>
      <w:r w:rsidRPr="00F57044" w:rsidR="007100CB">
        <w:t xml:space="preserve">NZ </w:t>
      </w:r>
      <w:r w:rsidRPr="00F57044">
        <w:t xml:space="preserve">ETS </w:t>
      </w:r>
      <w:r w:rsidRPr="00F57044" w:rsidR="00BC4A88">
        <w:t>a</w:t>
      </w:r>
      <w:r w:rsidRPr="00F57044">
        <w:t>uctions</w:t>
      </w:r>
      <w:r w:rsidRPr="00F57044" w:rsidR="0044463A">
        <w:t xml:space="preserve"> not fully clearing</w:t>
      </w:r>
      <w:r w:rsidRPr="00F57044">
        <w:t xml:space="preserve">. </w:t>
      </w:r>
    </w:p>
    <w:p w:rsidRPr="00F57044" w:rsidR="00886CAF" w:rsidP="00A46EAF" w:rsidRDefault="009A4CD3" w14:paraId="59F2293E" w14:textId="797D7BF7">
      <w:pPr>
        <w:pStyle w:val="Bullet"/>
      </w:pPr>
      <w:r w:rsidRPr="00F57044">
        <w:t>Approximately 7</w:t>
      </w:r>
      <w:r w:rsidRPr="00F57044" w:rsidR="0047224A">
        <w:t xml:space="preserve"> million </w:t>
      </w:r>
      <w:r w:rsidRPr="00F57044" w:rsidR="00DE5320">
        <w:t xml:space="preserve">more </w:t>
      </w:r>
      <w:r w:rsidRPr="00F57044" w:rsidR="0047224A">
        <w:t xml:space="preserve">units </w:t>
      </w:r>
      <w:r w:rsidRPr="00F57044" w:rsidR="00816B81">
        <w:t>(± 1 mil</w:t>
      </w:r>
      <w:r w:rsidRPr="00F57044" w:rsidR="00AD5AD8">
        <w:t xml:space="preserve">lion) </w:t>
      </w:r>
      <w:r w:rsidRPr="00F57044" w:rsidR="00B479E1">
        <w:t xml:space="preserve">due to </w:t>
      </w:r>
      <w:r w:rsidRPr="00F57044" w:rsidR="00FC776D">
        <w:t xml:space="preserve">methodological changes </w:t>
      </w:r>
      <w:r w:rsidRPr="00F57044" w:rsidR="00B479E1">
        <w:t xml:space="preserve">decreasing </w:t>
      </w:r>
      <w:r w:rsidRPr="00F57044" w:rsidR="00FC776D">
        <w:t>the surplus stockpile</w:t>
      </w:r>
      <w:r w:rsidRPr="00F57044" w:rsidR="006130BE">
        <w:t>.</w:t>
      </w:r>
      <w:r w:rsidRPr="00F57044" w:rsidR="00AF53F2">
        <w:t xml:space="preserve"> </w:t>
      </w:r>
      <w:r w:rsidRPr="00F57044" w:rsidR="004136F1">
        <w:t>This is the net impact</w:t>
      </w:r>
      <w:r w:rsidRPr="00F57044" w:rsidR="00A57ACA">
        <w:t xml:space="preserve"> of </w:t>
      </w:r>
      <w:r w:rsidRPr="00F57044" w:rsidR="00992AB6">
        <w:t xml:space="preserve">much larger </w:t>
      </w:r>
      <w:r w:rsidRPr="00F57044" w:rsidR="00A57ACA">
        <w:t xml:space="preserve">underlying changes that </w:t>
      </w:r>
      <w:r w:rsidRPr="00F57044" w:rsidR="008204B6">
        <w:t>offset each other</w:t>
      </w:r>
      <w:r w:rsidRPr="00F57044" w:rsidR="002D4F90">
        <w:t xml:space="preserve">. </w:t>
      </w:r>
      <w:r w:rsidRPr="00F57044" w:rsidR="004136F1">
        <w:t xml:space="preserve">Changes </w:t>
      </w:r>
      <w:r w:rsidRPr="00F57044" w:rsidR="00B94159">
        <w:t xml:space="preserve">that </w:t>
      </w:r>
      <w:r w:rsidRPr="00F57044" w:rsidR="00FB67F9">
        <w:t>decrease</w:t>
      </w:r>
      <w:r w:rsidRPr="00F57044" w:rsidR="004136F1">
        <w:t xml:space="preserve"> the size of the</w:t>
      </w:r>
      <w:r w:rsidRPr="00F57044" w:rsidR="008650F6">
        <w:t xml:space="preserve"> </w:t>
      </w:r>
      <w:r w:rsidRPr="00F57044" w:rsidR="00FB67F9">
        <w:t>surplus</w:t>
      </w:r>
      <w:r w:rsidRPr="00F57044" w:rsidR="00316850">
        <w:t xml:space="preserve"> </w:t>
      </w:r>
      <w:r w:rsidRPr="00F57044" w:rsidR="004136F1">
        <w:t>e</w:t>
      </w:r>
      <w:r w:rsidRPr="00F57044" w:rsidR="00FA0440">
        <w:t xml:space="preserve">quate to about </w:t>
      </w:r>
      <w:r w:rsidRPr="00F57044" w:rsidR="004A532A">
        <w:t>36</w:t>
      </w:r>
      <w:r w:rsidRPr="00F57044" w:rsidR="008D28F8">
        <w:t> </w:t>
      </w:r>
      <w:r w:rsidRPr="00F57044" w:rsidR="002D4F90">
        <w:t>million units</w:t>
      </w:r>
      <w:r w:rsidRPr="00F57044" w:rsidR="004A532A">
        <w:t xml:space="preserve">, </w:t>
      </w:r>
      <w:r w:rsidRPr="00F57044" w:rsidR="00992AB6">
        <w:t xml:space="preserve">while </w:t>
      </w:r>
      <w:r w:rsidRPr="00F57044" w:rsidR="003C5836">
        <w:t>changes</w:t>
      </w:r>
      <w:r w:rsidRPr="00F57044" w:rsidR="00FA0440">
        <w:t xml:space="preserve"> </w:t>
      </w:r>
      <w:r w:rsidRPr="00F57044" w:rsidR="00B94159">
        <w:t xml:space="preserve">that </w:t>
      </w:r>
      <w:r w:rsidRPr="00F57044" w:rsidR="00FB67F9">
        <w:t>increase</w:t>
      </w:r>
      <w:r w:rsidRPr="00F57044" w:rsidR="00FA0440">
        <w:t xml:space="preserve"> the estimate </w:t>
      </w:r>
      <w:r w:rsidRPr="00F57044" w:rsidR="00992AB6">
        <w:t>total</w:t>
      </w:r>
      <w:r w:rsidRPr="00F57044" w:rsidR="002F1247">
        <w:t xml:space="preserve"> </w:t>
      </w:r>
      <w:r w:rsidRPr="00F57044" w:rsidR="00FA0440">
        <w:t xml:space="preserve">about </w:t>
      </w:r>
      <w:r w:rsidRPr="00F57044" w:rsidR="002D4F90">
        <w:t>28 million</w:t>
      </w:r>
      <w:r w:rsidRPr="00F57044" w:rsidR="004A532A">
        <w:t xml:space="preserve"> unit</w:t>
      </w:r>
      <w:r w:rsidRPr="00F57044" w:rsidR="00FA0440">
        <w:t>s</w:t>
      </w:r>
      <w:r w:rsidRPr="00F57044" w:rsidR="003C5836">
        <w:t>.</w:t>
      </w:r>
      <w:r w:rsidRPr="00F57044" w:rsidDel="00061550" w:rsidR="00061550">
        <w:rPr>
          <w:rStyle w:val="FootnoteReference"/>
        </w:rPr>
        <w:t xml:space="preserve"> </w:t>
      </w:r>
    </w:p>
    <w:p w:rsidRPr="00F57044" w:rsidR="00F21486" w:rsidP="00A46EAF" w:rsidRDefault="00831A67" w14:paraId="5F33F345" w14:textId="6D138206">
      <w:pPr>
        <w:pStyle w:val="Bullet"/>
      </w:pPr>
      <w:r w:rsidRPr="00F57044">
        <w:t>4.4</w:t>
      </w:r>
      <w:r w:rsidRPr="00F57044" w:rsidR="001E48BE">
        <w:t xml:space="preserve"> million</w:t>
      </w:r>
      <w:r w:rsidRPr="00F57044" w:rsidR="00DE5320">
        <w:t xml:space="preserve"> more</w:t>
      </w:r>
      <w:r w:rsidRPr="00F57044" w:rsidR="001E48BE">
        <w:t xml:space="preserve"> units </w:t>
      </w:r>
      <w:proofErr w:type="gramStart"/>
      <w:r w:rsidRPr="00F57044" w:rsidDel="008D28F8" w:rsidR="006D1FC7">
        <w:t xml:space="preserve">as a </w:t>
      </w:r>
      <w:r w:rsidRPr="00F57044" w:rsidR="006D1FC7">
        <w:t>result of</w:t>
      </w:r>
      <w:proofErr w:type="gramEnd"/>
      <w:r w:rsidRPr="00F57044" w:rsidR="006D1FC7">
        <w:t xml:space="preserve"> u</w:t>
      </w:r>
      <w:r w:rsidRPr="00F57044" w:rsidR="00F21486">
        <w:t>pdated information and forecasts for industrial allocation levels</w:t>
      </w:r>
      <w:r w:rsidRPr="00F57044" w:rsidR="00CE5A80">
        <w:t>, which</w:t>
      </w:r>
      <w:r w:rsidRPr="00F57044" w:rsidR="00F21486">
        <w:t xml:space="preserve"> mean </w:t>
      </w:r>
      <w:r w:rsidRPr="00F57044" w:rsidR="00E3358B">
        <w:t>we expect</w:t>
      </w:r>
      <w:r w:rsidRPr="00F57044" w:rsidR="00F21486">
        <w:t xml:space="preserve"> to allocate fewer units to industrial allocation over the settings period</w:t>
      </w:r>
      <w:r w:rsidRPr="00F57044" w:rsidR="0064569A">
        <w:t>.</w:t>
      </w:r>
    </w:p>
    <w:p w:rsidRPr="00F57044" w:rsidR="00D574E2" w:rsidP="00A46EAF" w:rsidRDefault="00AE21F2" w14:paraId="2752EE91" w14:textId="4015E687">
      <w:pPr>
        <w:pStyle w:val="Bullet"/>
      </w:pPr>
      <w:r w:rsidRPr="00F57044">
        <w:t>3.</w:t>
      </w:r>
      <w:r w:rsidRPr="00F57044" w:rsidR="00454702">
        <w:t>4</w:t>
      </w:r>
      <w:r w:rsidRPr="00F57044">
        <w:t xml:space="preserve"> million more units </w:t>
      </w:r>
      <w:r w:rsidRPr="00F57044" w:rsidR="00336356">
        <w:t xml:space="preserve">because </w:t>
      </w:r>
      <w:r w:rsidRPr="00F57044" w:rsidR="00006A2D">
        <w:t xml:space="preserve">a technical </w:t>
      </w:r>
      <w:r w:rsidRPr="00F57044" w:rsidR="00CF50A2">
        <w:t>adjustment is no longer required.</w:t>
      </w:r>
    </w:p>
    <w:p w:rsidRPr="00F57044" w:rsidR="006D4415" w:rsidP="00A46EAF" w:rsidRDefault="006D4415" w14:paraId="0E0D2852" w14:textId="1EFBDC7E">
      <w:pPr>
        <w:pStyle w:val="Bullet"/>
      </w:pPr>
      <w:r w:rsidRPr="00F57044">
        <w:t xml:space="preserve">3.1 </w:t>
      </w:r>
      <w:r w:rsidRPr="00F57044" w:rsidR="00CF7A13">
        <w:t xml:space="preserve">million more units </w:t>
      </w:r>
      <w:r w:rsidRPr="00F57044" w:rsidR="00260B8A">
        <w:t>due to changes</w:t>
      </w:r>
      <w:r w:rsidRPr="00F57044" w:rsidR="00175862">
        <w:t xml:space="preserve"> in 2025 </w:t>
      </w:r>
      <w:r w:rsidRPr="00F57044" w:rsidR="00D009A2">
        <w:t>forecasts</w:t>
      </w:r>
      <w:r w:rsidRPr="00F57044" w:rsidR="00067AF8">
        <w:t>. B</w:t>
      </w:r>
      <w:r w:rsidRPr="00F57044" w:rsidR="00EE6943">
        <w:t>ecause</w:t>
      </w:r>
      <w:r w:rsidRPr="00F57044" w:rsidR="00D009A2">
        <w:t xml:space="preserve"> </w:t>
      </w:r>
      <w:r w:rsidRPr="00F57044" w:rsidR="00FC4C78">
        <w:t xml:space="preserve">2025 </w:t>
      </w:r>
      <w:r w:rsidRPr="00F57044" w:rsidR="00402588">
        <w:t>auction volumes are fixed</w:t>
      </w:r>
      <w:r w:rsidRPr="00F57044" w:rsidR="00067AF8">
        <w:t>,</w:t>
      </w:r>
      <w:r w:rsidRPr="00F57044" w:rsidR="00402588">
        <w:t xml:space="preserve"> </w:t>
      </w:r>
      <w:r w:rsidRPr="00F57044" w:rsidR="00EE6943">
        <w:t xml:space="preserve">these </w:t>
      </w:r>
      <w:r w:rsidRPr="00F57044" w:rsidR="00E54E66">
        <w:t xml:space="preserve">3.1 million units </w:t>
      </w:r>
      <w:r w:rsidRPr="00F57044" w:rsidR="00242D57">
        <w:t xml:space="preserve">instead </w:t>
      </w:r>
      <w:r w:rsidRPr="00F57044" w:rsidR="00523CB7">
        <w:t>increase unit limits for the 2026</w:t>
      </w:r>
      <w:r w:rsidRPr="00F57044" w:rsidR="00801FB9">
        <w:t>-30 period</w:t>
      </w:r>
      <w:r w:rsidRPr="00F57044" w:rsidR="00E54E66">
        <w:t>.</w:t>
      </w:r>
      <w:r w:rsidRPr="00F57044" w:rsidR="00E54E66">
        <w:rPr>
          <w:rStyle w:val="FootnoteReference"/>
        </w:rPr>
        <w:footnoteReference w:id="10"/>
      </w:r>
      <w:r w:rsidRPr="00F57044" w:rsidR="0008556C">
        <w:t xml:space="preserve"> </w:t>
      </w:r>
    </w:p>
    <w:p w:rsidRPr="00F57044" w:rsidR="003F6467" w:rsidP="00275187" w:rsidRDefault="00E36B8F" w14:paraId="0A1CF410" w14:textId="7D07C7C9">
      <w:pPr>
        <w:pStyle w:val="BodyText"/>
      </w:pPr>
      <w:r w:rsidRPr="00F57044">
        <w:t xml:space="preserve">Figure </w:t>
      </w:r>
      <w:r w:rsidRPr="00F57044" w:rsidR="001F06F3">
        <w:t>3</w:t>
      </w:r>
      <w:r w:rsidRPr="00F57044" w:rsidDel="008D28F8">
        <w:t xml:space="preserve"> </w:t>
      </w:r>
      <w:r w:rsidRPr="00F57044">
        <w:t xml:space="preserve">illustrates </w:t>
      </w:r>
      <w:r w:rsidRPr="00F57044" w:rsidR="006F5F65">
        <w:t xml:space="preserve">our analysis of </w:t>
      </w:r>
      <w:r w:rsidRPr="00F57044">
        <w:t xml:space="preserve">how these changes together increase </w:t>
      </w:r>
      <w:r w:rsidRPr="00F57044" w:rsidR="002E0EE2">
        <w:t xml:space="preserve">the </w:t>
      </w:r>
      <w:r w:rsidRPr="00F57044">
        <w:t xml:space="preserve">maximum possible auction volumes over the settings period. </w:t>
      </w:r>
      <w:r w:rsidRPr="00F57044" w:rsidR="00B94159">
        <w:t>To quantify</w:t>
      </w:r>
      <w:r w:rsidRPr="00F57044" w:rsidR="003C5073">
        <w:t xml:space="preserve"> the impact of methodo</w:t>
      </w:r>
      <w:r w:rsidRPr="00F57044" w:rsidR="00E67A55">
        <w:t>lo</w:t>
      </w:r>
      <w:r w:rsidRPr="00F57044" w:rsidR="003C5073">
        <w:t>gical changes</w:t>
      </w:r>
      <w:r w:rsidRPr="00F57044" w:rsidR="00B94159">
        <w:t>,</w:t>
      </w:r>
      <w:r w:rsidRPr="00F57044" w:rsidR="003C5073">
        <w:t xml:space="preserve"> </w:t>
      </w:r>
      <w:r w:rsidRPr="00F57044" w:rsidR="00B94159">
        <w:t>we compared</w:t>
      </w:r>
      <w:r w:rsidRPr="00F57044" w:rsidR="003C5073">
        <w:t xml:space="preserve"> estimates of the surplus stockpile using the Commission’s 2024 and 2025 methodologies.</w:t>
      </w:r>
    </w:p>
    <w:p w:rsidRPr="00F57044" w:rsidR="00FD3D29" w:rsidP="00275187" w:rsidRDefault="007127CA" w14:paraId="3BED4CA6" w14:textId="6A1CE7CD">
      <w:pPr>
        <w:pStyle w:val="BodyText"/>
      </w:pPr>
      <w:r w:rsidRPr="00F57044">
        <w:t>Our approach</w:t>
      </w:r>
      <w:r w:rsidRPr="00F57044" w:rsidR="003C5073">
        <w:t xml:space="preserve"> differs from the Commission’s approach</w:t>
      </w:r>
      <w:r w:rsidRPr="00F57044" w:rsidR="003F6467">
        <w:t xml:space="preserve"> to </w:t>
      </w:r>
      <w:r w:rsidRPr="00F57044" w:rsidR="00FC738A">
        <w:t xml:space="preserve">describing </w:t>
      </w:r>
      <w:r w:rsidRPr="00F57044" w:rsidR="003F6467">
        <w:t>these impacts.</w:t>
      </w:r>
      <w:r w:rsidRPr="00F57044" w:rsidR="000B60C3">
        <w:t xml:space="preserve"> </w:t>
      </w:r>
      <w:r w:rsidRPr="00F57044" w:rsidR="00CE1DB2">
        <w:t>T</w:t>
      </w:r>
      <w:r w:rsidRPr="00F57044" w:rsidR="008D28F8">
        <w:t xml:space="preserve">he Commission </w:t>
      </w:r>
      <w:r w:rsidRPr="00F57044" w:rsidR="00DA11FF">
        <w:t xml:space="preserve">subtracts the unsold </w:t>
      </w:r>
      <w:r w:rsidRPr="00F57044" w:rsidR="00F06771">
        <w:t xml:space="preserve">2025 </w:t>
      </w:r>
      <w:r w:rsidRPr="00F57044" w:rsidR="00DA11FF">
        <w:t>auction</w:t>
      </w:r>
      <w:r w:rsidRPr="00F57044" w:rsidR="00F06771">
        <w:t xml:space="preserve"> volume</w:t>
      </w:r>
      <w:r w:rsidRPr="00F57044" w:rsidR="00DA11FF">
        <w:t xml:space="preserve"> </w:t>
      </w:r>
      <w:r w:rsidRPr="00F57044" w:rsidR="004B00D5">
        <w:t>(7.1 million units)</w:t>
      </w:r>
      <w:r w:rsidRPr="00F57044" w:rsidR="00DA11FF">
        <w:t xml:space="preserve"> and the </w:t>
      </w:r>
      <w:r w:rsidRPr="00F57044" w:rsidR="003C5073">
        <w:t>projected surplus reduction in 2024</w:t>
      </w:r>
      <w:r w:rsidRPr="00F57044" w:rsidR="00811C35">
        <w:t xml:space="preserve"> </w:t>
      </w:r>
      <w:r w:rsidRPr="00F57044" w:rsidR="00DA11FF">
        <w:t>(</w:t>
      </w:r>
      <w:r w:rsidRPr="00F57044" w:rsidR="007A49F6">
        <w:t>7.7 million</w:t>
      </w:r>
      <w:r w:rsidRPr="00F57044" w:rsidR="00811C35">
        <w:t xml:space="preserve"> </w:t>
      </w:r>
      <w:r w:rsidRPr="00F57044" w:rsidR="00DA11FF">
        <w:t>units)</w:t>
      </w:r>
      <w:r w:rsidRPr="00F57044" w:rsidDel="00DA11FF" w:rsidR="00811C35">
        <w:t xml:space="preserve"> </w:t>
      </w:r>
      <w:r w:rsidRPr="00F57044" w:rsidR="00DA11FF">
        <w:t xml:space="preserve">from the </w:t>
      </w:r>
      <w:r w:rsidRPr="00F57044" w:rsidR="00B766DE">
        <w:t xml:space="preserve">estimate of the surplus </w:t>
      </w:r>
      <w:r w:rsidRPr="00F57044" w:rsidR="00D966ED">
        <w:t xml:space="preserve">made </w:t>
      </w:r>
      <w:r w:rsidRPr="00F57044" w:rsidR="00B766DE">
        <w:t>in 2024</w:t>
      </w:r>
      <w:r w:rsidRPr="00F57044" w:rsidR="007A49F6">
        <w:t>.</w:t>
      </w:r>
      <w:r w:rsidRPr="00F57044" w:rsidR="003C5073">
        <w:t xml:space="preserve"> </w:t>
      </w:r>
      <w:r w:rsidRPr="00F57044" w:rsidR="00402EF0">
        <w:t>It</w:t>
      </w:r>
      <w:r w:rsidRPr="00F57044" w:rsidR="004B7C99">
        <w:t> </w:t>
      </w:r>
      <w:r w:rsidRPr="00F57044" w:rsidR="00402EF0">
        <w:t xml:space="preserve">then </w:t>
      </w:r>
      <w:r w:rsidRPr="00F57044" w:rsidR="00B94159">
        <w:t xml:space="preserve">attributes </w:t>
      </w:r>
      <w:r w:rsidRPr="00F57044" w:rsidR="003C5073">
        <w:t xml:space="preserve">the </w:t>
      </w:r>
      <w:r w:rsidRPr="00F57044" w:rsidR="00402EF0">
        <w:t xml:space="preserve">remaining 2.9 million </w:t>
      </w:r>
      <w:r w:rsidRPr="00F57044" w:rsidR="003C5073">
        <w:t xml:space="preserve">reduction to methodological </w:t>
      </w:r>
      <w:r w:rsidRPr="00F57044" w:rsidR="000672DE">
        <w:t>and data</w:t>
      </w:r>
      <w:r w:rsidRPr="00F57044" w:rsidR="003C5073">
        <w:t xml:space="preserve"> changes</w:t>
      </w:r>
      <w:r w:rsidRPr="00F57044" w:rsidR="00690BC5">
        <w:t>.</w:t>
      </w:r>
    </w:p>
    <w:p w:rsidRPr="00F57044" w:rsidR="00DE63A5" w:rsidP="00275187" w:rsidRDefault="00FD3D29" w14:paraId="67366DA3" w14:textId="68216993">
      <w:pPr>
        <w:pStyle w:val="BodyText"/>
      </w:pPr>
      <w:r w:rsidRPr="00F57044">
        <w:t xml:space="preserve">Our analysis indicates that the </w:t>
      </w:r>
      <w:r w:rsidRPr="00F57044" w:rsidR="005837B1">
        <w:t>surplus has</w:t>
      </w:r>
      <w:r w:rsidRPr="00F57044" w:rsidR="00F727D5">
        <w:t xml:space="preserve"> reduced </w:t>
      </w:r>
      <w:r w:rsidRPr="00F57044" w:rsidR="008949EE">
        <w:t>by less than expected after accounting for the unsold auction volume</w:t>
      </w:r>
      <w:r w:rsidRPr="00F57044" w:rsidR="008D28F8">
        <w:t>.</w:t>
      </w:r>
      <w:r w:rsidRPr="00F57044" w:rsidR="00017C65">
        <w:rPr>
          <w:rStyle w:val="FootnoteReference"/>
        </w:rPr>
        <w:footnoteReference w:id="11"/>
      </w:r>
      <w:r w:rsidRPr="00F57044" w:rsidR="00975EF9">
        <w:t xml:space="preserve"> This is show</w:t>
      </w:r>
      <w:r w:rsidRPr="00F57044" w:rsidR="002927F3">
        <w:t xml:space="preserve">n </w:t>
      </w:r>
      <w:r w:rsidRPr="00F57044" w:rsidR="004F22AC">
        <w:t xml:space="preserve">in </w:t>
      </w:r>
      <w:r w:rsidRPr="00F57044" w:rsidR="008D28F8">
        <w:t>f</w:t>
      </w:r>
      <w:r w:rsidRPr="00F57044" w:rsidR="004F22AC">
        <w:t xml:space="preserve">igure </w:t>
      </w:r>
      <w:r w:rsidRPr="00F57044" w:rsidR="001F06F3">
        <w:t>3</w:t>
      </w:r>
      <w:r w:rsidRPr="00F57044" w:rsidR="004F22AC">
        <w:t xml:space="preserve"> as ‘projected 2024 surplus reduction which did not occur’.</w:t>
      </w:r>
      <w:r w:rsidRPr="00F57044" w:rsidR="000E40C6">
        <w:t xml:space="preserve"> </w:t>
      </w:r>
    </w:p>
    <w:p w:rsidRPr="00F57044" w:rsidR="008A68CA" w:rsidP="00275187" w:rsidRDefault="008A68CA" w14:paraId="13634065" w14:textId="0E196126">
      <w:pPr>
        <w:pStyle w:val="BodyText"/>
        <w:rPr>
          <w:b/>
          <w:bCs/>
        </w:rPr>
      </w:pPr>
      <w:r w:rsidRPr="00F57044">
        <w:rPr>
          <w:b/>
          <w:bCs/>
        </w:rPr>
        <w:t xml:space="preserve">We would like to hear your views on possible reasons for this </w:t>
      </w:r>
      <w:r w:rsidRPr="00F57044" w:rsidR="009869F2">
        <w:rPr>
          <w:b/>
          <w:bCs/>
        </w:rPr>
        <w:t>lower-than-forecast surplus reduction</w:t>
      </w:r>
      <w:r w:rsidRPr="00F57044">
        <w:rPr>
          <w:b/>
          <w:bCs/>
        </w:rPr>
        <w:t>.</w:t>
      </w:r>
    </w:p>
    <w:p w:rsidRPr="00F57044" w:rsidR="00C50362" w:rsidP="00C50362" w:rsidRDefault="002B73F6" w14:paraId="509482AB" w14:textId="4E835AD4">
      <w:pPr>
        <w:pStyle w:val="Figureheading"/>
      </w:pPr>
      <w:bookmarkStart w:name="_Toc198901889" w:id="68"/>
      <w:r w:rsidRPr="00F57044">
        <w:t xml:space="preserve">Figure </w:t>
      </w:r>
      <w:r w:rsidRPr="00F57044" w:rsidR="00194C32">
        <w:t>3</w:t>
      </w:r>
      <w:r w:rsidRPr="00F57044">
        <w:t>:</w:t>
      </w:r>
      <w:r w:rsidRPr="00F57044" w:rsidR="00C50362">
        <w:tab/>
      </w:r>
      <w:r w:rsidRPr="00F57044">
        <w:t xml:space="preserve">Drivers of changes in </w:t>
      </w:r>
      <w:r w:rsidRPr="00F57044" w:rsidR="00CC655D">
        <w:t>estimated</w:t>
      </w:r>
      <w:r w:rsidRPr="00F57044" w:rsidR="005C6BEA">
        <w:t xml:space="preserve"> </w:t>
      </w:r>
      <w:r w:rsidRPr="00F57044">
        <w:t>auction volumes</w:t>
      </w:r>
      <w:r w:rsidRPr="00F57044" w:rsidDel="008D28F8">
        <w:t xml:space="preserve"> across</w:t>
      </w:r>
      <w:r w:rsidRPr="00F57044">
        <w:t xml:space="preserve"> </w:t>
      </w:r>
      <w:r w:rsidRPr="00F57044" w:rsidR="00190CFD">
        <w:t>2026</w:t>
      </w:r>
      <w:r w:rsidRPr="00F57044" w:rsidR="007A1889">
        <w:t>–</w:t>
      </w:r>
      <w:r w:rsidRPr="00F57044" w:rsidR="00C50362">
        <w:t>30</w:t>
      </w:r>
      <w:bookmarkEnd w:id="68"/>
    </w:p>
    <w:p w:rsidRPr="00F57044" w:rsidR="00D004C6" w:rsidP="00D21D70" w:rsidRDefault="005C132D" w14:paraId="66700B15" w14:textId="613C32C5">
      <w:pPr>
        <w:pStyle w:val="BodyText"/>
      </w:pPr>
      <w:r w:rsidRPr="00F57044">
        <w:rPr>
          <w:noProof/>
        </w:rPr>
        <w:drawing>
          <wp:inline distT="0" distB="0" distL="0" distR="0" wp14:anchorId="4E0BED83" wp14:editId="08A1446F">
            <wp:extent cx="5393094" cy="3229344"/>
            <wp:effectExtent l="0" t="0" r="0" b="9525"/>
            <wp:docPr id="107076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66545"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1234" cy="3240206"/>
                    </a:xfrm>
                    <a:prstGeom prst="rect">
                      <a:avLst/>
                    </a:prstGeom>
                  </pic:spPr>
                </pic:pic>
              </a:graphicData>
            </a:graphic>
          </wp:inline>
        </w:drawing>
      </w:r>
    </w:p>
    <w:p w:rsidRPr="00F57044" w:rsidR="00F77B50" w:rsidP="004B7C99" w:rsidRDefault="00F77B50" w14:paraId="7502AA83" w14:textId="46EC4467">
      <w:pPr>
        <w:pStyle w:val="Note"/>
      </w:pPr>
      <w:r w:rsidRPr="00F57044">
        <w:t>Source: Ministry for the Environment analysis</w:t>
      </w:r>
    </w:p>
    <w:p w:rsidRPr="00F57044" w:rsidR="00012D1B" w:rsidP="005541BB" w:rsidRDefault="00FE08D3" w14:paraId="3E4CA70C" w14:textId="28DA3A42">
      <w:pPr>
        <w:pStyle w:val="Heading2"/>
        <w:rPr>
          <w:highlight w:val="yellow"/>
        </w:rPr>
      </w:pPr>
      <w:bookmarkStart w:name="_Toc199231034" w:id="69"/>
      <w:r w:rsidRPr="00F57044">
        <w:t xml:space="preserve">Option for tighter unit </w:t>
      </w:r>
      <w:r w:rsidRPr="00F57044" w:rsidR="00EF6D64">
        <w:t>limits</w:t>
      </w:r>
      <w:bookmarkEnd w:id="69"/>
    </w:p>
    <w:p w:rsidRPr="00F57044" w:rsidR="00A35948" w:rsidP="00E67F98" w:rsidRDefault="008C0008" w14:paraId="2BFE3358" w14:textId="11130A37">
      <w:pPr>
        <w:pStyle w:val="BodyText"/>
      </w:pPr>
      <w:r w:rsidRPr="00F57044">
        <w:t>Alongside the Commission’s option, we are consulting on an alternative option</w:t>
      </w:r>
      <w:r w:rsidRPr="00F57044" w:rsidR="00B94159">
        <w:t>:</w:t>
      </w:r>
      <w:r w:rsidRPr="00F57044">
        <w:t xml:space="preserve"> </w:t>
      </w:r>
      <w:r w:rsidRPr="00F57044" w:rsidR="00012D1B">
        <w:t xml:space="preserve">to </w:t>
      </w:r>
      <w:r w:rsidRPr="00F57044">
        <w:t>maintain</w:t>
      </w:r>
      <w:r w:rsidRPr="00F57044" w:rsidR="00B94159">
        <w:t xml:space="preserve"> the</w:t>
      </w:r>
      <w:r w:rsidRPr="00F57044">
        <w:t xml:space="preserve"> status quo unit settings, extended to 2030. </w:t>
      </w:r>
      <w:r w:rsidRPr="00F57044" w:rsidR="00DC215C">
        <w:t>The</w:t>
      </w:r>
      <w:r w:rsidRPr="00F57044" w:rsidR="002414B3">
        <w:t xml:space="preserve"> following</w:t>
      </w:r>
      <w:r w:rsidRPr="00F57044" w:rsidR="00DC215C">
        <w:t xml:space="preserve"> are </w:t>
      </w:r>
      <w:r w:rsidRPr="00F57044" w:rsidR="002414B3">
        <w:t xml:space="preserve">the </w:t>
      </w:r>
      <w:r w:rsidRPr="00F57044" w:rsidR="00DC215C">
        <w:t xml:space="preserve">three main reasons </w:t>
      </w:r>
      <w:r w:rsidRPr="00F57044" w:rsidR="008D28F8">
        <w:t xml:space="preserve">why </w:t>
      </w:r>
      <w:r w:rsidRPr="00F57044" w:rsidR="00DC215C">
        <w:t>we</w:t>
      </w:r>
      <w:r w:rsidRPr="00F57044" w:rsidR="008D28F8">
        <w:t xml:space="preserve"> a</w:t>
      </w:r>
      <w:r w:rsidRPr="00F57044" w:rsidR="00DC215C">
        <w:t>re consulting on this option.</w:t>
      </w:r>
    </w:p>
    <w:p w:rsidRPr="00F57044" w:rsidR="00673B3C" w:rsidP="005541BB" w:rsidRDefault="00B6492B" w14:paraId="32A0BA99" w14:textId="21DFF125">
      <w:pPr>
        <w:pStyle w:val="Heading3"/>
      </w:pPr>
      <w:r w:rsidRPr="00F57044">
        <w:t xml:space="preserve">1. </w:t>
      </w:r>
      <w:r w:rsidRPr="00F57044" w:rsidR="00673B3C">
        <w:t xml:space="preserve">Methodological </w:t>
      </w:r>
      <w:r w:rsidRPr="00F57044" w:rsidR="00941FBE">
        <w:t>c</w:t>
      </w:r>
      <w:r w:rsidRPr="00F57044" w:rsidR="00673B3C">
        <w:t>hange</w:t>
      </w:r>
    </w:p>
    <w:p w:rsidRPr="00F57044" w:rsidR="00DC372B" w:rsidP="00E67F98" w:rsidRDefault="00390EF0" w14:paraId="1ECB1792" w14:textId="67D0515C">
      <w:pPr>
        <w:pStyle w:val="BodyText"/>
      </w:pPr>
      <w:r w:rsidRPr="00F57044">
        <w:t xml:space="preserve">A significant </w:t>
      </w:r>
      <w:r w:rsidRPr="00F57044" w:rsidR="006B4DBB">
        <w:t>portion</w:t>
      </w:r>
      <w:r w:rsidRPr="00F57044" w:rsidR="00190FC4">
        <w:t xml:space="preserve"> of possible additional</w:t>
      </w:r>
      <w:r w:rsidRPr="00F57044" w:rsidR="00ED025C">
        <w:t xml:space="preserve"> units</w:t>
      </w:r>
      <w:r w:rsidRPr="00F57044" w:rsidR="00190FC4">
        <w:t xml:space="preserve"> stem</w:t>
      </w:r>
      <w:r w:rsidRPr="00F57044" w:rsidR="008247A9">
        <w:t>s</w:t>
      </w:r>
      <w:r w:rsidRPr="00F57044" w:rsidR="00190FC4">
        <w:t xml:space="preserve"> from methodological changes </w:t>
      </w:r>
      <w:r w:rsidRPr="00F57044" w:rsidR="00701D62">
        <w:t>that</w:t>
      </w:r>
      <w:r w:rsidRPr="00F57044" w:rsidR="000F49D8">
        <w:t>, on net,</w:t>
      </w:r>
      <w:r w:rsidRPr="00F57044" w:rsidR="00701D62">
        <w:t xml:space="preserve"> have reduced </w:t>
      </w:r>
      <w:r w:rsidRPr="00F57044" w:rsidR="00C61654">
        <w:t>the Commission’s</w:t>
      </w:r>
      <w:r w:rsidRPr="00F57044" w:rsidR="00701D62">
        <w:t xml:space="preserve"> </w:t>
      </w:r>
      <w:r w:rsidRPr="00F57044" w:rsidR="00C377B7">
        <w:t xml:space="preserve">estimate of the </w:t>
      </w:r>
      <w:r w:rsidRPr="00F57044" w:rsidR="00022C63">
        <w:t>surplus stockpile.</w:t>
      </w:r>
      <w:r w:rsidRPr="00F57044" w:rsidR="00DF2AAE">
        <w:t xml:space="preserve"> </w:t>
      </w:r>
      <w:r w:rsidRPr="00F57044" w:rsidR="00B816AA">
        <w:t xml:space="preserve">This includes </w:t>
      </w:r>
      <w:r w:rsidRPr="00F57044" w:rsidR="00B07924">
        <w:t xml:space="preserve">a new </w:t>
      </w:r>
      <w:r w:rsidRPr="00F57044" w:rsidR="00E7727A">
        <w:t xml:space="preserve">‘holding volume’ </w:t>
      </w:r>
      <w:r w:rsidRPr="00F57044" w:rsidR="00B07924">
        <w:t>category of non-surplus units</w:t>
      </w:r>
      <w:r w:rsidRPr="00F57044" w:rsidR="008247A9">
        <w:t>,</w:t>
      </w:r>
      <w:r w:rsidRPr="00F57044" w:rsidR="00E7727A">
        <w:t xml:space="preserve"> </w:t>
      </w:r>
      <w:r w:rsidRPr="00F57044" w:rsidR="008247A9">
        <w:t xml:space="preserve">which </w:t>
      </w:r>
      <w:r w:rsidRPr="00F57044" w:rsidR="00E7727A">
        <w:t xml:space="preserve">reduces </w:t>
      </w:r>
      <w:r w:rsidRPr="00F57044" w:rsidR="00D721B4">
        <w:t>the Commission’s estimate by 34 million units.</w:t>
      </w:r>
      <w:r w:rsidRPr="00F57044" w:rsidR="007C7D06">
        <w:t xml:space="preserve"> However, other methodolog</w:t>
      </w:r>
      <w:r w:rsidRPr="00F57044" w:rsidR="00940FA1">
        <w:t>ical</w:t>
      </w:r>
      <w:r w:rsidRPr="00F57044" w:rsidR="007C7D06">
        <w:t xml:space="preserve"> changes largely offset this impact.</w:t>
      </w:r>
      <w:r w:rsidRPr="00F57044" w:rsidR="008808FA">
        <w:t xml:space="preserve"> </w:t>
      </w:r>
    </w:p>
    <w:p w:rsidRPr="00F57044" w:rsidR="005872D9" w:rsidP="00E67F98" w:rsidRDefault="002F361F" w14:paraId="6C9E7DB5" w14:textId="61D64B15">
      <w:pPr>
        <w:pStyle w:val="BodyText"/>
      </w:pPr>
      <w:r w:rsidRPr="00F57044">
        <w:t>Based on our preliminary assessment, these methodolog</w:t>
      </w:r>
      <w:r w:rsidRPr="00F57044" w:rsidR="00940FA1">
        <w:t>ical</w:t>
      </w:r>
      <w:r w:rsidRPr="00F57044">
        <w:t xml:space="preserve"> changes are </w:t>
      </w:r>
      <w:r w:rsidRPr="00F57044" w:rsidR="0003200B">
        <w:t xml:space="preserve">conceptually </w:t>
      </w:r>
      <w:r w:rsidRPr="00F57044">
        <w:t>valid and likely to improve the accuracy of the surplus estimate</w:t>
      </w:r>
      <w:r w:rsidRPr="00F57044" w:rsidR="00DC372B">
        <w:t>. H</w:t>
      </w:r>
      <w:r w:rsidRPr="00F57044" w:rsidR="00126883">
        <w:t>owever,</w:t>
      </w:r>
      <w:r w:rsidRPr="00F57044" w:rsidR="00361089">
        <w:t xml:space="preserve"> </w:t>
      </w:r>
      <w:r w:rsidRPr="00F57044" w:rsidR="00C76AF8">
        <w:t>substantial</w:t>
      </w:r>
      <w:r w:rsidRPr="00F57044" w:rsidR="00361089">
        <w:t xml:space="preserve"> </w:t>
      </w:r>
      <w:r w:rsidRPr="00F57044" w:rsidR="00642A33">
        <w:t xml:space="preserve">uncertainty </w:t>
      </w:r>
      <w:r w:rsidRPr="00F57044" w:rsidR="008247A9">
        <w:t xml:space="preserve">remains about </w:t>
      </w:r>
      <w:r w:rsidRPr="00F57044" w:rsidR="00C132DF">
        <w:t xml:space="preserve">the </w:t>
      </w:r>
      <w:r w:rsidRPr="00F57044" w:rsidR="003B59A5">
        <w:t xml:space="preserve">true </w:t>
      </w:r>
      <w:r w:rsidRPr="00F57044" w:rsidR="00F460B0">
        <w:t xml:space="preserve">size of the </w:t>
      </w:r>
      <w:r w:rsidRPr="00F57044" w:rsidR="004B160C">
        <w:t>surplus stockpile</w:t>
      </w:r>
      <w:r w:rsidRPr="00F57044" w:rsidR="006C1D6B">
        <w:t>. This is the first year of testing these me</w:t>
      </w:r>
      <w:r w:rsidRPr="00F57044" w:rsidR="00EF4A76">
        <w:t>thodolog</w:t>
      </w:r>
      <w:r w:rsidRPr="00F57044" w:rsidR="00940FA1">
        <w:t>ical</w:t>
      </w:r>
      <w:r w:rsidRPr="00F57044" w:rsidR="00EF4A76">
        <w:t xml:space="preserve"> changes and there may be refinements to them in future years</w:t>
      </w:r>
      <w:r w:rsidRPr="00F57044" w:rsidR="001018BB">
        <w:t xml:space="preserve">. </w:t>
      </w:r>
      <w:r w:rsidRPr="00F57044" w:rsidR="0058039E">
        <w:t xml:space="preserve">Even </w:t>
      </w:r>
      <w:r w:rsidRPr="00F57044" w:rsidR="00012D00">
        <w:t>proporti</w:t>
      </w:r>
      <w:r w:rsidRPr="00F57044" w:rsidR="00F61A11">
        <w:t>o</w:t>
      </w:r>
      <w:r w:rsidRPr="00F57044" w:rsidR="00012D00">
        <w:t>nally</w:t>
      </w:r>
      <w:r w:rsidRPr="00F57044" w:rsidR="0058039E">
        <w:t xml:space="preserve"> small refinements to some of these changes could have a material impact on</w:t>
      </w:r>
      <w:r w:rsidRPr="00F57044" w:rsidR="004B7C99">
        <w:t> </w:t>
      </w:r>
      <w:r w:rsidRPr="00F57044" w:rsidR="0058039E">
        <w:t xml:space="preserve">the number of units that are assessed to </w:t>
      </w:r>
      <w:r w:rsidRPr="00F57044" w:rsidR="008247A9">
        <w:t>align</w:t>
      </w:r>
      <w:r w:rsidRPr="00F57044" w:rsidR="0058039E">
        <w:t xml:space="preserve"> with </w:t>
      </w:r>
      <w:r w:rsidR="00CA7597">
        <w:t>emissions reduction targets</w:t>
      </w:r>
      <w:r w:rsidRPr="00F57044" w:rsidR="003D7931">
        <w:t>.</w:t>
      </w:r>
    </w:p>
    <w:p w:rsidRPr="00F57044" w:rsidR="00406FC4" w:rsidP="00FA1A8A" w:rsidRDefault="00B6492B" w14:paraId="13273FEC" w14:textId="59BD8FD6">
      <w:pPr>
        <w:pStyle w:val="Heading3"/>
      </w:pPr>
      <w:r w:rsidRPr="00F57044">
        <w:t xml:space="preserve">2. </w:t>
      </w:r>
      <w:r w:rsidRPr="00F57044" w:rsidR="00406FC4">
        <w:t>Delivering emissions budgets</w:t>
      </w:r>
    </w:p>
    <w:p w:rsidRPr="00F57044" w:rsidR="00F17A21" w:rsidP="00F17A21" w:rsidRDefault="00F17A21" w14:paraId="1992ED1C" w14:textId="0A4E86D5">
      <w:pPr>
        <w:pStyle w:val="BodyText"/>
      </w:pPr>
      <w:r w:rsidRPr="00F57044">
        <w:t>Compared with the Commission’s recommendation, maintaining status quo volumes would</w:t>
      </w:r>
      <w:r w:rsidRPr="00F57044" w:rsidR="004B7C99">
        <w:t> </w:t>
      </w:r>
      <w:r w:rsidRPr="00F57044">
        <w:t xml:space="preserve">strengthen the country’s position for achieving its domestic </w:t>
      </w:r>
      <w:r w:rsidRPr="00F57044" w:rsidR="0061109E">
        <w:t xml:space="preserve">emissions budgets </w:t>
      </w:r>
      <w:r w:rsidRPr="00F57044">
        <w:t>and international emissions targets</w:t>
      </w:r>
      <w:r w:rsidRPr="00F57044" w:rsidR="008247A9">
        <w:t>,</w:t>
      </w:r>
      <w:r w:rsidRPr="00F57044">
        <w:t xml:space="preserve"> by allowing less supply into the market. This is likely to </w:t>
      </w:r>
      <w:r w:rsidRPr="00F57044" w:rsidR="0061109E">
        <w:t>put</w:t>
      </w:r>
      <w:r w:rsidR="00004467">
        <w:t> </w:t>
      </w:r>
      <w:r w:rsidRPr="00F57044" w:rsidR="0061109E">
        <w:t>greater upwards pressure on</w:t>
      </w:r>
      <w:r w:rsidRPr="00F57044">
        <w:t xml:space="preserve"> the secondary </w:t>
      </w:r>
      <w:proofErr w:type="gramStart"/>
      <w:r w:rsidRPr="00F57044">
        <w:t>market price</w:t>
      </w:r>
      <w:r w:rsidRPr="00F57044" w:rsidR="008247A9">
        <w:t>,</w:t>
      </w:r>
      <w:r w:rsidRPr="00F57044">
        <w:t xml:space="preserve"> and</w:t>
      </w:r>
      <w:proofErr w:type="gramEnd"/>
      <w:r w:rsidRPr="00F57044">
        <w:t xml:space="preserve"> further incentivise gross emissions reductions and afforestation. It would</w:t>
      </w:r>
      <w:r w:rsidRPr="00F57044" w:rsidR="0061109E">
        <w:t xml:space="preserve"> also</w:t>
      </w:r>
      <w:r w:rsidRPr="00F57044">
        <w:t xml:space="preserve"> support a faster drawdown of the surplus stockpile</w:t>
      </w:r>
      <w:r w:rsidRPr="00F57044" w:rsidR="008247A9">
        <w:t>,</w:t>
      </w:r>
      <w:r w:rsidRPr="00F57044">
        <w:t xml:space="preserve"> and reduce the risk posed by the stockpile to achieving both EB2 and </w:t>
      </w:r>
      <w:r w:rsidRPr="00F57044" w:rsidR="00940FA1">
        <w:t>the third emissions budget (</w:t>
      </w:r>
      <w:r w:rsidRPr="00F57044">
        <w:t>EB3</w:t>
      </w:r>
      <w:r w:rsidRPr="00F57044" w:rsidR="00940FA1">
        <w:t>)</w:t>
      </w:r>
      <w:r w:rsidRPr="00F57044">
        <w:t>.</w:t>
      </w:r>
      <w:r w:rsidRPr="00F57044" w:rsidR="006B5293">
        <w:t xml:space="preserve"> </w:t>
      </w:r>
      <w:r w:rsidRPr="00F57044" w:rsidR="00F140C0">
        <w:t xml:space="preserve">We know that meeting </w:t>
      </w:r>
      <w:r w:rsidRPr="00F57044" w:rsidR="004F05A9">
        <w:t>EB3 is likely to be challenging, and there is a case for tighter</w:t>
      </w:r>
      <w:r w:rsidRPr="00F57044" w:rsidR="00F140C0">
        <w:t xml:space="preserve"> </w:t>
      </w:r>
      <w:r w:rsidRPr="00F57044" w:rsidR="00A65677">
        <w:t xml:space="preserve">settings in the short term </w:t>
      </w:r>
      <w:proofErr w:type="gramStart"/>
      <w:r w:rsidRPr="00F57044" w:rsidR="00A65677">
        <w:t>in order to</w:t>
      </w:r>
      <w:proofErr w:type="gramEnd"/>
      <w:r w:rsidRPr="00F57044" w:rsidR="00A65677">
        <w:t xml:space="preserve"> give </w:t>
      </w:r>
      <w:r w:rsidRPr="00F57044" w:rsidR="0029097A">
        <w:t>us more options in the future.</w:t>
      </w:r>
      <w:r w:rsidRPr="00F57044" w:rsidR="00F45D13">
        <w:t xml:space="preserve"> </w:t>
      </w:r>
    </w:p>
    <w:p w:rsidRPr="00F57044" w:rsidR="00406FC4" w:rsidP="00FA1A8A" w:rsidRDefault="00B6492B" w14:paraId="074DF282" w14:textId="0BFF9D21">
      <w:pPr>
        <w:pStyle w:val="Heading3"/>
      </w:pPr>
      <w:r w:rsidRPr="00F57044">
        <w:t xml:space="preserve">3. </w:t>
      </w:r>
      <w:r w:rsidRPr="00F57044" w:rsidR="00406FC4">
        <w:t xml:space="preserve">Market </w:t>
      </w:r>
      <w:r w:rsidRPr="00F57044" w:rsidR="002B0F0B">
        <w:t>d</w:t>
      </w:r>
      <w:r w:rsidRPr="00F57044" w:rsidR="00406FC4">
        <w:t>ynamics</w:t>
      </w:r>
    </w:p>
    <w:p w:rsidRPr="00F57044" w:rsidR="00406FC4" w:rsidP="00406FC4" w:rsidRDefault="00406FC4" w14:paraId="545D2331" w14:textId="064A51E7">
      <w:pPr>
        <w:pStyle w:val="BodyText"/>
      </w:pPr>
      <w:r w:rsidRPr="00F57044">
        <w:t xml:space="preserve">Recent market pricing and </w:t>
      </w:r>
      <w:r w:rsidRPr="00F57044" w:rsidR="007547A5">
        <w:t xml:space="preserve">the </w:t>
      </w:r>
      <w:r w:rsidRPr="00F57044">
        <w:t>partial clearance of 2024 auctions suggest that additional auction volumes may not be needed. Increasing volumes compared with the status quo</w:t>
      </w:r>
      <w:r w:rsidRPr="00F57044" w:rsidR="00592FDE">
        <w:t xml:space="preserve"> </w:t>
      </w:r>
      <w:r w:rsidRPr="00F57044">
        <w:t>appears to run counter to this market signal.</w:t>
      </w:r>
    </w:p>
    <w:p w:rsidRPr="00F57044" w:rsidR="00E416DD" w:rsidP="004B7C99" w:rsidRDefault="006D1784" w14:paraId="07495992" w14:textId="6E237AC5">
      <w:pPr>
        <w:pStyle w:val="Heading2"/>
      </w:pPr>
      <w:bookmarkStart w:name="_NZ_ETS_settings" w:id="70"/>
      <w:bookmarkStart w:name="_Toc199231035" w:id="71"/>
      <w:bookmarkEnd w:id="70"/>
      <w:r w:rsidRPr="00F57044">
        <w:t>NZ ETS settings options</w:t>
      </w:r>
      <w:bookmarkEnd w:id="71"/>
    </w:p>
    <w:p w:rsidRPr="00F57044" w:rsidR="0037154B" w:rsidP="006D1784" w:rsidRDefault="00566BD3" w14:paraId="00E7B1D5" w14:textId="79AD4552">
      <w:pPr>
        <w:pStyle w:val="Heading3"/>
        <w:spacing w:before="240"/>
      </w:pPr>
      <w:r w:rsidRPr="00F57044">
        <w:t>Unit limit</w:t>
      </w:r>
      <w:r w:rsidRPr="00F57044" w:rsidR="00C83D12">
        <w:t xml:space="preserve"> </w:t>
      </w:r>
      <w:r w:rsidRPr="00F57044" w:rsidR="002D2BE4">
        <w:t>options</w:t>
      </w:r>
    </w:p>
    <w:p w:rsidRPr="00F57044" w:rsidR="004F3171" w:rsidP="004F3171" w:rsidRDefault="004F3171" w14:paraId="785423FD" w14:textId="2F316623">
      <w:pPr>
        <w:pStyle w:val="BodyText"/>
      </w:pPr>
      <w:r w:rsidRPr="00F57044">
        <w:t>We have presented two options: status quo settings (keeping existing unit settings and expanding to 2030 based on projections)</w:t>
      </w:r>
      <w:r w:rsidRPr="00F57044" w:rsidR="00521BB0">
        <w:t xml:space="preserve"> and the Commission’s recommended settings</w:t>
      </w:r>
      <w:r w:rsidRPr="00F57044">
        <w:t>. These options are not exhaustive and there are other packages that could be feasible for meeting accordance requirements. We invite your feedback on the options presented and other options you think are worth consideration.</w:t>
      </w:r>
    </w:p>
    <w:p w:rsidRPr="00F57044" w:rsidR="00AE7C87" w:rsidP="006D1784" w:rsidRDefault="00BF0AD3" w14:paraId="574F8A09" w14:textId="2752204F">
      <w:pPr>
        <w:pStyle w:val="Heading4"/>
      </w:pPr>
      <w:r w:rsidRPr="00F57044">
        <w:t xml:space="preserve">Option 1: </w:t>
      </w:r>
      <w:r w:rsidRPr="00F57044" w:rsidR="00AE7C87">
        <w:t>Status quo auction volumes</w:t>
      </w:r>
    </w:p>
    <w:p w:rsidRPr="00F57044" w:rsidR="00AE7C87" w:rsidP="00AE7C87" w:rsidRDefault="00AE7C87" w14:paraId="216F4E25" w14:textId="4A4E2B2F">
      <w:pPr>
        <w:pStyle w:val="BodyText"/>
      </w:pPr>
      <w:r w:rsidRPr="00F57044">
        <w:t xml:space="preserve">In </w:t>
      </w:r>
      <w:r w:rsidRPr="00F57044" w:rsidR="00940FA1">
        <w:t>o</w:t>
      </w:r>
      <w:r w:rsidRPr="00F57044">
        <w:t xml:space="preserve">ption </w:t>
      </w:r>
      <w:r w:rsidRPr="00F57044" w:rsidR="005410A7">
        <w:t>1</w:t>
      </w:r>
      <w:r w:rsidRPr="00F57044">
        <w:t xml:space="preserve">, </w:t>
      </w:r>
      <w:r w:rsidRPr="00F57044">
        <w:rPr>
          <w:b/>
          <w:bCs/>
        </w:rPr>
        <w:t xml:space="preserve">auction volumes are unchanged </w:t>
      </w:r>
      <w:r w:rsidRPr="00F57044">
        <w:t>from 2024 settings</w:t>
      </w:r>
      <w:r w:rsidRPr="00F57044" w:rsidR="00703CD9">
        <w:t>, which apply to 2025-29,</w:t>
      </w:r>
      <w:r w:rsidRPr="00F57044">
        <w:t xml:space="preserve"> and would be extended to 2030</w:t>
      </w:r>
      <w:r w:rsidRPr="00F57044" w:rsidR="0005266D">
        <w:t xml:space="preserve">. 2030 auction volume is based on the same </w:t>
      </w:r>
      <w:r w:rsidRPr="00F57044" w:rsidR="00362E79">
        <w:t xml:space="preserve">information used to determine </w:t>
      </w:r>
      <w:r w:rsidRPr="00F57044" w:rsidR="001A3E2A">
        <w:t>2024</w:t>
      </w:r>
      <w:r w:rsidRPr="00F57044" w:rsidR="00362E79">
        <w:t xml:space="preserve"> settings</w:t>
      </w:r>
      <w:r w:rsidRPr="00F57044" w:rsidR="003F41A8">
        <w:t>, including industrial allocation forecasts</w:t>
      </w:r>
      <w:r w:rsidRPr="00F57044" w:rsidR="00380599">
        <w:t xml:space="preserve"> and</w:t>
      </w:r>
      <w:r w:rsidRPr="00F57044">
        <w:t xml:space="preserve"> </w:t>
      </w:r>
      <w:r w:rsidRPr="00F57044" w:rsidR="003F41A8">
        <w:t>surplus drawdown</w:t>
      </w:r>
      <w:r w:rsidRPr="00F57044">
        <w:t xml:space="preserve"> volumes</w:t>
      </w:r>
      <w:r w:rsidRPr="00F57044" w:rsidR="00DC3E16">
        <w:t xml:space="preserve"> as estimated at the time</w:t>
      </w:r>
      <w:r w:rsidRPr="00F57044" w:rsidR="00CF5109">
        <w:t>, making it internally consistent</w:t>
      </w:r>
      <w:r w:rsidRPr="00F57044" w:rsidR="00FC37FE">
        <w:t xml:space="preserve"> with the </w:t>
      </w:r>
      <w:r w:rsidRPr="00F57044" w:rsidR="00E12F30">
        <w:t>settings currently in</w:t>
      </w:r>
      <w:r w:rsidRPr="00F57044" w:rsidR="004B7C99">
        <w:t> </w:t>
      </w:r>
      <w:r w:rsidRPr="00F57044" w:rsidR="00E12F30">
        <w:t>regulation</w:t>
      </w:r>
      <w:r w:rsidRPr="00F57044">
        <w:t>.</w:t>
      </w:r>
    </w:p>
    <w:p w:rsidRPr="00F57044" w:rsidR="00BF0AD3" w:rsidP="006D1784" w:rsidRDefault="00AE7C87" w14:paraId="7EF1C06F" w14:textId="7CC1B21B">
      <w:pPr>
        <w:pStyle w:val="Heading4"/>
      </w:pPr>
      <w:r w:rsidRPr="00F57044">
        <w:t xml:space="preserve">Option 2: </w:t>
      </w:r>
      <w:r w:rsidRPr="00F57044" w:rsidR="00462EA7">
        <w:t>Commission</w:t>
      </w:r>
      <w:r w:rsidRPr="00F57044" w:rsidR="00940FA1">
        <w:t>-</w:t>
      </w:r>
      <w:r w:rsidRPr="00F57044" w:rsidR="00462EA7">
        <w:t>recommended</w:t>
      </w:r>
      <w:r w:rsidRPr="00F57044" w:rsidR="00BF0AD3">
        <w:t xml:space="preserve"> auction volumes</w:t>
      </w:r>
    </w:p>
    <w:p w:rsidRPr="00F57044" w:rsidR="00BF0AD3" w:rsidP="00A96887" w:rsidRDefault="00BF0AD3" w14:paraId="3BC5AC1E" w14:textId="34EECA17">
      <w:pPr>
        <w:pStyle w:val="BodyText"/>
      </w:pPr>
      <w:r w:rsidRPr="00F57044">
        <w:t xml:space="preserve">In </w:t>
      </w:r>
      <w:r w:rsidRPr="00F57044" w:rsidR="00940FA1">
        <w:t>o</w:t>
      </w:r>
      <w:r w:rsidRPr="00F57044">
        <w:t xml:space="preserve">ption </w:t>
      </w:r>
      <w:r w:rsidRPr="00F57044" w:rsidR="005410A7">
        <w:t>2</w:t>
      </w:r>
      <w:r w:rsidRPr="00F57044">
        <w:t xml:space="preserve">, all changes to unit volumes would be reflected in auction volumes, resulting in an </w:t>
      </w:r>
      <w:r w:rsidRPr="00F57044">
        <w:rPr>
          <w:b/>
        </w:rPr>
        <w:t xml:space="preserve">increase of 13.6 million units to be auctioned over </w:t>
      </w:r>
      <w:r w:rsidRPr="00F57044" w:rsidR="009001D8">
        <w:rPr>
          <w:b/>
        </w:rPr>
        <w:t>2028-30</w:t>
      </w:r>
      <w:r w:rsidRPr="00F57044">
        <w:t xml:space="preserve">. </w:t>
      </w:r>
    </w:p>
    <w:p w:rsidRPr="00F57044" w:rsidR="00F962FA" w:rsidP="00F962FA" w:rsidRDefault="00F962FA" w14:paraId="490F337A" w14:textId="2F81A539">
      <w:pPr>
        <w:pStyle w:val="BodyText"/>
      </w:pPr>
      <w:r w:rsidRPr="00F57044">
        <w:t xml:space="preserve">The Government has </w:t>
      </w:r>
      <w:r w:rsidRPr="00F57044" w:rsidR="009908CD">
        <w:t xml:space="preserve">the </w:t>
      </w:r>
      <w:r w:rsidRPr="00F57044">
        <w:t>choice</w:t>
      </w:r>
      <w:r w:rsidRPr="00F57044" w:rsidR="009908CD">
        <w:t>,</w:t>
      </w:r>
      <w:r w:rsidRPr="00F57044">
        <w:t xml:space="preserve"> </w:t>
      </w:r>
      <w:r w:rsidRPr="00F57044" w:rsidR="007547A5">
        <w:t xml:space="preserve">in </w:t>
      </w:r>
      <w:r w:rsidRPr="00F57044">
        <w:t>certain circumstances</w:t>
      </w:r>
      <w:r w:rsidRPr="00F57044" w:rsidR="009908CD">
        <w:t>,</w:t>
      </w:r>
      <w:r w:rsidRPr="00F57044">
        <w:t xml:space="preserve"> to change </w:t>
      </w:r>
      <w:r w:rsidRPr="00F57044" w:rsidR="008D0389">
        <w:t>auction volumes</w:t>
      </w:r>
      <w:r w:rsidRPr="00F57044">
        <w:t xml:space="preserve"> for the first two years of settings </w:t>
      </w:r>
      <w:r w:rsidRPr="00F57044" w:rsidR="007547A5">
        <w:t>(</w:t>
      </w:r>
      <w:proofErr w:type="spellStart"/>
      <w:r w:rsidRPr="00F57044" w:rsidR="007547A5">
        <w:t>eg</w:t>
      </w:r>
      <w:proofErr w:type="spellEnd"/>
      <w:r w:rsidRPr="00F57044" w:rsidR="007547A5">
        <w:t>,</w:t>
      </w:r>
      <w:r w:rsidRPr="00F57044">
        <w:t xml:space="preserve"> 2026 and 2027</w:t>
      </w:r>
      <w:r w:rsidRPr="00F57044" w:rsidR="007547A5">
        <w:t>)</w:t>
      </w:r>
      <w:r w:rsidRPr="00F57044">
        <w:t xml:space="preserve">. </w:t>
      </w:r>
      <w:r w:rsidRPr="00F57044" w:rsidR="00A65F9D">
        <w:t>The Com</w:t>
      </w:r>
      <w:r w:rsidRPr="00F57044" w:rsidR="00600429">
        <w:t>mission recommended</w:t>
      </w:r>
      <w:r w:rsidRPr="00F57044">
        <w:t xml:space="preserve"> not adjust</w:t>
      </w:r>
      <w:r w:rsidRPr="00F57044" w:rsidR="00600429">
        <w:t>ing</w:t>
      </w:r>
      <w:r w:rsidRPr="00F57044">
        <w:t xml:space="preserve"> settings for the first two years</w:t>
      </w:r>
      <w:r w:rsidRPr="00F57044" w:rsidR="007547A5">
        <w:t>,</w:t>
      </w:r>
      <w:r w:rsidRPr="00F57044">
        <w:t xml:space="preserve"> to maintain stability for participants. </w:t>
      </w:r>
    </w:p>
    <w:p w:rsidRPr="00F57044" w:rsidR="00F962FA" w:rsidP="00F962FA" w:rsidRDefault="00314A83" w14:paraId="6736B572" w14:textId="063E26BF">
      <w:pPr>
        <w:pStyle w:val="BodyText"/>
      </w:pPr>
      <w:r w:rsidRPr="00F57044">
        <w:t>T</w:t>
      </w:r>
      <w:r w:rsidRPr="00F57044" w:rsidR="0023705C">
        <w:t xml:space="preserve">he </w:t>
      </w:r>
      <w:r w:rsidRPr="00F57044" w:rsidR="00F962FA">
        <w:t xml:space="preserve">current market price suggests </w:t>
      </w:r>
      <w:r w:rsidRPr="00F57044" w:rsidR="00F24371">
        <w:t>there is</w:t>
      </w:r>
      <w:r w:rsidRPr="00F57044" w:rsidR="00F962FA">
        <w:t xml:space="preserve"> limited risk of undersupply </w:t>
      </w:r>
      <w:proofErr w:type="gramStart"/>
      <w:r w:rsidRPr="00F57044" w:rsidR="00F962FA">
        <w:t>in the near future</w:t>
      </w:r>
      <w:proofErr w:type="gramEnd"/>
      <w:r w:rsidRPr="00F57044" w:rsidR="00F962FA">
        <w:t>. This</w:t>
      </w:r>
      <w:r w:rsidRPr="00F57044" w:rsidR="004B7C99">
        <w:t> </w:t>
      </w:r>
      <w:r w:rsidRPr="00F57044" w:rsidR="00F962FA">
        <w:t xml:space="preserve">again supports not </w:t>
      </w:r>
      <w:r w:rsidRPr="00F57044" w:rsidR="00C11391">
        <w:t>changing</w:t>
      </w:r>
      <w:r w:rsidRPr="00F57044" w:rsidR="00F962FA">
        <w:t xml:space="preserve"> the volumes in 2026 and 2027. </w:t>
      </w:r>
    </w:p>
    <w:p w:rsidRPr="00F57044" w:rsidR="00F962FA" w:rsidP="004B7C99" w:rsidRDefault="000D53F1" w14:paraId="38DBC65C" w14:textId="7452F077">
      <w:pPr>
        <w:pStyle w:val="BodyText"/>
        <w:spacing w:after="240"/>
      </w:pPr>
      <w:r w:rsidRPr="00F57044">
        <w:t xml:space="preserve">Currently </w:t>
      </w:r>
      <w:r w:rsidRPr="00F57044" w:rsidR="00FA75E2">
        <w:t>auction volum</w:t>
      </w:r>
      <w:r w:rsidRPr="00F57044" w:rsidR="00BF7C4E">
        <w:t xml:space="preserve">es are distributed so they decline in line with the NZ ETS cap. </w:t>
      </w:r>
      <w:r w:rsidRPr="00F57044" w:rsidR="00F962FA">
        <w:t>The Commission recommended taking a different approach to the distribution of volume changes across years 2028</w:t>
      </w:r>
      <w:r w:rsidRPr="00F57044" w:rsidR="0037154B">
        <w:t>–</w:t>
      </w:r>
      <w:r w:rsidRPr="00F57044" w:rsidR="00F962FA">
        <w:t xml:space="preserve">30. </w:t>
      </w:r>
      <w:r w:rsidRPr="00F57044" w:rsidR="0023705C">
        <w:t>It</w:t>
      </w:r>
      <w:r w:rsidRPr="00F57044" w:rsidR="00F962FA">
        <w:t xml:space="preserve"> recommend</w:t>
      </w:r>
      <w:r w:rsidRPr="00F57044" w:rsidR="00940FA1">
        <w:t>ed</w:t>
      </w:r>
      <w:r w:rsidRPr="00F57044" w:rsidR="009E0B58">
        <w:t xml:space="preserve"> </w:t>
      </w:r>
      <w:r w:rsidRPr="00F57044" w:rsidR="0023705C">
        <w:t xml:space="preserve">distributing </w:t>
      </w:r>
      <w:r w:rsidRPr="00F57044" w:rsidR="00F962FA">
        <w:t xml:space="preserve">volumes evenly across </w:t>
      </w:r>
      <w:r w:rsidRPr="00F57044" w:rsidR="009908CD">
        <w:t>this period</w:t>
      </w:r>
      <w:r w:rsidRPr="00F57044" w:rsidR="00F962FA">
        <w:t>. This would mean relatively low</w:t>
      </w:r>
      <w:r w:rsidRPr="00F57044" w:rsidR="00FC7358">
        <w:t>er</w:t>
      </w:r>
      <w:r w:rsidRPr="00F57044" w:rsidR="00F962FA">
        <w:t xml:space="preserve"> auction volumes in 2028 and higher auction volumes in 2029 and 2030</w:t>
      </w:r>
      <w:r w:rsidRPr="00F57044" w:rsidR="0023705C">
        <w:t>,</w:t>
      </w:r>
      <w:r w:rsidRPr="00F57044" w:rsidR="00F962FA">
        <w:t xml:space="preserve"> compared with the default approach. This would preserve more volume in later years that could be more easily changed </w:t>
      </w:r>
      <w:r w:rsidRPr="00F57044" w:rsidR="0023705C">
        <w:t>in future</w:t>
      </w:r>
      <w:r w:rsidRPr="00F57044" w:rsidR="00F962FA">
        <w:t>.</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EC672C" w14:paraId="7CD41CE8" w14:textId="77777777">
        <w:tc>
          <w:tcPr>
            <w:tcW w:w="5000" w:type="pct"/>
            <w:gridSpan w:val="2"/>
            <w:shd w:val="clear" w:color="auto" w:fill="1B556B" w:themeFill="text2"/>
          </w:tcPr>
          <w:p w:rsidRPr="00F57044" w:rsidR="00A52F53" w:rsidP="00EC672C" w:rsidRDefault="00A52F53" w14:paraId="67066EC3" w14:textId="6BB0BD90">
            <w:pPr>
              <w:pStyle w:val="TableTextbold"/>
              <w:rPr>
                <w:color w:val="FFFFFF" w:themeColor="background1"/>
                <w:sz w:val="20"/>
                <w:szCs w:val="24"/>
              </w:rPr>
            </w:pPr>
            <w:r w:rsidRPr="00F57044">
              <w:rPr>
                <w:color w:val="FFFFFF" w:themeColor="background1"/>
                <w:sz w:val="20"/>
                <w:szCs w:val="24"/>
              </w:rPr>
              <w:t>Question</w:t>
            </w:r>
          </w:p>
        </w:tc>
      </w:tr>
      <w:tr w:rsidRPr="00F57044" w:rsidR="00A52F53" w14:paraId="36FFEDD2" w14:textId="77777777">
        <w:tc>
          <w:tcPr>
            <w:tcW w:w="333" w:type="pct"/>
          </w:tcPr>
          <w:p w:rsidRPr="00F57044" w:rsidR="00A52F53" w:rsidP="00EC7F33" w:rsidRDefault="00A52F53" w14:paraId="7065E9F6" w14:textId="3C76D200">
            <w:pPr>
              <w:pStyle w:val="Questions"/>
            </w:pPr>
            <w:r w:rsidRPr="00F57044">
              <w:t>3</w:t>
            </w:r>
          </w:p>
        </w:tc>
        <w:tc>
          <w:tcPr>
            <w:tcW w:w="4667" w:type="pct"/>
          </w:tcPr>
          <w:p w:rsidRPr="00F57044" w:rsidR="00A52F53" w:rsidP="00EC7F33" w:rsidRDefault="00A52F53" w14:paraId="10CD81F9" w14:textId="74126BA0">
            <w:pPr>
              <w:pStyle w:val="Questions"/>
            </w:pPr>
            <w:r w:rsidRPr="00F57044">
              <w:t xml:space="preserve">What is your preferred </w:t>
            </w:r>
            <w:r w:rsidRPr="00F57044" w:rsidR="00954443">
              <w:t>approach</w:t>
            </w:r>
            <w:r w:rsidRPr="00F57044">
              <w:t xml:space="preserve"> for distributing auction volumes for </w:t>
            </w:r>
            <w:r w:rsidRPr="00F57044" w:rsidR="00940FA1">
              <w:t>o</w:t>
            </w:r>
            <w:r w:rsidRPr="00F57044">
              <w:t>ption 2?</w:t>
            </w:r>
          </w:p>
        </w:tc>
      </w:tr>
    </w:tbl>
    <w:p w:rsidRPr="00F57044" w:rsidR="0023705C" w:rsidP="00EC672C" w:rsidRDefault="0023705C" w14:paraId="0381220F" w14:textId="30604E99">
      <w:pPr>
        <w:pStyle w:val="Heading3"/>
      </w:pPr>
      <w:r w:rsidRPr="00F57044">
        <w:t>Price controls</w:t>
      </w:r>
    </w:p>
    <w:p w:rsidRPr="00F57044" w:rsidR="0023705C" w:rsidP="0023705C" w:rsidRDefault="001C1BBB" w14:paraId="0C044E21" w14:textId="2FC4FC1B">
      <w:pPr>
        <w:pStyle w:val="BodyText"/>
      </w:pPr>
      <w:r w:rsidRPr="00F57044">
        <w:t xml:space="preserve">It is important that </w:t>
      </w:r>
      <w:r w:rsidRPr="00F57044" w:rsidR="004F0C4F">
        <w:t xml:space="preserve">recommendations </w:t>
      </w:r>
      <w:r w:rsidRPr="00F57044" w:rsidR="00D4758F">
        <w:t xml:space="preserve">on auction volumes and price controls are considered together as a package of recommendations. </w:t>
      </w:r>
      <w:r w:rsidRPr="00F57044" w:rsidR="00A06B49">
        <w:t>Our proposed options on unit limits discussed in</w:t>
      </w:r>
      <w:r w:rsidRPr="00F57044" w:rsidR="00EC672C">
        <w:t> </w:t>
      </w:r>
      <w:r w:rsidRPr="00F57044" w:rsidR="00A06B49">
        <w:t xml:space="preserve">the previous section </w:t>
      </w:r>
      <w:r w:rsidRPr="00F57044" w:rsidR="004E4616">
        <w:t>do not include changes to price control settings, beyond adjustment for</w:t>
      </w:r>
      <w:r w:rsidRPr="00F57044" w:rsidR="00EC672C">
        <w:t> </w:t>
      </w:r>
      <w:r w:rsidRPr="00F57044" w:rsidR="009C596D">
        <w:t>inflation.</w:t>
      </w:r>
      <w:r w:rsidRPr="00F57044" w:rsidR="00A06B49">
        <w:t xml:space="preserve"> </w:t>
      </w:r>
    </w:p>
    <w:p w:rsidRPr="00F57044" w:rsidR="005E31AD" w:rsidP="006D1784" w:rsidRDefault="005E31AD" w14:paraId="03CE39C0" w14:textId="04436204">
      <w:pPr>
        <w:pStyle w:val="Heading4"/>
      </w:pPr>
      <w:r w:rsidRPr="00F57044">
        <w:t>The role of price controls</w:t>
      </w:r>
    </w:p>
    <w:p w:rsidRPr="00F57044" w:rsidR="00A96AE4" w:rsidP="00EC672C" w:rsidRDefault="00A96AE4" w14:paraId="198261B3" w14:textId="66379501">
      <w:pPr>
        <w:pStyle w:val="BodyText"/>
      </w:pPr>
      <w:r w:rsidRPr="00F57044">
        <w:t xml:space="preserve">Auction price controls provide the Government with additional tools to manage the supply of units. The settings do not set the NZU price, but can influence that price by withholding units from, or adding units to, the market. </w:t>
      </w:r>
    </w:p>
    <w:p w:rsidRPr="00F57044" w:rsidR="00A96AE4" w:rsidP="00A96AE4" w:rsidRDefault="00A96AE4" w14:paraId="39EADFFA" w14:textId="479F1EDD">
      <w:pPr>
        <w:pStyle w:val="BodyText"/>
      </w:pPr>
      <w:r w:rsidRPr="00F57044">
        <w:t xml:space="preserve">Price controls act as a safety valve to prevent the auction price from going too low (which could lower the secondary market NZU price below what is needed for meeting emissions reduction targets) or too high (unnecessarily impacting on the cost of living and the economy). They also signal the price pathway likely to be needed to meet future emissions </w:t>
      </w:r>
      <w:r w:rsidR="007D24EE">
        <w:t xml:space="preserve">reduction </w:t>
      </w:r>
      <w:r w:rsidRPr="00F57044">
        <w:t>targets. Price controls apply only to government auctions, and not the secondary market.</w:t>
      </w:r>
    </w:p>
    <w:p w:rsidRPr="00F57044" w:rsidR="00A96AE4" w:rsidP="00A96AE4" w:rsidRDefault="00A96AE4" w14:paraId="029F4C65" w14:textId="3A27DC37">
      <w:pPr>
        <w:pStyle w:val="BodyText"/>
      </w:pPr>
      <w:r w:rsidRPr="00F57044">
        <w:t>Auction price controls include the:</w:t>
      </w:r>
    </w:p>
    <w:p w:rsidRPr="00F57044" w:rsidR="00A96AE4" w:rsidP="00A96AE4" w:rsidRDefault="00A96AE4" w14:paraId="3442789D" w14:textId="4F505171">
      <w:pPr>
        <w:pStyle w:val="Bullet"/>
      </w:pPr>
      <w:r w:rsidRPr="00F57044">
        <w:t>auction price floor – the Government will not sell units at auction below this price (the lower price floor) and the confidential reserve price</w:t>
      </w:r>
    </w:p>
    <w:p w:rsidRPr="00F57044" w:rsidR="00A96AE4" w:rsidP="00A96AE4" w:rsidRDefault="00A96AE4" w14:paraId="7519E22C" w14:textId="621CF708">
      <w:pPr>
        <w:pStyle w:val="Bullet"/>
      </w:pPr>
      <w:r w:rsidRPr="00F57044">
        <w:t xml:space="preserve">cost containment reserve (CCR) trigger prices – additional NZUs will be released if an auction’s interim clearing price reaches or exceeds one or </w:t>
      </w:r>
      <w:proofErr w:type="gramStart"/>
      <w:r w:rsidRPr="00F57044">
        <w:t>both of these</w:t>
      </w:r>
      <w:proofErr w:type="gramEnd"/>
      <w:r w:rsidRPr="00F57044">
        <w:t xml:space="preserve"> prices (the upper price floor)</w:t>
      </w:r>
    </w:p>
    <w:p w:rsidRPr="00F57044" w:rsidR="00A96AE4" w:rsidP="00A96AE4" w:rsidRDefault="00A96AE4" w14:paraId="7D06993B" w14:textId="3CB11331">
      <w:pPr>
        <w:pStyle w:val="Bullet"/>
      </w:pPr>
      <w:r w:rsidRPr="00F57044">
        <w:t>CCR volumes – the number of NZUs that will be released if the trigger price is reached.</w:t>
      </w:r>
    </w:p>
    <w:p w:rsidRPr="00F57044" w:rsidR="00A96AE4" w:rsidP="00A96AE4" w:rsidRDefault="00A96AE4" w14:paraId="01317854" w14:textId="1342BAF4">
      <w:pPr>
        <w:pStyle w:val="BodyText"/>
      </w:pPr>
      <w:r w:rsidRPr="00F57044">
        <w:t>The auction price floor</w:t>
      </w:r>
      <w:r w:rsidRPr="00F57044">
        <w:rPr>
          <w:rStyle w:val="FootnoteReference"/>
        </w:rPr>
        <w:footnoteReference w:id="12"/>
      </w:r>
      <w:r w:rsidRPr="00F57044">
        <w:t xml:space="preserve"> (lower price floor) stays at a prescribed value for each auction within the year. It prevents additional units from being sold if the market is so well supplied that businesses are not willing to pay a price aligned with emissions reduction targets. </w:t>
      </w:r>
    </w:p>
    <w:p w:rsidRPr="00F57044" w:rsidR="00A96AE4" w:rsidP="00A96AE4" w:rsidRDefault="00A96AE4" w14:paraId="61E1E6C9" w14:textId="324ABB44">
      <w:pPr>
        <w:pStyle w:val="BodyText"/>
      </w:pPr>
      <w:r w:rsidRPr="00F57044">
        <w:t>The confidential reserve price functions to prevent the sale of units at a price below prevailing secondary market prices. It can be different at each auction and is not revealed to the public. This price is not set alongside other NZ ETS settings and is not being consulted on.</w:t>
      </w:r>
    </w:p>
    <w:p w:rsidRPr="00F57044" w:rsidR="00A96AE4" w:rsidP="00A96AE4" w:rsidRDefault="00A96AE4" w14:paraId="325F96AC" w14:textId="2CB898E3">
      <w:pPr>
        <w:pStyle w:val="BodyText"/>
      </w:pPr>
      <w:r w:rsidRPr="00F57044">
        <w:t>The CCR exists to manage the risk from shocks and unforeseen events that may result in extremely high prices in the NZ ETS. It functions by releasing more NZUs into an auction where</w:t>
      </w:r>
      <w:r w:rsidRPr="00F57044" w:rsidR="00D03111">
        <w:t> </w:t>
      </w:r>
      <w:r w:rsidRPr="00F57044">
        <w:t xml:space="preserve">prescribed prices have been met. In 2023, </w:t>
      </w:r>
      <w:r w:rsidRPr="00F57044" w:rsidR="00AB137E">
        <w:t xml:space="preserve">the </w:t>
      </w:r>
      <w:r w:rsidRPr="00F57044" w:rsidR="00326A88">
        <w:t>g</w:t>
      </w:r>
      <w:r w:rsidRPr="00F57044" w:rsidR="00AB137E">
        <w:t>overnment</w:t>
      </w:r>
      <w:r w:rsidRPr="00F57044">
        <w:t xml:space="preserve"> adopted the Commission’s recommended two</w:t>
      </w:r>
      <w:r w:rsidRPr="00F57044" w:rsidR="00254BC9">
        <w:noBreakHyphen/>
      </w:r>
      <w:r w:rsidRPr="00F57044">
        <w:t>tier design for the CCR. This means there are two trigger prices – each with its own CCR.</w:t>
      </w:r>
    </w:p>
    <w:p w:rsidRPr="00F57044" w:rsidR="00A96AE4" w:rsidP="00A96AE4" w:rsidRDefault="00A96AE4" w14:paraId="182407C6" w14:textId="566447C9">
      <w:pPr>
        <w:pStyle w:val="BodyText"/>
      </w:pPr>
      <w:r w:rsidRPr="00F57044">
        <w:t xml:space="preserve">Our auction price floor and CCR trigger prices should together set out a price corridor that allows units to enter the market at prices that accord with our emissions reduction targets. </w:t>
      </w:r>
    </w:p>
    <w:p w:rsidRPr="00F57044" w:rsidR="00A96AE4" w:rsidP="006D1784" w:rsidRDefault="00A96AE4" w14:paraId="394AEEC1" w14:textId="6022D158">
      <w:pPr>
        <w:pStyle w:val="Heading4"/>
      </w:pPr>
      <w:r w:rsidRPr="00F57044">
        <w:t xml:space="preserve">Auction price floor and CCR trigger prices </w:t>
      </w:r>
    </w:p>
    <w:p w:rsidRPr="00F57044" w:rsidR="00A96AE4" w:rsidP="00A96AE4" w:rsidRDefault="00A96AE4" w14:paraId="0AB621F5" w14:textId="397A6B34">
      <w:pPr>
        <w:pStyle w:val="BodyText"/>
      </w:pPr>
      <w:r w:rsidRPr="00F57044">
        <w:t>The Commission has concluded that the auction price floor and CCR trigger prices remain fit</w:t>
      </w:r>
      <w:r w:rsidRPr="00F57044" w:rsidR="00D03111">
        <w:t> </w:t>
      </w:r>
      <w:r w:rsidRPr="00F57044">
        <w:t xml:space="preserve">for purpose. It recommended that they remain unchanged (apart from routine inflation adjustments to figures from 2028 onwards). </w:t>
      </w:r>
    </w:p>
    <w:p w:rsidRPr="00F57044" w:rsidR="00A96AE4" w:rsidP="00A96AE4" w:rsidRDefault="00A96AE4" w14:paraId="08415E31" w14:textId="005F5E3C">
      <w:pPr>
        <w:pStyle w:val="BodyText"/>
      </w:pPr>
      <w:r w:rsidRPr="00F57044">
        <w:t>On the auction price floor, the Commission highlighted evidence suggesting that prices around or above the current auction price floor are needed to support emissions reductions necessary for meeting EB2 and EB3. Additionally, the Commission highlighted the risk of selling NZUs at prices below the cost of offshore mitigation.</w:t>
      </w:r>
    </w:p>
    <w:p w:rsidRPr="00F57044" w:rsidR="00A96AE4" w:rsidP="00A96AE4" w:rsidRDefault="00A96AE4" w14:paraId="4EC73B64" w14:textId="5524536F">
      <w:pPr>
        <w:pStyle w:val="BodyText"/>
      </w:pPr>
      <w:r w:rsidRPr="00F57044">
        <w:t>We agree with the Commission’s assessment that the current price floor remains fit for purpose. Although current secondary market prices are below the current auction price floor, this could be a signal that the market is currently oversupplied. The auction price floor helps limit supply until the oversupply is addressed. Internal modelling suggests that pricing is likely to return to above the auction floor price for both options. Maintaining the auction price floor will also support the Government’s key objectives of supporting confidence in the NZ ETS and encouraging investment in decarbonisation activities.</w:t>
      </w:r>
    </w:p>
    <w:p w:rsidRPr="00F57044" w:rsidR="00A96AE4" w:rsidP="00A96AE4" w:rsidRDefault="00A96AE4" w14:paraId="4C3E5101" w14:textId="517891A6">
      <w:pPr>
        <w:pStyle w:val="BodyText"/>
      </w:pPr>
      <w:r w:rsidRPr="00F57044">
        <w:t>For the CCR trigger prices, the Commission highlighted a risk that trigger prices may be too low</w:t>
      </w:r>
      <w:r w:rsidRPr="00F57044" w:rsidR="00D03111">
        <w:t> </w:t>
      </w:r>
      <w:r w:rsidRPr="00F57044">
        <w:t>to allow the high NZU prices needed to meet EB3 through additional gross emissions (if</w:t>
      </w:r>
      <w:r w:rsidR="00A66C92">
        <w:t> </w:t>
      </w:r>
      <w:r w:rsidRPr="00F57044">
        <w:t>afforestation follows the trajectory projected in ERP2). However, additional afforestation in</w:t>
      </w:r>
      <w:r w:rsidR="00A66C92">
        <w:t> </w:t>
      </w:r>
      <w:r w:rsidRPr="00F57044">
        <w:t>the next few years could help meet EB3 at a relatively low</w:t>
      </w:r>
      <w:r w:rsidRPr="00F57044" w:rsidDel="00170C3C">
        <w:t>er</w:t>
      </w:r>
      <w:r w:rsidRPr="00F57044">
        <w:t xml:space="preserve"> price.</w:t>
      </w:r>
      <w:r w:rsidRPr="00F57044" w:rsidDel="00170C3C">
        <w:t xml:space="preserve"> </w:t>
      </w:r>
      <w:r w:rsidRPr="00F57044">
        <w:t>It advised maintaining current CCR trigger prices (adjusted for inflation) until it is clearer whether current trigger prices are too low to allow the NZU prices needed to meet EB3. We agree with the Commission’s findings.</w:t>
      </w:r>
    </w:p>
    <w:p w:rsidRPr="00F57044" w:rsidR="00A96AE4" w:rsidP="00A96AE4" w:rsidRDefault="00A96AE4" w14:paraId="0DB67FDD" w14:textId="13315CDA">
      <w:pPr>
        <w:pStyle w:val="BodyText"/>
      </w:pPr>
      <w:r w:rsidRPr="00F57044">
        <w:t>We present below potential adjustments to the auction price floor and CCR trigger price levels for inflation and extended to 2030. We consider that the rationale for maintaining current price controls holds for both the Commission-recommended option and the status quo unit volume option.</w:t>
      </w:r>
      <w:r w:rsidRPr="00F57044" w:rsidDel="00297E7A">
        <w:t xml:space="preserve"> </w:t>
      </w:r>
    </w:p>
    <w:p w:rsidRPr="00F57044" w:rsidR="00A96AE4" w:rsidP="00A96AE4" w:rsidRDefault="00A96AE4" w14:paraId="2D53F55D" w14:textId="1115F340">
      <w:pPr>
        <w:pStyle w:val="BodyText"/>
        <w:rPr>
          <w:b/>
          <w:bCs/>
        </w:rPr>
      </w:pPr>
      <w:r w:rsidRPr="00F57044">
        <w:rPr>
          <w:b/>
          <w:bCs/>
        </w:rPr>
        <w:t>We seek your feedback on this approach.</w:t>
      </w:r>
    </w:p>
    <w:p w:rsidRPr="00F57044" w:rsidR="00A96AE4" w:rsidP="006D1784" w:rsidRDefault="00A96AE4" w14:paraId="08F8AD7B" w14:textId="12219361">
      <w:pPr>
        <w:pStyle w:val="Heading4"/>
      </w:pPr>
      <w:r w:rsidRPr="00F57044">
        <w:t>Cost containment volumes</w:t>
      </w:r>
    </w:p>
    <w:p w:rsidRPr="00F57044" w:rsidR="00A96AE4" w:rsidP="00A96AE4" w:rsidRDefault="00A96AE4" w14:paraId="4724001B" w14:textId="05709FAC">
      <w:pPr>
        <w:pStyle w:val="BodyText"/>
      </w:pPr>
      <w:r w:rsidRPr="00F57044">
        <w:t>The CCR volumes need to be large enough for the CCR to perform its function of bringing down the auction price when it gets too high. Where</w:t>
      </w:r>
      <w:r w:rsidRPr="00F57044" w:rsidDel="00885377">
        <w:t xml:space="preserve"> </w:t>
      </w:r>
      <w:r w:rsidRPr="00F57044">
        <w:t>prices are high, there is a risk that the cost will be passed on to consumers, potentially resulting in pressure on household budgets.</w:t>
      </w:r>
    </w:p>
    <w:p w:rsidRPr="00F57044" w:rsidR="00A96AE4" w:rsidP="00A96AE4" w:rsidRDefault="00A96AE4" w14:paraId="4B24DD08" w14:textId="38EBE6CF">
      <w:pPr>
        <w:pStyle w:val="BodyText"/>
      </w:pPr>
      <w:r w:rsidRPr="00F57044">
        <w:t>In its 2025 advice, the Commission recommended maintaining CCR volumes for 2026–29, plus an extension to 2030. It has recommended that changes to the surplus stockpile estimate do not justify a change to CCR volumes.</w:t>
      </w:r>
    </w:p>
    <w:p w:rsidRPr="00F57044" w:rsidR="00A96AE4" w:rsidP="006C7A20" w:rsidRDefault="00A96AE4" w14:paraId="604051D9" w14:textId="4D0263F9">
      <w:pPr>
        <w:pStyle w:val="BodyText"/>
        <w:spacing w:after="240"/>
      </w:pPr>
      <w:r w:rsidRPr="00F57044">
        <w:t>As with last year, there is no indication that changes to CCR volumes are necessary. We consider the current volumes to be sufficient for the CCR to perform its role without risking accordance with emissions budgets if the CCR is triggered. This applies for both the Commission-recommended option and the status quo unit volume option.</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A96AE4" w:rsidTr="00CB185B" w14:paraId="7F74D32C" w14:textId="77777777">
        <w:trPr>
          <w:tblHeader/>
        </w:trPr>
        <w:tc>
          <w:tcPr>
            <w:tcW w:w="5000" w:type="pct"/>
            <w:gridSpan w:val="2"/>
            <w:shd w:val="clear" w:color="auto" w:fill="1B556B" w:themeFill="text2"/>
          </w:tcPr>
          <w:p w:rsidRPr="00F57044" w:rsidR="00A96AE4" w:rsidRDefault="00A96AE4" w14:paraId="5521743B" w14:textId="04954444">
            <w:pPr>
              <w:keepNext/>
              <w:spacing w:before="60" w:after="60" w:line="240" w:lineRule="atLeast"/>
              <w:jc w:val="left"/>
              <w:rPr>
                <w:b/>
                <w:color w:val="FFFFFF" w:themeColor="background1"/>
                <w:sz w:val="20"/>
                <w:szCs w:val="20"/>
              </w:rPr>
            </w:pPr>
            <w:r w:rsidRPr="00F57044">
              <w:rPr>
                <w:b/>
                <w:color w:val="FFFFFF" w:themeColor="background1"/>
                <w:sz w:val="20"/>
                <w:szCs w:val="20"/>
              </w:rPr>
              <w:t>Questions</w:t>
            </w:r>
          </w:p>
        </w:tc>
      </w:tr>
      <w:tr w:rsidRPr="00F57044" w:rsidR="00A96AE4" w:rsidTr="00CB185B" w14:paraId="4E731008" w14:textId="77777777">
        <w:trPr>
          <w:tblHeader/>
        </w:trPr>
        <w:tc>
          <w:tcPr>
            <w:tcW w:w="333" w:type="pct"/>
          </w:tcPr>
          <w:p w:rsidRPr="00F57044" w:rsidR="00A96AE4" w:rsidP="00EC7F33" w:rsidRDefault="002A3F87" w14:paraId="3FD633B9" w14:textId="1F94FABC">
            <w:pPr>
              <w:pStyle w:val="Questions"/>
            </w:pPr>
            <w:r w:rsidRPr="00F57044">
              <w:t>4</w:t>
            </w:r>
          </w:p>
        </w:tc>
        <w:tc>
          <w:tcPr>
            <w:tcW w:w="4667" w:type="pct"/>
          </w:tcPr>
          <w:p w:rsidRPr="00F57044" w:rsidR="00A96AE4" w:rsidP="00EC7F33" w:rsidRDefault="00A96AE4" w14:paraId="178B1A0D" w14:textId="71699410">
            <w:pPr>
              <w:pStyle w:val="Questions"/>
            </w:pPr>
            <w:r w:rsidRPr="00F57044">
              <w:t>Do you have any feedback on the proposed auction price floor?</w:t>
            </w:r>
          </w:p>
        </w:tc>
      </w:tr>
      <w:tr w:rsidRPr="00F57044" w:rsidR="00A96AE4" w:rsidTr="00CB185B" w14:paraId="37DF667F" w14:textId="77777777">
        <w:trPr>
          <w:tblHeader/>
        </w:trPr>
        <w:tc>
          <w:tcPr>
            <w:tcW w:w="333" w:type="pct"/>
          </w:tcPr>
          <w:p w:rsidRPr="00F57044" w:rsidR="00A96AE4" w:rsidP="00EC7F33" w:rsidRDefault="002A3F87" w14:paraId="2F3ADC4C" w14:textId="227D030E">
            <w:pPr>
              <w:pStyle w:val="Questions"/>
              <w:rPr>
                <w:rStyle w:val="CommentReference"/>
                <w:rFonts w:cstheme="minorBidi"/>
                <w:sz w:val="20"/>
                <w:szCs w:val="20"/>
              </w:rPr>
            </w:pPr>
            <w:r w:rsidRPr="00F57044">
              <w:t>5</w:t>
            </w:r>
          </w:p>
        </w:tc>
        <w:tc>
          <w:tcPr>
            <w:tcW w:w="4667" w:type="pct"/>
          </w:tcPr>
          <w:p w:rsidRPr="00F57044" w:rsidR="00A96AE4" w:rsidP="00EC7F33" w:rsidRDefault="00A96AE4" w14:paraId="00221DD7" w14:textId="26985A0D">
            <w:pPr>
              <w:pStyle w:val="Questions"/>
            </w:pPr>
            <w:r w:rsidRPr="00F57044">
              <w:t>Do you have any feedback on the proposed cost containment reserve prices or volumes?</w:t>
            </w:r>
          </w:p>
        </w:tc>
      </w:tr>
    </w:tbl>
    <w:p w:rsidRPr="00F57044" w:rsidR="003C3723" w:rsidP="006C7A20" w:rsidRDefault="0023705C" w14:paraId="5A1108B8" w14:textId="2F26AAA5">
      <w:pPr>
        <w:pStyle w:val="Heading3"/>
        <w:spacing w:before="480"/>
      </w:pPr>
      <w:r w:rsidRPr="00F57044">
        <w:t>Summary of unit limits and price control settings</w:t>
      </w:r>
    </w:p>
    <w:p w:rsidRPr="00F57044" w:rsidR="00B62457" w:rsidP="00B62457" w:rsidRDefault="00B62457" w14:paraId="5A31FB82" w14:textId="2C42E723">
      <w:pPr>
        <w:pStyle w:val="BodyText"/>
      </w:pPr>
      <w:r w:rsidRPr="00F57044">
        <w:t xml:space="preserve">Tables </w:t>
      </w:r>
      <w:r w:rsidRPr="00F57044" w:rsidR="00DC7E1C">
        <w:t>2</w:t>
      </w:r>
      <w:r w:rsidRPr="0036698B" w:rsidR="00A5473F">
        <w:t xml:space="preserve"> and </w:t>
      </w:r>
      <w:r w:rsidRPr="0036698B" w:rsidR="00DC7E1C">
        <w:t>3</w:t>
      </w:r>
      <w:r w:rsidRPr="0036698B">
        <w:t xml:space="preserve"> s</w:t>
      </w:r>
      <w:r w:rsidRPr="00F57044">
        <w:t xml:space="preserve">how the </w:t>
      </w:r>
      <w:r w:rsidRPr="00F57044" w:rsidR="009D5A75">
        <w:t>auction volumes</w:t>
      </w:r>
      <w:r w:rsidRPr="00F57044">
        <w:t xml:space="preserve"> and </w:t>
      </w:r>
      <w:r w:rsidRPr="00F57044" w:rsidR="00A5473F">
        <w:t>proposed price control settings</w:t>
      </w:r>
      <w:r w:rsidRPr="00F57044" w:rsidR="007759E0">
        <w:t xml:space="preserve"> for each option</w:t>
      </w:r>
      <w:r w:rsidRPr="00F57044">
        <w:t xml:space="preserve">. </w:t>
      </w:r>
    </w:p>
    <w:p w:rsidRPr="00F57044" w:rsidR="009577DD" w:rsidP="001352D8" w:rsidRDefault="009577DD" w14:paraId="2A039036" w14:textId="4E349B32">
      <w:pPr>
        <w:pStyle w:val="Tableheading"/>
      </w:pPr>
      <w:bookmarkStart w:name="_Toc198901872" w:id="72"/>
      <w:r w:rsidRPr="00F57044">
        <w:t xml:space="preserve">Table </w:t>
      </w:r>
      <w:r w:rsidRPr="00F57044" w:rsidR="00DC7E1C">
        <w:t>2</w:t>
      </w:r>
      <w:r w:rsidRPr="00F57044">
        <w:t>:</w:t>
      </w:r>
      <w:r w:rsidRPr="00F57044" w:rsidR="00893772">
        <w:tab/>
      </w:r>
      <w:r w:rsidRPr="00F57044">
        <w:t xml:space="preserve">Options for </w:t>
      </w:r>
      <w:r w:rsidRPr="00F57044" w:rsidR="001412B4">
        <w:t>auction volumes</w:t>
      </w:r>
      <w:r w:rsidRPr="00F57044" w:rsidR="00A17B17">
        <w:t>, 2026–30</w:t>
      </w:r>
      <w:bookmarkEnd w:id="72"/>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CellMar>
          <w:left w:w="85" w:type="dxa"/>
          <w:right w:w="85" w:type="dxa"/>
        </w:tblCellMar>
        <w:tblLook w:val="04A0" w:firstRow="1" w:lastRow="0" w:firstColumn="1" w:lastColumn="0" w:noHBand="0" w:noVBand="1"/>
      </w:tblPr>
      <w:tblGrid>
        <w:gridCol w:w="3406"/>
        <w:gridCol w:w="1084"/>
        <w:gridCol w:w="641"/>
        <w:gridCol w:w="641"/>
        <w:gridCol w:w="641"/>
        <w:gridCol w:w="641"/>
        <w:gridCol w:w="641"/>
        <w:gridCol w:w="810"/>
      </w:tblGrid>
      <w:tr w:rsidRPr="00F57044" w:rsidR="004F0FA9" w:rsidTr="004F0FA9" w14:paraId="5218B415" w14:textId="1FA65A4C">
        <w:trPr>
          <w:tblHeader/>
        </w:trPr>
        <w:tc>
          <w:tcPr>
            <w:tcW w:w="2002" w:type="pct"/>
            <w:shd w:val="clear" w:color="auto" w:fill="1B556B" w:themeFill="text2"/>
            <w:vAlign w:val="bottom"/>
          </w:tcPr>
          <w:p w:rsidRPr="00F57044" w:rsidR="004F0FA9" w:rsidP="006C7A20" w:rsidRDefault="004F0FA9" w14:paraId="6A20AD14" w14:textId="5332B0BE">
            <w:pPr>
              <w:pStyle w:val="TableTextbold"/>
              <w:spacing w:after="0"/>
              <w:rPr>
                <w:color w:val="FFFFFF" w:themeColor="background1"/>
              </w:rPr>
            </w:pPr>
          </w:p>
        </w:tc>
        <w:tc>
          <w:tcPr>
            <w:tcW w:w="637" w:type="pct"/>
            <w:tcBorders>
              <w:right w:val="single" w:color="1B556B" w:themeColor="text2" w:sz="4" w:space="0"/>
            </w:tcBorders>
            <w:shd w:val="clear" w:color="auto" w:fill="1B556B" w:themeFill="text2"/>
            <w:vAlign w:val="bottom"/>
          </w:tcPr>
          <w:p w:rsidRPr="00F57044" w:rsidR="004F0FA9" w:rsidP="0036698B" w:rsidRDefault="004F0FA9" w14:paraId="029CBD59" w14:textId="17BD0B79">
            <w:pPr>
              <w:pStyle w:val="TableTextbold"/>
              <w:spacing w:after="0"/>
              <w:jc w:val="center"/>
              <w:rPr>
                <w:color w:val="FFFFFF" w:themeColor="background1"/>
              </w:rPr>
            </w:pPr>
          </w:p>
        </w:tc>
        <w:tc>
          <w:tcPr>
            <w:tcW w:w="2361" w:type="pct"/>
            <w:gridSpan w:val="6"/>
            <w:tcBorders>
              <w:left w:val="single" w:color="1B556B" w:themeColor="text2" w:sz="4" w:space="0"/>
            </w:tcBorders>
            <w:shd w:val="clear" w:color="auto" w:fill="1B556B" w:themeFill="text2"/>
            <w:vAlign w:val="bottom"/>
          </w:tcPr>
          <w:p w:rsidRPr="00F57044" w:rsidR="004F0FA9" w:rsidP="006C7A20" w:rsidRDefault="004F0FA9" w14:paraId="2333862B" w14:textId="5B238244">
            <w:pPr>
              <w:pStyle w:val="TableTextbold"/>
              <w:spacing w:after="0"/>
              <w:jc w:val="center"/>
              <w:rPr>
                <w:color w:val="FFFFFF" w:themeColor="background1"/>
              </w:rPr>
            </w:pPr>
            <w:r w:rsidRPr="00F57044">
              <w:rPr>
                <w:color w:val="FFFFFF" w:themeColor="background1"/>
              </w:rPr>
              <w:t>Year</w:t>
            </w:r>
            <w:r w:rsidRPr="00F57044">
              <w:rPr>
                <w:color w:val="FFFFFF" w:themeColor="background1"/>
              </w:rPr>
              <w:br/>
            </w:r>
            <w:r w:rsidRPr="00F57044">
              <w:rPr>
                <w:color w:val="FFFFFF" w:themeColor="background1"/>
              </w:rPr>
              <w:t>(million NZUs)</w:t>
            </w:r>
          </w:p>
        </w:tc>
      </w:tr>
      <w:tr w:rsidRPr="00F57044" w:rsidR="0027468A" w:rsidTr="004F0FA9" w14:paraId="1257311A" w14:textId="28D80B5D">
        <w:trPr>
          <w:tblHeader/>
        </w:trPr>
        <w:tc>
          <w:tcPr>
            <w:tcW w:w="2639" w:type="pct"/>
            <w:gridSpan w:val="2"/>
            <w:tcBorders>
              <w:right w:val="single" w:color="1B556B" w:themeColor="text2" w:sz="4" w:space="0"/>
            </w:tcBorders>
            <w:shd w:val="clear" w:color="auto" w:fill="1B556B" w:themeFill="text2"/>
            <w:vAlign w:val="bottom"/>
          </w:tcPr>
          <w:p w:rsidRPr="00F57044" w:rsidR="00C26839" w:rsidP="006C7A20" w:rsidRDefault="00C26839" w14:paraId="18C15EAD" w14:textId="1616FF7F">
            <w:pPr>
              <w:pStyle w:val="TableTextbold"/>
              <w:spacing w:before="0"/>
              <w:rPr>
                <w:color w:val="FFFFFF" w:themeColor="background1"/>
              </w:rPr>
            </w:pPr>
          </w:p>
        </w:tc>
        <w:tc>
          <w:tcPr>
            <w:tcW w:w="377" w:type="pct"/>
            <w:tcBorders>
              <w:left w:val="single" w:color="1B556B" w:themeColor="text2" w:sz="4" w:space="0"/>
            </w:tcBorders>
            <w:shd w:val="clear" w:color="auto" w:fill="1B556B" w:themeFill="text2"/>
            <w:vAlign w:val="bottom"/>
          </w:tcPr>
          <w:p w:rsidRPr="00F57044" w:rsidR="00C26839" w:rsidP="006C7A20" w:rsidRDefault="00C26839" w14:paraId="4D59E38C" w14:textId="589AF00B">
            <w:pPr>
              <w:pStyle w:val="TableTextbold"/>
              <w:spacing w:before="0"/>
              <w:rPr>
                <w:color w:val="FFFFFF" w:themeColor="background1"/>
              </w:rPr>
            </w:pPr>
            <w:r w:rsidRPr="00F57044">
              <w:rPr>
                <w:color w:val="FFFFFF" w:themeColor="background1"/>
              </w:rPr>
              <w:t>2026</w:t>
            </w:r>
          </w:p>
        </w:tc>
        <w:tc>
          <w:tcPr>
            <w:tcW w:w="377" w:type="pct"/>
            <w:shd w:val="clear" w:color="auto" w:fill="1B556B" w:themeFill="text2"/>
            <w:vAlign w:val="bottom"/>
          </w:tcPr>
          <w:p w:rsidRPr="00F57044" w:rsidR="00C26839" w:rsidP="006C7A20" w:rsidRDefault="00C26839" w14:paraId="0C7B3D64" w14:textId="5BF0435A">
            <w:pPr>
              <w:pStyle w:val="TableTextbold"/>
              <w:spacing w:before="0"/>
              <w:rPr>
                <w:color w:val="FFFFFF" w:themeColor="background1"/>
              </w:rPr>
            </w:pPr>
            <w:r w:rsidRPr="00F57044">
              <w:rPr>
                <w:color w:val="FFFFFF" w:themeColor="background1"/>
              </w:rPr>
              <w:t>202</w:t>
            </w:r>
            <w:r w:rsidRPr="00F57044" w:rsidR="0089156F">
              <w:rPr>
                <w:color w:val="FFFFFF" w:themeColor="background1"/>
              </w:rPr>
              <w:t>7</w:t>
            </w:r>
          </w:p>
        </w:tc>
        <w:tc>
          <w:tcPr>
            <w:tcW w:w="377" w:type="pct"/>
            <w:shd w:val="clear" w:color="auto" w:fill="1B556B" w:themeFill="text2"/>
            <w:vAlign w:val="bottom"/>
          </w:tcPr>
          <w:p w:rsidRPr="00F57044" w:rsidR="00C26839" w:rsidP="006C7A20" w:rsidRDefault="00C26839" w14:paraId="6EEEDC66" w14:textId="42AC7F3D">
            <w:pPr>
              <w:pStyle w:val="TableTextbold"/>
              <w:spacing w:before="0"/>
              <w:rPr>
                <w:color w:val="FFFFFF" w:themeColor="background1"/>
              </w:rPr>
            </w:pPr>
            <w:r w:rsidRPr="00F57044">
              <w:rPr>
                <w:color w:val="FFFFFF" w:themeColor="background1"/>
              </w:rPr>
              <w:t>2028</w:t>
            </w:r>
          </w:p>
        </w:tc>
        <w:tc>
          <w:tcPr>
            <w:tcW w:w="377" w:type="pct"/>
            <w:shd w:val="clear" w:color="auto" w:fill="1B556B" w:themeFill="text2"/>
            <w:vAlign w:val="bottom"/>
          </w:tcPr>
          <w:p w:rsidRPr="00F57044" w:rsidR="00C26839" w:rsidP="006C7A20" w:rsidRDefault="00C26839" w14:paraId="5C8A224C" w14:textId="02B418F6">
            <w:pPr>
              <w:pStyle w:val="TableTextbold"/>
              <w:spacing w:before="0"/>
              <w:rPr>
                <w:color w:val="FFFFFF" w:themeColor="background1"/>
              </w:rPr>
            </w:pPr>
            <w:r w:rsidRPr="00F57044">
              <w:rPr>
                <w:color w:val="FFFFFF" w:themeColor="background1"/>
              </w:rPr>
              <w:t>2029</w:t>
            </w:r>
          </w:p>
        </w:tc>
        <w:tc>
          <w:tcPr>
            <w:tcW w:w="377" w:type="pct"/>
            <w:shd w:val="clear" w:color="auto" w:fill="1B556B" w:themeFill="text2"/>
            <w:vAlign w:val="bottom"/>
          </w:tcPr>
          <w:p w:rsidRPr="00F57044" w:rsidR="00C26839" w:rsidP="006C7A20" w:rsidRDefault="00C26839" w14:paraId="3A52B785" w14:textId="1EEF16C5">
            <w:pPr>
              <w:pStyle w:val="TableTextbold"/>
              <w:spacing w:before="0"/>
              <w:rPr>
                <w:color w:val="FFFFFF" w:themeColor="background1"/>
              </w:rPr>
            </w:pPr>
            <w:r w:rsidRPr="00F57044">
              <w:rPr>
                <w:color w:val="FFFFFF" w:themeColor="background1"/>
              </w:rPr>
              <w:t>2030</w:t>
            </w:r>
          </w:p>
        </w:tc>
        <w:tc>
          <w:tcPr>
            <w:tcW w:w="477" w:type="pct"/>
            <w:shd w:val="clear" w:color="auto" w:fill="1B556B" w:themeFill="text2"/>
            <w:vAlign w:val="bottom"/>
          </w:tcPr>
          <w:p w:rsidRPr="00F57044" w:rsidR="00642DF3" w:rsidP="006C7A20" w:rsidRDefault="00642DF3" w14:paraId="2A6330F4" w14:textId="651E3243">
            <w:pPr>
              <w:pStyle w:val="TableTextbold"/>
              <w:spacing w:before="0"/>
              <w:rPr>
                <w:color w:val="FFFFFF" w:themeColor="background1"/>
              </w:rPr>
            </w:pPr>
            <w:r w:rsidRPr="00F57044">
              <w:rPr>
                <w:color w:val="FFFFFF" w:themeColor="background1"/>
              </w:rPr>
              <w:t>2026</w:t>
            </w:r>
            <w:r w:rsidRPr="00F57044" w:rsidR="00B94159">
              <w:rPr>
                <w:color w:val="FFFFFF" w:themeColor="background1"/>
              </w:rPr>
              <w:t>–</w:t>
            </w:r>
            <w:r w:rsidRPr="00F57044">
              <w:rPr>
                <w:color w:val="FFFFFF" w:themeColor="background1"/>
              </w:rPr>
              <w:t>30</w:t>
            </w:r>
          </w:p>
        </w:tc>
      </w:tr>
      <w:tr w:rsidRPr="00F57044" w:rsidR="006A320F" w:rsidTr="004F0FA9" w14:paraId="50EED7C7" w14:textId="77777777">
        <w:tc>
          <w:tcPr>
            <w:tcW w:w="2639" w:type="pct"/>
            <w:gridSpan w:val="2"/>
            <w:shd w:val="clear" w:color="auto" w:fill="auto"/>
          </w:tcPr>
          <w:p w:rsidRPr="00F57044" w:rsidR="00DD6006" w:rsidP="004C6E82" w:rsidRDefault="00DD6006" w14:paraId="390D6244" w14:textId="3B03812A">
            <w:pPr>
              <w:pStyle w:val="TableText"/>
              <w:spacing w:before="40" w:after="40"/>
              <w:rPr>
                <w:rFonts w:asciiTheme="minorHAnsi" w:hAnsiTheme="minorHAnsi" w:cstheme="minorHAnsi"/>
                <w:b/>
                <w:color w:val="000000"/>
              </w:rPr>
            </w:pPr>
            <w:r w:rsidRPr="00F57044">
              <w:rPr>
                <w:rFonts w:asciiTheme="minorHAnsi" w:hAnsiTheme="minorHAnsi" w:cstheme="minorHAnsi"/>
                <w:b/>
                <w:color w:val="000000"/>
              </w:rPr>
              <w:t xml:space="preserve">Option 1: Status quo </w:t>
            </w:r>
          </w:p>
        </w:tc>
        <w:tc>
          <w:tcPr>
            <w:tcW w:w="377" w:type="pct"/>
          </w:tcPr>
          <w:p w:rsidRPr="00F57044" w:rsidR="00DD6006" w:rsidP="004C6E82" w:rsidRDefault="00DD6006" w14:paraId="517F8C44" w14:textId="71EDDCDB">
            <w:pPr>
              <w:pStyle w:val="TableText"/>
              <w:spacing w:before="40" w:after="40"/>
              <w:rPr>
                <w:rFonts w:asciiTheme="minorHAnsi" w:hAnsiTheme="minorHAnsi" w:cstheme="minorHAnsi"/>
              </w:rPr>
            </w:pPr>
            <w:r w:rsidRPr="00F57044">
              <w:t>5.2</w:t>
            </w:r>
          </w:p>
        </w:tc>
        <w:tc>
          <w:tcPr>
            <w:tcW w:w="377" w:type="pct"/>
          </w:tcPr>
          <w:p w:rsidRPr="00F57044" w:rsidR="00DD6006" w:rsidP="004C6E82" w:rsidRDefault="00DD6006" w14:paraId="2534E412" w14:textId="7B2AF1C6">
            <w:pPr>
              <w:pStyle w:val="TableText"/>
              <w:spacing w:before="40" w:after="40"/>
              <w:rPr>
                <w:rFonts w:asciiTheme="minorHAnsi" w:hAnsiTheme="minorHAnsi" w:cstheme="minorHAnsi"/>
              </w:rPr>
            </w:pPr>
            <w:r w:rsidRPr="00F57044">
              <w:rPr>
                <w:rFonts w:asciiTheme="minorHAnsi" w:hAnsiTheme="minorHAnsi" w:cstheme="minorHAnsi"/>
              </w:rPr>
              <w:t>4.3</w:t>
            </w:r>
          </w:p>
        </w:tc>
        <w:tc>
          <w:tcPr>
            <w:tcW w:w="377" w:type="pct"/>
          </w:tcPr>
          <w:p w:rsidRPr="00F57044" w:rsidR="00DD6006" w:rsidP="004C6E82" w:rsidRDefault="00DD6006" w14:paraId="791E586F" w14:textId="04D31524">
            <w:pPr>
              <w:pStyle w:val="TableText"/>
              <w:spacing w:before="40" w:after="40"/>
              <w:rPr>
                <w:rFonts w:asciiTheme="minorHAnsi" w:hAnsiTheme="minorHAnsi" w:cstheme="minorHAnsi"/>
              </w:rPr>
            </w:pPr>
            <w:r w:rsidRPr="00F57044">
              <w:rPr>
                <w:rFonts w:asciiTheme="minorHAnsi" w:hAnsiTheme="minorHAnsi" w:cstheme="minorHAnsi"/>
              </w:rPr>
              <w:t>3.3</w:t>
            </w:r>
          </w:p>
        </w:tc>
        <w:tc>
          <w:tcPr>
            <w:tcW w:w="377" w:type="pct"/>
          </w:tcPr>
          <w:p w:rsidRPr="00F57044" w:rsidR="00DD6006" w:rsidP="004C6E82" w:rsidRDefault="00DD6006" w14:paraId="1C33889F" w14:textId="6D8F5697">
            <w:pPr>
              <w:pStyle w:val="TableText"/>
              <w:spacing w:before="40" w:after="40"/>
              <w:rPr>
                <w:rFonts w:asciiTheme="minorHAnsi" w:hAnsiTheme="minorHAnsi" w:cstheme="minorHAnsi"/>
              </w:rPr>
            </w:pPr>
            <w:r w:rsidRPr="00F57044">
              <w:rPr>
                <w:rFonts w:asciiTheme="minorHAnsi" w:hAnsiTheme="minorHAnsi" w:cstheme="minorHAnsi"/>
              </w:rPr>
              <w:t>2.4</w:t>
            </w:r>
          </w:p>
        </w:tc>
        <w:tc>
          <w:tcPr>
            <w:tcW w:w="377" w:type="pct"/>
            <w:shd w:val="clear" w:color="auto" w:fill="auto"/>
          </w:tcPr>
          <w:p w:rsidRPr="00F57044" w:rsidR="00DD6006" w:rsidP="004C6E82" w:rsidRDefault="00DD6006" w14:paraId="000CFDA1" w14:textId="3F15207B">
            <w:pPr>
              <w:pStyle w:val="TableText"/>
              <w:spacing w:before="40" w:after="40"/>
              <w:rPr>
                <w:rFonts w:asciiTheme="minorHAnsi" w:hAnsiTheme="minorHAnsi" w:cstheme="minorHAnsi"/>
              </w:rPr>
            </w:pPr>
            <w:r w:rsidRPr="00F57044">
              <w:rPr>
                <w:rFonts w:asciiTheme="minorHAnsi" w:hAnsiTheme="minorHAnsi" w:cstheme="minorHAnsi"/>
              </w:rPr>
              <w:t>1.7</w:t>
            </w:r>
          </w:p>
        </w:tc>
        <w:tc>
          <w:tcPr>
            <w:tcW w:w="477" w:type="pct"/>
          </w:tcPr>
          <w:p w:rsidRPr="00F57044" w:rsidR="00DD6006" w:rsidP="004C6E82" w:rsidRDefault="00DD6006" w14:paraId="0D6AB001" w14:textId="196FD959">
            <w:pPr>
              <w:pStyle w:val="TableText"/>
              <w:spacing w:before="40" w:after="40"/>
              <w:rPr>
                <w:rFonts w:asciiTheme="minorHAnsi" w:hAnsiTheme="minorHAnsi" w:cstheme="minorHAnsi"/>
              </w:rPr>
            </w:pPr>
            <w:r w:rsidRPr="00F57044">
              <w:rPr>
                <w:rFonts w:asciiTheme="minorHAnsi" w:hAnsiTheme="minorHAnsi" w:cstheme="minorHAnsi"/>
              </w:rPr>
              <w:t>16.9</w:t>
            </w:r>
          </w:p>
        </w:tc>
      </w:tr>
      <w:tr w:rsidRPr="00F57044" w:rsidR="006A320F" w:rsidTr="004F0FA9" w14:paraId="71B381FF" w14:textId="7FE02881">
        <w:tc>
          <w:tcPr>
            <w:tcW w:w="2639" w:type="pct"/>
            <w:gridSpan w:val="2"/>
            <w:shd w:val="clear" w:color="auto" w:fill="auto"/>
          </w:tcPr>
          <w:p w:rsidRPr="00F57044" w:rsidR="003A0E9C" w:rsidP="004C6E82" w:rsidRDefault="00DD6006" w14:paraId="39318F12" w14:textId="252BCC9B">
            <w:pPr>
              <w:pStyle w:val="TableText"/>
              <w:spacing w:before="40" w:after="40"/>
              <w:rPr>
                <w:rFonts w:asciiTheme="minorHAnsi" w:hAnsiTheme="minorHAnsi" w:cstheme="minorHAnsi"/>
                <w:b/>
                <w:color w:val="000000"/>
              </w:rPr>
            </w:pPr>
            <w:r w:rsidRPr="00F57044">
              <w:rPr>
                <w:rFonts w:asciiTheme="minorHAnsi" w:hAnsiTheme="minorHAnsi" w:cstheme="minorHAnsi"/>
                <w:b/>
                <w:color w:val="000000"/>
              </w:rPr>
              <w:t>Option 2: Commission-recommended volumes (flat distribution)</w:t>
            </w:r>
          </w:p>
        </w:tc>
        <w:tc>
          <w:tcPr>
            <w:tcW w:w="377" w:type="pct"/>
          </w:tcPr>
          <w:p w:rsidRPr="00F57044" w:rsidR="003A0E9C" w:rsidP="004C6E82" w:rsidRDefault="000E0959" w14:paraId="3D4A7BEF" w14:textId="061D2D6B">
            <w:pPr>
              <w:pStyle w:val="TableText"/>
              <w:spacing w:before="40" w:after="40"/>
              <w:rPr>
                <w:rFonts w:asciiTheme="minorHAnsi" w:hAnsiTheme="minorHAnsi" w:cstheme="minorHAnsi"/>
              </w:rPr>
            </w:pPr>
            <w:r w:rsidRPr="00F57044">
              <w:t>5.2</w:t>
            </w:r>
          </w:p>
        </w:tc>
        <w:tc>
          <w:tcPr>
            <w:tcW w:w="377" w:type="pct"/>
          </w:tcPr>
          <w:p w:rsidRPr="00F57044" w:rsidR="003A0E9C" w:rsidP="004C6E82" w:rsidRDefault="00671D8E" w14:paraId="6D8143DB" w14:textId="233A8181">
            <w:pPr>
              <w:pStyle w:val="TableText"/>
              <w:spacing w:before="40" w:after="40"/>
              <w:rPr>
                <w:rFonts w:asciiTheme="minorHAnsi" w:hAnsiTheme="minorHAnsi" w:cstheme="minorHAnsi"/>
              </w:rPr>
            </w:pPr>
            <w:r w:rsidRPr="00F57044">
              <w:rPr>
                <w:rFonts w:asciiTheme="minorHAnsi" w:hAnsiTheme="minorHAnsi" w:cstheme="minorHAnsi"/>
              </w:rPr>
              <w:t>4.3</w:t>
            </w:r>
          </w:p>
        </w:tc>
        <w:tc>
          <w:tcPr>
            <w:tcW w:w="377" w:type="pct"/>
          </w:tcPr>
          <w:p w:rsidRPr="00F57044" w:rsidR="003A0E9C" w:rsidP="004C6E82" w:rsidRDefault="00DD6006" w14:paraId="13152611" w14:textId="54745A19">
            <w:pPr>
              <w:pStyle w:val="TableText"/>
              <w:spacing w:before="40" w:after="40"/>
              <w:rPr>
                <w:rFonts w:asciiTheme="minorHAnsi" w:hAnsiTheme="minorHAnsi" w:cstheme="minorHAnsi"/>
              </w:rPr>
            </w:pPr>
            <w:r w:rsidRPr="00F57044">
              <w:rPr>
                <w:rFonts w:asciiTheme="minorHAnsi" w:hAnsiTheme="minorHAnsi" w:cstheme="minorHAnsi"/>
              </w:rPr>
              <w:t>7.0</w:t>
            </w:r>
          </w:p>
        </w:tc>
        <w:tc>
          <w:tcPr>
            <w:tcW w:w="377" w:type="pct"/>
          </w:tcPr>
          <w:p w:rsidRPr="00F57044" w:rsidR="003A0E9C" w:rsidP="004C6E82" w:rsidRDefault="00DD6006" w14:paraId="2D62173E" w14:textId="445A3CF9">
            <w:pPr>
              <w:pStyle w:val="TableText"/>
              <w:spacing w:before="40" w:after="40"/>
              <w:rPr>
                <w:rFonts w:asciiTheme="minorHAnsi" w:hAnsiTheme="minorHAnsi" w:cstheme="minorHAnsi"/>
              </w:rPr>
            </w:pPr>
            <w:r w:rsidRPr="00F57044">
              <w:rPr>
                <w:rFonts w:asciiTheme="minorHAnsi" w:hAnsiTheme="minorHAnsi" w:cstheme="minorHAnsi"/>
              </w:rPr>
              <w:t>7.0</w:t>
            </w:r>
          </w:p>
        </w:tc>
        <w:tc>
          <w:tcPr>
            <w:tcW w:w="377" w:type="pct"/>
            <w:shd w:val="clear" w:color="auto" w:fill="auto"/>
          </w:tcPr>
          <w:p w:rsidRPr="00F57044" w:rsidR="003A0E9C" w:rsidP="004C6E82" w:rsidRDefault="00DD6006" w14:paraId="272280CA" w14:textId="7BC9923E">
            <w:pPr>
              <w:pStyle w:val="TableText"/>
              <w:spacing w:before="40" w:after="40"/>
              <w:rPr>
                <w:rFonts w:asciiTheme="minorHAnsi" w:hAnsiTheme="minorHAnsi" w:cstheme="minorHAnsi"/>
              </w:rPr>
            </w:pPr>
            <w:r w:rsidRPr="00F57044">
              <w:rPr>
                <w:rFonts w:asciiTheme="minorHAnsi" w:hAnsiTheme="minorHAnsi" w:cstheme="minorHAnsi"/>
              </w:rPr>
              <w:t>7.0</w:t>
            </w:r>
          </w:p>
        </w:tc>
        <w:tc>
          <w:tcPr>
            <w:tcW w:w="477" w:type="pct"/>
          </w:tcPr>
          <w:p w:rsidRPr="00F57044" w:rsidR="00642DF3" w:rsidP="004C6E82" w:rsidRDefault="00DD6006" w14:paraId="70DF2D67" w14:textId="3208ECC8">
            <w:pPr>
              <w:pStyle w:val="TableText"/>
              <w:spacing w:before="40" w:after="40"/>
              <w:rPr>
                <w:rFonts w:asciiTheme="minorHAnsi" w:hAnsiTheme="minorHAnsi" w:cstheme="minorHAnsi"/>
              </w:rPr>
            </w:pPr>
            <w:r w:rsidRPr="00F57044">
              <w:rPr>
                <w:rFonts w:asciiTheme="minorHAnsi" w:hAnsiTheme="minorHAnsi" w:cstheme="minorHAnsi"/>
              </w:rPr>
              <w:t>30.5</w:t>
            </w:r>
          </w:p>
        </w:tc>
      </w:tr>
    </w:tbl>
    <w:p w:rsidRPr="00F57044" w:rsidR="009577DD" w:rsidP="004C6E82" w:rsidRDefault="009577DD" w14:paraId="2CC4604E" w14:textId="48902A60">
      <w:pPr>
        <w:pStyle w:val="BodyText"/>
        <w:spacing w:after="0"/>
      </w:pPr>
    </w:p>
    <w:p w:rsidRPr="00F57044" w:rsidR="00C8278D" w:rsidP="00C8278D" w:rsidRDefault="00C8278D" w14:paraId="4EECA845" w14:textId="12743DCF">
      <w:pPr>
        <w:pStyle w:val="Tableheading"/>
      </w:pPr>
      <w:bookmarkStart w:name="_Toc198901873" w:id="73"/>
      <w:r w:rsidRPr="00F57044">
        <w:t xml:space="preserve">Table </w:t>
      </w:r>
      <w:r w:rsidRPr="00F57044" w:rsidR="00DC7E1C">
        <w:t>3</w:t>
      </w:r>
      <w:r w:rsidRPr="00F57044">
        <w:t xml:space="preserve">: </w:t>
      </w:r>
      <w:r w:rsidRPr="00F57044">
        <w:tab/>
      </w:r>
      <w:r w:rsidRPr="00F57044">
        <w:t>Proposed price control settings for the next five years</w:t>
      </w:r>
      <w:r w:rsidRPr="00F57044" w:rsidR="00A17B17">
        <w:t>, 2026–30</w:t>
      </w:r>
      <w:bookmarkEnd w:id="73"/>
    </w:p>
    <w:tbl>
      <w:tblPr>
        <w:tblStyle w:val="TableGrid"/>
        <w:tblW w:w="0" w:type="auto"/>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CellMar>
          <w:left w:w="85" w:type="dxa"/>
          <w:right w:w="85" w:type="dxa"/>
        </w:tblCellMar>
        <w:tblLook w:val="04A0" w:firstRow="1" w:lastRow="0" w:firstColumn="1" w:lastColumn="0" w:noHBand="0" w:noVBand="1"/>
      </w:tblPr>
      <w:tblGrid>
        <w:gridCol w:w="4395"/>
        <w:gridCol w:w="794"/>
        <w:gridCol w:w="680"/>
        <w:gridCol w:w="680"/>
        <w:gridCol w:w="680"/>
        <w:gridCol w:w="1021"/>
      </w:tblGrid>
      <w:tr w:rsidRPr="00F57044" w:rsidR="00C464F5" w:rsidTr="007875A3" w14:paraId="59268424" w14:textId="77777777">
        <w:trPr>
          <w:tblHeader/>
        </w:trPr>
        <w:tc>
          <w:tcPr>
            <w:tcW w:w="4395" w:type="dxa"/>
            <w:shd w:val="clear" w:color="auto" w:fill="1B556B" w:themeFill="text2"/>
          </w:tcPr>
          <w:p w:rsidRPr="00F57044" w:rsidR="00C8278D" w:rsidP="004C6E82" w:rsidRDefault="00C8278D" w14:paraId="680046FD" w14:textId="1073DCA8">
            <w:pPr>
              <w:pStyle w:val="TableTextbold"/>
              <w:spacing w:before="40" w:after="40"/>
              <w:rPr>
                <w:color w:val="FFFFFF" w:themeColor="background1"/>
              </w:rPr>
            </w:pPr>
          </w:p>
        </w:tc>
        <w:tc>
          <w:tcPr>
            <w:tcW w:w="794" w:type="dxa"/>
            <w:shd w:val="clear" w:color="auto" w:fill="1B556B" w:themeFill="text2"/>
          </w:tcPr>
          <w:p w:rsidRPr="00F57044" w:rsidR="00C8278D" w:rsidP="004C6E82" w:rsidRDefault="00C8278D" w14:paraId="6DB055A3" w14:textId="3312C008">
            <w:pPr>
              <w:pStyle w:val="TableTextbold"/>
              <w:spacing w:before="40" w:after="40"/>
              <w:rPr>
                <w:rFonts w:asciiTheme="minorHAnsi" w:hAnsiTheme="minorHAnsi"/>
                <w:b w:val="0"/>
                <w:color w:val="FFFFFF" w:themeColor="background1"/>
              </w:rPr>
            </w:pPr>
            <w:r w:rsidRPr="00F57044">
              <w:rPr>
                <w:color w:val="FFFFFF" w:themeColor="background1"/>
              </w:rPr>
              <w:t>2026</w:t>
            </w:r>
          </w:p>
        </w:tc>
        <w:tc>
          <w:tcPr>
            <w:tcW w:w="680" w:type="dxa"/>
            <w:shd w:val="clear" w:color="auto" w:fill="1B556B" w:themeFill="text2"/>
          </w:tcPr>
          <w:p w:rsidRPr="00F57044" w:rsidR="00C8278D" w:rsidP="004C6E82" w:rsidRDefault="00C8278D" w14:paraId="20D2467A" w14:textId="36C3CA37">
            <w:pPr>
              <w:pStyle w:val="TableTextbold"/>
              <w:spacing w:before="40" w:after="40"/>
              <w:rPr>
                <w:rFonts w:asciiTheme="minorHAnsi" w:hAnsiTheme="minorHAnsi"/>
                <w:b w:val="0"/>
                <w:color w:val="FFFFFF" w:themeColor="background1"/>
              </w:rPr>
            </w:pPr>
            <w:r w:rsidRPr="00F57044">
              <w:rPr>
                <w:color w:val="FFFFFF" w:themeColor="background1"/>
              </w:rPr>
              <w:t>2027</w:t>
            </w:r>
          </w:p>
        </w:tc>
        <w:tc>
          <w:tcPr>
            <w:tcW w:w="680" w:type="dxa"/>
            <w:shd w:val="clear" w:color="auto" w:fill="1B556B" w:themeFill="text2"/>
          </w:tcPr>
          <w:p w:rsidRPr="00F57044" w:rsidR="00C8278D" w:rsidP="004C6E82" w:rsidRDefault="00C8278D" w14:paraId="3DE67E54" w14:textId="52F357CA">
            <w:pPr>
              <w:pStyle w:val="TableTextbold"/>
              <w:spacing w:before="40" w:after="40"/>
              <w:rPr>
                <w:rFonts w:asciiTheme="minorHAnsi" w:hAnsiTheme="minorHAnsi"/>
                <w:b w:val="0"/>
                <w:color w:val="FFFFFF" w:themeColor="background1"/>
              </w:rPr>
            </w:pPr>
            <w:r w:rsidRPr="00F57044">
              <w:rPr>
                <w:color w:val="FFFFFF" w:themeColor="background1"/>
              </w:rPr>
              <w:t>2028</w:t>
            </w:r>
          </w:p>
        </w:tc>
        <w:tc>
          <w:tcPr>
            <w:tcW w:w="680" w:type="dxa"/>
            <w:shd w:val="clear" w:color="auto" w:fill="1B556B" w:themeFill="text2"/>
          </w:tcPr>
          <w:p w:rsidRPr="00F57044" w:rsidR="00C8278D" w:rsidP="004C6E82" w:rsidRDefault="00C8278D" w14:paraId="4E892558" w14:textId="152A85C6">
            <w:pPr>
              <w:pStyle w:val="TableTextbold"/>
              <w:spacing w:before="40" w:after="40"/>
              <w:rPr>
                <w:rFonts w:asciiTheme="minorHAnsi" w:hAnsiTheme="minorHAnsi"/>
                <w:b w:val="0"/>
                <w:color w:val="FFFFFF" w:themeColor="background1"/>
              </w:rPr>
            </w:pPr>
            <w:r w:rsidRPr="00F57044">
              <w:rPr>
                <w:color w:val="FFFFFF" w:themeColor="background1"/>
              </w:rPr>
              <w:t>2029</w:t>
            </w:r>
          </w:p>
        </w:tc>
        <w:tc>
          <w:tcPr>
            <w:tcW w:w="1021" w:type="dxa"/>
            <w:shd w:val="clear" w:color="auto" w:fill="1B556B" w:themeFill="text2"/>
          </w:tcPr>
          <w:p w:rsidRPr="00F57044" w:rsidR="00C8278D" w:rsidP="004C6E82" w:rsidRDefault="00C8278D" w14:paraId="7E6A9015" w14:textId="462C7019">
            <w:pPr>
              <w:pStyle w:val="TableTextbold"/>
              <w:spacing w:before="40" w:after="40"/>
              <w:rPr>
                <w:rFonts w:asciiTheme="minorHAnsi" w:hAnsiTheme="minorHAnsi"/>
                <w:b w:val="0"/>
                <w:color w:val="FFFFFF" w:themeColor="background1"/>
              </w:rPr>
            </w:pPr>
            <w:r w:rsidRPr="00F57044">
              <w:rPr>
                <w:color w:val="FFFFFF" w:themeColor="background1"/>
              </w:rPr>
              <w:t>2030</w:t>
            </w:r>
            <w:r w:rsidRPr="00F57044">
              <w:rPr>
                <w:rFonts w:asciiTheme="minorHAnsi" w:hAnsiTheme="minorHAnsi"/>
                <w:color w:val="FFFFFF" w:themeColor="background1"/>
              </w:rPr>
              <w:t xml:space="preserve"> (new)</w:t>
            </w:r>
          </w:p>
        </w:tc>
      </w:tr>
      <w:tr w:rsidRPr="00F57044" w:rsidR="007875A3" w:rsidTr="007875A3" w14:paraId="06D2F760" w14:textId="77777777">
        <w:tc>
          <w:tcPr>
            <w:tcW w:w="4395" w:type="dxa"/>
            <w:shd w:val="clear" w:color="auto" w:fill="auto"/>
          </w:tcPr>
          <w:p w:rsidRPr="00F57044" w:rsidR="00C8278D" w:rsidP="004C6E82" w:rsidRDefault="00C8278D" w14:paraId="35A84580" w14:textId="70BA9D3B">
            <w:pPr>
              <w:pStyle w:val="TableTextbold"/>
              <w:spacing w:before="40" w:after="40"/>
            </w:pPr>
            <w:r w:rsidRPr="00F57044">
              <w:t>Auction price floor</w:t>
            </w:r>
          </w:p>
        </w:tc>
        <w:tc>
          <w:tcPr>
            <w:tcW w:w="794" w:type="dxa"/>
          </w:tcPr>
          <w:p w:rsidRPr="00F57044" w:rsidR="00C8278D" w:rsidP="004C6E82" w:rsidRDefault="00C8278D" w14:paraId="137F12F9" w14:textId="196A160A">
            <w:pPr>
              <w:pStyle w:val="TableText"/>
              <w:spacing w:before="40" w:after="40"/>
            </w:pPr>
            <w:r w:rsidRPr="00F57044">
              <w:t>$71</w:t>
            </w:r>
          </w:p>
        </w:tc>
        <w:tc>
          <w:tcPr>
            <w:tcW w:w="680" w:type="dxa"/>
          </w:tcPr>
          <w:p w:rsidRPr="00F57044" w:rsidR="00C8278D" w:rsidP="004C6E82" w:rsidRDefault="00C8278D" w14:paraId="0D079B46" w14:textId="3C93E27D">
            <w:pPr>
              <w:pStyle w:val="TableText"/>
              <w:spacing w:before="40" w:after="40"/>
            </w:pPr>
            <w:r w:rsidRPr="00F57044">
              <w:t>$75</w:t>
            </w:r>
          </w:p>
        </w:tc>
        <w:tc>
          <w:tcPr>
            <w:tcW w:w="680" w:type="dxa"/>
          </w:tcPr>
          <w:p w:rsidRPr="00F57044" w:rsidR="00C8278D" w:rsidP="004C6E82" w:rsidRDefault="00C8278D" w14:paraId="77DC8479" w14:textId="0202D7A8">
            <w:pPr>
              <w:pStyle w:val="TableText"/>
              <w:spacing w:before="40" w:after="40"/>
            </w:pPr>
            <w:r w:rsidRPr="00F57044">
              <w:t>$78</w:t>
            </w:r>
          </w:p>
        </w:tc>
        <w:tc>
          <w:tcPr>
            <w:tcW w:w="680" w:type="dxa"/>
          </w:tcPr>
          <w:p w:rsidRPr="00F57044" w:rsidR="00C8278D" w:rsidP="004C6E82" w:rsidRDefault="00C8278D" w14:paraId="61D31110" w14:textId="2FA4FE8C">
            <w:pPr>
              <w:pStyle w:val="TableText"/>
              <w:spacing w:before="40" w:after="40"/>
            </w:pPr>
            <w:r w:rsidRPr="00F57044">
              <w:t>$82</w:t>
            </w:r>
          </w:p>
        </w:tc>
        <w:tc>
          <w:tcPr>
            <w:tcW w:w="1021" w:type="dxa"/>
            <w:shd w:val="clear" w:color="auto" w:fill="auto"/>
          </w:tcPr>
          <w:p w:rsidRPr="00F57044" w:rsidR="00C8278D" w:rsidP="004C6E82" w:rsidRDefault="00C8278D" w14:paraId="79427D6F" w14:textId="31664B77">
            <w:pPr>
              <w:pStyle w:val="TableText"/>
              <w:spacing w:before="40" w:after="40"/>
            </w:pPr>
            <w:r w:rsidRPr="00F57044">
              <w:t>$86</w:t>
            </w:r>
          </w:p>
        </w:tc>
      </w:tr>
      <w:tr w:rsidRPr="00F57044" w:rsidR="007875A3" w:rsidTr="007875A3" w14:paraId="02FF947A" w14:textId="77777777">
        <w:tc>
          <w:tcPr>
            <w:tcW w:w="4395" w:type="dxa"/>
            <w:shd w:val="clear" w:color="auto" w:fill="auto"/>
          </w:tcPr>
          <w:p w:rsidRPr="00F57044" w:rsidR="00C8278D" w:rsidP="004C6E82" w:rsidRDefault="00A17B17" w14:paraId="6668CEA7" w14:textId="62F7C234">
            <w:pPr>
              <w:pStyle w:val="TableTextbold"/>
              <w:spacing w:before="40" w:after="40"/>
            </w:pPr>
            <w:r w:rsidRPr="00F57044">
              <w:t>Cost containment reserve (</w:t>
            </w:r>
            <w:r w:rsidRPr="00F57044" w:rsidR="00C8278D">
              <w:t>CCR</w:t>
            </w:r>
            <w:r w:rsidRPr="00F57044">
              <w:t>)</w:t>
            </w:r>
            <w:r w:rsidRPr="00F57044" w:rsidR="00C8278D">
              <w:t xml:space="preserve"> tier 1 </w:t>
            </w:r>
          </w:p>
        </w:tc>
        <w:tc>
          <w:tcPr>
            <w:tcW w:w="794" w:type="dxa"/>
          </w:tcPr>
          <w:p w:rsidRPr="00F57044" w:rsidR="00C8278D" w:rsidP="004C6E82" w:rsidRDefault="00C8278D" w14:paraId="5DCCC005" w14:textId="60EF6484">
            <w:pPr>
              <w:pStyle w:val="TableText"/>
              <w:spacing w:before="40" w:after="40"/>
            </w:pPr>
            <w:r w:rsidRPr="00F57044">
              <w:t>$203</w:t>
            </w:r>
          </w:p>
        </w:tc>
        <w:tc>
          <w:tcPr>
            <w:tcW w:w="680" w:type="dxa"/>
          </w:tcPr>
          <w:p w:rsidRPr="00F57044" w:rsidR="00C8278D" w:rsidP="004C6E82" w:rsidRDefault="00C8278D" w14:paraId="12EF7A7A" w14:textId="438FB497">
            <w:pPr>
              <w:pStyle w:val="TableText"/>
              <w:spacing w:before="40" w:after="40"/>
            </w:pPr>
            <w:r w:rsidRPr="00F57044">
              <w:t>$213</w:t>
            </w:r>
          </w:p>
        </w:tc>
        <w:tc>
          <w:tcPr>
            <w:tcW w:w="680" w:type="dxa"/>
          </w:tcPr>
          <w:p w:rsidRPr="00F57044" w:rsidR="00C8278D" w:rsidP="004C6E82" w:rsidRDefault="00C8278D" w14:paraId="083A5B10" w14:textId="29DC6FFA">
            <w:pPr>
              <w:pStyle w:val="TableText"/>
              <w:spacing w:before="40" w:after="40"/>
            </w:pPr>
            <w:r w:rsidRPr="00F57044">
              <w:t>$223</w:t>
            </w:r>
          </w:p>
        </w:tc>
        <w:tc>
          <w:tcPr>
            <w:tcW w:w="680" w:type="dxa"/>
          </w:tcPr>
          <w:p w:rsidRPr="00F57044" w:rsidR="00C8278D" w:rsidP="004C6E82" w:rsidRDefault="00C8278D" w14:paraId="41C425E4" w14:textId="5F5972D3">
            <w:pPr>
              <w:pStyle w:val="TableText"/>
              <w:spacing w:before="40" w:after="40"/>
            </w:pPr>
            <w:r w:rsidRPr="00F57044">
              <w:t>$235</w:t>
            </w:r>
          </w:p>
        </w:tc>
        <w:tc>
          <w:tcPr>
            <w:tcW w:w="1021" w:type="dxa"/>
            <w:shd w:val="clear" w:color="auto" w:fill="auto"/>
          </w:tcPr>
          <w:p w:rsidRPr="00F57044" w:rsidR="00C8278D" w:rsidP="004C6E82" w:rsidRDefault="00C8278D" w14:paraId="1CEE74B2" w14:textId="0DA05238">
            <w:pPr>
              <w:pStyle w:val="TableText"/>
              <w:spacing w:before="40" w:after="40"/>
            </w:pPr>
            <w:r w:rsidRPr="00F57044">
              <w:t>$246</w:t>
            </w:r>
          </w:p>
        </w:tc>
      </w:tr>
      <w:tr w:rsidRPr="00F57044" w:rsidR="007875A3" w:rsidTr="007875A3" w14:paraId="26E8B5B4" w14:textId="77777777">
        <w:tc>
          <w:tcPr>
            <w:tcW w:w="4395" w:type="dxa"/>
            <w:shd w:val="clear" w:color="auto" w:fill="auto"/>
          </w:tcPr>
          <w:p w:rsidRPr="00F57044" w:rsidR="00C8278D" w:rsidP="004C6E82" w:rsidRDefault="00C8278D" w14:paraId="21EFCE8F" w14:textId="20253891">
            <w:pPr>
              <w:pStyle w:val="TableTextbold"/>
              <w:spacing w:before="40" w:after="40"/>
            </w:pPr>
            <w:r w:rsidRPr="00F57044">
              <w:t xml:space="preserve">CCR tier 2 </w:t>
            </w:r>
          </w:p>
        </w:tc>
        <w:tc>
          <w:tcPr>
            <w:tcW w:w="794" w:type="dxa"/>
          </w:tcPr>
          <w:p w:rsidRPr="00F57044" w:rsidR="00C8278D" w:rsidP="004C6E82" w:rsidRDefault="00C8278D" w14:paraId="07D40D4F" w14:textId="162B4D4B">
            <w:pPr>
              <w:pStyle w:val="TableText"/>
              <w:spacing w:before="40" w:after="40"/>
            </w:pPr>
            <w:r w:rsidRPr="00F57044">
              <w:t>$254</w:t>
            </w:r>
          </w:p>
        </w:tc>
        <w:tc>
          <w:tcPr>
            <w:tcW w:w="680" w:type="dxa"/>
          </w:tcPr>
          <w:p w:rsidRPr="00F57044" w:rsidR="00C8278D" w:rsidP="004C6E82" w:rsidRDefault="00C8278D" w14:paraId="6D0F5382" w14:textId="570AA512">
            <w:pPr>
              <w:pStyle w:val="TableText"/>
              <w:spacing w:before="40" w:after="40"/>
            </w:pPr>
            <w:r w:rsidRPr="00F57044">
              <w:t>$267</w:t>
            </w:r>
          </w:p>
        </w:tc>
        <w:tc>
          <w:tcPr>
            <w:tcW w:w="680" w:type="dxa"/>
          </w:tcPr>
          <w:p w:rsidRPr="00F57044" w:rsidR="00C8278D" w:rsidP="004C6E82" w:rsidRDefault="00C8278D" w14:paraId="00038AD5" w14:textId="0F310755">
            <w:pPr>
              <w:pStyle w:val="TableText"/>
              <w:spacing w:before="40" w:after="40"/>
            </w:pPr>
            <w:r w:rsidRPr="00F57044">
              <w:t>$279</w:t>
            </w:r>
          </w:p>
        </w:tc>
        <w:tc>
          <w:tcPr>
            <w:tcW w:w="680" w:type="dxa"/>
          </w:tcPr>
          <w:p w:rsidRPr="00F57044" w:rsidR="00C8278D" w:rsidP="004C6E82" w:rsidRDefault="00C8278D" w14:paraId="22F1B05F" w14:textId="140EB34F">
            <w:pPr>
              <w:pStyle w:val="TableText"/>
              <w:spacing w:before="40" w:after="40"/>
            </w:pPr>
            <w:r w:rsidRPr="00F57044">
              <w:t>$293</w:t>
            </w:r>
          </w:p>
        </w:tc>
        <w:tc>
          <w:tcPr>
            <w:tcW w:w="1021" w:type="dxa"/>
            <w:shd w:val="clear" w:color="auto" w:fill="auto"/>
          </w:tcPr>
          <w:p w:rsidRPr="00F57044" w:rsidR="00C8278D" w:rsidP="004C6E82" w:rsidRDefault="00C8278D" w14:paraId="2D07FFAF" w14:textId="40280621">
            <w:pPr>
              <w:pStyle w:val="TableText"/>
              <w:spacing w:before="40" w:after="40"/>
            </w:pPr>
            <w:r w:rsidRPr="00F57044">
              <w:t>$308</w:t>
            </w:r>
          </w:p>
        </w:tc>
      </w:tr>
      <w:tr w:rsidRPr="00F57044" w:rsidR="007875A3" w:rsidTr="007875A3" w14:paraId="7DEC83A5" w14:textId="77777777">
        <w:tc>
          <w:tcPr>
            <w:tcW w:w="4395" w:type="dxa"/>
            <w:shd w:val="clear" w:color="auto" w:fill="auto"/>
          </w:tcPr>
          <w:p w:rsidRPr="00F57044" w:rsidR="00C8278D" w:rsidP="004C6E82" w:rsidRDefault="00C8278D" w14:paraId="488F8368" w14:textId="52BC4FCC">
            <w:pPr>
              <w:pStyle w:val="TableTextbold"/>
              <w:spacing w:before="40" w:after="40"/>
            </w:pPr>
            <w:r w:rsidRPr="00F57044">
              <w:t>Tier 1 volume</w:t>
            </w:r>
            <w:r w:rsidRPr="00F57044" w:rsidR="009E0B58">
              <w:t xml:space="preserve"> (million</w:t>
            </w:r>
            <w:r w:rsidRPr="00F57044" w:rsidR="00B66182">
              <w:t xml:space="preserve"> NZUs</w:t>
            </w:r>
            <w:r w:rsidRPr="00F57044" w:rsidR="009E0B58">
              <w:t>)</w:t>
            </w:r>
          </w:p>
        </w:tc>
        <w:tc>
          <w:tcPr>
            <w:tcW w:w="794" w:type="dxa"/>
          </w:tcPr>
          <w:p w:rsidRPr="00F57044" w:rsidR="00C8278D" w:rsidP="004C6E82" w:rsidRDefault="00C8278D" w14:paraId="44B11A24" w14:textId="57E6AEE1">
            <w:pPr>
              <w:pStyle w:val="TableText"/>
              <w:spacing w:before="40" w:after="40"/>
            </w:pPr>
            <w:r w:rsidRPr="00F57044">
              <w:t>2.3</w:t>
            </w:r>
          </w:p>
        </w:tc>
        <w:tc>
          <w:tcPr>
            <w:tcW w:w="680" w:type="dxa"/>
          </w:tcPr>
          <w:p w:rsidRPr="00F57044" w:rsidR="00C8278D" w:rsidP="004C6E82" w:rsidRDefault="00C8278D" w14:paraId="5944A1B5" w14:textId="0D5B5A13">
            <w:pPr>
              <w:pStyle w:val="TableText"/>
              <w:spacing w:before="40" w:after="40"/>
            </w:pPr>
            <w:r w:rsidRPr="00F57044">
              <w:t>2.1</w:t>
            </w:r>
          </w:p>
        </w:tc>
        <w:tc>
          <w:tcPr>
            <w:tcW w:w="680" w:type="dxa"/>
          </w:tcPr>
          <w:p w:rsidRPr="00F57044" w:rsidR="00C8278D" w:rsidP="004C6E82" w:rsidRDefault="00C8278D" w14:paraId="38FC734C" w14:textId="51A0ED53">
            <w:pPr>
              <w:pStyle w:val="TableText"/>
              <w:spacing w:before="40" w:after="40"/>
            </w:pPr>
            <w:r w:rsidRPr="00F57044">
              <w:t>1.9</w:t>
            </w:r>
          </w:p>
        </w:tc>
        <w:tc>
          <w:tcPr>
            <w:tcW w:w="680" w:type="dxa"/>
          </w:tcPr>
          <w:p w:rsidRPr="00F57044" w:rsidR="00C8278D" w:rsidP="004C6E82" w:rsidRDefault="00C8278D" w14:paraId="47DFFC95" w14:textId="6F462807">
            <w:pPr>
              <w:pStyle w:val="TableText"/>
              <w:spacing w:before="40" w:after="40"/>
            </w:pPr>
            <w:r w:rsidRPr="00F57044">
              <w:t>1.7</w:t>
            </w:r>
          </w:p>
        </w:tc>
        <w:tc>
          <w:tcPr>
            <w:tcW w:w="1021" w:type="dxa"/>
            <w:shd w:val="clear" w:color="auto" w:fill="auto"/>
          </w:tcPr>
          <w:p w:rsidRPr="00F57044" w:rsidR="00C8278D" w:rsidP="004C6E82" w:rsidRDefault="00C8278D" w14:paraId="76E9AF06" w14:textId="0378D9DE">
            <w:pPr>
              <w:pStyle w:val="TableText"/>
              <w:spacing w:before="40" w:after="40"/>
            </w:pPr>
            <w:r w:rsidRPr="00F57044">
              <w:t>1.4</w:t>
            </w:r>
          </w:p>
        </w:tc>
      </w:tr>
      <w:tr w:rsidRPr="00F57044" w:rsidR="007875A3" w:rsidTr="007875A3" w14:paraId="61C2D8F7" w14:textId="77777777">
        <w:tc>
          <w:tcPr>
            <w:tcW w:w="4395" w:type="dxa"/>
            <w:shd w:val="clear" w:color="auto" w:fill="auto"/>
          </w:tcPr>
          <w:p w:rsidRPr="00F57044" w:rsidR="00C8278D" w:rsidP="004C6E82" w:rsidRDefault="00C8278D" w14:paraId="7583448E" w14:textId="4260DBF9">
            <w:pPr>
              <w:pStyle w:val="TableTextbold"/>
              <w:spacing w:before="40" w:after="40"/>
            </w:pPr>
            <w:r w:rsidRPr="00F57044">
              <w:t xml:space="preserve">Tier 2 volume </w:t>
            </w:r>
            <w:r w:rsidRPr="00F57044" w:rsidR="00B66182">
              <w:t>(million NZUs)</w:t>
            </w:r>
          </w:p>
        </w:tc>
        <w:tc>
          <w:tcPr>
            <w:tcW w:w="794" w:type="dxa"/>
          </w:tcPr>
          <w:p w:rsidRPr="00F57044" w:rsidR="00C8278D" w:rsidP="004C6E82" w:rsidRDefault="00C8278D" w14:paraId="47E9DFEA" w14:textId="717C7EF8">
            <w:pPr>
              <w:pStyle w:val="TableText"/>
              <w:spacing w:before="40" w:after="40"/>
            </w:pPr>
            <w:r w:rsidRPr="00F57044">
              <w:t>4.2</w:t>
            </w:r>
          </w:p>
        </w:tc>
        <w:tc>
          <w:tcPr>
            <w:tcW w:w="680" w:type="dxa"/>
          </w:tcPr>
          <w:p w:rsidRPr="00F57044" w:rsidR="00C8278D" w:rsidP="004C6E82" w:rsidRDefault="00C8278D" w14:paraId="723FF63C" w14:textId="755519B7">
            <w:pPr>
              <w:pStyle w:val="TableText"/>
              <w:spacing w:before="40" w:after="40"/>
            </w:pPr>
            <w:r w:rsidRPr="00F57044">
              <w:t>3.8</w:t>
            </w:r>
          </w:p>
        </w:tc>
        <w:tc>
          <w:tcPr>
            <w:tcW w:w="680" w:type="dxa"/>
          </w:tcPr>
          <w:p w:rsidRPr="00F57044" w:rsidR="00C8278D" w:rsidP="004C6E82" w:rsidRDefault="00C8278D" w14:paraId="1AD66106" w14:textId="1046E93A">
            <w:pPr>
              <w:pStyle w:val="TableText"/>
              <w:spacing w:before="40" w:after="40"/>
            </w:pPr>
            <w:r w:rsidRPr="00F57044">
              <w:t>3.4</w:t>
            </w:r>
          </w:p>
        </w:tc>
        <w:tc>
          <w:tcPr>
            <w:tcW w:w="680" w:type="dxa"/>
          </w:tcPr>
          <w:p w:rsidRPr="00F57044" w:rsidR="00C8278D" w:rsidP="004C6E82" w:rsidRDefault="00C8278D" w14:paraId="2D54D529" w14:textId="19A19851">
            <w:pPr>
              <w:pStyle w:val="TableText"/>
              <w:spacing w:before="40" w:after="40"/>
            </w:pPr>
            <w:r w:rsidRPr="00F57044">
              <w:t>3.0</w:t>
            </w:r>
          </w:p>
        </w:tc>
        <w:tc>
          <w:tcPr>
            <w:tcW w:w="1021" w:type="dxa"/>
            <w:shd w:val="clear" w:color="auto" w:fill="auto"/>
          </w:tcPr>
          <w:p w:rsidRPr="00F57044" w:rsidR="00C8278D" w:rsidP="004C6E82" w:rsidRDefault="00C8278D" w14:paraId="2A823F4B" w14:textId="784DE2DF">
            <w:pPr>
              <w:pStyle w:val="TableText"/>
              <w:spacing w:before="40" w:after="40"/>
            </w:pPr>
            <w:r w:rsidRPr="00F57044">
              <w:t>2.5</w:t>
            </w:r>
          </w:p>
        </w:tc>
      </w:tr>
      <w:tr w:rsidRPr="00F57044" w:rsidR="007875A3" w:rsidTr="007875A3" w14:paraId="020AEB34" w14:textId="77777777">
        <w:tc>
          <w:tcPr>
            <w:tcW w:w="4395" w:type="dxa"/>
            <w:shd w:val="clear" w:color="auto" w:fill="auto"/>
          </w:tcPr>
          <w:p w:rsidRPr="00F57044" w:rsidR="00C8278D" w:rsidP="004C6E82" w:rsidRDefault="00C8278D" w14:paraId="0B0A68D4" w14:textId="7A66B5D3">
            <w:pPr>
              <w:pStyle w:val="TableTextbold"/>
              <w:spacing w:before="40" w:after="40"/>
            </w:pPr>
            <w:r w:rsidRPr="00F57044">
              <w:t xml:space="preserve">Total CCR volume </w:t>
            </w:r>
            <w:r w:rsidRPr="00F57044" w:rsidR="00B66182">
              <w:t>(million NZUs)</w:t>
            </w:r>
          </w:p>
        </w:tc>
        <w:tc>
          <w:tcPr>
            <w:tcW w:w="794" w:type="dxa"/>
          </w:tcPr>
          <w:p w:rsidRPr="00F57044" w:rsidR="00C8278D" w:rsidP="004C6E82" w:rsidRDefault="00C8278D" w14:paraId="2964527A" w14:textId="10C64135">
            <w:pPr>
              <w:pStyle w:val="TableText"/>
              <w:spacing w:before="40" w:after="40"/>
            </w:pPr>
            <w:r w:rsidRPr="00F57044">
              <w:t>6.5</w:t>
            </w:r>
          </w:p>
        </w:tc>
        <w:tc>
          <w:tcPr>
            <w:tcW w:w="680" w:type="dxa"/>
          </w:tcPr>
          <w:p w:rsidRPr="00F57044" w:rsidR="00C8278D" w:rsidP="004C6E82" w:rsidRDefault="00C8278D" w14:paraId="08BCD469" w14:textId="0D9A7299">
            <w:pPr>
              <w:pStyle w:val="TableText"/>
              <w:spacing w:before="40" w:after="40"/>
            </w:pPr>
            <w:r w:rsidRPr="00F57044">
              <w:t>5.9</w:t>
            </w:r>
          </w:p>
        </w:tc>
        <w:tc>
          <w:tcPr>
            <w:tcW w:w="680" w:type="dxa"/>
          </w:tcPr>
          <w:p w:rsidRPr="00F57044" w:rsidR="00C8278D" w:rsidP="004C6E82" w:rsidRDefault="00C8278D" w14:paraId="4F2D7B90" w14:textId="01D00196">
            <w:pPr>
              <w:pStyle w:val="TableText"/>
              <w:spacing w:before="40" w:after="40"/>
            </w:pPr>
            <w:r w:rsidRPr="00F57044">
              <w:t>5.3</w:t>
            </w:r>
          </w:p>
        </w:tc>
        <w:tc>
          <w:tcPr>
            <w:tcW w:w="680" w:type="dxa"/>
          </w:tcPr>
          <w:p w:rsidRPr="00F57044" w:rsidR="00C8278D" w:rsidP="004C6E82" w:rsidRDefault="00C8278D" w14:paraId="1EEA1EBA" w14:textId="68C9BF64">
            <w:pPr>
              <w:pStyle w:val="TableText"/>
              <w:spacing w:before="40" w:after="40"/>
            </w:pPr>
            <w:r w:rsidRPr="00F57044">
              <w:t>4.7</w:t>
            </w:r>
          </w:p>
        </w:tc>
        <w:tc>
          <w:tcPr>
            <w:tcW w:w="1021" w:type="dxa"/>
            <w:shd w:val="clear" w:color="auto" w:fill="auto"/>
          </w:tcPr>
          <w:p w:rsidRPr="00F57044" w:rsidR="00C8278D" w:rsidP="004C6E82" w:rsidRDefault="00C8278D" w14:paraId="16A99020" w14:textId="5257B605">
            <w:pPr>
              <w:pStyle w:val="TableText"/>
              <w:spacing w:before="40" w:after="40"/>
            </w:pPr>
            <w:r w:rsidRPr="00F57044">
              <w:t>3.9</w:t>
            </w:r>
          </w:p>
        </w:tc>
      </w:tr>
    </w:tbl>
    <w:p w:rsidRPr="00F57044" w:rsidR="007870A5" w:rsidP="009D7C42" w:rsidRDefault="00822E8C" w14:paraId="104A17BA" w14:textId="08BB927E">
      <w:pPr>
        <w:pStyle w:val="Note"/>
        <w:spacing w:before="120"/>
      </w:pPr>
      <w:r w:rsidRPr="00F57044">
        <w:t>Note</w:t>
      </w:r>
      <w:r w:rsidRPr="00F57044" w:rsidR="004625E1">
        <w:t>:</w:t>
      </w:r>
      <w:r w:rsidRPr="00F57044">
        <w:t xml:space="preserve"> </w:t>
      </w:r>
      <w:r w:rsidRPr="00F57044" w:rsidR="004625E1">
        <w:t>T</w:t>
      </w:r>
      <w:r w:rsidRPr="00F57044">
        <w:t xml:space="preserve">hese figures </w:t>
      </w:r>
      <w:r w:rsidRPr="00F57044" w:rsidR="0052471D">
        <w:t>assume</w:t>
      </w:r>
      <w:r w:rsidRPr="00F57044">
        <w:t xml:space="preserve"> that changes will only be made to 2028</w:t>
      </w:r>
      <w:r w:rsidRPr="00F57044" w:rsidR="004625E1">
        <w:t>–</w:t>
      </w:r>
      <w:r w:rsidRPr="00F57044">
        <w:t>30</w:t>
      </w:r>
      <w:r w:rsidRPr="00F57044" w:rsidR="00D30E52">
        <w:t xml:space="preserve"> in line </w:t>
      </w:r>
      <w:r w:rsidRPr="00F57044" w:rsidR="00844664">
        <w:t xml:space="preserve">with the </w:t>
      </w:r>
      <w:r w:rsidRPr="00F57044" w:rsidR="00D21D70">
        <w:t xml:space="preserve">NZ </w:t>
      </w:r>
      <w:r w:rsidRPr="00F57044" w:rsidR="00844664">
        <w:t>ETS cap</w:t>
      </w:r>
      <w:r w:rsidRPr="00F57044">
        <w:t xml:space="preserve">. </w:t>
      </w:r>
      <w:r w:rsidRPr="00F57044" w:rsidR="00287FFE">
        <w:t xml:space="preserve">They are also based </w:t>
      </w:r>
      <w:r w:rsidRPr="00F57044" w:rsidR="004E21FE">
        <w:t xml:space="preserve">on the assumption that </w:t>
      </w:r>
      <w:r w:rsidRPr="00F57044" w:rsidR="0045574B">
        <w:t xml:space="preserve">recommended </w:t>
      </w:r>
      <w:r w:rsidRPr="00F57044" w:rsidR="00442B54">
        <w:t xml:space="preserve">changes to </w:t>
      </w:r>
      <w:r w:rsidRPr="00F57044" w:rsidR="00005DE7">
        <w:t xml:space="preserve">the surplus stockpile estimate are </w:t>
      </w:r>
      <w:r w:rsidRPr="00F57044" w:rsidR="008B367E">
        <w:t>followed.</w:t>
      </w:r>
    </w:p>
    <w:p w:rsidRPr="00F57044" w:rsidR="002B6908" w:rsidP="00445EBC" w:rsidRDefault="00294AF9" w14:paraId="452FAD85" w14:textId="1E99FF4C">
      <w:pPr>
        <w:pStyle w:val="Heading2"/>
      </w:pPr>
      <w:bookmarkStart w:name="_Toc199231036" w:id="74"/>
      <w:r w:rsidRPr="00F57044">
        <w:t xml:space="preserve">Implications of </w:t>
      </w:r>
      <w:r w:rsidRPr="00F57044" w:rsidR="004A35A8">
        <w:t xml:space="preserve">the </w:t>
      </w:r>
      <w:r w:rsidRPr="00F57044">
        <w:t>options for market dynamics</w:t>
      </w:r>
      <w:r w:rsidRPr="00F57044" w:rsidR="0084518F">
        <w:t xml:space="preserve"> and</w:t>
      </w:r>
      <w:r w:rsidRPr="00F57044" w:rsidR="00BE2EE2">
        <w:t> </w:t>
      </w:r>
      <w:r w:rsidRPr="00F57044" w:rsidR="0084518F">
        <w:t>emissions budgets</w:t>
      </w:r>
      <w:bookmarkEnd w:id="74"/>
    </w:p>
    <w:p w:rsidRPr="00F57044" w:rsidR="002B2F56" w:rsidP="00D26ABB" w:rsidRDefault="00D26ABB" w14:paraId="5D52ED53" w14:textId="68BFE6CE">
      <w:pPr>
        <w:pStyle w:val="BodyText"/>
      </w:pPr>
      <w:r w:rsidRPr="00F57044">
        <w:t xml:space="preserve">We have modelled a range of scenarios in the </w:t>
      </w:r>
      <w:r w:rsidRPr="00F57044" w:rsidR="00C91021">
        <w:t xml:space="preserve">NZ </w:t>
      </w:r>
      <w:r w:rsidRPr="00F57044" w:rsidDel="004A35A8">
        <w:t xml:space="preserve">ETS </w:t>
      </w:r>
      <w:r w:rsidRPr="00F57044">
        <w:t>market model</w:t>
      </w:r>
      <w:r w:rsidRPr="00F57044" w:rsidR="00192CEA">
        <w:t>,</w:t>
      </w:r>
      <w:r w:rsidRPr="00F57044">
        <w:t xml:space="preserve"> based on the different options outlined above</w:t>
      </w:r>
      <w:r w:rsidRPr="00F57044" w:rsidR="004934C8">
        <w:t xml:space="preserve">, and accounting for different starting </w:t>
      </w:r>
      <w:r w:rsidRPr="00F57044" w:rsidR="006F5A6E">
        <w:t>points in 2025</w:t>
      </w:r>
      <w:r w:rsidRPr="00F57044">
        <w:t>. Th</w:t>
      </w:r>
      <w:r w:rsidRPr="00F57044" w:rsidR="00D32D02">
        <w:t>is</w:t>
      </w:r>
      <w:r w:rsidRPr="00F57044">
        <w:t xml:space="preserve"> section presents some of the key insights from that modelling. </w:t>
      </w:r>
    </w:p>
    <w:p w:rsidRPr="00F57044" w:rsidR="002F493A" w:rsidP="00D26ABB" w:rsidRDefault="002B2F56" w14:paraId="6C1DCB96" w14:textId="1E64BB71">
      <w:pPr>
        <w:pStyle w:val="BodyText"/>
      </w:pPr>
      <w:r w:rsidRPr="00F57044">
        <w:t xml:space="preserve">All models are subject to high </w:t>
      </w:r>
      <w:r w:rsidRPr="00F57044" w:rsidR="00933CBF">
        <w:t>levels of</w:t>
      </w:r>
      <w:r w:rsidRPr="00F57044">
        <w:t xml:space="preserve"> uncertainty,</w:t>
      </w:r>
      <w:r w:rsidRPr="00F57044" w:rsidR="00192CEA">
        <w:t xml:space="preserve"> </w:t>
      </w:r>
      <w:r w:rsidRPr="00F57044">
        <w:t xml:space="preserve">which typically increases the further out in </w:t>
      </w:r>
      <w:r w:rsidRPr="00F57044">
        <w:rPr>
          <w:spacing w:val="-2"/>
        </w:rPr>
        <w:t xml:space="preserve">time they attempt to </w:t>
      </w:r>
      <w:r w:rsidRPr="00F57044" w:rsidDel="00F65277">
        <w:rPr>
          <w:spacing w:val="-2"/>
        </w:rPr>
        <w:t>model</w:t>
      </w:r>
      <w:r w:rsidRPr="00F57044" w:rsidR="00192CEA">
        <w:rPr>
          <w:spacing w:val="-2"/>
        </w:rPr>
        <w:t xml:space="preserve">. They also </w:t>
      </w:r>
      <w:r w:rsidRPr="00F57044">
        <w:rPr>
          <w:spacing w:val="-2"/>
        </w:rPr>
        <w:t>rely on a range of model</w:t>
      </w:r>
      <w:r w:rsidRPr="00F57044" w:rsidR="00192CEA">
        <w:rPr>
          <w:spacing w:val="-2"/>
        </w:rPr>
        <w:t>-</w:t>
      </w:r>
      <w:r w:rsidRPr="00F57044">
        <w:rPr>
          <w:spacing w:val="-2"/>
        </w:rPr>
        <w:t>specific and other assumptions</w:t>
      </w:r>
      <w:r w:rsidRPr="00F57044">
        <w:t xml:space="preserve">. </w:t>
      </w:r>
      <w:r w:rsidRPr="00F57044" w:rsidR="00D26ABB">
        <w:t xml:space="preserve">The results are not predictions – their purpose is to help explore the implications and trade-offs between the different options. </w:t>
      </w:r>
    </w:p>
    <w:p w:rsidRPr="00F57044" w:rsidR="00D26ABB" w:rsidP="00D26ABB" w:rsidRDefault="00320CEB" w14:paraId="5504F192" w14:textId="1E93B3EB">
      <w:pPr>
        <w:pStyle w:val="BodyText"/>
      </w:pPr>
      <w:r w:rsidRPr="00F57044">
        <w:t>The market model has been aligned with ERP2 projections where relevant</w:t>
      </w:r>
      <w:r w:rsidRPr="00F57044" w:rsidR="00355BF2">
        <w:t xml:space="preserve"> and with industrial allocation forecasts and surplus stockpile estimates</w:t>
      </w:r>
      <w:r w:rsidRPr="00F57044" w:rsidR="00441491">
        <w:t xml:space="preserve"> as set out in this</w:t>
      </w:r>
      <w:r w:rsidRPr="00F57044" w:rsidR="00D55B5F">
        <w:t xml:space="preserve"> consultation</w:t>
      </w:r>
      <w:r w:rsidRPr="00F57044" w:rsidR="00441491">
        <w:t xml:space="preserve"> document. </w:t>
      </w:r>
      <w:r w:rsidRPr="00F57044" w:rsidR="00192CEA">
        <w:t xml:space="preserve">For more </w:t>
      </w:r>
      <w:r w:rsidRPr="00F57044" w:rsidR="00D26ABB">
        <w:t>detail on modelling assumptions and sensitivity analysis</w:t>
      </w:r>
      <w:r w:rsidRPr="00F57044" w:rsidR="00192CEA">
        <w:t>,</w:t>
      </w:r>
      <w:r w:rsidRPr="00F57044" w:rsidR="00D26ABB">
        <w:t xml:space="preserve"> </w:t>
      </w:r>
      <w:r w:rsidRPr="00F57044" w:rsidR="00192CEA">
        <w:t xml:space="preserve">see the </w:t>
      </w:r>
      <w:hyperlink w:history="1" r:id="rId35">
        <w:r w:rsidRPr="00F57044" w:rsidR="00D26ABB">
          <w:rPr>
            <w:rStyle w:val="Hyperlink"/>
          </w:rPr>
          <w:t>technical annex</w:t>
        </w:r>
      </w:hyperlink>
      <w:r w:rsidRPr="00F57044" w:rsidR="00D26ABB">
        <w:t>.</w:t>
      </w:r>
    </w:p>
    <w:p w:rsidRPr="00F57044" w:rsidR="00025264" w:rsidP="00D401B1" w:rsidRDefault="00025264" w14:paraId="475133E0" w14:textId="7AF045BC">
      <w:pPr>
        <w:pStyle w:val="Heading4"/>
      </w:pPr>
      <w:r w:rsidRPr="00F57044">
        <w:t xml:space="preserve">Projected </w:t>
      </w:r>
      <w:r w:rsidRPr="00F57044" w:rsidR="00340F12">
        <w:t>sources of NZU supply</w:t>
      </w:r>
    </w:p>
    <w:p w:rsidRPr="00F57044" w:rsidR="00460B33" w:rsidP="00D03400" w:rsidRDefault="006B3AAB" w14:paraId="5E9B07DF" w14:textId="6EC87F09">
      <w:pPr>
        <w:pStyle w:val="BodyText"/>
        <w:rPr>
          <w:spacing w:val="-2"/>
        </w:rPr>
      </w:pPr>
      <w:r w:rsidRPr="00F57044">
        <w:rPr>
          <w:spacing w:val="-2"/>
        </w:rPr>
        <w:t xml:space="preserve">Figure </w:t>
      </w:r>
      <w:r w:rsidRPr="00F57044" w:rsidR="00BA4FD6">
        <w:rPr>
          <w:spacing w:val="-2"/>
        </w:rPr>
        <w:t>4</w:t>
      </w:r>
      <w:r w:rsidRPr="00F57044">
        <w:rPr>
          <w:spacing w:val="-2"/>
        </w:rPr>
        <w:t xml:space="preserve"> show</w:t>
      </w:r>
      <w:r w:rsidRPr="00F57044" w:rsidR="005C3658">
        <w:rPr>
          <w:spacing w:val="-2"/>
        </w:rPr>
        <w:t>s</w:t>
      </w:r>
      <w:r w:rsidRPr="00F57044">
        <w:rPr>
          <w:spacing w:val="-2"/>
        </w:rPr>
        <w:t xml:space="preserve"> the </w:t>
      </w:r>
      <w:r w:rsidRPr="00F57044" w:rsidR="00CB423D">
        <w:rPr>
          <w:spacing w:val="-2"/>
        </w:rPr>
        <w:t>projected sources of NZU supply</w:t>
      </w:r>
      <w:r w:rsidRPr="00F57044" w:rsidR="002A366E">
        <w:rPr>
          <w:spacing w:val="-2"/>
        </w:rPr>
        <w:t xml:space="preserve"> to meet compliance demand</w:t>
      </w:r>
      <w:r w:rsidRPr="00F57044" w:rsidR="00295A3D">
        <w:rPr>
          <w:spacing w:val="-2"/>
        </w:rPr>
        <w:t xml:space="preserve"> under </w:t>
      </w:r>
      <w:r w:rsidRPr="00F57044" w:rsidR="002A68D6">
        <w:rPr>
          <w:spacing w:val="-2"/>
        </w:rPr>
        <w:t>option</w:t>
      </w:r>
      <w:r w:rsidRPr="00F57044" w:rsidR="005B3898">
        <w:rPr>
          <w:spacing w:val="-2"/>
        </w:rPr>
        <w:t> </w:t>
      </w:r>
      <w:r w:rsidRPr="00F57044" w:rsidR="002A68D6">
        <w:rPr>
          <w:spacing w:val="-2"/>
        </w:rPr>
        <w:t>1</w:t>
      </w:r>
      <w:r w:rsidRPr="00F57044" w:rsidR="00C16742">
        <w:rPr>
          <w:spacing w:val="-2"/>
        </w:rPr>
        <w:t>.</w:t>
      </w:r>
    </w:p>
    <w:p w:rsidRPr="00F57044" w:rsidR="0012134A" w:rsidP="0012134A" w:rsidRDefault="00602BD1" w14:paraId="1E689BCB" w14:textId="5756A0E4">
      <w:pPr>
        <w:pStyle w:val="BodyText"/>
      </w:pPr>
      <w:r w:rsidRPr="00F57044">
        <w:t xml:space="preserve">The broad outlook for supply is similar </w:t>
      </w:r>
      <w:r w:rsidRPr="00F57044" w:rsidR="00CD3278">
        <w:t>for</w:t>
      </w:r>
      <w:r w:rsidRPr="00F57044">
        <w:t xml:space="preserve"> both </w:t>
      </w:r>
      <w:r w:rsidRPr="00F57044" w:rsidR="00AD675D">
        <w:t xml:space="preserve">option 1 and </w:t>
      </w:r>
      <w:r w:rsidRPr="00F57044" w:rsidR="004A35A8">
        <w:t>o</w:t>
      </w:r>
      <w:r w:rsidRPr="00F57044" w:rsidR="00694119">
        <w:t>ption 2</w:t>
      </w:r>
      <w:r w:rsidRPr="00F57044">
        <w:t>.</w:t>
      </w:r>
      <w:r w:rsidRPr="00F57044" w:rsidR="00C22A4C">
        <w:t xml:space="preserve"> Government supply, from industrial allocation and auctions, </w:t>
      </w:r>
      <w:r w:rsidRPr="00F57044" w:rsidR="00FE4BFD">
        <w:t xml:space="preserve">is </w:t>
      </w:r>
      <w:r w:rsidRPr="00F57044" w:rsidR="00FC20D1">
        <w:t>projected to be</w:t>
      </w:r>
      <w:r w:rsidRPr="00F57044" w:rsidR="00FE4BFD">
        <w:t xml:space="preserve"> a material </w:t>
      </w:r>
      <w:r w:rsidRPr="00F57044" w:rsidR="00FC20D1">
        <w:t xml:space="preserve">but declining </w:t>
      </w:r>
      <w:r w:rsidRPr="00F57044" w:rsidR="00653BBF">
        <w:t>share</w:t>
      </w:r>
      <w:r w:rsidRPr="00F57044" w:rsidR="00FE4BFD">
        <w:t xml:space="preserve"> of supply in the 2020s</w:t>
      </w:r>
      <w:r w:rsidRPr="00F57044" w:rsidR="00CA6B17">
        <w:t xml:space="preserve">. </w:t>
      </w:r>
      <w:r w:rsidRPr="00F57044" w:rsidR="004E03C8">
        <w:t>The projections shown assume that all auctions clear</w:t>
      </w:r>
      <w:r w:rsidRPr="00F57044" w:rsidR="00CC7CB1">
        <w:t xml:space="preserve"> and use the </w:t>
      </w:r>
      <w:r w:rsidRPr="00F57044" w:rsidR="00E35719">
        <w:t xml:space="preserve">updated </w:t>
      </w:r>
      <w:r w:rsidRPr="00F57044" w:rsidR="00CC7CB1">
        <w:t xml:space="preserve">estimate of the surplus stockpile </w:t>
      </w:r>
      <w:r w:rsidRPr="00F57044" w:rsidR="00FE6A36">
        <w:t>(50.2</w:t>
      </w:r>
      <w:r w:rsidRPr="00F57044" w:rsidR="00C87F21">
        <w:t xml:space="preserve"> million</w:t>
      </w:r>
      <w:r w:rsidRPr="00F57044" w:rsidR="00FE6A36">
        <w:t xml:space="preserve"> NZUs)</w:t>
      </w:r>
      <w:r w:rsidRPr="00F57044" w:rsidR="004E03C8">
        <w:t>.</w:t>
      </w:r>
    </w:p>
    <w:p w:rsidRPr="00F57044" w:rsidR="00602BD1" w:rsidP="00D03400" w:rsidRDefault="00CA6B17" w14:paraId="02AD42FD" w14:textId="16FE6EBC">
      <w:pPr>
        <w:pStyle w:val="BodyText"/>
      </w:pPr>
      <w:r w:rsidRPr="00F57044">
        <w:t xml:space="preserve">Forestry supply </w:t>
      </w:r>
      <w:r w:rsidRPr="00F57044" w:rsidR="00DB40B2">
        <w:t xml:space="preserve">from </w:t>
      </w:r>
      <w:r w:rsidRPr="00F57044" w:rsidR="00AD675D">
        <w:t>‘</w:t>
      </w:r>
      <w:proofErr w:type="gramStart"/>
      <w:r w:rsidRPr="00F57044" w:rsidR="009109B9">
        <w:t>low</w:t>
      </w:r>
      <w:r w:rsidRPr="00F57044" w:rsidR="004A35A8">
        <w:t>-</w:t>
      </w:r>
      <w:r w:rsidRPr="00F57044" w:rsidR="009109B9">
        <w:t>risk</w:t>
      </w:r>
      <w:proofErr w:type="gramEnd"/>
      <w:r w:rsidRPr="00F57044" w:rsidR="00AD675D">
        <w:t>’</w:t>
      </w:r>
      <w:r w:rsidRPr="00F57044" w:rsidR="009109B9">
        <w:t xml:space="preserve"> (or unencumbered) NZUs </w:t>
      </w:r>
      <w:r w:rsidRPr="00F57044" w:rsidR="00B9767E">
        <w:t>is projected to steadily increase over time</w:t>
      </w:r>
      <w:r w:rsidRPr="00F57044" w:rsidR="000725F8">
        <w:t>.</w:t>
      </w:r>
      <w:r w:rsidRPr="00F57044" w:rsidR="001458E9">
        <w:rPr>
          <w:rStyle w:val="FootnoteReference"/>
        </w:rPr>
        <w:footnoteReference w:id="13"/>
      </w:r>
      <w:r w:rsidRPr="00F57044" w:rsidR="00284DC1">
        <w:rPr>
          <w:vertAlign w:val="superscript"/>
        </w:rPr>
        <w:t>,</w:t>
      </w:r>
      <w:r w:rsidRPr="00F57044" w:rsidR="002A1A7C">
        <w:rPr>
          <w:vertAlign w:val="superscript"/>
        </w:rPr>
        <w:t xml:space="preserve"> </w:t>
      </w:r>
      <w:r w:rsidRPr="00F57044" w:rsidR="00284DC1">
        <w:rPr>
          <w:rStyle w:val="FootnoteReference"/>
        </w:rPr>
        <w:footnoteReference w:id="14"/>
      </w:r>
      <w:r w:rsidRPr="00F57044" w:rsidR="000725F8">
        <w:rPr>
          <w:vertAlign w:val="superscript"/>
        </w:rPr>
        <w:t xml:space="preserve"> </w:t>
      </w:r>
      <w:r w:rsidRPr="00F57044" w:rsidR="00B2112E">
        <w:t xml:space="preserve">However, </w:t>
      </w:r>
      <w:r w:rsidRPr="00F57044" w:rsidR="000B5BDE">
        <w:t xml:space="preserve">forestry </w:t>
      </w:r>
      <w:r w:rsidRPr="00F57044" w:rsidR="00F4197A">
        <w:t>makes up a</w:t>
      </w:r>
      <w:r w:rsidRPr="00F57044" w:rsidR="000B5BDE">
        <w:t xml:space="preserve"> </w:t>
      </w:r>
      <w:r w:rsidRPr="00F57044" w:rsidR="00F4197A">
        <w:t>small</w:t>
      </w:r>
      <w:r w:rsidRPr="00F57044" w:rsidR="00EE4E5F">
        <w:t>er</w:t>
      </w:r>
      <w:r w:rsidRPr="00F57044" w:rsidR="00F4197A">
        <w:t xml:space="preserve"> share</w:t>
      </w:r>
      <w:r w:rsidRPr="00F57044" w:rsidR="009B5476">
        <w:t xml:space="preserve"> of supply</w:t>
      </w:r>
      <w:r w:rsidRPr="00F57044" w:rsidR="000B5BDE">
        <w:t xml:space="preserve"> in the near term, requiring the stockpile </w:t>
      </w:r>
      <w:r w:rsidRPr="00F57044" w:rsidR="00555759">
        <w:t>to be draw</w:t>
      </w:r>
      <w:r w:rsidRPr="00F57044" w:rsidR="0015149E">
        <w:t>n</w:t>
      </w:r>
      <w:r w:rsidRPr="00F57044" w:rsidR="009B1FF1">
        <w:t xml:space="preserve"> </w:t>
      </w:r>
      <w:r w:rsidRPr="00F57044" w:rsidR="00555759">
        <w:t>down</w:t>
      </w:r>
      <w:r w:rsidRPr="00F57044" w:rsidR="00455637">
        <w:t xml:space="preserve"> </w:t>
      </w:r>
      <w:r w:rsidRPr="00F57044" w:rsidR="0015149E">
        <w:t xml:space="preserve">further </w:t>
      </w:r>
      <w:r w:rsidRPr="00F57044" w:rsidR="00455637">
        <w:t>in the interim</w:t>
      </w:r>
      <w:r w:rsidRPr="00F57044" w:rsidR="00BC7E47">
        <w:t>.</w:t>
      </w:r>
      <w:r w:rsidRPr="00F57044" w:rsidR="00EE4E5F">
        <w:t xml:space="preserve"> </w:t>
      </w:r>
      <w:r w:rsidRPr="00F57044" w:rsidR="009E2638">
        <w:t>Th</w:t>
      </w:r>
      <w:r w:rsidRPr="00F57044" w:rsidR="00BC7E47">
        <w:t>e</w:t>
      </w:r>
      <w:bookmarkStart w:name="_Hlk197675079" w:id="75"/>
      <w:r w:rsidRPr="00F57044" w:rsidR="00B062E8">
        <w:t xml:space="preserve"> ‘</w:t>
      </w:r>
      <w:r w:rsidRPr="00F57044" w:rsidR="00AD675D">
        <w:t>other stockpile</w:t>
      </w:r>
      <w:r w:rsidRPr="00F57044" w:rsidR="00245CB3">
        <w:t>’</w:t>
      </w:r>
      <w:r w:rsidRPr="00F57044" w:rsidR="00AD675D">
        <w:t xml:space="preserve"> </w:t>
      </w:r>
      <w:r w:rsidRPr="00F57044" w:rsidR="002A128C">
        <w:t xml:space="preserve">(non-surplus stockpile) </w:t>
      </w:r>
      <w:r w:rsidRPr="00F57044" w:rsidDel="00AD675D" w:rsidR="000C1C0F">
        <w:t xml:space="preserve">use </w:t>
      </w:r>
      <w:r w:rsidRPr="00F57044" w:rsidR="00CE764F">
        <w:t xml:space="preserve">reflects </w:t>
      </w:r>
      <w:r w:rsidRPr="00F57044" w:rsidR="00EC1398">
        <w:t xml:space="preserve">some </w:t>
      </w:r>
      <w:r w:rsidRPr="00F57044" w:rsidR="00505D7E">
        <w:t>additional stockpiled units coming to the market based on future price expectations.</w:t>
      </w:r>
      <w:r w:rsidRPr="00F57044" w:rsidR="002F2F0F">
        <w:t xml:space="preserve"> </w:t>
      </w:r>
      <w:r w:rsidRPr="00F57044" w:rsidR="00415DA3">
        <w:t>Notwithstanding</w:t>
      </w:r>
      <w:r w:rsidRPr="00F57044" w:rsidR="002F2F0F">
        <w:t xml:space="preserve"> this additional stockpile use, the total stockpile of units is projected to remain </w:t>
      </w:r>
      <w:r w:rsidRPr="00F57044" w:rsidR="0092596E">
        <w:t xml:space="preserve">between </w:t>
      </w:r>
      <w:r w:rsidRPr="00F57044" w:rsidR="00A274F4">
        <w:t>6</w:t>
      </w:r>
      <w:r w:rsidRPr="00F57044" w:rsidR="008A445A">
        <w:t>0</w:t>
      </w:r>
      <w:r w:rsidRPr="00F57044" w:rsidR="00C87F21">
        <w:t xml:space="preserve"> million and </w:t>
      </w:r>
      <w:r w:rsidRPr="00F57044" w:rsidR="00DE1BDC">
        <w:t>9</w:t>
      </w:r>
      <w:r w:rsidRPr="00F57044" w:rsidR="0092596E">
        <w:t>0</w:t>
      </w:r>
      <w:r w:rsidRPr="00F57044" w:rsidR="00C87F21">
        <w:t xml:space="preserve"> million</w:t>
      </w:r>
      <w:r w:rsidRPr="00F57044" w:rsidR="00A274F4">
        <w:t xml:space="preserve"> NZUs</w:t>
      </w:r>
      <w:r w:rsidRPr="00F57044" w:rsidR="00BA1C2E">
        <w:t xml:space="preserve"> </w:t>
      </w:r>
      <w:r w:rsidRPr="00F57044" w:rsidR="00415DA3">
        <w:t>(</w:t>
      </w:r>
      <w:r w:rsidRPr="00F57044" w:rsidR="00A02448">
        <w:t xml:space="preserve">more than double </w:t>
      </w:r>
      <w:r w:rsidRPr="00F57044" w:rsidR="00050D82">
        <w:t xml:space="preserve">annual </w:t>
      </w:r>
      <w:r w:rsidRPr="00F57044" w:rsidR="00A02448">
        <w:t>compliance demand)</w:t>
      </w:r>
      <w:r w:rsidRPr="00F57044" w:rsidR="00357CCF">
        <w:t xml:space="preserve"> across </w:t>
      </w:r>
      <w:r w:rsidRPr="00F57044" w:rsidR="0092596E">
        <w:t>the modelled period</w:t>
      </w:r>
      <w:r w:rsidRPr="00F57044" w:rsidR="002633AB">
        <w:t>.</w:t>
      </w:r>
    </w:p>
    <w:bookmarkEnd w:id="75"/>
    <w:p w:rsidR="00744459" w:rsidP="004C6E82" w:rsidRDefault="00C87F21" w14:paraId="17CD3EEE" w14:textId="77777777">
      <w:pPr>
        <w:pStyle w:val="BodyText"/>
      </w:pPr>
      <w:r w:rsidRPr="00F57044">
        <w:t>T</w:t>
      </w:r>
      <w:r w:rsidRPr="00F57044" w:rsidR="001F71A2">
        <w:t>he surplus is drawn down faster</w:t>
      </w:r>
      <w:r w:rsidRPr="00F57044">
        <w:t xml:space="preserve"> under option 1</w:t>
      </w:r>
      <w:r w:rsidRPr="00F57044" w:rsidR="00DD3992">
        <w:t xml:space="preserve"> than under option 2</w:t>
      </w:r>
      <w:r w:rsidRPr="00F57044" w:rsidR="001F71A2">
        <w:t>. Therefore</w:t>
      </w:r>
      <w:r w:rsidRPr="00F57044" w:rsidR="00BC7E47">
        <w:t>,</w:t>
      </w:r>
      <w:r w:rsidRPr="00F57044" w:rsidR="001F71A2">
        <w:t xml:space="preserve"> faster reductions in emissions (reduced compliance demand) and some additional stockpile </w:t>
      </w:r>
      <w:proofErr w:type="gramStart"/>
      <w:r w:rsidRPr="00F57044" w:rsidR="001F71A2">
        <w:t>drawdown</w:t>
      </w:r>
      <w:proofErr w:type="gramEnd"/>
      <w:r w:rsidRPr="00F57044" w:rsidR="00C87040">
        <w:t xml:space="preserve"> are needed</w:t>
      </w:r>
      <w:r w:rsidRPr="00F57044" w:rsidR="00CA6D01">
        <w:t xml:space="preserve">, both of which require higher prices to </w:t>
      </w:r>
      <w:r w:rsidRPr="00F57044" w:rsidR="006B583D">
        <w:t>incentivise</w:t>
      </w:r>
      <w:r w:rsidRPr="00F57044" w:rsidR="001F71A2">
        <w:t xml:space="preserve">. </w:t>
      </w:r>
    </w:p>
    <w:p w:rsidRPr="00F57044" w:rsidR="00AC05A6" w:rsidP="004C6E82" w:rsidRDefault="002D7605" w14:paraId="17A8B101" w14:textId="6B9A416F">
      <w:pPr>
        <w:pStyle w:val="BodyText"/>
      </w:pPr>
      <w:r w:rsidRPr="00F57044">
        <w:t>Under o</w:t>
      </w:r>
      <w:r w:rsidRPr="00F57044" w:rsidR="00DA2DE3">
        <w:t xml:space="preserve">ption </w:t>
      </w:r>
      <w:r w:rsidRPr="00F57044" w:rsidR="00524CE8">
        <w:t>2</w:t>
      </w:r>
      <w:r w:rsidRPr="00F57044">
        <w:t>, h</w:t>
      </w:r>
      <w:r w:rsidRPr="00F57044" w:rsidR="00DA2DE3">
        <w:t>igher auction volumes in 2028–</w:t>
      </w:r>
      <w:r w:rsidRPr="00F57044" w:rsidDel="00DA2DE3" w:rsidR="002A70EA">
        <w:t>30</w:t>
      </w:r>
      <w:r w:rsidRPr="00F57044" w:rsidDel="00DA2DE3" w:rsidR="00794FF7">
        <w:t xml:space="preserve"> </w:t>
      </w:r>
      <w:r w:rsidRPr="00F57044" w:rsidDel="00DA2DE3" w:rsidR="00B97A01">
        <w:t>mostly offset</w:t>
      </w:r>
      <w:r w:rsidRPr="00F57044" w:rsidDel="00DA2DE3" w:rsidR="00794FF7">
        <w:t xml:space="preserve"> the need </w:t>
      </w:r>
      <w:r w:rsidRPr="00F57044" w:rsidDel="00DA2DE3" w:rsidR="00D6482C">
        <w:t xml:space="preserve">for additional stockpile drawdown </w:t>
      </w:r>
      <w:r w:rsidRPr="00F57044" w:rsidDel="00DA2DE3" w:rsidR="002149CC">
        <w:t>in EB2</w:t>
      </w:r>
      <w:r w:rsidRPr="00F57044" w:rsidDel="00DA2DE3" w:rsidR="009C7E46">
        <w:t>, reducing the upwards pressure on prices</w:t>
      </w:r>
      <w:r w:rsidRPr="00F57044" w:rsidDel="00DA2DE3" w:rsidR="002149CC">
        <w:t>.</w:t>
      </w:r>
    </w:p>
    <w:p w:rsidRPr="00F57044" w:rsidR="00E8179B" w:rsidP="00D401B1" w:rsidRDefault="00AB2861" w14:paraId="31B865B5" w14:textId="18D11E1F">
      <w:pPr>
        <w:pStyle w:val="Figureheading"/>
      </w:pPr>
      <w:bookmarkStart w:name="_Toc198901890" w:id="76"/>
      <w:r w:rsidRPr="00F57044">
        <w:t xml:space="preserve">Figure </w:t>
      </w:r>
      <w:r w:rsidRPr="00F57044" w:rsidR="001F06F3">
        <w:t>4</w:t>
      </w:r>
      <w:r w:rsidRPr="00F57044" w:rsidR="00E8179B">
        <w:t xml:space="preserve">: </w:t>
      </w:r>
      <w:r w:rsidRPr="00F57044" w:rsidR="00893772">
        <w:tab/>
      </w:r>
      <w:r w:rsidRPr="00F57044" w:rsidR="00312739">
        <w:t xml:space="preserve">Projected </w:t>
      </w:r>
      <w:r w:rsidRPr="00F57044" w:rsidR="003B5F21">
        <w:t xml:space="preserve">sources of </w:t>
      </w:r>
      <w:r w:rsidRPr="00F57044" w:rsidR="00C87F21">
        <w:t xml:space="preserve">New Zealand Unit </w:t>
      </w:r>
      <w:r w:rsidRPr="00F57044" w:rsidR="003B5F21">
        <w:t xml:space="preserve">supply </w:t>
      </w:r>
      <w:r w:rsidRPr="00F57044" w:rsidR="00312739">
        <w:t xml:space="preserve">dynamics </w:t>
      </w:r>
      <w:r w:rsidRPr="00F57044" w:rsidR="00003F98">
        <w:t>under</w:t>
      </w:r>
      <w:r w:rsidRPr="00F57044" w:rsidR="003A023B">
        <w:t xml:space="preserve"> </w:t>
      </w:r>
      <w:r w:rsidRPr="00F57044" w:rsidR="00635AB9">
        <w:t xml:space="preserve">option </w:t>
      </w:r>
      <w:r w:rsidRPr="00F57044" w:rsidR="003F4E95">
        <w:t>1</w:t>
      </w:r>
      <w:r w:rsidRPr="00F57044" w:rsidR="00635AB9">
        <w:t xml:space="preserve"> (</w:t>
      </w:r>
      <w:r w:rsidRPr="00F57044" w:rsidR="009F267E">
        <w:t>status quo</w:t>
      </w:r>
      <w:r w:rsidRPr="00F57044" w:rsidR="00635AB9">
        <w:t>)</w:t>
      </w:r>
      <w:r w:rsidRPr="00F57044" w:rsidR="009F267E">
        <w:t xml:space="preserve"> </w:t>
      </w:r>
      <w:r w:rsidRPr="00F57044" w:rsidR="00003F98">
        <w:t>unit</w:t>
      </w:r>
      <w:r w:rsidR="007875A3">
        <w:t> </w:t>
      </w:r>
      <w:r w:rsidRPr="00F57044" w:rsidR="00635AB9">
        <w:t xml:space="preserve">and price control </w:t>
      </w:r>
      <w:r w:rsidRPr="00F57044" w:rsidR="00003F98">
        <w:t>settings</w:t>
      </w:r>
      <w:r w:rsidRPr="00F57044" w:rsidR="00F65277">
        <w:t>, 2024–50</w:t>
      </w:r>
      <w:bookmarkEnd w:id="76"/>
    </w:p>
    <w:p w:rsidRPr="00F57044" w:rsidR="00FF5CA8" w:rsidP="00EA5C9F" w:rsidRDefault="00087F54" w14:paraId="4134D7B2" w14:textId="33DDB390">
      <w:pPr>
        <w:pStyle w:val="BodyText"/>
      </w:pPr>
      <w:r w:rsidRPr="00F57044">
        <w:rPr>
          <w:noProof/>
        </w:rPr>
        <w:drawing>
          <wp:inline distT="0" distB="0" distL="0" distR="0" wp14:anchorId="6655D01C" wp14:editId="2EF34CAD">
            <wp:extent cx="5400675" cy="3418878"/>
            <wp:effectExtent l="0" t="0" r="0" b="9525"/>
            <wp:docPr id="88092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2657"/>
                    <a:stretch/>
                  </pic:blipFill>
                  <pic:spPr bwMode="auto">
                    <a:xfrm>
                      <a:off x="0" y="0"/>
                      <a:ext cx="5400675" cy="3418878"/>
                    </a:xfrm>
                    <a:prstGeom prst="rect">
                      <a:avLst/>
                    </a:prstGeom>
                    <a:noFill/>
                    <a:ln>
                      <a:noFill/>
                    </a:ln>
                    <a:extLst>
                      <a:ext uri="{53640926-AAD7-44D8-BBD7-CCE9431645EC}">
                        <a14:shadowObscured xmlns:a14="http://schemas.microsoft.com/office/drawing/2010/main"/>
                      </a:ext>
                    </a:extLst>
                  </pic:spPr>
                </pic:pic>
              </a:graphicData>
            </a:graphic>
          </wp:inline>
        </w:drawing>
      </w:r>
    </w:p>
    <w:p w:rsidRPr="00F57044" w:rsidR="00852487" w:rsidP="0002757B" w:rsidRDefault="00635AB9" w14:paraId="428FCFC1" w14:textId="1F84D26F">
      <w:pPr>
        <w:pStyle w:val="Note"/>
      </w:pPr>
      <w:r w:rsidRPr="00F57044">
        <w:t xml:space="preserve">Source: </w:t>
      </w:r>
      <w:r w:rsidRPr="00F57044" w:rsidR="004A35A8">
        <w:t xml:space="preserve">Ministry for the Environment </w:t>
      </w:r>
      <w:r w:rsidRPr="00F57044">
        <w:t>modelling</w:t>
      </w:r>
    </w:p>
    <w:p w:rsidRPr="00F57044" w:rsidR="000D1EBE" w:rsidP="00D401B1" w:rsidRDefault="000058A5" w14:paraId="54B9BB16" w14:textId="4A65ECEA">
      <w:pPr>
        <w:pStyle w:val="Heading4"/>
      </w:pPr>
      <w:r w:rsidRPr="00F57044">
        <w:t xml:space="preserve">Implications for </w:t>
      </w:r>
      <w:r w:rsidRPr="00F57044" w:rsidR="00F05B49">
        <w:t>projected prices</w:t>
      </w:r>
    </w:p>
    <w:p w:rsidRPr="00F57044" w:rsidR="00EA30CF" w:rsidP="00D31F2F" w:rsidRDefault="00F56BD3" w14:paraId="27D1EDC9" w14:textId="72C07CAD">
      <w:pPr>
        <w:pStyle w:val="BodyText"/>
      </w:pPr>
      <w:r w:rsidRPr="00F57044">
        <w:t>Figure</w:t>
      </w:r>
      <w:r w:rsidRPr="00F57044" w:rsidR="00EB5D9B">
        <w:t>s</w:t>
      </w:r>
      <w:r w:rsidRPr="00F57044">
        <w:t xml:space="preserve"> </w:t>
      </w:r>
      <w:r w:rsidRPr="00F57044" w:rsidR="00BA4FD6">
        <w:t>5</w:t>
      </w:r>
      <w:r w:rsidRPr="00F57044" w:rsidR="00EB5D9B">
        <w:t xml:space="preserve"> and</w:t>
      </w:r>
      <w:r w:rsidRPr="00F57044">
        <w:t xml:space="preserve"> </w:t>
      </w:r>
      <w:r w:rsidRPr="00F57044" w:rsidR="00BA4FD6">
        <w:t>6</w:t>
      </w:r>
      <w:r w:rsidRPr="00F57044">
        <w:t xml:space="preserve"> show</w:t>
      </w:r>
      <w:r w:rsidRPr="00F57044" w:rsidR="00ED11BC">
        <w:t xml:space="preserve"> a range of carbon price</w:t>
      </w:r>
      <w:r w:rsidRPr="00F57044" w:rsidR="00393246">
        <w:t xml:space="preserve"> pathways</w:t>
      </w:r>
      <w:r w:rsidRPr="00F57044" w:rsidR="00ED11BC">
        <w:t xml:space="preserve"> based on </w:t>
      </w:r>
      <w:r w:rsidRPr="00F57044" w:rsidR="00F04F2B">
        <w:t>different scenarios for option</w:t>
      </w:r>
      <w:r w:rsidRPr="00F57044" w:rsidR="00AD675D">
        <w:t>s</w:t>
      </w:r>
      <w:r w:rsidRPr="00F57044" w:rsidR="00F04F2B">
        <w:t xml:space="preserve"> 1 and 2</w:t>
      </w:r>
      <w:r w:rsidRPr="00F57044" w:rsidR="00ED11BC">
        <w:t xml:space="preserve">. </w:t>
      </w:r>
      <w:r w:rsidRPr="00F57044" w:rsidR="00AA1262">
        <w:t>T</w:t>
      </w:r>
      <w:r w:rsidRPr="00F57044" w:rsidR="009120BA">
        <w:t xml:space="preserve">he </w:t>
      </w:r>
      <w:r w:rsidRPr="00F57044" w:rsidR="006C1139">
        <w:t>drivers of the ranges</w:t>
      </w:r>
      <w:r w:rsidRPr="00F57044" w:rsidR="009120BA">
        <w:t xml:space="preserve"> </w:t>
      </w:r>
      <w:r w:rsidRPr="00F57044" w:rsidR="00EA3034">
        <w:t>relate to</w:t>
      </w:r>
      <w:r w:rsidRPr="00F57044" w:rsidR="009120BA">
        <w:t xml:space="preserve"> </w:t>
      </w:r>
      <w:r w:rsidRPr="00F57044" w:rsidR="00EA30CF">
        <w:t xml:space="preserve">assumptions about the </w:t>
      </w:r>
      <w:r w:rsidRPr="00F57044" w:rsidR="009120BA">
        <w:t>starting point (the</w:t>
      </w:r>
      <w:r w:rsidRPr="00F57044" w:rsidR="00AF0402">
        <w:t> </w:t>
      </w:r>
      <w:r w:rsidRPr="00F57044" w:rsidR="009120BA">
        <w:t>price in 2025 and whether auctions clear or not)</w:t>
      </w:r>
      <w:r w:rsidRPr="00F57044" w:rsidR="00EA30CF">
        <w:t>,</w:t>
      </w:r>
      <w:r w:rsidRPr="00F57044" w:rsidR="009120BA">
        <w:t xml:space="preserve"> and </w:t>
      </w:r>
      <w:r w:rsidRPr="00F57044" w:rsidR="00271E9A">
        <w:t>stockpile</w:t>
      </w:r>
      <w:r w:rsidRPr="00F57044" w:rsidR="009120BA">
        <w:t xml:space="preserve"> liquidity</w:t>
      </w:r>
      <w:r w:rsidRPr="00F57044" w:rsidR="00271E9A">
        <w:t xml:space="preserve">. </w:t>
      </w:r>
    </w:p>
    <w:p w:rsidRPr="00F57044" w:rsidR="008851BE" w:rsidP="00D31F2F" w:rsidRDefault="008851BE" w14:paraId="5A6642AA" w14:textId="75005CA5">
      <w:pPr>
        <w:pStyle w:val="BodyText"/>
      </w:pPr>
      <w:r w:rsidRPr="00F57044">
        <w:t xml:space="preserve">All else </w:t>
      </w:r>
      <w:r w:rsidRPr="00F57044" w:rsidR="00297254">
        <w:t xml:space="preserve">being </w:t>
      </w:r>
      <w:r w:rsidRPr="00F57044">
        <w:t>equal, the</w:t>
      </w:r>
      <w:r w:rsidRPr="00F57044" w:rsidR="00462560">
        <w:t xml:space="preserve"> option </w:t>
      </w:r>
      <w:r w:rsidRPr="00F57044" w:rsidR="00CD4757">
        <w:t>1</w:t>
      </w:r>
      <w:r w:rsidRPr="00F57044">
        <w:t xml:space="preserve"> settings are projected </w:t>
      </w:r>
      <w:r w:rsidRPr="00F57044" w:rsidR="00856CD0">
        <w:t xml:space="preserve">to lead to higher prices than option </w:t>
      </w:r>
      <w:r w:rsidRPr="00F57044" w:rsidR="00CD4757">
        <w:t>2</w:t>
      </w:r>
      <w:r w:rsidRPr="00F57044" w:rsidR="00AF1A35">
        <w:t>.</w:t>
      </w:r>
      <w:r w:rsidRPr="00F57044" w:rsidR="00656D74">
        <w:t xml:space="preserve"> </w:t>
      </w:r>
      <w:r w:rsidRPr="00F57044" w:rsidR="00723813">
        <w:t>Overall</w:t>
      </w:r>
      <w:r w:rsidRPr="00F57044" w:rsidR="00E47096">
        <w:t xml:space="preserve">, the </w:t>
      </w:r>
      <w:r w:rsidRPr="00F57044" w:rsidR="002162E5">
        <w:t>different options result in</w:t>
      </w:r>
      <w:r w:rsidRPr="00F57044" w:rsidR="00E47096">
        <w:t xml:space="preserve"> a similar price </w:t>
      </w:r>
      <w:r w:rsidRPr="00F57044" w:rsidR="002162E5">
        <w:t xml:space="preserve">projection </w:t>
      </w:r>
      <w:r w:rsidRPr="00F57044" w:rsidR="0067189D">
        <w:t>p</w:t>
      </w:r>
      <w:r w:rsidRPr="00F57044" w:rsidR="00952E31">
        <w:t>rofile</w:t>
      </w:r>
      <w:r w:rsidRPr="00F57044" w:rsidR="0067189D">
        <w:t xml:space="preserve"> </w:t>
      </w:r>
      <w:r w:rsidRPr="00F57044" w:rsidR="00A8478A">
        <w:t>– rising in the near term</w:t>
      </w:r>
      <w:r w:rsidRPr="00F57044" w:rsidR="00AF0402">
        <w:t> </w:t>
      </w:r>
      <w:r w:rsidRPr="00F57044" w:rsidR="00A8478A">
        <w:t xml:space="preserve">to induce enough supply from auctions and </w:t>
      </w:r>
      <w:r w:rsidRPr="00F57044" w:rsidR="00417CA6">
        <w:t>the stockpile</w:t>
      </w:r>
      <w:r w:rsidRPr="00F57044" w:rsidR="00A64CF9">
        <w:t xml:space="preserve"> to meet compliance demand</w:t>
      </w:r>
      <w:r w:rsidRPr="00F57044" w:rsidR="00C170F5">
        <w:t xml:space="preserve">, while in the medium </w:t>
      </w:r>
      <w:r w:rsidRPr="00F57044" w:rsidR="00F85B10">
        <w:t xml:space="preserve">to long </w:t>
      </w:r>
      <w:r w:rsidRPr="00F57044" w:rsidR="00C170F5">
        <w:t>term forestry supply exerts downward pressure on prices</w:t>
      </w:r>
      <w:r w:rsidRPr="00F57044" w:rsidR="00050D82">
        <w:t>.</w:t>
      </w:r>
      <w:r w:rsidRPr="00F57044" w:rsidR="00F16B03">
        <w:t xml:space="preserve"> </w:t>
      </w:r>
      <w:r w:rsidRPr="00F57044" w:rsidR="006579D1">
        <w:t xml:space="preserve">Option 1 prices typically peak </w:t>
      </w:r>
      <w:r w:rsidRPr="00F57044" w:rsidR="00393106">
        <w:t xml:space="preserve">at </w:t>
      </w:r>
      <w:r w:rsidRPr="00F57044" w:rsidR="006579D1">
        <w:t>about $5</w:t>
      </w:r>
      <w:r w:rsidRPr="00F57044" w:rsidR="00393106">
        <w:t xml:space="preserve"> to $</w:t>
      </w:r>
      <w:r w:rsidRPr="00F57044" w:rsidR="008415EA">
        <w:t>2</w:t>
      </w:r>
      <w:r w:rsidRPr="00F57044" w:rsidR="009929DF">
        <w:t>5</w:t>
      </w:r>
      <w:r w:rsidRPr="00F57044" w:rsidR="006579D1">
        <w:t xml:space="preserve"> (in </w:t>
      </w:r>
      <w:proofErr w:type="gramStart"/>
      <w:r w:rsidRPr="00F57044" w:rsidR="006579D1">
        <w:t>2023 dollar</w:t>
      </w:r>
      <w:proofErr w:type="gramEnd"/>
      <w:r w:rsidRPr="00F57044" w:rsidR="006579D1">
        <w:t xml:space="preserve"> terms) higher than option 2, although there is considerable uncertainty around the projected price pathways. </w:t>
      </w:r>
      <w:r w:rsidRPr="00F57044" w:rsidR="00F16B03">
        <w:t>T</w:t>
      </w:r>
      <w:r w:rsidRPr="00F57044" w:rsidR="00B77209">
        <w:t>he timing of the peak in prices has been imposed in this modelling</w:t>
      </w:r>
      <w:r w:rsidRPr="00F57044" w:rsidR="005E5646">
        <w:t xml:space="preserve">, </w:t>
      </w:r>
      <w:r w:rsidRPr="00F57044" w:rsidR="00A74DAF">
        <w:t>but there is a high degree of uncertainty over when and if</w:t>
      </w:r>
      <w:r w:rsidRPr="00F57044" w:rsidR="003064CE">
        <w:t xml:space="preserve"> prices might peak</w:t>
      </w:r>
      <w:r w:rsidRPr="00F57044" w:rsidR="00494616">
        <w:t>.</w:t>
      </w:r>
      <w:r w:rsidRPr="00F57044" w:rsidR="005C3B70">
        <w:t xml:space="preserve"> </w:t>
      </w:r>
      <w:r w:rsidRPr="00F57044" w:rsidR="00E13CB8">
        <w:t>A</w:t>
      </w:r>
      <w:r w:rsidRPr="00F57044" w:rsidR="004E70D3">
        <w:t>n a</w:t>
      </w:r>
      <w:r w:rsidRPr="00F57044" w:rsidR="00E13CB8">
        <w:t>lternative</w:t>
      </w:r>
      <w:r w:rsidRPr="00F57044" w:rsidR="005C3B70">
        <w:t>, continuously rising</w:t>
      </w:r>
      <w:r w:rsidRPr="00F57044" w:rsidR="00E13CB8">
        <w:t xml:space="preserve"> price profile</w:t>
      </w:r>
      <w:r w:rsidRPr="00F57044" w:rsidR="004E70D3">
        <w:t xml:space="preserve"> is</w:t>
      </w:r>
      <w:r w:rsidRPr="00F57044" w:rsidR="00E13CB8">
        <w:t xml:space="preserve"> explored in the </w:t>
      </w:r>
      <w:hyperlink w:history="1" r:id="rId37">
        <w:r w:rsidRPr="00F57044" w:rsidR="00E13CB8">
          <w:rPr>
            <w:rStyle w:val="Hyperlink"/>
          </w:rPr>
          <w:t>technical annex</w:t>
        </w:r>
      </w:hyperlink>
      <w:r w:rsidRPr="00F57044" w:rsidR="00E13CB8">
        <w:t>.</w:t>
      </w:r>
    </w:p>
    <w:p w:rsidRPr="00F57044" w:rsidR="00A65CA8" w:rsidP="00D31F2F" w:rsidRDefault="00A74EE1" w14:paraId="78607625" w14:textId="2CA48310">
      <w:pPr>
        <w:pStyle w:val="BodyText"/>
      </w:pPr>
      <w:r w:rsidRPr="00F57044">
        <w:t>The wider range of prices shown for option 1</w:t>
      </w:r>
      <w:r w:rsidRPr="00F57044" w:rsidR="00A0488F">
        <w:t xml:space="preserve"> also illustrate</w:t>
      </w:r>
      <w:r w:rsidRPr="00F57044" w:rsidR="00F65277">
        <w:t>s</w:t>
      </w:r>
      <w:r w:rsidRPr="00F57044" w:rsidR="00A0488F">
        <w:t xml:space="preserve"> the </w:t>
      </w:r>
      <w:r w:rsidRPr="00F57044" w:rsidR="008E5C1B">
        <w:t xml:space="preserve">risk of higher price volatility </w:t>
      </w:r>
      <w:r w:rsidRPr="00F57044" w:rsidR="00DE0830">
        <w:t xml:space="preserve">under this option. </w:t>
      </w:r>
      <w:r w:rsidRPr="00F57044" w:rsidR="00393106">
        <w:t xml:space="preserve">Given option 1 involves </w:t>
      </w:r>
      <w:r w:rsidRPr="00F57044" w:rsidR="006A5119">
        <w:t>fewer auctioned units than</w:t>
      </w:r>
      <w:r w:rsidRPr="00F57044" w:rsidR="00393106">
        <w:t xml:space="preserve"> under</w:t>
      </w:r>
      <w:r w:rsidRPr="00F57044" w:rsidR="006A5119">
        <w:t xml:space="preserve"> option 2, prices may become more sensitive to </w:t>
      </w:r>
      <w:r w:rsidRPr="00F57044" w:rsidR="001054DD">
        <w:t>the liquidity of the stockpile.</w:t>
      </w:r>
    </w:p>
    <w:p w:rsidRPr="00F57044" w:rsidR="00AF0402" w:rsidP="00AF0402" w:rsidRDefault="006B7F0B" w14:paraId="2A255248" w14:textId="77777777">
      <w:pPr>
        <w:pStyle w:val="Figureheading"/>
      </w:pPr>
      <w:bookmarkStart w:name="_Toc198901891" w:id="77"/>
      <w:bookmarkStart w:name="_Hlk197677743" w:id="78"/>
      <w:r w:rsidRPr="00F57044">
        <w:t xml:space="preserve">Figure </w:t>
      </w:r>
      <w:r w:rsidRPr="00F57044" w:rsidR="00BA4FD6">
        <w:t>5</w:t>
      </w:r>
      <w:r w:rsidRPr="00F57044">
        <w:t xml:space="preserve">: </w:t>
      </w:r>
      <w:r w:rsidRPr="00F57044" w:rsidR="00893772">
        <w:tab/>
      </w:r>
      <w:r w:rsidRPr="00F57044">
        <w:t>Projected price path</w:t>
      </w:r>
      <w:r w:rsidRPr="00F57044" w:rsidR="005C3658">
        <w:t>s</w:t>
      </w:r>
      <w:r w:rsidRPr="00F57044">
        <w:t xml:space="preserve"> </w:t>
      </w:r>
      <w:r w:rsidRPr="00F57044" w:rsidR="00B209AE">
        <w:t xml:space="preserve">under </w:t>
      </w:r>
      <w:r w:rsidRPr="00F57044" w:rsidR="00EB5D9B">
        <w:t>option 1</w:t>
      </w:r>
      <w:r w:rsidRPr="00F57044" w:rsidR="00F65277">
        <w:t>, 2021–35</w:t>
      </w:r>
      <w:bookmarkEnd w:id="77"/>
    </w:p>
    <w:p w:rsidRPr="00F57044" w:rsidR="00224E32" w:rsidP="00AF0402" w:rsidRDefault="00EB439C" w14:paraId="7A40C4E5" w14:textId="74D26753">
      <w:pPr>
        <w:pStyle w:val="BodyText"/>
      </w:pPr>
      <w:r w:rsidRPr="00F57044">
        <w:rPr>
          <w:noProof/>
        </w:rPr>
        <w:drawing>
          <wp:inline distT="0" distB="0" distL="0" distR="0" wp14:anchorId="5840D1CA" wp14:editId="738C135B">
            <wp:extent cx="5400675" cy="3161665"/>
            <wp:effectExtent l="0" t="0" r="9525" b="635"/>
            <wp:docPr id="1531801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161665"/>
                    </a:xfrm>
                    <a:prstGeom prst="rect">
                      <a:avLst/>
                    </a:prstGeom>
                    <a:noFill/>
                    <a:ln>
                      <a:noFill/>
                    </a:ln>
                  </pic:spPr>
                </pic:pic>
              </a:graphicData>
            </a:graphic>
          </wp:inline>
        </w:drawing>
      </w:r>
    </w:p>
    <w:p w:rsidRPr="00F57044" w:rsidR="00EB5D9B" w:rsidP="00EB5D9B" w:rsidRDefault="00EB5D9B" w14:paraId="7FB69F0C" w14:textId="1CD4E240">
      <w:pPr>
        <w:pStyle w:val="Figureheading"/>
      </w:pPr>
      <w:bookmarkStart w:name="_Toc198901892" w:id="79"/>
      <w:r w:rsidRPr="00F57044">
        <w:t xml:space="preserve">Figure </w:t>
      </w:r>
      <w:r w:rsidRPr="00F57044" w:rsidR="00BA4FD6">
        <w:t>6</w:t>
      </w:r>
      <w:r w:rsidRPr="00F57044">
        <w:t xml:space="preserve">: </w:t>
      </w:r>
      <w:r w:rsidRPr="00F57044">
        <w:tab/>
      </w:r>
      <w:r w:rsidRPr="00F57044">
        <w:t>Projected price paths under option 2</w:t>
      </w:r>
      <w:r w:rsidRPr="00F57044" w:rsidR="00F65277">
        <w:t>, 2021–35</w:t>
      </w:r>
      <w:bookmarkEnd w:id="79"/>
    </w:p>
    <w:p w:rsidRPr="00F57044" w:rsidR="00EB439C" w:rsidP="00EB5D9B" w:rsidRDefault="00EB5D9B" w14:paraId="1D7FF623" w14:textId="2D00A7F6">
      <w:r w:rsidRPr="00F57044">
        <w:rPr>
          <w:noProof/>
        </w:rPr>
        <w:drawing>
          <wp:inline distT="0" distB="0" distL="0" distR="0" wp14:anchorId="72553FB2" wp14:editId="64E99B8E">
            <wp:extent cx="5400675" cy="3161665"/>
            <wp:effectExtent l="0" t="0" r="9525" b="635"/>
            <wp:docPr id="1989245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161665"/>
                    </a:xfrm>
                    <a:prstGeom prst="rect">
                      <a:avLst/>
                    </a:prstGeom>
                    <a:noFill/>
                    <a:ln>
                      <a:noFill/>
                    </a:ln>
                  </pic:spPr>
                </pic:pic>
              </a:graphicData>
            </a:graphic>
          </wp:inline>
        </w:drawing>
      </w:r>
    </w:p>
    <w:p w:rsidRPr="00F57044" w:rsidR="00685EEE" w:rsidP="00AF0402" w:rsidRDefault="00685EEE" w14:paraId="761D25D3" w14:textId="77F87DB6">
      <w:pPr>
        <w:pStyle w:val="Note"/>
      </w:pPr>
      <w:r w:rsidRPr="00F57044">
        <w:t>Source: Ministry for the Environment modelling. Highest and lowest prices are derived from the scenario modelling. Ranges have been smoothed to simplify presentation.</w:t>
      </w:r>
    </w:p>
    <w:p w:rsidRPr="00F57044" w:rsidR="007A4836" w:rsidP="00D401B1" w:rsidRDefault="007A4836" w14:paraId="088D48F3" w14:textId="38EBF439">
      <w:pPr>
        <w:pStyle w:val="Heading4"/>
      </w:pPr>
      <w:bookmarkStart w:name="_Implications_for_total" w:id="80"/>
      <w:bookmarkEnd w:id="78"/>
      <w:bookmarkEnd w:id="80"/>
      <w:r w:rsidRPr="00F57044">
        <w:t>Implications for</w:t>
      </w:r>
      <w:r w:rsidRPr="00F57044" w:rsidR="00D64EEF">
        <w:t xml:space="preserve"> total net emissions projections</w:t>
      </w:r>
    </w:p>
    <w:p w:rsidRPr="00F57044" w:rsidR="00F75503" w:rsidP="00D401B1" w:rsidRDefault="000E031C" w14:paraId="161E58CE" w14:textId="6B8E0727">
      <w:pPr>
        <w:pStyle w:val="BodyText"/>
      </w:pPr>
      <w:r w:rsidRPr="00AF66F2">
        <w:rPr>
          <w:spacing w:val="-2"/>
        </w:rPr>
        <w:t xml:space="preserve">The </w:t>
      </w:r>
      <w:r w:rsidRPr="00AF66F2" w:rsidR="008E35AD">
        <w:rPr>
          <w:spacing w:val="-2"/>
        </w:rPr>
        <w:t>m</w:t>
      </w:r>
      <w:r w:rsidRPr="00AF66F2">
        <w:rPr>
          <w:spacing w:val="-2"/>
        </w:rPr>
        <w:t xml:space="preserve">arket </w:t>
      </w:r>
      <w:r w:rsidRPr="00AF66F2" w:rsidR="008E35AD">
        <w:rPr>
          <w:spacing w:val="-2"/>
        </w:rPr>
        <w:t>m</w:t>
      </w:r>
      <w:r w:rsidRPr="00AF66F2">
        <w:rPr>
          <w:spacing w:val="-2"/>
        </w:rPr>
        <w:t>odel was not designed to estimate total net emissions; its focus is on net emissions</w:t>
      </w:r>
      <w:r w:rsidRPr="00F57044">
        <w:t xml:space="preserve"> covered by the </w:t>
      </w:r>
      <w:r w:rsidRPr="00F57044" w:rsidR="00393106">
        <w:t>NZ ETS</w:t>
      </w:r>
      <w:r w:rsidRPr="00F57044">
        <w:t xml:space="preserve">. However, </w:t>
      </w:r>
      <w:r w:rsidRPr="00F57044" w:rsidR="00CA5231">
        <w:t xml:space="preserve">we can combine </w:t>
      </w:r>
      <w:r w:rsidRPr="00F57044">
        <w:t xml:space="preserve">the </w:t>
      </w:r>
      <w:r w:rsidRPr="00F57044" w:rsidR="00CA5231">
        <w:t>model</w:t>
      </w:r>
      <w:r w:rsidRPr="00F57044" w:rsidR="003F2879">
        <w:t xml:space="preserve"> outputs</w:t>
      </w:r>
      <w:r w:rsidRPr="00F57044">
        <w:t xml:space="preserve"> with other information to make</w:t>
      </w:r>
      <w:r w:rsidRPr="00F57044" w:rsidDel="00393106">
        <w:t xml:space="preserve"> </w:t>
      </w:r>
      <w:r w:rsidRPr="00F57044">
        <w:t>high-level projection</w:t>
      </w:r>
      <w:r w:rsidRPr="00F57044" w:rsidR="003F2879">
        <w:t>s</w:t>
      </w:r>
      <w:r w:rsidRPr="00F57044">
        <w:t xml:space="preserve"> of total net emissions.</w:t>
      </w:r>
      <w:r w:rsidRPr="00F57044" w:rsidR="00F75503">
        <w:t xml:space="preserve"> These estimates are subject to </w:t>
      </w:r>
      <w:r w:rsidRPr="00F57044" w:rsidDel="00CA5231" w:rsidR="00F75503">
        <w:t xml:space="preserve">high </w:t>
      </w:r>
      <w:r w:rsidRPr="00F57044" w:rsidR="00F75503">
        <w:t>uncertainty</w:t>
      </w:r>
      <w:r w:rsidRPr="00F57044" w:rsidR="00CA5231">
        <w:t>.</w:t>
      </w:r>
      <w:r w:rsidRPr="00F57044" w:rsidR="00F75503">
        <w:t xml:space="preserve"> </w:t>
      </w:r>
      <w:r w:rsidRPr="00F57044" w:rsidR="00CA5231">
        <w:t xml:space="preserve">They </w:t>
      </w:r>
      <w:r w:rsidRPr="00F57044" w:rsidR="00F75503">
        <w:t xml:space="preserve">are communicated within ranges constructed from sensitivity analysis based on the price responsiveness ranges. </w:t>
      </w:r>
    </w:p>
    <w:p w:rsidRPr="00F57044" w:rsidR="00416036" w:rsidP="00AF0402" w:rsidRDefault="00545EF7" w14:paraId="7E222E6E" w14:textId="75C64345">
      <w:pPr>
        <w:pStyle w:val="BodyText"/>
      </w:pPr>
      <w:r w:rsidRPr="00F57044">
        <w:rPr>
          <w:spacing w:val="-2"/>
        </w:rPr>
        <w:t xml:space="preserve">Within these limitations, </w:t>
      </w:r>
      <w:r w:rsidRPr="00F57044" w:rsidR="00CA5231">
        <w:rPr>
          <w:spacing w:val="-2"/>
        </w:rPr>
        <w:t xml:space="preserve">there is a </w:t>
      </w:r>
      <w:r w:rsidR="00222026">
        <w:rPr>
          <w:spacing w:val="-2"/>
        </w:rPr>
        <w:t>very</w:t>
      </w:r>
      <w:r w:rsidRPr="00F57044" w:rsidR="00CA5231">
        <w:rPr>
          <w:spacing w:val="-2"/>
        </w:rPr>
        <w:t xml:space="preserve"> high probability that under </w:t>
      </w:r>
      <w:r w:rsidRPr="00F57044" w:rsidR="00A86CB0">
        <w:rPr>
          <w:spacing w:val="-2"/>
        </w:rPr>
        <w:t>both</w:t>
      </w:r>
      <w:r w:rsidRPr="00F57044">
        <w:rPr>
          <w:spacing w:val="-2"/>
        </w:rPr>
        <w:t xml:space="preserve"> options</w:t>
      </w:r>
      <w:r w:rsidRPr="00F57044" w:rsidR="00CA5231">
        <w:rPr>
          <w:spacing w:val="-2"/>
        </w:rPr>
        <w:t>,</w:t>
      </w:r>
      <w:r w:rsidRPr="00F57044">
        <w:rPr>
          <w:spacing w:val="-2"/>
        </w:rPr>
        <w:t xml:space="preserve"> </w:t>
      </w:r>
      <w:r w:rsidRPr="00F57044" w:rsidR="00883407">
        <w:rPr>
          <w:spacing w:val="-2"/>
        </w:rPr>
        <w:t>total net emissions</w:t>
      </w:r>
      <w:r w:rsidRPr="00F57044" w:rsidR="00883407">
        <w:t xml:space="preserve"> </w:t>
      </w:r>
      <w:r w:rsidRPr="00F57044" w:rsidR="00CA5231">
        <w:t xml:space="preserve">will be </w:t>
      </w:r>
      <w:r w:rsidRPr="00F57044" w:rsidR="00883407">
        <w:t xml:space="preserve">within </w:t>
      </w:r>
      <w:r w:rsidRPr="00F57044" w:rsidR="00CA5231">
        <w:t xml:space="preserve">EB2 </w:t>
      </w:r>
      <w:r w:rsidRPr="00F57044" w:rsidR="00725A27">
        <w:t>(</w:t>
      </w:r>
      <w:r w:rsidRPr="00F57044" w:rsidR="00884294">
        <w:t>f</w:t>
      </w:r>
      <w:r w:rsidRPr="00F57044" w:rsidR="00725A27">
        <w:t xml:space="preserve">igure </w:t>
      </w:r>
      <w:r w:rsidRPr="00F57044" w:rsidR="00BA4FD6">
        <w:t>7</w:t>
      </w:r>
      <w:r w:rsidRPr="00F57044" w:rsidR="00725A27">
        <w:t>)</w:t>
      </w:r>
      <w:r w:rsidRPr="00F57044" w:rsidR="00521BA5">
        <w:t>.</w:t>
      </w:r>
      <w:r w:rsidRPr="00F57044" w:rsidR="006415E4">
        <w:t xml:space="preserve"> </w:t>
      </w:r>
      <w:r w:rsidRPr="00F57044" w:rsidDel="003F73CD" w:rsidR="00D342C0">
        <w:t>There is a risk to</w:t>
      </w:r>
      <w:r w:rsidRPr="00F57044" w:rsidR="003F73CD">
        <w:t xml:space="preserve"> New Zealand </w:t>
      </w:r>
      <w:r w:rsidRPr="00F57044" w:rsidR="00D342C0">
        <w:t>meet</w:t>
      </w:r>
      <w:r w:rsidRPr="00F57044" w:rsidDel="003F73CD" w:rsidR="00D342C0">
        <w:t>ing</w:t>
      </w:r>
      <w:r w:rsidRPr="00F57044" w:rsidR="00D342C0">
        <w:t xml:space="preserve"> </w:t>
      </w:r>
      <w:r w:rsidRPr="00F57044" w:rsidR="00D842C7">
        <w:t>EB3</w:t>
      </w:r>
      <w:r w:rsidRPr="00F57044" w:rsidR="001B48B6">
        <w:t xml:space="preserve"> </w:t>
      </w:r>
      <w:r w:rsidRPr="00F57044" w:rsidR="00DB4B74">
        <w:t xml:space="preserve">due to the ongoing </w:t>
      </w:r>
      <w:r w:rsidRPr="00F57044" w:rsidR="00DB4B74">
        <w:rPr>
          <w:spacing w:val="-2"/>
        </w:rPr>
        <w:t>potential for stockpiled units to become available to the market</w:t>
      </w:r>
      <w:r w:rsidRPr="00F57044" w:rsidR="00D842C7">
        <w:rPr>
          <w:spacing w:val="-2"/>
        </w:rPr>
        <w:t>.</w:t>
      </w:r>
      <w:r w:rsidRPr="00F57044" w:rsidR="001B48B6">
        <w:rPr>
          <w:spacing w:val="-2"/>
        </w:rPr>
        <w:t xml:space="preserve"> </w:t>
      </w:r>
      <w:r w:rsidRPr="00F57044" w:rsidR="00655FFE">
        <w:rPr>
          <w:spacing w:val="-2"/>
        </w:rPr>
        <w:t>A k</w:t>
      </w:r>
      <w:r w:rsidRPr="00F57044" w:rsidR="00416036">
        <w:rPr>
          <w:spacing w:val="-2"/>
        </w:rPr>
        <w:t>ey factor</w:t>
      </w:r>
      <w:r w:rsidRPr="00F57044" w:rsidR="00C85C86">
        <w:rPr>
          <w:spacing w:val="-2"/>
        </w:rPr>
        <w:t xml:space="preserve"> that will influence</w:t>
      </w:r>
      <w:r w:rsidRPr="00F57044" w:rsidDel="00C85C86" w:rsidR="00416036">
        <w:rPr>
          <w:spacing w:val="-2"/>
        </w:rPr>
        <w:t xml:space="preserve"> </w:t>
      </w:r>
      <w:r w:rsidRPr="00F57044" w:rsidR="00416036">
        <w:rPr>
          <w:spacing w:val="-2"/>
        </w:rPr>
        <w:t xml:space="preserve">EB3 </w:t>
      </w:r>
      <w:r w:rsidRPr="00F57044" w:rsidR="005E1FB4">
        <w:rPr>
          <w:spacing w:val="-2"/>
        </w:rPr>
        <w:t xml:space="preserve">net emissions </w:t>
      </w:r>
      <w:r w:rsidRPr="00F57044" w:rsidR="00416036">
        <w:rPr>
          <w:spacing w:val="-2"/>
        </w:rPr>
        <w:t xml:space="preserve">will be </w:t>
      </w:r>
      <w:r w:rsidRPr="00F57044" w:rsidR="002343BD">
        <w:rPr>
          <w:spacing w:val="-2"/>
        </w:rPr>
        <w:t>how</w:t>
      </w:r>
      <w:r w:rsidRPr="00F57044" w:rsidR="00416036">
        <w:rPr>
          <w:spacing w:val="-2"/>
        </w:rPr>
        <w:t xml:space="preserve"> afforestation rates respond to price movements </w:t>
      </w:r>
      <w:r w:rsidRPr="00F57044" w:rsidR="00F11CE8">
        <w:rPr>
          <w:spacing w:val="-2"/>
        </w:rPr>
        <w:t xml:space="preserve">in the next few years </w:t>
      </w:r>
      <w:r w:rsidRPr="00F57044" w:rsidR="00416036">
        <w:rPr>
          <w:spacing w:val="-2"/>
        </w:rPr>
        <w:t xml:space="preserve">and in particular the extent to which the </w:t>
      </w:r>
      <w:r w:rsidRPr="00F57044" w:rsidR="003F73CD">
        <w:rPr>
          <w:spacing w:val="-2"/>
        </w:rPr>
        <w:t>G</w:t>
      </w:r>
      <w:r w:rsidRPr="00F57044" w:rsidR="00416036">
        <w:rPr>
          <w:spacing w:val="-2"/>
        </w:rPr>
        <w:t xml:space="preserve">overnment’s policy to restrict farm conversions constrains aggregate </w:t>
      </w:r>
      <w:r w:rsidRPr="00F57044" w:rsidR="007C605D">
        <w:rPr>
          <w:spacing w:val="-2"/>
        </w:rPr>
        <w:t xml:space="preserve">exotic </w:t>
      </w:r>
      <w:r w:rsidRPr="00F57044" w:rsidR="00416036">
        <w:rPr>
          <w:spacing w:val="-2"/>
        </w:rPr>
        <w:t>planting</w:t>
      </w:r>
      <w:r w:rsidRPr="00F57044" w:rsidR="003D1523">
        <w:rPr>
          <w:spacing w:val="-2"/>
        </w:rPr>
        <w:t xml:space="preserve"> registered in the NZ ETS</w:t>
      </w:r>
      <w:r w:rsidRPr="00F57044" w:rsidR="00416036">
        <w:rPr>
          <w:spacing w:val="-2"/>
        </w:rPr>
        <w:t>. Reflecting this uncertainty, the figure shows two alternative scenarios for the price-responsiveness of afforestation</w:t>
      </w:r>
      <w:r w:rsidRPr="00F57044" w:rsidR="00396CBE">
        <w:t>.</w:t>
      </w:r>
    </w:p>
    <w:p w:rsidRPr="00F57044" w:rsidR="006E625F" w:rsidP="00D842C7" w:rsidRDefault="00E956C0" w14:paraId="43087F44" w14:textId="3CABB9DA">
      <w:pPr>
        <w:pStyle w:val="BodyText"/>
      </w:pPr>
      <w:r w:rsidRPr="00F57044">
        <w:t xml:space="preserve">Figure </w:t>
      </w:r>
      <w:r w:rsidRPr="00F57044" w:rsidR="00B0088F">
        <w:t>7</w:t>
      </w:r>
      <w:r w:rsidRPr="00F57044">
        <w:t xml:space="preserve"> shows </w:t>
      </w:r>
      <w:r w:rsidRPr="00F57044" w:rsidR="00FA4F9B">
        <w:t xml:space="preserve">midpoint estimates </w:t>
      </w:r>
      <w:r w:rsidRPr="00F57044" w:rsidR="00822F4C">
        <w:t>for</w:t>
      </w:r>
      <w:r w:rsidRPr="00F57044" w:rsidR="00FA4F9B">
        <w:t xml:space="preserve"> </w:t>
      </w:r>
      <w:r w:rsidRPr="00F57044" w:rsidR="00822F4C">
        <w:t>all</w:t>
      </w:r>
      <w:r w:rsidRPr="00F57044" w:rsidR="00F92D48">
        <w:t xml:space="preserve"> options </w:t>
      </w:r>
      <w:r w:rsidRPr="00F57044" w:rsidR="007E470C">
        <w:t>sitting above EB3</w:t>
      </w:r>
      <w:r w:rsidRPr="00F57044" w:rsidR="00E54830">
        <w:t xml:space="preserve">. </w:t>
      </w:r>
      <w:r w:rsidRPr="00F57044" w:rsidR="006344F8">
        <w:t xml:space="preserve">This </w:t>
      </w:r>
      <w:r w:rsidRPr="00F57044" w:rsidR="00C70B6C">
        <w:t xml:space="preserve">is </w:t>
      </w:r>
      <w:proofErr w:type="gramStart"/>
      <w:r w:rsidRPr="00F57044" w:rsidR="001C6E2E">
        <w:t>similar to</w:t>
      </w:r>
      <w:proofErr w:type="gramEnd"/>
      <w:r w:rsidRPr="00F57044" w:rsidR="001C6E2E">
        <w:t xml:space="preserve"> modelling for ERP2, which </w:t>
      </w:r>
      <w:r w:rsidRPr="00F57044" w:rsidR="00D61B5E">
        <w:t xml:space="preserve">included </w:t>
      </w:r>
      <w:r w:rsidRPr="00F57044" w:rsidR="00343452">
        <w:t xml:space="preserve">a </w:t>
      </w:r>
      <w:r w:rsidRPr="00F57044" w:rsidR="008626C0">
        <w:t xml:space="preserve">comparable </w:t>
      </w:r>
      <w:r w:rsidRPr="00F57044" w:rsidR="00343452">
        <w:t>gap</w:t>
      </w:r>
      <w:r w:rsidRPr="00F57044" w:rsidR="00E53A3A">
        <w:t xml:space="preserve"> (</w:t>
      </w:r>
      <w:r w:rsidRPr="00F57044" w:rsidR="00EA3ACB">
        <w:t xml:space="preserve">about </w:t>
      </w:r>
      <w:r w:rsidRPr="00F57044" w:rsidR="00EB628B">
        <w:t>9</w:t>
      </w:r>
      <w:r w:rsidRPr="00F57044" w:rsidR="004B4598">
        <w:t xml:space="preserve"> </w:t>
      </w:r>
      <w:r w:rsidRPr="00F57044" w:rsidR="00E53A3A">
        <w:t>Mt</w:t>
      </w:r>
      <w:r w:rsidRPr="00F57044" w:rsidR="002414B3">
        <w:t xml:space="preserve"> CO</w:t>
      </w:r>
      <w:r w:rsidRPr="00F57044" w:rsidR="002414B3">
        <w:rPr>
          <w:vertAlign w:val="subscript"/>
        </w:rPr>
        <w:t>2</w:t>
      </w:r>
      <w:r w:rsidRPr="00F57044" w:rsidR="002414B3">
        <w:t>e</w:t>
      </w:r>
      <w:r w:rsidRPr="00F57044" w:rsidR="00E53A3A">
        <w:t>)</w:t>
      </w:r>
      <w:r w:rsidRPr="00F57044" w:rsidR="00343452">
        <w:t xml:space="preserve"> between projected </w:t>
      </w:r>
      <w:r w:rsidRPr="00F57044" w:rsidR="00A41AB9">
        <w:t>emissions and EB3.</w:t>
      </w:r>
      <w:r w:rsidRPr="00F57044" w:rsidR="003F73CD">
        <w:t xml:space="preserve"> Decisions on </w:t>
      </w:r>
      <w:r w:rsidRPr="00F57044" w:rsidR="00D14444">
        <w:t xml:space="preserve">2025 </w:t>
      </w:r>
      <w:r w:rsidRPr="00F57044" w:rsidR="00EC79D8">
        <w:t xml:space="preserve">NZ </w:t>
      </w:r>
      <w:r w:rsidRPr="00F57044" w:rsidR="00D14444">
        <w:t>ETS settings do not cover the EB3 period</w:t>
      </w:r>
      <w:r w:rsidRPr="00F57044" w:rsidR="00151714">
        <w:t xml:space="preserve"> but do </w:t>
      </w:r>
      <w:r w:rsidRPr="00F57044" w:rsidR="000762A4">
        <w:t xml:space="preserve">need to </w:t>
      </w:r>
      <w:r w:rsidRPr="00F57044" w:rsidR="00AF5DB0">
        <w:t xml:space="preserve">enable </w:t>
      </w:r>
      <w:r w:rsidRPr="00F57044" w:rsidR="005B3E74">
        <w:rPr>
          <w:spacing w:val="-2"/>
        </w:rPr>
        <w:t xml:space="preserve">future </w:t>
      </w:r>
      <w:r w:rsidRPr="00F57044" w:rsidR="003F73CD">
        <w:rPr>
          <w:spacing w:val="-2"/>
        </w:rPr>
        <w:t>NZ </w:t>
      </w:r>
      <w:r w:rsidRPr="00F57044" w:rsidR="00C55D94">
        <w:rPr>
          <w:spacing w:val="-2"/>
        </w:rPr>
        <w:t xml:space="preserve">ETS settings </w:t>
      </w:r>
      <w:r w:rsidRPr="00F57044" w:rsidR="004E2E2F">
        <w:rPr>
          <w:spacing w:val="-2"/>
        </w:rPr>
        <w:t xml:space="preserve">decisions, as well as </w:t>
      </w:r>
      <w:r w:rsidRPr="00F57044" w:rsidR="00A02AAA">
        <w:rPr>
          <w:spacing w:val="-2"/>
        </w:rPr>
        <w:t>the third emissions reduction plan (</w:t>
      </w:r>
      <w:r w:rsidRPr="00F57044" w:rsidR="004E2E2F">
        <w:rPr>
          <w:spacing w:val="-2"/>
        </w:rPr>
        <w:t>ERP3</w:t>
      </w:r>
      <w:r w:rsidRPr="00F57044" w:rsidR="00A02AAA">
        <w:rPr>
          <w:spacing w:val="-2"/>
        </w:rPr>
        <w:t>)</w:t>
      </w:r>
      <w:r w:rsidRPr="00F57044" w:rsidR="004E2E2F">
        <w:rPr>
          <w:spacing w:val="-2"/>
        </w:rPr>
        <w:t xml:space="preserve">, to </w:t>
      </w:r>
      <w:r w:rsidRPr="00F57044" w:rsidR="001D673D">
        <w:rPr>
          <w:spacing w:val="-2"/>
        </w:rPr>
        <w:t>further</w:t>
      </w:r>
      <w:r w:rsidRPr="00F57044" w:rsidR="001D673D">
        <w:t xml:space="preserve"> reduce emissions</w:t>
      </w:r>
      <w:r w:rsidRPr="00F57044" w:rsidR="00277CFC">
        <w:t xml:space="preserve">, consistent with achieving </w:t>
      </w:r>
      <w:r w:rsidRPr="00F57044" w:rsidR="00F02CAB">
        <w:t>EB3</w:t>
      </w:r>
      <w:r w:rsidRPr="00F57044" w:rsidR="00277CFC">
        <w:t>.</w:t>
      </w:r>
      <w:r w:rsidRPr="00F57044" w:rsidR="001F1400">
        <w:t xml:space="preserve"> </w:t>
      </w:r>
      <w:r w:rsidRPr="00F57044" w:rsidR="006553FD">
        <w:t>This is primarily achieved through aiming to eliminate the surplus stockpile before EB3</w:t>
      </w:r>
      <w:r w:rsidRPr="00F57044" w:rsidR="0043694C">
        <w:t>.</w:t>
      </w:r>
    </w:p>
    <w:p w:rsidRPr="00F57044" w:rsidR="00EE71C1" w:rsidP="00EE71C1" w:rsidRDefault="00EE71C1" w14:paraId="4548C430" w14:textId="6D40FB40">
      <w:pPr>
        <w:pStyle w:val="Figureheading"/>
      </w:pPr>
      <w:bookmarkStart w:name="_Toc198901893" w:id="81"/>
      <w:r w:rsidRPr="00F57044">
        <w:t xml:space="preserve">Figure </w:t>
      </w:r>
      <w:r w:rsidRPr="00F57044" w:rsidR="00BA4FD6">
        <w:t>7</w:t>
      </w:r>
      <w:r w:rsidRPr="00F57044">
        <w:t xml:space="preserve">: </w:t>
      </w:r>
      <w:r w:rsidRPr="00F57044" w:rsidR="00893772">
        <w:tab/>
      </w:r>
      <w:r w:rsidRPr="00F57044">
        <w:t>Projected total net emissions</w:t>
      </w:r>
      <w:r w:rsidRPr="00F57044" w:rsidR="00A02AAA">
        <w:t xml:space="preserve"> in the second and third emissions budgets</w:t>
      </w:r>
      <w:bookmarkEnd w:id="81"/>
    </w:p>
    <w:p w:rsidRPr="00F57044" w:rsidR="00000758" w:rsidP="0001370D" w:rsidRDefault="0090047D" w14:paraId="5C24D30F" w14:textId="1E8E0F34">
      <w:pPr>
        <w:pStyle w:val="BodyText"/>
      </w:pPr>
      <w:r w:rsidRPr="00F57044">
        <w:rPr>
          <w:noProof/>
        </w:rPr>
        <w:drawing>
          <wp:inline distT="0" distB="0" distL="0" distR="0" wp14:anchorId="2330144E" wp14:editId="4C2C1A3C">
            <wp:extent cx="5399846" cy="3408784"/>
            <wp:effectExtent l="0" t="0" r="0" b="1270"/>
            <wp:docPr id="88611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1593" b="1407"/>
                    <a:stretch/>
                  </pic:blipFill>
                  <pic:spPr bwMode="auto">
                    <a:xfrm>
                      <a:off x="0" y="0"/>
                      <a:ext cx="5400675" cy="3409307"/>
                    </a:xfrm>
                    <a:prstGeom prst="rect">
                      <a:avLst/>
                    </a:prstGeom>
                    <a:noFill/>
                    <a:ln>
                      <a:noFill/>
                    </a:ln>
                    <a:extLst>
                      <a:ext uri="{53640926-AAD7-44D8-BBD7-CCE9431645EC}">
                        <a14:shadowObscured xmlns:a14="http://schemas.microsoft.com/office/drawing/2010/main"/>
                      </a:ext>
                    </a:extLst>
                  </pic:spPr>
                </pic:pic>
              </a:graphicData>
            </a:graphic>
          </wp:inline>
        </w:drawing>
      </w:r>
    </w:p>
    <w:p w:rsidRPr="00F57044" w:rsidR="00A02AAA" w:rsidP="00B93B21" w:rsidRDefault="00EE71C1" w14:paraId="0D288585" w14:textId="76535042">
      <w:pPr>
        <w:pStyle w:val="Note"/>
      </w:pPr>
      <w:r w:rsidRPr="00F57044">
        <w:t>Source:</w:t>
      </w:r>
      <w:r w:rsidRPr="00F57044" w:rsidDel="008E35AD">
        <w:t xml:space="preserve"> </w:t>
      </w:r>
      <w:r w:rsidRPr="00F57044" w:rsidR="008E35AD">
        <w:t xml:space="preserve">Ministry for the Environment </w:t>
      </w:r>
      <w:r w:rsidRPr="00F57044">
        <w:t>modelling</w:t>
      </w:r>
    </w:p>
    <w:p w:rsidRPr="00F57044" w:rsidR="00EE71C1" w:rsidP="007A140B" w:rsidRDefault="00EE71C1" w14:paraId="139B4C04" w14:textId="3D7867AC">
      <w:pPr>
        <w:pStyle w:val="Note"/>
        <w:spacing w:after="240"/>
      </w:pPr>
      <w:r w:rsidRPr="00F57044">
        <w:t>Note: Horizontal lines represent the indicative central estimate</w:t>
      </w:r>
      <w:r w:rsidRPr="00F57044" w:rsidR="008E35AD">
        <w:t>,</w:t>
      </w:r>
      <w:r w:rsidRPr="00F57044">
        <w:t xml:space="preserve"> and vertical lines the high and low estimates.</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E720F3" w14:paraId="145A0A6D" w14:textId="77777777">
        <w:tc>
          <w:tcPr>
            <w:tcW w:w="5000" w:type="pct"/>
            <w:gridSpan w:val="2"/>
            <w:shd w:val="clear" w:color="auto" w:fill="1B556B" w:themeFill="text2"/>
          </w:tcPr>
          <w:p w:rsidRPr="00F57044" w:rsidR="00E720F3" w:rsidRDefault="00E720F3" w14:paraId="61A50FBF" w14:textId="31088845">
            <w:pPr>
              <w:keepNext/>
              <w:spacing w:before="60" w:after="60" w:line="240" w:lineRule="atLeast"/>
              <w:jc w:val="left"/>
              <w:rPr>
                <w:b/>
                <w:color w:val="FFFFFF" w:themeColor="background1"/>
                <w:sz w:val="20"/>
                <w:szCs w:val="20"/>
              </w:rPr>
            </w:pPr>
            <w:r w:rsidRPr="00F57044">
              <w:rPr>
                <w:b/>
                <w:color w:val="FFFFFF" w:themeColor="background1"/>
                <w:sz w:val="20"/>
                <w:szCs w:val="20"/>
              </w:rPr>
              <w:t>Question</w:t>
            </w:r>
          </w:p>
        </w:tc>
      </w:tr>
      <w:tr w:rsidRPr="00F57044" w:rsidR="00E720F3" w14:paraId="196C6A73" w14:textId="77777777">
        <w:tc>
          <w:tcPr>
            <w:tcW w:w="333" w:type="pct"/>
          </w:tcPr>
          <w:p w:rsidRPr="00F57044" w:rsidR="00E720F3" w:rsidP="00EC7F33" w:rsidRDefault="002A3F87" w14:paraId="5D4EAA9F" w14:textId="16B2B822">
            <w:pPr>
              <w:pStyle w:val="Questions"/>
            </w:pPr>
            <w:r w:rsidRPr="00F57044">
              <w:t>6</w:t>
            </w:r>
          </w:p>
        </w:tc>
        <w:tc>
          <w:tcPr>
            <w:tcW w:w="4667" w:type="pct"/>
          </w:tcPr>
          <w:p w:rsidRPr="00F57044" w:rsidR="00E720F3" w:rsidP="00EC7F33" w:rsidRDefault="00E720F3" w14:paraId="2DF48A5A" w14:textId="09BB234A">
            <w:pPr>
              <w:pStyle w:val="Questions"/>
            </w:pPr>
            <w:r w:rsidRPr="00F57044">
              <w:t xml:space="preserve">Do you think the stockpile will pose a risk to achieving </w:t>
            </w:r>
            <w:r w:rsidRPr="00F57044" w:rsidR="00A02AAA">
              <w:t xml:space="preserve">the third </w:t>
            </w:r>
            <w:r w:rsidRPr="00F57044">
              <w:t>emissions budget in the way described here?</w:t>
            </w:r>
          </w:p>
        </w:tc>
      </w:tr>
    </w:tbl>
    <w:p w:rsidRPr="00F57044" w:rsidR="00B57BCE" w:rsidP="007A140B" w:rsidRDefault="00D976D8" w14:paraId="283C0C2F" w14:textId="52F74909">
      <w:pPr>
        <w:pStyle w:val="Heading2"/>
        <w:spacing w:before="440"/>
      </w:pPr>
      <w:bookmarkStart w:name="_Toc199231037" w:id="82"/>
      <w:r w:rsidRPr="00F57044">
        <w:t xml:space="preserve">Impacts </w:t>
      </w:r>
      <w:r w:rsidRPr="00F57044" w:rsidR="0061130F">
        <w:t xml:space="preserve">on </w:t>
      </w:r>
      <w:r w:rsidRPr="00F57044" w:rsidR="008F3C37">
        <w:t xml:space="preserve">the economy and </w:t>
      </w:r>
      <w:r w:rsidRPr="00F57044" w:rsidR="0061130F">
        <w:t>households</w:t>
      </w:r>
      <w:bookmarkEnd w:id="82"/>
    </w:p>
    <w:p w:rsidRPr="00F57044" w:rsidR="00AD3407" w:rsidP="004F6EDB" w:rsidRDefault="00593A95" w14:paraId="6E5C9753" w14:textId="0FB5574B">
      <w:pPr>
        <w:pStyle w:val="BodyText"/>
      </w:pPr>
      <w:r w:rsidRPr="00F57044">
        <w:t xml:space="preserve">The </w:t>
      </w:r>
      <w:r w:rsidRPr="00F57044" w:rsidR="00F72B9E">
        <w:t xml:space="preserve">NZ </w:t>
      </w:r>
      <w:r w:rsidRPr="00F57044">
        <w:t xml:space="preserve">ETS </w:t>
      </w:r>
      <w:r w:rsidRPr="00F57044" w:rsidR="0052511C">
        <w:t xml:space="preserve">works by placing a </w:t>
      </w:r>
      <w:r w:rsidRPr="00F57044">
        <w:t>cost o</w:t>
      </w:r>
      <w:r w:rsidRPr="00F57044" w:rsidR="0052511C">
        <w:t>n</w:t>
      </w:r>
      <w:r w:rsidRPr="00F57044">
        <w:t xml:space="preserve"> emissions </w:t>
      </w:r>
      <w:r w:rsidRPr="00F57044" w:rsidR="0052511C">
        <w:t>for</w:t>
      </w:r>
      <w:r w:rsidRPr="00F57044">
        <w:t xml:space="preserve"> businesses </w:t>
      </w:r>
      <w:r w:rsidRPr="00F57044" w:rsidR="00530E53">
        <w:t xml:space="preserve">that </w:t>
      </w:r>
      <w:r w:rsidRPr="00F57044" w:rsidR="000A3B1F">
        <w:t xml:space="preserve">have obligations under the </w:t>
      </w:r>
      <w:r w:rsidRPr="00F57044" w:rsidR="00012F74">
        <w:rPr>
          <w:spacing w:val="-2"/>
        </w:rPr>
        <w:t>NZ ETS</w:t>
      </w:r>
      <w:r w:rsidRPr="00F57044" w:rsidR="002243D3">
        <w:rPr>
          <w:spacing w:val="-2"/>
        </w:rPr>
        <w:t xml:space="preserve">. </w:t>
      </w:r>
      <w:r w:rsidRPr="00F57044" w:rsidR="00F55D26">
        <w:rPr>
          <w:spacing w:val="-2"/>
        </w:rPr>
        <w:t>It</w:t>
      </w:r>
      <w:r w:rsidRPr="00F57044">
        <w:rPr>
          <w:spacing w:val="-2"/>
        </w:rPr>
        <w:t xml:space="preserve"> incentivises greater </w:t>
      </w:r>
      <w:r w:rsidRPr="00F57044" w:rsidR="002243D3">
        <w:rPr>
          <w:spacing w:val="-2"/>
        </w:rPr>
        <w:t xml:space="preserve">reduction of </w:t>
      </w:r>
      <w:r w:rsidRPr="00F57044">
        <w:rPr>
          <w:spacing w:val="-2"/>
        </w:rPr>
        <w:t>gross emissions as businesses consider low</w:t>
      </w:r>
      <w:r w:rsidRPr="00F57044" w:rsidR="002243D3">
        <w:rPr>
          <w:spacing w:val="-2"/>
        </w:rPr>
        <w:t>-</w:t>
      </w:r>
      <w:r w:rsidRPr="00F57044">
        <w:rPr>
          <w:spacing w:val="-2"/>
        </w:rPr>
        <w:t>emission</w:t>
      </w:r>
      <w:r w:rsidRPr="00F57044" w:rsidR="00A02AAA">
        <w:t>s</w:t>
      </w:r>
      <w:r w:rsidRPr="00F57044">
        <w:t xml:space="preserve"> alternatives</w:t>
      </w:r>
      <w:r w:rsidRPr="00F57044" w:rsidR="0052511C">
        <w:t xml:space="preserve"> that avoid that cost</w:t>
      </w:r>
      <w:r w:rsidRPr="00F57044">
        <w:t>.</w:t>
      </w:r>
      <w:r w:rsidRPr="00F57044" w:rsidR="0052511C">
        <w:t xml:space="preserve"> </w:t>
      </w:r>
      <w:r w:rsidRPr="00F57044" w:rsidR="00FF62B1">
        <w:t xml:space="preserve">The </w:t>
      </w:r>
      <w:r w:rsidRPr="00F57044" w:rsidR="00A83136">
        <w:t xml:space="preserve">NZ </w:t>
      </w:r>
      <w:r w:rsidRPr="00F57044" w:rsidR="00FF62B1">
        <w:t xml:space="preserve">ETS impacts on various sectors of the New Zealand </w:t>
      </w:r>
      <w:r w:rsidRPr="00F57044" w:rsidR="00FF62B1">
        <w:t>economy differently</w:t>
      </w:r>
      <w:r w:rsidRPr="00F57044" w:rsidR="002243D3">
        <w:t>. It</w:t>
      </w:r>
      <w:r w:rsidRPr="00F57044" w:rsidR="00177D26">
        <w:t xml:space="preserve"> add</w:t>
      </w:r>
      <w:r w:rsidRPr="00F57044" w:rsidR="002243D3">
        <w:t>s</w:t>
      </w:r>
      <w:r w:rsidRPr="00F57044" w:rsidR="00177D26">
        <w:t xml:space="preserve"> higher costs to </w:t>
      </w:r>
      <w:r w:rsidRPr="00F57044" w:rsidR="002243D3">
        <w:t xml:space="preserve">activities </w:t>
      </w:r>
      <w:r w:rsidRPr="00F57044" w:rsidR="00772E44">
        <w:t xml:space="preserve">that are more </w:t>
      </w:r>
      <w:r w:rsidRPr="00F57044" w:rsidR="00AD3407">
        <w:t xml:space="preserve">emissions </w:t>
      </w:r>
      <w:proofErr w:type="gramStart"/>
      <w:r w:rsidRPr="00F57044" w:rsidR="00772E44">
        <w:t>intensive, and</w:t>
      </w:r>
      <w:proofErr w:type="gramEnd"/>
      <w:r w:rsidRPr="00F57044" w:rsidR="00772E44">
        <w:t xml:space="preserve"> </w:t>
      </w:r>
      <w:r w:rsidRPr="00F57044" w:rsidR="002243D3">
        <w:t xml:space="preserve">provides </w:t>
      </w:r>
      <w:r w:rsidRPr="00F57044" w:rsidR="00AD3407">
        <w:t>an additional revenue stream for foresters who can earn NZUs.</w:t>
      </w:r>
    </w:p>
    <w:p w:rsidRPr="00F57044" w:rsidR="00DE38D0" w:rsidP="004F6EDB" w:rsidRDefault="004F6EDB" w14:paraId="32354374" w14:textId="6B74D589">
      <w:pPr>
        <w:pStyle w:val="BodyText"/>
      </w:pPr>
      <w:r w:rsidRPr="00F57044">
        <w:t xml:space="preserve">Businesses may choose to offset this cost </w:t>
      </w:r>
      <w:r w:rsidRPr="00F57044" w:rsidR="00D22F89">
        <w:t>where they can</w:t>
      </w:r>
      <w:r w:rsidRPr="00F57044" w:rsidR="002243D3">
        <w:t>,</w:t>
      </w:r>
      <w:r w:rsidRPr="00F57044" w:rsidR="00F67038">
        <w:t xml:space="preserve"> </w:t>
      </w:r>
      <w:r w:rsidRPr="00F57044">
        <w:t xml:space="preserve">by </w:t>
      </w:r>
      <w:r w:rsidRPr="00F57044" w:rsidR="00D95B18">
        <w:t xml:space="preserve">investing in </w:t>
      </w:r>
      <w:r w:rsidRPr="00F57044" w:rsidR="00A9278C">
        <w:t>lower</w:t>
      </w:r>
      <w:r w:rsidRPr="00F57044" w:rsidR="00530E53">
        <w:t>-</w:t>
      </w:r>
      <w:r w:rsidRPr="00F57044" w:rsidR="00D95B18">
        <w:t xml:space="preserve">emissions </w:t>
      </w:r>
      <w:r w:rsidRPr="00F57044" w:rsidR="00A9278C">
        <w:t>technologies or process</w:t>
      </w:r>
      <w:r w:rsidRPr="00F57044" w:rsidR="00330E63">
        <w:t>es</w:t>
      </w:r>
      <w:r w:rsidRPr="00F57044" w:rsidR="00A9278C">
        <w:t xml:space="preserve">, </w:t>
      </w:r>
      <w:r w:rsidRPr="00F57044" w:rsidR="00EC2BD6">
        <w:t xml:space="preserve">by </w:t>
      </w:r>
      <w:r w:rsidRPr="00F57044">
        <w:t>increasing their prices to consumers or</w:t>
      </w:r>
      <w:r w:rsidRPr="00F57044" w:rsidR="00EC2BD6">
        <w:t xml:space="preserve"> by</w:t>
      </w:r>
      <w:r w:rsidRPr="00F57044">
        <w:t xml:space="preserve"> reducing their costs. </w:t>
      </w:r>
      <w:r w:rsidRPr="00F57044" w:rsidR="00530E53">
        <w:t xml:space="preserve">Reducing their costs </w:t>
      </w:r>
      <w:r w:rsidRPr="00F57044">
        <w:t>could include reducing the</w:t>
      </w:r>
      <w:r w:rsidR="00564BD0">
        <w:t>ir</w:t>
      </w:r>
      <w:r w:rsidRPr="00F57044">
        <w:t xml:space="preserve"> number of employees.</w:t>
      </w:r>
      <w:r w:rsidRPr="00F57044" w:rsidR="007244F0">
        <w:t xml:space="preserve"> </w:t>
      </w:r>
      <w:r w:rsidRPr="00F57044" w:rsidDel="00530E53" w:rsidR="000B21D1">
        <w:t>H</w:t>
      </w:r>
      <w:r w:rsidRPr="00F57044" w:rsidR="002243D3">
        <w:t xml:space="preserve">igher </w:t>
      </w:r>
      <w:r w:rsidRPr="00F57044" w:rsidDel="00530E53">
        <w:t>prices</w:t>
      </w:r>
      <w:r w:rsidRPr="00F57044" w:rsidDel="00530E53" w:rsidR="000516AB">
        <w:t xml:space="preserve"> </w:t>
      </w:r>
      <w:r w:rsidRPr="00F57044" w:rsidR="000516AB">
        <w:t>passed on</w:t>
      </w:r>
      <w:r w:rsidRPr="00F57044" w:rsidR="001B540B">
        <w:t> </w:t>
      </w:r>
      <w:r w:rsidRPr="00F57044" w:rsidR="000516AB">
        <w:t>to consumers</w:t>
      </w:r>
      <w:r w:rsidRPr="00F57044" w:rsidR="004E39B1">
        <w:t xml:space="preserve"> </w:t>
      </w:r>
      <w:r w:rsidRPr="00F57044" w:rsidR="00255492">
        <w:t>contribute</w:t>
      </w:r>
      <w:r w:rsidRPr="00F57044" w:rsidR="004E39B1">
        <w:t xml:space="preserve"> to </w:t>
      </w:r>
      <w:proofErr w:type="gramStart"/>
      <w:r w:rsidRPr="00F57044" w:rsidR="004E39B1">
        <w:t>inflation</w:t>
      </w:r>
      <w:r w:rsidRPr="00F57044" w:rsidR="002243D3">
        <w:t>,</w:t>
      </w:r>
      <w:r w:rsidRPr="00F57044" w:rsidR="000516AB">
        <w:t xml:space="preserve"> and</w:t>
      </w:r>
      <w:proofErr w:type="gramEnd"/>
      <w:r w:rsidRPr="00F57044" w:rsidR="000516AB">
        <w:t xml:space="preserve"> increase the cost of household essentials such as</w:t>
      </w:r>
      <w:r w:rsidRPr="00F57044" w:rsidR="001B540B">
        <w:t> </w:t>
      </w:r>
      <w:r w:rsidRPr="00F57044" w:rsidR="000516AB">
        <w:t>fuel, electricity and food</w:t>
      </w:r>
      <w:r w:rsidRPr="00F57044">
        <w:t>.</w:t>
      </w:r>
      <w:r w:rsidRPr="00F57044" w:rsidR="00370684">
        <w:t xml:space="preserve"> Households can look to substitute </w:t>
      </w:r>
      <w:r w:rsidRPr="00F57044" w:rsidDel="00530E53" w:rsidR="00370684">
        <w:t xml:space="preserve">towards </w:t>
      </w:r>
      <w:r w:rsidRPr="00F57044" w:rsidR="00370684">
        <w:t>lower</w:t>
      </w:r>
      <w:r w:rsidRPr="00F57044" w:rsidR="00465B0C">
        <w:t>-</w:t>
      </w:r>
      <w:r w:rsidRPr="00F57044" w:rsidR="00370684">
        <w:t>emissions</w:t>
      </w:r>
      <w:r w:rsidRPr="00F57044" w:rsidR="00F74FEB">
        <w:t xml:space="preserve"> alternatives</w:t>
      </w:r>
      <w:r w:rsidRPr="00F57044" w:rsidR="00A50A08">
        <w:t xml:space="preserve"> </w:t>
      </w:r>
      <w:r w:rsidRPr="00F57044" w:rsidR="006A007D">
        <w:t>to offset some of these costs.</w:t>
      </w:r>
    </w:p>
    <w:p w:rsidRPr="00F57044" w:rsidR="00D2179E" w:rsidP="518F12C8" w:rsidRDefault="00D2179E" w14:paraId="3E0E5BE5" w14:textId="2736861D">
      <w:pPr>
        <w:pStyle w:val="BodyText"/>
      </w:pPr>
      <w:r w:rsidRPr="00F57044">
        <w:t xml:space="preserve">The Ministry for the Environment estimates that a $10 increase in the </w:t>
      </w:r>
      <w:r w:rsidRPr="00F57044" w:rsidR="00D21D70">
        <w:t xml:space="preserve">NZ </w:t>
      </w:r>
      <w:r w:rsidRPr="00F57044">
        <w:t>ETS price adds about $</w:t>
      </w:r>
      <w:r w:rsidRPr="00F57044" w:rsidR="00F918B2">
        <w:t>90</w:t>
      </w:r>
      <w:r w:rsidRPr="00F57044">
        <w:t xml:space="preserve"> per </w:t>
      </w:r>
      <w:r w:rsidRPr="00F57044" w:rsidR="005B4B9F">
        <w:t xml:space="preserve">year </w:t>
      </w:r>
      <w:r w:rsidRPr="00F57044">
        <w:t>to</w:t>
      </w:r>
      <w:r w:rsidRPr="00F57044" w:rsidR="00D26C8E">
        <w:t xml:space="preserve"> </w:t>
      </w:r>
      <w:r w:rsidRPr="00F57044" w:rsidR="00967171">
        <w:t>the average household</w:t>
      </w:r>
      <w:r w:rsidRPr="00F57044" w:rsidR="002971C4">
        <w:t>’</w:t>
      </w:r>
      <w:r w:rsidRPr="00F57044" w:rsidR="00967171">
        <w:t>s expenditure</w:t>
      </w:r>
      <w:r w:rsidRPr="00F57044" w:rsidR="007862F7">
        <w:t xml:space="preserve">, mostly through </w:t>
      </w:r>
      <w:r w:rsidRPr="00F57044" w:rsidR="005B4B9F">
        <w:t xml:space="preserve">its </w:t>
      </w:r>
      <w:r w:rsidRPr="00F57044" w:rsidR="00BB5F74">
        <w:t>impacts on fuel and electricity prices</w:t>
      </w:r>
      <w:r w:rsidRPr="00F57044" w:rsidR="006F2595">
        <w:t>.</w:t>
      </w:r>
      <w:r w:rsidRPr="00F57044" w:rsidR="00EF5CE3">
        <w:t xml:space="preserve"> For lowest</w:t>
      </w:r>
      <w:r w:rsidRPr="00F57044" w:rsidR="005B4B9F">
        <w:t>-</w:t>
      </w:r>
      <w:r w:rsidRPr="00F57044" w:rsidR="00EF5CE3">
        <w:t>income households</w:t>
      </w:r>
      <w:r w:rsidRPr="00F57044" w:rsidR="002243D3">
        <w:t>,</w:t>
      </w:r>
      <w:r w:rsidRPr="00F57044" w:rsidR="00043B97">
        <w:t xml:space="preserve"> a $10 increase amounts to</w:t>
      </w:r>
      <w:r w:rsidRPr="00F57044" w:rsidR="005B4B9F">
        <w:t xml:space="preserve"> an increase in expenditure</w:t>
      </w:r>
      <w:r w:rsidRPr="00F57044" w:rsidR="00043B97">
        <w:t xml:space="preserve"> </w:t>
      </w:r>
      <w:r w:rsidRPr="00F57044" w:rsidR="005B4B9F">
        <w:t xml:space="preserve">of </w:t>
      </w:r>
      <w:r w:rsidRPr="00F57044" w:rsidR="00043B97">
        <w:t xml:space="preserve">about </w:t>
      </w:r>
      <w:r w:rsidRPr="00F57044" w:rsidR="009D4F40">
        <w:t>$</w:t>
      </w:r>
      <w:r w:rsidRPr="00F57044" w:rsidR="00B9363E">
        <w:t>50</w:t>
      </w:r>
      <w:r w:rsidRPr="00F57044" w:rsidR="002243D3">
        <w:t>–</w:t>
      </w:r>
      <w:r w:rsidRPr="00F57044" w:rsidR="00B9363E">
        <w:t>60</w:t>
      </w:r>
      <w:r w:rsidRPr="00F57044" w:rsidR="009D4F40">
        <w:t xml:space="preserve"> per </w:t>
      </w:r>
      <w:r w:rsidRPr="00F57044" w:rsidR="005B4B9F">
        <w:t>year</w:t>
      </w:r>
      <w:r w:rsidRPr="00F57044" w:rsidR="002243D3">
        <w:t>,</w:t>
      </w:r>
      <w:r w:rsidRPr="00F57044" w:rsidDel="00530E53" w:rsidR="009D4F40">
        <w:t xml:space="preserve"> </w:t>
      </w:r>
      <w:r w:rsidRPr="00F57044" w:rsidR="00530E53">
        <w:t xml:space="preserve">while it represents </w:t>
      </w:r>
      <w:r w:rsidRPr="00F57044" w:rsidR="009D4F40">
        <w:t>a</w:t>
      </w:r>
      <w:r w:rsidRPr="00F57044" w:rsidR="00137D99">
        <w:t>n increase of</w:t>
      </w:r>
      <w:r w:rsidRPr="00F57044" w:rsidR="009D4F40">
        <w:t xml:space="preserve"> </w:t>
      </w:r>
      <w:r w:rsidRPr="00F57044" w:rsidR="00A507FF">
        <w:t>$</w:t>
      </w:r>
      <w:r w:rsidRPr="00F57044" w:rsidR="00603EA7">
        <w:t>130</w:t>
      </w:r>
      <w:r w:rsidRPr="00F57044" w:rsidR="002243D3">
        <w:t>–</w:t>
      </w:r>
      <w:r w:rsidRPr="00F57044" w:rsidR="00603EA7">
        <w:t xml:space="preserve">160 </w:t>
      </w:r>
      <w:r w:rsidRPr="00F57044" w:rsidR="00137D99">
        <w:t xml:space="preserve">per year </w:t>
      </w:r>
      <w:r w:rsidRPr="00F57044" w:rsidR="00A507FF">
        <w:t>for highest</w:t>
      </w:r>
      <w:r w:rsidRPr="00F57044" w:rsidR="00137D99">
        <w:t>-</w:t>
      </w:r>
      <w:r w:rsidRPr="00F57044" w:rsidR="00A507FF">
        <w:t>income households.</w:t>
      </w:r>
    </w:p>
    <w:p w:rsidRPr="00F57044" w:rsidR="00E2286A" w:rsidP="518F12C8" w:rsidRDefault="003E68B8" w14:paraId="02296434" w14:textId="00057143">
      <w:pPr>
        <w:pStyle w:val="BodyText"/>
      </w:pPr>
      <w:r w:rsidRPr="00F57044">
        <w:t xml:space="preserve">Changes in </w:t>
      </w:r>
      <w:r w:rsidRPr="00F57044" w:rsidR="00137D99">
        <w:t xml:space="preserve">NZ </w:t>
      </w:r>
      <w:r w:rsidRPr="00F57044">
        <w:t xml:space="preserve">ETS prices make modest contributions to </w:t>
      </w:r>
      <w:r w:rsidRPr="00F57044" w:rsidR="0073508A">
        <w:t>consumer inflation.</w:t>
      </w:r>
      <w:r w:rsidRPr="00F57044" w:rsidR="00E561F9">
        <w:t xml:space="preserve"> </w:t>
      </w:r>
      <w:r w:rsidRPr="00F57044" w:rsidR="00A83497">
        <w:t xml:space="preserve">A $10 increase in the </w:t>
      </w:r>
      <w:r w:rsidRPr="00F57044" w:rsidR="00D21D70">
        <w:t xml:space="preserve">NZ </w:t>
      </w:r>
      <w:r w:rsidRPr="00F57044" w:rsidR="00A83497">
        <w:t xml:space="preserve">ETS price </w:t>
      </w:r>
      <w:r w:rsidRPr="00F57044" w:rsidR="00157591">
        <w:t xml:space="preserve">is estimated to increase </w:t>
      </w:r>
      <w:r w:rsidRPr="00F57044" w:rsidR="00E242D4">
        <w:t xml:space="preserve">annual </w:t>
      </w:r>
      <w:r w:rsidRPr="00F57044" w:rsidR="00157591">
        <w:t xml:space="preserve">consumer price inflation by </w:t>
      </w:r>
      <w:r w:rsidRPr="00F57044" w:rsidR="00983416">
        <w:t>0.</w:t>
      </w:r>
      <w:r w:rsidRPr="00F57044" w:rsidR="009A6388">
        <w:t xml:space="preserve">12 </w:t>
      </w:r>
      <w:r w:rsidRPr="00F57044" w:rsidR="00DA7338">
        <w:t>percentage points</w:t>
      </w:r>
      <w:r w:rsidRPr="00F57044" w:rsidR="000F6F41">
        <w:t xml:space="preserve">, assuming </w:t>
      </w:r>
      <w:r w:rsidRPr="00F57044" w:rsidR="009A58AF">
        <w:t>businesses</w:t>
      </w:r>
      <w:r w:rsidRPr="00F57044" w:rsidR="000F6F41">
        <w:t xml:space="preserve"> pass</w:t>
      </w:r>
      <w:r w:rsidRPr="00F57044" w:rsidR="009A58AF">
        <w:t xml:space="preserve"> on the costs in </w:t>
      </w:r>
      <w:r w:rsidRPr="00F57044" w:rsidR="000F6F41">
        <w:t>full and swift</w:t>
      </w:r>
      <w:r w:rsidRPr="00F57044" w:rsidR="009A58AF">
        <w:t>ly</w:t>
      </w:r>
      <w:r w:rsidRPr="00F57044" w:rsidR="000F6F41">
        <w:t xml:space="preserve"> to consumers</w:t>
      </w:r>
      <w:r w:rsidRPr="00F57044" w:rsidR="00615BBD">
        <w:t>.</w:t>
      </w:r>
    </w:p>
    <w:p w:rsidRPr="00F57044" w:rsidR="00167D10" w:rsidP="00167D10" w:rsidRDefault="00167D10" w14:paraId="4157FD3F" w14:textId="7D090B1A">
      <w:pPr>
        <w:pStyle w:val="BodyText"/>
      </w:pPr>
      <w:r w:rsidRPr="00F57044">
        <w:t xml:space="preserve">The price of NZUs is projected to increase </w:t>
      </w:r>
      <w:r w:rsidRPr="00F57044" w:rsidR="000B21D1">
        <w:t xml:space="preserve">over time </w:t>
      </w:r>
      <w:r w:rsidRPr="00F57044">
        <w:t xml:space="preserve">across </w:t>
      </w:r>
      <w:r w:rsidRPr="00F57044" w:rsidR="00804540">
        <w:t xml:space="preserve">both </w:t>
      </w:r>
      <w:r w:rsidRPr="00F57044">
        <w:t xml:space="preserve">options presented </w:t>
      </w:r>
      <w:r w:rsidRPr="00F57044" w:rsidR="00804540">
        <w:t>here</w:t>
      </w:r>
      <w:r w:rsidRPr="00F57044" w:rsidR="002E42F0">
        <w:t xml:space="preserve"> (figures 5 and 6)</w:t>
      </w:r>
      <w:r w:rsidRPr="00F57044" w:rsidR="000B21D1">
        <w:t xml:space="preserve">. </w:t>
      </w:r>
      <w:r w:rsidRPr="00F57044" w:rsidR="007428CB">
        <w:t>O</w:t>
      </w:r>
      <w:r w:rsidRPr="00F57044" w:rsidR="00793996">
        <w:t xml:space="preserve">ption 1 is expected to have larger </w:t>
      </w:r>
      <w:r w:rsidRPr="00F57044" w:rsidR="00F233D2">
        <w:t xml:space="preserve">price </w:t>
      </w:r>
      <w:r w:rsidRPr="00F57044" w:rsidR="00793996">
        <w:t>increases than option 2</w:t>
      </w:r>
      <w:r w:rsidRPr="00F57044" w:rsidDel="00137D99" w:rsidR="00127BE5">
        <w:t xml:space="preserve"> </w:t>
      </w:r>
      <w:r w:rsidRPr="00F57044" w:rsidR="00137D99">
        <w:t xml:space="preserve">and </w:t>
      </w:r>
      <w:r w:rsidRPr="00F57044" w:rsidR="00127BE5">
        <w:t>corres</w:t>
      </w:r>
      <w:r w:rsidRPr="00F57044" w:rsidR="00936C4F">
        <w:t>ponding</w:t>
      </w:r>
      <w:r w:rsidRPr="00F57044" w:rsidR="00137D99">
        <w:t>ly</w:t>
      </w:r>
      <w:r w:rsidRPr="00F57044" w:rsidR="00936C4F">
        <w:t xml:space="preserve"> larger impacts on businesses and households.</w:t>
      </w:r>
      <w:r w:rsidRPr="00F57044" w:rsidR="00F233D2">
        <w:t xml:space="preserve"> </w:t>
      </w:r>
      <w:r w:rsidRPr="00F57044" w:rsidR="00CF23CD">
        <w:t>Similarly, option 1 is expected to</w:t>
      </w:r>
      <w:r w:rsidRPr="00F57044" w:rsidR="00CE533C">
        <w:t xml:space="preserve"> increase returns to foresters</w:t>
      </w:r>
      <w:r w:rsidRPr="00F57044" w:rsidR="00816880">
        <w:t xml:space="preserve"> </w:t>
      </w:r>
      <w:r w:rsidRPr="00F57044" w:rsidR="00137D99">
        <w:t xml:space="preserve">from </w:t>
      </w:r>
      <w:r w:rsidRPr="00F57044" w:rsidR="00816880">
        <w:t xml:space="preserve">sequestering carbon </w:t>
      </w:r>
      <w:r w:rsidRPr="00F57044" w:rsidR="00BC6084">
        <w:t>by more than option 2.</w:t>
      </w:r>
      <w:r w:rsidRPr="00F57044" w:rsidDel="00137D99" w:rsidR="00BC6084">
        <w:t xml:space="preserve"> </w:t>
      </w:r>
      <w:r w:rsidRPr="00F57044" w:rsidR="00156F3E">
        <w:t>T</w:t>
      </w:r>
      <w:r w:rsidRPr="00F57044" w:rsidR="007428CB">
        <w:t xml:space="preserve">he impacts on consumer inflation are expected to be modest under both unit volume options, adding about 0.1 per cent per </w:t>
      </w:r>
      <w:r w:rsidRPr="00F57044" w:rsidR="00137D99">
        <w:t xml:space="preserve">year </w:t>
      </w:r>
      <w:r w:rsidRPr="00F57044" w:rsidR="007428CB">
        <w:t>to inflation.</w:t>
      </w:r>
    </w:p>
    <w:p w:rsidRPr="00F57044" w:rsidR="003E1782" w:rsidP="003E1782" w:rsidRDefault="003E1782" w14:paraId="0180A7C9" w14:textId="3862F91C">
      <w:pPr>
        <w:pStyle w:val="BodyText"/>
      </w:pPr>
      <w:r w:rsidRPr="00F57044">
        <w:t>Māori are affected by the NZ ETS in various ways. The following Māori interests are likely to be affected by NZU price and unit settings:</w:t>
      </w:r>
    </w:p>
    <w:p w:rsidRPr="00F57044" w:rsidR="003E1782" w:rsidP="003E1782" w:rsidRDefault="003E1782" w14:paraId="3FB181D7" w14:textId="1394842A">
      <w:pPr>
        <w:pStyle w:val="Bullet"/>
      </w:pPr>
      <w:r w:rsidRPr="00F57044">
        <w:t>income through plantation forestry on Māori land included in the NZ ETS</w:t>
      </w:r>
    </w:p>
    <w:p w:rsidRPr="00F57044" w:rsidR="003E1782" w:rsidP="003E1782" w:rsidRDefault="003E1782" w14:paraId="17CEFB50" w14:textId="6CB913AB">
      <w:pPr>
        <w:pStyle w:val="Bullet"/>
      </w:pPr>
      <w:r w:rsidRPr="00F57044">
        <w:t>costs related to obligations under the NZ ETS when considering land</w:t>
      </w:r>
      <w:r w:rsidRPr="00F57044" w:rsidR="00664EA4">
        <w:t>-</w:t>
      </w:r>
      <w:r w:rsidRPr="00F57044">
        <w:t>use change</w:t>
      </w:r>
    </w:p>
    <w:p w:rsidRPr="00F57044" w:rsidR="003E1782" w:rsidP="003E1782" w:rsidRDefault="003E1782" w14:paraId="7A8BE1B5" w14:textId="5C98022E">
      <w:pPr>
        <w:pStyle w:val="Bullet"/>
      </w:pPr>
      <w:r w:rsidRPr="00F57044">
        <w:t>business profits and jobs that rely on earnings from NZUs</w:t>
      </w:r>
    </w:p>
    <w:p w:rsidRPr="00F57044" w:rsidR="003E1782" w:rsidP="003E1782" w:rsidRDefault="003E1782" w14:paraId="635EDF0D" w14:textId="47D55AC2">
      <w:pPr>
        <w:pStyle w:val="Bullet"/>
      </w:pPr>
      <w:r w:rsidRPr="00F57044">
        <w:t>higher living costs that affect Māori households and whānau – particularly those who are disproportionately represented in lower</w:t>
      </w:r>
      <w:r w:rsidRPr="00F57044" w:rsidR="00664EA4">
        <w:t>-</w:t>
      </w:r>
      <w:r w:rsidRPr="00F57044">
        <w:t>income groups.</w:t>
      </w:r>
    </w:p>
    <w:p w:rsidRPr="00F57044" w:rsidR="003E1782" w:rsidP="003E1782" w:rsidRDefault="003E1782" w14:paraId="499FF121" w14:textId="1385D4E9">
      <w:pPr>
        <w:pStyle w:val="BodyText"/>
      </w:pPr>
      <w:r w:rsidRPr="00F57044">
        <w:t>For more detail</w:t>
      </w:r>
      <w:r w:rsidRPr="00F57044" w:rsidR="00664EA4">
        <w:t xml:space="preserve"> on</w:t>
      </w:r>
      <w:r w:rsidRPr="00F57044">
        <w:t xml:space="preserve"> expected impacts on different groups, see </w:t>
      </w:r>
      <w:hyperlink w:history="1" w:anchor="_Appendix_3:_Detailed">
        <w:r w:rsidRPr="00F57044">
          <w:rPr>
            <w:rStyle w:val="Hyperlink"/>
          </w:rPr>
          <w:t>appendix 3</w:t>
        </w:r>
      </w:hyperlink>
      <w:r w:rsidRPr="00F57044">
        <w:t>.</w:t>
      </w:r>
    </w:p>
    <w:p w:rsidRPr="00F57044" w:rsidR="00804540" w:rsidP="3C2AB8A4" w:rsidRDefault="2C33D570" w14:paraId="5C7109EE" w14:textId="63D4A2E8">
      <w:pPr>
        <w:pStyle w:val="BodyText"/>
      </w:pPr>
      <w:r w:rsidRPr="00F57044">
        <w:t>W</w:t>
      </w:r>
      <w:r w:rsidRPr="00F57044" w:rsidR="58883C02">
        <w:t xml:space="preserve">e acknowledge the possibility of gaps in our analysis, including on impacts specific to Māori. </w:t>
      </w:r>
    </w:p>
    <w:p w:rsidRPr="00F57044" w:rsidR="58883C02" w:rsidP="001B540B" w:rsidRDefault="00804540" w14:paraId="2EE3735A" w14:textId="38E066AE">
      <w:pPr>
        <w:pStyle w:val="BodyText"/>
        <w:spacing w:after="240"/>
        <w:rPr>
          <w:b/>
          <w:bCs/>
        </w:rPr>
      </w:pPr>
      <w:r w:rsidRPr="00F57044">
        <w:rPr>
          <w:b/>
          <w:bCs/>
        </w:rPr>
        <w:t>A</w:t>
      </w:r>
      <w:r w:rsidRPr="00F57044" w:rsidR="58883C02">
        <w:rPr>
          <w:b/>
          <w:bCs/>
        </w:rPr>
        <w:t xml:space="preserve">s part of this consultation, we are interested in your views on our impact assessment, including views from different Māori groups. </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CellMar>
          <w:left w:w="85" w:type="dxa"/>
          <w:right w:w="28" w:type="dxa"/>
        </w:tblCellMar>
        <w:tblLook w:val="04A0" w:firstRow="1" w:lastRow="0" w:firstColumn="1" w:lastColumn="0" w:noHBand="0" w:noVBand="1"/>
      </w:tblPr>
      <w:tblGrid>
        <w:gridCol w:w="566"/>
        <w:gridCol w:w="7939"/>
      </w:tblGrid>
      <w:tr w:rsidRPr="00F57044" w:rsidR="00E720F3" w:rsidTr="00C0475C" w14:paraId="77595A7F" w14:textId="77777777">
        <w:tc>
          <w:tcPr>
            <w:tcW w:w="5000" w:type="pct"/>
            <w:gridSpan w:val="2"/>
            <w:shd w:val="clear" w:color="auto" w:fill="1B556B" w:themeFill="text2"/>
          </w:tcPr>
          <w:p w:rsidRPr="00F57044" w:rsidR="00E720F3" w:rsidRDefault="00E720F3" w14:paraId="349C9DAA" w14:textId="5E80DDD1">
            <w:pPr>
              <w:keepNext/>
              <w:spacing w:before="60" w:after="60" w:line="240" w:lineRule="atLeast"/>
              <w:jc w:val="left"/>
              <w:rPr>
                <w:b/>
                <w:color w:val="FFFFFF" w:themeColor="background1"/>
                <w:sz w:val="20"/>
                <w:szCs w:val="20"/>
              </w:rPr>
            </w:pPr>
            <w:r w:rsidRPr="00F57044">
              <w:rPr>
                <w:b/>
                <w:color w:val="FFFFFF" w:themeColor="background1"/>
                <w:sz w:val="20"/>
                <w:szCs w:val="20"/>
              </w:rPr>
              <w:t>Questions</w:t>
            </w:r>
          </w:p>
        </w:tc>
      </w:tr>
      <w:tr w:rsidRPr="00F57044" w:rsidR="00E720F3" w:rsidTr="00C0475C" w14:paraId="1D0B8CA8" w14:textId="77777777">
        <w:tc>
          <w:tcPr>
            <w:tcW w:w="333" w:type="pct"/>
          </w:tcPr>
          <w:p w:rsidRPr="00F57044" w:rsidR="00E720F3" w:rsidP="001B540B" w:rsidRDefault="002A3F87" w14:paraId="39F1AEE0" w14:textId="1BFA7E08">
            <w:pPr>
              <w:pStyle w:val="Questions"/>
            </w:pPr>
            <w:r w:rsidRPr="00F57044">
              <w:t>7</w:t>
            </w:r>
          </w:p>
        </w:tc>
        <w:tc>
          <w:tcPr>
            <w:tcW w:w="4667" w:type="pct"/>
          </w:tcPr>
          <w:p w:rsidRPr="00F57044" w:rsidR="00E720F3" w:rsidP="001B540B" w:rsidRDefault="00E720F3" w14:paraId="07CEA138" w14:textId="4713461B">
            <w:pPr>
              <w:pStyle w:val="Questions"/>
            </w:pPr>
            <w:r w:rsidRPr="00F57044">
              <w:t>Do you agree with our impact analysis? Are there any further impacts to consider</w:t>
            </w:r>
            <w:r w:rsidRPr="00F57044" w:rsidDel="00664EA4">
              <w:t xml:space="preserve"> </w:t>
            </w:r>
            <w:r w:rsidRPr="00F57044" w:rsidR="00664EA4">
              <w:t xml:space="preserve">that </w:t>
            </w:r>
            <w:r w:rsidRPr="00F57044">
              <w:t>we have not captured in our analysis?</w:t>
            </w:r>
          </w:p>
        </w:tc>
      </w:tr>
      <w:tr w:rsidRPr="00F57044" w:rsidR="00E720F3" w:rsidTr="00C0475C" w14:paraId="058E0632" w14:textId="77777777">
        <w:tc>
          <w:tcPr>
            <w:tcW w:w="333" w:type="pct"/>
          </w:tcPr>
          <w:p w:rsidRPr="00F57044" w:rsidR="00E720F3" w:rsidP="001B540B" w:rsidRDefault="002A3F87" w14:paraId="11490264" w14:textId="73C1CC26">
            <w:pPr>
              <w:pStyle w:val="Questions"/>
            </w:pPr>
            <w:r w:rsidRPr="00F57044">
              <w:t>8</w:t>
            </w:r>
          </w:p>
        </w:tc>
        <w:tc>
          <w:tcPr>
            <w:tcW w:w="4667" w:type="pct"/>
          </w:tcPr>
          <w:p w:rsidRPr="00F57044" w:rsidR="00E720F3" w:rsidP="001B540B" w:rsidRDefault="00E720F3" w14:paraId="38ED6024" w14:textId="74B6D79D">
            <w:pPr>
              <w:pStyle w:val="Questions"/>
            </w:pPr>
            <w:r w:rsidRPr="00F57044">
              <w:t xml:space="preserve">What are your key concerns about the potential impacts of </w:t>
            </w:r>
            <w:r w:rsidRPr="00F57044" w:rsidR="00034C85">
              <w:t xml:space="preserve">each </w:t>
            </w:r>
            <w:r w:rsidRPr="00F57044">
              <w:t>option on Māori communities?</w:t>
            </w:r>
          </w:p>
        </w:tc>
      </w:tr>
    </w:tbl>
    <w:p w:rsidRPr="00F57044" w:rsidR="00445C4C" w:rsidP="009C16D7" w:rsidRDefault="00B94159" w14:paraId="63362ED0" w14:textId="3EAB21F4">
      <w:pPr>
        <w:pStyle w:val="Heading2"/>
      </w:pPr>
      <w:bookmarkStart w:name="_Toc199231038" w:id="83"/>
      <w:r w:rsidRPr="00F57044">
        <w:t>Assessing the o</w:t>
      </w:r>
      <w:r w:rsidRPr="00F57044" w:rsidR="00445C4C">
        <w:t>ption</w:t>
      </w:r>
      <w:r w:rsidRPr="00F57044">
        <w:t>s</w:t>
      </w:r>
      <w:bookmarkEnd w:id="83"/>
    </w:p>
    <w:p w:rsidRPr="00F57044" w:rsidR="008965B7" w:rsidP="007B1124" w:rsidRDefault="008965B7" w14:paraId="7004118C" w14:textId="2F6CCC15">
      <w:pPr>
        <w:pStyle w:val="Heading3"/>
        <w:spacing w:before="240"/>
      </w:pPr>
      <w:r w:rsidRPr="00F57044">
        <w:t xml:space="preserve">Accordance with emissions </w:t>
      </w:r>
      <w:r w:rsidRPr="00F57044" w:rsidR="003937AE">
        <w:t>reduction targets</w:t>
      </w:r>
    </w:p>
    <w:p w:rsidRPr="00F57044" w:rsidR="002A61F4" w:rsidP="008965B7" w:rsidRDefault="000D143E" w14:paraId="4F586277" w14:textId="59042041">
      <w:pPr>
        <w:pStyle w:val="BodyText"/>
      </w:pPr>
      <w:r w:rsidRPr="00F57044">
        <w:t xml:space="preserve">A full accordance assessment </w:t>
      </w:r>
      <w:r w:rsidRPr="00F57044" w:rsidR="00E43CF6">
        <w:t xml:space="preserve">will </w:t>
      </w:r>
      <w:r w:rsidRPr="00F57044" w:rsidR="007A06E7">
        <w:t xml:space="preserve">be made </w:t>
      </w:r>
      <w:r w:rsidRPr="00F57044" w:rsidR="00B94D13">
        <w:t xml:space="preserve">based on the </w:t>
      </w:r>
      <w:r w:rsidRPr="00F57044" w:rsidR="00A5046F">
        <w:t xml:space="preserve">Government’s </w:t>
      </w:r>
      <w:r w:rsidRPr="00F57044" w:rsidR="006B2432">
        <w:t xml:space="preserve">final </w:t>
      </w:r>
      <w:r w:rsidRPr="00F57044" w:rsidR="00A5046F">
        <w:t xml:space="preserve">NZ ETS settings decisions </w:t>
      </w:r>
      <w:r w:rsidRPr="00F57044" w:rsidR="00EC2B37">
        <w:t>later this year. However</w:t>
      </w:r>
      <w:r w:rsidRPr="00F57044" w:rsidR="002E6544">
        <w:t>, our</w:t>
      </w:r>
      <w:r w:rsidRPr="00F57044" w:rsidR="00EC2B37">
        <w:t xml:space="preserve"> </w:t>
      </w:r>
      <w:r w:rsidRPr="00F57044" w:rsidR="003E653A">
        <w:t xml:space="preserve">preliminary </w:t>
      </w:r>
      <w:r w:rsidRPr="00F57044" w:rsidR="002E6544">
        <w:t xml:space="preserve">current </w:t>
      </w:r>
      <w:r w:rsidRPr="00F57044" w:rsidR="003E653A">
        <w:t>assessment</w:t>
      </w:r>
      <w:r w:rsidRPr="00F57044" w:rsidDel="00664EA4" w:rsidR="002E6544">
        <w:t xml:space="preserve"> </w:t>
      </w:r>
      <w:r w:rsidRPr="00F57044" w:rsidR="003E653A">
        <w:t xml:space="preserve">and modelling suggest that both options included for consultation </w:t>
      </w:r>
      <w:r w:rsidRPr="00F57044" w:rsidR="002E6544">
        <w:t xml:space="preserve">will meet </w:t>
      </w:r>
      <w:r w:rsidRPr="00F57044" w:rsidR="002A61F4">
        <w:t>the accordance requirements</w:t>
      </w:r>
      <w:r w:rsidRPr="00F57044" w:rsidR="002E6544">
        <w:t xml:space="preserve"> under the </w:t>
      </w:r>
      <w:r w:rsidRPr="00F57044" w:rsidR="002762CB">
        <w:t xml:space="preserve">Climate Change Response Act 2002 (CCRA) </w:t>
      </w:r>
      <w:r w:rsidRPr="00F57044" w:rsidR="002E6544">
        <w:t>when assessed</w:t>
      </w:r>
      <w:r w:rsidRPr="00F57044" w:rsidR="002A61F4">
        <w:t xml:space="preserve">. </w:t>
      </w:r>
    </w:p>
    <w:p w:rsidRPr="00F57044" w:rsidR="0090420D" w:rsidP="000B6E8D" w:rsidRDefault="0006344F" w14:paraId="53AEF79A" w14:textId="4688764F">
      <w:pPr>
        <w:pStyle w:val="Heading4"/>
      </w:pPr>
      <w:r w:rsidRPr="00F57044">
        <w:t xml:space="preserve">Accordance with </w:t>
      </w:r>
      <w:r w:rsidRPr="00F57044" w:rsidR="0090420D">
        <w:t>EB2</w:t>
      </w:r>
    </w:p>
    <w:p w:rsidRPr="00F57044" w:rsidR="0068332B" w:rsidP="008965B7" w:rsidRDefault="002767B6" w14:paraId="73872B4B" w14:textId="57286CB8">
      <w:pPr>
        <w:pStyle w:val="BodyText"/>
      </w:pPr>
      <w:r w:rsidRPr="00F57044">
        <w:t xml:space="preserve">Ministry for the Environment </w:t>
      </w:r>
      <w:r w:rsidRPr="00F57044" w:rsidR="008965B7">
        <w:t xml:space="preserve">modelling </w:t>
      </w:r>
      <w:r w:rsidRPr="00075F1D" w:rsidR="00965C7D">
        <w:t>(</w:t>
      </w:r>
      <w:r w:rsidRPr="00075F1D" w:rsidR="00075F1D">
        <w:t xml:space="preserve">see </w:t>
      </w:r>
      <w:hyperlink w:history="1" w:anchor="_Implications_for_total">
        <w:r w:rsidRPr="00075F1D" w:rsidR="00075F1D">
          <w:rPr>
            <w:rStyle w:val="Hyperlink"/>
          </w:rPr>
          <w:t>Implications for total net emissions projections</w:t>
        </w:r>
      </w:hyperlink>
      <w:r w:rsidRPr="00075F1D" w:rsidR="00965C7D">
        <w:t>)</w:t>
      </w:r>
      <w:r w:rsidRPr="00F57044" w:rsidR="00965C7D">
        <w:t xml:space="preserve"> </w:t>
      </w:r>
      <w:r w:rsidRPr="00F57044" w:rsidR="008965B7">
        <w:t xml:space="preserve">shows </w:t>
      </w:r>
      <w:r w:rsidRPr="00F57044">
        <w:t xml:space="preserve">both </w:t>
      </w:r>
      <w:r w:rsidRPr="00F57044" w:rsidR="008965B7">
        <w:t xml:space="preserve">options </w:t>
      </w:r>
      <w:r w:rsidRPr="00F57044" w:rsidR="00223BB6">
        <w:t>have a</w:t>
      </w:r>
      <w:r w:rsidRPr="00F57044" w:rsidR="002511DE">
        <w:t xml:space="preserve"> very</w:t>
      </w:r>
      <w:r w:rsidRPr="00F57044" w:rsidR="00223BB6">
        <w:t xml:space="preserve"> high probability of </w:t>
      </w:r>
      <w:r w:rsidRPr="00F57044" w:rsidR="00083CCB">
        <w:t>achieving</w:t>
      </w:r>
      <w:r w:rsidRPr="00F57044" w:rsidR="008965B7">
        <w:t xml:space="preserve"> </w:t>
      </w:r>
      <w:r w:rsidRPr="00F57044" w:rsidR="004F4DBC">
        <w:t>EB2</w:t>
      </w:r>
      <w:r w:rsidRPr="00F57044" w:rsidR="00D476CE">
        <w:t xml:space="preserve"> </w:t>
      </w:r>
      <w:r w:rsidRPr="00F57044" w:rsidR="008965B7">
        <w:t>across the scenarios tested</w:t>
      </w:r>
      <w:r w:rsidRPr="00F57044" w:rsidR="0068332B">
        <w:t>.</w:t>
      </w:r>
      <w:r w:rsidRPr="00F57044" w:rsidR="00C1096B">
        <w:t xml:space="preserve"> </w:t>
      </w:r>
      <w:proofErr w:type="gramStart"/>
      <w:r w:rsidRPr="00F57044" w:rsidR="0068332B">
        <w:t>T</w:t>
      </w:r>
      <w:r w:rsidRPr="00F57044" w:rsidR="00C1096B">
        <w:t>herefore</w:t>
      </w:r>
      <w:proofErr w:type="gramEnd"/>
      <w:r w:rsidRPr="00F57044" w:rsidR="00C1096B">
        <w:t xml:space="preserve"> </w:t>
      </w:r>
      <w:r w:rsidRPr="00F57044" w:rsidR="0068332B">
        <w:t xml:space="preserve">they </w:t>
      </w:r>
      <w:r w:rsidRPr="00F57044" w:rsidR="002E6544">
        <w:t xml:space="preserve">are likely to </w:t>
      </w:r>
      <w:r w:rsidRPr="00F57044" w:rsidR="00C1096B">
        <w:t>meet the</w:t>
      </w:r>
      <w:r w:rsidR="005B3691">
        <w:t> </w:t>
      </w:r>
      <w:r w:rsidRPr="00F57044" w:rsidR="00C1096B">
        <w:t>requirements</w:t>
      </w:r>
      <w:r w:rsidRPr="00F57044" w:rsidDel="006468EA" w:rsidR="008965B7">
        <w:t xml:space="preserve"> </w:t>
      </w:r>
      <w:r w:rsidRPr="00F57044" w:rsidR="003200D3">
        <w:t xml:space="preserve">set out in the </w:t>
      </w:r>
      <w:r w:rsidRPr="00F57044" w:rsidR="002762CB">
        <w:t>CCRA</w:t>
      </w:r>
      <w:r w:rsidRPr="00F57044" w:rsidR="008965B7">
        <w:t>.</w:t>
      </w:r>
      <w:r w:rsidRPr="00F57044" w:rsidR="008965B7">
        <w:rPr>
          <w:rStyle w:val="FootnoteReference"/>
        </w:rPr>
        <w:footnoteReference w:id="15"/>
      </w:r>
    </w:p>
    <w:p w:rsidRPr="00F57044" w:rsidR="0090420D" w:rsidP="000B6E8D" w:rsidRDefault="0006344F" w14:paraId="22AF055B" w14:textId="1F77D572">
      <w:pPr>
        <w:pStyle w:val="Heading4"/>
      </w:pPr>
      <w:r w:rsidRPr="00F57044">
        <w:t xml:space="preserve">Accordance with </w:t>
      </w:r>
      <w:r w:rsidRPr="00F57044" w:rsidR="0090420D">
        <w:t>EB</w:t>
      </w:r>
      <w:r w:rsidRPr="00F57044">
        <w:t>3</w:t>
      </w:r>
    </w:p>
    <w:p w:rsidRPr="00F57044" w:rsidR="00EF3268" w:rsidP="00C83005" w:rsidRDefault="00C8711B" w14:paraId="70BE2754" w14:textId="43E85266">
      <w:pPr>
        <w:pStyle w:val="BodyText"/>
      </w:pPr>
      <w:r w:rsidRPr="00F57044">
        <w:t xml:space="preserve">Current modelling shows that both options will exceed EB3. For that reason, </w:t>
      </w:r>
      <w:r w:rsidRPr="00F57044" w:rsidR="001821C1">
        <w:t xml:space="preserve">our current assessment is that both options are likely to </w:t>
      </w:r>
      <w:r w:rsidRPr="00F57044" w:rsidR="0075034B">
        <w:t xml:space="preserve">accord, but not strictly accord, when formally assessed. </w:t>
      </w:r>
    </w:p>
    <w:p w:rsidRPr="00F57044" w:rsidR="0075034B" w:rsidP="00C83005" w:rsidRDefault="0075034B" w14:paraId="4AD955C6" w14:textId="7CF30691">
      <w:pPr>
        <w:pStyle w:val="BodyText"/>
      </w:pPr>
      <w:r w:rsidRPr="00F57044">
        <w:t xml:space="preserve">If an option accords, but does not strictly accord, the Minister </w:t>
      </w:r>
      <w:r w:rsidRPr="00F57044" w:rsidR="005109F8">
        <w:t xml:space="preserve">of Climate Change </w:t>
      </w:r>
      <w:r w:rsidRPr="00F57044">
        <w:t>must be confident that this deviation is justified</w:t>
      </w:r>
      <w:r w:rsidRPr="00F57044" w:rsidR="00901CED">
        <w:t xml:space="preserve"> </w:t>
      </w:r>
      <w:r w:rsidRPr="00F57044" w:rsidR="001B5831">
        <w:t xml:space="preserve">after considering matters prescribed in the </w:t>
      </w:r>
      <w:r w:rsidRPr="00F57044" w:rsidR="002762CB">
        <w:t>CCRA</w:t>
      </w:r>
      <w:r w:rsidRPr="00F57044">
        <w:t xml:space="preserve">. </w:t>
      </w:r>
      <w:r w:rsidRPr="00F57044" w:rsidR="0034446C">
        <w:t>We</w:t>
      </w:r>
      <w:r w:rsidRPr="00F57044" w:rsidR="007B1124">
        <w:t> </w:t>
      </w:r>
      <w:r w:rsidRPr="00F57044" w:rsidR="0034446C">
        <w:t>identify two major reasons justifying deviation</w:t>
      </w:r>
      <w:r w:rsidRPr="00F57044" w:rsidR="002C0E77">
        <w:t>.</w:t>
      </w:r>
    </w:p>
    <w:p w:rsidRPr="00F57044" w:rsidR="00C83005" w:rsidP="00D10673" w:rsidRDefault="00266942" w14:paraId="105C90EC" w14:textId="1EB9F0A8">
      <w:pPr>
        <w:pStyle w:val="Bullet"/>
      </w:pPr>
      <w:r w:rsidRPr="00F57044">
        <w:t xml:space="preserve">A plan </w:t>
      </w:r>
      <w:r w:rsidRPr="00F57044" w:rsidR="00830BE1">
        <w:t xml:space="preserve">to fully meet EB3 is not yet required. </w:t>
      </w:r>
      <w:r w:rsidRPr="00F57044" w:rsidR="00E83BFC">
        <w:t>ERP3 will set out the Government’s full approach for meeting EB3, including any complementary policies that can further support</w:t>
      </w:r>
      <w:r w:rsidRPr="00F57044" w:rsidR="007B1124">
        <w:t> </w:t>
      </w:r>
      <w:r w:rsidRPr="00F57044" w:rsidR="00E83BFC">
        <w:t>accordance</w:t>
      </w:r>
      <w:r w:rsidRPr="00F57044" w:rsidR="002C0E77">
        <w:t>.</w:t>
      </w:r>
    </w:p>
    <w:p w:rsidRPr="00F57044" w:rsidR="00370F5D" w:rsidP="007B1124" w:rsidRDefault="006C3365" w14:paraId="556096EE" w14:textId="64A0723A">
      <w:pPr>
        <w:pStyle w:val="Bullet"/>
      </w:pPr>
      <w:r w:rsidRPr="00F57044">
        <w:rPr>
          <w:spacing w:val="-2"/>
        </w:rPr>
        <w:t xml:space="preserve">Adopting </w:t>
      </w:r>
      <w:r w:rsidRPr="00F57044" w:rsidR="0059060F">
        <w:rPr>
          <w:spacing w:val="-2"/>
        </w:rPr>
        <w:t xml:space="preserve">2025 NZ ETS settings </w:t>
      </w:r>
      <w:r w:rsidRPr="00F57044">
        <w:rPr>
          <w:spacing w:val="-2"/>
        </w:rPr>
        <w:t>that</w:t>
      </w:r>
      <w:r w:rsidRPr="00F57044" w:rsidR="0059060F">
        <w:rPr>
          <w:spacing w:val="-2"/>
        </w:rPr>
        <w:t xml:space="preserve"> </w:t>
      </w:r>
      <w:r w:rsidRPr="00F57044" w:rsidR="00F25022">
        <w:rPr>
          <w:spacing w:val="-2"/>
        </w:rPr>
        <w:t xml:space="preserve">strictly accord with EB3 </w:t>
      </w:r>
      <w:r w:rsidRPr="00F57044" w:rsidR="005F3D6E">
        <w:rPr>
          <w:spacing w:val="-2"/>
        </w:rPr>
        <w:t>c</w:t>
      </w:r>
      <w:r w:rsidRPr="00F57044" w:rsidR="00710F73">
        <w:rPr>
          <w:spacing w:val="-2"/>
        </w:rPr>
        <w:t xml:space="preserve">ould </w:t>
      </w:r>
      <w:r w:rsidRPr="00F57044" w:rsidR="007C6E97">
        <w:rPr>
          <w:spacing w:val="-2"/>
        </w:rPr>
        <w:t>run counter to the proper</w:t>
      </w:r>
      <w:r w:rsidRPr="00F57044" w:rsidR="007C6E97">
        <w:t xml:space="preserve"> functioning</w:t>
      </w:r>
      <w:r w:rsidRPr="00F57044" w:rsidR="005D0A67">
        <w:t xml:space="preserve"> of the NZ ETS</w:t>
      </w:r>
      <w:r w:rsidRPr="00F57044" w:rsidR="001D25F1">
        <w:t>, requi</w:t>
      </w:r>
      <w:r w:rsidRPr="00F57044" w:rsidR="00030BA6">
        <w:t>ring significant</w:t>
      </w:r>
      <w:r w:rsidRPr="00F57044" w:rsidR="001070F4">
        <w:t xml:space="preserve"> </w:t>
      </w:r>
      <w:r w:rsidRPr="00F57044" w:rsidR="001C1238">
        <w:t>reductions in unit volumes</w:t>
      </w:r>
      <w:r w:rsidRPr="00F57044" w:rsidR="0077478D">
        <w:t xml:space="preserve"> </w:t>
      </w:r>
      <w:r w:rsidRPr="00F57044" w:rsidR="004C5AFD">
        <w:t xml:space="preserve">between 2026 to 2030 </w:t>
      </w:r>
      <w:r w:rsidRPr="00F57044" w:rsidR="00BD765E">
        <w:t>that could impede participants</w:t>
      </w:r>
      <w:r w:rsidRPr="00F57044">
        <w:t>’</w:t>
      </w:r>
      <w:r w:rsidRPr="00F57044" w:rsidR="007865A1">
        <w:t xml:space="preserve"> </w:t>
      </w:r>
      <w:r w:rsidRPr="00F57044" w:rsidR="008D4E15">
        <w:t xml:space="preserve">ability to </w:t>
      </w:r>
      <w:r w:rsidRPr="00F57044" w:rsidR="00251621">
        <w:t xml:space="preserve">obtain </w:t>
      </w:r>
      <w:r w:rsidRPr="00F57044" w:rsidR="003723EB">
        <w:t>units to meet their compliance obligations</w:t>
      </w:r>
      <w:r w:rsidRPr="00F57044" w:rsidR="008D4E15">
        <w:t>,</w:t>
      </w:r>
      <w:r w:rsidRPr="00F57044" w:rsidR="007865A1">
        <w:t xml:space="preserve"> and</w:t>
      </w:r>
      <w:r w:rsidRPr="00F57044">
        <w:t xml:space="preserve"> is</w:t>
      </w:r>
      <w:r w:rsidRPr="00F57044" w:rsidR="007865A1">
        <w:t xml:space="preserve"> likely </w:t>
      </w:r>
      <w:r w:rsidRPr="00F57044">
        <w:t xml:space="preserve">to </w:t>
      </w:r>
      <w:r w:rsidRPr="00F57044" w:rsidR="003D19E7">
        <w:t xml:space="preserve">lead to </w:t>
      </w:r>
      <w:r w:rsidRPr="00F57044" w:rsidR="00800C54">
        <w:t>high</w:t>
      </w:r>
      <w:r w:rsidRPr="00F57044">
        <w:t>ly volatile</w:t>
      </w:r>
      <w:r w:rsidRPr="00F57044" w:rsidDel="006C3365" w:rsidR="00800C54">
        <w:t xml:space="preserve"> </w:t>
      </w:r>
      <w:r w:rsidRPr="00F57044" w:rsidR="00800C54">
        <w:t>price</w:t>
      </w:r>
      <w:r w:rsidRPr="00F57044">
        <w:t>s</w:t>
      </w:r>
      <w:r w:rsidRPr="00F57044" w:rsidR="00800C54">
        <w:t>.</w:t>
      </w:r>
    </w:p>
    <w:p w:rsidRPr="00F57044" w:rsidR="00F50DB4" w:rsidP="008965B7" w:rsidRDefault="00F50DB4" w14:paraId="4DBF51AB" w14:textId="30DA73DC">
      <w:pPr>
        <w:pStyle w:val="BodyText"/>
      </w:pPr>
      <w:r w:rsidRPr="00F57044">
        <w:t>Both options set unit limits to reduce the estimated surplus stockpile to zero before the start of the EB3 period (2031) and by keeping price controls high to ensure volumes do not enter the market at a price below what is needed to achieve EB3. This means that both options enable flexibility to meet EB3 through future changes to settings during the EB2 period.</w:t>
      </w:r>
    </w:p>
    <w:p w:rsidRPr="00F57044" w:rsidR="008965B7" w:rsidP="008965B7" w:rsidRDefault="0068332B" w14:paraId="1FC774D8" w14:textId="54AD2A28">
      <w:pPr>
        <w:pStyle w:val="BodyText"/>
      </w:pPr>
      <w:r w:rsidRPr="00F57044">
        <w:t>O</w:t>
      </w:r>
      <w:r w:rsidRPr="00F57044" w:rsidR="008965B7">
        <w:t xml:space="preserve">ption </w:t>
      </w:r>
      <w:r w:rsidRPr="00F57044" w:rsidR="00124805">
        <w:t xml:space="preserve">1 </w:t>
      </w:r>
      <w:r w:rsidRPr="00F57044" w:rsidR="008965B7">
        <w:t>provide</w:t>
      </w:r>
      <w:r w:rsidRPr="00F57044" w:rsidR="00041A0D">
        <w:t>s</w:t>
      </w:r>
      <w:r w:rsidRPr="00F57044" w:rsidR="008965B7">
        <w:t xml:space="preserve"> the strongest </w:t>
      </w:r>
      <w:r w:rsidRPr="00F57044" w:rsidR="003200D3">
        <w:t xml:space="preserve">probability of meeting the </w:t>
      </w:r>
      <w:r w:rsidRPr="00F57044" w:rsidR="00E832D8">
        <w:t>requirements</w:t>
      </w:r>
      <w:r w:rsidRPr="00F57044" w:rsidR="00804540">
        <w:t xml:space="preserve"> – </w:t>
      </w:r>
      <w:r w:rsidRPr="00F57044" w:rsidR="009C5FE8">
        <w:t>it</w:t>
      </w:r>
      <w:r w:rsidRPr="00F57044" w:rsidR="008965B7">
        <w:t xml:space="preserve"> results in the greatest reduction</w:t>
      </w:r>
      <w:r w:rsidRPr="00F57044" w:rsidR="00965C7D">
        <w:t xml:space="preserve"> in</w:t>
      </w:r>
      <w:r w:rsidRPr="00F57044" w:rsidR="008965B7">
        <w:t xml:space="preserve"> the </w:t>
      </w:r>
      <w:r w:rsidRPr="00F57044" w:rsidR="00C76BDA">
        <w:t xml:space="preserve">risk the </w:t>
      </w:r>
      <w:r w:rsidRPr="00F57044" w:rsidR="008965B7">
        <w:t>stockpil</w:t>
      </w:r>
      <w:r w:rsidRPr="00F57044" w:rsidR="00E832D8">
        <w:t>e</w:t>
      </w:r>
      <w:r w:rsidRPr="00F57044" w:rsidR="00C76BDA">
        <w:t xml:space="preserve"> poses to </w:t>
      </w:r>
      <w:r w:rsidRPr="00F57044" w:rsidR="00267BBD">
        <w:t>achieving emission</w:t>
      </w:r>
      <w:r w:rsidRPr="00F57044" w:rsidR="007F4BDF">
        <w:t>s</w:t>
      </w:r>
      <w:r w:rsidRPr="00F57044" w:rsidR="00267BBD">
        <w:t xml:space="preserve"> budgets</w:t>
      </w:r>
      <w:r w:rsidRPr="00F57044" w:rsidR="008965B7">
        <w:t>.</w:t>
      </w:r>
      <w:r w:rsidRPr="00F57044" w:rsidR="008965B7">
        <w:rPr>
          <w:rStyle w:val="FootnoteReference"/>
        </w:rPr>
        <w:footnoteReference w:id="16"/>
      </w:r>
      <w:r w:rsidRPr="00F57044" w:rsidR="008965B7">
        <w:t xml:space="preserve"> Option </w:t>
      </w:r>
      <w:r w:rsidRPr="00F57044" w:rsidR="002C7A78">
        <w:t xml:space="preserve">1 </w:t>
      </w:r>
      <w:r w:rsidRPr="00F57044" w:rsidR="008965B7">
        <w:t>is</w:t>
      </w:r>
      <w:r w:rsidRPr="00F57044" w:rsidR="009A3978">
        <w:t> </w:t>
      </w:r>
      <w:r w:rsidRPr="00F57044" w:rsidR="004268D6">
        <w:t xml:space="preserve">also </w:t>
      </w:r>
      <w:r w:rsidRPr="00F57044" w:rsidR="008965B7">
        <w:t xml:space="preserve">likely to lead to higher prices relative to </w:t>
      </w:r>
      <w:r w:rsidRPr="00F57044" w:rsidR="00064A5F">
        <w:t xml:space="preserve">option </w:t>
      </w:r>
      <w:r w:rsidRPr="00F57044" w:rsidR="002C7A78">
        <w:t xml:space="preserve">2 </w:t>
      </w:r>
      <w:r w:rsidRPr="00F57044" w:rsidR="008965B7">
        <w:t>(all else</w:t>
      </w:r>
      <w:r w:rsidRPr="00F57044" w:rsidR="000A5C65">
        <w:t xml:space="preserve"> being</w:t>
      </w:r>
      <w:r w:rsidRPr="00F57044" w:rsidR="008965B7">
        <w:t xml:space="preserve"> equal</w:t>
      </w:r>
      <w:proofErr w:type="gramStart"/>
      <w:r w:rsidRPr="00F57044" w:rsidR="008965B7">
        <w:t>), and</w:t>
      </w:r>
      <w:proofErr w:type="gramEnd"/>
      <w:r w:rsidRPr="00F57044" w:rsidR="008965B7">
        <w:t xml:space="preserve"> therefore </w:t>
      </w:r>
      <w:r w:rsidRPr="00F57044" w:rsidR="007F4BDF">
        <w:t xml:space="preserve">would provide </w:t>
      </w:r>
      <w:r w:rsidRPr="00F57044" w:rsidR="008965B7">
        <w:t>greater incentives for emissions reductions and removals.</w:t>
      </w:r>
      <w:r w:rsidRPr="00F57044" w:rsidR="00881C4A">
        <w:t xml:space="preserve"> </w:t>
      </w:r>
    </w:p>
    <w:p w:rsidRPr="00F57044" w:rsidR="00E23C9E" w:rsidP="000B6E8D" w:rsidRDefault="00DB4C6C" w14:paraId="6BBDC3AD" w14:textId="3756377D">
      <w:pPr>
        <w:pStyle w:val="Heading4"/>
      </w:pPr>
      <w:r w:rsidRPr="00F57044">
        <w:t xml:space="preserve">Accordance with </w:t>
      </w:r>
      <w:r w:rsidR="00EC2C7E">
        <w:t>N</w:t>
      </w:r>
      <w:r w:rsidRPr="00F57044" w:rsidR="00EC2C7E">
        <w:t xml:space="preserve">ationally </w:t>
      </w:r>
      <w:r w:rsidR="00EC2C7E">
        <w:t>D</w:t>
      </w:r>
      <w:r w:rsidRPr="00F57044" w:rsidR="00EC2C7E">
        <w:t xml:space="preserve">etermined </w:t>
      </w:r>
      <w:r w:rsidR="00EC2C7E">
        <w:t>C</w:t>
      </w:r>
      <w:r w:rsidRPr="00F57044" w:rsidR="00EC2C7E">
        <w:t>ontributions</w:t>
      </w:r>
    </w:p>
    <w:p w:rsidRPr="00F57044" w:rsidR="0006344F" w:rsidP="006C4DD0" w:rsidRDefault="007F4BDF" w14:paraId="72FC5E0D" w14:textId="71FC9052">
      <w:pPr>
        <w:pStyle w:val="BodyText"/>
        <w:spacing w:before="100" w:after="100"/>
      </w:pPr>
      <w:r w:rsidRPr="00F57044">
        <w:t xml:space="preserve">The first </w:t>
      </w:r>
      <w:r w:rsidR="00EC2C7E">
        <w:t>N</w:t>
      </w:r>
      <w:r w:rsidRPr="00F57044">
        <w:t>ational</w:t>
      </w:r>
      <w:r w:rsidR="00EC2C7E">
        <w:t>ly</w:t>
      </w:r>
      <w:r w:rsidRPr="00F57044">
        <w:t xml:space="preserve"> </w:t>
      </w:r>
      <w:r w:rsidR="00EC2C7E">
        <w:t>D</w:t>
      </w:r>
      <w:r w:rsidRPr="00F57044" w:rsidR="00EC2C7E">
        <w:t xml:space="preserve">etermined </w:t>
      </w:r>
      <w:r w:rsidR="00EC2C7E">
        <w:t>C</w:t>
      </w:r>
      <w:r w:rsidRPr="00F57044">
        <w:t>ontribution (</w:t>
      </w:r>
      <w:r w:rsidRPr="00F57044" w:rsidR="00200FB0">
        <w:t>NDC1</w:t>
      </w:r>
      <w:r w:rsidRPr="00F57044">
        <w:t>)</w:t>
      </w:r>
      <w:r w:rsidRPr="00F57044" w:rsidR="00200FB0">
        <w:t xml:space="preserve"> was set with the intention that it would be met, in part, by using offshore mitigation.</w:t>
      </w:r>
      <w:r w:rsidRPr="00F57044" w:rsidR="00CD5AEF">
        <w:t xml:space="preserve"> Both options </w:t>
      </w:r>
      <w:r w:rsidRPr="00F57044" w:rsidR="002323AB">
        <w:t xml:space="preserve">have a very high probability of meeting the expected domestic </w:t>
      </w:r>
      <w:r w:rsidRPr="00F57044" w:rsidR="00C02985">
        <w:t xml:space="preserve">contribution </w:t>
      </w:r>
      <w:r w:rsidRPr="00F57044" w:rsidR="009C148D">
        <w:t xml:space="preserve">to NDC1, but </w:t>
      </w:r>
      <w:r w:rsidRPr="00F57044" w:rsidR="00B03E1C">
        <w:t xml:space="preserve">New Zealand </w:t>
      </w:r>
      <w:r w:rsidRPr="00F57044" w:rsidR="009C148D">
        <w:t xml:space="preserve">will </w:t>
      </w:r>
      <w:r w:rsidRPr="00F57044" w:rsidR="00310F50">
        <w:t>require offshore mitigation to</w:t>
      </w:r>
      <w:r w:rsidRPr="00F57044" w:rsidR="005F64EA">
        <w:t xml:space="preserve"> meet NDC1. </w:t>
      </w:r>
      <w:r w:rsidRPr="00F57044" w:rsidR="00B84BBE">
        <w:t xml:space="preserve">As a result, </w:t>
      </w:r>
      <w:r w:rsidRPr="00F57044" w:rsidR="00A111B0">
        <w:t xml:space="preserve">both options </w:t>
      </w:r>
      <w:r w:rsidRPr="00F57044" w:rsidR="00B84BBE">
        <w:t xml:space="preserve">are likely to </w:t>
      </w:r>
      <w:r w:rsidRPr="00F57044" w:rsidR="00332683">
        <w:t>accord, but not strictly accord</w:t>
      </w:r>
      <w:r w:rsidRPr="00F57044" w:rsidR="005802ED">
        <w:t>,</w:t>
      </w:r>
      <w:r w:rsidRPr="00F57044" w:rsidR="00332683">
        <w:t xml:space="preserve"> with </w:t>
      </w:r>
      <w:r w:rsidRPr="00F57044" w:rsidR="0002628F">
        <w:t>NDC1.</w:t>
      </w:r>
      <w:r w:rsidRPr="00F57044" w:rsidR="00B24166">
        <w:t xml:space="preserve"> Deviation from strict accordance </w:t>
      </w:r>
      <w:r w:rsidRPr="00F57044" w:rsidR="006D20E6">
        <w:t>would be</w:t>
      </w:r>
      <w:r w:rsidRPr="00F57044" w:rsidR="00B052FD">
        <w:t xml:space="preserve"> </w:t>
      </w:r>
      <w:r w:rsidRPr="00F57044" w:rsidR="00B7539C">
        <w:t xml:space="preserve">justified </w:t>
      </w:r>
      <w:r w:rsidRPr="00F57044" w:rsidR="00487482">
        <w:t xml:space="preserve">(in part) </w:t>
      </w:r>
      <w:r w:rsidRPr="00F57044" w:rsidR="00B7539C">
        <w:t xml:space="preserve">by the proper functioning of the </w:t>
      </w:r>
      <w:r w:rsidRPr="00F57044" w:rsidR="005802ED">
        <w:t>NZ </w:t>
      </w:r>
      <w:r w:rsidRPr="00F57044" w:rsidR="00B7539C">
        <w:t xml:space="preserve">ETS and </w:t>
      </w:r>
      <w:r w:rsidRPr="00F57044" w:rsidR="00B4297C">
        <w:t>impacts on households and the economy.</w:t>
      </w:r>
    </w:p>
    <w:p w:rsidRPr="00F57044" w:rsidR="0002628F" w:rsidP="006C4DD0" w:rsidRDefault="008D4A6F" w14:paraId="6C215F55" w14:textId="7043DAD7">
      <w:pPr>
        <w:pStyle w:val="BodyText"/>
        <w:spacing w:before="100" w:after="100"/>
      </w:pPr>
      <w:r w:rsidRPr="00F57044">
        <w:t xml:space="preserve">NDC2 </w:t>
      </w:r>
      <w:r w:rsidRPr="00F57044" w:rsidR="007B3E2F">
        <w:t xml:space="preserve">is set </w:t>
      </w:r>
      <w:r w:rsidRPr="00F57044" w:rsidR="00B24A0C">
        <w:t>at approximately the same level as EB3</w:t>
      </w:r>
      <w:r w:rsidRPr="00F57044" w:rsidR="005802ED">
        <w:t>.</w:t>
      </w:r>
      <w:r w:rsidRPr="00F57044" w:rsidR="00EF0BC6">
        <w:t xml:space="preserve"> </w:t>
      </w:r>
      <w:proofErr w:type="gramStart"/>
      <w:r w:rsidRPr="00F57044" w:rsidR="005802ED">
        <w:t>T</w:t>
      </w:r>
      <w:r w:rsidRPr="00F57044" w:rsidR="00EF0BC6">
        <w:t>herefore</w:t>
      </w:r>
      <w:proofErr w:type="gramEnd"/>
      <w:r w:rsidRPr="00F57044" w:rsidR="00EF0BC6">
        <w:t xml:space="preserve"> </w:t>
      </w:r>
      <w:r w:rsidRPr="00F57044" w:rsidR="00DD491F">
        <w:t xml:space="preserve">the accordance of </w:t>
      </w:r>
      <w:r w:rsidRPr="00F57044" w:rsidR="00E752F1">
        <w:t xml:space="preserve">options </w:t>
      </w:r>
      <w:r w:rsidRPr="00F57044" w:rsidR="00B84BBE">
        <w:t xml:space="preserve">will </w:t>
      </w:r>
      <w:r w:rsidRPr="00F57044" w:rsidR="00E752F1">
        <w:t xml:space="preserve">match the </w:t>
      </w:r>
      <w:r w:rsidRPr="00F57044" w:rsidR="005B4307">
        <w:t>accordance with EB3.</w:t>
      </w:r>
      <w:r w:rsidRPr="00F57044" w:rsidR="00EF0BC6">
        <w:t xml:space="preserve"> </w:t>
      </w:r>
    </w:p>
    <w:p w:rsidRPr="00F57044" w:rsidR="00D84B8D" w:rsidP="000B6E8D" w:rsidRDefault="0006344F" w14:paraId="072877C9" w14:textId="66C5A075">
      <w:pPr>
        <w:pStyle w:val="Heading4"/>
      </w:pPr>
      <w:r w:rsidRPr="00F57044">
        <w:t xml:space="preserve">Accordance with </w:t>
      </w:r>
      <w:r w:rsidRPr="00F57044" w:rsidR="00D84B8D">
        <w:t>2050 target</w:t>
      </w:r>
    </w:p>
    <w:p w:rsidRPr="00F57044" w:rsidR="0090420D" w:rsidP="006C4DD0" w:rsidRDefault="00322E06" w14:paraId="282D92D6" w14:textId="0A288A50">
      <w:pPr>
        <w:pStyle w:val="BodyText"/>
        <w:spacing w:before="100" w:after="100"/>
      </w:pPr>
      <w:r w:rsidRPr="00F57044">
        <w:t xml:space="preserve">Both options for </w:t>
      </w:r>
      <w:r w:rsidRPr="00F57044" w:rsidR="00D84B8D">
        <w:t xml:space="preserve">unit limits and price control settings are in line with what is needed to meet </w:t>
      </w:r>
      <w:r w:rsidRPr="00F57044" w:rsidDel="000E09F9" w:rsidR="006F4A5F">
        <w:t xml:space="preserve">EB1 </w:t>
      </w:r>
      <w:r w:rsidRPr="00F57044" w:rsidR="006F4A5F">
        <w:t>and EB2</w:t>
      </w:r>
      <w:r w:rsidRPr="00F57044" w:rsidR="00030458">
        <w:t xml:space="preserve">, </w:t>
      </w:r>
      <w:r w:rsidRPr="00F57044" w:rsidR="006F4A5F">
        <w:t xml:space="preserve">and position us well </w:t>
      </w:r>
      <w:r w:rsidRPr="00F57044" w:rsidR="00CF03A7">
        <w:t>to m</w:t>
      </w:r>
      <w:r w:rsidRPr="00F57044" w:rsidR="000B6E8D">
        <w:t xml:space="preserve">eet EB3. These emissions budgets </w:t>
      </w:r>
      <w:r w:rsidRPr="00F57044" w:rsidR="00D84B8D">
        <w:t xml:space="preserve">act as interim targets </w:t>
      </w:r>
      <w:r w:rsidRPr="00F57044" w:rsidR="00030458">
        <w:t>towards the 2050</w:t>
      </w:r>
      <w:r w:rsidRPr="00F57044" w:rsidR="00417BF5">
        <w:t xml:space="preserve"> target</w:t>
      </w:r>
      <w:r w:rsidRPr="00F57044" w:rsidR="00D84B8D">
        <w:t>.</w:t>
      </w:r>
      <w:r w:rsidRPr="00F57044" w:rsidR="00F55273">
        <w:t xml:space="preserve"> </w:t>
      </w:r>
      <w:r w:rsidRPr="00F57044" w:rsidR="009D2D9F">
        <w:t xml:space="preserve">Additionally, </w:t>
      </w:r>
      <w:r w:rsidRPr="00F57044">
        <w:t xml:space="preserve">both options are </w:t>
      </w:r>
      <w:r w:rsidRPr="00F57044" w:rsidR="00881FEB">
        <w:t>aligned with the</w:t>
      </w:r>
      <w:r w:rsidRPr="00F57044" w:rsidR="000017D7">
        <w:t xml:space="preserve"> NZ ETS cap set out through ERP2, which </w:t>
      </w:r>
      <w:r w:rsidRPr="00F57044" w:rsidR="00E1338D">
        <w:t>m</w:t>
      </w:r>
      <w:r w:rsidRPr="00F57044" w:rsidR="0090420D">
        <w:t>eets the 2050 target.</w:t>
      </w:r>
    </w:p>
    <w:p w:rsidRPr="00F57044" w:rsidR="0090420D" w:rsidP="006C4DD0" w:rsidRDefault="0090420D" w14:paraId="32274EF0" w14:textId="6DA107A1">
      <w:pPr>
        <w:pStyle w:val="BodyText"/>
        <w:spacing w:before="100" w:after="100"/>
      </w:pPr>
      <w:r w:rsidRPr="00F57044">
        <w:t xml:space="preserve">For these reasons, both options </w:t>
      </w:r>
      <w:r w:rsidRPr="00F57044" w:rsidR="006D20E6">
        <w:t>are likely to</w:t>
      </w:r>
      <w:r w:rsidRPr="00F57044" w:rsidR="007304DC">
        <w:t xml:space="preserve"> </w:t>
      </w:r>
      <w:r w:rsidRPr="00F57044" w:rsidR="00B33F25">
        <w:t>strictly</w:t>
      </w:r>
      <w:r w:rsidRPr="00F57044" w:rsidDel="007304DC">
        <w:t xml:space="preserve"> </w:t>
      </w:r>
      <w:r w:rsidRPr="00F57044">
        <w:t>accord with the 2050 target.</w:t>
      </w:r>
    </w:p>
    <w:p w:rsidRPr="00F57044" w:rsidR="008965B7" w:rsidP="006C4DD0" w:rsidRDefault="005F7D92" w14:paraId="6065FA75" w14:textId="1E5F8A5A">
      <w:pPr>
        <w:pStyle w:val="Heading3"/>
        <w:spacing w:before="240"/>
      </w:pPr>
      <w:r w:rsidRPr="00F57044">
        <w:t>Assess</w:t>
      </w:r>
      <w:r w:rsidRPr="00F57044" w:rsidR="004A0601">
        <w:t>ing the options</w:t>
      </w:r>
    </w:p>
    <w:p w:rsidRPr="00F57044" w:rsidR="00463964" w:rsidP="006C4DD0" w:rsidRDefault="0023291D" w14:paraId="63312A06" w14:textId="4C143E49">
      <w:pPr>
        <w:pStyle w:val="BodyText"/>
        <w:spacing w:before="100" w:after="100"/>
      </w:pPr>
      <w:r w:rsidRPr="00F57044">
        <w:t xml:space="preserve">Table </w:t>
      </w:r>
      <w:r w:rsidRPr="00F57044" w:rsidR="00DC7E1C">
        <w:t>4</w:t>
      </w:r>
      <w:r w:rsidRPr="00F57044">
        <w:t xml:space="preserve"> compares the</w:t>
      </w:r>
      <w:r w:rsidRPr="00F57044" w:rsidR="005802ED">
        <w:t xml:space="preserve"> two</w:t>
      </w:r>
      <w:r w:rsidRPr="00F57044">
        <w:t xml:space="preserve"> options</w:t>
      </w:r>
      <w:r w:rsidRPr="00F57044" w:rsidR="004A6D50">
        <w:t xml:space="preserve"> against </w:t>
      </w:r>
      <w:r w:rsidRPr="00F57044" w:rsidR="00DD1A7B">
        <w:t>the assessment criteria</w:t>
      </w:r>
      <w:r w:rsidRPr="00F57044" w:rsidR="009D045A">
        <w:t>.</w:t>
      </w:r>
      <w:r w:rsidRPr="00F57044" w:rsidR="00254579">
        <w:t xml:space="preserve"> </w:t>
      </w:r>
      <w:r w:rsidRPr="00F57044" w:rsidR="00437C43">
        <w:t>This is a</w:t>
      </w:r>
      <w:r w:rsidRPr="00F57044" w:rsidR="00CA1709">
        <w:t xml:space="preserve"> preliminary assessment</w:t>
      </w:r>
      <w:r w:rsidRPr="00F57044" w:rsidR="00C43CA7">
        <w:t xml:space="preserve">. </w:t>
      </w:r>
      <w:r w:rsidRPr="00F57044" w:rsidR="00817CE3">
        <w:t>The relative ranking of options relies heavily</w:t>
      </w:r>
      <w:r w:rsidRPr="00F57044" w:rsidR="00F53FDA">
        <w:t xml:space="preserve"> on the </w:t>
      </w:r>
      <w:r w:rsidRPr="00F57044" w:rsidR="009F555D">
        <w:t>accuracy of methodological change</w:t>
      </w:r>
      <w:r w:rsidRPr="00F57044" w:rsidR="00A71EFC">
        <w:t xml:space="preserve">s. </w:t>
      </w:r>
      <w:r w:rsidRPr="00F57044" w:rsidR="00BD5B1E">
        <w:t>Further analysis and consultation feedback on the changes</w:t>
      </w:r>
      <w:r w:rsidRPr="00F57044" w:rsidR="009A4B82">
        <w:t xml:space="preserve"> will </w:t>
      </w:r>
      <w:r w:rsidRPr="00F57044" w:rsidR="00BD5B1E">
        <w:t>enable</w:t>
      </w:r>
      <w:r w:rsidRPr="00F57044" w:rsidR="009A4B82">
        <w:t xml:space="preserve"> a more accurate </w:t>
      </w:r>
      <w:r w:rsidRPr="00F57044" w:rsidR="007E42CC">
        <w:t xml:space="preserve">assessment at the time of final </w:t>
      </w:r>
      <w:r w:rsidRPr="00F57044" w:rsidR="00647CC3">
        <w:t>settings decisions.</w:t>
      </w:r>
    </w:p>
    <w:p w:rsidRPr="00F57044" w:rsidR="004557AC" w:rsidP="00281D0C" w:rsidRDefault="004557AC" w14:paraId="31CEF226" w14:textId="344A55E4">
      <w:pPr>
        <w:pStyle w:val="Tableheading"/>
      </w:pPr>
      <w:bookmarkStart w:name="_Toc198901874" w:id="84"/>
      <w:r w:rsidRPr="00F57044">
        <w:t>T</w:t>
      </w:r>
      <w:r w:rsidRPr="00F57044" w:rsidR="00281D0C">
        <w:t xml:space="preserve">able </w:t>
      </w:r>
      <w:r w:rsidRPr="00F57044" w:rsidR="00DC7E1C">
        <w:t>4</w:t>
      </w:r>
      <w:r w:rsidRPr="00F57044" w:rsidR="00281D0C">
        <w:t>:</w:t>
      </w:r>
      <w:r w:rsidRPr="00F57044" w:rsidR="00281D0C">
        <w:tab/>
      </w:r>
      <w:r w:rsidRPr="00F57044" w:rsidR="00C15AED">
        <w:t>Assessment of options</w:t>
      </w:r>
      <w:bookmarkEnd w:id="84"/>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CellMar>
          <w:left w:w="85" w:type="dxa"/>
          <w:right w:w="85" w:type="dxa"/>
        </w:tblCellMar>
        <w:tblLook w:val="04A0" w:firstRow="1" w:lastRow="0" w:firstColumn="1" w:lastColumn="0" w:noHBand="0" w:noVBand="1"/>
      </w:tblPr>
      <w:tblGrid>
        <w:gridCol w:w="1658"/>
        <w:gridCol w:w="3445"/>
        <w:gridCol w:w="3402"/>
      </w:tblGrid>
      <w:tr w:rsidRPr="00F57044" w:rsidR="00386C48" w:rsidTr="00870C43" w14:paraId="5A3E7B55" w14:textId="01222C1E">
        <w:trPr>
          <w:tblHeader/>
        </w:trPr>
        <w:tc>
          <w:tcPr>
            <w:tcW w:w="1658" w:type="dxa"/>
            <w:shd w:val="clear" w:color="auto" w:fill="1B556B" w:themeFill="text2"/>
            <w:vAlign w:val="bottom"/>
          </w:tcPr>
          <w:p w:rsidRPr="00F57044" w:rsidR="00386C48" w:rsidP="006C4DD0" w:rsidRDefault="004A0601" w14:paraId="20513939" w14:textId="4E9A922F">
            <w:pPr>
              <w:pStyle w:val="TableTextbold"/>
              <w:spacing w:before="40"/>
              <w:rPr>
                <w:rFonts w:cs="Calibri"/>
                <w:color w:val="FFFFFF" w:themeColor="background1"/>
                <w:szCs w:val="18"/>
                <w:highlight w:val="yellow"/>
              </w:rPr>
            </w:pPr>
            <w:r w:rsidRPr="00F57044">
              <w:rPr>
                <w:rFonts w:cs="Calibri"/>
                <w:color w:val="FFFFFF" w:themeColor="background1"/>
                <w:szCs w:val="18"/>
              </w:rPr>
              <w:t>Criterion</w:t>
            </w:r>
          </w:p>
        </w:tc>
        <w:tc>
          <w:tcPr>
            <w:tcW w:w="3445" w:type="dxa"/>
            <w:shd w:val="clear" w:color="auto" w:fill="1B556B" w:themeFill="text2"/>
            <w:vAlign w:val="bottom"/>
          </w:tcPr>
          <w:p w:rsidRPr="00F57044" w:rsidR="00386C48" w:rsidP="006C4DD0" w:rsidRDefault="00386C48" w14:paraId="2DEA43E0" w14:textId="4594AB07">
            <w:pPr>
              <w:pStyle w:val="TableTextbold"/>
              <w:spacing w:before="40"/>
              <w:rPr>
                <w:rFonts w:cs="Calibri"/>
                <w:color w:val="FFFFFF" w:themeColor="background1"/>
                <w:szCs w:val="18"/>
              </w:rPr>
            </w:pPr>
            <w:r w:rsidRPr="00F57044">
              <w:rPr>
                <w:rFonts w:cs="Calibri"/>
                <w:color w:val="FFFFFF" w:themeColor="background1"/>
                <w:szCs w:val="18"/>
              </w:rPr>
              <w:t xml:space="preserve">Option </w:t>
            </w:r>
            <w:r w:rsidRPr="00F57044" w:rsidR="007D01D6">
              <w:rPr>
                <w:rFonts w:cs="Calibri"/>
                <w:color w:val="FFFFFF" w:themeColor="background1"/>
                <w:szCs w:val="18"/>
              </w:rPr>
              <w:t>1</w:t>
            </w:r>
            <w:r w:rsidRPr="00F57044" w:rsidR="009D045A">
              <w:rPr>
                <w:rFonts w:cs="Calibri"/>
                <w:color w:val="FFFFFF" w:themeColor="background1"/>
                <w:szCs w:val="18"/>
              </w:rPr>
              <w:t>:</w:t>
            </w:r>
            <w:r w:rsidRPr="00F57044" w:rsidR="007D01D6">
              <w:rPr>
                <w:rFonts w:cs="Calibri"/>
                <w:color w:val="FFFFFF" w:themeColor="background1"/>
                <w:szCs w:val="18"/>
              </w:rPr>
              <w:t xml:space="preserve"> </w:t>
            </w:r>
            <w:r w:rsidRPr="00F57044" w:rsidR="001A4385">
              <w:rPr>
                <w:rFonts w:cs="Calibri"/>
                <w:color w:val="FFFFFF" w:themeColor="background1"/>
                <w:szCs w:val="18"/>
              </w:rPr>
              <w:t>Status quo auction volumes</w:t>
            </w:r>
          </w:p>
        </w:tc>
        <w:tc>
          <w:tcPr>
            <w:tcW w:w="3402" w:type="dxa"/>
            <w:shd w:val="clear" w:color="auto" w:fill="1B556B" w:themeFill="text2"/>
            <w:vAlign w:val="bottom"/>
          </w:tcPr>
          <w:p w:rsidRPr="00F57044" w:rsidR="00386C48" w:rsidP="006C4DD0" w:rsidRDefault="00386C48" w14:paraId="170318B9" w14:textId="5DA862B3">
            <w:pPr>
              <w:pStyle w:val="TableTextbold"/>
              <w:spacing w:before="40"/>
              <w:rPr>
                <w:rFonts w:cs="Calibri"/>
                <w:color w:val="FFFFFF" w:themeColor="background1"/>
                <w:szCs w:val="18"/>
              </w:rPr>
            </w:pPr>
            <w:r w:rsidRPr="00F57044">
              <w:rPr>
                <w:rFonts w:cs="Calibri"/>
                <w:color w:val="FFFFFF" w:themeColor="background1"/>
                <w:szCs w:val="18"/>
              </w:rPr>
              <w:t xml:space="preserve">Option </w:t>
            </w:r>
            <w:r w:rsidRPr="00F57044" w:rsidR="007D01D6">
              <w:rPr>
                <w:rFonts w:cs="Calibri"/>
                <w:color w:val="FFFFFF" w:themeColor="background1"/>
                <w:szCs w:val="18"/>
              </w:rPr>
              <w:t>2</w:t>
            </w:r>
            <w:r w:rsidRPr="00F57044" w:rsidR="009D045A">
              <w:rPr>
                <w:rFonts w:cs="Calibri"/>
                <w:color w:val="FFFFFF" w:themeColor="background1"/>
                <w:szCs w:val="18"/>
              </w:rPr>
              <w:t xml:space="preserve">: </w:t>
            </w:r>
            <w:r w:rsidRPr="00F57044" w:rsidR="001A4385">
              <w:rPr>
                <w:rFonts w:cs="Calibri"/>
                <w:color w:val="FFFFFF" w:themeColor="background1"/>
                <w:szCs w:val="18"/>
              </w:rPr>
              <w:t>Commission-recommended auction volumes</w:t>
            </w:r>
          </w:p>
        </w:tc>
      </w:tr>
      <w:tr w:rsidRPr="00F57044" w:rsidR="001A4385" w:rsidTr="00870C43" w14:paraId="1C917441" w14:textId="513C9796">
        <w:tc>
          <w:tcPr>
            <w:tcW w:w="1658" w:type="dxa"/>
            <w:shd w:val="clear" w:color="auto" w:fill="auto"/>
          </w:tcPr>
          <w:p w:rsidRPr="00F57044" w:rsidR="001A4385" w:rsidP="009A3978" w:rsidRDefault="001A4385" w14:paraId="2A0E6364" w14:textId="4EA9EADA">
            <w:pPr>
              <w:pStyle w:val="TableTextbold"/>
              <w:rPr>
                <w:rFonts w:cs="Calibri"/>
                <w:szCs w:val="18"/>
              </w:rPr>
            </w:pPr>
            <w:r w:rsidRPr="00F57044">
              <w:rPr>
                <w:rFonts w:cs="Calibri"/>
                <w:szCs w:val="18"/>
              </w:rPr>
              <w:t>Likelihood of incentivising emissions reductions</w:t>
            </w:r>
          </w:p>
        </w:tc>
        <w:tc>
          <w:tcPr>
            <w:tcW w:w="3445" w:type="dxa"/>
          </w:tcPr>
          <w:p w:rsidRPr="00F57044" w:rsidR="001A4385" w:rsidP="00870C43" w:rsidRDefault="001A4385" w14:paraId="7719EC7F" w14:textId="0794550A">
            <w:pPr>
              <w:spacing w:before="60" w:after="0" w:line="276" w:lineRule="auto"/>
              <w:jc w:val="left"/>
              <w:rPr>
                <w:rFonts w:cs="Calibri" w:eastAsiaTheme="minorEastAsia"/>
                <w:b/>
                <w:sz w:val="18"/>
                <w:szCs w:val="18"/>
              </w:rPr>
            </w:pPr>
            <w:r w:rsidRPr="00F57044">
              <w:rPr>
                <w:rFonts w:cs="Calibri" w:eastAsiaTheme="minorEastAsia"/>
                <w:b/>
                <w:sz w:val="18"/>
                <w:szCs w:val="18"/>
              </w:rPr>
              <w:t>0</w:t>
            </w:r>
          </w:p>
          <w:p w:rsidRPr="00F57044" w:rsidR="001A4385" w:rsidP="00510034" w:rsidRDefault="001A4385" w14:paraId="55AA70E7" w14:textId="645B66F0">
            <w:pPr>
              <w:pStyle w:val="TableText"/>
              <w:rPr>
                <w:rFonts w:cs="Calibri"/>
                <w:b/>
                <w:color w:val="00B050"/>
                <w:szCs w:val="18"/>
              </w:rPr>
            </w:pPr>
            <w:r w:rsidRPr="00F57044">
              <w:rPr>
                <w:rFonts w:cs="Calibri"/>
                <w:szCs w:val="18"/>
              </w:rPr>
              <w:t xml:space="preserve">Compared with option </w:t>
            </w:r>
            <w:r w:rsidRPr="00F57044" w:rsidR="00A53D46">
              <w:rPr>
                <w:rFonts w:cs="Calibri"/>
                <w:szCs w:val="18"/>
              </w:rPr>
              <w:t>2</w:t>
            </w:r>
            <w:r w:rsidRPr="00F57044">
              <w:rPr>
                <w:rFonts w:cs="Calibri"/>
                <w:szCs w:val="18"/>
              </w:rPr>
              <w:t xml:space="preserve">, option </w:t>
            </w:r>
            <w:r w:rsidRPr="00F57044" w:rsidR="00A53D46">
              <w:rPr>
                <w:rFonts w:cs="Calibri"/>
                <w:szCs w:val="18"/>
              </w:rPr>
              <w:t xml:space="preserve">1 </w:t>
            </w:r>
            <w:r w:rsidRPr="00F57044">
              <w:rPr>
                <w:rFonts w:cs="Calibri"/>
                <w:szCs w:val="18"/>
              </w:rPr>
              <w:t xml:space="preserve">is </w:t>
            </w:r>
            <w:r w:rsidRPr="00F57044" w:rsidR="009C7278">
              <w:rPr>
                <w:rFonts w:cs="Calibri"/>
                <w:szCs w:val="18"/>
              </w:rPr>
              <w:t xml:space="preserve">expected to incentivise </w:t>
            </w:r>
            <w:r w:rsidRPr="00F57044" w:rsidR="00E51E20">
              <w:rPr>
                <w:rFonts w:cs="Calibri"/>
                <w:szCs w:val="18"/>
              </w:rPr>
              <w:t xml:space="preserve">greater levels of emissions </w:t>
            </w:r>
            <w:r w:rsidRPr="00F57044" w:rsidR="00FF250D">
              <w:rPr>
                <w:rFonts w:cs="Calibri"/>
                <w:szCs w:val="18"/>
              </w:rPr>
              <w:t>reductions</w:t>
            </w:r>
            <w:r w:rsidRPr="00F57044" w:rsidR="00D674A1">
              <w:rPr>
                <w:rFonts w:cs="Calibri"/>
                <w:szCs w:val="18"/>
              </w:rPr>
              <w:t xml:space="preserve"> and </w:t>
            </w:r>
            <w:r w:rsidRPr="00F57044" w:rsidR="0040538F">
              <w:rPr>
                <w:rFonts w:cs="Calibri"/>
                <w:szCs w:val="18"/>
              </w:rPr>
              <w:t xml:space="preserve">removals </w:t>
            </w:r>
            <w:r w:rsidRPr="00F57044" w:rsidR="00D674A1">
              <w:rPr>
                <w:rFonts w:cs="Calibri"/>
                <w:szCs w:val="18"/>
              </w:rPr>
              <w:t xml:space="preserve">and </w:t>
            </w:r>
            <w:r w:rsidRPr="00F57044" w:rsidR="007156B2">
              <w:rPr>
                <w:rFonts w:cs="Calibri"/>
                <w:szCs w:val="18"/>
              </w:rPr>
              <w:t>reduce the stockpile</w:t>
            </w:r>
            <w:r w:rsidRPr="00F57044" w:rsidR="00732534">
              <w:rPr>
                <w:rFonts w:cs="Calibri"/>
                <w:szCs w:val="18"/>
              </w:rPr>
              <w:t xml:space="preserve"> faster</w:t>
            </w:r>
            <w:r w:rsidRPr="00F57044" w:rsidR="00FF250D">
              <w:rPr>
                <w:rFonts w:cs="Calibri"/>
                <w:szCs w:val="18"/>
              </w:rPr>
              <w:t xml:space="preserve">. It is </w:t>
            </w:r>
            <w:r w:rsidRPr="00F57044">
              <w:rPr>
                <w:rFonts w:cs="Calibri"/>
                <w:szCs w:val="18"/>
              </w:rPr>
              <w:t xml:space="preserve">more likely to </w:t>
            </w:r>
            <w:r w:rsidRPr="00F57044" w:rsidR="00FF250D">
              <w:rPr>
                <w:rFonts w:cs="Calibri"/>
                <w:szCs w:val="18"/>
              </w:rPr>
              <w:t xml:space="preserve">align with emissions </w:t>
            </w:r>
            <w:r w:rsidRPr="00F57044" w:rsidR="003A42DF">
              <w:rPr>
                <w:rFonts w:cs="Calibri"/>
                <w:szCs w:val="18"/>
              </w:rPr>
              <w:t>reduction targets, including the challenging EB3.</w:t>
            </w:r>
          </w:p>
        </w:tc>
        <w:tc>
          <w:tcPr>
            <w:tcW w:w="3402" w:type="dxa"/>
          </w:tcPr>
          <w:p w:rsidRPr="00F57044" w:rsidR="001A4385" w:rsidP="00870C43" w:rsidRDefault="00D76D18" w14:paraId="384367D1" w14:textId="1F89CB8C">
            <w:pPr>
              <w:pStyle w:val="TableText"/>
              <w:spacing w:after="0"/>
              <w:rPr>
                <w:rFonts w:cs="Calibri" w:eastAsiaTheme="majorEastAsia"/>
                <w:b/>
                <w:color w:val="FF0000"/>
                <w:szCs w:val="18"/>
              </w:rPr>
            </w:pPr>
            <w:r w:rsidRPr="00F57044">
              <w:rPr>
                <w:rFonts w:cs="Calibri" w:eastAsiaTheme="majorEastAsia"/>
                <w:b/>
                <w:color w:val="FF0000"/>
                <w:szCs w:val="18"/>
              </w:rPr>
              <w:t>–</w:t>
            </w:r>
          </w:p>
          <w:p w:rsidRPr="00F57044" w:rsidR="002370B4" w:rsidP="00870C43" w:rsidRDefault="00A5409C" w14:paraId="0F4C41DB" w14:textId="51163756">
            <w:pPr>
              <w:pStyle w:val="TableText"/>
              <w:spacing w:after="40"/>
              <w:rPr>
                <w:rFonts w:cs="Calibri"/>
                <w:szCs w:val="18"/>
              </w:rPr>
            </w:pPr>
            <w:r w:rsidRPr="00F57044">
              <w:rPr>
                <w:rFonts w:cs="Calibri"/>
                <w:szCs w:val="18"/>
              </w:rPr>
              <w:t xml:space="preserve">Option 2 is expected to incentivise </w:t>
            </w:r>
            <w:r w:rsidRPr="00F57044" w:rsidR="005802ED">
              <w:rPr>
                <w:rFonts w:cs="Calibri"/>
                <w:szCs w:val="18"/>
              </w:rPr>
              <w:t xml:space="preserve">lower </w:t>
            </w:r>
            <w:r w:rsidRPr="00F57044">
              <w:rPr>
                <w:rFonts w:cs="Calibri"/>
                <w:szCs w:val="18"/>
              </w:rPr>
              <w:t>emissions reductions and removals than option</w:t>
            </w:r>
            <w:r w:rsidRPr="00F57044" w:rsidR="005802ED">
              <w:rPr>
                <w:rFonts w:cs="Calibri"/>
                <w:szCs w:val="18"/>
              </w:rPr>
              <w:t> </w:t>
            </w:r>
            <w:r w:rsidRPr="00F57044">
              <w:rPr>
                <w:rFonts w:cs="Calibri"/>
                <w:szCs w:val="18"/>
              </w:rPr>
              <w:t>1, but still</w:t>
            </w:r>
            <w:r w:rsidRPr="00F57044" w:rsidR="005802ED">
              <w:rPr>
                <w:rFonts w:cs="Calibri"/>
                <w:szCs w:val="18"/>
              </w:rPr>
              <w:t xml:space="preserve"> </w:t>
            </w:r>
            <w:r w:rsidRPr="00F57044">
              <w:rPr>
                <w:rFonts w:cs="Calibri"/>
                <w:szCs w:val="18"/>
              </w:rPr>
              <w:t>en</w:t>
            </w:r>
            <w:r w:rsidRPr="00F57044" w:rsidR="00F04155">
              <w:rPr>
                <w:rFonts w:cs="Calibri"/>
                <w:szCs w:val="18"/>
              </w:rPr>
              <w:t>ough to achiev</w:t>
            </w:r>
            <w:r w:rsidRPr="00F57044" w:rsidR="00D17038">
              <w:rPr>
                <w:rFonts w:cs="Calibri"/>
                <w:szCs w:val="18"/>
              </w:rPr>
              <w:t>e EB2.</w:t>
            </w:r>
            <w:r w:rsidRPr="00F57044" w:rsidR="001A4385">
              <w:rPr>
                <w:rFonts w:cs="Calibri"/>
                <w:szCs w:val="18"/>
              </w:rPr>
              <w:t xml:space="preserve"> </w:t>
            </w:r>
          </w:p>
          <w:p w:rsidRPr="00F57044" w:rsidR="00A46F27" w:rsidP="00870C43" w:rsidRDefault="00970A35" w14:paraId="1C9027FE" w14:textId="3F002CA9">
            <w:pPr>
              <w:pStyle w:val="TableText"/>
              <w:spacing w:before="40"/>
              <w:rPr>
                <w:rFonts w:cs="Calibri"/>
                <w:szCs w:val="18"/>
              </w:rPr>
            </w:pPr>
            <w:r w:rsidRPr="00F57044">
              <w:rPr>
                <w:rFonts w:cs="Calibri"/>
                <w:szCs w:val="18"/>
              </w:rPr>
              <w:t>Given the uncertainty in the estimated surplus, this option also comes with higher risk that the surplus will persist into the EB3 period</w:t>
            </w:r>
            <w:r w:rsidRPr="00F57044" w:rsidR="001A4385">
              <w:rPr>
                <w:rFonts w:cs="Calibri"/>
                <w:szCs w:val="18"/>
              </w:rPr>
              <w:t xml:space="preserve">. The price floor mitigates this risk somewhat. It only allows supply to enter at a price expected to incentivise decarbonisation. </w:t>
            </w:r>
            <w:r w:rsidRPr="00F57044" w:rsidR="002370B4">
              <w:rPr>
                <w:rFonts w:cs="Calibri"/>
                <w:szCs w:val="18"/>
              </w:rPr>
              <w:t>F</w:t>
            </w:r>
            <w:r w:rsidRPr="00F57044" w:rsidR="00A46F27">
              <w:rPr>
                <w:rFonts w:cs="Calibri"/>
                <w:szCs w:val="18"/>
              </w:rPr>
              <w:t>lat distribution of volumes and keeping 2026</w:t>
            </w:r>
            <w:r w:rsidRPr="00F57044" w:rsidR="00D76D18">
              <w:rPr>
                <w:rFonts w:cs="Calibri"/>
                <w:szCs w:val="18"/>
              </w:rPr>
              <w:t>–</w:t>
            </w:r>
            <w:r w:rsidRPr="00F57044" w:rsidR="00A46F27">
              <w:rPr>
                <w:rFonts w:cs="Calibri"/>
                <w:szCs w:val="18"/>
              </w:rPr>
              <w:t>27 volumes unchanged</w:t>
            </w:r>
            <w:r w:rsidRPr="00F57044" w:rsidR="002370B4">
              <w:rPr>
                <w:rFonts w:cs="Calibri"/>
                <w:szCs w:val="18"/>
              </w:rPr>
              <w:t xml:space="preserve"> further mitigat</w:t>
            </w:r>
            <w:r w:rsidRPr="00F57044" w:rsidR="00D76D18">
              <w:rPr>
                <w:rFonts w:cs="Calibri"/>
                <w:szCs w:val="18"/>
              </w:rPr>
              <w:t>e</w:t>
            </w:r>
            <w:r w:rsidRPr="00F57044" w:rsidR="002370B4">
              <w:rPr>
                <w:rFonts w:cs="Calibri"/>
                <w:szCs w:val="18"/>
              </w:rPr>
              <w:t xml:space="preserve"> the surplus risk</w:t>
            </w:r>
            <w:r w:rsidRPr="00F57044" w:rsidR="00A46F27">
              <w:rPr>
                <w:rFonts w:cs="Calibri"/>
                <w:szCs w:val="18"/>
              </w:rPr>
              <w:t xml:space="preserve">. </w:t>
            </w:r>
          </w:p>
        </w:tc>
      </w:tr>
      <w:tr w:rsidRPr="00F57044" w:rsidR="001A4385" w:rsidTr="00870C43" w14:paraId="42F7B1F8" w14:textId="78A3B414">
        <w:tc>
          <w:tcPr>
            <w:tcW w:w="1658" w:type="dxa"/>
            <w:shd w:val="clear" w:color="auto" w:fill="auto"/>
          </w:tcPr>
          <w:p w:rsidRPr="00F57044" w:rsidR="001A4385" w:rsidP="009A3978" w:rsidRDefault="001A4385" w14:paraId="132594F1" w14:textId="6F7C4001">
            <w:pPr>
              <w:pStyle w:val="TableTextbold"/>
              <w:rPr>
                <w:rFonts w:cs="Calibri"/>
                <w:szCs w:val="18"/>
              </w:rPr>
            </w:pPr>
            <w:r w:rsidRPr="00F57044">
              <w:rPr>
                <w:rFonts w:cs="Calibri"/>
                <w:szCs w:val="18"/>
              </w:rPr>
              <w:t>Support the proper functioning of the NZ ETS</w:t>
            </w:r>
          </w:p>
        </w:tc>
        <w:tc>
          <w:tcPr>
            <w:tcW w:w="3445" w:type="dxa"/>
          </w:tcPr>
          <w:p w:rsidRPr="00F57044" w:rsidR="001A4385" w:rsidP="00870C43" w:rsidRDefault="001C2271" w14:paraId="079B53C6" w14:textId="6658BAA0">
            <w:pPr>
              <w:spacing w:before="60" w:after="0" w:line="276" w:lineRule="auto"/>
              <w:jc w:val="left"/>
              <w:rPr>
                <w:rFonts w:cs="Calibri" w:eastAsiaTheme="minorEastAsia"/>
                <w:b/>
                <w:sz w:val="18"/>
                <w:szCs w:val="18"/>
              </w:rPr>
            </w:pPr>
            <w:r w:rsidRPr="00F57044">
              <w:rPr>
                <w:rFonts w:cs="Calibri" w:eastAsiaTheme="minorEastAsia"/>
                <w:b/>
                <w:sz w:val="18"/>
                <w:szCs w:val="18"/>
              </w:rPr>
              <w:t>0</w:t>
            </w:r>
          </w:p>
          <w:p w:rsidRPr="00F57044" w:rsidR="001D56ED" w:rsidP="00DB7D12" w:rsidRDefault="001D56ED" w14:paraId="189FD746" w14:textId="7EAC2D64">
            <w:pPr>
              <w:pStyle w:val="TableText"/>
              <w:spacing w:after="40"/>
            </w:pPr>
            <w:r w:rsidRPr="00F57044">
              <w:t>Option 1 has a higher risk than option 2 of constraining unit supply such that the draw down in the stockpile exceeds the estimated surplus. This may impede the ability of participants to efficiently manage their current and future surrender obligations and generate greater price volatility, with negative flow-on impacts on emissions reduction investments.</w:t>
            </w:r>
          </w:p>
          <w:p w:rsidRPr="00F57044" w:rsidR="001A4385" w:rsidP="00DB7D12" w:rsidRDefault="008111A9" w14:paraId="5FDD8312" w14:textId="50450D7F">
            <w:pPr>
              <w:pStyle w:val="TableText"/>
              <w:spacing w:before="40"/>
              <w:rPr>
                <w:i/>
                <w:iCs/>
              </w:rPr>
            </w:pPr>
            <w:r w:rsidRPr="00F57044">
              <w:rPr>
                <w:i/>
                <w:iCs/>
              </w:rPr>
              <w:t xml:space="preserve">See comment </w:t>
            </w:r>
            <w:r w:rsidRPr="00F57044" w:rsidDel="00D76D18">
              <w:rPr>
                <w:i/>
                <w:iCs/>
              </w:rPr>
              <w:t>below</w:t>
            </w:r>
            <w:r w:rsidRPr="00F57044" w:rsidDel="00D76D18" w:rsidR="00D634B5">
              <w:rPr>
                <w:i/>
                <w:iCs/>
              </w:rPr>
              <w:t xml:space="preserve"> </w:t>
            </w:r>
            <w:r w:rsidRPr="00F57044" w:rsidR="00D634B5">
              <w:rPr>
                <w:i/>
                <w:iCs/>
              </w:rPr>
              <w:t xml:space="preserve">on </w:t>
            </w:r>
            <w:r w:rsidRPr="00F57044" w:rsidR="006D125D">
              <w:rPr>
                <w:i/>
                <w:iCs/>
              </w:rPr>
              <w:t>predictability</w:t>
            </w:r>
            <w:r w:rsidRPr="00F57044" w:rsidR="00D634B5">
              <w:rPr>
                <w:i/>
                <w:iCs/>
              </w:rPr>
              <w:t xml:space="preserve"> </w:t>
            </w:r>
            <w:r w:rsidRPr="00F57044" w:rsidR="006D125D">
              <w:rPr>
                <w:i/>
                <w:iCs/>
              </w:rPr>
              <w:t>and</w:t>
            </w:r>
            <w:r w:rsidRPr="00F57044" w:rsidR="00D634B5">
              <w:rPr>
                <w:i/>
                <w:iCs/>
              </w:rPr>
              <w:t xml:space="preserve"> certainty</w:t>
            </w:r>
            <w:r w:rsidRPr="00F57044" w:rsidR="00D76D18">
              <w:rPr>
                <w:i/>
                <w:iCs/>
              </w:rPr>
              <w:t>.</w:t>
            </w:r>
          </w:p>
        </w:tc>
        <w:tc>
          <w:tcPr>
            <w:tcW w:w="3402" w:type="dxa"/>
          </w:tcPr>
          <w:p w:rsidRPr="00F57044" w:rsidR="001A4385" w:rsidP="00870C43" w:rsidRDefault="001C2271" w14:paraId="16C23EAA" w14:textId="648FFF68">
            <w:pPr>
              <w:pStyle w:val="TableText"/>
              <w:spacing w:after="0"/>
              <w:rPr>
                <w:rFonts w:cs="Calibri" w:eastAsiaTheme="majorEastAsia"/>
                <w:b/>
                <w:color w:val="00B050"/>
                <w:szCs w:val="18"/>
              </w:rPr>
            </w:pPr>
            <w:r w:rsidRPr="00F57044">
              <w:rPr>
                <w:rFonts w:cs="Calibri" w:eastAsiaTheme="majorEastAsia"/>
                <w:b/>
                <w:color w:val="00B050"/>
                <w:szCs w:val="18"/>
              </w:rPr>
              <w:t>+</w:t>
            </w:r>
          </w:p>
          <w:p w:rsidRPr="00F57044" w:rsidR="00594D88" w:rsidP="00870C43" w:rsidRDefault="00594D88" w14:paraId="46BD1099" w14:textId="2965BFBF">
            <w:pPr>
              <w:pStyle w:val="TableText"/>
              <w:spacing w:after="40"/>
              <w:rPr>
                <w:rFonts w:cs="Calibri"/>
                <w:szCs w:val="18"/>
              </w:rPr>
            </w:pPr>
            <w:r w:rsidRPr="00F57044">
              <w:rPr>
                <w:rFonts w:cs="Calibri"/>
                <w:szCs w:val="18"/>
              </w:rPr>
              <w:t xml:space="preserve">Less risk of overly constraining unit supply compared </w:t>
            </w:r>
            <w:r w:rsidRPr="00F57044" w:rsidR="00D76D18">
              <w:rPr>
                <w:rFonts w:cs="Calibri"/>
                <w:szCs w:val="18"/>
              </w:rPr>
              <w:t xml:space="preserve">with </w:t>
            </w:r>
            <w:r w:rsidRPr="00F57044">
              <w:rPr>
                <w:rFonts w:cs="Calibri"/>
                <w:szCs w:val="18"/>
              </w:rPr>
              <w:t>option 1</w:t>
            </w:r>
            <w:r w:rsidRPr="00F57044" w:rsidR="00546C60">
              <w:rPr>
                <w:rFonts w:cs="Calibri"/>
                <w:szCs w:val="18"/>
              </w:rPr>
              <w:t xml:space="preserve">, with </w:t>
            </w:r>
            <w:r w:rsidRPr="00F57044" w:rsidR="00D76D18">
              <w:rPr>
                <w:rFonts w:cs="Calibri"/>
                <w:szCs w:val="18"/>
              </w:rPr>
              <w:t xml:space="preserve">correspondingly </w:t>
            </w:r>
            <w:r w:rsidRPr="00F57044" w:rsidR="00546C60">
              <w:rPr>
                <w:rFonts w:cs="Calibri"/>
                <w:szCs w:val="18"/>
              </w:rPr>
              <w:t xml:space="preserve">lower </w:t>
            </w:r>
            <w:r w:rsidRPr="00F57044" w:rsidR="004B6088">
              <w:rPr>
                <w:rFonts w:cs="Calibri"/>
                <w:szCs w:val="18"/>
              </w:rPr>
              <w:t xml:space="preserve">risk </w:t>
            </w:r>
            <w:r w:rsidRPr="00F57044" w:rsidR="00546C60">
              <w:rPr>
                <w:rFonts w:cs="Calibri"/>
                <w:szCs w:val="18"/>
              </w:rPr>
              <w:t xml:space="preserve">of </w:t>
            </w:r>
            <w:r w:rsidRPr="00F57044" w:rsidR="008632FA">
              <w:rPr>
                <w:rFonts w:cs="Calibri"/>
                <w:szCs w:val="18"/>
              </w:rPr>
              <w:t xml:space="preserve">excessive </w:t>
            </w:r>
            <w:r w:rsidRPr="00F57044" w:rsidR="00BA3620">
              <w:rPr>
                <w:rFonts w:cs="Calibri"/>
                <w:szCs w:val="18"/>
              </w:rPr>
              <w:t>price volatility</w:t>
            </w:r>
            <w:r w:rsidRPr="00F57044">
              <w:rPr>
                <w:rFonts w:cs="Calibri"/>
                <w:szCs w:val="18"/>
              </w:rPr>
              <w:t>.</w:t>
            </w:r>
            <w:r w:rsidRPr="00F57044" w:rsidR="00C06B2B">
              <w:rPr>
                <w:rFonts w:cs="Calibri"/>
                <w:szCs w:val="18"/>
              </w:rPr>
              <w:t xml:space="preserve"> </w:t>
            </w:r>
          </w:p>
          <w:p w:rsidRPr="00F57044" w:rsidR="001A4385" w:rsidP="00577AC0" w:rsidRDefault="00FE5D33" w14:paraId="3B40559B" w14:textId="54E84ACF">
            <w:pPr>
              <w:keepNext/>
              <w:spacing w:before="60" w:after="60" w:line="276" w:lineRule="auto"/>
              <w:jc w:val="left"/>
              <w:rPr>
                <w:rFonts w:cs="Calibri" w:eastAsiaTheme="minorEastAsia"/>
                <w:i/>
                <w:sz w:val="18"/>
                <w:szCs w:val="18"/>
              </w:rPr>
            </w:pPr>
            <w:r w:rsidRPr="00F57044">
              <w:rPr>
                <w:rFonts w:cs="Calibri" w:eastAsiaTheme="minorEastAsia"/>
                <w:i/>
                <w:iCs/>
                <w:sz w:val="18"/>
                <w:szCs w:val="18"/>
              </w:rPr>
              <w:t xml:space="preserve">See comment </w:t>
            </w:r>
            <w:r w:rsidRPr="00F57044" w:rsidDel="00D76D18">
              <w:rPr>
                <w:rFonts w:cs="Calibri" w:eastAsiaTheme="minorEastAsia"/>
                <w:i/>
                <w:iCs/>
                <w:sz w:val="18"/>
                <w:szCs w:val="18"/>
              </w:rPr>
              <w:t xml:space="preserve">below </w:t>
            </w:r>
            <w:r w:rsidRPr="00F57044">
              <w:rPr>
                <w:rFonts w:cs="Calibri" w:eastAsiaTheme="minorEastAsia"/>
                <w:i/>
                <w:iCs/>
                <w:sz w:val="18"/>
                <w:szCs w:val="18"/>
              </w:rPr>
              <w:t>on predictability and certainty</w:t>
            </w:r>
            <w:r w:rsidRPr="00F57044" w:rsidR="00D76D18">
              <w:rPr>
                <w:rFonts w:cs="Calibri" w:eastAsiaTheme="minorEastAsia"/>
                <w:i/>
                <w:iCs/>
                <w:sz w:val="18"/>
                <w:szCs w:val="18"/>
              </w:rPr>
              <w:t>.</w:t>
            </w:r>
          </w:p>
        </w:tc>
      </w:tr>
      <w:tr w:rsidRPr="00F57044" w:rsidR="003E609A" w:rsidTr="00870C43" w14:paraId="0B1A8DB9" w14:textId="77777777">
        <w:tc>
          <w:tcPr>
            <w:tcW w:w="1658" w:type="dxa"/>
          </w:tcPr>
          <w:p w:rsidRPr="00F57044" w:rsidR="003E609A" w:rsidP="009A3978" w:rsidRDefault="003E609A" w14:paraId="22093AD3" w14:textId="7C25C56E">
            <w:pPr>
              <w:pStyle w:val="TableTextbold"/>
              <w:rPr>
                <w:rFonts w:cs="Calibri"/>
                <w:color w:val="000000" w:themeColor="text1"/>
                <w:szCs w:val="18"/>
              </w:rPr>
            </w:pPr>
            <w:r w:rsidRPr="00F57044">
              <w:rPr>
                <w:rFonts w:cs="Calibri"/>
                <w:szCs w:val="18"/>
              </w:rPr>
              <w:t>Support for consistency of NZU prices with the level and trajectory of international emissions prices</w:t>
            </w:r>
            <w:r w:rsidRPr="00F57044" w:rsidR="0068454E">
              <w:rPr>
                <w:rFonts w:cs="Calibri"/>
                <w:szCs w:val="18"/>
              </w:rPr>
              <w:t>*</w:t>
            </w:r>
          </w:p>
        </w:tc>
        <w:tc>
          <w:tcPr>
            <w:tcW w:w="3445" w:type="dxa"/>
          </w:tcPr>
          <w:p w:rsidRPr="00F57044" w:rsidR="003E609A" w:rsidP="009A3978" w:rsidRDefault="003E609A" w14:paraId="584F18FE" w14:textId="2950185A">
            <w:pPr>
              <w:pStyle w:val="TableTextbold"/>
              <w:rPr>
                <w:rFonts w:cs="Calibri"/>
                <w:szCs w:val="18"/>
              </w:rPr>
            </w:pPr>
            <w:r w:rsidRPr="00F57044">
              <w:rPr>
                <w:rFonts w:cs="Calibri"/>
                <w:szCs w:val="18"/>
              </w:rPr>
              <w:t>0</w:t>
            </w:r>
          </w:p>
        </w:tc>
        <w:tc>
          <w:tcPr>
            <w:tcW w:w="3402" w:type="dxa"/>
          </w:tcPr>
          <w:p w:rsidRPr="00F57044" w:rsidR="003E609A" w:rsidP="009A3978" w:rsidRDefault="003E609A" w14:paraId="18DACC6E" w14:textId="69DD4A07">
            <w:pPr>
              <w:pStyle w:val="TableTextbold"/>
              <w:rPr>
                <w:rFonts w:cs="Calibri"/>
                <w:szCs w:val="18"/>
              </w:rPr>
            </w:pPr>
            <w:r w:rsidRPr="00F57044">
              <w:rPr>
                <w:rFonts w:cs="Calibri"/>
                <w:szCs w:val="18"/>
              </w:rPr>
              <w:t>0</w:t>
            </w:r>
          </w:p>
        </w:tc>
      </w:tr>
      <w:tr w:rsidRPr="00F57044" w:rsidR="003E609A" w:rsidTr="00870C43" w14:paraId="491E0E64" w14:textId="77777777">
        <w:tc>
          <w:tcPr>
            <w:tcW w:w="1658" w:type="dxa"/>
          </w:tcPr>
          <w:p w:rsidRPr="00F57044" w:rsidR="003E609A" w:rsidP="009A3978" w:rsidRDefault="003E609A" w14:paraId="71A95BA7" w14:textId="35F0C428">
            <w:pPr>
              <w:pStyle w:val="TableTextbold"/>
              <w:rPr>
                <w:rFonts w:cs="Calibri"/>
                <w:color w:val="000000" w:themeColor="text1"/>
                <w:szCs w:val="18"/>
              </w:rPr>
            </w:pPr>
            <w:r w:rsidRPr="00F57044">
              <w:rPr>
                <w:rFonts w:cs="Calibri"/>
                <w:szCs w:val="18"/>
              </w:rPr>
              <w:t>Management of overall costs to the economy and households</w:t>
            </w:r>
            <w:r w:rsidRPr="00F57044" w:rsidR="0068454E">
              <w:rPr>
                <w:rFonts w:cs="Calibri"/>
                <w:szCs w:val="18"/>
              </w:rPr>
              <w:t>*</w:t>
            </w:r>
          </w:p>
        </w:tc>
        <w:tc>
          <w:tcPr>
            <w:tcW w:w="3445" w:type="dxa"/>
          </w:tcPr>
          <w:p w:rsidRPr="00F57044" w:rsidR="003E609A" w:rsidP="009A3978" w:rsidRDefault="003E609A" w14:paraId="1AEB5944" w14:textId="4F57398C">
            <w:pPr>
              <w:pStyle w:val="TableTextbold"/>
              <w:rPr>
                <w:rFonts w:cs="Calibri"/>
                <w:szCs w:val="18"/>
              </w:rPr>
            </w:pPr>
            <w:r w:rsidRPr="00F57044">
              <w:rPr>
                <w:rFonts w:cs="Calibri"/>
                <w:szCs w:val="18"/>
              </w:rPr>
              <w:t>0</w:t>
            </w:r>
          </w:p>
        </w:tc>
        <w:tc>
          <w:tcPr>
            <w:tcW w:w="3402" w:type="dxa"/>
          </w:tcPr>
          <w:p w:rsidRPr="00F57044" w:rsidR="003E609A" w:rsidP="009A3978" w:rsidRDefault="003E609A" w14:paraId="7C99C9CD" w14:textId="40A1BCEB">
            <w:pPr>
              <w:pStyle w:val="TableTextbold"/>
              <w:rPr>
                <w:rFonts w:cs="Calibri"/>
                <w:szCs w:val="18"/>
              </w:rPr>
            </w:pPr>
            <w:r w:rsidRPr="00F57044">
              <w:rPr>
                <w:rFonts w:cs="Calibri"/>
                <w:szCs w:val="18"/>
              </w:rPr>
              <w:t>0</w:t>
            </w:r>
          </w:p>
        </w:tc>
      </w:tr>
      <w:tr w:rsidRPr="00F57044" w:rsidR="003E609A" w:rsidTr="00870C43" w14:paraId="74DF5AD8" w14:textId="0F47C8D0">
        <w:tc>
          <w:tcPr>
            <w:tcW w:w="1658" w:type="dxa"/>
          </w:tcPr>
          <w:p w:rsidRPr="00F57044" w:rsidR="003E609A" w:rsidP="009A3978" w:rsidRDefault="003E609A" w14:paraId="33734026" w14:textId="592F2BF7">
            <w:pPr>
              <w:pStyle w:val="TableTextbold"/>
              <w:rPr>
                <w:rFonts w:cs="Calibri"/>
                <w:szCs w:val="18"/>
              </w:rPr>
            </w:pPr>
            <w:r w:rsidRPr="00F57044">
              <w:rPr>
                <w:rFonts w:cs="Calibri"/>
                <w:szCs w:val="18"/>
              </w:rPr>
              <w:t>Overall assessment</w:t>
            </w:r>
          </w:p>
        </w:tc>
        <w:tc>
          <w:tcPr>
            <w:tcW w:w="3445" w:type="dxa"/>
          </w:tcPr>
          <w:p w:rsidRPr="00F57044" w:rsidR="003E609A" w:rsidP="009A3978" w:rsidRDefault="00150F21" w14:paraId="1FAD66B3" w14:textId="550BAE36">
            <w:pPr>
              <w:pStyle w:val="TableTextbold"/>
              <w:rPr>
                <w:rFonts w:cs="Calibri"/>
                <w:szCs w:val="18"/>
              </w:rPr>
            </w:pPr>
            <w:r w:rsidRPr="00F57044">
              <w:rPr>
                <w:rFonts w:cs="Calibri"/>
                <w:szCs w:val="18"/>
              </w:rPr>
              <w:t>0</w:t>
            </w:r>
          </w:p>
        </w:tc>
        <w:tc>
          <w:tcPr>
            <w:tcW w:w="3402" w:type="dxa"/>
          </w:tcPr>
          <w:p w:rsidRPr="00F57044" w:rsidR="003E609A" w:rsidP="009A3978" w:rsidRDefault="00150F21" w14:paraId="4FEF8025" w14:textId="492F4D7E">
            <w:pPr>
              <w:pStyle w:val="TableTextbold"/>
              <w:rPr>
                <w:rFonts w:cs="Calibri"/>
                <w:szCs w:val="18"/>
              </w:rPr>
            </w:pPr>
            <w:r w:rsidRPr="00F57044">
              <w:rPr>
                <w:rFonts w:cs="Calibri"/>
                <w:szCs w:val="18"/>
              </w:rPr>
              <w:t>0</w:t>
            </w:r>
          </w:p>
        </w:tc>
      </w:tr>
    </w:tbl>
    <w:p w:rsidRPr="00F57044" w:rsidR="00267F42" w:rsidP="0072010C" w:rsidRDefault="00267F42" w14:paraId="3236330B" w14:textId="4AF8B4D5">
      <w:pPr>
        <w:pStyle w:val="Note"/>
        <w:spacing w:before="120"/>
      </w:pPr>
      <w:r w:rsidRPr="00F57044">
        <w:t>* These assessment criteria only apply to price controls. Because price controls are identical for both options, both are evaluated</w:t>
      </w:r>
      <w:r w:rsidRPr="00F57044" w:rsidR="003528A7">
        <w:t xml:space="preserve"> as</w:t>
      </w:r>
      <w:r w:rsidRPr="00F57044">
        <w:t xml:space="preserve"> the same.</w:t>
      </w:r>
    </w:p>
    <w:p w:rsidRPr="00F57044" w:rsidR="00FB15B1" w:rsidP="00DB7D12" w:rsidRDefault="00146B7A" w14:paraId="5EEF3AE4" w14:textId="55A6EEBF">
      <w:pPr>
        <w:pStyle w:val="Note"/>
      </w:pPr>
      <w:r w:rsidRPr="00F57044">
        <w:rPr>
          <w:i/>
        </w:rPr>
        <w:t xml:space="preserve">Comment on </w:t>
      </w:r>
      <w:r w:rsidRPr="00F57044" w:rsidR="006D125D">
        <w:rPr>
          <w:i/>
        </w:rPr>
        <w:t>predictability and</w:t>
      </w:r>
      <w:r w:rsidRPr="00F57044" w:rsidR="00D634B5">
        <w:rPr>
          <w:i/>
        </w:rPr>
        <w:t xml:space="preserve"> certainty:</w:t>
      </w:r>
      <w:r w:rsidRPr="00F57044" w:rsidR="00F45D13">
        <w:t xml:space="preserve"> </w:t>
      </w:r>
      <w:r w:rsidRPr="00F57044" w:rsidR="006F3A1A">
        <w:t xml:space="preserve">The purpose of this </w:t>
      </w:r>
      <w:r w:rsidRPr="00F57044" w:rsidR="002C5299">
        <w:t>criteri</w:t>
      </w:r>
      <w:r w:rsidRPr="00F57044" w:rsidR="00D76D18">
        <w:t>on</w:t>
      </w:r>
      <w:r w:rsidRPr="00F57044" w:rsidR="006F3A1A">
        <w:t xml:space="preserve"> is </w:t>
      </w:r>
      <w:r w:rsidRPr="00F57044" w:rsidR="00CB35D3">
        <w:t xml:space="preserve">(in part) </w:t>
      </w:r>
      <w:r w:rsidRPr="00F57044" w:rsidR="006F3A1A">
        <w:t xml:space="preserve">to allow </w:t>
      </w:r>
      <w:r w:rsidRPr="00F57044" w:rsidR="002C5299">
        <w:t>‘participants to form expectations about supply and demand’</w:t>
      </w:r>
      <w:r w:rsidRPr="00F57044">
        <w:t xml:space="preserve"> to inform future investment decisions</w:t>
      </w:r>
      <w:r w:rsidRPr="00F57044" w:rsidR="002C5299">
        <w:t>.</w:t>
      </w:r>
      <w:r w:rsidRPr="00F57044" w:rsidR="00CB35D3">
        <w:t xml:space="preserve"> Doing so requires </w:t>
      </w:r>
      <w:r w:rsidRPr="00F57044" w:rsidR="0024119F">
        <w:t>predictable expectations about future auction volumes whil</w:t>
      </w:r>
      <w:r w:rsidRPr="00F57044" w:rsidR="0007430E">
        <w:t>e</w:t>
      </w:r>
      <w:r w:rsidRPr="00F57044" w:rsidR="0024119F">
        <w:t xml:space="preserve"> recognising that </w:t>
      </w:r>
      <w:r w:rsidRPr="00F57044" w:rsidR="00C01754">
        <w:t xml:space="preserve">expectations should change </w:t>
      </w:r>
      <w:r w:rsidRPr="00F57044" w:rsidR="00785498">
        <w:t>over time</w:t>
      </w:r>
      <w:r w:rsidRPr="00F57044" w:rsidR="00C01754">
        <w:t xml:space="preserve"> </w:t>
      </w:r>
      <w:proofErr w:type="gramStart"/>
      <w:r w:rsidRPr="00F57044" w:rsidR="00C01754">
        <w:t>in light of</w:t>
      </w:r>
      <w:proofErr w:type="gramEnd"/>
      <w:r w:rsidRPr="00F57044" w:rsidR="00C01754">
        <w:t xml:space="preserve"> new information</w:t>
      </w:r>
      <w:r w:rsidRPr="00F57044" w:rsidR="00785498">
        <w:t>. In this context, new information</w:t>
      </w:r>
      <w:r w:rsidRPr="00F57044" w:rsidR="004E2A85">
        <w:t xml:space="preserve"> could include improvements in </w:t>
      </w:r>
      <w:r w:rsidRPr="00F57044" w:rsidR="00785498">
        <w:t xml:space="preserve">methodological </w:t>
      </w:r>
      <w:r w:rsidRPr="00F57044" w:rsidR="004E2A85">
        <w:t>approach</w:t>
      </w:r>
      <w:r w:rsidRPr="00F57044" w:rsidR="00C01754">
        <w:t>.</w:t>
      </w:r>
      <w:r w:rsidRPr="00F57044" w:rsidR="00F45D13">
        <w:t xml:space="preserve"> </w:t>
      </w:r>
    </w:p>
    <w:p w:rsidRPr="00F57044" w:rsidR="008E3074" w:rsidP="00DB7D12" w:rsidRDefault="00D330F5" w14:paraId="102166DE" w14:textId="7DD7DA3B">
      <w:pPr>
        <w:pStyle w:val="Note"/>
      </w:pPr>
      <w:r w:rsidRPr="00F57044">
        <w:t>Option 2 incorporates significant changes in methodology that may not have been expected by market participants. This consultation supports regulatory predictability by seeking feedback on these changes and the other relevant factors so that this can be incorporated into the Government’s final assessment of decisions</w:t>
      </w:r>
    </w:p>
    <w:p w:rsidRPr="00F57044" w:rsidR="00504B2C" w:rsidP="005B3691" w:rsidRDefault="00504B2C" w14:paraId="47DBC09B" w14:textId="05C9FF5E">
      <w:pPr>
        <w:pStyle w:val="Heading5"/>
        <w:rPr>
          <w:rFonts w:eastAsiaTheme="minorEastAsia" w:cstheme="minorBidi"/>
        </w:rPr>
      </w:pPr>
      <w:r w:rsidRPr="00F57044">
        <w:t>Key for assessing options against the status quo</w:t>
      </w:r>
      <w:r w:rsidRPr="00F57044">
        <w:rPr>
          <w:rFonts w:eastAsiaTheme="minorEastAsia" w:cstheme="minorBidi"/>
        </w:rPr>
        <w:t> </w:t>
      </w:r>
    </w:p>
    <w:p w:rsidRPr="00F57044" w:rsidR="00504B2C" w:rsidP="006C4DD0" w:rsidRDefault="00504B2C" w14:paraId="5478E72E" w14:textId="453A5647">
      <w:pPr>
        <w:pStyle w:val="BodyText"/>
        <w:spacing w:after="0"/>
      </w:pPr>
      <w:r w:rsidRPr="00F57044">
        <w:rPr>
          <w:rFonts w:cs="Calibri" w:eastAsiaTheme="majorEastAsia"/>
          <w:b/>
          <w:color w:val="00B050"/>
        </w:rPr>
        <w:t>++</w:t>
      </w:r>
      <w:r w:rsidRPr="00F57044">
        <w:rPr>
          <w:rFonts w:cs="Calibri" w:eastAsiaTheme="majorEastAsia"/>
        </w:rPr>
        <w:t xml:space="preserve"> </w:t>
      </w:r>
      <w:r w:rsidRPr="00F57044">
        <w:rPr>
          <w:rFonts w:cs="Calibri"/>
        </w:rPr>
        <w:tab/>
      </w:r>
      <w:r w:rsidRPr="00F57044">
        <w:rPr>
          <w:rFonts w:cs="Calibri" w:eastAsiaTheme="majorEastAsia"/>
        </w:rPr>
        <w:t>much better than the status quo </w:t>
      </w:r>
    </w:p>
    <w:p w:rsidRPr="00F57044" w:rsidR="00504B2C" w:rsidP="005B3691" w:rsidRDefault="00504B2C" w14:paraId="3D49A6A1" w14:textId="7FE43F46">
      <w:pPr>
        <w:pStyle w:val="BodyText"/>
        <w:spacing w:before="80" w:after="0"/>
      </w:pPr>
      <w:r w:rsidRPr="00F57044">
        <w:rPr>
          <w:rFonts w:cs="Calibri" w:eastAsiaTheme="majorEastAsia"/>
          <w:b/>
          <w:color w:val="00B050"/>
        </w:rPr>
        <w:t>+</w:t>
      </w:r>
      <w:r w:rsidRPr="00F57044">
        <w:rPr>
          <w:rFonts w:cs="Calibri" w:eastAsiaTheme="majorEastAsia"/>
        </w:rPr>
        <w:t xml:space="preserve"> </w:t>
      </w:r>
      <w:r w:rsidRPr="00F57044">
        <w:rPr>
          <w:rFonts w:cs="Calibri"/>
        </w:rPr>
        <w:tab/>
      </w:r>
      <w:r w:rsidRPr="00F57044">
        <w:rPr>
          <w:rFonts w:cs="Calibri" w:eastAsiaTheme="majorEastAsia"/>
        </w:rPr>
        <w:t>better than the status quo </w:t>
      </w:r>
    </w:p>
    <w:p w:rsidRPr="00F57044" w:rsidR="00504B2C" w:rsidP="005B3691" w:rsidRDefault="00504B2C" w14:paraId="4D8A3CF0" w14:textId="2814A1E6">
      <w:pPr>
        <w:pStyle w:val="BodyText"/>
        <w:spacing w:before="80" w:after="0"/>
      </w:pPr>
      <w:r w:rsidRPr="00F57044">
        <w:rPr>
          <w:rFonts w:cs="Calibri" w:eastAsiaTheme="majorEastAsia"/>
          <w:b/>
        </w:rPr>
        <w:t>0</w:t>
      </w:r>
      <w:r w:rsidRPr="00F57044">
        <w:rPr>
          <w:rFonts w:cs="Calibri"/>
        </w:rPr>
        <w:tab/>
      </w:r>
      <w:r w:rsidRPr="00F57044">
        <w:rPr>
          <w:rFonts w:cs="Calibri" w:eastAsiaTheme="majorEastAsia"/>
        </w:rPr>
        <w:t>about the same as the status quo </w:t>
      </w:r>
    </w:p>
    <w:p w:rsidRPr="00F57044" w:rsidR="00504B2C" w:rsidP="005B3691" w:rsidRDefault="00504B2C" w14:paraId="4B50A3D8" w14:textId="452C26BC">
      <w:pPr>
        <w:pStyle w:val="BodyText"/>
        <w:spacing w:before="80" w:after="0"/>
      </w:pPr>
      <w:r w:rsidRPr="00F57044">
        <w:rPr>
          <w:rFonts w:cs="Calibri" w:eastAsiaTheme="majorEastAsia"/>
          <w:b/>
          <w:color w:val="FF0000"/>
        </w:rPr>
        <w:t>–</w:t>
      </w:r>
      <w:r w:rsidRPr="00F57044">
        <w:rPr>
          <w:rFonts w:cs="Calibri" w:eastAsiaTheme="majorEastAsia"/>
        </w:rPr>
        <w:t xml:space="preserve"> </w:t>
      </w:r>
      <w:r w:rsidRPr="00F57044">
        <w:rPr>
          <w:rFonts w:cs="Calibri"/>
        </w:rPr>
        <w:tab/>
      </w:r>
      <w:r w:rsidRPr="00F57044">
        <w:rPr>
          <w:rFonts w:cs="Calibri" w:eastAsiaTheme="majorEastAsia"/>
        </w:rPr>
        <w:t>worse than the status quo </w:t>
      </w:r>
    </w:p>
    <w:p w:rsidRPr="00F57044" w:rsidR="00504B2C" w:rsidP="005B3691" w:rsidRDefault="00504B2C" w14:paraId="6FAA7B72" w14:textId="5FC6A479">
      <w:pPr>
        <w:pStyle w:val="BodyText"/>
        <w:spacing w:before="80" w:after="0"/>
      </w:pPr>
      <w:r w:rsidRPr="00F57044">
        <w:rPr>
          <w:rFonts w:cs="Calibri" w:eastAsiaTheme="majorEastAsia"/>
          <w:b/>
          <w:color w:val="FF0000"/>
        </w:rPr>
        <w:t xml:space="preserve">– – </w:t>
      </w:r>
      <w:r w:rsidRPr="00F57044">
        <w:rPr>
          <w:rFonts w:cs="Calibri"/>
          <w:color w:val="FF0000"/>
        </w:rPr>
        <w:tab/>
      </w:r>
      <w:r w:rsidRPr="00F57044">
        <w:rPr>
          <w:rFonts w:cs="Calibri" w:eastAsiaTheme="majorEastAsia"/>
        </w:rPr>
        <w:t>much worse than the status quo </w:t>
      </w:r>
    </w:p>
    <w:p w:rsidRPr="00F57044" w:rsidR="00943CBE" w:rsidP="006C4DD0" w:rsidRDefault="00943CBE" w14:paraId="38609B37" w14:textId="62A0A7C5">
      <w:pPr>
        <w:pStyle w:val="BodyText"/>
        <w:spacing w:after="0"/>
      </w:pP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E720F3" w:rsidTr="00690D8F" w14:paraId="1A0483A0" w14:textId="77777777">
        <w:trPr>
          <w:tblHeader/>
        </w:trPr>
        <w:tc>
          <w:tcPr>
            <w:tcW w:w="5000" w:type="pct"/>
            <w:gridSpan w:val="2"/>
            <w:shd w:val="clear" w:color="auto" w:fill="1B556B" w:themeFill="text2"/>
          </w:tcPr>
          <w:p w:rsidRPr="00F57044" w:rsidR="00E720F3" w:rsidRDefault="00E720F3" w14:paraId="52D03EC2" w14:textId="682FAB78">
            <w:pPr>
              <w:keepNext/>
              <w:spacing w:before="60" w:after="60" w:line="240" w:lineRule="atLeast"/>
              <w:jc w:val="left"/>
              <w:rPr>
                <w:b/>
                <w:color w:val="FFFFFF" w:themeColor="background1"/>
                <w:sz w:val="20"/>
                <w:szCs w:val="20"/>
              </w:rPr>
            </w:pPr>
            <w:r w:rsidRPr="00F57044">
              <w:rPr>
                <w:b/>
                <w:color w:val="FFFFFF" w:themeColor="background1"/>
                <w:sz w:val="20"/>
                <w:szCs w:val="20"/>
              </w:rPr>
              <w:t>Questions</w:t>
            </w:r>
          </w:p>
        </w:tc>
      </w:tr>
      <w:tr w:rsidRPr="00F57044" w:rsidR="00E720F3" w14:paraId="50321E05" w14:textId="77777777">
        <w:tc>
          <w:tcPr>
            <w:tcW w:w="333" w:type="pct"/>
          </w:tcPr>
          <w:p w:rsidRPr="00F57044" w:rsidR="00E720F3" w:rsidP="006C4DD0" w:rsidRDefault="00C95778" w14:paraId="3A3A6139" w14:textId="6CC1C670">
            <w:pPr>
              <w:pStyle w:val="Questions"/>
            </w:pPr>
            <w:r w:rsidRPr="00F57044">
              <w:t>9</w:t>
            </w:r>
          </w:p>
        </w:tc>
        <w:tc>
          <w:tcPr>
            <w:tcW w:w="4667" w:type="pct"/>
          </w:tcPr>
          <w:p w:rsidRPr="00F57044" w:rsidR="00E720F3" w:rsidP="006C4DD0" w:rsidRDefault="00E720F3" w14:paraId="6CB0A836" w14:textId="7169436A">
            <w:pPr>
              <w:pStyle w:val="Questions"/>
            </w:pPr>
            <w:r w:rsidRPr="00F57044">
              <w:t>Which is your preferred option?</w:t>
            </w:r>
          </w:p>
        </w:tc>
      </w:tr>
      <w:tr w:rsidRPr="00F57044" w:rsidR="00E720F3" w14:paraId="4138CFBA" w14:textId="77777777">
        <w:tc>
          <w:tcPr>
            <w:tcW w:w="333" w:type="pct"/>
          </w:tcPr>
          <w:p w:rsidRPr="00F57044" w:rsidR="00E720F3" w:rsidP="006C4DD0" w:rsidRDefault="00C95778" w14:paraId="2DB69024" w14:textId="60E6A19C">
            <w:pPr>
              <w:pStyle w:val="Questions"/>
            </w:pPr>
            <w:r w:rsidRPr="00F57044">
              <w:t>10</w:t>
            </w:r>
          </w:p>
        </w:tc>
        <w:tc>
          <w:tcPr>
            <w:tcW w:w="4667" w:type="pct"/>
          </w:tcPr>
          <w:p w:rsidRPr="00F57044" w:rsidR="00E720F3" w:rsidP="006C4DD0" w:rsidRDefault="00E720F3" w14:paraId="4FC48540" w14:textId="2053D39C">
            <w:pPr>
              <w:pStyle w:val="Questions"/>
            </w:pPr>
            <w:r w:rsidRPr="00F57044">
              <w:t>What benefits or improvements could result from each option?</w:t>
            </w:r>
          </w:p>
        </w:tc>
      </w:tr>
      <w:tr w:rsidRPr="00F57044" w:rsidR="00E720F3" w14:paraId="0C2C5CD1" w14:textId="77777777">
        <w:tc>
          <w:tcPr>
            <w:tcW w:w="333" w:type="pct"/>
          </w:tcPr>
          <w:p w:rsidRPr="00F57044" w:rsidR="00E720F3" w:rsidP="006C4DD0" w:rsidRDefault="00C95778" w14:paraId="234A7E00" w14:textId="0AD2BF4F">
            <w:pPr>
              <w:pStyle w:val="Questions"/>
            </w:pPr>
            <w:r w:rsidRPr="00F57044">
              <w:t>11</w:t>
            </w:r>
          </w:p>
        </w:tc>
        <w:tc>
          <w:tcPr>
            <w:tcW w:w="4667" w:type="pct"/>
          </w:tcPr>
          <w:p w:rsidRPr="00F57044" w:rsidR="00E720F3" w:rsidP="006C4DD0" w:rsidRDefault="00E720F3" w14:paraId="7BD0968B" w14:textId="27756A60">
            <w:pPr>
              <w:pStyle w:val="Questions"/>
            </w:pPr>
            <w:r w:rsidRPr="00F57044">
              <w:t xml:space="preserve">What </w:t>
            </w:r>
            <w:r w:rsidRPr="00F57044" w:rsidR="00F52CBD">
              <w:t>are the</w:t>
            </w:r>
            <w:r w:rsidRPr="00F57044">
              <w:t xml:space="preserve"> challenges or risks </w:t>
            </w:r>
            <w:r w:rsidRPr="00F57044" w:rsidR="00F52CBD">
              <w:t>of these</w:t>
            </w:r>
            <w:r w:rsidRPr="00F57044">
              <w:t xml:space="preserve"> options?</w:t>
            </w:r>
          </w:p>
        </w:tc>
      </w:tr>
      <w:tr w:rsidRPr="00F57044" w:rsidR="00E720F3" w14:paraId="03E8911C" w14:textId="77777777">
        <w:tc>
          <w:tcPr>
            <w:tcW w:w="333" w:type="pct"/>
          </w:tcPr>
          <w:p w:rsidRPr="00F57044" w:rsidR="00E720F3" w:rsidP="006C4DD0" w:rsidRDefault="00C95778" w14:paraId="6C682AEC" w14:textId="5201E0D0">
            <w:pPr>
              <w:pStyle w:val="Questions"/>
            </w:pPr>
            <w:r w:rsidRPr="00F57044">
              <w:t>12</w:t>
            </w:r>
          </w:p>
        </w:tc>
        <w:tc>
          <w:tcPr>
            <w:tcW w:w="4667" w:type="pct"/>
          </w:tcPr>
          <w:p w:rsidRPr="00F57044" w:rsidR="00E720F3" w:rsidP="006C4DD0" w:rsidRDefault="00E720F3" w14:paraId="73439CF0" w14:textId="34808B08">
            <w:pPr>
              <w:pStyle w:val="Questions"/>
            </w:pPr>
            <w:r w:rsidRPr="00F57044">
              <w:t>Do you prefer another option not outlined here? Please describe what it would involve.</w:t>
            </w:r>
          </w:p>
        </w:tc>
      </w:tr>
      <w:bookmarkEnd w:id="55"/>
      <w:bookmarkEnd w:id="56"/>
      <w:bookmarkEnd w:id="57"/>
    </w:tbl>
    <w:p w:rsidRPr="00F57044" w:rsidR="00180114" w:rsidP="00180114" w:rsidRDefault="00180114" w14:paraId="2D696BE5" w14:textId="77777777">
      <w:pPr>
        <w:pStyle w:val="BodyText"/>
      </w:pPr>
    </w:p>
    <w:p w:rsidRPr="00F57044" w:rsidR="00180114" w:rsidP="00180114" w:rsidRDefault="00180114" w14:paraId="4B4CC28A" w14:textId="77777777">
      <w:pPr>
        <w:pStyle w:val="BodyText"/>
      </w:pPr>
      <w:r w:rsidRPr="00F57044">
        <w:br w:type="page"/>
      </w:r>
    </w:p>
    <w:p w:rsidRPr="00F57044" w:rsidR="002E72E0" w:rsidP="006C4DD0" w:rsidRDefault="004506A7" w14:paraId="5B7234C7" w14:textId="405D031A">
      <w:pPr>
        <w:pStyle w:val="Heading1"/>
        <w:ind w:right="-57"/>
        <w:rPr>
          <w:sz w:val="47"/>
          <w:szCs w:val="47"/>
        </w:rPr>
      </w:pPr>
      <w:bookmarkStart w:name="_Toc199231039" w:id="85"/>
      <w:r w:rsidRPr="00F57044">
        <w:rPr>
          <w:sz w:val="47"/>
          <w:szCs w:val="47"/>
        </w:rPr>
        <w:t>Questions on detailed methodology</w:t>
      </w:r>
      <w:bookmarkEnd w:id="85"/>
    </w:p>
    <w:p w:rsidRPr="00F57044" w:rsidR="00A945A9" w:rsidP="009C16D7" w:rsidRDefault="00495159" w14:paraId="671548D4" w14:textId="0D69CF2B">
      <w:pPr>
        <w:pStyle w:val="Heading2"/>
      </w:pPr>
      <w:bookmarkStart w:name="_Toc199231040" w:id="86"/>
      <w:r w:rsidRPr="00F57044">
        <w:t xml:space="preserve">NZ ETS cap for </w:t>
      </w:r>
      <w:r w:rsidRPr="00F57044" w:rsidR="008B31AB">
        <w:t>EB2</w:t>
      </w:r>
      <w:bookmarkEnd w:id="86"/>
    </w:p>
    <w:p w:rsidRPr="00F57044" w:rsidR="00A945A9" w:rsidP="00A945A9" w:rsidRDefault="003049EE" w14:paraId="543FEFAD" w14:textId="3D4DED47">
      <w:pPr>
        <w:pStyle w:val="BodyText"/>
      </w:pPr>
      <w:r w:rsidRPr="00F57044">
        <w:t>I</w:t>
      </w:r>
      <w:r w:rsidRPr="00F57044" w:rsidR="00495159">
        <w:t>n</w:t>
      </w:r>
      <w:r w:rsidRPr="00F57044" w:rsidR="0007430E">
        <w:t xml:space="preserve"> the second emissions reduction plan</w:t>
      </w:r>
      <w:r w:rsidRPr="00F57044" w:rsidR="00495159">
        <w:t xml:space="preserve"> </w:t>
      </w:r>
      <w:r w:rsidRPr="00F57044" w:rsidR="0007430E">
        <w:t>(</w:t>
      </w:r>
      <w:r w:rsidRPr="00F57044" w:rsidR="00495159">
        <w:t>ERP2</w:t>
      </w:r>
      <w:r w:rsidRPr="00F57044" w:rsidR="0007430E">
        <w:t>)</w:t>
      </w:r>
      <w:r w:rsidRPr="00F57044" w:rsidR="003B210B">
        <w:t xml:space="preserve">, the Government proposed </w:t>
      </w:r>
      <w:r w:rsidRPr="00F57044" w:rsidR="00823CEC">
        <w:t xml:space="preserve">to align the </w:t>
      </w:r>
      <w:r w:rsidRPr="00F57044" w:rsidR="0007430E">
        <w:t>New</w:t>
      </w:r>
      <w:r w:rsidRPr="00F57044" w:rsidR="00FC6B6A">
        <w:t> </w:t>
      </w:r>
      <w:r w:rsidRPr="00F57044" w:rsidR="0007430E">
        <w:t>Zealand Emissions Trading Scheme (</w:t>
      </w:r>
      <w:r w:rsidRPr="00F57044" w:rsidR="00823CEC">
        <w:t>NZ ETS</w:t>
      </w:r>
      <w:r w:rsidRPr="00F57044" w:rsidR="0007430E">
        <w:t>)</w:t>
      </w:r>
      <w:r w:rsidRPr="00F57044" w:rsidR="00823CEC">
        <w:t xml:space="preserve"> cap</w:t>
      </w:r>
      <w:r w:rsidRPr="00F57044" w:rsidR="008168BF">
        <w:t xml:space="preserve"> with the projected emissions </w:t>
      </w:r>
      <w:r w:rsidRPr="00F57044" w:rsidR="00946A69">
        <w:t>from NZ</w:t>
      </w:r>
      <w:r w:rsidR="005B3691">
        <w:t> </w:t>
      </w:r>
      <w:r w:rsidRPr="00F57044" w:rsidR="00946A69">
        <w:t>ETS</w:t>
      </w:r>
      <w:r w:rsidR="005B3691">
        <w:t> </w:t>
      </w:r>
      <w:r w:rsidRPr="00F57044" w:rsidR="00946A69">
        <w:t xml:space="preserve">sectors under ERP2. </w:t>
      </w:r>
      <w:r w:rsidRPr="00F57044" w:rsidR="00EB5EE5">
        <w:t xml:space="preserve">Choosing NZ ETS settings aligned with </w:t>
      </w:r>
      <w:r w:rsidRPr="00F57044" w:rsidR="003213C7">
        <w:t>ERP2</w:t>
      </w:r>
      <w:r w:rsidRPr="00F57044" w:rsidR="00EB5EE5">
        <w:t xml:space="preserve"> supports market confidence in the NZ ETS. </w:t>
      </w:r>
      <w:r w:rsidRPr="00F57044" w:rsidR="00143EEF">
        <w:t xml:space="preserve">It specifically </w:t>
      </w:r>
      <w:r w:rsidRPr="00F57044" w:rsidR="008C4ED8">
        <w:t xml:space="preserve">proposed </w:t>
      </w:r>
      <w:r w:rsidRPr="00F57044" w:rsidR="008B31AB">
        <w:t xml:space="preserve">to </w:t>
      </w:r>
      <w:r w:rsidRPr="00F57044" w:rsidR="008C4ED8">
        <w:t>allocat</w:t>
      </w:r>
      <w:r w:rsidRPr="00F57044" w:rsidR="008B31AB">
        <w:t>e</w:t>
      </w:r>
      <w:r w:rsidRPr="00F57044" w:rsidR="008C4ED8">
        <w:t xml:space="preserve"> 91 Mt CO</w:t>
      </w:r>
      <w:r w:rsidRPr="00F57044" w:rsidR="008C4ED8">
        <w:rPr>
          <w:vertAlign w:val="subscript"/>
        </w:rPr>
        <w:t>2</w:t>
      </w:r>
      <w:r w:rsidRPr="00F57044" w:rsidR="008C4ED8">
        <w:t xml:space="preserve">e of </w:t>
      </w:r>
      <w:r w:rsidRPr="00F57044" w:rsidR="00097CEB">
        <w:t>the second emissions budget (</w:t>
      </w:r>
      <w:r w:rsidRPr="00F57044" w:rsidR="008C4ED8">
        <w:t>EB2</w:t>
      </w:r>
      <w:r w:rsidRPr="00F57044" w:rsidR="00097CEB">
        <w:t>)</w:t>
      </w:r>
      <w:r w:rsidRPr="00F57044" w:rsidR="008C4ED8">
        <w:t xml:space="preserve"> to NZ ETS </w:t>
      </w:r>
      <w:proofErr w:type="gramStart"/>
      <w:r w:rsidRPr="00F57044" w:rsidR="008C4ED8">
        <w:t>sectors</w:t>
      </w:r>
      <w:r w:rsidRPr="00F57044" w:rsidR="008B31AB">
        <w:t>,</w:t>
      </w:r>
      <w:r w:rsidRPr="00F57044" w:rsidR="008C4ED8">
        <w:t xml:space="preserve"> and</w:t>
      </w:r>
      <w:proofErr w:type="gramEnd"/>
      <w:r w:rsidRPr="00F57044" w:rsidR="008C4ED8">
        <w:t xml:space="preserve"> committed to consulting on this allocation as</w:t>
      </w:r>
      <w:r w:rsidR="005B3691">
        <w:t> </w:t>
      </w:r>
      <w:r w:rsidRPr="00F57044" w:rsidR="008C4ED8">
        <w:t>part of the 2025 NZ</w:t>
      </w:r>
      <w:r w:rsidRPr="00F57044" w:rsidR="00FC6B6A">
        <w:t> </w:t>
      </w:r>
      <w:r w:rsidRPr="00F57044" w:rsidR="008C4ED8">
        <w:t>ETS settings process.</w:t>
      </w:r>
      <w:r w:rsidRPr="00F57044" w:rsidR="00BB643F">
        <w:rPr>
          <w:rStyle w:val="FootnoteReference"/>
        </w:rPr>
        <w:footnoteReference w:id="17"/>
      </w:r>
    </w:p>
    <w:p w:rsidRPr="00F57044" w:rsidR="00212CD5" w:rsidP="00A945A9" w:rsidRDefault="00212CD5" w14:paraId="7B3D5CD1" w14:textId="6DE1E552">
      <w:pPr>
        <w:pStyle w:val="BodyText"/>
      </w:pPr>
      <w:r w:rsidRPr="00F57044">
        <w:t>The</w:t>
      </w:r>
      <w:r w:rsidRPr="00F57044" w:rsidR="00097CEB">
        <w:t xml:space="preserve"> Climate Change</w:t>
      </w:r>
      <w:r w:rsidRPr="00F57044">
        <w:t xml:space="preserve"> Commission </w:t>
      </w:r>
      <w:r w:rsidRPr="00F57044" w:rsidR="005E60E0">
        <w:t xml:space="preserve">(the Commission) </w:t>
      </w:r>
      <w:r w:rsidRPr="00F57044">
        <w:t xml:space="preserve">has </w:t>
      </w:r>
      <w:r w:rsidRPr="00F57044" w:rsidR="00F94928">
        <w:t>refined this proposed figure slightly, as</w:t>
      </w:r>
      <w:r w:rsidR="005B3691">
        <w:t> </w:t>
      </w:r>
      <w:r w:rsidRPr="00F57044" w:rsidR="00F94928">
        <w:t>it uses</w:t>
      </w:r>
      <w:r w:rsidRPr="00F57044" w:rsidR="00913C66">
        <w:t xml:space="preserve"> a more granular </w:t>
      </w:r>
      <w:r w:rsidRPr="00F57044" w:rsidR="007A6871">
        <w:t>breakdown</w:t>
      </w:r>
      <w:r w:rsidRPr="00F57044" w:rsidR="00913C66">
        <w:t xml:space="preserve"> of emissions than that used </w:t>
      </w:r>
      <w:r w:rsidRPr="00F57044" w:rsidR="00B76A40">
        <w:t xml:space="preserve">to </w:t>
      </w:r>
      <w:r w:rsidRPr="00F57044" w:rsidR="0042419D">
        <w:t xml:space="preserve">develop the cap proposed </w:t>
      </w:r>
      <w:r w:rsidRPr="00F57044" w:rsidR="003F2108">
        <w:t xml:space="preserve">through ERP2. </w:t>
      </w:r>
      <w:r w:rsidRPr="00F57044" w:rsidR="00CB0924">
        <w:t>The Commission’s more detailed methodology</w:t>
      </w:r>
      <w:r w:rsidRPr="00F57044" w:rsidR="00C808B2">
        <w:t xml:space="preserve"> applied to th</w:t>
      </w:r>
      <w:r w:rsidRPr="00F57044" w:rsidR="008B31AB">
        <w:t>e</w:t>
      </w:r>
      <w:r w:rsidRPr="00F57044" w:rsidR="00C808B2">
        <w:t xml:space="preserve"> </w:t>
      </w:r>
      <w:r w:rsidRPr="00F57044" w:rsidR="00406549">
        <w:t xml:space="preserve">cap proposed </w:t>
      </w:r>
      <w:r w:rsidRPr="00F57044" w:rsidR="00AF47BC">
        <w:t>through</w:t>
      </w:r>
      <w:r w:rsidRPr="00F57044" w:rsidR="00406549">
        <w:t xml:space="preserve"> ERP2</w:t>
      </w:r>
      <w:r w:rsidRPr="00F57044" w:rsidR="00C808B2">
        <w:t xml:space="preserve"> results in </w:t>
      </w:r>
      <w:r w:rsidRPr="00F57044" w:rsidR="00283A93">
        <w:t>an E</w:t>
      </w:r>
      <w:r w:rsidRPr="00F57044" w:rsidR="00C36FBD">
        <w:t>B</w:t>
      </w:r>
      <w:r w:rsidRPr="00F57044" w:rsidR="00283A93">
        <w:t xml:space="preserve">2 cap of </w:t>
      </w:r>
      <w:r w:rsidRPr="00F57044" w:rsidR="002F10D6">
        <w:t>89.4</w:t>
      </w:r>
      <w:r w:rsidRPr="00F57044" w:rsidR="00247DA1">
        <w:t xml:space="preserve"> Mt CO</w:t>
      </w:r>
      <w:r w:rsidRPr="00F57044" w:rsidR="00247DA1">
        <w:rPr>
          <w:vertAlign w:val="subscript"/>
        </w:rPr>
        <w:t>2</w:t>
      </w:r>
      <w:r w:rsidRPr="00F57044" w:rsidR="00247DA1">
        <w:t>e.</w:t>
      </w:r>
      <w:r w:rsidRPr="00F57044" w:rsidR="00E7736F">
        <w:rPr>
          <w:rStyle w:val="FootnoteReference"/>
        </w:rPr>
        <w:footnoteReference w:id="18"/>
      </w:r>
    </w:p>
    <w:p w:rsidRPr="00F57044" w:rsidR="00DE0468" w:rsidP="00A945A9" w:rsidRDefault="00DE0468" w14:paraId="3E15A073" w14:textId="19F147AE">
      <w:pPr>
        <w:pStyle w:val="BodyText"/>
      </w:pPr>
      <w:r w:rsidRPr="00F57044">
        <w:t xml:space="preserve">This cap could </w:t>
      </w:r>
      <w:r w:rsidRPr="00F57044" w:rsidR="005853AA">
        <w:t xml:space="preserve">be </w:t>
      </w:r>
      <w:r w:rsidRPr="00F57044">
        <w:t>adjust</w:t>
      </w:r>
      <w:r w:rsidRPr="00F57044" w:rsidR="005853AA">
        <w:t>ed</w:t>
      </w:r>
      <w:r w:rsidRPr="00F57044">
        <w:t xml:space="preserve"> in the future </w:t>
      </w:r>
      <w:r w:rsidRPr="00F57044" w:rsidR="00262F4C">
        <w:t xml:space="preserve">to </w:t>
      </w:r>
      <w:r w:rsidRPr="00F57044" w:rsidR="00FA074D">
        <w:t>incorporate</w:t>
      </w:r>
      <w:r w:rsidRPr="00F57044">
        <w:t xml:space="preserve"> methodological or technical changes</w:t>
      </w:r>
      <w:r w:rsidRPr="00F57044" w:rsidR="00C51E1E">
        <w:t>.</w:t>
      </w:r>
      <w:r w:rsidRPr="00F57044" w:rsidR="00AB28BC">
        <w:t xml:space="preserve"> </w:t>
      </w:r>
      <w:r w:rsidRPr="00F57044" w:rsidR="00A72256">
        <w:t xml:space="preserve">These changes would </w:t>
      </w:r>
      <w:r w:rsidRPr="00F57044" w:rsidR="00547A4D">
        <w:t xml:space="preserve">not </w:t>
      </w:r>
      <w:r w:rsidRPr="00F57044" w:rsidR="00CA12B8">
        <w:t>change</w:t>
      </w:r>
      <w:r w:rsidRPr="00F57044" w:rsidR="00547A4D">
        <w:t xml:space="preserve"> the level of ambition.</w:t>
      </w:r>
      <w:r w:rsidRPr="00F57044" w:rsidR="00A72256">
        <w:t xml:space="preserve"> </w:t>
      </w:r>
      <w:r w:rsidRPr="00F57044" w:rsidR="008A3285">
        <w:t xml:space="preserve">We do not propose to adjust the cap </w:t>
      </w:r>
      <w:r w:rsidRPr="00F57044" w:rsidR="009F44C6">
        <w:t>if</w:t>
      </w:r>
      <w:r w:rsidR="005B3691">
        <w:t> </w:t>
      </w:r>
      <w:r w:rsidRPr="00F57044" w:rsidR="009F44C6">
        <w:t>projections change in the future</w:t>
      </w:r>
      <w:r w:rsidRPr="00F57044" w:rsidR="00950BD6">
        <w:t>.</w:t>
      </w:r>
      <w:r w:rsidRPr="00F57044" w:rsidR="00F24836">
        <w:t xml:space="preserve"> </w:t>
      </w:r>
    </w:p>
    <w:p w:rsidRPr="00F57044" w:rsidR="00A945A9" w:rsidP="00FC6B6A" w:rsidRDefault="001A3411" w14:paraId="288E8183" w14:textId="0ED5B18C">
      <w:pPr>
        <w:pStyle w:val="BodyText"/>
        <w:spacing w:after="240"/>
        <w:rPr>
          <w:b/>
          <w:bCs/>
        </w:rPr>
      </w:pPr>
      <w:r w:rsidRPr="00F57044">
        <w:rPr>
          <w:b/>
          <w:bCs/>
        </w:rPr>
        <w:t xml:space="preserve">We would like to hear your views on </w:t>
      </w:r>
      <w:r w:rsidRPr="00F57044" w:rsidR="00F253A2">
        <w:rPr>
          <w:b/>
          <w:bCs/>
        </w:rPr>
        <w:t xml:space="preserve">using </w:t>
      </w:r>
      <w:r w:rsidRPr="00F57044" w:rsidR="00084E2B">
        <w:rPr>
          <w:b/>
          <w:bCs/>
        </w:rPr>
        <w:t xml:space="preserve">ERP2 projections to determine the </w:t>
      </w:r>
      <w:r w:rsidRPr="00F57044" w:rsidR="00352BA1">
        <w:rPr>
          <w:b/>
          <w:bCs/>
        </w:rPr>
        <w:t>NZ ETS cap</w:t>
      </w:r>
      <w:r w:rsidRPr="00F57044" w:rsidR="004F59EA">
        <w:rPr>
          <w:b/>
          <w:bCs/>
        </w:rPr>
        <w:t> </w:t>
      </w:r>
      <w:r w:rsidRPr="00F57044" w:rsidR="00220D08">
        <w:rPr>
          <w:b/>
          <w:bCs/>
        </w:rPr>
        <w:t>for</w:t>
      </w:r>
      <w:r w:rsidRPr="00F57044" w:rsidR="00FC6B6A">
        <w:rPr>
          <w:b/>
          <w:bCs/>
        </w:rPr>
        <w:t> </w:t>
      </w:r>
      <w:r w:rsidRPr="00F57044" w:rsidR="00220D08">
        <w:rPr>
          <w:b/>
          <w:bCs/>
        </w:rPr>
        <w:t>EB2</w:t>
      </w:r>
      <w:r w:rsidRPr="00F57044" w:rsidR="00352BA1">
        <w:rPr>
          <w:b/>
          <w:bCs/>
        </w:rPr>
        <w:t>.</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140A6C" w14:paraId="4C92990C" w14:textId="77777777">
        <w:tc>
          <w:tcPr>
            <w:tcW w:w="5000" w:type="pct"/>
            <w:gridSpan w:val="2"/>
            <w:shd w:val="clear" w:color="auto" w:fill="1B556B" w:themeFill="text2"/>
          </w:tcPr>
          <w:p w:rsidRPr="00F57044" w:rsidR="00140A6C" w:rsidRDefault="00140A6C" w14:paraId="68D19D76" w14:textId="331F0044">
            <w:pPr>
              <w:keepNext/>
              <w:spacing w:before="60" w:after="60" w:line="240" w:lineRule="atLeast"/>
              <w:jc w:val="left"/>
              <w:rPr>
                <w:b/>
                <w:color w:val="FFFFFF" w:themeColor="background1"/>
                <w:sz w:val="20"/>
                <w:szCs w:val="20"/>
              </w:rPr>
            </w:pPr>
            <w:r w:rsidRPr="00F57044">
              <w:rPr>
                <w:b/>
                <w:color w:val="FFFFFF" w:themeColor="background1"/>
                <w:sz w:val="20"/>
                <w:szCs w:val="20"/>
              </w:rPr>
              <w:t>Question</w:t>
            </w:r>
          </w:p>
        </w:tc>
      </w:tr>
      <w:tr w:rsidRPr="00F57044" w:rsidR="00140A6C" w14:paraId="2E453002" w14:textId="77777777">
        <w:tc>
          <w:tcPr>
            <w:tcW w:w="333" w:type="pct"/>
          </w:tcPr>
          <w:p w:rsidRPr="00F57044" w:rsidR="00140A6C" w:rsidP="00FC6B6A" w:rsidRDefault="00C95778" w14:paraId="2F0651C1" w14:textId="2F8CD830">
            <w:pPr>
              <w:pStyle w:val="Questions"/>
            </w:pPr>
            <w:r w:rsidRPr="00F57044">
              <w:t>13</w:t>
            </w:r>
          </w:p>
        </w:tc>
        <w:tc>
          <w:tcPr>
            <w:tcW w:w="4667" w:type="pct"/>
          </w:tcPr>
          <w:p w:rsidRPr="00F57044" w:rsidR="00140A6C" w:rsidP="00FC6B6A" w:rsidRDefault="005F0CF8" w14:paraId="207B1E46" w14:textId="5C8E726B">
            <w:pPr>
              <w:pStyle w:val="Questions"/>
            </w:pPr>
            <w:r w:rsidRPr="00F57044">
              <w:t xml:space="preserve">Do you have any feedback on the proposal to align the </w:t>
            </w:r>
            <w:r w:rsidRPr="00F57044" w:rsidDel="009D045A">
              <w:t xml:space="preserve">NZ ETS </w:t>
            </w:r>
            <w:r w:rsidRPr="00F57044">
              <w:t>cap</w:t>
            </w:r>
            <w:r w:rsidRPr="00F57044" w:rsidR="00220D08">
              <w:t xml:space="preserve"> for EB2</w:t>
            </w:r>
            <w:r w:rsidRPr="00F57044">
              <w:t xml:space="preserve"> with ERP2 projections? Do you have any suggestions for a more appropriate method for determining the</w:t>
            </w:r>
            <w:r w:rsidR="005B3691">
              <w:t> </w:t>
            </w:r>
            <w:r w:rsidRPr="00F57044" w:rsidDel="008B31AB">
              <w:t xml:space="preserve">NZ ETS </w:t>
            </w:r>
            <w:r w:rsidRPr="00F57044">
              <w:t>cap</w:t>
            </w:r>
            <w:r w:rsidRPr="00F57044" w:rsidR="00220D08">
              <w:t xml:space="preserve"> for EB2</w:t>
            </w:r>
            <w:r w:rsidRPr="00F57044" w:rsidR="00140A6C">
              <w:t>?</w:t>
            </w:r>
          </w:p>
        </w:tc>
      </w:tr>
    </w:tbl>
    <w:p w:rsidRPr="00F57044" w:rsidR="00022341" w:rsidP="00FC6B6A" w:rsidRDefault="00B25F12" w14:paraId="0812A2FF" w14:textId="4B178DE2">
      <w:pPr>
        <w:pStyle w:val="Heading2"/>
        <w:spacing w:before="480"/>
      </w:pPr>
      <w:bookmarkStart w:name="_Provisional_NZ_ETS" w:id="87"/>
      <w:bookmarkStart w:name="_Toc199231041" w:id="88"/>
      <w:bookmarkEnd w:id="87"/>
      <w:r w:rsidRPr="00F57044">
        <w:t xml:space="preserve">Provisional </w:t>
      </w:r>
      <w:r w:rsidRPr="00F57044" w:rsidR="00860CC7">
        <w:t xml:space="preserve">NZ ETS cap for </w:t>
      </w:r>
      <w:r w:rsidRPr="00F57044">
        <w:t>EB3</w:t>
      </w:r>
      <w:bookmarkEnd w:id="88"/>
    </w:p>
    <w:p w:rsidRPr="00F57044" w:rsidR="00801DA2" w:rsidP="00801DA2" w:rsidRDefault="00801DA2" w14:paraId="676DBCEA" w14:textId="4262AA9A">
      <w:pPr>
        <w:pStyle w:val="BodyText"/>
      </w:pPr>
      <w:r w:rsidRPr="00F57044">
        <w:t>ERP2</w:t>
      </w:r>
      <w:r w:rsidRPr="00F57044" w:rsidR="00D9441A">
        <w:t>’s ‘new measures projections’ estimate</w:t>
      </w:r>
      <w:r w:rsidRPr="00F57044">
        <w:t xml:space="preserve"> net emissions of 249.2</w:t>
      </w:r>
      <w:r w:rsidRPr="00F57044" w:rsidR="004B4598">
        <w:t xml:space="preserve"> </w:t>
      </w:r>
      <w:r w:rsidRPr="00F57044">
        <w:t>Mt</w:t>
      </w:r>
      <w:r w:rsidRPr="00F57044" w:rsidR="004000D9">
        <w:t xml:space="preserve"> CO</w:t>
      </w:r>
      <w:r w:rsidRPr="00F57044" w:rsidR="004000D9">
        <w:rPr>
          <w:sz w:val="20"/>
          <w:szCs w:val="20"/>
          <w:vertAlign w:val="subscript"/>
        </w:rPr>
        <w:t>2</w:t>
      </w:r>
      <w:r w:rsidRPr="00F57044" w:rsidR="004000D9">
        <w:rPr>
          <w:sz w:val="20"/>
          <w:szCs w:val="20"/>
        </w:rPr>
        <w:t>e</w:t>
      </w:r>
      <w:r w:rsidRPr="00F57044">
        <w:t xml:space="preserve"> in </w:t>
      </w:r>
      <w:r w:rsidRPr="00F57044" w:rsidR="00220D08">
        <w:t>the third emissions budget (</w:t>
      </w:r>
      <w:r w:rsidRPr="00F57044">
        <w:t>EB3</w:t>
      </w:r>
      <w:r w:rsidRPr="00F57044" w:rsidR="00220D08">
        <w:t>)</w:t>
      </w:r>
      <w:r w:rsidRPr="00F57044">
        <w:t xml:space="preserve">. The EB3 </w:t>
      </w:r>
      <w:r w:rsidRPr="00F57044" w:rsidR="0039316C">
        <w:t xml:space="preserve">limit </w:t>
      </w:r>
      <w:r w:rsidRPr="00F57044">
        <w:t>is 240</w:t>
      </w:r>
      <w:r w:rsidRPr="00F57044" w:rsidR="004B4598">
        <w:t xml:space="preserve"> </w:t>
      </w:r>
      <w:r w:rsidRPr="00F57044">
        <w:t>Mt</w:t>
      </w:r>
      <w:r w:rsidRPr="00F57044" w:rsidR="004000D9">
        <w:t xml:space="preserve"> CO</w:t>
      </w:r>
      <w:r w:rsidRPr="00F57044" w:rsidR="004000D9">
        <w:rPr>
          <w:sz w:val="20"/>
          <w:szCs w:val="20"/>
          <w:vertAlign w:val="subscript"/>
        </w:rPr>
        <w:t>2</w:t>
      </w:r>
      <w:r w:rsidRPr="00F57044" w:rsidR="004000D9">
        <w:rPr>
          <w:sz w:val="20"/>
          <w:szCs w:val="20"/>
        </w:rPr>
        <w:t>e</w:t>
      </w:r>
      <w:r w:rsidRPr="00F57044">
        <w:t>. This means</w:t>
      </w:r>
      <w:r w:rsidRPr="00F57044" w:rsidR="004000D9">
        <w:t xml:space="preserve"> additional abatement of</w:t>
      </w:r>
      <w:r w:rsidRPr="00F57044">
        <w:t xml:space="preserve"> 9.2</w:t>
      </w:r>
      <w:r w:rsidRPr="00F57044" w:rsidR="004000D9">
        <w:t> </w:t>
      </w:r>
      <w:r w:rsidRPr="00F57044">
        <w:t>Mt</w:t>
      </w:r>
      <w:r w:rsidRPr="00F57044" w:rsidR="004000D9">
        <w:t xml:space="preserve"> CO</w:t>
      </w:r>
      <w:r w:rsidRPr="00F57044" w:rsidR="004000D9">
        <w:rPr>
          <w:sz w:val="20"/>
          <w:szCs w:val="20"/>
          <w:vertAlign w:val="subscript"/>
        </w:rPr>
        <w:t>2</w:t>
      </w:r>
      <w:r w:rsidRPr="00F57044" w:rsidR="004000D9">
        <w:rPr>
          <w:sz w:val="20"/>
          <w:szCs w:val="20"/>
        </w:rPr>
        <w:t>e</w:t>
      </w:r>
      <w:r w:rsidRPr="00F57044">
        <w:t xml:space="preserve"> is required across 2031</w:t>
      </w:r>
      <w:r w:rsidRPr="00F57044" w:rsidR="008B31AB">
        <w:t>–</w:t>
      </w:r>
      <w:r w:rsidRPr="00F57044">
        <w:t xml:space="preserve">35 to </w:t>
      </w:r>
      <w:r w:rsidRPr="00F57044" w:rsidR="00545F7F">
        <w:t>meet</w:t>
      </w:r>
      <w:r w:rsidRPr="00F57044">
        <w:t xml:space="preserve"> EB3.</w:t>
      </w:r>
      <w:r w:rsidRPr="00F57044">
        <w:rPr>
          <w:rStyle w:val="FootnoteReference"/>
        </w:rPr>
        <w:footnoteReference w:id="19"/>
      </w:r>
      <w:r w:rsidRPr="00F57044">
        <w:t xml:space="preserve"> </w:t>
      </w:r>
    </w:p>
    <w:p w:rsidRPr="00F57044" w:rsidR="00295EF3" w:rsidP="00801DA2" w:rsidRDefault="00A6650B" w14:paraId="43A930AA" w14:textId="52C52D38">
      <w:pPr>
        <w:pStyle w:val="BodyText"/>
      </w:pPr>
      <w:r w:rsidRPr="00F57044">
        <w:t>Unit limit</w:t>
      </w:r>
      <w:r w:rsidRPr="00F57044" w:rsidR="00801DA2">
        <w:t xml:space="preserve"> </w:t>
      </w:r>
      <w:r w:rsidRPr="00F57044" w:rsidR="005439DF">
        <w:t xml:space="preserve">decisions </w:t>
      </w:r>
      <w:r w:rsidRPr="00F57044" w:rsidR="00801DA2">
        <w:t>from 2026 onwards</w:t>
      </w:r>
      <w:r w:rsidRPr="00F57044">
        <w:t xml:space="preserve"> will start to include the </w:t>
      </w:r>
      <w:r w:rsidRPr="00F57044" w:rsidR="00801DA2">
        <w:t xml:space="preserve">EB3 </w:t>
      </w:r>
      <w:r w:rsidRPr="00F57044">
        <w:t xml:space="preserve">period, and so we will need to </w:t>
      </w:r>
      <w:proofErr w:type="gramStart"/>
      <w:r w:rsidRPr="00F57044">
        <w:t>make an assumption</w:t>
      </w:r>
      <w:proofErr w:type="gramEnd"/>
      <w:r w:rsidRPr="00F57044">
        <w:t xml:space="preserve"> on how to allocate this additional abatement.</w:t>
      </w:r>
      <w:r w:rsidRPr="00F57044" w:rsidR="00801DA2">
        <w:t xml:space="preserve"> However, it will also be relevant </w:t>
      </w:r>
      <w:r w:rsidRPr="00F57044" w:rsidR="004000D9">
        <w:t xml:space="preserve">to </w:t>
      </w:r>
      <w:r w:rsidRPr="00F57044" w:rsidR="00801DA2">
        <w:t>current decisions</w:t>
      </w:r>
      <w:r w:rsidRPr="00F57044" w:rsidR="0014184A">
        <w:t>,</w:t>
      </w:r>
      <w:r w:rsidRPr="00F57044" w:rsidR="00801DA2">
        <w:t xml:space="preserve"> as it impacts on hedging volumes in the surplus </w:t>
      </w:r>
      <w:r w:rsidRPr="00F57044" w:rsidR="00912EA6">
        <w:t xml:space="preserve">estimate. </w:t>
      </w:r>
      <w:r w:rsidRPr="00F57044" w:rsidR="0014184A">
        <w:t>(For more detail, see</w:t>
      </w:r>
      <w:r w:rsidRPr="00F57044" w:rsidR="00801DA2">
        <w:t xml:space="preserve"> </w:t>
      </w:r>
      <w:hyperlink w:history="1" w:anchor="_Changes_to_surplus">
        <w:r w:rsidRPr="00F57044" w:rsidR="0014184A">
          <w:rPr>
            <w:rStyle w:val="Hyperlink"/>
          </w:rPr>
          <w:t>C</w:t>
        </w:r>
        <w:r w:rsidRPr="00F57044" w:rsidR="00063A84">
          <w:rPr>
            <w:rStyle w:val="Hyperlink"/>
          </w:rPr>
          <w:t>hanges to surplus methodology</w:t>
        </w:r>
      </w:hyperlink>
      <w:r w:rsidRPr="00F57044" w:rsidR="00801DA2">
        <w:t>.</w:t>
      </w:r>
      <w:r w:rsidRPr="00F57044" w:rsidR="0014184A">
        <w:t>)</w:t>
      </w:r>
      <w:r w:rsidRPr="00F57044" w:rsidR="00CC0D69">
        <w:t xml:space="preserve"> </w:t>
      </w:r>
    </w:p>
    <w:p w:rsidRPr="00F57044" w:rsidR="00801DA2" w:rsidP="00FC6B6A" w:rsidRDefault="00BF6664" w14:paraId="1742BD9E" w14:textId="60C7875E">
      <w:pPr>
        <w:pStyle w:val="BodyText"/>
        <w:keepLines/>
      </w:pPr>
      <w:r w:rsidRPr="00F57044">
        <w:t>We propose that</w:t>
      </w:r>
      <w:r w:rsidRPr="00F57044" w:rsidR="00E20ECC">
        <w:t xml:space="preserve"> </w:t>
      </w:r>
      <w:r w:rsidRPr="00F57044" w:rsidR="00FE79E4">
        <w:t xml:space="preserve">ETS-covered </w:t>
      </w:r>
      <w:r w:rsidRPr="00F57044" w:rsidDel="00E20ECC" w:rsidR="00FE79E4">
        <w:t xml:space="preserve">sectors </w:t>
      </w:r>
      <w:r w:rsidRPr="00F57044" w:rsidR="00FE79E4">
        <w:t>account for all the increased reductions</w:t>
      </w:r>
      <w:r w:rsidRPr="00F57044" w:rsidR="00BD0763">
        <w:t xml:space="preserve"> necessary </w:t>
      </w:r>
      <w:r w:rsidRPr="00F57044" w:rsidR="00E74524">
        <w:t>to accord with EB3</w:t>
      </w:r>
      <w:r w:rsidRPr="00F57044" w:rsidR="00D25321">
        <w:t xml:space="preserve">. This would </w:t>
      </w:r>
      <w:r w:rsidRPr="00F57044" w:rsidR="00067942">
        <w:t>result in a</w:t>
      </w:r>
      <w:r w:rsidRPr="00F57044">
        <w:t xml:space="preserve"> provisional</w:t>
      </w:r>
      <w:r w:rsidRPr="00F57044" w:rsidR="00837E46">
        <w:t xml:space="preserve"> NZ </w:t>
      </w:r>
      <w:r w:rsidRPr="00F57044" w:rsidR="006F4FDE">
        <w:t>ETS cap</w:t>
      </w:r>
      <w:r w:rsidRPr="00F57044" w:rsidR="00220D08">
        <w:t xml:space="preserve"> for EB3</w:t>
      </w:r>
      <w:r w:rsidRPr="00F57044" w:rsidR="006F4FDE">
        <w:t xml:space="preserve"> </w:t>
      </w:r>
      <w:r w:rsidRPr="00F57044" w:rsidR="00067942">
        <w:t xml:space="preserve">of </w:t>
      </w:r>
      <w:r w:rsidRPr="00F57044" w:rsidR="00FD1AEC">
        <w:t>41</w:t>
      </w:r>
      <w:r w:rsidRPr="00F57044" w:rsidR="00E20ECC">
        <w:t> </w:t>
      </w:r>
      <w:r w:rsidRPr="00F57044" w:rsidR="00FD1AEC">
        <w:t>Mt</w:t>
      </w:r>
      <w:r w:rsidRPr="00F57044" w:rsidR="00E20ECC">
        <w:t> </w:t>
      </w:r>
      <w:r w:rsidRPr="00F57044" w:rsidR="004000D9">
        <w:t>CO</w:t>
      </w:r>
      <w:r w:rsidRPr="00F57044" w:rsidR="004000D9">
        <w:rPr>
          <w:sz w:val="20"/>
          <w:szCs w:val="20"/>
          <w:vertAlign w:val="subscript"/>
        </w:rPr>
        <w:t>2</w:t>
      </w:r>
      <w:r w:rsidRPr="00F57044" w:rsidR="004000D9">
        <w:rPr>
          <w:sz w:val="20"/>
          <w:szCs w:val="20"/>
        </w:rPr>
        <w:t>e</w:t>
      </w:r>
      <w:r w:rsidRPr="00F57044" w:rsidR="00253760">
        <w:t xml:space="preserve">. </w:t>
      </w:r>
      <w:r w:rsidRPr="00F57044" w:rsidR="00A07BA4">
        <w:t xml:space="preserve">This figure is </w:t>
      </w:r>
      <w:proofErr w:type="gramStart"/>
      <w:r w:rsidRPr="00F57044" w:rsidR="00A07BA4">
        <w:t>similar to</w:t>
      </w:r>
      <w:proofErr w:type="gramEnd"/>
      <w:r w:rsidRPr="00F57044" w:rsidR="00A07BA4">
        <w:t xml:space="preserve"> </w:t>
      </w:r>
      <w:r w:rsidRPr="00F57044" w:rsidR="00E719CD">
        <w:t xml:space="preserve">the </w:t>
      </w:r>
      <w:r w:rsidRPr="00F57044" w:rsidR="001B0FFD">
        <w:t>38 Mt CO</w:t>
      </w:r>
      <w:r w:rsidRPr="00F57044" w:rsidR="001B0FFD">
        <w:rPr>
          <w:sz w:val="20"/>
          <w:szCs w:val="20"/>
          <w:vertAlign w:val="subscript"/>
        </w:rPr>
        <w:t>2</w:t>
      </w:r>
      <w:r w:rsidRPr="00F57044" w:rsidR="001B0FFD">
        <w:rPr>
          <w:sz w:val="20"/>
          <w:szCs w:val="20"/>
        </w:rPr>
        <w:t>e</w:t>
      </w:r>
      <w:r w:rsidRPr="00F57044" w:rsidR="001B0FFD">
        <w:t xml:space="preserve"> </w:t>
      </w:r>
      <w:r w:rsidRPr="00F57044" w:rsidR="00E719CD">
        <w:t xml:space="preserve">EB3 </w:t>
      </w:r>
      <w:r w:rsidRPr="00F57044" w:rsidR="00745D1A">
        <w:t xml:space="preserve">NZ ETS cap </w:t>
      </w:r>
      <w:r w:rsidRPr="00F57044" w:rsidR="00531CBB">
        <w:t xml:space="preserve">that </w:t>
      </w:r>
      <w:r w:rsidRPr="00F57044" w:rsidR="005C37B7">
        <w:t>was</w:t>
      </w:r>
      <w:r w:rsidRPr="00F57044" w:rsidR="00531CBB">
        <w:t xml:space="preserve"> </w:t>
      </w:r>
      <w:r w:rsidRPr="00F57044" w:rsidR="00D24111">
        <w:t>provided by the Commission’s demonstration pathway</w:t>
      </w:r>
      <w:r w:rsidRPr="00F57044" w:rsidR="00DA49AC">
        <w:t>.</w:t>
      </w:r>
    </w:p>
    <w:p w:rsidRPr="00F57044" w:rsidR="004D4138" w:rsidP="00801DA2" w:rsidRDefault="001842DF" w14:paraId="34DDF65A" w14:textId="6188B166">
      <w:pPr>
        <w:pStyle w:val="BodyText"/>
      </w:pPr>
      <w:r w:rsidRPr="00F57044">
        <w:t xml:space="preserve">This </w:t>
      </w:r>
      <w:r w:rsidRPr="00F57044" w:rsidR="00195E8F">
        <w:t>approach</w:t>
      </w:r>
      <w:r w:rsidRPr="00F57044" w:rsidR="00CC3427">
        <w:t xml:space="preserve"> reflects the Government’s direction that the </w:t>
      </w:r>
      <w:r w:rsidRPr="00F57044" w:rsidR="00837E46">
        <w:t xml:space="preserve">NZ </w:t>
      </w:r>
      <w:r w:rsidRPr="00F57044" w:rsidR="00CC3427">
        <w:t xml:space="preserve">ETS </w:t>
      </w:r>
      <w:r w:rsidRPr="00F57044" w:rsidR="00217825">
        <w:t>is the main tool to reduce net emissions</w:t>
      </w:r>
      <w:r w:rsidRPr="00F57044" w:rsidR="00792F8C">
        <w:t xml:space="preserve"> and will also support </w:t>
      </w:r>
      <w:r w:rsidRPr="00F57044" w:rsidR="00654A3E">
        <w:t xml:space="preserve">market confidence </w:t>
      </w:r>
      <w:r w:rsidRPr="00F57044" w:rsidR="00061A0A">
        <w:t>in the</w:t>
      </w:r>
      <w:r w:rsidRPr="00F57044" w:rsidR="002C2430">
        <w:t xml:space="preserve"> </w:t>
      </w:r>
      <w:r w:rsidRPr="00F57044" w:rsidR="009A7960">
        <w:t>NZ ETS</w:t>
      </w:r>
      <w:r w:rsidRPr="00F57044" w:rsidR="00217825">
        <w:t xml:space="preserve">. It also </w:t>
      </w:r>
      <w:r w:rsidRPr="00F57044" w:rsidR="00195E8F">
        <w:t xml:space="preserve">aligns with </w:t>
      </w:r>
      <w:r w:rsidRPr="00F57044" w:rsidR="00AC19B4">
        <w:t xml:space="preserve">the </w:t>
      </w:r>
      <w:r w:rsidRPr="00F57044" w:rsidR="000A163D">
        <w:t xml:space="preserve">Commission’s </w:t>
      </w:r>
      <w:r w:rsidRPr="00F57044" w:rsidR="0022769A">
        <w:t>approach</w:t>
      </w:r>
      <w:r w:rsidRPr="00F57044" w:rsidR="0064175E">
        <w:t xml:space="preserve"> to calculating hedging volumes related to </w:t>
      </w:r>
      <w:r w:rsidRPr="00F57044" w:rsidR="004000D9">
        <w:t>EB3</w:t>
      </w:r>
      <w:r w:rsidRPr="00F57044" w:rsidR="0064175E">
        <w:t>, as part of estimating the surplus in its NZ ETS settings advice this year</w:t>
      </w:r>
      <w:r w:rsidRPr="00F57044" w:rsidR="00661EF7">
        <w:t>.</w:t>
      </w:r>
      <w:r w:rsidRPr="00F57044" w:rsidR="009F7AC6">
        <w:t xml:space="preserve"> </w:t>
      </w:r>
    </w:p>
    <w:p w:rsidRPr="00F57044" w:rsidR="00801DA2" w:rsidP="00801DA2" w:rsidRDefault="00801DA2" w14:paraId="5BB2B736" w14:textId="7151867D">
      <w:pPr>
        <w:pStyle w:val="BodyText"/>
      </w:pPr>
      <w:r w:rsidRPr="00F57044">
        <w:t xml:space="preserve">Table </w:t>
      </w:r>
      <w:r w:rsidRPr="00F57044" w:rsidR="0065012D">
        <w:t>5</w:t>
      </w:r>
      <w:r w:rsidRPr="00F57044">
        <w:t xml:space="preserve"> shows the </w:t>
      </w:r>
      <w:r w:rsidRPr="00F57044" w:rsidR="00FD1AEC">
        <w:t xml:space="preserve">proposed </w:t>
      </w:r>
      <w:r w:rsidR="00E2538E">
        <w:t xml:space="preserve">provisional </w:t>
      </w:r>
      <w:r w:rsidRPr="00F57044" w:rsidR="00837E46">
        <w:t xml:space="preserve">NZ </w:t>
      </w:r>
      <w:r w:rsidRPr="00F57044">
        <w:t xml:space="preserve">ETS cap </w:t>
      </w:r>
      <w:r w:rsidRPr="00F57044" w:rsidR="004000D9">
        <w:t xml:space="preserve">for EB3 </w:t>
      </w:r>
      <w:r w:rsidRPr="00F57044">
        <w:t>across 2031</w:t>
      </w:r>
      <w:r w:rsidRPr="00F57044" w:rsidR="0014184A">
        <w:t>–</w:t>
      </w:r>
      <w:r w:rsidRPr="00F57044">
        <w:t xml:space="preserve">35. </w:t>
      </w:r>
    </w:p>
    <w:p w:rsidRPr="00F57044" w:rsidR="00801DA2" w:rsidP="00801DA2" w:rsidRDefault="00801DA2" w14:paraId="069939EE" w14:textId="6620CE58">
      <w:pPr>
        <w:pStyle w:val="Tableheading"/>
      </w:pPr>
      <w:bookmarkStart w:name="_Toc198901875" w:id="89"/>
      <w:r w:rsidRPr="00F57044">
        <w:t xml:space="preserve">Table </w:t>
      </w:r>
      <w:r w:rsidRPr="00F57044" w:rsidR="0065012D">
        <w:t>5</w:t>
      </w:r>
      <w:r w:rsidRPr="00F57044">
        <w:t xml:space="preserve">: </w:t>
      </w:r>
      <w:r w:rsidRPr="00F57044" w:rsidR="00E3099E">
        <w:tab/>
      </w:r>
      <w:r w:rsidRPr="00F57044" w:rsidR="00910042">
        <w:t>P</w:t>
      </w:r>
      <w:r w:rsidRPr="00F57044" w:rsidR="00992073">
        <w:t>roposed</w:t>
      </w:r>
      <w:r w:rsidRPr="00F57044" w:rsidR="00661EF7">
        <w:t xml:space="preserve"> provisional</w:t>
      </w:r>
      <w:r w:rsidRPr="00F57044" w:rsidR="00992073">
        <w:t xml:space="preserve"> </w:t>
      </w:r>
      <w:r w:rsidRPr="00F57044" w:rsidR="00DA593A">
        <w:t xml:space="preserve">allocation of </w:t>
      </w:r>
      <w:r w:rsidRPr="00F57044" w:rsidR="009A4070">
        <w:t>EB3 volume acro</w:t>
      </w:r>
      <w:r w:rsidRPr="00F57044" w:rsidR="00BF7B2C">
        <w:t xml:space="preserve">ss </w:t>
      </w:r>
      <w:r w:rsidRPr="00F57044" w:rsidR="00910042">
        <w:t>ETS</w:t>
      </w:r>
      <w:r w:rsidRPr="00F57044" w:rsidDel="004000D9" w:rsidR="00910042">
        <w:t xml:space="preserve"> and non-ETS covered sectors</w:t>
      </w:r>
      <w:r w:rsidRPr="00F57044" w:rsidR="007F0D08">
        <w:t>,</w:t>
      </w:r>
      <w:r w:rsidRPr="00F57044" w:rsidR="006F2E22">
        <w:t> </w:t>
      </w:r>
      <w:r w:rsidRPr="00F57044" w:rsidR="007F0D08">
        <w:t>2031</w:t>
      </w:r>
      <w:r w:rsidRPr="00F57044" w:rsidR="00FC6B6A">
        <w:t>–</w:t>
      </w:r>
      <w:r w:rsidRPr="00F57044" w:rsidR="007F0D08">
        <w:t>35</w:t>
      </w:r>
      <w:bookmarkEnd w:id="89"/>
    </w:p>
    <w:tbl>
      <w:tblPr>
        <w:tblStyle w:val="TableGrid"/>
        <w:tblW w:w="5000" w:type="pct"/>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3119"/>
        <w:gridCol w:w="848"/>
        <w:gridCol w:w="851"/>
        <w:gridCol w:w="851"/>
        <w:gridCol w:w="851"/>
        <w:gridCol w:w="852"/>
        <w:gridCol w:w="1133"/>
      </w:tblGrid>
      <w:tr w:rsidRPr="00F57044" w:rsidR="006F2E22" w:rsidTr="006F2E22" w14:paraId="2F720550" w14:textId="77777777">
        <w:trPr>
          <w:tblHeader/>
        </w:trPr>
        <w:tc>
          <w:tcPr>
            <w:tcW w:w="1834" w:type="pct"/>
            <w:shd w:val="clear" w:color="auto" w:fill="1B556B" w:themeFill="text2"/>
            <w:vAlign w:val="bottom"/>
          </w:tcPr>
          <w:p w:rsidRPr="00F57044" w:rsidR="00801DA2" w:rsidP="006F2E22" w:rsidRDefault="00801DA2" w14:paraId="3F5016FC" w14:textId="3445278B">
            <w:pPr>
              <w:pStyle w:val="TableTextbold"/>
              <w:spacing w:after="0"/>
              <w:rPr>
                <w:color w:val="FFFFFF" w:themeColor="background1"/>
                <w:highlight w:val="yellow"/>
              </w:rPr>
            </w:pPr>
          </w:p>
        </w:tc>
        <w:tc>
          <w:tcPr>
            <w:tcW w:w="2500" w:type="pct"/>
            <w:gridSpan w:val="5"/>
            <w:shd w:val="clear" w:color="auto" w:fill="1B556B" w:themeFill="text2"/>
            <w:vAlign w:val="bottom"/>
          </w:tcPr>
          <w:p w:rsidRPr="00F57044" w:rsidR="00801DA2" w:rsidP="006F2E22" w:rsidRDefault="00801DA2" w14:paraId="7E8E8BDF" w14:textId="6468F829">
            <w:pPr>
              <w:pStyle w:val="TableTextbold"/>
              <w:spacing w:after="0"/>
              <w:jc w:val="center"/>
              <w:rPr>
                <w:color w:val="FFFFFF" w:themeColor="background1"/>
              </w:rPr>
            </w:pPr>
            <w:r w:rsidRPr="00F57044">
              <w:rPr>
                <w:color w:val="FFFFFF" w:themeColor="background1"/>
              </w:rPr>
              <w:t>Year</w:t>
            </w:r>
            <w:r w:rsidRPr="00F57044">
              <w:rPr>
                <w:color w:val="FFFFFF" w:themeColor="background1"/>
              </w:rPr>
              <w:br/>
            </w:r>
            <w:r w:rsidRPr="00F57044">
              <w:rPr>
                <w:color w:val="FFFFFF" w:themeColor="background1"/>
              </w:rPr>
              <w:t>(</w:t>
            </w:r>
            <w:r w:rsidRPr="00F57044" w:rsidR="004000D9">
              <w:rPr>
                <w:color w:val="FFFFFF" w:themeColor="background1"/>
              </w:rPr>
              <w:t>m</w:t>
            </w:r>
            <w:r w:rsidRPr="00F57044">
              <w:rPr>
                <w:color w:val="FFFFFF" w:themeColor="background1"/>
              </w:rPr>
              <w:t>illion NZUs)</w:t>
            </w:r>
          </w:p>
        </w:tc>
        <w:tc>
          <w:tcPr>
            <w:tcW w:w="666" w:type="pct"/>
            <w:shd w:val="clear" w:color="auto" w:fill="1B556B" w:themeFill="text2"/>
            <w:vAlign w:val="bottom"/>
          </w:tcPr>
          <w:p w:rsidRPr="00F57044" w:rsidR="00801DA2" w:rsidP="00674EF5" w:rsidRDefault="00801DA2" w14:paraId="3D98F168" w14:textId="25310353">
            <w:pPr>
              <w:pStyle w:val="TableTextbold"/>
              <w:spacing w:after="0"/>
              <w:rPr>
                <w:color w:val="FFFFFF" w:themeColor="background1"/>
              </w:rPr>
            </w:pPr>
            <w:r w:rsidRPr="00F57044">
              <w:rPr>
                <w:color w:val="FFFFFF" w:themeColor="background1"/>
              </w:rPr>
              <w:t>Total</w:t>
            </w:r>
          </w:p>
        </w:tc>
      </w:tr>
      <w:tr w:rsidRPr="00F57044" w:rsidR="006F2E22" w:rsidTr="006F2E22" w14:paraId="138C3D2D" w14:textId="77777777">
        <w:trPr>
          <w:tblHeader/>
        </w:trPr>
        <w:tc>
          <w:tcPr>
            <w:tcW w:w="1834" w:type="pct"/>
            <w:shd w:val="clear" w:color="auto" w:fill="1B556B" w:themeFill="text2"/>
          </w:tcPr>
          <w:p w:rsidRPr="00F57044" w:rsidR="00801DA2" w:rsidP="006F2E22" w:rsidRDefault="00801DA2" w14:paraId="4442A26F" w14:textId="538EC615">
            <w:pPr>
              <w:pStyle w:val="TableTextbold"/>
              <w:spacing w:before="0"/>
              <w:rPr>
                <w:color w:val="FFFFFF" w:themeColor="background1"/>
                <w:highlight w:val="yellow"/>
              </w:rPr>
            </w:pPr>
          </w:p>
        </w:tc>
        <w:tc>
          <w:tcPr>
            <w:tcW w:w="499" w:type="pct"/>
            <w:shd w:val="clear" w:color="auto" w:fill="1B556B" w:themeFill="text2"/>
          </w:tcPr>
          <w:p w:rsidRPr="00F57044" w:rsidR="00801DA2" w:rsidP="006F2E22" w:rsidRDefault="00801DA2" w14:paraId="4B5E4408" w14:textId="0F828A13">
            <w:pPr>
              <w:pStyle w:val="TableTextbold"/>
              <w:spacing w:before="0"/>
              <w:rPr>
                <w:rFonts w:asciiTheme="minorHAnsi" w:hAnsiTheme="minorHAnsi"/>
                <w:b w:val="0"/>
                <w:color w:val="FFFFFF" w:themeColor="background1"/>
                <w:sz w:val="20"/>
                <w:szCs w:val="20"/>
              </w:rPr>
            </w:pPr>
            <w:r w:rsidRPr="00F57044">
              <w:rPr>
                <w:color w:val="FFFFFF" w:themeColor="background1"/>
              </w:rPr>
              <w:t>2031</w:t>
            </w:r>
          </w:p>
        </w:tc>
        <w:tc>
          <w:tcPr>
            <w:tcW w:w="500" w:type="pct"/>
            <w:shd w:val="clear" w:color="auto" w:fill="1B556B" w:themeFill="text2"/>
          </w:tcPr>
          <w:p w:rsidRPr="00F57044" w:rsidR="00801DA2" w:rsidP="006F2E22" w:rsidRDefault="00801DA2" w14:paraId="7A64BA39" w14:textId="4530EB26">
            <w:pPr>
              <w:pStyle w:val="TableTextbold"/>
              <w:spacing w:before="0"/>
              <w:rPr>
                <w:rFonts w:asciiTheme="minorHAnsi" w:hAnsiTheme="minorHAnsi"/>
                <w:b w:val="0"/>
                <w:color w:val="FFFFFF" w:themeColor="background1"/>
                <w:sz w:val="20"/>
                <w:szCs w:val="20"/>
              </w:rPr>
            </w:pPr>
            <w:r w:rsidRPr="00F57044">
              <w:rPr>
                <w:color w:val="FFFFFF" w:themeColor="background1"/>
              </w:rPr>
              <w:t>2032</w:t>
            </w:r>
          </w:p>
        </w:tc>
        <w:tc>
          <w:tcPr>
            <w:tcW w:w="500" w:type="pct"/>
            <w:shd w:val="clear" w:color="auto" w:fill="1B556B" w:themeFill="text2"/>
          </w:tcPr>
          <w:p w:rsidRPr="00F57044" w:rsidR="00801DA2" w:rsidP="006F2E22" w:rsidRDefault="00801DA2" w14:paraId="05491C50" w14:textId="753DE6B3">
            <w:pPr>
              <w:pStyle w:val="TableTextbold"/>
              <w:spacing w:before="0"/>
              <w:rPr>
                <w:rFonts w:asciiTheme="minorHAnsi" w:hAnsiTheme="minorHAnsi"/>
                <w:b w:val="0"/>
                <w:color w:val="FFFFFF" w:themeColor="background1"/>
                <w:sz w:val="20"/>
                <w:szCs w:val="20"/>
              </w:rPr>
            </w:pPr>
            <w:r w:rsidRPr="00F57044">
              <w:rPr>
                <w:color w:val="FFFFFF" w:themeColor="background1"/>
              </w:rPr>
              <w:t>2033</w:t>
            </w:r>
          </w:p>
        </w:tc>
        <w:tc>
          <w:tcPr>
            <w:tcW w:w="500" w:type="pct"/>
            <w:shd w:val="clear" w:color="auto" w:fill="1B556B" w:themeFill="text2"/>
          </w:tcPr>
          <w:p w:rsidRPr="00F57044" w:rsidR="00801DA2" w:rsidP="006F2E22" w:rsidRDefault="00801DA2" w14:paraId="60CFE96D" w14:textId="3B49FD1A">
            <w:pPr>
              <w:pStyle w:val="TableTextbold"/>
              <w:spacing w:before="0"/>
              <w:rPr>
                <w:rFonts w:asciiTheme="minorHAnsi" w:hAnsiTheme="minorHAnsi"/>
                <w:b w:val="0"/>
                <w:color w:val="FFFFFF" w:themeColor="background1"/>
                <w:sz w:val="20"/>
                <w:szCs w:val="20"/>
              </w:rPr>
            </w:pPr>
            <w:r w:rsidRPr="00F57044">
              <w:rPr>
                <w:color w:val="FFFFFF" w:themeColor="background1"/>
              </w:rPr>
              <w:t>2034</w:t>
            </w:r>
          </w:p>
        </w:tc>
        <w:tc>
          <w:tcPr>
            <w:tcW w:w="501" w:type="pct"/>
            <w:shd w:val="clear" w:color="auto" w:fill="1B556B" w:themeFill="text2"/>
          </w:tcPr>
          <w:p w:rsidRPr="00F57044" w:rsidR="00801DA2" w:rsidP="006F2E22" w:rsidRDefault="00801DA2" w14:paraId="233AD590" w14:textId="5A14C4F6">
            <w:pPr>
              <w:pStyle w:val="TableTextbold"/>
              <w:spacing w:before="0"/>
              <w:rPr>
                <w:color w:val="FFFFFF" w:themeColor="background1"/>
              </w:rPr>
            </w:pPr>
            <w:r w:rsidRPr="00F57044">
              <w:rPr>
                <w:color w:val="FFFFFF" w:themeColor="background1"/>
              </w:rPr>
              <w:t>2035</w:t>
            </w:r>
          </w:p>
        </w:tc>
        <w:tc>
          <w:tcPr>
            <w:tcW w:w="666" w:type="pct"/>
            <w:shd w:val="clear" w:color="auto" w:fill="1B556B" w:themeFill="text2"/>
          </w:tcPr>
          <w:p w:rsidRPr="00F57044" w:rsidR="00801DA2" w:rsidP="006F2E22" w:rsidRDefault="00801DA2" w14:paraId="231FBC6C" w14:textId="130E42F5">
            <w:pPr>
              <w:pStyle w:val="TableTextbold"/>
              <w:spacing w:before="0"/>
              <w:rPr>
                <w:color w:val="FFFFFF" w:themeColor="background1"/>
              </w:rPr>
            </w:pPr>
            <w:r w:rsidRPr="00F57044">
              <w:rPr>
                <w:color w:val="FFFFFF" w:themeColor="background1"/>
              </w:rPr>
              <w:t>2031</w:t>
            </w:r>
            <w:r w:rsidRPr="00F57044" w:rsidR="004000D9">
              <w:rPr>
                <w:color w:val="FFFFFF" w:themeColor="background1"/>
              </w:rPr>
              <w:t>–</w:t>
            </w:r>
            <w:r w:rsidRPr="00F57044">
              <w:rPr>
                <w:color w:val="FFFFFF" w:themeColor="background1"/>
              </w:rPr>
              <w:t>35</w:t>
            </w:r>
          </w:p>
        </w:tc>
      </w:tr>
      <w:tr w:rsidRPr="00F57044" w:rsidR="00307F68" w:rsidTr="006F2E22" w14:paraId="5BD7F013" w14:textId="77777777">
        <w:tc>
          <w:tcPr>
            <w:tcW w:w="1834" w:type="pct"/>
            <w:shd w:val="clear" w:color="auto" w:fill="auto"/>
          </w:tcPr>
          <w:p w:rsidRPr="00F57044" w:rsidR="00801DA2" w:rsidRDefault="004000D9" w14:paraId="40F2CC4A" w14:textId="0C8781EA">
            <w:pPr>
              <w:pStyle w:val="TableText"/>
              <w:rPr>
                <w:bCs/>
                <w:color w:val="000000" w:themeColor="text1"/>
              </w:rPr>
            </w:pPr>
            <w:r w:rsidRPr="00F57044">
              <w:rPr>
                <w:rFonts w:asciiTheme="minorHAnsi" w:hAnsiTheme="minorHAnsi"/>
                <w:bCs/>
                <w:color w:val="000000" w:themeColor="text1"/>
                <w:sz w:val="20"/>
                <w:szCs w:val="20"/>
              </w:rPr>
              <w:t xml:space="preserve">NZ </w:t>
            </w:r>
            <w:r w:rsidRPr="00F57044" w:rsidR="00801DA2">
              <w:rPr>
                <w:rFonts w:asciiTheme="minorHAnsi" w:hAnsiTheme="minorHAnsi"/>
                <w:bCs/>
                <w:color w:val="000000" w:themeColor="text1"/>
                <w:sz w:val="20"/>
                <w:szCs w:val="20"/>
              </w:rPr>
              <w:t>ETS</w:t>
            </w:r>
            <w:r w:rsidRPr="00F57044" w:rsidDel="00E20ECC" w:rsidR="00801DA2">
              <w:rPr>
                <w:rFonts w:asciiTheme="minorHAnsi" w:hAnsiTheme="minorHAnsi"/>
                <w:bCs/>
                <w:color w:val="000000" w:themeColor="text1"/>
                <w:sz w:val="20"/>
                <w:szCs w:val="20"/>
              </w:rPr>
              <w:t>-covered</w:t>
            </w:r>
            <w:r w:rsidRPr="00F57044" w:rsidR="00801DA2">
              <w:rPr>
                <w:rFonts w:asciiTheme="minorHAnsi" w:hAnsiTheme="minorHAnsi"/>
                <w:bCs/>
                <w:color w:val="000000" w:themeColor="text1"/>
                <w:sz w:val="20"/>
                <w:szCs w:val="20"/>
              </w:rPr>
              <w:t xml:space="preserve"> sectors</w:t>
            </w:r>
          </w:p>
        </w:tc>
        <w:tc>
          <w:tcPr>
            <w:tcW w:w="499" w:type="pct"/>
          </w:tcPr>
          <w:p w:rsidRPr="00F57044" w:rsidR="00801DA2" w:rsidRDefault="00801DA2" w14:paraId="3D940980" w14:textId="0FBE578F">
            <w:pPr>
              <w:pStyle w:val="TableText"/>
              <w:rPr>
                <w:color w:val="000000" w:themeColor="text1"/>
                <w:highlight w:val="yellow"/>
              </w:rPr>
            </w:pPr>
            <w:r w:rsidRPr="00F57044">
              <w:rPr>
                <w:rFonts w:cs="Calibri"/>
                <w:color w:val="000000" w:themeColor="text1"/>
                <w:szCs w:val="18"/>
              </w:rPr>
              <w:t>9.</w:t>
            </w:r>
            <w:r w:rsidRPr="00F57044" w:rsidR="000E566F">
              <w:rPr>
                <w:rFonts w:cs="Calibri"/>
                <w:color w:val="000000" w:themeColor="text1"/>
                <w:szCs w:val="18"/>
              </w:rPr>
              <w:t>8</w:t>
            </w:r>
          </w:p>
        </w:tc>
        <w:tc>
          <w:tcPr>
            <w:tcW w:w="500" w:type="pct"/>
          </w:tcPr>
          <w:p w:rsidRPr="00F57044" w:rsidR="00801DA2" w:rsidRDefault="00801DA2" w14:paraId="733D4C70" w14:textId="1EFC9347">
            <w:pPr>
              <w:pStyle w:val="TableText"/>
              <w:rPr>
                <w:color w:val="000000" w:themeColor="text1"/>
                <w:highlight w:val="yellow"/>
              </w:rPr>
            </w:pPr>
            <w:r w:rsidRPr="00F57044">
              <w:rPr>
                <w:rFonts w:cs="Calibri"/>
                <w:color w:val="000000" w:themeColor="text1"/>
                <w:szCs w:val="18"/>
              </w:rPr>
              <w:t>9.1</w:t>
            </w:r>
          </w:p>
        </w:tc>
        <w:tc>
          <w:tcPr>
            <w:tcW w:w="500" w:type="pct"/>
          </w:tcPr>
          <w:p w:rsidRPr="00F57044" w:rsidR="00801DA2" w:rsidRDefault="00801DA2" w14:paraId="11AA55D5" w14:textId="4AC0E87A">
            <w:pPr>
              <w:pStyle w:val="TableText"/>
              <w:rPr>
                <w:color w:val="000000" w:themeColor="text1"/>
                <w:highlight w:val="yellow"/>
              </w:rPr>
            </w:pPr>
            <w:r w:rsidRPr="00F57044">
              <w:rPr>
                <w:rFonts w:cs="Calibri"/>
                <w:color w:val="000000" w:themeColor="text1"/>
                <w:szCs w:val="18"/>
              </w:rPr>
              <w:t>8.</w:t>
            </w:r>
            <w:r w:rsidRPr="00F57044" w:rsidR="00604FD1">
              <w:rPr>
                <w:rFonts w:cs="Calibri"/>
                <w:color w:val="000000" w:themeColor="text1"/>
                <w:szCs w:val="18"/>
              </w:rPr>
              <w:t>3</w:t>
            </w:r>
          </w:p>
        </w:tc>
        <w:tc>
          <w:tcPr>
            <w:tcW w:w="500" w:type="pct"/>
          </w:tcPr>
          <w:p w:rsidRPr="00F57044" w:rsidR="00801DA2" w:rsidRDefault="00801DA2" w14:paraId="4EAB8AA5" w14:textId="1917980F">
            <w:pPr>
              <w:pStyle w:val="TableText"/>
              <w:rPr>
                <w:color w:val="000000" w:themeColor="text1"/>
                <w:highlight w:val="yellow"/>
              </w:rPr>
            </w:pPr>
            <w:r w:rsidRPr="00F57044">
              <w:rPr>
                <w:rFonts w:cs="Calibri"/>
                <w:color w:val="000000" w:themeColor="text1"/>
                <w:szCs w:val="18"/>
              </w:rPr>
              <w:t>7.</w:t>
            </w:r>
            <w:r w:rsidRPr="00F57044" w:rsidR="00B83C77">
              <w:rPr>
                <w:rFonts w:cs="Calibri"/>
                <w:color w:val="000000" w:themeColor="text1"/>
                <w:szCs w:val="18"/>
              </w:rPr>
              <w:t>2</w:t>
            </w:r>
          </w:p>
        </w:tc>
        <w:tc>
          <w:tcPr>
            <w:tcW w:w="501" w:type="pct"/>
            <w:shd w:val="clear" w:color="auto" w:fill="auto"/>
          </w:tcPr>
          <w:p w:rsidRPr="00F57044" w:rsidR="00801DA2" w:rsidRDefault="00801DA2" w14:paraId="25F2B39C" w14:textId="3FB9C72D">
            <w:pPr>
              <w:pStyle w:val="TableText"/>
              <w:rPr>
                <w:color w:val="000000" w:themeColor="text1"/>
                <w:highlight w:val="yellow"/>
              </w:rPr>
            </w:pPr>
            <w:r w:rsidRPr="00F57044">
              <w:rPr>
                <w:rFonts w:cs="Calibri"/>
                <w:color w:val="000000" w:themeColor="text1"/>
                <w:szCs w:val="18"/>
              </w:rPr>
              <w:t>6.</w:t>
            </w:r>
            <w:r w:rsidRPr="00F57044" w:rsidR="00B83C77">
              <w:rPr>
                <w:rFonts w:cs="Calibri"/>
                <w:color w:val="000000" w:themeColor="text1"/>
                <w:szCs w:val="18"/>
              </w:rPr>
              <w:t>3</w:t>
            </w:r>
          </w:p>
        </w:tc>
        <w:tc>
          <w:tcPr>
            <w:tcW w:w="666" w:type="pct"/>
          </w:tcPr>
          <w:p w:rsidRPr="00F57044" w:rsidR="00801DA2" w:rsidRDefault="00801DA2" w14:paraId="6AE12F14" w14:textId="5F1D1084">
            <w:pPr>
              <w:pStyle w:val="TableText"/>
              <w:rPr>
                <w:rFonts w:asciiTheme="minorHAnsi" w:hAnsiTheme="minorHAnsi"/>
                <w:color w:val="000000" w:themeColor="text1"/>
                <w:sz w:val="20"/>
                <w:szCs w:val="20"/>
                <w:highlight w:val="yellow"/>
              </w:rPr>
            </w:pPr>
            <w:r w:rsidRPr="00F57044">
              <w:rPr>
                <w:rFonts w:cs="Calibri"/>
                <w:b/>
                <w:color w:val="000000" w:themeColor="text1"/>
                <w:szCs w:val="18"/>
              </w:rPr>
              <w:t>4</w:t>
            </w:r>
            <w:r w:rsidRPr="00F57044" w:rsidR="00615520">
              <w:rPr>
                <w:rFonts w:cs="Calibri"/>
                <w:b/>
                <w:color w:val="000000" w:themeColor="text1"/>
                <w:szCs w:val="18"/>
              </w:rPr>
              <w:t>0</w:t>
            </w:r>
            <w:r w:rsidRPr="00F57044">
              <w:rPr>
                <w:rFonts w:cs="Calibri"/>
                <w:b/>
                <w:color w:val="000000" w:themeColor="text1"/>
                <w:szCs w:val="18"/>
              </w:rPr>
              <w:t>.</w:t>
            </w:r>
            <w:r w:rsidRPr="00F57044" w:rsidR="00615520">
              <w:rPr>
                <w:rFonts w:cs="Calibri"/>
                <w:b/>
                <w:color w:val="000000" w:themeColor="text1"/>
                <w:szCs w:val="18"/>
              </w:rPr>
              <w:t>7</w:t>
            </w:r>
          </w:p>
        </w:tc>
      </w:tr>
      <w:tr w:rsidRPr="00F57044" w:rsidR="00307F68" w:rsidTr="006F2E22" w14:paraId="33F20695" w14:textId="77777777">
        <w:tc>
          <w:tcPr>
            <w:tcW w:w="1834" w:type="pct"/>
            <w:shd w:val="clear" w:color="auto" w:fill="auto"/>
          </w:tcPr>
          <w:p w:rsidRPr="00F57044" w:rsidR="00801DA2" w:rsidRDefault="00801DA2" w14:paraId="0621F2A1" w14:textId="6E502E8E">
            <w:pPr>
              <w:pStyle w:val="TableText"/>
              <w:rPr>
                <w:bCs/>
                <w:color w:val="000000" w:themeColor="text1"/>
              </w:rPr>
            </w:pPr>
            <w:r w:rsidRPr="00F57044">
              <w:rPr>
                <w:rFonts w:asciiTheme="minorHAnsi" w:hAnsiTheme="minorHAnsi"/>
                <w:bCs/>
                <w:color w:val="000000" w:themeColor="text1"/>
                <w:sz w:val="20"/>
                <w:szCs w:val="20"/>
              </w:rPr>
              <w:t>Non-</w:t>
            </w:r>
            <w:r w:rsidRPr="00F57044" w:rsidR="004000D9">
              <w:rPr>
                <w:rFonts w:asciiTheme="minorHAnsi" w:hAnsiTheme="minorHAnsi"/>
                <w:bCs/>
                <w:color w:val="000000" w:themeColor="text1"/>
                <w:sz w:val="20"/>
                <w:szCs w:val="20"/>
              </w:rPr>
              <w:t xml:space="preserve">NZ </w:t>
            </w:r>
            <w:r w:rsidRPr="00F57044">
              <w:rPr>
                <w:rFonts w:asciiTheme="minorHAnsi" w:hAnsiTheme="minorHAnsi"/>
                <w:bCs/>
                <w:color w:val="000000" w:themeColor="text1"/>
                <w:sz w:val="20"/>
                <w:szCs w:val="20"/>
              </w:rPr>
              <w:t>ETS</w:t>
            </w:r>
            <w:r w:rsidRPr="00F57044" w:rsidR="00837E46">
              <w:rPr>
                <w:rFonts w:asciiTheme="minorHAnsi" w:hAnsiTheme="minorHAnsi"/>
                <w:bCs/>
                <w:color w:val="000000" w:themeColor="text1"/>
                <w:sz w:val="20"/>
                <w:szCs w:val="20"/>
              </w:rPr>
              <w:t xml:space="preserve"> </w:t>
            </w:r>
            <w:r w:rsidRPr="00F57044" w:rsidDel="00E20ECC" w:rsidR="00837E46">
              <w:rPr>
                <w:rFonts w:asciiTheme="minorHAnsi" w:hAnsiTheme="minorHAnsi"/>
                <w:bCs/>
                <w:color w:val="000000" w:themeColor="text1"/>
                <w:sz w:val="20"/>
                <w:szCs w:val="20"/>
              </w:rPr>
              <w:t>covered</w:t>
            </w:r>
            <w:r w:rsidRPr="00F57044" w:rsidDel="00E20ECC">
              <w:rPr>
                <w:rFonts w:asciiTheme="minorHAnsi" w:hAnsiTheme="minorHAnsi"/>
                <w:bCs/>
                <w:color w:val="000000" w:themeColor="text1"/>
                <w:sz w:val="20"/>
                <w:szCs w:val="20"/>
              </w:rPr>
              <w:t xml:space="preserve"> </w:t>
            </w:r>
            <w:r w:rsidRPr="00F57044">
              <w:rPr>
                <w:rFonts w:asciiTheme="minorHAnsi" w:hAnsiTheme="minorHAnsi"/>
                <w:bCs/>
                <w:color w:val="000000" w:themeColor="text1"/>
                <w:sz w:val="20"/>
                <w:szCs w:val="20"/>
              </w:rPr>
              <w:t>sectors</w:t>
            </w:r>
          </w:p>
        </w:tc>
        <w:tc>
          <w:tcPr>
            <w:tcW w:w="499" w:type="pct"/>
          </w:tcPr>
          <w:p w:rsidRPr="00F57044" w:rsidR="00801DA2" w:rsidRDefault="00801DA2" w14:paraId="5F65C947" w14:textId="216419CB">
            <w:pPr>
              <w:pStyle w:val="TableText"/>
              <w:rPr>
                <w:color w:val="000000" w:themeColor="text1"/>
              </w:rPr>
            </w:pPr>
            <w:r w:rsidRPr="00F57044">
              <w:rPr>
                <w:rFonts w:cs="Calibri"/>
                <w:color w:val="000000" w:themeColor="text1"/>
                <w:szCs w:val="18"/>
              </w:rPr>
              <w:t>41.</w:t>
            </w:r>
            <w:r w:rsidRPr="00F57044" w:rsidR="00D90E79">
              <w:rPr>
                <w:rFonts w:cs="Calibri"/>
                <w:color w:val="000000" w:themeColor="text1"/>
                <w:szCs w:val="18"/>
              </w:rPr>
              <w:t>8</w:t>
            </w:r>
          </w:p>
        </w:tc>
        <w:tc>
          <w:tcPr>
            <w:tcW w:w="500" w:type="pct"/>
          </w:tcPr>
          <w:p w:rsidRPr="00F57044" w:rsidR="00801DA2" w:rsidRDefault="00801DA2" w14:paraId="5EE78ADF" w14:textId="5558895C">
            <w:pPr>
              <w:pStyle w:val="TableText"/>
              <w:rPr>
                <w:color w:val="000000" w:themeColor="text1"/>
              </w:rPr>
            </w:pPr>
            <w:r w:rsidRPr="00F57044">
              <w:rPr>
                <w:rFonts w:cs="Calibri"/>
                <w:color w:val="000000" w:themeColor="text1"/>
                <w:szCs w:val="18"/>
              </w:rPr>
              <w:t>4</w:t>
            </w:r>
            <w:r w:rsidRPr="00F57044" w:rsidR="00D90E79">
              <w:rPr>
                <w:rFonts w:cs="Calibri"/>
                <w:color w:val="000000" w:themeColor="text1"/>
                <w:szCs w:val="18"/>
              </w:rPr>
              <w:t>1</w:t>
            </w:r>
            <w:r w:rsidRPr="00F57044">
              <w:rPr>
                <w:rFonts w:cs="Calibri"/>
                <w:color w:val="000000" w:themeColor="text1"/>
                <w:szCs w:val="18"/>
              </w:rPr>
              <w:t>.</w:t>
            </w:r>
            <w:r w:rsidRPr="00F57044" w:rsidR="00D90E79">
              <w:rPr>
                <w:rFonts w:cs="Calibri"/>
                <w:color w:val="000000" w:themeColor="text1"/>
                <w:szCs w:val="18"/>
              </w:rPr>
              <w:t>0</w:t>
            </w:r>
          </w:p>
        </w:tc>
        <w:tc>
          <w:tcPr>
            <w:tcW w:w="500" w:type="pct"/>
          </w:tcPr>
          <w:p w:rsidRPr="00F57044" w:rsidR="00801DA2" w:rsidRDefault="00801DA2" w14:paraId="73C7844B" w14:textId="5F5C8CD6">
            <w:pPr>
              <w:pStyle w:val="TableText"/>
              <w:rPr>
                <w:color w:val="000000" w:themeColor="text1"/>
              </w:rPr>
            </w:pPr>
            <w:r w:rsidRPr="00F57044">
              <w:rPr>
                <w:rFonts w:cs="Calibri"/>
                <w:color w:val="000000" w:themeColor="text1"/>
                <w:szCs w:val="18"/>
              </w:rPr>
              <w:t>39.9</w:t>
            </w:r>
          </w:p>
        </w:tc>
        <w:tc>
          <w:tcPr>
            <w:tcW w:w="500" w:type="pct"/>
          </w:tcPr>
          <w:p w:rsidRPr="00F57044" w:rsidR="00801DA2" w:rsidRDefault="00801DA2" w14:paraId="482B380B" w14:textId="51307931">
            <w:pPr>
              <w:pStyle w:val="TableText"/>
              <w:rPr>
                <w:color w:val="000000" w:themeColor="text1"/>
              </w:rPr>
            </w:pPr>
            <w:r w:rsidRPr="00F57044">
              <w:rPr>
                <w:rFonts w:cs="Calibri"/>
                <w:color w:val="000000" w:themeColor="text1"/>
                <w:szCs w:val="18"/>
              </w:rPr>
              <w:t>38.9</w:t>
            </w:r>
          </w:p>
        </w:tc>
        <w:tc>
          <w:tcPr>
            <w:tcW w:w="501" w:type="pct"/>
            <w:shd w:val="clear" w:color="auto" w:fill="auto"/>
          </w:tcPr>
          <w:p w:rsidRPr="00F57044" w:rsidR="00801DA2" w:rsidRDefault="00801DA2" w14:paraId="3D11CF25" w14:textId="3EFA40B3">
            <w:pPr>
              <w:pStyle w:val="TableText"/>
              <w:rPr>
                <w:color w:val="000000" w:themeColor="text1"/>
              </w:rPr>
            </w:pPr>
            <w:r w:rsidRPr="00F57044">
              <w:rPr>
                <w:rFonts w:cs="Calibri"/>
                <w:color w:val="000000" w:themeColor="text1"/>
                <w:szCs w:val="18"/>
              </w:rPr>
              <w:t>37.8</w:t>
            </w:r>
          </w:p>
        </w:tc>
        <w:tc>
          <w:tcPr>
            <w:tcW w:w="666" w:type="pct"/>
          </w:tcPr>
          <w:p w:rsidRPr="00F57044" w:rsidR="00801DA2" w:rsidRDefault="00801DA2" w14:paraId="6F448D6A" w14:textId="1A7DBE2E">
            <w:pPr>
              <w:pStyle w:val="TableText"/>
              <w:rPr>
                <w:rFonts w:asciiTheme="minorHAnsi" w:hAnsiTheme="minorHAnsi" w:cstheme="minorHAnsi"/>
                <w:color w:val="000000" w:themeColor="text1"/>
                <w:sz w:val="20"/>
                <w:szCs w:val="20"/>
              </w:rPr>
            </w:pPr>
            <w:r w:rsidRPr="00F57044">
              <w:rPr>
                <w:rFonts w:cs="Calibri"/>
                <w:b/>
                <w:color w:val="000000" w:themeColor="text1"/>
                <w:szCs w:val="18"/>
              </w:rPr>
              <w:t>199.</w:t>
            </w:r>
            <w:r w:rsidRPr="00F57044" w:rsidR="007F74C5">
              <w:rPr>
                <w:rFonts w:cs="Calibri"/>
                <w:b/>
                <w:color w:val="000000" w:themeColor="text1"/>
                <w:szCs w:val="18"/>
              </w:rPr>
              <w:t>3</w:t>
            </w:r>
          </w:p>
        </w:tc>
      </w:tr>
    </w:tbl>
    <w:p w:rsidRPr="00F57044" w:rsidR="005F0CF8" w:rsidP="005F0CF8" w:rsidRDefault="005F0CF8" w14:paraId="744612A8" w14:textId="6C1FB4DB">
      <w:pPr>
        <w:pStyle w:val="BodyText"/>
      </w:pP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5F0CF8" w14:paraId="648437CA" w14:textId="77777777">
        <w:tc>
          <w:tcPr>
            <w:tcW w:w="5000" w:type="pct"/>
            <w:gridSpan w:val="2"/>
            <w:shd w:val="clear" w:color="auto" w:fill="1B556B" w:themeFill="text2"/>
          </w:tcPr>
          <w:p w:rsidRPr="00F57044" w:rsidR="005F0CF8" w:rsidRDefault="005F0CF8" w14:paraId="3DC909A8" w14:textId="5BF18163">
            <w:pPr>
              <w:keepNext/>
              <w:spacing w:before="60" w:after="60" w:line="240" w:lineRule="atLeast"/>
              <w:jc w:val="left"/>
              <w:rPr>
                <w:b/>
                <w:bCs/>
                <w:color w:val="FFFFFF" w:themeColor="background1"/>
              </w:rPr>
            </w:pPr>
            <w:r w:rsidRPr="00F57044">
              <w:rPr>
                <w:b/>
                <w:bCs/>
                <w:color w:val="FFFFFF" w:themeColor="background1"/>
              </w:rPr>
              <w:t>Question</w:t>
            </w:r>
          </w:p>
        </w:tc>
      </w:tr>
      <w:tr w:rsidRPr="00F57044" w:rsidR="005F0CF8" w14:paraId="30F1F89E" w14:textId="77777777">
        <w:tc>
          <w:tcPr>
            <w:tcW w:w="333" w:type="pct"/>
          </w:tcPr>
          <w:p w:rsidRPr="00F57044" w:rsidR="005F0CF8" w:rsidP="006F2E22" w:rsidRDefault="00C95778" w14:paraId="3F5D1E58" w14:textId="4D3F22F0">
            <w:pPr>
              <w:pStyle w:val="Questions"/>
            </w:pPr>
            <w:r w:rsidRPr="00F57044">
              <w:t>14</w:t>
            </w:r>
          </w:p>
        </w:tc>
        <w:tc>
          <w:tcPr>
            <w:tcW w:w="4667" w:type="pct"/>
          </w:tcPr>
          <w:p w:rsidRPr="00F57044" w:rsidR="005F0CF8" w:rsidP="006F2E22" w:rsidRDefault="005F0CF8" w14:paraId="7261E743" w14:textId="59DDBAF1">
            <w:pPr>
              <w:pStyle w:val="Questions"/>
            </w:pPr>
            <w:r w:rsidRPr="00F57044">
              <w:t xml:space="preserve">Do you have any feedback on the proposed provisional allocation of EB3 volume between ETS and </w:t>
            </w:r>
            <w:r w:rsidRPr="00F57044" w:rsidDel="0013551E">
              <w:t xml:space="preserve">non-ETS covered </w:t>
            </w:r>
            <w:r w:rsidRPr="00F57044">
              <w:t>sectors?</w:t>
            </w:r>
          </w:p>
        </w:tc>
      </w:tr>
    </w:tbl>
    <w:p w:rsidRPr="00F57044" w:rsidR="00277B9C" w:rsidP="006F2E22" w:rsidRDefault="0054099A" w14:paraId="7782BFB8" w14:textId="0074C54D">
      <w:pPr>
        <w:pStyle w:val="Heading2"/>
        <w:spacing w:before="480"/>
      </w:pPr>
      <w:bookmarkStart w:name="_Changes_to_surplus" w:id="90"/>
      <w:bookmarkStart w:name="_Toc199231042" w:id="91"/>
      <w:bookmarkEnd w:id="90"/>
      <w:r w:rsidRPr="00F57044">
        <w:t xml:space="preserve">Changes to surplus </w:t>
      </w:r>
      <w:r w:rsidRPr="00F57044" w:rsidR="00527F50">
        <w:t>me</w:t>
      </w:r>
      <w:r w:rsidRPr="00F57044" w:rsidR="006C4A21">
        <w:t>thodology</w:t>
      </w:r>
      <w:bookmarkEnd w:id="91"/>
    </w:p>
    <w:p w:rsidRPr="00F57044" w:rsidR="008549E4" w:rsidP="00506F76" w:rsidRDefault="008549E4" w14:paraId="5DCC9574" w14:textId="58401104">
      <w:pPr>
        <w:pStyle w:val="BodyText"/>
      </w:pPr>
      <w:r w:rsidRPr="00F57044">
        <w:t xml:space="preserve">To set </w:t>
      </w:r>
      <w:r w:rsidRPr="00F57044" w:rsidR="00DD743D">
        <w:t>appropriate</w:t>
      </w:r>
      <w:r w:rsidRPr="00F57044">
        <w:t xml:space="preserve"> unit limits, we need to estimate how many of the units currently in the </w:t>
      </w:r>
      <w:r w:rsidRPr="00F57044" w:rsidDel="00CA6B42">
        <w:t>NZ</w:t>
      </w:r>
      <w:r w:rsidRPr="00F57044" w:rsidR="00BE7576">
        <w:t> </w:t>
      </w:r>
      <w:r w:rsidRPr="00F57044">
        <w:t xml:space="preserve">ETS market are </w:t>
      </w:r>
      <w:r w:rsidRPr="00F57044" w:rsidR="002831C4">
        <w:t>‘</w:t>
      </w:r>
      <w:r w:rsidRPr="00F57044">
        <w:t>surplus</w:t>
      </w:r>
      <w:r w:rsidRPr="00F57044" w:rsidR="002831C4">
        <w:t>’</w:t>
      </w:r>
      <w:r w:rsidRPr="00F57044" w:rsidR="00CA6B42">
        <w:t>,</w:t>
      </w:r>
      <w:r w:rsidRPr="00F57044">
        <w:t xml:space="preserve"> and how to address them over time. </w:t>
      </w:r>
      <w:r w:rsidRPr="00F57044" w:rsidR="008A0FB5">
        <w:t xml:space="preserve">Surplus units </w:t>
      </w:r>
      <w:r w:rsidRPr="00F57044" w:rsidR="005519FB">
        <w:t>are</w:t>
      </w:r>
      <w:r w:rsidRPr="00F57044" w:rsidR="008A0FB5">
        <w:t xml:space="preserve"> units in </w:t>
      </w:r>
      <w:r w:rsidRPr="00F57044" w:rsidR="00B85E43">
        <w:t>private accounts</w:t>
      </w:r>
      <w:r w:rsidRPr="00F57044" w:rsidR="008A0FB5">
        <w:t xml:space="preserve"> </w:t>
      </w:r>
      <w:r w:rsidRPr="00F57044" w:rsidR="003A32A1">
        <w:t xml:space="preserve">that </w:t>
      </w:r>
      <w:r w:rsidRPr="00F57044" w:rsidR="008A0FB5">
        <w:t>are not held for future surrender</w:t>
      </w:r>
      <w:r w:rsidRPr="00F57044" w:rsidR="00B84B93">
        <w:t xml:space="preserve"> or other </w:t>
      </w:r>
      <w:r w:rsidRPr="00F57044" w:rsidR="00B85E43">
        <w:t xml:space="preserve">compliance </w:t>
      </w:r>
      <w:proofErr w:type="gramStart"/>
      <w:r w:rsidRPr="00F57044" w:rsidR="00B84B93">
        <w:t xml:space="preserve">purposes, </w:t>
      </w:r>
      <w:r w:rsidRPr="00F57044" w:rsidR="00E539C3">
        <w:t>and</w:t>
      </w:r>
      <w:proofErr w:type="gramEnd"/>
      <w:r w:rsidRPr="00F57044" w:rsidR="00E539C3">
        <w:t xml:space="preserve"> therefore</w:t>
      </w:r>
      <w:r w:rsidRPr="00F57044" w:rsidR="00FB704A">
        <w:t xml:space="preserve"> may </w:t>
      </w:r>
      <w:r w:rsidRPr="00F57044" w:rsidR="00614FB4">
        <w:t xml:space="preserve">be sold </w:t>
      </w:r>
      <w:r w:rsidRPr="00F57044" w:rsidR="005519FB">
        <w:t>freely</w:t>
      </w:r>
      <w:r w:rsidRPr="00F57044" w:rsidR="00614FB4">
        <w:t xml:space="preserve"> into the market. </w:t>
      </w:r>
      <w:r w:rsidRPr="00F57044">
        <w:t xml:space="preserve">Determining how many units are surplus is important </w:t>
      </w:r>
      <w:proofErr w:type="gramStart"/>
      <w:r w:rsidRPr="00F57044" w:rsidR="00F347FE">
        <w:t>as</w:t>
      </w:r>
      <w:r w:rsidRPr="00F57044" w:rsidR="00D8321B">
        <w:t>,</w:t>
      </w:r>
      <w:proofErr w:type="gramEnd"/>
      <w:r w:rsidRPr="00F57044" w:rsidR="00BA4B38">
        <w:t xml:space="preserve"> by enabling additional emissions, </w:t>
      </w:r>
      <w:r w:rsidRPr="00F57044" w:rsidR="000E69F6">
        <w:t xml:space="preserve">surplus units </w:t>
      </w:r>
      <w:r w:rsidRPr="00F57044">
        <w:t xml:space="preserve">create </w:t>
      </w:r>
      <w:r w:rsidRPr="00F57044" w:rsidR="00BA4B38">
        <w:t xml:space="preserve">the </w:t>
      </w:r>
      <w:r w:rsidRPr="00F57044">
        <w:t xml:space="preserve">risk that emissions budgets will </w:t>
      </w:r>
      <w:r w:rsidRPr="00F57044" w:rsidR="00384006">
        <w:t>not be met</w:t>
      </w:r>
      <w:r w:rsidRPr="00F57044">
        <w:t>.</w:t>
      </w:r>
    </w:p>
    <w:p w:rsidRPr="00F57044" w:rsidR="00C82748" w:rsidP="00506F76" w:rsidRDefault="00C27C38" w14:paraId="189481ED" w14:textId="3BE8E89B">
      <w:pPr>
        <w:pStyle w:val="BodyText"/>
      </w:pPr>
      <w:r w:rsidRPr="00F57044">
        <w:t>However, t</w:t>
      </w:r>
      <w:r w:rsidRPr="00F57044" w:rsidR="00840636">
        <w:t>he</w:t>
      </w:r>
      <w:r w:rsidRPr="00F57044" w:rsidR="001D648B">
        <w:t xml:space="preserve"> </w:t>
      </w:r>
      <w:r w:rsidRPr="00F57044" w:rsidR="00840636">
        <w:t>size</w:t>
      </w:r>
      <w:r w:rsidRPr="00F57044" w:rsidR="001D648B">
        <w:t xml:space="preserve"> of the surplus stockpile is </w:t>
      </w:r>
      <w:r w:rsidRPr="00F57044" w:rsidDel="00BA4B38" w:rsidR="00840636">
        <w:t xml:space="preserve">inherently </w:t>
      </w:r>
      <w:r w:rsidRPr="00F57044" w:rsidR="00840636">
        <w:t>uncertain</w:t>
      </w:r>
      <w:r w:rsidRPr="00F57044" w:rsidR="001D648B">
        <w:t>.</w:t>
      </w:r>
      <w:r w:rsidRPr="00F57044" w:rsidR="00175655">
        <w:t xml:space="preserve"> </w:t>
      </w:r>
      <w:r w:rsidRPr="00F57044" w:rsidR="003B4151">
        <w:t>Estimating</w:t>
      </w:r>
      <w:r w:rsidRPr="00F57044" w:rsidR="00B03A83">
        <w:t xml:space="preserve"> the </w:t>
      </w:r>
      <w:r w:rsidRPr="00F57044" w:rsidR="003B4151">
        <w:t>surplus</w:t>
      </w:r>
      <w:r w:rsidRPr="00F57044" w:rsidR="00CA62DA">
        <w:t xml:space="preserve"> </w:t>
      </w:r>
      <w:r w:rsidRPr="00F57044" w:rsidR="00DD743D">
        <w:t xml:space="preserve">requires </w:t>
      </w:r>
      <w:r w:rsidRPr="00F57044" w:rsidR="008C1375">
        <w:t>making assumptions about</w:t>
      </w:r>
      <w:r w:rsidRPr="00F57044" w:rsidR="00DD743D">
        <w:t xml:space="preserve"> future behaviour of market participants</w:t>
      </w:r>
      <w:r w:rsidRPr="00F57044" w:rsidR="00AB39D6">
        <w:t xml:space="preserve"> such as</w:t>
      </w:r>
      <w:r w:rsidRPr="00F57044" w:rsidR="00DD743D">
        <w:t xml:space="preserve"> unit holders, emitters and foresters.</w:t>
      </w:r>
      <w:r w:rsidRPr="00F57044" w:rsidR="00A40E07">
        <w:t xml:space="preserve"> This uncertainty can be partially managed by the adaptive management </w:t>
      </w:r>
      <w:r w:rsidRPr="00F57044" w:rsidR="00C7558C">
        <w:t xml:space="preserve">approach the Government </w:t>
      </w:r>
      <w:r w:rsidRPr="00F57044" w:rsidR="00BA4B38">
        <w:t>takes</w:t>
      </w:r>
      <w:r w:rsidRPr="00F57044" w:rsidR="00C7558C">
        <w:t xml:space="preserve"> to setting unit limits.</w:t>
      </w:r>
    </w:p>
    <w:p w:rsidRPr="00F57044" w:rsidR="00993049" w:rsidP="00506F76" w:rsidRDefault="00C7558C" w14:paraId="08AC09A4" w14:textId="0A2C39F1">
      <w:pPr>
        <w:pStyle w:val="BodyText"/>
      </w:pPr>
      <w:r w:rsidRPr="00F57044">
        <w:t xml:space="preserve">This year, </w:t>
      </w:r>
      <w:r w:rsidRPr="00F57044" w:rsidR="00BA4B38">
        <w:t>as well as</w:t>
      </w:r>
      <w:r w:rsidRPr="00F57044" w:rsidDel="00CA6B42" w:rsidR="002433A5">
        <w:t xml:space="preserve"> </w:t>
      </w:r>
      <w:r w:rsidRPr="00F57044" w:rsidR="00FD5556">
        <w:t>including the latest data</w:t>
      </w:r>
      <w:r w:rsidRPr="00F57044" w:rsidR="00BA0287">
        <w:t xml:space="preserve">, the Commission has </w:t>
      </w:r>
      <w:r w:rsidRPr="00F57044" w:rsidR="00FD5556">
        <w:t>made</w:t>
      </w:r>
      <w:r w:rsidRPr="00F57044" w:rsidR="00BA0287">
        <w:t xml:space="preserve"> </w:t>
      </w:r>
      <w:r w:rsidRPr="00F57044" w:rsidR="00BB4846">
        <w:t>substantial changes</w:t>
      </w:r>
      <w:r w:rsidRPr="00F57044" w:rsidR="00BA0287">
        <w:t xml:space="preserve"> to </w:t>
      </w:r>
      <w:r w:rsidRPr="00F57044" w:rsidR="00D003B9">
        <w:t>its</w:t>
      </w:r>
      <w:r w:rsidRPr="00F57044" w:rsidR="00BA0287">
        <w:t xml:space="preserve"> surplus estimate methodology. </w:t>
      </w:r>
      <w:r w:rsidRPr="00F57044" w:rsidR="00993049">
        <w:t xml:space="preserve">Some </w:t>
      </w:r>
      <w:r w:rsidRPr="00F57044" w:rsidR="00A0531A">
        <w:t>changes</w:t>
      </w:r>
      <w:r w:rsidRPr="00F57044" w:rsidR="00993049">
        <w:t xml:space="preserve"> </w:t>
      </w:r>
      <w:r w:rsidRPr="00F57044" w:rsidR="00FD5556">
        <w:t>came</w:t>
      </w:r>
      <w:r w:rsidRPr="00F57044" w:rsidR="00993049">
        <w:t xml:space="preserve"> from</w:t>
      </w:r>
      <w:r w:rsidRPr="00F57044" w:rsidDel="003A32A1" w:rsidR="00993049">
        <w:t xml:space="preserve"> </w:t>
      </w:r>
      <w:r w:rsidRPr="00F57044" w:rsidR="005B01A4">
        <w:t>i</w:t>
      </w:r>
      <w:r w:rsidRPr="00F57044" w:rsidR="003A32A1">
        <w:t xml:space="preserve">ts </w:t>
      </w:r>
      <w:r w:rsidRPr="00F57044" w:rsidR="00993049">
        <w:t xml:space="preserve">consideration of a 2024 </w:t>
      </w:r>
      <w:r w:rsidRPr="00F57044" w:rsidR="00792141">
        <w:t xml:space="preserve">Ernst &amp; Young (EY) </w:t>
      </w:r>
      <w:r w:rsidRPr="00F57044" w:rsidR="00993049">
        <w:t>report (commissioned by the Ministry for the Environment</w:t>
      </w:r>
      <w:r w:rsidRPr="00F57044" w:rsidR="00EB4ACD">
        <w:t xml:space="preserve"> – </w:t>
      </w:r>
      <w:r w:rsidRPr="00F57044" w:rsidR="00BA4B38">
        <w:t>see</w:t>
      </w:r>
      <w:r w:rsidRPr="00F57044" w:rsidR="008A7AA7">
        <w:t xml:space="preserve"> </w:t>
      </w:r>
      <w:hyperlink w:history="1" w:anchor="_Step_5a:_Set">
        <w:r w:rsidRPr="00F57044" w:rsidR="00BA4B38">
          <w:rPr>
            <w:rStyle w:val="Hyperlink"/>
          </w:rPr>
          <w:t>s</w:t>
        </w:r>
        <w:r w:rsidRPr="00F57044" w:rsidR="00C01682">
          <w:rPr>
            <w:rStyle w:val="Hyperlink"/>
          </w:rPr>
          <w:t>tep 5</w:t>
        </w:r>
        <w:r w:rsidRPr="00F57044" w:rsidR="005B01A4">
          <w:rPr>
            <w:rStyle w:val="Hyperlink"/>
          </w:rPr>
          <w:t>a</w:t>
        </w:r>
      </w:hyperlink>
      <w:r w:rsidRPr="00F57044" w:rsidR="00C01682">
        <w:t xml:space="preserve"> of </w:t>
      </w:r>
      <w:r w:rsidRPr="00F57044" w:rsidR="005B01A4">
        <w:t>the seven steps method</w:t>
      </w:r>
      <w:r w:rsidRPr="00F57044" w:rsidR="003D0CA1">
        <w:t>ology</w:t>
      </w:r>
      <w:r w:rsidRPr="00F57044" w:rsidR="00993049">
        <w:t>)</w:t>
      </w:r>
      <w:r w:rsidRPr="00F57044" w:rsidR="00BA4B38">
        <w:t>,</w:t>
      </w:r>
      <w:r w:rsidRPr="00F57044" w:rsidR="00993049">
        <w:t xml:space="preserve"> </w:t>
      </w:r>
      <w:r w:rsidRPr="00F57044" w:rsidR="00BA4B38">
        <w:t xml:space="preserve">which </w:t>
      </w:r>
      <w:r w:rsidRPr="00F57044" w:rsidR="00993049">
        <w:t>reviewed the methodology.</w:t>
      </w:r>
      <w:r w:rsidRPr="00F57044" w:rsidR="00993049">
        <w:rPr>
          <w:rStyle w:val="FootnoteReference"/>
        </w:rPr>
        <w:footnoteReference w:id="20"/>
      </w:r>
      <w:r w:rsidRPr="00F57044" w:rsidR="00993049">
        <w:t xml:space="preserve"> Other</w:t>
      </w:r>
      <w:r w:rsidRPr="00F57044" w:rsidR="00E66E64">
        <w:t xml:space="preserve"> change</w:t>
      </w:r>
      <w:r w:rsidRPr="00F57044" w:rsidR="00993049">
        <w:t>s result</w:t>
      </w:r>
      <w:r w:rsidRPr="00F57044" w:rsidR="00AB39D6">
        <w:t>ed</w:t>
      </w:r>
      <w:r w:rsidRPr="00F57044" w:rsidR="00993049">
        <w:t xml:space="preserve"> from </w:t>
      </w:r>
      <w:r w:rsidRPr="00F57044" w:rsidR="00AB39D6">
        <w:t>the Commission’s</w:t>
      </w:r>
      <w:r w:rsidRPr="00F57044" w:rsidR="00993049">
        <w:t xml:space="preserve"> own analysis. </w:t>
      </w:r>
    </w:p>
    <w:p w:rsidRPr="00F57044" w:rsidR="00D31E53" w:rsidP="00506F76" w:rsidRDefault="00DE340B" w14:paraId="1D317703" w14:textId="61274D16">
      <w:pPr>
        <w:pStyle w:val="BodyText"/>
      </w:pPr>
      <w:r w:rsidRPr="00F57044">
        <w:t xml:space="preserve">The </w:t>
      </w:r>
      <w:r w:rsidRPr="00F57044" w:rsidR="00165361">
        <w:t>Commission</w:t>
      </w:r>
      <w:r w:rsidRPr="00F57044" w:rsidR="00E8131F">
        <w:t>’</w:t>
      </w:r>
      <w:r w:rsidRPr="00F57044" w:rsidR="00165361">
        <w:t>s</w:t>
      </w:r>
      <w:r w:rsidRPr="00F57044">
        <w:t xml:space="preserve"> changes this year include incorporating two additional categories </w:t>
      </w:r>
      <w:r w:rsidRPr="00F57044" w:rsidR="006D079C">
        <w:t xml:space="preserve">of units into </w:t>
      </w:r>
      <w:r w:rsidRPr="00F57044" w:rsidR="000E69F6">
        <w:t xml:space="preserve">its </w:t>
      </w:r>
      <w:r w:rsidRPr="00F57044" w:rsidR="006D079C">
        <w:t>estimate of the surplus</w:t>
      </w:r>
      <w:r w:rsidRPr="00F57044" w:rsidR="000E0852">
        <w:t>:</w:t>
      </w:r>
    </w:p>
    <w:p w:rsidRPr="00F57044" w:rsidR="001D0EC3" w:rsidP="00506F76" w:rsidRDefault="001D0EC3" w14:paraId="048FBAEF" w14:textId="172DC12C">
      <w:pPr>
        <w:pStyle w:val="Bullet"/>
      </w:pPr>
      <w:r w:rsidRPr="00F57044">
        <w:t>units held by emitters for emissions that have already occurred (holding volumes)</w:t>
      </w:r>
    </w:p>
    <w:p w:rsidRPr="00F57044" w:rsidR="000E0852" w:rsidP="00506F76" w:rsidRDefault="001D0EC3" w14:paraId="657E9CD4" w14:textId="01398C22">
      <w:pPr>
        <w:pStyle w:val="Bullet"/>
      </w:pPr>
      <w:r w:rsidRPr="00F57044">
        <w:t xml:space="preserve">post-1989 forestry units relating to the fourth mandatory emissions </w:t>
      </w:r>
      <w:r w:rsidRPr="00F57044" w:rsidR="004065F0">
        <w:t xml:space="preserve">return </w:t>
      </w:r>
      <w:r w:rsidRPr="00F57044">
        <w:t>period</w:t>
      </w:r>
      <w:r w:rsidRPr="00F57044" w:rsidR="00140FB9">
        <w:t xml:space="preserve"> (MERP4, 2023–25)</w:t>
      </w:r>
      <w:r w:rsidRPr="00F57044" w:rsidR="008676C5">
        <w:rPr>
          <w:rStyle w:val="FootnoteReference"/>
        </w:rPr>
        <w:footnoteReference w:id="21"/>
      </w:r>
      <w:r w:rsidRPr="00F57044">
        <w:t xml:space="preserve"> that may be carried over into </w:t>
      </w:r>
      <w:r w:rsidRPr="00F57044" w:rsidR="00364748">
        <w:t>EB2</w:t>
      </w:r>
      <w:r w:rsidRPr="00F57044">
        <w:t xml:space="preserve"> and contribute to the surplus.</w:t>
      </w:r>
    </w:p>
    <w:p w:rsidRPr="00F57044" w:rsidR="000E0852" w:rsidP="000E0852" w:rsidRDefault="00A4479B" w14:paraId="2B149B12" w14:textId="554A386B">
      <w:pPr>
        <w:pStyle w:val="BodyText"/>
      </w:pPr>
      <w:r w:rsidRPr="00F57044">
        <w:t>Other material changes include:</w:t>
      </w:r>
    </w:p>
    <w:p w:rsidRPr="00F57044" w:rsidR="00A4479B" w:rsidP="00067F8A" w:rsidRDefault="00712BB7" w14:paraId="4728187C" w14:textId="66F2CA06">
      <w:pPr>
        <w:pStyle w:val="Bullet"/>
      </w:pPr>
      <w:r w:rsidRPr="00F57044">
        <w:t>a</w:t>
      </w:r>
      <w:r w:rsidRPr="00F57044" w:rsidR="00A4479B">
        <w:t>djust</w:t>
      </w:r>
      <w:r w:rsidRPr="00F57044" w:rsidR="000E69F6">
        <w:t>ing</w:t>
      </w:r>
      <w:r w:rsidRPr="00F57044" w:rsidR="00A4479B">
        <w:t xml:space="preserve"> the base year of estimates of units held for hedging to use the volume forecast for 2030, instead of the most recent calendar year</w:t>
      </w:r>
    </w:p>
    <w:p w:rsidRPr="00F57044" w:rsidR="00A4479B" w:rsidP="00067F8A" w:rsidRDefault="00712BB7" w14:paraId="1DCFCD23" w14:textId="37946260">
      <w:pPr>
        <w:pStyle w:val="Bullet"/>
      </w:pPr>
      <w:r w:rsidRPr="00F57044">
        <w:t>r</w:t>
      </w:r>
      <w:r w:rsidRPr="00F57044" w:rsidR="00A4479B">
        <w:t>educ</w:t>
      </w:r>
      <w:r w:rsidRPr="00F57044" w:rsidR="000E69F6">
        <w:t>ing</w:t>
      </w:r>
      <w:r w:rsidRPr="00F57044" w:rsidR="00A4479B">
        <w:t xml:space="preserve"> the estimate of hedging by the liquid fossil fuels sector</w:t>
      </w:r>
    </w:p>
    <w:p w:rsidRPr="00F57044" w:rsidR="00A4479B" w:rsidP="00067F8A" w:rsidRDefault="00712BB7" w14:paraId="128120DF" w14:textId="61DC4975">
      <w:pPr>
        <w:pStyle w:val="Bullet"/>
      </w:pPr>
      <w:r w:rsidRPr="00F57044">
        <w:t>a</w:t>
      </w:r>
      <w:r w:rsidRPr="00F57044" w:rsidR="00DC6475">
        <w:t>djust</w:t>
      </w:r>
      <w:r w:rsidRPr="00F57044" w:rsidR="000E69F6">
        <w:t>ing</w:t>
      </w:r>
      <w:r w:rsidRPr="00F57044" w:rsidR="00DC6475">
        <w:t xml:space="preserve"> assumptions about the age at which post-1989 forests are harvested</w:t>
      </w:r>
      <w:r w:rsidRPr="00F57044" w:rsidR="00515F27">
        <w:t>, and</w:t>
      </w:r>
      <w:r w:rsidRPr="00F57044" w:rsidR="00DC6475">
        <w:t xml:space="preserve"> the proportion of</w:t>
      </w:r>
      <w:r w:rsidRPr="00F57044" w:rsidR="0066421D">
        <w:t xml:space="preserve"> potential maximum ‘low-risk carbon’ foresters can achieve in managing their forest areas.</w:t>
      </w:r>
    </w:p>
    <w:p w:rsidRPr="00F57044" w:rsidR="003753A6" w:rsidP="003753A6" w:rsidRDefault="00E9127A" w14:paraId="25BC8F0D" w14:textId="667C1A0E">
      <w:pPr>
        <w:pStyle w:val="BodyText"/>
      </w:pPr>
      <w:r w:rsidRPr="00F57044">
        <w:t>Based on our preliminary assessment</w:t>
      </w:r>
      <w:r w:rsidRPr="00F57044" w:rsidR="00CE2EE2">
        <w:t>,</w:t>
      </w:r>
      <w:r w:rsidRPr="00F57044" w:rsidR="003753A6">
        <w:t xml:space="preserve"> </w:t>
      </w:r>
      <w:r w:rsidRPr="00F57044" w:rsidR="007A1707">
        <w:t xml:space="preserve">we consider </w:t>
      </w:r>
      <w:r w:rsidRPr="00F57044" w:rsidR="007B16EC">
        <w:t>these methodolog</w:t>
      </w:r>
      <w:r w:rsidRPr="00F57044" w:rsidR="00940FA1">
        <w:t>ical</w:t>
      </w:r>
      <w:r w:rsidRPr="00F57044" w:rsidR="007B16EC">
        <w:t xml:space="preserve"> changes</w:t>
      </w:r>
      <w:r w:rsidRPr="00F57044" w:rsidR="003753A6">
        <w:t xml:space="preserve"> </w:t>
      </w:r>
      <w:r w:rsidRPr="00F57044" w:rsidR="00CE2EE2">
        <w:t xml:space="preserve">are </w:t>
      </w:r>
      <w:r w:rsidRPr="00F57044" w:rsidR="00A46E8C">
        <w:t xml:space="preserve">conceptually </w:t>
      </w:r>
      <w:r w:rsidRPr="00F57044" w:rsidR="00D215B5">
        <w:t>valid</w:t>
      </w:r>
      <w:r w:rsidRPr="00F57044">
        <w:t xml:space="preserve"> and</w:t>
      </w:r>
      <w:r w:rsidRPr="00F57044" w:rsidR="00D215B5">
        <w:t xml:space="preserve"> </w:t>
      </w:r>
      <w:r w:rsidRPr="00F57044" w:rsidR="00CE2EE2">
        <w:t xml:space="preserve">likely to </w:t>
      </w:r>
      <w:r w:rsidRPr="00F57044" w:rsidR="003753A6">
        <w:t>improve the accuracy of the surplus estimate. The</w:t>
      </w:r>
      <w:r w:rsidRPr="00F57044" w:rsidR="00D215B5">
        <w:t>y have been</w:t>
      </w:r>
      <w:r w:rsidRPr="00F57044" w:rsidR="00506F76">
        <w:t> </w:t>
      </w:r>
      <w:r w:rsidRPr="00F57044" w:rsidR="00D215B5">
        <w:t>developed</w:t>
      </w:r>
      <w:r w:rsidRPr="00F57044" w:rsidR="003753A6">
        <w:t xml:space="preserve"> </w:t>
      </w:r>
      <w:r w:rsidRPr="00F57044" w:rsidR="00D215B5">
        <w:t>using</w:t>
      </w:r>
      <w:r w:rsidRPr="00F57044" w:rsidR="003753A6">
        <w:t xml:space="preserve"> </w:t>
      </w:r>
      <w:r w:rsidRPr="00F57044" w:rsidR="00372EBF">
        <w:t>quantitative evidence</w:t>
      </w:r>
      <w:r w:rsidRPr="00F57044" w:rsidR="003753A6">
        <w:t xml:space="preserve"> </w:t>
      </w:r>
      <w:r w:rsidRPr="00F57044" w:rsidR="00DC27E7">
        <w:t>(where available)</w:t>
      </w:r>
      <w:r w:rsidRPr="00F57044" w:rsidR="003753A6">
        <w:t xml:space="preserve"> and </w:t>
      </w:r>
      <w:r w:rsidRPr="00F57044" w:rsidR="00372EBF">
        <w:t>refined through</w:t>
      </w:r>
      <w:r w:rsidRPr="00F57044" w:rsidR="003753A6">
        <w:t xml:space="preserve"> industry engagement conducted by the Commission and EY. </w:t>
      </w:r>
    </w:p>
    <w:p w:rsidRPr="00F57044" w:rsidR="00087125" w:rsidP="004D6C81" w:rsidRDefault="008B6375" w14:paraId="61E21F0B" w14:textId="17C1AF06">
      <w:pPr>
        <w:pStyle w:val="BodyText"/>
      </w:pPr>
      <w:r w:rsidRPr="00F57044">
        <w:t>However, the</w:t>
      </w:r>
      <w:r w:rsidRPr="00F57044" w:rsidR="00243944">
        <w:t xml:space="preserve"> changes have large impacts on the surplus estimate</w:t>
      </w:r>
      <w:r w:rsidRPr="00F57044" w:rsidR="00712BB7">
        <w:t>. E</w:t>
      </w:r>
      <w:r w:rsidRPr="00F57044" w:rsidR="000E13D8">
        <w:t>ven relatively small refinements to some of them could have a material impac</w:t>
      </w:r>
      <w:r w:rsidRPr="00F57044" w:rsidR="009C2D58">
        <w:t>t</w:t>
      </w:r>
      <w:r w:rsidRPr="00F57044" w:rsidR="000E13D8">
        <w:t xml:space="preserve"> on the </w:t>
      </w:r>
      <w:r w:rsidRPr="00F57044" w:rsidR="00491F26">
        <w:t xml:space="preserve">number of units that are assessed to </w:t>
      </w:r>
      <w:r w:rsidRPr="00F57044" w:rsidR="00712BB7">
        <w:t>align</w:t>
      </w:r>
      <w:r w:rsidRPr="00F57044" w:rsidR="00491F26">
        <w:t xml:space="preserve"> with </w:t>
      </w:r>
      <w:r w:rsidR="00281728">
        <w:t>emissions reduction targets</w:t>
      </w:r>
      <w:r w:rsidRPr="00F57044" w:rsidR="007B16EC">
        <w:t>.</w:t>
      </w:r>
    </w:p>
    <w:p w:rsidRPr="00F57044" w:rsidR="001B63AF" w:rsidP="004D6C81" w:rsidRDefault="001F08E0" w14:paraId="3819E00A" w14:textId="2696C4F8">
      <w:pPr>
        <w:pStyle w:val="BodyText"/>
      </w:pPr>
      <w:r w:rsidRPr="00F57044">
        <w:t xml:space="preserve">The inclusion of holding volumes alone reduces the estimated surplus by </w:t>
      </w:r>
      <w:r w:rsidRPr="00F57044" w:rsidR="0073691E">
        <w:t>34 million units</w:t>
      </w:r>
      <w:r w:rsidRPr="00F57044" w:rsidR="001B63AF">
        <w:t>.</w:t>
      </w:r>
      <w:r w:rsidRPr="00F57044" w:rsidR="00B81059">
        <w:t xml:space="preserve"> </w:t>
      </w:r>
      <w:r w:rsidRPr="00F57044" w:rsidR="00087125">
        <w:t>T</w:t>
      </w:r>
      <w:r w:rsidRPr="00F57044" w:rsidR="00B81059">
        <w:t>he</w:t>
      </w:r>
      <w:r w:rsidRPr="00F57044" w:rsidR="00506F76">
        <w:t> </w:t>
      </w:r>
      <w:r w:rsidRPr="00F57044" w:rsidR="00372EBF">
        <w:t>C</w:t>
      </w:r>
      <w:r w:rsidRPr="00F57044" w:rsidR="00B81059">
        <w:t>ommission</w:t>
      </w:r>
      <w:r w:rsidRPr="00F57044" w:rsidR="00372EBF">
        <w:t xml:space="preserve"> has recommended that we consult </w:t>
      </w:r>
      <w:r w:rsidRPr="00F57044" w:rsidR="00BE6A2A">
        <w:t xml:space="preserve">on this </w:t>
      </w:r>
      <w:proofErr w:type="gramStart"/>
      <w:r w:rsidRPr="00F57044" w:rsidR="00BE6A2A">
        <w:t>change in particular</w:t>
      </w:r>
      <w:r w:rsidRPr="00F57044" w:rsidR="00712BB7">
        <w:t>,</w:t>
      </w:r>
      <w:r w:rsidRPr="00F57044" w:rsidR="00BE6A2A">
        <w:t xml:space="preserve"> and</w:t>
      </w:r>
      <w:proofErr w:type="gramEnd"/>
      <w:r w:rsidRPr="00F57044" w:rsidR="00BE6A2A">
        <w:t xml:space="preserve"> whether holding volume may partially overlap with units hel</w:t>
      </w:r>
      <w:r w:rsidRPr="00F57044" w:rsidR="00267D6B">
        <w:t>d for hedging.</w:t>
      </w:r>
    </w:p>
    <w:p w:rsidRPr="00F57044" w:rsidR="004D6C81" w:rsidP="004D6C81" w:rsidRDefault="0074130D" w14:paraId="77BB957E" w14:textId="0335DBF5">
      <w:pPr>
        <w:pStyle w:val="BodyText"/>
        <w:rPr>
          <w:b/>
        </w:rPr>
      </w:pPr>
      <w:r w:rsidRPr="00F57044">
        <w:t xml:space="preserve">Table </w:t>
      </w:r>
      <w:r w:rsidRPr="00F57044" w:rsidR="0065012D">
        <w:t>6</w:t>
      </w:r>
      <w:r w:rsidRPr="00F57044" w:rsidDel="00712BB7">
        <w:t xml:space="preserve"> </w:t>
      </w:r>
      <w:r w:rsidRPr="00F57044" w:rsidR="00086109">
        <w:t>sets out the impact on the surplus estimate of each individual methodological change.</w:t>
      </w:r>
      <w:r w:rsidRPr="00F57044" w:rsidR="00267D6B">
        <w:t xml:space="preserve"> </w:t>
      </w:r>
      <w:r w:rsidRPr="00F57044" w:rsidR="00267D6B">
        <w:rPr>
          <w:b/>
        </w:rPr>
        <w:t>We</w:t>
      </w:r>
      <w:r w:rsidRPr="00F57044" w:rsidR="004D6C81">
        <w:rPr>
          <w:b/>
        </w:rPr>
        <w:t xml:space="preserve"> would like to hear further feedback to ensure the assumptions are </w:t>
      </w:r>
      <w:proofErr w:type="gramStart"/>
      <w:r w:rsidRPr="00F57044" w:rsidR="004D6C81">
        <w:rPr>
          <w:b/>
        </w:rPr>
        <w:t>accurate</w:t>
      </w:r>
      <w:r w:rsidRPr="00F57044" w:rsidR="00712BB7">
        <w:rPr>
          <w:b/>
          <w:bCs/>
        </w:rPr>
        <w:t>,</w:t>
      </w:r>
      <w:r w:rsidRPr="00F57044" w:rsidR="004D6C81">
        <w:rPr>
          <w:b/>
        </w:rPr>
        <w:t xml:space="preserve"> and</w:t>
      </w:r>
      <w:proofErr w:type="gramEnd"/>
      <w:r w:rsidRPr="00F57044" w:rsidR="004D6C81">
        <w:rPr>
          <w:b/>
        </w:rPr>
        <w:t xml:space="preserve"> based on the best information available to us.</w:t>
      </w:r>
    </w:p>
    <w:p w:rsidRPr="00F57044" w:rsidR="00D61CDA" w:rsidP="00D61CDA" w:rsidRDefault="00D61CDA" w14:paraId="70185BC9" w14:textId="4A133B6E">
      <w:pPr>
        <w:pStyle w:val="Tableheading"/>
      </w:pPr>
      <w:bookmarkStart w:name="_Toc198901876" w:id="92"/>
      <w:r w:rsidRPr="00F57044">
        <w:t xml:space="preserve">Table </w:t>
      </w:r>
      <w:r w:rsidRPr="00F57044" w:rsidR="0065012D">
        <w:t>6</w:t>
      </w:r>
      <w:r w:rsidRPr="00F57044">
        <w:t>:</w:t>
      </w:r>
      <w:r w:rsidRPr="00F57044" w:rsidR="00E3099E">
        <w:tab/>
      </w:r>
      <w:r w:rsidRPr="00F57044" w:rsidR="00686889">
        <w:t xml:space="preserve">Approximate </w:t>
      </w:r>
      <w:r w:rsidRPr="00F57044" w:rsidDel="00471F83">
        <w:t>i</w:t>
      </w:r>
      <w:r w:rsidRPr="00F57044">
        <w:t>mpact of methodolog</w:t>
      </w:r>
      <w:r w:rsidRPr="00F57044" w:rsidR="00940FA1">
        <w:t>ical</w:t>
      </w:r>
      <w:r w:rsidRPr="00F57044">
        <w:t xml:space="preserve"> changes on the size of the surplus stockpile</w:t>
      </w:r>
      <w:bookmarkEnd w:id="92"/>
    </w:p>
    <w:tbl>
      <w:tblPr>
        <w:tblStyle w:val="MinistryfortheEnvironment"/>
        <w:tblW w:w="8505" w:type="dxa"/>
        <w:tblCellMar>
          <w:bottom w:w="0" w:type="dxa"/>
        </w:tblCellMar>
        <w:tblLook w:val="04A0" w:firstRow="1" w:lastRow="0" w:firstColumn="1" w:lastColumn="0" w:noHBand="0" w:noVBand="1"/>
      </w:tblPr>
      <w:tblGrid>
        <w:gridCol w:w="5103"/>
        <w:gridCol w:w="3402"/>
      </w:tblGrid>
      <w:tr w:rsidRPr="00F57044" w:rsidR="00D61CDA" w:rsidTr="00506F76" w14:paraId="52FC6C6E" w14:textId="77777777">
        <w:trPr>
          <w:cnfStyle w:val="100000000000" w:firstRow="1" w:lastRow="0" w:firstColumn="0" w:lastColumn="0" w:oddVBand="0" w:evenVBand="0" w:oddHBand="0" w:evenHBand="0" w:firstRowFirstColumn="0" w:firstRowLastColumn="0" w:lastRowFirstColumn="0" w:lastRowLastColumn="0"/>
          <w:tblHeader/>
        </w:trPr>
        <w:tc>
          <w:tcPr>
            <w:tcW w:w="5103" w:type="dxa"/>
            <w:noWrap/>
            <w:vAlign w:val="bottom"/>
            <w:hideMark/>
          </w:tcPr>
          <w:p w:rsidRPr="00F57044" w:rsidR="00D61CDA" w:rsidP="00D22A61" w:rsidRDefault="00D61CDA" w14:paraId="71863257" w14:textId="2F508733">
            <w:pPr>
              <w:pStyle w:val="TableText"/>
              <w:rPr>
                <w:rFonts w:cs="Calibri"/>
              </w:rPr>
            </w:pPr>
            <w:r w:rsidRPr="00F57044">
              <w:rPr>
                <w:rFonts w:cs="Calibri"/>
              </w:rPr>
              <w:t>Category</w:t>
            </w:r>
          </w:p>
        </w:tc>
        <w:tc>
          <w:tcPr>
            <w:tcW w:w="3402" w:type="dxa"/>
            <w:noWrap/>
            <w:vAlign w:val="bottom"/>
            <w:hideMark/>
          </w:tcPr>
          <w:p w:rsidRPr="00F57044" w:rsidR="00D61CDA" w:rsidP="00D22A61" w:rsidRDefault="00D61CDA" w14:paraId="44462B6A" w14:textId="6613913B">
            <w:pPr>
              <w:pStyle w:val="TableText"/>
              <w:rPr>
                <w:rFonts w:cs="Calibri"/>
              </w:rPr>
            </w:pPr>
            <w:r w:rsidRPr="00F57044">
              <w:rPr>
                <w:rFonts w:cs="Calibri"/>
              </w:rPr>
              <w:t>Approximate impact on surplus</w:t>
            </w:r>
            <w:r w:rsidRPr="00F57044" w:rsidR="00712BB7">
              <w:rPr>
                <w:rFonts w:cs="Calibri"/>
              </w:rPr>
              <w:t xml:space="preserve"> (millions)</w:t>
            </w:r>
          </w:p>
        </w:tc>
      </w:tr>
      <w:tr w:rsidRPr="00F57044" w:rsidR="00D61CDA" w:rsidTr="00506F76" w14:paraId="02CAFA93" w14:textId="77777777">
        <w:tc>
          <w:tcPr>
            <w:tcW w:w="5103" w:type="dxa"/>
            <w:noWrap/>
          </w:tcPr>
          <w:p w:rsidRPr="00F57044" w:rsidR="00D61CDA" w:rsidP="00D22A61" w:rsidRDefault="00062D89" w14:paraId="38D89985" w14:textId="192CABA8">
            <w:pPr>
              <w:pStyle w:val="TableText"/>
            </w:pPr>
            <w:r w:rsidRPr="00F57044">
              <w:t>Inclusion of non-surplus h</w:t>
            </w:r>
            <w:r w:rsidRPr="00F57044" w:rsidR="00D61CDA">
              <w:t>olding volumes</w:t>
            </w:r>
          </w:p>
        </w:tc>
        <w:tc>
          <w:tcPr>
            <w:tcW w:w="3402" w:type="dxa"/>
            <w:shd w:val="clear" w:color="auto" w:fill="auto"/>
            <w:noWrap/>
          </w:tcPr>
          <w:p w:rsidRPr="00F57044" w:rsidR="00D61CDA" w:rsidP="00D22A61" w:rsidRDefault="002809A9" w14:paraId="688649D2" w14:textId="64F341DF">
            <w:pPr>
              <w:pStyle w:val="TableText"/>
            </w:pPr>
            <w:r w:rsidRPr="00F57044">
              <w:t>–</w:t>
            </w:r>
            <w:r w:rsidRPr="00F57044" w:rsidR="00D61CDA">
              <w:t>34</w:t>
            </w:r>
            <w:r w:rsidRPr="00F57044">
              <w:t xml:space="preserve"> </w:t>
            </w:r>
            <w:r w:rsidRPr="00F57044" w:rsidR="00D61CDA">
              <w:t>m</w:t>
            </w:r>
          </w:p>
        </w:tc>
      </w:tr>
      <w:tr w:rsidRPr="00F57044" w:rsidR="008B266B" w:rsidTr="00506F76" w14:paraId="7DAA1E08" w14:textId="77777777">
        <w:tc>
          <w:tcPr>
            <w:tcW w:w="5103" w:type="dxa"/>
            <w:noWrap/>
          </w:tcPr>
          <w:p w:rsidRPr="00F57044" w:rsidR="008B266B" w:rsidP="00D22A61" w:rsidRDefault="008B266B" w14:paraId="29B3FA70" w14:textId="1C8210A9">
            <w:pPr>
              <w:pStyle w:val="TableText"/>
              <w:rPr>
                <w:rFonts w:cs="Calibri"/>
                <w:color w:val="000000"/>
              </w:rPr>
            </w:pPr>
            <w:r w:rsidRPr="00F57044">
              <w:rPr>
                <w:rFonts w:cs="Calibri"/>
                <w:color w:val="000000"/>
              </w:rPr>
              <w:t>Units estimated to become surplus from MERP4</w:t>
            </w:r>
          </w:p>
        </w:tc>
        <w:tc>
          <w:tcPr>
            <w:tcW w:w="3402" w:type="dxa"/>
            <w:shd w:val="clear" w:color="auto" w:fill="auto"/>
            <w:noWrap/>
          </w:tcPr>
          <w:p w:rsidRPr="00F57044" w:rsidR="008B266B" w:rsidP="00D22A61" w:rsidRDefault="008B266B" w14:paraId="789B6CCE" w14:textId="6A797C16">
            <w:pPr>
              <w:pStyle w:val="TableText"/>
              <w:rPr>
                <w:rFonts w:cs="Calibri"/>
                <w:color w:val="C82613"/>
              </w:rPr>
            </w:pPr>
            <w:r w:rsidRPr="00F57044">
              <w:rPr>
                <w:rFonts w:cs="Calibri"/>
                <w:color w:val="C82613"/>
              </w:rPr>
              <w:t>+10</w:t>
            </w:r>
            <w:r w:rsidRPr="00F57044" w:rsidR="002809A9">
              <w:rPr>
                <w:rFonts w:cs="Calibri"/>
                <w:color w:val="C82613"/>
              </w:rPr>
              <w:t xml:space="preserve"> </w:t>
            </w:r>
            <w:r w:rsidRPr="00F57044">
              <w:rPr>
                <w:rFonts w:cs="Calibri"/>
                <w:color w:val="C82613"/>
              </w:rPr>
              <w:t>m</w:t>
            </w:r>
          </w:p>
        </w:tc>
      </w:tr>
      <w:tr w:rsidRPr="00F57044" w:rsidR="00D61CDA" w:rsidTr="00506F76" w14:paraId="50687E28" w14:textId="77777777">
        <w:tc>
          <w:tcPr>
            <w:tcW w:w="5103" w:type="dxa"/>
            <w:noWrap/>
          </w:tcPr>
          <w:p w:rsidRPr="00F57044" w:rsidR="00D61CDA" w:rsidP="00D22A61" w:rsidRDefault="00062D89" w14:paraId="3FFB817D" w14:textId="0B640617">
            <w:pPr>
              <w:pStyle w:val="TableText"/>
              <w:rPr>
                <w:rFonts w:cs="Calibri"/>
                <w:color w:val="000000"/>
              </w:rPr>
            </w:pPr>
            <w:r w:rsidRPr="00F57044">
              <w:rPr>
                <w:rFonts w:cs="Calibri"/>
                <w:color w:val="000000"/>
              </w:rPr>
              <w:t xml:space="preserve">Adjusting the base year of the price hedge </w:t>
            </w:r>
            <w:r w:rsidRPr="00F57044" w:rsidR="00D61CDA">
              <w:rPr>
                <w:rFonts w:cs="Calibri"/>
                <w:color w:val="000000"/>
              </w:rPr>
              <w:t xml:space="preserve">to 2030 </w:t>
            </w:r>
          </w:p>
        </w:tc>
        <w:tc>
          <w:tcPr>
            <w:tcW w:w="3402" w:type="dxa"/>
            <w:shd w:val="clear" w:color="auto" w:fill="auto"/>
            <w:noWrap/>
          </w:tcPr>
          <w:p w:rsidRPr="00F57044" w:rsidR="00D61CDA" w:rsidP="00D22A61" w:rsidRDefault="00D61CDA" w14:paraId="2EA37912" w14:textId="58CE1E15">
            <w:pPr>
              <w:pStyle w:val="TableText"/>
              <w:rPr>
                <w:rFonts w:cs="Calibri"/>
                <w:color w:val="C82613"/>
              </w:rPr>
            </w:pPr>
            <w:r w:rsidRPr="00F57044">
              <w:rPr>
                <w:rFonts w:cs="Calibri"/>
                <w:color w:val="C82613"/>
              </w:rPr>
              <w:t>+</w:t>
            </w:r>
            <w:r w:rsidRPr="00F57044" w:rsidR="008B266B">
              <w:rPr>
                <w:rFonts w:cs="Calibri"/>
                <w:color w:val="C82613"/>
              </w:rPr>
              <w:t>8</w:t>
            </w:r>
            <w:r w:rsidRPr="00F57044" w:rsidR="002809A9">
              <w:rPr>
                <w:rFonts w:cs="Calibri"/>
                <w:color w:val="C82613"/>
              </w:rPr>
              <w:t xml:space="preserve"> </w:t>
            </w:r>
            <w:r w:rsidRPr="00F57044" w:rsidR="008B266B">
              <w:rPr>
                <w:rFonts w:cs="Calibri"/>
                <w:color w:val="C82613"/>
              </w:rPr>
              <w:t>m</w:t>
            </w:r>
          </w:p>
        </w:tc>
      </w:tr>
      <w:tr w:rsidRPr="00F57044" w:rsidR="00D61CDA" w:rsidTr="00506F76" w14:paraId="2E6D11C7" w14:textId="77777777">
        <w:tc>
          <w:tcPr>
            <w:tcW w:w="5103" w:type="dxa"/>
            <w:noWrap/>
          </w:tcPr>
          <w:p w:rsidRPr="00F57044" w:rsidR="00D61CDA" w:rsidP="00D22A61" w:rsidRDefault="00062D89" w14:paraId="53BC9D78" w14:textId="18B07C22">
            <w:pPr>
              <w:pStyle w:val="TableText"/>
              <w:rPr>
                <w:rFonts w:cs="Calibri"/>
                <w:color w:val="000000"/>
              </w:rPr>
            </w:pPr>
            <w:r w:rsidRPr="00F57044">
              <w:rPr>
                <w:rFonts w:cs="Calibri"/>
                <w:color w:val="000000"/>
              </w:rPr>
              <w:t xml:space="preserve">Updated assumptions about </w:t>
            </w:r>
            <w:r w:rsidRPr="00F57044" w:rsidR="00D61CDA">
              <w:rPr>
                <w:rFonts w:cs="Calibri"/>
                <w:color w:val="000000"/>
              </w:rPr>
              <w:t>harvest age</w:t>
            </w:r>
            <w:r w:rsidRPr="00F57044">
              <w:rPr>
                <w:rFonts w:cs="Calibri"/>
                <w:color w:val="000000"/>
              </w:rPr>
              <w:t>s</w:t>
            </w:r>
            <w:r w:rsidRPr="00F57044" w:rsidR="00D61CDA">
              <w:rPr>
                <w:rFonts w:cs="Calibri"/>
                <w:color w:val="000000"/>
              </w:rPr>
              <w:t xml:space="preserve"> </w:t>
            </w:r>
            <w:r w:rsidRPr="00F57044">
              <w:rPr>
                <w:rFonts w:cs="Calibri"/>
                <w:color w:val="000000"/>
              </w:rPr>
              <w:t>of post-1989 forestry</w:t>
            </w:r>
          </w:p>
        </w:tc>
        <w:tc>
          <w:tcPr>
            <w:tcW w:w="3402" w:type="dxa"/>
            <w:shd w:val="clear" w:color="auto" w:fill="auto"/>
            <w:noWrap/>
          </w:tcPr>
          <w:p w:rsidRPr="00F57044" w:rsidR="00D61CDA" w:rsidP="00D22A61" w:rsidRDefault="00D61CDA" w14:paraId="05F1F5BD" w14:textId="389ABF5E">
            <w:pPr>
              <w:pStyle w:val="TableText"/>
              <w:rPr>
                <w:rFonts w:cs="Calibri"/>
                <w:color w:val="C82613"/>
              </w:rPr>
            </w:pPr>
            <w:r w:rsidRPr="00F57044">
              <w:rPr>
                <w:rFonts w:cs="Calibri"/>
                <w:color w:val="C82613"/>
              </w:rPr>
              <w:t>+7</w:t>
            </w:r>
            <w:r w:rsidRPr="00F57044" w:rsidR="002809A9">
              <w:rPr>
                <w:rFonts w:cs="Calibri"/>
                <w:color w:val="C82613"/>
              </w:rPr>
              <w:t xml:space="preserve"> </w:t>
            </w:r>
            <w:r w:rsidRPr="00F57044">
              <w:rPr>
                <w:rFonts w:cs="Calibri"/>
                <w:color w:val="C82613"/>
              </w:rPr>
              <w:t>m</w:t>
            </w:r>
          </w:p>
        </w:tc>
      </w:tr>
      <w:tr w:rsidRPr="00F57044" w:rsidR="00D61CDA" w:rsidTr="00506F76" w14:paraId="05839462" w14:textId="77777777">
        <w:tc>
          <w:tcPr>
            <w:tcW w:w="5103" w:type="dxa"/>
            <w:noWrap/>
          </w:tcPr>
          <w:p w:rsidRPr="00F57044" w:rsidR="00D61CDA" w:rsidP="00D22A61" w:rsidRDefault="00D61CDA" w14:paraId="504DADD2" w14:textId="4ADEB455">
            <w:pPr>
              <w:pStyle w:val="TableText"/>
              <w:rPr>
                <w:rFonts w:cs="Calibri"/>
                <w:color w:val="000000"/>
              </w:rPr>
            </w:pPr>
            <w:r w:rsidRPr="00F57044">
              <w:rPr>
                <w:rFonts w:cs="Calibri"/>
                <w:color w:val="000000"/>
              </w:rPr>
              <w:t xml:space="preserve">Updated </w:t>
            </w:r>
            <w:r w:rsidRPr="00F57044" w:rsidR="00471F83">
              <w:rPr>
                <w:rFonts w:cs="Calibri"/>
                <w:color w:val="000000"/>
              </w:rPr>
              <w:t>assumption about l</w:t>
            </w:r>
            <w:r w:rsidRPr="00F57044">
              <w:rPr>
                <w:rFonts w:cs="Calibri"/>
                <w:color w:val="000000"/>
              </w:rPr>
              <w:t xml:space="preserve">iquid </w:t>
            </w:r>
            <w:r w:rsidRPr="00F57044" w:rsidR="00471F83">
              <w:rPr>
                <w:rFonts w:cs="Calibri"/>
                <w:color w:val="000000"/>
              </w:rPr>
              <w:t>f</w:t>
            </w:r>
            <w:r w:rsidRPr="00F57044">
              <w:rPr>
                <w:rFonts w:cs="Calibri"/>
                <w:color w:val="000000"/>
              </w:rPr>
              <w:t xml:space="preserve">ossil </w:t>
            </w:r>
            <w:r w:rsidRPr="00F57044" w:rsidR="00471F83">
              <w:rPr>
                <w:rFonts w:cs="Calibri"/>
                <w:color w:val="000000"/>
              </w:rPr>
              <w:t>f</w:t>
            </w:r>
            <w:r w:rsidRPr="00F57044">
              <w:rPr>
                <w:rFonts w:cs="Calibri"/>
                <w:color w:val="000000"/>
              </w:rPr>
              <w:t xml:space="preserve">uel hedging </w:t>
            </w:r>
          </w:p>
        </w:tc>
        <w:tc>
          <w:tcPr>
            <w:tcW w:w="3402" w:type="dxa"/>
            <w:shd w:val="clear" w:color="auto" w:fill="auto"/>
            <w:noWrap/>
          </w:tcPr>
          <w:p w:rsidRPr="00F57044" w:rsidR="00D61CDA" w:rsidP="00D22A61" w:rsidRDefault="00D61CDA" w14:paraId="4F1220DD" w14:textId="29A694C2">
            <w:pPr>
              <w:pStyle w:val="TableText"/>
              <w:rPr>
                <w:rFonts w:cs="Calibri"/>
                <w:color w:val="C82613"/>
              </w:rPr>
            </w:pPr>
            <w:r w:rsidRPr="00F57044">
              <w:rPr>
                <w:rFonts w:cs="Calibri"/>
                <w:color w:val="C82613"/>
              </w:rPr>
              <w:t>+</w:t>
            </w:r>
            <w:r w:rsidRPr="00F57044" w:rsidR="008B266B">
              <w:rPr>
                <w:rFonts w:cs="Calibri"/>
                <w:color w:val="C82613"/>
              </w:rPr>
              <w:t>4</w:t>
            </w:r>
            <w:r w:rsidRPr="00F57044" w:rsidR="002809A9">
              <w:rPr>
                <w:rFonts w:cs="Calibri"/>
                <w:color w:val="C82613"/>
              </w:rPr>
              <w:t xml:space="preserve"> </w:t>
            </w:r>
            <w:r w:rsidRPr="00F57044" w:rsidR="008B266B">
              <w:rPr>
                <w:rFonts w:cs="Calibri"/>
                <w:color w:val="C82613"/>
              </w:rPr>
              <w:t>m</w:t>
            </w:r>
          </w:p>
        </w:tc>
      </w:tr>
      <w:tr w:rsidRPr="00F57044" w:rsidR="00D61CDA" w:rsidTr="00506F76" w14:paraId="7E108A15" w14:textId="77777777">
        <w:tc>
          <w:tcPr>
            <w:tcW w:w="5103" w:type="dxa"/>
            <w:noWrap/>
            <w:hideMark/>
          </w:tcPr>
          <w:p w:rsidRPr="00F57044" w:rsidR="00D61CDA" w:rsidP="00080B04" w:rsidRDefault="00D61CDA" w14:paraId="23E01BC4" w14:textId="227B541D">
            <w:pPr>
              <w:pStyle w:val="TableText"/>
            </w:pPr>
            <w:r w:rsidRPr="00F57044">
              <w:t>Updated assumption of pre-1990 transfer rate</w:t>
            </w:r>
          </w:p>
        </w:tc>
        <w:tc>
          <w:tcPr>
            <w:tcW w:w="3402" w:type="dxa"/>
            <w:shd w:val="clear" w:color="auto" w:fill="auto"/>
            <w:noWrap/>
            <w:hideMark/>
          </w:tcPr>
          <w:p w:rsidRPr="00F57044" w:rsidR="00D61CDA" w:rsidP="00080B04" w:rsidRDefault="002809A9" w14:paraId="6795EF77" w14:textId="4765B560">
            <w:pPr>
              <w:pStyle w:val="TableText"/>
            </w:pPr>
            <w:r w:rsidRPr="00F57044">
              <w:t>–</w:t>
            </w:r>
            <w:r w:rsidRPr="00F57044" w:rsidR="00D61CDA">
              <w:t>2</w:t>
            </w:r>
            <w:r w:rsidRPr="00F57044">
              <w:t xml:space="preserve"> </w:t>
            </w:r>
            <w:r w:rsidRPr="00F57044" w:rsidR="00D61CDA">
              <w:t>m</w:t>
            </w:r>
          </w:p>
        </w:tc>
      </w:tr>
      <w:tr w:rsidRPr="00F57044" w:rsidR="00D61CDA" w:rsidTr="00506F76" w14:paraId="1FDC3B85" w14:textId="77777777">
        <w:tc>
          <w:tcPr>
            <w:tcW w:w="5103" w:type="dxa"/>
            <w:noWrap/>
            <w:hideMark/>
          </w:tcPr>
          <w:p w:rsidRPr="00F57044" w:rsidR="00D61CDA" w:rsidP="00080B04" w:rsidRDefault="00D61CDA" w14:paraId="5B8E505F" w14:textId="7566AA7B">
            <w:pPr>
              <w:pStyle w:val="TableText"/>
              <w:rPr>
                <w:b/>
              </w:rPr>
            </w:pPr>
            <w:r w:rsidRPr="00F57044">
              <w:rPr>
                <w:b/>
              </w:rPr>
              <w:t xml:space="preserve">Approximate overall impact </w:t>
            </w:r>
          </w:p>
        </w:tc>
        <w:tc>
          <w:tcPr>
            <w:tcW w:w="3402" w:type="dxa"/>
            <w:shd w:val="clear" w:color="auto" w:fill="auto"/>
            <w:noWrap/>
            <w:hideMark/>
          </w:tcPr>
          <w:p w:rsidRPr="00F57044" w:rsidR="00D61CDA" w:rsidP="00080B04" w:rsidRDefault="002809A9" w14:paraId="7DAE3961" w14:textId="3F51D48E">
            <w:pPr>
              <w:pStyle w:val="TableText"/>
              <w:rPr>
                <w:b/>
              </w:rPr>
            </w:pPr>
            <w:r w:rsidRPr="00F57044">
              <w:rPr>
                <w:b/>
              </w:rPr>
              <w:t>–</w:t>
            </w:r>
            <w:r w:rsidRPr="00F57044" w:rsidR="008B266B">
              <w:rPr>
                <w:b/>
              </w:rPr>
              <w:t>7</w:t>
            </w:r>
            <w:r w:rsidRPr="00F57044">
              <w:rPr>
                <w:b/>
              </w:rPr>
              <w:t xml:space="preserve"> </w:t>
            </w:r>
            <w:r w:rsidRPr="00F57044" w:rsidR="008B266B">
              <w:rPr>
                <w:b/>
              </w:rPr>
              <w:t>m</w:t>
            </w:r>
            <w:r w:rsidRPr="00F57044" w:rsidR="008B266B">
              <w:t xml:space="preserve"> </w:t>
            </w:r>
            <w:r w:rsidRPr="00F57044" w:rsidR="008B266B">
              <w:rPr>
                <w:rFonts w:cs="Calibri"/>
                <w:color w:val="000000"/>
                <w:szCs w:val="18"/>
              </w:rPr>
              <w:t>(</w:t>
            </w:r>
            <w:r w:rsidRPr="00F57044" w:rsidR="00EA3106">
              <w:rPr>
                <w:rFonts w:cs="Calibri"/>
                <w:color w:val="000000"/>
                <w:szCs w:val="18"/>
              </w:rPr>
              <w:t>±</w:t>
            </w:r>
            <w:r w:rsidRPr="00F57044" w:rsidR="008B266B">
              <w:rPr>
                <w:rFonts w:cs="Calibri"/>
                <w:color w:val="000000"/>
                <w:szCs w:val="18"/>
              </w:rPr>
              <w:t>1</w:t>
            </w:r>
            <w:r w:rsidRPr="00F57044">
              <w:rPr>
                <w:rFonts w:cs="Calibri"/>
                <w:color w:val="000000"/>
                <w:szCs w:val="18"/>
              </w:rPr>
              <w:t xml:space="preserve"> </w:t>
            </w:r>
            <w:r w:rsidRPr="00F57044" w:rsidR="008B266B">
              <w:rPr>
                <w:rFonts w:cs="Calibri"/>
                <w:color w:val="000000"/>
                <w:szCs w:val="18"/>
              </w:rPr>
              <w:t>m)</w:t>
            </w:r>
          </w:p>
        </w:tc>
      </w:tr>
    </w:tbl>
    <w:p w:rsidRPr="00F57044" w:rsidR="00A26B15" w:rsidP="00A26B15" w:rsidRDefault="00A26B15" w14:paraId="2BEF3947" w14:textId="12056D00">
      <w:pPr>
        <w:pStyle w:val="Heading3"/>
      </w:pPr>
      <w:r w:rsidRPr="00F57044">
        <w:t xml:space="preserve">Key </w:t>
      </w:r>
      <w:r w:rsidRPr="00F57044" w:rsidR="00F243F4">
        <w:t>aspects</w:t>
      </w:r>
      <w:r w:rsidRPr="00F57044">
        <w:t xml:space="preserve"> of the surplus </w:t>
      </w:r>
      <w:r w:rsidRPr="00F57044" w:rsidR="00F243F4">
        <w:t>estimat</w:t>
      </w:r>
      <w:r w:rsidRPr="00F57044" w:rsidR="0020613C">
        <w:t>ion methodology for</w:t>
      </w:r>
      <w:r w:rsidRPr="00F57044" w:rsidR="009D10F7">
        <w:t> </w:t>
      </w:r>
      <w:r w:rsidRPr="00F57044" w:rsidR="0020613C">
        <w:t>feedback</w:t>
      </w:r>
    </w:p>
    <w:p w:rsidRPr="00F57044" w:rsidR="009D48D5" w:rsidP="00A26B15" w:rsidRDefault="00A26B15" w14:paraId="7A09D2B5" w14:textId="3B5703A6">
      <w:pPr>
        <w:pStyle w:val="BodyText"/>
      </w:pPr>
      <w:r w:rsidRPr="00F57044">
        <w:t xml:space="preserve">We detail these changes at </w:t>
      </w:r>
      <w:hyperlink w:history="1" w:anchor="_Step_5a:_Set">
        <w:r w:rsidRPr="00385511" w:rsidR="00471F83">
          <w:rPr>
            <w:rStyle w:val="Hyperlink"/>
          </w:rPr>
          <w:t>s</w:t>
        </w:r>
        <w:r w:rsidRPr="00385511">
          <w:rPr>
            <w:rStyle w:val="Hyperlink"/>
          </w:rPr>
          <w:t>tep 5</w:t>
        </w:r>
        <w:r w:rsidR="00606D84">
          <w:rPr>
            <w:rStyle w:val="Hyperlink"/>
          </w:rPr>
          <w:t>a</w:t>
        </w:r>
        <w:r w:rsidRPr="00385511" w:rsidR="00D80170">
          <w:rPr>
            <w:rStyle w:val="Hyperlink"/>
          </w:rPr>
          <w:t xml:space="preserve"> of the seven steps method</w:t>
        </w:r>
        <w:r w:rsidRPr="00385511" w:rsidR="003D0CA1">
          <w:rPr>
            <w:rStyle w:val="Hyperlink"/>
          </w:rPr>
          <w:t>ology</w:t>
        </w:r>
        <w:r w:rsidRPr="00385511">
          <w:rPr>
            <w:rStyle w:val="Hyperlink"/>
          </w:rPr>
          <w:t xml:space="preserve"> in </w:t>
        </w:r>
        <w:r w:rsidRPr="00385511" w:rsidR="00471F83">
          <w:rPr>
            <w:rStyle w:val="Hyperlink"/>
          </w:rPr>
          <w:t>a</w:t>
        </w:r>
        <w:r w:rsidRPr="00385511">
          <w:rPr>
            <w:rStyle w:val="Hyperlink"/>
          </w:rPr>
          <w:t>ppendix 1</w:t>
        </w:r>
      </w:hyperlink>
      <w:r w:rsidRPr="00385511">
        <w:t>.</w:t>
      </w:r>
      <w:r w:rsidRPr="00F57044">
        <w:t xml:space="preserve"> </w:t>
      </w:r>
    </w:p>
    <w:p w:rsidRPr="00F57044" w:rsidR="00A26B15" w:rsidP="00A26B15" w:rsidRDefault="00712BB7" w14:paraId="5FCCEC55" w14:textId="6623769A">
      <w:pPr>
        <w:pStyle w:val="BodyText"/>
      </w:pPr>
      <w:r w:rsidRPr="00F57044">
        <w:rPr>
          <w:b/>
          <w:bCs/>
        </w:rPr>
        <w:t>W</w:t>
      </w:r>
      <w:r w:rsidRPr="00F57044" w:rsidR="00A26B15">
        <w:rPr>
          <w:b/>
          <w:bCs/>
        </w:rPr>
        <w:t>e</w:t>
      </w:r>
      <w:r w:rsidRPr="00F57044" w:rsidR="00A26B15">
        <w:rPr>
          <w:b/>
        </w:rPr>
        <w:t xml:space="preserve"> would like your feedback on</w:t>
      </w:r>
      <w:r w:rsidRPr="00F57044">
        <w:rPr>
          <w:b/>
          <w:bCs/>
        </w:rPr>
        <w:t xml:space="preserve"> the following areas</w:t>
      </w:r>
      <w:r w:rsidRPr="00F57044" w:rsidDel="00712BB7" w:rsidR="00A26B15">
        <w:rPr>
          <w:b/>
        </w:rPr>
        <w:t>.</w:t>
      </w:r>
    </w:p>
    <w:p w:rsidRPr="00F57044" w:rsidR="00835272" w:rsidP="00835272" w:rsidRDefault="00835272" w14:paraId="017D750B" w14:textId="119F5924">
      <w:pPr>
        <w:pStyle w:val="Heading4"/>
      </w:pPr>
      <w:r w:rsidRPr="00F57044">
        <w:t>Units held for surrender for past emissions (holding volume)</w:t>
      </w:r>
    </w:p>
    <w:p w:rsidRPr="00F57044" w:rsidR="00835272" w:rsidP="00835272" w:rsidRDefault="00835272" w14:paraId="44FFDEA1" w14:textId="5A9C0413">
      <w:pPr>
        <w:pStyle w:val="BodyText"/>
        <w:rPr>
          <w:spacing w:val="-2"/>
        </w:rPr>
      </w:pPr>
      <w:r w:rsidRPr="00F57044">
        <w:t xml:space="preserve">This year, the Commission </w:t>
      </w:r>
      <w:r w:rsidRPr="00F57044" w:rsidR="00471F83">
        <w:t xml:space="preserve">has </w:t>
      </w:r>
      <w:r w:rsidRPr="00F57044">
        <w:t xml:space="preserve">incorporated a new category of non-surplus units, referred to as ‘holding volume’. The report distinguishes between units held for future emissions (hedging </w:t>
      </w:r>
      <w:r w:rsidRPr="00F57044">
        <w:rPr>
          <w:spacing w:val="-2"/>
        </w:rPr>
        <w:t>volume) and units held for surrender for emissions that have already occurred (holding volume).</w:t>
      </w:r>
    </w:p>
    <w:p w:rsidRPr="00F57044" w:rsidR="00835272" w:rsidP="00835272" w:rsidRDefault="00835272" w14:paraId="270CAE74" w14:textId="38643F23">
      <w:pPr>
        <w:pStyle w:val="BodyText"/>
      </w:pPr>
      <w:r w:rsidRPr="00F57044">
        <w:t>Emitters will accumulate units over the year for emissions that have occurred, increasing to a peak in May when units are due to be surrendered. Following the surrender period in May</w:t>
      </w:r>
      <w:r w:rsidRPr="00F57044" w:rsidR="00D80170">
        <w:t>,</w:t>
      </w:r>
      <w:r w:rsidRPr="00F57044">
        <w:t xml:space="preserve"> the holding volume falls to a minimum, before growing again. </w:t>
      </w:r>
    </w:p>
    <w:p w:rsidRPr="00F57044" w:rsidR="003A7A86" w:rsidP="00835272" w:rsidRDefault="00424665" w14:paraId="05BC47D5" w14:textId="6B958130">
      <w:pPr>
        <w:pStyle w:val="BodyText"/>
      </w:pPr>
      <w:r w:rsidRPr="00F57044">
        <w:t>Including</w:t>
      </w:r>
      <w:r w:rsidRPr="00F57044" w:rsidR="003A7A86">
        <w:t xml:space="preserve"> this new non-surplus category has the </w:t>
      </w:r>
      <w:r w:rsidRPr="00F57044" w:rsidR="00471F83">
        <w:t xml:space="preserve">effect </w:t>
      </w:r>
      <w:r w:rsidRPr="00F57044" w:rsidR="003A7A86">
        <w:t xml:space="preserve">of reducing the central surplus estimate by </w:t>
      </w:r>
      <w:r w:rsidRPr="00F57044" w:rsidR="00471F83">
        <w:t xml:space="preserve">about </w:t>
      </w:r>
      <w:r w:rsidRPr="00F57044" w:rsidR="003A7A86">
        <w:t>34 million units.</w:t>
      </w:r>
    </w:p>
    <w:p w:rsidRPr="00F57044" w:rsidR="00C7426D" w:rsidP="00C7426D" w:rsidRDefault="00EA39A7" w14:paraId="058ADA51" w14:textId="39011359">
      <w:pPr>
        <w:pStyle w:val="Heading5"/>
      </w:pPr>
      <w:r w:rsidRPr="00F57044">
        <w:t xml:space="preserve">Assumption </w:t>
      </w:r>
      <w:r w:rsidRPr="00F57044" w:rsidR="00686CF6">
        <w:t xml:space="preserve">that </w:t>
      </w:r>
      <w:r w:rsidRPr="00F57044" w:rsidR="006503A9">
        <w:t xml:space="preserve">holding and hedging volumes are </w:t>
      </w:r>
      <w:r w:rsidRPr="00F57044" w:rsidR="00E0773C">
        <w:t>separate</w:t>
      </w:r>
    </w:p>
    <w:p w:rsidRPr="00F57044" w:rsidR="00E0773C" w:rsidP="00835272" w:rsidRDefault="00E0773C" w14:paraId="29460EE9" w14:textId="4778D59D">
      <w:pPr>
        <w:pStyle w:val="BodyText"/>
      </w:pPr>
      <w:r w:rsidRPr="00F57044">
        <w:t xml:space="preserve">The EY report recommended </w:t>
      </w:r>
      <w:r w:rsidRPr="00F57044" w:rsidR="000E69F6">
        <w:t xml:space="preserve">accounting for </w:t>
      </w:r>
      <w:r w:rsidRPr="00F57044">
        <w:t>the holding volume separately from the hedging volume when estimating the unit surplus. This is the approach the Commission has taken.</w:t>
      </w:r>
    </w:p>
    <w:p w:rsidRPr="00F57044" w:rsidR="00835272" w:rsidP="00835272" w:rsidRDefault="00835272" w14:paraId="2C8D6B50" w14:textId="449DAA3F">
      <w:pPr>
        <w:pStyle w:val="BodyText"/>
      </w:pPr>
      <w:r w:rsidRPr="00F57044">
        <w:t>However, it may be that some emitters use this holding volume as a partial hedge for future price risk. If this</w:t>
      </w:r>
      <w:r w:rsidRPr="00F57044" w:rsidDel="00471F83">
        <w:t xml:space="preserve"> </w:t>
      </w:r>
      <w:r w:rsidRPr="00F57044">
        <w:t xml:space="preserve">behaviour was prevalent, </w:t>
      </w:r>
      <w:r w:rsidRPr="00F57044" w:rsidR="00471F83">
        <w:t xml:space="preserve">it </w:t>
      </w:r>
      <w:r w:rsidRPr="00F57044">
        <w:t xml:space="preserve">could mean we are </w:t>
      </w:r>
      <w:proofErr w:type="gramStart"/>
      <w:r w:rsidRPr="00F57044">
        <w:t>double</w:t>
      </w:r>
      <w:r w:rsidRPr="00F57044" w:rsidR="009F27BF">
        <w:t>-</w:t>
      </w:r>
      <w:r w:rsidRPr="00F57044">
        <w:t>counting</w:t>
      </w:r>
      <w:proofErr w:type="gramEnd"/>
      <w:r w:rsidRPr="00F57044">
        <w:t xml:space="preserve"> the number of units held by firms</w:t>
      </w:r>
      <w:r w:rsidRPr="00F57044" w:rsidR="0003773A">
        <w:t xml:space="preserve"> to manage future obligations</w:t>
      </w:r>
      <w:r w:rsidRPr="00F57044">
        <w:t xml:space="preserve">. This would result in </w:t>
      </w:r>
      <w:r w:rsidRPr="00F57044" w:rsidR="0003773A">
        <w:t xml:space="preserve">an </w:t>
      </w:r>
      <w:r w:rsidRPr="00F57044">
        <w:t>underestimat</w:t>
      </w:r>
      <w:r w:rsidRPr="00F57044" w:rsidR="0003773A">
        <w:t>e of</w:t>
      </w:r>
      <w:r w:rsidRPr="00F57044">
        <w:t xml:space="preserve"> the </w:t>
      </w:r>
      <w:r w:rsidRPr="00F57044" w:rsidR="0003773A">
        <w:t>surplus</w:t>
      </w:r>
      <w:r w:rsidRPr="00F57044">
        <w:t xml:space="preserve"> size.</w:t>
      </w:r>
    </w:p>
    <w:p w:rsidRPr="00F57044" w:rsidR="00471F83" w:rsidP="00835272" w:rsidRDefault="00E0773C" w14:paraId="5312C5CD" w14:textId="61E5847C">
      <w:pPr>
        <w:pStyle w:val="BodyText"/>
        <w:rPr>
          <w:b/>
          <w:bCs/>
        </w:rPr>
      </w:pPr>
      <w:r w:rsidRPr="00F57044">
        <w:rPr>
          <w:b/>
          <w:bCs/>
        </w:rPr>
        <w:t>We would like to hear from you on</w:t>
      </w:r>
      <w:r w:rsidRPr="00F57044" w:rsidR="00471F83">
        <w:rPr>
          <w:b/>
          <w:bCs/>
        </w:rPr>
        <w:t>:</w:t>
      </w:r>
      <w:r w:rsidRPr="00F57044">
        <w:rPr>
          <w:b/>
          <w:bCs/>
        </w:rPr>
        <w:t xml:space="preserve"> </w:t>
      </w:r>
    </w:p>
    <w:p w:rsidRPr="00F57044" w:rsidR="00471F83" w:rsidP="00E3099E" w:rsidRDefault="009F27BF" w14:paraId="7B303049" w14:textId="12428704">
      <w:pPr>
        <w:pStyle w:val="Bullet"/>
        <w:rPr>
          <w:b/>
          <w:bCs/>
        </w:rPr>
      </w:pPr>
      <w:r w:rsidRPr="00F57044">
        <w:rPr>
          <w:b/>
          <w:bCs/>
        </w:rPr>
        <w:t xml:space="preserve">whether </w:t>
      </w:r>
      <w:r w:rsidRPr="00F57044" w:rsidR="00E0773C">
        <w:rPr>
          <w:b/>
          <w:bCs/>
        </w:rPr>
        <w:t xml:space="preserve">this assumption reflects </w:t>
      </w:r>
      <w:r w:rsidRPr="00F57044" w:rsidR="00EE487E">
        <w:rPr>
          <w:b/>
          <w:bCs/>
        </w:rPr>
        <w:t>participant behaviour</w:t>
      </w:r>
    </w:p>
    <w:p w:rsidRPr="00F57044" w:rsidR="00471F83" w:rsidP="00E3099E" w:rsidRDefault="009F27BF" w14:paraId="301AE8CC" w14:textId="6CCDF6AA">
      <w:pPr>
        <w:pStyle w:val="Bullet"/>
        <w:rPr>
          <w:b/>
          <w:bCs/>
        </w:rPr>
      </w:pPr>
      <w:r w:rsidRPr="00F57044">
        <w:rPr>
          <w:b/>
          <w:bCs/>
        </w:rPr>
        <w:t xml:space="preserve">whether </w:t>
      </w:r>
      <w:r w:rsidRPr="00F57044" w:rsidR="00032FE8">
        <w:rPr>
          <w:b/>
          <w:bCs/>
        </w:rPr>
        <w:t>the estimated total scale is appropriate</w:t>
      </w:r>
      <w:r w:rsidRPr="00F57044" w:rsidR="00CF4CEF">
        <w:rPr>
          <w:b/>
          <w:bCs/>
        </w:rPr>
        <w:t>.</w:t>
      </w:r>
      <w:r w:rsidRPr="00F57044" w:rsidR="00EE487E">
        <w:rPr>
          <w:b/>
          <w:bCs/>
        </w:rPr>
        <w:t xml:space="preserve"> </w:t>
      </w:r>
    </w:p>
    <w:p w:rsidRPr="00F57044" w:rsidR="00B70E9D" w:rsidP="00471F83" w:rsidRDefault="00CF4CEF" w14:paraId="387D5EC0" w14:textId="5357F698">
      <w:pPr>
        <w:pStyle w:val="BodyText"/>
        <w:rPr>
          <w:b/>
        </w:rPr>
      </w:pPr>
      <w:r w:rsidRPr="00F57044">
        <w:rPr>
          <w:b/>
          <w:bCs/>
        </w:rPr>
        <w:t>I</w:t>
      </w:r>
      <w:r w:rsidRPr="00F57044" w:rsidR="00EE487E">
        <w:rPr>
          <w:b/>
          <w:bCs/>
        </w:rPr>
        <w:t xml:space="preserve">f </w:t>
      </w:r>
      <w:r w:rsidRPr="00F57044" w:rsidR="008F5FA9">
        <w:rPr>
          <w:b/>
          <w:bCs/>
        </w:rPr>
        <w:t xml:space="preserve">your response is no to either or both </w:t>
      </w:r>
      <w:r w:rsidRPr="00F57044" w:rsidR="003C7D5C">
        <w:rPr>
          <w:b/>
          <w:bCs/>
        </w:rPr>
        <w:t>points</w:t>
      </w:r>
      <w:r w:rsidRPr="00F57044" w:rsidR="008F5FA9">
        <w:rPr>
          <w:b/>
          <w:bCs/>
        </w:rPr>
        <w:t xml:space="preserve"> </w:t>
      </w:r>
      <w:r w:rsidRPr="00F57044" w:rsidR="003C7D5C">
        <w:rPr>
          <w:b/>
          <w:bCs/>
        </w:rPr>
        <w:t>above</w:t>
      </w:r>
      <w:r w:rsidRPr="00F57044" w:rsidR="00B70E9D">
        <w:rPr>
          <w:b/>
        </w:rPr>
        <w:t>, what adjustments to the approach may be needed?</w:t>
      </w:r>
    </w:p>
    <w:p w:rsidRPr="00F57044" w:rsidR="006F2A76" w:rsidP="00FB0466" w:rsidRDefault="00FB0466" w14:paraId="6AA0AAFD" w14:textId="2CF92416">
      <w:pPr>
        <w:pStyle w:val="Heading4"/>
      </w:pPr>
      <w:r w:rsidRPr="00F57044">
        <w:t>Units held for hedging by emitters</w:t>
      </w:r>
    </w:p>
    <w:p w:rsidRPr="00F57044" w:rsidR="009A7742" w:rsidP="00196FA7" w:rsidRDefault="009A7742" w14:paraId="337CD871" w14:textId="304E62C8">
      <w:pPr>
        <w:pStyle w:val="BodyText"/>
      </w:pPr>
      <w:r w:rsidRPr="00F57044">
        <w:t xml:space="preserve">It is common for </w:t>
      </w:r>
      <w:r w:rsidRPr="00F57044" w:rsidDel="000D64F6">
        <w:t xml:space="preserve">NZ ETS </w:t>
      </w:r>
      <w:r w:rsidRPr="00F57044">
        <w:t xml:space="preserve">participants to hold NZUs to </w:t>
      </w:r>
      <w:r w:rsidRPr="00F57044" w:rsidR="00340109">
        <w:t>cover</w:t>
      </w:r>
      <w:r w:rsidRPr="00F57044">
        <w:t xml:space="preserve"> a proportion of their emissions compliance obligations over a certain period in advance (hedging). </w:t>
      </w:r>
      <w:r w:rsidRPr="00F57044" w:rsidR="00DB0F08">
        <w:t>Hedging involves emitters pre-purchasing NZUs when they fix prices with customers or suppliers, to manage their exposure to NZU forward price risk.</w:t>
      </w:r>
    </w:p>
    <w:p w:rsidRPr="00F57044" w:rsidR="00196FA7" w:rsidP="00196FA7" w:rsidRDefault="00196FA7" w14:paraId="198189DD" w14:textId="65086AF8">
      <w:pPr>
        <w:pStyle w:val="BodyText"/>
      </w:pPr>
      <w:r w:rsidRPr="00F57044">
        <w:t xml:space="preserve">The estimate of units held </w:t>
      </w:r>
      <w:r w:rsidRPr="00F57044" w:rsidR="00471F83">
        <w:t>in this way</w:t>
      </w:r>
      <w:r w:rsidRPr="00F57044">
        <w:t xml:space="preserve"> has reduced from 28.3 million to 17.4 million units. This is mainly due to two adjustments to the methodology: </w:t>
      </w:r>
    </w:p>
    <w:p w:rsidRPr="00F57044" w:rsidR="00FB0466" w:rsidP="00067F8A" w:rsidRDefault="00471F83" w14:paraId="119F9CB4" w14:textId="63693D43">
      <w:pPr>
        <w:pStyle w:val="Bullet"/>
      </w:pPr>
      <w:r w:rsidRPr="00F57044">
        <w:rPr>
          <w:spacing w:val="-2"/>
        </w:rPr>
        <w:t>a</w:t>
      </w:r>
      <w:r w:rsidRPr="00F57044" w:rsidR="00CF4CEF">
        <w:rPr>
          <w:spacing w:val="-2"/>
        </w:rPr>
        <w:t>n a</w:t>
      </w:r>
      <w:r w:rsidRPr="00F57044" w:rsidR="00196FA7">
        <w:rPr>
          <w:spacing w:val="-2"/>
        </w:rPr>
        <w:t xml:space="preserve">djusted base year of </w:t>
      </w:r>
      <w:r w:rsidRPr="00F57044" w:rsidR="004D4461">
        <w:rPr>
          <w:spacing w:val="-2"/>
        </w:rPr>
        <w:t xml:space="preserve">the </w:t>
      </w:r>
      <w:r w:rsidRPr="00F57044" w:rsidR="00196FA7">
        <w:rPr>
          <w:spacing w:val="-2"/>
        </w:rPr>
        <w:t>estimate of units held for hedging</w:t>
      </w:r>
      <w:r w:rsidRPr="00F57044">
        <w:rPr>
          <w:spacing w:val="-2"/>
        </w:rPr>
        <w:t xml:space="preserve"> –</w:t>
      </w:r>
      <w:r w:rsidRPr="00F57044" w:rsidR="00196FA7">
        <w:rPr>
          <w:spacing w:val="-2"/>
        </w:rPr>
        <w:t xml:space="preserve"> </w:t>
      </w:r>
      <w:r w:rsidRPr="00F57044">
        <w:rPr>
          <w:spacing w:val="-2"/>
        </w:rPr>
        <w:t>using</w:t>
      </w:r>
      <w:r w:rsidRPr="00F57044" w:rsidR="00196FA7">
        <w:rPr>
          <w:spacing w:val="-2"/>
        </w:rPr>
        <w:t xml:space="preserve"> the volume forecas</w:t>
      </w:r>
      <w:r w:rsidRPr="00F57044" w:rsidR="00196FA7">
        <w:t>t for 2030</w:t>
      </w:r>
      <w:r w:rsidRPr="00F57044">
        <w:t>,</w:t>
      </w:r>
      <w:r w:rsidRPr="00F57044" w:rsidR="00196FA7">
        <w:t xml:space="preserve"> instead of the volume from the most recently completed calendar year (2024)</w:t>
      </w:r>
    </w:p>
    <w:p w:rsidRPr="00F57044" w:rsidR="00AF2DB3" w:rsidP="00AF2DB3" w:rsidRDefault="00471F83" w14:paraId="12AD8BEB" w14:textId="776B6C4A">
      <w:pPr>
        <w:pStyle w:val="Bullet"/>
      </w:pPr>
      <w:r w:rsidRPr="00F57044">
        <w:t>a</w:t>
      </w:r>
      <w:r w:rsidRPr="00F57044" w:rsidR="00AF2DB3">
        <w:t xml:space="preserve"> reduced estimate of hedging by the liquid fossil fuels sector, as </w:t>
      </w:r>
      <w:r w:rsidRPr="00F57044">
        <w:t xml:space="preserve">EY </w:t>
      </w:r>
      <w:r w:rsidRPr="00F57044" w:rsidR="00AF2DB3">
        <w:t xml:space="preserve">recommend in </w:t>
      </w:r>
      <w:r w:rsidRPr="00F57044" w:rsidR="003079E7">
        <w:t xml:space="preserve">its </w:t>
      </w:r>
      <w:r w:rsidRPr="00F57044" w:rsidR="00AF2DB3">
        <w:t>report.</w:t>
      </w:r>
    </w:p>
    <w:p w:rsidRPr="00F57044" w:rsidR="00AF2DB3" w:rsidP="007D2C9E" w:rsidRDefault="00AF2DB3" w14:paraId="43C3329D" w14:textId="2DE3926E">
      <w:pPr>
        <w:pStyle w:val="Heading5"/>
      </w:pPr>
      <w:r w:rsidRPr="00F57044">
        <w:t>Estimating hedging requirements for 2030, rather than the current year</w:t>
      </w:r>
    </w:p>
    <w:p w:rsidRPr="00F57044" w:rsidR="00470390" w:rsidP="00D00598" w:rsidRDefault="00470390" w14:paraId="43F9ECC0" w14:textId="243BC304">
      <w:pPr>
        <w:pStyle w:val="BodyText"/>
        <w:spacing w:before="100" w:after="100"/>
      </w:pPr>
      <w:r w:rsidRPr="00F57044">
        <w:t xml:space="preserve">The Commission has </w:t>
      </w:r>
      <w:r w:rsidRPr="00F57044" w:rsidR="00AA4A33">
        <w:t xml:space="preserve">changed the base year </w:t>
      </w:r>
      <w:r w:rsidRPr="00F57044" w:rsidR="00810BBE">
        <w:t>for its hedging estimate</w:t>
      </w:r>
      <w:r w:rsidRPr="00F57044" w:rsidR="000D64F6">
        <w:t>. This is</w:t>
      </w:r>
      <w:r w:rsidRPr="00F57044" w:rsidR="00AA4A33">
        <w:t xml:space="preserve"> to account for the</w:t>
      </w:r>
      <w:r w:rsidRPr="00F57044" w:rsidR="006045C9">
        <w:t> </w:t>
      </w:r>
      <w:r w:rsidRPr="00F57044" w:rsidR="00AA4A33">
        <w:t xml:space="preserve">fact that, as emissions reduce, the required units for hedging will also reduce. </w:t>
      </w:r>
      <w:r w:rsidRPr="00F57044" w:rsidR="000D64F6">
        <w:t xml:space="preserve">It </w:t>
      </w:r>
      <w:r w:rsidRPr="00F57044" w:rsidR="00AA4A33">
        <w:t xml:space="preserve">means </w:t>
      </w:r>
      <w:r w:rsidRPr="00F57044" w:rsidR="00E83DF6">
        <w:t xml:space="preserve">that some of the units currently held for hedging will become surplus by 2030, unless </w:t>
      </w:r>
      <w:r w:rsidRPr="00F57044" w:rsidR="00057905">
        <w:t>we factor</w:t>
      </w:r>
      <w:r w:rsidRPr="00F57044" w:rsidR="006045C9">
        <w:t> </w:t>
      </w:r>
      <w:r w:rsidRPr="00F57044" w:rsidR="00057905">
        <w:t xml:space="preserve">in </w:t>
      </w:r>
      <w:r w:rsidRPr="00F57044" w:rsidR="00E83DF6">
        <w:t>future</w:t>
      </w:r>
      <w:r w:rsidRPr="00F57044" w:rsidR="00344C00">
        <w:t xml:space="preserve"> changes to hedging volumes now. </w:t>
      </w:r>
      <w:r w:rsidRPr="00F57044" w:rsidR="00570AF9">
        <w:t xml:space="preserve">Factoring in those changes </w:t>
      </w:r>
      <w:r w:rsidRPr="00F57044" w:rsidR="00344C00">
        <w:t>aligns with the</w:t>
      </w:r>
      <w:r w:rsidR="00674EF5">
        <w:t> </w:t>
      </w:r>
      <w:r w:rsidRPr="00F57044" w:rsidR="00344C00">
        <w:t>Government</w:t>
      </w:r>
      <w:r w:rsidRPr="00F57044" w:rsidR="003079E7">
        <w:t>’</w:t>
      </w:r>
      <w:r w:rsidRPr="00F57044" w:rsidR="00344C00">
        <w:t xml:space="preserve">s target of reducing the surplus </w:t>
      </w:r>
      <w:r w:rsidRPr="00F57044" w:rsidR="00E529D1">
        <w:t>to zero by 2030.</w:t>
      </w:r>
    </w:p>
    <w:p w:rsidRPr="00F57044" w:rsidR="004C3136" w:rsidP="00D00598" w:rsidRDefault="004C3136" w14:paraId="534B6C20" w14:textId="070381DA">
      <w:pPr>
        <w:pStyle w:val="BodyText"/>
        <w:spacing w:before="100" w:after="100"/>
      </w:pPr>
      <w:r w:rsidRPr="00F57044">
        <w:t>T</w:t>
      </w:r>
      <w:r w:rsidRPr="00F57044" w:rsidR="00EA10A6">
        <w:t xml:space="preserve">aking the hedging estimate </w:t>
      </w:r>
      <w:proofErr w:type="gramStart"/>
      <w:r w:rsidRPr="00F57044" w:rsidR="00EA10A6">
        <w:t>at</w:t>
      </w:r>
      <w:proofErr w:type="gramEnd"/>
      <w:r w:rsidRPr="00F57044" w:rsidR="00EA10A6">
        <w:t xml:space="preserve"> 2030, rather than the </w:t>
      </w:r>
      <w:r w:rsidRPr="00F57044" w:rsidR="00BC3BB4">
        <w:t>most recent</w:t>
      </w:r>
      <w:r w:rsidRPr="00F57044" w:rsidR="00EA10A6">
        <w:t xml:space="preserve"> year (</w:t>
      </w:r>
      <w:proofErr w:type="spellStart"/>
      <w:r w:rsidRPr="00F57044" w:rsidR="00EA10A6">
        <w:t>ie</w:t>
      </w:r>
      <w:proofErr w:type="spellEnd"/>
      <w:r w:rsidRPr="00F57044" w:rsidR="00EA10A6">
        <w:t xml:space="preserve">, </w:t>
      </w:r>
      <w:r w:rsidRPr="00F57044" w:rsidR="00BC3BB4">
        <w:t>2024)</w:t>
      </w:r>
      <w:r w:rsidRPr="00F57044" w:rsidR="00570AF9">
        <w:t>,</w:t>
      </w:r>
      <w:r w:rsidRPr="00F57044" w:rsidR="00BC3BB4">
        <w:t xml:space="preserve"> has the </w:t>
      </w:r>
      <w:r w:rsidRPr="00F57044" w:rsidR="006A7499">
        <w:t xml:space="preserve">effect </w:t>
      </w:r>
      <w:r w:rsidRPr="00F57044" w:rsidR="00BC3BB4">
        <w:t xml:space="preserve">of increasing the surplus estimate by </w:t>
      </w:r>
      <w:r w:rsidRPr="00F57044" w:rsidR="006A7499">
        <w:t xml:space="preserve">about </w:t>
      </w:r>
      <w:r w:rsidRPr="00F57044" w:rsidR="00BC3BB4">
        <w:t xml:space="preserve">8 million units. </w:t>
      </w:r>
      <w:r w:rsidRPr="00F57044" w:rsidR="00D7413C">
        <w:t xml:space="preserve">This reflects the additional units </w:t>
      </w:r>
      <w:r w:rsidRPr="00F57044" w:rsidR="00570AF9">
        <w:t xml:space="preserve">that </w:t>
      </w:r>
      <w:r w:rsidRPr="00F57044" w:rsidR="00D7413C">
        <w:t>may become surplus over this period, as hedging requirements decrease.</w:t>
      </w:r>
    </w:p>
    <w:p w:rsidRPr="00F57044" w:rsidR="00140FB9" w:rsidP="001A1120" w:rsidRDefault="005A0E3A" w14:paraId="14D5B78F" w14:textId="51F64FBB">
      <w:pPr>
        <w:pStyle w:val="Bullet"/>
        <w:spacing w:after="0"/>
      </w:pPr>
      <w:r w:rsidRPr="00F57044">
        <w:t xml:space="preserve">To estimate the 2030 forward hedging volumes, an assumption </w:t>
      </w:r>
      <w:proofErr w:type="gramStart"/>
      <w:r w:rsidRPr="00F57044">
        <w:t>has to</w:t>
      </w:r>
      <w:proofErr w:type="gramEnd"/>
      <w:r w:rsidRPr="00F57044">
        <w:t xml:space="preserve"> be made about the NZ ETS emissions cap over </w:t>
      </w:r>
      <w:r w:rsidRPr="00F57044" w:rsidR="00140FB9">
        <w:t>EB3</w:t>
      </w:r>
      <w:r w:rsidRPr="00F57044" w:rsidR="008A0B62">
        <w:t xml:space="preserve">. </w:t>
      </w:r>
    </w:p>
    <w:p w:rsidRPr="00F57044" w:rsidR="00C54104" w:rsidP="00D00598" w:rsidRDefault="00034031" w14:paraId="0A947B2F" w14:textId="49B5132A">
      <w:pPr>
        <w:pStyle w:val="BodyText"/>
        <w:spacing w:before="100" w:after="100"/>
        <w:ind w:left="397"/>
        <w:rPr>
          <w:b/>
        </w:rPr>
      </w:pPr>
      <w:r w:rsidRPr="00F57044">
        <w:rPr>
          <w:b/>
          <w:bCs/>
        </w:rPr>
        <w:t xml:space="preserve">We discuss this issue and seek your views </w:t>
      </w:r>
      <w:r w:rsidRPr="00F57044" w:rsidR="007F6104">
        <w:rPr>
          <w:b/>
          <w:bCs/>
        </w:rPr>
        <w:t xml:space="preserve">on this </w:t>
      </w:r>
      <w:r w:rsidRPr="00F57044" w:rsidR="00807824">
        <w:rPr>
          <w:b/>
          <w:bCs/>
        </w:rPr>
        <w:t>under</w:t>
      </w:r>
      <w:r w:rsidRPr="00F57044" w:rsidR="00855710">
        <w:rPr>
          <w:b/>
          <w:bCs/>
        </w:rPr>
        <w:t xml:space="preserve"> </w:t>
      </w:r>
      <w:hyperlink w:history="1" w:anchor="_Provisional_NZ_ETS">
        <w:r w:rsidRPr="00F57044" w:rsidR="00855710">
          <w:rPr>
            <w:rStyle w:val="Hyperlink"/>
            <w:b/>
            <w:bCs/>
          </w:rPr>
          <w:t>Provisional NZ ETS cap for EB3</w:t>
        </w:r>
      </w:hyperlink>
      <w:r w:rsidRPr="00F57044">
        <w:rPr>
          <w:b/>
          <w:bCs/>
        </w:rPr>
        <w:t>.</w:t>
      </w:r>
    </w:p>
    <w:p w:rsidRPr="00F57044" w:rsidR="00DF4C70" w:rsidP="00D00598" w:rsidRDefault="00DF4C70" w14:paraId="4D953F72" w14:textId="558E81B3">
      <w:pPr>
        <w:pStyle w:val="Bullet"/>
        <w:spacing w:before="100" w:after="100"/>
        <w:rPr>
          <w:b/>
          <w:bCs/>
        </w:rPr>
      </w:pPr>
      <w:r w:rsidRPr="00F57044">
        <w:rPr>
          <w:b/>
          <w:bCs/>
        </w:rPr>
        <w:t xml:space="preserve">We would like to hear from you about the proposal to take the hedging estimate </w:t>
      </w:r>
      <w:proofErr w:type="gramStart"/>
      <w:r w:rsidRPr="00F57044" w:rsidR="001E5A87">
        <w:rPr>
          <w:b/>
          <w:bCs/>
        </w:rPr>
        <w:t>at</w:t>
      </w:r>
      <w:proofErr w:type="gramEnd"/>
      <w:r w:rsidRPr="00F57044" w:rsidR="001E5A87">
        <w:rPr>
          <w:b/>
          <w:bCs/>
        </w:rPr>
        <w:t xml:space="preserve"> 2030, rather than the current calendar year.</w:t>
      </w:r>
    </w:p>
    <w:p w:rsidRPr="00F57044" w:rsidR="009E24D9" w:rsidP="009E24D9" w:rsidRDefault="009E24D9" w14:paraId="278D80D9" w14:textId="7C6B24E3">
      <w:pPr>
        <w:pStyle w:val="Heading5"/>
      </w:pPr>
      <w:r w:rsidRPr="00F57044">
        <w:t>Reduction in assumptions about liquid fossil fuel hedging requirements</w:t>
      </w:r>
    </w:p>
    <w:p w:rsidRPr="00F57044" w:rsidR="00242F9C" w:rsidP="00D00598" w:rsidRDefault="00335006" w14:paraId="6B9DC554" w14:textId="6134D5C9">
      <w:pPr>
        <w:pStyle w:val="BodyText"/>
        <w:spacing w:before="100" w:after="100"/>
      </w:pPr>
      <w:r w:rsidRPr="00D00598">
        <w:rPr>
          <w:spacing w:val="-2"/>
        </w:rPr>
        <w:t xml:space="preserve">The EY report advised on lower </w:t>
      </w:r>
      <w:r w:rsidRPr="00D00598" w:rsidR="00345A7F">
        <w:rPr>
          <w:spacing w:val="-2"/>
        </w:rPr>
        <w:t>hedging</w:t>
      </w:r>
      <w:r w:rsidRPr="00D00598">
        <w:rPr>
          <w:spacing w:val="-2"/>
        </w:rPr>
        <w:t xml:space="preserve"> volumes for the liquid fossil fuel sector</w:t>
      </w:r>
      <w:r w:rsidRPr="00D00598" w:rsidR="00A24ECA">
        <w:rPr>
          <w:spacing w:val="-2"/>
        </w:rPr>
        <w:t>. The Commission</w:t>
      </w:r>
      <w:r w:rsidRPr="00F57044" w:rsidR="00A24ECA">
        <w:t xml:space="preserve"> tested this information through </w:t>
      </w:r>
      <w:r w:rsidRPr="00F57044" w:rsidR="00140FB9">
        <w:t xml:space="preserve">its </w:t>
      </w:r>
      <w:r w:rsidRPr="00F57044" w:rsidR="00A24ECA">
        <w:t xml:space="preserve">targeted </w:t>
      </w:r>
      <w:r w:rsidRPr="00F57044" w:rsidR="000D64F6">
        <w:t>engagement</w:t>
      </w:r>
      <w:r w:rsidRPr="00F57044" w:rsidR="00140FB9">
        <w:t xml:space="preserve"> </w:t>
      </w:r>
      <w:r w:rsidRPr="00F57044" w:rsidR="00A24ECA">
        <w:t xml:space="preserve">with </w:t>
      </w:r>
      <w:proofErr w:type="gramStart"/>
      <w:r w:rsidRPr="00F57044" w:rsidR="00BB4ED5">
        <w:t>participants</w:t>
      </w:r>
      <w:r w:rsidRPr="00F57044" w:rsidR="00A24ECA">
        <w:t>, and</w:t>
      </w:r>
      <w:proofErr w:type="gramEnd"/>
      <w:r w:rsidRPr="00F57044" w:rsidR="00D428D3">
        <w:t> </w:t>
      </w:r>
      <w:r w:rsidRPr="00F57044" w:rsidR="00140FB9">
        <w:t xml:space="preserve">has </w:t>
      </w:r>
      <w:r w:rsidRPr="00F57044" w:rsidR="00A24ECA">
        <w:t xml:space="preserve">revised </w:t>
      </w:r>
      <w:r w:rsidRPr="00F57044" w:rsidR="00140FB9">
        <w:t xml:space="preserve">its </w:t>
      </w:r>
      <w:r w:rsidRPr="00F57044" w:rsidR="00A24ECA">
        <w:t>assumption about liquid fossil fuel accordingly.</w:t>
      </w:r>
      <w:r w:rsidRPr="00F57044" w:rsidR="00ED3540">
        <w:t xml:space="preserve"> Other hedging assumptions are unchanged.</w:t>
      </w:r>
    </w:p>
    <w:p w:rsidRPr="00F57044" w:rsidR="009E24D9" w:rsidP="00D00598" w:rsidRDefault="00BB4ED5" w14:paraId="44F935B0" w14:textId="1E04C8AB">
      <w:pPr>
        <w:pStyle w:val="BodyText"/>
        <w:spacing w:before="100" w:after="100"/>
      </w:pPr>
      <w:r w:rsidRPr="00F57044">
        <w:t xml:space="preserve">This </w:t>
      </w:r>
      <w:r w:rsidRPr="00F57044" w:rsidR="00345A7F">
        <w:t xml:space="preserve">assumption has the </w:t>
      </w:r>
      <w:r w:rsidRPr="00F57044" w:rsidR="00140FB9">
        <w:t xml:space="preserve">effect </w:t>
      </w:r>
      <w:r w:rsidRPr="00F57044" w:rsidR="00345A7F">
        <w:t xml:space="preserve">of </w:t>
      </w:r>
      <w:r w:rsidRPr="00F57044" w:rsidR="00242F9C">
        <w:t xml:space="preserve">increasing the surplus estimate by </w:t>
      </w:r>
      <w:r w:rsidRPr="00F57044" w:rsidR="00140FB9">
        <w:t xml:space="preserve">about </w:t>
      </w:r>
      <w:r w:rsidRPr="00F57044" w:rsidR="00242F9C">
        <w:t>4 million units. This</w:t>
      </w:r>
      <w:r w:rsidRPr="00F57044" w:rsidR="00D428D3">
        <w:t> </w:t>
      </w:r>
      <w:r w:rsidRPr="00F57044" w:rsidR="00887E05">
        <w:t xml:space="preserve">reflects that liquid fossil fuel participants </w:t>
      </w:r>
      <w:r w:rsidRPr="00F57044" w:rsidR="00140FB9">
        <w:t xml:space="preserve">are holding fewer units </w:t>
      </w:r>
      <w:r w:rsidRPr="00F57044" w:rsidR="003621BB">
        <w:t>for hedging than previously assumed.</w:t>
      </w:r>
    </w:p>
    <w:p w:rsidRPr="00F57044" w:rsidR="00835272" w:rsidP="00835272" w:rsidRDefault="00835272" w14:paraId="47E17FDB" w14:textId="0DD43070">
      <w:pPr>
        <w:pStyle w:val="Heading4"/>
      </w:pPr>
      <w:r w:rsidRPr="00F57044">
        <w:t xml:space="preserve">Surplus units from </w:t>
      </w:r>
      <w:r w:rsidRPr="00F57044" w:rsidR="00140FB9">
        <w:t>MERP4</w:t>
      </w:r>
    </w:p>
    <w:p w:rsidRPr="00F57044" w:rsidR="00AD2682" w:rsidP="00D00598" w:rsidRDefault="00AD2682" w14:paraId="43373D90" w14:textId="78D23F55">
      <w:pPr>
        <w:pStyle w:val="BodyText"/>
        <w:spacing w:before="100" w:after="100"/>
      </w:pPr>
      <w:r w:rsidRPr="00F57044">
        <w:t>This year the Commission identified a need to anticipate the impact of forestry units expected to be allocated after MERP4 ends. This will help avoid an unexpected surplus increase</w:t>
      </w:r>
      <w:r w:rsidRPr="00F57044" w:rsidR="00F14C25">
        <w:t xml:space="preserve"> in 2027</w:t>
      </w:r>
      <w:r w:rsidRPr="00F57044">
        <w:t xml:space="preserve"> after final unit allocations are completed for MERP4 </w:t>
      </w:r>
      <w:r w:rsidRPr="00F57044" w:rsidR="009D48D5">
        <w:t>(</w:t>
      </w:r>
      <w:r w:rsidRPr="00F57044">
        <w:t>2023–25</w:t>
      </w:r>
      <w:r w:rsidRPr="00F57044" w:rsidR="009D48D5">
        <w:t>)</w:t>
      </w:r>
      <w:r w:rsidRPr="00F57044">
        <w:t>.</w:t>
      </w:r>
    </w:p>
    <w:p w:rsidRPr="00F57044" w:rsidR="00AD2682" w:rsidP="00D00598" w:rsidRDefault="00AD2682" w14:paraId="47164568" w14:textId="56961C6D">
      <w:pPr>
        <w:pStyle w:val="BodyText"/>
        <w:spacing w:before="100" w:after="100"/>
      </w:pPr>
      <w:r w:rsidRPr="00F57044">
        <w:t>A proportion of the post-1989 forestry units earned over MERP4</w:t>
      </w:r>
      <w:r w:rsidRPr="00F57044" w:rsidDel="00AD5FF7">
        <w:t xml:space="preserve"> </w:t>
      </w:r>
      <w:r w:rsidRPr="00F57044">
        <w:t xml:space="preserve">will only be allocated into the market after participants submit their end-of-MERP final returns in June 2026. This means that the removals will have occurred </w:t>
      </w:r>
      <w:r w:rsidRPr="00F57044" w:rsidR="00160AEF">
        <w:t xml:space="preserve">during </w:t>
      </w:r>
      <w:r w:rsidRPr="00F57044" w:rsidR="004C5077">
        <w:t>the</w:t>
      </w:r>
      <w:r w:rsidRPr="00F57044" w:rsidDel="000E09F9">
        <w:t xml:space="preserve"> </w:t>
      </w:r>
      <w:r w:rsidRPr="00F57044" w:rsidDel="000E09F9" w:rsidR="00AD5FF7">
        <w:t>EB1</w:t>
      </w:r>
      <w:r w:rsidRPr="00F57044" w:rsidR="004C5077">
        <w:t xml:space="preserve"> period</w:t>
      </w:r>
      <w:r w:rsidRPr="00F57044">
        <w:t xml:space="preserve">, but the NZUs issued for them could allow emissions </w:t>
      </w:r>
      <w:r w:rsidRPr="00F57044" w:rsidR="00160AEF">
        <w:t xml:space="preserve">during the </w:t>
      </w:r>
      <w:r w:rsidRPr="00F57044" w:rsidR="00AD5FF7">
        <w:t>EB2</w:t>
      </w:r>
      <w:r w:rsidRPr="00F57044" w:rsidR="008D7C13">
        <w:t xml:space="preserve"> period</w:t>
      </w:r>
      <w:r w:rsidRPr="00F57044">
        <w:t>.</w:t>
      </w:r>
    </w:p>
    <w:p w:rsidRPr="00F57044" w:rsidR="00AD2682" w:rsidP="00D00598" w:rsidRDefault="0017317B" w14:paraId="5778DA26" w14:textId="582A0990">
      <w:pPr>
        <w:pStyle w:val="BodyText"/>
        <w:spacing w:before="100" w:after="100"/>
      </w:pPr>
      <w:r w:rsidRPr="00F57044">
        <w:t>The Commission</w:t>
      </w:r>
      <w:r w:rsidRPr="00F57044" w:rsidR="00AD2682">
        <w:t xml:space="preserve"> ha</w:t>
      </w:r>
      <w:r w:rsidRPr="00F57044" w:rsidR="00AD5FF7">
        <w:t>s</w:t>
      </w:r>
      <w:r w:rsidRPr="00F57044" w:rsidR="00AD2682">
        <w:t xml:space="preserve"> estimated that, of the forecast post-1989 forestry units </w:t>
      </w:r>
      <w:r w:rsidRPr="00F57044" w:rsidR="00AD5FF7">
        <w:t>still</w:t>
      </w:r>
      <w:r w:rsidRPr="00F57044" w:rsidR="00AD2682">
        <w:t xml:space="preserve"> to be issued up to the end of MERP4, 10 million are likely to add to the surplus. </w:t>
      </w:r>
      <w:r w:rsidRPr="00F57044" w:rsidR="008E64E8">
        <w:t>This has been estimated</w:t>
      </w:r>
      <w:r w:rsidRPr="00F57044" w:rsidR="00AD2682">
        <w:t xml:space="preserve"> by considering the modelled low-risk carbon units </w:t>
      </w:r>
      <w:r w:rsidRPr="00F57044" w:rsidR="00AD5FF7">
        <w:t>still</w:t>
      </w:r>
      <w:r w:rsidRPr="00F57044" w:rsidR="00AD2682">
        <w:t xml:space="preserve"> to be </w:t>
      </w:r>
      <w:proofErr w:type="gramStart"/>
      <w:r w:rsidRPr="00F57044" w:rsidR="00AD2682">
        <w:t>allocated</w:t>
      </w:r>
      <w:r w:rsidRPr="00F57044" w:rsidR="00AD5FF7">
        <w:t>,</w:t>
      </w:r>
      <w:r w:rsidRPr="00F57044" w:rsidR="00AD2682">
        <w:t xml:space="preserve"> and</w:t>
      </w:r>
      <w:proofErr w:type="gramEnd"/>
      <w:r w:rsidRPr="00F57044" w:rsidR="00AD2682">
        <w:t xml:space="preserve"> comparing this volume </w:t>
      </w:r>
      <w:r w:rsidRPr="00F57044" w:rsidR="000E09F9">
        <w:t xml:space="preserve">with </w:t>
      </w:r>
      <w:r w:rsidRPr="00F57044" w:rsidR="00AD2682">
        <w:t>the projected demand in the NZ ETS</w:t>
      </w:r>
      <w:r w:rsidRPr="00F57044" w:rsidR="00AD5FF7">
        <w:t>,</w:t>
      </w:r>
      <w:r w:rsidRPr="00F57044" w:rsidR="00AD2682">
        <w:t xml:space="preserve"> above the net emissions cap over 2023–25 (MERP4).</w:t>
      </w:r>
    </w:p>
    <w:p w:rsidRPr="00F57044" w:rsidR="001E5A87" w:rsidP="00D00598" w:rsidRDefault="001E5A87" w14:paraId="7112DF89" w14:textId="2FF0BCEC">
      <w:pPr>
        <w:pStyle w:val="BodyText"/>
        <w:spacing w:before="100" w:after="100"/>
        <w:rPr>
          <w:b/>
        </w:rPr>
      </w:pPr>
      <w:r w:rsidRPr="00F57044">
        <w:rPr>
          <w:b/>
        </w:rPr>
        <w:t xml:space="preserve">We would like to hear </w:t>
      </w:r>
      <w:r w:rsidRPr="00F57044" w:rsidR="000E7CB4">
        <w:rPr>
          <w:b/>
          <w:bCs/>
        </w:rPr>
        <w:t xml:space="preserve">your </w:t>
      </w:r>
      <w:r w:rsidRPr="00F57044">
        <w:rPr>
          <w:b/>
        </w:rPr>
        <w:t xml:space="preserve">views on </w:t>
      </w:r>
      <w:r w:rsidRPr="00F57044" w:rsidR="00AD5FF7">
        <w:rPr>
          <w:b/>
          <w:bCs/>
        </w:rPr>
        <w:t>including</w:t>
      </w:r>
      <w:r w:rsidRPr="00F57044">
        <w:rPr>
          <w:b/>
        </w:rPr>
        <w:t xml:space="preserve"> these new surplus units, and the approach to estimat</w:t>
      </w:r>
      <w:r w:rsidRPr="00F57044" w:rsidR="00C96BC5">
        <w:rPr>
          <w:b/>
        </w:rPr>
        <w:t>ing</w:t>
      </w:r>
      <w:r w:rsidRPr="00F57044">
        <w:rPr>
          <w:b/>
        </w:rPr>
        <w:t xml:space="preserve"> them.</w:t>
      </w:r>
    </w:p>
    <w:p w:rsidRPr="00F57044" w:rsidR="00627814" w:rsidP="00D00598" w:rsidRDefault="00627814" w14:paraId="69D790D9" w14:textId="4A2362BB">
      <w:pPr>
        <w:pStyle w:val="Heading4"/>
        <w:spacing w:line="320" w:lineRule="atLeast"/>
      </w:pPr>
      <w:r w:rsidRPr="00F57044">
        <w:t xml:space="preserve">Updated assumptions about </w:t>
      </w:r>
      <w:r w:rsidRPr="00F57044" w:rsidR="00811D09">
        <w:t>units held for</w:t>
      </w:r>
      <w:r w:rsidRPr="00F57044" w:rsidR="00D428D3">
        <w:br/>
      </w:r>
      <w:r w:rsidRPr="00F57044" w:rsidR="00811D09">
        <w:t>post-1989 harvest obligations</w:t>
      </w:r>
    </w:p>
    <w:p w:rsidRPr="00F57044" w:rsidR="00B67C45" w:rsidP="00D00598" w:rsidRDefault="00B67C45" w14:paraId="4B853C58" w14:textId="65A470E7">
      <w:pPr>
        <w:pStyle w:val="BodyText"/>
        <w:spacing w:before="100" w:after="100"/>
      </w:pPr>
      <w:r w:rsidRPr="00F57044">
        <w:t>Owners of forests planted after 1989 receive NZUs for the carbon stored in their forests. However,</w:t>
      </w:r>
      <w:r w:rsidRPr="00F57044" w:rsidDel="0005181A">
        <w:t xml:space="preserve"> </w:t>
      </w:r>
      <w:r w:rsidRPr="00F57044" w:rsidR="0005181A">
        <w:t xml:space="preserve">if </w:t>
      </w:r>
      <w:r w:rsidRPr="00F57044">
        <w:t>the forest is harvested</w:t>
      </w:r>
      <w:r w:rsidRPr="00F57044" w:rsidR="00A23311">
        <w:t xml:space="preserve"> and not replanted</w:t>
      </w:r>
      <w:r w:rsidRPr="00F57044">
        <w:t>, they must surrender a large proportion of these units back to the Government. This means that forestry participants need to hold many units in advance of harvesting their forests.</w:t>
      </w:r>
    </w:p>
    <w:p w:rsidRPr="00F57044" w:rsidR="00B67C45" w:rsidP="00AD2682" w:rsidRDefault="00283ABE" w14:paraId="0248FD85" w14:textId="54A52702">
      <w:pPr>
        <w:pStyle w:val="BodyText"/>
      </w:pPr>
      <w:r w:rsidRPr="00F57044">
        <w:t>Estimat</w:t>
      </w:r>
      <w:r w:rsidRPr="00F57044" w:rsidR="0043690B">
        <w:t>es of</w:t>
      </w:r>
      <w:r w:rsidRPr="00F57044">
        <w:t xml:space="preserve"> </w:t>
      </w:r>
      <w:r w:rsidRPr="00F57044" w:rsidR="0043690B">
        <w:t xml:space="preserve">the number of units held for future liabilities are based on a model of forestry allocations </w:t>
      </w:r>
      <w:r w:rsidRPr="00F57044" w:rsidR="00467F5D">
        <w:t>and surrenders</w:t>
      </w:r>
      <w:r w:rsidRPr="00F57044" w:rsidR="0043690B">
        <w:t xml:space="preserve"> developed by the Commission</w:t>
      </w:r>
      <w:r w:rsidRPr="00F57044" w:rsidR="0005181A">
        <w:t>.</w:t>
      </w:r>
      <w:r w:rsidRPr="00F57044" w:rsidR="009B52FE">
        <w:rPr>
          <w:rStyle w:val="FootnoteReference"/>
        </w:rPr>
        <w:footnoteReference w:id="22"/>
      </w:r>
      <w:r w:rsidRPr="00F57044" w:rsidR="0043690B">
        <w:t xml:space="preserve"> This model is underpinned by several inputs and assumptions, such as </w:t>
      </w:r>
      <w:r w:rsidRPr="00F57044" w:rsidR="00C34CA1">
        <w:t>the rate of sequestration</w:t>
      </w:r>
      <w:r w:rsidRPr="00F57044" w:rsidR="00140790">
        <w:t xml:space="preserve"> and the proportion of permanent forests </w:t>
      </w:r>
      <w:r w:rsidRPr="00F57044" w:rsidR="000C2175">
        <w:t xml:space="preserve">that </w:t>
      </w:r>
      <w:r w:rsidRPr="00F57044" w:rsidR="00140790">
        <w:t>are harvested annually.</w:t>
      </w:r>
    </w:p>
    <w:p w:rsidRPr="00F57044" w:rsidR="00140790" w:rsidP="00AD2682" w:rsidRDefault="00140790" w14:paraId="5684BE38" w14:textId="20757A46">
      <w:pPr>
        <w:pStyle w:val="BodyText"/>
      </w:pPr>
      <w:r w:rsidRPr="00F57044">
        <w:t>This year, the Commission has updated two sets of assumptions</w:t>
      </w:r>
      <w:r w:rsidRPr="00F57044" w:rsidR="0005181A">
        <w:t>, relating to</w:t>
      </w:r>
      <w:r w:rsidRPr="00F57044">
        <w:t>:</w:t>
      </w:r>
    </w:p>
    <w:p w:rsidRPr="00F57044" w:rsidR="00140790" w:rsidP="008D1F0E" w:rsidRDefault="00140790" w14:paraId="55D0F316" w14:textId="0155A68B">
      <w:pPr>
        <w:pStyle w:val="Bullet"/>
      </w:pPr>
      <w:r w:rsidRPr="00F57044">
        <w:t xml:space="preserve">the distribution of ages at which </w:t>
      </w:r>
      <w:r w:rsidRPr="00F57044" w:rsidR="006E140F">
        <w:t xml:space="preserve">post-1989 </w:t>
      </w:r>
      <w:r w:rsidRPr="00F57044">
        <w:t>forests are harvested</w:t>
      </w:r>
    </w:p>
    <w:p w:rsidRPr="00F57044" w:rsidR="00140790" w:rsidP="008D1F0E" w:rsidRDefault="0005181A" w14:paraId="45B227BF" w14:textId="45B13BD6">
      <w:pPr>
        <w:pStyle w:val="Bullet"/>
      </w:pPr>
      <w:r w:rsidRPr="00F57044">
        <w:t>t</w:t>
      </w:r>
      <w:r w:rsidRPr="00F57044" w:rsidR="002629E5">
        <w:t xml:space="preserve">he </w:t>
      </w:r>
      <w:r w:rsidRPr="00F57044" w:rsidR="00D8744D">
        <w:t>low</w:t>
      </w:r>
      <w:r w:rsidRPr="00F57044">
        <w:t>-</w:t>
      </w:r>
      <w:r w:rsidRPr="00F57044" w:rsidR="00D8744D">
        <w:t>risk carbon level</w:t>
      </w:r>
      <w:r w:rsidRPr="00F57044">
        <w:t>.</w:t>
      </w:r>
      <w:r w:rsidRPr="00F57044" w:rsidR="00D8744D">
        <w:rPr>
          <w:rStyle w:val="FootnoteReference"/>
        </w:rPr>
        <w:footnoteReference w:id="23"/>
      </w:r>
    </w:p>
    <w:p w:rsidRPr="00F57044" w:rsidR="000F4DF0" w:rsidP="000F4DF0" w:rsidRDefault="000F4DF0" w14:paraId="265F455B" w14:textId="5B21D8B3">
      <w:pPr>
        <w:pStyle w:val="BodyText"/>
      </w:pPr>
      <w:r w:rsidRPr="00F57044">
        <w:t xml:space="preserve">Together, these updated assumptions </w:t>
      </w:r>
      <w:r w:rsidRPr="00F57044" w:rsidR="008A17CE">
        <w:t xml:space="preserve">have the </w:t>
      </w:r>
      <w:r w:rsidRPr="00F57044" w:rsidR="0005181A">
        <w:t xml:space="preserve">effect </w:t>
      </w:r>
      <w:r w:rsidRPr="00F57044" w:rsidR="008A17CE">
        <w:t xml:space="preserve">of increasing the surplus estimate by </w:t>
      </w:r>
      <w:r w:rsidRPr="00F57044" w:rsidR="0005181A">
        <w:t xml:space="preserve">about 7 </w:t>
      </w:r>
      <w:r w:rsidRPr="00F57044" w:rsidR="008A17CE">
        <w:t>million units.</w:t>
      </w:r>
    </w:p>
    <w:p w:rsidRPr="00F57044" w:rsidR="00293516" w:rsidP="007D2C9E" w:rsidRDefault="00293516" w14:paraId="09892279" w14:textId="64CF0220">
      <w:pPr>
        <w:pStyle w:val="Heading5"/>
      </w:pPr>
      <w:r w:rsidRPr="00F57044">
        <w:t xml:space="preserve">Updated </w:t>
      </w:r>
      <w:r w:rsidRPr="00F57044" w:rsidR="00261690">
        <w:t xml:space="preserve">distribution of </w:t>
      </w:r>
      <w:r w:rsidRPr="00F57044" w:rsidR="00DE4E94">
        <w:t xml:space="preserve">harvest </w:t>
      </w:r>
      <w:r w:rsidRPr="00F57044" w:rsidR="00261690">
        <w:t xml:space="preserve">age </w:t>
      </w:r>
      <w:r w:rsidRPr="00F57044" w:rsidR="00DE4E94">
        <w:t>for</w:t>
      </w:r>
      <w:r w:rsidRPr="00F57044" w:rsidR="00261690">
        <w:t xml:space="preserve"> </w:t>
      </w:r>
      <w:r w:rsidRPr="00F57044" w:rsidR="00A82409">
        <w:t>post-1989</w:t>
      </w:r>
      <w:r w:rsidRPr="00F57044" w:rsidR="00261690">
        <w:t xml:space="preserve"> forests </w:t>
      </w:r>
    </w:p>
    <w:p w:rsidRPr="00F57044" w:rsidR="006B7701" w:rsidP="00261690" w:rsidRDefault="00F90376" w14:paraId="3B98B200" w14:textId="3F6EF23B">
      <w:pPr>
        <w:pStyle w:val="BodyText"/>
      </w:pPr>
      <w:r w:rsidRPr="00F57044">
        <w:t>A key assumption affect</w:t>
      </w:r>
      <w:r w:rsidRPr="00F57044" w:rsidR="006A520C">
        <w:t>ing</w:t>
      </w:r>
      <w:r w:rsidRPr="00F57044">
        <w:t xml:space="preserve"> the estimated volume of units held </w:t>
      </w:r>
      <w:r w:rsidRPr="00F57044" w:rsidR="00E4552B">
        <w:t>for future harvest liability</w:t>
      </w:r>
      <w:r w:rsidRPr="00F57044">
        <w:t xml:space="preserve"> is the </w:t>
      </w:r>
      <w:r w:rsidRPr="00F57044" w:rsidR="00FD182C">
        <w:t xml:space="preserve">rotation </w:t>
      </w:r>
      <w:r w:rsidRPr="00F57044">
        <w:t>age</w:t>
      </w:r>
      <w:r w:rsidRPr="00F57044" w:rsidR="00FD182C">
        <w:t xml:space="preserve"> of post-1989 forests (</w:t>
      </w:r>
      <w:proofErr w:type="spellStart"/>
      <w:r w:rsidRPr="00F57044" w:rsidR="00FD182C">
        <w:t>ie</w:t>
      </w:r>
      <w:proofErr w:type="spellEnd"/>
      <w:r w:rsidRPr="00F57044" w:rsidR="0005181A">
        <w:t>,</w:t>
      </w:r>
      <w:r w:rsidRPr="00F57044" w:rsidR="00FD182C">
        <w:t xml:space="preserve"> the </w:t>
      </w:r>
      <w:r w:rsidRPr="00F57044">
        <w:t>age at which forests are harvested</w:t>
      </w:r>
      <w:r w:rsidRPr="00F57044" w:rsidR="00FD182C">
        <w:t>)</w:t>
      </w:r>
      <w:r w:rsidRPr="00F57044">
        <w:t xml:space="preserve">. </w:t>
      </w:r>
      <w:r w:rsidRPr="00F57044" w:rsidR="006B6DCD">
        <w:t>This year, the Commission has used a weighted average of harvest age by area</w:t>
      </w:r>
      <w:r w:rsidRPr="00F57044" w:rsidR="000C477C">
        <w:t xml:space="preserve"> in its modelling of units held for harvest. This better reflects the spread of </w:t>
      </w:r>
      <w:r w:rsidRPr="00F57044" w:rsidR="00DE4E94">
        <w:t xml:space="preserve">harvest </w:t>
      </w:r>
      <w:r w:rsidRPr="00F57044" w:rsidR="000C477C">
        <w:t>age.</w:t>
      </w:r>
      <w:r w:rsidRPr="00F57044" w:rsidR="00AB15D3">
        <w:t xml:space="preserve"> </w:t>
      </w:r>
    </w:p>
    <w:p w:rsidRPr="00F57044" w:rsidR="00FD683A" w:rsidP="00261690" w:rsidRDefault="00B00A77" w14:paraId="67C6D45F" w14:textId="15538A47">
      <w:pPr>
        <w:pStyle w:val="BodyText"/>
      </w:pPr>
      <w:r w:rsidRPr="00F57044">
        <w:t xml:space="preserve">This </w:t>
      </w:r>
      <w:r w:rsidRPr="00F57044" w:rsidR="007267B0">
        <w:t>change</w:t>
      </w:r>
      <w:r w:rsidRPr="00F57044" w:rsidR="00A30BC2">
        <w:t xml:space="preserve"> shifts the distribution of harvest age lower than previously assumed. </w:t>
      </w:r>
      <w:r w:rsidRPr="00F57044" w:rsidR="00DE4E94">
        <w:t xml:space="preserve">It </w:t>
      </w:r>
      <w:r w:rsidRPr="00F57044" w:rsidR="00A30BC2">
        <w:t>has the</w:t>
      </w:r>
      <w:r w:rsidRPr="00F57044" w:rsidDel="00DE4E94" w:rsidR="00A30BC2">
        <w:t xml:space="preserve"> </w:t>
      </w:r>
      <w:r w:rsidRPr="00F57044" w:rsidR="00DE4E94">
        <w:t xml:space="preserve">effect </w:t>
      </w:r>
      <w:r w:rsidRPr="00F57044" w:rsidR="00A30BC2">
        <w:t xml:space="preserve">of lowering the </w:t>
      </w:r>
      <w:r w:rsidRPr="00F57044" w:rsidR="00A17600">
        <w:t>estimate</w:t>
      </w:r>
      <w:r w:rsidRPr="00F57044" w:rsidR="00092F53">
        <w:t xml:space="preserve"> of units held for future harvest </w:t>
      </w:r>
      <w:proofErr w:type="gramStart"/>
      <w:r w:rsidRPr="00F57044" w:rsidR="00092F53">
        <w:t>liabilities</w:t>
      </w:r>
      <w:r w:rsidRPr="00F57044" w:rsidR="00A30BC2">
        <w:t xml:space="preserve">, </w:t>
      </w:r>
      <w:r w:rsidRPr="00F57044" w:rsidR="00DE4E94">
        <w:t>and</w:t>
      </w:r>
      <w:proofErr w:type="gramEnd"/>
      <w:r w:rsidRPr="00F57044" w:rsidR="00DE4E94">
        <w:t xml:space="preserve"> </w:t>
      </w:r>
      <w:r w:rsidRPr="00F57044" w:rsidR="00A30BC2">
        <w:t>increasing the size of the surplus.</w:t>
      </w:r>
      <w:r w:rsidRPr="00F57044" w:rsidR="00092F53">
        <w:t xml:space="preserve"> This is because, all else equal, a younger harvest age will require </w:t>
      </w:r>
      <w:r w:rsidRPr="00F57044" w:rsidR="00DE4E94">
        <w:t xml:space="preserve">fewer </w:t>
      </w:r>
      <w:r w:rsidRPr="00F57044" w:rsidR="00092F53">
        <w:t xml:space="preserve">units to be held, as </w:t>
      </w:r>
      <w:r w:rsidRPr="00F57044" w:rsidR="00DE4E94">
        <w:t xml:space="preserve">fewer </w:t>
      </w:r>
      <w:r w:rsidRPr="00F57044" w:rsidR="00092F53">
        <w:t>NZUs have been allocated for the forest.</w:t>
      </w:r>
    </w:p>
    <w:p w:rsidRPr="00F57044" w:rsidR="00A30BC2" w:rsidP="00A30BC2" w:rsidRDefault="00A30BC2" w14:paraId="6BA89A50" w14:textId="713F054A">
      <w:pPr>
        <w:pStyle w:val="Heading5"/>
      </w:pPr>
      <w:r w:rsidRPr="00F57044">
        <w:t xml:space="preserve">Updated assumptions about low-risk carbon </w:t>
      </w:r>
      <w:r w:rsidRPr="00F57044" w:rsidR="002604D4">
        <w:t>units</w:t>
      </w:r>
    </w:p>
    <w:p w:rsidRPr="00F57044" w:rsidR="00A30BC2" w:rsidP="007D2C9E" w:rsidRDefault="002B6B43" w14:paraId="622C716D" w14:textId="40E39B19">
      <w:pPr>
        <w:pStyle w:val="BodyText"/>
      </w:pPr>
      <w:r w:rsidRPr="00F57044">
        <w:t xml:space="preserve">The carbon stock of forests does not return to zero immediately on harvest, due to residual carbon stored in roots underground. </w:t>
      </w:r>
      <w:r w:rsidRPr="00F57044" w:rsidR="00FC5C47">
        <w:t>Some units earned by production forests on their first rotation can be considered low</w:t>
      </w:r>
      <w:r w:rsidRPr="00F57044" w:rsidR="00C151FC">
        <w:t xml:space="preserve"> </w:t>
      </w:r>
      <w:r w:rsidRPr="00F57044" w:rsidR="00FC5C47">
        <w:t xml:space="preserve">risk as they will never have to be surrendered if the forest is replanted. </w:t>
      </w:r>
      <w:r w:rsidRPr="00F57044" w:rsidR="00A20F18">
        <w:t>Additional units may also be considered low</w:t>
      </w:r>
      <w:r w:rsidRPr="00F57044" w:rsidR="00C151FC">
        <w:t xml:space="preserve"> </w:t>
      </w:r>
      <w:r w:rsidRPr="00F57044" w:rsidR="00A20F18">
        <w:t xml:space="preserve">risk if a forester can manage liabilities </w:t>
      </w:r>
      <w:r w:rsidRPr="00F57044" w:rsidR="003F6044">
        <w:t>across</w:t>
      </w:r>
      <w:r w:rsidRPr="00F57044" w:rsidR="00A20F18">
        <w:t xml:space="preserve"> a portfolio of forests of different ages</w:t>
      </w:r>
      <w:r w:rsidRPr="00F57044" w:rsidR="003F6044">
        <w:t xml:space="preserve"> (effectively smoothing their harvest liabilities).</w:t>
      </w:r>
    </w:p>
    <w:p w:rsidRPr="00F57044" w:rsidR="00BC1A91" w:rsidP="00261690" w:rsidRDefault="00BC1A91" w14:paraId="45BACD02" w14:textId="78862655">
      <w:pPr>
        <w:pStyle w:val="BodyText"/>
      </w:pPr>
      <w:r w:rsidRPr="00F57044">
        <w:t xml:space="preserve">This year, the Commission has </w:t>
      </w:r>
      <w:r w:rsidRPr="00F57044" w:rsidR="00D75A14">
        <w:t xml:space="preserve">made a minor reduction in its </w:t>
      </w:r>
      <w:r w:rsidRPr="00F57044" w:rsidDel="00E7383F" w:rsidR="00D75A14">
        <w:t xml:space="preserve">assumptions </w:t>
      </w:r>
      <w:r w:rsidRPr="00F57044" w:rsidDel="00D75A14" w:rsidR="001C611C">
        <w:t>about th</w:t>
      </w:r>
      <w:r w:rsidRPr="00F57044" w:rsidDel="00D75A14" w:rsidR="0038050F">
        <w:t xml:space="preserve">e proportion </w:t>
      </w:r>
      <w:r w:rsidRPr="00F57044" w:rsidR="0038050F">
        <w:t xml:space="preserve">of low-risk units </w:t>
      </w:r>
      <w:r w:rsidRPr="00F57044" w:rsidR="003D4381">
        <w:t xml:space="preserve">that </w:t>
      </w:r>
      <w:r w:rsidRPr="00F57044" w:rsidR="0038050F">
        <w:t>foresters</w:t>
      </w:r>
      <w:r w:rsidRPr="00F57044" w:rsidR="003D4381">
        <w:t xml:space="preserve"> can achieve</w:t>
      </w:r>
      <w:r w:rsidRPr="00F57044" w:rsidR="0038050F">
        <w:t>.</w:t>
      </w:r>
      <w:r w:rsidRPr="00F57044" w:rsidR="008D0925">
        <w:t xml:space="preserve"> This has the </w:t>
      </w:r>
      <w:r w:rsidRPr="00F57044" w:rsidR="003D4381">
        <w:t xml:space="preserve">effect </w:t>
      </w:r>
      <w:r w:rsidRPr="00F57044" w:rsidR="008D0925">
        <w:t>of increasing the</w:t>
      </w:r>
      <w:r w:rsidRPr="00F57044" w:rsidR="0052159E">
        <w:t xml:space="preserve"> </w:t>
      </w:r>
      <w:r w:rsidRPr="00F57044" w:rsidR="000F4DF0">
        <w:rPr>
          <w:spacing w:val="-2"/>
        </w:rPr>
        <w:t xml:space="preserve">number of units </w:t>
      </w:r>
      <w:r w:rsidRPr="00F57044" w:rsidR="00C151FC">
        <w:rPr>
          <w:spacing w:val="-2"/>
        </w:rPr>
        <w:t xml:space="preserve">foresters </w:t>
      </w:r>
      <w:r w:rsidRPr="00F57044" w:rsidR="000F4DF0">
        <w:rPr>
          <w:spacing w:val="-2"/>
        </w:rPr>
        <w:t xml:space="preserve">need to hold for future liabilities </w:t>
      </w:r>
      <w:r w:rsidRPr="00F57044" w:rsidR="003D4381">
        <w:rPr>
          <w:spacing w:val="-2"/>
        </w:rPr>
        <w:t xml:space="preserve">and </w:t>
      </w:r>
      <w:r w:rsidRPr="00F57044" w:rsidR="000F4DF0">
        <w:rPr>
          <w:spacing w:val="-2"/>
        </w:rPr>
        <w:t>reducing the size of the surplus</w:t>
      </w:r>
      <w:r w:rsidRPr="00F57044" w:rsidR="000F4DF0">
        <w:t>.</w:t>
      </w:r>
    </w:p>
    <w:p w:rsidRPr="00F57044" w:rsidR="00BE14B6" w:rsidP="00261690" w:rsidRDefault="00794E3B" w14:paraId="0A25CBF8" w14:textId="1A97A576">
      <w:pPr>
        <w:pStyle w:val="BodyText"/>
      </w:pPr>
      <w:r w:rsidRPr="00F57044">
        <w:t>To support these updated assumptions, the Commission</w:t>
      </w:r>
      <w:r w:rsidRPr="00F57044" w:rsidR="00745111">
        <w:t xml:space="preserve"> analysed the range of possible levels of low-risk units availa</w:t>
      </w:r>
      <w:r w:rsidRPr="00F57044" w:rsidR="00DF3683">
        <w:t>ble to owners of post-1989 forestry</w:t>
      </w:r>
      <w:r w:rsidRPr="00F57044" w:rsidR="00543E03">
        <w:t xml:space="preserve">, identifying </w:t>
      </w:r>
      <w:r w:rsidRPr="00F57044" w:rsidR="00593D53">
        <w:t>the minimum and theoretical maximum</w:t>
      </w:r>
      <w:r w:rsidRPr="00F57044" w:rsidR="00C35029">
        <w:t xml:space="preserve"> low-risk</w:t>
      </w:r>
      <w:r w:rsidRPr="00F57044" w:rsidR="00593D53">
        <w:t xml:space="preserve"> </w:t>
      </w:r>
      <w:r w:rsidRPr="00F57044" w:rsidR="00254D48">
        <w:t xml:space="preserve">units </w:t>
      </w:r>
      <w:r w:rsidRPr="00F57044" w:rsidR="003D4381">
        <w:t>that could</w:t>
      </w:r>
      <w:r w:rsidRPr="00F57044" w:rsidR="00254D48">
        <w:t xml:space="preserve"> be achieved.</w:t>
      </w:r>
    </w:p>
    <w:p w:rsidRPr="00F57044" w:rsidR="00A30BC2" w:rsidP="00D428D3" w:rsidRDefault="005C15DD" w14:paraId="4C9A19D3" w14:textId="471A1845">
      <w:pPr>
        <w:pStyle w:val="BodyText"/>
        <w:spacing w:after="240"/>
      </w:pPr>
      <w:r w:rsidRPr="00F57044">
        <w:t xml:space="preserve">It then compared these against a breakdown of NZ ETS forestry by forest </w:t>
      </w:r>
      <w:r w:rsidRPr="00F57044" w:rsidDel="000E7CB4">
        <w:t xml:space="preserve">estate </w:t>
      </w:r>
      <w:r w:rsidRPr="00F57044">
        <w:t>size</w:t>
      </w:r>
      <w:r w:rsidRPr="00F57044" w:rsidR="002303A6">
        <w:t>,</w:t>
      </w:r>
      <w:r w:rsidRPr="00F57044" w:rsidR="00BE14B6">
        <w:t xml:space="preserve"> to derive the final assumptions</w:t>
      </w:r>
      <w:r w:rsidRPr="00F57044">
        <w:t>.</w:t>
      </w:r>
      <w:r w:rsidRPr="00F57044" w:rsidR="004351B1">
        <w:t xml:space="preserve"> This is because</w:t>
      </w:r>
      <w:r w:rsidRPr="00F57044" w:rsidR="00DB0D28">
        <w:t xml:space="preserve"> foresters</w:t>
      </w:r>
      <w:r w:rsidRPr="00F57044" w:rsidR="002303A6">
        <w:t>’ ability</w:t>
      </w:r>
      <w:r w:rsidRPr="00F57044" w:rsidR="00DB0D28">
        <w:t xml:space="preserve"> to </w:t>
      </w:r>
      <w:r w:rsidRPr="00F57044" w:rsidR="001B7903">
        <w:t>obtain</w:t>
      </w:r>
      <w:r w:rsidRPr="00F57044" w:rsidR="00E62B30">
        <w:t xml:space="preserve"> low-risk units depends on the size of </w:t>
      </w:r>
      <w:r w:rsidRPr="00F57044" w:rsidR="002303A6">
        <w:t xml:space="preserve">their </w:t>
      </w:r>
      <w:r w:rsidRPr="00F57044" w:rsidR="00E62B30">
        <w:t>forestry portfolio.</w:t>
      </w:r>
      <w:r w:rsidRPr="00F57044" w:rsidR="004351B1">
        <w:t xml:space="preserve"> </w:t>
      </w:r>
      <w:r w:rsidRPr="00F57044" w:rsidR="00E62B30">
        <w:t xml:space="preserve">For example, </w:t>
      </w:r>
      <w:r w:rsidRPr="00F57044" w:rsidR="00DB0D28">
        <w:t>l</w:t>
      </w:r>
      <w:r w:rsidRPr="00F57044" w:rsidR="00BE14B6">
        <w:t xml:space="preserve">arge </w:t>
      </w:r>
      <w:r w:rsidRPr="00F57044" w:rsidDel="002303A6" w:rsidR="00BE14B6">
        <w:t xml:space="preserve">forest </w:t>
      </w:r>
      <w:r w:rsidRPr="00F57044" w:rsidR="00BE14B6">
        <w:t>estates are more likely to be made up of diverse portfolios of multiple age classes</w:t>
      </w:r>
      <w:r w:rsidRPr="00F57044" w:rsidR="00E62B30">
        <w:t xml:space="preserve">, </w:t>
      </w:r>
      <w:r w:rsidRPr="00F57044" w:rsidR="00BE14B6">
        <w:t>allow</w:t>
      </w:r>
      <w:r w:rsidRPr="00F57044" w:rsidR="00E62B30">
        <w:t xml:space="preserve">ing </w:t>
      </w:r>
      <w:r w:rsidRPr="00F57044" w:rsidR="00BE14B6">
        <w:t>increased low-risk units.</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C75E49" w14:paraId="79204311" w14:textId="77777777">
        <w:tc>
          <w:tcPr>
            <w:tcW w:w="5000" w:type="pct"/>
            <w:gridSpan w:val="2"/>
            <w:shd w:val="clear" w:color="auto" w:fill="1B556B" w:themeFill="text2"/>
          </w:tcPr>
          <w:p w:rsidRPr="00F57044" w:rsidR="00C75E49" w:rsidRDefault="00C75E49" w14:paraId="0E554AB9" w14:textId="06F6B1EB">
            <w:pPr>
              <w:keepNext/>
              <w:spacing w:before="60" w:after="60" w:line="240" w:lineRule="atLeast"/>
              <w:jc w:val="left"/>
              <w:rPr>
                <w:b/>
                <w:color w:val="FFFFFF" w:themeColor="background1"/>
                <w:sz w:val="20"/>
                <w:szCs w:val="20"/>
              </w:rPr>
            </w:pPr>
            <w:r w:rsidRPr="00F57044">
              <w:rPr>
                <w:b/>
                <w:color w:val="FFFFFF" w:themeColor="background1"/>
                <w:sz w:val="20"/>
                <w:szCs w:val="20"/>
              </w:rPr>
              <w:t>Question</w:t>
            </w:r>
            <w:r w:rsidRPr="00F57044" w:rsidR="00920A5A">
              <w:rPr>
                <w:b/>
                <w:color w:val="FFFFFF" w:themeColor="background1"/>
                <w:sz w:val="20"/>
                <w:szCs w:val="20"/>
              </w:rPr>
              <w:t>s</w:t>
            </w:r>
          </w:p>
        </w:tc>
      </w:tr>
      <w:tr w:rsidRPr="00F57044" w:rsidR="00C75E49" w14:paraId="0052CD77" w14:textId="77777777">
        <w:tc>
          <w:tcPr>
            <w:tcW w:w="333" w:type="pct"/>
          </w:tcPr>
          <w:p w:rsidRPr="00F57044" w:rsidR="00C75E49" w:rsidP="00D428D3" w:rsidRDefault="00C95778" w14:paraId="65B9D54A" w14:textId="4A40C67A">
            <w:pPr>
              <w:pStyle w:val="Questions"/>
            </w:pPr>
            <w:r w:rsidRPr="00F57044">
              <w:t>15</w:t>
            </w:r>
          </w:p>
        </w:tc>
        <w:tc>
          <w:tcPr>
            <w:tcW w:w="4667" w:type="pct"/>
          </w:tcPr>
          <w:p w:rsidRPr="00F57044" w:rsidR="00C75E49" w:rsidP="00D428D3" w:rsidRDefault="00C75E49" w14:paraId="25386A4D" w14:textId="2F306910">
            <w:pPr>
              <w:pStyle w:val="Questions"/>
            </w:pPr>
            <w:r w:rsidRPr="00F57044">
              <w:t>Do you agree with the changes to the way the surplus stockpile is estimated? Do you have any feedback on the new and updated assumptions underlying the estimate</w:t>
            </w:r>
            <w:r w:rsidRPr="00F57044" w:rsidR="009D0C49">
              <w:t xml:space="preserve"> (</w:t>
            </w:r>
            <w:proofErr w:type="spellStart"/>
            <w:r w:rsidRPr="00F57044" w:rsidR="009D0C49">
              <w:t>eg</w:t>
            </w:r>
            <w:proofErr w:type="spellEnd"/>
            <w:r w:rsidRPr="00F57044" w:rsidR="009D0C49">
              <w:t>, the proposal to take the hedge estimate at 2030)</w:t>
            </w:r>
            <w:r w:rsidRPr="00F57044">
              <w:t>?</w:t>
            </w:r>
          </w:p>
        </w:tc>
      </w:tr>
      <w:tr w:rsidRPr="00F57044" w:rsidR="00C75E49" w14:paraId="0A24F47D" w14:textId="77777777">
        <w:tc>
          <w:tcPr>
            <w:tcW w:w="333" w:type="pct"/>
          </w:tcPr>
          <w:p w:rsidRPr="00F57044" w:rsidR="00C75E49" w:rsidP="00D428D3" w:rsidRDefault="00C95778" w14:paraId="07BF4478" w14:textId="56960937">
            <w:pPr>
              <w:pStyle w:val="Questions"/>
              <w:rPr>
                <w:rStyle w:val="CommentReference"/>
                <w:sz w:val="20"/>
                <w:szCs w:val="20"/>
              </w:rPr>
            </w:pPr>
            <w:r w:rsidRPr="00F57044">
              <w:t>16</w:t>
            </w:r>
          </w:p>
        </w:tc>
        <w:tc>
          <w:tcPr>
            <w:tcW w:w="4667" w:type="pct"/>
          </w:tcPr>
          <w:p w:rsidRPr="00F57044" w:rsidR="00C75E49" w:rsidP="00D428D3" w:rsidRDefault="00C75E49" w14:paraId="4FB266F7" w14:textId="267D4886">
            <w:pPr>
              <w:pStyle w:val="Questions"/>
            </w:pPr>
            <w:r w:rsidRPr="00F57044">
              <w:t>Do you consider the updated assumptions about hedging and holding volumes reflect participant behaviour? Do you think the estimated total scale is appropriate? If not, what adjustments to the approach may be needed?</w:t>
            </w:r>
          </w:p>
        </w:tc>
      </w:tr>
      <w:tr w:rsidRPr="00F57044" w:rsidR="00C75E49" w14:paraId="5301B444" w14:textId="77777777">
        <w:tc>
          <w:tcPr>
            <w:tcW w:w="333" w:type="pct"/>
          </w:tcPr>
          <w:p w:rsidRPr="00F57044" w:rsidR="00C75E49" w:rsidP="00D428D3" w:rsidRDefault="00C95778" w14:paraId="156B5823" w14:textId="54EC74CC">
            <w:pPr>
              <w:pStyle w:val="Questions"/>
              <w:rPr>
                <w:rStyle w:val="CommentReference"/>
                <w:sz w:val="20"/>
                <w:szCs w:val="20"/>
              </w:rPr>
            </w:pPr>
            <w:r w:rsidRPr="00F57044">
              <w:t>17</w:t>
            </w:r>
          </w:p>
        </w:tc>
        <w:tc>
          <w:tcPr>
            <w:tcW w:w="4667" w:type="pct"/>
          </w:tcPr>
          <w:p w:rsidRPr="00F57044" w:rsidR="00C75E49" w:rsidP="00D428D3" w:rsidRDefault="00C75E49" w14:paraId="5220E518" w14:textId="4C1BBF30">
            <w:pPr>
              <w:pStyle w:val="Questions"/>
            </w:pPr>
            <w:r w:rsidRPr="00F57044">
              <w:t>Do you consider the update</w:t>
            </w:r>
            <w:r w:rsidRPr="00F57044" w:rsidR="00EC6979">
              <w:t>d</w:t>
            </w:r>
            <w:r w:rsidRPr="00F57044">
              <w:t xml:space="preserve"> assumptions about post-1989 harvest liabilities and units liable to become surplus from MERP4 are based on the best available data and evidence? Is there additional information that could improve our confidence in these estimates?</w:t>
            </w:r>
          </w:p>
        </w:tc>
      </w:tr>
    </w:tbl>
    <w:p w:rsidRPr="00F57044" w:rsidR="0069117E" w:rsidP="00D428D3" w:rsidRDefault="0069117E" w14:paraId="047EFBC7" w14:textId="3151686D">
      <w:pPr>
        <w:pStyle w:val="Heading2"/>
        <w:spacing w:before="480"/>
      </w:pPr>
      <w:bookmarkStart w:name="_Toc199231043" w:id="93"/>
      <w:r w:rsidRPr="00F57044">
        <w:t>Unsold auction volumes</w:t>
      </w:r>
      <w:bookmarkEnd w:id="93"/>
    </w:p>
    <w:p w:rsidRPr="00F57044" w:rsidR="00FB077E" w:rsidP="00FB077E" w:rsidRDefault="00826412" w14:paraId="2B459532" w14:textId="671207E9">
      <w:pPr>
        <w:pStyle w:val="BodyText"/>
      </w:pPr>
      <w:r w:rsidRPr="004A0B1C" w:rsidDel="00FB077E">
        <w:rPr>
          <w:spacing w:val="-2"/>
        </w:rPr>
        <w:t>When</w:t>
      </w:r>
      <w:r w:rsidRPr="004A0B1C" w:rsidDel="00FB077E" w:rsidR="000128A7">
        <w:rPr>
          <w:spacing w:val="-2"/>
        </w:rPr>
        <w:t xml:space="preserve"> </w:t>
      </w:r>
      <w:r w:rsidRPr="004A0B1C" w:rsidDel="00FB077E">
        <w:rPr>
          <w:spacing w:val="-2"/>
        </w:rPr>
        <w:t xml:space="preserve">setting unit limits, all </w:t>
      </w:r>
      <w:r w:rsidRPr="004A0B1C" w:rsidDel="00FB077E" w:rsidR="31A47C63">
        <w:rPr>
          <w:spacing w:val="-2"/>
        </w:rPr>
        <w:t xml:space="preserve">upcoming </w:t>
      </w:r>
      <w:r w:rsidRPr="004A0B1C" w:rsidDel="00FB077E">
        <w:rPr>
          <w:spacing w:val="-2"/>
        </w:rPr>
        <w:t xml:space="preserve">auctions </w:t>
      </w:r>
      <w:r w:rsidRPr="004A0B1C" w:rsidDel="00FB077E" w:rsidR="406C9957">
        <w:rPr>
          <w:spacing w:val="-2"/>
        </w:rPr>
        <w:t xml:space="preserve">are assumed to </w:t>
      </w:r>
      <w:r w:rsidRPr="004A0B1C" w:rsidR="00FB077E">
        <w:rPr>
          <w:spacing w:val="-2"/>
        </w:rPr>
        <w:t>clear. When auctions do not</w:t>
      </w:r>
      <w:r w:rsidRPr="00F57044" w:rsidR="002C1E13">
        <w:t> </w:t>
      </w:r>
      <w:r w:rsidRPr="00F57044" w:rsidR="00FB077E">
        <w:t xml:space="preserve">fully clear in a calendar year, this </w:t>
      </w:r>
      <w:r w:rsidRPr="00F57044" w:rsidR="002E0CC0">
        <w:t xml:space="preserve">means less supply has entered the market </w:t>
      </w:r>
      <w:r w:rsidRPr="00F57044" w:rsidR="00C05E81">
        <w:t>than expected</w:t>
      </w:r>
      <w:r w:rsidRPr="00F57044" w:rsidR="0051110E">
        <w:t>,</w:t>
      </w:r>
      <w:r w:rsidRPr="00F57044" w:rsidR="00C05E81">
        <w:t xml:space="preserve"> </w:t>
      </w:r>
      <w:r w:rsidRPr="00F57044" w:rsidR="002E0CC0">
        <w:t xml:space="preserve">which </w:t>
      </w:r>
      <w:r w:rsidRPr="00F57044" w:rsidR="00321A42">
        <w:t>reduces</w:t>
      </w:r>
      <w:r w:rsidRPr="00F57044" w:rsidR="00FB077E">
        <w:t xml:space="preserve"> future estimates of the size of the surplus.</w:t>
      </w:r>
      <w:r w:rsidRPr="00F57044" w:rsidR="00816E88">
        <w:t xml:space="preserve"> </w:t>
      </w:r>
      <w:r w:rsidRPr="00F57044" w:rsidR="00FB077E">
        <w:t>A smaller estimated surplus means more units can be made available for future auctions while remaining aligned with the NZ</w:t>
      </w:r>
      <w:r w:rsidRPr="00F57044" w:rsidR="002C1E13">
        <w:t> </w:t>
      </w:r>
      <w:r w:rsidRPr="00F57044" w:rsidR="00FB077E">
        <w:t>ETS</w:t>
      </w:r>
      <w:r w:rsidRPr="00F57044" w:rsidR="002C1E13">
        <w:t> </w:t>
      </w:r>
      <w:r w:rsidRPr="00F57044" w:rsidR="00FB077E">
        <w:t>cap.</w:t>
      </w:r>
      <w:r w:rsidRPr="00F57044" w:rsidDel="00EC6979" w:rsidR="00FB077E">
        <w:t xml:space="preserve"> </w:t>
      </w:r>
    </w:p>
    <w:p w:rsidRPr="00F57044" w:rsidR="00FB077E" w:rsidP="00FB077E" w:rsidRDefault="00FB077E" w14:paraId="27795E68" w14:textId="02742B55">
      <w:pPr>
        <w:pStyle w:val="BodyText"/>
      </w:pPr>
      <w:r w:rsidRPr="00F57044">
        <w:t>This year the Commission has indicated that its recommended unit limits are 7.1 million units higher because 7.1 million fewer units were sold through auctions in 2024 than forecast.</w:t>
      </w:r>
    </w:p>
    <w:p w:rsidRPr="00F57044" w:rsidR="00BB773E" w:rsidP="002C1E13" w:rsidRDefault="00610477" w14:paraId="4C1897E9" w14:textId="7697204E">
      <w:pPr>
        <w:pStyle w:val="BodyText"/>
        <w:spacing w:after="240"/>
      </w:pPr>
      <w:r w:rsidRPr="00F57044">
        <w:t xml:space="preserve">Units not selling at auction provides a signal that the market may be adequately supplied without the unsold units. This raises a question about how this information should be incorporated into the assessment of the appropriate unit limits for the future regulatory period. We are interested in your views on how the auction non-clearance should be factored into the </w:t>
      </w:r>
      <w:r w:rsidRPr="00F57044" w:rsidR="002E2ADE">
        <w:t xml:space="preserve">NZ </w:t>
      </w:r>
      <w:r w:rsidRPr="00F57044">
        <w:t>ETS settings decisions.</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997496" w14:paraId="2C358F97" w14:textId="77777777">
        <w:tc>
          <w:tcPr>
            <w:tcW w:w="5000" w:type="pct"/>
            <w:gridSpan w:val="2"/>
            <w:shd w:val="clear" w:color="auto" w:fill="1B556B" w:themeFill="text2"/>
          </w:tcPr>
          <w:p w:rsidRPr="00F57044" w:rsidR="00997496" w:rsidRDefault="00997496" w14:paraId="5C43B2F7" w14:textId="0D37D2A5">
            <w:pPr>
              <w:keepNext/>
              <w:spacing w:before="60" w:after="60" w:line="240" w:lineRule="atLeast"/>
              <w:jc w:val="left"/>
              <w:rPr>
                <w:b/>
                <w:color w:val="FFFFFF" w:themeColor="background1"/>
                <w:sz w:val="20"/>
                <w:szCs w:val="20"/>
              </w:rPr>
            </w:pPr>
            <w:r w:rsidRPr="00F57044">
              <w:rPr>
                <w:b/>
                <w:color w:val="FFFFFF" w:themeColor="background1"/>
                <w:sz w:val="20"/>
                <w:szCs w:val="20"/>
              </w:rPr>
              <w:t>Question</w:t>
            </w:r>
          </w:p>
        </w:tc>
      </w:tr>
      <w:tr w:rsidRPr="00F57044" w:rsidR="00997496" w14:paraId="7B5E7725" w14:textId="77777777">
        <w:tc>
          <w:tcPr>
            <w:tcW w:w="333" w:type="pct"/>
          </w:tcPr>
          <w:p w:rsidRPr="00F57044" w:rsidR="00997496" w:rsidP="002C1E13" w:rsidRDefault="00C95778" w14:paraId="1DD24FE0" w14:textId="3C4CA341">
            <w:pPr>
              <w:pStyle w:val="Questions"/>
            </w:pPr>
            <w:r w:rsidRPr="00F57044">
              <w:t>18</w:t>
            </w:r>
          </w:p>
        </w:tc>
        <w:tc>
          <w:tcPr>
            <w:tcW w:w="4667" w:type="pct"/>
          </w:tcPr>
          <w:p w:rsidRPr="00F57044" w:rsidR="00997496" w:rsidP="002C1E13" w:rsidRDefault="00A26938" w14:paraId="284F0ACF" w14:textId="403D4ED0">
            <w:pPr>
              <w:pStyle w:val="Questions"/>
            </w:pPr>
            <w:r w:rsidRPr="00F57044">
              <w:t>How s</w:t>
            </w:r>
            <w:r w:rsidRPr="00F57044" w:rsidR="00997496">
              <w:t xml:space="preserve">hould unsold </w:t>
            </w:r>
            <w:r w:rsidRPr="00F57044">
              <w:t>auction units</w:t>
            </w:r>
            <w:r w:rsidRPr="00F57044" w:rsidR="00997496">
              <w:t xml:space="preserve"> be considered </w:t>
            </w:r>
            <w:r w:rsidRPr="00F57044" w:rsidR="0048375E">
              <w:t>as part of the Government’s NZ ETS settings decisions</w:t>
            </w:r>
            <w:r w:rsidRPr="00F57044" w:rsidR="00997496">
              <w:t>?</w:t>
            </w:r>
          </w:p>
        </w:tc>
      </w:tr>
    </w:tbl>
    <w:p w:rsidRPr="00F57044" w:rsidR="0070678F" w:rsidP="002C1E13" w:rsidRDefault="0070678F" w14:paraId="6A18F203" w14:textId="529EB997">
      <w:pPr>
        <w:pStyle w:val="BodyText"/>
      </w:pPr>
      <w:bookmarkStart w:name="_Price_controls" w:id="94"/>
      <w:bookmarkEnd w:id="94"/>
    </w:p>
    <w:p w:rsidRPr="00F57044" w:rsidR="00DE76B9" w:rsidP="002C1E13" w:rsidRDefault="00DE76B9" w14:paraId="18E532A5" w14:textId="5188B83F">
      <w:pPr>
        <w:pStyle w:val="BodyText"/>
        <w:rPr>
          <w:highlight w:val="yellow"/>
        </w:rPr>
      </w:pPr>
      <w:bookmarkStart w:name="_Toc163048595" w:id="95"/>
      <w:r w:rsidRPr="00F57044">
        <w:br w:type="page"/>
      </w:r>
    </w:p>
    <w:p w:rsidRPr="00F57044" w:rsidR="00297ED3" w:rsidP="009C16D7" w:rsidRDefault="00CE5E36" w14:paraId="235EC561" w14:textId="66CDE859">
      <w:pPr>
        <w:pStyle w:val="Heading2"/>
      </w:pPr>
      <w:bookmarkStart w:name="_Toc199231044" w:id="96"/>
      <w:bookmarkStart w:name="_Toc160029009" w:id="97"/>
      <w:bookmarkStart w:name="_Toc163048600" w:id="98"/>
      <w:bookmarkEnd w:id="3"/>
      <w:bookmarkEnd w:id="95"/>
      <w:r w:rsidRPr="00F57044">
        <w:t>F</w:t>
      </w:r>
      <w:r w:rsidRPr="00F57044" w:rsidR="007636E6">
        <w:t>urther f</w:t>
      </w:r>
      <w:r w:rsidRPr="00F57044">
        <w:t xml:space="preserve">eedback on </w:t>
      </w:r>
      <w:r w:rsidRPr="00F57044" w:rsidR="000B49C4">
        <w:t xml:space="preserve">methodology for calculating </w:t>
      </w:r>
      <w:r w:rsidRPr="00F57044" w:rsidR="00FB2807">
        <w:t xml:space="preserve">unit </w:t>
      </w:r>
      <w:r w:rsidRPr="00F57044" w:rsidR="000B49C4">
        <w:t>limits</w:t>
      </w:r>
      <w:bookmarkEnd w:id="96"/>
    </w:p>
    <w:p w:rsidRPr="00F57044" w:rsidR="00137BAC" w:rsidP="002C1E13" w:rsidRDefault="004B52D2" w14:paraId="0CAD0163" w14:textId="251DB15F">
      <w:pPr>
        <w:pStyle w:val="BodyText"/>
      </w:pPr>
      <w:r w:rsidRPr="00F57044">
        <w:t>We have focused our</w:t>
      </w:r>
      <w:r w:rsidRPr="00F57044" w:rsidR="007229BF">
        <w:t xml:space="preserve"> discussion </w:t>
      </w:r>
      <w:r w:rsidRPr="00F57044" w:rsidR="00E24DF8">
        <w:t>of the seven step</w:t>
      </w:r>
      <w:r w:rsidRPr="00F57044" w:rsidR="003D0CA1">
        <w:t>s</w:t>
      </w:r>
      <w:r w:rsidRPr="00F57044" w:rsidR="00E24DF8">
        <w:t xml:space="preserve"> methodology on </w:t>
      </w:r>
      <w:r w:rsidRPr="00F57044" w:rsidR="00735679">
        <w:t xml:space="preserve">the overall question on </w:t>
      </w:r>
      <w:r w:rsidRPr="00F57044" w:rsidR="00851C86">
        <w:t>appropriate unit settings</w:t>
      </w:r>
      <w:r w:rsidRPr="00F57044" w:rsidR="00C6659B">
        <w:t>.</w:t>
      </w:r>
      <w:r w:rsidRPr="00F57044" w:rsidR="00851C86">
        <w:t xml:space="preserve"> </w:t>
      </w:r>
      <w:r w:rsidRPr="00F57044" w:rsidR="00C6659B">
        <w:t xml:space="preserve">We also </w:t>
      </w:r>
      <w:r w:rsidRPr="00F57044" w:rsidR="00B70F19">
        <w:t>addresse</w:t>
      </w:r>
      <w:r w:rsidRPr="00F57044" w:rsidR="00674349">
        <w:t>d</w:t>
      </w:r>
      <w:r w:rsidRPr="00F57044" w:rsidR="00B70F19">
        <w:t xml:space="preserve"> </w:t>
      </w:r>
      <w:r w:rsidRPr="00F57044" w:rsidR="0003335D">
        <w:t>specific major</w:t>
      </w:r>
      <w:r w:rsidRPr="00F57044" w:rsidR="00C81C46">
        <w:t xml:space="preserve"> decisions around surplus methodology </w:t>
      </w:r>
      <w:r w:rsidRPr="00F57044" w:rsidR="00B646B7">
        <w:t>and unsold auction volumes</w:t>
      </w:r>
      <w:r w:rsidRPr="00F57044" w:rsidR="0012266E">
        <w:t>.</w:t>
      </w:r>
    </w:p>
    <w:p w:rsidRPr="00F57044" w:rsidR="00297ED3" w:rsidP="00297ED3" w:rsidRDefault="00041751" w14:paraId="64D7D17B" w14:textId="715E36E1">
      <w:pPr>
        <w:pStyle w:val="BodyText"/>
        <w:rPr>
          <w:b/>
          <w:bCs/>
          <w:spacing w:val="-2"/>
        </w:rPr>
      </w:pPr>
      <w:r w:rsidRPr="00F57044">
        <w:rPr>
          <w:b/>
          <w:bCs/>
          <w:spacing w:val="-2"/>
        </w:rPr>
        <w:t>However</w:t>
      </w:r>
      <w:r w:rsidRPr="00F57044" w:rsidR="00272ED0">
        <w:rPr>
          <w:b/>
          <w:bCs/>
          <w:spacing w:val="-2"/>
        </w:rPr>
        <w:t>,</w:t>
      </w:r>
      <w:r w:rsidRPr="00F57044" w:rsidR="00BE2865">
        <w:rPr>
          <w:b/>
          <w:bCs/>
          <w:spacing w:val="-2"/>
        </w:rPr>
        <w:t xml:space="preserve"> </w:t>
      </w:r>
      <w:r w:rsidRPr="00F57044" w:rsidR="00851C86">
        <w:rPr>
          <w:b/>
          <w:bCs/>
          <w:spacing w:val="-2"/>
        </w:rPr>
        <w:t>w</w:t>
      </w:r>
      <w:r w:rsidRPr="00F57044" w:rsidDel="00DA2E9C" w:rsidR="00851C86">
        <w:rPr>
          <w:b/>
          <w:bCs/>
          <w:spacing w:val="-2"/>
        </w:rPr>
        <w:t xml:space="preserve">e </w:t>
      </w:r>
      <w:r w:rsidRPr="00F57044">
        <w:rPr>
          <w:b/>
          <w:bCs/>
          <w:spacing w:val="-2"/>
        </w:rPr>
        <w:t>also</w:t>
      </w:r>
      <w:r w:rsidRPr="00F57044" w:rsidR="00851C86">
        <w:rPr>
          <w:b/>
          <w:bCs/>
          <w:spacing w:val="-2"/>
        </w:rPr>
        <w:t xml:space="preserve"> </w:t>
      </w:r>
      <w:r w:rsidRPr="00F57044" w:rsidR="008A6C4A">
        <w:rPr>
          <w:b/>
          <w:bCs/>
          <w:spacing w:val="-2"/>
        </w:rPr>
        <w:t xml:space="preserve">invite any </w:t>
      </w:r>
      <w:r w:rsidRPr="00F57044" w:rsidR="00E73267">
        <w:rPr>
          <w:b/>
          <w:bCs/>
          <w:spacing w:val="-2"/>
        </w:rPr>
        <w:t xml:space="preserve">other </w:t>
      </w:r>
      <w:r w:rsidRPr="00F57044" w:rsidR="008A6C4A">
        <w:rPr>
          <w:b/>
          <w:bCs/>
          <w:spacing w:val="-2"/>
        </w:rPr>
        <w:t>feedback</w:t>
      </w:r>
      <w:r w:rsidRPr="00F57044" w:rsidR="00F54E90">
        <w:rPr>
          <w:b/>
          <w:bCs/>
          <w:spacing w:val="-2"/>
        </w:rPr>
        <w:t xml:space="preserve"> on </w:t>
      </w:r>
      <w:r w:rsidRPr="00F57044" w:rsidR="00AF30A4">
        <w:rPr>
          <w:b/>
          <w:bCs/>
          <w:spacing w:val="-2"/>
        </w:rPr>
        <w:t>the approach taken f</w:t>
      </w:r>
      <w:r w:rsidRPr="00F57044" w:rsidR="004426DB">
        <w:rPr>
          <w:b/>
          <w:bCs/>
          <w:spacing w:val="-2"/>
        </w:rPr>
        <w:t>or any of the seven steps.</w:t>
      </w:r>
      <w:r w:rsidRPr="00F57044" w:rsidR="008A6C4A">
        <w:rPr>
          <w:b/>
          <w:bCs/>
          <w:spacing w:val="-2"/>
        </w:rPr>
        <w:t xml:space="preserve"> </w:t>
      </w:r>
    </w:p>
    <w:p w:rsidRPr="00F57044" w:rsidR="002067DD" w:rsidDel="00DA2E9C" w:rsidP="002C1E13" w:rsidRDefault="002067DD" w14:paraId="786EFBAB" w14:textId="2B805505">
      <w:pPr>
        <w:pStyle w:val="BodyText"/>
        <w:spacing w:after="240"/>
      </w:pPr>
      <w:r w:rsidRPr="00F57044">
        <w:t>To enable this, we have provided further detail on each of the seven steps the Commission</w:t>
      </w:r>
      <w:r w:rsidRPr="00F57044" w:rsidR="00DD4018">
        <w:t xml:space="preserve"> took</w:t>
      </w:r>
      <w:r w:rsidRPr="00F57044">
        <w:t xml:space="preserve"> to arrive at </w:t>
      </w:r>
      <w:r w:rsidRPr="00F57044" w:rsidR="00DD4018">
        <w:t xml:space="preserve">its </w:t>
      </w:r>
      <w:r w:rsidRPr="00F57044">
        <w:t xml:space="preserve">recommended unit settings </w:t>
      </w:r>
      <w:r w:rsidRPr="00F57044" w:rsidR="00DD4018">
        <w:t>as shown in a</w:t>
      </w:r>
      <w:r w:rsidRPr="00F57044">
        <w:t>ppendix 1.</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566"/>
        <w:gridCol w:w="7939"/>
      </w:tblGrid>
      <w:tr w:rsidRPr="00F57044" w:rsidR="002B3807" w14:paraId="5B70E26B" w14:textId="77777777">
        <w:tc>
          <w:tcPr>
            <w:tcW w:w="5000" w:type="pct"/>
            <w:gridSpan w:val="2"/>
            <w:shd w:val="clear" w:color="auto" w:fill="1B556B" w:themeFill="text2"/>
          </w:tcPr>
          <w:p w:rsidRPr="00F57044" w:rsidR="002B3807" w:rsidRDefault="002B3807" w14:paraId="67A26105" w14:textId="5A71DD85">
            <w:pPr>
              <w:keepNext/>
              <w:spacing w:before="60" w:after="60" w:line="240" w:lineRule="atLeast"/>
              <w:jc w:val="left"/>
              <w:rPr>
                <w:b/>
                <w:color w:val="FFFFFF" w:themeColor="background1"/>
                <w:sz w:val="20"/>
                <w:szCs w:val="20"/>
              </w:rPr>
            </w:pPr>
            <w:r w:rsidRPr="00F57044">
              <w:rPr>
                <w:b/>
                <w:color w:val="FFFFFF" w:themeColor="background1"/>
                <w:sz w:val="20"/>
                <w:szCs w:val="20"/>
              </w:rPr>
              <w:t>Questions</w:t>
            </w:r>
          </w:p>
        </w:tc>
      </w:tr>
      <w:tr w:rsidRPr="00F57044" w:rsidR="002B3807" w14:paraId="1959DCB8" w14:textId="77777777">
        <w:tc>
          <w:tcPr>
            <w:tcW w:w="333" w:type="pct"/>
          </w:tcPr>
          <w:p w:rsidRPr="00F57044" w:rsidR="002B3807" w:rsidP="002C1E13" w:rsidRDefault="002B3807" w14:paraId="14AB0867" w14:textId="1EA590BE">
            <w:pPr>
              <w:pStyle w:val="Questions"/>
            </w:pPr>
            <w:r w:rsidRPr="00F57044">
              <w:t>19</w:t>
            </w:r>
          </w:p>
        </w:tc>
        <w:tc>
          <w:tcPr>
            <w:tcW w:w="4667" w:type="pct"/>
          </w:tcPr>
          <w:p w:rsidRPr="00F57044" w:rsidR="002B3807" w:rsidP="002C1E13" w:rsidRDefault="002B3807" w14:paraId="006E0F9E" w14:textId="0A5BB071">
            <w:pPr>
              <w:pStyle w:val="Questions"/>
            </w:pPr>
            <w:r w:rsidRPr="00F57044">
              <w:t>Do you have any additional feedback on the calculations made for any of the steps</w:t>
            </w:r>
            <w:r w:rsidRPr="00F57044" w:rsidR="00DD4018">
              <w:t xml:space="preserve"> in the seven step</w:t>
            </w:r>
            <w:r w:rsidRPr="00F57044" w:rsidR="003D0CA1">
              <w:t>s</w:t>
            </w:r>
            <w:r w:rsidRPr="00F57044" w:rsidR="00DD4018">
              <w:t xml:space="preserve"> methodology</w:t>
            </w:r>
            <w:r w:rsidRPr="00F57044">
              <w:t>?</w:t>
            </w:r>
          </w:p>
        </w:tc>
      </w:tr>
      <w:tr w:rsidRPr="00F57044" w:rsidR="002B3807" w14:paraId="2AFB930D" w14:textId="77777777">
        <w:tc>
          <w:tcPr>
            <w:tcW w:w="333" w:type="pct"/>
          </w:tcPr>
          <w:p w:rsidRPr="00F57044" w:rsidR="002B3807" w:rsidP="002C1E13" w:rsidRDefault="002B3807" w14:paraId="27753ACA" w14:textId="1F05864D">
            <w:pPr>
              <w:pStyle w:val="Questions"/>
              <w:rPr>
                <w:rStyle w:val="CommentReference"/>
                <w:sz w:val="20"/>
                <w:szCs w:val="20"/>
              </w:rPr>
            </w:pPr>
            <w:r w:rsidRPr="00F57044">
              <w:rPr>
                <w:rStyle w:val="CommentReference"/>
                <w:sz w:val="20"/>
                <w:szCs w:val="20"/>
              </w:rPr>
              <w:t>20</w:t>
            </w:r>
          </w:p>
        </w:tc>
        <w:tc>
          <w:tcPr>
            <w:tcW w:w="4667" w:type="pct"/>
          </w:tcPr>
          <w:p w:rsidRPr="00F57044" w:rsidR="002B3807" w:rsidP="002C1E13" w:rsidRDefault="002B3807" w14:paraId="575D2259" w14:textId="79B678F9">
            <w:pPr>
              <w:pStyle w:val="Questions"/>
            </w:pPr>
            <w:r w:rsidRPr="00F57044">
              <w:t>Do you have any evidence or information to support a different approach?</w:t>
            </w:r>
          </w:p>
        </w:tc>
      </w:tr>
    </w:tbl>
    <w:p w:rsidRPr="00F57044" w:rsidR="008579BE" w:rsidP="00F55BC5" w:rsidRDefault="008579BE" w14:paraId="34622D26" w14:textId="44825D9F">
      <w:pPr>
        <w:pStyle w:val="BodyText"/>
      </w:pPr>
    </w:p>
    <w:p w:rsidRPr="00F57044" w:rsidR="00831BF2" w:rsidP="00E702C9" w:rsidRDefault="00831BF2" w14:paraId="0F39FAB0" w14:textId="56C3D11F">
      <w:pPr>
        <w:pStyle w:val="BodyText"/>
        <w:rPr>
          <w:highlight w:val="yellow"/>
        </w:rPr>
      </w:pPr>
      <w:r w:rsidRPr="00F57044">
        <w:rPr>
          <w:highlight w:val="yellow"/>
        </w:rPr>
        <w:br w:type="page"/>
      </w:r>
    </w:p>
    <w:p w:rsidRPr="00F57044" w:rsidR="006315E0" w:rsidP="002C1E13" w:rsidRDefault="006315E0" w14:paraId="0EE7B2D4" w14:textId="1E180FDB">
      <w:pPr>
        <w:pStyle w:val="Heading1"/>
      </w:pPr>
      <w:bookmarkStart w:name="_Consultation_questions_and" w:id="99"/>
      <w:bookmarkStart w:name="_Toc199231045" w:id="100"/>
      <w:bookmarkEnd w:id="99"/>
      <w:r w:rsidRPr="00F57044">
        <w:t>Consultation questions</w:t>
      </w:r>
      <w:bookmarkEnd w:id="100"/>
      <w:r w:rsidRPr="00F57044">
        <w:t xml:space="preserve"> </w:t>
      </w:r>
      <w:bookmarkEnd w:id="97"/>
      <w:bookmarkEnd w:id="98"/>
    </w:p>
    <w:p w:rsidRPr="00F57044" w:rsidR="006315E0" w:rsidP="003B0681" w:rsidRDefault="006315E0" w14:paraId="253DE402" w14:textId="5CDBD3AD">
      <w:pPr>
        <w:pStyle w:val="BodyText"/>
        <w:spacing w:before="0" w:after="180"/>
      </w:pPr>
      <w:bookmarkStart w:name="_Consultation_questions" w:id="101"/>
      <w:bookmarkEnd w:id="101"/>
      <w:r w:rsidRPr="00F57044">
        <w:t xml:space="preserve">The questions below are also included under the relevant </w:t>
      </w:r>
      <w:r w:rsidRPr="00F57044" w:rsidR="00CF306D">
        <w:t xml:space="preserve">sections </w:t>
      </w:r>
      <w:r w:rsidRPr="00F57044">
        <w:t>throughout the document</w:t>
      </w:r>
      <w:r w:rsidRPr="00F57044" w:rsidR="00CF306D">
        <w:t>.</w:t>
      </w:r>
    </w:p>
    <w:tbl>
      <w:tblPr>
        <w:tblStyle w:val="TableGrid"/>
        <w:tblW w:w="5000" w:type="pct"/>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ayout w:type="fixed"/>
        <w:tblCellMar>
          <w:left w:w="85" w:type="dxa"/>
          <w:right w:w="85" w:type="dxa"/>
        </w:tblCellMar>
        <w:tblLook w:val="04A0" w:firstRow="1" w:lastRow="0" w:firstColumn="1" w:lastColumn="0" w:noHBand="0" w:noVBand="1"/>
      </w:tblPr>
      <w:tblGrid>
        <w:gridCol w:w="566"/>
        <w:gridCol w:w="7939"/>
      </w:tblGrid>
      <w:tr w:rsidRPr="00F57044" w:rsidR="003B0681" w:rsidTr="003B0681" w14:paraId="328B2280" w14:textId="77777777">
        <w:tc>
          <w:tcPr>
            <w:tcW w:w="5000" w:type="pct"/>
            <w:gridSpan w:val="2"/>
            <w:shd w:val="clear" w:color="auto" w:fill="1B556B" w:themeFill="text2"/>
          </w:tcPr>
          <w:p w:rsidRPr="00F57044" w:rsidR="003B0681" w:rsidP="003B0681" w:rsidRDefault="003B0681" w14:paraId="3905E767" w14:textId="77777777">
            <w:pPr>
              <w:pStyle w:val="TableTextbold"/>
              <w:spacing w:before="80" w:after="80"/>
              <w:rPr>
                <w:color w:val="FFFFFF" w:themeColor="background1"/>
                <w:sz w:val="20"/>
                <w:szCs w:val="20"/>
              </w:rPr>
            </w:pPr>
            <w:bookmarkStart w:name="_Toc160029011" w:id="102"/>
            <w:r w:rsidRPr="00F57044">
              <w:rPr>
                <w:color w:val="FFFFFF" w:themeColor="background1"/>
                <w:sz w:val="20"/>
                <w:szCs w:val="20"/>
              </w:rPr>
              <w:t>Questions</w:t>
            </w:r>
          </w:p>
        </w:tc>
      </w:tr>
      <w:tr w:rsidRPr="00F57044" w:rsidR="003B0681" w:rsidTr="003B0681" w14:paraId="307890D6" w14:textId="77777777">
        <w:tc>
          <w:tcPr>
            <w:tcW w:w="333" w:type="pct"/>
          </w:tcPr>
          <w:p w:rsidRPr="00F57044" w:rsidR="003B0681" w:rsidP="003B0681" w:rsidRDefault="003B0681" w14:paraId="1EB7584D" w14:textId="77777777">
            <w:pPr>
              <w:pStyle w:val="Questions"/>
              <w:spacing w:before="80" w:after="80"/>
            </w:pPr>
            <w:r w:rsidRPr="00F57044">
              <w:t>1</w:t>
            </w:r>
          </w:p>
        </w:tc>
        <w:tc>
          <w:tcPr>
            <w:tcW w:w="4667" w:type="pct"/>
          </w:tcPr>
          <w:p w:rsidRPr="00F57044" w:rsidR="003B0681" w:rsidP="003B0681" w:rsidRDefault="003B0681" w14:paraId="7AC3469B" w14:textId="77777777">
            <w:pPr>
              <w:pStyle w:val="Questions"/>
              <w:spacing w:before="80" w:after="80"/>
            </w:pPr>
            <w:r w:rsidRPr="00F57044">
              <w:t>What do you think are the key drivers behind recent market price dynamics?</w:t>
            </w:r>
          </w:p>
        </w:tc>
      </w:tr>
      <w:tr w:rsidRPr="00F57044" w:rsidR="003B0681" w:rsidTr="003B0681" w14:paraId="703B47F9" w14:textId="77777777">
        <w:tc>
          <w:tcPr>
            <w:tcW w:w="333" w:type="pct"/>
          </w:tcPr>
          <w:p w:rsidRPr="00F57044" w:rsidR="003B0681" w:rsidP="003B0681" w:rsidRDefault="003B0681" w14:paraId="1C592435" w14:textId="77777777">
            <w:pPr>
              <w:pStyle w:val="Questions"/>
              <w:spacing w:before="80" w:after="80"/>
            </w:pPr>
            <w:r w:rsidRPr="00F57044">
              <w:t>2</w:t>
            </w:r>
          </w:p>
        </w:tc>
        <w:tc>
          <w:tcPr>
            <w:tcW w:w="4667" w:type="pct"/>
          </w:tcPr>
          <w:p w:rsidRPr="00F57044" w:rsidR="003B0681" w:rsidP="003B0681" w:rsidRDefault="003B0681" w14:paraId="22CEBD27" w14:textId="77777777">
            <w:pPr>
              <w:pStyle w:val="Questions"/>
              <w:spacing w:before="80" w:after="80"/>
            </w:pPr>
            <w:r w:rsidRPr="00F57044">
              <w:t>How do you think recent price developments should factor into the Government’s thinking about unit settings and price controls?</w:t>
            </w:r>
          </w:p>
        </w:tc>
      </w:tr>
      <w:tr w:rsidRPr="00F57044" w:rsidR="003B0681" w:rsidTr="003B0681" w14:paraId="3B5DFF23" w14:textId="77777777">
        <w:tc>
          <w:tcPr>
            <w:tcW w:w="333" w:type="pct"/>
          </w:tcPr>
          <w:p w:rsidRPr="00F57044" w:rsidR="003B0681" w:rsidP="003B0681" w:rsidRDefault="003B0681" w14:paraId="2D450E40" w14:textId="77777777">
            <w:pPr>
              <w:pStyle w:val="Questions"/>
              <w:spacing w:before="80" w:after="80"/>
            </w:pPr>
            <w:r w:rsidRPr="00F57044">
              <w:t>3</w:t>
            </w:r>
          </w:p>
        </w:tc>
        <w:tc>
          <w:tcPr>
            <w:tcW w:w="4667" w:type="pct"/>
          </w:tcPr>
          <w:p w:rsidRPr="00F57044" w:rsidR="003B0681" w:rsidP="003B0681" w:rsidRDefault="003B0681" w14:paraId="4D406B37" w14:textId="77777777">
            <w:pPr>
              <w:pStyle w:val="Questions"/>
              <w:spacing w:before="80" w:after="80"/>
            </w:pPr>
            <w:r w:rsidRPr="00F57044">
              <w:t>What is your preferred approach for distributing auction volumes for option 2?</w:t>
            </w:r>
          </w:p>
        </w:tc>
      </w:tr>
      <w:tr w:rsidRPr="00F57044" w:rsidR="003B0681" w:rsidTr="003B0681" w14:paraId="1D03E436" w14:textId="77777777">
        <w:tc>
          <w:tcPr>
            <w:tcW w:w="333" w:type="pct"/>
          </w:tcPr>
          <w:p w:rsidRPr="00F57044" w:rsidR="003B0681" w:rsidP="003B0681" w:rsidRDefault="003B0681" w14:paraId="2011B99C" w14:textId="77777777">
            <w:pPr>
              <w:pStyle w:val="Questions"/>
              <w:spacing w:before="80" w:after="80"/>
            </w:pPr>
            <w:r w:rsidRPr="00F57044">
              <w:t>4</w:t>
            </w:r>
          </w:p>
        </w:tc>
        <w:tc>
          <w:tcPr>
            <w:tcW w:w="4667" w:type="pct"/>
          </w:tcPr>
          <w:p w:rsidRPr="00F57044" w:rsidR="003B0681" w:rsidP="003B0681" w:rsidRDefault="003B0681" w14:paraId="630A4B9E" w14:textId="77777777">
            <w:pPr>
              <w:pStyle w:val="Questions"/>
              <w:spacing w:before="80" w:after="80"/>
            </w:pPr>
            <w:r w:rsidRPr="00F57044">
              <w:t>Do you have any feedback on the proposed auction price floor?</w:t>
            </w:r>
          </w:p>
        </w:tc>
      </w:tr>
      <w:tr w:rsidRPr="00F57044" w:rsidR="003B0681" w:rsidTr="003B0681" w14:paraId="41A413E6" w14:textId="77777777">
        <w:tc>
          <w:tcPr>
            <w:tcW w:w="333" w:type="pct"/>
          </w:tcPr>
          <w:p w:rsidRPr="00F57044" w:rsidR="003B0681" w:rsidP="003B0681" w:rsidRDefault="003B0681" w14:paraId="3956B01A" w14:textId="77777777">
            <w:pPr>
              <w:pStyle w:val="Questions"/>
              <w:spacing w:before="80" w:after="80"/>
            </w:pPr>
            <w:r w:rsidRPr="00F57044">
              <w:t>5</w:t>
            </w:r>
          </w:p>
        </w:tc>
        <w:tc>
          <w:tcPr>
            <w:tcW w:w="4667" w:type="pct"/>
          </w:tcPr>
          <w:p w:rsidRPr="00F57044" w:rsidR="003B0681" w:rsidP="003B0681" w:rsidRDefault="003B0681" w14:paraId="4DAEB008" w14:textId="77777777">
            <w:pPr>
              <w:pStyle w:val="Questions"/>
              <w:spacing w:before="80" w:after="80"/>
            </w:pPr>
            <w:r w:rsidRPr="00F57044">
              <w:t>Do you have any feedback on the proposed cost containment reserve prices or volumes?</w:t>
            </w:r>
          </w:p>
        </w:tc>
      </w:tr>
      <w:tr w:rsidRPr="00F57044" w:rsidR="003B0681" w:rsidTr="003B0681" w14:paraId="7C6031FB" w14:textId="77777777">
        <w:tc>
          <w:tcPr>
            <w:tcW w:w="333" w:type="pct"/>
          </w:tcPr>
          <w:p w:rsidRPr="00F57044" w:rsidR="003B0681" w:rsidP="003B0681" w:rsidRDefault="003B0681" w14:paraId="4E9C3519" w14:textId="77777777">
            <w:pPr>
              <w:pStyle w:val="Questions"/>
              <w:spacing w:before="80" w:after="80"/>
            </w:pPr>
            <w:r w:rsidRPr="00F57044">
              <w:t>6</w:t>
            </w:r>
          </w:p>
        </w:tc>
        <w:tc>
          <w:tcPr>
            <w:tcW w:w="4667" w:type="pct"/>
          </w:tcPr>
          <w:p w:rsidRPr="00F57044" w:rsidR="003B0681" w:rsidP="003B0681" w:rsidRDefault="003B0681" w14:paraId="59ADD20D" w14:textId="77777777">
            <w:pPr>
              <w:pStyle w:val="Questions"/>
              <w:spacing w:before="80" w:after="80"/>
            </w:pPr>
            <w:r w:rsidRPr="00F57044">
              <w:t>Do you think the stockpile will pose a risk to achieving the third emissions budget in the way described here?</w:t>
            </w:r>
          </w:p>
        </w:tc>
      </w:tr>
      <w:tr w:rsidRPr="00F57044" w:rsidR="003B0681" w:rsidTr="003B0681" w14:paraId="6578D6A0" w14:textId="77777777">
        <w:tc>
          <w:tcPr>
            <w:tcW w:w="333" w:type="pct"/>
          </w:tcPr>
          <w:p w:rsidRPr="00F57044" w:rsidR="003B0681" w:rsidP="003B0681" w:rsidRDefault="003B0681" w14:paraId="116A74A7" w14:textId="77777777">
            <w:pPr>
              <w:pStyle w:val="Questions"/>
              <w:spacing w:before="80" w:after="80"/>
            </w:pPr>
            <w:r w:rsidRPr="00F57044">
              <w:t>7</w:t>
            </w:r>
          </w:p>
        </w:tc>
        <w:tc>
          <w:tcPr>
            <w:tcW w:w="4667" w:type="pct"/>
          </w:tcPr>
          <w:p w:rsidRPr="00F57044" w:rsidR="003B0681" w:rsidP="003B0681" w:rsidRDefault="003B0681" w14:paraId="3C09F7EB" w14:textId="77777777">
            <w:pPr>
              <w:pStyle w:val="Questions"/>
              <w:spacing w:before="80" w:after="80"/>
            </w:pPr>
            <w:r w:rsidRPr="00F57044">
              <w:t>Do you agree with our impact analysis? Are there any further impacts to consider</w:t>
            </w:r>
            <w:r w:rsidRPr="00F57044" w:rsidDel="00664EA4">
              <w:t xml:space="preserve"> </w:t>
            </w:r>
            <w:r w:rsidRPr="00F57044">
              <w:t>that we have not captured in our analysis?</w:t>
            </w:r>
          </w:p>
        </w:tc>
      </w:tr>
      <w:tr w:rsidRPr="00F57044" w:rsidR="003B0681" w:rsidTr="003B0681" w14:paraId="5404F4D7" w14:textId="77777777">
        <w:tc>
          <w:tcPr>
            <w:tcW w:w="333" w:type="pct"/>
          </w:tcPr>
          <w:p w:rsidRPr="00F57044" w:rsidR="003B0681" w:rsidP="003B0681" w:rsidRDefault="003B0681" w14:paraId="67CE9350" w14:textId="77777777">
            <w:pPr>
              <w:pStyle w:val="Questions"/>
              <w:spacing w:before="80" w:after="80"/>
            </w:pPr>
            <w:r w:rsidRPr="00F57044">
              <w:t>8</w:t>
            </w:r>
          </w:p>
        </w:tc>
        <w:tc>
          <w:tcPr>
            <w:tcW w:w="4667" w:type="pct"/>
          </w:tcPr>
          <w:p w:rsidRPr="00F57044" w:rsidR="003B0681" w:rsidP="003B0681" w:rsidRDefault="003B0681" w14:paraId="7AF64012" w14:textId="77777777">
            <w:pPr>
              <w:pStyle w:val="Questions"/>
              <w:spacing w:before="80" w:after="80"/>
              <w:ind w:right="-57"/>
            </w:pPr>
            <w:r w:rsidRPr="00F57044">
              <w:t>What are your key concerns about the potential impacts of each option on Māori communities?</w:t>
            </w:r>
          </w:p>
        </w:tc>
      </w:tr>
      <w:tr w:rsidRPr="00F57044" w:rsidR="003B0681" w:rsidTr="003B0681" w14:paraId="1D2398E2" w14:textId="77777777">
        <w:tc>
          <w:tcPr>
            <w:tcW w:w="333" w:type="pct"/>
          </w:tcPr>
          <w:p w:rsidRPr="00F57044" w:rsidR="003B0681" w:rsidP="003B0681" w:rsidRDefault="003B0681" w14:paraId="5D31B126" w14:textId="77777777">
            <w:pPr>
              <w:pStyle w:val="Questions"/>
              <w:spacing w:before="80" w:after="80"/>
            </w:pPr>
            <w:r w:rsidRPr="00F57044">
              <w:t>9</w:t>
            </w:r>
          </w:p>
        </w:tc>
        <w:tc>
          <w:tcPr>
            <w:tcW w:w="4667" w:type="pct"/>
          </w:tcPr>
          <w:p w:rsidRPr="00F57044" w:rsidR="003B0681" w:rsidP="003B0681" w:rsidRDefault="003B0681" w14:paraId="5665DEDD" w14:textId="77777777">
            <w:pPr>
              <w:pStyle w:val="Questions"/>
              <w:spacing w:before="80" w:after="80"/>
            </w:pPr>
            <w:r w:rsidRPr="00F57044">
              <w:t>Which is your preferred option?</w:t>
            </w:r>
          </w:p>
        </w:tc>
      </w:tr>
      <w:tr w:rsidRPr="00F57044" w:rsidR="003B0681" w:rsidTr="003B0681" w14:paraId="28EA641C" w14:textId="77777777">
        <w:tc>
          <w:tcPr>
            <w:tcW w:w="333" w:type="pct"/>
          </w:tcPr>
          <w:p w:rsidRPr="00F57044" w:rsidR="003B0681" w:rsidP="003B0681" w:rsidRDefault="003B0681" w14:paraId="79ACCC59" w14:textId="77777777">
            <w:pPr>
              <w:pStyle w:val="Questions"/>
              <w:spacing w:before="80" w:after="80"/>
            </w:pPr>
            <w:r w:rsidRPr="00F57044">
              <w:t>10</w:t>
            </w:r>
          </w:p>
        </w:tc>
        <w:tc>
          <w:tcPr>
            <w:tcW w:w="4667" w:type="pct"/>
          </w:tcPr>
          <w:p w:rsidRPr="00F57044" w:rsidR="003B0681" w:rsidP="003B0681" w:rsidRDefault="003B0681" w14:paraId="75285FA6" w14:textId="77777777">
            <w:pPr>
              <w:pStyle w:val="Questions"/>
              <w:spacing w:before="80" w:after="80"/>
            </w:pPr>
            <w:r w:rsidRPr="00F57044">
              <w:t>What benefits or improvements could result from each option?</w:t>
            </w:r>
          </w:p>
        </w:tc>
      </w:tr>
      <w:tr w:rsidRPr="00F57044" w:rsidR="003B0681" w:rsidTr="003B0681" w14:paraId="654DA8A6" w14:textId="77777777">
        <w:tc>
          <w:tcPr>
            <w:tcW w:w="333" w:type="pct"/>
          </w:tcPr>
          <w:p w:rsidRPr="00F57044" w:rsidR="003B0681" w:rsidP="003B0681" w:rsidRDefault="003B0681" w14:paraId="430F42F0" w14:textId="77777777">
            <w:pPr>
              <w:pStyle w:val="Questions"/>
              <w:spacing w:before="80" w:after="80"/>
            </w:pPr>
            <w:r w:rsidRPr="00F57044">
              <w:t>11</w:t>
            </w:r>
          </w:p>
        </w:tc>
        <w:tc>
          <w:tcPr>
            <w:tcW w:w="4667" w:type="pct"/>
          </w:tcPr>
          <w:p w:rsidRPr="00F57044" w:rsidR="003B0681" w:rsidP="003B0681" w:rsidRDefault="003B0681" w14:paraId="3B87D6F1" w14:textId="77777777">
            <w:pPr>
              <w:pStyle w:val="Questions"/>
              <w:spacing w:before="80" w:after="80"/>
            </w:pPr>
            <w:r w:rsidRPr="00F57044">
              <w:t>What are the challenges or risks of these options?</w:t>
            </w:r>
          </w:p>
        </w:tc>
      </w:tr>
      <w:tr w:rsidRPr="00F57044" w:rsidR="003B0681" w:rsidTr="003B0681" w14:paraId="0726A429" w14:textId="77777777">
        <w:tc>
          <w:tcPr>
            <w:tcW w:w="333" w:type="pct"/>
          </w:tcPr>
          <w:p w:rsidRPr="00F57044" w:rsidR="003B0681" w:rsidP="003B0681" w:rsidRDefault="003B0681" w14:paraId="6F4BE4FC" w14:textId="77777777">
            <w:pPr>
              <w:pStyle w:val="Questions"/>
              <w:spacing w:before="80" w:after="80"/>
            </w:pPr>
            <w:r w:rsidRPr="00F57044">
              <w:t>12</w:t>
            </w:r>
          </w:p>
        </w:tc>
        <w:tc>
          <w:tcPr>
            <w:tcW w:w="4667" w:type="pct"/>
          </w:tcPr>
          <w:p w:rsidRPr="00F57044" w:rsidR="003B0681" w:rsidP="003B0681" w:rsidRDefault="003B0681" w14:paraId="4D9C7AFA" w14:textId="77777777">
            <w:pPr>
              <w:pStyle w:val="Questions"/>
              <w:spacing w:before="80" w:after="80"/>
            </w:pPr>
            <w:r w:rsidRPr="00F57044">
              <w:t>Do you prefer another option not outlined here? Please describe what it would involve.</w:t>
            </w:r>
          </w:p>
        </w:tc>
      </w:tr>
      <w:tr w:rsidRPr="00F57044" w:rsidR="003B0681" w:rsidTr="003B0681" w14:paraId="6843B507" w14:textId="77777777">
        <w:tc>
          <w:tcPr>
            <w:tcW w:w="333" w:type="pct"/>
          </w:tcPr>
          <w:p w:rsidRPr="00F57044" w:rsidR="003B0681" w:rsidP="003B0681" w:rsidRDefault="003B0681" w14:paraId="70747C7A" w14:textId="77777777">
            <w:pPr>
              <w:pStyle w:val="Questions"/>
              <w:spacing w:before="80" w:after="80"/>
            </w:pPr>
            <w:r w:rsidRPr="00F57044">
              <w:t>13</w:t>
            </w:r>
          </w:p>
        </w:tc>
        <w:tc>
          <w:tcPr>
            <w:tcW w:w="4667" w:type="pct"/>
          </w:tcPr>
          <w:p w:rsidRPr="00F57044" w:rsidR="003B0681" w:rsidP="003B0681" w:rsidRDefault="003B0681" w14:paraId="3FD84E61" w14:textId="77777777">
            <w:pPr>
              <w:pStyle w:val="Questions"/>
              <w:spacing w:before="80" w:after="80"/>
            </w:pPr>
            <w:r w:rsidRPr="00F57044">
              <w:t xml:space="preserve">Do you have any feedback on the proposal to align the </w:t>
            </w:r>
            <w:r w:rsidRPr="00F57044" w:rsidDel="009D045A">
              <w:t xml:space="preserve">NZ ETS </w:t>
            </w:r>
            <w:r w:rsidRPr="00F57044">
              <w:t xml:space="preserve">cap for EB2 with ERP2 projections? Do you have any suggestions for a more appropriate method for determining the </w:t>
            </w:r>
            <w:r w:rsidRPr="00F57044" w:rsidDel="008B31AB">
              <w:t xml:space="preserve">NZ ETS </w:t>
            </w:r>
            <w:r w:rsidRPr="00F57044">
              <w:t>cap for EB2?</w:t>
            </w:r>
          </w:p>
        </w:tc>
      </w:tr>
      <w:tr w:rsidRPr="00F57044" w:rsidR="003B0681" w:rsidTr="003B0681" w14:paraId="117A8E0B" w14:textId="77777777">
        <w:tc>
          <w:tcPr>
            <w:tcW w:w="333" w:type="pct"/>
          </w:tcPr>
          <w:p w:rsidRPr="00F57044" w:rsidR="003B0681" w:rsidP="003B0681" w:rsidRDefault="003B0681" w14:paraId="0884CCED" w14:textId="77777777">
            <w:pPr>
              <w:pStyle w:val="Questions"/>
              <w:spacing w:before="80" w:after="80"/>
            </w:pPr>
            <w:r w:rsidRPr="00F57044">
              <w:t>14</w:t>
            </w:r>
          </w:p>
        </w:tc>
        <w:tc>
          <w:tcPr>
            <w:tcW w:w="4667" w:type="pct"/>
          </w:tcPr>
          <w:p w:rsidRPr="00F57044" w:rsidR="003B0681" w:rsidP="003B0681" w:rsidRDefault="003B0681" w14:paraId="69B64B7B" w14:textId="77777777">
            <w:pPr>
              <w:pStyle w:val="Questions"/>
              <w:spacing w:before="80" w:after="80"/>
            </w:pPr>
            <w:r w:rsidRPr="00F57044">
              <w:t xml:space="preserve">Do you have any feedback on the proposed provisional allocation of EB3 volume between ETS and </w:t>
            </w:r>
            <w:r w:rsidRPr="00F57044" w:rsidDel="0013551E">
              <w:t xml:space="preserve">non-ETS covered </w:t>
            </w:r>
            <w:r w:rsidRPr="00F57044">
              <w:t>sectors?</w:t>
            </w:r>
          </w:p>
        </w:tc>
      </w:tr>
      <w:tr w:rsidRPr="00F57044" w:rsidR="003B0681" w:rsidTr="003B0681" w14:paraId="01D3D2DD" w14:textId="77777777">
        <w:tc>
          <w:tcPr>
            <w:tcW w:w="333" w:type="pct"/>
          </w:tcPr>
          <w:p w:rsidRPr="00F57044" w:rsidR="003B0681" w:rsidP="003B0681" w:rsidRDefault="003B0681" w14:paraId="25A8061A" w14:textId="77777777">
            <w:pPr>
              <w:pStyle w:val="Questions"/>
              <w:spacing w:before="80" w:after="80"/>
            </w:pPr>
            <w:r w:rsidRPr="00F57044">
              <w:t>15</w:t>
            </w:r>
          </w:p>
        </w:tc>
        <w:tc>
          <w:tcPr>
            <w:tcW w:w="4667" w:type="pct"/>
          </w:tcPr>
          <w:p w:rsidRPr="00F57044" w:rsidR="003B0681" w:rsidP="003B0681" w:rsidRDefault="003B0681" w14:paraId="39FEDF93" w14:textId="77777777">
            <w:pPr>
              <w:pStyle w:val="Questions"/>
              <w:spacing w:before="80" w:after="80"/>
            </w:pPr>
            <w:r w:rsidRPr="00F57044">
              <w:t>Do you agree with the changes to the way the surplus stockpile is estimated? Do you have any feedback on the new and updated assumptions underlying the estimate (</w:t>
            </w:r>
            <w:proofErr w:type="spellStart"/>
            <w:r w:rsidRPr="00F57044">
              <w:t>eg</w:t>
            </w:r>
            <w:proofErr w:type="spellEnd"/>
            <w:r w:rsidRPr="00F57044">
              <w:t>, the proposal to take the hedge estimate at 2030)?</w:t>
            </w:r>
          </w:p>
        </w:tc>
      </w:tr>
      <w:tr w:rsidRPr="00F57044" w:rsidR="003B0681" w:rsidTr="003B0681" w14:paraId="739288C5" w14:textId="77777777">
        <w:tc>
          <w:tcPr>
            <w:tcW w:w="333" w:type="pct"/>
          </w:tcPr>
          <w:p w:rsidRPr="00F57044" w:rsidR="003B0681" w:rsidP="003B0681" w:rsidRDefault="003B0681" w14:paraId="364D0E33" w14:textId="77777777">
            <w:pPr>
              <w:pStyle w:val="Questions"/>
              <w:spacing w:before="80" w:after="80"/>
            </w:pPr>
            <w:r w:rsidRPr="00F57044">
              <w:t>16</w:t>
            </w:r>
          </w:p>
        </w:tc>
        <w:tc>
          <w:tcPr>
            <w:tcW w:w="4667" w:type="pct"/>
          </w:tcPr>
          <w:p w:rsidRPr="00F57044" w:rsidR="003B0681" w:rsidP="003B0681" w:rsidRDefault="003B0681" w14:paraId="452690EC" w14:textId="77777777">
            <w:pPr>
              <w:pStyle w:val="Questions"/>
              <w:spacing w:before="80" w:after="80"/>
            </w:pPr>
            <w:r w:rsidRPr="00F57044">
              <w:t>Do you consider the updated assumptions about hedging and holding volumes reflect participant behaviour? Do you think the estimated total scale is appropriate? If not, what adjustments to the approach may be needed?</w:t>
            </w:r>
          </w:p>
        </w:tc>
      </w:tr>
      <w:tr w:rsidRPr="00F57044" w:rsidR="003B0681" w:rsidTr="003B0681" w14:paraId="68E87C74" w14:textId="77777777">
        <w:tc>
          <w:tcPr>
            <w:tcW w:w="333" w:type="pct"/>
          </w:tcPr>
          <w:p w:rsidRPr="00F57044" w:rsidR="003B0681" w:rsidP="003B0681" w:rsidRDefault="003B0681" w14:paraId="5795E201" w14:textId="77777777">
            <w:pPr>
              <w:pStyle w:val="Questions"/>
              <w:spacing w:before="80" w:after="80"/>
            </w:pPr>
            <w:r w:rsidRPr="00F57044">
              <w:t>17</w:t>
            </w:r>
          </w:p>
        </w:tc>
        <w:tc>
          <w:tcPr>
            <w:tcW w:w="4667" w:type="pct"/>
          </w:tcPr>
          <w:p w:rsidRPr="00F57044" w:rsidR="003B0681" w:rsidP="003B0681" w:rsidRDefault="003B0681" w14:paraId="2C0C24B2" w14:textId="77777777">
            <w:pPr>
              <w:pStyle w:val="Questions"/>
              <w:spacing w:before="80" w:after="80"/>
            </w:pPr>
            <w:r w:rsidRPr="00F57044">
              <w:t>Do you consider the updated assumptions about post-1989 harvest liabilities and units liable to become surplus from MERP4 are based on the best available data and evidence? Is there additional information that could improve our confidence in these estimates?</w:t>
            </w:r>
          </w:p>
        </w:tc>
      </w:tr>
      <w:tr w:rsidRPr="00F57044" w:rsidR="003B0681" w:rsidTr="003B0681" w14:paraId="553666CF" w14:textId="77777777">
        <w:tc>
          <w:tcPr>
            <w:tcW w:w="333" w:type="pct"/>
          </w:tcPr>
          <w:p w:rsidRPr="00F57044" w:rsidR="003B0681" w:rsidP="003B0681" w:rsidRDefault="003B0681" w14:paraId="39FB6C65" w14:textId="77777777">
            <w:pPr>
              <w:pStyle w:val="Questions"/>
              <w:spacing w:before="80" w:after="80"/>
            </w:pPr>
            <w:r w:rsidRPr="00F57044">
              <w:t>18</w:t>
            </w:r>
          </w:p>
        </w:tc>
        <w:tc>
          <w:tcPr>
            <w:tcW w:w="4667" w:type="pct"/>
          </w:tcPr>
          <w:p w:rsidRPr="00F57044" w:rsidR="003B0681" w:rsidP="003B0681" w:rsidRDefault="003B0681" w14:paraId="7D7A3B00" w14:textId="77777777">
            <w:pPr>
              <w:pStyle w:val="Questions"/>
              <w:spacing w:before="80" w:after="80"/>
            </w:pPr>
            <w:r w:rsidRPr="00F57044">
              <w:t>How should unsold auction units be considered as part of the Government’s NZ ETS settings decisions?</w:t>
            </w:r>
          </w:p>
        </w:tc>
      </w:tr>
      <w:tr w:rsidRPr="00F57044" w:rsidR="003B0681" w:rsidTr="003B0681" w14:paraId="1BDD5ACD" w14:textId="77777777">
        <w:tc>
          <w:tcPr>
            <w:tcW w:w="333" w:type="pct"/>
          </w:tcPr>
          <w:p w:rsidRPr="00F57044" w:rsidR="003B0681" w:rsidP="003B0681" w:rsidRDefault="003B0681" w14:paraId="2312FE20" w14:textId="77777777">
            <w:pPr>
              <w:pStyle w:val="Questions"/>
              <w:spacing w:before="80" w:after="80"/>
            </w:pPr>
            <w:r w:rsidRPr="00F57044">
              <w:t>19</w:t>
            </w:r>
          </w:p>
        </w:tc>
        <w:tc>
          <w:tcPr>
            <w:tcW w:w="4667" w:type="pct"/>
          </w:tcPr>
          <w:p w:rsidRPr="00F57044" w:rsidR="003B0681" w:rsidP="003B0681" w:rsidRDefault="003B0681" w14:paraId="2AABCCD2" w14:textId="77777777">
            <w:pPr>
              <w:pStyle w:val="Questions"/>
              <w:spacing w:before="80" w:after="80"/>
            </w:pPr>
            <w:r w:rsidRPr="00F57044">
              <w:t>Do you have any additional feedback on the calculations made for any of the steps in the seven steps methodology?</w:t>
            </w:r>
          </w:p>
        </w:tc>
      </w:tr>
      <w:tr w:rsidRPr="00F57044" w:rsidR="003B0681" w:rsidTr="003B0681" w14:paraId="5DD455EE" w14:textId="77777777">
        <w:tc>
          <w:tcPr>
            <w:tcW w:w="333" w:type="pct"/>
          </w:tcPr>
          <w:p w:rsidRPr="00F57044" w:rsidR="003B0681" w:rsidP="003B0681" w:rsidRDefault="003B0681" w14:paraId="15F11B07" w14:textId="77777777">
            <w:pPr>
              <w:pStyle w:val="Questions"/>
              <w:spacing w:before="80" w:after="80"/>
            </w:pPr>
            <w:r w:rsidRPr="00F57044">
              <w:t>20</w:t>
            </w:r>
          </w:p>
        </w:tc>
        <w:tc>
          <w:tcPr>
            <w:tcW w:w="4667" w:type="pct"/>
          </w:tcPr>
          <w:p w:rsidRPr="00F57044" w:rsidR="003B0681" w:rsidP="003B0681" w:rsidRDefault="003B0681" w14:paraId="5DA6A9FE" w14:textId="77777777">
            <w:pPr>
              <w:pStyle w:val="Questions"/>
              <w:spacing w:before="80" w:after="80"/>
            </w:pPr>
            <w:r w:rsidRPr="00F57044">
              <w:t>Do you have any evidence or information to support a different approach?</w:t>
            </w:r>
          </w:p>
        </w:tc>
      </w:tr>
    </w:tbl>
    <w:p w:rsidRPr="00F57044" w:rsidR="00CF306D" w:rsidP="00CF306D" w:rsidRDefault="00CF306D" w14:paraId="35379453" w14:textId="1DCF1933">
      <w:pPr>
        <w:pStyle w:val="BodyText"/>
        <w:rPr>
          <w:highlight w:val="yellow"/>
        </w:rPr>
      </w:pPr>
      <w:r w:rsidRPr="00F57044">
        <w:rPr>
          <w:highlight w:val="yellow"/>
        </w:rPr>
        <w:br w:type="page"/>
      </w:r>
    </w:p>
    <w:p w:rsidRPr="00F57044" w:rsidR="006315E0" w:rsidP="009E3890" w:rsidRDefault="006315E0" w14:paraId="598467EF" w14:textId="0639BA3A">
      <w:pPr>
        <w:pStyle w:val="Heading1"/>
      </w:pPr>
      <w:bookmarkStart w:name="_How_to_have" w:id="103"/>
      <w:bookmarkStart w:name="_Toc163048603" w:id="104"/>
      <w:bookmarkStart w:name="_Toc199231046" w:id="105"/>
      <w:bookmarkEnd w:id="103"/>
      <w:r w:rsidRPr="00F57044">
        <w:t>How to have your say</w:t>
      </w:r>
      <w:bookmarkEnd w:id="102"/>
      <w:bookmarkEnd w:id="104"/>
      <w:bookmarkEnd w:id="105"/>
    </w:p>
    <w:p w:rsidRPr="00F57044" w:rsidR="000B3F4D" w:rsidP="000B3F4D" w:rsidRDefault="006315E0" w14:paraId="5A68B42A" w14:textId="655ED99A">
      <w:pPr>
        <w:pStyle w:val="BodyText"/>
      </w:pPr>
      <w:r w:rsidRPr="00F57044">
        <w:t xml:space="preserve">The Government welcomes your feedback on the issues described in this consultation document. The questions throughout the document are </w:t>
      </w:r>
      <w:r w:rsidRPr="00F57044" w:rsidR="00A6042B">
        <w:t xml:space="preserve">summarised </w:t>
      </w:r>
      <w:r w:rsidRPr="00F57044" w:rsidR="00054F0D">
        <w:t xml:space="preserve">in the </w:t>
      </w:r>
      <w:hyperlink w:history="1" w:anchor="_Consultation_questions_and">
        <w:r w:rsidRPr="00F57044" w:rsidR="00054F0D">
          <w:rPr>
            <w:rStyle w:val="Hyperlink"/>
          </w:rPr>
          <w:t>Consultation question</w:t>
        </w:r>
      </w:hyperlink>
      <w:r w:rsidRPr="00F57044" w:rsidR="00054F0D">
        <w:t xml:space="preserve"> section. </w:t>
      </w:r>
    </w:p>
    <w:p w:rsidRPr="00F57044" w:rsidR="000B3F4D" w:rsidP="000B3F4D" w:rsidRDefault="000B3F4D" w14:paraId="6C400C56" w14:textId="1A6D785B">
      <w:pPr>
        <w:pStyle w:val="BodyText"/>
      </w:pPr>
      <w:r w:rsidRPr="00F57044">
        <w:t>They are a guide only and all comments are welcome. You do not have to answer all the</w:t>
      </w:r>
      <w:r w:rsidRPr="00F57044" w:rsidR="00C24B69">
        <w:t> </w:t>
      </w:r>
      <w:r w:rsidRPr="00F57044">
        <w:t>questions.</w:t>
      </w:r>
    </w:p>
    <w:p w:rsidRPr="00F57044" w:rsidR="000B3F4D" w:rsidP="000B3F4D" w:rsidRDefault="000B3F4D" w14:paraId="702633E7" w14:textId="6729AB46">
      <w:pPr>
        <w:pStyle w:val="BodyText"/>
        <w:spacing w:after="240"/>
        <w:rPr>
          <w:rFonts w:eastAsia="Times New Roman"/>
        </w:rPr>
      </w:pPr>
      <w:r w:rsidRPr="00F57044">
        <w:rPr>
          <w:rFonts w:eastAsia="Times New Roman"/>
        </w:rPr>
        <w:t xml:space="preserve">To ensure your point of view is clearly understood, you should explain your rationale and provide supporting evidence where appropriate. </w:t>
      </w:r>
    </w:p>
    <w:p w:rsidRPr="00F57044" w:rsidR="006315E0" w:rsidP="009C16D7" w:rsidRDefault="006315E0" w14:paraId="5CD4A082" w14:textId="02E82B44">
      <w:pPr>
        <w:pStyle w:val="Heading2"/>
      </w:pPr>
      <w:bookmarkStart w:name="_Toc160029012" w:id="106"/>
      <w:bookmarkStart w:name="_Toc163048604" w:id="107"/>
      <w:bookmarkStart w:name="_Toc199231047" w:id="108"/>
      <w:r w:rsidRPr="00F57044">
        <w:t>Timeframes</w:t>
      </w:r>
      <w:bookmarkEnd w:id="106"/>
      <w:bookmarkEnd w:id="107"/>
      <w:bookmarkEnd w:id="108"/>
    </w:p>
    <w:p w:rsidRPr="00F57044" w:rsidR="00352FC0" w:rsidP="006315E0" w:rsidRDefault="006315E0" w14:paraId="3659DD20" w14:textId="7EBE471E">
      <w:pPr>
        <w:pStyle w:val="BodyText"/>
        <w:rPr>
          <w:rFonts w:eastAsia="Calibri" w:cs="Calibri"/>
          <w:b/>
          <w:bCs/>
          <w:color w:val="000000" w:themeColor="text1"/>
        </w:rPr>
      </w:pPr>
      <w:r w:rsidRPr="00F57044">
        <w:rPr>
          <w:rFonts w:eastAsia="Calibri" w:cs="Calibri"/>
          <w:b/>
          <w:bCs/>
          <w:color w:val="000000" w:themeColor="text1"/>
        </w:rPr>
        <w:t xml:space="preserve">This consultation </w:t>
      </w:r>
      <w:r w:rsidRPr="00F57044" w:rsidR="009F0FA0">
        <w:rPr>
          <w:rFonts w:eastAsia="Calibri" w:cs="Calibri"/>
          <w:b/>
          <w:color w:val="000000" w:themeColor="text1"/>
        </w:rPr>
        <w:t>opens</w:t>
      </w:r>
      <w:r w:rsidRPr="00F57044">
        <w:rPr>
          <w:rFonts w:eastAsia="Calibri" w:cs="Calibri"/>
          <w:b/>
          <w:bCs/>
          <w:color w:val="000000" w:themeColor="text1"/>
        </w:rPr>
        <w:t xml:space="preserve"> on </w:t>
      </w:r>
      <w:r w:rsidRPr="00F57044" w:rsidR="00AD33E3">
        <w:rPr>
          <w:rFonts w:eastAsia="Calibri" w:cs="Calibri"/>
          <w:b/>
          <w:bCs/>
          <w:color w:val="000000" w:themeColor="text1"/>
        </w:rPr>
        <w:t xml:space="preserve">28 </w:t>
      </w:r>
      <w:r w:rsidRPr="00F57044" w:rsidR="00163EBA">
        <w:rPr>
          <w:rFonts w:eastAsia="Calibri" w:cs="Calibri"/>
          <w:b/>
          <w:bCs/>
          <w:color w:val="000000" w:themeColor="text1"/>
        </w:rPr>
        <w:t>May</w:t>
      </w:r>
      <w:r w:rsidRPr="00F57044">
        <w:rPr>
          <w:rFonts w:eastAsia="Calibri" w:cs="Calibri"/>
          <w:b/>
          <w:bCs/>
          <w:color w:val="000000" w:themeColor="text1"/>
        </w:rPr>
        <w:t xml:space="preserve"> </w:t>
      </w:r>
      <w:r w:rsidRPr="00F57044" w:rsidR="00AD33E3">
        <w:rPr>
          <w:rFonts w:eastAsia="Calibri" w:cs="Calibri"/>
          <w:b/>
          <w:bCs/>
          <w:color w:val="000000" w:themeColor="text1"/>
        </w:rPr>
        <w:t xml:space="preserve">2025 </w:t>
      </w:r>
      <w:r w:rsidRPr="00F57044">
        <w:rPr>
          <w:rFonts w:eastAsia="Calibri" w:cs="Calibri"/>
          <w:b/>
          <w:bCs/>
          <w:color w:val="000000" w:themeColor="text1"/>
        </w:rPr>
        <w:t xml:space="preserve">and </w:t>
      </w:r>
      <w:r w:rsidRPr="00F57044" w:rsidR="00575476">
        <w:rPr>
          <w:rFonts w:eastAsia="Calibri" w:cs="Calibri"/>
          <w:b/>
          <w:color w:val="000000" w:themeColor="text1"/>
        </w:rPr>
        <w:t>closes at 11.59</w:t>
      </w:r>
      <w:r w:rsidRPr="00F57044" w:rsidR="007747D6">
        <w:rPr>
          <w:rFonts w:eastAsia="Calibri" w:cs="Calibri"/>
          <w:b/>
          <w:color w:val="000000" w:themeColor="text1"/>
        </w:rPr>
        <w:t xml:space="preserve"> </w:t>
      </w:r>
      <w:r w:rsidRPr="00F57044" w:rsidR="00575476">
        <w:rPr>
          <w:rFonts w:eastAsia="Calibri" w:cs="Calibri"/>
          <w:b/>
          <w:color w:val="000000" w:themeColor="text1"/>
        </w:rPr>
        <w:t>pm</w:t>
      </w:r>
      <w:r w:rsidRPr="00F57044">
        <w:rPr>
          <w:rFonts w:eastAsia="Calibri" w:cs="Calibri"/>
          <w:b/>
          <w:bCs/>
          <w:color w:val="000000" w:themeColor="text1"/>
        </w:rPr>
        <w:t xml:space="preserve"> on </w:t>
      </w:r>
      <w:r w:rsidRPr="00F57044" w:rsidR="001B5E25">
        <w:rPr>
          <w:rFonts w:eastAsia="Calibri" w:cs="Calibri"/>
          <w:b/>
          <w:bCs/>
          <w:color w:val="000000" w:themeColor="text1"/>
        </w:rPr>
        <w:t>2</w:t>
      </w:r>
      <w:r w:rsidRPr="00F57044" w:rsidR="0032699A">
        <w:rPr>
          <w:rFonts w:eastAsia="Calibri" w:cs="Calibri"/>
          <w:b/>
          <w:bCs/>
          <w:color w:val="000000" w:themeColor="text1"/>
        </w:rPr>
        <w:t>9</w:t>
      </w:r>
      <w:r w:rsidRPr="00F57044" w:rsidR="001B5E25">
        <w:rPr>
          <w:rFonts w:eastAsia="Calibri" w:cs="Calibri"/>
          <w:b/>
          <w:bCs/>
          <w:color w:val="000000" w:themeColor="text1"/>
        </w:rPr>
        <w:t xml:space="preserve"> </w:t>
      </w:r>
      <w:r w:rsidRPr="00F57044" w:rsidR="00BF6312">
        <w:rPr>
          <w:rFonts w:eastAsia="Calibri" w:cs="Calibri"/>
          <w:b/>
          <w:bCs/>
          <w:color w:val="000000" w:themeColor="text1"/>
        </w:rPr>
        <w:t>June</w:t>
      </w:r>
      <w:r w:rsidRPr="00F57044">
        <w:rPr>
          <w:rFonts w:eastAsia="Calibri" w:cs="Calibri"/>
          <w:b/>
          <w:bCs/>
          <w:color w:val="000000" w:themeColor="text1"/>
        </w:rPr>
        <w:t xml:space="preserve"> </w:t>
      </w:r>
      <w:r w:rsidRPr="00F57044" w:rsidR="001B5E25">
        <w:rPr>
          <w:rFonts w:eastAsia="Calibri" w:cs="Calibri"/>
          <w:b/>
          <w:bCs/>
          <w:color w:val="000000" w:themeColor="text1"/>
        </w:rPr>
        <w:t>2025</w:t>
      </w:r>
      <w:r w:rsidRPr="00F57044">
        <w:rPr>
          <w:rFonts w:eastAsia="Calibri" w:cs="Calibri"/>
          <w:b/>
          <w:bCs/>
          <w:color w:val="000000" w:themeColor="text1"/>
        </w:rPr>
        <w:t xml:space="preserve">. </w:t>
      </w:r>
    </w:p>
    <w:p w:rsidRPr="00F57044" w:rsidR="006315E0" w:rsidP="006315E0" w:rsidRDefault="006315E0" w14:paraId="5339FD24" w14:textId="68FB22AB">
      <w:pPr>
        <w:pStyle w:val="BodyText"/>
        <w:rPr>
          <w:rFonts w:eastAsia="Calibri" w:cs="Calibri"/>
          <w:color w:val="000000" w:themeColor="text1"/>
          <w:highlight w:val="yellow"/>
        </w:rPr>
      </w:pPr>
      <w:r w:rsidRPr="00F57044">
        <w:rPr>
          <w:rFonts w:eastAsia="Calibri" w:cs="Calibri"/>
          <w:color w:val="000000" w:themeColor="text1"/>
        </w:rPr>
        <w:t>When the consultation period has ended, we will develop recommendations on changes to</w:t>
      </w:r>
      <w:r w:rsidRPr="00F57044" w:rsidR="00945851">
        <w:rPr>
          <w:rFonts w:eastAsia="Calibri" w:cs="Calibri"/>
          <w:color w:val="000000" w:themeColor="text1"/>
        </w:rPr>
        <w:t xml:space="preserve"> </w:t>
      </w:r>
      <w:r w:rsidRPr="00F57044" w:rsidR="00352FC0">
        <w:rPr>
          <w:rFonts w:eastAsia="Calibri" w:cs="Calibri"/>
          <w:color w:val="000000" w:themeColor="text1"/>
        </w:rPr>
        <w:t xml:space="preserve">the </w:t>
      </w:r>
      <w:hyperlink w:history="1" r:id="rId41">
        <w:r w:rsidRPr="00F57044" w:rsidR="003E7DB6">
          <w:rPr>
            <w:rStyle w:val="Hyperlink"/>
          </w:rPr>
          <w:t>Climate Change (Auctions, Limits, and Price Controls for Units) Regulations 2020</w:t>
        </w:r>
      </w:hyperlink>
      <w:r w:rsidRPr="00F57044">
        <w:rPr>
          <w:rFonts w:eastAsia="Calibri" w:cs="Calibri"/>
          <w:color w:val="000000" w:themeColor="text1"/>
        </w:rPr>
        <w:t>.</w:t>
      </w:r>
    </w:p>
    <w:p w:rsidRPr="00F57044" w:rsidR="006315E0" w:rsidP="009C16D7" w:rsidRDefault="006315E0" w14:paraId="72B13CD2" w14:textId="5827060E">
      <w:pPr>
        <w:pStyle w:val="Heading2"/>
      </w:pPr>
      <w:bookmarkStart w:name="_Toc160029013" w:id="109"/>
      <w:bookmarkStart w:name="_Toc163048605" w:id="110"/>
      <w:bookmarkStart w:name="_Toc199231048" w:id="111"/>
      <w:r w:rsidRPr="00F57044">
        <w:t xml:space="preserve">How to </w:t>
      </w:r>
      <w:bookmarkEnd w:id="109"/>
      <w:bookmarkEnd w:id="110"/>
      <w:r w:rsidRPr="00F57044" w:rsidR="00577BCB">
        <w:t>provide feedback</w:t>
      </w:r>
      <w:bookmarkEnd w:id="111"/>
    </w:p>
    <w:p w:rsidRPr="00F57044" w:rsidR="006315E0" w:rsidP="006315E0" w:rsidRDefault="006315E0" w14:paraId="14772FF7" w14:textId="08FAD39E">
      <w:pPr>
        <w:pStyle w:val="BodyText"/>
        <w:rPr>
          <w:rFonts w:eastAsia="Calibri" w:cs="Calibri"/>
          <w:color w:val="000000" w:themeColor="text1"/>
        </w:rPr>
      </w:pPr>
      <w:r w:rsidRPr="00F57044">
        <w:rPr>
          <w:rFonts w:eastAsia="Calibri" w:cs="Calibri"/>
          <w:color w:val="000000" w:themeColor="text1"/>
        </w:rPr>
        <w:t xml:space="preserve">There are two ways you can </w:t>
      </w:r>
      <w:r w:rsidRPr="00F57044" w:rsidR="00352FC0">
        <w:rPr>
          <w:rFonts w:eastAsia="Calibri" w:cs="Calibri"/>
          <w:color w:val="000000" w:themeColor="text1"/>
        </w:rPr>
        <w:t>send your feedback</w:t>
      </w:r>
      <w:r w:rsidRPr="00F57044">
        <w:rPr>
          <w:rFonts w:eastAsia="Calibri" w:cs="Calibri"/>
          <w:color w:val="000000" w:themeColor="text1"/>
        </w:rPr>
        <w:t>:</w:t>
      </w:r>
    </w:p>
    <w:p w:rsidRPr="00F57044" w:rsidR="006315E0" w:rsidP="00F42563" w:rsidRDefault="00994730" w14:paraId="3B77CAF5" w14:textId="6A20563E">
      <w:pPr>
        <w:pStyle w:val="Bullet"/>
      </w:pPr>
      <w:r w:rsidRPr="00F57044">
        <w:t>v</w:t>
      </w:r>
      <w:r w:rsidRPr="00F57044" w:rsidR="006315E0">
        <w:t xml:space="preserve">ia </w:t>
      </w:r>
      <w:r w:rsidRPr="00F57044" w:rsidR="00CA01F2">
        <w:t>Citizen Space</w:t>
      </w:r>
      <w:r w:rsidRPr="00F57044" w:rsidR="006315E0">
        <w:t>, our consultation hub</w:t>
      </w:r>
      <w:r w:rsidRPr="00F57044" w:rsidR="00CA01F2">
        <w:t>, available</w:t>
      </w:r>
      <w:r w:rsidRPr="00F57044" w:rsidR="001812BD">
        <w:t xml:space="preserve"> at </w:t>
      </w:r>
      <w:hyperlink w:history="1" r:id="rId42">
        <w:r w:rsidRPr="00F57044" w:rsidR="001812BD">
          <w:rPr>
            <w:rStyle w:val="Hyperlink"/>
          </w:rPr>
          <w:t>https://consult.environment.govt.nz/climate/nz-ets-unit-settings-and-regulatory-updates-2025</w:t>
        </w:r>
      </w:hyperlink>
      <w:r w:rsidRPr="00F57044" w:rsidR="001812BD">
        <w:t xml:space="preserve"> </w:t>
      </w:r>
    </w:p>
    <w:p w:rsidRPr="00F57044" w:rsidR="006315E0" w:rsidP="00F42563" w:rsidRDefault="00994730" w14:paraId="2C769465" w14:textId="47AF3262">
      <w:pPr>
        <w:pStyle w:val="Bullet"/>
      </w:pPr>
      <w:r w:rsidRPr="00F57044">
        <w:t>by w</w:t>
      </w:r>
      <w:r w:rsidRPr="00F57044" w:rsidR="006315E0">
        <w:t>rit</w:t>
      </w:r>
      <w:r w:rsidRPr="00F57044">
        <w:t>ing</w:t>
      </w:r>
      <w:r w:rsidRPr="00F57044" w:rsidR="006315E0">
        <w:t xml:space="preserve"> your own submission. </w:t>
      </w:r>
    </w:p>
    <w:p w:rsidRPr="00F57044" w:rsidR="00CD36F4" w:rsidP="006315E0" w:rsidRDefault="00F36D73" w14:paraId="4D750C2D" w14:textId="4BEA2558">
      <w:pPr>
        <w:pStyle w:val="BodyText"/>
      </w:pPr>
      <w:r w:rsidRPr="00F57044">
        <w:t xml:space="preserve">If you want to </w:t>
      </w:r>
      <w:r w:rsidRPr="00F57044" w:rsidR="00352FC0">
        <w:t xml:space="preserve">send </w:t>
      </w:r>
      <w:r w:rsidRPr="00F57044">
        <w:t xml:space="preserve">your own written submission, you can include this as an uploaded file in Citizen Space. </w:t>
      </w:r>
    </w:p>
    <w:p w:rsidRPr="00F57044" w:rsidR="006315E0" w:rsidP="006315E0" w:rsidRDefault="006315E0" w14:paraId="7AE70086" w14:textId="38B73ECB">
      <w:pPr>
        <w:pStyle w:val="BodyText"/>
        <w:rPr>
          <w:rFonts w:eastAsia="Calibri" w:cs="Calibri"/>
          <w:color w:val="000000" w:themeColor="text1"/>
        </w:rPr>
      </w:pPr>
      <w:r w:rsidRPr="00F57044">
        <w:rPr>
          <w:rFonts w:eastAsia="Calibri" w:cs="Calibri"/>
          <w:color w:val="000000" w:themeColor="text1"/>
        </w:rPr>
        <w:t>We</w:t>
      </w:r>
      <w:r w:rsidRPr="00F57044" w:rsidDel="00977F2D">
        <w:rPr>
          <w:rFonts w:eastAsia="Calibri" w:cs="Calibri"/>
          <w:color w:val="000000" w:themeColor="text1"/>
        </w:rPr>
        <w:t xml:space="preserve"> </w:t>
      </w:r>
      <w:r w:rsidRPr="00F57044" w:rsidR="00977F2D">
        <w:rPr>
          <w:rFonts w:eastAsia="Calibri" w:cs="Calibri"/>
          <w:color w:val="000000" w:themeColor="text1"/>
        </w:rPr>
        <w:t xml:space="preserve">request </w:t>
      </w:r>
      <w:r w:rsidRPr="00F57044">
        <w:rPr>
          <w:rFonts w:eastAsia="Calibri" w:cs="Calibri"/>
          <w:color w:val="000000" w:themeColor="text1"/>
        </w:rPr>
        <w:t>that you do</w:t>
      </w:r>
      <w:r w:rsidRPr="00F57044" w:rsidR="00994730">
        <w:rPr>
          <w:rFonts w:eastAsia="Calibri" w:cs="Calibri"/>
          <w:color w:val="000000" w:themeColor="text1"/>
        </w:rPr>
        <w:t xml:space="preserve"> not</w:t>
      </w:r>
      <w:r w:rsidRPr="00F57044">
        <w:rPr>
          <w:rFonts w:eastAsia="Calibri" w:cs="Calibri"/>
          <w:color w:val="000000" w:themeColor="text1"/>
        </w:rPr>
        <w:t xml:space="preserve"> email or post submissions as this makes analysis more difficult. However, if you need to </w:t>
      </w:r>
      <w:r w:rsidRPr="00F57044" w:rsidR="00994730">
        <w:rPr>
          <w:rFonts w:eastAsia="Calibri" w:cs="Calibri"/>
          <w:color w:val="000000" w:themeColor="text1"/>
        </w:rPr>
        <w:t xml:space="preserve">post a written submission, </w:t>
      </w:r>
      <w:r w:rsidRPr="00F57044">
        <w:rPr>
          <w:rFonts w:eastAsia="Calibri" w:cs="Calibri"/>
          <w:color w:val="000000" w:themeColor="text1"/>
        </w:rPr>
        <w:t xml:space="preserve">please send </w:t>
      </w:r>
      <w:r w:rsidRPr="00F57044" w:rsidR="00994730">
        <w:rPr>
          <w:rFonts w:eastAsia="Calibri" w:cs="Calibri"/>
          <w:color w:val="000000" w:themeColor="text1"/>
        </w:rPr>
        <w:t xml:space="preserve">it </w:t>
      </w:r>
      <w:r w:rsidRPr="00F57044">
        <w:rPr>
          <w:rFonts w:eastAsia="Calibri" w:cs="Calibri"/>
          <w:color w:val="000000" w:themeColor="text1"/>
        </w:rPr>
        <w:t>to</w:t>
      </w:r>
      <w:r w:rsidRPr="00F57044" w:rsidR="00337E5B">
        <w:rPr>
          <w:rFonts w:eastAsia="Calibri" w:cs="Calibri"/>
          <w:color w:val="000000" w:themeColor="text1"/>
        </w:rPr>
        <w:t>:</w:t>
      </w:r>
      <w:r w:rsidRPr="00F57044">
        <w:rPr>
          <w:rFonts w:eastAsia="Calibri" w:cs="Calibri"/>
          <w:color w:val="000000" w:themeColor="text1"/>
        </w:rPr>
        <w:t xml:space="preserve"> NZ ETS </w:t>
      </w:r>
      <w:r w:rsidRPr="00F57044" w:rsidR="00F36D73">
        <w:rPr>
          <w:rFonts w:eastAsia="Calibri" w:cs="Calibri"/>
          <w:color w:val="000000" w:themeColor="text1"/>
        </w:rPr>
        <w:t xml:space="preserve">settings </w:t>
      </w:r>
      <w:r w:rsidRPr="00F57044" w:rsidR="00CA5039">
        <w:rPr>
          <w:rFonts w:eastAsia="Calibri" w:cs="Calibri"/>
          <w:color w:val="000000" w:themeColor="text1"/>
        </w:rPr>
        <w:t>consultation</w:t>
      </w:r>
      <w:r w:rsidRPr="00F57044">
        <w:rPr>
          <w:rFonts w:eastAsia="Calibri" w:cs="Calibri"/>
          <w:color w:val="000000" w:themeColor="text1"/>
        </w:rPr>
        <w:t>, Ministry for the Environment, PO Box 10362, Wellington 6143 and include:</w:t>
      </w:r>
    </w:p>
    <w:p w:rsidRPr="00F57044" w:rsidR="006315E0" w:rsidP="00F42563" w:rsidRDefault="006315E0" w14:paraId="0B0C1B08" w14:textId="74AAD75C">
      <w:pPr>
        <w:pStyle w:val="Bullet"/>
      </w:pPr>
      <w:r w:rsidRPr="00F57044">
        <w:t>the title of the consultation</w:t>
      </w:r>
    </w:p>
    <w:p w:rsidRPr="00F57044" w:rsidR="006315E0" w:rsidP="00F42563" w:rsidRDefault="006315E0" w14:paraId="6A75A93E" w14:textId="0F3ADAFB">
      <w:pPr>
        <w:pStyle w:val="Bullet"/>
      </w:pPr>
      <w:r w:rsidRPr="00F57044">
        <w:t>your name or organisation</w:t>
      </w:r>
    </w:p>
    <w:p w:rsidRPr="00F57044" w:rsidR="006315E0" w:rsidP="00F42563" w:rsidRDefault="006315E0" w14:paraId="3EEA9739" w14:textId="01520C22">
      <w:pPr>
        <w:pStyle w:val="Bullet"/>
      </w:pPr>
      <w:r w:rsidRPr="00F57044">
        <w:t>your postal address</w:t>
      </w:r>
    </w:p>
    <w:p w:rsidRPr="00F57044" w:rsidR="006315E0" w:rsidP="00F42563" w:rsidRDefault="006315E0" w14:paraId="48B84E88" w14:textId="241E2C6D">
      <w:pPr>
        <w:pStyle w:val="Bullet"/>
      </w:pPr>
      <w:r w:rsidRPr="00F57044">
        <w:t>your telephone number</w:t>
      </w:r>
    </w:p>
    <w:p w:rsidRPr="00F57044" w:rsidR="006315E0" w:rsidP="00F42563" w:rsidRDefault="006315E0" w14:paraId="61A995AA" w14:textId="0B12946D">
      <w:pPr>
        <w:pStyle w:val="Bullet"/>
      </w:pPr>
      <w:r w:rsidRPr="00F57044">
        <w:t>your email address</w:t>
      </w:r>
      <w:r w:rsidRPr="00F57044" w:rsidR="00F42563">
        <w:t>.</w:t>
      </w:r>
    </w:p>
    <w:p w:rsidRPr="00F57044" w:rsidR="006315E0" w:rsidP="0042675D" w:rsidRDefault="006315E0" w14:paraId="41DF87EE" w14:textId="3E2AD118">
      <w:pPr>
        <w:pStyle w:val="BodyText"/>
      </w:pPr>
      <w:r w:rsidRPr="00F57044">
        <w:t xml:space="preserve">If you are emailing your submission, send it to </w:t>
      </w:r>
      <w:hyperlink w:history="1" r:id="rId43">
        <w:r w:rsidRPr="00F57044">
          <w:rPr>
            <w:rStyle w:val="Hyperlink"/>
            <w:rFonts w:eastAsia="Calibri" w:cs="Calibri"/>
          </w:rPr>
          <w:t>etsconsultation@mfe.govt.nz</w:t>
        </w:r>
      </w:hyperlink>
      <w:r w:rsidRPr="00F57044">
        <w:t xml:space="preserve"> as a:</w:t>
      </w:r>
    </w:p>
    <w:p w:rsidRPr="00F57044" w:rsidR="006315E0" w:rsidP="00F42563" w:rsidRDefault="006315E0" w14:paraId="376E81E3" w14:textId="3A6054BA">
      <w:pPr>
        <w:pStyle w:val="Bullet"/>
      </w:pPr>
      <w:r w:rsidRPr="00F57044">
        <w:t>PDF</w:t>
      </w:r>
    </w:p>
    <w:p w:rsidRPr="00F57044" w:rsidR="00F5655B" w:rsidP="003A632E" w:rsidRDefault="006315E0" w14:paraId="5ABDCFA4" w14:textId="456313C9">
      <w:pPr>
        <w:pStyle w:val="Bullet"/>
        <w:rPr>
          <w:rFonts w:eastAsiaTheme="majorEastAsia"/>
        </w:rPr>
      </w:pPr>
      <w:r w:rsidRPr="00F57044">
        <w:t>Microsoft Word document (2003 or later version)</w:t>
      </w:r>
      <w:r w:rsidRPr="00F57044" w:rsidR="00F42563">
        <w:t>.</w:t>
      </w:r>
      <w:bookmarkStart w:name="_Toc160029014" w:id="112"/>
      <w:bookmarkStart w:name="_Toc163048606" w:id="113"/>
    </w:p>
    <w:p w:rsidRPr="00F57044" w:rsidR="006315E0" w:rsidP="009C16D7" w:rsidRDefault="006315E0" w14:paraId="35651BCF" w14:textId="2E2E8E56">
      <w:pPr>
        <w:pStyle w:val="Heading2"/>
      </w:pPr>
      <w:bookmarkStart w:name="_Toc199231049" w:id="114"/>
      <w:r w:rsidRPr="00F57044">
        <w:t>For more information</w:t>
      </w:r>
      <w:bookmarkEnd w:id="112"/>
      <w:bookmarkEnd w:id="113"/>
      <w:bookmarkEnd w:id="114"/>
    </w:p>
    <w:p w:rsidRPr="00F57044" w:rsidR="006315E0" w:rsidP="006315E0" w:rsidRDefault="006315E0" w14:paraId="02E8B084" w14:textId="453E4892">
      <w:pPr>
        <w:pStyle w:val="BodyText"/>
        <w:rPr>
          <w:rFonts w:eastAsia="Calibri" w:cs="Calibri"/>
          <w:color w:val="000000" w:themeColor="text1"/>
        </w:rPr>
      </w:pPr>
      <w:r w:rsidRPr="00F57044">
        <w:rPr>
          <w:rFonts w:eastAsia="Calibri" w:cs="Calibri"/>
          <w:color w:val="000000" w:themeColor="text1"/>
        </w:rPr>
        <w:t xml:space="preserve">Please </w:t>
      </w:r>
      <w:r w:rsidRPr="00F57044" w:rsidR="00352FC0">
        <w:rPr>
          <w:rFonts w:eastAsia="Calibri" w:cs="Calibri"/>
          <w:color w:val="000000" w:themeColor="text1"/>
        </w:rPr>
        <w:t xml:space="preserve">send </w:t>
      </w:r>
      <w:r w:rsidRPr="00F57044">
        <w:rPr>
          <w:rFonts w:eastAsia="Calibri" w:cs="Calibri"/>
          <w:color w:val="000000" w:themeColor="text1"/>
        </w:rPr>
        <w:t>any queries to:</w:t>
      </w:r>
    </w:p>
    <w:p w:rsidRPr="00F57044" w:rsidR="006315E0" w:rsidP="006315E0" w:rsidRDefault="006315E0" w14:paraId="33C8630A" w14:textId="5D4E48FA">
      <w:pPr>
        <w:pStyle w:val="BodyText"/>
        <w:tabs>
          <w:tab w:val="left" w:pos="851"/>
        </w:tabs>
        <w:spacing w:before="0" w:after="0"/>
        <w:rPr>
          <w:rFonts w:eastAsia="Calibri" w:cs="Calibri"/>
          <w:color w:val="000000" w:themeColor="text1"/>
        </w:rPr>
      </w:pPr>
      <w:r w:rsidRPr="00F57044">
        <w:rPr>
          <w:rFonts w:eastAsia="Calibri" w:cs="Calibri"/>
          <w:color w:val="000000" w:themeColor="text1"/>
        </w:rPr>
        <w:t xml:space="preserve">Email: </w:t>
      </w:r>
      <w:r w:rsidRPr="00F57044">
        <w:tab/>
      </w:r>
      <w:hyperlink w:history="1" r:id="rId44">
        <w:r w:rsidRPr="00F57044">
          <w:rPr>
            <w:rStyle w:val="Hyperlink"/>
            <w:rFonts w:eastAsia="Calibri" w:cs="Calibri"/>
          </w:rPr>
          <w:t>etsconsultation@mfe.govt.nz</w:t>
        </w:r>
      </w:hyperlink>
    </w:p>
    <w:p w:rsidRPr="00F57044" w:rsidR="006315E0" w:rsidP="006315E0" w:rsidRDefault="006315E0" w14:paraId="298C3B1F" w14:textId="55BEE694">
      <w:pPr>
        <w:pStyle w:val="BodyText"/>
        <w:ind w:left="851" w:hanging="851"/>
        <w:rPr>
          <w:rFonts w:eastAsia="Calibri" w:cs="Calibri"/>
          <w:color w:val="000000" w:themeColor="text1"/>
        </w:rPr>
      </w:pPr>
      <w:r w:rsidRPr="00F57044">
        <w:rPr>
          <w:rFonts w:eastAsia="Calibri" w:cs="Calibri"/>
          <w:color w:val="000000" w:themeColor="text1"/>
        </w:rPr>
        <w:t xml:space="preserve">Postal: </w:t>
      </w:r>
      <w:r w:rsidRPr="00F57044">
        <w:tab/>
      </w:r>
      <w:r w:rsidRPr="00F57044">
        <w:t xml:space="preserve">NZ </w:t>
      </w:r>
      <w:r w:rsidRPr="00F57044">
        <w:rPr>
          <w:rFonts w:eastAsia="Calibri" w:cs="Calibri"/>
          <w:color w:val="000000" w:themeColor="text1"/>
        </w:rPr>
        <w:t xml:space="preserve">ETS </w:t>
      </w:r>
      <w:r w:rsidRPr="00F57044" w:rsidR="00E935C6">
        <w:rPr>
          <w:rFonts w:eastAsia="Calibri" w:cs="Calibri"/>
          <w:color w:val="000000" w:themeColor="text1"/>
        </w:rPr>
        <w:t>annual settings</w:t>
      </w:r>
      <w:r w:rsidRPr="00F57044" w:rsidDel="00E935C6">
        <w:rPr>
          <w:rFonts w:eastAsia="Calibri" w:cs="Calibri"/>
          <w:color w:val="000000" w:themeColor="text1"/>
        </w:rPr>
        <w:t xml:space="preserve"> </w:t>
      </w:r>
      <w:r w:rsidRPr="00F57044" w:rsidR="00E42A1A">
        <w:rPr>
          <w:rFonts w:eastAsia="Calibri" w:cs="Calibri"/>
          <w:color w:val="000000" w:themeColor="text1"/>
        </w:rPr>
        <w:t>u</w:t>
      </w:r>
      <w:r w:rsidRPr="00F57044">
        <w:rPr>
          <w:rFonts w:eastAsia="Calibri" w:cs="Calibri"/>
          <w:color w:val="000000" w:themeColor="text1"/>
        </w:rPr>
        <w:t xml:space="preserve">pdates, Ministry for the Environment, </w:t>
      </w:r>
      <w:r w:rsidRPr="00F57044">
        <w:rPr>
          <w:rFonts w:eastAsia="Calibri" w:cs="Calibri"/>
          <w:color w:val="000000" w:themeColor="text1"/>
        </w:rPr>
        <w:br/>
      </w:r>
      <w:r w:rsidRPr="00F57044">
        <w:rPr>
          <w:rFonts w:eastAsia="Calibri" w:cs="Calibri"/>
          <w:color w:val="000000" w:themeColor="text1"/>
        </w:rPr>
        <w:t>PO Box 10362, Wellington 6143</w:t>
      </w:r>
    </w:p>
    <w:p w:rsidRPr="00F57044" w:rsidR="006315E0" w:rsidP="009C16D7" w:rsidRDefault="006315E0" w14:paraId="03C4DF7E" w14:textId="4DB898E8">
      <w:pPr>
        <w:pStyle w:val="Heading2"/>
      </w:pPr>
      <w:bookmarkStart w:name="_Toc160029015" w:id="115"/>
      <w:bookmarkStart w:name="_Toc163048607" w:id="116"/>
      <w:bookmarkStart w:name="_Toc199231050" w:id="117"/>
      <w:r w:rsidRPr="00F57044">
        <w:t>Publishing and releasing submissions</w:t>
      </w:r>
      <w:bookmarkEnd w:id="115"/>
      <w:bookmarkEnd w:id="116"/>
      <w:bookmarkEnd w:id="117"/>
    </w:p>
    <w:p w:rsidRPr="00F57044" w:rsidR="00DE5167" w:rsidP="00DE5167" w:rsidRDefault="00DE5167" w14:paraId="2F0EC7EC" w14:textId="28253323">
      <w:pPr>
        <w:pStyle w:val="BodyText"/>
      </w:pPr>
      <w:r w:rsidRPr="00F57044">
        <w:t>All or part of any written comments (including names of submitters) may be published on</w:t>
      </w:r>
      <w:r w:rsidRPr="00F57044" w:rsidR="002C1E13">
        <w:t xml:space="preserve"> </w:t>
      </w:r>
      <w:r w:rsidRPr="00F57044">
        <w:t>the</w:t>
      </w:r>
      <w:r w:rsidR="00635B5D">
        <w:t> </w:t>
      </w:r>
      <w:r w:rsidRPr="00F57044">
        <w:t>Ministry for the Environment’s website, environment.govt.nz. Unless you clearly specify</w:t>
      </w:r>
      <w:r w:rsidRPr="00F57044" w:rsidR="002C1E13">
        <w:t xml:space="preserve"> </w:t>
      </w:r>
      <w:r w:rsidRPr="00F57044">
        <w:t>otherwise in your submission, the Ministry will consider that you have consented to website</w:t>
      </w:r>
      <w:r w:rsidRPr="00F57044" w:rsidR="002C1E13">
        <w:t xml:space="preserve"> </w:t>
      </w:r>
      <w:r w:rsidRPr="00F57044">
        <w:t>posting of both your submission and your name.</w:t>
      </w:r>
    </w:p>
    <w:p w:rsidRPr="00F57044" w:rsidR="00DE5167" w:rsidP="00DE5167" w:rsidRDefault="00DE5167" w14:paraId="3C1D2198" w14:textId="23FC577E">
      <w:pPr>
        <w:pStyle w:val="BodyText"/>
      </w:pPr>
      <w:r w:rsidRPr="00F57044">
        <w:t>Contents of submissions may be released to the public under the Official Information Act 1982</w:t>
      </w:r>
      <w:r w:rsidRPr="00F57044" w:rsidR="002C1E13">
        <w:t xml:space="preserve"> </w:t>
      </w:r>
      <w:r w:rsidRPr="00F57044">
        <w:t>following requests to the Ministry for the Environment (including via email). Please advise if</w:t>
      </w:r>
      <w:r w:rsidRPr="00F57044" w:rsidR="002C1E13">
        <w:t xml:space="preserve"> </w:t>
      </w:r>
      <w:r w:rsidRPr="00F57044">
        <w:t xml:space="preserve">you have any objection to the release of any information contained in a submission and, </w:t>
      </w:r>
      <w:proofErr w:type="gramStart"/>
      <w:r w:rsidRPr="00F57044">
        <w:t>in</w:t>
      </w:r>
      <w:r w:rsidRPr="00F57044" w:rsidR="002C1E13">
        <w:t xml:space="preserve"> </w:t>
      </w:r>
      <w:r w:rsidRPr="00F57044">
        <w:t>particular, which</w:t>
      </w:r>
      <w:proofErr w:type="gramEnd"/>
      <w:r w:rsidRPr="00F57044">
        <w:t xml:space="preserve"> part(s) you consider should be withheld, together with the reason(s) for</w:t>
      </w:r>
      <w:r w:rsidRPr="00F57044" w:rsidR="002C1E13">
        <w:t xml:space="preserve"> </w:t>
      </w:r>
      <w:r w:rsidRPr="00F57044">
        <w:t xml:space="preserve">withholding the information. We will </w:t>
      </w:r>
      <w:proofErr w:type="gramStart"/>
      <w:r w:rsidRPr="00F57044">
        <w:t>take into account</w:t>
      </w:r>
      <w:proofErr w:type="gramEnd"/>
      <w:r w:rsidRPr="00F57044">
        <w:t xml:space="preserve"> all such objections when responding</w:t>
      </w:r>
      <w:r w:rsidRPr="00F57044" w:rsidR="002C1E13">
        <w:t xml:space="preserve"> </w:t>
      </w:r>
      <w:r w:rsidRPr="00F57044">
        <w:t>to</w:t>
      </w:r>
      <w:r w:rsidR="00635B5D">
        <w:t> </w:t>
      </w:r>
      <w:r w:rsidRPr="00F57044">
        <w:t>requests for copies of, and information on, submissions to this document under the Official</w:t>
      </w:r>
      <w:r w:rsidRPr="00F57044" w:rsidR="002C1E13">
        <w:t xml:space="preserve"> </w:t>
      </w:r>
      <w:r w:rsidRPr="00F57044">
        <w:t>Information Act.</w:t>
      </w:r>
    </w:p>
    <w:p w:rsidRPr="00F57044" w:rsidR="00DE5167" w:rsidP="00DE5167" w:rsidRDefault="00DE5167" w14:paraId="35643DB0" w14:textId="43D489EE">
      <w:pPr>
        <w:pStyle w:val="BodyText"/>
      </w:pPr>
      <w:r w:rsidRPr="00F57044">
        <w:t>The Privacy Act 2020 applies certain principles about the collection, use and disclosure of</w:t>
      </w:r>
      <w:r w:rsidRPr="00F57044" w:rsidR="002C1E13">
        <w:t xml:space="preserve"> </w:t>
      </w:r>
      <w:r w:rsidRPr="00F57044">
        <w:t>information about individuals by various agencies, including the Ministry for the Environment.</w:t>
      </w:r>
      <w:r w:rsidRPr="00F57044" w:rsidR="002C1E13">
        <w:t xml:space="preserve"> </w:t>
      </w:r>
      <w:r w:rsidRPr="00F57044">
        <w:t>It governs access by individuals to information about themselves held by agencies. Any</w:t>
      </w:r>
      <w:r w:rsidRPr="00F57044" w:rsidR="002C1E13">
        <w:t xml:space="preserve"> </w:t>
      </w:r>
      <w:r w:rsidRPr="00F57044">
        <w:t xml:space="preserve">personal information you supply to the Ministry </w:t>
      </w:r>
      <w:proofErr w:type="gramStart"/>
      <w:r w:rsidRPr="00F57044">
        <w:t>in the course of</w:t>
      </w:r>
      <w:proofErr w:type="gramEnd"/>
      <w:r w:rsidRPr="00F57044">
        <w:t xml:space="preserve"> making a submission will be</w:t>
      </w:r>
      <w:r w:rsidRPr="00F57044" w:rsidR="002C1E13">
        <w:t xml:space="preserve"> </w:t>
      </w:r>
      <w:r w:rsidRPr="00F57044">
        <w:t>used by the Ministry only in relation to the matters covered by this document. Please clearly</w:t>
      </w:r>
      <w:r w:rsidRPr="00F57044" w:rsidR="002C1E13">
        <w:t xml:space="preserve"> </w:t>
      </w:r>
      <w:r w:rsidRPr="00F57044">
        <w:t>indicate in your submission if you do not wish your name to be included in any summary of</w:t>
      </w:r>
      <w:r w:rsidRPr="00F57044" w:rsidR="002C1E13">
        <w:t xml:space="preserve"> </w:t>
      </w:r>
      <w:r w:rsidRPr="00F57044">
        <w:t>submissions that the Ministry may publish.</w:t>
      </w:r>
    </w:p>
    <w:p w:rsidRPr="00F57044" w:rsidR="006315E0" w:rsidP="003F0B4C" w:rsidRDefault="006315E0" w14:paraId="434E8452" w14:textId="5FC11373">
      <w:pPr>
        <w:pStyle w:val="BodyText"/>
        <w:rPr>
          <w:highlight w:val="yellow"/>
        </w:rPr>
      </w:pPr>
      <w:r w:rsidRPr="00F57044">
        <w:rPr>
          <w:highlight w:val="yellow"/>
        </w:rPr>
        <w:br w:type="page"/>
      </w:r>
    </w:p>
    <w:p w:rsidRPr="00F57044" w:rsidR="00B06341" w:rsidP="009E3890" w:rsidRDefault="0012316C" w14:paraId="271835CB" w14:textId="4A1342A9">
      <w:pPr>
        <w:pStyle w:val="Heading1"/>
        <w:rPr>
          <w:rStyle w:val="Hyperlink"/>
          <w:color w:val="1B556B"/>
        </w:rPr>
      </w:pPr>
      <w:bookmarkStart w:name="_Appendix_1:_Seven" w:id="118"/>
      <w:bookmarkStart w:name="_Toc199231051" w:id="119"/>
      <w:bookmarkStart w:name="_Toc163048608" w:id="120"/>
      <w:bookmarkEnd w:id="118"/>
      <w:r w:rsidRPr="00F57044">
        <w:rPr>
          <w:rStyle w:val="Hyperlink"/>
          <w:color w:val="1B556B"/>
        </w:rPr>
        <w:t xml:space="preserve">Appendix </w:t>
      </w:r>
      <w:r w:rsidRPr="00F57044" w:rsidR="025ABBDB">
        <w:rPr>
          <w:rStyle w:val="Hyperlink"/>
          <w:color w:val="1B556B"/>
        </w:rPr>
        <w:t>1</w:t>
      </w:r>
      <w:r w:rsidRPr="00F57044" w:rsidR="1CC738AD">
        <w:rPr>
          <w:rStyle w:val="Hyperlink"/>
          <w:color w:val="1B556B"/>
        </w:rPr>
        <w:t xml:space="preserve">: </w:t>
      </w:r>
      <w:r w:rsidRPr="00F57044" w:rsidR="00B06341">
        <w:rPr>
          <w:rStyle w:val="Hyperlink"/>
          <w:color w:val="1B556B"/>
        </w:rPr>
        <w:t xml:space="preserve">Seven </w:t>
      </w:r>
      <w:r w:rsidRPr="00F57044" w:rsidR="0081324E">
        <w:rPr>
          <w:rStyle w:val="Hyperlink"/>
          <w:color w:val="1B556B"/>
        </w:rPr>
        <w:t>s</w:t>
      </w:r>
      <w:r w:rsidRPr="00F57044" w:rsidR="00B06341">
        <w:rPr>
          <w:rStyle w:val="Hyperlink"/>
          <w:color w:val="1B556B"/>
        </w:rPr>
        <w:t>tep</w:t>
      </w:r>
      <w:r w:rsidRPr="00F57044" w:rsidR="0081324E">
        <w:rPr>
          <w:rStyle w:val="Hyperlink"/>
          <w:color w:val="1B556B"/>
        </w:rPr>
        <w:t>s</w:t>
      </w:r>
      <w:r w:rsidRPr="00F57044" w:rsidR="00B06341">
        <w:rPr>
          <w:rStyle w:val="Hyperlink"/>
          <w:color w:val="1B556B"/>
        </w:rPr>
        <w:t xml:space="preserve"> </w:t>
      </w:r>
      <w:r w:rsidRPr="00F57044" w:rsidR="0081324E">
        <w:rPr>
          <w:rStyle w:val="Hyperlink"/>
          <w:color w:val="1B556B"/>
        </w:rPr>
        <w:t>m</w:t>
      </w:r>
      <w:r w:rsidRPr="00F57044" w:rsidR="00B06341">
        <w:rPr>
          <w:rStyle w:val="Hyperlink"/>
          <w:color w:val="1B556B"/>
        </w:rPr>
        <w:t>ethodology</w:t>
      </w:r>
      <w:bookmarkEnd w:id="119"/>
    </w:p>
    <w:p w:rsidRPr="00F57044" w:rsidR="00F922E6" w:rsidP="00B06341" w:rsidRDefault="00B06341" w14:paraId="152CC6AB" w14:textId="676B9131">
      <w:pPr>
        <w:pStyle w:val="BodyText"/>
      </w:pPr>
      <w:r w:rsidRPr="00F57044">
        <w:t>The seven steps methodology calculates theoretical maximum auction volumes</w:t>
      </w:r>
      <w:r w:rsidRPr="00F57044" w:rsidR="00837C0B">
        <w:t xml:space="preserve"> within the New Zealand Emissions Trading Scheme (NZ ETS)</w:t>
      </w:r>
      <w:r w:rsidRPr="00F57044">
        <w:t xml:space="preserve"> that accord with emissions </w:t>
      </w:r>
      <w:r w:rsidR="00824635">
        <w:t xml:space="preserve">reduction </w:t>
      </w:r>
      <w:r w:rsidRPr="00F57044">
        <w:t xml:space="preserve">targets. This </w:t>
      </w:r>
      <w:r w:rsidRPr="00F57044" w:rsidR="0014775B">
        <w:t>yields</w:t>
      </w:r>
      <w:r w:rsidRPr="00F57044" w:rsidR="008A7197">
        <w:t xml:space="preserve"> the auction volumes in</w:t>
      </w:r>
      <w:r w:rsidRPr="00F57044">
        <w:t xml:space="preserve"> </w:t>
      </w:r>
      <w:r w:rsidRPr="00F57044" w:rsidR="0081324E">
        <w:t>o</w:t>
      </w:r>
      <w:r w:rsidRPr="00F57044">
        <w:t xml:space="preserve">ption </w:t>
      </w:r>
      <w:r w:rsidRPr="00F57044" w:rsidR="00EB0100">
        <w:t>2</w:t>
      </w:r>
      <w:r w:rsidRPr="00F57044" w:rsidR="00F922E6">
        <w:t>.</w:t>
      </w:r>
      <w:r w:rsidRPr="00F57044">
        <w:t xml:space="preserve"> </w:t>
      </w:r>
    </w:p>
    <w:p w:rsidRPr="00F57044" w:rsidR="003B76B2" w:rsidP="00B06341" w:rsidRDefault="00F922E6" w14:paraId="6BAFEC31" w14:textId="4B0CAAA4">
      <w:pPr>
        <w:pStyle w:val="BodyText"/>
      </w:pPr>
      <w:r w:rsidRPr="00F57044">
        <w:t xml:space="preserve">The </w:t>
      </w:r>
      <w:r w:rsidRPr="00F57044" w:rsidR="0081324E">
        <w:t xml:space="preserve">Climate Change </w:t>
      </w:r>
      <w:r w:rsidRPr="00F57044">
        <w:t>Commission</w:t>
      </w:r>
      <w:r w:rsidRPr="00F57044" w:rsidR="00994730">
        <w:t xml:space="preserve"> (the Commission)</w:t>
      </w:r>
      <w:r w:rsidRPr="00F57044">
        <w:t xml:space="preserve"> has published detaile</w:t>
      </w:r>
      <w:r w:rsidRPr="00F57044" w:rsidR="00E26282">
        <w:t xml:space="preserve">d </w:t>
      </w:r>
      <w:r w:rsidRPr="00F57044">
        <w:t>technical materials</w:t>
      </w:r>
      <w:r w:rsidRPr="00F57044" w:rsidR="00E26282">
        <w:t xml:space="preserve"> </w:t>
      </w:r>
      <w:r w:rsidRPr="00F57044" w:rsidR="00A25633">
        <w:t>about</w:t>
      </w:r>
      <w:r w:rsidRPr="00F57044" w:rsidR="0081324E">
        <w:t xml:space="preserve"> </w:t>
      </w:r>
      <w:r w:rsidRPr="00F57044" w:rsidR="000B375A">
        <w:t>the methodology</w:t>
      </w:r>
      <w:r w:rsidRPr="00F57044" w:rsidR="0081324E">
        <w:t xml:space="preserve"> </w:t>
      </w:r>
      <w:r w:rsidRPr="00F57044" w:rsidR="00E26282">
        <w:t>to support this year’s settings decisions</w:t>
      </w:r>
      <w:r w:rsidRPr="00F57044" w:rsidR="0081324E">
        <w:t xml:space="preserve"> (see </w:t>
      </w:r>
      <w:r w:rsidRPr="00F57044" w:rsidR="009572EF">
        <w:t>the Commission’s website</w:t>
      </w:r>
      <w:r w:rsidRPr="00F57044" w:rsidR="009572EF">
        <w:rPr>
          <w:rStyle w:val="FootnoteReference"/>
        </w:rPr>
        <w:footnoteReference w:id="24"/>
      </w:r>
      <w:r w:rsidRPr="00F57044" w:rsidR="0081324E">
        <w:t>).</w:t>
      </w:r>
      <w:r w:rsidRPr="00F57044" w:rsidR="005A3332">
        <w:t xml:space="preserve"> Its</w:t>
      </w:r>
      <w:r w:rsidRPr="00F57044" w:rsidR="0014775B">
        <w:t xml:space="preserve"> reports</w:t>
      </w:r>
      <w:r w:rsidRPr="00F57044" w:rsidR="003B76B2">
        <w:t xml:space="preserve"> are</w:t>
      </w:r>
      <w:r w:rsidRPr="00F57044" w:rsidR="005A3332">
        <w:t xml:space="preserve"> as follows.</w:t>
      </w:r>
    </w:p>
    <w:p w:rsidRPr="00F57044" w:rsidR="003B76B2" w:rsidP="00831BF2" w:rsidRDefault="005D3E2C" w14:paraId="3FE96903" w14:textId="549DEC09">
      <w:pPr>
        <w:pStyle w:val="Bullet"/>
        <w:rPr>
          <w:rStyle w:val="Emphasis"/>
          <w:b/>
          <w:i w:val="0"/>
        </w:rPr>
      </w:pPr>
      <w:r w:rsidRPr="00F57044">
        <w:rPr>
          <w:rStyle w:val="Emphasis"/>
          <w:b/>
          <w:i w:val="0"/>
        </w:rPr>
        <w:t>Advice on NZ ETS unit limits and price control settings for 2026–2030</w:t>
      </w:r>
      <w:r w:rsidRPr="00F57044" w:rsidR="009941AB">
        <w:rPr>
          <w:rStyle w:val="Emphasis"/>
          <w:b/>
          <w:bCs/>
          <w:i w:val="0"/>
          <w:iCs w:val="0"/>
        </w:rPr>
        <w:t xml:space="preserve">: </w:t>
      </w:r>
      <w:r w:rsidRPr="00F57044" w:rsidR="009941AB">
        <w:rPr>
          <w:rStyle w:val="Emphasis"/>
          <w:i w:val="0"/>
        </w:rPr>
        <w:t>Part 3</w:t>
      </w:r>
      <w:r w:rsidRPr="00F57044" w:rsidR="008E095B">
        <w:rPr>
          <w:rStyle w:val="Emphasis"/>
          <w:i w:val="0"/>
          <w:iCs w:val="0"/>
        </w:rPr>
        <w:t xml:space="preserve">: </w:t>
      </w:r>
      <w:proofErr w:type="spellStart"/>
      <w:r w:rsidRPr="00F57044" w:rsidR="008E095B">
        <w:rPr>
          <w:rStyle w:val="Emphasis"/>
          <w:i w:val="0"/>
          <w:iCs w:val="0"/>
        </w:rPr>
        <w:t>Te</w:t>
      </w:r>
      <w:proofErr w:type="spellEnd"/>
      <w:r w:rsidRPr="00F57044" w:rsidR="008E095B">
        <w:rPr>
          <w:rStyle w:val="Emphasis"/>
          <w:i w:val="0"/>
          <w:iCs w:val="0"/>
        </w:rPr>
        <w:t xml:space="preserve"> </w:t>
      </w:r>
      <w:proofErr w:type="spellStart"/>
      <w:r w:rsidRPr="00F57044" w:rsidR="0081324E">
        <w:rPr>
          <w:rStyle w:val="Emphasis"/>
          <w:i w:val="0"/>
          <w:iCs w:val="0"/>
        </w:rPr>
        <w:t>h</w:t>
      </w:r>
      <w:r w:rsidRPr="00F57044" w:rsidR="008E095B">
        <w:rPr>
          <w:rStyle w:val="Emphasis"/>
          <w:i w:val="0"/>
          <w:iCs w:val="0"/>
        </w:rPr>
        <w:t>erenga</w:t>
      </w:r>
      <w:proofErr w:type="spellEnd"/>
      <w:r w:rsidRPr="00F57044" w:rsidR="008E095B">
        <w:rPr>
          <w:rStyle w:val="Emphasis"/>
          <w:i w:val="0"/>
          <w:iCs w:val="0"/>
        </w:rPr>
        <w:t xml:space="preserve"> utu – Unit limits</w:t>
      </w:r>
      <w:r w:rsidRPr="00F57044" w:rsidR="0081324E">
        <w:rPr>
          <w:rStyle w:val="Emphasis"/>
          <w:i w:val="0"/>
          <w:iCs w:val="0"/>
        </w:rPr>
        <w:t xml:space="preserve">. </w:t>
      </w:r>
      <w:r w:rsidRPr="00F57044" w:rsidR="0081324E">
        <w:rPr>
          <w:iCs/>
        </w:rPr>
        <w:t xml:space="preserve">This is </w:t>
      </w:r>
      <w:r w:rsidRPr="00F57044" w:rsidR="008E095B">
        <w:rPr>
          <w:iCs/>
        </w:rPr>
        <w:t>a detailed</w:t>
      </w:r>
      <w:r w:rsidRPr="00F57044">
        <w:t xml:space="preserve"> </w:t>
      </w:r>
      <w:r w:rsidRPr="00F57044" w:rsidR="00E10CAE">
        <w:rPr>
          <w:iCs/>
        </w:rPr>
        <w:t>discussion of the Commission’s analysis using the seven step</w:t>
      </w:r>
      <w:r w:rsidRPr="00F57044" w:rsidR="006E04A4">
        <w:rPr>
          <w:iCs/>
        </w:rPr>
        <w:t>s</w:t>
      </w:r>
      <w:r w:rsidRPr="00F57044" w:rsidR="00E10CAE">
        <w:rPr>
          <w:iCs/>
        </w:rPr>
        <w:t xml:space="preserve">, and its implications for this year’s advice on </w:t>
      </w:r>
      <w:r w:rsidR="00436399">
        <w:rPr>
          <w:iCs/>
        </w:rPr>
        <w:t>unit</w:t>
      </w:r>
      <w:r w:rsidRPr="00F57044" w:rsidR="00E10CAE">
        <w:rPr>
          <w:iCs/>
        </w:rPr>
        <w:t xml:space="preserve"> limits.</w:t>
      </w:r>
    </w:p>
    <w:p w:rsidRPr="00F57044" w:rsidR="005D3E2C" w:rsidP="00831BF2" w:rsidRDefault="00D90103" w14:paraId="17C07D94" w14:textId="145935F5">
      <w:pPr>
        <w:pStyle w:val="Bullet"/>
        <w:rPr>
          <w:b/>
          <w:bCs/>
        </w:rPr>
      </w:pPr>
      <w:r w:rsidRPr="00F57044">
        <w:rPr>
          <w:b/>
          <w:bCs/>
        </w:rPr>
        <w:t xml:space="preserve">Technical </w:t>
      </w:r>
      <w:r w:rsidRPr="00F57044" w:rsidR="00837C0B">
        <w:rPr>
          <w:b/>
          <w:bCs/>
        </w:rPr>
        <w:t>a</w:t>
      </w:r>
      <w:r w:rsidRPr="00F57044">
        <w:rPr>
          <w:b/>
          <w:bCs/>
        </w:rPr>
        <w:t xml:space="preserve">nnex 1: Unit limit settings: </w:t>
      </w:r>
      <w:r w:rsidRPr="00F57044" w:rsidR="005B44F3">
        <w:t xml:space="preserve">This </w:t>
      </w:r>
      <w:r w:rsidRPr="00F57044" w:rsidR="005D3307">
        <w:t xml:space="preserve">gives </w:t>
      </w:r>
      <w:r w:rsidRPr="00F57044" w:rsidR="005B44F3">
        <w:t>further information on the data, methodology and</w:t>
      </w:r>
      <w:r w:rsidRPr="00F57044" w:rsidDel="006200D7" w:rsidR="005B44F3">
        <w:t xml:space="preserve"> </w:t>
      </w:r>
      <w:r w:rsidRPr="00F57044" w:rsidR="005B44F3">
        <w:t xml:space="preserve">assumptions the Commission </w:t>
      </w:r>
      <w:r w:rsidRPr="00F57044" w:rsidR="005A3332">
        <w:t xml:space="preserve">used </w:t>
      </w:r>
      <w:r w:rsidRPr="00F57044" w:rsidR="005B44F3">
        <w:t xml:space="preserve">to reach its final </w:t>
      </w:r>
      <w:r w:rsidRPr="00F57044" w:rsidR="006200D7">
        <w:t xml:space="preserve">recommendations for </w:t>
      </w:r>
      <w:r w:rsidRPr="00F57044" w:rsidR="005B44F3">
        <w:t xml:space="preserve">unit limit settings. The same analysis underpins this </w:t>
      </w:r>
      <w:r w:rsidRPr="00F57044" w:rsidR="00E333B5">
        <w:t xml:space="preserve">consultation </w:t>
      </w:r>
      <w:r w:rsidRPr="00F57044" w:rsidR="005B44F3">
        <w:t>document.</w:t>
      </w:r>
    </w:p>
    <w:p w:rsidRPr="00F57044" w:rsidR="005B44F3" w:rsidP="00831BF2" w:rsidRDefault="00371623" w14:paraId="764A173F" w14:textId="09696495">
      <w:pPr>
        <w:pStyle w:val="Bullet"/>
        <w:rPr>
          <w:b/>
          <w:bCs/>
        </w:rPr>
      </w:pPr>
      <w:r w:rsidRPr="00F57044">
        <w:rPr>
          <w:b/>
          <w:bCs/>
        </w:rPr>
        <w:t xml:space="preserve">Supporting spreadsheet: 2025 NZ ETS settings advice: </w:t>
      </w:r>
      <w:r w:rsidRPr="00F57044">
        <w:t xml:space="preserve">This </w:t>
      </w:r>
      <w:r w:rsidRPr="00F57044" w:rsidR="005D3307">
        <w:t xml:space="preserve">presents </w:t>
      </w:r>
      <w:r w:rsidRPr="00F57044">
        <w:t>the data, analysis and calculations that informed the Commission’s advice on unit limits.</w:t>
      </w:r>
    </w:p>
    <w:p w:rsidRPr="00F57044" w:rsidR="00B06341" w:rsidP="00B06341" w:rsidRDefault="00B06341" w14:paraId="4EE39C1F" w14:textId="4629DF60">
      <w:pPr>
        <w:pStyle w:val="BodyText"/>
      </w:pPr>
      <w:r w:rsidRPr="00F57044">
        <w:t xml:space="preserve">This </w:t>
      </w:r>
      <w:r w:rsidRPr="00F57044" w:rsidR="00A10B86">
        <w:t xml:space="preserve">appendix </w:t>
      </w:r>
      <w:r w:rsidRPr="00F57044" w:rsidR="000E2448">
        <w:t xml:space="preserve">does not attempt to duplicate this </w:t>
      </w:r>
      <w:r w:rsidRPr="00F57044" w:rsidR="00A10B86">
        <w:t xml:space="preserve">technical </w:t>
      </w:r>
      <w:r w:rsidRPr="00F57044" w:rsidR="000E2448">
        <w:t>material</w:t>
      </w:r>
      <w:r w:rsidRPr="00F57044" w:rsidR="00A10B86">
        <w:t>. I</w:t>
      </w:r>
      <w:r w:rsidRPr="00F57044" w:rsidR="00DF4E06">
        <w:t>nstead</w:t>
      </w:r>
      <w:r w:rsidRPr="00F57044" w:rsidR="00FA2BF3">
        <w:t>,</w:t>
      </w:r>
      <w:r w:rsidRPr="00F57044" w:rsidR="00DF4E06">
        <w:t xml:space="preserve"> </w:t>
      </w:r>
      <w:r w:rsidRPr="00F57044" w:rsidR="00A10B86">
        <w:t>it</w:t>
      </w:r>
      <w:r w:rsidRPr="00F57044" w:rsidR="000E2448">
        <w:t xml:space="preserve"> </w:t>
      </w:r>
      <w:r w:rsidRPr="00F57044" w:rsidR="00367FE5">
        <w:t xml:space="preserve">gives </w:t>
      </w:r>
      <w:r w:rsidRPr="00F57044" w:rsidR="000E2448">
        <w:t xml:space="preserve">a summary </w:t>
      </w:r>
      <w:r w:rsidRPr="00F57044" w:rsidR="00A10B86">
        <w:t>of</w:t>
      </w:r>
      <w:r w:rsidRPr="00F57044" w:rsidR="000E2448">
        <w:t xml:space="preserve"> </w:t>
      </w:r>
      <w:r w:rsidRPr="00F57044" w:rsidR="005D3307">
        <w:t xml:space="preserve">the </w:t>
      </w:r>
      <w:r w:rsidRPr="00F57044" w:rsidR="000E2448">
        <w:t xml:space="preserve">analysis </w:t>
      </w:r>
      <w:r w:rsidRPr="00F57044">
        <w:t xml:space="preserve">and options </w:t>
      </w:r>
      <w:r w:rsidRPr="00F57044" w:rsidR="00A10B86">
        <w:t xml:space="preserve">relevant to </w:t>
      </w:r>
      <w:r w:rsidRPr="00F57044" w:rsidR="000051A2">
        <w:t>policy decisions</w:t>
      </w:r>
      <w:r w:rsidRPr="00F57044">
        <w:t xml:space="preserve">. </w:t>
      </w:r>
    </w:p>
    <w:p w:rsidRPr="00F57044" w:rsidR="00B06341" w:rsidP="002C1E13" w:rsidRDefault="00B06341" w14:paraId="0CE92376" w14:textId="44493B8E">
      <w:pPr>
        <w:pStyle w:val="AppendixH2"/>
      </w:pPr>
      <w:bookmarkStart w:name="_Toc161831672" w:id="121"/>
      <w:bookmarkStart w:name="_Toc161762883" w:id="122"/>
      <w:bookmarkStart w:name="_Toc163048587" w:id="123"/>
      <w:r w:rsidRPr="00F57044">
        <w:t xml:space="preserve">Step 1: Align with </w:t>
      </w:r>
      <w:bookmarkEnd w:id="121"/>
      <w:bookmarkEnd w:id="122"/>
      <w:bookmarkEnd w:id="123"/>
      <w:r w:rsidRPr="00F57044" w:rsidR="007979B0">
        <w:t xml:space="preserve">emissions </w:t>
      </w:r>
      <w:r w:rsidRPr="00F57044" w:rsidR="00DF37B4">
        <w:t>reduction targets</w:t>
      </w:r>
    </w:p>
    <w:p w:rsidRPr="00F57044" w:rsidR="00B06341" w:rsidP="00B06341" w:rsidRDefault="00B06341" w14:paraId="6702234E" w14:textId="58D58DB7">
      <w:pPr>
        <w:pStyle w:val="BodyText"/>
      </w:pPr>
      <w:r w:rsidRPr="00F57044">
        <w:t>Th</w:t>
      </w:r>
      <w:r w:rsidRPr="00F57044" w:rsidR="006E04A4">
        <w:t>is</w:t>
      </w:r>
      <w:r w:rsidRPr="00F57044">
        <w:t xml:space="preserve"> first step sets out how units should align with </w:t>
      </w:r>
      <w:r w:rsidRPr="00F57044" w:rsidR="00623CB7">
        <w:t xml:space="preserve">Aotearoa </w:t>
      </w:r>
      <w:r w:rsidRPr="00F57044">
        <w:t xml:space="preserve">New Zealand’s </w:t>
      </w:r>
      <w:r w:rsidR="00635A72">
        <w:t>emissions reduction targets</w:t>
      </w:r>
      <w:r w:rsidRPr="00F57044">
        <w:t xml:space="preserve"> (including emission</w:t>
      </w:r>
      <w:r w:rsidRPr="00F57044" w:rsidR="00367FE5">
        <w:t>s</w:t>
      </w:r>
      <w:r w:rsidRPr="00F57044">
        <w:t xml:space="preserve"> budgets, the </w:t>
      </w:r>
      <w:r w:rsidR="00F34F0E">
        <w:t>N</w:t>
      </w:r>
      <w:r w:rsidRPr="00F57044" w:rsidR="00367FE5">
        <w:t xml:space="preserve">ationally </w:t>
      </w:r>
      <w:r w:rsidR="00F34F0E">
        <w:t>D</w:t>
      </w:r>
      <w:r w:rsidRPr="00F57044" w:rsidR="00367FE5">
        <w:t xml:space="preserve">etermined </w:t>
      </w:r>
      <w:r w:rsidR="00F34F0E">
        <w:t>C</w:t>
      </w:r>
      <w:r w:rsidRPr="00F57044" w:rsidR="00367FE5">
        <w:t>ontribution</w:t>
      </w:r>
      <w:r w:rsidR="00F34F0E">
        <w:t>s</w:t>
      </w:r>
      <w:r w:rsidRPr="00F57044" w:rsidR="00367FE5">
        <w:t xml:space="preserve"> (</w:t>
      </w:r>
      <w:r w:rsidRPr="00F57044">
        <w:t>NDC</w:t>
      </w:r>
      <w:r w:rsidR="00F34F0E">
        <w:t>s</w:t>
      </w:r>
      <w:r w:rsidRPr="00F57044" w:rsidR="00367FE5">
        <w:t>)</w:t>
      </w:r>
      <w:r w:rsidRPr="00F57044">
        <w:t xml:space="preserve"> and the 2050</w:t>
      </w:r>
      <w:r w:rsidRPr="00F57044" w:rsidR="002C1E13">
        <w:t> </w:t>
      </w:r>
      <w:r w:rsidRPr="00F57044">
        <w:t>target).</w:t>
      </w:r>
    </w:p>
    <w:p w:rsidRPr="00F57044" w:rsidR="00B06341" w:rsidP="00B06341" w:rsidRDefault="00B06341" w14:paraId="58116570" w14:textId="5F5B720F">
      <w:pPr>
        <w:pStyle w:val="BodyText"/>
      </w:pPr>
      <w:r w:rsidRPr="00F57044">
        <w:t xml:space="preserve">Adjustments </w:t>
      </w:r>
      <w:r w:rsidRPr="00F57044" w:rsidR="002B7B3D">
        <w:t xml:space="preserve">from </w:t>
      </w:r>
      <w:r w:rsidRPr="00F57044" w:rsidR="00891866">
        <w:t xml:space="preserve">2024 settings </w:t>
      </w:r>
      <w:r w:rsidRPr="00F57044" w:rsidDel="00E94EB2">
        <w:t xml:space="preserve">are </w:t>
      </w:r>
      <w:r w:rsidRPr="00F57044">
        <w:t>required</w:t>
      </w:r>
      <w:r w:rsidRPr="00F57044" w:rsidR="00367FE5">
        <w:t xml:space="preserve"> both</w:t>
      </w:r>
      <w:r w:rsidRPr="00F57044">
        <w:t xml:space="preserve"> to account for methodological changes made in the 2024 New Zealand’s Greenhouse Gas Inventory (GHG </w:t>
      </w:r>
      <w:r w:rsidRPr="00F57044" w:rsidR="00FB747D">
        <w:t>i</w:t>
      </w:r>
      <w:r w:rsidRPr="00F57044">
        <w:t>nventory), and to align with</w:t>
      </w:r>
      <w:r w:rsidRPr="00F57044" w:rsidR="002C1E13">
        <w:t> </w:t>
      </w:r>
      <w:r w:rsidRPr="00F57044">
        <w:t xml:space="preserve">the latest emissions projections as outlined in </w:t>
      </w:r>
      <w:r w:rsidRPr="00F57044" w:rsidR="00AE0619">
        <w:t>ERP2</w:t>
      </w:r>
      <w:r w:rsidRPr="00F57044">
        <w:t xml:space="preserve">. </w:t>
      </w:r>
    </w:p>
    <w:p w:rsidRPr="00F57044" w:rsidR="00B06341" w:rsidP="00B06341" w:rsidRDefault="00B06341" w14:paraId="2E6D6E6D" w14:textId="3345456F">
      <w:pPr>
        <w:pStyle w:val="BodyText"/>
      </w:pPr>
      <w:r w:rsidRPr="00F57044">
        <w:t xml:space="preserve">Methodological changes to the GHG </w:t>
      </w:r>
      <w:r w:rsidRPr="00F57044" w:rsidR="00FB747D">
        <w:t>i</w:t>
      </w:r>
      <w:r w:rsidRPr="00F57044">
        <w:t xml:space="preserve">nventory are refinements to how emissions are calculated, to reflect better data and information. They are not actions that have reduced emissions. Aligning with these changes keeps the </w:t>
      </w:r>
      <w:r w:rsidRPr="00F57044" w:rsidDel="00420D01">
        <w:t xml:space="preserve">NZ </w:t>
      </w:r>
      <w:r w:rsidRPr="00F57044">
        <w:t xml:space="preserve">ETS in line with our international reporting and </w:t>
      </w:r>
      <w:r w:rsidRPr="00F57044" w:rsidR="00E46A5E">
        <w:t>actual</w:t>
      </w:r>
      <w:r w:rsidRPr="00F57044">
        <w:t xml:space="preserve"> emission</w:t>
      </w:r>
      <w:r w:rsidRPr="00F57044" w:rsidR="00D43EFC">
        <w:t>s</w:t>
      </w:r>
      <w:r w:rsidRPr="00F57044">
        <w:t xml:space="preserve"> levels. </w:t>
      </w:r>
    </w:p>
    <w:p w:rsidRPr="00F57044" w:rsidR="00B06341" w:rsidP="00B06341" w:rsidRDefault="00B06341" w14:paraId="3732254A" w14:textId="1D188DFB">
      <w:pPr>
        <w:pStyle w:val="BodyText"/>
      </w:pPr>
      <w:r w:rsidRPr="00F57044">
        <w:t>Additionally, last year’s second emissions reduction plan (ERP2) includes new emissions projections</w:t>
      </w:r>
      <w:r w:rsidRPr="00F57044" w:rsidR="00420D01">
        <w:t>. These</w:t>
      </w:r>
      <w:r w:rsidRPr="00F57044" w:rsidDel="00420D01">
        <w:t xml:space="preserve"> </w:t>
      </w:r>
      <w:r w:rsidRPr="00F57044">
        <w:t>incorporate ERP2 policy decisions to show expected emissions over the</w:t>
      </w:r>
      <w:r w:rsidRPr="00F57044" w:rsidR="00B27B41">
        <w:t xml:space="preserve"> second emissions budget (</w:t>
      </w:r>
      <w:r w:rsidRPr="00F57044" w:rsidR="00420D01">
        <w:t>EB2</w:t>
      </w:r>
      <w:r w:rsidRPr="00F57044" w:rsidR="00B27B41">
        <w:t>)</w:t>
      </w:r>
      <w:r w:rsidRPr="00F57044" w:rsidR="00420D01">
        <w:t xml:space="preserve"> and </w:t>
      </w:r>
      <w:r w:rsidRPr="00F57044" w:rsidR="00B27B41">
        <w:t>third emissions budget (</w:t>
      </w:r>
      <w:r w:rsidRPr="00F57044" w:rsidR="00420D01">
        <w:t>EB3</w:t>
      </w:r>
      <w:r w:rsidRPr="00F57044" w:rsidR="00B27B41">
        <w:t>)</w:t>
      </w:r>
      <w:r w:rsidRPr="00F57044">
        <w:t xml:space="preserve"> period</w:t>
      </w:r>
      <w:r w:rsidRPr="00F57044" w:rsidR="00E46A5E">
        <w:t>s</w:t>
      </w:r>
      <w:r w:rsidRPr="00F57044">
        <w:t xml:space="preserve">. This </w:t>
      </w:r>
      <w:r w:rsidRPr="00F57044" w:rsidR="00090E42">
        <w:t xml:space="preserve">update </w:t>
      </w:r>
      <w:r w:rsidRPr="00F57044">
        <w:t xml:space="preserve">adjusts unit limits in line with </w:t>
      </w:r>
      <w:r w:rsidRPr="00F57044" w:rsidR="00090E42">
        <w:t xml:space="preserve">the </w:t>
      </w:r>
      <w:r w:rsidRPr="00F57044" w:rsidR="00B27B41">
        <w:t>G</w:t>
      </w:r>
      <w:r w:rsidRPr="00F57044" w:rsidR="00090E42">
        <w:t>overnment</w:t>
      </w:r>
      <w:r w:rsidR="0055000F">
        <w:t>’s</w:t>
      </w:r>
      <w:r w:rsidRPr="00F57044" w:rsidR="00090E42">
        <w:t xml:space="preserve"> plan </w:t>
      </w:r>
      <w:r w:rsidRPr="00F57044" w:rsidR="00D43EFC">
        <w:t xml:space="preserve">for </w:t>
      </w:r>
      <w:r w:rsidRPr="00F57044" w:rsidR="00A81030">
        <w:t>achieving</w:t>
      </w:r>
      <w:r w:rsidRPr="00F57044" w:rsidR="00A972D9">
        <w:t xml:space="preserve"> </w:t>
      </w:r>
      <w:r w:rsidRPr="00F57044" w:rsidR="00131309">
        <w:t>EB2</w:t>
      </w:r>
      <w:r w:rsidRPr="00F57044">
        <w:t xml:space="preserve">. </w:t>
      </w:r>
    </w:p>
    <w:p w:rsidRPr="00F57044" w:rsidR="00B06341" w:rsidP="00B06341" w:rsidRDefault="00B06341" w14:paraId="19CD4B9F" w14:textId="7765DB91">
      <w:pPr>
        <w:pStyle w:val="BodyText"/>
      </w:pPr>
      <w:r w:rsidRPr="00F57044">
        <w:t xml:space="preserve">Table </w:t>
      </w:r>
      <w:r w:rsidRPr="00F57044" w:rsidR="00696B45">
        <w:t>A1.1</w:t>
      </w:r>
      <w:r w:rsidRPr="00F57044">
        <w:t xml:space="preserve"> shows the projected unit limits following this step. </w:t>
      </w:r>
    </w:p>
    <w:p w:rsidRPr="00F57044" w:rsidR="00B06341" w:rsidP="00B06341" w:rsidRDefault="00B06341" w14:paraId="73DACE07" w14:textId="70A22DD4">
      <w:pPr>
        <w:pStyle w:val="Tableheading"/>
      </w:pPr>
      <w:bookmarkStart w:name="_Toc198901877" w:id="124"/>
      <w:r w:rsidRPr="00F57044">
        <w:t xml:space="preserve">Table </w:t>
      </w:r>
      <w:r w:rsidRPr="00F57044" w:rsidR="00970774">
        <w:t>A1.1</w:t>
      </w:r>
      <w:r w:rsidRPr="00F57044">
        <w:t xml:space="preserve">: </w:t>
      </w:r>
      <w:r w:rsidRPr="00F57044">
        <w:tab/>
      </w:r>
      <w:r w:rsidRPr="00F57044">
        <w:t xml:space="preserve">Update for step 1 </w:t>
      </w:r>
      <w:r w:rsidRPr="00F57044" w:rsidR="003E2ADF">
        <w:t>in the seven step</w:t>
      </w:r>
      <w:r w:rsidRPr="00F57044" w:rsidR="003D0CA1">
        <w:t>s</w:t>
      </w:r>
      <w:r w:rsidRPr="00F57044" w:rsidR="003E2ADF">
        <w:t xml:space="preserve"> methodology</w:t>
      </w:r>
      <w:r w:rsidRPr="00F57044" w:rsidR="00F30B91">
        <w:t>, 2026–30</w:t>
      </w:r>
      <w:bookmarkEnd w:id="124"/>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3119"/>
        <w:gridCol w:w="1077"/>
        <w:gridCol w:w="1077"/>
        <w:gridCol w:w="1077"/>
        <w:gridCol w:w="1077"/>
        <w:gridCol w:w="1078"/>
      </w:tblGrid>
      <w:tr w:rsidRPr="00F57044" w:rsidR="00FD7C4E" w:rsidTr="00FD7C4E" w14:paraId="1BA017A0" w14:textId="77777777">
        <w:trPr>
          <w:tblHeader/>
        </w:trPr>
        <w:tc>
          <w:tcPr>
            <w:tcW w:w="1834" w:type="pct"/>
            <w:shd w:val="clear" w:color="auto" w:fill="1B556B" w:themeFill="text2"/>
          </w:tcPr>
          <w:p w:rsidRPr="00F57044" w:rsidR="00B06341" w:rsidP="00FD7C4E" w:rsidRDefault="00B06341" w14:paraId="2C1ED662" w14:textId="18C50EEF">
            <w:pPr>
              <w:pStyle w:val="TableTextbold"/>
              <w:spacing w:after="0"/>
              <w:rPr>
                <w:color w:val="FFFFFF" w:themeColor="background1"/>
              </w:rPr>
            </w:pPr>
          </w:p>
        </w:tc>
        <w:tc>
          <w:tcPr>
            <w:tcW w:w="3166" w:type="pct"/>
            <w:gridSpan w:val="5"/>
            <w:shd w:val="clear" w:color="auto" w:fill="1B556B" w:themeFill="text2"/>
          </w:tcPr>
          <w:p w:rsidRPr="00F57044" w:rsidR="00B06341" w:rsidP="00FD7C4E" w:rsidRDefault="00B06341" w14:paraId="3613408C" w14:textId="068B3359">
            <w:pPr>
              <w:pStyle w:val="TableTextbold"/>
              <w:spacing w:after="0"/>
              <w:jc w:val="center"/>
              <w:rPr>
                <w:color w:val="FFFFFF" w:themeColor="background1"/>
              </w:rPr>
            </w:pPr>
            <w:r w:rsidRPr="00F57044">
              <w:rPr>
                <w:color w:val="FFFFFF" w:themeColor="background1"/>
              </w:rPr>
              <w:t>Year</w:t>
            </w:r>
            <w:r w:rsidRPr="00F57044">
              <w:rPr>
                <w:color w:val="FFFFFF" w:themeColor="background1"/>
              </w:rPr>
              <w:br/>
            </w:r>
            <w:r w:rsidRPr="00F57044">
              <w:rPr>
                <w:color w:val="FFFFFF" w:themeColor="background1"/>
              </w:rPr>
              <w:t>(</w:t>
            </w:r>
            <w:r w:rsidRPr="00F57044" w:rsidR="003E2ADF">
              <w:rPr>
                <w:color w:val="FFFFFF" w:themeColor="background1"/>
              </w:rPr>
              <w:t>m</w:t>
            </w:r>
            <w:r w:rsidRPr="00F57044">
              <w:rPr>
                <w:color w:val="FFFFFF" w:themeColor="background1"/>
              </w:rPr>
              <w:t>illion NZUs)</w:t>
            </w:r>
          </w:p>
        </w:tc>
      </w:tr>
      <w:tr w:rsidRPr="00F57044" w:rsidR="00FD7C4E" w:rsidTr="00FD7C4E" w14:paraId="7BA4C54A" w14:textId="77777777">
        <w:trPr>
          <w:tblHeader/>
        </w:trPr>
        <w:tc>
          <w:tcPr>
            <w:tcW w:w="1834" w:type="pct"/>
            <w:shd w:val="clear" w:color="auto" w:fill="1B556B" w:themeFill="text2"/>
          </w:tcPr>
          <w:p w:rsidRPr="00F57044" w:rsidR="00B06341" w:rsidP="00FD7C4E" w:rsidRDefault="00B06341" w14:paraId="67B703A7" w14:textId="46959F1D">
            <w:pPr>
              <w:pStyle w:val="TableTextbold"/>
              <w:spacing w:before="0"/>
              <w:rPr>
                <w:color w:val="FFFFFF" w:themeColor="background1"/>
              </w:rPr>
            </w:pPr>
          </w:p>
        </w:tc>
        <w:tc>
          <w:tcPr>
            <w:tcW w:w="633" w:type="pct"/>
            <w:shd w:val="clear" w:color="auto" w:fill="1B556B" w:themeFill="text2"/>
          </w:tcPr>
          <w:p w:rsidRPr="00F57044" w:rsidR="00B06341" w:rsidP="00FD7C4E" w:rsidRDefault="00B06341" w14:paraId="73141626" w14:textId="43ED4AD5">
            <w:pPr>
              <w:pStyle w:val="TableTextbold"/>
              <w:spacing w:before="0"/>
              <w:rPr>
                <w:color w:val="FFFFFF" w:themeColor="background1"/>
              </w:rPr>
            </w:pPr>
            <w:r w:rsidRPr="00F57044">
              <w:rPr>
                <w:color w:val="FFFFFF" w:themeColor="background1"/>
              </w:rPr>
              <w:t>2026</w:t>
            </w:r>
          </w:p>
        </w:tc>
        <w:tc>
          <w:tcPr>
            <w:tcW w:w="633" w:type="pct"/>
            <w:shd w:val="clear" w:color="auto" w:fill="1B556B" w:themeFill="text2"/>
          </w:tcPr>
          <w:p w:rsidRPr="00F57044" w:rsidR="00B06341" w:rsidP="00FD7C4E" w:rsidRDefault="00B06341" w14:paraId="64A2B301" w14:textId="7C1FE0A9">
            <w:pPr>
              <w:pStyle w:val="TableTextbold"/>
              <w:spacing w:before="0"/>
              <w:rPr>
                <w:color w:val="FFFFFF" w:themeColor="background1"/>
              </w:rPr>
            </w:pPr>
            <w:r w:rsidRPr="00F57044">
              <w:rPr>
                <w:color w:val="FFFFFF" w:themeColor="background1"/>
              </w:rPr>
              <w:t>2026</w:t>
            </w:r>
          </w:p>
        </w:tc>
        <w:tc>
          <w:tcPr>
            <w:tcW w:w="633" w:type="pct"/>
            <w:shd w:val="clear" w:color="auto" w:fill="1B556B" w:themeFill="text2"/>
          </w:tcPr>
          <w:p w:rsidRPr="00F57044" w:rsidR="00B06341" w:rsidP="00FD7C4E" w:rsidRDefault="00B06341" w14:paraId="50BA094D" w14:textId="67C7753B">
            <w:pPr>
              <w:pStyle w:val="TableTextbold"/>
              <w:spacing w:before="0"/>
              <w:rPr>
                <w:color w:val="FFFFFF" w:themeColor="background1"/>
              </w:rPr>
            </w:pPr>
            <w:r w:rsidRPr="00F57044">
              <w:rPr>
                <w:color w:val="FFFFFF" w:themeColor="background1"/>
              </w:rPr>
              <w:t>2028</w:t>
            </w:r>
          </w:p>
        </w:tc>
        <w:tc>
          <w:tcPr>
            <w:tcW w:w="633" w:type="pct"/>
            <w:shd w:val="clear" w:color="auto" w:fill="1B556B" w:themeFill="text2"/>
          </w:tcPr>
          <w:p w:rsidRPr="00F57044" w:rsidR="00B06341" w:rsidP="00FD7C4E" w:rsidRDefault="00B06341" w14:paraId="0C03A3F2" w14:textId="5CD8A00A">
            <w:pPr>
              <w:pStyle w:val="TableTextbold"/>
              <w:spacing w:before="0"/>
              <w:rPr>
                <w:color w:val="FFFFFF" w:themeColor="background1"/>
              </w:rPr>
            </w:pPr>
            <w:r w:rsidRPr="00F57044">
              <w:rPr>
                <w:color w:val="FFFFFF" w:themeColor="background1"/>
              </w:rPr>
              <w:t>2029</w:t>
            </w:r>
          </w:p>
        </w:tc>
        <w:tc>
          <w:tcPr>
            <w:tcW w:w="634" w:type="pct"/>
            <w:shd w:val="clear" w:color="auto" w:fill="1B556B" w:themeFill="text2"/>
          </w:tcPr>
          <w:p w:rsidRPr="00F57044" w:rsidR="00B06341" w:rsidP="00FD7C4E" w:rsidRDefault="00B06341" w14:paraId="02B52DA5" w14:textId="19EAC1DA">
            <w:pPr>
              <w:pStyle w:val="TableTextbold"/>
              <w:spacing w:before="0"/>
              <w:rPr>
                <w:color w:val="FFFFFF" w:themeColor="background1"/>
              </w:rPr>
            </w:pPr>
            <w:r w:rsidRPr="00F57044">
              <w:rPr>
                <w:color w:val="FFFFFF" w:themeColor="background1"/>
              </w:rPr>
              <w:t>2030</w:t>
            </w:r>
          </w:p>
        </w:tc>
      </w:tr>
      <w:tr w:rsidRPr="00F57044" w:rsidR="00B06341" w:rsidTr="00FD7C4E" w14:paraId="23876AFD" w14:textId="77777777">
        <w:tc>
          <w:tcPr>
            <w:tcW w:w="1834" w:type="pct"/>
            <w:shd w:val="clear" w:color="auto" w:fill="auto"/>
          </w:tcPr>
          <w:p w:rsidRPr="00F57044" w:rsidR="00B06341" w:rsidRDefault="00B06341" w14:paraId="7B31AA7B" w14:textId="4BB005BB">
            <w:pPr>
              <w:pStyle w:val="TableText"/>
            </w:pPr>
            <w:r w:rsidRPr="00F57044">
              <w:rPr>
                <w:rFonts w:asciiTheme="minorHAnsi" w:hAnsiTheme="minorHAnsi" w:cstheme="minorHAnsi"/>
                <w:b/>
                <w:bCs/>
                <w:color w:val="000000"/>
              </w:rPr>
              <w:t>Align with emissions budget</w:t>
            </w:r>
          </w:p>
        </w:tc>
        <w:tc>
          <w:tcPr>
            <w:tcW w:w="633" w:type="pct"/>
          </w:tcPr>
          <w:p w:rsidRPr="00F57044" w:rsidR="00B06341" w:rsidRDefault="006A7292" w14:paraId="3B663887" w14:textId="1C50FF49">
            <w:pPr>
              <w:pStyle w:val="TableText"/>
            </w:pPr>
            <w:r w:rsidRPr="00F57044">
              <w:rPr>
                <w:rFonts w:asciiTheme="minorHAnsi" w:hAnsiTheme="minorHAnsi" w:cstheme="minorHAnsi"/>
              </w:rPr>
              <w:t>65.</w:t>
            </w:r>
            <w:r w:rsidRPr="00F57044" w:rsidR="00E6644E">
              <w:rPr>
                <w:rFonts w:asciiTheme="minorHAnsi" w:hAnsiTheme="minorHAnsi" w:cstheme="minorHAnsi"/>
              </w:rPr>
              <w:t>9</w:t>
            </w:r>
          </w:p>
        </w:tc>
        <w:tc>
          <w:tcPr>
            <w:tcW w:w="633" w:type="pct"/>
          </w:tcPr>
          <w:p w:rsidRPr="00F57044" w:rsidR="00B06341" w:rsidRDefault="009A13D2" w14:paraId="5B937905" w14:textId="37CF3DBD">
            <w:pPr>
              <w:pStyle w:val="TableText"/>
            </w:pPr>
            <w:r w:rsidRPr="00F57044">
              <w:rPr>
                <w:rFonts w:asciiTheme="minorHAnsi" w:hAnsiTheme="minorHAnsi" w:cstheme="minorHAnsi"/>
              </w:rPr>
              <w:t>63.</w:t>
            </w:r>
            <w:r w:rsidRPr="00F57044" w:rsidR="00E6644E">
              <w:rPr>
                <w:rFonts w:asciiTheme="minorHAnsi" w:hAnsiTheme="minorHAnsi" w:cstheme="minorHAnsi"/>
              </w:rPr>
              <w:t>7</w:t>
            </w:r>
          </w:p>
        </w:tc>
        <w:tc>
          <w:tcPr>
            <w:tcW w:w="633" w:type="pct"/>
          </w:tcPr>
          <w:p w:rsidRPr="00F57044" w:rsidR="00B06341" w:rsidRDefault="009A13D2" w14:paraId="439696D3" w14:textId="6AA79DCF">
            <w:pPr>
              <w:pStyle w:val="TableText"/>
            </w:pPr>
            <w:r w:rsidRPr="00F57044">
              <w:rPr>
                <w:rFonts w:asciiTheme="minorHAnsi" w:hAnsiTheme="minorHAnsi" w:cstheme="minorHAnsi"/>
              </w:rPr>
              <w:t>60.4</w:t>
            </w:r>
          </w:p>
        </w:tc>
        <w:tc>
          <w:tcPr>
            <w:tcW w:w="633" w:type="pct"/>
          </w:tcPr>
          <w:p w:rsidRPr="00F57044" w:rsidR="00B06341" w:rsidRDefault="009A13D2" w14:paraId="0324E69C" w14:textId="2BD67BCB">
            <w:pPr>
              <w:pStyle w:val="TableText"/>
            </w:pPr>
            <w:r w:rsidRPr="00F57044">
              <w:rPr>
                <w:rFonts w:asciiTheme="minorHAnsi" w:hAnsiTheme="minorHAnsi" w:cstheme="minorHAnsi"/>
              </w:rPr>
              <w:t>57.</w:t>
            </w:r>
            <w:r w:rsidRPr="00F57044" w:rsidR="008C3ACD">
              <w:rPr>
                <w:rFonts w:asciiTheme="minorHAnsi" w:hAnsiTheme="minorHAnsi" w:cstheme="minorHAnsi"/>
              </w:rPr>
              <w:t>9</w:t>
            </w:r>
          </w:p>
        </w:tc>
        <w:tc>
          <w:tcPr>
            <w:tcW w:w="634" w:type="pct"/>
            <w:shd w:val="clear" w:color="auto" w:fill="auto"/>
          </w:tcPr>
          <w:p w:rsidRPr="00F57044" w:rsidR="00B06341" w:rsidRDefault="008C3ACD" w14:paraId="39AFACDD" w14:textId="6D6EE5C2">
            <w:pPr>
              <w:pStyle w:val="TableText"/>
            </w:pPr>
            <w:r w:rsidRPr="00F57044">
              <w:rPr>
                <w:rFonts w:asciiTheme="minorHAnsi" w:hAnsiTheme="minorHAnsi" w:cstheme="minorHAnsi"/>
              </w:rPr>
              <w:t>55.2</w:t>
            </w:r>
          </w:p>
        </w:tc>
      </w:tr>
    </w:tbl>
    <w:p w:rsidRPr="00F57044" w:rsidR="00B06341" w:rsidP="00FD7C4E" w:rsidRDefault="00B06341" w14:paraId="4C3440F2" w14:textId="06548668">
      <w:pPr>
        <w:pStyle w:val="AppendixH2"/>
        <w:spacing w:before="480"/>
      </w:pPr>
      <w:bookmarkStart w:name="_Toc161831673" w:id="125"/>
      <w:bookmarkStart w:name="_Toc161762884" w:id="126"/>
      <w:bookmarkStart w:name="_Toc163048588" w:id="127"/>
      <w:r w:rsidRPr="00F57044">
        <w:t xml:space="preserve">Step 2: Allocate the budgets to </w:t>
      </w:r>
      <w:r w:rsidRPr="00F57044" w:rsidDel="00420D01">
        <w:t>NZ </w:t>
      </w:r>
      <w:r w:rsidRPr="00F57044">
        <w:t>ETS and</w:t>
      </w:r>
      <w:r w:rsidRPr="00F57044" w:rsidR="00FD7C4E">
        <w:t> </w:t>
      </w:r>
      <w:r w:rsidRPr="00F57044">
        <w:t>non-</w:t>
      </w:r>
      <w:r w:rsidRPr="00F57044" w:rsidDel="00420D01">
        <w:t>NZ</w:t>
      </w:r>
      <w:r w:rsidRPr="00F57044" w:rsidDel="00A16EEC">
        <w:t xml:space="preserve"> </w:t>
      </w:r>
      <w:r w:rsidRPr="00F57044">
        <w:t>ETS sectors</w:t>
      </w:r>
      <w:bookmarkEnd w:id="125"/>
      <w:bookmarkEnd w:id="126"/>
      <w:bookmarkEnd w:id="127"/>
    </w:p>
    <w:p w:rsidRPr="00F57044" w:rsidR="00B06341" w:rsidP="00B06341" w:rsidRDefault="00B06341" w14:paraId="0BAC6134" w14:textId="618C2ACD">
      <w:pPr>
        <w:pStyle w:val="BodyText"/>
      </w:pPr>
      <w:r w:rsidRPr="00F57044">
        <w:t xml:space="preserve">This step allocates emissions budgets between emissions and removals that the </w:t>
      </w:r>
      <w:r w:rsidRPr="00F57044" w:rsidDel="00420D01">
        <w:t>NZ ETS</w:t>
      </w:r>
      <w:r w:rsidRPr="00F57044">
        <w:t xml:space="preserve"> covers, and those that it does not. It recognises that </w:t>
      </w:r>
      <w:r w:rsidRPr="00F57044" w:rsidR="005D3307">
        <w:t>non-</w:t>
      </w:r>
      <w:r w:rsidRPr="00F57044" w:rsidR="006F5DAE">
        <w:t xml:space="preserve">NZ </w:t>
      </w:r>
      <w:r w:rsidRPr="00F57044" w:rsidR="005D3307">
        <w:t xml:space="preserve">ETS </w:t>
      </w:r>
      <w:r w:rsidRPr="00F57044">
        <w:t xml:space="preserve">emissions and removals will account for a portion of the </w:t>
      </w:r>
      <w:r w:rsidRPr="00F57044" w:rsidDel="005D3307">
        <w:t xml:space="preserve">emissions </w:t>
      </w:r>
      <w:r w:rsidRPr="00F57044">
        <w:t>budget.</w:t>
      </w:r>
    </w:p>
    <w:p w:rsidRPr="00F57044" w:rsidR="00B06341" w:rsidP="00B06341" w:rsidRDefault="00B06341" w14:paraId="6F19C0D5" w14:textId="72013580">
      <w:pPr>
        <w:pStyle w:val="BodyText"/>
      </w:pPr>
      <w:r w:rsidRPr="00F57044">
        <w:t xml:space="preserve">For previous settings decisions, </w:t>
      </w:r>
      <w:r w:rsidRPr="00F57044" w:rsidR="00580AC1">
        <w:t xml:space="preserve">the </w:t>
      </w:r>
      <w:r w:rsidRPr="00F57044" w:rsidR="00A81030">
        <w:t xml:space="preserve">budgets </w:t>
      </w:r>
      <w:r w:rsidRPr="00F57044">
        <w:t>w</w:t>
      </w:r>
      <w:r w:rsidRPr="00F57044" w:rsidR="00A81030">
        <w:t xml:space="preserve">ere </w:t>
      </w:r>
      <w:r w:rsidRPr="00F57044">
        <w:t xml:space="preserve">allocated to </w:t>
      </w:r>
      <w:r w:rsidRPr="00F57044" w:rsidDel="00580AC1">
        <w:t xml:space="preserve">NZ </w:t>
      </w:r>
      <w:r w:rsidRPr="00F57044">
        <w:t>ETS and non-</w:t>
      </w:r>
      <w:r w:rsidRPr="00F57044" w:rsidDel="00580AC1">
        <w:t>NZ</w:t>
      </w:r>
      <w:r w:rsidRPr="00F57044">
        <w:t xml:space="preserve"> ETS sectors based on sector sub-targets</w:t>
      </w:r>
      <w:r w:rsidRPr="00F57044" w:rsidR="00580AC1">
        <w:t>. However</w:t>
      </w:r>
      <w:r w:rsidRPr="00F57044">
        <w:t xml:space="preserve">, </w:t>
      </w:r>
      <w:r w:rsidRPr="00F57044" w:rsidR="00C3341A">
        <w:t xml:space="preserve">we propose </w:t>
      </w:r>
      <w:r w:rsidRPr="00F57044" w:rsidR="00420D01">
        <w:t xml:space="preserve">to base </w:t>
      </w:r>
      <w:r w:rsidRPr="00F57044">
        <w:t xml:space="preserve">allocations on projections in </w:t>
      </w:r>
      <w:r w:rsidRPr="00F57044" w:rsidR="00580AC1">
        <w:t>ERP2</w:t>
      </w:r>
      <w:r w:rsidRPr="00F57044" w:rsidR="00A81030">
        <w:t xml:space="preserve"> to reflect the Government’s plan for achieving EB2</w:t>
      </w:r>
      <w:r w:rsidRPr="00F57044">
        <w:t xml:space="preserve">. </w:t>
      </w:r>
    </w:p>
    <w:p w:rsidRPr="00F57044" w:rsidR="00B06341" w:rsidP="00B06341" w:rsidRDefault="00B06341" w14:paraId="4A07AD61" w14:textId="243C5D45">
      <w:pPr>
        <w:pStyle w:val="BodyText"/>
      </w:pPr>
      <w:r w:rsidRPr="00F57044">
        <w:t>This approach means that if non-</w:t>
      </w:r>
      <w:r w:rsidRPr="00F57044" w:rsidDel="00580AC1">
        <w:t>NZ</w:t>
      </w:r>
      <w:r w:rsidRPr="00F57044">
        <w:t xml:space="preserve"> ETS emissions (mainly from agriculture) are different from </w:t>
      </w:r>
      <w:r w:rsidRPr="00F57044" w:rsidR="001E3686">
        <w:t>projections</w:t>
      </w:r>
      <w:r w:rsidRPr="00F57044">
        <w:t xml:space="preserve">, the level of </w:t>
      </w:r>
      <w:r w:rsidRPr="00F57044" w:rsidR="007F17DE">
        <w:t>reductions</w:t>
      </w:r>
      <w:r w:rsidRPr="00F57044">
        <w:t xml:space="preserve"> required by </w:t>
      </w:r>
      <w:r w:rsidRPr="00F57044" w:rsidDel="00580AC1">
        <w:t xml:space="preserve">NZ </w:t>
      </w:r>
      <w:r w:rsidRPr="00F57044">
        <w:t>ETS sectors does not change. For example, if non-</w:t>
      </w:r>
      <w:r w:rsidRPr="00F57044" w:rsidR="001C5B17">
        <w:t xml:space="preserve">NZ </w:t>
      </w:r>
      <w:r w:rsidRPr="00F57044">
        <w:t xml:space="preserve">ETS </w:t>
      </w:r>
      <w:r w:rsidRPr="00F57044" w:rsidR="00580AC1">
        <w:t xml:space="preserve">emissions </w:t>
      </w:r>
      <w:r w:rsidRPr="00F57044">
        <w:t xml:space="preserve">increase </w:t>
      </w:r>
      <w:r w:rsidRPr="00F57044" w:rsidR="000766DD">
        <w:t>compared with projections</w:t>
      </w:r>
      <w:r w:rsidRPr="00F57044">
        <w:t xml:space="preserve">, further reductions </w:t>
      </w:r>
      <w:r w:rsidRPr="00F57044" w:rsidR="002404F3">
        <w:t xml:space="preserve">would not be expected from </w:t>
      </w:r>
      <w:r w:rsidRPr="00F57044" w:rsidDel="00580AC1">
        <w:t xml:space="preserve">NZ </w:t>
      </w:r>
      <w:r w:rsidRPr="00F57044">
        <w:t>ETS sectors to ‘make up’ for that increase. Conversely, if emissions from non-</w:t>
      </w:r>
      <w:r w:rsidRPr="00F57044" w:rsidR="001C5B17">
        <w:t xml:space="preserve">NZ </w:t>
      </w:r>
      <w:r w:rsidRPr="00F57044">
        <w:t xml:space="preserve">ETS sectors decrease, </w:t>
      </w:r>
      <w:r w:rsidRPr="00F57044" w:rsidDel="00580AC1">
        <w:t xml:space="preserve">NZ </w:t>
      </w:r>
      <w:r w:rsidRPr="00F57044">
        <w:t>ETS sectors retain the same level of effort as before.</w:t>
      </w:r>
      <w:r w:rsidRPr="00F57044" w:rsidR="00B15FBF">
        <w:t xml:space="preserve"> This increases predictability </w:t>
      </w:r>
      <w:r w:rsidRPr="00F57044" w:rsidR="00E95D19">
        <w:t xml:space="preserve">and certainty </w:t>
      </w:r>
      <w:r w:rsidRPr="00F57044" w:rsidR="007018BC">
        <w:t xml:space="preserve">for </w:t>
      </w:r>
      <w:r w:rsidRPr="00F57044" w:rsidDel="00580AC1" w:rsidR="007018BC">
        <w:t xml:space="preserve">NZ </w:t>
      </w:r>
      <w:r w:rsidRPr="00F57044" w:rsidDel="000F66E3" w:rsidR="007018BC">
        <w:t xml:space="preserve">ETS </w:t>
      </w:r>
      <w:r w:rsidRPr="00F57044" w:rsidR="00F6173E">
        <w:t xml:space="preserve">participants, which is particularly important for making </w:t>
      </w:r>
      <w:r w:rsidRPr="00F57044" w:rsidR="00DE7FE3">
        <w:t>long</w:t>
      </w:r>
      <w:r w:rsidRPr="00F57044" w:rsidR="00580AC1">
        <w:t>-</w:t>
      </w:r>
      <w:r w:rsidRPr="00F57044" w:rsidR="00DE7FE3">
        <w:t xml:space="preserve">term investment decisions on </w:t>
      </w:r>
      <w:r w:rsidRPr="00F57044" w:rsidR="00580AC1">
        <w:t xml:space="preserve">reducing and removing </w:t>
      </w:r>
      <w:r w:rsidRPr="00F57044" w:rsidR="00DE7FE3">
        <w:t>emissions.</w:t>
      </w:r>
    </w:p>
    <w:p w:rsidRPr="00F57044" w:rsidR="00B06341" w:rsidP="00B06341" w:rsidRDefault="00B06341" w14:paraId="239341C6" w14:textId="294D3D76">
      <w:pPr>
        <w:pStyle w:val="BodyText"/>
      </w:pPr>
      <w:r w:rsidRPr="00F57044">
        <w:rPr>
          <w:b/>
        </w:rPr>
        <w:t xml:space="preserve">The following sources of emissions and removals are currently outside the </w:t>
      </w:r>
      <w:r w:rsidRPr="00F57044" w:rsidDel="00580AC1">
        <w:rPr>
          <w:b/>
        </w:rPr>
        <w:t xml:space="preserve">NZ </w:t>
      </w:r>
      <w:r w:rsidRPr="00F57044">
        <w:rPr>
          <w:b/>
        </w:rPr>
        <w:t>ETS</w:t>
      </w:r>
      <w:r w:rsidRPr="00F57044" w:rsidR="003D0CE6">
        <w:rPr>
          <w:b/>
        </w:rPr>
        <w:t>.</w:t>
      </w:r>
      <w:r w:rsidRPr="00F57044">
        <w:rPr>
          <w:rStyle w:val="FootnoteReference"/>
        </w:rPr>
        <w:footnoteReference w:id="25"/>
      </w:r>
    </w:p>
    <w:p w:rsidRPr="00F57044" w:rsidR="00B06341" w:rsidP="00B06341" w:rsidRDefault="00B06341" w14:paraId="634F131B" w14:textId="5052550B">
      <w:pPr>
        <w:pStyle w:val="Bullet"/>
      </w:pPr>
      <w:r w:rsidRPr="00F57044">
        <w:t>Agriculture</w:t>
      </w:r>
      <w:r w:rsidRPr="00F57044" w:rsidR="001C5B17">
        <w:t xml:space="preserve">. </w:t>
      </w:r>
      <w:r w:rsidRPr="00F57044" w:rsidR="00C0316F">
        <w:t>B</w:t>
      </w:r>
      <w:r w:rsidRPr="00F57044">
        <w:t>iogenic methane</w:t>
      </w:r>
      <w:r w:rsidRPr="00F57044" w:rsidR="00332593">
        <w:t xml:space="preserve"> (CH</w:t>
      </w:r>
      <w:r w:rsidRPr="00F57044" w:rsidR="00332593">
        <w:rPr>
          <w:vertAlign w:val="subscript"/>
        </w:rPr>
        <w:t>4</w:t>
      </w:r>
      <w:r w:rsidRPr="00F57044" w:rsidR="00332593">
        <w:t>)</w:t>
      </w:r>
      <w:r w:rsidRPr="00F57044" w:rsidR="00580AC1">
        <w:t>,</w:t>
      </w:r>
      <w:r w:rsidRPr="00F57044">
        <w:t xml:space="preserve"> nitrous oxide</w:t>
      </w:r>
      <w:r w:rsidRPr="00F57044" w:rsidR="00332593">
        <w:t xml:space="preserve"> (N</w:t>
      </w:r>
      <w:r w:rsidRPr="00F57044" w:rsidR="00332593">
        <w:rPr>
          <w:vertAlign w:val="subscript"/>
        </w:rPr>
        <w:t>2</w:t>
      </w:r>
      <w:r w:rsidRPr="00F57044" w:rsidR="00332593">
        <w:t>O)</w:t>
      </w:r>
      <w:r w:rsidRPr="00F57044">
        <w:t xml:space="preserve"> and </w:t>
      </w:r>
      <w:r w:rsidRPr="00F57044" w:rsidR="001C5B17">
        <w:t>carbon dioxide (</w:t>
      </w:r>
      <w:r w:rsidRPr="00F57044" w:rsidR="00580AC1">
        <w:t>CO</w:t>
      </w:r>
      <w:r w:rsidRPr="00F57044" w:rsidR="00580AC1">
        <w:rPr>
          <w:vertAlign w:val="subscript"/>
        </w:rPr>
        <w:t>2</w:t>
      </w:r>
      <w:r w:rsidRPr="00F57044" w:rsidR="001C5B17">
        <w:t>)</w:t>
      </w:r>
      <w:r w:rsidRPr="00F57044">
        <w:t xml:space="preserve"> from fertiliser use</w:t>
      </w:r>
      <w:r w:rsidRPr="00F57044" w:rsidR="00372B94">
        <w:t xml:space="preserve"> are outside the NZ ETS</w:t>
      </w:r>
      <w:r w:rsidRPr="00F57044">
        <w:t>.</w:t>
      </w:r>
    </w:p>
    <w:p w:rsidRPr="00F57044" w:rsidR="00B06341" w:rsidP="00B06341" w:rsidRDefault="00B06341" w14:paraId="6B9CEC44" w14:textId="23157813">
      <w:pPr>
        <w:pStyle w:val="Bullet"/>
      </w:pPr>
      <w:r w:rsidRPr="00F57044">
        <w:t>Waste</w:t>
      </w:r>
      <w:r w:rsidRPr="00F57044" w:rsidR="00332593">
        <w:t xml:space="preserve">. </w:t>
      </w:r>
      <w:r w:rsidRPr="00F57044" w:rsidR="008B2CBD">
        <w:t>A</w:t>
      </w:r>
      <w:r w:rsidRPr="00F57044">
        <w:t xml:space="preserve">ll waste emissions except </w:t>
      </w:r>
      <w:r w:rsidRPr="00F57044" w:rsidR="00332593">
        <w:t>CH</w:t>
      </w:r>
      <w:r w:rsidRPr="00F57044" w:rsidR="00332593">
        <w:rPr>
          <w:vertAlign w:val="subscript"/>
        </w:rPr>
        <w:t>4</w:t>
      </w:r>
      <w:r w:rsidRPr="00F57044" w:rsidR="00332593">
        <w:t xml:space="preserve"> </w:t>
      </w:r>
      <w:r w:rsidRPr="00F57044">
        <w:t>from municipal landfill</w:t>
      </w:r>
      <w:r w:rsidRPr="00F57044" w:rsidR="003D0CE6">
        <w:t>s</w:t>
      </w:r>
      <w:r w:rsidRPr="00F57044" w:rsidR="008B2CBD">
        <w:t xml:space="preserve"> are outside the NZ ETS</w:t>
      </w:r>
      <w:r w:rsidRPr="00F57044">
        <w:t>.</w:t>
      </w:r>
    </w:p>
    <w:p w:rsidRPr="00F57044" w:rsidR="00B06341" w:rsidP="00B06341" w:rsidRDefault="00B06341" w14:paraId="7E20D766" w14:textId="57CD30A5">
      <w:pPr>
        <w:pStyle w:val="Bullet"/>
      </w:pPr>
      <w:r w:rsidRPr="00F57044">
        <w:rPr>
          <w:rFonts w:cs="Calibri"/>
          <w:color w:val="000000"/>
          <w:shd w:val="clear" w:color="auto" w:fill="FFFFFF"/>
        </w:rPr>
        <w:t>Synthetic greenhouse gases</w:t>
      </w:r>
      <w:r w:rsidRPr="00F57044" w:rsidR="00E50C1A">
        <w:rPr>
          <w:rFonts w:cs="Calibri"/>
          <w:color w:val="000000"/>
          <w:shd w:val="clear" w:color="auto" w:fill="FFFFFF"/>
        </w:rPr>
        <w:t>.</w:t>
      </w:r>
      <w:r w:rsidRPr="00F57044">
        <w:t xml:space="preserve"> </w:t>
      </w:r>
      <w:r w:rsidRPr="00F57044" w:rsidR="00E50C1A">
        <w:t>S</w:t>
      </w:r>
      <w:r w:rsidRPr="00F57044">
        <w:rPr>
          <w:rFonts w:cs="Calibri"/>
          <w:color w:val="000000"/>
          <w:shd w:val="clear" w:color="auto" w:fill="FFFFFF"/>
        </w:rPr>
        <w:t xml:space="preserve">ome sources of emissions associated with certain goods and vehicles are priced through the Synthetic Greenhouse Gas Levy, instead of facing </w:t>
      </w:r>
      <w:r w:rsidRPr="00F57044" w:rsidDel="00A57C4A">
        <w:rPr>
          <w:rFonts w:cs="Calibri"/>
          <w:color w:val="000000"/>
          <w:shd w:val="clear" w:color="auto" w:fill="FFFFFF"/>
        </w:rPr>
        <w:t xml:space="preserve">NZ </w:t>
      </w:r>
      <w:r w:rsidRPr="00F57044">
        <w:rPr>
          <w:rFonts w:cs="Calibri"/>
          <w:color w:val="000000"/>
          <w:shd w:val="clear" w:color="auto" w:fill="FFFFFF"/>
        </w:rPr>
        <w:t>ETS unit emissions surrender obligations. Some additional</w:t>
      </w:r>
      <w:r w:rsidRPr="00F57044" w:rsidR="00E50C1A">
        <w:rPr>
          <w:rFonts w:cs="Calibri"/>
          <w:color w:val="000000"/>
          <w:shd w:val="clear" w:color="auto" w:fill="FFFFFF"/>
        </w:rPr>
        <w:t>,</w:t>
      </w:r>
      <w:r w:rsidRPr="00F57044">
        <w:rPr>
          <w:rFonts w:cs="Calibri"/>
          <w:color w:val="000000"/>
          <w:shd w:val="clear" w:color="auto" w:fill="FFFFFF"/>
        </w:rPr>
        <w:t xml:space="preserve"> very small sources (such as medical uses) are not covered by either pricing mechanism.</w:t>
      </w:r>
    </w:p>
    <w:p w:rsidRPr="00F57044" w:rsidR="00B06341" w:rsidP="00B06341" w:rsidRDefault="00B06341" w14:paraId="4CF45712" w14:textId="32EC986F">
      <w:pPr>
        <w:pStyle w:val="Bullet"/>
      </w:pPr>
      <w:r w:rsidRPr="00F57044">
        <w:rPr>
          <w:rFonts w:cs="Calibri"/>
          <w:color w:val="000000"/>
          <w:shd w:val="clear" w:color="auto" w:fill="FFFFFF"/>
        </w:rPr>
        <w:t>Industrial processes and product use</w:t>
      </w:r>
      <w:r w:rsidRPr="00F57044" w:rsidR="00E50C1A">
        <w:rPr>
          <w:rFonts w:cs="Calibri"/>
          <w:color w:val="000000"/>
          <w:shd w:val="clear" w:color="auto" w:fill="FFFFFF"/>
        </w:rPr>
        <w:t>.</w:t>
      </w:r>
      <w:r w:rsidRPr="00F57044">
        <w:rPr>
          <w:rFonts w:cs="Calibri"/>
          <w:color w:val="000000"/>
          <w:shd w:val="clear" w:color="auto" w:fill="FFFFFF"/>
        </w:rPr>
        <w:t xml:space="preserve"> </w:t>
      </w:r>
      <w:r w:rsidRPr="00F57044" w:rsidR="00E50C1A">
        <w:rPr>
          <w:rFonts w:cs="Calibri"/>
          <w:color w:val="000000"/>
          <w:shd w:val="clear" w:color="auto" w:fill="FFFFFF"/>
        </w:rPr>
        <w:t>S</w:t>
      </w:r>
      <w:r w:rsidRPr="00F57044">
        <w:rPr>
          <w:rFonts w:cs="Calibri"/>
          <w:color w:val="000000"/>
        </w:rPr>
        <w:t>everal small emissions sources in the i</w:t>
      </w:r>
      <w:r w:rsidRPr="00F57044">
        <w:rPr>
          <w:rFonts w:cs="Calibri"/>
          <w:color w:val="000000"/>
          <w:shd w:val="clear" w:color="auto" w:fill="FFFFFF"/>
        </w:rPr>
        <w:t xml:space="preserve">ndustrial processes and product use </w:t>
      </w:r>
      <w:r w:rsidRPr="00F57044" w:rsidR="00F30B91">
        <w:rPr>
          <w:rFonts w:cs="Calibri"/>
          <w:color w:val="000000"/>
        </w:rPr>
        <w:t xml:space="preserve">category of the GHG </w:t>
      </w:r>
      <w:r w:rsidRPr="00F57044">
        <w:rPr>
          <w:rFonts w:cs="Calibri"/>
          <w:color w:val="000000"/>
        </w:rPr>
        <w:t xml:space="preserve">inventory are outside the </w:t>
      </w:r>
      <w:r w:rsidRPr="00F57044" w:rsidDel="00A57C4A">
        <w:rPr>
          <w:rFonts w:cs="Calibri"/>
          <w:color w:val="000000"/>
        </w:rPr>
        <w:t>NZ ETS</w:t>
      </w:r>
      <w:r w:rsidRPr="00F57044">
        <w:rPr>
          <w:rFonts w:cs="Calibri"/>
          <w:color w:val="000000"/>
        </w:rPr>
        <w:t>, including:</w:t>
      </w:r>
    </w:p>
    <w:p w:rsidRPr="00F57044" w:rsidR="00B06341" w:rsidP="00CE7448" w:rsidRDefault="00B06341" w14:paraId="54BD207C" w14:textId="639FD2C6">
      <w:pPr>
        <w:pStyle w:val="Sub-list"/>
      </w:pPr>
      <w:r w:rsidRPr="00F57044">
        <w:t>non-energy products from fuels and solvent use</w:t>
      </w:r>
    </w:p>
    <w:p w:rsidRPr="00F57044" w:rsidR="00B06341" w:rsidP="00CE7448" w:rsidRDefault="00332593" w14:paraId="769411CE" w14:textId="17892B09">
      <w:pPr>
        <w:pStyle w:val="Sub-list"/>
      </w:pPr>
      <w:r w:rsidRPr="00F57044">
        <w:t>N</w:t>
      </w:r>
      <w:r w:rsidRPr="00F57044">
        <w:rPr>
          <w:vertAlign w:val="subscript"/>
        </w:rPr>
        <w:t>2</w:t>
      </w:r>
      <w:r w:rsidRPr="00F57044">
        <w:t>O</w:t>
      </w:r>
      <w:r w:rsidRPr="00F57044" w:rsidR="00B06341">
        <w:t xml:space="preserve"> from medical applications</w:t>
      </w:r>
    </w:p>
    <w:p w:rsidRPr="00F57044" w:rsidR="00B06341" w:rsidP="00CE7448" w:rsidRDefault="00B06341" w14:paraId="297C0718" w14:textId="5AA5A2BD">
      <w:pPr>
        <w:pStyle w:val="Sub-list"/>
      </w:pPr>
      <w:r w:rsidRPr="00F57044">
        <w:t>other uses of carbonate.</w:t>
      </w:r>
    </w:p>
    <w:p w:rsidRPr="00F57044" w:rsidR="00B1019E" w:rsidP="00B06341" w:rsidRDefault="00B06341" w14:paraId="6E5EACD1" w14:textId="491BD8B5">
      <w:pPr>
        <w:pStyle w:val="Bullet"/>
        <w:rPr>
          <w:rFonts w:cs="Calibri"/>
          <w:color w:val="000000" w:themeColor="text1"/>
        </w:rPr>
      </w:pPr>
      <w:r w:rsidRPr="00F57044">
        <w:rPr>
          <w:rFonts w:cs="Calibri"/>
          <w:color w:val="000000"/>
          <w:shd w:val="clear" w:color="auto" w:fill="FFFFFF"/>
        </w:rPr>
        <w:t>Forestry</w:t>
      </w:r>
      <w:r w:rsidRPr="00F57044" w:rsidR="00E50C1A">
        <w:rPr>
          <w:rFonts w:cs="Calibri"/>
          <w:color w:val="000000"/>
          <w:shd w:val="clear" w:color="auto" w:fill="FFFFFF"/>
        </w:rPr>
        <w:t xml:space="preserve">. </w:t>
      </w:r>
      <w:r w:rsidRPr="00F57044" w:rsidR="008B2CBD">
        <w:rPr>
          <w:rFonts w:cs="Calibri"/>
          <w:color w:val="000000"/>
          <w:shd w:val="clear" w:color="auto" w:fill="FFFFFF"/>
        </w:rPr>
        <w:t>Sources of removals outside the NZ ETS comprise</w:t>
      </w:r>
      <w:r w:rsidRPr="00F57044">
        <w:rPr>
          <w:rFonts w:cs="Calibri"/>
          <w:color w:val="000000"/>
          <w:shd w:val="clear" w:color="auto" w:fill="FFFFFF"/>
        </w:rPr>
        <w:t xml:space="preserve"> the subset of post-1989 forest land that is not registered in the NZ</w:t>
      </w:r>
      <w:r w:rsidRPr="00F57044" w:rsidR="00E50C1A">
        <w:rPr>
          <w:rFonts w:cs="Calibri"/>
          <w:color w:val="000000"/>
          <w:shd w:val="clear" w:color="auto" w:fill="FFFFFF"/>
        </w:rPr>
        <w:t> </w:t>
      </w:r>
      <w:r w:rsidRPr="00F57044">
        <w:rPr>
          <w:rFonts w:cs="Calibri"/>
          <w:color w:val="000000"/>
          <w:shd w:val="clear" w:color="auto" w:fill="FFFFFF"/>
        </w:rPr>
        <w:t xml:space="preserve">ETS. The Commission has assumed that all currently registered forest land </w:t>
      </w:r>
      <w:r w:rsidRPr="00F57044" w:rsidR="00E50C1A">
        <w:rPr>
          <w:rFonts w:cs="Calibri"/>
          <w:color w:val="000000"/>
          <w:shd w:val="clear" w:color="auto" w:fill="FFFFFF"/>
        </w:rPr>
        <w:t xml:space="preserve">will </w:t>
      </w:r>
      <w:r w:rsidRPr="00F57044">
        <w:rPr>
          <w:rFonts w:cs="Calibri"/>
          <w:color w:val="000000"/>
          <w:shd w:val="clear" w:color="auto" w:fill="FFFFFF"/>
        </w:rPr>
        <w:t xml:space="preserve">remain registered, and that all eligible post-1989 forests planted </w:t>
      </w:r>
      <w:r w:rsidRPr="00F57044">
        <w:rPr>
          <w:rFonts w:cs="Calibri"/>
          <w:color w:val="000000"/>
          <w:shd w:val="clear" w:color="auto" w:fill="FFFFFF"/>
        </w:rPr>
        <w:t xml:space="preserve">from 2019 will register or have already done so. </w:t>
      </w:r>
      <w:r w:rsidRPr="00F57044" w:rsidDel="00FD4A93">
        <w:rPr>
          <w:rFonts w:cs="Calibri"/>
          <w:color w:val="000000"/>
          <w:shd w:val="clear" w:color="auto" w:fill="FFFFFF"/>
        </w:rPr>
        <w:t>This equates to allocating 100 per cent of</w:t>
      </w:r>
      <w:r w:rsidRPr="00F57044" w:rsidR="00CE7448">
        <w:rPr>
          <w:rFonts w:cs="Calibri"/>
          <w:color w:val="000000"/>
          <w:shd w:val="clear" w:color="auto" w:fill="FFFFFF"/>
        </w:rPr>
        <w:t> </w:t>
      </w:r>
      <w:r w:rsidRPr="00F57044" w:rsidDel="00FD4A93">
        <w:rPr>
          <w:rFonts w:cs="Calibri"/>
          <w:color w:val="000000"/>
          <w:shd w:val="clear" w:color="auto" w:fill="FFFFFF"/>
        </w:rPr>
        <w:t xml:space="preserve">post-1989 forestry (both </w:t>
      </w:r>
      <w:r w:rsidRPr="00F57044" w:rsidDel="00FD4A93" w:rsidR="00580AC1">
        <w:t>CO</w:t>
      </w:r>
      <w:r w:rsidRPr="00F57044" w:rsidDel="00FD4A93" w:rsidR="00580AC1">
        <w:rPr>
          <w:vertAlign w:val="subscript"/>
        </w:rPr>
        <w:t>2</w:t>
      </w:r>
      <w:r w:rsidRPr="00F57044" w:rsidDel="00FD4A93" w:rsidR="00A67A72">
        <w:rPr>
          <w:vertAlign w:val="subscript"/>
        </w:rPr>
        <w:t xml:space="preserve"> </w:t>
      </w:r>
      <w:r w:rsidRPr="00F57044" w:rsidDel="00FD4A93">
        <w:rPr>
          <w:rFonts w:cs="Calibri"/>
          <w:color w:val="000000"/>
          <w:shd w:val="clear" w:color="auto" w:fill="FFFFFF"/>
        </w:rPr>
        <w:t>removals from forest growth</w:t>
      </w:r>
      <w:r w:rsidRPr="00F57044" w:rsidDel="00FD4A93" w:rsidR="00A67A72">
        <w:rPr>
          <w:rFonts w:cs="Calibri"/>
          <w:color w:val="000000"/>
          <w:shd w:val="clear" w:color="auto" w:fill="FFFFFF"/>
        </w:rPr>
        <w:t>,</w:t>
      </w:r>
      <w:r w:rsidRPr="00F57044" w:rsidDel="00FD4A93">
        <w:rPr>
          <w:rFonts w:cs="Calibri"/>
          <w:color w:val="000000"/>
          <w:shd w:val="clear" w:color="auto" w:fill="FFFFFF"/>
        </w:rPr>
        <w:t xml:space="preserve"> and emissions from deforestation) to the NZ ETS sectors.</w:t>
      </w:r>
    </w:p>
    <w:p w:rsidRPr="00F57044" w:rsidR="00B06341" w:rsidP="00B06341" w:rsidRDefault="00580AC1" w14:paraId="3C6EF5D0" w14:textId="557C4254">
      <w:pPr>
        <w:pStyle w:val="BodyText"/>
      </w:pPr>
      <w:r w:rsidRPr="00F57044">
        <w:t>ERP2</w:t>
      </w:r>
      <w:r w:rsidRPr="00F57044" w:rsidR="00B06341">
        <w:t xml:space="preserve"> sets out the Government’s proposal to allocate the </w:t>
      </w:r>
      <w:r w:rsidR="00901CB1">
        <w:t xml:space="preserve">emissions budget </w:t>
      </w:r>
      <w:r w:rsidRPr="00F57044" w:rsidR="00B06341">
        <w:t>volume between sectors</w:t>
      </w:r>
      <w:r w:rsidRPr="00F57044">
        <w:t xml:space="preserve"> in and outside the </w:t>
      </w:r>
      <w:r w:rsidRPr="00F57044" w:rsidR="00012F74">
        <w:t>NZ ETS</w:t>
      </w:r>
      <w:r w:rsidRPr="00F57044" w:rsidR="00B06341">
        <w:t xml:space="preserve">. </w:t>
      </w:r>
      <w:r w:rsidRPr="00F57044">
        <w:t xml:space="preserve">The plan </w:t>
      </w:r>
      <w:r w:rsidRPr="00F57044" w:rsidR="00B06341">
        <w:t xml:space="preserve">proposes apportioning </w:t>
      </w:r>
      <w:r w:rsidRPr="00F57044" w:rsidR="00A650A0">
        <w:t>89.4</w:t>
      </w:r>
      <w:r w:rsidRPr="00F57044" w:rsidR="003F3210">
        <w:t xml:space="preserve"> </w:t>
      </w:r>
      <w:r w:rsidRPr="00F57044" w:rsidR="00B06341">
        <w:t>Mt CO</w:t>
      </w:r>
      <w:r w:rsidRPr="00F57044" w:rsidR="00B06341">
        <w:rPr>
          <w:vertAlign w:val="subscript"/>
        </w:rPr>
        <w:t>2</w:t>
      </w:r>
      <w:r w:rsidRPr="00F57044" w:rsidR="00B06341">
        <w:t xml:space="preserve">e to the </w:t>
      </w:r>
      <w:r w:rsidRPr="00F57044" w:rsidDel="00580AC1" w:rsidR="00B06341">
        <w:t xml:space="preserve">NZ </w:t>
      </w:r>
      <w:r w:rsidRPr="00F57044" w:rsidR="00B06341">
        <w:t>ETS</w:t>
      </w:r>
      <w:r w:rsidRPr="00F57044" w:rsidR="00513248">
        <w:t xml:space="preserve"> </w:t>
      </w:r>
      <w:r w:rsidRPr="00F57044">
        <w:t>scheme</w:t>
      </w:r>
      <w:r w:rsidRPr="00F57044" w:rsidR="00B06341">
        <w:t xml:space="preserve"> for the EB2 period (2026</w:t>
      </w:r>
      <w:r w:rsidRPr="00F57044">
        <w:t>–</w:t>
      </w:r>
      <w:r w:rsidRPr="00F57044" w:rsidR="00B06341">
        <w:t>30).</w:t>
      </w:r>
      <w:r w:rsidRPr="00F57044" w:rsidDel="00580AC1" w:rsidR="00B06341">
        <w:t xml:space="preserve"> </w:t>
      </w:r>
      <w:r w:rsidRPr="00F57044" w:rsidR="00B06341">
        <w:t>The Commission also</w:t>
      </w:r>
      <w:r w:rsidRPr="00F57044" w:rsidR="00CE7448">
        <w:t> </w:t>
      </w:r>
      <w:r w:rsidRPr="00F57044" w:rsidR="00B06341">
        <w:t>recommends this approach.</w:t>
      </w:r>
      <w:r w:rsidRPr="00F57044">
        <w:t xml:space="preserve"> </w:t>
      </w:r>
    </w:p>
    <w:p w:rsidRPr="00F57044" w:rsidR="00B06341" w:rsidP="00B06341" w:rsidRDefault="00B06341" w14:paraId="07D9044F" w14:textId="20EFE1F3">
      <w:pPr>
        <w:pStyle w:val="BodyText"/>
      </w:pPr>
      <w:r w:rsidRPr="00F57044">
        <w:t xml:space="preserve">Table </w:t>
      </w:r>
      <w:r w:rsidRPr="00F57044" w:rsidR="00970774">
        <w:t>A1.2</w:t>
      </w:r>
      <w:r w:rsidRPr="00F57044">
        <w:t xml:space="preserve"> shows the updated allocated volume of emissions budgets to sectors in and outside the </w:t>
      </w:r>
      <w:r w:rsidRPr="00F57044" w:rsidDel="00580AC1">
        <w:t xml:space="preserve">NZ </w:t>
      </w:r>
      <w:r w:rsidRPr="00F57044">
        <w:t>ETS</w:t>
      </w:r>
      <w:r w:rsidRPr="00F57044" w:rsidR="00513248">
        <w:t xml:space="preserve"> </w:t>
      </w:r>
      <w:r w:rsidRPr="00F57044" w:rsidR="00580AC1">
        <w:t>scheme</w:t>
      </w:r>
      <w:r w:rsidRPr="00F57044">
        <w:t xml:space="preserve">. </w:t>
      </w:r>
    </w:p>
    <w:p w:rsidRPr="00F57044" w:rsidR="00B06341" w:rsidP="00B06341" w:rsidRDefault="00B06341" w14:paraId="2B86F2B6" w14:textId="13AA832E">
      <w:pPr>
        <w:pStyle w:val="Tableheading"/>
      </w:pPr>
      <w:bookmarkStart w:name="_Toc198901878" w:id="128"/>
      <w:r w:rsidRPr="00F57044">
        <w:t xml:space="preserve">Table </w:t>
      </w:r>
      <w:r w:rsidRPr="00F57044" w:rsidR="00970774">
        <w:t>A1.2</w:t>
      </w:r>
      <w:r w:rsidRPr="00F57044">
        <w:t xml:space="preserve">: </w:t>
      </w:r>
      <w:r w:rsidRPr="00F57044">
        <w:tab/>
      </w:r>
      <w:r w:rsidRPr="00F57044">
        <w:t>Update for step 2</w:t>
      </w:r>
      <w:r w:rsidRPr="00F57044" w:rsidR="00E50C1A">
        <w:t xml:space="preserve"> in the seven step</w:t>
      </w:r>
      <w:r w:rsidRPr="00F57044" w:rsidR="003D0CA1">
        <w:t>s</w:t>
      </w:r>
      <w:r w:rsidRPr="00F57044" w:rsidR="00E50C1A">
        <w:t xml:space="preserve"> methodology</w:t>
      </w:r>
      <w:r w:rsidRPr="00F57044" w:rsidR="00F30B91">
        <w:t>, 2026–30</w:t>
      </w:r>
      <w:bookmarkEnd w:id="128"/>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3401"/>
        <w:gridCol w:w="467"/>
        <w:gridCol w:w="772"/>
        <w:gridCol w:w="772"/>
        <w:gridCol w:w="772"/>
        <w:gridCol w:w="772"/>
        <w:gridCol w:w="701"/>
        <w:gridCol w:w="71"/>
        <w:gridCol w:w="777"/>
      </w:tblGrid>
      <w:tr w:rsidRPr="00F57044" w:rsidR="00262082" w:rsidTr="00B523A9" w14:paraId="48DE6B75" w14:textId="083E8DE5">
        <w:trPr>
          <w:tblHeader/>
        </w:trPr>
        <w:tc>
          <w:tcPr>
            <w:tcW w:w="1999" w:type="pct"/>
            <w:shd w:val="clear" w:color="auto" w:fill="1B556B" w:themeFill="text2"/>
          </w:tcPr>
          <w:p w:rsidRPr="00F57044" w:rsidR="00F17980" w:rsidP="00262082" w:rsidRDefault="00F17980" w14:paraId="731A09CE" w14:textId="0F77394E">
            <w:pPr>
              <w:pStyle w:val="TableTextbold"/>
              <w:spacing w:after="0"/>
              <w:rPr>
                <w:color w:val="FFFFFF" w:themeColor="background1"/>
                <w:highlight w:val="yellow"/>
              </w:rPr>
            </w:pPr>
          </w:p>
        </w:tc>
        <w:tc>
          <w:tcPr>
            <w:tcW w:w="2502" w:type="pct"/>
            <w:gridSpan w:val="6"/>
            <w:shd w:val="clear" w:color="auto" w:fill="1B556B" w:themeFill="text2"/>
          </w:tcPr>
          <w:p w:rsidRPr="00F57044" w:rsidR="00F17980" w:rsidP="00262082" w:rsidRDefault="00F17980" w14:paraId="48F70DEF" w14:textId="30AEF8C9">
            <w:pPr>
              <w:pStyle w:val="TableTextbold"/>
              <w:spacing w:after="0"/>
              <w:jc w:val="center"/>
              <w:rPr>
                <w:color w:val="FFFFFF" w:themeColor="background1"/>
              </w:rPr>
            </w:pPr>
            <w:r w:rsidRPr="00F57044">
              <w:rPr>
                <w:color w:val="FFFFFF" w:themeColor="background1"/>
              </w:rPr>
              <w:t>Year</w:t>
            </w:r>
            <w:r w:rsidRPr="00F57044">
              <w:rPr>
                <w:color w:val="FFFFFF" w:themeColor="background1"/>
              </w:rPr>
              <w:br/>
            </w:r>
            <w:r w:rsidRPr="00F57044">
              <w:rPr>
                <w:color w:val="FFFFFF" w:themeColor="background1"/>
              </w:rPr>
              <w:t>(</w:t>
            </w:r>
            <w:r w:rsidRPr="00F57044" w:rsidR="00E50C1A">
              <w:rPr>
                <w:color w:val="FFFFFF" w:themeColor="background1"/>
              </w:rPr>
              <w:t>m</w:t>
            </w:r>
            <w:r w:rsidRPr="00F57044">
              <w:rPr>
                <w:color w:val="FFFFFF" w:themeColor="background1"/>
              </w:rPr>
              <w:t>illion NZUs)</w:t>
            </w:r>
          </w:p>
        </w:tc>
        <w:tc>
          <w:tcPr>
            <w:tcW w:w="499" w:type="pct"/>
            <w:gridSpan w:val="2"/>
            <w:shd w:val="clear" w:color="auto" w:fill="1B556B" w:themeFill="text2"/>
          </w:tcPr>
          <w:p w:rsidRPr="00F57044" w:rsidR="00F17980" w:rsidP="00262082" w:rsidRDefault="00F17980" w14:paraId="62D650FF" w14:textId="438B0CF6">
            <w:pPr>
              <w:pStyle w:val="TableTextbold"/>
              <w:spacing w:after="0"/>
              <w:rPr>
                <w:color w:val="FFFFFF" w:themeColor="background1"/>
              </w:rPr>
            </w:pPr>
          </w:p>
        </w:tc>
      </w:tr>
      <w:tr w:rsidRPr="00F57044" w:rsidR="00B523A9" w:rsidTr="00B523A9" w14:paraId="70947A64" w14:textId="4F63DC41">
        <w:trPr>
          <w:tblHeader/>
        </w:trPr>
        <w:tc>
          <w:tcPr>
            <w:tcW w:w="2273" w:type="pct"/>
            <w:gridSpan w:val="2"/>
            <w:shd w:val="clear" w:color="auto" w:fill="1B556B" w:themeFill="text2"/>
          </w:tcPr>
          <w:p w:rsidRPr="00F57044" w:rsidR="00F17980" w:rsidP="00262082" w:rsidRDefault="00F17980" w14:paraId="17CD34FC" w14:textId="034DB34C">
            <w:pPr>
              <w:pStyle w:val="TableTextbold"/>
              <w:spacing w:before="0"/>
              <w:rPr>
                <w:color w:val="FFFFFF" w:themeColor="background1"/>
                <w:highlight w:val="yellow"/>
              </w:rPr>
            </w:pPr>
          </w:p>
        </w:tc>
        <w:tc>
          <w:tcPr>
            <w:tcW w:w="454" w:type="pct"/>
            <w:shd w:val="clear" w:color="auto" w:fill="1B556B" w:themeFill="text2"/>
          </w:tcPr>
          <w:p w:rsidRPr="00F57044" w:rsidR="00F17980" w:rsidP="00262082" w:rsidRDefault="00F17980" w14:paraId="367653FB" w14:textId="0979D720">
            <w:pPr>
              <w:pStyle w:val="TableTextbold"/>
              <w:spacing w:before="0"/>
              <w:rPr>
                <w:color w:val="FFFFFF" w:themeColor="background1"/>
              </w:rPr>
            </w:pPr>
            <w:r w:rsidRPr="00F57044">
              <w:rPr>
                <w:color w:val="FFFFFF" w:themeColor="background1"/>
              </w:rPr>
              <w:t>2026</w:t>
            </w:r>
          </w:p>
        </w:tc>
        <w:tc>
          <w:tcPr>
            <w:tcW w:w="454" w:type="pct"/>
            <w:shd w:val="clear" w:color="auto" w:fill="1B556B" w:themeFill="text2"/>
          </w:tcPr>
          <w:p w:rsidRPr="00F57044" w:rsidR="00F17980" w:rsidP="00262082" w:rsidRDefault="00F17980" w14:paraId="74809301" w14:textId="57A1DDFE">
            <w:pPr>
              <w:pStyle w:val="TableTextbold"/>
              <w:spacing w:before="0"/>
              <w:rPr>
                <w:color w:val="FFFFFF" w:themeColor="background1"/>
              </w:rPr>
            </w:pPr>
            <w:r w:rsidRPr="00F57044">
              <w:rPr>
                <w:color w:val="FFFFFF" w:themeColor="background1"/>
              </w:rPr>
              <w:t>2027</w:t>
            </w:r>
          </w:p>
        </w:tc>
        <w:tc>
          <w:tcPr>
            <w:tcW w:w="454" w:type="pct"/>
            <w:shd w:val="clear" w:color="auto" w:fill="1B556B" w:themeFill="text2"/>
          </w:tcPr>
          <w:p w:rsidRPr="00F57044" w:rsidR="00F17980" w:rsidP="00262082" w:rsidRDefault="00F17980" w14:paraId="039490DE" w14:textId="40DB7F8C">
            <w:pPr>
              <w:pStyle w:val="TableTextbold"/>
              <w:spacing w:before="0"/>
              <w:rPr>
                <w:color w:val="FFFFFF" w:themeColor="background1"/>
              </w:rPr>
            </w:pPr>
            <w:r w:rsidRPr="00F57044">
              <w:rPr>
                <w:color w:val="FFFFFF" w:themeColor="background1"/>
              </w:rPr>
              <w:t>2028</w:t>
            </w:r>
          </w:p>
        </w:tc>
        <w:tc>
          <w:tcPr>
            <w:tcW w:w="454" w:type="pct"/>
            <w:shd w:val="clear" w:color="auto" w:fill="1B556B" w:themeFill="text2"/>
          </w:tcPr>
          <w:p w:rsidRPr="00F57044" w:rsidR="00F17980" w:rsidP="00262082" w:rsidRDefault="00F17980" w14:paraId="75863FBB" w14:textId="3487F0C5">
            <w:pPr>
              <w:pStyle w:val="TableTextbold"/>
              <w:spacing w:before="0"/>
              <w:rPr>
                <w:color w:val="FFFFFF" w:themeColor="background1"/>
              </w:rPr>
            </w:pPr>
            <w:r w:rsidRPr="00F57044">
              <w:rPr>
                <w:color w:val="FFFFFF" w:themeColor="background1"/>
              </w:rPr>
              <w:t>2029</w:t>
            </w:r>
          </w:p>
        </w:tc>
        <w:tc>
          <w:tcPr>
            <w:tcW w:w="454" w:type="pct"/>
            <w:gridSpan w:val="2"/>
            <w:shd w:val="clear" w:color="auto" w:fill="1B556B" w:themeFill="text2"/>
          </w:tcPr>
          <w:p w:rsidRPr="00F57044" w:rsidR="00F17980" w:rsidP="00262082" w:rsidRDefault="00F17980" w14:paraId="3A47D3C8" w14:textId="6F7D8F54">
            <w:pPr>
              <w:pStyle w:val="TableTextbold"/>
              <w:spacing w:before="0"/>
              <w:rPr>
                <w:color w:val="FFFFFF" w:themeColor="background1"/>
              </w:rPr>
            </w:pPr>
            <w:r w:rsidRPr="00F57044">
              <w:rPr>
                <w:color w:val="FFFFFF" w:themeColor="background1"/>
              </w:rPr>
              <w:t>2030</w:t>
            </w:r>
          </w:p>
        </w:tc>
        <w:tc>
          <w:tcPr>
            <w:tcW w:w="454" w:type="pct"/>
            <w:shd w:val="clear" w:color="auto" w:fill="1B556B" w:themeFill="text2"/>
          </w:tcPr>
          <w:p w:rsidRPr="00F57044" w:rsidR="00F17980" w:rsidP="00262082" w:rsidRDefault="00F17980" w14:paraId="45058181" w14:textId="2B703A25">
            <w:pPr>
              <w:pStyle w:val="TableTextbold"/>
              <w:spacing w:before="0"/>
              <w:rPr>
                <w:color w:val="FFFFFF" w:themeColor="background1"/>
              </w:rPr>
            </w:pPr>
            <w:r w:rsidRPr="00F57044">
              <w:rPr>
                <w:color w:val="FFFFFF" w:themeColor="background1"/>
              </w:rPr>
              <w:t>Total</w:t>
            </w:r>
          </w:p>
        </w:tc>
      </w:tr>
      <w:tr w:rsidRPr="00F57044" w:rsidR="00B523A9" w:rsidTr="00B523A9" w14:paraId="13A4F6B8" w14:textId="70D747AB">
        <w:tc>
          <w:tcPr>
            <w:tcW w:w="2273" w:type="pct"/>
            <w:gridSpan w:val="2"/>
            <w:shd w:val="clear" w:color="auto" w:fill="auto"/>
          </w:tcPr>
          <w:p w:rsidRPr="00F57044" w:rsidR="00461E9F" w:rsidP="00461E9F" w:rsidRDefault="00461E9F" w14:paraId="0B284D43" w14:textId="19BCAE53">
            <w:pPr>
              <w:pStyle w:val="TableText"/>
              <w:rPr>
                <w:b/>
              </w:rPr>
            </w:pPr>
            <w:r w:rsidRPr="00F57044">
              <w:rPr>
                <w:rFonts w:asciiTheme="minorHAnsi" w:hAnsiTheme="minorHAnsi"/>
                <w:b/>
                <w:sz w:val="20"/>
                <w:szCs w:val="20"/>
              </w:rPr>
              <w:t>Share of emissions budget allocated to non</w:t>
            </w:r>
            <w:r w:rsidRPr="00F57044" w:rsidR="00B523A9">
              <w:rPr>
                <w:rFonts w:asciiTheme="minorHAnsi" w:hAnsiTheme="minorHAnsi"/>
                <w:b/>
                <w:sz w:val="20"/>
                <w:szCs w:val="20"/>
              </w:rPr>
              <w:noBreakHyphen/>
            </w:r>
            <w:r w:rsidRPr="00F57044" w:rsidDel="00AC0082">
              <w:rPr>
                <w:rFonts w:asciiTheme="minorHAnsi" w:hAnsiTheme="minorHAnsi"/>
                <w:b/>
                <w:sz w:val="20"/>
                <w:szCs w:val="20"/>
              </w:rPr>
              <w:t>NZ</w:t>
            </w:r>
            <w:r w:rsidRPr="00F57044" w:rsidDel="00A67A72">
              <w:rPr>
                <w:rFonts w:asciiTheme="minorHAnsi" w:hAnsiTheme="minorHAnsi"/>
                <w:b/>
                <w:sz w:val="20"/>
                <w:szCs w:val="20"/>
              </w:rPr>
              <w:t xml:space="preserve"> </w:t>
            </w:r>
            <w:r w:rsidRPr="00F57044">
              <w:rPr>
                <w:rFonts w:asciiTheme="minorHAnsi" w:hAnsiTheme="minorHAnsi"/>
                <w:b/>
                <w:sz w:val="20"/>
                <w:szCs w:val="20"/>
              </w:rPr>
              <w:t xml:space="preserve">ETS sectors </w:t>
            </w:r>
          </w:p>
        </w:tc>
        <w:tc>
          <w:tcPr>
            <w:tcW w:w="454" w:type="pct"/>
          </w:tcPr>
          <w:p w:rsidRPr="00F57044" w:rsidR="00461E9F" w:rsidP="00461E9F" w:rsidRDefault="00461E9F" w14:paraId="2428AB6E" w14:textId="5E0D5B66">
            <w:pPr>
              <w:pStyle w:val="TableText"/>
            </w:pPr>
            <w:r w:rsidRPr="00F57044">
              <w:t>42.</w:t>
            </w:r>
            <w:r w:rsidRPr="00F57044" w:rsidR="005A018C">
              <w:t>7</w:t>
            </w:r>
          </w:p>
        </w:tc>
        <w:tc>
          <w:tcPr>
            <w:tcW w:w="454" w:type="pct"/>
          </w:tcPr>
          <w:p w:rsidRPr="00F57044" w:rsidR="00461E9F" w:rsidP="00461E9F" w:rsidRDefault="00461E9F" w14:paraId="47455541" w14:textId="28A3C8DF">
            <w:pPr>
              <w:pStyle w:val="TableText"/>
            </w:pPr>
            <w:r w:rsidRPr="00F57044">
              <w:t>4</w:t>
            </w:r>
            <w:r w:rsidRPr="00F57044" w:rsidR="007D72F5">
              <w:t>2.</w:t>
            </w:r>
            <w:r w:rsidRPr="00F57044" w:rsidDel="005A018C">
              <w:t>9</w:t>
            </w:r>
          </w:p>
        </w:tc>
        <w:tc>
          <w:tcPr>
            <w:tcW w:w="454" w:type="pct"/>
          </w:tcPr>
          <w:p w:rsidRPr="00F57044" w:rsidR="00461E9F" w:rsidP="00461E9F" w:rsidRDefault="00461E9F" w14:paraId="49E48497" w14:textId="7A9518F8">
            <w:pPr>
              <w:pStyle w:val="TableText"/>
            </w:pPr>
            <w:r w:rsidRPr="00F57044">
              <w:t>42.</w:t>
            </w:r>
            <w:r w:rsidRPr="00F57044" w:rsidR="00CF424F">
              <w:t>8</w:t>
            </w:r>
          </w:p>
        </w:tc>
        <w:tc>
          <w:tcPr>
            <w:tcW w:w="454" w:type="pct"/>
          </w:tcPr>
          <w:p w:rsidRPr="00F57044" w:rsidR="00461E9F" w:rsidP="00461E9F" w:rsidRDefault="00461E9F" w14:paraId="5EBF76DC" w14:textId="527A302E">
            <w:pPr>
              <w:pStyle w:val="TableText"/>
            </w:pPr>
            <w:r w:rsidRPr="00F57044">
              <w:t>42.</w:t>
            </w:r>
            <w:r w:rsidRPr="00F57044" w:rsidR="001C0130">
              <w:t>8</w:t>
            </w:r>
          </w:p>
        </w:tc>
        <w:tc>
          <w:tcPr>
            <w:tcW w:w="454" w:type="pct"/>
            <w:gridSpan w:val="2"/>
            <w:shd w:val="clear" w:color="auto" w:fill="auto"/>
          </w:tcPr>
          <w:p w:rsidRPr="00F57044" w:rsidR="00461E9F" w:rsidP="00461E9F" w:rsidRDefault="00461E9F" w14:paraId="723FC63D" w14:textId="1074E5BF">
            <w:pPr>
              <w:pStyle w:val="TableText"/>
            </w:pPr>
            <w:r w:rsidRPr="00F57044">
              <w:t>42.</w:t>
            </w:r>
            <w:r w:rsidRPr="00F57044" w:rsidR="005D4C8D">
              <w:t>6</w:t>
            </w:r>
          </w:p>
        </w:tc>
        <w:tc>
          <w:tcPr>
            <w:tcW w:w="454" w:type="pct"/>
          </w:tcPr>
          <w:p w:rsidRPr="00F57044" w:rsidR="00461E9F" w:rsidP="0034471A" w:rsidRDefault="006F04A2" w14:paraId="0DE54CAE" w14:textId="305D99A3">
            <w:pPr>
              <w:pStyle w:val="TableText"/>
            </w:pPr>
            <w:r w:rsidRPr="00F57044">
              <w:t>213.7</w:t>
            </w:r>
          </w:p>
        </w:tc>
      </w:tr>
      <w:tr w:rsidRPr="00F57044" w:rsidR="00B523A9" w:rsidTr="00B523A9" w14:paraId="3F36A1B8" w14:textId="488ADD12">
        <w:tc>
          <w:tcPr>
            <w:tcW w:w="2273" w:type="pct"/>
            <w:gridSpan w:val="2"/>
            <w:shd w:val="clear" w:color="auto" w:fill="auto"/>
          </w:tcPr>
          <w:p w:rsidRPr="00F57044" w:rsidR="00461E9F" w:rsidP="00461E9F" w:rsidRDefault="00461E9F" w14:paraId="3A999B54" w14:textId="06BC317E">
            <w:pPr>
              <w:pStyle w:val="TableText"/>
              <w:rPr>
                <w:b/>
              </w:rPr>
            </w:pPr>
            <w:r w:rsidRPr="00F57044">
              <w:rPr>
                <w:rFonts w:asciiTheme="minorHAnsi" w:hAnsiTheme="minorHAnsi"/>
                <w:b/>
                <w:sz w:val="20"/>
                <w:szCs w:val="20"/>
              </w:rPr>
              <w:t xml:space="preserve">Share of emissions budget allocated to </w:t>
            </w:r>
            <w:r w:rsidRPr="00F57044" w:rsidDel="00AC0082">
              <w:rPr>
                <w:rFonts w:asciiTheme="minorHAnsi" w:hAnsiTheme="minorHAnsi"/>
                <w:b/>
                <w:sz w:val="20"/>
                <w:szCs w:val="20"/>
              </w:rPr>
              <w:t>NZ</w:t>
            </w:r>
            <w:r w:rsidRPr="00F57044" w:rsidR="00B523A9">
              <w:rPr>
                <w:rFonts w:asciiTheme="minorHAnsi" w:hAnsiTheme="minorHAnsi"/>
                <w:b/>
                <w:sz w:val="20"/>
                <w:szCs w:val="20"/>
              </w:rPr>
              <w:t> </w:t>
            </w:r>
            <w:r w:rsidRPr="00F57044">
              <w:rPr>
                <w:rFonts w:asciiTheme="minorHAnsi" w:hAnsiTheme="minorHAnsi"/>
                <w:b/>
                <w:sz w:val="20"/>
                <w:szCs w:val="20"/>
              </w:rPr>
              <w:t>ETS sectors</w:t>
            </w:r>
          </w:p>
        </w:tc>
        <w:tc>
          <w:tcPr>
            <w:tcW w:w="454" w:type="pct"/>
          </w:tcPr>
          <w:p w:rsidRPr="00F57044" w:rsidR="00461E9F" w:rsidP="00461E9F" w:rsidRDefault="00461E9F" w14:paraId="31E8BEFB" w14:textId="38D44B5E">
            <w:pPr>
              <w:pStyle w:val="TableText"/>
            </w:pPr>
            <w:r w:rsidRPr="00F57044">
              <w:t>23.</w:t>
            </w:r>
            <w:r w:rsidRPr="00F57044" w:rsidR="009B5928">
              <w:t>2</w:t>
            </w:r>
          </w:p>
        </w:tc>
        <w:tc>
          <w:tcPr>
            <w:tcW w:w="454" w:type="pct"/>
          </w:tcPr>
          <w:p w:rsidRPr="00F57044" w:rsidR="00461E9F" w:rsidP="00461E9F" w:rsidRDefault="00461E9F" w14:paraId="48F37860" w14:textId="02C8E341">
            <w:pPr>
              <w:pStyle w:val="TableText"/>
            </w:pPr>
            <w:r w:rsidRPr="00F57044">
              <w:t>2</w:t>
            </w:r>
            <w:r w:rsidRPr="00F57044" w:rsidR="005B1A52">
              <w:t>0.8</w:t>
            </w:r>
          </w:p>
        </w:tc>
        <w:tc>
          <w:tcPr>
            <w:tcW w:w="454" w:type="pct"/>
          </w:tcPr>
          <w:p w:rsidRPr="00F57044" w:rsidR="00461E9F" w:rsidP="00461E9F" w:rsidRDefault="00461E9F" w14:paraId="3F5DE8DF" w14:textId="072ECFA6">
            <w:pPr>
              <w:pStyle w:val="TableText"/>
            </w:pPr>
            <w:r w:rsidRPr="00F57044">
              <w:t>17.</w:t>
            </w:r>
            <w:r w:rsidRPr="00F57044" w:rsidR="00C34F6C">
              <w:t>6</w:t>
            </w:r>
          </w:p>
        </w:tc>
        <w:tc>
          <w:tcPr>
            <w:tcW w:w="454" w:type="pct"/>
          </w:tcPr>
          <w:p w:rsidRPr="00F57044" w:rsidR="00461E9F" w:rsidP="00461E9F" w:rsidRDefault="00461E9F" w14:paraId="10BB7F5E" w14:textId="225CD70C">
            <w:pPr>
              <w:pStyle w:val="TableText"/>
            </w:pPr>
            <w:r w:rsidRPr="00F57044">
              <w:t>15.</w:t>
            </w:r>
            <w:r w:rsidRPr="00F57044" w:rsidR="003C3503">
              <w:t>1</w:t>
            </w:r>
          </w:p>
        </w:tc>
        <w:tc>
          <w:tcPr>
            <w:tcW w:w="454" w:type="pct"/>
            <w:gridSpan w:val="2"/>
            <w:shd w:val="clear" w:color="auto" w:fill="auto"/>
          </w:tcPr>
          <w:p w:rsidRPr="00F57044" w:rsidR="00461E9F" w:rsidP="00461E9F" w:rsidRDefault="00461E9F" w14:paraId="0411F026" w14:textId="4D98938F">
            <w:pPr>
              <w:pStyle w:val="TableText"/>
            </w:pPr>
            <w:r w:rsidRPr="00F57044">
              <w:t>1</w:t>
            </w:r>
            <w:r w:rsidRPr="00F57044" w:rsidR="006A100A">
              <w:t>2.6</w:t>
            </w:r>
          </w:p>
        </w:tc>
        <w:tc>
          <w:tcPr>
            <w:tcW w:w="454" w:type="pct"/>
          </w:tcPr>
          <w:p w:rsidRPr="00F57044" w:rsidR="00461E9F" w:rsidP="0034471A" w:rsidRDefault="00932F86" w14:paraId="124FDCF3" w14:textId="4AD7746D">
            <w:pPr>
              <w:pStyle w:val="TableText"/>
            </w:pPr>
            <w:r w:rsidRPr="00F57044">
              <w:t>89.4</w:t>
            </w:r>
          </w:p>
        </w:tc>
      </w:tr>
    </w:tbl>
    <w:p w:rsidRPr="00F57044" w:rsidR="008634B3" w:rsidP="00262082" w:rsidRDefault="008634B3" w14:paraId="2B71759D" w14:textId="440F399F">
      <w:pPr>
        <w:pStyle w:val="Note"/>
        <w:spacing w:before="120"/>
      </w:pPr>
      <w:bookmarkStart w:name="_Toc161831674" w:id="129"/>
      <w:bookmarkStart w:name="_Toc161762885" w:id="130"/>
      <w:bookmarkStart w:name="_Toc163048589" w:id="131"/>
      <w:r w:rsidRPr="00F57044">
        <w:t>Note: Totals m</w:t>
      </w:r>
      <w:r w:rsidRPr="00F57044" w:rsidR="000C74BA">
        <w:t>ay not add due to rounding</w:t>
      </w:r>
    </w:p>
    <w:p w:rsidRPr="00F57044" w:rsidR="00B06341" w:rsidP="00B523A9" w:rsidRDefault="00B06341" w14:paraId="5716508D" w14:textId="50962760">
      <w:pPr>
        <w:pStyle w:val="AppendixH2"/>
      </w:pPr>
      <w:r w:rsidRPr="00F57044">
        <w:t>Step 3: Make technical adjustments</w:t>
      </w:r>
      <w:bookmarkEnd w:id="129"/>
      <w:bookmarkEnd w:id="130"/>
      <w:bookmarkEnd w:id="131"/>
    </w:p>
    <w:p w:rsidRPr="00F57044" w:rsidR="00B06341" w:rsidP="00B523A9" w:rsidRDefault="00B06341" w14:paraId="0CE7A359" w14:textId="65E98A3B">
      <w:pPr>
        <w:pStyle w:val="BodyText"/>
      </w:pPr>
      <w:r w:rsidRPr="00F57044">
        <w:rPr>
          <w:spacing w:val="-2"/>
        </w:rPr>
        <w:t xml:space="preserve">Emissions reported into the </w:t>
      </w:r>
      <w:r w:rsidRPr="00F57044" w:rsidDel="00A67A72">
        <w:rPr>
          <w:spacing w:val="-2"/>
        </w:rPr>
        <w:t xml:space="preserve">NZ </w:t>
      </w:r>
      <w:r w:rsidRPr="00F57044">
        <w:rPr>
          <w:spacing w:val="-2"/>
        </w:rPr>
        <w:t xml:space="preserve">ETS for </w:t>
      </w:r>
      <w:r w:rsidRPr="00F57044" w:rsidR="00E20ECC">
        <w:rPr>
          <w:spacing w:val="-2"/>
        </w:rPr>
        <w:t xml:space="preserve">the </w:t>
      </w:r>
      <w:r w:rsidRPr="00F57044">
        <w:rPr>
          <w:spacing w:val="-2"/>
        </w:rPr>
        <w:t xml:space="preserve">sectors </w:t>
      </w:r>
      <w:r w:rsidRPr="00F57044" w:rsidR="00E20ECC">
        <w:rPr>
          <w:spacing w:val="-2"/>
        </w:rPr>
        <w:t xml:space="preserve">it covers </w:t>
      </w:r>
      <w:r w:rsidRPr="00F57044">
        <w:rPr>
          <w:spacing w:val="-2"/>
        </w:rPr>
        <w:t>are intended to align with emissions</w:t>
      </w:r>
      <w:r w:rsidRPr="00F57044">
        <w:t xml:space="preserve"> reported in the GHG </w:t>
      </w:r>
      <w:r w:rsidRPr="00F57044" w:rsidR="0034471A">
        <w:t>i</w:t>
      </w:r>
      <w:r w:rsidRPr="00F57044">
        <w:t xml:space="preserve">nventory, as New Zealand uses inventory data to report progress towards </w:t>
      </w:r>
      <w:r w:rsidRPr="00F57044" w:rsidR="007858C0">
        <w:t xml:space="preserve">emissions reduction </w:t>
      </w:r>
      <w:r w:rsidRPr="00F57044">
        <w:t>targets. Any accounting misalignment could mean too many, or too few, emission</w:t>
      </w:r>
      <w:r w:rsidRPr="00F57044" w:rsidR="0034471A">
        <w:t>s</w:t>
      </w:r>
      <w:r w:rsidRPr="00F57044">
        <w:t xml:space="preserve"> units are supplied into the market, risking over- or under-achieving those targets.</w:t>
      </w:r>
    </w:p>
    <w:p w:rsidRPr="00F57044" w:rsidR="00B06341" w:rsidP="00B06341" w:rsidRDefault="00FB48BD" w14:paraId="2D724442" w14:textId="593754C5">
      <w:pPr>
        <w:pStyle w:val="BodyText"/>
      </w:pPr>
      <w:r w:rsidRPr="00F57044">
        <w:t xml:space="preserve">The </w:t>
      </w:r>
      <w:r w:rsidRPr="00F57044" w:rsidR="00B06341">
        <w:t>2024</w:t>
      </w:r>
      <w:r w:rsidRPr="00F57044" w:rsidDel="00FB48BD" w:rsidR="00B06341">
        <w:t xml:space="preserve"> </w:t>
      </w:r>
      <w:r w:rsidRPr="00F57044" w:rsidR="00B06341">
        <w:t xml:space="preserve">settings included a technical adjustment to account for an observed discrepancy between the </w:t>
      </w:r>
      <w:r w:rsidRPr="00F57044" w:rsidR="00F30B91">
        <w:t xml:space="preserve">GHG </w:t>
      </w:r>
      <w:r w:rsidRPr="00F57044" w:rsidR="00B06341">
        <w:t xml:space="preserve">inventory and the </w:t>
      </w:r>
      <w:r w:rsidRPr="00F57044" w:rsidR="00012F74">
        <w:t xml:space="preserve">NZ ETS </w:t>
      </w:r>
      <w:r w:rsidRPr="00F57044" w:rsidR="00B06341">
        <w:t>of</w:t>
      </w:r>
      <w:r w:rsidRPr="00F57044" w:rsidDel="00FB48BD" w:rsidR="00B06341">
        <w:t xml:space="preserve"> </w:t>
      </w:r>
      <w:r w:rsidRPr="00F57044">
        <w:t xml:space="preserve">about </w:t>
      </w:r>
      <w:r w:rsidRPr="00F57044" w:rsidR="00B06341">
        <w:t xml:space="preserve">3 per cent in the total liquid fossil fuels and stationary energy emissions. </w:t>
      </w:r>
    </w:p>
    <w:p w:rsidRPr="00F57044" w:rsidR="00B06341" w:rsidP="00B06341" w:rsidRDefault="00FB48BD" w14:paraId="13B150ED" w14:textId="0AE41F6D">
      <w:pPr>
        <w:pStyle w:val="BodyText"/>
      </w:pPr>
      <w:r w:rsidRPr="00F57044">
        <w:t xml:space="preserve">On </w:t>
      </w:r>
      <w:r w:rsidRPr="00F57044" w:rsidR="00B06341">
        <w:t>further investigation</w:t>
      </w:r>
      <w:r w:rsidRPr="00F57044" w:rsidR="0034471A">
        <w:t>,</w:t>
      </w:r>
      <w:r w:rsidRPr="00F57044" w:rsidR="00B06341">
        <w:t xml:space="preserve"> the Commission has determined </w:t>
      </w:r>
      <w:r w:rsidRPr="00F57044">
        <w:t xml:space="preserve">that </w:t>
      </w:r>
      <w:r w:rsidRPr="00F57044" w:rsidR="00B06341">
        <w:t xml:space="preserve">this discrepancy no longer exists, and </w:t>
      </w:r>
      <w:r w:rsidRPr="00F57044" w:rsidR="004B3C6D">
        <w:t xml:space="preserve">it </w:t>
      </w:r>
      <w:r w:rsidRPr="00F57044" w:rsidR="00B06341">
        <w:t xml:space="preserve">is no longer </w:t>
      </w:r>
      <w:r w:rsidRPr="00F57044" w:rsidR="004B3C6D">
        <w:t>necessary</w:t>
      </w:r>
      <w:r w:rsidRPr="00F57044" w:rsidR="00B06341">
        <w:t xml:space="preserve"> to carry this adjustment th</w:t>
      </w:r>
      <w:r w:rsidRPr="00F57044" w:rsidR="00F30B91">
        <w:t>r</w:t>
      </w:r>
      <w:r w:rsidRPr="00F57044" w:rsidR="00B06341">
        <w:t>ough to future years. This is reflected in this year</w:t>
      </w:r>
      <w:r w:rsidRPr="00F57044">
        <w:t>’</w:t>
      </w:r>
      <w:r w:rsidRPr="00F57044" w:rsidR="00B06341">
        <w:t>s technical adjustment.</w:t>
      </w:r>
      <w:r w:rsidRPr="00F57044" w:rsidR="00602B64">
        <w:t xml:space="preserve"> We agree with the Commission</w:t>
      </w:r>
      <w:r w:rsidRPr="00F57044" w:rsidR="0055247C">
        <w:t xml:space="preserve">’s </w:t>
      </w:r>
      <w:r w:rsidRPr="00F57044" w:rsidR="006B28C9">
        <w:t>view.</w:t>
      </w:r>
    </w:p>
    <w:p w:rsidRPr="00F57044" w:rsidR="00B06341" w:rsidP="00B06341" w:rsidRDefault="00D3084C" w14:paraId="147A4960" w14:textId="35F19D44">
      <w:pPr>
        <w:pStyle w:val="BodyText"/>
      </w:pPr>
      <w:r w:rsidRPr="00F57044">
        <w:t>T</w:t>
      </w:r>
      <w:r w:rsidRPr="00F57044" w:rsidR="00B06341">
        <w:t xml:space="preserve">his adjustment increases the volume of units available over the </w:t>
      </w:r>
      <w:r w:rsidRPr="00F57044" w:rsidR="00D21D70">
        <w:t xml:space="preserve">NZ </w:t>
      </w:r>
      <w:r w:rsidRPr="00F57044" w:rsidR="006B28C9">
        <w:t xml:space="preserve">ETS </w:t>
      </w:r>
      <w:r w:rsidRPr="00F57044" w:rsidR="00B06341">
        <w:t>settings period by 3.</w:t>
      </w:r>
      <w:r w:rsidRPr="00F57044" w:rsidR="00E12DCA">
        <w:t>4</w:t>
      </w:r>
      <w:r w:rsidRPr="00F57044" w:rsidR="004B3C6D">
        <w:t> </w:t>
      </w:r>
      <w:r w:rsidRPr="00F57044" w:rsidR="00B06341">
        <w:t xml:space="preserve">million. </w:t>
      </w:r>
    </w:p>
    <w:p w:rsidRPr="00F57044" w:rsidR="00B06341" w:rsidP="00B06341" w:rsidRDefault="00B06341" w14:paraId="325DA0F9" w14:textId="72CEBDFC">
      <w:pPr>
        <w:pStyle w:val="BodyText"/>
      </w:pPr>
      <w:r w:rsidRPr="00F57044">
        <w:t xml:space="preserve">The Commission has also identified a discrepancy between waste emissions in the </w:t>
      </w:r>
      <w:r w:rsidRPr="00F57044" w:rsidR="00F30B91">
        <w:t xml:space="preserve">GHG </w:t>
      </w:r>
      <w:r w:rsidRPr="00F57044" w:rsidR="00A67A72">
        <w:t>i</w:t>
      </w:r>
      <w:r w:rsidRPr="00F57044">
        <w:t xml:space="preserve">nventory </w:t>
      </w:r>
      <w:r w:rsidRPr="00F57044" w:rsidR="00FB48BD">
        <w:t>and</w:t>
      </w:r>
      <w:r w:rsidRPr="00F57044">
        <w:t xml:space="preserve"> </w:t>
      </w:r>
      <w:r w:rsidRPr="00F57044" w:rsidDel="00A67A72">
        <w:t xml:space="preserve">NZ </w:t>
      </w:r>
      <w:r w:rsidRPr="00F57044">
        <w:t xml:space="preserve">ETS reported emissions. This issue is believed to be connected to an error in </w:t>
      </w:r>
      <w:r w:rsidRPr="00F57044" w:rsidDel="00FB48BD">
        <w:t xml:space="preserve">the calculation </w:t>
      </w:r>
      <w:r w:rsidRPr="00F57044">
        <w:t>of</w:t>
      </w:r>
      <w:r w:rsidRPr="00F57044" w:rsidR="00E12DCA">
        <w:t xml:space="preserve"> </w:t>
      </w:r>
      <w:r w:rsidRPr="00F57044">
        <w:t xml:space="preserve">the </w:t>
      </w:r>
      <w:r w:rsidRPr="00F57044" w:rsidR="00FB48BD">
        <w:t>u</w:t>
      </w:r>
      <w:r w:rsidRPr="00F57044">
        <w:t xml:space="preserve">nique </w:t>
      </w:r>
      <w:r w:rsidRPr="00F57044" w:rsidR="00FB48BD">
        <w:t>e</w:t>
      </w:r>
      <w:r w:rsidRPr="00F57044">
        <w:t xml:space="preserve">missions </w:t>
      </w:r>
      <w:r w:rsidRPr="00F57044" w:rsidR="00FB48BD">
        <w:t>f</w:t>
      </w:r>
      <w:r w:rsidRPr="00F57044">
        <w:t xml:space="preserve">actors (UEFs) used for several waste disposal facilities. </w:t>
      </w:r>
      <w:r w:rsidRPr="00F57044" w:rsidR="00FB48BD">
        <w:t>We expect it</w:t>
      </w:r>
      <w:r w:rsidRPr="00F57044">
        <w:t xml:space="preserve"> to be resolved before it impacts on any of the years covered by this settings decision, so no technical adjustment is required.</w:t>
      </w:r>
    </w:p>
    <w:p w:rsidRPr="00F57044" w:rsidR="00B06341" w:rsidP="00B06341" w:rsidRDefault="00B06341" w14:paraId="4CF533AB" w14:textId="5AD3E3BB">
      <w:pPr>
        <w:pStyle w:val="BodyText"/>
      </w:pPr>
      <w:r w:rsidRPr="00F57044">
        <w:t xml:space="preserve">Table </w:t>
      </w:r>
      <w:r w:rsidRPr="00F57044" w:rsidR="004B3C6D">
        <w:t xml:space="preserve">A1.3 </w:t>
      </w:r>
      <w:r w:rsidRPr="00F57044">
        <w:t>outlines the update for this step</w:t>
      </w:r>
      <w:r w:rsidRPr="00F57044" w:rsidR="00FB48BD">
        <w:t>.</w:t>
      </w:r>
      <w:r w:rsidRPr="00F57044">
        <w:rPr>
          <w:rStyle w:val="FootnoteReference"/>
        </w:rPr>
        <w:footnoteReference w:id="26"/>
      </w:r>
    </w:p>
    <w:p w:rsidRPr="00F57044" w:rsidR="00B06341" w:rsidP="00B06341" w:rsidRDefault="00B06341" w14:paraId="75CBFE56" w14:textId="6FCF1F7F">
      <w:pPr>
        <w:pStyle w:val="Tableheading"/>
      </w:pPr>
      <w:bookmarkStart w:name="_Toc198901879" w:id="132"/>
      <w:r w:rsidRPr="00F57044">
        <w:t xml:space="preserve">Table </w:t>
      </w:r>
      <w:r w:rsidRPr="00F57044" w:rsidR="00970774">
        <w:t>A1.3</w:t>
      </w:r>
      <w:r w:rsidRPr="00F57044">
        <w:t xml:space="preserve">: </w:t>
      </w:r>
      <w:r w:rsidRPr="00F57044">
        <w:tab/>
      </w:r>
      <w:r w:rsidRPr="00F57044">
        <w:t>Update for step 3</w:t>
      </w:r>
      <w:r w:rsidRPr="00F57044" w:rsidR="004B3C6D">
        <w:t xml:space="preserve"> in the seven step</w:t>
      </w:r>
      <w:r w:rsidRPr="00F57044" w:rsidR="003D0CA1">
        <w:t>s</w:t>
      </w:r>
      <w:r w:rsidRPr="00F57044" w:rsidR="004B3C6D">
        <w:t xml:space="preserve"> methodology</w:t>
      </w:r>
      <w:r w:rsidRPr="00F57044" w:rsidR="00F30B91">
        <w:t>, 2026–30</w:t>
      </w:r>
      <w:bookmarkEnd w:id="132"/>
    </w:p>
    <w:tbl>
      <w:tblPr>
        <w:tblStyle w:val="TableGrid"/>
        <w:tblW w:w="5000" w:type="pct"/>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3119"/>
        <w:gridCol w:w="1077"/>
        <w:gridCol w:w="1077"/>
        <w:gridCol w:w="1077"/>
        <w:gridCol w:w="1077"/>
        <w:gridCol w:w="1078"/>
      </w:tblGrid>
      <w:tr w:rsidRPr="00F57044" w:rsidR="00B06341" w:rsidTr="00457328" w14:paraId="633F592D" w14:textId="77777777">
        <w:trPr>
          <w:tblHeader/>
        </w:trPr>
        <w:tc>
          <w:tcPr>
            <w:tcW w:w="1834" w:type="pct"/>
            <w:shd w:val="clear" w:color="auto" w:fill="1B556B" w:themeFill="text2"/>
          </w:tcPr>
          <w:p w:rsidRPr="00F57044" w:rsidR="00B06341" w:rsidP="00457328" w:rsidRDefault="00B06341" w14:paraId="2DE91391" w14:textId="77F83B00">
            <w:pPr>
              <w:pStyle w:val="TableTextbold"/>
              <w:spacing w:after="0"/>
              <w:rPr>
                <w:color w:val="FFFFFF" w:themeColor="background1"/>
                <w:highlight w:val="yellow"/>
              </w:rPr>
            </w:pPr>
          </w:p>
        </w:tc>
        <w:tc>
          <w:tcPr>
            <w:tcW w:w="3166" w:type="pct"/>
            <w:gridSpan w:val="5"/>
            <w:shd w:val="clear" w:color="auto" w:fill="1B556B" w:themeFill="text2"/>
          </w:tcPr>
          <w:p w:rsidRPr="00F57044" w:rsidR="00B06341" w:rsidP="00457328" w:rsidRDefault="00B06341" w14:paraId="61A071EC" w14:textId="17DA6C39">
            <w:pPr>
              <w:pStyle w:val="TableTextbold"/>
              <w:spacing w:after="0"/>
              <w:jc w:val="center"/>
              <w:rPr>
                <w:color w:val="FFFFFF" w:themeColor="background1"/>
              </w:rPr>
            </w:pPr>
            <w:r w:rsidRPr="00F57044">
              <w:rPr>
                <w:color w:val="FFFFFF" w:themeColor="background1"/>
              </w:rPr>
              <w:t>Year</w:t>
            </w:r>
            <w:r w:rsidRPr="00F57044">
              <w:br/>
            </w:r>
            <w:r w:rsidRPr="00F57044">
              <w:rPr>
                <w:color w:val="FFFFFF" w:themeColor="background1"/>
              </w:rPr>
              <w:t>(</w:t>
            </w:r>
            <w:r w:rsidRPr="00F57044" w:rsidR="00642872">
              <w:rPr>
                <w:color w:val="FFFFFF" w:themeColor="background1"/>
              </w:rPr>
              <w:t>m</w:t>
            </w:r>
            <w:r w:rsidRPr="00F57044">
              <w:rPr>
                <w:color w:val="FFFFFF" w:themeColor="background1"/>
              </w:rPr>
              <w:t>illion NZUs)</w:t>
            </w:r>
          </w:p>
        </w:tc>
      </w:tr>
      <w:tr w:rsidRPr="00F57044" w:rsidR="007C363A" w:rsidTr="00457328" w14:paraId="7DED3C84" w14:textId="77777777">
        <w:trPr>
          <w:tblHeader/>
        </w:trPr>
        <w:tc>
          <w:tcPr>
            <w:tcW w:w="1834" w:type="pct"/>
            <w:shd w:val="clear" w:color="auto" w:fill="1B556B" w:themeFill="text2"/>
          </w:tcPr>
          <w:p w:rsidRPr="00F57044" w:rsidR="00B06341" w:rsidP="00457328" w:rsidRDefault="00B06341" w14:paraId="104D0983" w14:textId="28CCF3AA">
            <w:pPr>
              <w:pStyle w:val="TableTextbold"/>
              <w:spacing w:before="0"/>
              <w:rPr>
                <w:color w:val="FFFFFF" w:themeColor="background1"/>
              </w:rPr>
            </w:pPr>
          </w:p>
        </w:tc>
        <w:tc>
          <w:tcPr>
            <w:tcW w:w="633" w:type="pct"/>
            <w:shd w:val="clear" w:color="auto" w:fill="1B556B" w:themeFill="text2"/>
          </w:tcPr>
          <w:p w:rsidRPr="00F57044" w:rsidR="00B06341" w:rsidP="00457328" w:rsidRDefault="00B06341" w14:paraId="7672AB39" w14:textId="485B6ED0">
            <w:pPr>
              <w:pStyle w:val="TableTextbold"/>
              <w:spacing w:before="0"/>
              <w:rPr>
                <w:rFonts w:asciiTheme="minorHAnsi" w:hAnsiTheme="minorHAnsi"/>
                <w:b w:val="0"/>
                <w:color w:val="FFFFFF" w:themeColor="background1"/>
                <w:sz w:val="20"/>
                <w:szCs w:val="20"/>
              </w:rPr>
            </w:pPr>
            <w:r w:rsidRPr="00F57044">
              <w:rPr>
                <w:color w:val="FFFFFF" w:themeColor="background1"/>
              </w:rPr>
              <w:t>2026</w:t>
            </w:r>
          </w:p>
        </w:tc>
        <w:tc>
          <w:tcPr>
            <w:tcW w:w="633" w:type="pct"/>
            <w:shd w:val="clear" w:color="auto" w:fill="1B556B" w:themeFill="text2"/>
          </w:tcPr>
          <w:p w:rsidRPr="00F57044" w:rsidR="00B06341" w:rsidP="00457328" w:rsidRDefault="00B06341" w14:paraId="281F923C" w14:textId="6589A812">
            <w:pPr>
              <w:pStyle w:val="TableTextbold"/>
              <w:spacing w:before="0"/>
              <w:rPr>
                <w:color w:val="FFFFFF" w:themeColor="background1"/>
              </w:rPr>
            </w:pPr>
            <w:r w:rsidRPr="00F57044">
              <w:rPr>
                <w:color w:val="FFFFFF" w:themeColor="background1"/>
              </w:rPr>
              <w:t>2027</w:t>
            </w:r>
          </w:p>
        </w:tc>
        <w:tc>
          <w:tcPr>
            <w:tcW w:w="633" w:type="pct"/>
            <w:shd w:val="clear" w:color="auto" w:fill="1B556B" w:themeFill="text2"/>
          </w:tcPr>
          <w:p w:rsidRPr="00F57044" w:rsidR="00B06341" w:rsidP="00457328" w:rsidRDefault="00B06341" w14:paraId="5E39CA42" w14:textId="7289092E">
            <w:pPr>
              <w:pStyle w:val="TableTextbold"/>
              <w:spacing w:before="0"/>
              <w:rPr>
                <w:color w:val="FFFFFF" w:themeColor="background1"/>
              </w:rPr>
            </w:pPr>
            <w:r w:rsidRPr="00F57044">
              <w:rPr>
                <w:color w:val="FFFFFF" w:themeColor="background1"/>
              </w:rPr>
              <w:t>2028</w:t>
            </w:r>
          </w:p>
        </w:tc>
        <w:tc>
          <w:tcPr>
            <w:tcW w:w="633" w:type="pct"/>
            <w:shd w:val="clear" w:color="auto" w:fill="1B556B" w:themeFill="text2"/>
          </w:tcPr>
          <w:p w:rsidRPr="00F57044" w:rsidR="00B06341" w:rsidP="00457328" w:rsidRDefault="00B06341" w14:paraId="6A11243C" w14:textId="352E4B60">
            <w:pPr>
              <w:pStyle w:val="TableTextbold"/>
              <w:spacing w:before="0"/>
              <w:rPr>
                <w:color w:val="FFFFFF" w:themeColor="background1"/>
              </w:rPr>
            </w:pPr>
            <w:r w:rsidRPr="00F57044">
              <w:rPr>
                <w:color w:val="FFFFFF" w:themeColor="background1"/>
              </w:rPr>
              <w:t>2029</w:t>
            </w:r>
          </w:p>
        </w:tc>
        <w:tc>
          <w:tcPr>
            <w:tcW w:w="634" w:type="pct"/>
            <w:shd w:val="clear" w:color="auto" w:fill="1B556B" w:themeFill="text2"/>
          </w:tcPr>
          <w:p w:rsidRPr="00F57044" w:rsidR="00B06341" w:rsidP="00457328" w:rsidRDefault="00B06341" w14:paraId="2EA7FEF8" w14:textId="63B28162">
            <w:pPr>
              <w:pStyle w:val="TableTextbold"/>
              <w:spacing w:before="0"/>
              <w:rPr>
                <w:color w:val="FFFFFF" w:themeColor="background1"/>
              </w:rPr>
            </w:pPr>
            <w:r w:rsidRPr="00F57044">
              <w:rPr>
                <w:color w:val="FFFFFF" w:themeColor="background1"/>
              </w:rPr>
              <w:t>2030</w:t>
            </w:r>
          </w:p>
        </w:tc>
      </w:tr>
      <w:tr w:rsidRPr="00F57044" w:rsidR="00B06341" w:rsidTr="00457328" w14:paraId="769AD0FA" w14:textId="77777777">
        <w:tc>
          <w:tcPr>
            <w:tcW w:w="1834" w:type="pct"/>
            <w:shd w:val="clear" w:color="auto" w:fill="auto"/>
          </w:tcPr>
          <w:p w:rsidRPr="00F57044" w:rsidR="00B06341" w:rsidRDefault="00B06341" w14:paraId="11379EA6" w14:textId="617A7EAD">
            <w:pPr>
              <w:pStyle w:val="TableText"/>
            </w:pPr>
            <w:r w:rsidRPr="00F57044">
              <w:rPr>
                <w:rFonts w:asciiTheme="minorHAnsi" w:hAnsiTheme="minorHAnsi"/>
                <w:b/>
                <w:bCs/>
                <w:color w:val="000000" w:themeColor="text1"/>
                <w:sz w:val="20"/>
                <w:szCs w:val="20"/>
              </w:rPr>
              <w:t>Technical adjustment</w:t>
            </w:r>
          </w:p>
        </w:tc>
        <w:tc>
          <w:tcPr>
            <w:tcW w:w="633" w:type="pct"/>
          </w:tcPr>
          <w:p w:rsidRPr="00F57044" w:rsidR="00B06341" w:rsidP="00642872" w:rsidRDefault="00B06341" w14:paraId="1DCE022D" w14:textId="38351B2C">
            <w:pPr>
              <w:pStyle w:val="TableText"/>
            </w:pPr>
            <w:r w:rsidRPr="00F57044">
              <w:t>0</w:t>
            </w:r>
          </w:p>
        </w:tc>
        <w:tc>
          <w:tcPr>
            <w:tcW w:w="633" w:type="pct"/>
          </w:tcPr>
          <w:p w:rsidRPr="00F57044" w:rsidR="00B06341" w:rsidP="00642872" w:rsidRDefault="00B06341" w14:paraId="033630D9" w14:textId="502DAA1E">
            <w:pPr>
              <w:pStyle w:val="TableText"/>
            </w:pPr>
            <w:r w:rsidRPr="00F57044">
              <w:t>0</w:t>
            </w:r>
          </w:p>
        </w:tc>
        <w:tc>
          <w:tcPr>
            <w:tcW w:w="633" w:type="pct"/>
          </w:tcPr>
          <w:p w:rsidRPr="00F57044" w:rsidR="00B06341" w:rsidP="00642872" w:rsidRDefault="00B06341" w14:paraId="50FCA6A9" w14:textId="02EB6175">
            <w:pPr>
              <w:pStyle w:val="TableText"/>
            </w:pPr>
            <w:r w:rsidRPr="00F57044">
              <w:t>0</w:t>
            </w:r>
          </w:p>
        </w:tc>
        <w:tc>
          <w:tcPr>
            <w:tcW w:w="633" w:type="pct"/>
          </w:tcPr>
          <w:p w:rsidRPr="00F57044" w:rsidR="00B06341" w:rsidP="00642872" w:rsidRDefault="00B06341" w14:paraId="07927339" w14:textId="63A98EDA">
            <w:pPr>
              <w:pStyle w:val="TableText"/>
            </w:pPr>
            <w:r w:rsidRPr="00F57044">
              <w:t>0</w:t>
            </w:r>
          </w:p>
        </w:tc>
        <w:tc>
          <w:tcPr>
            <w:tcW w:w="634" w:type="pct"/>
            <w:shd w:val="clear" w:color="auto" w:fill="auto"/>
          </w:tcPr>
          <w:p w:rsidRPr="00F57044" w:rsidR="00B06341" w:rsidP="00642872" w:rsidRDefault="00B06341" w14:paraId="185B0350" w14:textId="1CD313DE">
            <w:pPr>
              <w:pStyle w:val="TableText"/>
            </w:pPr>
            <w:r w:rsidRPr="00F57044">
              <w:t>0</w:t>
            </w:r>
          </w:p>
        </w:tc>
      </w:tr>
    </w:tbl>
    <w:p w:rsidRPr="00F57044" w:rsidR="00B06341" w:rsidP="00457328" w:rsidRDefault="00B06341" w14:paraId="58BCEF36" w14:textId="10B2F448">
      <w:pPr>
        <w:pStyle w:val="AppendixH2"/>
        <w:spacing w:before="480"/>
      </w:pPr>
      <w:bookmarkStart w:name="_Toc161831675" w:id="133"/>
      <w:bookmarkStart w:name="_Toc161762886" w:id="134"/>
      <w:bookmarkStart w:name="_Toc163048590" w:id="135"/>
      <w:r w:rsidRPr="00F57044">
        <w:t>Step 4: Account for industrial allocation</w:t>
      </w:r>
      <w:bookmarkEnd w:id="133"/>
      <w:bookmarkEnd w:id="134"/>
      <w:r w:rsidRPr="00F57044">
        <w:t xml:space="preserve"> volumes</w:t>
      </w:r>
      <w:bookmarkEnd w:id="135"/>
    </w:p>
    <w:p w:rsidRPr="00F57044" w:rsidR="00B06341" w:rsidP="00B06341" w:rsidRDefault="00B06341" w14:paraId="08C31D3D" w14:textId="1B0964AA">
      <w:pPr>
        <w:pStyle w:val="BodyText"/>
      </w:pPr>
      <w:r w:rsidRPr="00F57044">
        <w:t xml:space="preserve">The Government </w:t>
      </w:r>
      <w:r w:rsidRPr="00F57044" w:rsidR="00D3084C">
        <w:t>allocates</w:t>
      </w:r>
      <w:r w:rsidRPr="00F57044">
        <w:t xml:space="preserve"> units to businesses undertaking industrial activities that are prescribed as ‘emissions-intensive’ and ‘trade-exposed’. To ensure alignment with emissions budgets, </w:t>
      </w:r>
      <w:r w:rsidR="00C83483">
        <w:t>th</w:t>
      </w:r>
      <w:r w:rsidR="00A46EB1">
        <w:t>ese</w:t>
      </w:r>
      <w:r w:rsidR="00C83483">
        <w:t xml:space="preserve"> allocation</w:t>
      </w:r>
      <w:r w:rsidR="00A46EB1">
        <w:t>s</w:t>
      </w:r>
      <w:r w:rsidRPr="00F57044">
        <w:t xml:space="preserve"> reduce the number of units that the Government can sell at auction.</w:t>
      </w:r>
    </w:p>
    <w:p w:rsidRPr="00F57044" w:rsidR="00B06341" w:rsidP="00B06341" w:rsidRDefault="00B06341" w14:paraId="40455D6A" w14:textId="64CA84B4">
      <w:pPr>
        <w:pStyle w:val="BodyText"/>
        <w:rPr>
          <w:spacing w:val="-2"/>
        </w:rPr>
      </w:pPr>
      <w:r w:rsidRPr="00F57044">
        <w:t>The Commission has forecast industrial allocation volumes for the coming five years. This</w:t>
      </w:r>
      <w:r w:rsidRPr="00F57044" w:rsidDel="00D3084C">
        <w:t xml:space="preserve"> </w:t>
      </w:r>
      <w:r w:rsidRPr="00F57044">
        <w:t xml:space="preserve">is </w:t>
      </w:r>
      <w:r w:rsidRPr="00F57044">
        <w:rPr>
          <w:spacing w:val="-2"/>
        </w:rPr>
        <w:t>based on the existing allocative baselines and production levels of businesses in eligible activities.</w:t>
      </w:r>
    </w:p>
    <w:p w:rsidRPr="00F57044" w:rsidR="00B06341" w:rsidP="00B06341" w:rsidRDefault="00B06341" w14:paraId="401D8473" w14:textId="62599272">
      <w:pPr>
        <w:pStyle w:val="BodyText"/>
      </w:pPr>
      <w:r w:rsidRPr="00F57044">
        <w:t xml:space="preserve">The Commission has forecast industrial allocation to be 23.2 million units </w:t>
      </w:r>
      <w:r w:rsidRPr="00F57044" w:rsidDel="00D3084C">
        <w:t>over the</w:t>
      </w:r>
      <w:r w:rsidRPr="00F57044">
        <w:t xml:space="preserve"> </w:t>
      </w:r>
      <w:r w:rsidRPr="00F57044" w:rsidDel="00D3084C">
        <w:t xml:space="preserve">period </w:t>
      </w:r>
      <w:r w:rsidRPr="00F57044">
        <w:t xml:space="preserve">2026–30, which is </w:t>
      </w:r>
      <w:r w:rsidRPr="00F57044" w:rsidR="00D3084C">
        <w:t xml:space="preserve">about </w:t>
      </w:r>
      <w:r w:rsidRPr="00F57044">
        <w:t xml:space="preserve">25 per cent of the total emissions volume allocated to </w:t>
      </w:r>
      <w:r w:rsidRPr="00F57044" w:rsidDel="00D3084C">
        <w:t xml:space="preserve">NZ </w:t>
      </w:r>
      <w:r w:rsidRPr="00F57044">
        <w:t xml:space="preserve">ETS sectors. This is </w:t>
      </w:r>
      <w:r w:rsidRPr="00F57044" w:rsidR="004E755D">
        <w:t>4.</w:t>
      </w:r>
      <w:r w:rsidRPr="00F57044" w:rsidR="00A174A0">
        <w:t>4</w:t>
      </w:r>
      <w:r w:rsidRPr="00F57044">
        <w:t xml:space="preserve"> million units lower over the next </w:t>
      </w:r>
      <w:r w:rsidRPr="00F57044" w:rsidR="00D3084C">
        <w:t>five</w:t>
      </w:r>
      <w:r w:rsidRPr="00F57044">
        <w:t xml:space="preserve"> years than forecast in 2024 settings. Table </w:t>
      </w:r>
      <w:r w:rsidRPr="00F57044" w:rsidR="00970774">
        <w:t>A1.4</w:t>
      </w:r>
      <w:r w:rsidRPr="00F57044">
        <w:t xml:space="preserve"> shows the change in volume by source.</w:t>
      </w:r>
    </w:p>
    <w:p w:rsidRPr="00F57044" w:rsidR="00B06341" w:rsidP="00B06341" w:rsidRDefault="00B06341" w14:paraId="476EFA8E" w14:textId="4F804D32">
      <w:pPr>
        <w:pStyle w:val="Tableheading"/>
      </w:pPr>
      <w:bookmarkStart w:name="_Toc198901880" w:id="136"/>
      <w:r w:rsidRPr="00F57044">
        <w:t xml:space="preserve">Table </w:t>
      </w:r>
      <w:r w:rsidRPr="00F57044" w:rsidR="00970774">
        <w:t>A1.4</w:t>
      </w:r>
      <w:r w:rsidRPr="00F57044">
        <w:t xml:space="preserve">: </w:t>
      </w:r>
      <w:r w:rsidRPr="00F57044" w:rsidR="00C0659F">
        <w:tab/>
      </w:r>
      <w:r w:rsidRPr="00F57044">
        <w:t xml:space="preserve">Drivers </w:t>
      </w:r>
      <w:r w:rsidRPr="00F57044" w:rsidR="00F30B91">
        <w:t xml:space="preserve">of </w:t>
      </w:r>
      <w:r w:rsidRPr="00F57044">
        <w:t xml:space="preserve">change </w:t>
      </w:r>
      <w:r w:rsidRPr="00F57044" w:rsidR="00F30B91">
        <w:t>in</w:t>
      </w:r>
      <w:r w:rsidRPr="00F57044">
        <w:t xml:space="preserve"> forecast industrial allocation volumes for </w:t>
      </w:r>
      <w:r w:rsidRPr="00F57044" w:rsidR="00E736FF">
        <w:t>202</w:t>
      </w:r>
      <w:r w:rsidRPr="00F57044" w:rsidR="00D75655">
        <w:t>6</w:t>
      </w:r>
      <w:r w:rsidRPr="00F57044" w:rsidR="00D3084C">
        <w:t>–</w:t>
      </w:r>
      <w:r w:rsidRPr="00F57044" w:rsidR="00E736FF">
        <w:t xml:space="preserve">30 </w:t>
      </w:r>
      <w:r w:rsidRPr="00F57044">
        <w:t>settings period</w:t>
      </w:r>
      <w:bookmarkEnd w:id="136"/>
    </w:p>
    <w:tbl>
      <w:tblPr>
        <w:tblStyle w:val="MinistryfortheEnvironment"/>
        <w:tblW w:w="8505" w:type="dxa"/>
        <w:tblCellMar>
          <w:bottom w:w="0" w:type="dxa"/>
          <w:right w:w="85" w:type="dxa"/>
        </w:tblCellMar>
        <w:tblLook w:val="04A0" w:firstRow="1" w:lastRow="0" w:firstColumn="1" w:lastColumn="0" w:noHBand="0" w:noVBand="1"/>
      </w:tblPr>
      <w:tblGrid>
        <w:gridCol w:w="7016"/>
        <w:gridCol w:w="1489"/>
      </w:tblGrid>
      <w:tr w:rsidRPr="00F57044" w:rsidR="00457328" w:rsidTr="00AB3EF2" w14:paraId="392AE2EE" w14:textId="77777777">
        <w:trPr>
          <w:cnfStyle w:val="100000000000" w:firstRow="1" w:lastRow="0" w:firstColumn="0" w:lastColumn="0" w:oddVBand="0" w:evenVBand="0" w:oddHBand="0" w:evenHBand="0" w:firstRowFirstColumn="0" w:firstRowLastColumn="0" w:lastRowFirstColumn="0" w:lastRowLastColumn="0"/>
        </w:trPr>
        <w:tc>
          <w:tcPr>
            <w:tcW w:w="6946" w:type="dxa"/>
          </w:tcPr>
          <w:p w:rsidRPr="00F57044" w:rsidR="00B06341" w:rsidP="00457328" w:rsidRDefault="00B06341" w14:paraId="078EFE12" w14:textId="242ED94B">
            <w:pPr>
              <w:pStyle w:val="TableTextbold"/>
              <w:rPr>
                <w:b/>
                <w:bCs/>
              </w:rPr>
            </w:pPr>
          </w:p>
        </w:tc>
        <w:tc>
          <w:tcPr>
            <w:tcW w:w="1474" w:type="dxa"/>
          </w:tcPr>
          <w:p w:rsidRPr="00F57044" w:rsidR="00B06341" w:rsidP="00457328" w:rsidRDefault="00B06341" w14:paraId="13B59BE9" w14:textId="686685A2">
            <w:pPr>
              <w:pStyle w:val="TableTextbold"/>
              <w:rPr>
                <w:b/>
                <w:bCs/>
              </w:rPr>
            </w:pPr>
            <w:r w:rsidRPr="00F57044">
              <w:rPr>
                <w:b/>
                <w:bCs/>
              </w:rPr>
              <w:t>Millions of NZUs</w:t>
            </w:r>
          </w:p>
        </w:tc>
      </w:tr>
      <w:tr w:rsidRPr="00F57044" w:rsidR="00B06341" w:rsidTr="00AB3EF2" w14:paraId="214679A2" w14:textId="77777777">
        <w:tc>
          <w:tcPr>
            <w:tcW w:w="6946" w:type="dxa"/>
          </w:tcPr>
          <w:p w:rsidRPr="00F57044" w:rsidR="00B06341" w:rsidP="00457328" w:rsidRDefault="001A44A9" w14:paraId="3D50A186" w14:textId="1D4234BD">
            <w:pPr>
              <w:pStyle w:val="TableTextbold"/>
              <w:rPr>
                <w:b w:val="0"/>
              </w:rPr>
            </w:pPr>
            <w:r w:rsidRPr="00F57044">
              <w:t>2024 f</w:t>
            </w:r>
            <w:r w:rsidRPr="00F57044" w:rsidR="00B06341">
              <w:t xml:space="preserve">orecast </w:t>
            </w:r>
            <w:r w:rsidRPr="00F57044">
              <w:t xml:space="preserve">of </w:t>
            </w:r>
            <w:r w:rsidRPr="00F57044" w:rsidR="00B06341">
              <w:t xml:space="preserve">industrial allocation </w:t>
            </w:r>
            <w:r w:rsidRPr="00F57044" w:rsidR="00CF43CD">
              <w:t>for 2026</w:t>
            </w:r>
            <w:r w:rsidRPr="00F57044" w:rsidR="00F712E1">
              <w:rPr>
                <w:b w:val="0"/>
              </w:rPr>
              <w:t>–</w:t>
            </w:r>
            <w:r w:rsidRPr="00F57044" w:rsidR="00CF43CD">
              <w:rPr>
                <w:szCs w:val="18"/>
              </w:rPr>
              <w:t>30</w:t>
            </w:r>
            <w:r w:rsidRPr="00F57044">
              <w:rPr>
                <w:rStyle w:val="FootnoteReference"/>
                <w:sz w:val="18"/>
                <w:szCs w:val="18"/>
              </w:rPr>
              <w:footnoteReference w:id="27"/>
            </w:r>
          </w:p>
        </w:tc>
        <w:tc>
          <w:tcPr>
            <w:tcW w:w="1474" w:type="dxa"/>
          </w:tcPr>
          <w:p w:rsidRPr="00F57044" w:rsidR="00B06341" w:rsidP="00457328" w:rsidRDefault="00B06341" w14:paraId="59515C15" w14:textId="34C077F3">
            <w:pPr>
              <w:pStyle w:val="TableTextbold"/>
            </w:pPr>
            <w:r w:rsidRPr="00F57044">
              <w:t>27.6</w:t>
            </w:r>
          </w:p>
        </w:tc>
      </w:tr>
      <w:tr w:rsidRPr="00F57044" w:rsidR="00B06341" w:rsidTr="00AB3EF2" w14:paraId="23C24B45" w14:textId="77777777">
        <w:tc>
          <w:tcPr>
            <w:tcW w:w="6946" w:type="dxa"/>
          </w:tcPr>
          <w:p w:rsidRPr="00F57044" w:rsidR="00B06341" w:rsidP="00457328" w:rsidRDefault="00B06341" w14:paraId="27B4F3D3" w14:textId="322C2E6E">
            <w:pPr>
              <w:pStyle w:val="TableText"/>
            </w:pPr>
            <w:r w:rsidRPr="00F57044">
              <w:t>Using reported data for 2023 allocations</w:t>
            </w:r>
            <w:r w:rsidRPr="00F57044" w:rsidR="00C147B8">
              <w:t xml:space="preserve"> to forecast production levels</w:t>
            </w:r>
          </w:p>
        </w:tc>
        <w:tc>
          <w:tcPr>
            <w:tcW w:w="1474" w:type="dxa"/>
          </w:tcPr>
          <w:p w:rsidRPr="00F57044" w:rsidR="00B06341" w:rsidP="00457328" w:rsidRDefault="001432DA" w14:paraId="63FAB36D" w14:textId="27241753">
            <w:pPr>
              <w:pStyle w:val="TableText"/>
            </w:pPr>
            <w:r w:rsidRPr="00F57044">
              <w:t>–</w:t>
            </w:r>
            <w:r w:rsidRPr="00F57044" w:rsidR="00B06341">
              <w:t>1.6</w:t>
            </w:r>
            <w:r w:rsidRPr="00F57044" w:rsidR="00DB66C4">
              <w:t>0</w:t>
            </w:r>
          </w:p>
        </w:tc>
      </w:tr>
      <w:tr w:rsidRPr="00F57044" w:rsidR="00B06341" w:rsidTr="00AB3EF2" w14:paraId="76AEE43B" w14:textId="77777777">
        <w:tc>
          <w:tcPr>
            <w:tcW w:w="6946" w:type="dxa"/>
          </w:tcPr>
          <w:p w:rsidRPr="00F57044" w:rsidR="00B06341" w:rsidP="00457328" w:rsidRDefault="00B06341" w14:paraId="6FCE5467" w14:textId="033605E9">
            <w:pPr>
              <w:pStyle w:val="TableText"/>
            </w:pPr>
            <w:r w:rsidRPr="00F57044">
              <w:t>Updated assumptions about Methanex production levels and closure</w:t>
            </w:r>
          </w:p>
        </w:tc>
        <w:tc>
          <w:tcPr>
            <w:tcW w:w="1474" w:type="dxa"/>
          </w:tcPr>
          <w:p w:rsidRPr="00F57044" w:rsidR="00B06341" w:rsidP="00457328" w:rsidRDefault="001432DA" w14:paraId="5988F86A" w14:textId="5EA63F38">
            <w:pPr>
              <w:pStyle w:val="TableText"/>
            </w:pPr>
            <w:r w:rsidRPr="00F57044">
              <w:t>–</w:t>
            </w:r>
            <w:r w:rsidRPr="00F57044" w:rsidR="00B06341">
              <w:t>0.82</w:t>
            </w:r>
          </w:p>
        </w:tc>
      </w:tr>
      <w:tr w:rsidRPr="00F57044" w:rsidR="00B06341" w:rsidTr="00AB3EF2" w14:paraId="2A101411" w14:textId="77777777">
        <w:tc>
          <w:tcPr>
            <w:tcW w:w="6946" w:type="dxa"/>
          </w:tcPr>
          <w:p w:rsidRPr="00F57044" w:rsidR="00B06341" w:rsidP="00457328" w:rsidRDefault="00B06341" w14:paraId="2E769097" w14:textId="340D80F7">
            <w:pPr>
              <w:pStyle w:val="TableText"/>
            </w:pPr>
            <w:r w:rsidRPr="00F57044">
              <w:t>Updated assumptions about pulp and paper mill closures</w:t>
            </w:r>
          </w:p>
        </w:tc>
        <w:tc>
          <w:tcPr>
            <w:tcW w:w="1474" w:type="dxa"/>
          </w:tcPr>
          <w:p w:rsidRPr="00F57044" w:rsidR="00B06341" w:rsidP="00457328" w:rsidRDefault="001432DA" w14:paraId="1595ACBA" w14:textId="3AA2B167">
            <w:pPr>
              <w:pStyle w:val="TableText"/>
            </w:pPr>
            <w:r w:rsidRPr="00F57044">
              <w:t>–</w:t>
            </w:r>
            <w:r w:rsidRPr="00F57044" w:rsidR="00B06341">
              <w:t>1.47</w:t>
            </w:r>
          </w:p>
        </w:tc>
      </w:tr>
      <w:tr w:rsidRPr="00F57044" w:rsidR="00B06341" w:rsidTr="00AB3EF2" w14:paraId="081BE46C" w14:textId="77777777">
        <w:tc>
          <w:tcPr>
            <w:tcW w:w="6946" w:type="dxa"/>
          </w:tcPr>
          <w:p w:rsidRPr="00F57044" w:rsidR="00B06341" w:rsidP="00457328" w:rsidRDefault="00B06341" w14:paraId="45DEA85E" w14:textId="317E8FAF">
            <w:pPr>
              <w:pStyle w:val="TableText"/>
            </w:pPr>
            <w:r w:rsidRPr="00F57044">
              <w:t xml:space="preserve">Updated </w:t>
            </w:r>
            <w:r w:rsidRPr="00F57044" w:rsidR="001432DA">
              <w:t>Electricity Contracts Allocation Factor (</w:t>
            </w:r>
            <w:r w:rsidRPr="00F57044">
              <w:t>ECAF</w:t>
            </w:r>
            <w:r w:rsidRPr="00F57044" w:rsidR="001432DA">
              <w:t>)</w:t>
            </w:r>
            <w:r w:rsidRPr="00F57044">
              <w:t xml:space="preserve"> for N</w:t>
            </w:r>
            <w:r w:rsidRPr="00F57044" w:rsidR="001432DA">
              <w:t>ew Zealand</w:t>
            </w:r>
            <w:r w:rsidRPr="00F57044">
              <w:t xml:space="preserve"> Aluminium Smelter</w:t>
            </w:r>
            <w:r w:rsidRPr="00F57044">
              <w:rPr>
                <w:rStyle w:val="FootnoteReference"/>
                <w:sz w:val="18"/>
              </w:rPr>
              <w:footnoteReference w:id="28"/>
            </w:r>
          </w:p>
        </w:tc>
        <w:tc>
          <w:tcPr>
            <w:tcW w:w="1474" w:type="dxa"/>
          </w:tcPr>
          <w:p w:rsidRPr="00F57044" w:rsidR="00B06341" w:rsidP="00457328" w:rsidRDefault="00B06341" w14:paraId="09EDEFF9" w14:textId="3E37EE8A">
            <w:pPr>
              <w:pStyle w:val="TableText"/>
            </w:pPr>
            <w:r w:rsidRPr="00F57044">
              <w:t>+0.58</w:t>
            </w:r>
          </w:p>
        </w:tc>
      </w:tr>
      <w:tr w:rsidRPr="00F57044" w:rsidR="00B06341" w:rsidTr="00AB3EF2" w14:paraId="6B488AC4" w14:textId="77777777">
        <w:tc>
          <w:tcPr>
            <w:tcW w:w="6946" w:type="dxa"/>
          </w:tcPr>
          <w:p w:rsidRPr="00F57044" w:rsidR="00B06341" w:rsidP="00457328" w:rsidRDefault="00B06341" w14:paraId="3116C938" w14:textId="425F2F3B">
            <w:pPr>
              <w:pStyle w:val="TableText"/>
            </w:pPr>
            <w:r w:rsidRPr="00F57044">
              <w:t>Updated allocative baseline estimates</w:t>
            </w:r>
          </w:p>
        </w:tc>
        <w:tc>
          <w:tcPr>
            <w:tcW w:w="1474" w:type="dxa"/>
          </w:tcPr>
          <w:p w:rsidRPr="00F57044" w:rsidR="00B06341" w:rsidP="00457328" w:rsidRDefault="00C22B42" w14:paraId="523235D8" w14:textId="60D0B5A6">
            <w:pPr>
              <w:pStyle w:val="TableText"/>
            </w:pPr>
            <w:r w:rsidRPr="00F57044">
              <w:t>–</w:t>
            </w:r>
            <w:r w:rsidRPr="00F57044" w:rsidR="00B06341">
              <w:t>0.19</w:t>
            </w:r>
          </w:p>
        </w:tc>
      </w:tr>
      <w:tr w:rsidRPr="00F57044" w:rsidR="003D0A3F" w:rsidTr="00AB3EF2" w14:paraId="08DCECB8" w14:textId="77777777">
        <w:tc>
          <w:tcPr>
            <w:tcW w:w="6946" w:type="dxa"/>
          </w:tcPr>
          <w:p w:rsidRPr="00F57044" w:rsidR="003D0A3F" w:rsidP="00457328" w:rsidRDefault="003D0A3F" w14:paraId="364F5BB6" w14:textId="5267808F">
            <w:pPr>
              <w:pStyle w:val="TableText"/>
            </w:pPr>
            <w:r w:rsidRPr="00F57044">
              <w:t>Add</w:t>
            </w:r>
            <w:r w:rsidRPr="00F57044" w:rsidR="006A774E">
              <w:t xml:space="preserve">itional </w:t>
            </w:r>
            <w:r w:rsidRPr="00F57044" w:rsidR="00183FB6">
              <w:t xml:space="preserve">technical </w:t>
            </w:r>
            <w:r w:rsidRPr="00F57044" w:rsidR="006A774E">
              <w:t xml:space="preserve">changes </w:t>
            </w:r>
            <w:r w:rsidR="00B70438">
              <w:t>since</w:t>
            </w:r>
            <w:r w:rsidRPr="00F57044" w:rsidR="009C0034">
              <w:t xml:space="preserve"> the 2025 March Baseline Update</w:t>
            </w:r>
            <w:r w:rsidRPr="00F57044" w:rsidR="006A774E">
              <w:t xml:space="preserve"> forecast</w:t>
            </w:r>
          </w:p>
        </w:tc>
        <w:tc>
          <w:tcPr>
            <w:tcW w:w="1474" w:type="dxa"/>
          </w:tcPr>
          <w:p w:rsidRPr="00F57044" w:rsidR="003D0A3F" w:rsidP="00457328" w:rsidRDefault="00C22B42" w14:paraId="1D7E1449" w14:textId="77A8A55C">
            <w:pPr>
              <w:pStyle w:val="TableText"/>
            </w:pPr>
            <w:r w:rsidRPr="00F57044">
              <w:t>–</w:t>
            </w:r>
            <w:r w:rsidRPr="00F57044" w:rsidR="006A774E">
              <w:t>0</w:t>
            </w:r>
            <w:r w:rsidRPr="00F57044" w:rsidR="004E755D">
              <w:t>.</w:t>
            </w:r>
            <w:r w:rsidRPr="00F57044" w:rsidR="00D6118D">
              <w:t>85</w:t>
            </w:r>
          </w:p>
        </w:tc>
      </w:tr>
      <w:tr w:rsidRPr="00F57044" w:rsidR="00B06341" w:rsidTr="00AB3EF2" w14:paraId="3DF23142" w14:textId="77777777">
        <w:tc>
          <w:tcPr>
            <w:tcW w:w="6946" w:type="dxa"/>
          </w:tcPr>
          <w:p w:rsidRPr="00F57044" w:rsidR="00B06341" w:rsidP="00457328" w:rsidRDefault="00B06341" w14:paraId="59005F3D" w14:textId="7EACDDD4">
            <w:pPr>
              <w:pStyle w:val="TableTextbold"/>
            </w:pPr>
            <w:r w:rsidRPr="00F57044">
              <w:t>Updated forecast of industrial allocation</w:t>
            </w:r>
            <w:r w:rsidRPr="00F57044" w:rsidR="00CF43CD">
              <w:t xml:space="preserve"> for 2026</w:t>
            </w:r>
            <w:r w:rsidRPr="00F57044" w:rsidR="00C22B42">
              <w:t>–</w:t>
            </w:r>
            <w:r w:rsidRPr="00F57044" w:rsidR="00CF43CD">
              <w:t>30</w:t>
            </w:r>
          </w:p>
        </w:tc>
        <w:tc>
          <w:tcPr>
            <w:tcW w:w="1474" w:type="dxa"/>
          </w:tcPr>
          <w:p w:rsidRPr="00F57044" w:rsidR="00B06341" w:rsidP="00457328" w:rsidRDefault="004E755D" w14:paraId="7E527F7F" w14:textId="18B29DEC">
            <w:pPr>
              <w:pStyle w:val="TableTextbold"/>
            </w:pPr>
            <w:r w:rsidRPr="00F57044">
              <w:t>23.2</w:t>
            </w:r>
          </w:p>
        </w:tc>
      </w:tr>
    </w:tbl>
    <w:p w:rsidRPr="00F57044" w:rsidR="00C147B8" w:rsidP="00457328" w:rsidRDefault="00B85DCE" w14:paraId="7851F173" w14:textId="21AFBBA7">
      <w:pPr>
        <w:pStyle w:val="Source"/>
      </w:pPr>
      <w:r w:rsidRPr="00F57044">
        <w:t>Source: Ministry for the Environment analysis of Commission forecasts</w:t>
      </w:r>
    </w:p>
    <w:p w:rsidRPr="00F57044" w:rsidR="00B06341" w:rsidP="00B06341" w:rsidRDefault="00D3084C" w14:paraId="6B92A019" w14:textId="0FCB5161">
      <w:pPr>
        <w:pStyle w:val="BodyText"/>
      </w:pPr>
      <w:r w:rsidRPr="00F57044">
        <w:t>T</w:t>
      </w:r>
      <w:r w:rsidRPr="00F57044" w:rsidR="00B06341">
        <w:t xml:space="preserve">his increases the number of units available by </w:t>
      </w:r>
      <w:r w:rsidRPr="00F57044" w:rsidR="00CE75E3">
        <w:t>4.</w:t>
      </w:r>
      <w:r w:rsidRPr="00F57044" w:rsidR="00CB4387">
        <w:t xml:space="preserve">4 </w:t>
      </w:r>
      <w:r w:rsidRPr="00F57044" w:rsidR="00B06341">
        <w:t>million over the settings period.</w:t>
      </w:r>
      <w:r w:rsidRPr="00F57044" w:rsidR="00B06341">
        <w:rPr>
          <w:i/>
          <w:iCs/>
        </w:rPr>
        <w:t xml:space="preserve"> </w:t>
      </w:r>
      <w:r w:rsidRPr="00F57044" w:rsidR="00B06341">
        <w:t xml:space="preserve">Table </w:t>
      </w:r>
      <w:r w:rsidRPr="00F57044" w:rsidR="00970774">
        <w:t>A1.5</w:t>
      </w:r>
      <w:r w:rsidRPr="00F57044" w:rsidR="00B06341">
        <w:t xml:space="preserve"> outlines the update for this step</w:t>
      </w:r>
      <w:r w:rsidRPr="00F57044">
        <w:t>.</w:t>
      </w:r>
      <w:r w:rsidRPr="00F57044" w:rsidR="00B06341">
        <w:rPr>
          <w:rStyle w:val="FootnoteReference"/>
        </w:rPr>
        <w:footnoteReference w:id="29"/>
      </w:r>
    </w:p>
    <w:p w:rsidRPr="00F57044" w:rsidR="00B06341" w:rsidP="00B06341" w:rsidRDefault="00B06341" w14:paraId="7314C847" w14:textId="1A4C35C2">
      <w:pPr>
        <w:pStyle w:val="Tableheading"/>
        <w:rPr>
          <w:b w:val="0"/>
        </w:rPr>
      </w:pPr>
      <w:bookmarkStart w:name="_Toc198901881" w:id="137"/>
      <w:r w:rsidRPr="00F57044">
        <w:t xml:space="preserve">Table </w:t>
      </w:r>
      <w:r w:rsidRPr="00F57044" w:rsidR="00970774">
        <w:t>A1.5</w:t>
      </w:r>
      <w:r w:rsidRPr="00F57044">
        <w:t xml:space="preserve">: </w:t>
      </w:r>
      <w:r w:rsidRPr="00F57044">
        <w:tab/>
      </w:r>
      <w:r w:rsidRPr="00F57044">
        <w:t>Update for step 4</w:t>
      </w:r>
      <w:r w:rsidRPr="00F57044" w:rsidR="003D0CA1">
        <w:t xml:space="preserve"> in the seven steps methodology</w:t>
      </w:r>
      <w:r w:rsidRPr="00F57044" w:rsidR="00F30B91">
        <w:t>, 2026–30</w:t>
      </w:r>
      <w:bookmarkEnd w:id="137"/>
    </w:p>
    <w:tbl>
      <w:tblPr>
        <w:tblStyle w:val="TableGrid"/>
        <w:tblW w:w="5000" w:type="pct"/>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4110"/>
        <w:gridCol w:w="988"/>
        <w:gridCol w:w="851"/>
        <w:gridCol w:w="849"/>
        <w:gridCol w:w="851"/>
        <w:gridCol w:w="856"/>
      </w:tblGrid>
      <w:tr w:rsidRPr="00F57044" w:rsidR="00B06341" w:rsidTr="00B31464" w14:paraId="64B051B8" w14:textId="77777777">
        <w:trPr>
          <w:tblHeader/>
        </w:trPr>
        <w:tc>
          <w:tcPr>
            <w:tcW w:w="2417" w:type="pct"/>
            <w:shd w:val="clear" w:color="auto" w:fill="1B556B" w:themeFill="text2"/>
          </w:tcPr>
          <w:p w:rsidRPr="00F57044" w:rsidR="00B06341" w:rsidP="00ED3CEC" w:rsidRDefault="00B06341" w14:paraId="7F544CE4" w14:textId="78B70154">
            <w:pPr>
              <w:pStyle w:val="TableTextbold"/>
              <w:spacing w:after="0"/>
              <w:rPr>
                <w:color w:val="FFFFFF" w:themeColor="background1"/>
                <w:highlight w:val="yellow"/>
              </w:rPr>
            </w:pPr>
          </w:p>
        </w:tc>
        <w:tc>
          <w:tcPr>
            <w:tcW w:w="2583" w:type="pct"/>
            <w:gridSpan w:val="5"/>
            <w:shd w:val="clear" w:color="auto" w:fill="1B556B" w:themeFill="text2"/>
          </w:tcPr>
          <w:p w:rsidRPr="00F57044" w:rsidR="00B06341" w:rsidP="00ED3CEC" w:rsidRDefault="00B06341" w14:paraId="6016C5D4" w14:textId="2FA981DC">
            <w:pPr>
              <w:pStyle w:val="TableTextbold"/>
              <w:spacing w:after="0"/>
              <w:jc w:val="center"/>
              <w:rPr>
                <w:color w:val="FFFFFF" w:themeColor="background1"/>
              </w:rPr>
            </w:pPr>
            <w:r w:rsidRPr="00F57044">
              <w:rPr>
                <w:color w:val="FFFFFF" w:themeColor="background1"/>
              </w:rPr>
              <w:t>Year</w:t>
            </w:r>
            <w:r w:rsidRPr="00F57044">
              <w:br/>
            </w:r>
            <w:r w:rsidRPr="00F57044">
              <w:rPr>
                <w:color w:val="FFFFFF" w:themeColor="background1"/>
              </w:rPr>
              <w:t>(</w:t>
            </w:r>
            <w:r w:rsidRPr="00F57044" w:rsidR="00F30B91">
              <w:rPr>
                <w:color w:val="FFFFFF" w:themeColor="background1"/>
              </w:rPr>
              <w:t>m</w:t>
            </w:r>
            <w:r w:rsidRPr="00F57044">
              <w:rPr>
                <w:color w:val="FFFFFF" w:themeColor="background1"/>
              </w:rPr>
              <w:t>illion NZUs)</w:t>
            </w:r>
          </w:p>
        </w:tc>
      </w:tr>
      <w:tr w:rsidRPr="00F57044" w:rsidR="00B31464" w:rsidTr="00B31464" w14:paraId="719C6AA7" w14:textId="77777777">
        <w:trPr>
          <w:tblHeader/>
        </w:trPr>
        <w:tc>
          <w:tcPr>
            <w:tcW w:w="2417" w:type="pct"/>
            <w:shd w:val="clear" w:color="auto" w:fill="1B556B" w:themeFill="text2"/>
          </w:tcPr>
          <w:p w:rsidRPr="00F57044" w:rsidR="00B06341" w:rsidP="00B31464" w:rsidRDefault="00B06341" w14:paraId="5B3BFBC6" w14:textId="15B58833">
            <w:pPr>
              <w:pStyle w:val="TableTextbold"/>
              <w:spacing w:before="0" w:after="40"/>
              <w:rPr>
                <w:color w:val="FFFFFF" w:themeColor="background1"/>
                <w:highlight w:val="yellow"/>
              </w:rPr>
            </w:pPr>
          </w:p>
        </w:tc>
        <w:tc>
          <w:tcPr>
            <w:tcW w:w="581" w:type="pct"/>
            <w:shd w:val="clear" w:color="auto" w:fill="1B556B" w:themeFill="text2"/>
          </w:tcPr>
          <w:p w:rsidRPr="00F57044" w:rsidR="00B06341" w:rsidP="00B31464" w:rsidRDefault="00B06341" w14:paraId="2736C568" w14:textId="02F18FB1">
            <w:pPr>
              <w:pStyle w:val="TableTextbold"/>
              <w:spacing w:before="0" w:after="40"/>
              <w:rPr>
                <w:color w:val="FFFFFF" w:themeColor="background1"/>
              </w:rPr>
            </w:pPr>
            <w:r w:rsidRPr="00F57044">
              <w:rPr>
                <w:color w:val="FFFFFF" w:themeColor="background1"/>
              </w:rPr>
              <w:t>2026</w:t>
            </w:r>
          </w:p>
        </w:tc>
        <w:tc>
          <w:tcPr>
            <w:tcW w:w="500" w:type="pct"/>
            <w:shd w:val="clear" w:color="auto" w:fill="1B556B" w:themeFill="text2"/>
          </w:tcPr>
          <w:p w:rsidRPr="00F57044" w:rsidR="00B06341" w:rsidP="00B31464" w:rsidRDefault="00B06341" w14:paraId="7B3FDE86" w14:textId="1F1A42A1">
            <w:pPr>
              <w:pStyle w:val="TableTextbold"/>
              <w:spacing w:before="0" w:after="40"/>
              <w:rPr>
                <w:color w:val="FFFFFF" w:themeColor="background1"/>
              </w:rPr>
            </w:pPr>
            <w:r w:rsidRPr="00F57044">
              <w:rPr>
                <w:color w:val="FFFFFF" w:themeColor="background1"/>
              </w:rPr>
              <w:t>2027</w:t>
            </w:r>
          </w:p>
        </w:tc>
        <w:tc>
          <w:tcPr>
            <w:tcW w:w="499" w:type="pct"/>
            <w:shd w:val="clear" w:color="auto" w:fill="1B556B" w:themeFill="text2"/>
          </w:tcPr>
          <w:p w:rsidRPr="00F57044" w:rsidR="00B06341" w:rsidP="00B31464" w:rsidRDefault="00B06341" w14:paraId="5C48C047" w14:textId="7D66B977">
            <w:pPr>
              <w:pStyle w:val="TableTextbold"/>
              <w:spacing w:before="0" w:after="40"/>
              <w:rPr>
                <w:color w:val="FFFFFF" w:themeColor="background1"/>
              </w:rPr>
            </w:pPr>
            <w:r w:rsidRPr="00F57044">
              <w:rPr>
                <w:color w:val="FFFFFF" w:themeColor="background1"/>
              </w:rPr>
              <w:t>2028</w:t>
            </w:r>
          </w:p>
        </w:tc>
        <w:tc>
          <w:tcPr>
            <w:tcW w:w="500" w:type="pct"/>
            <w:shd w:val="clear" w:color="auto" w:fill="1B556B" w:themeFill="text2"/>
          </w:tcPr>
          <w:p w:rsidRPr="00F57044" w:rsidR="00B06341" w:rsidP="00B31464" w:rsidRDefault="00B06341" w14:paraId="6E053889" w14:textId="5AF783D5">
            <w:pPr>
              <w:pStyle w:val="TableTextbold"/>
              <w:spacing w:before="0" w:after="40"/>
              <w:rPr>
                <w:color w:val="FFFFFF" w:themeColor="background1"/>
              </w:rPr>
            </w:pPr>
            <w:r w:rsidRPr="00F57044">
              <w:rPr>
                <w:color w:val="FFFFFF" w:themeColor="background1"/>
              </w:rPr>
              <w:t>2029</w:t>
            </w:r>
          </w:p>
        </w:tc>
        <w:tc>
          <w:tcPr>
            <w:tcW w:w="502" w:type="pct"/>
            <w:shd w:val="clear" w:color="auto" w:fill="1B556B" w:themeFill="text2"/>
          </w:tcPr>
          <w:p w:rsidRPr="00F57044" w:rsidR="00B06341" w:rsidP="00B31464" w:rsidRDefault="00B06341" w14:paraId="5956CA51" w14:textId="0769A213">
            <w:pPr>
              <w:pStyle w:val="TableTextbold"/>
              <w:spacing w:before="0" w:after="40"/>
              <w:rPr>
                <w:color w:val="FFFFFF" w:themeColor="background1"/>
              </w:rPr>
            </w:pPr>
            <w:r w:rsidRPr="00F57044">
              <w:rPr>
                <w:color w:val="FFFFFF" w:themeColor="background1"/>
              </w:rPr>
              <w:t>2030</w:t>
            </w:r>
          </w:p>
        </w:tc>
      </w:tr>
      <w:tr w:rsidRPr="00F57044" w:rsidR="00B31464" w:rsidTr="00B31464" w14:paraId="1545431D" w14:textId="77777777">
        <w:tc>
          <w:tcPr>
            <w:tcW w:w="2417" w:type="pct"/>
            <w:shd w:val="clear" w:color="auto" w:fill="auto"/>
          </w:tcPr>
          <w:p w:rsidRPr="00F57044" w:rsidR="00B06341" w:rsidP="00B31464" w:rsidRDefault="00B06341" w14:paraId="18B471B8" w14:textId="40C2ECA2">
            <w:pPr>
              <w:pStyle w:val="TableText"/>
              <w:spacing w:after="40"/>
              <w:rPr>
                <w:b/>
                <w:bCs/>
              </w:rPr>
            </w:pPr>
            <w:r w:rsidRPr="00F57044">
              <w:rPr>
                <w:b/>
                <w:bCs/>
              </w:rPr>
              <w:t>Industrial allocation</w:t>
            </w:r>
          </w:p>
        </w:tc>
        <w:tc>
          <w:tcPr>
            <w:tcW w:w="581" w:type="pct"/>
          </w:tcPr>
          <w:p w:rsidRPr="00F57044" w:rsidR="00B06341" w:rsidP="00B31464" w:rsidRDefault="003D0CA1" w14:paraId="5D7B6CCB" w14:textId="05FDC30B">
            <w:pPr>
              <w:pStyle w:val="TableText"/>
              <w:spacing w:after="40"/>
            </w:pPr>
            <w:r w:rsidRPr="00F57044">
              <w:t>–</w:t>
            </w:r>
            <w:r w:rsidRPr="00F57044" w:rsidR="00B06341">
              <w:t>5.</w:t>
            </w:r>
            <w:r w:rsidRPr="00F57044" w:rsidR="00C22D54">
              <w:t>1</w:t>
            </w:r>
          </w:p>
        </w:tc>
        <w:tc>
          <w:tcPr>
            <w:tcW w:w="500" w:type="pct"/>
          </w:tcPr>
          <w:p w:rsidRPr="00F57044" w:rsidR="00B06341" w:rsidP="00B31464" w:rsidRDefault="003D0CA1" w14:paraId="6309967D" w14:textId="73303770">
            <w:pPr>
              <w:pStyle w:val="TableText"/>
              <w:spacing w:after="40"/>
            </w:pPr>
            <w:r w:rsidRPr="00F57044">
              <w:t>–</w:t>
            </w:r>
            <w:r w:rsidRPr="00F57044" w:rsidR="00B06341">
              <w:t>5.</w:t>
            </w:r>
            <w:r w:rsidRPr="00F57044" w:rsidR="00C22D54">
              <w:t>1</w:t>
            </w:r>
          </w:p>
        </w:tc>
        <w:tc>
          <w:tcPr>
            <w:tcW w:w="499" w:type="pct"/>
          </w:tcPr>
          <w:p w:rsidRPr="00F57044" w:rsidR="00B06341" w:rsidP="00B31464" w:rsidRDefault="003D0CA1" w14:paraId="01DF2516" w14:textId="55CB56D7">
            <w:pPr>
              <w:pStyle w:val="TableText"/>
              <w:spacing w:after="40"/>
            </w:pPr>
            <w:r w:rsidRPr="00F57044">
              <w:t>–</w:t>
            </w:r>
            <w:r w:rsidRPr="00F57044" w:rsidR="00B06341">
              <w:t>4.</w:t>
            </w:r>
            <w:r w:rsidRPr="00F57044" w:rsidR="005970A6">
              <w:t>6</w:t>
            </w:r>
          </w:p>
        </w:tc>
        <w:tc>
          <w:tcPr>
            <w:tcW w:w="500" w:type="pct"/>
          </w:tcPr>
          <w:p w:rsidRPr="00F57044" w:rsidR="00B06341" w:rsidP="00B31464" w:rsidRDefault="003D0CA1" w14:paraId="689E7124" w14:textId="18229E64">
            <w:pPr>
              <w:pStyle w:val="TableText"/>
              <w:spacing w:after="40"/>
            </w:pPr>
            <w:r w:rsidRPr="00F57044">
              <w:t>–</w:t>
            </w:r>
            <w:r w:rsidRPr="00F57044" w:rsidR="00B06341">
              <w:t>4.</w:t>
            </w:r>
            <w:r w:rsidRPr="00F57044" w:rsidR="005970A6">
              <w:t>5</w:t>
            </w:r>
          </w:p>
        </w:tc>
        <w:tc>
          <w:tcPr>
            <w:tcW w:w="502" w:type="pct"/>
            <w:shd w:val="clear" w:color="auto" w:fill="auto"/>
          </w:tcPr>
          <w:p w:rsidRPr="00F57044" w:rsidR="00B06341" w:rsidP="00B31464" w:rsidRDefault="003D0CA1" w14:paraId="21675C1B" w14:textId="1356E9F4">
            <w:pPr>
              <w:pStyle w:val="TableText"/>
              <w:spacing w:after="40"/>
            </w:pPr>
            <w:r w:rsidRPr="00F57044">
              <w:t>–</w:t>
            </w:r>
            <w:r w:rsidRPr="00F57044" w:rsidR="00B06341">
              <w:t>4.</w:t>
            </w:r>
            <w:r w:rsidRPr="00F57044" w:rsidR="001A32AB">
              <w:t>0</w:t>
            </w:r>
          </w:p>
        </w:tc>
      </w:tr>
    </w:tbl>
    <w:p w:rsidRPr="00F57044" w:rsidR="00B06341" w:rsidP="00E30F62" w:rsidRDefault="00B06341" w14:paraId="7F76236F" w14:textId="55D3D150">
      <w:pPr>
        <w:pStyle w:val="AppendixH2"/>
        <w:spacing w:before="480"/>
      </w:pPr>
      <w:bookmarkStart w:name="_Step_5a:_Set" w:id="138"/>
      <w:bookmarkStart w:name="_Toc161831676" w:id="139"/>
      <w:bookmarkStart w:name="_Toc161762887" w:id="140"/>
      <w:bookmarkStart w:name="_Toc163048591" w:id="141"/>
      <w:bookmarkEnd w:id="138"/>
      <w:r w:rsidRPr="00F57044">
        <w:t>Step 5</w:t>
      </w:r>
      <w:r w:rsidRPr="00F57044" w:rsidR="00391C21">
        <w:t>a</w:t>
      </w:r>
      <w:r w:rsidRPr="00F57044">
        <w:t>: Set the reduction volume to</w:t>
      </w:r>
      <w:r w:rsidRPr="00F57044" w:rsidR="008F2E8E">
        <w:t> </w:t>
      </w:r>
      <w:r w:rsidRPr="00F57044">
        <w:t>address</w:t>
      </w:r>
      <w:r w:rsidRPr="00F57044" w:rsidR="00ED3CEC">
        <w:t> </w:t>
      </w:r>
      <w:r w:rsidRPr="00F57044">
        <w:t xml:space="preserve">the </w:t>
      </w:r>
      <w:bookmarkEnd w:id="139"/>
      <w:bookmarkEnd w:id="140"/>
      <w:r w:rsidRPr="00F57044">
        <w:t>unit surplus</w:t>
      </w:r>
      <w:bookmarkEnd w:id="141"/>
    </w:p>
    <w:p w:rsidRPr="00F57044" w:rsidR="00B06341" w:rsidP="00B06341" w:rsidRDefault="00B06341" w14:paraId="723A58B3" w14:textId="52F5E6E8">
      <w:pPr>
        <w:pStyle w:val="BodyText"/>
      </w:pPr>
      <w:r w:rsidRPr="00F57044">
        <w:t>This step calculates the reduction of surplus units. A large quantity of units is banked</w:t>
      </w:r>
      <w:r w:rsidRPr="00F57044" w:rsidDel="00D2304C">
        <w:t xml:space="preserve"> </w:t>
      </w:r>
      <w:r w:rsidRPr="00F57044">
        <w:t xml:space="preserve">in private accounts. These units provide liquidity to the market and help to reduce price volatility. However, the current number of </w:t>
      </w:r>
      <w:r w:rsidRPr="00F57044" w:rsidR="00944E4D">
        <w:t xml:space="preserve">banked </w:t>
      </w:r>
      <w:r w:rsidRPr="00F57044">
        <w:t xml:space="preserve">units presents risks to achieving </w:t>
      </w:r>
      <w:r w:rsidRPr="00F57044" w:rsidR="00944E4D">
        <w:t xml:space="preserve">the </w:t>
      </w:r>
      <w:r w:rsidRPr="00F57044">
        <w:t>budgets.</w:t>
      </w:r>
    </w:p>
    <w:p w:rsidRPr="00F57044" w:rsidR="00B06341" w:rsidP="00B31464" w:rsidRDefault="00B06341" w14:paraId="4369C323" w14:textId="4F312369">
      <w:pPr>
        <w:pStyle w:val="BodyText"/>
      </w:pPr>
      <w:r w:rsidRPr="00F57044">
        <w:t>Some of the</w:t>
      </w:r>
      <w:r w:rsidRPr="00F57044" w:rsidR="00944E4D">
        <w:t>se</w:t>
      </w:r>
      <w:r w:rsidRPr="00F57044">
        <w:t xml:space="preserve"> </w:t>
      </w:r>
      <w:r w:rsidRPr="00F57044" w:rsidDel="00944E4D">
        <w:t xml:space="preserve">banked </w:t>
      </w:r>
      <w:r w:rsidRPr="00F57044">
        <w:t>NZUs</w:t>
      </w:r>
      <w:r w:rsidRPr="00F57044" w:rsidDel="00B32B6B">
        <w:t xml:space="preserve"> </w:t>
      </w:r>
      <w:r w:rsidRPr="00F57044">
        <w:t>are held to meet future surrender liabilities or for other reasons</w:t>
      </w:r>
      <w:r w:rsidRPr="00F57044" w:rsidR="00092F12">
        <w:t>.</w:t>
      </w:r>
      <w:r w:rsidRPr="00F57044">
        <w:t xml:space="preserve"> </w:t>
      </w:r>
      <w:r w:rsidRPr="00F57044" w:rsidR="00092F12">
        <w:t>O</w:t>
      </w:r>
      <w:r w:rsidRPr="00F57044">
        <w:t xml:space="preserve">thers are estimated to be held for investment </w:t>
      </w:r>
      <w:proofErr w:type="gramStart"/>
      <w:r w:rsidRPr="00F57044">
        <w:t>purposes</w:t>
      </w:r>
      <w:r w:rsidRPr="00F57044" w:rsidR="00092F12">
        <w:t>,</w:t>
      </w:r>
      <w:r w:rsidRPr="00F57044">
        <w:t xml:space="preserve"> and</w:t>
      </w:r>
      <w:proofErr w:type="gramEnd"/>
      <w:r w:rsidRPr="00F57044">
        <w:t xml:space="preserve"> will more readily be sold when market price expectations change. The latter are considered ‘surplus’ to the needs of emitters. </w:t>
      </w:r>
      <w:r w:rsidRPr="00F57044" w:rsidR="00CB318C">
        <w:t xml:space="preserve">Emitters’ </w:t>
      </w:r>
      <w:r w:rsidRPr="00F57044">
        <w:t xml:space="preserve">use of these surplus NZUs to meet increased </w:t>
      </w:r>
      <w:r w:rsidRPr="00F57044" w:rsidDel="00944E4D">
        <w:t xml:space="preserve">NZ ETS </w:t>
      </w:r>
      <w:r w:rsidRPr="00F57044">
        <w:t xml:space="preserve">obligations </w:t>
      </w:r>
      <w:r w:rsidR="008945FB">
        <w:t>could make it more challenging to meet emissions</w:t>
      </w:r>
      <w:r w:rsidRPr="00F57044" w:rsidR="00944E4D">
        <w:t xml:space="preserve"> </w:t>
      </w:r>
      <w:r w:rsidRPr="00F57044">
        <w:t xml:space="preserve">budgets. To reduce this risk, the surplus </w:t>
      </w:r>
      <w:r w:rsidRPr="00F57044" w:rsidR="00092F12">
        <w:t>must</w:t>
      </w:r>
      <w:r w:rsidRPr="00F57044">
        <w:t xml:space="preserve"> be managed.</w:t>
      </w:r>
    </w:p>
    <w:p w:rsidRPr="00F57044" w:rsidR="00B06341" w:rsidP="00B06341" w:rsidRDefault="00B06341" w14:paraId="4B6FF626" w14:textId="1EA5DD8C">
      <w:pPr>
        <w:pStyle w:val="BodyText"/>
      </w:pPr>
      <w:r w:rsidRPr="00F57044">
        <w:t xml:space="preserve">Units move </w:t>
      </w:r>
      <w:r w:rsidRPr="00F57044" w:rsidR="008F0EFD">
        <w:t xml:space="preserve">from the </w:t>
      </w:r>
      <w:r w:rsidR="009F44BF">
        <w:t>Government</w:t>
      </w:r>
      <w:r w:rsidRPr="00F57044" w:rsidR="009F44BF">
        <w:t xml:space="preserve"> </w:t>
      </w:r>
      <w:r w:rsidRPr="00F57044">
        <w:rPr>
          <w:b/>
        </w:rPr>
        <w:t>into</w:t>
      </w:r>
      <w:r w:rsidRPr="00F57044">
        <w:t xml:space="preserve"> </w:t>
      </w:r>
      <w:r w:rsidRPr="00F57044" w:rsidR="008F0EFD">
        <w:t xml:space="preserve">participants’ </w:t>
      </w:r>
      <w:r w:rsidRPr="00F57044">
        <w:t>accounts as the</w:t>
      </w:r>
      <w:r w:rsidRPr="00F57044" w:rsidR="00C26C17">
        <w:t xml:space="preserve"> units</w:t>
      </w:r>
      <w:r w:rsidRPr="00F57044">
        <w:t xml:space="preserve"> are:</w:t>
      </w:r>
    </w:p>
    <w:p w:rsidRPr="00F57044" w:rsidR="00B06341" w:rsidP="00B31464" w:rsidRDefault="00B06341" w14:paraId="2142E0E1" w14:textId="6F65D980">
      <w:pPr>
        <w:pStyle w:val="Bullet"/>
      </w:pPr>
      <w:r w:rsidRPr="00F57044">
        <w:t>sold by auction</w:t>
      </w:r>
    </w:p>
    <w:p w:rsidRPr="00F57044" w:rsidR="00B06341" w:rsidP="00B31464" w:rsidRDefault="00B06341" w14:paraId="1DB9DFBF" w14:textId="4A1E360E">
      <w:pPr>
        <w:pStyle w:val="Bullet"/>
      </w:pPr>
      <w:r w:rsidRPr="00F57044">
        <w:t>transferred for industrial allocation</w:t>
      </w:r>
    </w:p>
    <w:p w:rsidRPr="00F57044" w:rsidR="00B06341" w:rsidP="00B31464" w:rsidRDefault="00B06341" w14:paraId="7EC96B37" w14:textId="6F7A18C7">
      <w:pPr>
        <w:pStyle w:val="Bullet"/>
      </w:pPr>
      <w:r w:rsidRPr="00F57044">
        <w:t>transferred for removal activities such as forestry.</w:t>
      </w:r>
    </w:p>
    <w:p w:rsidRPr="00F57044" w:rsidR="00B06341" w:rsidP="00B06341" w:rsidRDefault="00B06341" w14:paraId="10230C1A" w14:textId="5C31045F">
      <w:pPr>
        <w:pStyle w:val="BodyText"/>
      </w:pPr>
      <w:r w:rsidRPr="00F57044">
        <w:t xml:space="preserve">Units move </w:t>
      </w:r>
      <w:r w:rsidRPr="00F57044">
        <w:rPr>
          <w:b/>
        </w:rPr>
        <w:t>out of</w:t>
      </w:r>
      <w:r w:rsidRPr="00F57044">
        <w:t xml:space="preserve"> accounts as they are surrendered to the </w:t>
      </w:r>
      <w:r w:rsidR="009F44BF">
        <w:t>Government</w:t>
      </w:r>
      <w:r w:rsidRPr="00F57044" w:rsidR="009F44BF">
        <w:t xml:space="preserve"> </w:t>
      </w:r>
      <w:r w:rsidRPr="00F57044">
        <w:t>by participants to meet their</w:t>
      </w:r>
      <w:r w:rsidR="009556C4">
        <w:t> </w:t>
      </w:r>
      <w:r w:rsidRPr="00F57044">
        <w:t>obligations.</w:t>
      </w:r>
    </w:p>
    <w:p w:rsidRPr="00F57044" w:rsidR="00B06341" w:rsidP="00B06341" w:rsidRDefault="00DB5967" w14:paraId="2B94034F" w14:textId="10E952D4">
      <w:pPr>
        <w:pStyle w:val="BodyText"/>
      </w:pPr>
      <w:r>
        <w:t>Step 5a of th</w:t>
      </w:r>
      <w:r w:rsidR="0093630B">
        <w:t>e</w:t>
      </w:r>
      <w:r>
        <w:t xml:space="preserve"> seven steps methodology </w:t>
      </w:r>
      <w:r w:rsidR="0093630B">
        <w:t>is to enable a managed reduction of the surplus</w:t>
      </w:r>
      <w:r w:rsidRPr="00F57044" w:rsidR="00092F12">
        <w:t>. This</w:t>
      </w:r>
      <w:r w:rsidRPr="00F57044" w:rsidDel="00092F12" w:rsidR="00B06341">
        <w:t xml:space="preserve"> </w:t>
      </w:r>
      <w:r w:rsidRPr="00F57044" w:rsidR="00CB318C">
        <w:t xml:space="preserve">step involves </w:t>
      </w:r>
      <w:r w:rsidRPr="00F57044" w:rsidR="00B06341">
        <w:t xml:space="preserve">setting an auction limit to reduce the risk of emissions being allowed to exceed emissions budgets. </w:t>
      </w:r>
      <w:r w:rsidRPr="00F57044" w:rsidR="00CB318C">
        <w:t>With this limit,</w:t>
      </w:r>
      <w:r w:rsidRPr="00F57044" w:rsidDel="00E63A45" w:rsidR="00B06341">
        <w:t xml:space="preserve"> </w:t>
      </w:r>
      <w:r w:rsidRPr="00F57044" w:rsidR="00B06341">
        <w:t xml:space="preserve">participants </w:t>
      </w:r>
      <w:r w:rsidRPr="00F57044" w:rsidR="00CB318C">
        <w:t xml:space="preserve">must </w:t>
      </w:r>
      <w:r w:rsidRPr="00F57044" w:rsidR="00B06341">
        <w:t>use some NZUs from the surplus to meet their surrender obligations.</w:t>
      </w:r>
    </w:p>
    <w:p w:rsidRPr="00F57044" w:rsidR="00B06341" w:rsidP="00B06341" w:rsidRDefault="00B06341" w14:paraId="684FBA93" w14:textId="2BEFA5F3">
      <w:pPr>
        <w:pStyle w:val="BodyText"/>
      </w:pPr>
      <w:r w:rsidRPr="00F57044">
        <w:t xml:space="preserve">In 2024, the Government </w:t>
      </w:r>
      <w:proofErr w:type="gramStart"/>
      <w:r w:rsidRPr="00F57044">
        <w:t>made adjustments to</w:t>
      </w:r>
      <w:proofErr w:type="gramEnd"/>
      <w:r w:rsidRPr="00F57044">
        <w:t xml:space="preserve"> </w:t>
      </w:r>
      <w:r w:rsidR="005E3A1C">
        <w:t xml:space="preserve">the number of </w:t>
      </w:r>
      <w:r w:rsidRPr="00F57044">
        <w:t>units available for auction</w:t>
      </w:r>
      <w:r w:rsidRPr="00F57044" w:rsidR="00E63A45">
        <w:t>,</w:t>
      </w:r>
      <w:r w:rsidRPr="00F57044">
        <w:t xml:space="preserve"> to reduce the surplus to zero by 2030. This year’s settings remain </w:t>
      </w:r>
      <w:r w:rsidRPr="00F57044" w:rsidR="00E63A45">
        <w:t xml:space="preserve">in line </w:t>
      </w:r>
      <w:r w:rsidRPr="00F57044">
        <w:t xml:space="preserve">with </w:t>
      </w:r>
      <w:r w:rsidRPr="00F57044" w:rsidR="00E63A45">
        <w:t>this goal</w:t>
      </w:r>
      <w:r w:rsidRPr="00F57044">
        <w:t>.</w:t>
      </w:r>
    </w:p>
    <w:p w:rsidRPr="00F57044" w:rsidR="00B06341" w:rsidP="00B06341" w:rsidRDefault="00B06341" w14:paraId="00A6D97D" w14:textId="26AAD35B">
      <w:pPr>
        <w:pStyle w:val="Heading3"/>
      </w:pPr>
      <w:r w:rsidRPr="00F57044">
        <w:t>The Commission’s estimate of the surplus volume has</w:t>
      </w:r>
      <w:r w:rsidRPr="00F57044" w:rsidR="00B31464">
        <w:t> </w:t>
      </w:r>
      <w:r w:rsidRPr="00F57044">
        <w:t>decreased</w:t>
      </w:r>
    </w:p>
    <w:p w:rsidRPr="00F57044" w:rsidR="009B295B" w:rsidP="00B31464" w:rsidRDefault="009B295B" w14:paraId="1BF24E74" w14:textId="462EC1FB">
      <w:pPr>
        <w:pStyle w:val="BodyText"/>
        <w:keepLines/>
      </w:pPr>
      <w:r w:rsidRPr="00F57044">
        <w:t>The Commission has updated its central surplus estimate to 50.2 million units, within a range of 2</w:t>
      </w:r>
      <w:r w:rsidRPr="00F57044" w:rsidR="2DD6C0D9">
        <w:t>8</w:t>
      </w:r>
      <w:r w:rsidRPr="00F57044">
        <w:t xml:space="preserve"> to 68 million units. Last year the central estimate used to inform final decisions was 67.9</w:t>
      </w:r>
      <w:r w:rsidRPr="00F57044" w:rsidR="00B31464">
        <w:t> </w:t>
      </w:r>
      <w:r w:rsidRPr="00F57044">
        <w:t>million units, within a range of 51 to 84 million units.</w:t>
      </w:r>
      <w:r w:rsidRPr="00F57044">
        <w:rPr>
          <w:rStyle w:val="FootnoteReference"/>
        </w:rPr>
        <w:footnoteReference w:id="30"/>
      </w:r>
      <w:r w:rsidRPr="00F57044">
        <w:t xml:space="preserve"> This equates to a </w:t>
      </w:r>
      <w:proofErr w:type="gramStart"/>
      <w:r w:rsidRPr="00F57044">
        <w:t>17.7 million unit</w:t>
      </w:r>
      <w:proofErr w:type="gramEnd"/>
      <w:r w:rsidRPr="00F57044">
        <w:t xml:space="preserve"> reduction in the central surplus estimate.</w:t>
      </w:r>
    </w:p>
    <w:p w:rsidRPr="00F57044" w:rsidR="009B295B" w:rsidP="00023B0B" w:rsidRDefault="00B06341" w14:paraId="39B87AE7" w14:textId="48E19227">
      <w:pPr>
        <w:pStyle w:val="BodyText"/>
      </w:pPr>
      <w:r w:rsidRPr="00F57044">
        <w:t>The lower surplus estimate means that the surplus reduction volume factored into previous</w:t>
      </w:r>
      <w:r w:rsidRPr="00F57044" w:rsidR="003660F1">
        <w:t xml:space="preserve"> years’</w:t>
      </w:r>
      <w:r w:rsidRPr="00F57044">
        <w:t xml:space="preserve"> unit limit settings is no longer appropriate. When factored into the overall unit limit calculations, this lower surplus contributes to about 10 million additional units being available to auction over </w:t>
      </w:r>
      <w:r w:rsidRPr="00F57044" w:rsidR="009B295B">
        <w:t xml:space="preserve">the </w:t>
      </w:r>
      <w:r w:rsidRPr="00F57044">
        <w:t>2026</w:t>
      </w:r>
      <w:r w:rsidRPr="00F57044" w:rsidR="00DC01FB">
        <w:t>–</w:t>
      </w:r>
      <w:r w:rsidRPr="00F57044">
        <w:t>30</w:t>
      </w:r>
      <w:r w:rsidRPr="00F57044" w:rsidR="009B295B">
        <w:t xml:space="preserve"> period.</w:t>
      </w:r>
      <w:r w:rsidRPr="00F57044">
        <w:t xml:space="preserve"> Choices about how to manage this additional volume are discussed </w:t>
      </w:r>
      <w:r w:rsidRPr="00F57044" w:rsidR="00C42BD2">
        <w:t>under</w:t>
      </w:r>
      <w:r w:rsidRPr="00F57044">
        <w:t xml:space="preserve"> </w:t>
      </w:r>
      <w:hyperlink w:history="1" w:anchor="_Key_options_for">
        <w:r w:rsidRPr="00F721F6" w:rsidR="00C42BD2">
          <w:rPr>
            <w:rStyle w:val="Hyperlink"/>
          </w:rPr>
          <w:t>K</w:t>
        </w:r>
        <w:r w:rsidRPr="00F721F6" w:rsidR="009B295B">
          <w:rPr>
            <w:rStyle w:val="Hyperlink"/>
          </w:rPr>
          <w:t xml:space="preserve">ey </w:t>
        </w:r>
        <w:r w:rsidRPr="00F721F6" w:rsidR="00190B7A">
          <w:rPr>
            <w:rStyle w:val="Hyperlink"/>
          </w:rPr>
          <w:t xml:space="preserve">options </w:t>
        </w:r>
        <w:r w:rsidRPr="00F721F6" w:rsidR="0032374E">
          <w:rPr>
            <w:rStyle w:val="Hyperlink"/>
          </w:rPr>
          <w:t>for 2025</w:t>
        </w:r>
        <w:r w:rsidRPr="00F721F6" w:rsidR="00190B7A">
          <w:rPr>
            <w:rStyle w:val="Hyperlink"/>
          </w:rPr>
          <w:t xml:space="preserve"> settings</w:t>
        </w:r>
      </w:hyperlink>
      <w:r w:rsidRPr="00F57044" w:rsidR="009B295B">
        <w:t>.</w:t>
      </w:r>
    </w:p>
    <w:p w:rsidRPr="00F57044" w:rsidR="009B295B" w:rsidP="009B295B" w:rsidRDefault="009B295B" w14:paraId="754FCF30" w14:textId="08E82F73">
      <w:pPr>
        <w:pStyle w:val="Heading4"/>
      </w:pPr>
      <w:r w:rsidRPr="00F57044">
        <w:t>Explaining the drivers of this surplus reduction</w:t>
      </w:r>
    </w:p>
    <w:p w:rsidRPr="00F57044" w:rsidR="009B295B" w:rsidP="009B295B" w:rsidRDefault="009B295B" w14:paraId="11CC4FBD" w14:textId="56D3A583">
      <w:pPr>
        <w:pStyle w:val="BodyText"/>
      </w:pPr>
      <w:r w:rsidRPr="00F57044">
        <w:t xml:space="preserve">We explain this </w:t>
      </w:r>
      <w:proofErr w:type="gramStart"/>
      <w:r w:rsidRPr="00F57044">
        <w:t>17.7 million unit</w:t>
      </w:r>
      <w:proofErr w:type="gramEnd"/>
      <w:r w:rsidRPr="00F57044">
        <w:t xml:space="preserve"> reduction in the surplus estimate as follows</w:t>
      </w:r>
      <w:r w:rsidRPr="00F57044" w:rsidR="00C42BD2">
        <w:t>.</w:t>
      </w:r>
    </w:p>
    <w:p w:rsidRPr="00F57044" w:rsidR="009B295B" w:rsidP="00023B0B" w:rsidRDefault="009B295B" w14:paraId="661BBD54" w14:textId="78D93632">
      <w:pPr>
        <w:pStyle w:val="Bullet"/>
      </w:pPr>
      <w:r w:rsidRPr="00F57044">
        <w:t>Auction units went unsold in 2024, meaning fewer units than expected entered the market (</w:t>
      </w:r>
      <w:r w:rsidRPr="00F57044" w:rsidR="00C42BD2">
        <w:t>–</w:t>
      </w:r>
      <w:r w:rsidRPr="00F57044">
        <w:t>7.1 million units)</w:t>
      </w:r>
    </w:p>
    <w:p w:rsidRPr="00F57044" w:rsidR="009B295B" w:rsidP="009B295B" w:rsidRDefault="009B295B" w14:paraId="513B3E25" w14:textId="2815CEA2">
      <w:pPr>
        <w:pStyle w:val="Bullet"/>
      </w:pPr>
      <w:r w:rsidRPr="00F57044">
        <w:t xml:space="preserve">Several changes </w:t>
      </w:r>
      <w:r w:rsidRPr="00F57044" w:rsidR="00C42BD2">
        <w:t>were mad</w:t>
      </w:r>
      <w:r w:rsidRPr="00F57044" w:rsidR="00A0001D">
        <w:t>e</w:t>
      </w:r>
      <w:r w:rsidRPr="00F57044" w:rsidR="00C42BD2">
        <w:t xml:space="preserve"> </w:t>
      </w:r>
      <w:r w:rsidRPr="00F57044">
        <w:t>to the surplus estimate methodology (</w:t>
      </w:r>
      <w:r w:rsidRPr="00F57044" w:rsidR="00C42BD2">
        <w:t>–</w:t>
      </w:r>
      <w:r w:rsidRPr="00F57044">
        <w:t>7 million units (</w:t>
      </w:r>
      <w:r w:rsidRPr="00F57044" w:rsidR="00EB6F0B">
        <w:t>±</w:t>
      </w:r>
      <w:r w:rsidRPr="00F57044" w:rsidR="00C42BD2">
        <w:t> </w:t>
      </w:r>
      <w:r w:rsidRPr="00F57044">
        <w:t>1</w:t>
      </w:r>
      <w:r w:rsidRPr="00F57044" w:rsidR="00C42BD2">
        <w:t> </w:t>
      </w:r>
      <w:r w:rsidRPr="00F57044">
        <w:t>million units)).</w:t>
      </w:r>
    </w:p>
    <w:p w:rsidRPr="00F57044" w:rsidR="009B295B" w:rsidP="009B295B" w:rsidRDefault="009B295B" w14:paraId="68CBEA3B" w14:textId="4E08EF7A">
      <w:pPr>
        <w:pStyle w:val="Bullet"/>
      </w:pPr>
      <w:r w:rsidRPr="00F57044">
        <w:t>Market-driven surplus reduc</w:t>
      </w:r>
      <w:r w:rsidRPr="00F57044" w:rsidR="00A0001D">
        <w:t>ed</w:t>
      </w:r>
      <w:r w:rsidRPr="00F57044">
        <w:t xml:space="preserve"> </w:t>
      </w:r>
      <w:r w:rsidRPr="00F57044" w:rsidR="00C42BD2">
        <w:t xml:space="preserve">in </w:t>
      </w:r>
      <w:r w:rsidRPr="00F57044">
        <w:t>2024, due to emitters using surplus units for surrender obligations (</w:t>
      </w:r>
      <w:r w:rsidRPr="00F57044" w:rsidR="00E7613D">
        <w:t>–</w:t>
      </w:r>
      <w:r w:rsidRPr="00F57044">
        <w:t xml:space="preserve">2.8 million units </w:t>
      </w:r>
      <w:r w:rsidRPr="00F57044" w:rsidR="00EB6F0B">
        <w:t>(±</w:t>
      </w:r>
      <w:r w:rsidRPr="00F57044" w:rsidR="00C42BD2">
        <w:t> </w:t>
      </w:r>
      <w:r w:rsidRPr="00F57044" w:rsidR="00F90544">
        <w:t>1</w:t>
      </w:r>
      <w:r w:rsidRPr="00F57044">
        <w:t xml:space="preserve"> million units</w:t>
      </w:r>
      <w:r w:rsidRPr="00F57044" w:rsidR="00F90544">
        <w:t>)</w:t>
      </w:r>
      <w:r w:rsidRPr="00F57044">
        <w:t>).</w:t>
      </w:r>
    </w:p>
    <w:p w:rsidRPr="00F57044" w:rsidR="009B295B" w:rsidP="00023B0B" w:rsidRDefault="009B295B" w14:paraId="71E5BCA3" w14:textId="1DB69591">
      <w:pPr>
        <w:pStyle w:val="BodyText"/>
      </w:pPr>
      <w:r w:rsidRPr="00F57044">
        <w:t>It is difficult to precisely quantify the impact of the methodolog</w:t>
      </w:r>
      <w:r w:rsidRPr="00F57044" w:rsidR="00940FA1">
        <w:t>ical</w:t>
      </w:r>
      <w:r w:rsidRPr="00F57044">
        <w:t xml:space="preserve"> changes on the surplus estimate. However, we have attempted to do so to illustrate their relative impact. We did this by comparing estimates of the December 2024 surplus stockpile using the Commission’s 2024 and 2025 methodologies.</w:t>
      </w:r>
    </w:p>
    <w:p w:rsidRPr="00F57044" w:rsidR="0004328B" w:rsidP="00023B0B" w:rsidRDefault="009B295B" w14:paraId="6C239244" w14:textId="77777777">
      <w:pPr>
        <w:pStyle w:val="BodyText"/>
      </w:pPr>
      <w:r w:rsidRPr="00F57044">
        <w:t xml:space="preserve">Figure </w:t>
      </w:r>
      <w:r w:rsidRPr="00F57044" w:rsidR="00970774">
        <w:t>A1.1</w:t>
      </w:r>
      <w:r w:rsidRPr="00F57044">
        <w:t xml:space="preserve"> illustrat</w:t>
      </w:r>
      <w:r w:rsidRPr="00F57044" w:rsidR="00C42BD2">
        <w:t>es</w:t>
      </w:r>
      <w:r w:rsidRPr="00F57044">
        <w:t xml:space="preserve"> the impacts of each of the key methodolog</w:t>
      </w:r>
      <w:r w:rsidRPr="00F57044" w:rsidR="00940FA1">
        <w:t>ical</w:t>
      </w:r>
      <w:r w:rsidRPr="00F57044">
        <w:t xml:space="preserve"> change</w:t>
      </w:r>
      <w:r w:rsidRPr="00F57044" w:rsidR="00C42BD2">
        <w:t>s</w:t>
      </w:r>
      <w:r w:rsidRPr="00F57044">
        <w:t xml:space="preserve"> on the change in surplus estimate. These figures are indicative only.</w:t>
      </w:r>
    </w:p>
    <w:p w:rsidRPr="00F57044" w:rsidR="00023B0B" w:rsidP="009B295B" w:rsidRDefault="00023B0B" w14:paraId="7769022B" w14:textId="77777777">
      <w:pPr>
        <w:pStyle w:val="Bullet"/>
        <w:numPr>
          <w:ilvl w:val="0"/>
          <w:numId w:val="0"/>
        </w:numPr>
      </w:pPr>
    </w:p>
    <w:p w:rsidRPr="00F57044" w:rsidR="00023B0B" w:rsidP="009B295B" w:rsidRDefault="00023B0B" w14:paraId="178A684D" w14:textId="61691536">
      <w:pPr>
        <w:pStyle w:val="Bullet"/>
        <w:numPr>
          <w:ilvl w:val="0"/>
          <w:numId w:val="0"/>
        </w:numPr>
        <w:sectPr w:rsidRPr="00F57044" w:rsidR="00023B0B" w:rsidSect="00F353A0">
          <w:headerReference w:type="even" r:id="rId45"/>
          <w:headerReference w:type="default" r:id="rId46"/>
          <w:footerReference w:type="even" r:id="rId47"/>
          <w:footerReference w:type="default" r:id="rId48"/>
          <w:headerReference w:type="first" r:id="rId49"/>
          <w:footerReference w:type="first" r:id="rId50"/>
          <w:pgSz w:w="11907" w:h="16840" w:orient="portrait" w:code="9"/>
          <w:pgMar w:top="1134" w:right="1701" w:bottom="1134" w:left="1701" w:header="567" w:footer="567" w:gutter="0"/>
          <w:cols w:space="720"/>
          <w:docGrid w:linePitch="299"/>
        </w:sectPr>
      </w:pPr>
    </w:p>
    <w:p w:rsidRPr="00F57044" w:rsidR="009B295B" w:rsidP="00023B0B" w:rsidRDefault="009B295B" w14:paraId="5024B13E" w14:textId="568EE42B">
      <w:pPr>
        <w:pStyle w:val="Figureheading"/>
        <w:spacing w:before="0"/>
      </w:pPr>
      <w:bookmarkStart w:name="_Toc198901894" w:id="142"/>
      <w:r w:rsidRPr="00F57044">
        <w:t xml:space="preserve">Figure </w:t>
      </w:r>
      <w:r w:rsidRPr="00F57044" w:rsidR="00970774">
        <w:t>A1.1</w:t>
      </w:r>
      <w:r w:rsidRPr="00F57044">
        <w:t>:</w:t>
      </w:r>
      <w:r w:rsidRPr="00F57044" w:rsidR="0004328B">
        <w:tab/>
      </w:r>
      <w:r w:rsidRPr="00F57044">
        <w:t>Approximate drivers of change in surplus stockpile estimate</w:t>
      </w:r>
      <w:r w:rsidRPr="00F57044" w:rsidR="00C42BD2">
        <w:t>,</w:t>
      </w:r>
      <w:r w:rsidRPr="00F57044" w:rsidDel="00C42BD2">
        <w:t xml:space="preserve"> </w:t>
      </w:r>
      <w:r w:rsidRPr="00F57044">
        <w:t>2024</w:t>
      </w:r>
      <w:r w:rsidRPr="00F57044" w:rsidR="00C42BD2">
        <w:t>–</w:t>
      </w:r>
      <w:r w:rsidRPr="00F57044">
        <w:t>25</w:t>
      </w:r>
      <w:bookmarkEnd w:id="142"/>
    </w:p>
    <w:p w:rsidRPr="00F57044" w:rsidR="0004328B" w:rsidP="00997795" w:rsidRDefault="0004328B" w14:paraId="39A37F2B" w14:textId="5FEA167A">
      <w:pPr>
        <w:pStyle w:val="BodyText"/>
      </w:pPr>
      <w:r w:rsidRPr="00F57044">
        <w:rPr>
          <w:noProof/>
        </w:rPr>
        <w:drawing>
          <wp:inline distT="0" distB="0" distL="0" distR="0" wp14:anchorId="4B8B286A" wp14:editId="636AE3AA">
            <wp:extent cx="7258685" cy="4273793"/>
            <wp:effectExtent l="0" t="0" r="0" b="0"/>
            <wp:docPr id="208041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1226" name="Picture 28"/>
                    <pic:cNvPicPr/>
                  </pic:nvPicPr>
                  <pic:blipFill rotWithShape="1">
                    <a:blip r:embed="rId51" cstate="print">
                      <a:extLst>
                        <a:ext uri="{28A0092B-C50C-407E-A947-70E740481C1C}">
                          <a14:useLocalDpi xmlns:a14="http://schemas.microsoft.com/office/drawing/2010/main" val="0"/>
                        </a:ext>
                      </a:extLst>
                    </a:blip>
                    <a:srcRect t="1717"/>
                    <a:stretch/>
                  </pic:blipFill>
                  <pic:spPr bwMode="auto">
                    <a:xfrm>
                      <a:off x="0" y="0"/>
                      <a:ext cx="7258831" cy="4273879"/>
                    </a:xfrm>
                    <a:prstGeom prst="rect">
                      <a:avLst/>
                    </a:prstGeom>
                    <a:ln>
                      <a:noFill/>
                    </a:ln>
                    <a:extLst>
                      <a:ext uri="{53640926-AAD7-44D8-BBD7-CCE9431645EC}">
                        <a14:shadowObscured xmlns:a14="http://schemas.microsoft.com/office/drawing/2010/main"/>
                      </a:ext>
                    </a:extLst>
                  </pic:spPr>
                </pic:pic>
              </a:graphicData>
            </a:graphic>
          </wp:inline>
        </w:drawing>
      </w:r>
    </w:p>
    <w:p w:rsidRPr="00F57044" w:rsidR="009B295B" w:rsidP="00AC7F1A" w:rsidRDefault="009B295B" w14:paraId="2AB0752F" w14:textId="6B6422CC">
      <w:pPr>
        <w:pStyle w:val="Note"/>
      </w:pPr>
      <w:r w:rsidRPr="00F57044">
        <w:t>Source: Ministry for the Environment analysis</w:t>
      </w:r>
    </w:p>
    <w:p w:rsidRPr="00F57044" w:rsidR="006E2B9E" w:rsidP="00AC7F1A" w:rsidRDefault="006E2B9E" w14:paraId="43A1F22B" w14:textId="13B25C28">
      <w:pPr>
        <w:pStyle w:val="Note"/>
      </w:pPr>
      <w:r w:rsidRPr="00F57044">
        <w:t>*LFF</w:t>
      </w:r>
      <w:r w:rsidRPr="00F57044" w:rsidR="00D964E1">
        <w:t xml:space="preserve"> = Liquid fossil fuels, </w:t>
      </w:r>
      <w:r w:rsidRPr="00F57044" w:rsidR="00EA722F">
        <w:t>p90 = pre-1990 forestry, p89 = post-1989 forestry, MERP4 = fourth mandatory emissions reporting period</w:t>
      </w:r>
    </w:p>
    <w:p w:rsidRPr="00F57044" w:rsidR="00AC7F1A" w:rsidP="00AC7F1A" w:rsidRDefault="00AC7F1A" w14:paraId="551B7E81" w14:textId="77777777">
      <w:pPr>
        <w:pStyle w:val="Note"/>
      </w:pPr>
    </w:p>
    <w:p w:rsidRPr="00F57044" w:rsidR="0004328B" w:rsidP="007D5838" w:rsidRDefault="0004328B" w14:paraId="4BD735A1" w14:textId="3C861577">
      <w:pPr>
        <w:pStyle w:val="Quote"/>
        <w:sectPr w:rsidRPr="00F57044" w:rsidR="0004328B" w:rsidSect="00997795">
          <w:pgSz w:w="16840" w:h="11907" w:orient="landscape" w:code="9"/>
          <w:pgMar w:top="1701" w:right="1134" w:bottom="1701" w:left="1134" w:header="567" w:footer="567" w:gutter="0"/>
          <w:cols w:space="720"/>
          <w:docGrid w:linePitch="299"/>
        </w:sectPr>
      </w:pPr>
    </w:p>
    <w:p w:rsidRPr="00F57044" w:rsidR="009B295B" w:rsidP="00A520FD" w:rsidRDefault="008F6EC8" w14:paraId="4E8C67DC" w14:textId="556888DD">
      <w:pPr>
        <w:pStyle w:val="BodyText"/>
        <w:spacing w:before="0" w:after="100"/>
      </w:pPr>
      <w:r w:rsidRPr="00F57044">
        <w:t xml:space="preserve">Our approach </w:t>
      </w:r>
      <w:r w:rsidRPr="00F57044" w:rsidR="009B295B">
        <w:t>differs from the Commission’s approach to attributing the source of the reduction in surplus. The Commission’s</w:t>
      </w:r>
      <w:r w:rsidRPr="00F57044" w:rsidR="00C012E0">
        <w:t xml:space="preserve"> approach</w:t>
      </w:r>
      <w:r w:rsidRPr="00F57044" w:rsidR="009B295B">
        <w:t xml:space="preserve"> assumes the entire projected surplus reduction in 2024 occurred, </w:t>
      </w:r>
      <w:r w:rsidRPr="00F57044" w:rsidR="00A0001D">
        <w:t xml:space="preserve">and </w:t>
      </w:r>
      <w:r w:rsidRPr="00F57044" w:rsidR="009B295B">
        <w:t>the remaining reduction</w:t>
      </w:r>
      <w:r w:rsidRPr="00F57044" w:rsidR="00A0001D">
        <w:t xml:space="preserve"> </w:t>
      </w:r>
      <w:r w:rsidRPr="00F57044" w:rsidR="00ED0B24">
        <w:t xml:space="preserve">is due </w:t>
      </w:r>
      <w:r w:rsidRPr="00F57044" w:rsidR="009B295B">
        <w:t>to methodological changes.</w:t>
      </w:r>
    </w:p>
    <w:p w:rsidRPr="00F57044" w:rsidR="001468B3" w:rsidP="00A520FD" w:rsidRDefault="009B295B" w14:paraId="0BB746DC" w14:textId="459507EC">
      <w:pPr>
        <w:pStyle w:val="BodyText"/>
        <w:spacing w:after="100"/>
      </w:pPr>
      <w:r w:rsidRPr="00F57044">
        <w:t>Using the Commission’s approach, market-driven reductions explain 7.7 million units of the change</w:t>
      </w:r>
      <w:r w:rsidRPr="00F57044" w:rsidR="00C012E0">
        <w:t xml:space="preserve"> and</w:t>
      </w:r>
      <w:r w:rsidRPr="00F57044">
        <w:t xml:space="preserve"> 7.1 million units </w:t>
      </w:r>
      <w:r w:rsidRPr="00F57044" w:rsidR="00C012E0">
        <w:t xml:space="preserve">are </w:t>
      </w:r>
      <w:r w:rsidRPr="00F57044">
        <w:t>due to unsold auctions</w:t>
      </w:r>
      <w:r w:rsidRPr="00F57044" w:rsidR="00E90477">
        <w:t>.</w:t>
      </w:r>
      <w:r w:rsidRPr="00F57044" w:rsidR="00C012E0">
        <w:t xml:space="preserve"> </w:t>
      </w:r>
      <w:r w:rsidRPr="00F57044" w:rsidR="00E90477">
        <w:t>T</w:t>
      </w:r>
      <w:r w:rsidRPr="00F57044">
        <w:t xml:space="preserve">he remaining 2.9 million </w:t>
      </w:r>
      <w:r w:rsidRPr="00F57044" w:rsidR="00E90477">
        <w:t xml:space="preserve">units </w:t>
      </w:r>
      <w:r w:rsidRPr="00F57044" w:rsidR="00C012E0">
        <w:t xml:space="preserve">are </w:t>
      </w:r>
      <w:r w:rsidRPr="00F57044">
        <w:t xml:space="preserve">due to methodological and data changes. </w:t>
      </w:r>
    </w:p>
    <w:p w:rsidRPr="00F57044" w:rsidR="00B06341" w:rsidP="00A520FD" w:rsidRDefault="00B06341" w14:paraId="347184D0" w14:textId="0329C829">
      <w:pPr>
        <w:pStyle w:val="Heading3"/>
        <w:spacing w:before="240"/>
      </w:pPr>
      <w:r w:rsidRPr="00F57044">
        <w:t>Unsold auction volumes</w:t>
      </w:r>
    </w:p>
    <w:p w:rsidRPr="00F57044" w:rsidR="00B745A3" w:rsidP="00A520FD" w:rsidRDefault="00B745A3" w14:paraId="3C975B92" w14:textId="790FBE50">
      <w:pPr>
        <w:pStyle w:val="BodyText"/>
        <w:spacing w:before="100" w:after="100"/>
      </w:pPr>
      <w:r w:rsidRPr="00F57044">
        <w:t>When setting unit limits, we assume all upcoming auctions will clear. This is reflected in our estimate of the surplus</w:t>
      </w:r>
      <w:r w:rsidRPr="00F57044" w:rsidR="009319B7">
        <w:t>, which</w:t>
      </w:r>
      <w:r w:rsidRPr="00F57044">
        <w:t xml:space="preserve"> assumes the auctioned units will be available for use by </w:t>
      </w:r>
      <w:r w:rsidRPr="00F57044" w:rsidR="009319B7">
        <w:t>NZ ETS</w:t>
      </w:r>
      <w:r w:rsidRPr="00F57044" w:rsidR="0022594B">
        <w:t xml:space="preserve"> </w:t>
      </w:r>
      <w:r w:rsidRPr="00F57044">
        <w:t xml:space="preserve">participants to meet their </w:t>
      </w:r>
      <w:r w:rsidRPr="00F57044" w:rsidR="0022594B">
        <w:t xml:space="preserve">NZ ETS </w:t>
      </w:r>
      <w:r w:rsidRPr="00F57044">
        <w:t xml:space="preserve">obligations (rather than </w:t>
      </w:r>
      <w:r w:rsidRPr="00F57044" w:rsidR="0022594B">
        <w:t>using</w:t>
      </w:r>
      <w:r w:rsidRPr="00F57044">
        <w:t xml:space="preserve"> units from the surplus).</w:t>
      </w:r>
    </w:p>
    <w:p w:rsidRPr="00F57044" w:rsidR="00B745A3" w:rsidP="00A520FD" w:rsidRDefault="00B745A3" w14:paraId="15A0D1C0" w14:textId="4A93962B">
      <w:pPr>
        <w:pStyle w:val="BodyText"/>
        <w:spacing w:before="100" w:after="100"/>
      </w:pPr>
      <w:r w:rsidRPr="00F57044">
        <w:t>If an auction does not clear and the units are not sold, as happened in 2024, this decreases future estimates of the</w:t>
      </w:r>
      <w:r w:rsidRPr="00F57044" w:rsidR="0022594B">
        <w:t xml:space="preserve"> size of the</w:t>
      </w:r>
      <w:r w:rsidRPr="00F57044">
        <w:t xml:space="preserve"> surplus. This is because the additional source of supply (from auction) did not occur as expected</w:t>
      </w:r>
      <w:r w:rsidRPr="00F57044" w:rsidR="006A4767">
        <w:t>,</w:t>
      </w:r>
      <w:r w:rsidRPr="00F57044">
        <w:t xml:space="preserve"> and so participants are assumed to use some surplus units to meet their obligations. </w:t>
      </w:r>
    </w:p>
    <w:p w:rsidRPr="00F57044" w:rsidR="00B06341" w:rsidDel="00AC33F7" w:rsidP="00A520FD" w:rsidRDefault="00B745A3" w14:paraId="10169C41" w14:textId="2748707B">
      <w:pPr>
        <w:pStyle w:val="BodyText"/>
        <w:spacing w:before="100" w:after="100"/>
      </w:pPr>
      <w:r w:rsidRPr="00F57044">
        <w:t xml:space="preserve">The </w:t>
      </w:r>
      <w:r w:rsidRPr="00F57044" w:rsidR="00154AA1">
        <w:t>smaller</w:t>
      </w:r>
      <w:r w:rsidRPr="00F57044">
        <w:t xml:space="preserve"> </w:t>
      </w:r>
      <w:r w:rsidRPr="00F57044" w:rsidR="00154AA1">
        <w:t xml:space="preserve">surplus </w:t>
      </w:r>
      <w:r w:rsidRPr="00F57044">
        <w:t>estimate means more units can be made available for future auctions</w:t>
      </w:r>
      <w:r w:rsidRPr="00F57044" w:rsidR="00154AA1">
        <w:t>,</w:t>
      </w:r>
      <w:r w:rsidRPr="00F57044">
        <w:t xml:space="preserve"> while still achieving our goal of drawing down the surplus to zero by </w:t>
      </w:r>
      <w:proofErr w:type="gramStart"/>
      <w:r w:rsidRPr="00F57044">
        <w:t>2030, and</w:t>
      </w:r>
      <w:proofErr w:type="gramEnd"/>
      <w:r w:rsidRPr="00F57044">
        <w:t xml:space="preserve"> keeping the </w:t>
      </w:r>
      <w:r w:rsidRPr="00F57044" w:rsidDel="006A4767">
        <w:t>NZ</w:t>
      </w:r>
      <w:r w:rsidRPr="00F57044" w:rsidR="00E90477">
        <w:t> </w:t>
      </w:r>
      <w:r w:rsidRPr="00F57044" w:rsidDel="006A4767">
        <w:t xml:space="preserve">ETS </w:t>
      </w:r>
      <w:r w:rsidRPr="00F57044">
        <w:t>cap stable.</w:t>
      </w:r>
      <w:r w:rsidRPr="00F57044" w:rsidR="00F45D13">
        <w:t xml:space="preserve"> </w:t>
      </w:r>
    </w:p>
    <w:p w:rsidRPr="00F57044" w:rsidR="00B06341" w:rsidP="00A520FD" w:rsidRDefault="00B06341" w14:paraId="4E75227C" w14:textId="255B052A">
      <w:pPr>
        <w:pStyle w:val="Heading3"/>
        <w:spacing w:before="240"/>
      </w:pPr>
      <w:r w:rsidRPr="00F57044">
        <w:t xml:space="preserve">Changes to </w:t>
      </w:r>
      <w:r w:rsidRPr="00F57044" w:rsidR="006A4767">
        <w:t xml:space="preserve">estimating </w:t>
      </w:r>
      <w:r w:rsidRPr="00F57044">
        <w:t xml:space="preserve">the surplus volume </w:t>
      </w:r>
    </w:p>
    <w:p w:rsidRPr="00F57044" w:rsidR="00E256A4" w:rsidP="00A520FD" w:rsidRDefault="00B06341" w14:paraId="3DB58BA8" w14:textId="080E99E2">
      <w:pPr>
        <w:pStyle w:val="BodyText"/>
        <w:spacing w:after="100"/>
      </w:pPr>
      <w:r w:rsidRPr="00F57044">
        <w:t>In 2024,</w:t>
      </w:r>
      <w:r w:rsidRPr="00F57044" w:rsidDel="00154AA1">
        <w:t xml:space="preserve"> </w:t>
      </w:r>
      <w:r w:rsidRPr="00F57044" w:rsidR="00154AA1">
        <w:t>the Ministry</w:t>
      </w:r>
      <w:r w:rsidRPr="00F57044" w:rsidR="00C012E0">
        <w:t xml:space="preserve"> for the Environment</w:t>
      </w:r>
      <w:r w:rsidRPr="00F57044" w:rsidR="00154AA1">
        <w:t xml:space="preserve"> </w:t>
      </w:r>
      <w:r w:rsidRPr="00F57044">
        <w:t xml:space="preserve">commissioned Ernst &amp; Young (EY) to assess the surplus calculation methodology and analysis of the </w:t>
      </w:r>
      <w:r w:rsidRPr="00F57044" w:rsidR="00D21D70">
        <w:t xml:space="preserve">NZ </w:t>
      </w:r>
      <w:r w:rsidRPr="00F57044">
        <w:t xml:space="preserve">ETS stockpile. </w:t>
      </w:r>
      <w:r w:rsidRPr="00F57044" w:rsidR="00E90477">
        <w:t xml:space="preserve">The purpose </w:t>
      </w:r>
      <w:r w:rsidRPr="00F57044">
        <w:t>was to support the continuous improvement of our understanding of the stockpile. EY found the surplus estimate methodology was robust and fit</w:t>
      </w:r>
      <w:r w:rsidRPr="00F57044" w:rsidR="00C012E0">
        <w:t xml:space="preserve"> </w:t>
      </w:r>
      <w:r w:rsidRPr="00F57044">
        <w:t>for</w:t>
      </w:r>
      <w:r w:rsidRPr="00F57044" w:rsidR="00C012E0">
        <w:t xml:space="preserve"> </w:t>
      </w:r>
      <w:proofErr w:type="gramStart"/>
      <w:r w:rsidRPr="00F57044">
        <w:t>purpose, but</w:t>
      </w:r>
      <w:proofErr w:type="gramEnd"/>
      <w:r w:rsidRPr="00F57044">
        <w:t xml:space="preserve"> </w:t>
      </w:r>
      <w:r w:rsidRPr="00F57044" w:rsidR="006A4767">
        <w:t>recommended some</w:t>
      </w:r>
      <w:r w:rsidRPr="00F57044">
        <w:t xml:space="preserve"> improve</w:t>
      </w:r>
      <w:r w:rsidRPr="00F57044" w:rsidR="006A4767">
        <w:t>ments for</w:t>
      </w:r>
      <w:r w:rsidRPr="00F57044">
        <w:t xml:space="preserve"> future estimates.</w:t>
      </w:r>
      <w:r w:rsidRPr="00F57044">
        <w:rPr>
          <w:rStyle w:val="FootnoteReference"/>
        </w:rPr>
        <w:footnoteReference w:id="31"/>
      </w:r>
      <w:r w:rsidRPr="00F57044" w:rsidR="00F9767E">
        <w:t xml:space="preserve"> </w:t>
      </w:r>
      <w:r w:rsidRPr="00F57044">
        <w:t>The changes to the methodology in this year’s estimate were driven by EY’s recommendations, and additional analysis by the Commission.</w:t>
      </w:r>
      <w:r w:rsidRPr="00F57044" w:rsidR="00830731">
        <w:rPr>
          <w:rStyle w:val="FootnoteReference"/>
        </w:rPr>
        <w:footnoteReference w:id="32"/>
      </w:r>
      <w:r w:rsidRPr="00F57044" w:rsidR="00A515E4">
        <w:t xml:space="preserve"> </w:t>
      </w:r>
    </w:p>
    <w:p w:rsidRPr="00F57044" w:rsidR="00444689" w:rsidP="00A520FD" w:rsidRDefault="00444689" w14:paraId="55F61AC7" w14:textId="31110C23">
      <w:pPr>
        <w:pStyle w:val="BodyText"/>
        <w:spacing w:after="100"/>
      </w:pPr>
      <w:r w:rsidRPr="00F57044">
        <w:rPr>
          <w:spacing w:val="-2"/>
        </w:rPr>
        <w:t xml:space="preserve">We discussed the substantive changes for consultation </w:t>
      </w:r>
      <w:r w:rsidRPr="00F57044" w:rsidR="0099739F">
        <w:rPr>
          <w:spacing w:val="-2"/>
        </w:rPr>
        <w:t xml:space="preserve">under </w:t>
      </w:r>
      <w:hyperlink w:history="1" w:anchor="_Changes_to_surplus">
        <w:r w:rsidRPr="00F57044" w:rsidR="0099739F">
          <w:rPr>
            <w:rStyle w:val="Hyperlink"/>
            <w:spacing w:val="-2"/>
          </w:rPr>
          <w:t>Changes to surplus methodology</w:t>
        </w:r>
      </w:hyperlink>
      <w:r w:rsidRPr="00F57044">
        <w:t>.</w:t>
      </w:r>
    </w:p>
    <w:p w:rsidRPr="00F57044" w:rsidR="00B06341" w:rsidP="00A520FD" w:rsidRDefault="006A4767" w14:paraId="589C53B9" w14:textId="71800603">
      <w:pPr>
        <w:pStyle w:val="BodyText"/>
        <w:spacing w:after="100"/>
      </w:pPr>
      <w:r w:rsidRPr="00F57044">
        <w:t>W</w:t>
      </w:r>
      <w:r w:rsidRPr="00F57044" w:rsidR="00462A7F">
        <w:t>e highlight the following changes</w:t>
      </w:r>
      <w:r w:rsidRPr="00F57044" w:rsidR="00444689">
        <w:t xml:space="preserve"> here</w:t>
      </w:r>
      <w:r w:rsidRPr="00F57044" w:rsidR="004245A7">
        <w:t>.</w:t>
      </w:r>
    </w:p>
    <w:p w:rsidRPr="00F57044" w:rsidR="00B06341" w:rsidP="00A520FD" w:rsidRDefault="00542EE4" w14:paraId="0044C1EB" w14:textId="08D699CC">
      <w:pPr>
        <w:pStyle w:val="Bullet"/>
        <w:spacing w:after="100"/>
      </w:pPr>
      <w:r>
        <w:t>Account for</w:t>
      </w:r>
      <w:r w:rsidRPr="00F57044" w:rsidR="00B06341">
        <w:t xml:space="preserve"> units held by emitters for emissions that have already occurred</w:t>
      </w:r>
      <w:r w:rsidRPr="00F57044" w:rsidR="00154AA1">
        <w:t>.</w:t>
      </w:r>
    </w:p>
    <w:p w:rsidRPr="00F57044" w:rsidR="00B06341" w:rsidP="00A520FD" w:rsidRDefault="006A6195" w14:paraId="68D00273" w14:textId="41A5AEF1">
      <w:pPr>
        <w:pStyle w:val="Bullet"/>
        <w:spacing w:after="100"/>
      </w:pPr>
      <w:r>
        <w:t xml:space="preserve">Account for </w:t>
      </w:r>
      <w:r w:rsidRPr="00F57044" w:rsidR="00B06341">
        <w:t xml:space="preserve">post-1989 forestry units relating to </w:t>
      </w:r>
      <w:r w:rsidRPr="00F57044" w:rsidR="00B9615B">
        <w:t>the fourth mandatory emissions return period (</w:t>
      </w:r>
      <w:r w:rsidRPr="00F57044" w:rsidR="00B06341">
        <w:t>MERP4</w:t>
      </w:r>
      <w:r w:rsidRPr="00F57044" w:rsidR="00B9615B">
        <w:t>)</w:t>
      </w:r>
      <w:r w:rsidRPr="00F57044" w:rsidR="00B06341">
        <w:t xml:space="preserve"> </w:t>
      </w:r>
      <w:r w:rsidRPr="00F57044" w:rsidR="002774ED">
        <w:t xml:space="preserve">that </w:t>
      </w:r>
      <w:r w:rsidRPr="00F57044" w:rsidR="00B06341">
        <w:t>may become surplus in EB2</w:t>
      </w:r>
      <w:r w:rsidRPr="00F57044" w:rsidR="00154AA1">
        <w:t>.</w:t>
      </w:r>
    </w:p>
    <w:p w:rsidRPr="00F57044" w:rsidR="00B06341" w:rsidP="00A520FD" w:rsidRDefault="00B06341" w14:paraId="0EFAEAD2" w14:textId="67F7710F">
      <w:pPr>
        <w:pStyle w:val="Bullet"/>
        <w:spacing w:after="100"/>
      </w:pPr>
      <w:r w:rsidRPr="00F57044">
        <w:t>Chang</w:t>
      </w:r>
      <w:r w:rsidRPr="00F57044" w:rsidR="00154AA1">
        <w:t>e</w:t>
      </w:r>
      <w:r w:rsidRPr="00F57044">
        <w:t xml:space="preserve"> the date </w:t>
      </w:r>
      <w:r w:rsidRPr="00F57044" w:rsidR="00EC66EB">
        <w:t>when</w:t>
      </w:r>
      <w:r w:rsidRPr="00F57044">
        <w:t xml:space="preserve"> the hedge estimate is </w:t>
      </w:r>
      <w:r w:rsidRPr="00F57044" w:rsidR="00EC66EB">
        <w:t>made</w:t>
      </w:r>
      <w:r w:rsidRPr="00F57044">
        <w:t>.</w:t>
      </w:r>
    </w:p>
    <w:p w:rsidRPr="00F57044" w:rsidR="00B06341" w:rsidP="00B06341" w:rsidRDefault="00444689" w14:paraId="4B0F3183" w14:textId="5964864F">
      <w:pPr>
        <w:pStyle w:val="Heading4"/>
      </w:pPr>
      <w:r w:rsidRPr="00F57044">
        <w:t>Include u</w:t>
      </w:r>
      <w:r w:rsidRPr="00F57044" w:rsidR="00B06341">
        <w:t>nits held for emissions that have already occurred</w:t>
      </w:r>
    </w:p>
    <w:p w:rsidRPr="00F57044" w:rsidR="00B06341" w:rsidP="00A520FD" w:rsidRDefault="00B06341" w14:paraId="20EB4369" w14:textId="6F7D3176">
      <w:pPr>
        <w:pStyle w:val="BodyText"/>
        <w:spacing w:before="80" w:after="100"/>
      </w:pPr>
      <w:r w:rsidRPr="00F57044">
        <w:t xml:space="preserve">This year, the Commission has included a new category of non-surplus units, referred to as ‘holding volume’. These are units </w:t>
      </w:r>
      <w:r w:rsidRPr="00F57044" w:rsidR="006B127B">
        <w:t xml:space="preserve">that </w:t>
      </w:r>
      <w:r w:rsidRPr="00F57044">
        <w:t xml:space="preserve">are held for surrender for emissions that have already occurred. This differs </w:t>
      </w:r>
      <w:r w:rsidRPr="00F57044" w:rsidR="006B127B">
        <w:t xml:space="preserve">from </w:t>
      </w:r>
      <w:r w:rsidRPr="00F57044">
        <w:t>the existing ‘hedging volume’, which estimates units held in anticipation of future emissions. This inclusion was recommended by EY.</w:t>
      </w:r>
    </w:p>
    <w:p w:rsidRPr="00F57044" w:rsidR="00B06341" w:rsidP="002F5593" w:rsidRDefault="00B06341" w14:paraId="7C85DE4B" w14:textId="1946F97D">
      <w:pPr>
        <w:pStyle w:val="BodyText"/>
        <w:spacing w:before="100" w:after="100"/>
      </w:pPr>
      <w:r w:rsidRPr="00F57044">
        <w:t xml:space="preserve">We have considered EY’s recommendation and the Commission’s </w:t>
      </w:r>
      <w:proofErr w:type="gramStart"/>
      <w:r w:rsidRPr="00F57044">
        <w:t>approach, and</w:t>
      </w:r>
      <w:proofErr w:type="gramEnd"/>
      <w:r w:rsidRPr="00F57044">
        <w:t xml:space="preserve"> agree additional </w:t>
      </w:r>
      <w:r w:rsidR="00C84376">
        <w:t xml:space="preserve">holding volume </w:t>
      </w:r>
      <w:r w:rsidRPr="00F57044">
        <w:t xml:space="preserve">units should be </w:t>
      </w:r>
      <w:r w:rsidR="00C84376">
        <w:t xml:space="preserve">excluded </w:t>
      </w:r>
      <w:r w:rsidR="00AF373B">
        <w:t xml:space="preserve">from </w:t>
      </w:r>
      <w:r w:rsidRPr="00F57044">
        <w:t>the surplus.</w:t>
      </w:r>
    </w:p>
    <w:p w:rsidRPr="00F57044" w:rsidR="00B06341" w:rsidP="002F5593" w:rsidRDefault="00B06341" w14:paraId="36ADEA91" w14:textId="5D1B0A89">
      <w:pPr>
        <w:pStyle w:val="BodyText"/>
        <w:spacing w:before="100" w:after="100"/>
      </w:pPr>
      <w:r w:rsidRPr="00F57044">
        <w:t>Like the Commission</w:t>
      </w:r>
      <w:r w:rsidRPr="00F57044" w:rsidR="006B127B">
        <w:t>’s approach</w:t>
      </w:r>
      <w:r w:rsidRPr="00F57044">
        <w:t>, our estimate assume</w:t>
      </w:r>
      <w:r w:rsidRPr="00F57044" w:rsidR="00154AA1">
        <w:t>s</w:t>
      </w:r>
      <w:r w:rsidRPr="00F57044">
        <w:t xml:space="preserve"> the holding volume will increase over the year, as emitters accumulate units for their obligations. This volume will continue to rise until the annual surrenders are due at the end of May, before falling to a minimum</w:t>
      </w:r>
      <w:r w:rsidRPr="00F57044" w:rsidR="006B127B">
        <w:t xml:space="preserve"> and</w:t>
      </w:r>
      <w:r w:rsidRPr="00F57044">
        <w:t xml:space="preserve"> then growing again.</w:t>
      </w:r>
    </w:p>
    <w:p w:rsidRPr="00F57044" w:rsidR="00AA1780" w:rsidP="002F5593" w:rsidRDefault="002B4F09" w14:paraId="46E499ED" w14:textId="71D71E0C">
      <w:pPr>
        <w:pStyle w:val="BodyText"/>
        <w:spacing w:before="100" w:after="100"/>
      </w:pPr>
      <w:r>
        <w:t>Accounting for</w:t>
      </w:r>
      <w:r w:rsidRPr="00F57044" w:rsidR="00B06341">
        <w:t xml:space="preserve"> this ‘holding volume’ reduces the size of the central surplus estimate by 34.</w:t>
      </w:r>
      <w:r w:rsidRPr="00F57044" w:rsidR="2353DB99">
        <w:t>2</w:t>
      </w:r>
      <w:r w:rsidRPr="00F57044" w:rsidR="00AC7F1A">
        <w:t> </w:t>
      </w:r>
      <w:r w:rsidRPr="00F57044" w:rsidR="00B06341">
        <w:t xml:space="preserve">million units. </w:t>
      </w:r>
    </w:p>
    <w:p w:rsidRPr="00F57044" w:rsidR="00B06341" w:rsidP="00B06341" w:rsidRDefault="002774ED" w14:paraId="033C1486" w14:textId="77E81941">
      <w:pPr>
        <w:pStyle w:val="Heading4"/>
      </w:pPr>
      <w:r w:rsidRPr="00F57044">
        <w:t>Include f</w:t>
      </w:r>
      <w:r w:rsidRPr="00F57044" w:rsidR="00B06341">
        <w:t xml:space="preserve">orestry units </w:t>
      </w:r>
      <w:r w:rsidRPr="00F57044">
        <w:t>for</w:t>
      </w:r>
      <w:r w:rsidRPr="00F57044" w:rsidR="00B06341">
        <w:t xml:space="preserve"> MERP4 (2023</w:t>
      </w:r>
      <w:r w:rsidRPr="00F57044" w:rsidR="008E02B0">
        <w:t>–</w:t>
      </w:r>
      <w:r w:rsidRPr="00F57044" w:rsidR="00B06341">
        <w:t xml:space="preserve">25) that may </w:t>
      </w:r>
      <w:r w:rsidRPr="00F57044">
        <w:t>become surplus</w:t>
      </w:r>
      <w:r w:rsidRPr="00F57044" w:rsidR="00B06341">
        <w:t xml:space="preserve"> in EB2</w:t>
      </w:r>
    </w:p>
    <w:p w:rsidRPr="00F57044" w:rsidR="00B06341" w:rsidP="002F5593" w:rsidRDefault="00EC66EB" w14:paraId="32EC1BE4" w14:textId="09AB6E01">
      <w:pPr>
        <w:pStyle w:val="BodyText"/>
        <w:spacing w:before="100" w:after="100"/>
      </w:pPr>
      <w:r w:rsidRPr="00F57044">
        <w:t>An emitter can use f</w:t>
      </w:r>
      <w:r w:rsidRPr="00F57044" w:rsidR="00B06341">
        <w:t>orestry units</w:t>
      </w:r>
      <w:r w:rsidRPr="00F57044" w:rsidDel="00EC66EB" w:rsidR="00B06341">
        <w:t xml:space="preserve"> </w:t>
      </w:r>
      <w:r w:rsidRPr="00F57044" w:rsidR="00B06341">
        <w:t>in a different budget period from that in which the removal th</w:t>
      </w:r>
      <w:r w:rsidRPr="00F57044" w:rsidR="006B127B">
        <w:t>ose units</w:t>
      </w:r>
      <w:r w:rsidRPr="00F57044" w:rsidR="00B06341">
        <w:t xml:space="preserve"> represent took place. Such use would allow for higher net emissions in the budget period, </w:t>
      </w:r>
      <w:r w:rsidRPr="00F57044" w:rsidR="005176BA">
        <w:t>putting</w:t>
      </w:r>
      <w:r w:rsidRPr="00F57044" w:rsidR="00B06341">
        <w:t xml:space="preserve"> </w:t>
      </w:r>
      <w:r w:rsidRPr="00F57044" w:rsidR="008E02B0">
        <w:t xml:space="preserve">meeting the </w:t>
      </w:r>
      <w:r w:rsidRPr="00F57044" w:rsidR="00B06341">
        <w:t>budget</w:t>
      </w:r>
      <w:r w:rsidRPr="00F57044" w:rsidR="005176BA">
        <w:t xml:space="preserve"> at risk</w:t>
      </w:r>
      <w:r w:rsidRPr="00F57044" w:rsidR="00B06341">
        <w:t>. These units can contribute to the surplus.</w:t>
      </w:r>
    </w:p>
    <w:p w:rsidRPr="00F57044" w:rsidR="00B06341" w:rsidP="002F5593" w:rsidRDefault="00B06341" w14:paraId="26F6D10D" w14:textId="120DEF12">
      <w:pPr>
        <w:pStyle w:val="BodyText"/>
        <w:spacing w:before="100" w:after="100"/>
      </w:pPr>
      <w:r w:rsidRPr="00F57044">
        <w:t xml:space="preserve">To quantify and manage this risk for EB2, the Commission has included an estimate of these units in this year’s surplus estimate. We agree with the </w:t>
      </w:r>
      <w:proofErr w:type="gramStart"/>
      <w:r w:rsidRPr="00F57044">
        <w:t>Commission, and</w:t>
      </w:r>
      <w:proofErr w:type="gramEnd"/>
      <w:r w:rsidRPr="00F57044">
        <w:t xml:space="preserve"> have included these units when estimating the total unit surplus to be reduced by 2030.</w:t>
      </w:r>
    </w:p>
    <w:p w:rsidRPr="00F57044" w:rsidR="00B06341" w:rsidP="002F5593" w:rsidRDefault="00B06341" w14:paraId="65BE9452" w14:textId="77F4FC67">
      <w:pPr>
        <w:pStyle w:val="BodyText"/>
        <w:spacing w:before="100" w:after="100"/>
      </w:pPr>
      <w:r w:rsidRPr="00F57044">
        <w:t xml:space="preserve">Including these surplus post-1989 forestry units </w:t>
      </w:r>
      <w:proofErr w:type="gramStart"/>
      <w:r w:rsidRPr="00F57044">
        <w:t>increases</w:t>
      </w:r>
      <w:proofErr w:type="gramEnd"/>
      <w:r w:rsidRPr="00F57044">
        <w:t xml:space="preserve"> the size of our central surplus estimate by 1</w:t>
      </w:r>
      <w:r w:rsidRPr="00F57044" w:rsidR="005F7D47">
        <w:t>0</w:t>
      </w:r>
      <w:r w:rsidRPr="00F57044">
        <w:t xml:space="preserve"> million units.</w:t>
      </w:r>
    </w:p>
    <w:p w:rsidRPr="00F57044" w:rsidR="00B06341" w:rsidP="00B06341" w:rsidRDefault="00444689" w14:paraId="5B4CFB42" w14:textId="230DDF93">
      <w:pPr>
        <w:pStyle w:val="Heading4"/>
      </w:pPr>
      <w:r w:rsidRPr="00F57044">
        <w:t xml:space="preserve">Change </w:t>
      </w:r>
      <w:r w:rsidRPr="00F57044" w:rsidR="00B06341">
        <w:t xml:space="preserve">the date </w:t>
      </w:r>
      <w:r w:rsidRPr="00F57044" w:rsidR="008E02B0">
        <w:t>when</w:t>
      </w:r>
      <w:r w:rsidRPr="00F57044" w:rsidR="00B06341">
        <w:t xml:space="preserve"> the hedge estimate is </w:t>
      </w:r>
      <w:r w:rsidRPr="00F57044" w:rsidR="008E02B0">
        <w:t>made</w:t>
      </w:r>
    </w:p>
    <w:p w:rsidRPr="00F57044" w:rsidR="00B06341" w:rsidP="002F5593" w:rsidRDefault="00B06341" w14:paraId="334FFB47" w14:textId="11BBD6F7">
      <w:pPr>
        <w:pStyle w:val="BodyText"/>
        <w:spacing w:before="100" w:after="100"/>
      </w:pPr>
      <w:r w:rsidRPr="00F57044">
        <w:t>This year, the Commission has estimated the hedging volume for the target year of reducing the surplus (</w:t>
      </w:r>
      <w:proofErr w:type="spellStart"/>
      <w:r w:rsidRPr="00F57044">
        <w:t>ie</w:t>
      </w:r>
      <w:proofErr w:type="spellEnd"/>
      <w:r w:rsidRPr="00F57044">
        <w:t>, 2030). This differs from previous years, whe</w:t>
      </w:r>
      <w:r w:rsidRPr="00F57044" w:rsidR="00E90477">
        <w:t>n</w:t>
      </w:r>
      <w:r w:rsidRPr="00F57044">
        <w:t xml:space="preserve"> estimates were taken for the number of units held for hedging in the current year (</w:t>
      </w:r>
      <w:proofErr w:type="spellStart"/>
      <w:r w:rsidRPr="00F57044" w:rsidR="00D66B10">
        <w:t>ie</w:t>
      </w:r>
      <w:proofErr w:type="spellEnd"/>
      <w:r w:rsidRPr="00F57044">
        <w:t>, 2025). We agree with this approach.</w:t>
      </w:r>
    </w:p>
    <w:p w:rsidRPr="00F57044" w:rsidR="00B06341" w:rsidP="002F5593" w:rsidRDefault="00B06341" w14:paraId="1E67A6A4" w14:textId="4650FFE7">
      <w:pPr>
        <w:pStyle w:val="BodyText"/>
        <w:spacing w:before="100" w:after="100"/>
      </w:pPr>
      <w:r w:rsidRPr="00F57044">
        <w:t>This is based on the goal of reducing the stockpile</w:t>
      </w:r>
      <w:r w:rsidRPr="00F57044" w:rsidR="00D66B10">
        <w:t>,</w:t>
      </w:r>
      <w:r w:rsidRPr="00F57044">
        <w:t xml:space="preserve"> </w:t>
      </w:r>
      <w:r w:rsidRPr="00F57044" w:rsidR="008E02B0">
        <w:t xml:space="preserve">so </w:t>
      </w:r>
      <w:r w:rsidRPr="00F57044">
        <w:t xml:space="preserve">that the surplus is zero in 2030. Thus, taking the hedging estimate </w:t>
      </w:r>
      <w:proofErr w:type="gramStart"/>
      <w:r w:rsidRPr="00F57044">
        <w:t>at</w:t>
      </w:r>
      <w:proofErr w:type="gramEnd"/>
      <w:r w:rsidRPr="00F57044">
        <w:t xml:space="preserve"> 2030 </w:t>
      </w:r>
      <w:proofErr w:type="gramStart"/>
      <w:r w:rsidRPr="00F57044">
        <w:t>takes into account</w:t>
      </w:r>
      <w:proofErr w:type="gramEnd"/>
      <w:r w:rsidRPr="00F57044">
        <w:t xml:space="preserve"> that, as emissions reduce, the units needed for hedging volume will also reduce.</w:t>
      </w:r>
    </w:p>
    <w:p w:rsidRPr="00F57044" w:rsidR="00B06341" w:rsidP="002F5593" w:rsidRDefault="00B06341" w14:paraId="09709EE0" w14:textId="47731954">
      <w:pPr>
        <w:pStyle w:val="BodyText"/>
        <w:spacing w:before="100" w:after="100"/>
      </w:pPr>
      <w:r w:rsidRPr="00F57044">
        <w:t xml:space="preserve">The hedging category reflects that emitters need to hold a certain </w:t>
      </w:r>
      <w:r w:rsidRPr="00F57044" w:rsidR="009B5B34">
        <w:t>number</w:t>
      </w:r>
      <w:r w:rsidRPr="00F57044">
        <w:t xml:space="preserve"> of units to manage their obligations. However, as emitters decarbonise, some of these units will no longer be needed and </w:t>
      </w:r>
      <w:r w:rsidRPr="00F57044" w:rsidR="005176BA">
        <w:t xml:space="preserve">will </w:t>
      </w:r>
      <w:r w:rsidRPr="00F57044">
        <w:t>become surplus over time.</w:t>
      </w:r>
    </w:p>
    <w:p w:rsidRPr="00F57044" w:rsidR="00391C21" w:rsidP="00E30F62" w:rsidRDefault="00391C21" w14:paraId="2BBAC818" w14:textId="2D15BF73">
      <w:pPr>
        <w:pStyle w:val="AppendixH2"/>
      </w:pPr>
      <w:r w:rsidRPr="00F57044">
        <w:t xml:space="preserve">Step 5b: </w:t>
      </w:r>
      <w:r w:rsidRPr="00F57044" w:rsidR="00481617">
        <w:t>Adjust for discrepancies</w:t>
      </w:r>
    </w:p>
    <w:p w:rsidRPr="00F57044" w:rsidR="005C4C77" w:rsidP="002F5593" w:rsidRDefault="008A17AB" w14:paraId="511E30CC" w14:textId="50EB2B8B">
      <w:pPr>
        <w:pStyle w:val="BodyText"/>
        <w:spacing w:before="100" w:after="100"/>
      </w:pPr>
      <w:r w:rsidRPr="00F57044">
        <w:t xml:space="preserve">This step </w:t>
      </w:r>
      <w:proofErr w:type="gramStart"/>
      <w:r w:rsidRPr="00F57044">
        <w:t>makes adjustments to</w:t>
      </w:r>
      <w:proofErr w:type="gramEnd"/>
      <w:r w:rsidRPr="00F57044">
        <w:t xml:space="preserve"> address </w:t>
      </w:r>
      <w:r w:rsidRPr="00F57044" w:rsidR="00843CC1">
        <w:t>changes</w:t>
      </w:r>
      <w:r w:rsidRPr="00F57044">
        <w:t xml:space="preserve"> to unit limits that cannot </w:t>
      </w:r>
      <w:r w:rsidRPr="00F57044" w:rsidR="00522990">
        <w:t xml:space="preserve">be made </w:t>
      </w:r>
      <w:r w:rsidRPr="00F57044" w:rsidR="00843CC1">
        <w:t xml:space="preserve">in the year </w:t>
      </w:r>
      <w:r w:rsidRPr="00F57044" w:rsidR="005176BA">
        <w:t xml:space="preserve">when </w:t>
      </w:r>
      <w:r w:rsidRPr="00F57044" w:rsidR="00843CC1">
        <w:t>the</w:t>
      </w:r>
      <w:r w:rsidRPr="00F57044" w:rsidR="0040503E">
        <w:t xml:space="preserve"> change </w:t>
      </w:r>
      <w:r w:rsidRPr="00F57044" w:rsidR="00A66A9A">
        <w:t>occurs. Th</w:t>
      </w:r>
      <w:r w:rsidRPr="00F57044" w:rsidR="005176BA">
        <w:t>ese adjustments are</w:t>
      </w:r>
      <w:r w:rsidRPr="00F57044" w:rsidR="00522990">
        <w:t xml:space="preserve"> </w:t>
      </w:r>
      <w:r w:rsidRPr="00F57044" w:rsidR="000546C3">
        <w:t>needed</w:t>
      </w:r>
      <w:r w:rsidRPr="00F57044" w:rsidR="00522990">
        <w:t xml:space="preserve"> due</w:t>
      </w:r>
      <w:r w:rsidRPr="00F57044">
        <w:t xml:space="preserve"> to limitations </w:t>
      </w:r>
      <w:r w:rsidRPr="00F57044" w:rsidR="00F77E60">
        <w:t xml:space="preserve">on </w:t>
      </w:r>
      <w:r w:rsidRPr="00F57044" w:rsidR="0096253B">
        <w:t xml:space="preserve">changes to </w:t>
      </w:r>
      <w:r w:rsidRPr="00F57044" w:rsidR="00D11105">
        <w:t>existing limit settings</w:t>
      </w:r>
      <w:r w:rsidRPr="00F57044" w:rsidR="00B33A0E">
        <w:t>.</w:t>
      </w:r>
      <w:r w:rsidRPr="00F57044" w:rsidR="00AA0B4B">
        <w:t xml:space="preserve"> This year, t</w:t>
      </w:r>
      <w:r w:rsidRPr="00F57044" w:rsidR="00626AA1">
        <w:t xml:space="preserve">he Commission proposes applying a discrepancy adjustment </w:t>
      </w:r>
      <w:r w:rsidRPr="00F57044" w:rsidR="005C4C77">
        <w:t>to 2028</w:t>
      </w:r>
      <w:r w:rsidRPr="00F57044" w:rsidR="005176BA">
        <w:t>–</w:t>
      </w:r>
      <w:r w:rsidRPr="00F57044" w:rsidR="005C4C77">
        <w:t>30 to account for changes across 2025</w:t>
      </w:r>
      <w:r w:rsidRPr="00F57044" w:rsidR="005B01A4">
        <w:t>–</w:t>
      </w:r>
      <w:r w:rsidRPr="00F57044" w:rsidR="005C4C77">
        <w:t>27.</w:t>
      </w:r>
    </w:p>
    <w:p w:rsidRPr="00F57044" w:rsidR="00626AA1" w:rsidP="002F5593" w:rsidRDefault="00626AA1" w14:paraId="42D57454" w14:textId="21C37719">
      <w:pPr>
        <w:pStyle w:val="BodyText"/>
        <w:spacing w:before="100" w:after="100"/>
      </w:pPr>
      <w:r w:rsidRPr="00F57044">
        <w:t>This</w:t>
      </w:r>
      <w:r w:rsidRPr="00F57044" w:rsidR="005176BA">
        <w:t xml:space="preserve"> discrepancy adjustment</w:t>
      </w:r>
      <w:r w:rsidRPr="00F57044">
        <w:t xml:space="preserve"> </w:t>
      </w:r>
      <w:r w:rsidRPr="00F57044" w:rsidR="006C427F">
        <w:t>would account</w:t>
      </w:r>
      <w:r w:rsidRPr="00F57044">
        <w:t xml:space="preserve"> for the volume changes that otherwise would have been implemented </w:t>
      </w:r>
      <w:r w:rsidRPr="00F57044" w:rsidR="000016F6">
        <w:t xml:space="preserve">for </w:t>
      </w:r>
      <w:r w:rsidRPr="00F57044" w:rsidR="00AA0B4B">
        <w:t>the</w:t>
      </w:r>
      <w:r w:rsidRPr="00F57044">
        <w:t xml:space="preserve"> first two years</w:t>
      </w:r>
      <w:r w:rsidRPr="00F57044" w:rsidR="00AA0B4B">
        <w:t xml:space="preserve"> of the settings period (</w:t>
      </w:r>
      <w:proofErr w:type="spellStart"/>
      <w:r w:rsidRPr="00F57044" w:rsidR="00AA0B4B">
        <w:t>ie</w:t>
      </w:r>
      <w:proofErr w:type="spellEnd"/>
      <w:r w:rsidRPr="00F57044" w:rsidR="00AA0B4B">
        <w:t>, 2026 and 2027). This</w:t>
      </w:r>
      <w:r w:rsidRPr="00F57044" w:rsidR="00E30F62">
        <w:t> </w:t>
      </w:r>
      <w:r w:rsidRPr="00F57044" w:rsidR="00AA0B4B">
        <w:t xml:space="preserve">is because </w:t>
      </w:r>
      <w:r w:rsidRPr="00F57044" w:rsidR="006C427F">
        <w:t>the Commission does</w:t>
      </w:r>
      <w:r w:rsidRPr="00F57044" w:rsidR="00AA0B4B">
        <w:t xml:space="preserve"> not propose changing volumes for those years.</w:t>
      </w:r>
      <w:r w:rsidRPr="00F57044" w:rsidR="00FE0344">
        <w:t xml:space="preserve"> </w:t>
      </w:r>
      <w:r w:rsidRPr="00F57044" w:rsidR="00DF52B7">
        <w:t>The discrepancy adjustment would</w:t>
      </w:r>
      <w:r w:rsidRPr="00F57044" w:rsidR="00AA0B4B">
        <w:t xml:space="preserve"> also </w:t>
      </w:r>
      <w:r w:rsidRPr="00F57044" w:rsidR="00DF52B7">
        <w:t>account for differences</w:t>
      </w:r>
      <w:r w:rsidRPr="00F57044">
        <w:t xml:space="preserve"> between </w:t>
      </w:r>
      <w:r w:rsidRPr="00F57044" w:rsidR="00AA0B4B">
        <w:t>current</w:t>
      </w:r>
      <w:r w:rsidRPr="00F57044">
        <w:t xml:space="preserve"> regulations and</w:t>
      </w:r>
      <w:r w:rsidRPr="00F57044" w:rsidR="00E30F62">
        <w:t> </w:t>
      </w:r>
      <w:r w:rsidRPr="00F57044">
        <w:t>updated estimates of unit requirements in 2025</w:t>
      </w:r>
      <w:r w:rsidRPr="00F57044" w:rsidR="00FE0344">
        <w:t>, which also cannot be changed</w:t>
      </w:r>
      <w:r w:rsidRPr="00F57044">
        <w:t>.</w:t>
      </w:r>
    </w:p>
    <w:p w:rsidRPr="00F57044" w:rsidR="00FE0344" w:rsidP="00626AA1" w:rsidRDefault="00D22682" w14:paraId="4E5AF3DE" w14:textId="0727331A">
      <w:pPr>
        <w:pStyle w:val="BodyText"/>
      </w:pPr>
      <w:r w:rsidRPr="00F57044">
        <w:t xml:space="preserve">The discrepancy adjustment for </w:t>
      </w:r>
      <w:r w:rsidRPr="00F57044" w:rsidR="00FC29D9">
        <w:t>2025</w:t>
      </w:r>
      <w:r w:rsidRPr="00F57044" w:rsidR="005176BA">
        <w:t>–</w:t>
      </w:r>
      <w:r w:rsidRPr="00F57044" w:rsidR="00FC29D9">
        <w:t xml:space="preserve">27 </w:t>
      </w:r>
      <w:r w:rsidRPr="00F57044" w:rsidR="002D73AD">
        <w:t>represents</w:t>
      </w:r>
      <w:r w:rsidRPr="00F57044" w:rsidR="00FC29D9">
        <w:t xml:space="preserve"> </w:t>
      </w:r>
      <w:r w:rsidRPr="00F57044" w:rsidR="00F144D3">
        <w:t xml:space="preserve">a </w:t>
      </w:r>
      <w:r w:rsidRPr="00F57044" w:rsidR="00FC29D9">
        <w:t xml:space="preserve">4.4 million </w:t>
      </w:r>
      <w:r w:rsidRPr="00F57044" w:rsidR="006869C1">
        <w:t xml:space="preserve">increase in </w:t>
      </w:r>
      <w:r w:rsidRPr="00F57044" w:rsidR="00C53D8C">
        <w:t xml:space="preserve">possible auction volume </w:t>
      </w:r>
      <w:r w:rsidRPr="00F57044" w:rsidR="006869C1">
        <w:t>across</w:t>
      </w:r>
      <w:r w:rsidRPr="00F57044" w:rsidR="00C53D8C">
        <w:t xml:space="preserve"> the </w:t>
      </w:r>
      <w:r w:rsidRPr="00F57044" w:rsidR="006869C1">
        <w:t xml:space="preserve">settings </w:t>
      </w:r>
      <w:r w:rsidRPr="00F57044" w:rsidR="00C53D8C">
        <w:t>period</w:t>
      </w:r>
      <w:r w:rsidRPr="00F57044" w:rsidR="00FC29D9">
        <w:t xml:space="preserve">. </w:t>
      </w:r>
      <w:r w:rsidRPr="00F57044" w:rsidR="006C427F">
        <w:t>This reflects the differences in the NZ ETS emissions cap, industrial free allocation forecasts and removal of the technical adjustment.</w:t>
      </w:r>
      <w:r w:rsidRPr="00F57044" w:rsidR="009B10D1">
        <w:t xml:space="preserve"> This volume would be </w:t>
      </w:r>
      <w:r w:rsidRPr="00F57044" w:rsidR="007E4055">
        <w:t>proportionally allocated</w:t>
      </w:r>
      <w:r w:rsidRPr="00F57044" w:rsidR="009B10D1">
        <w:t xml:space="preserve"> across </w:t>
      </w:r>
      <w:r w:rsidRPr="00F57044" w:rsidR="003F64D7">
        <w:t>auction volumes for 2028</w:t>
      </w:r>
      <w:r w:rsidRPr="00F57044" w:rsidR="005176BA">
        <w:t>–</w:t>
      </w:r>
      <w:r w:rsidRPr="00F57044" w:rsidR="003F64D7">
        <w:t>30</w:t>
      </w:r>
      <w:r w:rsidR="00751204">
        <w:t xml:space="preserve"> in line with the emissions cap</w:t>
      </w:r>
      <w:r w:rsidRPr="00F57044" w:rsidR="003F64D7">
        <w:t>.</w:t>
      </w:r>
      <w:r w:rsidRPr="00F57044" w:rsidR="00801337">
        <w:rPr>
          <w:i/>
          <w:iCs/>
        </w:rPr>
        <w:t xml:space="preserve"> </w:t>
      </w:r>
      <w:r w:rsidRPr="00F57044" w:rsidR="00801337">
        <w:t>Table A1.6 outlines the</w:t>
      </w:r>
      <w:r w:rsidRPr="00F57044" w:rsidR="00E30F62">
        <w:t> </w:t>
      </w:r>
      <w:r w:rsidRPr="00F57044" w:rsidR="00801337">
        <w:t>update for step</w:t>
      </w:r>
      <w:r w:rsidRPr="00F57044" w:rsidR="006310EF">
        <w:t xml:space="preserve"> 5b</w:t>
      </w:r>
      <w:r w:rsidRPr="00F57044" w:rsidR="00801337">
        <w:t>.</w:t>
      </w:r>
    </w:p>
    <w:p w:rsidRPr="00F57044" w:rsidR="00D11105" w:rsidP="00D11105" w:rsidRDefault="00D11105" w14:paraId="3B8DC028" w14:textId="270C2E7E">
      <w:pPr>
        <w:pStyle w:val="Tableheading"/>
        <w:rPr>
          <w:b w:val="0"/>
        </w:rPr>
      </w:pPr>
      <w:bookmarkStart w:name="_Toc198901882" w:id="143"/>
      <w:r w:rsidRPr="00F57044">
        <w:t xml:space="preserve">Table </w:t>
      </w:r>
      <w:r w:rsidRPr="00F57044" w:rsidR="005036C4">
        <w:t>A1.</w:t>
      </w:r>
      <w:r w:rsidRPr="00F57044">
        <w:t xml:space="preserve">6: </w:t>
      </w:r>
      <w:r w:rsidRPr="00F57044">
        <w:tab/>
      </w:r>
      <w:r w:rsidRPr="00F57044">
        <w:t>Update for step 5b</w:t>
      </w:r>
      <w:r w:rsidRPr="00F57044" w:rsidR="005176BA">
        <w:t xml:space="preserve"> in the seven steps methodology</w:t>
      </w:r>
      <w:r w:rsidRPr="00F57044" w:rsidR="00A71F6B">
        <w:t>, 2026–30</w:t>
      </w:r>
      <w:bookmarkEnd w:id="143"/>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4109"/>
        <w:gridCol w:w="848"/>
        <w:gridCol w:w="851"/>
        <w:gridCol w:w="851"/>
        <w:gridCol w:w="851"/>
        <w:gridCol w:w="995"/>
      </w:tblGrid>
      <w:tr w:rsidRPr="00F57044" w:rsidR="00D11105" w:rsidTr="00E30F62" w14:paraId="3DF6AD3E" w14:textId="77777777">
        <w:trPr>
          <w:tblHeader/>
        </w:trPr>
        <w:tc>
          <w:tcPr>
            <w:tcW w:w="2416" w:type="pct"/>
            <w:shd w:val="clear" w:color="auto" w:fill="1B556B" w:themeFill="text2"/>
          </w:tcPr>
          <w:p w:rsidRPr="00F57044" w:rsidR="00D11105" w:rsidP="00E30F62" w:rsidRDefault="00D11105" w14:paraId="481193B9" w14:textId="19606F98">
            <w:pPr>
              <w:pStyle w:val="TableTextbold"/>
              <w:spacing w:after="0"/>
              <w:rPr>
                <w:color w:val="FFFFFF" w:themeColor="background1"/>
                <w:highlight w:val="yellow"/>
              </w:rPr>
            </w:pPr>
          </w:p>
        </w:tc>
        <w:tc>
          <w:tcPr>
            <w:tcW w:w="2584" w:type="pct"/>
            <w:gridSpan w:val="5"/>
            <w:shd w:val="clear" w:color="auto" w:fill="1B556B" w:themeFill="text2"/>
          </w:tcPr>
          <w:p w:rsidRPr="00F57044" w:rsidR="00D11105" w:rsidP="00E30F62" w:rsidRDefault="00D11105" w14:paraId="655D0E33" w14:textId="29EE6C69">
            <w:pPr>
              <w:pStyle w:val="TableTextbold"/>
              <w:spacing w:after="0"/>
              <w:jc w:val="center"/>
              <w:rPr>
                <w:color w:val="FFFFFF" w:themeColor="background1"/>
              </w:rPr>
            </w:pPr>
            <w:r w:rsidRPr="00F57044">
              <w:rPr>
                <w:color w:val="FFFFFF" w:themeColor="background1"/>
              </w:rPr>
              <w:t>Year</w:t>
            </w:r>
            <w:r w:rsidRPr="00F57044">
              <w:br/>
            </w:r>
            <w:r w:rsidRPr="00F57044">
              <w:rPr>
                <w:color w:val="FFFFFF" w:themeColor="background1"/>
              </w:rPr>
              <w:t>(</w:t>
            </w:r>
            <w:r w:rsidRPr="00F57044" w:rsidR="006310EF">
              <w:rPr>
                <w:color w:val="FFFFFF" w:themeColor="background1"/>
              </w:rPr>
              <w:t>m</w:t>
            </w:r>
            <w:r w:rsidRPr="00F57044">
              <w:rPr>
                <w:color w:val="FFFFFF" w:themeColor="background1"/>
              </w:rPr>
              <w:t>illion NZUs)</w:t>
            </w:r>
          </w:p>
        </w:tc>
      </w:tr>
      <w:tr w:rsidRPr="00F57044" w:rsidR="00E30F62" w:rsidTr="00E30F62" w14:paraId="1C479D97" w14:textId="77777777">
        <w:trPr>
          <w:tblHeader/>
        </w:trPr>
        <w:tc>
          <w:tcPr>
            <w:tcW w:w="2416" w:type="pct"/>
            <w:shd w:val="clear" w:color="auto" w:fill="1B556B" w:themeFill="text2"/>
          </w:tcPr>
          <w:p w:rsidRPr="00F57044" w:rsidR="00D11105" w:rsidP="002F5593" w:rsidRDefault="00D11105" w14:paraId="3B6100E2" w14:textId="3457739F">
            <w:pPr>
              <w:pStyle w:val="TableTextbold"/>
              <w:spacing w:before="0" w:after="40"/>
              <w:rPr>
                <w:color w:val="FFFFFF" w:themeColor="background1"/>
                <w:highlight w:val="yellow"/>
              </w:rPr>
            </w:pPr>
          </w:p>
        </w:tc>
        <w:tc>
          <w:tcPr>
            <w:tcW w:w="499" w:type="pct"/>
            <w:shd w:val="clear" w:color="auto" w:fill="1B556B" w:themeFill="text2"/>
          </w:tcPr>
          <w:p w:rsidRPr="00F57044" w:rsidR="00D11105" w:rsidP="002F5593" w:rsidRDefault="00D11105" w14:paraId="136BC462" w14:textId="5ED78810">
            <w:pPr>
              <w:pStyle w:val="TableTextbold"/>
              <w:spacing w:before="0" w:after="40"/>
              <w:rPr>
                <w:rFonts w:asciiTheme="minorHAnsi" w:hAnsiTheme="minorHAnsi"/>
                <w:b w:val="0"/>
                <w:color w:val="FFFFFF" w:themeColor="background1"/>
                <w:sz w:val="20"/>
                <w:szCs w:val="20"/>
              </w:rPr>
            </w:pPr>
            <w:r w:rsidRPr="00F57044">
              <w:rPr>
                <w:color w:val="FFFFFF" w:themeColor="background1"/>
              </w:rPr>
              <w:t>2026</w:t>
            </w:r>
          </w:p>
        </w:tc>
        <w:tc>
          <w:tcPr>
            <w:tcW w:w="500" w:type="pct"/>
            <w:shd w:val="clear" w:color="auto" w:fill="1B556B" w:themeFill="text2"/>
          </w:tcPr>
          <w:p w:rsidRPr="00F57044" w:rsidR="00D11105" w:rsidP="002F5593" w:rsidRDefault="00D11105" w14:paraId="285994C2" w14:textId="45B0950B">
            <w:pPr>
              <w:pStyle w:val="TableTextbold"/>
              <w:spacing w:before="0" w:after="40"/>
              <w:rPr>
                <w:color w:val="FFFFFF" w:themeColor="background1"/>
              </w:rPr>
            </w:pPr>
            <w:r w:rsidRPr="00F57044">
              <w:rPr>
                <w:color w:val="FFFFFF" w:themeColor="background1"/>
              </w:rPr>
              <w:t>2027</w:t>
            </w:r>
          </w:p>
        </w:tc>
        <w:tc>
          <w:tcPr>
            <w:tcW w:w="500" w:type="pct"/>
            <w:shd w:val="clear" w:color="auto" w:fill="1B556B" w:themeFill="text2"/>
          </w:tcPr>
          <w:p w:rsidRPr="00F57044" w:rsidR="00D11105" w:rsidP="002F5593" w:rsidRDefault="00D11105" w14:paraId="0FAC8FF3" w14:textId="543F2274">
            <w:pPr>
              <w:pStyle w:val="TableTextbold"/>
              <w:spacing w:before="0" w:after="40"/>
              <w:rPr>
                <w:color w:val="FFFFFF" w:themeColor="background1"/>
              </w:rPr>
            </w:pPr>
            <w:r w:rsidRPr="00F57044">
              <w:rPr>
                <w:color w:val="FFFFFF" w:themeColor="background1"/>
              </w:rPr>
              <w:t>2028</w:t>
            </w:r>
          </w:p>
        </w:tc>
        <w:tc>
          <w:tcPr>
            <w:tcW w:w="500" w:type="pct"/>
            <w:shd w:val="clear" w:color="auto" w:fill="1B556B" w:themeFill="text2"/>
          </w:tcPr>
          <w:p w:rsidRPr="00F57044" w:rsidR="00D11105" w:rsidP="002F5593" w:rsidRDefault="00D11105" w14:paraId="6A1B1CF7" w14:textId="10485F1E">
            <w:pPr>
              <w:pStyle w:val="TableTextbold"/>
              <w:spacing w:before="0" w:after="40"/>
              <w:rPr>
                <w:color w:val="FFFFFF" w:themeColor="background1"/>
              </w:rPr>
            </w:pPr>
            <w:r w:rsidRPr="00F57044">
              <w:rPr>
                <w:color w:val="FFFFFF" w:themeColor="background1"/>
              </w:rPr>
              <w:t>2029</w:t>
            </w:r>
          </w:p>
        </w:tc>
        <w:tc>
          <w:tcPr>
            <w:tcW w:w="584" w:type="pct"/>
            <w:shd w:val="clear" w:color="auto" w:fill="1B556B" w:themeFill="text2"/>
          </w:tcPr>
          <w:p w:rsidRPr="00F57044" w:rsidR="00D11105" w:rsidP="002F5593" w:rsidRDefault="00D11105" w14:paraId="2D3318B5" w14:textId="198D4994">
            <w:pPr>
              <w:pStyle w:val="TableTextbold"/>
              <w:spacing w:before="0" w:after="40"/>
              <w:rPr>
                <w:color w:val="FFFFFF" w:themeColor="background1"/>
              </w:rPr>
            </w:pPr>
            <w:r w:rsidRPr="00F57044">
              <w:rPr>
                <w:color w:val="FFFFFF" w:themeColor="background1"/>
              </w:rPr>
              <w:t>2030</w:t>
            </w:r>
          </w:p>
        </w:tc>
      </w:tr>
      <w:tr w:rsidRPr="00F57044" w:rsidR="00D11105" w:rsidTr="00E30F62" w14:paraId="0910E48D" w14:textId="77777777">
        <w:tc>
          <w:tcPr>
            <w:tcW w:w="2416" w:type="pct"/>
            <w:shd w:val="clear" w:color="auto" w:fill="auto"/>
          </w:tcPr>
          <w:p w:rsidRPr="00F57044" w:rsidR="00D11105" w:rsidP="002F5593" w:rsidRDefault="00D11105" w14:paraId="0275686D" w14:textId="39050B88">
            <w:pPr>
              <w:pStyle w:val="TableText"/>
              <w:spacing w:before="40" w:after="40"/>
              <w:rPr>
                <w:b/>
                <w:bCs/>
              </w:rPr>
            </w:pPr>
            <w:r w:rsidRPr="00F57044">
              <w:rPr>
                <w:b/>
                <w:bCs/>
              </w:rPr>
              <w:t>Discrepancy adjustment</w:t>
            </w:r>
          </w:p>
        </w:tc>
        <w:tc>
          <w:tcPr>
            <w:tcW w:w="499" w:type="pct"/>
            <w:vAlign w:val="bottom"/>
          </w:tcPr>
          <w:p w:rsidRPr="00F57044" w:rsidR="00D11105" w:rsidP="002F5593" w:rsidRDefault="007F3B5E" w14:paraId="6D33C468" w14:textId="1821D302">
            <w:pPr>
              <w:pStyle w:val="TableText"/>
              <w:spacing w:before="40" w:after="40"/>
            </w:pPr>
            <w:r w:rsidRPr="00F57044">
              <w:t>0.3</w:t>
            </w:r>
          </w:p>
        </w:tc>
        <w:tc>
          <w:tcPr>
            <w:tcW w:w="500" w:type="pct"/>
            <w:vAlign w:val="bottom"/>
          </w:tcPr>
          <w:p w:rsidRPr="00F57044" w:rsidR="00D11105" w:rsidP="002F5593" w:rsidRDefault="007F3B5E" w14:paraId="7602CD6E" w14:textId="39285944">
            <w:pPr>
              <w:pStyle w:val="TableText"/>
              <w:spacing w:before="40" w:after="40"/>
            </w:pPr>
            <w:r w:rsidRPr="00F57044">
              <w:t>0.3</w:t>
            </w:r>
          </w:p>
        </w:tc>
        <w:tc>
          <w:tcPr>
            <w:tcW w:w="500" w:type="pct"/>
            <w:vAlign w:val="bottom"/>
          </w:tcPr>
          <w:p w:rsidRPr="00F57044" w:rsidR="00D11105" w:rsidP="002F5593" w:rsidRDefault="006310EF" w14:paraId="648FEB45" w14:textId="4EB7EA40">
            <w:pPr>
              <w:pStyle w:val="TableText"/>
              <w:spacing w:before="40" w:after="40"/>
            </w:pPr>
            <w:r w:rsidRPr="00F57044">
              <w:t>–</w:t>
            </w:r>
            <w:r w:rsidRPr="00F57044" w:rsidR="007F3B5E">
              <w:t xml:space="preserve">1.5 </w:t>
            </w:r>
          </w:p>
        </w:tc>
        <w:tc>
          <w:tcPr>
            <w:tcW w:w="500" w:type="pct"/>
            <w:vAlign w:val="bottom"/>
          </w:tcPr>
          <w:p w:rsidRPr="00F57044" w:rsidR="00D11105" w:rsidP="002F5593" w:rsidRDefault="006310EF" w14:paraId="0041AF14" w14:textId="4FB92EA9">
            <w:pPr>
              <w:pStyle w:val="TableText"/>
              <w:spacing w:before="40" w:after="40"/>
            </w:pPr>
            <w:r w:rsidRPr="00F57044">
              <w:t>–</w:t>
            </w:r>
            <w:r w:rsidRPr="00F57044" w:rsidR="007F3B5E">
              <w:t>1</w:t>
            </w:r>
            <w:r w:rsidRPr="00F57044" w:rsidR="00D11105">
              <w:t>.5</w:t>
            </w:r>
            <w:r w:rsidRPr="00F57044" w:rsidR="007F3B5E">
              <w:t xml:space="preserve"> </w:t>
            </w:r>
          </w:p>
        </w:tc>
        <w:tc>
          <w:tcPr>
            <w:tcW w:w="584" w:type="pct"/>
            <w:shd w:val="clear" w:color="auto" w:fill="auto"/>
            <w:vAlign w:val="bottom"/>
          </w:tcPr>
          <w:p w:rsidRPr="00F57044" w:rsidR="00D11105" w:rsidP="002F5593" w:rsidRDefault="006310EF" w14:paraId="72E65327" w14:textId="653F0E9F">
            <w:pPr>
              <w:pStyle w:val="TableText"/>
              <w:spacing w:before="40" w:after="40"/>
            </w:pPr>
            <w:r w:rsidRPr="00F57044">
              <w:t>–</w:t>
            </w:r>
            <w:r w:rsidRPr="00F57044" w:rsidR="007F3B5E">
              <w:t>1</w:t>
            </w:r>
            <w:r w:rsidRPr="00F57044" w:rsidR="001475BA">
              <w:t>.</w:t>
            </w:r>
            <w:r w:rsidRPr="00F57044" w:rsidR="00D11105">
              <w:t>4</w:t>
            </w:r>
            <w:r w:rsidRPr="00F57044" w:rsidR="007F3B5E">
              <w:t xml:space="preserve"> </w:t>
            </w:r>
          </w:p>
        </w:tc>
      </w:tr>
    </w:tbl>
    <w:p w:rsidRPr="00F57044" w:rsidR="00D11105" w:rsidP="002F5593" w:rsidRDefault="00C43C55" w14:paraId="373C354B" w14:textId="748CCE0D">
      <w:pPr>
        <w:pStyle w:val="Source"/>
        <w:spacing w:before="80" w:after="80"/>
      </w:pPr>
      <w:r w:rsidRPr="00F57044">
        <w:t xml:space="preserve">Note: </w:t>
      </w:r>
      <w:r w:rsidRPr="00F57044" w:rsidR="009F76BB">
        <w:t>Adjustment</w:t>
      </w:r>
      <w:r w:rsidRPr="00F57044" w:rsidR="005F4E21">
        <w:t xml:space="preserve">s for 2026 and 2027 </w:t>
      </w:r>
      <w:r w:rsidRPr="00F57044" w:rsidR="00101999">
        <w:t>are already</w:t>
      </w:r>
      <w:r w:rsidRPr="00F57044" w:rsidR="005F4E21">
        <w:t xml:space="preserve"> incorporated </w:t>
      </w:r>
      <w:r w:rsidRPr="00F57044" w:rsidR="00101999">
        <w:t>into</w:t>
      </w:r>
      <w:r w:rsidRPr="00F57044" w:rsidR="005F4E21">
        <w:t xml:space="preserve"> regulations, and </w:t>
      </w:r>
      <w:r w:rsidRPr="00F57044" w:rsidR="00101999">
        <w:t>as such are also</w:t>
      </w:r>
      <w:r w:rsidRPr="00F57044" w:rsidR="005F4E21">
        <w:t xml:space="preserve"> fixed.</w:t>
      </w:r>
    </w:p>
    <w:p w:rsidRPr="00F57044" w:rsidR="00B06341" w:rsidP="002F5593" w:rsidRDefault="00B06341" w14:paraId="3252BEDB" w14:textId="512AF277">
      <w:pPr>
        <w:pStyle w:val="AppendixH2"/>
        <w:spacing w:before="320"/>
      </w:pPr>
      <w:bookmarkStart w:name="_Toc161831677" w:id="144"/>
      <w:bookmarkStart w:name="_Toc161762888" w:id="145"/>
      <w:bookmarkStart w:name="_Toc163048592" w:id="146"/>
      <w:r w:rsidRPr="00F57044">
        <w:t>Step 6: Set the approved overseas unit limit</w:t>
      </w:r>
      <w:bookmarkEnd w:id="144"/>
      <w:bookmarkEnd w:id="145"/>
      <w:bookmarkEnd w:id="146"/>
    </w:p>
    <w:p w:rsidRPr="00F57044" w:rsidR="00B06341" w:rsidP="002F5593" w:rsidRDefault="00B06341" w14:paraId="2B709959" w14:textId="6799BB7E">
      <w:pPr>
        <w:pStyle w:val="BodyText"/>
        <w:spacing w:before="100" w:after="100"/>
      </w:pPr>
      <w:r w:rsidRPr="00F57044">
        <w:t xml:space="preserve">There are currently no overseas units approved for use in the </w:t>
      </w:r>
      <w:r w:rsidRPr="00F57044" w:rsidDel="00D66B10">
        <w:t xml:space="preserve">NZ </w:t>
      </w:r>
      <w:r w:rsidRPr="00F57044">
        <w:t>ETS. Therefore, the approved overseas unit limit is zero.</w:t>
      </w:r>
    </w:p>
    <w:p w:rsidRPr="00F57044" w:rsidR="00B06341" w:rsidP="002F5593" w:rsidRDefault="00B06341" w14:paraId="19B7B13E" w14:textId="0D09B755">
      <w:pPr>
        <w:pStyle w:val="AppendixH2"/>
        <w:spacing w:before="280"/>
      </w:pPr>
      <w:bookmarkStart w:name="_Toc161762889" w:id="147"/>
      <w:bookmarkStart w:name="_Toc161831678" w:id="148"/>
      <w:bookmarkStart w:name="_Toc163048593" w:id="149"/>
      <w:r w:rsidRPr="00F57044">
        <w:t xml:space="preserve">Step 7: Calculate the base auction </w:t>
      </w:r>
      <w:bookmarkEnd w:id="147"/>
      <w:r w:rsidRPr="00F57044">
        <w:t>volumes</w:t>
      </w:r>
      <w:bookmarkEnd w:id="148"/>
      <w:bookmarkEnd w:id="149"/>
    </w:p>
    <w:p w:rsidRPr="00F57044" w:rsidR="00B06341" w:rsidP="002F5593" w:rsidRDefault="00B06341" w14:paraId="37175D0F" w14:textId="5E35EBF3">
      <w:pPr>
        <w:pStyle w:val="BodyText"/>
        <w:spacing w:before="100" w:after="100"/>
      </w:pPr>
      <w:r w:rsidRPr="00F57044">
        <w:t xml:space="preserve">Table </w:t>
      </w:r>
      <w:r w:rsidRPr="00F57044" w:rsidR="004733B0">
        <w:t>A1.7</w:t>
      </w:r>
      <w:r w:rsidRPr="00F57044">
        <w:t xml:space="preserve"> sets out the calculation of the annual auction volumes</w:t>
      </w:r>
      <w:r w:rsidRPr="00F57044" w:rsidR="008E02B0">
        <w:t>,</w:t>
      </w:r>
      <w:r w:rsidRPr="00F57044">
        <w:t xml:space="preserve"> </w:t>
      </w:r>
      <w:r w:rsidRPr="00F57044" w:rsidDel="0029102A">
        <w:t>using the</w:t>
      </w:r>
      <w:r w:rsidRPr="00F57044" w:rsidR="00EF46AA">
        <w:t xml:space="preserve"> above</w:t>
      </w:r>
      <w:r w:rsidRPr="00F57044" w:rsidDel="0029102A">
        <w:t xml:space="preserve"> </w:t>
      </w:r>
      <w:r w:rsidRPr="00F57044" w:rsidR="004035E1">
        <w:t xml:space="preserve">updates </w:t>
      </w:r>
      <w:r w:rsidRPr="00F57044" w:rsidR="004035E1">
        <w:rPr>
          <w:spacing w:val="-2"/>
        </w:rPr>
        <w:t xml:space="preserve">and </w:t>
      </w:r>
      <w:r w:rsidRPr="00F57044" w:rsidDel="0029102A">
        <w:rPr>
          <w:spacing w:val="-2"/>
        </w:rPr>
        <w:t>recommended</w:t>
      </w:r>
      <w:r w:rsidRPr="00F57044">
        <w:rPr>
          <w:spacing w:val="-2"/>
        </w:rPr>
        <w:t xml:space="preserve"> option</w:t>
      </w:r>
      <w:r w:rsidRPr="00F57044" w:rsidR="00EF46AA">
        <w:rPr>
          <w:spacing w:val="-2"/>
        </w:rPr>
        <w:t xml:space="preserve"> for step 5</w:t>
      </w:r>
      <w:r w:rsidR="00E27D90">
        <w:rPr>
          <w:spacing w:val="-2"/>
        </w:rPr>
        <w:t>a</w:t>
      </w:r>
      <w:r w:rsidRPr="00F57044">
        <w:rPr>
          <w:spacing w:val="-2"/>
        </w:rPr>
        <w:t xml:space="preserve"> for 2026–30.</w:t>
      </w:r>
      <w:r w:rsidRPr="00F57044" w:rsidR="003B2539">
        <w:rPr>
          <w:spacing w:val="-2"/>
        </w:rPr>
        <w:t xml:space="preserve"> It reflects the Commission’s recommend</w:t>
      </w:r>
      <w:r w:rsidRPr="00F57044" w:rsidR="00436713">
        <w:rPr>
          <w:spacing w:val="-2"/>
        </w:rPr>
        <w:t>ation</w:t>
      </w:r>
      <w:r w:rsidRPr="00F57044" w:rsidR="00436713">
        <w:t xml:space="preserve"> to </w:t>
      </w:r>
      <w:r w:rsidRPr="00F57044" w:rsidR="00A71F6B">
        <w:t xml:space="preserve">make no </w:t>
      </w:r>
      <w:r w:rsidRPr="00F57044" w:rsidR="00FA2CDC">
        <w:t>change</w:t>
      </w:r>
      <w:r w:rsidRPr="00F57044" w:rsidR="00A71F6B">
        <w:t>s to</w:t>
      </w:r>
      <w:r w:rsidRPr="00F57044" w:rsidR="00FA2CDC">
        <w:t xml:space="preserve"> settings for 2026 and 2027</w:t>
      </w:r>
      <w:r w:rsidRPr="00F57044" w:rsidR="008E02B0">
        <w:t>,</w:t>
      </w:r>
      <w:r w:rsidRPr="00F57044" w:rsidR="00FA2CDC">
        <w:t xml:space="preserve"> and to distribute volumes evenly across </w:t>
      </w:r>
      <w:r w:rsidRPr="00F57044" w:rsidR="0058517F">
        <w:br/>
      </w:r>
      <w:r w:rsidRPr="00F57044" w:rsidR="00FA2CDC">
        <w:t>2028</w:t>
      </w:r>
      <w:r w:rsidRPr="00F57044" w:rsidR="008E02B0">
        <w:t>–</w:t>
      </w:r>
      <w:r w:rsidRPr="00F57044" w:rsidR="00FA2CDC">
        <w:t xml:space="preserve">30, instead of </w:t>
      </w:r>
      <w:r w:rsidRPr="00F57044" w:rsidR="006310EF">
        <w:t xml:space="preserve">taking </w:t>
      </w:r>
      <w:r w:rsidRPr="00F57044" w:rsidR="00FA2CDC">
        <w:t>the default approach of declining in line with the emissions cap.</w:t>
      </w:r>
    </w:p>
    <w:p w:rsidRPr="00F57044" w:rsidR="00B06341" w:rsidP="00B06341" w:rsidRDefault="00B06341" w14:paraId="1B456076" w14:textId="158F262D">
      <w:pPr>
        <w:pStyle w:val="Tableheading"/>
      </w:pPr>
      <w:bookmarkStart w:name="_Toc198901883" w:id="150"/>
      <w:r w:rsidRPr="00F57044">
        <w:t xml:space="preserve">Table </w:t>
      </w:r>
      <w:r w:rsidRPr="00F57044" w:rsidR="004733B0">
        <w:t>A1.7</w:t>
      </w:r>
      <w:r w:rsidRPr="00F57044">
        <w:t xml:space="preserve">: </w:t>
      </w:r>
      <w:r w:rsidRPr="00F57044">
        <w:tab/>
      </w:r>
      <w:r w:rsidRPr="00F57044">
        <w:t>Calculation of the base auction volume</w:t>
      </w:r>
      <w:r w:rsidRPr="00F57044" w:rsidR="00A71F6B">
        <w:t>, 2026–30</w:t>
      </w:r>
      <w:bookmarkEnd w:id="150"/>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ayout w:type="fixed"/>
        <w:tblCellMar>
          <w:left w:w="85" w:type="dxa"/>
          <w:right w:w="85" w:type="dxa"/>
        </w:tblCellMar>
        <w:tblLook w:val="04A0" w:firstRow="1" w:lastRow="0" w:firstColumn="1" w:lastColumn="0" w:noHBand="0" w:noVBand="1"/>
      </w:tblPr>
      <w:tblGrid>
        <w:gridCol w:w="3119"/>
        <w:gridCol w:w="1758"/>
        <w:gridCol w:w="725"/>
        <w:gridCol w:w="725"/>
        <w:gridCol w:w="725"/>
        <w:gridCol w:w="725"/>
        <w:gridCol w:w="728"/>
      </w:tblGrid>
      <w:tr w:rsidRPr="00F57044" w:rsidR="00EA5505" w:rsidTr="00EA5505" w14:paraId="3D6D44B4" w14:textId="3D86BB41">
        <w:trPr>
          <w:tblHeader/>
        </w:trPr>
        <w:tc>
          <w:tcPr>
            <w:tcW w:w="1834" w:type="pct"/>
            <w:shd w:val="clear" w:color="auto" w:fill="1B556B" w:themeFill="text2"/>
          </w:tcPr>
          <w:p w:rsidRPr="00F57044" w:rsidR="00EA5505" w:rsidP="00593D2D" w:rsidRDefault="00EA5505" w14:paraId="4F924078" w14:textId="2FB844D8">
            <w:pPr>
              <w:pStyle w:val="TableTextbold"/>
              <w:spacing w:before="40" w:after="0"/>
              <w:rPr>
                <w:rFonts w:cs="Calibri"/>
                <w:color w:val="FFFFFF" w:themeColor="background1"/>
                <w:szCs w:val="18"/>
              </w:rPr>
            </w:pPr>
          </w:p>
        </w:tc>
        <w:tc>
          <w:tcPr>
            <w:tcW w:w="1034" w:type="pct"/>
            <w:shd w:val="clear" w:color="auto" w:fill="1B556B" w:themeFill="text2"/>
          </w:tcPr>
          <w:p w:rsidRPr="00F57044" w:rsidR="00EA5505" w:rsidP="00EA5505" w:rsidRDefault="00EA5505" w14:paraId="38C01EE0" w14:textId="3EADAAD6">
            <w:pPr>
              <w:pStyle w:val="TableTextbold"/>
              <w:spacing w:before="40" w:after="0"/>
              <w:jc w:val="center"/>
              <w:rPr>
                <w:rFonts w:cs="Calibri"/>
                <w:color w:val="FFFFFF" w:themeColor="background1"/>
                <w:szCs w:val="18"/>
              </w:rPr>
            </w:pPr>
          </w:p>
        </w:tc>
        <w:tc>
          <w:tcPr>
            <w:tcW w:w="2132" w:type="pct"/>
            <w:gridSpan w:val="5"/>
            <w:shd w:val="clear" w:color="auto" w:fill="1B556B" w:themeFill="text2"/>
          </w:tcPr>
          <w:p w:rsidRPr="00F57044" w:rsidR="00EA5505" w:rsidP="00593D2D" w:rsidRDefault="00EA5505" w14:paraId="74CA718B" w14:textId="77777777">
            <w:pPr>
              <w:pStyle w:val="TableTextbold"/>
              <w:spacing w:before="40" w:after="0"/>
              <w:jc w:val="center"/>
              <w:rPr>
                <w:rFonts w:cs="Calibri"/>
                <w:color w:val="FFFFFF" w:themeColor="background1"/>
                <w:szCs w:val="18"/>
              </w:rPr>
            </w:pPr>
            <w:r w:rsidRPr="00F57044">
              <w:rPr>
                <w:rFonts w:cs="Calibri"/>
                <w:color w:val="FFFFFF" w:themeColor="background1"/>
                <w:szCs w:val="18"/>
              </w:rPr>
              <w:t>Year</w:t>
            </w:r>
            <w:r w:rsidRPr="00F57044">
              <w:rPr>
                <w:rFonts w:cs="Calibri"/>
                <w:szCs w:val="18"/>
              </w:rPr>
              <w:br/>
            </w:r>
            <w:r w:rsidRPr="00F57044">
              <w:rPr>
                <w:rFonts w:cs="Calibri"/>
                <w:color w:val="FFFFFF" w:themeColor="background1"/>
                <w:szCs w:val="18"/>
              </w:rPr>
              <w:t>(million NZUs)</w:t>
            </w:r>
          </w:p>
        </w:tc>
      </w:tr>
      <w:tr w:rsidRPr="00F57044" w:rsidR="00B363F4" w:rsidTr="00EA5505" w14:paraId="7B534B1A" w14:textId="77777777">
        <w:trPr>
          <w:tblHeader/>
        </w:trPr>
        <w:tc>
          <w:tcPr>
            <w:tcW w:w="2868" w:type="pct"/>
            <w:gridSpan w:val="2"/>
            <w:shd w:val="clear" w:color="auto" w:fill="1B556B" w:themeFill="text2"/>
          </w:tcPr>
          <w:p w:rsidRPr="00F57044" w:rsidR="00B06341" w:rsidP="002F5593" w:rsidRDefault="00B06341" w14:paraId="23F17240" w14:textId="23388D8A">
            <w:pPr>
              <w:pStyle w:val="TableTextbold"/>
              <w:spacing w:before="0" w:after="40"/>
              <w:rPr>
                <w:rFonts w:cs="Calibri"/>
                <w:color w:val="FFFFFF" w:themeColor="background1"/>
                <w:szCs w:val="18"/>
              </w:rPr>
            </w:pPr>
            <w:r w:rsidRPr="00F57044">
              <w:rPr>
                <w:rFonts w:cs="Calibri"/>
                <w:color w:val="FFFFFF" w:themeColor="background1"/>
                <w:szCs w:val="18"/>
              </w:rPr>
              <w:t>Step</w:t>
            </w:r>
          </w:p>
        </w:tc>
        <w:tc>
          <w:tcPr>
            <w:tcW w:w="426" w:type="pct"/>
            <w:shd w:val="clear" w:color="auto" w:fill="1B556B" w:themeFill="text2"/>
          </w:tcPr>
          <w:p w:rsidRPr="00F57044" w:rsidR="00B06341" w:rsidP="002F5593" w:rsidRDefault="00B06341" w14:paraId="00B8D852" w14:textId="07E4A4EC">
            <w:pPr>
              <w:pStyle w:val="TableTextbold"/>
              <w:spacing w:before="0" w:after="40"/>
              <w:rPr>
                <w:rFonts w:cs="Calibri"/>
                <w:color w:val="FFFFFF" w:themeColor="background1"/>
                <w:szCs w:val="18"/>
              </w:rPr>
            </w:pPr>
            <w:r w:rsidRPr="00F57044">
              <w:rPr>
                <w:rFonts w:cs="Calibri"/>
                <w:color w:val="FFFFFF" w:themeColor="background1"/>
                <w:szCs w:val="18"/>
              </w:rPr>
              <w:t>2026</w:t>
            </w:r>
          </w:p>
        </w:tc>
        <w:tc>
          <w:tcPr>
            <w:tcW w:w="426" w:type="pct"/>
            <w:shd w:val="clear" w:color="auto" w:fill="1B556B" w:themeFill="text2"/>
          </w:tcPr>
          <w:p w:rsidRPr="00F57044" w:rsidR="00B06341" w:rsidP="002F5593" w:rsidRDefault="00B06341" w14:paraId="4E4F77D0" w14:textId="790041EB">
            <w:pPr>
              <w:pStyle w:val="TableTextbold"/>
              <w:spacing w:before="0" w:after="40"/>
              <w:rPr>
                <w:rFonts w:cs="Calibri"/>
                <w:color w:val="FFFFFF" w:themeColor="background1"/>
                <w:szCs w:val="18"/>
              </w:rPr>
            </w:pPr>
            <w:r w:rsidRPr="00F57044">
              <w:rPr>
                <w:rFonts w:cs="Calibri"/>
                <w:color w:val="FFFFFF" w:themeColor="background1"/>
                <w:szCs w:val="18"/>
              </w:rPr>
              <w:t>2027</w:t>
            </w:r>
          </w:p>
        </w:tc>
        <w:tc>
          <w:tcPr>
            <w:tcW w:w="426" w:type="pct"/>
            <w:shd w:val="clear" w:color="auto" w:fill="1B556B" w:themeFill="text2"/>
          </w:tcPr>
          <w:p w:rsidRPr="00F57044" w:rsidR="00B06341" w:rsidP="002F5593" w:rsidRDefault="00B06341" w14:paraId="59B43EFA" w14:textId="502129D7">
            <w:pPr>
              <w:pStyle w:val="TableTextbold"/>
              <w:spacing w:before="0" w:after="40"/>
              <w:rPr>
                <w:rFonts w:cs="Calibri"/>
                <w:color w:val="FFFFFF" w:themeColor="background1"/>
                <w:szCs w:val="18"/>
              </w:rPr>
            </w:pPr>
            <w:r w:rsidRPr="00F57044">
              <w:rPr>
                <w:rFonts w:cs="Calibri"/>
                <w:color w:val="FFFFFF" w:themeColor="background1"/>
                <w:szCs w:val="18"/>
              </w:rPr>
              <w:t>2028</w:t>
            </w:r>
          </w:p>
        </w:tc>
        <w:tc>
          <w:tcPr>
            <w:tcW w:w="426" w:type="pct"/>
            <w:shd w:val="clear" w:color="auto" w:fill="1B556B" w:themeFill="text2"/>
          </w:tcPr>
          <w:p w:rsidRPr="00F57044" w:rsidR="00B06341" w:rsidP="002F5593" w:rsidRDefault="00B06341" w14:paraId="72E0EF02" w14:textId="29C2F84D">
            <w:pPr>
              <w:pStyle w:val="TableTextbold"/>
              <w:spacing w:before="0" w:after="40"/>
              <w:rPr>
                <w:rFonts w:cs="Calibri"/>
                <w:color w:val="FFFFFF" w:themeColor="background1"/>
                <w:szCs w:val="18"/>
              </w:rPr>
            </w:pPr>
            <w:r w:rsidRPr="00F57044">
              <w:rPr>
                <w:rFonts w:cs="Calibri"/>
                <w:color w:val="FFFFFF" w:themeColor="background1"/>
                <w:szCs w:val="18"/>
              </w:rPr>
              <w:t>2029</w:t>
            </w:r>
          </w:p>
        </w:tc>
        <w:tc>
          <w:tcPr>
            <w:tcW w:w="427" w:type="pct"/>
            <w:shd w:val="clear" w:color="auto" w:fill="1B556B" w:themeFill="text2"/>
          </w:tcPr>
          <w:p w:rsidRPr="00F57044" w:rsidR="00B06341" w:rsidP="002F5593" w:rsidRDefault="00B06341" w14:paraId="3A3E1909" w14:textId="5101391C">
            <w:pPr>
              <w:pStyle w:val="TableTextbold"/>
              <w:spacing w:before="0" w:after="40"/>
              <w:rPr>
                <w:rFonts w:cs="Calibri"/>
                <w:color w:val="FFFFFF" w:themeColor="background1"/>
                <w:szCs w:val="18"/>
              </w:rPr>
            </w:pPr>
            <w:r w:rsidRPr="00F57044">
              <w:rPr>
                <w:rFonts w:cs="Calibri"/>
                <w:color w:val="FFFFFF" w:themeColor="background1"/>
                <w:szCs w:val="18"/>
              </w:rPr>
              <w:t>2030</w:t>
            </w:r>
          </w:p>
        </w:tc>
      </w:tr>
      <w:tr w:rsidRPr="00F57044" w:rsidR="00593D2D" w:rsidTr="00EA5505" w14:paraId="00454672" w14:textId="77777777">
        <w:tc>
          <w:tcPr>
            <w:tcW w:w="2868" w:type="pct"/>
            <w:gridSpan w:val="2"/>
            <w:shd w:val="clear" w:color="auto" w:fill="auto"/>
          </w:tcPr>
          <w:p w:rsidRPr="00F57044" w:rsidR="00B06341" w:rsidP="00593D2D" w:rsidRDefault="00B06341" w14:paraId="457526AC" w14:textId="2A4DCF0A">
            <w:pPr>
              <w:pStyle w:val="TableTextbold"/>
              <w:spacing w:before="40" w:after="40"/>
              <w:rPr>
                <w:rFonts w:cs="Calibri"/>
                <w:szCs w:val="18"/>
              </w:rPr>
            </w:pPr>
            <w:r w:rsidRPr="00F57044">
              <w:rPr>
                <w:rFonts w:cs="Calibri"/>
                <w:szCs w:val="18"/>
              </w:rPr>
              <w:t xml:space="preserve">Step 1: Align with </w:t>
            </w:r>
            <w:r w:rsidRPr="00F57044" w:rsidR="00093636">
              <w:rPr>
                <w:rFonts w:cs="Calibri"/>
                <w:szCs w:val="18"/>
              </w:rPr>
              <w:t>emissions reduction</w:t>
            </w:r>
            <w:r w:rsidRPr="00F57044">
              <w:rPr>
                <w:rFonts w:cs="Calibri"/>
                <w:szCs w:val="18"/>
              </w:rPr>
              <w:t xml:space="preserve"> targets</w:t>
            </w:r>
          </w:p>
        </w:tc>
        <w:tc>
          <w:tcPr>
            <w:tcW w:w="426" w:type="pct"/>
          </w:tcPr>
          <w:p w:rsidRPr="00F57044" w:rsidR="00B06341" w:rsidP="00593D2D" w:rsidRDefault="00B06341" w14:paraId="3A5962A3" w14:textId="252ECC6A">
            <w:pPr>
              <w:pStyle w:val="TableText"/>
              <w:spacing w:before="40" w:after="40"/>
              <w:rPr>
                <w:rFonts w:cs="Calibri"/>
                <w:szCs w:val="18"/>
              </w:rPr>
            </w:pPr>
            <w:r w:rsidRPr="00F57044">
              <w:rPr>
                <w:rFonts w:cs="Calibri"/>
                <w:szCs w:val="18"/>
              </w:rPr>
              <w:t>65.7</w:t>
            </w:r>
          </w:p>
        </w:tc>
        <w:tc>
          <w:tcPr>
            <w:tcW w:w="426" w:type="pct"/>
          </w:tcPr>
          <w:p w:rsidRPr="00F57044" w:rsidR="00B06341" w:rsidP="00593D2D" w:rsidRDefault="00B06341" w14:paraId="1229CC01" w14:textId="27CA42AA">
            <w:pPr>
              <w:pStyle w:val="TableText"/>
              <w:spacing w:before="40" w:after="40"/>
              <w:rPr>
                <w:rFonts w:cs="Calibri"/>
                <w:szCs w:val="18"/>
              </w:rPr>
            </w:pPr>
            <w:r w:rsidRPr="00F57044">
              <w:rPr>
                <w:rFonts w:cs="Calibri"/>
                <w:szCs w:val="18"/>
              </w:rPr>
              <w:t>63.4</w:t>
            </w:r>
          </w:p>
        </w:tc>
        <w:tc>
          <w:tcPr>
            <w:tcW w:w="426" w:type="pct"/>
          </w:tcPr>
          <w:p w:rsidRPr="00F57044" w:rsidR="00B06341" w:rsidP="00593D2D" w:rsidRDefault="00B06341" w14:paraId="6883EC19" w14:textId="75A206FE">
            <w:pPr>
              <w:pStyle w:val="TableText"/>
              <w:spacing w:before="40" w:after="40"/>
              <w:rPr>
                <w:rFonts w:cs="Calibri"/>
                <w:szCs w:val="18"/>
              </w:rPr>
            </w:pPr>
            <w:r w:rsidRPr="00F57044">
              <w:rPr>
                <w:rFonts w:cs="Calibri"/>
                <w:szCs w:val="18"/>
              </w:rPr>
              <w:t>60.4</w:t>
            </w:r>
          </w:p>
        </w:tc>
        <w:tc>
          <w:tcPr>
            <w:tcW w:w="426" w:type="pct"/>
          </w:tcPr>
          <w:p w:rsidRPr="00F57044" w:rsidR="00B06341" w:rsidP="00593D2D" w:rsidRDefault="00B06341" w14:paraId="28055B97" w14:textId="0709908D">
            <w:pPr>
              <w:pStyle w:val="TableText"/>
              <w:spacing w:before="40" w:after="40"/>
              <w:rPr>
                <w:rFonts w:cs="Calibri"/>
                <w:szCs w:val="18"/>
              </w:rPr>
            </w:pPr>
            <w:r w:rsidRPr="00F57044">
              <w:rPr>
                <w:rFonts w:cs="Calibri"/>
                <w:szCs w:val="18"/>
              </w:rPr>
              <w:t>57.9</w:t>
            </w:r>
          </w:p>
        </w:tc>
        <w:tc>
          <w:tcPr>
            <w:tcW w:w="427" w:type="pct"/>
            <w:shd w:val="clear" w:color="auto" w:fill="auto"/>
          </w:tcPr>
          <w:p w:rsidRPr="00F57044" w:rsidR="00B06341" w:rsidP="00593D2D" w:rsidRDefault="00B06341" w14:paraId="709787E5" w14:textId="0356C636">
            <w:pPr>
              <w:pStyle w:val="TableText"/>
              <w:spacing w:before="40" w:after="40"/>
              <w:rPr>
                <w:rFonts w:cs="Calibri"/>
                <w:szCs w:val="18"/>
              </w:rPr>
            </w:pPr>
            <w:r w:rsidRPr="00F57044">
              <w:rPr>
                <w:rFonts w:cs="Calibri"/>
                <w:szCs w:val="18"/>
              </w:rPr>
              <w:t>55.2</w:t>
            </w:r>
          </w:p>
        </w:tc>
      </w:tr>
      <w:tr w:rsidRPr="00F57044" w:rsidR="00593D2D" w:rsidTr="00EA5505" w14:paraId="318505AA" w14:textId="77777777">
        <w:tc>
          <w:tcPr>
            <w:tcW w:w="2868" w:type="pct"/>
            <w:gridSpan w:val="2"/>
            <w:shd w:val="clear" w:color="auto" w:fill="auto"/>
          </w:tcPr>
          <w:p w:rsidRPr="00F57044" w:rsidR="00B06341" w:rsidP="00593D2D" w:rsidRDefault="00B06341" w14:paraId="7CAC2667" w14:textId="61ABD8DF">
            <w:pPr>
              <w:pStyle w:val="TableTextbold"/>
              <w:spacing w:before="40" w:after="40"/>
              <w:rPr>
                <w:rFonts w:cs="Calibri"/>
                <w:szCs w:val="18"/>
              </w:rPr>
            </w:pPr>
            <w:r w:rsidRPr="00F57044">
              <w:rPr>
                <w:rFonts w:cs="Calibri"/>
                <w:szCs w:val="18"/>
              </w:rPr>
              <w:t>Step 2a: Allocate to non-</w:t>
            </w:r>
            <w:r w:rsidRPr="00F57044" w:rsidDel="00D46385">
              <w:rPr>
                <w:rFonts w:cs="Calibri"/>
                <w:szCs w:val="18"/>
              </w:rPr>
              <w:t xml:space="preserve">NZ </w:t>
            </w:r>
            <w:r w:rsidRPr="00F57044">
              <w:rPr>
                <w:rFonts w:cs="Calibri"/>
                <w:szCs w:val="18"/>
              </w:rPr>
              <w:t>ETS sectors</w:t>
            </w:r>
          </w:p>
        </w:tc>
        <w:tc>
          <w:tcPr>
            <w:tcW w:w="426" w:type="pct"/>
          </w:tcPr>
          <w:p w:rsidRPr="00F57044" w:rsidR="00B06341" w:rsidP="00593D2D" w:rsidRDefault="00654B3D" w14:paraId="734A36F3" w14:textId="14836ECE">
            <w:pPr>
              <w:pStyle w:val="TableText"/>
              <w:spacing w:before="40" w:after="40"/>
              <w:rPr>
                <w:rFonts w:cs="Calibri"/>
                <w:szCs w:val="18"/>
              </w:rPr>
            </w:pPr>
            <w:r w:rsidRPr="00F57044">
              <w:rPr>
                <w:rFonts w:cs="Calibri"/>
                <w:szCs w:val="18"/>
              </w:rPr>
              <w:t>42.7</w:t>
            </w:r>
          </w:p>
        </w:tc>
        <w:tc>
          <w:tcPr>
            <w:tcW w:w="426" w:type="pct"/>
          </w:tcPr>
          <w:p w:rsidRPr="00F57044" w:rsidR="00B06341" w:rsidP="00593D2D" w:rsidRDefault="00654B3D" w14:paraId="012B0855" w14:textId="51284A77">
            <w:pPr>
              <w:pStyle w:val="TableText"/>
              <w:spacing w:before="40" w:after="40"/>
              <w:rPr>
                <w:rFonts w:cs="Calibri"/>
                <w:szCs w:val="18"/>
              </w:rPr>
            </w:pPr>
            <w:r w:rsidRPr="00F57044">
              <w:rPr>
                <w:rFonts w:cs="Calibri"/>
                <w:szCs w:val="18"/>
              </w:rPr>
              <w:t>42.</w:t>
            </w:r>
            <w:r w:rsidRPr="00F57044" w:rsidR="001C483C">
              <w:rPr>
                <w:rFonts w:cs="Calibri"/>
                <w:szCs w:val="18"/>
              </w:rPr>
              <w:t>9</w:t>
            </w:r>
          </w:p>
        </w:tc>
        <w:tc>
          <w:tcPr>
            <w:tcW w:w="426" w:type="pct"/>
          </w:tcPr>
          <w:p w:rsidRPr="00F57044" w:rsidR="00B06341" w:rsidP="00593D2D" w:rsidRDefault="00654B3D" w14:paraId="6AEB68B0" w14:textId="5CCF1BA2">
            <w:pPr>
              <w:pStyle w:val="TableText"/>
              <w:spacing w:before="40" w:after="40"/>
              <w:rPr>
                <w:rFonts w:cs="Calibri"/>
                <w:szCs w:val="18"/>
              </w:rPr>
            </w:pPr>
            <w:r w:rsidRPr="00F57044">
              <w:rPr>
                <w:rFonts w:cs="Calibri"/>
                <w:szCs w:val="18"/>
              </w:rPr>
              <w:t>42.8</w:t>
            </w:r>
          </w:p>
        </w:tc>
        <w:tc>
          <w:tcPr>
            <w:tcW w:w="426" w:type="pct"/>
          </w:tcPr>
          <w:p w:rsidRPr="00F57044" w:rsidR="00B06341" w:rsidP="00593D2D" w:rsidRDefault="00654B3D" w14:paraId="641C1089" w14:textId="2BD13F15">
            <w:pPr>
              <w:pStyle w:val="TableText"/>
              <w:spacing w:before="40" w:after="40"/>
              <w:rPr>
                <w:rFonts w:cs="Calibri"/>
                <w:szCs w:val="18"/>
              </w:rPr>
            </w:pPr>
            <w:r w:rsidRPr="00F57044">
              <w:rPr>
                <w:rFonts w:cs="Calibri"/>
                <w:szCs w:val="18"/>
              </w:rPr>
              <w:t>42.</w:t>
            </w:r>
            <w:r w:rsidRPr="00F57044" w:rsidR="001C483C">
              <w:rPr>
                <w:rFonts w:cs="Calibri"/>
                <w:szCs w:val="18"/>
              </w:rPr>
              <w:t>8</w:t>
            </w:r>
          </w:p>
        </w:tc>
        <w:tc>
          <w:tcPr>
            <w:tcW w:w="427" w:type="pct"/>
            <w:shd w:val="clear" w:color="auto" w:fill="auto"/>
          </w:tcPr>
          <w:p w:rsidRPr="00F57044" w:rsidR="00B06341" w:rsidP="00593D2D" w:rsidRDefault="00654B3D" w14:paraId="23B35307" w14:textId="539D2F2D">
            <w:pPr>
              <w:pStyle w:val="TableText"/>
              <w:spacing w:before="40" w:after="40"/>
              <w:rPr>
                <w:rFonts w:cs="Calibri"/>
                <w:szCs w:val="18"/>
              </w:rPr>
            </w:pPr>
            <w:r w:rsidRPr="00F57044">
              <w:rPr>
                <w:rFonts w:cs="Calibri"/>
                <w:szCs w:val="18"/>
              </w:rPr>
              <w:t>42.6</w:t>
            </w:r>
          </w:p>
        </w:tc>
      </w:tr>
      <w:tr w:rsidRPr="00F57044" w:rsidR="00593D2D" w:rsidTr="00EA5505" w14:paraId="2BF94192" w14:textId="77777777">
        <w:tc>
          <w:tcPr>
            <w:tcW w:w="2868" w:type="pct"/>
            <w:gridSpan w:val="2"/>
            <w:shd w:val="clear" w:color="auto" w:fill="auto"/>
          </w:tcPr>
          <w:p w:rsidRPr="00F57044" w:rsidR="00B06341" w:rsidP="00593D2D" w:rsidRDefault="00B06341" w14:paraId="57372798" w14:textId="256EBF5A">
            <w:pPr>
              <w:pStyle w:val="TableTextbold"/>
              <w:spacing w:before="40" w:after="40"/>
              <w:rPr>
                <w:rFonts w:cs="Calibri"/>
                <w:szCs w:val="18"/>
              </w:rPr>
            </w:pPr>
            <w:r w:rsidRPr="00F57044">
              <w:rPr>
                <w:rFonts w:cs="Calibri"/>
                <w:szCs w:val="18"/>
              </w:rPr>
              <w:t xml:space="preserve">Step 2b: Allocate to </w:t>
            </w:r>
            <w:r w:rsidRPr="00F57044" w:rsidDel="00D46385">
              <w:rPr>
                <w:rFonts w:cs="Calibri"/>
                <w:szCs w:val="18"/>
              </w:rPr>
              <w:t xml:space="preserve">NZ </w:t>
            </w:r>
            <w:r w:rsidRPr="00F57044">
              <w:rPr>
                <w:rFonts w:cs="Calibri"/>
                <w:szCs w:val="18"/>
              </w:rPr>
              <w:t>ETS sectors</w:t>
            </w:r>
          </w:p>
        </w:tc>
        <w:tc>
          <w:tcPr>
            <w:tcW w:w="426" w:type="pct"/>
          </w:tcPr>
          <w:p w:rsidRPr="00F57044" w:rsidR="00B06341" w:rsidP="00593D2D" w:rsidRDefault="00654B3D" w14:paraId="79F6CE14" w14:textId="7F79E778">
            <w:pPr>
              <w:pStyle w:val="TableText"/>
              <w:spacing w:before="40" w:after="40"/>
              <w:rPr>
                <w:rFonts w:cs="Calibri"/>
                <w:szCs w:val="18"/>
              </w:rPr>
            </w:pPr>
            <w:r w:rsidRPr="00F57044">
              <w:rPr>
                <w:rFonts w:cs="Calibri"/>
                <w:szCs w:val="18"/>
              </w:rPr>
              <w:t>23.2</w:t>
            </w:r>
          </w:p>
        </w:tc>
        <w:tc>
          <w:tcPr>
            <w:tcW w:w="426" w:type="pct"/>
          </w:tcPr>
          <w:p w:rsidRPr="00F57044" w:rsidR="00B06341" w:rsidP="00593D2D" w:rsidRDefault="00654B3D" w14:paraId="0C4CC9A2" w14:textId="0003B9DC">
            <w:pPr>
              <w:pStyle w:val="TableText"/>
              <w:spacing w:before="40" w:after="40"/>
              <w:rPr>
                <w:rFonts w:cs="Calibri"/>
                <w:szCs w:val="18"/>
              </w:rPr>
            </w:pPr>
            <w:r w:rsidRPr="00F57044">
              <w:rPr>
                <w:rFonts w:cs="Calibri"/>
                <w:szCs w:val="18"/>
              </w:rPr>
              <w:t>20.8</w:t>
            </w:r>
          </w:p>
        </w:tc>
        <w:tc>
          <w:tcPr>
            <w:tcW w:w="426" w:type="pct"/>
          </w:tcPr>
          <w:p w:rsidRPr="00F57044" w:rsidR="00B06341" w:rsidP="00593D2D" w:rsidRDefault="00654B3D" w14:paraId="78E002C5" w14:textId="0C402A19">
            <w:pPr>
              <w:pStyle w:val="TableText"/>
              <w:spacing w:before="40" w:after="40"/>
              <w:rPr>
                <w:rFonts w:cs="Calibri"/>
                <w:szCs w:val="18"/>
              </w:rPr>
            </w:pPr>
            <w:r w:rsidRPr="00F57044">
              <w:rPr>
                <w:rFonts w:cs="Calibri"/>
                <w:szCs w:val="18"/>
              </w:rPr>
              <w:t>17.6</w:t>
            </w:r>
          </w:p>
        </w:tc>
        <w:tc>
          <w:tcPr>
            <w:tcW w:w="426" w:type="pct"/>
          </w:tcPr>
          <w:p w:rsidRPr="00F57044" w:rsidR="00B06341" w:rsidP="00593D2D" w:rsidRDefault="00654B3D" w14:paraId="44D7453D" w14:textId="3448252D">
            <w:pPr>
              <w:pStyle w:val="TableText"/>
              <w:spacing w:before="40" w:after="40"/>
              <w:rPr>
                <w:rFonts w:cs="Calibri"/>
                <w:szCs w:val="18"/>
              </w:rPr>
            </w:pPr>
            <w:r w:rsidRPr="00F57044">
              <w:rPr>
                <w:rFonts w:cs="Calibri"/>
                <w:szCs w:val="18"/>
              </w:rPr>
              <w:t>15.1</w:t>
            </w:r>
          </w:p>
        </w:tc>
        <w:tc>
          <w:tcPr>
            <w:tcW w:w="427" w:type="pct"/>
            <w:shd w:val="clear" w:color="auto" w:fill="auto"/>
          </w:tcPr>
          <w:p w:rsidRPr="00F57044" w:rsidR="00B06341" w:rsidP="00593D2D" w:rsidRDefault="00654B3D" w14:paraId="118810CD" w14:textId="4090B7F6">
            <w:pPr>
              <w:pStyle w:val="TableText"/>
              <w:spacing w:before="40" w:after="40"/>
              <w:rPr>
                <w:rFonts w:cs="Calibri"/>
                <w:szCs w:val="18"/>
              </w:rPr>
            </w:pPr>
            <w:r w:rsidRPr="00F57044">
              <w:rPr>
                <w:rFonts w:cs="Calibri"/>
                <w:szCs w:val="18"/>
              </w:rPr>
              <w:t>12.6</w:t>
            </w:r>
          </w:p>
        </w:tc>
      </w:tr>
      <w:tr w:rsidRPr="00F57044" w:rsidR="00593D2D" w:rsidTr="00EA5505" w14:paraId="40FC9E71" w14:textId="77777777">
        <w:tc>
          <w:tcPr>
            <w:tcW w:w="2868" w:type="pct"/>
            <w:gridSpan w:val="2"/>
            <w:shd w:val="clear" w:color="auto" w:fill="auto"/>
          </w:tcPr>
          <w:p w:rsidRPr="00F57044" w:rsidR="00B06341" w:rsidP="00593D2D" w:rsidRDefault="00B06341" w14:paraId="14554141" w14:textId="41320322">
            <w:pPr>
              <w:pStyle w:val="TableTextbold"/>
              <w:spacing w:before="40" w:after="40"/>
              <w:rPr>
                <w:rFonts w:cs="Calibri"/>
                <w:szCs w:val="18"/>
              </w:rPr>
            </w:pPr>
            <w:r w:rsidRPr="00F57044">
              <w:rPr>
                <w:rFonts w:cs="Calibri"/>
                <w:szCs w:val="18"/>
              </w:rPr>
              <w:t>Step 3: Make technical adjustment</w:t>
            </w:r>
            <w:r w:rsidRPr="00F57044" w:rsidR="006310EF">
              <w:rPr>
                <w:rFonts w:cs="Calibri"/>
                <w:szCs w:val="18"/>
              </w:rPr>
              <w:t>s</w:t>
            </w:r>
          </w:p>
        </w:tc>
        <w:tc>
          <w:tcPr>
            <w:tcW w:w="426" w:type="pct"/>
          </w:tcPr>
          <w:p w:rsidRPr="00F57044" w:rsidR="00B06341" w:rsidP="00593D2D" w:rsidRDefault="00B06341" w14:paraId="25B50B78" w14:textId="75B83AAF">
            <w:pPr>
              <w:pStyle w:val="TableText"/>
              <w:spacing w:before="40" w:after="40"/>
              <w:rPr>
                <w:rFonts w:cs="Calibri"/>
                <w:szCs w:val="18"/>
              </w:rPr>
            </w:pPr>
            <w:r w:rsidRPr="00F57044">
              <w:rPr>
                <w:rFonts w:cs="Calibri"/>
                <w:szCs w:val="18"/>
              </w:rPr>
              <w:t>0.7</w:t>
            </w:r>
          </w:p>
        </w:tc>
        <w:tc>
          <w:tcPr>
            <w:tcW w:w="426" w:type="pct"/>
          </w:tcPr>
          <w:p w:rsidRPr="00F57044" w:rsidR="00B06341" w:rsidP="00593D2D" w:rsidRDefault="00B06341" w14:paraId="2D85BE8E" w14:textId="7EC5A0BA">
            <w:pPr>
              <w:pStyle w:val="TableText"/>
              <w:spacing w:before="40" w:after="40"/>
              <w:rPr>
                <w:rFonts w:cs="Calibri"/>
                <w:szCs w:val="18"/>
              </w:rPr>
            </w:pPr>
            <w:r w:rsidRPr="00F57044">
              <w:rPr>
                <w:rFonts w:cs="Calibri"/>
                <w:szCs w:val="18"/>
              </w:rPr>
              <w:t>0.7</w:t>
            </w:r>
          </w:p>
        </w:tc>
        <w:tc>
          <w:tcPr>
            <w:tcW w:w="426" w:type="pct"/>
          </w:tcPr>
          <w:p w:rsidRPr="00F57044" w:rsidR="00B06341" w:rsidP="00593D2D" w:rsidRDefault="00B06341" w14:paraId="7EEC1DC1" w14:textId="5A2043FC">
            <w:pPr>
              <w:pStyle w:val="TableText"/>
              <w:spacing w:before="40" w:after="40"/>
              <w:rPr>
                <w:rFonts w:cs="Calibri"/>
                <w:szCs w:val="18"/>
              </w:rPr>
            </w:pPr>
            <w:r w:rsidRPr="00F57044">
              <w:rPr>
                <w:rFonts w:cs="Calibri"/>
                <w:szCs w:val="18"/>
              </w:rPr>
              <w:t>0.0</w:t>
            </w:r>
          </w:p>
        </w:tc>
        <w:tc>
          <w:tcPr>
            <w:tcW w:w="426" w:type="pct"/>
          </w:tcPr>
          <w:p w:rsidRPr="00F57044" w:rsidR="00B06341" w:rsidP="00593D2D" w:rsidRDefault="00B06341" w14:paraId="433E82F4" w14:textId="11D1C90E">
            <w:pPr>
              <w:pStyle w:val="TableText"/>
              <w:spacing w:before="40" w:after="40"/>
              <w:rPr>
                <w:rFonts w:cs="Calibri"/>
                <w:szCs w:val="18"/>
              </w:rPr>
            </w:pPr>
            <w:r w:rsidRPr="00F57044">
              <w:rPr>
                <w:rFonts w:cs="Calibri"/>
                <w:szCs w:val="18"/>
              </w:rPr>
              <w:t>0.0</w:t>
            </w:r>
          </w:p>
        </w:tc>
        <w:tc>
          <w:tcPr>
            <w:tcW w:w="427" w:type="pct"/>
            <w:shd w:val="clear" w:color="auto" w:fill="auto"/>
          </w:tcPr>
          <w:p w:rsidRPr="00F57044" w:rsidR="00B06341" w:rsidP="00593D2D" w:rsidRDefault="00B06341" w14:paraId="50329EA2" w14:textId="76FA9D96">
            <w:pPr>
              <w:pStyle w:val="TableText"/>
              <w:spacing w:before="40" w:after="40"/>
              <w:rPr>
                <w:rFonts w:cs="Calibri"/>
                <w:szCs w:val="18"/>
              </w:rPr>
            </w:pPr>
            <w:r w:rsidRPr="00F57044">
              <w:rPr>
                <w:rFonts w:cs="Calibri"/>
                <w:szCs w:val="18"/>
              </w:rPr>
              <w:t>0.0</w:t>
            </w:r>
          </w:p>
        </w:tc>
      </w:tr>
      <w:tr w:rsidRPr="00F57044" w:rsidR="00593D2D" w:rsidTr="00EA5505" w14:paraId="4020F98D" w14:textId="77777777">
        <w:tc>
          <w:tcPr>
            <w:tcW w:w="2868" w:type="pct"/>
            <w:gridSpan w:val="2"/>
            <w:shd w:val="clear" w:color="auto" w:fill="auto"/>
          </w:tcPr>
          <w:p w:rsidRPr="00F57044" w:rsidR="00B06341" w:rsidP="00593D2D" w:rsidRDefault="00B06341" w14:paraId="36573CFA" w14:textId="130838E0">
            <w:pPr>
              <w:pStyle w:val="TableTextbold"/>
              <w:spacing w:before="40" w:after="40"/>
              <w:rPr>
                <w:rFonts w:cs="Calibri"/>
                <w:szCs w:val="18"/>
              </w:rPr>
            </w:pPr>
            <w:r w:rsidRPr="00F57044">
              <w:rPr>
                <w:rFonts w:cs="Calibri"/>
                <w:szCs w:val="18"/>
              </w:rPr>
              <w:t>Step 4: Account for industrial allocation volumes</w:t>
            </w:r>
          </w:p>
        </w:tc>
        <w:tc>
          <w:tcPr>
            <w:tcW w:w="426" w:type="pct"/>
          </w:tcPr>
          <w:p w:rsidRPr="00F57044" w:rsidR="00B06341" w:rsidP="00593D2D" w:rsidRDefault="00B06341" w14:paraId="4BCB1A30" w14:textId="272D42D9">
            <w:pPr>
              <w:pStyle w:val="TableText"/>
              <w:spacing w:before="40" w:after="40"/>
              <w:rPr>
                <w:rFonts w:cs="Calibri"/>
                <w:szCs w:val="18"/>
              </w:rPr>
            </w:pPr>
            <w:r w:rsidRPr="00F57044">
              <w:rPr>
                <w:rFonts w:cs="Calibri"/>
                <w:szCs w:val="18"/>
              </w:rPr>
              <w:t>5.7</w:t>
            </w:r>
          </w:p>
        </w:tc>
        <w:tc>
          <w:tcPr>
            <w:tcW w:w="426" w:type="pct"/>
          </w:tcPr>
          <w:p w:rsidRPr="00F57044" w:rsidR="00B06341" w:rsidP="00593D2D" w:rsidRDefault="00B06341" w14:paraId="49B87555" w14:textId="1D6EB779">
            <w:pPr>
              <w:pStyle w:val="TableText"/>
              <w:spacing w:before="40" w:after="40"/>
              <w:rPr>
                <w:rFonts w:cs="Calibri"/>
                <w:szCs w:val="18"/>
              </w:rPr>
            </w:pPr>
            <w:r w:rsidRPr="00F57044">
              <w:rPr>
                <w:rFonts w:cs="Calibri"/>
                <w:szCs w:val="18"/>
              </w:rPr>
              <w:t>5.7</w:t>
            </w:r>
          </w:p>
        </w:tc>
        <w:tc>
          <w:tcPr>
            <w:tcW w:w="426" w:type="pct"/>
          </w:tcPr>
          <w:p w:rsidRPr="00F57044" w:rsidR="00B06341" w:rsidP="00593D2D" w:rsidRDefault="00B06341" w14:paraId="447A2C2C" w14:textId="5B5426F2">
            <w:pPr>
              <w:pStyle w:val="TableText"/>
              <w:spacing w:before="40" w:after="40"/>
              <w:rPr>
                <w:rFonts w:cs="Calibri"/>
                <w:szCs w:val="18"/>
              </w:rPr>
            </w:pPr>
            <w:r w:rsidRPr="00F57044">
              <w:rPr>
                <w:rFonts w:cs="Calibri"/>
                <w:szCs w:val="18"/>
              </w:rPr>
              <w:t>4.</w:t>
            </w:r>
            <w:r w:rsidRPr="00F57044" w:rsidR="00D0632C">
              <w:rPr>
                <w:rFonts w:cs="Calibri"/>
                <w:szCs w:val="18"/>
              </w:rPr>
              <w:t>6</w:t>
            </w:r>
          </w:p>
        </w:tc>
        <w:tc>
          <w:tcPr>
            <w:tcW w:w="426" w:type="pct"/>
          </w:tcPr>
          <w:p w:rsidRPr="00F57044" w:rsidR="00B06341" w:rsidP="00593D2D" w:rsidRDefault="00B06341" w14:paraId="1DFD7C36" w14:textId="07AF98C9">
            <w:pPr>
              <w:pStyle w:val="TableText"/>
              <w:spacing w:before="40" w:after="40"/>
              <w:rPr>
                <w:rFonts w:cs="Calibri"/>
                <w:szCs w:val="18"/>
              </w:rPr>
            </w:pPr>
            <w:r w:rsidRPr="00F57044">
              <w:rPr>
                <w:rFonts w:cs="Calibri"/>
                <w:szCs w:val="18"/>
              </w:rPr>
              <w:t>4.</w:t>
            </w:r>
            <w:r w:rsidRPr="00F57044" w:rsidR="00D0632C">
              <w:rPr>
                <w:rFonts w:cs="Calibri"/>
                <w:szCs w:val="18"/>
              </w:rPr>
              <w:t>5</w:t>
            </w:r>
          </w:p>
        </w:tc>
        <w:tc>
          <w:tcPr>
            <w:tcW w:w="427" w:type="pct"/>
            <w:shd w:val="clear" w:color="auto" w:fill="auto"/>
          </w:tcPr>
          <w:p w:rsidRPr="00F57044" w:rsidR="00B06341" w:rsidP="00593D2D" w:rsidRDefault="00B06341" w14:paraId="2092F07F" w14:textId="7C3FE84F">
            <w:pPr>
              <w:pStyle w:val="TableText"/>
              <w:spacing w:before="40" w:after="40"/>
              <w:rPr>
                <w:rFonts w:cs="Calibri"/>
                <w:szCs w:val="18"/>
              </w:rPr>
            </w:pPr>
            <w:r w:rsidRPr="00F57044">
              <w:rPr>
                <w:rFonts w:cs="Calibri"/>
                <w:szCs w:val="18"/>
              </w:rPr>
              <w:t>4.</w:t>
            </w:r>
            <w:r w:rsidRPr="00F57044" w:rsidR="00D0632C">
              <w:rPr>
                <w:rFonts w:cs="Calibri"/>
                <w:szCs w:val="18"/>
              </w:rPr>
              <w:t>0</w:t>
            </w:r>
          </w:p>
        </w:tc>
      </w:tr>
      <w:tr w:rsidRPr="00F57044" w:rsidR="00593D2D" w:rsidTr="00EA5505" w14:paraId="48D53863" w14:textId="77777777">
        <w:tc>
          <w:tcPr>
            <w:tcW w:w="2868" w:type="pct"/>
            <w:gridSpan w:val="2"/>
            <w:shd w:val="clear" w:color="auto" w:fill="auto"/>
          </w:tcPr>
          <w:p w:rsidRPr="00F57044" w:rsidR="00B06341" w:rsidP="00593D2D" w:rsidRDefault="00B06341" w14:paraId="4C125FA7" w14:textId="11E254D3">
            <w:pPr>
              <w:pStyle w:val="TableTextbold"/>
              <w:spacing w:before="40" w:after="40"/>
              <w:rPr>
                <w:rFonts w:cs="Calibri"/>
                <w:szCs w:val="18"/>
              </w:rPr>
            </w:pPr>
            <w:r w:rsidRPr="00F57044">
              <w:rPr>
                <w:rFonts w:cs="Calibri"/>
                <w:szCs w:val="18"/>
              </w:rPr>
              <w:t>Step 5</w:t>
            </w:r>
            <w:r w:rsidRPr="00F57044" w:rsidR="00876217">
              <w:rPr>
                <w:rFonts w:cs="Calibri"/>
                <w:szCs w:val="18"/>
              </w:rPr>
              <w:t>a</w:t>
            </w:r>
            <w:r w:rsidRPr="00F57044">
              <w:rPr>
                <w:rFonts w:cs="Calibri"/>
                <w:szCs w:val="18"/>
              </w:rPr>
              <w:t>: Set the reduction volume to address the unit surplus*</w:t>
            </w:r>
          </w:p>
        </w:tc>
        <w:tc>
          <w:tcPr>
            <w:tcW w:w="426" w:type="pct"/>
          </w:tcPr>
          <w:p w:rsidRPr="00F57044" w:rsidR="00B06341" w:rsidP="00593D2D" w:rsidRDefault="00B06341" w14:paraId="77EC63CE" w14:textId="5E123605">
            <w:pPr>
              <w:pStyle w:val="TableText"/>
              <w:spacing w:before="40" w:after="40"/>
              <w:rPr>
                <w:rFonts w:cs="Calibri"/>
                <w:szCs w:val="18"/>
              </w:rPr>
            </w:pPr>
            <w:r w:rsidRPr="00F57044">
              <w:rPr>
                <w:rFonts w:cs="Calibri"/>
                <w:szCs w:val="18"/>
              </w:rPr>
              <w:t>11.5</w:t>
            </w:r>
          </w:p>
        </w:tc>
        <w:tc>
          <w:tcPr>
            <w:tcW w:w="426" w:type="pct"/>
          </w:tcPr>
          <w:p w:rsidRPr="00F57044" w:rsidR="00B06341" w:rsidP="00593D2D" w:rsidRDefault="00B06341" w14:paraId="42BDC362" w14:textId="0DCE647F">
            <w:pPr>
              <w:pStyle w:val="TableText"/>
              <w:spacing w:before="40" w:after="40"/>
              <w:rPr>
                <w:rFonts w:cs="Calibri"/>
                <w:szCs w:val="18"/>
              </w:rPr>
            </w:pPr>
            <w:r w:rsidRPr="00F57044">
              <w:rPr>
                <w:rFonts w:cs="Calibri"/>
                <w:szCs w:val="18"/>
              </w:rPr>
              <w:t>10.5</w:t>
            </w:r>
          </w:p>
        </w:tc>
        <w:tc>
          <w:tcPr>
            <w:tcW w:w="426" w:type="pct"/>
          </w:tcPr>
          <w:p w:rsidRPr="00F57044" w:rsidR="00B06341" w:rsidP="00593D2D" w:rsidRDefault="00D638F5" w14:paraId="04FD4FA9" w14:textId="2A89C95E">
            <w:pPr>
              <w:pStyle w:val="TableText"/>
              <w:spacing w:before="40" w:after="40"/>
              <w:rPr>
                <w:rFonts w:cs="Calibri"/>
                <w:szCs w:val="18"/>
              </w:rPr>
            </w:pPr>
            <w:r w:rsidRPr="00F57044">
              <w:rPr>
                <w:rFonts w:cs="Calibri"/>
                <w:szCs w:val="18"/>
              </w:rPr>
              <w:t>5.4</w:t>
            </w:r>
          </w:p>
        </w:tc>
        <w:tc>
          <w:tcPr>
            <w:tcW w:w="426" w:type="pct"/>
          </w:tcPr>
          <w:p w:rsidRPr="00F57044" w:rsidR="00B06341" w:rsidP="00593D2D" w:rsidRDefault="00D638F5" w14:paraId="04E5BDB2" w14:textId="7C6078C2">
            <w:pPr>
              <w:pStyle w:val="TableText"/>
              <w:spacing w:before="40" w:after="40"/>
              <w:rPr>
                <w:rFonts w:cs="Calibri"/>
                <w:szCs w:val="18"/>
              </w:rPr>
            </w:pPr>
            <w:r w:rsidRPr="00F57044">
              <w:rPr>
                <w:rFonts w:cs="Calibri"/>
                <w:szCs w:val="18"/>
              </w:rPr>
              <w:t>5.3</w:t>
            </w:r>
          </w:p>
        </w:tc>
        <w:tc>
          <w:tcPr>
            <w:tcW w:w="427" w:type="pct"/>
            <w:shd w:val="clear" w:color="auto" w:fill="auto"/>
          </w:tcPr>
          <w:p w:rsidRPr="00F57044" w:rsidR="00B06341" w:rsidP="00593D2D" w:rsidRDefault="00B06341" w14:paraId="7CAB0B16" w14:textId="5FECFC57">
            <w:pPr>
              <w:pStyle w:val="TableText"/>
              <w:spacing w:before="40" w:after="40"/>
              <w:rPr>
                <w:rFonts w:cs="Calibri"/>
                <w:szCs w:val="18"/>
              </w:rPr>
            </w:pPr>
            <w:r w:rsidRPr="00F57044">
              <w:rPr>
                <w:rFonts w:cs="Calibri"/>
                <w:szCs w:val="18"/>
              </w:rPr>
              <w:t>5.</w:t>
            </w:r>
            <w:r w:rsidRPr="00F57044" w:rsidR="00361FC2">
              <w:rPr>
                <w:rFonts w:cs="Calibri"/>
                <w:szCs w:val="18"/>
              </w:rPr>
              <w:t>0</w:t>
            </w:r>
          </w:p>
        </w:tc>
      </w:tr>
      <w:tr w:rsidRPr="00F57044" w:rsidR="00593D2D" w:rsidTr="00EA5505" w14:paraId="234D1569" w14:textId="77777777">
        <w:tc>
          <w:tcPr>
            <w:tcW w:w="2868" w:type="pct"/>
            <w:gridSpan w:val="2"/>
            <w:shd w:val="clear" w:color="auto" w:fill="auto"/>
          </w:tcPr>
          <w:p w:rsidRPr="00F57044" w:rsidR="000C1586" w:rsidP="00593D2D" w:rsidRDefault="000C1586" w14:paraId="07C5415F" w14:textId="569CF0EE">
            <w:pPr>
              <w:pStyle w:val="TableTextbold"/>
              <w:spacing w:before="40" w:after="40"/>
              <w:rPr>
                <w:rFonts w:cs="Calibri"/>
                <w:szCs w:val="18"/>
              </w:rPr>
            </w:pPr>
            <w:r w:rsidRPr="00F57044">
              <w:rPr>
                <w:rFonts w:cs="Calibri"/>
                <w:szCs w:val="18"/>
              </w:rPr>
              <w:t>Step 5b: Adjust for discrepancies</w:t>
            </w:r>
          </w:p>
        </w:tc>
        <w:tc>
          <w:tcPr>
            <w:tcW w:w="426" w:type="pct"/>
          </w:tcPr>
          <w:p w:rsidRPr="00F57044" w:rsidR="000C1586" w:rsidP="00593D2D" w:rsidRDefault="000C1586" w14:paraId="35699741" w14:textId="1EC9D35C">
            <w:pPr>
              <w:pStyle w:val="TableText"/>
              <w:spacing w:before="40" w:after="40"/>
              <w:rPr>
                <w:rFonts w:cs="Calibri"/>
                <w:szCs w:val="18"/>
              </w:rPr>
            </w:pPr>
            <w:r w:rsidRPr="00F57044">
              <w:rPr>
                <w:rFonts w:cs="Calibri"/>
                <w:szCs w:val="18"/>
              </w:rPr>
              <w:t>0.3</w:t>
            </w:r>
          </w:p>
        </w:tc>
        <w:tc>
          <w:tcPr>
            <w:tcW w:w="426" w:type="pct"/>
          </w:tcPr>
          <w:p w:rsidRPr="00F57044" w:rsidR="000C1586" w:rsidP="00593D2D" w:rsidRDefault="000C1586" w14:paraId="2EDC65DE" w14:textId="00F4AC5F">
            <w:pPr>
              <w:pStyle w:val="TableText"/>
              <w:spacing w:before="40" w:after="40"/>
              <w:rPr>
                <w:rFonts w:cs="Calibri"/>
                <w:szCs w:val="18"/>
              </w:rPr>
            </w:pPr>
            <w:r w:rsidRPr="00F57044">
              <w:rPr>
                <w:rFonts w:cs="Calibri"/>
                <w:szCs w:val="18"/>
              </w:rPr>
              <w:t>0.3</w:t>
            </w:r>
          </w:p>
        </w:tc>
        <w:tc>
          <w:tcPr>
            <w:tcW w:w="426" w:type="pct"/>
            <w:vAlign w:val="bottom"/>
          </w:tcPr>
          <w:p w:rsidRPr="00F57044" w:rsidR="000C1586" w:rsidP="00593D2D" w:rsidRDefault="00427494" w14:paraId="583CB38A" w14:textId="0CB28DE8">
            <w:pPr>
              <w:pStyle w:val="TableText"/>
              <w:spacing w:before="40" w:after="40"/>
              <w:rPr>
                <w:rFonts w:cs="Calibri"/>
                <w:szCs w:val="18"/>
              </w:rPr>
            </w:pPr>
            <w:r w:rsidRPr="00F57044">
              <w:rPr>
                <w:rFonts w:cs="Calibri"/>
                <w:szCs w:val="18"/>
              </w:rPr>
              <w:t>–</w:t>
            </w:r>
            <w:r w:rsidRPr="00F57044" w:rsidR="000C1586">
              <w:rPr>
                <w:rFonts w:cs="Calibri"/>
                <w:szCs w:val="18"/>
              </w:rPr>
              <w:t xml:space="preserve">1.5 </w:t>
            </w:r>
          </w:p>
        </w:tc>
        <w:tc>
          <w:tcPr>
            <w:tcW w:w="426" w:type="pct"/>
            <w:vAlign w:val="bottom"/>
          </w:tcPr>
          <w:p w:rsidRPr="00F57044" w:rsidR="000C1586" w:rsidP="00593D2D" w:rsidRDefault="00427494" w14:paraId="2BC09052" w14:textId="16C6E677">
            <w:pPr>
              <w:pStyle w:val="TableText"/>
              <w:spacing w:before="40" w:after="40"/>
              <w:rPr>
                <w:rFonts w:cs="Calibri"/>
                <w:szCs w:val="18"/>
              </w:rPr>
            </w:pPr>
            <w:r w:rsidRPr="00F57044">
              <w:rPr>
                <w:rFonts w:cs="Calibri"/>
                <w:szCs w:val="18"/>
              </w:rPr>
              <w:t>–</w:t>
            </w:r>
            <w:r w:rsidRPr="00F57044" w:rsidR="000C1586">
              <w:rPr>
                <w:rFonts w:cs="Calibri"/>
                <w:szCs w:val="18"/>
              </w:rPr>
              <w:t xml:space="preserve">1.5 </w:t>
            </w:r>
          </w:p>
        </w:tc>
        <w:tc>
          <w:tcPr>
            <w:tcW w:w="427" w:type="pct"/>
            <w:shd w:val="clear" w:color="auto" w:fill="auto"/>
            <w:vAlign w:val="bottom"/>
          </w:tcPr>
          <w:p w:rsidRPr="00F57044" w:rsidR="000C1586" w:rsidP="00593D2D" w:rsidRDefault="00427494" w14:paraId="156D75CE" w14:textId="2F189945">
            <w:pPr>
              <w:pStyle w:val="TableText"/>
              <w:spacing w:before="40" w:after="40"/>
              <w:rPr>
                <w:rFonts w:cs="Calibri"/>
                <w:szCs w:val="18"/>
              </w:rPr>
            </w:pPr>
            <w:r w:rsidRPr="00F57044">
              <w:rPr>
                <w:rFonts w:cs="Calibri"/>
                <w:szCs w:val="18"/>
              </w:rPr>
              <w:t>–</w:t>
            </w:r>
            <w:r w:rsidRPr="00F57044" w:rsidR="000C1586">
              <w:rPr>
                <w:rFonts w:cs="Calibri"/>
                <w:szCs w:val="18"/>
              </w:rPr>
              <w:t xml:space="preserve">1.4 </w:t>
            </w:r>
          </w:p>
        </w:tc>
      </w:tr>
      <w:tr w:rsidRPr="00F57044" w:rsidR="00593D2D" w:rsidTr="00EA5505" w14:paraId="19D7F4E8" w14:textId="77777777">
        <w:tc>
          <w:tcPr>
            <w:tcW w:w="2868" w:type="pct"/>
            <w:gridSpan w:val="2"/>
            <w:tcBorders>
              <w:bottom w:val="single" w:color="1B556B" w:themeColor="text2" w:sz="4" w:space="0"/>
            </w:tcBorders>
            <w:shd w:val="clear" w:color="auto" w:fill="auto"/>
          </w:tcPr>
          <w:p w:rsidRPr="00F57044" w:rsidR="00B06341" w:rsidP="00593D2D" w:rsidRDefault="00B06341" w14:paraId="36E10F4C" w14:textId="35C6CB4A">
            <w:pPr>
              <w:pStyle w:val="TableTextbold"/>
              <w:spacing w:before="40" w:after="40"/>
              <w:rPr>
                <w:rFonts w:cs="Calibri"/>
                <w:szCs w:val="18"/>
              </w:rPr>
            </w:pPr>
            <w:r w:rsidRPr="00F57044">
              <w:rPr>
                <w:rFonts w:cs="Calibri"/>
                <w:szCs w:val="18"/>
              </w:rPr>
              <w:t>Step 6: Set the approved overseas unit limit</w:t>
            </w:r>
          </w:p>
        </w:tc>
        <w:tc>
          <w:tcPr>
            <w:tcW w:w="426" w:type="pct"/>
            <w:tcBorders>
              <w:bottom w:val="single" w:color="1B556B" w:themeColor="text2" w:sz="4" w:space="0"/>
            </w:tcBorders>
          </w:tcPr>
          <w:p w:rsidRPr="00F57044" w:rsidR="00B06341" w:rsidP="00593D2D" w:rsidRDefault="00B06341" w14:paraId="7314AE93" w14:textId="704FD652">
            <w:pPr>
              <w:pStyle w:val="TableText"/>
              <w:spacing w:before="40" w:after="40"/>
              <w:rPr>
                <w:rFonts w:cs="Calibri"/>
                <w:szCs w:val="18"/>
              </w:rPr>
            </w:pPr>
            <w:r w:rsidRPr="00F57044">
              <w:rPr>
                <w:rFonts w:cs="Calibri"/>
                <w:szCs w:val="18"/>
              </w:rPr>
              <w:t>0</w:t>
            </w:r>
          </w:p>
        </w:tc>
        <w:tc>
          <w:tcPr>
            <w:tcW w:w="426" w:type="pct"/>
            <w:tcBorders>
              <w:bottom w:val="single" w:color="1B556B" w:themeColor="text2" w:sz="4" w:space="0"/>
            </w:tcBorders>
          </w:tcPr>
          <w:p w:rsidRPr="00F57044" w:rsidR="00B06341" w:rsidP="00593D2D" w:rsidRDefault="00B06341" w14:paraId="7B7A20AE" w14:textId="79D1FBE3">
            <w:pPr>
              <w:pStyle w:val="TableText"/>
              <w:spacing w:before="40" w:after="40"/>
              <w:rPr>
                <w:rFonts w:cs="Calibri"/>
                <w:szCs w:val="18"/>
              </w:rPr>
            </w:pPr>
            <w:r w:rsidRPr="00F57044">
              <w:rPr>
                <w:rFonts w:cs="Calibri"/>
                <w:szCs w:val="18"/>
              </w:rPr>
              <w:t>0</w:t>
            </w:r>
          </w:p>
        </w:tc>
        <w:tc>
          <w:tcPr>
            <w:tcW w:w="426" w:type="pct"/>
            <w:tcBorders>
              <w:bottom w:val="single" w:color="1B556B" w:themeColor="text2" w:sz="4" w:space="0"/>
            </w:tcBorders>
          </w:tcPr>
          <w:p w:rsidRPr="00F57044" w:rsidR="00B06341" w:rsidP="00593D2D" w:rsidRDefault="00B06341" w14:paraId="1744A6FA" w14:textId="66E61A1B">
            <w:pPr>
              <w:pStyle w:val="TableText"/>
              <w:spacing w:before="40" w:after="40"/>
              <w:rPr>
                <w:rFonts w:cs="Calibri"/>
                <w:szCs w:val="18"/>
              </w:rPr>
            </w:pPr>
            <w:r w:rsidRPr="00F57044">
              <w:rPr>
                <w:rFonts w:cs="Calibri"/>
                <w:szCs w:val="18"/>
              </w:rPr>
              <w:t>0</w:t>
            </w:r>
          </w:p>
        </w:tc>
        <w:tc>
          <w:tcPr>
            <w:tcW w:w="426" w:type="pct"/>
            <w:tcBorders>
              <w:bottom w:val="single" w:color="1B556B" w:themeColor="text2" w:sz="4" w:space="0"/>
            </w:tcBorders>
          </w:tcPr>
          <w:p w:rsidRPr="00F57044" w:rsidR="00B06341" w:rsidP="00593D2D" w:rsidRDefault="00B06341" w14:paraId="3FC690B9" w14:textId="05F7D7E6">
            <w:pPr>
              <w:pStyle w:val="TableText"/>
              <w:spacing w:before="40" w:after="40"/>
              <w:rPr>
                <w:rFonts w:cs="Calibri"/>
                <w:szCs w:val="18"/>
              </w:rPr>
            </w:pPr>
            <w:r w:rsidRPr="00F57044">
              <w:rPr>
                <w:rFonts w:cs="Calibri"/>
                <w:szCs w:val="18"/>
              </w:rPr>
              <w:t>0</w:t>
            </w:r>
          </w:p>
        </w:tc>
        <w:tc>
          <w:tcPr>
            <w:tcW w:w="427" w:type="pct"/>
            <w:tcBorders>
              <w:bottom w:val="single" w:color="1B556B" w:themeColor="text2" w:sz="4" w:space="0"/>
            </w:tcBorders>
            <w:shd w:val="clear" w:color="auto" w:fill="auto"/>
          </w:tcPr>
          <w:p w:rsidRPr="00F57044" w:rsidR="00B06341" w:rsidP="00593D2D" w:rsidRDefault="00B06341" w14:paraId="3FAAE31F" w14:textId="10A5B2E5">
            <w:pPr>
              <w:pStyle w:val="TableText"/>
              <w:spacing w:before="40" w:after="40"/>
              <w:rPr>
                <w:rFonts w:cs="Calibri"/>
                <w:szCs w:val="18"/>
              </w:rPr>
            </w:pPr>
            <w:r w:rsidRPr="00F57044">
              <w:rPr>
                <w:rFonts w:cs="Calibri"/>
                <w:szCs w:val="18"/>
              </w:rPr>
              <w:t>0</w:t>
            </w:r>
          </w:p>
        </w:tc>
      </w:tr>
      <w:tr w:rsidRPr="00F57044" w:rsidR="00593D2D" w:rsidTr="00EA5505" w14:paraId="2014C958" w14:textId="77777777">
        <w:tc>
          <w:tcPr>
            <w:tcW w:w="2868" w:type="pct"/>
            <w:gridSpan w:val="2"/>
            <w:shd w:val="clear" w:color="auto" w:fill="auto"/>
          </w:tcPr>
          <w:p w:rsidRPr="00F57044" w:rsidR="00B06341" w:rsidP="00593D2D" w:rsidRDefault="00B06341" w14:paraId="724AF1CA" w14:textId="0EA5E5D1">
            <w:pPr>
              <w:pStyle w:val="TableTextbold"/>
              <w:spacing w:before="40" w:after="40"/>
              <w:rPr>
                <w:rFonts w:cs="Calibri"/>
                <w:color w:val="000000"/>
                <w:szCs w:val="18"/>
              </w:rPr>
            </w:pPr>
            <w:r w:rsidRPr="00F57044">
              <w:rPr>
                <w:rFonts w:cs="Calibri"/>
                <w:color w:val="000000"/>
                <w:szCs w:val="18"/>
              </w:rPr>
              <w:t xml:space="preserve">Step 7: Calculate the base auction volumes – </w:t>
            </w:r>
            <w:r w:rsidRPr="00F57044" w:rsidR="00EB5B53">
              <w:rPr>
                <w:rFonts w:cs="Calibri"/>
                <w:color w:val="000000"/>
                <w:szCs w:val="18"/>
              </w:rPr>
              <w:t>f</w:t>
            </w:r>
            <w:r w:rsidRPr="00F57044" w:rsidR="00C16834">
              <w:rPr>
                <w:rFonts w:cs="Calibri"/>
                <w:color w:val="000000"/>
                <w:szCs w:val="18"/>
              </w:rPr>
              <w:t>lat distribution</w:t>
            </w:r>
            <w:r w:rsidRPr="00F57044">
              <w:rPr>
                <w:rFonts w:cs="Calibri"/>
                <w:color w:val="000000"/>
                <w:szCs w:val="18"/>
              </w:rPr>
              <w:t>*</w:t>
            </w:r>
          </w:p>
        </w:tc>
        <w:tc>
          <w:tcPr>
            <w:tcW w:w="426" w:type="pct"/>
          </w:tcPr>
          <w:p w:rsidRPr="00F57044" w:rsidR="00B06341" w:rsidP="00593D2D" w:rsidRDefault="00B06341" w14:paraId="402AC82C" w14:textId="5AB0A1FD">
            <w:pPr>
              <w:pStyle w:val="TableTextbold"/>
              <w:spacing w:before="40" w:after="40"/>
              <w:rPr>
                <w:rFonts w:cs="Calibri"/>
                <w:szCs w:val="18"/>
              </w:rPr>
            </w:pPr>
            <w:r w:rsidRPr="00F57044">
              <w:rPr>
                <w:rFonts w:cs="Calibri"/>
                <w:szCs w:val="18"/>
              </w:rPr>
              <w:t>5.2</w:t>
            </w:r>
          </w:p>
        </w:tc>
        <w:tc>
          <w:tcPr>
            <w:tcW w:w="426" w:type="pct"/>
          </w:tcPr>
          <w:p w:rsidRPr="00F57044" w:rsidR="00B06341" w:rsidP="00593D2D" w:rsidRDefault="00B06341" w14:paraId="444E0824" w14:textId="0375D47D">
            <w:pPr>
              <w:pStyle w:val="TableTextbold"/>
              <w:spacing w:before="40" w:after="40"/>
              <w:rPr>
                <w:rFonts w:cs="Calibri"/>
                <w:szCs w:val="18"/>
              </w:rPr>
            </w:pPr>
            <w:r w:rsidRPr="00F57044">
              <w:rPr>
                <w:rFonts w:cs="Calibri"/>
                <w:szCs w:val="18"/>
              </w:rPr>
              <w:t>4.</w:t>
            </w:r>
            <w:r w:rsidRPr="00F57044" w:rsidR="00361FC2">
              <w:rPr>
                <w:rFonts w:cs="Calibri"/>
                <w:szCs w:val="18"/>
              </w:rPr>
              <w:t>3</w:t>
            </w:r>
          </w:p>
        </w:tc>
        <w:tc>
          <w:tcPr>
            <w:tcW w:w="426" w:type="pct"/>
          </w:tcPr>
          <w:p w:rsidRPr="00F57044" w:rsidR="00B06341" w:rsidP="00593D2D" w:rsidRDefault="00B06341" w14:paraId="009B23D9" w14:textId="220E4880">
            <w:pPr>
              <w:pStyle w:val="TableTextbold"/>
              <w:spacing w:before="40" w:after="40"/>
              <w:rPr>
                <w:rFonts w:cs="Calibri"/>
                <w:szCs w:val="18"/>
              </w:rPr>
            </w:pPr>
            <w:r w:rsidRPr="00F57044">
              <w:rPr>
                <w:rFonts w:cs="Calibri"/>
                <w:szCs w:val="18"/>
              </w:rPr>
              <w:t>7.0</w:t>
            </w:r>
          </w:p>
        </w:tc>
        <w:tc>
          <w:tcPr>
            <w:tcW w:w="426" w:type="pct"/>
          </w:tcPr>
          <w:p w:rsidRPr="00F57044" w:rsidR="00B06341" w:rsidP="00593D2D" w:rsidRDefault="00B06341" w14:paraId="5ABAFC58" w14:textId="35AA7E08">
            <w:pPr>
              <w:pStyle w:val="TableTextbold"/>
              <w:spacing w:before="40" w:after="40"/>
              <w:rPr>
                <w:rFonts w:cs="Calibri"/>
                <w:szCs w:val="18"/>
              </w:rPr>
            </w:pPr>
            <w:r w:rsidRPr="00F57044">
              <w:rPr>
                <w:rFonts w:cs="Calibri"/>
                <w:szCs w:val="18"/>
              </w:rPr>
              <w:t>7.0</w:t>
            </w:r>
          </w:p>
        </w:tc>
        <w:tc>
          <w:tcPr>
            <w:tcW w:w="427" w:type="pct"/>
            <w:shd w:val="clear" w:color="auto" w:fill="auto"/>
          </w:tcPr>
          <w:p w:rsidRPr="00F57044" w:rsidR="00B06341" w:rsidP="00593D2D" w:rsidRDefault="00B06341" w14:paraId="526FA4DE" w14:textId="066DB7E7">
            <w:pPr>
              <w:pStyle w:val="TableTextbold"/>
              <w:spacing w:before="40" w:after="40"/>
              <w:rPr>
                <w:rFonts w:cs="Calibri"/>
                <w:szCs w:val="18"/>
              </w:rPr>
            </w:pPr>
            <w:r w:rsidRPr="00F57044">
              <w:rPr>
                <w:rFonts w:cs="Calibri"/>
                <w:szCs w:val="18"/>
              </w:rPr>
              <w:t>7.0</w:t>
            </w:r>
          </w:p>
        </w:tc>
      </w:tr>
    </w:tbl>
    <w:p w:rsidRPr="00F57044" w:rsidR="00B06341" w:rsidP="002F5593" w:rsidRDefault="00427494" w14:paraId="587CEFA3" w14:textId="3CD9331D">
      <w:pPr>
        <w:pStyle w:val="Note"/>
        <w:spacing w:before="80"/>
      </w:pPr>
      <w:r w:rsidRPr="00F57044">
        <w:t xml:space="preserve">Note: </w:t>
      </w:r>
      <w:r w:rsidRPr="00F57044" w:rsidR="00B06341">
        <w:t xml:space="preserve">* </w:t>
      </w:r>
      <w:r w:rsidRPr="00F57044" w:rsidR="008E02B0">
        <w:t>After consultation, we will identify a preferred set of options. W</w:t>
      </w:r>
      <w:r w:rsidRPr="00F57044" w:rsidR="00B06341">
        <w:t xml:space="preserve">e will provide final numbers when seeking Cabinet approval. </w:t>
      </w:r>
    </w:p>
    <w:p w:rsidRPr="00F57044" w:rsidR="00684FCA" w:rsidP="002F5593" w:rsidRDefault="00B06341" w14:paraId="731F41F4" w14:textId="737B47C7">
      <w:pPr>
        <w:pStyle w:val="BodyText"/>
        <w:spacing w:before="100" w:after="100"/>
      </w:pPr>
      <w:r w:rsidRPr="00F57044">
        <w:t xml:space="preserve">Table </w:t>
      </w:r>
      <w:r w:rsidRPr="00F57044" w:rsidR="004733B0">
        <w:t>A1.7</w:t>
      </w:r>
      <w:r w:rsidRPr="00F57044">
        <w:t xml:space="preserve"> excludes adjustments for</w:t>
      </w:r>
      <w:r w:rsidRPr="00F57044" w:rsidR="00684FCA">
        <w:t>:</w:t>
      </w:r>
      <w:r w:rsidRPr="00F57044">
        <w:t xml:space="preserve"> </w:t>
      </w:r>
    </w:p>
    <w:p w:rsidRPr="00F57044" w:rsidR="00684FCA" w:rsidP="002F5593" w:rsidRDefault="00B06341" w14:paraId="615CBAA4" w14:textId="79278FE3">
      <w:pPr>
        <w:pStyle w:val="Bullet"/>
        <w:spacing w:after="100"/>
      </w:pPr>
      <w:r w:rsidRPr="00F57044">
        <w:t>abatement that was not expected when budgets were set (step 1)</w:t>
      </w:r>
    </w:p>
    <w:p w:rsidRPr="00F57044" w:rsidR="00684FCA" w:rsidP="002F5593" w:rsidRDefault="00B06341" w14:paraId="1549B4BC" w14:textId="25F26192">
      <w:pPr>
        <w:pStyle w:val="Bullet"/>
        <w:spacing w:after="100"/>
      </w:pPr>
      <w:r w:rsidRPr="00F57044">
        <w:t xml:space="preserve">the possibility </w:t>
      </w:r>
      <w:r w:rsidRPr="00F57044" w:rsidR="008E02B0">
        <w:t xml:space="preserve">that </w:t>
      </w:r>
      <w:r w:rsidRPr="00F57044">
        <w:t>the non-</w:t>
      </w:r>
      <w:r w:rsidRPr="00F57044" w:rsidDel="00684FCA">
        <w:t xml:space="preserve">NZ </w:t>
      </w:r>
      <w:r w:rsidRPr="00F57044">
        <w:t xml:space="preserve">ETS share of the budget will be exceeded. </w:t>
      </w:r>
    </w:p>
    <w:p w:rsidRPr="00F57044" w:rsidR="00AA263F" w:rsidP="002F5593" w:rsidRDefault="00B06341" w14:paraId="00CC93B4" w14:textId="549807C3">
      <w:pPr>
        <w:pStyle w:val="BodyText"/>
        <w:spacing w:before="100" w:after="0"/>
        <w:rPr>
          <w:rStyle w:val="Hyperlink"/>
          <w:color w:val="auto"/>
        </w:rPr>
      </w:pPr>
      <w:r w:rsidRPr="00F57044">
        <w:t>Both adjustments would reduce auction volume.</w:t>
      </w:r>
      <w:r w:rsidR="002F5593">
        <w:t xml:space="preserve"> </w:t>
      </w:r>
      <w:r w:rsidRPr="00F57044" w:rsidR="00AA263F">
        <w:rPr>
          <w:rStyle w:val="Hyperlink"/>
          <w:color w:val="auto"/>
        </w:rPr>
        <w:br w:type="page"/>
      </w:r>
    </w:p>
    <w:p w:rsidRPr="00F57044" w:rsidR="001D1BAF" w:rsidP="00A26C29" w:rsidRDefault="00B06341" w14:paraId="05746161" w14:textId="370CF726">
      <w:pPr>
        <w:pStyle w:val="Heading1"/>
      </w:pPr>
      <w:bookmarkStart w:name="_Appendix_2:_Aligning" w:id="151"/>
      <w:bookmarkStart w:name="_Toc199231052" w:id="152"/>
      <w:bookmarkEnd w:id="151"/>
      <w:r w:rsidRPr="00F57044">
        <w:t xml:space="preserve">Appendix 2: </w:t>
      </w:r>
      <w:r w:rsidRPr="00F57044" w:rsidR="666D16B4">
        <w:t>A</w:t>
      </w:r>
      <w:r w:rsidRPr="00F57044" w:rsidR="1BDF16AE">
        <w:t>lign</w:t>
      </w:r>
      <w:r w:rsidRPr="00F57044" w:rsidR="00D24EBA">
        <w:t>ing</w:t>
      </w:r>
      <w:r w:rsidRPr="00F57044" w:rsidR="47E8A0CF">
        <w:t xml:space="preserve"> criteria</w:t>
      </w:r>
      <w:r w:rsidRPr="00F57044" w:rsidR="00E47983">
        <w:t xml:space="preserve"> with</w:t>
      </w:r>
      <w:r w:rsidRPr="00F57044" w:rsidR="00A26C29">
        <w:t> </w:t>
      </w:r>
      <w:r w:rsidRPr="00F57044" w:rsidR="00E47983">
        <w:t>mandatory consideration</w:t>
      </w:r>
      <w:r w:rsidRPr="00F57044" w:rsidR="002C6703">
        <w:t>s</w:t>
      </w:r>
      <w:r w:rsidRPr="00F57044" w:rsidR="00E47983">
        <w:t xml:space="preserve"> for </w:t>
      </w:r>
      <w:r w:rsidRPr="00F57044" w:rsidR="002010E9">
        <w:t>NZ ETS</w:t>
      </w:r>
      <w:r w:rsidRPr="00F57044" w:rsidR="00E47983">
        <w:t xml:space="preserve"> settings</w:t>
      </w:r>
      <w:bookmarkEnd w:id="120"/>
      <w:bookmarkEnd w:id="152"/>
    </w:p>
    <w:p w:rsidRPr="00F57044" w:rsidR="003E218E" w:rsidP="003711FE" w:rsidRDefault="003E218E" w14:paraId="1F57B613" w14:textId="790D3C3D">
      <w:pPr>
        <w:pStyle w:val="BodyText"/>
      </w:pPr>
      <w:r w:rsidRPr="00F57044">
        <w:rPr>
          <w:rFonts w:asciiTheme="minorHAnsi" w:hAnsiTheme="minorHAnsi"/>
        </w:rPr>
        <w:t xml:space="preserve">The </w:t>
      </w:r>
      <w:r w:rsidRPr="00F57044" w:rsidR="361ADECD">
        <w:rPr>
          <w:rFonts w:asciiTheme="minorHAnsi" w:hAnsiTheme="minorHAnsi"/>
        </w:rPr>
        <w:t xml:space="preserve">Climate Change Response </w:t>
      </w:r>
      <w:r w:rsidRPr="00F57044" w:rsidR="382B0F2C">
        <w:rPr>
          <w:rFonts w:asciiTheme="minorHAnsi" w:hAnsiTheme="minorHAnsi"/>
        </w:rPr>
        <w:t>Act</w:t>
      </w:r>
      <w:r w:rsidRPr="00F57044" w:rsidR="17D7F6D9">
        <w:rPr>
          <w:rFonts w:asciiTheme="minorHAnsi" w:hAnsiTheme="minorHAnsi"/>
        </w:rPr>
        <w:t xml:space="preserve"> </w:t>
      </w:r>
      <w:r w:rsidRPr="00F57044" w:rsidR="1C0AEF74">
        <w:rPr>
          <w:rFonts w:asciiTheme="minorHAnsi" w:hAnsiTheme="minorHAnsi"/>
        </w:rPr>
        <w:t>2002</w:t>
      </w:r>
      <w:r w:rsidRPr="00F57044" w:rsidR="00427494">
        <w:rPr>
          <w:rFonts w:asciiTheme="minorHAnsi" w:hAnsiTheme="minorHAnsi"/>
        </w:rPr>
        <w:t xml:space="preserve"> (CCRA)</w:t>
      </w:r>
      <w:r w:rsidRPr="00F57044">
        <w:rPr>
          <w:rFonts w:asciiTheme="minorHAnsi" w:hAnsiTheme="minorHAnsi"/>
        </w:rPr>
        <w:t xml:space="preserve"> prescribes mandatory factors the Minister of Climate Change</w:t>
      </w:r>
      <w:r w:rsidRPr="00F57044" w:rsidR="00A71F6B">
        <w:rPr>
          <w:rFonts w:asciiTheme="minorHAnsi" w:hAnsiTheme="minorHAnsi"/>
        </w:rPr>
        <w:t xml:space="preserve"> (the Minister)</w:t>
      </w:r>
      <w:r w:rsidRPr="00F57044">
        <w:rPr>
          <w:rFonts w:asciiTheme="minorHAnsi" w:hAnsiTheme="minorHAnsi"/>
        </w:rPr>
        <w:t xml:space="preserve"> must consider when determining </w:t>
      </w:r>
      <w:r w:rsidRPr="00F57044" w:rsidR="008C285C">
        <w:rPr>
          <w:rFonts w:asciiTheme="minorHAnsi" w:hAnsiTheme="minorHAnsi"/>
        </w:rPr>
        <w:t xml:space="preserve">the </w:t>
      </w:r>
      <w:r w:rsidRPr="00F57044" w:rsidR="00E95B67">
        <w:rPr>
          <w:rFonts w:asciiTheme="minorHAnsi" w:hAnsiTheme="minorHAnsi"/>
        </w:rPr>
        <w:t xml:space="preserve">New Zealand Emissions Trading Scheme </w:t>
      </w:r>
      <w:r w:rsidRPr="00F57044" w:rsidR="00D327A6">
        <w:rPr>
          <w:rFonts w:asciiTheme="minorHAnsi" w:hAnsiTheme="minorHAnsi"/>
        </w:rPr>
        <w:t xml:space="preserve">(NZ ETS) </w:t>
      </w:r>
      <w:r w:rsidRPr="00F57044">
        <w:rPr>
          <w:rFonts w:asciiTheme="minorHAnsi" w:hAnsiTheme="minorHAnsi"/>
        </w:rPr>
        <w:t>settings</w:t>
      </w:r>
      <w:r w:rsidRPr="00F57044" w:rsidR="00D327A6">
        <w:rPr>
          <w:rFonts w:asciiTheme="minorHAnsi" w:hAnsiTheme="minorHAnsi"/>
        </w:rPr>
        <w:t>.</w:t>
      </w:r>
      <w:r w:rsidRPr="00F57044" w:rsidR="00F45D13">
        <w:rPr>
          <w:rFonts w:asciiTheme="minorHAnsi" w:hAnsiTheme="minorHAnsi"/>
        </w:rPr>
        <w:t xml:space="preserve"> </w:t>
      </w:r>
      <w:r w:rsidRPr="00F57044">
        <w:rPr>
          <w:rFonts w:asciiTheme="minorHAnsi" w:hAnsiTheme="minorHAnsi"/>
        </w:rPr>
        <w:t>These</w:t>
      </w:r>
      <w:r w:rsidRPr="00F57044" w:rsidR="00427494">
        <w:rPr>
          <w:rFonts w:asciiTheme="minorHAnsi" w:hAnsiTheme="minorHAnsi"/>
        </w:rPr>
        <w:t xml:space="preserve"> factors</w:t>
      </w:r>
      <w:r w:rsidRPr="00F57044" w:rsidDel="00684FCA">
        <w:rPr>
          <w:rFonts w:asciiTheme="minorHAnsi" w:hAnsiTheme="minorHAnsi"/>
        </w:rPr>
        <w:t xml:space="preserve"> </w:t>
      </w:r>
      <w:r w:rsidRPr="00F57044">
        <w:rPr>
          <w:rFonts w:asciiTheme="minorHAnsi" w:hAnsiTheme="minorHAnsi"/>
        </w:rPr>
        <w:t xml:space="preserve">can also justify settings that do not strictly accord with the emissions </w:t>
      </w:r>
      <w:r w:rsidR="00D25EA4">
        <w:rPr>
          <w:rFonts w:asciiTheme="minorHAnsi" w:hAnsiTheme="minorHAnsi"/>
        </w:rPr>
        <w:t>reduction</w:t>
      </w:r>
      <w:r w:rsidRPr="00F57044">
        <w:rPr>
          <w:rFonts w:asciiTheme="minorHAnsi" w:hAnsiTheme="minorHAnsi"/>
        </w:rPr>
        <w:t xml:space="preserve"> targets.</w:t>
      </w:r>
    </w:p>
    <w:p w:rsidRPr="00F57044" w:rsidR="003E218E" w:rsidP="003711FE" w:rsidRDefault="003E218E" w14:paraId="02F0CA87" w14:textId="0239CB7B">
      <w:pPr>
        <w:pStyle w:val="BodyText"/>
      </w:pPr>
      <w:r w:rsidRPr="00F57044">
        <w:rPr>
          <w:rFonts w:asciiTheme="minorHAnsi" w:hAnsiTheme="minorHAnsi"/>
        </w:rPr>
        <w:t>The mandatory considerations are outlined in table</w:t>
      </w:r>
      <w:r w:rsidRPr="00F57044" w:rsidR="00987EEE">
        <w:rPr>
          <w:rFonts w:asciiTheme="minorHAnsi" w:hAnsiTheme="minorHAnsi"/>
        </w:rPr>
        <w:t xml:space="preserve"> </w:t>
      </w:r>
      <w:r w:rsidRPr="00F57044" w:rsidR="00C7689E">
        <w:rPr>
          <w:rFonts w:asciiTheme="minorHAnsi" w:hAnsiTheme="minorHAnsi"/>
        </w:rPr>
        <w:t>A2.1</w:t>
      </w:r>
      <w:r w:rsidRPr="00F57044" w:rsidR="4C9C6ED0">
        <w:rPr>
          <w:rFonts w:asciiTheme="minorHAnsi" w:hAnsiTheme="minorHAnsi"/>
        </w:rPr>
        <w:t xml:space="preserve">, along with </w:t>
      </w:r>
      <w:r w:rsidRPr="00F57044" w:rsidR="00D24EBA">
        <w:rPr>
          <w:rFonts w:asciiTheme="minorHAnsi" w:hAnsiTheme="minorHAnsi"/>
        </w:rPr>
        <w:t>our rationale</w:t>
      </w:r>
      <w:r w:rsidRPr="00F57044">
        <w:rPr>
          <w:rFonts w:asciiTheme="minorHAnsi" w:hAnsiTheme="minorHAnsi"/>
        </w:rPr>
        <w:t>. Some</w:t>
      </w:r>
      <w:r w:rsidRPr="00F57044" w:rsidDel="00684FCA">
        <w:rPr>
          <w:rFonts w:asciiTheme="minorHAnsi" w:hAnsiTheme="minorHAnsi"/>
        </w:rPr>
        <w:t xml:space="preserve"> </w:t>
      </w:r>
      <w:r w:rsidRPr="00F57044">
        <w:rPr>
          <w:rFonts w:asciiTheme="minorHAnsi" w:hAnsiTheme="minorHAnsi"/>
        </w:rPr>
        <w:t>have been used to derive criteria to</w:t>
      </w:r>
      <w:r w:rsidRPr="00F57044">
        <w:t xml:space="preserve"> </w:t>
      </w:r>
      <w:r w:rsidRPr="00F57044" w:rsidR="007938BA">
        <w:t>compare</w:t>
      </w:r>
      <w:r w:rsidRPr="00F57044">
        <w:t xml:space="preserve"> </w:t>
      </w:r>
      <w:r w:rsidRPr="00F57044" w:rsidR="0014350D">
        <w:t xml:space="preserve">proposed </w:t>
      </w:r>
      <w:r w:rsidRPr="00F57044">
        <w:t>options with the status quo</w:t>
      </w:r>
      <w:r w:rsidRPr="00F57044" w:rsidR="00684FCA">
        <w:t xml:space="preserve"> (</w:t>
      </w:r>
      <w:r w:rsidRPr="00275C7C" w:rsidR="10907938">
        <w:t>table</w:t>
      </w:r>
      <w:r w:rsidRPr="00275C7C" w:rsidR="00C06C68">
        <w:t> </w:t>
      </w:r>
      <w:r w:rsidRPr="00275C7C" w:rsidR="10907938">
        <w:t>1</w:t>
      </w:r>
      <w:r w:rsidRPr="00275C7C" w:rsidR="00684FCA">
        <w:t>)</w:t>
      </w:r>
      <w:r w:rsidRPr="00275C7C" w:rsidR="00A60787">
        <w:t>.</w:t>
      </w:r>
    </w:p>
    <w:p w:rsidRPr="00F57044" w:rsidR="00992166" w:rsidP="00960D9D" w:rsidRDefault="00960D9D" w14:paraId="7CAE09FE" w14:textId="2779CD9C">
      <w:pPr>
        <w:pStyle w:val="Tableheading"/>
      </w:pPr>
      <w:bookmarkStart w:name="_Toc198901884" w:id="153"/>
      <w:r w:rsidRPr="00F57044">
        <w:t xml:space="preserve">Table </w:t>
      </w:r>
      <w:r w:rsidRPr="00F57044" w:rsidR="00C7689E">
        <w:t>A2.1</w:t>
      </w:r>
      <w:r w:rsidRPr="00F57044">
        <w:t>:</w:t>
      </w:r>
      <w:r w:rsidRPr="00F57044" w:rsidR="00DB2436">
        <w:t xml:space="preserve"> </w:t>
      </w:r>
      <w:r w:rsidRPr="00F57044" w:rsidR="00C31713">
        <w:tab/>
      </w:r>
      <w:r w:rsidRPr="00F57044">
        <w:t>Considerations for determining unit limits and price control settings</w:t>
      </w:r>
      <w:bookmarkEnd w:id="153"/>
    </w:p>
    <w:tbl>
      <w:tblPr>
        <w:tblStyle w:val="LightList-Accent11"/>
        <w:tblW w:w="8505" w:type="dxa"/>
        <w:tblBorders>
          <w:top w:val="none" w:color="auto" w:sz="0" w:space="0"/>
          <w:left w:val="none" w:color="auto" w:sz="0" w:space="0"/>
          <w:bottom w:val="none" w:color="auto" w:sz="0" w:space="0"/>
          <w:right w:val="none" w:color="auto" w:sz="0" w:space="0"/>
          <w:insideH w:val="single" w:color="1B556B" w:themeColor="text2" w:sz="4" w:space="0"/>
          <w:insideV w:val="single" w:color="1B556B" w:themeColor="text2" w:sz="4" w:space="0"/>
        </w:tblBorders>
        <w:tblLayout w:type="fixed"/>
        <w:tblCellMar>
          <w:left w:w="85" w:type="dxa"/>
          <w:right w:w="85" w:type="dxa"/>
        </w:tblCellMar>
        <w:tblLook w:val="04A0" w:firstRow="1" w:lastRow="0" w:firstColumn="1" w:lastColumn="0" w:noHBand="0" w:noVBand="1"/>
      </w:tblPr>
      <w:tblGrid>
        <w:gridCol w:w="3969"/>
        <w:gridCol w:w="4536"/>
      </w:tblGrid>
      <w:tr w:rsidRPr="00F57044" w:rsidR="00A8095E" w:rsidTr="00FA5700" w14:paraId="6747FF5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1B556B" w:themeFill="text2"/>
          </w:tcPr>
          <w:p w:rsidRPr="00F57044" w:rsidR="00992166" w:rsidP="00A26C29" w:rsidRDefault="00992166" w14:paraId="3C3D2E66" w14:textId="3124C63B">
            <w:pPr>
              <w:pStyle w:val="TableText"/>
            </w:pPr>
            <w:r w:rsidRPr="00F57044">
              <w:t>Relevant matter in s</w:t>
            </w:r>
            <w:r w:rsidRPr="00F57044" w:rsidR="00427494">
              <w:t>ection</w:t>
            </w:r>
            <w:r w:rsidRPr="00F57044">
              <w:t xml:space="preserve"> 30GC of the </w:t>
            </w:r>
            <w:r w:rsidRPr="00F57044" w:rsidR="00CD19D3">
              <w:t>CCRA</w:t>
            </w:r>
          </w:p>
        </w:tc>
        <w:tc>
          <w:tcPr>
            <w:tcW w:w="4536" w:type="dxa"/>
            <w:shd w:val="clear" w:color="auto" w:fill="1B556B" w:themeFill="text2"/>
          </w:tcPr>
          <w:p w:rsidRPr="00F57044" w:rsidR="00992166" w:rsidP="00A26C29" w:rsidRDefault="00992166" w14:paraId="1229C3C4" w14:textId="1FFB95BA">
            <w:pPr>
              <w:pStyle w:val="TableText"/>
              <w:spacing w:before="40" w:after="40"/>
              <w:cnfStyle w:val="100000000000" w:firstRow="1" w:lastRow="0" w:firstColumn="0" w:lastColumn="0" w:oddVBand="0" w:evenVBand="0" w:oddHBand="0" w:evenHBand="0" w:firstRowFirstColumn="0" w:firstRowLastColumn="0" w:lastRowFirstColumn="0" w:lastRowLastColumn="0"/>
            </w:pPr>
            <w:r w:rsidRPr="00F57044">
              <w:t>Criteria that reflect this matter</w:t>
            </w:r>
          </w:p>
        </w:tc>
      </w:tr>
      <w:tr w:rsidRPr="00F57044" w:rsidR="006C1F9D" w:rsidTr="00FA5700" w14:paraId="08409B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BD4ED0" w:rsidP="00A26C29" w:rsidRDefault="00BD4ED0" w14:paraId="03EEB40A" w14:textId="0A85C64D">
            <w:pPr>
              <w:pStyle w:val="TableText"/>
            </w:pPr>
            <w:r w:rsidRPr="00F57044">
              <w:t>The Minister must be satisfied that the limits and price control settings are in accordance with:</w:t>
            </w:r>
          </w:p>
          <w:p w:rsidRPr="00F57044" w:rsidR="00BD4ED0" w:rsidP="00A26C29" w:rsidRDefault="00BD4ED0" w14:paraId="777D90F6" w14:textId="41A21F8A">
            <w:pPr>
              <w:pStyle w:val="TableText"/>
              <w:spacing w:before="0"/>
              <w:ind w:left="284" w:hanging="284"/>
            </w:pPr>
            <w:r w:rsidRPr="00F57044">
              <w:t xml:space="preserve">(a) </w:t>
            </w:r>
            <w:r w:rsidRPr="00F57044" w:rsidR="00A26C29">
              <w:tab/>
            </w:r>
            <w:r w:rsidRPr="00F57044">
              <w:t xml:space="preserve">the emissions budget and the </w:t>
            </w:r>
            <w:r w:rsidRPr="00F57044" w:rsidR="00321070">
              <w:t>NDC</w:t>
            </w:r>
          </w:p>
          <w:p w:rsidRPr="00F57044" w:rsidR="00992166" w:rsidP="00A26C29" w:rsidRDefault="00BD4ED0" w14:paraId="04B5469A" w14:textId="03A0C62E">
            <w:pPr>
              <w:pStyle w:val="TableText"/>
              <w:spacing w:before="0"/>
              <w:ind w:left="284" w:hanging="284"/>
            </w:pPr>
            <w:r w:rsidRPr="00F57044">
              <w:t xml:space="preserve">(b) </w:t>
            </w:r>
            <w:r w:rsidRPr="00F57044" w:rsidR="00A26C29">
              <w:tab/>
            </w:r>
            <w:r w:rsidRPr="00F57044">
              <w:t>the 2050 target</w:t>
            </w:r>
            <w:r w:rsidRPr="00F57044" w:rsidR="002C037D">
              <w:t>.</w:t>
            </w:r>
          </w:p>
        </w:tc>
        <w:tc>
          <w:tcPr>
            <w:tcW w:w="4536" w:type="dxa"/>
            <w:tcBorders>
              <w:top w:val="none" w:color="auto" w:sz="0" w:space="0"/>
              <w:bottom w:val="none" w:color="auto" w:sz="0" w:space="0"/>
              <w:right w:val="none" w:color="auto" w:sz="0" w:space="0"/>
            </w:tcBorders>
          </w:tcPr>
          <w:p w:rsidRPr="00F57044" w:rsidR="00992166" w:rsidP="00A26C29" w:rsidRDefault="007938BA" w14:paraId="39623965" w14:textId="42375A1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We used t</w:t>
            </w:r>
            <w:r w:rsidRPr="00F57044" w:rsidR="00BD4ED0">
              <w:t xml:space="preserve">he criterion </w:t>
            </w:r>
            <w:r w:rsidRPr="00F57044" w:rsidR="002C037D">
              <w:t>‘</w:t>
            </w:r>
            <w:r w:rsidRPr="00F57044" w:rsidR="00BD4ED0">
              <w:t>likelihood of incentivising (net) emissions reductions</w:t>
            </w:r>
            <w:r w:rsidRPr="00F57044" w:rsidR="002C037D">
              <w:t>’</w:t>
            </w:r>
            <w:r w:rsidRPr="00F57044" w:rsidR="00BD4ED0">
              <w:t xml:space="preserve"> </w:t>
            </w:r>
            <w:r w:rsidRPr="00F57044">
              <w:t>(</w:t>
            </w:r>
            <w:r w:rsidRPr="00F57044" w:rsidR="00BD4ED0">
              <w:t>table 1</w:t>
            </w:r>
            <w:r w:rsidRPr="00F57044">
              <w:t>)</w:t>
            </w:r>
            <w:r w:rsidRPr="00F57044" w:rsidR="00BD4ED0">
              <w:t xml:space="preserve"> to assess whether the option increases or decreases the likelihood </w:t>
            </w:r>
            <w:r w:rsidRPr="00F57044" w:rsidR="00427494">
              <w:t xml:space="preserve">of meeting </w:t>
            </w:r>
            <w:r w:rsidRPr="00F57044">
              <w:t xml:space="preserve">the </w:t>
            </w:r>
            <w:r w:rsidRPr="00F57044" w:rsidR="00BD4ED0">
              <w:t>budgets.</w:t>
            </w:r>
            <w:r w:rsidRPr="00F57044" w:rsidR="002C037D">
              <w:t xml:space="preserve"> </w:t>
            </w:r>
            <w:r w:rsidRPr="00F57044" w:rsidR="00BD4ED0">
              <w:t xml:space="preserve">This recognises a potential range of options that might </w:t>
            </w:r>
            <w:r w:rsidRPr="00F57044" w:rsidR="00E935C6">
              <w:t xml:space="preserve">align </w:t>
            </w:r>
            <w:r w:rsidRPr="00F57044" w:rsidR="00BD4ED0">
              <w:t xml:space="preserve">with </w:t>
            </w:r>
            <w:r w:rsidRPr="00F57044">
              <w:t xml:space="preserve">the </w:t>
            </w:r>
            <w:r w:rsidRPr="00F57044" w:rsidR="00BD4ED0">
              <w:t xml:space="preserve">budgets, but </w:t>
            </w:r>
            <w:r w:rsidRPr="00F57044">
              <w:t>with</w:t>
            </w:r>
            <w:r w:rsidRPr="00F57044" w:rsidR="00BD4ED0">
              <w:t xml:space="preserve"> different risk levels.</w:t>
            </w:r>
          </w:p>
        </w:tc>
      </w:tr>
      <w:tr w:rsidRPr="00F57044" w:rsidR="00992166" w:rsidTr="00FA5700" w14:paraId="15DE0FF8" w14:textId="77777777">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D2DDE1" w:themeFill="background2"/>
          </w:tcPr>
          <w:p w:rsidRPr="00F57044" w:rsidR="00992166" w:rsidP="00A26C29" w:rsidRDefault="00BD4ED0" w14:paraId="5B242CF8" w14:textId="2F0E549D">
            <w:pPr>
              <w:pStyle w:val="TableText"/>
              <w:spacing w:before="40" w:after="40"/>
            </w:pPr>
            <w:r w:rsidRPr="00F57044">
              <w:t>Matters the Minister must consider</w:t>
            </w:r>
          </w:p>
        </w:tc>
      </w:tr>
      <w:tr w:rsidRPr="00F57044" w:rsidR="006C1F9D" w:rsidTr="00FA5700" w14:paraId="76D818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992166" w:rsidP="00A26C29" w:rsidRDefault="00BD4ED0" w14:paraId="5D6AC2E8" w14:textId="3F6DBE7E">
            <w:pPr>
              <w:pStyle w:val="TableText"/>
              <w:spacing w:before="40" w:after="40"/>
            </w:pPr>
            <w:r w:rsidRPr="00F57044">
              <w:t xml:space="preserve">Projected trends in greenhouse gas emissions, </w:t>
            </w:r>
            <w:r w:rsidRPr="00F57044" w:rsidR="007938BA">
              <w:t xml:space="preserve">whether </w:t>
            </w:r>
            <w:r w:rsidRPr="00F57044">
              <w:t>covered</w:t>
            </w:r>
            <w:r w:rsidRPr="00F57044" w:rsidR="007938BA">
              <w:t xml:space="preserve"> </w:t>
            </w:r>
            <w:r w:rsidRPr="00F57044">
              <w:t>by the</w:t>
            </w:r>
            <w:r w:rsidRPr="00F57044" w:rsidR="00427494">
              <w:t xml:space="preserve"> New Zealand Emissions Trading Scheme</w:t>
            </w:r>
            <w:r w:rsidRPr="00F57044">
              <w:t xml:space="preserve"> </w:t>
            </w:r>
            <w:r w:rsidRPr="00F57044" w:rsidR="00427494">
              <w:t>(</w:t>
            </w:r>
            <w:r w:rsidRPr="00F57044" w:rsidDel="00321070">
              <w:t xml:space="preserve">NZ </w:t>
            </w:r>
            <w:r w:rsidRPr="00F57044">
              <w:t>ETS</w:t>
            </w:r>
            <w:r w:rsidRPr="00F57044" w:rsidR="00427494">
              <w:t>)</w:t>
            </w:r>
            <w:r w:rsidRPr="00F57044" w:rsidR="007938BA">
              <w:t xml:space="preserve"> or not</w:t>
            </w:r>
          </w:p>
        </w:tc>
        <w:tc>
          <w:tcPr>
            <w:tcW w:w="4536" w:type="dxa"/>
            <w:tcBorders>
              <w:top w:val="none" w:color="auto" w:sz="0" w:space="0"/>
              <w:bottom w:val="none" w:color="auto" w:sz="0" w:space="0"/>
              <w:right w:val="none" w:color="auto" w:sz="0" w:space="0"/>
            </w:tcBorders>
          </w:tcPr>
          <w:p w:rsidRPr="00F57044" w:rsidR="00992166" w:rsidP="00A26C29" w:rsidRDefault="00872B9D" w14:paraId="63C4254E" w14:textId="7435BEA0">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We considered this</w:t>
            </w:r>
            <w:r w:rsidRPr="00F57044" w:rsidR="00BD4ED0">
              <w:t xml:space="preserve"> when determining the unit limits as an input to emissions in and outside the </w:t>
            </w:r>
            <w:r w:rsidRPr="00F57044" w:rsidDel="00321070" w:rsidR="00BD4ED0">
              <w:t xml:space="preserve">NZ </w:t>
            </w:r>
            <w:r w:rsidRPr="00F57044" w:rsidR="00BD4ED0">
              <w:t>ETS</w:t>
            </w:r>
            <w:r w:rsidRPr="00F57044" w:rsidR="00CF7F19">
              <w:t xml:space="preserve"> (step 2)</w:t>
            </w:r>
            <w:r w:rsidRPr="00F57044" w:rsidR="00BD4ED0">
              <w:t>.</w:t>
            </w:r>
          </w:p>
        </w:tc>
      </w:tr>
      <w:tr w:rsidRPr="00F57044" w:rsidR="006C1F9D" w:rsidTr="00FA5700" w14:paraId="2A8C9791" w14:textId="77777777">
        <w:tc>
          <w:tcPr>
            <w:cnfStyle w:val="001000000000" w:firstRow="0" w:lastRow="0" w:firstColumn="1" w:lastColumn="0" w:oddVBand="0" w:evenVBand="0" w:oddHBand="0" w:evenHBand="0" w:firstRowFirstColumn="0" w:firstRowLastColumn="0" w:lastRowFirstColumn="0" w:lastRowLastColumn="0"/>
            <w:tcW w:w="3969" w:type="dxa"/>
          </w:tcPr>
          <w:p w:rsidRPr="00F57044" w:rsidR="00992166" w:rsidP="00A26C29" w:rsidRDefault="00BD4ED0" w14:paraId="61A79EF5" w14:textId="0958AA42">
            <w:pPr>
              <w:pStyle w:val="TableText"/>
              <w:spacing w:before="40" w:after="40"/>
            </w:pPr>
            <w:r w:rsidRPr="00F57044">
              <w:t xml:space="preserve">The proper functioning of the </w:t>
            </w:r>
            <w:r w:rsidRPr="00F57044" w:rsidDel="00321070">
              <w:t xml:space="preserve">NZ </w:t>
            </w:r>
            <w:r w:rsidRPr="00F57044">
              <w:t>ETS</w:t>
            </w:r>
          </w:p>
        </w:tc>
        <w:tc>
          <w:tcPr>
            <w:tcW w:w="4536" w:type="dxa"/>
          </w:tcPr>
          <w:p w:rsidRPr="00F57044" w:rsidR="00992166" w:rsidP="00A26C29" w:rsidRDefault="00872B9D" w14:paraId="768A1676" w14:textId="47AB693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F57044">
              <w:t>We considered this</w:t>
            </w:r>
            <w:r w:rsidRPr="00F57044" w:rsidR="00BD4ED0">
              <w:t xml:space="preserve"> as </w:t>
            </w:r>
            <w:r w:rsidRPr="00F57044" w:rsidR="008900F6">
              <w:t xml:space="preserve">the </w:t>
            </w:r>
            <w:r w:rsidRPr="00F57044" w:rsidR="00BD4ED0">
              <w:t>criterion</w:t>
            </w:r>
            <w:r w:rsidRPr="00F57044" w:rsidR="00321070">
              <w:t xml:space="preserve"> </w:t>
            </w:r>
            <w:r w:rsidRPr="00F57044" w:rsidR="008900F6">
              <w:t xml:space="preserve">‘Support for the proper functioning of the NZ ETS’ </w:t>
            </w:r>
            <w:r w:rsidRPr="00F57044">
              <w:t>(</w:t>
            </w:r>
            <w:r w:rsidRPr="00F57044" w:rsidR="00BD4ED0">
              <w:t>table 1</w:t>
            </w:r>
            <w:r w:rsidRPr="00F57044">
              <w:t>)</w:t>
            </w:r>
            <w:r w:rsidRPr="00F57044" w:rsidR="00BD4ED0">
              <w:t>.</w:t>
            </w:r>
          </w:p>
        </w:tc>
      </w:tr>
      <w:tr w:rsidRPr="00F57044" w:rsidR="006C1F9D" w:rsidTr="00FA5700" w14:paraId="082263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BD4ED0" w:rsidP="00A26C29" w:rsidRDefault="00BD4ED0" w14:paraId="77EBB3F3" w14:textId="4934BF71">
            <w:pPr>
              <w:pStyle w:val="TableText"/>
              <w:spacing w:before="40" w:after="40"/>
            </w:pPr>
            <w:r w:rsidRPr="00F57044">
              <w:t xml:space="preserve">International climate change obligations and contracts </w:t>
            </w:r>
            <w:r w:rsidRPr="00F57044" w:rsidR="00623CB7">
              <w:t xml:space="preserve">Aotearoa </w:t>
            </w:r>
            <w:r w:rsidRPr="00F57044">
              <w:t>New Zealand may have for accessing offshore mitigation from other carbon markets</w:t>
            </w:r>
          </w:p>
        </w:tc>
        <w:tc>
          <w:tcPr>
            <w:tcW w:w="4536" w:type="dxa"/>
            <w:tcBorders>
              <w:top w:val="none" w:color="auto" w:sz="0" w:space="0"/>
              <w:bottom w:val="none" w:color="auto" w:sz="0" w:space="0"/>
              <w:right w:val="none" w:color="auto" w:sz="0" w:space="0"/>
            </w:tcBorders>
          </w:tcPr>
          <w:p w:rsidRPr="00F57044" w:rsidR="00BD4ED0" w:rsidP="00A26C29" w:rsidRDefault="00BD4ED0" w14:paraId="286364E5" w14:textId="4FEB3684">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New Zealand has no current instruments or contracts with other jurisdictions to access emissions reductions in their carbon markets.</w:t>
            </w:r>
            <w:r w:rsidRPr="00F57044" w:rsidR="00D41760">
              <w:t xml:space="preserve"> </w:t>
            </w:r>
            <w:r w:rsidRPr="00F57044" w:rsidR="001B7656">
              <w:t xml:space="preserve">Officials are currently </w:t>
            </w:r>
            <w:r w:rsidRPr="00F57044" w:rsidR="35FB29F1">
              <w:t>focused on building capacity</w:t>
            </w:r>
            <w:r w:rsidRPr="00F57044" w:rsidR="001B7656">
              <w:t xml:space="preserve"> </w:t>
            </w:r>
            <w:r w:rsidRPr="00F57044" w:rsidR="35FB29F1">
              <w:t xml:space="preserve">in the international carbon market to support </w:t>
            </w:r>
            <w:r w:rsidRPr="00F57044" w:rsidR="23ACD0AE">
              <w:t>options</w:t>
            </w:r>
            <w:r w:rsidRPr="00F57044" w:rsidR="35FB29F1">
              <w:t xml:space="preserve"> for </w:t>
            </w:r>
            <w:r w:rsidRPr="00F57044" w:rsidR="00362FAA">
              <w:t xml:space="preserve">possible </w:t>
            </w:r>
            <w:r w:rsidRPr="00F57044" w:rsidR="00ED7369">
              <w:t>international</w:t>
            </w:r>
            <w:r w:rsidRPr="00F57044" w:rsidR="00362FAA">
              <w:t xml:space="preserve"> </w:t>
            </w:r>
            <w:r w:rsidRPr="00F57044" w:rsidR="00ED7369">
              <w:t>cooperation</w:t>
            </w:r>
            <w:r w:rsidRPr="00F57044" w:rsidR="00427494">
              <w:t xml:space="preserve"> in the future</w:t>
            </w:r>
            <w:r w:rsidRPr="00F57044" w:rsidR="00ED7369">
              <w:t>.</w:t>
            </w:r>
          </w:p>
        </w:tc>
      </w:tr>
      <w:tr w:rsidRPr="00F57044" w:rsidR="006C1F9D" w:rsidTr="00FA5700" w14:paraId="73F5E8D2" w14:textId="77777777">
        <w:tc>
          <w:tcPr>
            <w:cnfStyle w:val="001000000000" w:firstRow="0" w:lastRow="0" w:firstColumn="1" w:lastColumn="0" w:oddVBand="0" w:evenVBand="0" w:oddHBand="0" w:evenHBand="0" w:firstRowFirstColumn="0" w:firstRowLastColumn="0" w:lastRowFirstColumn="0" w:lastRowLastColumn="0"/>
            <w:tcW w:w="3969" w:type="dxa"/>
          </w:tcPr>
          <w:p w:rsidRPr="00F57044" w:rsidR="00BD4ED0" w:rsidP="00A26C29" w:rsidRDefault="00BD4ED0" w14:paraId="09EF2F08" w14:textId="119E5288">
            <w:pPr>
              <w:pStyle w:val="TableText"/>
              <w:spacing w:before="40" w:after="40"/>
            </w:pPr>
            <w:r w:rsidRPr="00F57044">
              <w:t>The forecast availability and cost of ways to reduce emissions that may be needed for New Zealand to meet its targets</w:t>
            </w:r>
          </w:p>
        </w:tc>
        <w:tc>
          <w:tcPr>
            <w:tcW w:w="4536" w:type="dxa"/>
          </w:tcPr>
          <w:p w:rsidRPr="00F57044" w:rsidR="00BD4ED0" w:rsidP="00A26C29" w:rsidRDefault="00BD4ED0" w14:paraId="37EC012D" w14:textId="7B55BAF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F57044">
              <w:t xml:space="preserve">This is derived from the policies and measures in </w:t>
            </w:r>
            <w:r w:rsidRPr="00F57044" w:rsidR="00427494">
              <w:t xml:space="preserve">the second emissions reduction plan </w:t>
            </w:r>
            <w:r w:rsidRPr="00F57044">
              <w:t xml:space="preserve">and is considered </w:t>
            </w:r>
            <w:r w:rsidRPr="00F57044" w:rsidR="00BC5B69">
              <w:t>as part of</w:t>
            </w:r>
            <w:r w:rsidRPr="00F57044">
              <w:t xml:space="preserve"> step</w:t>
            </w:r>
            <w:r w:rsidRPr="00F57044" w:rsidR="00321070">
              <w:t>s</w:t>
            </w:r>
            <w:r w:rsidRPr="00F57044">
              <w:t xml:space="preserve"> 1 and 2</w:t>
            </w:r>
            <w:r w:rsidRPr="00F57044" w:rsidR="00BC5B69">
              <w:t xml:space="preserve"> to </w:t>
            </w:r>
            <w:r w:rsidRPr="00F57044" w:rsidR="00B8733C">
              <w:t>calculate</w:t>
            </w:r>
            <w:r w:rsidRPr="00F57044" w:rsidR="00BC5B69">
              <w:t xml:space="preserve"> unit limits</w:t>
            </w:r>
            <w:r w:rsidRPr="00F57044">
              <w:t>.</w:t>
            </w:r>
          </w:p>
        </w:tc>
      </w:tr>
      <w:tr w:rsidRPr="00F57044" w:rsidR="006C1F9D" w:rsidTr="00FA5700" w14:paraId="42D35C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BD4ED0" w:rsidP="00A26C29" w:rsidRDefault="00BD4ED0" w14:paraId="1DC39770" w14:textId="78282F37">
            <w:pPr>
              <w:pStyle w:val="TableText"/>
              <w:spacing w:before="40" w:after="40"/>
            </w:pPr>
            <w:r w:rsidRPr="00F57044">
              <w:t>The recommendations by the Climate Change Commission</w:t>
            </w:r>
            <w:r w:rsidRPr="00F57044" w:rsidR="000C1042">
              <w:t xml:space="preserve"> (the Commission)</w:t>
            </w:r>
            <w:r w:rsidRPr="00F57044">
              <w:t xml:space="preserve"> under s</w:t>
            </w:r>
            <w:r w:rsidRPr="00F57044" w:rsidR="00427494">
              <w:t>ection</w:t>
            </w:r>
            <w:r w:rsidRPr="00F57044">
              <w:t xml:space="preserve"> 5ZOA</w:t>
            </w:r>
            <w:r w:rsidRPr="00F57044" w:rsidR="008C6E08">
              <w:t xml:space="preserve"> </w:t>
            </w:r>
            <w:r w:rsidRPr="00F57044">
              <w:t>of the</w:t>
            </w:r>
            <w:r w:rsidRPr="00F57044" w:rsidR="002762CB">
              <w:t xml:space="preserve"> </w:t>
            </w:r>
            <w:r w:rsidRPr="00F57044" w:rsidR="00427494">
              <w:t>CCRA</w:t>
            </w:r>
          </w:p>
        </w:tc>
        <w:tc>
          <w:tcPr>
            <w:tcW w:w="4536" w:type="dxa"/>
            <w:tcBorders>
              <w:top w:val="none" w:color="auto" w:sz="0" w:space="0"/>
              <w:bottom w:val="none" w:color="auto" w:sz="0" w:space="0"/>
              <w:right w:val="none" w:color="auto" w:sz="0" w:space="0"/>
            </w:tcBorders>
          </w:tcPr>
          <w:p w:rsidRPr="00F57044" w:rsidR="00BD4ED0" w:rsidP="00A26C29" w:rsidRDefault="00872B9D" w14:paraId="73955463" w14:textId="5899B20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We included t</w:t>
            </w:r>
            <w:r w:rsidRPr="00F57044" w:rsidR="00BD4ED0">
              <w:t xml:space="preserve">he Commission’s recommendations </w:t>
            </w:r>
            <w:r w:rsidRPr="00F57044">
              <w:t xml:space="preserve">in </w:t>
            </w:r>
            <w:r w:rsidRPr="00F57044" w:rsidR="00BD4ED0">
              <w:t xml:space="preserve">the options </w:t>
            </w:r>
            <w:r w:rsidRPr="00F57044" w:rsidR="003D751D">
              <w:t>for consultation in this document</w:t>
            </w:r>
            <w:r w:rsidRPr="00F57044" w:rsidR="00BD4ED0">
              <w:t>.</w:t>
            </w:r>
            <w:r w:rsidRPr="00F57044" w:rsidR="003D751D">
              <w:t xml:space="preserve"> </w:t>
            </w:r>
          </w:p>
        </w:tc>
      </w:tr>
      <w:tr w:rsidRPr="00F57044" w:rsidR="00BD4ED0" w:rsidTr="00FA5700" w14:paraId="56534320" w14:textId="77777777">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D2DDE1" w:themeFill="background2"/>
          </w:tcPr>
          <w:p w:rsidRPr="00F57044" w:rsidR="00BD4ED0" w:rsidP="00A26C29" w:rsidRDefault="00BD4ED0" w14:paraId="293E4E6C" w14:textId="22DB27E5">
            <w:pPr>
              <w:pStyle w:val="TableText"/>
              <w:spacing w:before="40" w:after="40"/>
            </w:pPr>
            <w:r w:rsidRPr="00F57044">
              <w:t>Additional matters the Minister must consider in analysing price control settings</w:t>
            </w:r>
          </w:p>
        </w:tc>
      </w:tr>
      <w:tr w:rsidRPr="00F57044" w:rsidR="006C1F9D" w:rsidTr="00FA5700" w14:paraId="49ADBD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BD4ED0" w:rsidP="00A26C29" w:rsidRDefault="00BD4ED0" w14:paraId="7699A739" w14:textId="40671C07">
            <w:pPr>
              <w:pStyle w:val="TableText"/>
              <w:spacing w:before="40" w:after="40"/>
            </w:pPr>
            <w:r w:rsidRPr="00F57044">
              <w:t>The impact of emissions prices on households and the economy</w:t>
            </w:r>
          </w:p>
        </w:tc>
        <w:tc>
          <w:tcPr>
            <w:tcW w:w="4536" w:type="dxa"/>
            <w:tcBorders>
              <w:top w:val="none" w:color="auto" w:sz="0" w:space="0"/>
              <w:bottom w:val="none" w:color="auto" w:sz="0" w:space="0"/>
              <w:right w:val="none" w:color="auto" w:sz="0" w:space="0"/>
            </w:tcBorders>
          </w:tcPr>
          <w:p w:rsidRPr="00F57044" w:rsidR="00BD4ED0" w:rsidP="00A26C29" w:rsidRDefault="00872B9D" w14:paraId="7FB1238C" w14:textId="3DC9CAC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We consider this</w:t>
            </w:r>
            <w:r w:rsidRPr="00F57044" w:rsidR="00BD4ED0">
              <w:t xml:space="preserve"> within the criterion </w:t>
            </w:r>
            <w:r w:rsidRPr="00F57044" w:rsidR="008C6E08">
              <w:t>‘</w:t>
            </w:r>
            <w:r w:rsidRPr="00F57044" w:rsidR="00BD4ED0">
              <w:t>Management of overall costs to the economy</w:t>
            </w:r>
            <w:r w:rsidRPr="00F57044" w:rsidR="008C6E08">
              <w:t xml:space="preserve"> </w:t>
            </w:r>
            <w:r w:rsidRPr="00F57044" w:rsidR="00BD4ED0">
              <w:t>and households</w:t>
            </w:r>
            <w:r w:rsidRPr="00F57044" w:rsidR="008C6E08">
              <w:t>’</w:t>
            </w:r>
            <w:r w:rsidRPr="00F57044" w:rsidR="00BD4ED0">
              <w:t xml:space="preserve"> </w:t>
            </w:r>
            <w:r w:rsidRPr="00F57044">
              <w:t>(</w:t>
            </w:r>
            <w:r w:rsidRPr="00F57044" w:rsidR="00BD4ED0">
              <w:t>table 1</w:t>
            </w:r>
            <w:r w:rsidRPr="00F57044">
              <w:t>)</w:t>
            </w:r>
            <w:r w:rsidRPr="00F57044" w:rsidR="00BD4ED0">
              <w:t>.</w:t>
            </w:r>
          </w:p>
        </w:tc>
      </w:tr>
      <w:tr w:rsidRPr="00F57044" w:rsidR="006C1F9D" w:rsidTr="00FA5700" w14:paraId="1641031C" w14:textId="77777777">
        <w:tc>
          <w:tcPr>
            <w:cnfStyle w:val="001000000000" w:firstRow="0" w:lastRow="0" w:firstColumn="1" w:lastColumn="0" w:oddVBand="0" w:evenVBand="0" w:oddHBand="0" w:evenHBand="0" w:firstRowFirstColumn="0" w:firstRowLastColumn="0" w:lastRowFirstColumn="0" w:lastRowLastColumn="0"/>
            <w:tcW w:w="3969" w:type="dxa"/>
          </w:tcPr>
          <w:p w:rsidRPr="00F57044" w:rsidR="00BD4ED0" w:rsidP="00A26C29" w:rsidRDefault="00BD4ED0" w14:paraId="14868CAC" w14:textId="5996E1DA">
            <w:pPr>
              <w:pStyle w:val="TableText"/>
              <w:spacing w:before="40" w:after="40"/>
            </w:pPr>
            <w:r w:rsidRPr="00F57044">
              <w:t>The level and trajectory of international emissions prices (including price controls in linked markets)</w:t>
            </w:r>
          </w:p>
        </w:tc>
        <w:tc>
          <w:tcPr>
            <w:tcW w:w="4536" w:type="dxa"/>
          </w:tcPr>
          <w:p w:rsidRPr="00F57044" w:rsidR="00BD4ED0" w:rsidP="00A26C29" w:rsidRDefault="00872B9D" w14:paraId="08CF5D75" w14:textId="2A53A0E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F57044">
              <w:t>We considered this</w:t>
            </w:r>
            <w:r w:rsidRPr="00F57044" w:rsidR="00BD4ED0">
              <w:t xml:space="preserve"> in the criterion </w:t>
            </w:r>
            <w:r w:rsidRPr="00F57044" w:rsidR="00427E39">
              <w:t>‘</w:t>
            </w:r>
            <w:r w:rsidRPr="00F57044" w:rsidR="00BD4ED0">
              <w:t>Support for consistency of NZU prices with the level and trajectory of international emissions prices</w:t>
            </w:r>
            <w:r w:rsidRPr="00F57044" w:rsidR="00427E39">
              <w:t>’</w:t>
            </w:r>
            <w:r w:rsidRPr="00F57044" w:rsidR="00BD4ED0">
              <w:t xml:space="preserve"> </w:t>
            </w:r>
            <w:r w:rsidRPr="00F57044">
              <w:t>(</w:t>
            </w:r>
            <w:r w:rsidRPr="00F57044" w:rsidR="00BD4ED0">
              <w:t>table 1</w:t>
            </w:r>
            <w:r w:rsidRPr="00F57044">
              <w:t>)</w:t>
            </w:r>
            <w:r w:rsidRPr="00F57044" w:rsidR="00BD4ED0">
              <w:t>.</w:t>
            </w:r>
          </w:p>
        </w:tc>
      </w:tr>
      <w:tr w:rsidRPr="00F57044" w:rsidR="006C1F9D" w:rsidTr="00FA5700" w14:paraId="460F9F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color="auto" w:sz="0" w:space="0"/>
              <w:left w:val="none" w:color="auto" w:sz="0" w:space="0"/>
              <w:bottom w:val="none" w:color="auto" w:sz="0" w:space="0"/>
            </w:tcBorders>
          </w:tcPr>
          <w:p w:rsidRPr="00F57044" w:rsidR="00BD4ED0" w:rsidP="00A26C29" w:rsidRDefault="00BD4ED0" w14:paraId="761B51A0" w14:textId="57677C53">
            <w:pPr>
              <w:pStyle w:val="TableText"/>
              <w:spacing w:before="40" w:after="40"/>
            </w:pPr>
            <w:r w:rsidRPr="00F57044">
              <w:t>Inflation</w:t>
            </w:r>
          </w:p>
        </w:tc>
        <w:tc>
          <w:tcPr>
            <w:tcW w:w="4536" w:type="dxa"/>
            <w:tcBorders>
              <w:top w:val="none" w:color="auto" w:sz="0" w:space="0"/>
              <w:bottom w:val="none" w:color="auto" w:sz="0" w:space="0"/>
              <w:right w:val="none" w:color="auto" w:sz="0" w:space="0"/>
            </w:tcBorders>
          </w:tcPr>
          <w:p w:rsidRPr="00F57044" w:rsidR="00BD4ED0" w:rsidP="00A26C29" w:rsidRDefault="00BD4ED0" w14:paraId="02E8D186" w14:textId="3F74DDE7">
            <w:pPr>
              <w:pStyle w:val="TableText"/>
              <w:spacing w:before="40" w:after="20"/>
              <w:cnfStyle w:val="000000100000" w:firstRow="0" w:lastRow="0" w:firstColumn="0" w:lastColumn="0" w:oddVBand="0" w:evenVBand="0" w:oddHBand="1" w:evenHBand="0" w:firstRowFirstColumn="0" w:firstRowLastColumn="0" w:lastRowFirstColumn="0" w:lastRowLastColumn="0"/>
            </w:pPr>
            <w:r w:rsidRPr="00F57044">
              <w:t>All price control options have been adjusted for forecast inflation.</w:t>
            </w:r>
          </w:p>
          <w:p w:rsidRPr="00F57044" w:rsidR="00BD4ED0" w:rsidP="00A26C29" w:rsidRDefault="00BD4ED0" w14:paraId="11174DC8" w14:textId="776C0F4F">
            <w:pPr>
              <w:pStyle w:val="TableText"/>
              <w:spacing w:before="40" w:after="40"/>
              <w:cnfStyle w:val="000000100000" w:firstRow="0" w:lastRow="0" w:firstColumn="0" w:lastColumn="0" w:oddVBand="0" w:evenVBand="0" w:oddHBand="1" w:evenHBand="0" w:firstRowFirstColumn="0" w:firstRowLastColumn="0" w:lastRowFirstColumn="0" w:lastRowLastColumn="0"/>
            </w:pPr>
            <w:r w:rsidRPr="00F57044">
              <w:t xml:space="preserve">Inflationary impacts of the NZU price are considered in the criterion </w:t>
            </w:r>
            <w:r w:rsidRPr="00F57044" w:rsidR="00427E39">
              <w:t>‘</w:t>
            </w:r>
            <w:r w:rsidRPr="00F57044">
              <w:t>Management of overall costs to the economy and households</w:t>
            </w:r>
            <w:r w:rsidRPr="00F57044" w:rsidR="00427E39">
              <w:t>’</w:t>
            </w:r>
            <w:r w:rsidRPr="00F57044">
              <w:t xml:space="preserve"> </w:t>
            </w:r>
            <w:r w:rsidRPr="00F57044" w:rsidR="00E679DA">
              <w:t>(</w:t>
            </w:r>
            <w:r w:rsidRPr="00F57044">
              <w:t>table 1</w:t>
            </w:r>
            <w:r w:rsidRPr="00F57044" w:rsidR="00E679DA">
              <w:t>)</w:t>
            </w:r>
            <w:r w:rsidRPr="00F57044">
              <w:t>.</w:t>
            </w:r>
          </w:p>
        </w:tc>
      </w:tr>
    </w:tbl>
    <w:p w:rsidRPr="00F57044" w:rsidR="00992166" w:rsidP="00A26C29" w:rsidRDefault="00992166" w14:paraId="29058A3B" w14:textId="5F4B7002">
      <w:pPr>
        <w:pStyle w:val="BodyText"/>
        <w:spacing w:after="0"/>
        <w:rPr>
          <w:highlight w:val="yellow"/>
        </w:rPr>
      </w:pPr>
    </w:p>
    <w:p w:rsidRPr="00F57044" w:rsidR="00D3795E" w:rsidP="00A26C29" w:rsidRDefault="00D3795E" w14:paraId="72C4B197" w14:textId="030C2A0D">
      <w:pPr>
        <w:pStyle w:val="Heading1"/>
        <w:pageBreakBefore/>
      </w:pPr>
      <w:bookmarkStart w:name="_Appendix_3:_Detailed" w:id="154"/>
      <w:bookmarkStart w:name="_Toc199231053" w:id="155"/>
      <w:bookmarkEnd w:id="154"/>
      <w:r w:rsidRPr="00F57044">
        <w:t xml:space="preserve">Appendix 3: Detailed impacts of </w:t>
      </w:r>
      <w:r w:rsidRPr="00F57044" w:rsidR="00852226">
        <w:t xml:space="preserve">options for </w:t>
      </w:r>
      <w:r w:rsidRPr="00F57044" w:rsidR="001502DC">
        <w:t>New Zealand Emissions Trading Scheme (</w:t>
      </w:r>
      <w:r w:rsidRPr="00F57044" w:rsidR="006A727D">
        <w:t>NZ</w:t>
      </w:r>
      <w:r w:rsidRPr="00F57044" w:rsidR="001502DC">
        <w:t> </w:t>
      </w:r>
      <w:r w:rsidRPr="00F57044">
        <w:t>ETS</w:t>
      </w:r>
      <w:r w:rsidRPr="00F57044" w:rsidR="001502DC">
        <w:t>)</w:t>
      </w:r>
      <w:r w:rsidRPr="00F57044">
        <w:t xml:space="preserve"> </w:t>
      </w:r>
      <w:r w:rsidRPr="00F57044" w:rsidR="00E679DA">
        <w:t>s</w:t>
      </w:r>
      <w:r w:rsidRPr="00F57044">
        <w:t>ettings</w:t>
      </w:r>
      <w:bookmarkEnd w:id="155"/>
      <w:r w:rsidRPr="00F57044">
        <w:t xml:space="preserve"> </w:t>
      </w:r>
    </w:p>
    <w:p w:rsidRPr="00F57044" w:rsidR="004047FE" w:rsidP="00DF7CB1" w:rsidRDefault="004047FE" w14:paraId="0454EDB0" w14:textId="57D85B60">
      <w:pPr>
        <w:pStyle w:val="Tableheading"/>
        <w:rPr>
          <w:bCs/>
        </w:rPr>
      </w:pPr>
      <w:bookmarkStart w:name="_Toc198901885" w:id="156"/>
      <w:r w:rsidRPr="00F57044">
        <w:t xml:space="preserve">Table </w:t>
      </w:r>
      <w:r w:rsidRPr="00F57044" w:rsidR="00DF7CB1">
        <w:t>A3.1</w:t>
      </w:r>
      <w:r w:rsidRPr="00F57044" w:rsidR="00167952">
        <w:t xml:space="preserve">: </w:t>
      </w:r>
      <w:r w:rsidRPr="00F57044" w:rsidR="00083CB4">
        <w:tab/>
      </w:r>
      <w:r w:rsidRPr="00F57044">
        <w:t xml:space="preserve">Estimated </w:t>
      </w:r>
      <w:r w:rsidRPr="00F57044" w:rsidR="00DF7CB1">
        <w:t xml:space="preserve">NZ </w:t>
      </w:r>
      <w:r w:rsidRPr="00F57044">
        <w:t xml:space="preserve">ETS cost to households (2025 dollars and as </w:t>
      </w:r>
      <w:r w:rsidRPr="00F57044" w:rsidR="00DF7CB1">
        <w:t xml:space="preserve">percentage </w:t>
      </w:r>
      <w:r w:rsidRPr="00F57044">
        <w:t>of gross income)</w:t>
      </w:r>
      <w:bookmarkEnd w:id="156"/>
      <w:r w:rsidRPr="00F57044">
        <w:rPr>
          <w:bCs/>
        </w:rPr>
        <w:t xml:space="preserve"> </w:t>
      </w:r>
    </w:p>
    <w:tbl>
      <w:tblPr>
        <w:tblStyle w:val="TableGrid"/>
        <w:tblW w:w="0" w:type="auto"/>
        <w:tblBorders>
          <w:top w:val="none" w:color="auto" w:sz="0"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1960"/>
        <w:gridCol w:w="592"/>
        <w:gridCol w:w="2551"/>
        <w:gridCol w:w="1134"/>
        <w:gridCol w:w="993"/>
        <w:gridCol w:w="1275"/>
      </w:tblGrid>
      <w:tr w:rsidRPr="00F57044" w:rsidR="00464F07" w:rsidTr="00B91286" w14:paraId="4B20BCF3" w14:textId="77777777">
        <w:tc>
          <w:tcPr>
            <w:tcW w:w="2552" w:type="dxa"/>
            <w:gridSpan w:val="2"/>
            <w:vMerge w:val="restart"/>
            <w:shd w:val="clear" w:color="auto" w:fill="1B556B"/>
            <w:vAlign w:val="bottom"/>
          </w:tcPr>
          <w:p w:rsidRPr="00F57044" w:rsidR="00464F07" w:rsidRDefault="00464F07" w14:paraId="0ABDAA1F" w14:textId="70D29A2D">
            <w:pPr>
              <w:pStyle w:val="TableText"/>
              <w:rPr>
                <w:b/>
                <w:color w:val="FFFFFF" w:themeColor="background1"/>
              </w:rPr>
            </w:pPr>
            <w:r w:rsidRPr="00F57044">
              <w:rPr>
                <w:b/>
                <w:color w:val="FFFFFF" w:themeColor="background1"/>
              </w:rPr>
              <w:t>Actual / projected NZU price</w:t>
            </w:r>
          </w:p>
        </w:tc>
        <w:tc>
          <w:tcPr>
            <w:tcW w:w="2551" w:type="dxa"/>
            <w:vMerge w:val="restart"/>
            <w:shd w:val="clear" w:color="auto" w:fill="1B556B"/>
            <w:vAlign w:val="bottom"/>
          </w:tcPr>
          <w:p w:rsidRPr="00F57044" w:rsidR="00464F07" w:rsidRDefault="00464F07" w14:paraId="2934295A" w14:textId="53A94456">
            <w:pPr>
              <w:pStyle w:val="TableText"/>
              <w:rPr>
                <w:b/>
                <w:color w:val="FFFFFF" w:themeColor="background1"/>
              </w:rPr>
            </w:pPr>
            <w:r w:rsidRPr="00F57044">
              <w:rPr>
                <w:b/>
                <w:color w:val="FFFFFF" w:themeColor="background1"/>
              </w:rPr>
              <w:t>Modelling scenario</w:t>
            </w:r>
          </w:p>
        </w:tc>
        <w:tc>
          <w:tcPr>
            <w:tcW w:w="3402" w:type="dxa"/>
            <w:gridSpan w:val="3"/>
            <w:shd w:val="clear" w:color="auto" w:fill="1B556B"/>
            <w:vAlign w:val="bottom"/>
          </w:tcPr>
          <w:p w:rsidRPr="00F57044" w:rsidR="00464F07" w:rsidP="00A26C29" w:rsidRDefault="00464F07" w14:paraId="51231D1D" w14:textId="27E86BEF">
            <w:pPr>
              <w:pStyle w:val="TableText"/>
              <w:spacing w:after="0"/>
              <w:jc w:val="center"/>
              <w:rPr>
                <w:b/>
                <w:color w:val="FFFFFF" w:themeColor="background1"/>
              </w:rPr>
            </w:pPr>
            <w:r w:rsidRPr="00F57044">
              <w:rPr>
                <w:b/>
                <w:color w:val="FFFFFF" w:themeColor="background1"/>
              </w:rPr>
              <w:t>Household by income</w:t>
            </w:r>
          </w:p>
        </w:tc>
      </w:tr>
      <w:tr w:rsidRPr="00F57044" w:rsidR="00464F07" w:rsidTr="00B91286" w14:paraId="0BD717DE" w14:textId="77777777">
        <w:tc>
          <w:tcPr>
            <w:tcW w:w="2552" w:type="dxa"/>
            <w:gridSpan w:val="2"/>
            <w:vMerge/>
            <w:shd w:val="clear" w:color="auto" w:fill="1B556B"/>
            <w:vAlign w:val="bottom"/>
          </w:tcPr>
          <w:p w:rsidRPr="00F57044" w:rsidR="00464F07" w:rsidRDefault="00464F07" w14:paraId="41FD80D5" w14:textId="72AB5D0B">
            <w:pPr>
              <w:pStyle w:val="TableText"/>
              <w:rPr>
                <w:b/>
                <w:color w:val="FFFFFF" w:themeColor="background1"/>
              </w:rPr>
            </w:pPr>
          </w:p>
        </w:tc>
        <w:tc>
          <w:tcPr>
            <w:tcW w:w="2551" w:type="dxa"/>
            <w:vMerge/>
            <w:shd w:val="clear" w:color="auto" w:fill="1B556B"/>
            <w:vAlign w:val="bottom"/>
          </w:tcPr>
          <w:p w:rsidRPr="00F57044" w:rsidR="00464F07" w:rsidRDefault="00464F07" w14:paraId="35443AF4" w14:textId="331D7113">
            <w:pPr>
              <w:pStyle w:val="TableText"/>
              <w:rPr>
                <w:b/>
                <w:color w:val="FFFFFF" w:themeColor="background1"/>
              </w:rPr>
            </w:pPr>
          </w:p>
        </w:tc>
        <w:tc>
          <w:tcPr>
            <w:tcW w:w="1134" w:type="dxa"/>
            <w:shd w:val="clear" w:color="auto" w:fill="1B556B"/>
            <w:vAlign w:val="bottom"/>
          </w:tcPr>
          <w:p w:rsidRPr="00F57044" w:rsidR="00464F07" w:rsidP="00A26C29" w:rsidRDefault="00464F07" w14:paraId="159678BC" w14:textId="321D14AB">
            <w:pPr>
              <w:pStyle w:val="TableText"/>
              <w:spacing w:before="0"/>
              <w:rPr>
                <w:b/>
                <w:color w:val="FFFFFF" w:themeColor="background1"/>
              </w:rPr>
            </w:pPr>
            <w:r w:rsidRPr="00F57044">
              <w:rPr>
                <w:b/>
                <w:color w:val="FFFFFF" w:themeColor="background1"/>
              </w:rPr>
              <w:t xml:space="preserve">Lowest </w:t>
            </w:r>
            <w:r w:rsidRPr="00F57044">
              <w:rPr>
                <w:b/>
                <w:color w:val="FFFFFF" w:themeColor="background1"/>
              </w:rPr>
              <w:br/>
            </w:r>
            <w:r w:rsidRPr="00F57044">
              <w:rPr>
                <w:b/>
                <w:color w:val="FFFFFF" w:themeColor="background1"/>
              </w:rPr>
              <w:t>(Decile 1/2)</w:t>
            </w:r>
          </w:p>
        </w:tc>
        <w:tc>
          <w:tcPr>
            <w:tcW w:w="993" w:type="dxa"/>
            <w:shd w:val="clear" w:color="auto" w:fill="1B556B"/>
            <w:vAlign w:val="bottom"/>
          </w:tcPr>
          <w:p w:rsidRPr="00F57044" w:rsidR="00464F07" w:rsidP="00A26C29" w:rsidRDefault="00464F07" w14:paraId="48A292D2" w14:textId="66EEC3C0">
            <w:pPr>
              <w:pStyle w:val="TableText"/>
              <w:spacing w:before="0"/>
              <w:rPr>
                <w:b/>
                <w:color w:val="FFFFFF" w:themeColor="background1"/>
              </w:rPr>
            </w:pPr>
            <w:r w:rsidRPr="00F57044">
              <w:rPr>
                <w:b/>
                <w:color w:val="FFFFFF" w:themeColor="background1"/>
              </w:rPr>
              <w:t xml:space="preserve">Average </w:t>
            </w:r>
          </w:p>
        </w:tc>
        <w:tc>
          <w:tcPr>
            <w:tcW w:w="1275" w:type="dxa"/>
            <w:shd w:val="clear" w:color="auto" w:fill="1B556B"/>
            <w:vAlign w:val="bottom"/>
          </w:tcPr>
          <w:p w:rsidRPr="00F57044" w:rsidR="00464F07" w:rsidP="00A26C29" w:rsidRDefault="00464F07" w14:paraId="1FE769EB" w14:textId="6B3094D7">
            <w:pPr>
              <w:pStyle w:val="TableText"/>
              <w:spacing w:before="0"/>
              <w:rPr>
                <w:b/>
                <w:color w:val="FFFFFF" w:themeColor="background1"/>
              </w:rPr>
            </w:pPr>
            <w:r w:rsidRPr="00F57044">
              <w:rPr>
                <w:b/>
                <w:color w:val="FFFFFF" w:themeColor="background1"/>
              </w:rPr>
              <w:t xml:space="preserve">Highest </w:t>
            </w:r>
            <w:r w:rsidRPr="00F57044">
              <w:rPr>
                <w:b/>
                <w:color w:val="FFFFFF" w:themeColor="background1"/>
              </w:rPr>
              <w:br/>
            </w:r>
            <w:r w:rsidRPr="00F57044">
              <w:rPr>
                <w:b/>
                <w:color w:val="FFFFFF" w:themeColor="background1"/>
              </w:rPr>
              <w:t>(Decile 9/10)</w:t>
            </w:r>
          </w:p>
        </w:tc>
      </w:tr>
      <w:tr w:rsidRPr="00F57044" w:rsidR="00464F07" w:rsidTr="00B91286" w14:paraId="4631F97F" w14:textId="77777777">
        <w:tc>
          <w:tcPr>
            <w:tcW w:w="1960" w:type="dxa"/>
          </w:tcPr>
          <w:p w:rsidRPr="00F57044" w:rsidR="00464F07" w:rsidP="00A26C29" w:rsidRDefault="00464F07" w14:paraId="55BB5BAA" w14:textId="732EFCAD">
            <w:pPr>
              <w:pStyle w:val="TableText"/>
            </w:pPr>
            <w:r w:rsidRPr="00F57044">
              <w:t>At current prices</w:t>
            </w:r>
          </w:p>
        </w:tc>
        <w:tc>
          <w:tcPr>
            <w:tcW w:w="592" w:type="dxa"/>
          </w:tcPr>
          <w:p w:rsidRPr="00F57044" w:rsidR="00464F07" w:rsidP="00A26C29" w:rsidRDefault="00464F07" w14:paraId="0FB8758F" w14:textId="6184CE29">
            <w:pPr>
              <w:pStyle w:val="TableText"/>
            </w:pPr>
            <w:r w:rsidRPr="00F57044">
              <w:t>$50</w:t>
            </w:r>
          </w:p>
        </w:tc>
        <w:tc>
          <w:tcPr>
            <w:tcW w:w="2551" w:type="dxa"/>
          </w:tcPr>
          <w:p w:rsidRPr="00F57044" w:rsidR="00464F07" w:rsidP="00A26C29" w:rsidRDefault="00464F07" w14:paraId="32829889" w14:textId="3EE5E285">
            <w:pPr>
              <w:pStyle w:val="TableText"/>
            </w:pPr>
          </w:p>
        </w:tc>
        <w:tc>
          <w:tcPr>
            <w:tcW w:w="1134" w:type="dxa"/>
          </w:tcPr>
          <w:p w:rsidRPr="00F57044" w:rsidR="00464F07" w:rsidP="00A26C29" w:rsidRDefault="00464F07" w14:paraId="6454F3E3" w14:textId="0F79FFFD">
            <w:pPr>
              <w:pStyle w:val="TableText"/>
            </w:pPr>
            <w:r w:rsidRPr="00F57044">
              <w:t xml:space="preserve">240–280 </w:t>
            </w:r>
            <w:r w:rsidRPr="00F57044" w:rsidR="00A26C29">
              <w:br/>
            </w:r>
            <w:r w:rsidRPr="00F57044">
              <w:t>(0.8%)</w:t>
            </w:r>
          </w:p>
        </w:tc>
        <w:tc>
          <w:tcPr>
            <w:tcW w:w="993" w:type="dxa"/>
          </w:tcPr>
          <w:p w:rsidRPr="00F57044" w:rsidR="00464F07" w:rsidP="00A26C29" w:rsidRDefault="00464F07" w14:paraId="3D85B7FB" w14:textId="4B8C9CDF">
            <w:pPr>
              <w:pStyle w:val="TableText"/>
            </w:pPr>
            <w:r w:rsidRPr="00F57044">
              <w:t>450</w:t>
            </w:r>
            <w:r w:rsidRPr="00F57044" w:rsidR="00A26C29">
              <w:br/>
            </w:r>
            <w:r w:rsidRPr="00F57044">
              <w:t>(0.4%)</w:t>
            </w:r>
          </w:p>
        </w:tc>
        <w:tc>
          <w:tcPr>
            <w:tcW w:w="1275" w:type="dxa"/>
          </w:tcPr>
          <w:p w:rsidRPr="00F57044" w:rsidR="00464F07" w:rsidP="00A26C29" w:rsidRDefault="00464F07" w14:paraId="067B6081" w14:textId="53355126">
            <w:pPr>
              <w:pStyle w:val="TableText"/>
            </w:pPr>
            <w:r w:rsidRPr="00F57044">
              <w:t>640–780</w:t>
            </w:r>
            <w:r w:rsidRPr="00F57044" w:rsidR="00A26C29">
              <w:br/>
            </w:r>
            <w:r w:rsidRPr="00F57044">
              <w:t>(0.4%)</w:t>
            </w:r>
          </w:p>
        </w:tc>
      </w:tr>
      <w:tr w:rsidRPr="00F57044" w:rsidR="00464F07" w:rsidTr="00B91286" w14:paraId="37518A15" w14:textId="77777777">
        <w:tc>
          <w:tcPr>
            <w:tcW w:w="1960" w:type="dxa"/>
            <w:vMerge w:val="restart"/>
          </w:tcPr>
          <w:p w:rsidRPr="00F57044" w:rsidR="00464F07" w:rsidP="00A26C29" w:rsidRDefault="00464F07" w14:paraId="063D65AA" w14:textId="5F919A0E">
            <w:pPr>
              <w:pStyle w:val="TableText"/>
            </w:pPr>
            <w:r w:rsidRPr="00F57044">
              <w:t>In 2030 at modelled price</w:t>
            </w:r>
          </w:p>
        </w:tc>
        <w:tc>
          <w:tcPr>
            <w:tcW w:w="592" w:type="dxa"/>
          </w:tcPr>
          <w:p w:rsidRPr="00F57044" w:rsidR="00464F07" w:rsidP="00A26C29" w:rsidRDefault="00464F07" w14:paraId="7C71ED24" w14:textId="1800CD94">
            <w:pPr>
              <w:pStyle w:val="TableText"/>
            </w:pPr>
            <w:r w:rsidRPr="00F57044">
              <w:t>$83</w:t>
            </w:r>
          </w:p>
        </w:tc>
        <w:tc>
          <w:tcPr>
            <w:tcW w:w="2551" w:type="dxa"/>
          </w:tcPr>
          <w:p w:rsidRPr="00F57044" w:rsidR="00464F07" w:rsidP="00A26C29" w:rsidRDefault="00464F07" w14:paraId="39A37BBC" w14:textId="0A692870">
            <w:pPr>
              <w:pStyle w:val="TableText"/>
            </w:pPr>
            <w:r w:rsidRPr="00F57044">
              <w:t>Options 1 and 2 if stockpile liquidity is relatively high</w:t>
            </w:r>
          </w:p>
        </w:tc>
        <w:tc>
          <w:tcPr>
            <w:tcW w:w="1134" w:type="dxa"/>
          </w:tcPr>
          <w:p w:rsidRPr="00F57044" w:rsidR="00464F07" w:rsidP="00A26C29" w:rsidRDefault="00934335" w14:paraId="45CEAAFE" w14:textId="6BDD32A8">
            <w:pPr>
              <w:pStyle w:val="TableText"/>
            </w:pPr>
            <w:r w:rsidRPr="00F57044">
              <w:t>3</w:t>
            </w:r>
            <w:r w:rsidRPr="00F57044" w:rsidR="00F738D8">
              <w:t>4</w:t>
            </w:r>
            <w:r w:rsidRPr="00F57044" w:rsidDel="00F738D8">
              <w:t>0</w:t>
            </w:r>
            <w:r w:rsidRPr="00F57044" w:rsidR="00464F07">
              <w:t>–</w:t>
            </w:r>
            <w:r w:rsidRPr="00F57044">
              <w:t>400</w:t>
            </w:r>
            <w:r w:rsidRPr="00F57044" w:rsidR="00A26C29">
              <w:br/>
            </w:r>
            <w:r w:rsidRPr="00F57044" w:rsidR="00464F07">
              <w:t>(1.2%)</w:t>
            </w:r>
          </w:p>
        </w:tc>
        <w:tc>
          <w:tcPr>
            <w:tcW w:w="993" w:type="dxa"/>
          </w:tcPr>
          <w:p w:rsidRPr="00F57044" w:rsidR="00464F07" w:rsidP="00A26C29" w:rsidRDefault="00464F07" w14:paraId="458D1523" w14:textId="5B876072">
            <w:pPr>
              <w:pStyle w:val="TableText"/>
            </w:pPr>
            <w:r w:rsidRPr="00F57044">
              <w:t>650</w:t>
            </w:r>
            <w:r w:rsidRPr="00F57044" w:rsidR="00A26C29">
              <w:br/>
            </w:r>
            <w:r w:rsidRPr="00F57044">
              <w:t>(0.5%)</w:t>
            </w:r>
          </w:p>
        </w:tc>
        <w:tc>
          <w:tcPr>
            <w:tcW w:w="1275" w:type="dxa"/>
          </w:tcPr>
          <w:p w:rsidRPr="00F57044" w:rsidR="00464F07" w:rsidP="00A26C29" w:rsidRDefault="00464F07" w14:paraId="0E719AEF" w14:textId="687A432F">
            <w:pPr>
              <w:pStyle w:val="TableText"/>
            </w:pPr>
            <w:r w:rsidRPr="00F57044">
              <w:t>920–1,120</w:t>
            </w:r>
            <w:r w:rsidRPr="00F57044" w:rsidR="00A26C29">
              <w:br/>
            </w:r>
            <w:r w:rsidRPr="00F57044">
              <w:t>(0.5%)</w:t>
            </w:r>
          </w:p>
        </w:tc>
      </w:tr>
      <w:tr w:rsidRPr="00F57044" w:rsidR="00464F07" w:rsidTr="00B91286" w14:paraId="19762957" w14:textId="77777777">
        <w:tc>
          <w:tcPr>
            <w:tcW w:w="1960" w:type="dxa"/>
            <w:vMerge/>
          </w:tcPr>
          <w:p w:rsidRPr="00F57044" w:rsidR="00464F07" w:rsidP="00A26C29" w:rsidRDefault="00464F07" w14:paraId="4E2B1780" w14:textId="576CF072">
            <w:pPr>
              <w:pStyle w:val="TableText"/>
            </w:pPr>
          </w:p>
        </w:tc>
        <w:tc>
          <w:tcPr>
            <w:tcW w:w="592" w:type="dxa"/>
          </w:tcPr>
          <w:p w:rsidRPr="00F57044" w:rsidR="00464F07" w:rsidP="00A26C29" w:rsidRDefault="00464F07" w14:paraId="66317B77" w14:textId="09C0FFED">
            <w:pPr>
              <w:pStyle w:val="TableText"/>
            </w:pPr>
            <w:r w:rsidRPr="00F57044">
              <w:t xml:space="preserve">$90 </w:t>
            </w:r>
          </w:p>
        </w:tc>
        <w:tc>
          <w:tcPr>
            <w:tcW w:w="2551" w:type="dxa"/>
          </w:tcPr>
          <w:p w:rsidRPr="00F57044" w:rsidR="00464F07" w:rsidP="00A26C29" w:rsidRDefault="00464F07" w14:paraId="135A68A3" w14:textId="08151CAB">
            <w:pPr>
              <w:pStyle w:val="TableText"/>
            </w:pPr>
            <w:r w:rsidRPr="00F57044">
              <w:t>Option 2 if 2025 auctions do not clear</w:t>
            </w:r>
          </w:p>
        </w:tc>
        <w:tc>
          <w:tcPr>
            <w:tcW w:w="1134" w:type="dxa"/>
          </w:tcPr>
          <w:p w:rsidRPr="00F57044" w:rsidR="00464F07" w:rsidP="00A26C29" w:rsidRDefault="00464F07" w14:paraId="05720598" w14:textId="4DE69BBE">
            <w:pPr>
              <w:pStyle w:val="TableText"/>
            </w:pPr>
            <w:r w:rsidRPr="00F57044">
              <w:t>370–440</w:t>
            </w:r>
            <w:r w:rsidRPr="00F57044" w:rsidR="00A26C29">
              <w:br/>
            </w:r>
            <w:r w:rsidRPr="00F57044">
              <w:t>(1.3%)</w:t>
            </w:r>
          </w:p>
        </w:tc>
        <w:tc>
          <w:tcPr>
            <w:tcW w:w="993" w:type="dxa"/>
          </w:tcPr>
          <w:p w:rsidRPr="00F57044" w:rsidR="00464F07" w:rsidP="00A26C29" w:rsidRDefault="00464F07" w14:paraId="6ACAF86B" w14:textId="3C015776">
            <w:pPr>
              <w:pStyle w:val="TableText"/>
            </w:pPr>
            <w:r w:rsidRPr="00F57044">
              <w:t>710</w:t>
            </w:r>
            <w:r w:rsidRPr="00F57044" w:rsidR="00A26C29">
              <w:br/>
            </w:r>
            <w:r w:rsidRPr="00F57044">
              <w:t>(0.6%)</w:t>
            </w:r>
          </w:p>
        </w:tc>
        <w:tc>
          <w:tcPr>
            <w:tcW w:w="1275" w:type="dxa"/>
          </w:tcPr>
          <w:p w:rsidRPr="00F57044" w:rsidR="00464F07" w:rsidP="00A26C29" w:rsidRDefault="00464F07" w14:paraId="7DDCC4C8" w14:textId="5B64C79C">
            <w:pPr>
              <w:pStyle w:val="TableText"/>
            </w:pPr>
            <w:r w:rsidRPr="00F57044">
              <w:t>1,010–1,240</w:t>
            </w:r>
            <w:r w:rsidRPr="00F57044" w:rsidR="00A26C29">
              <w:br/>
            </w:r>
            <w:r w:rsidRPr="00F57044">
              <w:t>(0.6%)</w:t>
            </w:r>
          </w:p>
        </w:tc>
      </w:tr>
      <w:tr w:rsidRPr="00F57044" w:rsidR="00464F07" w:rsidTr="00B91286" w14:paraId="2EE32DC9" w14:textId="77777777">
        <w:tc>
          <w:tcPr>
            <w:tcW w:w="1960" w:type="dxa"/>
            <w:vMerge/>
          </w:tcPr>
          <w:p w:rsidRPr="00F57044" w:rsidR="00464F07" w:rsidP="00A26C29" w:rsidRDefault="00464F07" w14:paraId="651CABAC" w14:textId="4147EEC6">
            <w:pPr>
              <w:pStyle w:val="TableText"/>
            </w:pPr>
          </w:p>
        </w:tc>
        <w:tc>
          <w:tcPr>
            <w:tcW w:w="592" w:type="dxa"/>
          </w:tcPr>
          <w:p w:rsidRPr="00F57044" w:rsidR="00464F07" w:rsidP="00A26C29" w:rsidRDefault="00464F07" w14:paraId="17F2C0C0" w14:textId="3ED86814">
            <w:pPr>
              <w:pStyle w:val="TableText"/>
            </w:pPr>
            <w:r w:rsidRPr="00F57044">
              <w:t>$1</w:t>
            </w:r>
            <w:r w:rsidRPr="00F57044" w:rsidR="00991EA3">
              <w:t>14</w:t>
            </w:r>
          </w:p>
        </w:tc>
        <w:tc>
          <w:tcPr>
            <w:tcW w:w="2551" w:type="dxa"/>
          </w:tcPr>
          <w:p w:rsidRPr="00F57044" w:rsidR="00464F07" w:rsidP="00A26C29" w:rsidRDefault="00464F07" w14:paraId="56D9425E" w14:textId="7E5B7EBF">
            <w:pPr>
              <w:pStyle w:val="TableText"/>
            </w:pPr>
            <w:r w:rsidRPr="00F57044">
              <w:t>Option 1 under moderate stockpile liquidity</w:t>
            </w:r>
          </w:p>
        </w:tc>
        <w:tc>
          <w:tcPr>
            <w:tcW w:w="1134" w:type="dxa"/>
          </w:tcPr>
          <w:p w:rsidRPr="00F57044" w:rsidR="00464F07" w:rsidP="00A26C29" w:rsidRDefault="00464F07" w14:paraId="4776C413" w14:textId="5E992B4F">
            <w:pPr>
              <w:pStyle w:val="TableText"/>
            </w:pPr>
            <w:r w:rsidRPr="00F57044">
              <w:t>4</w:t>
            </w:r>
            <w:r w:rsidRPr="00F57044" w:rsidR="00836D18">
              <w:t>7</w:t>
            </w:r>
            <w:r w:rsidRPr="00F57044">
              <w:t>0–</w:t>
            </w:r>
            <w:r w:rsidRPr="00F57044" w:rsidR="00836D18">
              <w:t>550</w:t>
            </w:r>
            <w:r w:rsidRPr="00F57044" w:rsidR="00A26C29">
              <w:br/>
            </w:r>
            <w:r w:rsidRPr="00F57044">
              <w:t>(1.</w:t>
            </w:r>
            <w:r w:rsidRPr="00F57044" w:rsidR="00CD2AA9">
              <w:t>7</w:t>
            </w:r>
            <w:r w:rsidRPr="00F57044">
              <w:t>%)</w:t>
            </w:r>
          </w:p>
        </w:tc>
        <w:tc>
          <w:tcPr>
            <w:tcW w:w="993" w:type="dxa"/>
          </w:tcPr>
          <w:p w:rsidRPr="00F57044" w:rsidR="00464F07" w:rsidP="00A26C29" w:rsidRDefault="005133DF" w14:paraId="4A990011" w14:textId="5D4BD134">
            <w:pPr>
              <w:pStyle w:val="TableText"/>
            </w:pPr>
            <w:r w:rsidRPr="00F57044">
              <w:t>900</w:t>
            </w:r>
            <w:r w:rsidRPr="00F57044" w:rsidR="00A26C29">
              <w:br/>
            </w:r>
            <w:r w:rsidRPr="00F57044" w:rsidR="00464F07">
              <w:t>(0.7%)</w:t>
            </w:r>
          </w:p>
        </w:tc>
        <w:tc>
          <w:tcPr>
            <w:tcW w:w="1275" w:type="dxa"/>
          </w:tcPr>
          <w:p w:rsidRPr="00F57044" w:rsidR="00464F07" w:rsidP="00A26C29" w:rsidRDefault="00464F07" w14:paraId="408E51C1" w14:textId="30BCF1EE">
            <w:pPr>
              <w:pStyle w:val="TableText"/>
            </w:pPr>
            <w:r w:rsidRPr="00F57044">
              <w:t>1,</w:t>
            </w:r>
            <w:r w:rsidRPr="00F57044" w:rsidR="00633EBC">
              <w:t>270</w:t>
            </w:r>
            <w:r w:rsidRPr="00F57044">
              <w:t>–1,</w:t>
            </w:r>
            <w:r w:rsidRPr="00F57044" w:rsidR="00633EBC">
              <w:t>560</w:t>
            </w:r>
            <w:r w:rsidRPr="00F57044" w:rsidR="00A26C29">
              <w:br/>
            </w:r>
            <w:r w:rsidRPr="00F57044">
              <w:t>(0.</w:t>
            </w:r>
            <w:r w:rsidRPr="00F57044" w:rsidR="0033136C">
              <w:t>8</w:t>
            </w:r>
            <w:r w:rsidRPr="00F57044">
              <w:t>%)</w:t>
            </w:r>
          </w:p>
        </w:tc>
      </w:tr>
      <w:tr w:rsidRPr="00F57044" w:rsidR="00464F07" w:rsidTr="00B91286" w14:paraId="584E8FA5" w14:textId="77777777">
        <w:tc>
          <w:tcPr>
            <w:tcW w:w="1960" w:type="dxa"/>
            <w:vMerge/>
          </w:tcPr>
          <w:p w:rsidRPr="00F57044" w:rsidR="00464F07" w:rsidP="00A26C29" w:rsidRDefault="00464F07" w14:paraId="5C60353C" w14:textId="0F8EA57E">
            <w:pPr>
              <w:pStyle w:val="TableText"/>
            </w:pPr>
          </w:p>
        </w:tc>
        <w:tc>
          <w:tcPr>
            <w:tcW w:w="592" w:type="dxa"/>
          </w:tcPr>
          <w:p w:rsidRPr="00F57044" w:rsidR="00464F07" w:rsidP="00A26C29" w:rsidRDefault="00464F07" w14:paraId="71E727FE" w14:textId="54BD40BA">
            <w:pPr>
              <w:pStyle w:val="TableText"/>
            </w:pPr>
            <w:r w:rsidRPr="00F57044">
              <w:t>$1</w:t>
            </w:r>
            <w:r w:rsidRPr="00F57044" w:rsidR="00661746">
              <w:t>24</w:t>
            </w:r>
            <w:r w:rsidRPr="00F57044">
              <w:t xml:space="preserve"> </w:t>
            </w:r>
          </w:p>
        </w:tc>
        <w:tc>
          <w:tcPr>
            <w:tcW w:w="2551" w:type="dxa"/>
          </w:tcPr>
          <w:p w:rsidRPr="00F57044" w:rsidR="00464F07" w:rsidP="00A26C29" w:rsidRDefault="00464F07" w14:paraId="4BF63C60" w14:textId="0C774CE3">
            <w:pPr>
              <w:pStyle w:val="TableText"/>
            </w:pPr>
            <w:r w:rsidRPr="00F57044">
              <w:t>Option 1 if 2025 auctions do not clear</w:t>
            </w:r>
          </w:p>
        </w:tc>
        <w:tc>
          <w:tcPr>
            <w:tcW w:w="1134" w:type="dxa"/>
          </w:tcPr>
          <w:p w:rsidRPr="00F57044" w:rsidR="00464F07" w:rsidP="00A26C29" w:rsidRDefault="00CC4335" w14:paraId="31682839" w14:textId="45B4C098">
            <w:pPr>
              <w:pStyle w:val="TableText"/>
            </w:pPr>
            <w:r w:rsidRPr="00F57044">
              <w:t>500</w:t>
            </w:r>
            <w:r w:rsidRPr="00F57044" w:rsidR="00464F07">
              <w:t>–</w:t>
            </w:r>
            <w:r w:rsidRPr="00F57044">
              <w:t>590</w:t>
            </w:r>
            <w:r w:rsidRPr="00F57044" w:rsidR="00A26C29">
              <w:br/>
            </w:r>
            <w:r w:rsidRPr="00F57044" w:rsidR="00464F07">
              <w:t>(</w:t>
            </w:r>
            <w:r w:rsidRPr="00F57044" w:rsidR="001F5451">
              <w:t>1.8</w:t>
            </w:r>
            <w:r w:rsidRPr="00F57044" w:rsidR="00464F07">
              <w:t>%)</w:t>
            </w:r>
          </w:p>
        </w:tc>
        <w:tc>
          <w:tcPr>
            <w:tcW w:w="993" w:type="dxa"/>
          </w:tcPr>
          <w:p w:rsidRPr="00F57044" w:rsidR="00464F07" w:rsidP="00A26C29" w:rsidRDefault="009B3E79" w14:paraId="255F5BEF" w14:textId="465FF943">
            <w:pPr>
              <w:pStyle w:val="TableText"/>
            </w:pPr>
            <w:r w:rsidRPr="00F57044">
              <w:t>960</w:t>
            </w:r>
            <w:r w:rsidRPr="00F57044" w:rsidR="00A26C29">
              <w:br/>
            </w:r>
            <w:r w:rsidRPr="00F57044" w:rsidR="00464F07">
              <w:t>(0.</w:t>
            </w:r>
            <w:r w:rsidRPr="00F57044" w:rsidR="00AA01F3">
              <w:t>8</w:t>
            </w:r>
            <w:r w:rsidRPr="00F57044" w:rsidR="00464F07">
              <w:t>%)</w:t>
            </w:r>
          </w:p>
        </w:tc>
        <w:tc>
          <w:tcPr>
            <w:tcW w:w="1275" w:type="dxa"/>
          </w:tcPr>
          <w:p w:rsidRPr="00F57044" w:rsidR="00464F07" w:rsidP="00A26C29" w:rsidRDefault="00464F07" w14:paraId="52F33BEB" w14:textId="5C35245F">
            <w:pPr>
              <w:pStyle w:val="TableText"/>
            </w:pPr>
            <w:r w:rsidRPr="00F57044">
              <w:t>1,</w:t>
            </w:r>
            <w:r w:rsidRPr="00F57044" w:rsidR="00CD137C">
              <w:t>360</w:t>
            </w:r>
            <w:r w:rsidRPr="00F57044">
              <w:t>–1,</w:t>
            </w:r>
            <w:r w:rsidRPr="00F57044" w:rsidR="00CD137C">
              <w:t>670</w:t>
            </w:r>
            <w:r w:rsidRPr="00F57044" w:rsidR="00A26C29">
              <w:br/>
            </w:r>
            <w:r w:rsidRPr="00F57044">
              <w:t>(0.</w:t>
            </w:r>
            <w:r w:rsidRPr="00F57044" w:rsidR="00AA01F3">
              <w:t>8</w:t>
            </w:r>
            <w:r w:rsidRPr="00F57044">
              <w:t>%)</w:t>
            </w:r>
          </w:p>
        </w:tc>
      </w:tr>
    </w:tbl>
    <w:p w:rsidRPr="00F57044" w:rsidR="00A26C29" w:rsidP="00A26C29" w:rsidRDefault="004047FE" w14:paraId="7A14A73D" w14:textId="77777777">
      <w:pPr>
        <w:pStyle w:val="Note"/>
        <w:spacing w:before="120"/>
      </w:pPr>
      <w:r w:rsidRPr="00F57044">
        <w:t>Source: Ministry for the Environment modelling</w:t>
      </w:r>
    </w:p>
    <w:p w:rsidRPr="00F57044" w:rsidR="004047FE" w:rsidP="00A26C29" w:rsidRDefault="003D1ACD" w14:paraId="0343A3D7" w14:textId="0560C8C6">
      <w:pPr>
        <w:pStyle w:val="Note"/>
      </w:pPr>
      <w:r w:rsidRPr="00F57044">
        <w:t xml:space="preserve">Note: </w:t>
      </w:r>
      <w:r w:rsidRPr="00F57044" w:rsidR="00F7659B">
        <w:t xml:space="preserve">The </w:t>
      </w:r>
      <w:r w:rsidRPr="00F57044" w:rsidR="00B563EA">
        <w:t xml:space="preserve">future estimated </w:t>
      </w:r>
      <w:r w:rsidRPr="00F57044" w:rsidR="00F7659B">
        <w:t>impact</w:t>
      </w:r>
      <w:r w:rsidRPr="00F57044" w:rsidR="00DA6427">
        <w:t>s</w:t>
      </w:r>
      <w:r w:rsidRPr="00F57044" w:rsidR="00F7659B">
        <w:t xml:space="preserve"> on households have been scaled by </w:t>
      </w:r>
      <w:r w:rsidRPr="00F57044" w:rsidR="0047491C">
        <w:t xml:space="preserve">the ratio of modelled gross </w:t>
      </w:r>
      <w:r w:rsidRPr="00F57044" w:rsidR="00DA6427">
        <w:t xml:space="preserve">NZ </w:t>
      </w:r>
      <w:r w:rsidRPr="00F57044" w:rsidR="0047491C">
        <w:t>ETS emissions in 2030 to 20</w:t>
      </w:r>
      <w:r w:rsidRPr="00F57044" w:rsidR="00927AD3">
        <w:t>2</w:t>
      </w:r>
      <w:r w:rsidRPr="00F57044" w:rsidR="00207204">
        <w:t>3</w:t>
      </w:r>
      <w:r w:rsidRPr="00F57044" w:rsidR="00C551AD">
        <w:t xml:space="preserve"> levels</w:t>
      </w:r>
      <w:r w:rsidRPr="00F57044" w:rsidR="00B563EA">
        <w:t xml:space="preserve"> (the base year for the household impacts modelling)</w:t>
      </w:r>
      <w:r w:rsidRPr="00F57044" w:rsidR="00567404">
        <w:t xml:space="preserve">. This is to </w:t>
      </w:r>
      <w:r w:rsidRPr="00F57044" w:rsidR="00F831B7">
        <w:t>proxy the</w:t>
      </w:r>
      <w:r w:rsidRPr="00F57044" w:rsidR="00D11977">
        <w:t xml:space="preserve"> reduction in household emissions footprints that is expected to occur over time.</w:t>
      </w:r>
    </w:p>
    <w:p w:rsidRPr="00F57044" w:rsidR="00F334C5" w:rsidP="00A26C29" w:rsidRDefault="00F334C5" w14:paraId="12E33E42" w14:textId="77777777">
      <w:pPr>
        <w:pStyle w:val="BodyText"/>
      </w:pPr>
    </w:p>
    <w:p w:rsidRPr="00F57044" w:rsidR="00A26C29" w:rsidP="00A26C29" w:rsidRDefault="00A26C29" w14:paraId="172B8281" w14:textId="6FA52B91">
      <w:pPr>
        <w:pStyle w:val="BodyText"/>
        <w:sectPr w:rsidRPr="00F57044" w:rsidR="00A26C29" w:rsidSect="005F62FD">
          <w:pgSz w:w="11907" w:h="16840" w:orient="portrait" w:code="9"/>
          <w:pgMar w:top="1134" w:right="1701" w:bottom="1134" w:left="1701" w:header="567" w:footer="567" w:gutter="0"/>
          <w:cols w:space="720"/>
          <w:docGrid w:linePitch="299"/>
        </w:sectPr>
      </w:pPr>
    </w:p>
    <w:p w:rsidRPr="00F57044" w:rsidR="00167952" w:rsidP="00A26C29" w:rsidRDefault="00167952" w14:paraId="62A099B1" w14:textId="2EAA10A5">
      <w:pPr>
        <w:pStyle w:val="Tableheading"/>
        <w:spacing w:before="0"/>
      </w:pPr>
      <w:bookmarkStart w:name="_Toc198901886" w:id="157"/>
      <w:r w:rsidRPr="00F57044">
        <w:t xml:space="preserve">Table </w:t>
      </w:r>
      <w:r w:rsidRPr="00F57044" w:rsidR="005C7D7E">
        <w:t>A3.2</w:t>
      </w:r>
      <w:r w:rsidRPr="00F57044">
        <w:t xml:space="preserve">: </w:t>
      </w:r>
      <w:r w:rsidRPr="00F57044" w:rsidR="00DC3FA7">
        <w:tab/>
      </w:r>
      <w:r w:rsidRPr="00F57044">
        <w:t>Estimated impacts of each option on different groups</w:t>
      </w:r>
      <w:bookmarkEnd w:id="157"/>
    </w:p>
    <w:p w:rsidRPr="00F57044" w:rsidR="002973F3" w:rsidP="00A26C29" w:rsidRDefault="002973F3" w14:paraId="3ECE9F47" w14:textId="4CD75E1E">
      <w:pPr>
        <w:pStyle w:val="BodyText"/>
        <w:spacing w:before="0"/>
      </w:pPr>
      <w:r w:rsidRPr="00F57044">
        <w:t xml:space="preserve">This table compares the projected impacts of options 1 and 2 on the current NZU price and how they are expected to affect different NZ ETS stakeholders, households and the wider economy. </w:t>
      </w:r>
      <w:r w:rsidRPr="00F57044" w:rsidR="00610420">
        <w:t>Under both options, t</w:t>
      </w:r>
      <w:r w:rsidRPr="00F57044" w:rsidR="00770273">
        <w:t xml:space="preserve">he NZU price is expected to </w:t>
      </w:r>
      <w:r w:rsidRPr="00F57044" w:rsidR="00E21670">
        <w:t xml:space="preserve">rise compared </w:t>
      </w:r>
      <w:r w:rsidRPr="00F57044" w:rsidR="00610420">
        <w:t>to current prices</w:t>
      </w:r>
      <w:r w:rsidRPr="00F57044" w:rsidR="00310709">
        <w:t xml:space="preserve">. </w:t>
      </w:r>
      <w:r w:rsidRPr="00F57044" w:rsidR="001E5BAF">
        <w:t xml:space="preserve">Option 1 is projected to </w:t>
      </w:r>
      <w:r w:rsidRPr="00F57044" w:rsidR="004D0446">
        <w:t>result in</w:t>
      </w:r>
      <w:r w:rsidRPr="00F57044" w:rsidR="001E5BAF">
        <w:t xml:space="preserve"> a higher increase in price than option 2. </w:t>
      </w:r>
    </w:p>
    <w:tbl>
      <w:tblPr>
        <w:tblStyle w:val="TableGrid"/>
        <w:tblW w:w="14572"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ayout w:type="fixed"/>
        <w:tblCellMar>
          <w:right w:w="85" w:type="dxa"/>
        </w:tblCellMar>
        <w:tblLook w:val="04A0" w:firstRow="1" w:lastRow="0" w:firstColumn="1" w:lastColumn="0" w:noHBand="0" w:noVBand="1"/>
      </w:tblPr>
      <w:tblGrid>
        <w:gridCol w:w="2672"/>
        <w:gridCol w:w="6683"/>
        <w:gridCol w:w="5217"/>
      </w:tblGrid>
      <w:tr w:rsidRPr="00F57044" w:rsidR="00A26C29" w:rsidTr="00F45D13" w14:paraId="770FFD2B" w14:textId="77777777">
        <w:trPr>
          <w:tblHeader/>
        </w:trPr>
        <w:tc>
          <w:tcPr>
            <w:tcW w:w="917" w:type="pct"/>
            <w:shd w:val="clear" w:color="auto" w:fill="1B556B" w:themeFill="text2"/>
            <w:vAlign w:val="bottom"/>
          </w:tcPr>
          <w:p w:rsidRPr="00F57044" w:rsidR="00B31A5E" w:rsidP="00A26C29" w:rsidRDefault="00B31A5E" w14:paraId="2052B24F" w14:textId="7C15FE0B">
            <w:pPr>
              <w:pStyle w:val="TableTextbold"/>
              <w:rPr>
                <w:color w:val="FFFFFF" w:themeColor="background1"/>
              </w:rPr>
            </w:pPr>
            <w:r w:rsidRPr="00F57044">
              <w:rPr>
                <w:color w:val="FFFFFF" w:themeColor="background1"/>
              </w:rPr>
              <w:t>Affected group</w:t>
            </w:r>
          </w:p>
        </w:tc>
        <w:tc>
          <w:tcPr>
            <w:tcW w:w="2293" w:type="pct"/>
            <w:shd w:val="clear" w:color="auto" w:fill="1B556B" w:themeFill="text2"/>
            <w:vAlign w:val="bottom"/>
          </w:tcPr>
          <w:p w:rsidRPr="00F57044" w:rsidR="00B31A5E" w:rsidP="00A26C29" w:rsidRDefault="356D6FFC" w14:paraId="4E0818BE" w14:textId="4855251A">
            <w:pPr>
              <w:pStyle w:val="TableTextbold"/>
              <w:rPr>
                <w:color w:val="FFFFFF" w:themeColor="background1"/>
              </w:rPr>
            </w:pPr>
            <w:r w:rsidRPr="00F57044">
              <w:rPr>
                <w:color w:val="FFFFFF" w:themeColor="background1"/>
              </w:rPr>
              <w:t>Option 1</w:t>
            </w:r>
            <w:r w:rsidRPr="00F57044" w:rsidR="446F102D">
              <w:rPr>
                <w:color w:val="FFFFFF" w:themeColor="background1"/>
              </w:rPr>
              <w:t xml:space="preserve">: </w:t>
            </w:r>
            <w:r w:rsidRPr="00F57044" w:rsidR="291A92B3">
              <w:rPr>
                <w:color w:val="FFFFFF" w:themeColor="background1"/>
              </w:rPr>
              <w:t xml:space="preserve">Status quo auction volumes </w:t>
            </w:r>
          </w:p>
        </w:tc>
        <w:tc>
          <w:tcPr>
            <w:tcW w:w="1790" w:type="pct"/>
            <w:shd w:val="clear" w:color="auto" w:fill="1B556B" w:themeFill="text2"/>
            <w:vAlign w:val="bottom"/>
          </w:tcPr>
          <w:p w:rsidRPr="00F57044" w:rsidR="00B31A5E" w:rsidP="00A26C29" w:rsidRDefault="356D6FFC" w14:paraId="16E8DF18" w14:textId="057D3E99">
            <w:pPr>
              <w:pStyle w:val="TableTextbold"/>
              <w:rPr>
                <w:color w:val="FFFFFF" w:themeColor="background1"/>
              </w:rPr>
            </w:pPr>
            <w:r w:rsidRPr="00F57044">
              <w:rPr>
                <w:color w:val="FFFFFF" w:themeColor="background1"/>
              </w:rPr>
              <w:t xml:space="preserve">Option </w:t>
            </w:r>
            <w:r w:rsidRPr="00F57044" w:rsidR="00D5386C">
              <w:rPr>
                <w:color w:val="FFFFFF" w:themeColor="background1"/>
              </w:rPr>
              <w:t>2</w:t>
            </w:r>
            <w:r w:rsidRPr="00F57044" w:rsidR="3D6A4C5A">
              <w:rPr>
                <w:color w:val="FFFFFF" w:themeColor="background1"/>
              </w:rPr>
              <w:t xml:space="preserve">: </w:t>
            </w:r>
            <w:r w:rsidRPr="00F57044" w:rsidR="63D5D3EA">
              <w:rPr>
                <w:color w:val="FFFFFF" w:themeColor="background1"/>
              </w:rPr>
              <w:t>Commission</w:t>
            </w:r>
            <w:r w:rsidRPr="00F57044" w:rsidR="006A70C9">
              <w:rPr>
                <w:color w:val="FFFFFF" w:themeColor="background1"/>
              </w:rPr>
              <w:t>-</w:t>
            </w:r>
            <w:r w:rsidRPr="00F57044" w:rsidR="63D5D3EA">
              <w:rPr>
                <w:color w:val="FFFFFF" w:themeColor="background1"/>
              </w:rPr>
              <w:t>recommended auction volumes</w:t>
            </w:r>
          </w:p>
        </w:tc>
      </w:tr>
      <w:tr w:rsidRPr="00F57044" w:rsidR="00B31A5E" w:rsidTr="00F45D13" w14:paraId="6B46845F" w14:textId="77777777">
        <w:tc>
          <w:tcPr>
            <w:tcW w:w="917" w:type="pct"/>
            <w:shd w:val="clear" w:color="auto" w:fill="auto"/>
          </w:tcPr>
          <w:p w:rsidRPr="00F57044" w:rsidR="00B31A5E" w:rsidP="00A26C29" w:rsidRDefault="00B31A5E" w14:paraId="508919F8" w14:textId="082A9DBB">
            <w:pPr>
              <w:pStyle w:val="TableTextbold"/>
              <w:spacing w:before="40" w:after="40"/>
            </w:pPr>
            <w:r w:rsidRPr="00F57044">
              <w:t>Landowners (</w:t>
            </w:r>
            <w:proofErr w:type="spellStart"/>
            <w:r w:rsidRPr="00F57044">
              <w:t>eg</w:t>
            </w:r>
            <w:proofErr w:type="spellEnd"/>
            <w:r w:rsidRPr="00F57044">
              <w:t>, foresters and farmers)</w:t>
            </w:r>
            <w:r w:rsidRPr="00F57044" w:rsidR="009948DA">
              <w:t xml:space="preserve">, including </w:t>
            </w:r>
            <w:r w:rsidRPr="00F57044" w:rsidR="3A06EB21">
              <w:t>M</w:t>
            </w:r>
            <w:r w:rsidRPr="00F57044" w:rsidR="009948DA">
              <w:rPr>
                <w:bCs/>
              </w:rPr>
              <w:t>ā</w:t>
            </w:r>
            <w:r w:rsidRPr="00F57044" w:rsidR="3A06EB21">
              <w:t>ori</w:t>
            </w:r>
          </w:p>
        </w:tc>
        <w:tc>
          <w:tcPr>
            <w:tcW w:w="2293" w:type="pct"/>
          </w:tcPr>
          <w:p w:rsidRPr="00F57044" w:rsidR="00B31A5E" w:rsidP="00A26C29" w:rsidRDefault="601AAB4C" w14:paraId="7CDEE783" w14:textId="2D5A227F">
            <w:pPr>
              <w:pStyle w:val="TableText"/>
              <w:spacing w:after="40"/>
              <w:rPr>
                <w:rFonts w:asciiTheme="minorHAnsi" w:hAnsiTheme="minorHAnsi"/>
              </w:rPr>
            </w:pPr>
            <w:r w:rsidRPr="00F57044">
              <w:t xml:space="preserve">Higher </w:t>
            </w:r>
            <w:r w:rsidRPr="00F57044">
              <w:rPr>
                <w:rFonts w:asciiTheme="minorHAnsi" w:hAnsiTheme="minorHAnsi"/>
              </w:rPr>
              <w:t>NZU prices can lead to greater returns for foresters.</w:t>
            </w:r>
          </w:p>
          <w:p w:rsidRPr="00F57044" w:rsidR="00B31A5E" w:rsidP="00A26C29" w:rsidRDefault="601AAB4C" w14:paraId="3132004E" w14:textId="192D6D6C">
            <w:pPr>
              <w:pStyle w:val="TableText"/>
              <w:spacing w:before="40" w:after="40"/>
            </w:pPr>
            <w:r w:rsidRPr="00F57044">
              <w:t xml:space="preserve">Higher returns on forestry land may incentivise afforestation. The long-term increase in availability of units through forestry will put downward pressure on future </w:t>
            </w:r>
            <w:r w:rsidRPr="00F57044" w:rsidR="00115E59">
              <w:t xml:space="preserve">NZU </w:t>
            </w:r>
            <w:r w:rsidRPr="00F57044">
              <w:t xml:space="preserve">prices. </w:t>
            </w:r>
          </w:p>
          <w:p w:rsidRPr="00F57044" w:rsidR="00B31A5E" w:rsidP="00A26C29" w:rsidRDefault="601AAB4C" w14:paraId="1D763D52" w14:textId="6D107A2C">
            <w:pPr>
              <w:pStyle w:val="TableText"/>
              <w:spacing w:before="40" w:after="40"/>
              <w:rPr>
                <w:rFonts w:asciiTheme="minorHAnsi" w:hAnsiTheme="minorHAnsi"/>
              </w:rPr>
            </w:pPr>
            <w:r w:rsidRPr="00F57044">
              <w:t>Increased cost to landowners of deforestation due to increased price.</w:t>
            </w:r>
            <w:r w:rsidRPr="00F57044">
              <w:rPr>
                <w:rFonts w:asciiTheme="minorHAnsi" w:hAnsiTheme="minorHAnsi"/>
              </w:rPr>
              <w:t xml:space="preserve"> </w:t>
            </w:r>
          </w:p>
        </w:tc>
        <w:tc>
          <w:tcPr>
            <w:tcW w:w="1790" w:type="pct"/>
            <w:shd w:val="clear" w:color="auto" w:fill="auto"/>
          </w:tcPr>
          <w:p w:rsidRPr="00F57044" w:rsidR="00B31A5E" w:rsidP="00A26C29" w:rsidRDefault="00115E59" w14:paraId="14245B1B" w14:textId="5D806444">
            <w:pPr>
              <w:pStyle w:val="TableText"/>
              <w:spacing w:after="40"/>
            </w:pPr>
            <w:r w:rsidRPr="00F57044">
              <w:rPr>
                <w:rFonts w:asciiTheme="minorHAnsi" w:hAnsiTheme="minorHAnsi"/>
              </w:rPr>
              <w:t>The</w:t>
            </w:r>
            <w:r w:rsidRPr="00F57044" w:rsidR="755AD70C">
              <w:rPr>
                <w:rFonts w:asciiTheme="minorHAnsi" w:hAnsiTheme="minorHAnsi"/>
              </w:rPr>
              <w:t xml:space="preserve"> price increase </w:t>
            </w:r>
            <w:r w:rsidRPr="00F57044">
              <w:rPr>
                <w:rFonts w:asciiTheme="minorHAnsi" w:hAnsiTheme="minorHAnsi"/>
              </w:rPr>
              <w:t xml:space="preserve">under option 2 </w:t>
            </w:r>
            <w:r w:rsidRPr="00F57044" w:rsidR="755AD70C">
              <w:rPr>
                <w:rFonts w:asciiTheme="minorHAnsi" w:hAnsiTheme="minorHAnsi"/>
              </w:rPr>
              <w:t>will still benefit foresters, but not to the same extent as option 1.</w:t>
            </w:r>
            <w:r w:rsidRPr="00F57044" w:rsidR="755AD70C">
              <w:t xml:space="preserve"> </w:t>
            </w:r>
          </w:p>
        </w:tc>
      </w:tr>
      <w:tr w:rsidRPr="00F57044" w:rsidR="00B31A5E" w:rsidTr="00F45D13" w14:paraId="53FFB3FF" w14:textId="77777777">
        <w:tc>
          <w:tcPr>
            <w:tcW w:w="917" w:type="pct"/>
            <w:shd w:val="clear" w:color="auto" w:fill="auto"/>
          </w:tcPr>
          <w:p w:rsidRPr="00F57044" w:rsidR="00B31A5E" w:rsidP="00A26C29" w:rsidRDefault="00B31A5E" w14:paraId="44C6D4BB" w14:textId="2F35FD80">
            <w:pPr>
              <w:pStyle w:val="TableTextbold"/>
              <w:rPr>
                <w:rFonts w:eastAsia="Calibri" w:asciiTheme="minorHAnsi" w:hAnsiTheme="minorHAnsi"/>
                <w:bCs/>
                <w:color w:val="000000" w:themeColor="text1"/>
                <w:szCs w:val="18"/>
                <w:highlight w:val="yellow"/>
              </w:rPr>
            </w:pPr>
            <w:r w:rsidRPr="00F57044">
              <w:rPr>
                <w:rFonts w:eastAsia="Calibri" w:asciiTheme="minorHAnsi" w:hAnsiTheme="minorHAnsi"/>
                <w:bCs/>
                <w:color w:val="000000" w:themeColor="text1"/>
                <w:szCs w:val="18"/>
              </w:rPr>
              <w:t xml:space="preserve">Emitting firms subject to </w:t>
            </w:r>
            <w:r w:rsidRPr="00F57044" w:rsidDel="002D4D00">
              <w:rPr>
                <w:rFonts w:eastAsia="Calibri" w:asciiTheme="minorHAnsi" w:hAnsiTheme="minorHAnsi"/>
                <w:bCs/>
                <w:color w:val="000000" w:themeColor="text1"/>
                <w:szCs w:val="18"/>
              </w:rPr>
              <w:t xml:space="preserve">NZ </w:t>
            </w:r>
            <w:r w:rsidRPr="00F57044">
              <w:rPr>
                <w:rFonts w:eastAsia="Calibri" w:asciiTheme="minorHAnsi" w:hAnsiTheme="minorHAnsi"/>
                <w:bCs/>
                <w:color w:val="000000" w:themeColor="text1"/>
                <w:szCs w:val="18"/>
              </w:rPr>
              <w:t>ETS obligations</w:t>
            </w:r>
          </w:p>
        </w:tc>
        <w:tc>
          <w:tcPr>
            <w:tcW w:w="2293" w:type="pct"/>
          </w:tcPr>
          <w:p w:rsidRPr="00F57044" w:rsidR="00B31A5E" w:rsidP="00A26C29" w:rsidRDefault="5132729E" w14:paraId="5A265E0D" w14:textId="3B95D1F4">
            <w:pPr>
              <w:pStyle w:val="TableText"/>
              <w:spacing w:after="40"/>
              <w:rPr>
                <w:rFonts w:eastAsia="Calibri" w:asciiTheme="minorHAnsi" w:hAnsiTheme="minorHAnsi"/>
              </w:rPr>
            </w:pPr>
            <w:r w:rsidRPr="00F57044">
              <w:rPr>
                <w:rFonts w:eastAsia="Calibri" w:asciiTheme="minorHAnsi" w:hAnsiTheme="minorHAnsi"/>
              </w:rPr>
              <w:t>Higher NZU prices incentivise firms to transition to low</w:t>
            </w:r>
            <w:r w:rsidRPr="00F57044" w:rsidR="00967DCD">
              <w:rPr>
                <w:rFonts w:eastAsia="Calibri" w:asciiTheme="minorHAnsi" w:hAnsiTheme="minorHAnsi"/>
              </w:rPr>
              <w:t>er</w:t>
            </w:r>
            <w:r w:rsidRPr="00F57044">
              <w:rPr>
                <w:rFonts w:eastAsia="Calibri" w:asciiTheme="minorHAnsi" w:hAnsiTheme="minorHAnsi"/>
              </w:rPr>
              <w:t>-emission</w:t>
            </w:r>
            <w:r w:rsidRPr="00F57044" w:rsidR="00FB0D4D">
              <w:rPr>
                <w:rFonts w:eastAsia="Calibri" w:asciiTheme="minorHAnsi" w:hAnsiTheme="minorHAnsi"/>
              </w:rPr>
              <w:t>s</w:t>
            </w:r>
            <w:r w:rsidRPr="00F57044">
              <w:rPr>
                <w:rFonts w:eastAsia="Calibri" w:asciiTheme="minorHAnsi" w:hAnsiTheme="minorHAnsi"/>
              </w:rPr>
              <w:t xml:space="preserve"> production and </w:t>
            </w:r>
            <w:r w:rsidRPr="00F57044" w:rsidR="00462139">
              <w:rPr>
                <w:rFonts w:eastAsia="Calibri" w:asciiTheme="minorHAnsi" w:hAnsiTheme="minorHAnsi"/>
              </w:rPr>
              <w:t xml:space="preserve">reduce </w:t>
            </w:r>
            <w:r w:rsidRPr="00F57044">
              <w:rPr>
                <w:rFonts w:eastAsia="Calibri" w:asciiTheme="minorHAnsi" w:hAnsiTheme="minorHAnsi"/>
              </w:rPr>
              <w:t>gross emission</w:t>
            </w:r>
            <w:r w:rsidR="00D25EA4">
              <w:rPr>
                <w:rFonts w:eastAsia="Calibri" w:asciiTheme="minorHAnsi" w:hAnsiTheme="minorHAnsi"/>
              </w:rPr>
              <w:t>s</w:t>
            </w:r>
            <w:r w:rsidRPr="00F57044">
              <w:rPr>
                <w:rFonts w:eastAsia="Calibri" w:asciiTheme="minorHAnsi" w:hAnsiTheme="minorHAnsi"/>
              </w:rPr>
              <w:t>.</w:t>
            </w:r>
          </w:p>
          <w:p w:rsidRPr="00F57044" w:rsidR="00B31A5E" w:rsidP="00A26C29" w:rsidRDefault="5132729E" w14:paraId="6AAC2A2A" w14:textId="0EE65546">
            <w:pPr>
              <w:pStyle w:val="TableText"/>
              <w:spacing w:after="40"/>
              <w:rPr>
                <w:rFonts w:eastAsia="Calibri" w:asciiTheme="minorHAnsi" w:hAnsiTheme="minorHAnsi"/>
              </w:rPr>
            </w:pPr>
            <w:r w:rsidRPr="00F57044">
              <w:rPr>
                <w:rFonts w:eastAsia="Calibri" w:asciiTheme="minorHAnsi" w:hAnsiTheme="minorHAnsi"/>
              </w:rPr>
              <w:t>Higher costs for firms to meet surrender obligations. This may be mitigated by the extent to which:</w:t>
            </w:r>
          </w:p>
          <w:p w:rsidRPr="00F57044" w:rsidR="005C4496" w:rsidP="00201AC3" w:rsidRDefault="005C4496" w14:paraId="11A7C9DF" w14:textId="5CEFE9B0">
            <w:pPr>
              <w:pStyle w:val="TableBullet"/>
            </w:pPr>
            <w:r w:rsidRPr="00F57044">
              <w:t>firms invest in transitioning to lower-emissions a</w:t>
            </w:r>
            <w:r w:rsidRPr="00F57044" w:rsidR="008E696B">
              <w:t>lternatives</w:t>
            </w:r>
          </w:p>
          <w:p w:rsidRPr="00F57044" w:rsidR="00B31A5E" w:rsidP="00201AC3" w:rsidRDefault="5132729E" w14:paraId="0D5C8860" w14:textId="0E13A5EE">
            <w:pPr>
              <w:pStyle w:val="TableBullet"/>
            </w:pPr>
            <w:r w:rsidRPr="00F57044">
              <w:t>firms have hedged their forward obligations</w:t>
            </w:r>
          </w:p>
          <w:p w:rsidRPr="00F57044" w:rsidR="00B31A5E" w:rsidP="004D673C" w:rsidRDefault="5132729E" w14:paraId="36E19F41" w14:textId="5C19CB35">
            <w:pPr>
              <w:pStyle w:val="TableBullet"/>
              <w:rPr>
                <w:rFonts w:eastAsia="Calibri" w:asciiTheme="minorHAnsi" w:hAnsiTheme="minorHAnsi"/>
              </w:rPr>
            </w:pPr>
            <w:r w:rsidRPr="00F57044">
              <w:t xml:space="preserve">these additional costs can be passed on to households (see </w:t>
            </w:r>
            <w:r w:rsidRPr="00F57044" w:rsidR="00404B64">
              <w:t>‘H</w:t>
            </w:r>
            <w:r w:rsidRPr="00F57044">
              <w:t>ouseholds</w:t>
            </w:r>
            <w:r w:rsidRPr="00F57044" w:rsidR="00404B64">
              <w:t>’</w:t>
            </w:r>
            <w:r w:rsidRPr="00F57044">
              <w:t xml:space="preserve"> row below).</w:t>
            </w:r>
          </w:p>
        </w:tc>
        <w:tc>
          <w:tcPr>
            <w:tcW w:w="1790" w:type="pct"/>
            <w:shd w:val="clear" w:color="auto" w:fill="auto"/>
          </w:tcPr>
          <w:p w:rsidRPr="00F57044" w:rsidR="00B31A5E" w:rsidP="57F06419" w:rsidRDefault="6D1A05E8" w14:paraId="61C2FDFE" w14:textId="57CEE103">
            <w:pPr>
              <w:pStyle w:val="TableText"/>
              <w:rPr>
                <w:rFonts w:eastAsia="Calibri" w:asciiTheme="minorHAnsi" w:hAnsiTheme="minorHAnsi"/>
              </w:rPr>
            </w:pPr>
            <w:r w:rsidRPr="00F57044">
              <w:rPr>
                <w:rFonts w:eastAsia="Calibri" w:asciiTheme="minorHAnsi" w:hAnsiTheme="minorHAnsi"/>
              </w:rPr>
              <w:t xml:space="preserve">A smaller price increase </w:t>
            </w:r>
            <w:r w:rsidRPr="00F57044" w:rsidR="000A4978">
              <w:rPr>
                <w:rFonts w:eastAsia="Calibri" w:asciiTheme="minorHAnsi" w:hAnsiTheme="minorHAnsi"/>
              </w:rPr>
              <w:t>than under option 1</w:t>
            </w:r>
            <w:r w:rsidRPr="00F57044">
              <w:rPr>
                <w:rFonts w:eastAsia="Calibri" w:asciiTheme="minorHAnsi" w:hAnsiTheme="minorHAnsi"/>
              </w:rPr>
              <w:t xml:space="preserve"> is less likely to incentivise firms to reduce gross emissions.</w:t>
            </w:r>
          </w:p>
          <w:p w:rsidRPr="00F57044" w:rsidR="00764290" w:rsidP="57F06419" w:rsidRDefault="00655BF2" w14:paraId="3A4FF539" w14:textId="134ACE0D">
            <w:pPr>
              <w:pStyle w:val="TableText"/>
              <w:rPr>
                <w:rFonts w:eastAsia="Calibri" w:asciiTheme="minorHAnsi" w:hAnsiTheme="minorHAnsi"/>
              </w:rPr>
            </w:pPr>
            <w:r w:rsidRPr="00F57044">
              <w:rPr>
                <w:rFonts w:eastAsia="Calibri" w:asciiTheme="minorHAnsi" w:hAnsiTheme="minorHAnsi"/>
              </w:rPr>
              <w:t>The cost for firms to meet s</w:t>
            </w:r>
            <w:r w:rsidRPr="00F57044" w:rsidR="00764290">
              <w:rPr>
                <w:rFonts w:eastAsia="Calibri" w:asciiTheme="minorHAnsi" w:hAnsiTheme="minorHAnsi"/>
              </w:rPr>
              <w:t>urrender obligations will still increase but will not be as high as under option 1.</w:t>
            </w:r>
          </w:p>
          <w:p w:rsidRPr="00F57044" w:rsidR="00B31A5E" w:rsidP="00CD758B" w:rsidRDefault="6D1A05E8" w14:paraId="075C76DA" w14:textId="39184022">
            <w:pPr>
              <w:pStyle w:val="TableText"/>
              <w:rPr>
                <w:rFonts w:eastAsia="Calibri" w:asciiTheme="minorHAnsi" w:hAnsiTheme="minorHAnsi"/>
              </w:rPr>
            </w:pPr>
            <w:r w:rsidRPr="00F57044">
              <w:rPr>
                <w:rFonts w:eastAsia="Calibri" w:asciiTheme="minorHAnsi" w:hAnsiTheme="minorHAnsi"/>
              </w:rPr>
              <w:t xml:space="preserve">Lower </w:t>
            </w:r>
            <w:r w:rsidRPr="00F57044" w:rsidR="005541F1">
              <w:rPr>
                <w:rFonts w:eastAsia="Calibri" w:asciiTheme="minorHAnsi" w:hAnsiTheme="minorHAnsi"/>
              </w:rPr>
              <w:t>additional</w:t>
            </w:r>
            <w:r w:rsidRPr="00F57044">
              <w:rPr>
                <w:rFonts w:eastAsia="Calibri" w:asciiTheme="minorHAnsi" w:hAnsiTheme="minorHAnsi"/>
              </w:rPr>
              <w:t xml:space="preserve"> costs to businesses mean th</w:t>
            </w:r>
            <w:r w:rsidRPr="00F57044" w:rsidR="00FB0D4D">
              <w:rPr>
                <w:rFonts w:eastAsia="Calibri" w:asciiTheme="minorHAnsi" w:hAnsiTheme="minorHAnsi"/>
              </w:rPr>
              <w:t>e</w:t>
            </w:r>
            <w:r w:rsidRPr="00F57044" w:rsidR="00FB0D4D">
              <w:t>y</w:t>
            </w:r>
            <w:r w:rsidRPr="00F57044">
              <w:rPr>
                <w:rFonts w:eastAsia="Calibri" w:asciiTheme="minorHAnsi" w:hAnsiTheme="minorHAnsi"/>
              </w:rPr>
              <w:t xml:space="preserve"> pass</w:t>
            </w:r>
            <w:r w:rsidRPr="00F57044" w:rsidR="00FB0D4D">
              <w:rPr>
                <w:rFonts w:eastAsia="Calibri" w:asciiTheme="minorHAnsi" w:hAnsiTheme="minorHAnsi"/>
              </w:rPr>
              <w:t xml:space="preserve"> </w:t>
            </w:r>
            <w:r w:rsidRPr="00F57044" w:rsidR="00ED5500">
              <w:rPr>
                <w:rFonts w:eastAsia="Calibri" w:asciiTheme="minorHAnsi" w:hAnsiTheme="minorHAnsi"/>
              </w:rPr>
              <w:t>less</w:t>
            </w:r>
            <w:r w:rsidRPr="00F57044" w:rsidR="00FB0D4D">
              <w:rPr>
                <w:rFonts w:eastAsia="Calibri" w:asciiTheme="minorHAnsi" w:hAnsiTheme="minorHAnsi"/>
              </w:rPr>
              <w:t xml:space="preserve"> cost</w:t>
            </w:r>
            <w:r w:rsidRPr="00F57044">
              <w:rPr>
                <w:rFonts w:eastAsia="Calibri" w:asciiTheme="minorHAnsi" w:hAnsiTheme="minorHAnsi"/>
              </w:rPr>
              <w:t xml:space="preserve"> on to </w:t>
            </w:r>
            <w:r w:rsidRPr="00F57044" w:rsidR="00CD5C92">
              <w:rPr>
                <w:rFonts w:eastAsia="Calibri" w:asciiTheme="minorHAnsi" w:hAnsiTheme="minorHAnsi"/>
              </w:rPr>
              <w:t>households</w:t>
            </w:r>
            <w:r w:rsidRPr="00F57044">
              <w:rPr>
                <w:rFonts w:eastAsia="Calibri" w:asciiTheme="minorHAnsi" w:hAnsiTheme="minorHAnsi"/>
              </w:rPr>
              <w:t xml:space="preserve">. </w:t>
            </w:r>
          </w:p>
        </w:tc>
      </w:tr>
      <w:tr w:rsidRPr="00F57044" w:rsidR="00B31A5E" w:rsidTr="00F45D13" w14:paraId="4E38110B" w14:textId="77777777">
        <w:tc>
          <w:tcPr>
            <w:tcW w:w="917" w:type="pct"/>
            <w:shd w:val="clear" w:color="auto" w:fill="auto"/>
          </w:tcPr>
          <w:p w:rsidRPr="00F57044" w:rsidR="00B31A5E" w:rsidP="00A26C29" w:rsidRDefault="00B31A5E" w14:paraId="5F1E36AD" w14:textId="42B8FD54">
            <w:pPr>
              <w:pStyle w:val="TableTextbold"/>
              <w:rPr>
                <w:rFonts w:eastAsia="Calibri" w:asciiTheme="minorHAnsi" w:hAnsiTheme="minorHAnsi"/>
                <w:color w:val="000000" w:themeColor="text1"/>
              </w:rPr>
            </w:pPr>
            <w:r w:rsidRPr="00F57044">
              <w:rPr>
                <w:rFonts w:eastAsia="Calibri" w:asciiTheme="minorHAnsi" w:hAnsiTheme="minorHAnsi"/>
                <w:bCs/>
                <w:color w:val="000000" w:themeColor="text1"/>
              </w:rPr>
              <w:t xml:space="preserve">Other </w:t>
            </w:r>
            <w:r w:rsidRPr="00F57044" w:rsidDel="00BA19FF">
              <w:rPr>
                <w:rFonts w:eastAsia="Calibri" w:asciiTheme="minorHAnsi" w:hAnsiTheme="minorHAnsi"/>
                <w:bCs/>
                <w:color w:val="000000" w:themeColor="text1"/>
              </w:rPr>
              <w:t xml:space="preserve">NZ </w:t>
            </w:r>
            <w:r w:rsidRPr="00F57044">
              <w:rPr>
                <w:rFonts w:eastAsia="Calibri" w:asciiTheme="minorHAnsi" w:hAnsiTheme="minorHAnsi"/>
                <w:bCs/>
                <w:color w:val="000000" w:themeColor="text1"/>
              </w:rPr>
              <w:t>ETS participants</w:t>
            </w:r>
            <w:r w:rsidRPr="00F57044" w:rsidR="009948DA">
              <w:rPr>
                <w:rFonts w:eastAsia="Calibri" w:asciiTheme="minorHAnsi" w:hAnsiTheme="minorHAnsi"/>
                <w:bCs/>
                <w:color w:val="000000" w:themeColor="text1"/>
              </w:rPr>
              <w:t>, i</w:t>
            </w:r>
            <w:r w:rsidRPr="00F57044" w:rsidR="29703011">
              <w:rPr>
                <w:rFonts w:eastAsia="Calibri" w:asciiTheme="minorHAnsi" w:hAnsiTheme="minorHAnsi"/>
                <w:bCs/>
                <w:color w:val="000000" w:themeColor="text1"/>
              </w:rPr>
              <w:t xml:space="preserve">ncluding Māori businesses that rely on </w:t>
            </w:r>
            <w:r w:rsidRPr="00F57044" w:rsidR="009948DA">
              <w:rPr>
                <w:rFonts w:eastAsia="Calibri" w:asciiTheme="minorHAnsi" w:hAnsiTheme="minorHAnsi"/>
                <w:bCs/>
                <w:color w:val="000000" w:themeColor="text1"/>
              </w:rPr>
              <w:t xml:space="preserve">NZU </w:t>
            </w:r>
            <w:r w:rsidRPr="00F57044" w:rsidR="29703011">
              <w:rPr>
                <w:rFonts w:eastAsia="Calibri" w:asciiTheme="minorHAnsi" w:hAnsiTheme="minorHAnsi"/>
                <w:bCs/>
                <w:color w:val="000000" w:themeColor="text1"/>
              </w:rPr>
              <w:t xml:space="preserve">earnings </w:t>
            </w:r>
          </w:p>
        </w:tc>
        <w:tc>
          <w:tcPr>
            <w:tcW w:w="2293" w:type="pct"/>
          </w:tcPr>
          <w:p w:rsidRPr="00F57044" w:rsidR="00B31A5E" w:rsidP="356D6FFC" w:rsidRDefault="005B3139" w14:paraId="1B22D17A" w14:textId="3B27B472">
            <w:pPr>
              <w:pStyle w:val="TableText"/>
              <w:rPr>
                <w:rFonts w:asciiTheme="minorHAnsi" w:hAnsiTheme="minorHAnsi"/>
              </w:rPr>
            </w:pPr>
            <w:r w:rsidRPr="00F57044">
              <w:rPr>
                <w:rFonts w:asciiTheme="minorHAnsi" w:hAnsiTheme="minorHAnsi"/>
              </w:rPr>
              <w:t>Higher NZU</w:t>
            </w:r>
            <w:r w:rsidRPr="00F57044" w:rsidR="4A9CA466">
              <w:rPr>
                <w:rFonts w:asciiTheme="minorHAnsi" w:hAnsiTheme="minorHAnsi"/>
              </w:rPr>
              <w:t xml:space="preserve"> prices would increase the financial value of stockpiled units, both those held for hedging, and the liquid stockpile. </w:t>
            </w:r>
          </w:p>
        </w:tc>
        <w:tc>
          <w:tcPr>
            <w:tcW w:w="1790" w:type="pct"/>
            <w:shd w:val="clear" w:color="auto" w:fill="auto"/>
          </w:tcPr>
          <w:p w:rsidRPr="00F57044" w:rsidR="00B31A5E" w:rsidP="356D6FFC" w:rsidRDefault="00192B44" w14:paraId="7F6F19E3" w14:textId="002AA765">
            <w:pPr>
              <w:pStyle w:val="TableText"/>
              <w:rPr>
                <w:rFonts w:asciiTheme="minorHAnsi" w:hAnsiTheme="minorHAnsi"/>
              </w:rPr>
            </w:pPr>
            <w:r w:rsidRPr="00F57044">
              <w:rPr>
                <w:rFonts w:asciiTheme="minorHAnsi" w:hAnsiTheme="minorHAnsi"/>
              </w:rPr>
              <w:t>A smaller price increase than under option 1</w:t>
            </w:r>
            <w:r w:rsidRPr="00F57044" w:rsidR="00B01A4E">
              <w:rPr>
                <w:rFonts w:asciiTheme="minorHAnsi" w:hAnsiTheme="minorHAnsi"/>
              </w:rPr>
              <w:t xml:space="preserve"> means </w:t>
            </w:r>
            <w:r w:rsidRPr="00F57044" w:rsidR="00605EF7">
              <w:rPr>
                <w:rFonts w:asciiTheme="minorHAnsi" w:hAnsiTheme="minorHAnsi"/>
              </w:rPr>
              <w:t xml:space="preserve">a smaller increase in </w:t>
            </w:r>
            <w:r w:rsidRPr="00F57044" w:rsidR="51D34258">
              <w:rPr>
                <w:rFonts w:asciiTheme="minorHAnsi" w:hAnsiTheme="minorHAnsi"/>
              </w:rPr>
              <w:t xml:space="preserve">the value of </w:t>
            </w:r>
            <w:r w:rsidRPr="00F57044" w:rsidR="00586B24">
              <w:rPr>
                <w:rFonts w:asciiTheme="minorHAnsi" w:hAnsiTheme="minorHAnsi"/>
              </w:rPr>
              <w:t>stockpiled units</w:t>
            </w:r>
            <w:r w:rsidRPr="00F57044" w:rsidR="51D34258">
              <w:rPr>
                <w:rFonts w:asciiTheme="minorHAnsi" w:hAnsiTheme="minorHAnsi"/>
              </w:rPr>
              <w:t xml:space="preserve">. </w:t>
            </w:r>
          </w:p>
        </w:tc>
      </w:tr>
      <w:tr w:rsidRPr="00F57044" w:rsidR="00B31A5E" w:rsidTr="00F45D13" w14:paraId="1BF70169" w14:textId="77777777">
        <w:tc>
          <w:tcPr>
            <w:tcW w:w="917" w:type="pct"/>
          </w:tcPr>
          <w:p w:rsidRPr="00F57044" w:rsidR="00B31A5E" w:rsidP="356D6FFC" w:rsidRDefault="00B31A5E" w14:paraId="71DEF5FA" w14:textId="02C35C0A">
            <w:pPr>
              <w:pStyle w:val="TableText"/>
              <w:rPr>
                <w:rFonts w:eastAsia="Calibri" w:asciiTheme="minorHAnsi" w:hAnsiTheme="minorHAnsi"/>
              </w:rPr>
            </w:pPr>
            <w:r w:rsidRPr="00F57044">
              <w:rPr>
                <w:rFonts w:eastAsia="Calibri" w:asciiTheme="minorHAnsi" w:hAnsiTheme="minorHAnsi"/>
                <w:b/>
                <w:bCs/>
                <w:color w:val="000000" w:themeColor="text1"/>
              </w:rPr>
              <w:t>Households</w:t>
            </w:r>
            <w:r w:rsidRPr="00F57044" w:rsidR="009948DA">
              <w:rPr>
                <w:rFonts w:eastAsia="Calibri" w:asciiTheme="minorHAnsi" w:hAnsiTheme="minorHAnsi"/>
                <w:b/>
                <w:bCs/>
                <w:color w:val="000000" w:themeColor="text1"/>
              </w:rPr>
              <w:t>,</w:t>
            </w:r>
            <w:r w:rsidRPr="00F57044" w:rsidR="009948DA">
              <w:rPr>
                <w:rFonts w:eastAsia="Calibri" w:asciiTheme="minorHAnsi" w:hAnsiTheme="minorHAnsi"/>
                <w:b/>
                <w:bCs/>
              </w:rPr>
              <w:t xml:space="preserve"> i</w:t>
            </w:r>
            <w:r w:rsidRPr="00F57044" w:rsidR="0FCECB59">
              <w:rPr>
                <w:rFonts w:eastAsia="Calibri" w:asciiTheme="minorHAnsi" w:hAnsiTheme="minorHAnsi"/>
                <w:b/>
                <w:bCs/>
              </w:rPr>
              <w:t>ncluding Māori households and whānau</w:t>
            </w:r>
            <w:r w:rsidRPr="00F57044" w:rsidR="006D1504">
              <w:rPr>
                <w:rFonts w:eastAsia="Calibri" w:asciiTheme="minorHAnsi" w:hAnsiTheme="minorHAnsi"/>
                <w:b/>
                <w:bCs/>
              </w:rPr>
              <w:br/>
            </w:r>
            <w:r w:rsidRPr="00F57044" w:rsidR="006D1504">
              <w:rPr>
                <w:rFonts w:eastAsia="Calibri" w:asciiTheme="minorHAnsi" w:hAnsiTheme="minorHAnsi"/>
              </w:rPr>
              <w:t>(refer also to table A3.1 on previous page)</w:t>
            </w:r>
          </w:p>
        </w:tc>
        <w:tc>
          <w:tcPr>
            <w:tcW w:w="2293" w:type="pct"/>
          </w:tcPr>
          <w:p w:rsidRPr="00F57044" w:rsidR="00B31A5E" w:rsidP="00A26C29" w:rsidRDefault="1C32DA92" w14:paraId="26803351" w14:textId="0697EA2E">
            <w:pPr>
              <w:pStyle w:val="TableText"/>
              <w:spacing w:after="40"/>
              <w:rPr>
                <w:rFonts w:eastAsia="Calibri" w:asciiTheme="minorHAnsi" w:hAnsiTheme="minorHAnsi"/>
              </w:rPr>
            </w:pPr>
            <w:r w:rsidRPr="00F57044">
              <w:rPr>
                <w:rFonts w:eastAsia="Calibri" w:asciiTheme="minorHAnsi" w:hAnsiTheme="minorHAnsi"/>
              </w:rPr>
              <w:t xml:space="preserve">Under option </w:t>
            </w:r>
            <w:r w:rsidRPr="00F57044" w:rsidR="14DE3F48">
              <w:rPr>
                <w:rFonts w:eastAsia="Calibri" w:asciiTheme="minorHAnsi" w:hAnsiTheme="minorHAnsi"/>
              </w:rPr>
              <w:t>1</w:t>
            </w:r>
            <w:r w:rsidRPr="00F57044">
              <w:rPr>
                <w:rFonts w:eastAsia="Calibri" w:asciiTheme="minorHAnsi" w:hAnsiTheme="minorHAnsi"/>
              </w:rPr>
              <w:t xml:space="preserve">, </w:t>
            </w:r>
            <w:r w:rsidRPr="00F57044" w:rsidR="00976BBA">
              <w:rPr>
                <w:rFonts w:eastAsia="Calibri" w:asciiTheme="minorHAnsi" w:hAnsiTheme="minorHAnsi"/>
              </w:rPr>
              <w:t xml:space="preserve">annual </w:t>
            </w:r>
            <w:r w:rsidRPr="00F57044">
              <w:rPr>
                <w:rFonts w:eastAsia="Calibri" w:asciiTheme="minorHAnsi" w:hAnsiTheme="minorHAnsi"/>
              </w:rPr>
              <w:t>costs for lower</w:t>
            </w:r>
            <w:r w:rsidRPr="00F57044" w:rsidR="00404B64">
              <w:rPr>
                <w:rFonts w:eastAsia="Calibri" w:asciiTheme="minorHAnsi" w:hAnsiTheme="minorHAnsi"/>
              </w:rPr>
              <w:t>-</w:t>
            </w:r>
            <w:r w:rsidRPr="00F57044">
              <w:rPr>
                <w:rFonts w:eastAsia="Calibri" w:asciiTheme="minorHAnsi" w:hAnsiTheme="minorHAnsi"/>
              </w:rPr>
              <w:t>income households are projected to increase from today’s price range of $240–280 to $</w:t>
            </w:r>
            <w:r w:rsidRPr="00F57044" w:rsidR="004C542D">
              <w:rPr>
                <w:rFonts w:eastAsia="Calibri" w:asciiTheme="minorHAnsi" w:hAnsiTheme="minorHAnsi"/>
              </w:rPr>
              <w:t>340</w:t>
            </w:r>
            <w:r w:rsidRPr="00F57044">
              <w:rPr>
                <w:rFonts w:eastAsia="Calibri" w:asciiTheme="minorHAnsi" w:hAnsiTheme="minorHAnsi"/>
              </w:rPr>
              <w:t>–</w:t>
            </w:r>
            <w:r w:rsidRPr="00F57044" w:rsidR="004C542D">
              <w:rPr>
                <w:rFonts w:eastAsia="Calibri" w:asciiTheme="minorHAnsi" w:hAnsiTheme="minorHAnsi"/>
              </w:rPr>
              <w:t xml:space="preserve">590 </w:t>
            </w:r>
            <w:r w:rsidRPr="00F57044">
              <w:rPr>
                <w:rFonts w:eastAsia="Calibri" w:asciiTheme="minorHAnsi" w:hAnsiTheme="minorHAnsi"/>
              </w:rPr>
              <w:t>by 2030. The variation depends on how much the stockpile decreases</w:t>
            </w:r>
            <w:r w:rsidRPr="00F57044" w:rsidR="00F90B04">
              <w:rPr>
                <w:rFonts w:eastAsia="Calibri" w:asciiTheme="minorHAnsi" w:hAnsiTheme="minorHAnsi"/>
              </w:rPr>
              <w:t xml:space="preserve"> and whether auctions clear in 2025</w:t>
            </w:r>
            <w:r w:rsidRPr="00F57044">
              <w:rPr>
                <w:rFonts w:eastAsia="Calibri" w:asciiTheme="minorHAnsi" w:hAnsiTheme="minorHAnsi"/>
              </w:rPr>
              <w:t>.</w:t>
            </w:r>
          </w:p>
          <w:p w:rsidRPr="00F57044" w:rsidR="00B31A5E" w:rsidP="384F36B8" w:rsidRDefault="1C32DA92" w14:paraId="03E46590" w14:textId="3324D570">
            <w:pPr>
              <w:pStyle w:val="TableText"/>
              <w:rPr>
                <w:rFonts w:eastAsia="Calibri" w:asciiTheme="minorHAnsi" w:hAnsiTheme="minorHAnsi"/>
              </w:rPr>
            </w:pPr>
            <w:r w:rsidRPr="00F57044">
              <w:rPr>
                <w:rFonts w:eastAsia="Calibri" w:asciiTheme="minorHAnsi" w:hAnsiTheme="minorHAnsi"/>
              </w:rPr>
              <w:t>Households may also be affected via the labour market. Businesses may adjust the type or number of jobs they offer in response to cost changes.</w:t>
            </w:r>
          </w:p>
          <w:p w:rsidRPr="00F57044" w:rsidR="00B31A5E" w:rsidP="356D6FFC" w:rsidRDefault="1C32DA92" w14:paraId="059992B8" w14:textId="0CFF9565">
            <w:pPr>
              <w:pStyle w:val="TableText"/>
              <w:rPr>
                <w:rFonts w:eastAsia="Calibri" w:asciiTheme="minorHAnsi" w:hAnsiTheme="minorHAnsi"/>
              </w:rPr>
            </w:pPr>
            <w:r w:rsidRPr="00F57044">
              <w:t>Rising prices have a disproportionate impact. Low-income households, and single-adult households such as sole-parent families, bear the largest relative impacts.</w:t>
            </w:r>
            <w:r w:rsidRPr="00F57044">
              <w:rPr>
                <w:rFonts w:asciiTheme="minorHAnsi" w:hAnsiTheme="minorHAnsi"/>
              </w:rPr>
              <w:t xml:space="preserve"> </w:t>
            </w:r>
          </w:p>
        </w:tc>
        <w:tc>
          <w:tcPr>
            <w:tcW w:w="1790" w:type="pct"/>
          </w:tcPr>
          <w:p w:rsidRPr="00F57044" w:rsidR="00544160" w:rsidP="00A26C29" w:rsidRDefault="00544160" w14:paraId="5666C93B" w14:textId="7AF79566">
            <w:pPr>
              <w:pStyle w:val="TableText"/>
              <w:spacing w:after="40"/>
            </w:pPr>
            <w:r w:rsidRPr="00F57044">
              <w:t>Under option 2, households are expected to face similar costs and impacts as option 1, but to a lesser extent, due to the smaller increase in the price of NZUs.</w:t>
            </w:r>
          </w:p>
          <w:p w:rsidRPr="00F57044" w:rsidR="00B31A5E" w:rsidP="356D6FFC" w:rsidRDefault="5B98FAFD" w14:paraId="66331995" w14:textId="1BF72DC0">
            <w:pPr>
              <w:pStyle w:val="TableText"/>
              <w:rPr>
                <w:rFonts w:eastAsia="Calibri" w:asciiTheme="minorHAnsi" w:hAnsiTheme="minorHAnsi"/>
              </w:rPr>
            </w:pPr>
            <w:r w:rsidRPr="00F57044">
              <w:rPr>
                <w:rFonts w:asciiTheme="minorHAnsi" w:hAnsiTheme="minorHAnsi"/>
              </w:rPr>
              <w:t xml:space="preserve">Under option </w:t>
            </w:r>
            <w:r w:rsidRPr="00F57044" w:rsidR="56243E78">
              <w:rPr>
                <w:rFonts w:asciiTheme="minorHAnsi" w:hAnsiTheme="minorHAnsi"/>
              </w:rPr>
              <w:t>2</w:t>
            </w:r>
            <w:r w:rsidRPr="00F57044">
              <w:rPr>
                <w:rFonts w:asciiTheme="minorHAnsi" w:hAnsiTheme="minorHAnsi"/>
              </w:rPr>
              <w:t xml:space="preserve">, </w:t>
            </w:r>
            <w:r w:rsidRPr="00F57044" w:rsidR="00976BBA">
              <w:rPr>
                <w:rFonts w:asciiTheme="minorHAnsi" w:hAnsiTheme="minorHAnsi"/>
              </w:rPr>
              <w:t xml:space="preserve">annual </w:t>
            </w:r>
            <w:r w:rsidRPr="00F57044">
              <w:rPr>
                <w:rFonts w:asciiTheme="minorHAnsi" w:hAnsiTheme="minorHAnsi"/>
              </w:rPr>
              <w:t>costs for lower</w:t>
            </w:r>
            <w:r w:rsidRPr="00F57044" w:rsidR="00404B64">
              <w:rPr>
                <w:rFonts w:asciiTheme="minorHAnsi" w:hAnsiTheme="minorHAnsi"/>
              </w:rPr>
              <w:t>-</w:t>
            </w:r>
            <w:r w:rsidRPr="00F57044">
              <w:rPr>
                <w:rFonts w:asciiTheme="minorHAnsi" w:hAnsiTheme="minorHAnsi"/>
              </w:rPr>
              <w:t>income households are projected to increase from today’s range of $240–280 to $</w:t>
            </w:r>
            <w:r w:rsidRPr="00F57044" w:rsidR="00B220A8">
              <w:rPr>
                <w:rFonts w:asciiTheme="minorHAnsi" w:hAnsiTheme="minorHAnsi"/>
              </w:rPr>
              <w:t>340</w:t>
            </w:r>
            <w:r w:rsidRPr="00F57044">
              <w:rPr>
                <w:rFonts w:asciiTheme="minorHAnsi" w:hAnsiTheme="minorHAnsi"/>
              </w:rPr>
              <w:t>–</w:t>
            </w:r>
            <w:r w:rsidRPr="00F57044" w:rsidR="00B220A8">
              <w:rPr>
                <w:rFonts w:asciiTheme="minorHAnsi" w:hAnsiTheme="minorHAnsi"/>
              </w:rPr>
              <w:t xml:space="preserve">550 </w:t>
            </w:r>
            <w:r w:rsidRPr="00F57044">
              <w:rPr>
                <w:rFonts w:asciiTheme="minorHAnsi" w:hAnsiTheme="minorHAnsi"/>
              </w:rPr>
              <w:t>by 2030.</w:t>
            </w:r>
            <w:r w:rsidRPr="00F57044">
              <w:rPr>
                <w:rFonts w:eastAsia="Calibri" w:asciiTheme="minorHAnsi" w:hAnsiTheme="minorHAnsi"/>
              </w:rPr>
              <w:t xml:space="preserve"> </w:t>
            </w:r>
          </w:p>
        </w:tc>
      </w:tr>
      <w:tr w:rsidRPr="00F57044" w:rsidR="00B31A5E" w:rsidTr="00F45D13" w14:paraId="1207C63F" w14:textId="77777777">
        <w:tc>
          <w:tcPr>
            <w:tcW w:w="917" w:type="pct"/>
          </w:tcPr>
          <w:p w:rsidRPr="00F57044" w:rsidR="00B31A5E" w:rsidP="356D6FFC" w:rsidRDefault="00B31A5E" w14:paraId="76C9B8CD" w14:textId="027A9840">
            <w:pPr>
              <w:pStyle w:val="TableText"/>
              <w:rPr>
                <w:rFonts w:eastAsia="Calibri" w:asciiTheme="minorHAnsi" w:hAnsiTheme="minorHAnsi"/>
                <w:b/>
                <w:bCs/>
                <w:color w:val="000000" w:themeColor="text1"/>
              </w:rPr>
            </w:pPr>
            <w:r w:rsidRPr="00F57044">
              <w:rPr>
                <w:rFonts w:eastAsia="Calibri" w:asciiTheme="minorHAnsi" w:hAnsiTheme="minorHAnsi"/>
                <w:b/>
                <w:bCs/>
                <w:color w:val="000000" w:themeColor="text1"/>
              </w:rPr>
              <w:t>Wider economy</w:t>
            </w:r>
          </w:p>
        </w:tc>
        <w:tc>
          <w:tcPr>
            <w:tcW w:w="2293" w:type="pct"/>
          </w:tcPr>
          <w:p w:rsidRPr="00F57044" w:rsidR="00B31A5E" w:rsidP="58EFEC1C" w:rsidRDefault="040B020C" w14:paraId="56072409" w14:textId="1D0011C0">
            <w:pPr>
              <w:pStyle w:val="TableText"/>
              <w:rPr>
                <w:rFonts w:asciiTheme="minorHAnsi" w:hAnsiTheme="minorHAnsi"/>
              </w:rPr>
            </w:pPr>
            <w:r w:rsidRPr="00F57044">
              <w:rPr>
                <w:rFonts w:asciiTheme="minorHAnsi" w:hAnsiTheme="minorHAnsi"/>
              </w:rPr>
              <w:t>Higher prices for household items cause a moderate reduction in disposable income for low-income households, which may impact on the wider economy.</w:t>
            </w:r>
          </w:p>
          <w:p w:rsidRPr="00F57044" w:rsidR="00B31A5E" w:rsidP="58EFEC1C" w:rsidRDefault="040B020C" w14:paraId="517F12A9" w14:textId="53720087">
            <w:pPr>
              <w:pStyle w:val="TableText"/>
              <w:rPr>
                <w:rFonts w:asciiTheme="minorHAnsi" w:hAnsiTheme="minorHAnsi"/>
              </w:rPr>
            </w:pPr>
            <w:r w:rsidRPr="00F57044">
              <w:rPr>
                <w:rFonts w:asciiTheme="minorHAnsi" w:hAnsiTheme="minorHAnsi"/>
              </w:rPr>
              <w:t xml:space="preserve">Forestry plays a large role in the wider Māori economy. </w:t>
            </w:r>
            <w:r w:rsidRPr="00F57044" w:rsidR="00C24090">
              <w:rPr>
                <w:rFonts w:asciiTheme="minorHAnsi" w:hAnsiTheme="minorHAnsi"/>
              </w:rPr>
              <w:t>The increase in</w:t>
            </w:r>
            <w:r w:rsidRPr="00F57044">
              <w:rPr>
                <w:rFonts w:asciiTheme="minorHAnsi" w:hAnsiTheme="minorHAnsi"/>
              </w:rPr>
              <w:t xml:space="preserve"> value of NZUs now and in </w:t>
            </w:r>
            <w:r w:rsidRPr="00F57044" w:rsidR="004B3955">
              <w:rPr>
                <w:rFonts w:asciiTheme="minorHAnsi" w:hAnsiTheme="minorHAnsi"/>
              </w:rPr>
              <w:t xml:space="preserve">the </w:t>
            </w:r>
            <w:r w:rsidRPr="00F57044">
              <w:rPr>
                <w:rFonts w:asciiTheme="minorHAnsi" w:hAnsiTheme="minorHAnsi"/>
              </w:rPr>
              <w:t>future impact</w:t>
            </w:r>
            <w:r w:rsidRPr="00F57044" w:rsidR="00404B64">
              <w:rPr>
                <w:rFonts w:asciiTheme="minorHAnsi" w:hAnsiTheme="minorHAnsi"/>
              </w:rPr>
              <w:t>s</w:t>
            </w:r>
            <w:r w:rsidRPr="00F57044">
              <w:rPr>
                <w:rFonts w:asciiTheme="minorHAnsi" w:hAnsiTheme="minorHAnsi"/>
              </w:rPr>
              <w:t xml:space="preserve"> on </w:t>
            </w:r>
            <w:r w:rsidRPr="00F57044" w:rsidR="00C00834">
              <w:rPr>
                <w:rFonts w:asciiTheme="minorHAnsi" w:hAnsiTheme="minorHAnsi"/>
              </w:rPr>
              <w:t>businesses’</w:t>
            </w:r>
            <w:r w:rsidRPr="00F57044">
              <w:rPr>
                <w:rFonts w:asciiTheme="minorHAnsi" w:hAnsiTheme="minorHAnsi"/>
              </w:rPr>
              <w:t xml:space="preserve"> asset base and capacity as an employer.</w:t>
            </w:r>
          </w:p>
          <w:p w:rsidRPr="00F57044" w:rsidR="00B31A5E" w:rsidP="356D6FFC" w:rsidRDefault="040B020C" w14:paraId="1FE42E3D" w14:textId="6C0D42F5">
            <w:pPr>
              <w:pStyle w:val="TableText"/>
            </w:pPr>
            <w:r w:rsidRPr="00F57044">
              <w:t>Relatively higher NZ ETS prices are likely to marginally increase inflationary pressures. However, we judge this highly unlikely to influence the trajectory of monetary policy.</w:t>
            </w:r>
            <w:r w:rsidRPr="00F57044">
              <w:rPr>
                <w:rFonts w:asciiTheme="minorHAnsi" w:hAnsiTheme="minorHAnsi"/>
              </w:rPr>
              <w:t xml:space="preserve"> </w:t>
            </w:r>
          </w:p>
        </w:tc>
        <w:tc>
          <w:tcPr>
            <w:tcW w:w="1790" w:type="pct"/>
          </w:tcPr>
          <w:p w:rsidRPr="00F57044" w:rsidR="00B31A5E" w:rsidP="356D6FFC" w:rsidRDefault="003D12FA" w14:paraId="115ADF11" w14:textId="1F3F8926">
            <w:pPr>
              <w:pStyle w:val="TableText"/>
            </w:pPr>
            <w:r w:rsidRPr="00F57044">
              <w:rPr>
                <w:rFonts w:asciiTheme="minorHAnsi" w:hAnsiTheme="minorHAnsi"/>
              </w:rPr>
              <w:t>O</w:t>
            </w:r>
            <w:r w:rsidRPr="00F57044" w:rsidR="10067C70">
              <w:rPr>
                <w:rFonts w:asciiTheme="minorHAnsi" w:hAnsiTheme="minorHAnsi"/>
              </w:rPr>
              <w:t xml:space="preserve">ption </w:t>
            </w:r>
            <w:r w:rsidRPr="00F57044" w:rsidR="44E46CBC">
              <w:rPr>
                <w:rFonts w:asciiTheme="minorHAnsi" w:hAnsiTheme="minorHAnsi"/>
              </w:rPr>
              <w:t>2</w:t>
            </w:r>
            <w:r w:rsidRPr="00F57044" w:rsidR="10067C70">
              <w:rPr>
                <w:rFonts w:asciiTheme="minorHAnsi" w:hAnsiTheme="minorHAnsi"/>
              </w:rPr>
              <w:t xml:space="preserve"> will have similar impacts </w:t>
            </w:r>
            <w:r w:rsidRPr="00F57044" w:rsidR="00FD7B1E">
              <w:rPr>
                <w:rFonts w:asciiTheme="minorHAnsi" w:hAnsiTheme="minorHAnsi"/>
              </w:rPr>
              <w:t>on the wider economy as</w:t>
            </w:r>
            <w:r w:rsidRPr="00F57044" w:rsidR="10067C70">
              <w:rPr>
                <w:rFonts w:asciiTheme="minorHAnsi" w:hAnsiTheme="minorHAnsi"/>
              </w:rPr>
              <w:t xml:space="preserve"> option </w:t>
            </w:r>
            <w:r w:rsidRPr="00F57044" w:rsidR="07576E99">
              <w:rPr>
                <w:rFonts w:asciiTheme="minorHAnsi" w:hAnsiTheme="minorHAnsi"/>
              </w:rPr>
              <w:t>1</w:t>
            </w:r>
            <w:r w:rsidRPr="00F57044" w:rsidR="10067C70">
              <w:rPr>
                <w:rFonts w:asciiTheme="minorHAnsi" w:hAnsiTheme="minorHAnsi"/>
              </w:rPr>
              <w:t>, but to a lesser extent</w:t>
            </w:r>
            <w:r w:rsidRPr="00F57044" w:rsidR="00FD7B1E">
              <w:rPr>
                <w:rFonts w:asciiTheme="minorHAnsi" w:hAnsiTheme="minorHAnsi"/>
              </w:rPr>
              <w:t>, due to the smaller increase in the price of NZUs</w:t>
            </w:r>
            <w:r w:rsidRPr="00F57044" w:rsidR="10067C70">
              <w:rPr>
                <w:rFonts w:asciiTheme="minorHAnsi" w:hAnsiTheme="minorHAnsi"/>
              </w:rPr>
              <w:t xml:space="preserve">. </w:t>
            </w:r>
          </w:p>
        </w:tc>
      </w:tr>
    </w:tbl>
    <w:p w:rsidRPr="00F57044" w:rsidR="001A1032" w:rsidP="001A1032" w:rsidRDefault="001A1032" w14:paraId="53EAEB67" w14:textId="578FB9C5">
      <w:pPr>
        <w:pStyle w:val="BodyText"/>
        <w:rPr>
          <w:rFonts w:asciiTheme="minorHAnsi" w:hAnsiTheme="minorHAnsi" w:cstheme="minorHAnsi"/>
        </w:rPr>
      </w:pPr>
    </w:p>
    <w:sectPr w:rsidRPr="00F57044" w:rsidR="001A1032" w:rsidSect="00CD758B">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07DA" w:rsidP="0080531E" w:rsidRDefault="005007DA" w14:paraId="0FB70A40" w14:textId="77777777">
      <w:pPr>
        <w:spacing w:before="0" w:after="0" w:line="240" w:lineRule="auto"/>
      </w:pPr>
      <w:r>
        <w:separator/>
      </w:r>
    </w:p>
    <w:p w:rsidR="005007DA" w:rsidRDefault="005007DA" w14:paraId="7C10F14B" w14:textId="77777777"/>
    <w:p w:rsidR="005007DA" w:rsidRDefault="005007DA" w14:paraId="3105C55B" w14:textId="77777777"/>
  </w:endnote>
  <w:endnote w:type="continuationSeparator" w:id="0">
    <w:p w:rsidR="005007DA" w:rsidP="0080531E" w:rsidRDefault="005007DA" w14:paraId="19F3277A" w14:textId="77777777">
      <w:pPr>
        <w:spacing w:before="0" w:after="0" w:line="240" w:lineRule="auto"/>
      </w:pPr>
      <w:r>
        <w:continuationSeparator/>
      </w:r>
    </w:p>
    <w:p w:rsidR="005007DA" w:rsidRDefault="005007DA" w14:paraId="203E23F3" w14:textId="77777777"/>
    <w:p w:rsidR="005007DA" w:rsidRDefault="005007DA" w14:paraId="0AF5F6B3" w14:textId="77777777"/>
  </w:endnote>
  <w:endnote w:type="continuationNotice" w:id="1">
    <w:p w:rsidR="005007DA" w:rsidRDefault="005007DA" w14:paraId="128375E2" w14:textId="77777777">
      <w:pPr>
        <w:spacing w:before="0" w:after="0" w:line="240" w:lineRule="auto"/>
      </w:pPr>
    </w:p>
    <w:p w:rsidR="005007DA" w:rsidRDefault="005007DA" w14:paraId="584E173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ExtG">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3D57" w:rsidRDefault="00D53D57" w14:paraId="55EF181B" w14:textId="12C90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732C" w:rsidRDefault="00B8732C" w14:paraId="6688ADB5" w14:textId="7570F568">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3D57" w:rsidRDefault="00D53D57" w14:paraId="77803F11" w14:textId="5A24F2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210B" w:rsidP="00E65427" w:rsidRDefault="00E5210B" w14:paraId="7CDA26D0" w14:textId="62E39DC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5210B" w:rsidRDefault="00B8732C" w14:paraId="74A92B82" w14:textId="79FF548D">
    <w:r>
      <w:rPr>
        <w:b/>
        <w:bCs/>
        <w:noProof/>
      </w:rPr>
      <w:drawing>
        <wp:inline distT="0" distB="0" distL="0" distR="0" wp14:anchorId="12F64452" wp14:editId="0CA7AC9F">
          <wp:extent cx="2239911" cy="538480"/>
          <wp:effectExtent l="0" t="0" r="0" b="0"/>
          <wp:docPr id="1626233339" name="Picture 16262333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179D" w:rsidRDefault="0017179D" w14:paraId="3718E577" w14:textId="5E9FE0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3AB" w:rsidP="00D52347" w:rsidRDefault="006B0B8F" w14:paraId="11B6117A" w14:textId="1769E361">
    <w:pPr>
      <w:pStyle w:val="Footereven"/>
      <w:tabs>
        <w:tab w:val="clear" w:pos="567"/>
      </w:tabs>
      <w:jc w:val="left"/>
    </w:pPr>
    <w:r>
      <w:fldChar w:fldCharType="begin"/>
    </w:r>
    <w:r>
      <w:instrText xml:space="preserve"> PAGE   \* MERGEFORMAT </w:instrText>
    </w:r>
    <w:r>
      <w:fldChar w:fldCharType="separate"/>
    </w:r>
    <w:r>
      <w:rPr>
        <w:noProof/>
      </w:rPr>
      <w:t>1</w:t>
    </w:r>
    <w:r>
      <w:rPr>
        <w:noProof/>
      </w:rPr>
      <w:fldChar w:fldCharType="end"/>
    </w:r>
    <w:r w:rsidR="00E5210B">
      <w:tab/>
    </w:r>
    <w:r w:rsidR="001E063C">
      <w:t>A</w:t>
    </w:r>
    <w:r w:rsidR="00D13DF3">
      <w:t>nnual updates</w:t>
    </w:r>
    <w:r w:rsidRPr="006B0B8F">
      <w:t xml:space="preserve"> to </w:t>
    </w:r>
    <w:r w:rsidR="00E40E12">
      <w:t>NZ</w:t>
    </w:r>
    <w:r w:rsidR="00CF2403">
      <w:t xml:space="preserve"> </w:t>
    </w:r>
    <w:r w:rsidR="00E40E12">
      <w:t>ETS</w:t>
    </w:r>
    <w:r w:rsidRPr="006B0B8F">
      <w:t xml:space="preserve"> limit</w:t>
    </w:r>
    <w:r w:rsidR="00BE5457">
      <w:t>s</w:t>
    </w:r>
    <w:r w:rsidRPr="006B0B8F">
      <w:t xml:space="preserve"> and price control settings for units </w:t>
    </w:r>
    <w:r w:rsidRPr="00A73F5A">
      <w:t>202</w:t>
    </w:r>
    <w:r w:rsidR="00D6480E">
      <w:t>5</w:t>
    </w:r>
    <w:r w:rsidR="00E40E12">
      <w:t>: Consultation document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B0B8F" w:rsidR="00E453AB" w:rsidP="003A49B8" w:rsidRDefault="00D13DF3" w14:paraId="10B325D6" w14:textId="63C486B5">
    <w:pPr>
      <w:pStyle w:val="Footerodd"/>
      <w:tabs>
        <w:tab w:val="clear" w:pos="7938"/>
        <w:tab w:val="right" w:pos="6663"/>
      </w:tabs>
      <w:jc w:val="right"/>
    </w:pPr>
    <w:r>
      <w:t>Annual updates</w:t>
    </w:r>
    <w:r w:rsidRPr="006B0B8F" w:rsidR="006B0B8F">
      <w:t xml:space="preserve"> to </w:t>
    </w:r>
    <w:r w:rsidR="00E40E12">
      <w:t>NZ</w:t>
    </w:r>
    <w:r w:rsidR="00CF2403">
      <w:t xml:space="preserve"> </w:t>
    </w:r>
    <w:r w:rsidR="00E40E12">
      <w:t xml:space="preserve">ETS </w:t>
    </w:r>
    <w:r w:rsidRPr="006B0B8F" w:rsidR="006B0B8F">
      <w:t>limit</w:t>
    </w:r>
    <w:r w:rsidR="00BE5457">
      <w:t>s</w:t>
    </w:r>
    <w:r w:rsidRPr="006B0B8F" w:rsidR="006B0B8F">
      <w:t xml:space="preserve"> and price control settings for units </w:t>
    </w:r>
    <w:r w:rsidRPr="006B0B8F" w:rsidR="00080BD1">
      <w:t>202</w:t>
    </w:r>
    <w:r w:rsidR="00080BD1">
      <w:t>5</w:t>
    </w:r>
    <w:r w:rsidR="00A8736F">
      <w:t>: Consultation document</w:t>
    </w:r>
    <w:r w:rsidR="006B0B8F">
      <w:tab/>
    </w:r>
    <w:r w:rsidR="006B0B8F">
      <w:fldChar w:fldCharType="begin"/>
    </w:r>
    <w:r w:rsidR="006B0B8F">
      <w:instrText xml:space="preserve"> PAGE   \* MERGEFORMAT </w:instrText>
    </w:r>
    <w:r w:rsidR="006B0B8F">
      <w:fldChar w:fldCharType="separate"/>
    </w:r>
    <w:r w:rsidR="006B0B8F">
      <w:rPr>
        <w:noProof/>
      </w:rPr>
      <w:t>1</w:t>
    </w:r>
    <w:r w:rsidR="006B0B8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179D" w:rsidRDefault="0017179D" w14:paraId="2EEDF67C" w14:textId="42381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07DA" w:rsidP="00354880" w:rsidRDefault="005007DA" w14:paraId="6B5F18C5" w14:textId="77777777">
      <w:pPr>
        <w:spacing w:before="0" w:after="80" w:line="240" w:lineRule="auto"/>
      </w:pPr>
      <w:r>
        <w:separator/>
      </w:r>
    </w:p>
  </w:footnote>
  <w:footnote w:type="continuationSeparator" w:id="0">
    <w:p w:rsidR="005007DA" w:rsidRDefault="005007DA" w14:paraId="2EDCF871" w14:textId="77777777">
      <w:r>
        <w:continuationSeparator/>
      </w:r>
    </w:p>
  </w:footnote>
  <w:footnote w:type="continuationNotice" w:id="1">
    <w:p w:rsidR="005007DA" w:rsidRDefault="005007DA" w14:paraId="5613CA56" w14:textId="77777777">
      <w:pPr>
        <w:spacing w:before="0" w:after="0" w:line="240" w:lineRule="auto"/>
      </w:pPr>
    </w:p>
    <w:p w:rsidR="005007DA" w:rsidRDefault="005007DA" w14:paraId="504631AA" w14:textId="77777777"/>
  </w:footnote>
  <w:footnote w:id="2">
    <w:p w:rsidR="007A7677" w:rsidP="0031529A" w:rsidRDefault="007A7677" w14:paraId="5EC046A2" w14:textId="1368109B">
      <w:pPr>
        <w:pStyle w:val="FootnoteText"/>
      </w:pPr>
      <w:r>
        <w:rPr>
          <w:rStyle w:val="FootnoteReference"/>
        </w:rPr>
        <w:footnoteRef/>
      </w:r>
      <w:r w:rsidR="00110634">
        <w:tab/>
      </w:r>
      <w:r w:rsidR="003352F6">
        <w:t>The Government is</w:t>
      </w:r>
      <w:r w:rsidR="00EC2AA5">
        <w:t xml:space="preserve"> </w:t>
      </w:r>
      <w:r>
        <w:t xml:space="preserve">currently </w:t>
      </w:r>
      <w:r w:rsidRPr="001B4AF7">
        <w:t xml:space="preserve">considering advice on 2050 </w:t>
      </w:r>
      <w:r>
        <w:t xml:space="preserve">emissions </w:t>
      </w:r>
      <w:r w:rsidR="00AE332E">
        <w:t>reduction</w:t>
      </w:r>
      <w:r>
        <w:t xml:space="preserve"> </w:t>
      </w:r>
      <w:r w:rsidRPr="001B4AF7">
        <w:t>targe</w:t>
      </w:r>
      <w:r>
        <w:t>ts. NZ ETS settings must accord with targets currently set in legislation</w:t>
      </w:r>
      <w:r w:rsidR="00374A65">
        <w:t>,</w:t>
      </w:r>
      <w:r>
        <w:t xml:space="preserve"> and have been evaluated accordingly </w:t>
      </w:r>
      <w:r w:rsidR="00B40002">
        <w:t>here</w:t>
      </w:r>
      <w:r>
        <w:t>.</w:t>
      </w:r>
    </w:p>
  </w:footnote>
  <w:footnote w:id="3">
    <w:p w:rsidR="00314EAD" w:rsidP="0031529A" w:rsidRDefault="00314EAD" w14:paraId="43ACF3C5" w14:textId="62C3F8A0">
      <w:pPr>
        <w:pStyle w:val="FootnoteText"/>
      </w:pPr>
      <w:r>
        <w:rPr>
          <w:rStyle w:val="FootnoteReference"/>
        </w:rPr>
        <w:footnoteRef/>
      </w:r>
      <w:r w:rsidR="00110634">
        <w:tab/>
      </w:r>
      <w:r>
        <w:t xml:space="preserve">See </w:t>
      </w:r>
      <w:hyperlink w:history="1" r:id="rId1">
        <w:r w:rsidR="00126E26">
          <w:rPr>
            <w:rStyle w:val="Hyperlink"/>
          </w:rPr>
          <w:t>section 30GB(5)</w:t>
        </w:r>
      </w:hyperlink>
      <w:r w:rsidR="00126E26">
        <w:t>of the CCRA</w:t>
      </w:r>
      <w:r w:rsidR="00374A65">
        <w:t>,</w:t>
      </w:r>
      <w:r w:rsidR="00E107B9">
        <w:t xml:space="preserve"> </w:t>
      </w:r>
      <w:r>
        <w:t xml:space="preserve">which includes </w:t>
      </w:r>
      <w:r w:rsidRPr="00126E26">
        <w:t xml:space="preserve">“(b) </w:t>
      </w:r>
      <w:r w:rsidRPr="00C4241A">
        <w:t>the Minister is satisfied that the amendment is justified by … (</w:t>
      </w:r>
      <w:r w:rsidRPr="00C4241A">
        <w:t>i) a change that has significantly affected any matter that the Minister was required to</w:t>
      </w:r>
      <w:r w:rsidR="008E2D7A">
        <w:t> </w:t>
      </w:r>
      <w:r w:rsidRPr="00C4241A">
        <w:t>consider under section 30GC when recommending the limits and price control settings that are to be</w:t>
      </w:r>
      <w:r w:rsidR="008E2D7A">
        <w:t> </w:t>
      </w:r>
      <w:r w:rsidRPr="00C4241A">
        <w:t>amended.</w:t>
      </w:r>
      <w:r w:rsidRPr="00C4241A" w:rsidR="003A1E8D">
        <w:t>”</w:t>
      </w:r>
    </w:p>
  </w:footnote>
  <w:footnote w:id="4">
    <w:p w:rsidR="76DDBF20" w:rsidP="0031529A" w:rsidRDefault="76DDBF20" w14:paraId="439EF348" w14:textId="456A479B">
      <w:pPr>
        <w:pStyle w:val="FootnoteText"/>
      </w:pPr>
      <w:r w:rsidRPr="00150758">
        <w:rPr>
          <w:rStyle w:val="FootnoteReference"/>
        </w:rPr>
        <w:footnoteRef/>
      </w:r>
      <w:r w:rsidR="00834CC8">
        <w:rPr>
          <w:rFonts w:eastAsia="Calibri" w:cs="Calibri"/>
          <w:szCs w:val="19"/>
        </w:rPr>
        <w:tab/>
      </w:r>
      <w:r w:rsidRPr="00150758" w:rsidR="1C4C124A">
        <w:rPr>
          <w:rFonts w:eastAsia="Calibri" w:cs="Calibri"/>
          <w:szCs w:val="19"/>
        </w:rPr>
        <w:t xml:space="preserve">He Pou a Rangi | Climate Change Commission. </w:t>
      </w:r>
      <w:hyperlink w:history="1" r:id="rId2">
        <w:hyperlink w:history="1" r:id="rId3">
          <w:r w:rsidRPr="00150758" w:rsidR="7994F321">
            <w:rPr>
              <w:rStyle w:val="Hyperlink"/>
              <w:rFonts w:eastAsia="Calibri" w:cs="Calibri"/>
              <w:i/>
              <w:iCs/>
              <w:szCs w:val="19"/>
            </w:rPr>
            <w:t xml:space="preserve">NZ ETS unit limits and price control settings for </w:t>
          </w:r>
          <w:r w:rsidRPr="00150758" w:rsidR="00E84A13">
            <w:rPr>
              <w:rStyle w:val="Hyperlink"/>
              <w:rFonts w:eastAsia="Calibri" w:cs="Calibri"/>
              <w:i/>
              <w:iCs/>
              <w:szCs w:val="19"/>
            </w:rPr>
            <w:t>2026</w:t>
          </w:r>
          <w:r w:rsidRPr="00150758" w:rsidR="00E92EAF">
            <w:rPr>
              <w:rStyle w:val="Hyperlink"/>
              <w:rFonts w:eastAsia="Calibri" w:cs="Calibri"/>
              <w:i/>
              <w:iCs/>
              <w:szCs w:val="19"/>
            </w:rPr>
            <w:t>–</w:t>
          </w:r>
          <w:r w:rsidRPr="00150758" w:rsidR="7994F321">
            <w:rPr>
              <w:rStyle w:val="Hyperlink"/>
              <w:rFonts w:eastAsia="Calibri" w:cs="Calibri"/>
              <w:i/>
              <w:iCs/>
              <w:szCs w:val="19"/>
            </w:rPr>
            <w:t>20</w:t>
          </w:r>
          <w:r w:rsidRPr="00150758" w:rsidR="00E84A13">
            <w:rPr>
              <w:rStyle w:val="Hyperlink"/>
              <w:rFonts w:eastAsia="Calibri" w:cs="Calibri"/>
              <w:i/>
              <w:iCs/>
              <w:szCs w:val="19"/>
            </w:rPr>
            <w:t>30</w:t>
          </w:r>
        </w:hyperlink>
      </w:hyperlink>
      <w:r w:rsidRPr="00150758" w:rsidR="1C4C124A">
        <w:rPr>
          <w:rFonts w:eastAsia="Calibri" w:cs="Calibri"/>
          <w:szCs w:val="19"/>
        </w:rPr>
        <w:t xml:space="preserve">. Retrieved </w:t>
      </w:r>
      <w:r w:rsidRPr="00150758" w:rsidR="00E84A13">
        <w:rPr>
          <w:rFonts w:eastAsia="Calibri" w:cs="Calibri"/>
          <w:szCs w:val="19"/>
        </w:rPr>
        <w:t>23 April 202</w:t>
      </w:r>
      <w:r w:rsidR="00CE222D">
        <w:rPr>
          <w:rFonts w:eastAsia="Calibri" w:cs="Calibri"/>
          <w:szCs w:val="19"/>
        </w:rPr>
        <w:t>5</w:t>
      </w:r>
      <w:r w:rsidRPr="00150758" w:rsidR="1C4C124A">
        <w:rPr>
          <w:rFonts w:eastAsia="Calibri" w:cs="Calibri"/>
          <w:szCs w:val="19"/>
        </w:rPr>
        <w:t>.</w:t>
      </w:r>
    </w:p>
  </w:footnote>
  <w:footnote w:id="5">
    <w:p w:rsidR="00BB5965" w:rsidP="0031529A" w:rsidRDefault="00BB5965" w14:paraId="7185CD74" w14:textId="3B4E57C1">
      <w:pPr>
        <w:pStyle w:val="FootnoteText"/>
      </w:pPr>
      <w:r>
        <w:rPr>
          <w:rStyle w:val="FootnoteReference"/>
        </w:rPr>
        <w:footnoteRef/>
      </w:r>
      <w:r w:rsidR="0020747C">
        <w:tab/>
      </w:r>
      <w:r w:rsidR="00286F8C">
        <w:t>Section</w:t>
      </w:r>
      <w:r w:rsidR="00A22F12">
        <w:t xml:space="preserve"> </w:t>
      </w:r>
      <w:r>
        <w:t>30GC(2)(b)</w:t>
      </w:r>
      <w:r w:rsidR="00DA078F">
        <w:t xml:space="preserve"> of the CCRA</w:t>
      </w:r>
      <w:r>
        <w:t>.</w:t>
      </w:r>
    </w:p>
  </w:footnote>
  <w:footnote w:id="6">
    <w:p w:rsidR="00765216" w:rsidP="0031529A" w:rsidRDefault="00765216" w14:paraId="05D27115" w14:textId="47894D2C">
      <w:pPr>
        <w:pStyle w:val="FootnoteText"/>
      </w:pPr>
      <w:r>
        <w:rPr>
          <w:rStyle w:val="FootnoteReference"/>
        </w:rPr>
        <w:footnoteRef/>
      </w:r>
      <w:r w:rsidR="0020747C">
        <w:tab/>
      </w:r>
      <w:r w:rsidR="00286F8C">
        <w:t>Section</w:t>
      </w:r>
      <w:r w:rsidR="00A22F12">
        <w:t xml:space="preserve"> </w:t>
      </w:r>
      <w:r>
        <w:t>30</w:t>
      </w:r>
      <w:r>
        <w:t>GC(3)</w:t>
      </w:r>
      <w:r w:rsidR="00DA078F">
        <w:t xml:space="preserve"> of the CCRA</w:t>
      </w:r>
      <w:r>
        <w:t>.</w:t>
      </w:r>
    </w:p>
  </w:footnote>
  <w:footnote w:id="7">
    <w:p w:rsidR="00567F7B" w:rsidP="0031529A" w:rsidRDefault="00567F7B" w14:paraId="64D75F57" w14:textId="79626474">
      <w:pPr>
        <w:pStyle w:val="FootnoteText"/>
      </w:pPr>
      <w:r>
        <w:rPr>
          <w:rStyle w:val="FootnoteReference"/>
        </w:rPr>
        <w:footnoteRef/>
      </w:r>
      <w:r w:rsidR="0020747C">
        <w:tab/>
      </w:r>
      <w:r w:rsidR="00286F8C">
        <w:t>Sections</w:t>
      </w:r>
      <w:r w:rsidR="00A22F12">
        <w:t xml:space="preserve"> </w:t>
      </w:r>
      <w:r w:rsidR="009C6DDC">
        <w:t>30</w:t>
      </w:r>
      <w:r w:rsidR="009C6DDC">
        <w:t>GC(5) and 30GC(6)</w:t>
      </w:r>
      <w:r w:rsidR="00DA078F">
        <w:t xml:space="preserve"> of the CCRA</w:t>
      </w:r>
      <w:r w:rsidR="009C6DDC">
        <w:t xml:space="preserve"> </w:t>
      </w:r>
      <w:r w:rsidR="009665A9">
        <w:t xml:space="preserve">outline </w:t>
      </w:r>
      <w:r w:rsidR="005B2349">
        <w:t xml:space="preserve">the </w:t>
      </w:r>
      <w:r w:rsidR="00EB59FD">
        <w:t>criteria</w:t>
      </w:r>
      <w:r w:rsidR="003933DC">
        <w:t>.</w:t>
      </w:r>
    </w:p>
  </w:footnote>
  <w:footnote w:id="8">
    <w:p w:rsidRPr="00F70770" w:rsidR="00B54E35" w:rsidP="00407046" w:rsidRDefault="00B54E35" w14:paraId="50D16561" w14:textId="558EDB33">
      <w:pPr>
        <w:pStyle w:val="FootnoteText"/>
        <w:spacing w:after="40"/>
      </w:pPr>
      <w:r>
        <w:rPr>
          <w:rStyle w:val="FootnoteReference"/>
        </w:rPr>
        <w:footnoteRef/>
      </w:r>
      <w:r w:rsidR="001A0A77">
        <w:tab/>
      </w:r>
      <w:r w:rsidRPr="00AE083A" w:rsidR="00AE083A">
        <w:t>Ministry for the Environment</w:t>
      </w:r>
      <w:r w:rsidR="00AE083A">
        <w:t xml:space="preserve">. </w:t>
      </w:r>
      <w:r w:rsidR="00616C54">
        <w:t xml:space="preserve">2023. </w:t>
      </w:r>
      <w:hyperlink w:history="1" r:id="rId4">
        <w:r w:rsidRPr="00DF67FC" w:rsidR="00AE083A">
          <w:rPr>
            <w:rStyle w:val="Hyperlink"/>
            <w:i/>
            <w:iCs/>
          </w:rPr>
          <w:t>Review of the New Zealand Emissions Trading Scheme: Summary of modelling</w:t>
        </w:r>
      </w:hyperlink>
      <w:r w:rsidR="00FF1D49">
        <w:t>.</w:t>
      </w:r>
      <w:r w:rsidRPr="00AF6A06" w:rsidR="00C93B30">
        <w:t xml:space="preserve"> </w:t>
      </w:r>
      <w:r w:rsidR="00C93B30">
        <w:t>Wellington: Ministry for the Environment.</w:t>
      </w:r>
    </w:p>
  </w:footnote>
  <w:footnote w:id="9">
    <w:p w:rsidR="0055080F" w:rsidP="00407046" w:rsidRDefault="0055080F" w14:paraId="51AD69FD" w14:textId="647C0F50">
      <w:pPr>
        <w:pStyle w:val="FootnoteText"/>
        <w:spacing w:after="40"/>
      </w:pPr>
      <w:r>
        <w:rPr>
          <w:rStyle w:val="FootnoteReference"/>
        </w:rPr>
        <w:footnoteRef/>
      </w:r>
      <w:r w:rsidR="001A0A77">
        <w:tab/>
      </w:r>
      <w:r w:rsidRPr="00C93B30" w:rsidR="00C93B30">
        <w:t>Ministry for the Environment</w:t>
      </w:r>
      <w:r w:rsidR="00C93B30">
        <w:t>.</w:t>
      </w:r>
      <w:r w:rsidRPr="00C93B30" w:rsidR="00C93B30">
        <w:t xml:space="preserve"> </w:t>
      </w:r>
      <w:r w:rsidR="00C93B30">
        <w:t xml:space="preserve">2025. </w:t>
      </w:r>
      <w:hyperlink w:history="1" r:id="rId5">
        <w:r w:rsidRPr="00784623" w:rsidR="00C93B30">
          <w:rPr>
            <w:rStyle w:val="Hyperlink"/>
            <w:i/>
            <w:iCs/>
          </w:rPr>
          <w:t>Updates to the New Zealand Emissions Trading Scheme market model</w:t>
        </w:r>
        <w:r w:rsidR="00C93B30">
          <w:rPr>
            <w:rStyle w:val="Hyperlink"/>
          </w:rPr>
          <w:t>.</w:t>
        </w:r>
      </w:hyperlink>
      <w:r w:rsidRPr="00C93B30" w:rsidR="00C93B30">
        <w:t xml:space="preserve"> </w:t>
      </w:r>
      <w:r w:rsidR="00C93B30">
        <w:t>Wellington: Ministry for the Environment.</w:t>
      </w:r>
    </w:p>
  </w:footnote>
  <w:footnote w:id="10">
    <w:p w:rsidR="00E54E66" w:rsidRDefault="0008556C" w14:paraId="28EDD049" w14:textId="6387C0F2">
      <w:pPr>
        <w:pStyle w:val="FootnoteText"/>
      </w:pPr>
      <w:r>
        <w:rPr>
          <w:rStyle w:val="FootnoteReference"/>
        </w:rPr>
        <w:footnoteRef/>
      </w:r>
      <w:r>
        <w:t xml:space="preserve"> </w:t>
      </w:r>
      <w:r w:rsidR="004B7C99">
        <w:tab/>
      </w:r>
      <w:r>
        <w:t>This is referred to as the ‘discrepancy adjustment’ within the seven-step methodology. It covers adjustments to things like updated forecasts of 2025 industrial allocation volumes and changes to the NZ</w:t>
      </w:r>
      <w:r w:rsidR="004B7C99">
        <w:t> </w:t>
      </w:r>
      <w:r>
        <w:t>ETS cap affecting 2025.</w:t>
      </w:r>
    </w:p>
  </w:footnote>
  <w:footnote w:id="11">
    <w:p w:rsidR="00017C65" w:rsidP="0031529A" w:rsidRDefault="00017C65" w14:paraId="04899600" w14:textId="1B881277">
      <w:pPr>
        <w:pStyle w:val="FootnoteText"/>
      </w:pPr>
      <w:r>
        <w:rPr>
          <w:rStyle w:val="FootnoteReference"/>
        </w:rPr>
        <w:footnoteRef/>
      </w:r>
      <w:r w:rsidR="004B7C99">
        <w:tab/>
      </w:r>
      <w:r w:rsidR="00DA02CA">
        <w:t>This exclude</w:t>
      </w:r>
      <w:r w:rsidR="001D1B06">
        <w:t>s</w:t>
      </w:r>
      <w:r w:rsidR="00DA02CA">
        <w:t xml:space="preserve"> the</w:t>
      </w:r>
      <w:r w:rsidR="001D1B06">
        <w:t xml:space="preserve"> unanticipated</w:t>
      </w:r>
      <w:r w:rsidR="00DA02CA">
        <w:t xml:space="preserve"> reduction due to </w:t>
      </w:r>
      <w:r w:rsidR="001D1B06">
        <w:t xml:space="preserve">some auctions not clearing in 2024. </w:t>
      </w:r>
      <w:r w:rsidR="00720956">
        <w:t xml:space="preserve">When </w:t>
      </w:r>
      <w:r w:rsidR="00724567">
        <w:t>these are factored</w:t>
      </w:r>
      <w:r w:rsidR="00720956">
        <w:t xml:space="preserve"> in</w:t>
      </w:r>
      <w:r w:rsidR="008D2592">
        <w:t xml:space="preserve">, the </w:t>
      </w:r>
      <w:r w:rsidR="00025279">
        <w:t xml:space="preserve">surplus has </w:t>
      </w:r>
      <w:r w:rsidR="00720956">
        <w:t>reduced</w:t>
      </w:r>
      <w:r w:rsidR="00025279">
        <w:t xml:space="preserve"> </w:t>
      </w:r>
      <w:r w:rsidR="00720956">
        <w:t>faster</w:t>
      </w:r>
      <w:r w:rsidR="00025279">
        <w:t xml:space="preserve"> than </w:t>
      </w:r>
      <w:r w:rsidR="0031582A">
        <w:t>expected</w:t>
      </w:r>
      <w:r w:rsidR="00E15AB7">
        <w:t>.</w:t>
      </w:r>
      <w:r w:rsidR="0031582A">
        <w:t xml:space="preserve"> </w:t>
      </w:r>
    </w:p>
  </w:footnote>
  <w:footnote w:id="12">
    <w:p w:rsidR="00A96AE4" w:rsidP="00A96AE4" w:rsidRDefault="00A96AE4" w14:paraId="15CE61CE" w14:textId="77777777">
      <w:pPr>
        <w:pStyle w:val="FootnoteText"/>
      </w:pPr>
      <w:r>
        <w:rPr>
          <w:rStyle w:val="FootnoteReference"/>
        </w:rPr>
        <w:footnoteRef/>
      </w:r>
      <w:r>
        <w:tab/>
      </w:r>
      <w:r>
        <w:t>In its advice, the Commission refers to the auction price floor as the auction reserve price.</w:t>
      </w:r>
    </w:p>
  </w:footnote>
  <w:footnote w:id="13">
    <w:p w:rsidR="001458E9" w:rsidP="0031529A" w:rsidRDefault="001458E9" w14:paraId="557F14E7" w14:textId="11F79938">
      <w:pPr>
        <w:pStyle w:val="FootnoteText"/>
      </w:pPr>
      <w:r>
        <w:rPr>
          <w:rStyle w:val="FootnoteReference"/>
        </w:rPr>
        <w:footnoteRef/>
      </w:r>
      <w:r w:rsidR="003A1E8D">
        <w:tab/>
      </w:r>
      <w:r>
        <w:t>Low</w:t>
      </w:r>
      <w:r w:rsidR="008D0166">
        <w:t>-</w:t>
      </w:r>
      <w:r>
        <w:t>risk units are from permanent or average accounting forests</w:t>
      </w:r>
      <w:r w:rsidR="00B224BF">
        <w:t xml:space="preserve"> that do not have a</w:t>
      </w:r>
      <w:r w:rsidR="0031411A">
        <w:t xml:space="preserve"> </w:t>
      </w:r>
      <w:r w:rsidR="008B2C01">
        <w:t>surrender liability.</w:t>
      </w:r>
      <w:r w:rsidR="0031411A">
        <w:t xml:space="preserve"> </w:t>
      </w:r>
      <w:r w:rsidR="006927A7">
        <w:t>For modelling</w:t>
      </w:r>
      <w:r w:rsidR="008D0166">
        <w:t>,</w:t>
      </w:r>
      <w:r w:rsidR="0031411A">
        <w:t xml:space="preserve"> </w:t>
      </w:r>
      <w:r w:rsidR="006927A7">
        <w:t>t</w:t>
      </w:r>
      <w:r w:rsidR="00D51A21">
        <w:t>hese are assumed to become available to the market as the</w:t>
      </w:r>
      <w:r w:rsidR="00CB2EDA">
        <w:t>y are earned</w:t>
      </w:r>
      <w:r w:rsidR="006927A7">
        <w:t>.</w:t>
      </w:r>
    </w:p>
  </w:footnote>
  <w:footnote w:id="14">
    <w:p w:rsidR="00284DC1" w:rsidP="0031529A" w:rsidRDefault="00284DC1" w14:paraId="62493EC4" w14:textId="70D8284C">
      <w:pPr>
        <w:pStyle w:val="FootnoteText"/>
      </w:pPr>
      <w:r>
        <w:rPr>
          <w:rStyle w:val="FootnoteReference"/>
        </w:rPr>
        <w:footnoteRef/>
      </w:r>
      <w:r w:rsidR="003A1E8D">
        <w:tab/>
      </w:r>
      <w:r w:rsidRPr="00334854">
        <w:t>Forestry supply in</w:t>
      </w:r>
      <w:r w:rsidR="0031411A">
        <w:t xml:space="preserve"> </w:t>
      </w:r>
      <w:r w:rsidR="008D0166">
        <w:t>figure</w:t>
      </w:r>
      <w:r w:rsidR="0031411A">
        <w:t xml:space="preserve"> </w:t>
      </w:r>
      <w:r w:rsidR="00C87F21">
        <w:t>4</w:t>
      </w:r>
      <w:r w:rsidR="0031411A">
        <w:t xml:space="preserve"> </w:t>
      </w:r>
      <w:r w:rsidRPr="00334854">
        <w:t>is based on ERP2 projections</w:t>
      </w:r>
      <w:r w:rsidR="008D0166">
        <w:t>.</w:t>
      </w:r>
      <w:r w:rsidR="0031411A">
        <w:t xml:space="preserve"> </w:t>
      </w:r>
      <w:r w:rsidR="008D0166">
        <w:t>It is</w:t>
      </w:r>
      <w:r w:rsidR="00C344C3">
        <w:t xml:space="preserve"> consistent with the </w:t>
      </w:r>
      <w:r w:rsidR="00C87F21">
        <w:t>G</w:t>
      </w:r>
      <w:r w:rsidR="00C344C3">
        <w:t>overnment policy to</w:t>
      </w:r>
      <w:r w:rsidR="007875A3">
        <w:t> </w:t>
      </w:r>
      <w:r w:rsidR="00C344C3">
        <w:t xml:space="preserve">restrict conversion of farmland to </w:t>
      </w:r>
      <w:r w:rsidR="008E560C">
        <w:t>exotic</w:t>
      </w:r>
      <w:r w:rsidR="00C344C3">
        <w:t xml:space="preserve"> forestry</w:t>
      </w:r>
      <w:r w:rsidR="008D0166">
        <w:t>.</w:t>
      </w:r>
      <w:r w:rsidR="0031411A">
        <w:t xml:space="preserve"> </w:t>
      </w:r>
      <w:r w:rsidR="008D0166">
        <w:t>If</w:t>
      </w:r>
      <w:r w:rsidRPr="00334854">
        <w:t xml:space="preserve"> forestry </w:t>
      </w:r>
      <w:r w:rsidR="008D0166">
        <w:t>is</w:t>
      </w:r>
      <w:r w:rsidR="0031411A">
        <w:t xml:space="preserve"> </w:t>
      </w:r>
      <w:r w:rsidRPr="00334854">
        <w:t>more responsive to price</w:t>
      </w:r>
      <w:r w:rsidR="008D0166">
        <w:t>,</w:t>
      </w:r>
      <w:r w:rsidR="0031411A">
        <w:t xml:space="preserve"> </w:t>
      </w:r>
      <w:r w:rsidRPr="00334854">
        <w:t>additional low</w:t>
      </w:r>
      <w:r w:rsidR="007875A3">
        <w:noBreakHyphen/>
      </w:r>
      <w:r w:rsidRPr="00334854">
        <w:t>risk</w:t>
      </w:r>
      <w:r w:rsidR="0031411A">
        <w:t xml:space="preserve"> </w:t>
      </w:r>
      <w:r w:rsidRPr="00334854">
        <w:t>supply is projected to displace most of this ongoing other stockpile drawdown post</w:t>
      </w:r>
      <w:r w:rsidR="008D0166">
        <w:t>-</w:t>
      </w:r>
      <w:r w:rsidRPr="00334854">
        <w:t xml:space="preserve">2030. </w:t>
      </w:r>
      <w:r w:rsidR="008D0166">
        <w:t>T</w:t>
      </w:r>
      <w:r>
        <w:t>he</w:t>
      </w:r>
      <w:r w:rsidR="007875A3">
        <w:t> </w:t>
      </w:r>
      <w:hyperlink w:history="1" r:id="rId6">
        <w:r w:rsidRPr="002F6C67">
          <w:rPr>
            <w:rStyle w:val="Hyperlink"/>
          </w:rPr>
          <w:t>technical annex</w:t>
        </w:r>
      </w:hyperlink>
      <w:r w:rsidR="008D0166">
        <w:t xml:space="preserve"> has more detail</w:t>
      </w:r>
      <w:r>
        <w:t>.</w:t>
      </w:r>
    </w:p>
  </w:footnote>
  <w:footnote w:id="15">
    <w:p w:rsidR="008965B7" w:rsidP="0031529A" w:rsidRDefault="008965B7" w14:paraId="55E84CF7" w14:textId="6A59D962">
      <w:pPr>
        <w:pStyle w:val="FootnoteText"/>
      </w:pPr>
      <w:r>
        <w:rPr>
          <w:rStyle w:val="FootnoteReference"/>
        </w:rPr>
        <w:footnoteRef/>
      </w:r>
      <w:r>
        <w:t xml:space="preserve"> </w:t>
      </w:r>
      <w:r>
        <w:tab/>
      </w:r>
      <w:r>
        <w:t xml:space="preserve">Emissions budgets set the total quantity of net emissions allowed to be released during an emissions budget period. Emissions budgets will act as stepping stones to the 2050 emissions reductions targets. </w:t>
      </w:r>
      <w:r w:rsidR="00664EA4">
        <w:t>For</w:t>
      </w:r>
      <w:r w:rsidR="009A3978">
        <w:t> </w:t>
      </w:r>
      <w:r w:rsidR="00664EA4">
        <w:t>more information, s</w:t>
      </w:r>
      <w:r>
        <w:t>ee</w:t>
      </w:r>
      <w:r w:rsidR="00802E6A">
        <w:t>:</w:t>
      </w:r>
      <w:r>
        <w:t xml:space="preserve"> </w:t>
      </w:r>
      <w:r w:rsidRPr="00F71DF5" w:rsidR="00664EA4">
        <w:t>Ministry for</w:t>
      </w:r>
      <w:r>
        <w:t xml:space="preserve"> </w:t>
      </w:r>
      <w:r w:rsidDel="00664EA4">
        <w:t xml:space="preserve">the </w:t>
      </w:r>
      <w:r w:rsidRPr="00F71DF5" w:rsidR="00664EA4">
        <w:t>Environment</w:t>
      </w:r>
      <w:r w:rsidR="00664EA4">
        <w:t xml:space="preserve">. </w:t>
      </w:r>
      <w:hyperlink w:history="1" r:id="rId7">
        <w:r w:rsidRPr="00F71DF5" w:rsidR="00664EA4">
          <w:rPr>
            <w:rStyle w:val="Hyperlink"/>
            <w:i/>
            <w:iCs/>
          </w:rPr>
          <w:t>Emissions budgets and the emissions reduction plan</w:t>
        </w:r>
      </w:hyperlink>
      <w:r>
        <w:t>.</w:t>
      </w:r>
      <w:r w:rsidR="000A5C65">
        <w:t xml:space="preserve"> Retrieved 16 May 2025.</w:t>
      </w:r>
    </w:p>
  </w:footnote>
  <w:footnote w:id="16">
    <w:p w:rsidRPr="000E74CC" w:rsidR="008965B7" w:rsidP="0031529A" w:rsidRDefault="008965B7" w14:paraId="29D74C2A" w14:textId="0D6B1363">
      <w:pPr>
        <w:pStyle w:val="FootnoteText"/>
      </w:pPr>
      <w:r>
        <w:rPr>
          <w:rStyle w:val="FootnoteReference"/>
        </w:rPr>
        <w:footnoteRef/>
      </w:r>
      <w:r w:rsidR="00552E33">
        <w:tab/>
      </w:r>
      <w:r>
        <w:t>The surplus</w:t>
      </w:r>
      <w:r w:rsidR="004717BE">
        <w:t xml:space="preserve"> </w:t>
      </w:r>
      <w:r>
        <w:t>of NZUs poses a risk to the achievement of emissions budgets because emitters could choose to use these units to meet surrender obligations</w:t>
      </w:r>
      <w:r w:rsidR="009D045A">
        <w:t>,</w:t>
      </w:r>
      <w:r>
        <w:t xml:space="preserve"> rather than reduce emissions at source. This is a risk to the</w:t>
      </w:r>
      <w:r w:rsidR="008400FC">
        <w:t xml:space="preserve"> time-bound</w:t>
      </w:r>
      <w:r>
        <w:t xml:space="preserve"> budgets.</w:t>
      </w:r>
    </w:p>
  </w:footnote>
  <w:footnote w:id="17">
    <w:p w:rsidR="00BB643F" w:rsidP="0031529A" w:rsidRDefault="00BB643F" w14:paraId="23385572" w14:textId="0D684D62">
      <w:pPr>
        <w:pStyle w:val="FootnoteText"/>
      </w:pPr>
      <w:r>
        <w:rPr>
          <w:rStyle w:val="FootnoteReference"/>
        </w:rPr>
        <w:footnoteRef/>
      </w:r>
      <w:r w:rsidR="003A1E8D">
        <w:tab/>
      </w:r>
      <w:r w:rsidR="00E85A96">
        <w:t xml:space="preserve">Ministry for the Environment. 2024. </w:t>
      </w:r>
      <w:hyperlink w:history="1" r:id="rId8">
        <w:r w:rsidRPr="00786919" w:rsidR="00E85A96">
          <w:rPr>
            <w:rStyle w:val="Hyperlink"/>
            <w:i/>
          </w:rPr>
          <w:t>Our journey towards net zero: New Zealand’s second emissions reduction plan 2026–30</w:t>
        </w:r>
      </w:hyperlink>
      <w:r w:rsidR="00E85A96">
        <w:t>. Wellington: Ministry for the Environment</w:t>
      </w:r>
      <w:r>
        <w:t>, p25.</w:t>
      </w:r>
    </w:p>
  </w:footnote>
  <w:footnote w:id="18">
    <w:p w:rsidRPr="00220D08" w:rsidR="00E7736F" w:rsidP="0031529A" w:rsidRDefault="00E7736F" w14:paraId="31B5268F" w14:textId="3B8294DE">
      <w:pPr>
        <w:pStyle w:val="FootnoteText"/>
      </w:pPr>
      <w:r>
        <w:rPr>
          <w:rStyle w:val="FootnoteReference"/>
        </w:rPr>
        <w:footnoteRef/>
      </w:r>
      <w:r w:rsidR="00231BCC">
        <w:tab/>
      </w:r>
      <w:r w:rsidR="0014184A">
        <w:t xml:space="preserve">For more detail on the Commission’s </w:t>
      </w:r>
      <w:r w:rsidR="00C54F52">
        <w:t xml:space="preserve">methodology </w:t>
      </w:r>
      <w:r w:rsidR="0014184A">
        <w:t>see</w:t>
      </w:r>
      <w:r w:rsidR="00EE25AD">
        <w:t>:</w:t>
      </w:r>
      <w:r w:rsidR="004717BE">
        <w:t xml:space="preserve"> </w:t>
      </w:r>
      <w:r w:rsidRPr="00B960E3" w:rsidR="00B960E3">
        <w:t xml:space="preserve">Climate Change Commission. 2025. </w:t>
      </w:r>
      <w:hyperlink w:history="1" r:id="rId9">
        <w:r w:rsidRPr="00B95384" w:rsidR="00B960E3">
          <w:rPr>
            <w:rStyle w:val="Hyperlink"/>
            <w:i/>
            <w:iCs/>
          </w:rPr>
          <w:t>Advice</w:t>
        </w:r>
        <w:r w:rsidRPr="00B95384" w:rsidR="00B960E3">
          <w:rPr>
            <w:rStyle w:val="Hyperlink"/>
            <w:i/>
          </w:rPr>
          <w:t xml:space="preserve"> on NZ ETS Unit Limits and Price Control </w:t>
        </w:r>
        <w:r w:rsidRPr="00B95384" w:rsidR="00B960E3">
          <w:rPr>
            <w:rStyle w:val="Hyperlink"/>
            <w:i/>
            <w:iCs/>
          </w:rPr>
          <w:t>Settings</w:t>
        </w:r>
        <w:r w:rsidRPr="00B95384" w:rsidR="00B960E3">
          <w:rPr>
            <w:rStyle w:val="Hyperlink"/>
            <w:i/>
          </w:rPr>
          <w:t xml:space="preserve"> for 2026–2030. Technical annex 1: Unit limit settings</w:t>
        </w:r>
      </w:hyperlink>
      <w:r w:rsidR="00B960E3">
        <w:t>. Wellington: Climate Change Commission</w:t>
      </w:r>
      <w:r w:rsidR="00220D08">
        <w:t>, p 5.</w:t>
      </w:r>
    </w:p>
  </w:footnote>
  <w:footnote w:id="19">
    <w:p w:rsidRPr="0035626A" w:rsidR="00801DA2" w:rsidP="0031529A" w:rsidRDefault="00801DA2" w14:paraId="639239F6" w14:textId="739FCFE4">
      <w:pPr>
        <w:pStyle w:val="FootnoteText"/>
        <w:rPr>
          <w:lang w:val="mi-NZ"/>
        </w:rPr>
      </w:pPr>
      <w:r>
        <w:rPr>
          <w:rStyle w:val="FootnoteReference"/>
        </w:rPr>
        <w:footnoteRef/>
      </w:r>
      <w:r w:rsidR="003A1E8D">
        <w:tab/>
      </w:r>
      <w:r w:rsidR="0014184A">
        <w:t>We expect a</w:t>
      </w:r>
      <w:r>
        <w:t>dditional reduction initiatives to be developed for ERP3</w:t>
      </w:r>
      <w:r w:rsidR="007A7F42">
        <w:t xml:space="preserve"> </w:t>
      </w:r>
      <w:r>
        <w:t>to make up this gap</w:t>
      </w:r>
      <w:r w:rsidR="0014184A">
        <w:t>.</w:t>
      </w:r>
    </w:p>
  </w:footnote>
  <w:footnote w:id="20">
    <w:p w:rsidRPr="00CD520F" w:rsidR="00993049" w:rsidP="0031529A" w:rsidRDefault="00993049" w14:paraId="1423F620" w14:textId="2414B8C9">
      <w:pPr>
        <w:pStyle w:val="FootnoteText"/>
        <w:rPr>
          <w:lang w:val="en-US"/>
        </w:rPr>
      </w:pPr>
      <w:r>
        <w:rPr>
          <w:rStyle w:val="FootnoteReference"/>
        </w:rPr>
        <w:footnoteRef/>
      </w:r>
      <w:r w:rsidR="005A0971">
        <w:tab/>
      </w:r>
      <w:r w:rsidR="005B01A4">
        <w:t>Ernst &amp; Young. 2024.</w:t>
      </w:r>
      <w:r>
        <w:t xml:space="preserve"> </w:t>
      </w:r>
      <w:hyperlink w:history="1" r:id="rId10">
        <w:r w:rsidR="00DD574E">
          <w:rPr>
            <w:rStyle w:val="Hyperlink"/>
            <w:i/>
            <w:iCs/>
          </w:rPr>
          <w:t>New Zealand’s Emissions Trading Scheme (ETS) NZU Surplus Advice: Final report</w:t>
        </w:r>
      </w:hyperlink>
      <w:r w:rsidR="005B01A4">
        <w:t>.</w:t>
      </w:r>
      <w:r w:rsidRPr="0051561B">
        <w:t xml:space="preserve"> </w:t>
      </w:r>
      <w:r w:rsidR="00DD574E">
        <w:t xml:space="preserve">Prepared for </w:t>
      </w:r>
      <w:r w:rsidR="009340FE">
        <w:t>the</w:t>
      </w:r>
      <w:r w:rsidR="00DD574E">
        <w:t xml:space="preserve"> Ministry for the Environment</w:t>
      </w:r>
      <w:r w:rsidR="009340FE">
        <w:t xml:space="preserve"> by EY</w:t>
      </w:r>
      <w:r w:rsidR="00DD574E">
        <w:t>.</w:t>
      </w:r>
    </w:p>
  </w:footnote>
  <w:footnote w:id="21">
    <w:p w:rsidRPr="00AD73C8" w:rsidR="008676C5" w:rsidP="0031529A" w:rsidRDefault="008676C5" w14:paraId="45E94DBB" w14:textId="2CB62B36">
      <w:pPr>
        <w:pStyle w:val="FootnoteText"/>
        <w:rPr>
          <w:lang w:val="mi-NZ"/>
        </w:rPr>
      </w:pPr>
      <w:r>
        <w:rPr>
          <w:rStyle w:val="FootnoteReference"/>
        </w:rPr>
        <w:footnoteRef/>
      </w:r>
      <w:r w:rsidR="003A1E8D">
        <w:rPr>
          <w:lang w:val="mi-NZ"/>
        </w:rPr>
        <w:tab/>
      </w:r>
      <w:r w:rsidRPr="00231BCC" w:rsidR="00D072AA">
        <w:t>Mandatory emissions return periods</w:t>
      </w:r>
      <w:r w:rsidR="00D072AA">
        <w:rPr>
          <w:lang w:val="mi-NZ"/>
        </w:rPr>
        <w:t xml:space="preserve"> (</w:t>
      </w:r>
      <w:r w:rsidR="00D072AA">
        <w:rPr>
          <w:lang w:val="mi-NZ"/>
        </w:rPr>
        <w:t xml:space="preserve">MERPs) </w:t>
      </w:r>
      <w:r w:rsidR="00BA4B38">
        <w:t xml:space="preserve">form </w:t>
      </w:r>
      <w:r w:rsidR="007A4040">
        <w:t xml:space="preserve">the framework for </w:t>
      </w:r>
      <w:r w:rsidDel="00BA4B38" w:rsidR="007A4040">
        <w:t xml:space="preserve">submitting </w:t>
      </w:r>
      <w:r w:rsidR="007A4040">
        <w:t xml:space="preserve">regular reporting about the carbon in post-1989 forest land. </w:t>
      </w:r>
      <w:r w:rsidR="00D750D5">
        <w:t xml:space="preserve">Owners of </w:t>
      </w:r>
      <w:r w:rsidDel="00BA4B38" w:rsidR="00D750D5">
        <w:t xml:space="preserve">post-1989 </w:t>
      </w:r>
      <w:r w:rsidR="00D750D5">
        <w:t>forest</w:t>
      </w:r>
      <w:r w:rsidR="00EC7385">
        <w:t xml:space="preserve"> </w:t>
      </w:r>
      <w:r w:rsidR="00D750D5">
        <w:t xml:space="preserve">land </w:t>
      </w:r>
      <w:r w:rsidR="00BA4B38">
        <w:t>must</w:t>
      </w:r>
      <w:r w:rsidR="00D750D5">
        <w:t xml:space="preserve"> submit a return a</w:t>
      </w:r>
      <w:r w:rsidR="00316ADB">
        <w:t xml:space="preserve">fter the end of each </w:t>
      </w:r>
      <w:r w:rsidR="00316ADB">
        <w:t xml:space="preserve">MERP, </w:t>
      </w:r>
      <w:r w:rsidR="002E3CF2">
        <w:t>but may also submit provisional returns within MERPs.</w:t>
      </w:r>
      <w:r w:rsidR="005C4421">
        <w:t xml:space="preserve"> This means that many allocations relating to post-1989 forestry only occur after the end of each MERP, </w:t>
      </w:r>
      <w:r w:rsidR="00E66E64">
        <w:t xml:space="preserve">even though </w:t>
      </w:r>
      <w:r w:rsidR="005C4421">
        <w:t>the removals occurred in an earlier period.</w:t>
      </w:r>
    </w:p>
  </w:footnote>
  <w:footnote w:id="22">
    <w:p w:rsidRPr="007D2C9E" w:rsidR="009B52FE" w:rsidP="0031529A" w:rsidRDefault="009B52FE" w14:paraId="69BCCB94" w14:textId="7E39F033">
      <w:pPr>
        <w:pStyle w:val="FootnoteText"/>
        <w:rPr>
          <w:lang w:val="mi-NZ"/>
        </w:rPr>
      </w:pPr>
      <w:r>
        <w:rPr>
          <w:rStyle w:val="FootnoteReference"/>
        </w:rPr>
        <w:footnoteRef/>
      </w:r>
      <w:r w:rsidR="001D160E">
        <w:tab/>
      </w:r>
      <w:r w:rsidR="00C151FC">
        <w:t>For</w:t>
      </w:r>
      <w:r w:rsidR="002D3D6A">
        <w:t xml:space="preserve"> a</w:t>
      </w:r>
      <w:r w:rsidR="002C0658">
        <w:t xml:space="preserve"> copy of the Commission’s </w:t>
      </w:r>
      <w:r w:rsidR="00F732AD">
        <w:t xml:space="preserve">2024 </w:t>
      </w:r>
      <w:r w:rsidR="002C0658">
        <w:t>forestry model</w:t>
      </w:r>
      <w:r w:rsidR="00C151FC">
        <w:t>, go to i</w:t>
      </w:r>
      <w:r w:rsidR="00FF7271">
        <w:t>t</w:t>
      </w:r>
      <w:r w:rsidR="00C151FC">
        <w:t>s</w:t>
      </w:r>
      <w:r w:rsidR="00200BA1">
        <w:t xml:space="preserve"> </w:t>
      </w:r>
      <w:r w:rsidR="007B141E">
        <w:t xml:space="preserve">website: </w:t>
      </w:r>
      <w:hyperlink w:history="1" r:id="rId11">
        <w:r w:rsidRPr="00F732AD" w:rsidR="00F732AD">
          <w:rPr>
            <w:rStyle w:val="Hyperlink"/>
          </w:rPr>
          <w:t>ETS Forestry Model version 2.0</w:t>
        </w:r>
      </w:hyperlink>
      <w:r w:rsidRPr="007D5838" w:rsidR="007B141E">
        <w:t>.</w:t>
      </w:r>
    </w:p>
  </w:footnote>
  <w:footnote w:id="23">
    <w:p w:rsidRPr="007D2C9E" w:rsidR="00D8744D" w:rsidP="0031529A" w:rsidRDefault="00D8744D" w14:paraId="09F8AC55" w14:textId="58BBD7B1">
      <w:pPr>
        <w:pStyle w:val="FootnoteText"/>
        <w:rPr>
          <w:lang w:val="mi-NZ"/>
        </w:rPr>
      </w:pPr>
      <w:r>
        <w:rPr>
          <w:rStyle w:val="FootnoteReference"/>
        </w:rPr>
        <w:footnoteRef/>
      </w:r>
      <w:r w:rsidR="003A1E8D">
        <w:tab/>
      </w:r>
      <w:r w:rsidR="00525ADF">
        <w:t>Low</w:t>
      </w:r>
      <w:r w:rsidR="0005181A">
        <w:t>-</w:t>
      </w:r>
      <w:r w:rsidR="00525ADF">
        <w:t>risk carbon</w:t>
      </w:r>
      <w:r w:rsidR="00B331CD">
        <w:t xml:space="preserve"> (or ‘safe’ carbon)</w:t>
      </w:r>
      <w:r w:rsidR="003A1E8D">
        <w:t xml:space="preserve"> </w:t>
      </w:r>
      <w:r w:rsidR="005D60CD">
        <w:t xml:space="preserve">refers to units earned by </w:t>
      </w:r>
      <w:r w:rsidR="00CC27E7">
        <w:t xml:space="preserve">a forest that are considered low risk </w:t>
      </w:r>
      <w:r w:rsidR="00684A85">
        <w:t xml:space="preserve">to sell, as they will </w:t>
      </w:r>
      <w:r w:rsidR="00B331CD">
        <w:t>likely never have to be surrendered if the forest is replanted</w:t>
      </w:r>
      <w:r w:rsidR="008302A7">
        <w:t xml:space="preserve"> due to carbon stored in </w:t>
      </w:r>
      <w:r w:rsidR="006D0AE3">
        <w:t xml:space="preserve">roots </w:t>
      </w:r>
      <w:r w:rsidR="00C151FC">
        <w:t xml:space="preserve">that </w:t>
      </w:r>
      <w:r w:rsidR="006D0AE3">
        <w:t>remain post-harvest</w:t>
      </w:r>
      <w:r w:rsidR="00B331CD">
        <w:t>.</w:t>
      </w:r>
    </w:p>
  </w:footnote>
  <w:footnote w:id="24">
    <w:p w:rsidRPr="00C639CD" w:rsidR="009572EF" w:rsidP="0031529A" w:rsidRDefault="009572EF" w14:paraId="12D467DC" w14:textId="78F3AD95">
      <w:pPr>
        <w:pStyle w:val="FootnoteText"/>
        <w:rPr>
          <w:lang w:val="en-US"/>
        </w:rPr>
      </w:pPr>
      <w:r>
        <w:rPr>
          <w:rStyle w:val="FootnoteReference"/>
        </w:rPr>
        <w:footnoteRef/>
      </w:r>
      <w:r w:rsidR="003A1E8D">
        <w:tab/>
      </w:r>
      <w:r w:rsidR="001B2E2A">
        <w:t xml:space="preserve">Climate Change Commission. </w:t>
      </w:r>
      <w:hyperlink w:history="1" r:id="rId12">
        <w:r w:rsidRPr="00FB747D" w:rsidR="001B2E2A">
          <w:rPr>
            <w:rStyle w:val="Hyperlink"/>
            <w:i/>
            <w:iCs/>
          </w:rPr>
          <w:t>NZ ETS unit limits and price control settings for 2026–2030</w:t>
        </w:r>
      </w:hyperlink>
      <w:r w:rsidR="001B2E2A">
        <w:t>.</w:t>
      </w:r>
      <w:r w:rsidR="005A3332">
        <w:t xml:space="preserve"> Retrieved 18 May 2025.</w:t>
      </w:r>
    </w:p>
  </w:footnote>
  <w:footnote w:id="25">
    <w:p w:rsidR="00B06341" w:rsidP="0031529A" w:rsidRDefault="00B06341" w14:paraId="1371263A" w14:textId="7DB82946">
      <w:pPr>
        <w:pStyle w:val="FootnoteText"/>
      </w:pPr>
      <w:r>
        <w:rPr>
          <w:rStyle w:val="FootnoteReference"/>
        </w:rPr>
        <w:footnoteRef/>
      </w:r>
      <w:r w:rsidR="00742AD9">
        <w:tab/>
      </w:r>
      <w:r>
        <w:t xml:space="preserve">For </w:t>
      </w:r>
      <w:r w:rsidR="006E04A4">
        <w:t xml:space="preserve">more </w:t>
      </w:r>
      <w:r>
        <w:t xml:space="preserve">information, </w:t>
      </w:r>
      <w:r w:rsidR="006E04A4">
        <w:t>see</w:t>
      </w:r>
      <w:r w:rsidR="002705FA">
        <w:t>:</w:t>
      </w:r>
      <w:r>
        <w:t xml:space="preserve"> </w:t>
      </w:r>
      <w:r w:rsidR="00455949">
        <w:t xml:space="preserve">Climate Change </w:t>
      </w:r>
      <w:r>
        <w:t>Commission</w:t>
      </w:r>
      <w:r w:rsidR="00455949">
        <w:t>. 2024.</w:t>
      </w:r>
      <w:r w:rsidRPr="004B3C6D" w:rsidR="00455949">
        <w:t xml:space="preserve"> </w:t>
      </w:r>
      <w:hyperlink w:history="1" r:id="rId13">
        <w:r w:rsidRPr="0017386D" w:rsidR="00455949">
          <w:rPr>
            <w:rStyle w:val="Hyperlink"/>
            <w:i/>
            <w:iCs/>
          </w:rPr>
          <w:t xml:space="preserve">Advice on NZ ETS </w:t>
        </w:r>
        <w:r w:rsidRPr="004B3C6D" w:rsidR="00455949">
          <w:rPr>
            <w:rStyle w:val="Hyperlink"/>
            <w:i/>
            <w:iCs/>
          </w:rPr>
          <w:t xml:space="preserve">Unit Limits </w:t>
        </w:r>
        <w:r w:rsidRPr="0017386D" w:rsidR="00455949">
          <w:rPr>
            <w:rStyle w:val="Hyperlink"/>
            <w:i/>
            <w:iCs/>
          </w:rPr>
          <w:t xml:space="preserve">and </w:t>
        </w:r>
        <w:r w:rsidRPr="004B3C6D" w:rsidR="00455949">
          <w:rPr>
            <w:rStyle w:val="Hyperlink"/>
            <w:i/>
            <w:iCs/>
          </w:rPr>
          <w:t xml:space="preserve">Price Control Settings </w:t>
        </w:r>
        <w:r w:rsidRPr="0017386D" w:rsidR="00455949">
          <w:rPr>
            <w:rStyle w:val="Hyperlink"/>
            <w:i/>
            <w:iCs/>
          </w:rPr>
          <w:t>for 2025–2029: Technical Annex 1: Unit limit settings</w:t>
        </w:r>
      </w:hyperlink>
      <w:r w:rsidR="00455949">
        <w:t>. Wellington: Climate Change Commission</w:t>
      </w:r>
      <w:r w:rsidRPr="009A584B" w:rsidR="00455949">
        <w:t>, from step 2,</w:t>
      </w:r>
      <w:r w:rsidR="00455949">
        <w:t xml:space="preserve"> </w:t>
      </w:r>
      <w:r w:rsidRPr="009A584B" w:rsidR="00455949">
        <w:t>p 4</w:t>
      </w:r>
      <w:r>
        <w:t>.</w:t>
      </w:r>
    </w:p>
  </w:footnote>
  <w:footnote w:id="26">
    <w:p w:rsidR="00B06341" w:rsidP="0031529A" w:rsidRDefault="00B06341" w14:paraId="346A79CE" w14:textId="30CD6A69">
      <w:pPr>
        <w:pStyle w:val="FootnoteText"/>
      </w:pPr>
      <w:r>
        <w:rPr>
          <w:rStyle w:val="FootnoteReference"/>
        </w:rPr>
        <w:footnoteRef/>
      </w:r>
      <w:r w:rsidR="00742AD9">
        <w:tab/>
      </w:r>
      <w:r>
        <w:t>For</w:t>
      </w:r>
      <w:r w:rsidR="007D5838">
        <w:t xml:space="preserve"> </w:t>
      </w:r>
      <w:r w:rsidR="00D3084C">
        <w:t xml:space="preserve">more </w:t>
      </w:r>
      <w:r>
        <w:t>information, see</w:t>
      </w:r>
      <w:r w:rsidR="008F372B">
        <w:t>:</w:t>
      </w:r>
      <w:r>
        <w:t xml:space="preserve"> </w:t>
      </w:r>
      <w:r w:rsidR="004B3C6D">
        <w:t xml:space="preserve">Climate Change </w:t>
      </w:r>
      <w:r>
        <w:t>Commission</w:t>
      </w:r>
      <w:r w:rsidR="004B3C6D">
        <w:t>. 2024.</w:t>
      </w:r>
      <w:r w:rsidRPr="004B3C6D" w:rsidR="004B3C6D">
        <w:t xml:space="preserve"> </w:t>
      </w:r>
      <w:hyperlink w:history="1" r:id="rId14">
        <w:r w:rsidRPr="00E34FFC" w:rsidR="004B3C6D">
          <w:rPr>
            <w:rStyle w:val="Hyperlink"/>
            <w:i/>
            <w:iCs/>
          </w:rPr>
          <w:t xml:space="preserve">Advice on NZ ETS </w:t>
        </w:r>
        <w:r w:rsidRPr="004B3C6D" w:rsidR="004B3C6D">
          <w:rPr>
            <w:rStyle w:val="Hyperlink"/>
            <w:i/>
            <w:iCs/>
          </w:rPr>
          <w:t xml:space="preserve">Unit Limits </w:t>
        </w:r>
        <w:r w:rsidRPr="00E34FFC" w:rsidR="004B3C6D">
          <w:rPr>
            <w:rStyle w:val="Hyperlink"/>
            <w:i/>
            <w:iCs/>
          </w:rPr>
          <w:t xml:space="preserve">and </w:t>
        </w:r>
        <w:r w:rsidRPr="004B3C6D" w:rsidR="004B3C6D">
          <w:rPr>
            <w:rStyle w:val="Hyperlink"/>
            <w:i/>
            <w:iCs/>
          </w:rPr>
          <w:t xml:space="preserve">Price Control Settings </w:t>
        </w:r>
        <w:r w:rsidRPr="00E34FFC" w:rsidR="004B3C6D">
          <w:rPr>
            <w:rStyle w:val="Hyperlink"/>
            <w:i/>
            <w:iCs/>
          </w:rPr>
          <w:t>for 2025–2029: Technical Annex 1: Unit limit settings</w:t>
        </w:r>
      </w:hyperlink>
      <w:r w:rsidR="004B3C6D">
        <w:t>. Wellington: Climate Change Commission</w:t>
      </w:r>
      <w:r w:rsidRPr="00E34FFC" w:rsidR="004B3C6D">
        <w:t>, from p 6</w:t>
      </w:r>
      <w:r>
        <w:t>.</w:t>
      </w:r>
    </w:p>
  </w:footnote>
  <w:footnote w:id="27">
    <w:p w:rsidRPr="00C639CD" w:rsidR="001A44A9" w:rsidP="0031529A" w:rsidRDefault="001A44A9" w14:paraId="20B9DAE2" w14:textId="32AF34BD">
      <w:pPr>
        <w:pStyle w:val="FootnoteText"/>
        <w:rPr>
          <w:szCs w:val="19"/>
        </w:rPr>
      </w:pPr>
      <w:r>
        <w:rPr>
          <w:rStyle w:val="FootnoteReference"/>
        </w:rPr>
        <w:footnoteRef/>
      </w:r>
      <w:r w:rsidR="002707DF">
        <w:tab/>
      </w:r>
      <w:r>
        <w:t xml:space="preserve">This figure uses the </w:t>
      </w:r>
      <w:r w:rsidR="007F18B5">
        <w:t>2026</w:t>
      </w:r>
      <w:r w:rsidR="00D3084C">
        <w:t>–</w:t>
      </w:r>
      <w:r w:rsidR="007F18B5">
        <w:t>29 forecasts used in</w:t>
      </w:r>
      <w:r w:rsidR="00D3084C">
        <w:t xml:space="preserve"> the </w:t>
      </w:r>
      <w:r w:rsidR="00AC2172">
        <w:t xml:space="preserve">2024 </w:t>
      </w:r>
      <w:r w:rsidR="001432DA">
        <w:t xml:space="preserve">NZ </w:t>
      </w:r>
      <w:r w:rsidR="00AC2172">
        <w:t>ETS</w:t>
      </w:r>
      <w:r w:rsidR="004D552D">
        <w:t xml:space="preserve"> </w:t>
      </w:r>
      <w:r w:rsidR="001432DA">
        <w:t>s</w:t>
      </w:r>
      <w:r w:rsidR="00AC2172">
        <w:t>ettings</w:t>
      </w:r>
      <w:r w:rsidR="00D3084C">
        <w:t>.</w:t>
      </w:r>
      <w:r w:rsidR="00442D51">
        <w:t xml:space="preserve"> T</w:t>
      </w:r>
      <w:r w:rsidR="00AC2172">
        <w:t xml:space="preserve">he 2030 </w:t>
      </w:r>
      <w:r w:rsidR="00EA4F92">
        <w:t>figure</w:t>
      </w:r>
      <w:r w:rsidR="00C57040">
        <w:t xml:space="preserve"> </w:t>
      </w:r>
      <w:r w:rsidR="00AD2C2E">
        <w:t xml:space="preserve">is </w:t>
      </w:r>
      <w:r w:rsidR="00C57040">
        <w:t xml:space="preserve">from the Commission’s </w:t>
      </w:r>
      <w:r w:rsidRPr="00C639CD" w:rsidR="00C57040">
        <w:rPr>
          <w:szCs w:val="19"/>
        </w:rPr>
        <w:t>2024 ‘for visibility’ forecasts</w:t>
      </w:r>
      <w:r w:rsidR="003D0CA1">
        <w:rPr>
          <w:szCs w:val="19"/>
        </w:rPr>
        <w:t>.</w:t>
      </w:r>
    </w:p>
  </w:footnote>
  <w:footnote w:id="28">
    <w:p w:rsidR="06C39C30" w:rsidP="0031529A" w:rsidRDefault="06C39C30" w14:paraId="74DF0D0C" w14:textId="6BB14108">
      <w:pPr>
        <w:pStyle w:val="FootnoteText"/>
        <w:rPr>
          <w:sz w:val="20"/>
          <w:szCs w:val="20"/>
        </w:rPr>
      </w:pPr>
      <w:r w:rsidRPr="00C639CD">
        <w:rPr>
          <w:rStyle w:val="FootnoteReference"/>
          <w:sz w:val="19"/>
          <w:szCs w:val="19"/>
        </w:rPr>
        <w:footnoteRef/>
      </w:r>
      <w:r w:rsidR="003A1E8D">
        <w:tab/>
      </w:r>
      <w:r w:rsidR="00D3084C">
        <w:t xml:space="preserve">As </w:t>
      </w:r>
      <w:r w:rsidRPr="00C639CD" w:rsidR="72BE3A0D">
        <w:t>Cabinet had not ye</w:t>
      </w:r>
      <w:r w:rsidR="00B50E48">
        <w:t>t</w:t>
      </w:r>
      <w:r w:rsidRPr="00C639CD" w:rsidR="72BE3A0D">
        <w:t xml:space="preserve"> </w:t>
      </w:r>
      <w:r w:rsidRPr="00C639CD" w:rsidR="72BE3A0D">
        <w:t xml:space="preserve">made a decision on the ECAF, last year’s </w:t>
      </w:r>
      <w:r w:rsidR="001432DA">
        <w:t xml:space="preserve">NZ </w:t>
      </w:r>
      <w:r w:rsidRPr="00C639CD" w:rsidR="72BE3A0D">
        <w:t>E</w:t>
      </w:r>
      <w:r w:rsidRPr="00C639CD" w:rsidDel="00D3084C" w:rsidR="72BE3A0D">
        <w:t xml:space="preserve">TS </w:t>
      </w:r>
      <w:r w:rsidRPr="00C639CD" w:rsidR="72BE3A0D">
        <w:t xml:space="preserve">settings assumed a midpoint between the two ECAFs being considered. The forecast </w:t>
      </w:r>
      <w:r w:rsidRPr="00C639CD" w:rsidR="786F13E3">
        <w:t>of</w:t>
      </w:r>
      <w:r w:rsidRPr="00C639CD" w:rsidR="72BE3A0D">
        <w:t xml:space="preserve"> the </w:t>
      </w:r>
      <w:r w:rsidR="00D3084C">
        <w:t>s</w:t>
      </w:r>
      <w:r w:rsidRPr="00C639CD" w:rsidR="786F13E3">
        <w:t>melter’s allocation</w:t>
      </w:r>
      <w:r w:rsidRPr="00C639CD" w:rsidR="72BE3A0D">
        <w:t xml:space="preserve"> has now increased as the higher </w:t>
      </w:r>
      <w:r w:rsidRPr="00C639CD" w:rsidR="2BA3AC0D">
        <w:t xml:space="preserve">ECAF </w:t>
      </w:r>
      <w:r w:rsidRPr="00C639CD" w:rsidR="72BE3A0D">
        <w:t>option was chosen.</w:t>
      </w:r>
    </w:p>
  </w:footnote>
  <w:footnote w:id="29">
    <w:p w:rsidR="00B06341" w:rsidP="0031529A" w:rsidRDefault="00B06341" w14:paraId="73E91E9E" w14:textId="277FC456">
      <w:pPr>
        <w:pStyle w:val="FootnoteText"/>
      </w:pPr>
      <w:r>
        <w:rPr>
          <w:rStyle w:val="FootnoteReference"/>
        </w:rPr>
        <w:footnoteRef/>
      </w:r>
      <w:r w:rsidR="00B42173">
        <w:tab/>
      </w:r>
      <w:r>
        <w:t>For</w:t>
      </w:r>
      <w:r w:rsidR="003A1E8D">
        <w:t xml:space="preserve"> </w:t>
      </w:r>
      <w:r w:rsidR="00D3084C">
        <w:t xml:space="preserve">more </w:t>
      </w:r>
      <w:r>
        <w:t>information, see</w:t>
      </w:r>
      <w:r w:rsidR="0031529A">
        <w:t>:</w:t>
      </w:r>
      <w:r>
        <w:t xml:space="preserve"> </w:t>
      </w:r>
      <w:r w:rsidR="0031529A">
        <w:t>Climate Change</w:t>
      </w:r>
      <w:r>
        <w:t xml:space="preserve"> Commission</w:t>
      </w:r>
      <w:r w:rsidR="0031529A">
        <w:t>. 2024.</w:t>
      </w:r>
      <w:r w:rsidRPr="004B3C6D" w:rsidR="0031529A">
        <w:t xml:space="preserve"> </w:t>
      </w:r>
      <w:hyperlink w:history="1" r:id="rId15">
        <w:r w:rsidRPr="0017386D" w:rsidR="0031529A">
          <w:rPr>
            <w:rStyle w:val="Hyperlink"/>
            <w:i/>
            <w:iCs/>
          </w:rPr>
          <w:t xml:space="preserve">Advice on NZ ETS </w:t>
        </w:r>
        <w:r w:rsidRPr="004B3C6D" w:rsidR="0031529A">
          <w:rPr>
            <w:rStyle w:val="Hyperlink"/>
            <w:i/>
            <w:iCs/>
          </w:rPr>
          <w:t xml:space="preserve">Unit Limits </w:t>
        </w:r>
        <w:r w:rsidRPr="0017386D" w:rsidR="0031529A">
          <w:rPr>
            <w:rStyle w:val="Hyperlink"/>
            <w:i/>
            <w:iCs/>
          </w:rPr>
          <w:t xml:space="preserve">and </w:t>
        </w:r>
        <w:r w:rsidRPr="004B3C6D" w:rsidR="0031529A">
          <w:rPr>
            <w:rStyle w:val="Hyperlink"/>
            <w:i/>
            <w:iCs/>
          </w:rPr>
          <w:t xml:space="preserve">Price Control Settings </w:t>
        </w:r>
        <w:r w:rsidRPr="0017386D" w:rsidR="0031529A">
          <w:rPr>
            <w:rStyle w:val="Hyperlink"/>
            <w:i/>
            <w:iCs/>
          </w:rPr>
          <w:t>for 2025–2029: Technical Annex 1: Unit limit settings</w:t>
        </w:r>
      </w:hyperlink>
      <w:r w:rsidR="0031529A">
        <w:t>. Wellington: Climate Change Commission</w:t>
      </w:r>
      <w:r w:rsidRPr="0064178E" w:rsidR="0031529A">
        <w:t>, from p 12</w:t>
      </w:r>
      <w:r>
        <w:t>.</w:t>
      </w:r>
    </w:p>
  </w:footnote>
  <w:footnote w:id="30">
    <w:p w:rsidRPr="00FB4C33" w:rsidR="009B295B" w:rsidP="0031529A" w:rsidRDefault="009B295B" w14:paraId="27E63BF8" w14:textId="337F385E">
      <w:pPr>
        <w:pStyle w:val="FootnoteText"/>
        <w:rPr>
          <w:lang w:val="en-AU"/>
        </w:rPr>
      </w:pPr>
      <w:r>
        <w:rPr>
          <w:rStyle w:val="FootnoteReference"/>
        </w:rPr>
        <w:footnoteRef/>
      </w:r>
      <w:r w:rsidR="007D5838">
        <w:rPr>
          <w:lang w:val="en-AU"/>
        </w:rPr>
        <w:tab/>
      </w:r>
      <w:r>
        <w:rPr>
          <w:lang w:val="en-AU"/>
        </w:rPr>
        <w:t>T</w:t>
      </w:r>
      <w:r w:rsidR="00354880">
        <w:rPr>
          <w:lang w:val="en-AU"/>
        </w:rPr>
        <w:t>he Ministry</w:t>
      </w:r>
      <w:r>
        <w:rPr>
          <w:lang w:val="en-AU"/>
        </w:rPr>
        <w:t xml:space="preserve"> </w:t>
      </w:r>
      <w:r w:rsidR="00A0001D">
        <w:rPr>
          <w:lang w:val="en-AU"/>
        </w:rPr>
        <w:t xml:space="preserve">for the Environment </w:t>
      </w:r>
      <w:r w:rsidR="002F6537">
        <w:rPr>
          <w:lang w:val="en-AU"/>
        </w:rPr>
        <w:t xml:space="preserve">updated this </w:t>
      </w:r>
      <w:r>
        <w:rPr>
          <w:lang w:val="en-AU"/>
        </w:rPr>
        <w:t xml:space="preserve">to </w:t>
      </w:r>
      <w:r w:rsidRPr="002C5858">
        <w:rPr>
          <w:lang w:val="en-AU"/>
        </w:rPr>
        <w:t>67.3</w:t>
      </w:r>
      <w:r>
        <w:rPr>
          <w:lang w:val="en-AU"/>
        </w:rPr>
        <w:t xml:space="preserve"> million units for the calculations used in the final policy decisions. The minor difference was due to using the</w:t>
      </w:r>
      <w:r w:rsidRPr="00A0001D" w:rsidR="00A0001D">
        <w:rPr>
          <w:lang w:val="en-AU"/>
        </w:rPr>
        <w:t xml:space="preserve"> </w:t>
      </w:r>
      <w:r w:rsidR="00A0001D">
        <w:rPr>
          <w:lang w:val="en-AU"/>
        </w:rPr>
        <w:t xml:space="preserve">total number of units </w:t>
      </w:r>
      <w:r w:rsidR="002F6537">
        <w:rPr>
          <w:lang w:val="en-AU"/>
        </w:rPr>
        <w:t xml:space="preserve">held </w:t>
      </w:r>
      <w:r w:rsidR="00A0001D">
        <w:rPr>
          <w:lang w:val="en-AU"/>
        </w:rPr>
        <w:t xml:space="preserve">in </w:t>
      </w:r>
      <w:r w:rsidR="002F6537">
        <w:rPr>
          <w:lang w:val="en-AU"/>
        </w:rPr>
        <w:t xml:space="preserve">private accounts </w:t>
      </w:r>
      <w:r w:rsidR="00A0001D">
        <w:rPr>
          <w:lang w:val="en-AU"/>
        </w:rPr>
        <w:t>from the</w:t>
      </w:r>
      <w:r>
        <w:rPr>
          <w:lang w:val="en-AU"/>
        </w:rPr>
        <w:t xml:space="preserve"> December quarter rather than September quarter, and minor changes to </w:t>
      </w:r>
      <w:r w:rsidR="00201C57">
        <w:rPr>
          <w:lang w:val="en-AU"/>
        </w:rPr>
        <w:t xml:space="preserve">pre-1990 forestry </w:t>
      </w:r>
      <w:r>
        <w:rPr>
          <w:lang w:val="en-AU"/>
        </w:rPr>
        <w:t xml:space="preserve">units held long </w:t>
      </w:r>
      <w:r>
        <w:rPr>
          <w:lang w:val="en-AU"/>
        </w:rPr>
        <w:t>term and the units held for hedging estimates.</w:t>
      </w:r>
    </w:p>
  </w:footnote>
  <w:footnote w:id="31">
    <w:p w:rsidRPr="00F60FD2" w:rsidR="00B06341" w:rsidP="00A520FD" w:rsidRDefault="00B06341" w14:paraId="0832789F" w14:textId="5448BEC2">
      <w:pPr>
        <w:pStyle w:val="FootnoteText"/>
        <w:spacing w:after="40"/>
        <w:rPr>
          <w:lang w:val="en-AU"/>
        </w:rPr>
      </w:pPr>
      <w:r>
        <w:rPr>
          <w:rStyle w:val="FootnoteReference"/>
        </w:rPr>
        <w:footnoteRef/>
      </w:r>
      <w:r w:rsidR="007D5838">
        <w:tab/>
      </w:r>
      <w:r w:rsidR="00B9615B">
        <w:t xml:space="preserve">Ernst &amp; Young. 2024. </w:t>
      </w:r>
      <w:hyperlink w:history="1" r:id="rId16">
        <w:r w:rsidR="00B9615B">
          <w:rPr>
            <w:rStyle w:val="Hyperlink"/>
            <w:i/>
            <w:iCs/>
          </w:rPr>
          <w:t>New Zealand’s Emissions Trading Scheme (ETS) NZU Surplus Advice: Final report</w:t>
        </w:r>
      </w:hyperlink>
      <w:r w:rsidR="00B9615B">
        <w:t>.</w:t>
      </w:r>
      <w:r w:rsidRPr="0051561B" w:rsidR="00B9615B">
        <w:t xml:space="preserve"> </w:t>
      </w:r>
      <w:r w:rsidR="00B9615B">
        <w:t>Prepared for the Ministry for the Environment by EY.</w:t>
      </w:r>
    </w:p>
  </w:footnote>
  <w:footnote w:id="32">
    <w:p w:rsidRPr="00830731" w:rsidR="00830731" w:rsidP="00A520FD" w:rsidRDefault="00830731" w14:paraId="4DA696E8" w14:textId="73568B1A">
      <w:pPr>
        <w:pStyle w:val="FootnoteText"/>
        <w:spacing w:after="40"/>
        <w:rPr>
          <w:lang w:val="en-US"/>
        </w:rPr>
      </w:pPr>
      <w:r>
        <w:rPr>
          <w:rStyle w:val="FootnoteReference"/>
        </w:rPr>
        <w:footnoteRef/>
      </w:r>
      <w:r w:rsidR="007D5838">
        <w:tab/>
      </w:r>
      <w:r w:rsidR="00CA186C">
        <w:t>For</w:t>
      </w:r>
      <w:r w:rsidRPr="000677B2" w:rsidR="006162E1">
        <w:t xml:space="preserve"> a detailed discussion of these changes</w:t>
      </w:r>
      <w:r w:rsidR="00CA186C">
        <w:t>, see:</w:t>
      </w:r>
      <w:r w:rsidR="00827E38">
        <w:t xml:space="preserve"> </w:t>
      </w:r>
      <w:r w:rsidR="00CA186C">
        <w:t>Climate Change Commission. 2024.</w:t>
      </w:r>
      <w:r w:rsidRPr="004B3C6D" w:rsidR="00CA186C">
        <w:t xml:space="preserve"> </w:t>
      </w:r>
      <w:hyperlink w:history="1" r:id="rId17">
        <w:r w:rsidRPr="0017386D" w:rsidR="00CA186C">
          <w:rPr>
            <w:rStyle w:val="Hyperlink"/>
            <w:i/>
            <w:iCs/>
          </w:rPr>
          <w:t xml:space="preserve">Advice on NZ ETS </w:t>
        </w:r>
        <w:r w:rsidRPr="004B3C6D" w:rsidR="00CA186C">
          <w:rPr>
            <w:rStyle w:val="Hyperlink"/>
            <w:i/>
            <w:iCs/>
          </w:rPr>
          <w:t xml:space="preserve">Unit Limits </w:t>
        </w:r>
        <w:r w:rsidRPr="0017386D" w:rsidR="00CA186C">
          <w:rPr>
            <w:rStyle w:val="Hyperlink"/>
            <w:i/>
            <w:iCs/>
          </w:rPr>
          <w:t xml:space="preserve">and </w:t>
        </w:r>
        <w:r w:rsidRPr="004B3C6D" w:rsidR="00CA186C">
          <w:rPr>
            <w:rStyle w:val="Hyperlink"/>
            <w:i/>
            <w:iCs/>
          </w:rPr>
          <w:t xml:space="preserve">Price Control Settings </w:t>
        </w:r>
        <w:r w:rsidRPr="0017386D" w:rsidR="00CA186C">
          <w:rPr>
            <w:rStyle w:val="Hyperlink"/>
            <w:i/>
            <w:iCs/>
          </w:rPr>
          <w:t>for 2025–2029: Technical Annex 1: Unit limit settings</w:t>
        </w:r>
      </w:hyperlink>
      <w:r w:rsidR="00CA186C">
        <w:t xml:space="preserve">. Wellington: Climate Change Commission, </w:t>
      </w:r>
      <w:r w:rsidRPr="000677B2" w:rsidR="006162E1">
        <w:t>from p</w:t>
      </w:r>
      <w:r w:rsidR="00AC7F1A">
        <w:t xml:space="preserve"> </w:t>
      </w:r>
      <w:r w:rsidRPr="000677B2" w:rsidR="006162E1">
        <w:t>16</w:t>
      </w:r>
      <w:r w:rsidR="00083CB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3D57" w:rsidRDefault="00D53D57" w14:paraId="5DAA6523" w14:textId="117926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E7BF8" w:rsidR="00B8732C" w:rsidRDefault="00B8732C" w14:paraId="306B816C" w14:textId="1046AECD">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3D57" w:rsidRDefault="00D53D57" w14:paraId="5973670F" w14:textId="034406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210B" w:rsidP="0036151C" w:rsidRDefault="00E5210B" w14:paraId="31D27D96" w14:textId="44D3F7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E5210B" w:rsidP="00CE7C4E" w:rsidRDefault="0089601A" w14:paraId="7CFCD729" w14:textId="35AE5B86" w14:noSpellErr="1">
    <w:pPr>
      <w:pStyle w:val="Header"/>
      <w:jc w:val="left"/>
    </w:pPr>
    <w:r w:rsidR="00B8732C">
      <w:rPr>
        <w:rFonts w:ascii="Calibri" w:hAnsi="Calibri"/>
        <w:noProof/>
      </w:rPr>
      <w:drawing>
        <wp:inline distT="0" distB="0" distL="0" distR="0" wp14:anchorId="0FF3BB59" wp14:editId="14670C4B">
          <wp:extent cx="2117598" cy="695325"/>
          <wp:effectExtent l="0" t="0" r="0" b="0"/>
          <wp:docPr id="64788269" name="Picture 6478826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7179D" w:rsidRDefault="0089601A" w14:paraId="566B1192" w14:textId="4D18B711">
    <w:pPr>
      <w:pStyle w:val="Header"/>
    </w:pPr>
    <w:r>
      <w:rPr>
        <w:noProof/>
      </w:rPr>
      <mc:AlternateContent>
        <mc:Choice Requires="wps">
          <w:drawing>
            <wp:anchor distT="0" distB="0" distL="114300" distR="114300" simplePos="0" relativeHeight="251658240" behindDoc="1" locked="0" layoutInCell="0" allowOverlap="1" wp14:anchorId="0A7370F5" wp14:editId="61153675">
              <wp:simplePos x="0" y="0"/>
              <wp:positionH relativeFrom="margin">
                <wp:align>center</wp:align>
              </wp:positionH>
              <wp:positionV relativeFrom="margin">
                <wp:align>center</wp:align>
              </wp:positionV>
              <wp:extent cx="4758690" cy="2854960"/>
              <wp:effectExtent l="0" t="0" r="0" b="0"/>
              <wp:wrapNone/>
              <wp:docPr id="4" name="PowerPlusWaterMarkObject9522015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601A" w:rsidP="0089601A" w:rsidRDefault="0089601A" w14:paraId="3ABBBCE5" w14:textId="77777777">
                          <w:pPr>
                            <w:jc w:val="center"/>
                            <w:rPr>
                              <w:rFonts w:cs="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2796E31E">
            <v:shapetype id="_x0000_t202" coordsize="21600,21600" o:spt="202" path="m,l,21600r21600,l21600,xe" w14:anchorId="0A7370F5">
              <v:stroke joinstyle="miter"/>
              <v:path gradientshapeok="t" o:connecttype="rect"/>
            </v:shapetype>
            <v:shape id="PowerPlusWaterMarkObject952201531" style="position:absolute;left:0;text-align:left;margin-left:0;margin-top:0;width:374.7pt;height:224.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">
              <v:stroke joinstyle="round"/>
              <o:lock v:ext="edit" grouping="t" rotation="t" verticies="t" adjusthandles="t" aspectratio="t" shapetype="t"/>
              <v:textbox>
                <w:txbxContent>
                  <w:p w:rsidR="0089601A" w:rsidP="0089601A" w:rsidRDefault="0089601A" w14:paraId="672A6659" w14:textId="77777777">
                    <w:pPr>
                      <w:jc w:val="center"/>
                      <w:rPr>
                        <w:rFonts w:cs="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179D" w:rsidRDefault="0017179D" w14:paraId="0A6CFA59" w14:textId="563B1B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179D" w:rsidRDefault="0017179D" w14:paraId="24259580" w14:textId="6A474D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7179D" w:rsidRDefault="0089601A" w14:paraId="75EAF973" w14:textId="5204AE0E">
    <w:pPr>
      <w:pStyle w:val="Header"/>
    </w:pPr>
    <w:r>
      <w:rPr>
        <w:noProof/>
      </w:rPr>
      <mc:AlternateContent>
        <mc:Choice Requires="wps">
          <w:drawing>
            <wp:anchor distT="0" distB="0" distL="114300" distR="114300" simplePos="0" relativeHeight="251658242" behindDoc="1" locked="0" layoutInCell="0" allowOverlap="1" wp14:anchorId="31328098" wp14:editId="43A29EDE">
              <wp:simplePos x="0" y="0"/>
              <wp:positionH relativeFrom="margin">
                <wp:align>center</wp:align>
              </wp:positionH>
              <wp:positionV relativeFrom="margin">
                <wp:align>center</wp:align>
              </wp:positionV>
              <wp:extent cx="4758690" cy="2854960"/>
              <wp:effectExtent l="0" t="0" r="0" b="0"/>
              <wp:wrapNone/>
              <wp:docPr id="1547093525" name="PowerPlusWaterMarkObject9522015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601A" w:rsidP="0089601A" w:rsidRDefault="0089601A" w14:paraId="1E8F1AB2" w14:textId="77777777">
                          <w:pPr>
                            <w:jc w:val="center"/>
                            <w:rPr>
                              <w:rFonts w:cs="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45EB5952">
            <v:shapetype id="_x0000_t202" coordsize="21600,21600" o:spt="202" path="m,l,21600r21600,l21600,xe" w14:anchorId="31328098">
              <v:stroke joinstyle="miter"/>
              <v:path gradientshapeok="t" o:connecttype="rect"/>
            </v:shapetype>
            <v:shape id="PowerPlusWaterMarkObject952201534" style="position:absolute;left:0;text-align:left;margin-left:0;margin-top:0;width:374.7pt;height:224.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">
              <v:stroke joinstyle="round"/>
              <o:lock v:ext="edit" grouping="t" rotation="t" verticies="t" adjusthandles="t" aspectratio="t" shapetype="t"/>
              <v:textbox>
                <w:txbxContent>
                  <w:p w:rsidR="0089601A" w:rsidP="0089601A" w:rsidRDefault="0089601A" w14:paraId="0A37501D" w14:textId="77777777">
                    <w:pPr>
                      <w:jc w:val="center"/>
                      <w:rPr>
                        <w:rFonts w:cs="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UT82roDoVcMNPG" int2:id="03enxvFS">
      <int2:state int2:value="Rejected" int2:type="AugLoop_Text_Critique"/>
    </int2:textHash>
    <int2:bookmark int2:bookmarkName="_Int_ldRoqana" int2:invalidationBookmarkName="" int2:hashCode="Tj6JRcC6/0O+6F" int2:id="KGQ9ifT8">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6CF5E0"/>
    <w:lvl w:ilvl="0">
      <w:start w:val="1"/>
      <w:numFmt w:val="bullet"/>
      <w:pStyle w:val="ListBullet2"/>
      <w:lvlText w:val=""/>
      <w:lvlJc w:val="left"/>
      <w:pPr>
        <w:tabs>
          <w:tab w:val="num" w:pos="643"/>
        </w:tabs>
        <w:ind w:left="643" w:hanging="360"/>
      </w:pPr>
      <w:rPr>
        <w:rFonts w:hint="default" w:ascii="Symbol" w:hAnsi="Symbol"/>
      </w:rPr>
    </w:lvl>
  </w:abstractNum>
  <w:abstractNum w:abstractNumId="1" w15:restartNumberingAfterBreak="0">
    <w:nsid w:val="FFFFFF88"/>
    <w:multiLevelType w:val="singleLevel"/>
    <w:tmpl w:val="775ED8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83AAC2C"/>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03178F9"/>
    <w:multiLevelType w:val="multilevel"/>
    <w:tmpl w:val="07103628"/>
    <w:lvl w:ilvl="0">
      <w:start w:val="1"/>
      <w:numFmt w:val="bullet"/>
      <w:lvlText w:val="-"/>
      <w:lvlJc w:val="left"/>
      <w:pPr>
        <w:ind w:left="794" w:hanging="397"/>
      </w:pPr>
      <w:rPr>
        <w:rFonts w:hint="default" w:ascii="Courier New" w:hAnsi="Courier New"/>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184C629E"/>
    <w:lvl w:ilvl="0">
      <w:start w:val="1"/>
      <w:numFmt w:val="bullet"/>
      <w:pStyle w:val="Greenbullet-casestudytables"/>
      <w:lvlText w:val=""/>
      <w:lvlJc w:val="left"/>
      <w:pPr>
        <w:ind w:left="680" w:hanging="396"/>
      </w:pPr>
      <w:rPr>
        <w:rFonts w:hint="default" w:ascii="Symbol" w:hAnsi="Symbol"/>
        <w:color w:val="1B556B"/>
        <w:sz w:val="16"/>
        <w:szCs w:val="16"/>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6" w15:restartNumberingAfterBreak="0">
    <w:nsid w:val="108D250A"/>
    <w:multiLevelType w:val="multilevel"/>
    <w:tmpl w:val="49C43C86"/>
    <w:lvl w:ilvl="0">
      <w:start w:val="1"/>
      <w:numFmt w:val="decimal"/>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11CF6B7C"/>
    <w:multiLevelType w:val="hybridMultilevel"/>
    <w:tmpl w:val="627CBED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9" w15:restartNumberingAfterBreak="0">
    <w:nsid w:val="208C5CF5"/>
    <w:multiLevelType w:val="multilevel"/>
    <w:tmpl w:val="70528E60"/>
    <w:lvl w:ilvl="0">
      <w:start w:val="1"/>
      <w:numFmt w:val="lowerLetter"/>
      <w:pStyle w:val="Sub-lista"/>
      <w:lvlText w:val="(%1)"/>
      <w:lvlJc w:val="left"/>
      <w:pPr>
        <w:ind w:left="794" w:hanging="397"/>
      </w:pPr>
      <w:rPr>
        <w:rFonts w:hint="default" w:ascii="Calibri" w:hAnsi="Calibri"/>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1E05428"/>
    <w:multiLevelType w:val="hybridMultilevel"/>
    <w:tmpl w:val="C5D88F06"/>
    <w:lvl w:ilvl="0" w:tplc="41FCEBFC">
      <w:start w:val="1"/>
      <w:numFmt w:val="bullet"/>
      <w:pStyle w:val="TableBullet"/>
      <w:lvlText w:val=""/>
      <w:lvlJc w:val="left"/>
      <w:pPr>
        <w:tabs>
          <w:tab w:val="num" w:pos="284"/>
        </w:tabs>
        <w:ind w:left="284" w:hanging="284"/>
      </w:pPr>
      <w:rPr>
        <w:rFonts w:hint="default" w:ascii="Symbol" w:hAnsi="Symbol"/>
        <w:sz w:val="16"/>
        <w:szCs w:val="16"/>
      </w:rPr>
    </w:lvl>
    <w:lvl w:ilvl="1" w:tplc="FFFFFFFF">
      <w:numFmt w:val="bullet"/>
      <w:lvlText w:val="-"/>
      <w:lvlJc w:val="left"/>
      <w:pPr>
        <w:ind w:left="1440" w:hanging="360"/>
      </w:pPr>
      <w:rPr>
        <w:rFonts w:hint="default" w:ascii="Calibri" w:hAnsi="Calibri" w:eastAsiaTheme="minorEastAsia" w:cstheme="minorBidi"/>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5541FB"/>
    <w:multiLevelType w:val="multilevel"/>
    <w:tmpl w:val="B5F4000A"/>
    <w:lvl w:ilvl="0">
      <w:start w:val="1"/>
      <w:numFmt w:val="decimal"/>
      <w:lvlText w:val="%1."/>
      <w:lvlJc w:val="left"/>
      <w:pPr>
        <w:ind w:left="680" w:hanging="396"/>
      </w:pPr>
      <w:rPr>
        <w:rFonts w:hint="default" w:asciiTheme="minorHAnsi" w:hAnsiTheme="minorHAnsi" w:cstheme="minorHAnsi"/>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0E73AAE"/>
    <w:multiLevelType w:val="hybridMultilevel"/>
    <w:tmpl w:val="DB70D334"/>
    <w:styleLink w:val="MfENormaltoList-numbered"/>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539082D"/>
    <w:multiLevelType w:val="hybridMultilevel"/>
    <w:tmpl w:val="B30C4CCA"/>
    <w:lvl w:ilvl="0" w:tplc="6C0C79D2">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 w15:restartNumberingAfterBreak="0">
    <w:nsid w:val="39536A82"/>
    <w:multiLevelType w:val="hybridMultilevel"/>
    <w:tmpl w:val="AA0AAF66"/>
    <w:styleLink w:val="MfEList-introtoList-numbered"/>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427701FB"/>
    <w:multiLevelType w:val="multilevel"/>
    <w:tmpl w:val="37A88B62"/>
    <w:lvl w:ilvl="0">
      <w:start w:val="1"/>
      <w:numFmt w:val="bullet"/>
      <w:pStyle w:val="Sub-list"/>
      <w:lvlText w:val=""/>
      <w:lvlJc w:val="left"/>
      <w:pPr>
        <w:tabs>
          <w:tab w:val="num" w:pos="397"/>
        </w:tabs>
        <w:ind w:left="794" w:hanging="397"/>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hint="default" w:ascii="Times New Roman" w:hAnsi="Times New Roman" w:cs="Arial"/>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53535234"/>
    <w:multiLevelType w:val="singleLevel"/>
    <w:tmpl w:val="DE5AE08C"/>
    <w:lvl w:ilvl="0">
      <w:start w:val="1"/>
      <w:numFmt w:val="bullet"/>
      <w:pStyle w:val="Boxbullet"/>
      <w:lvlText w:val=""/>
      <w:lvlJc w:val="left"/>
      <w:pPr>
        <w:ind w:left="644" w:hanging="360"/>
      </w:pPr>
      <w:rPr>
        <w:rFonts w:hint="default" w:ascii="Symbol" w:hAnsi="Symbol"/>
        <w:color w:val="1B556B"/>
        <w:sz w:val="16"/>
      </w:rPr>
    </w:lvl>
  </w:abstractNum>
  <w:abstractNum w:abstractNumId="23" w15:restartNumberingAfterBreak="0">
    <w:nsid w:val="548410C0"/>
    <w:multiLevelType w:val="multilevel"/>
    <w:tmpl w:val="DE9E0348"/>
    <w:lvl w:ilvl="0">
      <w:start w:val="1"/>
      <w:numFmt w:val="decimal"/>
      <w:lvlText w:val="%1."/>
      <w:lvlJc w:val="left"/>
      <w:pPr>
        <w:ind w:left="567" w:hanging="567"/>
      </w:pPr>
      <w:rPr>
        <w:sz w:val="22"/>
        <w:szCs w:val="22"/>
      </w:rPr>
    </w:lvl>
    <w:lvl w:ilvl="1">
      <w:start w:val="1"/>
      <w:numFmt w:val="lowerLetter"/>
      <w:lvlText w:val="%2)"/>
      <w:lvlJc w:val="left"/>
      <w:pPr>
        <w:ind w:left="927" w:hanging="360"/>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993"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5C3105F9"/>
    <w:multiLevelType w:val="multilevel"/>
    <w:tmpl w:val="A694F4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E5D7349"/>
    <w:multiLevelType w:val="multilevel"/>
    <w:tmpl w:val="E1367EE6"/>
    <w:lvl w:ilvl="0">
      <w:start w:val="1"/>
      <w:numFmt w:val="decimal"/>
      <w:pStyle w:val="Boxquestion"/>
      <w:lvlText w:val="%1"/>
      <w:lvlJc w:val="left"/>
      <w:pPr>
        <w:ind w:left="680" w:hanging="396"/>
      </w:pPr>
      <w:rPr>
        <w:rFonts w:hint="default" w:ascii="Calibri" w:hAnsi="Calibri"/>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6" w15:restartNumberingAfterBreak="0">
    <w:nsid w:val="6F04315C"/>
    <w:multiLevelType w:val="multilevel"/>
    <w:tmpl w:val="A0346236"/>
    <w:lvl w:ilvl="0">
      <w:start w:val="1"/>
      <w:numFmt w:val="decimal"/>
      <w:pStyle w:val="NumberedHeading1"/>
      <w:lvlText w:val="%1."/>
      <w:lvlJc w:val="left"/>
      <w:pPr>
        <w:ind w:left="851" w:hanging="851"/>
      </w:pPr>
      <w:rPr>
        <w:rFonts w:hint="default" w:asciiTheme="majorHAnsi" w:hAnsiTheme="majorHAnsi"/>
        <w:b w:val="0"/>
        <w:bCs w:val="0"/>
        <w:i w:val="0"/>
      </w:rPr>
    </w:lvl>
    <w:lvl w:ilvl="1">
      <w:start w:val="1"/>
      <w:numFmt w:val="decimal"/>
      <w:pStyle w:val="NumberedHeading2"/>
      <w:lvlText w:val="%1.%2"/>
      <w:lvlJc w:val="left"/>
      <w:pPr>
        <w:ind w:left="851" w:hanging="851"/>
      </w:pPr>
      <w:rPr>
        <w:rFonts w:hint="default" w:asciiTheme="majorHAnsi" w:hAnsiTheme="majorHAnsi"/>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hint="default" w:ascii="Calibri" w:hAnsi="Calibri" w:cs="Times New Roman"/>
        <w:color w:val="1B556B"/>
        <w:sz w:val="20"/>
      </w:rPr>
    </w:lvl>
    <w:lvl w:ilvl="1" w:tplc="14090003" w:tentative="1">
      <w:start w:val="1"/>
      <w:numFmt w:val="bullet"/>
      <w:lvlText w:val="o"/>
      <w:lvlJc w:val="left"/>
      <w:pPr>
        <w:ind w:left="1724" w:hanging="360"/>
      </w:pPr>
      <w:rPr>
        <w:rFonts w:hint="default" w:ascii="Courier New" w:hAnsi="Courier New" w:cs="Courier New"/>
      </w:rPr>
    </w:lvl>
    <w:lvl w:ilvl="2" w:tplc="14090005" w:tentative="1">
      <w:start w:val="1"/>
      <w:numFmt w:val="bullet"/>
      <w:lvlText w:val=""/>
      <w:lvlJc w:val="left"/>
      <w:pPr>
        <w:ind w:left="2444" w:hanging="360"/>
      </w:pPr>
      <w:rPr>
        <w:rFonts w:hint="default" w:ascii="Wingdings" w:hAnsi="Wingdings"/>
      </w:rPr>
    </w:lvl>
    <w:lvl w:ilvl="3" w:tplc="14090001" w:tentative="1">
      <w:start w:val="1"/>
      <w:numFmt w:val="bullet"/>
      <w:lvlText w:val=""/>
      <w:lvlJc w:val="left"/>
      <w:pPr>
        <w:ind w:left="3164" w:hanging="360"/>
      </w:pPr>
      <w:rPr>
        <w:rFonts w:hint="default" w:ascii="Symbol" w:hAnsi="Symbol"/>
      </w:rPr>
    </w:lvl>
    <w:lvl w:ilvl="4" w:tplc="14090003" w:tentative="1">
      <w:start w:val="1"/>
      <w:numFmt w:val="bullet"/>
      <w:lvlText w:val="o"/>
      <w:lvlJc w:val="left"/>
      <w:pPr>
        <w:ind w:left="3884" w:hanging="360"/>
      </w:pPr>
      <w:rPr>
        <w:rFonts w:hint="default" w:ascii="Courier New" w:hAnsi="Courier New" w:cs="Courier New"/>
      </w:rPr>
    </w:lvl>
    <w:lvl w:ilvl="5" w:tplc="14090005" w:tentative="1">
      <w:start w:val="1"/>
      <w:numFmt w:val="bullet"/>
      <w:lvlText w:val=""/>
      <w:lvlJc w:val="left"/>
      <w:pPr>
        <w:ind w:left="4604" w:hanging="360"/>
      </w:pPr>
      <w:rPr>
        <w:rFonts w:hint="default" w:ascii="Wingdings" w:hAnsi="Wingdings"/>
      </w:rPr>
    </w:lvl>
    <w:lvl w:ilvl="6" w:tplc="14090001" w:tentative="1">
      <w:start w:val="1"/>
      <w:numFmt w:val="bullet"/>
      <w:lvlText w:val=""/>
      <w:lvlJc w:val="left"/>
      <w:pPr>
        <w:ind w:left="5324" w:hanging="360"/>
      </w:pPr>
      <w:rPr>
        <w:rFonts w:hint="default" w:ascii="Symbol" w:hAnsi="Symbol"/>
      </w:rPr>
    </w:lvl>
    <w:lvl w:ilvl="7" w:tplc="14090003" w:tentative="1">
      <w:start w:val="1"/>
      <w:numFmt w:val="bullet"/>
      <w:lvlText w:val="o"/>
      <w:lvlJc w:val="left"/>
      <w:pPr>
        <w:ind w:left="6044" w:hanging="360"/>
      </w:pPr>
      <w:rPr>
        <w:rFonts w:hint="default" w:ascii="Courier New" w:hAnsi="Courier New" w:cs="Courier New"/>
      </w:rPr>
    </w:lvl>
    <w:lvl w:ilvl="8" w:tplc="14090005" w:tentative="1">
      <w:start w:val="1"/>
      <w:numFmt w:val="bullet"/>
      <w:lvlText w:val=""/>
      <w:lvlJc w:val="left"/>
      <w:pPr>
        <w:ind w:left="6764" w:hanging="360"/>
      </w:pPr>
      <w:rPr>
        <w:rFonts w:hint="default" w:ascii="Wingdings" w:hAnsi="Wingdings"/>
      </w:rPr>
    </w:lvl>
  </w:abstractNum>
  <w:abstractNum w:abstractNumId="29" w15:restartNumberingAfterBreak="0">
    <w:nsid w:val="73B82B78"/>
    <w:multiLevelType w:val="multilevel"/>
    <w:tmpl w:val="A1861558"/>
    <w:lvl w:ilvl="0">
      <w:start w:val="1"/>
      <w:numFmt w:val="decimal"/>
      <w:lvlText w:val="%1."/>
      <w:lvlJc w:val="left"/>
      <w:pPr>
        <w:tabs>
          <w:tab w:val="num" w:pos="397"/>
        </w:tabs>
        <w:ind w:left="397" w:hanging="397"/>
      </w:pPr>
      <w:rPr>
        <w:rFonts w:hint="default" w:asciiTheme="minorHAnsi" w:hAnsiTheme="minorHAnsi" w:cstheme="minorHAnsi"/>
        <w:color w:val="auto"/>
        <w:sz w:val="22"/>
        <w:szCs w:val="2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hint="default" w:ascii="Symbol" w:hAnsi="Symbol"/>
        <w:color w:val="auto"/>
        <w:sz w:val="16"/>
        <w:szCs w:val="16"/>
      </w:rPr>
    </w:lvl>
    <w:lvl w:ilvl="1" w:tplc="66624CCE">
      <w:start w:val="1"/>
      <w:numFmt w:val="bullet"/>
      <w:lvlText w:val="o"/>
      <w:lvlJc w:val="left"/>
      <w:pPr>
        <w:tabs>
          <w:tab w:val="num" w:pos="1440"/>
        </w:tabs>
        <w:ind w:left="1440" w:hanging="360"/>
      </w:pPr>
      <w:rPr>
        <w:rFonts w:hint="default" w:ascii="Courier New" w:hAnsi="Courier New" w:cs="Courier New"/>
      </w:rPr>
    </w:lvl>
    <w:lvl w:ilvl="2" w:tplc="F50EB80C" w:tentative="1">
      <w:start w:val="1"/>
      <w:numFmt w:val="bullet"/>
      <w:lvlText w:val=""/>
      <w:lvlJc w:val="left"/>
      <w:pPr>
        <w:tabs>
          <w:tab w:val="num" w:pos="2160"/>
        </w:tabs>
        <w:ind w:left="2160" w:hanging="360"/>
      </w:pPr>
      <w:rPr>
        <w:rFonts w:hint="default" w:ascii="Wingdings" w:hAnsi="Wingdings"/>
      </w:rPr>
    </w:lvl>
    <w:lvl w:ilvl="3" w:tplc="3662DCF6" w:tentative="1">
      <w:start w:val="1"/>
      <w:numFmt w:val="bullet"/>
      <w:lvlText w:val=""/>
      <w:lvlJc w:val="left"/>
      <w:pPr>
        <w:tabs>
          <w:tab w:val="num" w:pos="2880"/>
        </w:tabs>
        <w:ind w:left="2880" w:hanging="360"/>
      </w:pPr>
      <w:rPr>
        <w:rFonts w:hint="default" w:ascii="Symbol" w:hAnsi="Symbol"/>
      </w:rPr>
    </w:lvl>
    <w:lvl w:ilvl="4" w:tplc="4F909F22" w:tentative="1">
      <w:start w:val="1"/>
      <w:numFmt w:val="bullet"/>
      <w:lvlText w:val="o"/>
      <w:lvlJc w:val="left"/>
      <w:pPr>
        <w:tabs>
          <w:tab w:val="num" w:pos="3600"/>
        </w:tabs>
        <w:ind w:left="3600" w:hanging="360"/>
      </w:pPr>
      <w:rPr>
        <w:rFonts w:hint="default" w:ascii="Courier New" w:hAnsi="Courier New" w:cs="Courier New"/>
      </w:rPr>
    </w:lvl>
    <w:lvl w:ilvl="5" w:tplc="6D8E5B5C" w:tentative="1">
      <w:start w:val="1"/>
      <w:numFmt w:val="bullet"/>
      <w:lvlText w:val=""/>
      <w:lvlJc w:val="left"/>
      <w:pPr>
        <w:tabs>
          <w:tab w:val="num" w:pos="4320"/>
        </w:tabs>
        <w:ind w:left="4320" w:hanging="360"/>
      </w:pPr>
      <w:rPr>
        <w:rFonts w:hint="default" w:ascii="Wingdings" w:hAnsi="Wingdings"/>
      </w:rPr>
    </w:lvl>
    <w:lvl w:ilvl="6" w:tplc="430447C8" w:tentative="1">
      <w:start w:val="1"/>
      <w:numFmt w:val="bullet"/>
      <w:lvlText w:val=""/>
      <w:lvlJc w:val="left"/>
      <w:pPr>
        <w:tabs>
          <w:tab w:val="num" w:pos="5040"/>
        </w:tabs>
        <w:ind w:left="5040" w:hanging="360"/>
      </w:pPr>
      <w:rPr>
        <w:rFonts w:hint="default" w:ascii="Symbol" w:hAnsi="Symbol"/>
      </w:rPr>
    </w:lvl>
    <w:lvl w:ilvl="7" w:tplc="489CDFD4" w:tentative="1">
      <w:start w:val="1"/>
      <w:numFmt w:val="bullet"/>
      <w:lvlText w:val="o"/>
      <w:lvlJc w:val="left"/>
      <w:pPr>
        <w:tabs>
          <w:tab w:val="num" w:pos="5760"/>
        </w:tabs>
        <w:ind w:left="5760" w:hanging="360"/>
      </w:pPr>
      <w:rPr>
        <w:rFonts w:hint="default" w:ascii="Courier New" w:hAnsi="Courier New" w:cs="Courier New"/>
      </w:rPr>
    </w:lvl>
    <w:lvl w:ilvl="8" w:tplc="5FD01C96"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E4D254A"/>
    <w:multiLevelType w:val="singleLevel"/>
    <w:tmpl w:val="4BDCAC54"/>
    <w:lvl w:ilvl="0">
      <w:start w:val="1"/>
      <w:numFmt w:val="bullet"/>
      <w:lvlText w:val=""/>
      <w:lvlJc w:val="left"/>
      <w:pPr>
        <w:tabs>
          <w:tab w:val="num" w:pos="567"/>
        </w:tabs>
        <w:ind w:left="567" w:hanging="567"/>
      </w:pPr>
      <w:rPr>
        <w:rFonts w:hint="default" w:ascii="Symbol" w:hAnsi="Symbol"/>
        <w:color w:val="auto"/>
        <w:sz w:val="18"/>
        <w:szCs w:val="20"/>
      </w:rPr>
    </w:lvl>
  </w:abstractNum>
  <w:num w:numId="1" w16cid:durableId="816460948">
    <w:abstractNumId w:val="16"/>
  </w:num>
  <w:num w:numId="2" w16cid:durableId="85470197">
    <w:abstractNumId w:val="4"/>
  </w:num>
  <w:num w:numId="3" w16cid:durableId="262618033">
    <w:abstractNumId w:val="13"/>
  </w:num>
  <w:num w:numId="4" w16cid:durableId="243612471">
    <w:abstractNumId w:val="27"/>
  </w:num>
  <w:num w:numId="5" w16cid:durableId="100148807">
    <w:abstractNumId w:val="5"/>
  </w:num>
  <w:num w:numId="6" w16cid:durableId="1519540051">
    <w:abstractNumId w:val="12"/>
  </w:num>
  <w:num w:numId="7" w16cid:durableId="377556039">
    <w:abstractNumId w:val="28"/>
  </w:num>
  <w:num w:numId="8" w16cid:durableId="878782008">
    <w:abstractNumId w:val="26"/>
  </w:num>
  <w:num w:numId="9" w16cid:durableId="1939681101">
    <w:abstractNumId w:val="2"/>
  </w:num>
  <w:num w:numId="10" w16cid:durableId="1804346552">
    <w:abstractNumId w:val="0"/>
  </w:num>
  <w:num w:numId="11" w16cid:durableId="1137727448">
    <w:abstractNumId w:val="1"/>
  </w:num>
  <w:num w:numId="12" w16cid:durableId="283002653">
    <w:abstractNumId w:val="22"/>
  </w:num>
  <w:num w:numId="13" w16cid:durableId="1507524789">
    <w:abstractNumId w:val="8"/>
  </w:num>
  <w:num w:numId="14" w16cid:durableId="1373115522">
    <w:abstractNumId w:val="19"/>
  </w:num>
  <w:num w:numId="15" w16cid:durableId="1754857576">
    <w:abstractNumId w:val="14"/>
  </w:num>
  <w:num w:numId="16" w16cid:durableId="1037849379">
    <w:abstractNumId w:val="20"/>
  </w:num>
  <w:num w:numId="17" w16cid:durableId="978923647">
    <w:abstractNumId w:val="9"/>
  </w:num>
  <w:num w:numId="18" w16cid:durableId="683021389">
    <w:abstractNumId w:val="21"/>
  </w:num>
  <w:num w:numId="19" w16cid:durableId="808011097">
    <w:abstractNumId w:val="30"/>
  </w:num>
  <w:num w:numId="20" w16cid:durableId="724178890">
    <w:abstractNumId w:val="25"/>
  </w:num>
  <w:num w:numId="21" w16cid:durableId="503670113">
    <w:abstractNumId w:val="6"/>
  </w:num>
  <w:num w:numId="22" w16cid:durableId="112127018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9150111">
    <w:abstractNumId w:val="17"/>
  </w:num>
  <w:num w:numId="24" w16cid:durableId="1108816895">
    <w:abstractNumId w:val="3"/>
  </w:num>
  <w:num w:numId="25" w16cid:durableId="1551771677">
    <w:abstractNumId w:val="11"/>
  </w:num>
  <w:num w:numId="26" w16cid:durableId="1583026190">
    <w:abstractNumId w:val="24"/>
  </w:num>
  <w:num w:numId="27" w16cid:durableId="80105721">
    <w:abstractNumId w:val="18"/>
  </w:num>
  <w:num w:numId="28" w16cid:durableId="1037118020">
    <w:abstractNumId w:val="15"/>
  </w:num>
  <w:num w:numId="29" w16cid:durableId="1333676666">
    <w:abstractNumId w:val="29"/>
  </w:num>
  <w:num w:numId="30" w16cid:durableId="797332479">
    <w:abstractNumId w:val="7"/>
  </w:num>
  <w:num w:numId="31" w16cid:durableId="1392655285">
    <w:abstractNumId w:val="10"/>
  </w:num>
  <w:num w:numId="32" w16cid:durableId="1538541818">
    <w:abstractNumId w:val="31"/>
  </w:num>
  <w:num w:numId="33" w16cid:durableId="1119883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removeDateAndTime/>
  <w:proofState w:spelling="clean" w:grammar="dirty"/>
  <w:trackRevisions w:val="false"/>
  <w:documentProtection w:edit="trackedChanges"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A5"/>
    <w:rsid w:val="00000025"/>
    <w:rsid w:val="00000062"/>
    <w:rsid w:val="00000188"/>
    <w:rsid w:val="000002F6"/>
    <w:rsid w:val="000003C1"/>
    <w:rsid w:val="00000432"/>
    <w:rsid w:val="00000566"/>
    <w:rsid w:val="00000644"/>
    <w:rsid w:val="00000684"/>
    <w:rsid w:val="00000708"/>
    <w:rsid w:val="00000758"/>
    <w:rsid w:val="00000792"/>
    <w:rsid w:val="0000083A"/>
    <w:rsid w:val="000008AF"/>
    <w:rsid w:val="000008B2"/>
    <w:rsid w:val="000008F8"/>
    <w:rsid w:val="0000090F"/>
    <w:rsid w:val="000009F3"/>
    <w:rsid w:val="00000A54"/>
    <w:rsid w:val="00000AD1"/>
    <w:rsid w:val="00000BA0"/>
    <w:rsid w:val="00000BA5"/>
    <w:rsid w:val="00000BD8"/>
    <w:rsid w:val="00000D0F"/>
    <w:rsid w:val="00000D7B"/>
    <w:rsid w:val="00000DAF"/>
    <w:rsid w:val="00000E16"/>
    <w:rsid w:val="00000E32"/>
    <w:rsid w:val="00000EC3"/>
    <w:rsid w:val="00000F04"/>
    <w:rsid w:val="00000F1F"/>
    <w:rsid w:val="00000FD6"/>
    <w:rsid w:val="000012B1"/>
    <w:rsid w:val="000013F4"/>
    <w:rsid w:val="00001452"/>
    <w:rsid w:val="000015BE"/>
    <w:rsid w:val="000015CF"/>
    <w:rsid w:val="000015E6"/>
    <w:rsid w:val="00001627"/>
    <w:rsid w:val="000016DC"/>
    <w:rsid w:val="000016E1"/>
    <w:rsid w:val="000016F6"/>
    <w:rsid w:val="00001797"/>
    <w:rsid w:val="000017B8"/>
    <w:rsid w:val="000017D7"/>
    <w:rsid w:val="00001852"/>
    <w:rsid w:val="00001938"/>
    <w:rsid w:val="00001A2C"/>
    <w:rsid w:val="00001A2E"/>
    <w:rsid w:val="00001AA4"/>
    <w:rsid w:val="00001B05"/>
    <w:rsid w:val="00001C2D"/>
    <w:rsid w:val="00001D1F"/>
    <w:rsid w:val="00001D4A"/>
    <w:rsid w:val="00001D61"/>
    <w:rsid w:val="00001DB1"/>
    <w:rsid w:val="00001E7C"/>
    <w:rsid w:val="00001F29"/>
    <w:rsid w:val="00002002"/>
    <w:rsid w:val="00002101"/>
    <w:rsid w:val="00002167"/>
    <w:rsid w:val="000022A5"/>
    <w:rsid w:val="000023BC"/>
    <w:rsid w:val="000023C2"/>
    <w:rsid w:val="0000244B"/>
    <w:rsid w:val="000024AF"/>
    <w:rsid w:val="000025A5"/>
    <w:rsid w:val="000025E6"/>
    <w:rsid w:val="000025F2"/>
    <w:rsid w:val="00002621"/>
    <w:rsid w:val="00002725"/>
    <w:rsid w:val="0000283C"/>
    <w:rsid w:val="00002857"/>
    <w:rsid w:val="000028D1"/>
    <w:rsid w:val="000029EA"/>
    <w:rsid w:val="00002A18"/>
    <w:rsid w:val="00002ADF"/>
    <w:rsid w:val="00002C6F"/>
    <w:rsid w:val="00002E92"/>
    <w:rsid w:val="00002EF2"/>
    <w:rsid w:val="00002F2E"/>
    <w:rsid w:val="00002F80"/>
    <w:rsid w:val="0000312C"/>
    <w:rsid w:val="0000314C"/>
    <w:rsid w:val="00003165"/>
    <w:rsid w:val="00003266"/>
    <w:rsid w:val="0000329D"/>
    <w:rsid w:val="000034C7"/>
    <w:rsid w:val="00003506"/>
    <w:rsid w:val="0000360B"/>
    <w:rsid w:val="0000367D"/>
    <w:rsid w:val="0000370D"/>
    <w:rsid w:val="00003717"/>
    <w:rsid w:val="0000373A"/>
    <w:rsid w:val="000039F7"/>
    <w:rsid w:val="00003A0F"/>
    <w:rsid w:val="00003B6C"/>
    <w:rsid w:val="00003C4F"/>
    <w:rsid w:val="00003CA9"/>
    <w:rsid w:val="00003D4E"/>
    <w:rsid w:val="00003DFF"/>
    <w:rsid w:val="00003E40"/>
    <w:rsid w:val="00003E4F"/>
    <w:rsid w:val="00003F98"/>
    <w:rsid w:val="00003FC8"/>
    <w:rsid w:val="00004021"/>
    <w:rsid w:val="00004071"/>
    <w:rsid w:val="0000420C"/>
    <w:rsid w:val="00004467"/>
    <w:rsid w:val="000044B0"/>
    <w:rsid w:val="000044DB"/>
    <w:rsid w:val="000045C6"/>
    <w:rsid w:val="000046AA"/>
    <w:rsid w:val="000046CC"/>
    <w:rsid w:val="0000471E"/>
    <w:rsid w:val="0000473A"/>
    <w:rsid w:val="00004743"/>
    <w:rsid w:val="0000488C"/>
    <w:rsid w:val="000048B9"/>
    <w:rsid w:val="0000492E"/>
    <w:rsid w:val="00004951"/>
    <w:rsid w:val="00004997"/>
    <w:rsid w:val="00004AD8"/>
    <w:rsid w:val="00004D43"/>
    <w:rsid w:val="00004D48"/>
    <w:rsid w:val="00004E0A"/>
    <w:rsid w:val="00004E71"/>
    <w:rsid w:val="00004EFF"/>
    <w:rsid w:val="00004F0D"/>
    <w:rsid w:val="00004F18"/>
    <w:rsid w:val="00004F23"/>
    <w:rsid w:val="00004F81"/>
    <w:rsid w:val="00004FD3"/>
    <w:rsid w:val="00005039"/>
    <w:rsid w:val="00005086"/>
    <w:rsid w:val="000050DE"/>
    <w:rsid w:val="000051A2"/>
    <w:rsid w:val="00005238"/>
    <w:rsid w:val="000052C2"/>
    <w:rsid w:val="0000532A"/>
    <w:rsid w:val="0000550E"/>
    <w:rsid w:val="000055CB"/>
    <w:rsid w:val="00005668"/>
    <w:rsid w:val="0000574D"/>
    <w:rsid w:val="00005836"/>
    <w:rsid w:val="00005839"/>
    <w:rsid w:val="000058A5"/>
    <w:rsid w:val="000058C0"/>
    <w:rsid w:val="0000590D"/>
    <w:rsid w:val="00005947"/>
    <w:rsid w:val="000059F5"/>
    <w:rsid w:val="00005B29"/>
    <w:rsid w:val="00005C7F"/>
    <w:rsid w:val="00005C9E"/>
    <w:rsid w:val="00005DE7"/>
    <w:rsid w:val="00005E45"/>
    <w:rsid w:val="00005E5A"/>
    <w:rsid w:val="00005F2F"/>
    <w:rsid w:val="00005FA3"/>
    <w:rsid w:val="00005FC7"/>
    <w:rsid w:val="00006141"/>
    <w:rsid w:val="0000619F"/>
    <w:rsid w:val="00006248"/>
    <w:rsid w:val="0000635F"/>
    <w:rsid w:val="000063A5"/>
    <w:rsid w:val="00006412"/>
    <w:rsid w:val="000064D4"/>
    <w:rsid w:val="00006504"/>
    <w:rsid w:val="000065D8"/>
    <w:rsid w:val="00006611"/>
    <w:rsid w:val="00006623"/>
    <w:rsid w:val="00006630"/>
    <w:rsid w:val="00006682"/>
    <w:rsid w:val="0000672F"/>
    <w:rsid w:val="0000684F"/>
    <w:rsid w:val="000068DA"/>
    <w:rsid w:val="000069CC"/>
    <w:rsid w:val="00006A2D"/>
    <w:rsid w:val="00006A90"/>
    <w:rsid w:val="00006B2C"/>
    <w:rsid w:val="00006C3C"/>
    <w:rsid w:val="00006C7D"/>
    <w:rsid w:val="00006D0E"/>
    <w:rsid w:val="00006D61"/>
    <w:rsid w:val="00006DF5"/>
    <w:rsid w:val="00006E22"/>
    <w:rsid w:val="00006EF9"/>
    <w:rsid w:val="00006F95"/>
    <w:rsid w:val="00007023"/>
    <w:rsid w:val="00007031"/>
    <w:rsid w:val="0000709F"/>
    <w:rsid w:val="0000714A"/>
    <w:rsid w:val="000071D6"/>
    <w:rsid w:val="000071E4"/>
    <w:rsid w:val="000071E7"/>
    <w:rsid w:val="000072AB"/>
    <w:rsid w:val="000072B9"/>
    <w:rsid w:val="000072C5"/>
    <w:rsid w:val="00007397"/>
    <w:rsid w:val="0000747E"/>
    <w:rsid w:val="000074F8"/>
    <w:rsid w:val="00007552"/>
    <w:rsid w:val="0000758B"/>
    <w:rsid w:val="00007623"/>
    <w:rsid w:val="0000763F"/>
    <w:rsid w:val="0000764C"/>
    <w:rsid w:val="00007742"/>
    <w:rsid w:val="0000788B"/>
    <w:rsid w:val="000078FC"/>
    <w:rsid w:val="00007903"/>
    <w:rsid w:val="00007AC3"/>
    <w:rsid w:val="00007C4D"/>
    <w:rsid w:val="00007F2D"/>
    <w:rsid w:val="00007F71"/>
    <w:rsid w:val="00007FAC"/>
    <w:rsid w:val="00007FB4"/>
    <w:rsid w:val="000100F7"/>
    <w:rsid w:val="00010186"/>
    <w:rsid w:val="0001025B"/>
    <w:rsid w:val="00010295"/>
    <w:rsid w:val="000102BD"/>
    <w:rsid w:val="000102F7"/>
    <w:rsid w:val="00010355"/>
    <w:rsid w:val="00010370"/>
    <w:rsid w:val="000103AA"/>
    <w:rsid w:val="000103D0"/>
    <w:rsid w:val="00010526"/>
    <w:rsid w:val="000105F3"/>
    <w:rsid w:val="000106F2"/>
    <w:rsid w:val="00010723"/>
    <w:rsid w:val="000108A7"/>
    <w:rsid w:val="000108B2"/>
    <w:rsid w:val="000108E1"/>
    <w:rsid w:val="00010926"/>
    <w:rsid w:val="00010941"/>
    <w:rsid w:val="0001095D"/>
    <w:rsid w:val="00010990"/>
    <w:rsid w:val="000109A4"/>
    <w:rsid w:val="000109E3"/>
    <w:rsid w:val="00010A1C"/>
    <w:rsid w:val="00010A9C"/>
    <w:rsid w:val="00010A9F"/>
    <w:rsid w:val="00010ABA"/>
    <w:rsid w:val="00010B11"/>
    <w:rsid w:val="00010B1F"/>
    <w:rsid w:val="00010B42"/>
    <w:rsid w:val="00010B55"/>
    <w:rsid w:val="00010BDF"/>
    <w:rsid w:val="00010BFF"/>
    <w:rsid w:val="00010C6F"/>
    <w:rsid w:val="00010CD2"/>
    <w:rsid w:val="00010CD9"/>
    <w:rsid w:val="00010DAA"/>
    <w:rsid w:val="00010E15"/>
    <w:rsid w:val="00010E1A"/>
    <w:rsid w:val="00010ECE"/>
    <w:rsid w:val="00010F57"/>
    <w:rsid w:val="00010F9F"/>
    <w:rsid w:val="00011006"/>
    <w:rsid w:val="0001100C"/>
    <w:rsid w:val="000110A9"/>
    <w:rsid w:val="000110AE"/>
    <w:rsid w:val="000110B9"/>
    <w:rsid w:val="00011151"/>
    <w:rsid w:val="00011161"/>
    <w:rsid w:val="00011188"/>
    <w:rsid w:val="00011313"/>
    <w:rsid w:val="00011435"/>
    <w:rsid w:val="00011473"/>
    <w:rsid w:val="0001147D"/>
    <w:rsid w:val="00011552"/>
    <w:rsid w:val="0001157D"/>
    <w:rsid w:val="000115A8"/>
    <w:rsid w:val="0001164B"/>
    <w:rsid w:val="000116EF"/>
    <w:rsid w:val="000117DA"/>
    <w:rsid w:val="000117EB"/>
    <w:rsid w:val="00011860"/>
    <w:rsid w:val="00011970"/>
    <w:rsid w:val="00011986"/>
    <w:rsid w:val="00011AA0"/>
    <w:rsid w:val="00011B99"/>
    <w:rsid w:val="00011BB7"/>
    <w:rsid w:val="00011CEB"/>
    <w:rsid w:val="00011D3B"/>
    <w:rsid w:val="00011D40"/>
    <w:rsid w:val="00011D68"/>
    <w:rsid w:val="00011D72"/>
    <w:rsid w:val="00011DA1"/>
    <w:rsid w:val="00011F00"/>
    <w:rsid w:val="00011FA5"/>
    <w:rsid w:val="00011FB2"/>
    <w:rsid w:val="00012048"/>
    <w:rsid w:val="000120B0"/>
    <w:rsid w:val="00012144"/>
    <w:rsid w:val="00012161"/>
    <w:rsid w:val="0001217C"/>
    <w:rsid w:val="00012283"/>
    <w:rsid w:val="00012458"/>
    <w:rsid w:val="0001245D"/>
    <w:rsid w:val="000124B2"/>
    <w:rsid w:val="00012540"/>
    <w:rsid w:val="00012555"/>
    <w:rsid w:val="00012581"/>
    <w:rsid w:val="00012695"/>
    <w:rsid w:val="000128A7"/>
    <w:rsid w:val="00012A3C"/>
    <w:rsid w:val="00012A4E"/>
    <w:rsid w:val="00012A74"/>
    <w:rsid w:val="00012AF6"/>
    <w:rsid w:val="00012B32"/>
    <w:rsid w:val="00012BC5"/>
    <w:rsid w:val="00012BDE"/>
    <w:rsid w:val="00012C2A"/>
    <w:rsid w:val="00012CE2"/>
    <w:rsid w:val="00012D00"/>
    <w:rsid w:val="00012D1B"/>
    <w:rsid w:val="00012D36"/>
    <w:rsid w:val="00012D72"/>
    <w:rsid w:val="00012DC7"/>
    <w:rsid w:val="00012E37"/>
    <w:rsid w:val="00012E69"/>
    <w:rsid w:val="00012E71"/>
    <w:rsid w:val="00012EB4"/>
    <w:rsid w:val="00012F74"/>
    <w:rsid w:val="00012F86"/>
    <w:rsid w:val="00012FA3"/>
    <w:rsid w:val="0001303D"/>
    <w:rsid w:val="00013098"/>
    <w:rsid w:val="00013109"/>
    <w:rsid w:val="00013322"/>
    <w:rsid w:val="000134E2"/>
    <w:rsid w:val="000134FD"/>
    <w:rsid w:val="00013516"/>
    <w:rsid w:val="000135AA"/>
    <w:rsid w:val="00013700"/>
    <w:rsid w:val="0001370D"/>
    <w:rsid w:val="00013788"/>
    <w:rsid w:val="000137EE"/>
    <w:rsid w:val="000137FF"/>
    <w:rsid w:val="00013830"/>
    <w:rsid w:val="00013960"/>
    <w:rsid w:val="000139C7"/>
    <w:rsid w:val="00013A4E"/>
    <w:rsid w:val="00013A5A"/>
    <w:rsid w:val="00013B26"/>
    <w:rsid w:val="00013BB1"/>
    <w:rsid w:val="00013D36"/>
    <w:rsid w:val="00013D49"/>
    <w:rsid w:val="00013DE0"/>
    <w:rsid w:val="00013E8E"/>
    <w:rsid w:val="00013EC7"/>
    <w:rsid w:val="00013F85"/>
    <w:rsid w:val="00013FC9"/>
    <w:rsid w:val="0001404A"/>
    <w:rsid w:val="000140E0"/>
    <w:rsid w:val="000141F6"/>
    <w:rsid w:val="00014236"/>
    <w:rsid w:val="00014273"/>
    <w:rsid w:val="00014361"/>
    <w:rsid w:val="000143BB"/>
    <w:rsid w:val="000143C1"/>
    <w:rsid w:val="00014467"/>
    <w:rsid w:val="000144A7"/>
    <w:rsid w:val="000144CE"/>
    <w:rsid w:val="00014547"/>
    <w:rsid w:val="000145AC"/>
    <w:rsid w:val="000145C0"/>
    <w:rsid w:val="000145D3"/>
    <w:rsid w:val="000145EF"/>
    <w:rsid w:val="00014880"/>
    <w:rsid w:val="000148F4"/>
    <w:rsid w:val="000148F6"/>
    <w:rsid w:val="0001490D"/>
    <w:rsid w:val="000149AB"/>
    <w:rsid w:val="00014B48"/>
    <w:rsid w:val="00014C07"/>
    <w:rsid w:val="00014F64"/>
    <w:rsid w:val="00014FC2"/>
    <w:rsid w:val="0001516D"/>
    <w:rsid w:val="0001517A"/>
    <w:rsid w:val="00015217"/>
    <w:rsid w:val="000153AA"/>
    <w:rsid w:val="000153D0"/>
    <w:rsid w:val="000154B3"/>
    <w:rsid w:val="00015538"/>
    <w:rsid w:val="000155CB"/>
    <w:rsid w:val="000155D7"/>
    <w:rsid w:val="0001564C"/>
    <w:rsid w:val="0001567E"/>
    <w:rsid w:val="000156E7"/>
    <w:rsid w:val="0001586D"/>
    <w:rsid w:val="000159D2"/>
    <w:rsid w:val="000159E7"/>
    <w:rsid w:val="00015A04"/>
    <w:rsid w:val="00015A58"/>
    <w:rsid w:val="00015B21"/>
    <w:rsid w:val="00015B4D"/>
    <w:rsid w:val="00015CBE"/>
    <w:rsid w:val="00015DEB"/>
    <w:rsid w:val="00015E47"/>
    <w:rsid w:val="00015E4B"/>
    <w:rsid w:val="00015E70"/>
    <w:rsid w:val="00015E83"/>
    <w:rsid w:val="00015ED5"/>
    <w:rsid w:val="00016009"/>
    <w:rsid w:val="0001604B"/>
    <w:rsid w:val="000161EC"/>
    <w:rsid w:val="00016264"/>
    <w:rsid w:val="0001626A"/>
    <w:rsid w:val="000162C3"/>
    <w:rsid w:val="000164A0"/>
    <w:rsid w:val="00016612"/>
    <w:rsid w:val="00016647"/>
    <w:rsid w:val="00016731"/>
    <w:rsid w:val="0001673D"/>
    <w:rsid w:val="00016752"/>
    <w:rsid w:val="0001676E"/>
    <w:rsid w:val="000168FD"/>
    <w:rsid w:val="0001693C"/>
    <w:rsid w:val="00016970"/>
    <w:rsid w:val="00016993"/>
    <w:rsid w:val="00016A18"/>
    <w:rsid w:val="00016A3D"/>
    <w:rsid w:val="00016A42"/>
    <w:rsid w:val="00016A83"/>
    <w:rsid w:val="00016AD9"/>
    <w:rsid w:val="00016AEB"/>
    <w:rsid w:val="00016B27"/>
    <w:rsid w:val="00016CAB"/>
    <w:rsid w:val="00016D6B"/>
    <w:rsid w:val="00016E5B"/>
    <w:rsid w:val="00016E9B"/>
    <w:rsid w:val="00016F16"/>
    <w:rsid w:val="00016F3D"/>
    <w:rsid w:val="00016F4B"/>
    <w:rsid w:val="0001704F"/>
    <w:rsid w:val="0001714B"/>
    <w:rsid w:val="00017165"/>
    <w:rsid w:val="0001716C"/>
    <w:rsid w:val="000172A4"/>
    <w:rsid w:val="00017322"/>
    <w:rsid w:val="0001733B"/>
    <w:rsid w:val="00017439"/>
    <w:rsid w:val="00017472"/>
    <w:rsid w:val="0001748B"/>
    <w:rsid w:val="0001749B"/>
    <w:rsid w:val="000174A2"/>
    <w:rsid w:val="00017504"/>
    <w:rsid w:val="0001750F"/>
    <w:rsid w:val="000175A4"/>
    <w:rsid w:val="000175D2"/>
    <w:rsid w:val="00017A79"/>
    <w:rsid w:val="00017BFD"/>
    <w:rsid w:val="00017C65"/>
    <w:rsid w:val="00017C6C"/>
    <w:rsid w:val="00017CDF"/>
    <w:rsid w:val="00017CFD"/>
    <w:rsid w:val="00017D33"/>
    <w:rsid w:val="00017D43"/>
    <w:rsid w:val="00017D75"/>
    <w:rsid w:val="00017E9C"/>
    <w:rsid w:val="00017FBB"/>
    <w:rsid w:val="00017FD0"/>
    <w:rsid w:val="00017FE5"/>
    <w:rsid w:val="00020031"/>
    <w:rsid w:val="00020242"/>
    <w:rsid w:val="00020298"/>
    <w:rsid w:val="0002029F"/>
    <w:rsid w:val="000202EA"/>
    <w:rsid w:val="00020468"/>
    <w:rsid w:val="00020561"/>
    <w:rsid w:val="00020629"/>
    <w:rsid w:val="00020735"/>
    <w:rsid w:val="000207F3"/>
    <w:rsid w:val="00020833"/>
    <w:rsid w:val="0002084C"/>
    <w:rsid w:val="0002088F"/>
    <w:rsid w:val="000208A6"/>
    <w:rsid w:val="00020919"/>
    <w:rsid w:val="0002097B"/>
    <w:rsid w:val="00020AAB"/>
    <w:rsid w:val="00020C2A"/>
    <w:rsid w:val="00020C99"/>
    <w:rsid w:val="00020CEC"/>
    <w:rsid w:val="00020D99"/>
    <w:rsid w:val="00020FA8"/>
    <w:rsid w:val="00020FEB"/>
    <w:rsid w:val="0002103A"/>
    <w:rsid w:val="000210AB"/>
    <w:rsid w:val="00021116"/>
    <w:rsid w:val="0002124B"/>
    <w:rsid w:val="00021286"/>
    <w:rsid w:val="000212B2"/>
    <w:rsid w:val="0002131C"/>
    <w:rsid w:val="00021372"/>
    <w:rsid w:val="000213FD"/>
    <w:rsid w:val="00021549"/>
    <w:rsid w:val="00021597"/>
    <w:rsid w:val="000215CE"/>
    <w:rsid w:val="000215E3"/>
    <w:rsid w:val="000216E6"/>
    <w:rsid w:val="000216F7"/>
    <w:rsid w:val="0002172F"/>
    <w:rsid w:val="000217C0"/>
    <w:rsid w:val="00021881"/>
    <w:rsid w:val="000218B7"/>
    <w:rsid w:val="00021910"/>
    <w:rsid w:val="000219D2"/>
    <w:rsid w:val="000219F3"/>
    <w:rsid w:val="00021ACC"/>
    <w:rsid w:val="00021AE3"/>
    <w:rsid w:val="00021AFA"/>
    <w:rsid w:val="00021B63"/>
    <w:rsid w:val="00021D75"/>
    <w:rsid w:val="00021E42"/>
    <w:rsid w:val="00021F24"/>
    <w:rsid w:val="00021F2F"/>
    <w:rsid w:val="0002208F"/>
    <w:rsid w:val="000220B3"/>
    <w:rsid w:val="00022112"/>
    <w:rsid w:val="000222AC"/>
    <w:rsid w:val="00022341"/>
    <w:rsid w:val="0002238E"/>
    <w:rsid w:val="00022394"/>
    <w:rsid w:val="000224D8"/>
    <w:rsid w:val="000224F6"/>
    <w:rsid w:val="00022506"/>
    <w:rsid w:val="00022613"/>
    <w:rsid w:val="0002261E"/>
    <w:rsid w:val="0002261F"/>
    <w:rsid w:val="00022622"/>
    <w:rsid w:val="0002288A"/>
    <w:rsid w:val="000229A5"/>
    <w:rsid w:val="00022A15"/>
    <w:rsid w:val="00022B0B"/>
    <w:rsid w:val="00022BD0"/>
    <w:rsid w:val="00022C63"/>
    <w:rsid w:val="00022D7D"/>
    <w:rsid w:val="00022E0A"/>
    <w:rsid w:val="00022E68"/>
    <w:rsid w:val="00022E8D"/>
    <w:rsid w:val="00022F47"/>
    <w:rsid w:val="00022FDB"/>
    <w:rsid w:val="0002305F"/>
    <w:rsid w:val="00023170"/>
    <w:rsid w:val="0002323A"/>
    <w:rsid w:val="0002330E"/>
    <w:rsid w:val="000233D2"/>
    <w:rsid w:val="000233EC"/>
    <w:rsid w:val="0002348A"/>
    <w:rsid w:val="000234C0"/>
    <w:rsid w:val="00023638"/>
    <w:rsid w:val="000236B9"/>
    <w:rsid w:val="00023704"/>
    <w:rsid w:val="00023729"/>
    <w:rsid w:val="0002377D"/>
    <w:rsid w:val="000238B7"/>
    <w:rsid w:val="00023949"/>
    <w:rsid w:val="000239E5"/>
    <w:rsid w:val="000239F4"/>
    <w:rsid w:val="00023A21"/>
    <w:rsid w:val="00023A50"/>
    <w:rsid w:val="00023A89"/>
    <w:rsid w:val="00023B0B"/>
    <w:rsid w:val="00023BA3"/>
    <w:rsid w:val="00023BF5"/>
    <w:rsid w:val="00023E1F"/>
    <w:rsid w:val="00023E96"/>
    <w:rsid w:val="00023EB2"/>
    <w:rsid w:val="00023F38"/>
    <w:rsid w:val="00023F51"/>
    <w:rsid w:val="00023F6C"/>
    <w:rsid w:val="00023F87"/>
    <w:rsid w:val="00023F9C"/>
    <w:rsid w:val="0002405F"/>
    <w:rsid w:val="000241F6"/>
    <w:rsid w:val="000243F6"/>
    <w:rsid w:val="000245BD"/>
    <w:rsid w:val="000245D3"/>
    <w:rsid w:val="00024708"/>
    <w:rsid w:val="00024713"/>
    <w:rsid w:val="0002472B"/>
    <w:rsid w:val="00024752"/>
    <w:rsid w:val="0002476D"/>
    <w:rsid w:val="000247B3"/>
    <w:rsid w:val="000247CB"/>
    <w:rsid w:val="0002484D"/>
    <w:rsid w:val="000248A9"/>
    <w:rsid w:val="0002495B"/>
    <w:rsid w:val="00024983"/>
    <w:rsid w:val="00024A07"/>
    <w:rsid w:val="00024A14"/>
    <w:rsid w:val="00024B77"/>
    <w:rsid w:val="00024C54"/>
    <w:rsid w:val="00024D80"/>
    <w:rsid w:val="00024EE7"/>
    <w:rsid w:val="00024FAA"/>
    <w:rsid w:val="00025012"/>
    <w:rsid w:val="0002505F"/>
    <w:rsid w:val="000250F5"/>
    <w:rsid w:val="00025121"/>
    <w:rsid w:val="00025264"/>
    <w:rsid w:val="00025279"/>
    <w:rsid w:val="000252A4"/>
    <w:rsid w:val="00025337"/>
    <w:rsid w:val="00025380"/>
    <w:rsid w:val="0002541B"/>
    <w:rsid w:val="000254A1"/>
    <w:rsid w:val="000254CD"/>
    <w:rsid w:val="00025514"/>
    <w:rsid w:val="000256DA"/>
    <w:rsid w:val="0002577A"/>
    <w:rsid w:val="00025801"/>
    <w:rsid w:val="0002580F"/>
    <w:rsid w:val="00025899"/>
    <w:rsid w:val="000258AE"/>
    <w:rsid w:val="000258B6"/>
    <w:rsid w:val="0002590C"/>
    <w:rsid w:val="0002597A"/>
    <w:rsid w:val="00025B29"/>
    <w:rsid w:val="00025CE8"/>
    <w:rsid w:val="00025D16"/>
    <w:rsid w:val="00025F96"/>
    <w:rsid w:val="00025FAB"/>
    <w:rsid w:val="00025FF4"/>
    <w:rsid w:val="00026121"/>
    <w:rsid w:val="00026275"/>
    <w:rsid w:val="0002628F"/>
    <w:rsid w:val="00026292"/>
    <w:rsid w:val="000263E6"/>
    <w:rsid w:val="00026573"/>
    <w:rsid w:val="0002661D"/>
    <w:rsid w:val="0002666A"/>
    <w:rsid w:val="000266CF"/>
    <w:rsid w:val="000266F2"/>
    <w:rsid w:val="00026770"/>
    <w:rsid w:val="00026A98"/>
    <w:rsid w:val="00026AC5"/>
    <w:rsid w:val="00026BCC"/>
    <w:rsid w:val="00026C54"/>
    <w:rsid w:val="00026C5F"/>
    <w:rsid w:val="00026E89"/>
    <w:rsid w:val="00026EDE"/>
    <w:rsid w:val="00026EE0"/>
    <w:rsid w:val="00026EEC"/>
    <w:rsid w:val="00027084"/>
    <w:rsid w:val="0002714E"/>
    <w:rsid w:val="000271A3"/>
    <w:rsid w:val="00027223"/>
    <w:rsid w:val="000272B7"/>
    <w:rsid w:val="000272DD"/>
    <w:rsid w:val="00027367"/>
    <w:rsid w:val="0002748F"/>
    <w:rsid w:val="00027511"/>
    <w:rsid w:val="0002756D"/>
    <w:rsid w:val="0002757B"/>
    <w:rsid w:val="000275A3"/>
    <w:rsid w:val="000275A4"/>
    <w:rsid w:val="0002761C"/>
    <w:rsid w:val="0002768E"/>
    <w:rsid w:val="00027713"/>
    <w:rsid w:val="0002776C"/>
    <w:rsid w:val="000277E0"/>
    <w:rsid w:val="000279D8"/>
    <w:rsid w:val="000279E0"/>
    <w:rsid w:val="000279EE"/>
    <w:rsid w:val="00027A85"/>
    <w:rsid w:val="00027AD3"/>
    <w:rsid w:val="00027AF2"/>
    <w:rsid w:val="00027AFE"/>
    <w:rsid w:val="00027B23"/>
    <w:rsid w:val="00027BED"/>
    <w:rsid w:val="00027C6A"/>
    <w:rsid w:val="00027C8D"/>
    <w:rsid w:val="00027CD4"/>
    <w:rsid w:val="00027EAC"/>
    <w:rsid w:val="00027F86"/>
    <w:rsid w:val="00027FEE"/>
    <w:rsid w:val="00030081"/>
    <w:rsid w:val="00030132"/>
    <w:rsid w:val="0003023E"/>
    <w:rsid w:val="000302E3"/>
    <w:rsid w:val="0003032F"/>
    <w:rsid w:val="000303B0"/>
    <w:rsid w:val="00030458"/>
    <w:rsid w:val="00030480"/>
    <w:rsid w:val="00030486"/>
    <w:rsid w:val="000304FD"/>
    <w:rsid w:val="0003050B"/>
    <w:rsid w:val="00030552"/>
    <w:rsid w:val="00030558"/>
    <w:rsid w:val="00030699"/>
    <w:rsid w:val="0003071E"/>
    <w:rsid w:val="00030725"/>
    <w:rsid w:val="0003083D"/>
    <w:rsid w:val="00030859"/>
    <w:rsid w:val="00030871"/>
    <w:rsid w:val="0003093C"/>
    <w:rsid w:val="0003099A"/>
    <w:rsid w:val="000309B0"/>
    <w:rsid w:val="00030BA6"/>
    <w:rsid w:val="00030BF7"/>
    <w:rsid w:val="00030C0A"/>
    <w:rsid w:val="00030CD0"/>
    <w:rsid w:val="00030D96"/>
    <w:rsid w:val="00030DB8"/>
    <w:rsid w:val="00030DC6"/>
    <w:rsid w:val="00030E2A"/>
    <w:rsid w:val="00030F42"/>
    <w:rsid w:val="00030FEA"/>
    <w:rsid w:val="00030FFC"/>
    <w:rsid w:val="00031005"/>
    <w:rsid w:val="00031082"/>
    <w:rsid w:val="000310C2"/>
    <w:rsid w:val="00031176"/>
    <w:rsid w:val="00031199"/>
    <w:rsid w:val="000312A5"/>
    <w:rsid w:val="0003131D"/>
    <w:rsid w:val="0003132B"/>
    <w:rsid w:val="000313D0"/>
    <w:rsid w:val="000313DB"/>
    <w:rsid w:val="000313F5"/>
    <w:rsid w:val="00031524"/>
    <w:rsid w:val="0003157C"/>
    <w:rsid w:val="0003160F"/>
    <w:rsid w:val="00031627"/>
    <w:rsid w:val="00031668"/>
    <w:rsid w:val="000316DA"/>
    <w:rsid w:val="000316DD"/>
    <w:rsid w:val="0003175C"/>
    <w:rsid w:val="000317A4"/>
    <w:rsid w:val="00031826"/>
    <w:rsid w:val="0003184D"/>
    <w:rsid w:val="0003186F"/>
    <w:rsid w:val="00031954"/>
    <w:rsid w:val="000319EB"/>
    <w:rsid w:val="00031A83"/>
    <w:rsid w:val="00031B25"/>
    <w:rsid w:val="00031C5E"/>
    <w:rsid w:val="00031D13"/>
    <w:rsid w:val="00031D2A"/>
    <w:rsid w:val="00031DEF"/>
    <w:rsid w:val="00031F28"/>
    <w:rsid w:val="00031FA7"/>
    <w:rsid w:val="0003200B"/>
    <w:rsid w:val="0003209A"/>
    <w:rsid w:val="0003209F"/>
    <w:rsid w:val="0003211B"/>
    <w:rsid w:val="0003213A"/>
    <w:rsid w:val="00032162"/>
    <w:rsid w:val="00032230"/>
    <w:rsid w:val="0003223A"/>
    <w:rsid w:val="00032292"/>
    <w:rsid w:val="0003235E"/>
    <w:rsid w:val="00032520"/>
    <w:rsid w:val="000325A2"/>
    <w:rsid w:val="00032767"/>
    <w:rsid w:val="00032771"/>
    <w:rsid w:val="000327DE"/>
    <w:rsid w:val="000327EA"/>
    <w:rsid w:val="0003281B"/>
    <w:rsid w:val="00032875"/>
    <w:rsid w:val="0003289A"/>
    <w:rsid w:val="000328D4"/>
    <w:rsid w:val="000329D1"/>
    <w:rsid w:val="00032A1D"/>
    <w:rsid w:val="00032A5C"/>
    <w:rsid w:val="00032A81"/>
    <w:rsid w:val="00032B6A"/>
    <w:rsid w:val="00032B8E"/>
    <w:rsid w:val="00032B98"/>
    <w:rsid w:val="00032BF3"/>
    <w:rsid w:val="00032D81"/>
    <w:rsid w:val="00032E92"/>
    <w:rsid w:val="00032F2E"/>
    <w:rsid w:val="00032F7B"/>
    <w:rsid w:val="00032FE8"/>
    <w:rsid w:val="0003316B"/>
    <w:rsid w:val="000331DE"/>
    <w:rsid w:val="00033248"/>
    <w:rsid w:val="0003335D"/>
    <w:rsid w:val="000333FE"/>
    <w:rsid w:val="000334C9"/>
    <w:rsid w:val="00033520"/>
    <w:rsid w:val="00033543"/>
    <w:rsid w:val="00033645"/>
    <w:rsid w:val="000338BE"/>
    <w:rsid w:val="0003395E"/>
    <w:rsid w:val="00033970"/>
    <w:rsid w:val="00033998"/>
    <w:rsid w:val="00033A10"/>
    <w:rsid w:val="00033A17"/>
    <w:rsid w:val="00033AA5"/>
    <w:rsid w:val="00033B40"/>
    <w:rsid w:val="00033BA7"/>
    <w:rsid w:val="00033CA6"/>
    <w:rsid w:val="00033D19"/>
    <w:rsid w:val="00033DFC"/>
    <w:rsid w:val="00033E47"/>
    <w:rsid w:val="00033F25"/>
    <w:rsid w:val="00033F93"/>
    <w:rsid w:val="00033FA9"/>
    <w:rsid w:val="00033FAA"/>
    <w:rsid w:val="00033FF0"/>
    <w:rsid w:val="00033FF3"/>
    <w:rsid w:val="00034015"/>
    <w:rsid w:val="00034031"/>
    <w:rsid w:val="000340D8"/>
    <w:rsid w:val="00034145"/>
    <w:rsid w:val="0003415C"/>
    <w:rsid w:val="0003427D"/>
    <w:rsid w:val="000342F4"/>
    <w:rsid w:val="0003439E"/>
    <w:rsid w:val="00034484"/>
    <w:rsid w:val="000344BA"/>
    <w:rsid w:val="000344F8"/>
    <w:rsid w:val="0003452A"/>
    <w:rsid w:val="000345BF"/>
    <w:rsid w:val="0003474D"/>
    <w:rsid w:val="000347D4"/>
    <w:rsid w:val="0003480B"/>
    <w:rsid w:val="00034816"/>
    <w:rsid w:val="00034963"/>
    <w:rsid w:val="000349AC"/>
    <w:rsid w:val="00034A48"/>
    <w:rsid w:val="00034A50"/>
    <w:rsid w:val="00034A63"/>
    <w:rsid w:val="00034B41"/>
    <w:rsid w:val="00034B4E"/>
    <w:rsid w:val="00034C85"/>
    <w:rsid w:val="00034CE2"/>
    <w:rsid w:val="00034D16"/>
    <w:rsid w:val="00034DFA"/>
    <w:rsid w:val="00034E11"/>
    <w:rsid w:val="00034FEC"/>
    <w:rsid w:val="00035039"/>
    <w:rsid w:val="000350A2"/>
    <w:rsid w:val="000350BC"/>
    <w:rsid w:val="0003512B"/>
    <w:rsid w:val="0003514D"/>
    <w:rsid w:val="000351DB"/>
    <w:rsid w:val="00035287"/>
    <w:rsid w:val="0003535A"/>
    <w:rsid w:val="000353BF"/>
    <w:rsid w:val="000354D8"/>
    <w:rsid w:val="00035562"/>
    <w:rsid w:val="00035612"/>
    <w:rsid w:val="0003568C"/>
    <w:rsid w:val="000357DC"/>
    <w:rsid w:val="000357ED"/>
    <w:rsid w:val="00035815"/>
    <w:rsid w:val="00035890"/>
    <w:rsid w:val="000359B6"/>
    <w:rsid w:val="00035A07"/>
    <w:rsid w:val="00035AA1"/>
    <w:rsid w:val="00035BEC"/>
    <w:rsid w:val="00035C61"/>
    <w:rsid w:val="00035D04"/>
    <w:rsid w:val="00035D26"/>
    <w:rsid w:val="00035DF5"/>
    <w:rsid w:val="00035E15"/>
    <w:rsid w:val="00035EAC"/>
    <w:rsid w:val="00035F58"/>
    <w:rsid w:val="00035F8C"/>
    <w:rsid w:val="0003602C"/>
    <w:rsid w:val="00036033"/>
    <w:rsid w:val="000360BB"/>
    <w:rsid w:val="000360C5"/>
    <w:rsid w:val="00036295"/>
    <w:rsid w:val="000362FA"/>
    <w:rsid w:val="00036320"/>
    <w:rsid w:val="0003633D"/>
    <w:rsid w:val="0003640E"/>
    <w:rsid w:val="00036475"/>
    <w:rsid w:val="000364F7"/>
    <w:rsid w:val="00036761"/>
    <w:rsid w:val="00036780"/>
    <w:rsid w:val="0003688A"/>
    <w:rsid w:val="000368B1"/>
    <w:rsid w:val="000368B2"/>
    <w:rsid w:val="000368FC"/>
    <w:rsid w:val="00036A61"/>
    <w:rsid w:val="00036A8E"/>
    <w:rsid w:val="00036B0C"/>
    <w:rsid w:val="00036B49"/>
    <w:rsid w:val="00036C9F"/>
    <w:rsid w:val="00036DA3"/>
    <w:rsid w:val="00036E30"/>
    <w:rsid w:val="00036EC4"/>
    <w:rsid w:val="00036EFB"/>
    <w:rsid w:val="00036FB7"/>
    <w:rsid w:val="00036FBA"/>
    <w:rsid w:val="00036FC5"/>
    <w:rsid w:val="00037066"/>
    <w:rsid w:val="000370C7"/>
    <w:rsid w:val="00037136"/>
    <w:rsid w:val="00037175"/>
    <w:rsid w:val="000371A1"/>
    <w:rsid w:val="000371E2"/>
    <w:rsid w:val="00037223"/>
    <w:rsid w:val="000372A0"/>
    <w:rsid w:val="000373DE"/>
    <w:rsid w:val="000373FA"/>
    <w:rsid w:val="000374AC"/>
    <w:rsid w:val="00037698"/>
    <w:rsid w:val="000376F5"/>
    <w:rsid w:val="0003773A"/>
    <w:rsid w:val="00037891"/>
    <w:rsid w:val="00037995"/>
    <w:rsid w:val="0003799F"/>
    <w:rsid w:val="000379BF"/>
    <w:rsid w:val="000379D0"/>
    <w:rsid w:val="00037A0F"/>
    <w:rsid w:val="00037B03"/>
    <w:rsid w:val="00037B1B"/>
    <w:rsid w:val="00037B8C"/>
    <w:rsid w:val="00037BDF"/>
    <w:rsid w:val="00037BEC"/>
    <w:rsid w:val="00037D23"/>
    <w:rsid w:val="00037D2D"/>
    <w:rsid w:val="00037DC8"/>
    <w:rsid w:val="00037EE1"/>
    <w:rsid w:val="00037EEB"/>
    <w:rsid w:val="000400D9"/>
    <w:rsid w:val="0004023E"/>
    <w:rsid w:val="00040266"/>
    <w:rsid w:val="0004035C"/>
    <w:rsid w:val="000403E6"/>
    <w:rsid w:val="00040566"/>
    <w:rsid w:val="00040633"/>
    <w:rsid w:val="0004068A"/>
    <w:rsid w:val="000406B4"/>
    <w:rsid w:val="00040810"/>
    <w:rsid w:val="00040833"/>
    <w:rsid w:val="00040860"/>
    <w:rsid w:val="00040869"/>
    <w:rsid w:val="000408D9"/>
    <w:rsid w:val="00040971"/>
    <w:rsid w:val="00040A12"/>
    <w:rsid w:val="00040B4D"/>
    <w:rsid w:val="00040BDC"/>
    <w:rsid w:val="00040BDE"/>
    <w:rsid w:val="00040CED"/>
    <w:rsid w:val="00040D39"/>
    <w:rsid w:val="00040DA6"/>
    <w:rsid w:val="00040E42"/>
    <w:rsid w:val="00040EA1"/>
    <w:rsid w:val="00040F89"/>
    <w:rsid w:val="000410AC"/>
    <w:rsid w:val="000410D1"/>
    <w:rsid w:val="0004112D"/>
    <w:rsid w:val="00041133"/>
    <w:rsid w:val="000411CD"/>
    <w:rsid w:val="00041244"/>
    <w:rsid w:val="000412E8"/>
    <w:rsid w:val="00041303"/>
    <w:rsid w:val="00041307"/>
    <w:rsid w:val="000413BD"/>
    <w:rsid w:val="00041425"/>
    <w:rsid w:val="0004147D"/>
    <w:rsid w:val="0004160A"/>
    <w:rsid w:val="0004165A"/>
    <w:rsid w:val="0004172D"/>
    <w:rsid w:val="00041751"/>
    <w:rsid w:val="00041792"/>
    <w:rsid w:val="000417E0"/>
    <w:rsid w:val="00041864"/>
    <w:rsid w:val="00041929"/>
    <w:rsid w:val="00041947"/>
    <w:rsid w:val="00041A0D"/>
    <w:rsid w:val="00041A94"/>
    <w:rsid w:val="00041C34"/>
    <w:rsid w:val="00041CCF"/>
    <w:rsid w:val="00041D68"/>
    <w:rsid w:val="00041DEB"/>
    <w:rsid w:val="00041E2A"/>
    <w:rsid w:val="00041EE7"/>
    <w:rsid w:val="00041F9E"/>
    <w:rsid w:val="00041FE4"/>
    <w:rsid w:val="0004205F"/>
    <w:rsid w:val="00042087"/>
    <w:rsid w:val="000420ED"/>
    <w:rsid w:val="00042177"/>
    <w:rsid w:val="000421F9"/>
    <w:rsid w:val="00042202"/>
    <w:rsid w:val="0004230E"/>
    <w:rsid w:val="00042348"/>
    <w:rsid w:val="000423C6"/>
    <w:rsid w:val="000424F7"/>
    <w:rsid w:val="00042535"/>
    <w:rsid w:val="0004263F"/>
    <w:rsid w:val="000426B2"/>
    <w:rsid w:val="000426C8"/>
    <w:rsid w:val="00042722"/>
    <w:rsid w:val="00042744"/>
    <w:rsid w:val="0004287E"/>
    <w:rsid w:val="00042958"/>
    <w:rsid w:val="0004295E"/>
    <w:rsid w:val="000429C6"/>
    <w:rsid w:val="00042A30"/>
    <w:rsid w:val="00042A49"/>
    <w:rsid w:val="00042A5A"/>
    <w:rsid w:val="00042B21"/>
    <w:rsid w:val="00042D89"/>
    <w:rsid w:val="00042DEC"/>
    <w:rsid w:val="00042E0B"/>
    <w:rsid w:val="00042EA3"/>
    <w:rsid w:val="00042EDB"/>
    <w:rsid w:val="00042FEF"/>
    <w:rsid w:val="0004307C"/>
    <w:rsid w:val="00043104"/>
    <w:rsid w:val="00043181"/>
    <w:rsid w:val="00043201"/>
    <w:rsid w:val="0004328B"/>
    <w:rsid w:val="000432F7"/>
    <w:rsid w:val="00043356"/>
    <w:rsid w:val="0004339C"/>
    <w:rsid w:val="000433E9"/>
    <w:rsid w:val="0004342E"/>
    <w:rsid w:val="0004347E"/>
    <w:rsid w:val="0004350F"/>
    <w:rsid w:val="000435E3"/>
    <w:rsid w:val="00043618"/>
    <w:rsid w:val="000436BB"/>
    <w:rsid w:val="0004378B"/>
    <w:rsid w:val="00043822"/>
    <w:rsid w:val="000438FB"/>
    <w:rsid w:val="00043946"/>
    <w:rsid w:val="0004399E"/>
    <w:rsid w:val="000439E0"/>
    <w:rsid w:val="00043B1C"/>
    <w:rsid w:val="00043B97"/>
    <w:rsid w:val="00043BCE"/>
    <w:rsid w:val="00043C10"/>
    <w:rsid w:val="00043D07"/>
    <w:rsid w:val="00043E03"/>
    <w:rsid w:val="00043E47"/>
    <w:rsid w:val="00043E8F"/>
    <w:rsid w:val="00043EDF"/>
    <w:rsid w:val="00043EEA"/>
    <w:rsid w:val="00043F79"/>
    <w:rsid w:val="00043F82"/>
    <w:rsid w:val="00044081"/>
    <w:rsid w:val="0004416A"/>
    <w:rsid w:val="0004427E"/>
    <w:rsid w:val="000442C8"/>
    <w:rsid w:val="000442E2"/>
    <w:rsid w:val="000443DD"/>
    <w:rsid w:val="00044411"/>
    <w:rsid w:val="00044450"/>
    <w:rsid w:val="00044464"/>
    <w:rsid w:val="00044526"/>
    <w:rsid w:val="00044583"/>
    <w:rsid w:val="000445DE"/>
    <w:rsid w:val="00044613"/>
    <w:rsid w:val="00044624"/>
    <w:rsid w:val="00044668"/>
    <w:rsid w:val="000446A5"/>
    <w:rsid w:val="000446FA"/>
    <w:rsid w:val="00044773"/>
    <w:rsid w:val="000447C6"/>
    <w:rsid w:val="00044875"/>
    <w:rsid w:val="000449C7"/>
    <w:rsid w:val="000449F7"/>
    <w:rsid w:val="00044A50"/>
    <w:rsid w:val="00044A7C"/>
    <w:rsid w:val="00044B0A"/>
    <w:rsid w:val="00044B59"/>
    <w:rsid w:val="00044B81"/>
    <w:rsid w:val="00044BC6"/>
    <w:rsid w:val="00044C65"/>
    <w:rsid w:val="00044D37"/>
    <w:rsid w:val="00044D7E"/>
    <w:rsid w:val="00044D95"/>
    <w:rsid w:val="00044E78"/>
    <w:rsid w:val="00044EF2"/>
    <w:rsid w:val="00044F21"/>
    <w:rsid w:val="00044F60"/>
    <w:rsid w:val="00045010"/>
    <w:rsid w:val="00045195"/>
    <w:rsid w:val="0004539F"/>
    <w:rsid w:val="00045448"/>
    <w:rsid w:val="00045472"/>
    <w:rsid w:val="000454EC"/>
    <w:rsid w:val="000454F3"/>
    <w:rsid w:val="000455A8"/>
    <w:rsid w:val="000455DE"/>
    <w:rsid w:val="00045662"/>
    <w:rsid w:val="00045876"/>
    <w:rsid w:val="0004588D"/>
    <w:rsid w:val="000458C7"/>
    <w:rsid w:val="000458DB"/>
    <w:rsid w:val="0004590E"/>
    <w:rsid w:val="0004594D"/>
    <w:rsid w:val="00045959"/>
    <w:rsid w:val="00045991"/>
    <w:rsid w:val="00045A1E"/>
    <w:rsid w:val="00045A68"/>
    <w:rsid w:val="00045AA7"/>
    <w:rsid w:val="00045AB7"/>
    <w:rsid w:val="00045AC2"/>
    <w:rsid w:val="00045B3B"/>
    <w:rsid w:val="00045B5D"/>
    <w:rsid w:val="00045B92"/>
    <w:rsid w:val="00045BC2"/>
    <w:rsid w:val="00045C41"/>
    <w:rsid w:val="00045CC8"/>
    <w:rsid w:val="00045E5C"/>
    <w:rsid w:val="00045ED1"/>
    <w:rsid w:val="00045F56"/>
    <w:rsid w:val="00045FF2"/>
    <w:rsid w:val="00046025"/>
    <w:rsid w:val="00046039"/>
    <w:rsid w:val="000460D6"/>
    <w:rsid w:val="00046105"/>
    <w:rsid w:val="00046226"/>
    <w:rsid w:val="00046288"/>
    <w:rsid w:val="0004634A"/>
    <w:rsid w:val="000463A7"/>
    <w:rsid w:val="000463CF"/>
    <w:rsid w:val="0004643D"/>
    <w:rsid w:val="00046457"/>
    <w:rsid w:val="000464B7"/>
    <w:rsid w:val="0004651A"/>
    <w:rsid w:val="00046555"/>
    <w:rsid w:val="00046591"/>
    <w:rsid w:val="000465CC"/>
    <w:rsid w:val="000465E9"/>
    <w:rsid w:val="00046615"/>
    <w:rsid w:val="0004664D"/>
    <w:rsid w:val="000466C0"/>
    <w:rsid w:val="000466DB"/>
    <w:rsid w:val="000466E7"/>
    <w:rsid w:val="00046719"/>
    <w:rsid w:val="00046763"/>
    <w:rsid w:val="00046881"/>
    <w:rsid w:val="000468DE"/>
    <w:rsid w:val="00046943"/>
    <w:rsid w:val="00046A96"/>
    <w:rsid w:val="00046B6C"/>
    <w:rsid w:val="00046BB5"/>
    <w:rsid w:val="00046BE6"/>
    <w:rsid w:val="00046C76"/>
    <w:rsid w:val="00046C8B"/>
    <w:rsid w:val="00046C91"/>
    <w:rsid w:val="00046CC8"/>
    <w:rsid w:val="00046CFC"/>
    <w:rsid w:val="00046D4C"/>
    <w:rsid w:val="00046D69"/>
    <w:rsid w:val="00046E6A"/>
    <w:rsid w:val="00046E8A"/>
    <w:rsid w:val="00046ECD"/>
    <w:rsid w:val="00046EDE"/>
    <w:rsid w:val="00046FD3"/>
    <w:rsid w:val="000470BA"/>
    <w:rsid w:val="00047150"/>
    <w:rsid w:val="00047196"/>
    <w:rsid w:val="000471EC"/>
    <w:rsid w:val="00047482"/>
    <w:rsid w:val="000474C5"/>
    <w:rsid w:val="0004751A"/>
    <w:rsid w:val="00047617"/>
    <w:rsid w:val="00047747"/>
    <w:rsid w:val="000477BA"/>
    <w:rsid w:val="000477D3"/>
    <w:rsid w:val="000478B3"/>
    <w:rsid w:val="00047941"/>
    <w:rsid w:val="00047951"/>
    <w:rsid w:val="000479B0"/>
    <w:rsid w:val="00047B09"/>
    <w:rsid w:val="00047B21"/>
    <w:rsid w:val="00047C53"/>
    <w:rsid w:val="00047C9C"/>
    <w:rsid w:val="00047E32"/>
    <w:rsid w:val="00047F4E"/>
    <w:rsid w:val="00047F9A"/>
    <w:rsid w:val="00047FAF"/>
    <w:rsid w:val="0005001F"/>
    <w:rsid w:val="00050039"/>
    <w:rsid w:val="00050041"/>
    <w:rsid w:val="000500E7"/>
    <w:rsid w:val="000501AA"/>
    <w:rsid w:val="000503FD"/>
    <w:rsid w:val="0005054A"/>
    <w:rsid w:val="00050587"/>
    <w:rsid w:val="0005070A"/>
    <w:rsid w:val="0005072C"/>
    <w:rsid w:val="00050795"/>
    <w:rsid w:val="00050805"/>
    <w:rsid w:val="0005087A"/>
    <w:rsid w:val="00050883"/>
    <w:rsid w:val="000508CC"/>
    <w:rsid w:val="00050966"/>
    <w:rsid w:val="00050A22"/>
    <w:rsid w:val="00050A36"/>
    <w:rsid w:val="00050A52"/>
    <w:rsid w:val="00050A61"/>
    <w:rsid w:val="00050ACB"/>
    <w:rsid w:val="00050AF3"/>
    <w:rsid w:val="00050B0F"/>
    <w:rsid w:val="00050BB0"/>
    <w:rsid w:val="00050BB2"/>
    <w:rsid w:val="00050BC2"/>
    <w:rsid w:val="00050C49"/>
    <w:rsid w:val="00050CD0"/>
    <w:rsid w:val="00050D47"/>
    <w:rsid w:val="00050D82"/>
    <w:rsid w:val="00050DC2"/>
    <w:rsid w:val="00050DE6"/>
    <w:rsid w:val="00050E27"/>
    <w:rsid w:val="00050E5A"/>
    <w:rsid w:val="00050EE7"/>
    <w:rsid w:val="00051034"/>
    <w:rsid w:val="0005112D"/>
    <w:rsid w:val="000511A2"/>
    <w:rsid w:val="000511CE"/>
    <w:rsid w:val="000512A4"/>
    <w:rsid w:val="000512CC"/>
    <w:rsid w:val="000512FA"/>
    <w:rsid w:val="00051302"/>
    <w:rsid w:val="000513B9"/>
    <w:rsid w:val="0005144F"/>
    <w:rsid w:val="000514D0"/>
    <w:rsid w:val="000514F2"/>
    <w:rsid w:val="00051576"/>
    <w:rsid w:val="000515B0"/>
    <w:rsid w:val="000515BC"/>
    <w:rsid w:val="000515ED"/>
    <w:rsid w:val="00051614"/>
    <w:rsid w:val="0005161A"/>
    <w:rsid w:val="000516AB"/>
    <w:rsid w:val="000516F3"/>
    <w:rsid w:val="00051777"/>
    <w:rsid w:val="000517C3"/>
    <w:rsid w:val="0005181A"/>
    <w:rsid w:val="000519D2"/>
    <w:rsid w:val="00051A2D"/>
    <w:rsid w:val="00051A75"/>
    <w:rsid w:val="00051AF1"/>
    <w:rsid w:val="00051C1D"/>
    <w:rsid w:val="00051D42"/>
    <w:rsid w:val="00051DDC"/>
    <w:rsid w:val="00051FC8"/>
    <w:rsid w:val="00051FCE"/>
    <w:rsid w:val="00051FFB"/>
    <w:rsid w:val="000520AA"/>
    <w:rsid w:val="000520B9"/>
    <w:rsid w:val="00052121"/>
    <w:rsid w:val="00052224"/>
    <w:rsid w:val="0005232B"/>
    <w:rsid w:val="0005241B"/>
    <w:rsid w:val="00052426"/>
    <w:rsid w:val="00052628"/>
    <w:rsid w:val="0005266D"/>
    <w:rsid w:val="00052763"/>
    <w:rsid w:val="000527B3"/>
    <w:rsid w:val="000527EE"/>
    <w:rsid w:val="00052850"/>
    <w:rsid w:val="00052A1D"/>
    <w:rsid w:val="00052A8B"/>
    <w:rsid w:val="00052C2B"/>
    <w:rsid w:val="00052C99"/>
    <w:rsid w:val="00052DF5"/>
    <w:rsid w:val="00052E11"/>
    <w:rsid w:val="00052E2B"/>
    <w:rsid w:val="00052EB7"/>
    <w:rsid w:val="00052F52"/>
    <w:rsid w:val="00052FF0"/>
    <w:rsid w:val="0005307C"/>
    <w:rsid w:val="00053326"/>
    <w:rsid w:val="0005346F"/>
    <w:rsid w:val="00053504"/>
    <w:rsid w:val="00053523"/>
    <w:rsid w:val="000535AD"/>
    <w:rsid w:val="00053629"/>
    <w:rsid w:val="000536EC"/>
    <w:rsid w:val="000537BC"/>
    <w:rsid w:val="00053804"/>
    <w:rsid w:val="00053817"/>
    <w:rsid w:val="00053837"/>
    <w:rsid w:val="000538A1"/>
    <w:rsid w:val="000539B1"/>
    <w:rsid w:val="00053A9F"/>
    <w:rsid w:val="00053CDC"/>
    <w:rsid w:val="00053D36"/>
    <w:rsid w:val="00053DAE"/>
    <w:rsid w:val="00053DFF"/>
    <w:rsid w:val="00053F02"/>
    <w:rsid w:val="00053F19"/>
    <w:rsid w:val="00053FA3"/>
    <w:rsid w:val="00053FA4"/>
    <w:rsid w:val="0005411A"/>
    <w:rsid w:val="00054354"/>
    <w:rsid w:val="0005445C"/>
    <w:rsid w:val="000544D6"/>
    <w:rsid w:val="00054574"/>
    <w:rsid w:val="000545DC"/>
    <w:rsid w:val="000546C0"/>
    <w:rsid w:val="000546C3"/>
    <w:rsid w:val="000546CB"/>
    <w:rsid w:val="0005484E"/>
    <w:rsid w:val="0005487F"/>
    <w:rsid w:val="000548FE"/>
    <w:rsid w:val="00054903"/>
    <w:rsid w:val="00054969"/>
    <w:rsid w:val="000549B7"/>
    <w:rsid w:val="00054A46"/>
    <w:rsid w:val="00054A8D"/>
    <w:rsid w:val="00054B41"/>
    <w:rsid w:val="00054BF1"/>
    <w:rsid w:val="00054C41"/>
    <w:rsid w:val="00054CDA"/>
    <w:rsid w:val="00054D37"/>
    <w:rsid w:val="00054D47"/>
    <w:rsid w:val="00054DF8"/>
    <w:rsid w:val="00054ECB"/>
    <w:rsid w:val="00054F00"/>
    <w:rsid w:val="00054F0D"/>
    <w:rsid w:val="00054F55"/>
    <w:rsid w:val="00055086"/>
    <w:rsid w:val="000550E7"/>
    <w:rsid w:val="000550FA"/>
    <w:rsid w:val="0005519E"/>
    <w:rsid w:val="000551C8"/>
    <w:rsid w:val="00055250"/>
    <w:rsid w:val="000552CE"/>
    <w:rsid w:val="00055375"/>
    <w:rsid w:val="00055437"/>
    <w:rsid w:val="0005561A"/>
    <w:rsid w:val="00055638"/>
    <w:rsid w:val="000556ED"/>
    <w:rsid w:val="00055706"/>
    <w:rsid w:val="00055774"/>
    <w:rsid w:val="000557D9"/>
    <w:rsid w:val="000557FD"/>
    <w:rsid w:val="000558B7"/>
    <w:rsid w:val="000558D6"/>
    <w:rsid w:val="000559C2"/>
    <w:rsid w:val="00055B09"/>
    <w:rsid w:val="00055B3B"/>
    <w:rsid w:val="00055CD3"/>
    <w:rsid w:val="00055D12"/>
    <w:rsid w:val="00055D29"/>
    <w:rsid w:val="00055DC5"/>
    <w:rsid w:val="00055E89"/>
    <w:rsid w:val="00055EA8"/>
    <w:rsid w:val="00055ED2"/>
    <w:rsid w:val="00055FF6"/>
    <w:rsid w:val="00056008"/>
    <w:rsid w:val="00056015"/>
    <w:rsid w:val="0005629A"/>
    <w:rsid w:val="000562D7"/>
    <w:rsid w:val="00056306"/>
    <w:rsid w:val="00056319"/>
    <w:rsid w:val="00056332"/>
    <w:rsid w:val="000563C6"/>
    <w:rsid w:val="000564D6"/>
    <w:rsid w:val="000564E7"/>
    <w:rsid w:val="00056541"/>
    <w:rsid w:val="000566A4"/>
    <w:rsid w:val="0005671C"/>
    <w:rsid w:val="00056770"/>
    <w:rsid w:val="00056785"/>
    <w:rsid w:val="0005679F"/>
    <w:rsid w:val="00056861"/>
    <w:rsid w:val="000569A7"/>
    <w:rsid w:val="00056A39"/>
    <w:rsid w:val="00056BF1"/>
    <w:rsid w:val="00056C07"/>
    <w:rsid w:val="00056F0A"/>
    <w:rsid w:val="00056F32"/>
    <w:rsid w:val="00057234"/>
    <w:rsid w:val="000572D3"/>
    <w:rsid w:val="00057386"/>
    <w:rsid w:val="00057405"/>
    <w:rsid w:val="0005742B"/>
    <w:rsid w:val="0005746C"/>
    <w:rsid w:val="00057582"/>
    <w:rsid w:val="0005758E"/>
    <w:rsid w:val="000575AA"/>
    <w:rsid w:val="0005764D"/>
    <w:rsid w:val="00057683"/>
    <w:rsid w:val="00057794"/>
    <w:rsid w:val="00057835"/>
    <w:rsid w:val="000578E4"/>
    <w:rsid w:val="00057905"/>
    <w:rsid w:val="00057976"/>
    <w:rsid w:val="000579BA"/>
    <w:rsid w:val="00057B03"/>
    <w:rsid w:val="00057CBE"/>
    <w:rsid w:val="00057E2D"/>
    <w:rsid w:val="00057EEF"/>
    <w:rsid w:val="00060091"/>
    <w:rsid w:val="00060161"/>
    <w:rsid w:val="00060187"/>
    <w:rsid w:val="00060203"/>
    <w:rsid w:val="0006021F"/>
    <w:rsid w:val="00060237"/>
    <w:rsid w:val="00060255"/>
    <w:rsid w:val="0006025F"/>
    <w:rsid w:val="00060270"/>
    <w:rsid w:val="000602F3"/>
    <w:rsid w:val="000603BE"/>
    <w:rsid w:val="0006041D"/>
    <w:rsid w:val="00060461"/>
    <w:rsid w:val="0006047C"/>
    <w:rsid w:val="00060488"/>
    <w:rsid w:val="000604BF"/>
    <w:rsid w:val="0006054E"/>
    <w:rsid w:val="00060570"/>
    <w:rsid w:val="000605EC"/>
    <w:rsid w:val="00060601"/>
    <w:rsid w:val="000606B3"/>
    <w:rsid w:val="000606D9"/>
    <w:rsid w:val="0006076D"/>
    <w:rsid w:val="00060854"/>
    <w:rsid w:val="00060874"/>
    <w:rsid w:val="0006090C"/>
    <w:rsid w:val="000609A8"/>
    <w:rsid w:val="00060A3C"/>
    <w:rsid w:val="00060B2B"/>
    <w:rsid w:val="00060BC6"/>
    <w:rsid w:val="00060C5E"/>
    <w:rsid w:val="00060C6B"/>
    <w:rsid w:val="00060CEC"/>
    <w:rsid w:val="00060DFB"/>
    <w:rsid w:val="00060E31"/>
    <w:rsid w:val="00060F4C"/>
    <w:rsid w:val="0006110C"/>
    <w:rsid w:val="00061112"/>
    <w:rsid w:val="00061132"/>
    <w:rsid w:val="00061204"/>
    <w:rsid w:val="00061209"/>
    <w:rsid w:val="0006122D"/>
    <w:rsid w:val="00061267"/>
    <w:rsid w:val="0006129D"/>
    <w:rsid w:val="0006131B"/>
    <w:rsid w:val="000613C6"/>
    <w:rsid w:val="00061419"/>
    <w:rsid w:val="00061495"/>
    <w:rsid w:val="000614AF"/>
    <w:rsid w:val="00061548"/>
    <w:rsid w:val="00061550"/>
    <w:rsid w:val="000615A6"/>
    <w:rsid w:val="00061646"/>
    <w:rsid w:val="00061676"/>
    <w:rsid w:val="000616D2"/>
    <w:rsid w:val="0006175C"/>
    <w:rsid w:val="00061822"/>
    <w:rsid w:val="0006184D"/>
    <w:rsid w:val="00061855"/>
    <w:rsid w:val="00061872"/>
    <w:rsid w:val="000619A6"/>
    <w:rsid w:val="000619A9"/>
    <w:rsid w:val="000619CB"/>
    <w:rsid w:val="000619F3"/>
    <w:rsid w:val="00061A0A"/>
    <w:rsid w:val="00061B9F"/>
    <w:rsid w:val="00061BD0"/>
    <w:rsid w:val="00061C13"/>
    <w:rsid w:val="00061C2D"/>
    <w:rsid w:val="00061C30"/>
    <w:rsid w:val="00061C51"/>
    <w:rsid w:val="00061C74"/>
    <w:rsid w:val="00061CE5"/>
    <w:rsid w:val="00061D5A"/>
    <w:rsid w:val="00061D71"/>
    <w:rsid w:val="00061DAA"/>
    <w:rsid w:val="00061E77"/>
    <w:rsid w:val="00061EA1"/>
    <w:rsid w:val="00062036"/>
    <w:rsid w:val="0006210A"/>
    <w:rsid w:val="0006216E"/>
    <w:rsid w:val="0006217B"/>
    <w:rsid w:val="0006219A"/>
    <w:rsid w:val="000621CD"/>
    <w:rsid w:val="00062278"/>
    <w:rsid w:val="0006227C"/>
    <w:rsid w:val="000622AB"/>
    <w:rsid w:val="0006231C"/>
    <w:rsid w:val="0006233C"/>
    <w:rsid w:val="00062387"/>
    <w:rsid w:val="0006238C"/>
    <w:rsid w:val="00062465"/>
    <w:rsid w:val="00062466"/>
    <w:rsid w:val="0006254B"/>
    <w:rsid w:val="00062550"/>
    <w:rsid w:val="000625A9"/>
    <w:rsid w:val="000625E9"/>
    <w:rsid w:val="0006264F"/>
    <w:rsid w:val="0006270D"/>
    <w:rsid w:val="0006275E"/>
    <w:rsid w:val="00062771"/>
    <w:rsid w:val="000627AB"/>
    <w:rsid w:val="000627FC"/>
    <w:rsid w:val="00062868"/>
    <w:rsid w:val="00062A1C"/>
    <w:rsid w:val="00062A20"/>
    <w:rsid w:val="00062A91"/>
    <w:rsid w:val="00062B27"/>
    <w:rsid w:val="00062B5F"/>
    <w:rsid w:val="00062C02"/>
    <w:rsid w:val="00062CA5"/>
    <w:rsid w:val="00062D21"/>
    <w:rsid w:val="00062D7F"/>
    <w:rsid w:val="00062D83"/>
    <w:rsid w:val="00062D89"/>
    <w:rsid w:val="00062DE8"/>
    <w:rsid w:val="0006316F"/>
    <w:rsid w:val="000632E3"/>
    <w:rsid w:val="0006344F"/>
    <w:rsid w:val="00063459"/>
    <w:rsid w:val="0006351F"/>
    <w:rsid w:val="00063521"/>
    <w:rsid w:val="00063676"/>
    <w:rsid w:val="000636A9"/>
    <w:rsid w:val="000636CB"/>
    <w:rsid w:val="00063802"/>
    <w:rsid w:val="0006381F"/>
    <w:rsid w:val="0006383E"/>
    <w:rsid w:val="000638A1"/>
    <w:rsid w:val="0006390F"/>
    <w:rsid w:val="0006391E"/>
    <w:rsid w:val="0006398B"/>
    <w:rsid w:val="00063A84"/>
    <w:rsid w:val="00063ABB"/>
    <w:rsid w:val="00063C63"/>
    <w:rsid w:val="00063D90"/>
    <w:rsid w:val="00063E31"/>
    <w:rsid w:val="00063E40"/>
    <w:rsid w:val="00063E5B"/>
    <w:rsid w:val="00063E6C"/>
    <w:rsid w:val="00063ED4"/>
    <w:rsid w:val="00063ED7"/>
    <w:rsid w:val="00063F2A"/>
    <w:rsid w:val="00063F53"/>
    <w:rsid w:val="00063F64"/>
    <w:rsid w:val="00063F79"/>
    <w:rsid w:val="00063F85"/>
    <w:rsid w:val="00064007"/>
    <w:rsid w:val="0006403A"/>
    <w:rsid w:val="0006406B"/>
    <w:rsid w:val="000640AA"/>
    <w:rsid w:val="000640F0"/>
    <w:rsid w:val="000642A0"/>
    <w:rsid w:val="0006434D"/>
    <w:rsid w:val="000643A1"/>
    <w:rsid w:val="00064457"/>
    <w:rsid w:val="00064541"/>
    <w:rsid w:val="00064668"/>
    <w:rsid w:val="00064679"/>
    <w:rsid w:val="00064792"/>
    <w:rsid w:val="000647F4"/>
    <w:rsid w:val="000648BA"/>
    <w:rsid w:val="00064994"/>
    <w:rsid w:val="000649FA"/>
    <w:rsid w:val="000649FD"/>
    <w:rsid w:val="00064A13"/>
    <w:rsid w:val="00064A5F"/>
    <w:rsid w:val="00064AEE"/>
    <w:rsid w:val="00064AF4"/>
    <w:rsid w:val="00064B6B"/>
    <w:rsid w:val="00064C31"/>
    <w:rsid w:val="00064C3A"/>
    <w:rsid w:val="00064C89"/>
    <w:rsid w:val="00064CE0"/>
    <w:rsid w:val="00064DB1"/>
    <w:rsid w:val="00064E0F"/>
    <w:rsid w:val="00064E33"/>
    <w:rsid w:val="00064EEA"/>
    <w:rsid w:val="00064F14"/>
    <w:rsid w:val="00065027"/>
    <w:rsid w:val="00065030"/>
    <w:rsid w:val="000650AB"/>
    <w:rsid w:val="0006515E"/>
    <w:rsid w:val="00065302"/>
    <w:rsid w:val="000653E8"/>
    <w:rsid w:val="00065442"/>
    <w:rsid w:val="00065492"/>
    <w:rsid w:val="000655A5"/>
    <w:rsid w:val="00065608"/>
    <w:rsid w:val="000656A0"/>
    <w:rsid w:val="000656A3"/>
    <w:rsid w:val="000656E9"/>
    <w:rsid w:val="0006584E"/>
    <w:rsid w:val="00065974"/>
    <w:rsid w:val="00065A5E"/>
    <w:rsid w:val="00065A76"/>
    <w:rsid w:val="00065BA3"/>
    <w:rsid w:val="00065BCC"/>
    <w:rsid w:val="00065BD0"/>
    <w:rsid w:val="00065BFC"/>
    <w:rsid w:val="00065C97"/>
    <w:rsid w:val="00065D3B"/>
    <w:rsid w:val="00065D54"/>
    <w:rsid w:val="00065D76"/>
    <w:rsid w:val="00065D86"/>
    <w:rsid w:val="00065DFD"/>
    <w:rsid w:val="00065E3A"/>
    <w:rsid w:val="00065F41"/>
    <w:rsid w:val="000660D3"/>
    <w:rsid w:val="00066118"/>
    <w:rsid w:val="00066187"/>
    <w:rsid w:val="00066300"/>
    <w:rsid w:val="0006642A"/>
    <w:rsid w:val="00066499"/>
    <w:rsid w:val="000665B0"/>
    <w:rsid w:val="000665B9"/>
    <w:rsid w:val="000665FF"/>
    <w:rsid w:val="000666B5"/>
    <w:rsid w:val="0006675D"/>
    <w:rsid w:val="0006678A"/>
    <w:rsid w:val="000667E9"/>
    <w:rsid w:val="000667EA"/>
    <w:rsid w:val="0006682E"/>
    <w:rsid w:val="00066881"/>
    <w:rsid w:val="000668F3"/>
    <w:rsid w:val="00066AA0"/>
    <w:rsid w:val="00066ADA"/>
    <w:rsid w:val="00066CD3"/>
    <w:rsid w:val="00066D51"/>
    <w:rsid w:val="00066D64"/>
    <w:rsid w:val="00066DF2"/>
    <w:rsid w:val="00066E80"/>
    <w:rsid w:val="00066F6F"/>
    <w:rsid w:val="0006700E"/>
    <w:rsid w:val="00067026"/>
    <w:rsid w:val="00067031"/>
    <w:rsid w:val="0006705B"/>
    <w:rsid w:val="0006707B"/>
    <w:rsid w:val="00067128"/>
    <w:rsid w:val="0006718A"/>
    <w:rsid w:val="000671A1"/>
    <w:rsid w:val="000671DE"/>
    <w:rsid w:val="000672C0"/>
    <w:rsid w:val="000672DE"/>
    <w:rsid w:val="0006741A"/>
    <w:rsid w:val="0006743A"/>
    <w:rsid w:val="00067451"/>
    <w:rsid w:val="000674E4"/>
    <w:rsid w:val="000675CD"/>
    <w:rsid w:val="000675F9"/>
    <w:rsid w:val="0006761B"/>
    <w:rsid w:val="00067843"/>
    <w:rsid w:val="00067872"/>
    <w:rsid w:val="000678AC"/>
    <w:rsid w:val="00067942"/>
    <w:rsid w:val="00067970"/>
    <w:rsid w:val="00067A90"/>
    <w:rsid w:val="00067AF8"/>
    <w:rsid w:val="00067BB9"/>
    <w:rsid w:val="00067C7C"/>
    <w:rsid w:val="00067CC8"/>
    <w:rsid w:val="00067D5A"/>
    <w:rsid w:val="00067D64"/>
    <w:rsid w:val="00067D6C"/>
    <w:rsid w:val="00067D82"/>
    <w:rsid w:val="00067E72"/>
    <w:rsid w:val="00067F8A"/>
    <w:rsid w:val="00067FFA"/>
    <w:rsid w:val="000700AE"/>
    <w:rsid w:val="000700C5"/>
    <w:rsid w:val="000700CE"/>
    <w:rsid w:val="000700F2"/>
    <w:rsid w:val="00070124"/>
    <w:rsid w:val="00070131"/>
    <w:rsid w:val="00070256"/>
    <w:rsid w:val="000702A7"/>
    <w:rsid w:val="000702B8"/>
    <w:rsid w:val="000702F4"/>
    <w:rsid w:val="0007030F"/>
    <w:rsid w:val="00070347"/>
    <w:rsid w:val="000703B2"/>
    <w:rsid w:val="00070464"/>
    <w:rsid w:val="00070476"/>
    <w:rsid w:val="000705E1"/>
    <w:rsid w:val="0007064D"/>
    <w:rsid w:val="00070657"/>
    <w:rsid w:val="00070677"/>
    <w:rsid w:val="000707AF"/>
    <w:rsid w:val="0007087D"/>
    <w:rsid w:val="000708EB"/>
    <w:rsid w:val="00070967"/>
    <w:rsid w:val="00070A29"/>
    <w:rsid w:val="00070A30"/>
    <w:rsid w:val="00070A32"/>
    <w:rsid w:val="00070B2C"/>
    <w:rsid w:val="00070C03"/>
    <w:rsid w:val="00070C0A"/>
    <w:rsid w:val="00070C78"/>
    <w:rsid w:val="00070DB8"/>
    <w:rsid w:val="00070DBA"/>
    <w:rsid w:val="00070E06"/>
    <w:rsid w:val="00070E14"/>
    <w:rsid w:val="00070E9D"/>
    <w:rsid w:val="00070FBF"/>
    <w:rsid w:val="00071017"/>
    <w:rsid w:val="0007101A"/>
    <w:rsid w:val="000711EE"/>
    <w:rsid w:val="0007131A"/>
    <w:rsid w:val="0007134F"/>
    <w:rsid w:val="0007152E"/>
    <w:rsid w:val="000715BF"/>
    <w:rsid w:val="00071612"/>
    <w:rsid w:val="00071645"/>
    <w:rsid w:val="0007164B"/>
    <w:rsid w:val="0007180E"/>
    <w:rsid w:val="00071842"/>
    <w:rsid w:val="000719CD"/>
    <w:rsid w:val="000719F7"/>
    <w:rsid w:val="00071AE4"/>
    <w:rsid w:val="00071AFE"/>
    <w:rsid w:val="00071CB5"/>
    <w:rsid w:val="00071CCB"/>
    <w:rsid w:val="00071CEA"/>
    <w:rsid w:val="00071D03"/>
    <w:rsid w:val="00071D89"/>
    <w:rsid w:val="00071DA4"/>
    <w:rsid w:val="00071DC4"/>
    <w:rsid w:val="00071E2A"/>
    <w:rsid w:val="000720B7"/>
    <w:rsid w:val="0007220C"/>
    <w:rsid w:val="00072216"/>
    <w:rsid w:val="00072220"/>
    <w:rsid w:val="000722D1"/>
    <w:rsid w:val="000722EC"/>
    <w:rsid w:val="00072324"/>
    <w:rsid w:val="0007232B"/>
    <w:rsid w:val="00072356"/>
    <w:rsid w:val="00072448"/>
    <w:rsid w:val="0007247B"/>
    <w:rsid w:val="000724E1"/>
    <w:rsid w:val="00072503"/>
    <w:rsid w:val="0007255B"/>
    <w:rsid w:val="000725F8"/>
    <w:rsid w:val="0007261E"/>
    <w:rsid w:val="0007263B"/>
    <w:rsid w:val="000726CF"/>
    <w:rsid w:val="00072810"/>
    <w:rsid w:val="00072841"/>
    <w:rsid w:val="00072876"/>
    <w:rsid w:val="00072946"/>
    <w:rsid w:val="00072971"/>
    <w:rsid w:val="00072A2D"/>
    <w:rsid w:val="00072B1B"/>
    <w:rsid w:val="00072C8C"/>
    <w:rsid w:val="00072CF9"/>
    <w:rsid w:val="00072D9A"/>
    <w:rsid w:val="00072FE8"/>
    <w:rsid w:val="0007318D"/>
    <w:rsid w:val="000731E2"/>
    <w:rsid w:val="00073205"/>
    <w:rsid w:val="00073263"/>
    <w:rsid w:val="000732FC"/>
    <w:rsid w:val="0007334C"/>
    <w:rsid w:val="00073379"/>
    <w:rsid w:val="00073411"/>
    <w:rsid w:val="000735A2"/>
    <w:rsid w:val="000735FB"/>
    <w:rsid w:val="0007360E"/>
    <w:rsid w:val="0007383A"/>
    <w:rsid w:val="0007389C"/>
    <w:rsid w:val="0007395A"/>
    <w:rsid w:val="000739A2"/>
    <w:rsid w:val="00073AAB"/>
    <w:rsid w:val="00073BD6"/>
    <w:rsid w:val="00073C5C"/>
    <w:rsid w:val="00073CF4"/>
    <w:rsid w:val="00073D2B"/>
    <w:rsid w:val="00073D30"/>
    <w:rsid w:val="00073E12"/>
    <w:rsid w:val="00073F57"/>
    <w:rsid w:val="00074009"/>
    <w:rsid w:val="000740B8"/>
    <w:rsid w:val="0007418F"/>
    <w:rsid w:val="0007427B"/>
    <w:rsid w:val="000742B0"/>
    <w:rsid w:val="000742CA"/>
    <w:rsid w:val="0007430E"/>
    <w:rsid w:val="0007436E"/>
    <w:rsid w:val="000743AE"/>
    <w:rsid w:val="000744AB"/>
    <w:rsid w:val="00074608"/>
    <w:rsid w:val="0007463A"/>
    <w:rsid w:val="000747B7"/>
    <w:rsid w:val="000747C4"/>
    <w:rsid w:val="00074824"/>
    <w:rsid w:val="00074870"/>
    <w:rsid w:val="0007490B"/>
    <w:rsid w:val="0007492F"/>
    <w:rsid w:val="0007496D"/>
    <w:rsid w:val="0007497B"/>
    <w:rsid w:val="000749B0"/>
    <w:rsid w:val="00074BBC"/>
    <w:rsid w:val="00074C38"/>
    <w:rsid w:val="00074C97"/>
    <w:rsid w:val="00074DA5"/>
    <w:rsid w:val="00074E44"/>
    <w:rsid w:val="00074E45"/>
    <w:rsid w:val="00074ECC"/>
    <w:rsid w:val="00074F9B"/>
    <w:rsid w:val="00074FB3"/>
    <w:rsid w:val="000750C2"/>
    <w:rsid w:val="00075159"/>
    <w:rsid w:val="0007517E"/>
    <w:rsid w:val="0007525C"/>
    <w:rsid w:val="0007531C"/>
    <w:rsid w:val="00075329"/>
    <w:rsid w:val="000754B3"/>
    <w:rsid w:val="00075624"/>
    <w:rsid w:val="00075632"/>
    <w:rsid w:val="000756D9"/>
    <w:rsid w:val="00075728"/>
    <w:rsid w:val="0007575D"/>
    <w:rsid w:val="0007580B"/>
    <w:rsid w:val="0007589F"/>
    <w:rsid w:val="00075921"/>
    <w:rsid w:val="0007596A"/>
    <w:rsid w:val="000759C5"/>
    <w:rsid w:val="00075C53"/>
    <w:rsid w:val="00075C94"/>
    <w:rsid w:val="00075CB0"/>
    <w:rsid w:val="00075CC3"/>
    <w:rsid w:val="00075CDC"/>
    <w:rsid w:val="00075E5F"/>
    <w:rsid w:val="00075E77"/>
    <w:rsid w:val="00075E87"/>
    <w:rsid w:val="00075EAA"/>
    <w:rsid w:val="00075F1D"/>
    <w:rsid w:val="00075FE1"/>
    <w:rsid w:val="00076084"/>
    <w:rsid w:val="000760F1"/>
    <w:rsid w:val="000760F3"/>
    <w:rsid w:val="00076135"/>
    <w:rsid w:val="000762A4"/>
    <w:rsid w:val="000763C8"/>
    <w:rsid w:val="00076441"/>
    <w:rsid w:val="00076445"/>
    <w:rsid w:val="00076487"/>
    <w:rsid w:val="00076512"/>
    <w:rsid w:val="00076540"/>
    <w:rsid w:val="0007659B"/>
    <w:rsid w:val="000765F0"/>
    <w:rsid w:val="00076629"/>
    <w:rsid w:val="00076667"/>
    <w:rsid w:val="000766D3"/>
    <w:rsid w:val="000766DD"/>
    <w:rsid w:val="0007675A"/>
    <w:rsid w:val="0007677B"/>
    <w:rsid w:val="0007687F"/>
    <w:rsid w:val="00076892"/>
    <w:rsid w:val="0007698F"/>
    <w:rsid w:val="000769A1"/>
    <w:rsid w:val="000769E4"/>
    <w:rsid w:val="00076A7F"/>
    <w:rsid w:val="00076ABC"/>
    <w:rsid w:val="00076B07"/>
    <w:rsid w:val="00076BC1"/>
    <w:rsid w:val="00076C56"/>
    <w:rsid w:val="00076C6D"/>
    <w:rsid w:val="00076CB9"/>
    <w:rsid w:val="00076D0A"/>
    <w:rsid w:val="00076F3B"/>
    <w:rsid w:val="000770A7"/>
    <w:rsid w:val="000771AB"/>
    <w:rsid w:val="000771C4"/>
    <w:rsid w:val="00077264"/>
    <w:rsid w:val="000772E9"/>
    <w:rsid w:val="000773C0"/>
    <w:rsid w:val="0007745D"/>
    <w:rsid w:val="00077473"/>
    <w:rsid w:val="00077481"/>
    <w:rsid w:val="000774DD"/>
    <w:rsid w:val="00077531"/>
    <w:rsid w:val="000775E1"/>
    <w:rsid w:val="00077671"/>
    <w:rsid w:val="000776F9"/>
    <w:rsid w:val="00077778"/>
    <w:rsid w:val="00077779"/>
    <w:rsid w:val="000778FA"/>
    <w:rsid w:val="00077951"/>
    <w:rsid w:val="00077B08"/>
    <w:rsid w:val="00077B9C"/>
    <w:rsid w:val="00077D4B"/>
    <w:rsid w:val="00077E1E"/>
    <w:rsid w:val="00077EDA"/>
    <w:rsid w:val="00077EE0"/>
    <w:rsid w:val="00077F38"/>
    <w:rsid w:val="00077FBE"/>
    <w:rsid w:val="00077FDA"/>
    <w:rsid w:val="00080026"/>
    <w:rsid w:val="00080154"/>
    <w:rsid w:val="000802DF"/>
    <w:rsid w:val="000802F9"/>
    <w:rsid w:val="00080420"/>
    <w:rsid w:val="00080451"/>
    <w:rsid w:val="0008057F"/>
    <w:rsid w:val="000805A7"/>
    <w:rsid w:val="00080621"/>
    <w:rsid w:val="00080634"/>
    <w:rsid w:val="00080750"/>
    <w:rsid w:val="00080943"/>
    <w:rsid w:val="00080957"/>
    <w:rsid w:val="0008095E"/>
    <w:rsid w:val="00080A41"/>
    <w:rsid w:val="00080A4C"/>
    <w:rsid w:val="00080AD8"/>
    <w:rsid w:val="00080B04"/>
    <w:rsid w:val="00080BD1"/>
    <w:rsid w:val="00080C15"/>
    <w:rsid w:val="00080CC2"/>
    <w:rsid w:val="00080DA1"/>
    <w:rsid w:val="00080DE7"/>
    <w:rsid w:val="00080DEB"/>
    <w:rsid w:val="00080E9D"/>
    <w:rsid w:val="00080F54"/>
    <w:rsid w:val="00080F73"/>
    <w:rsid w:val="00080FD9"/>
    <w:rsid w:val="00081067"/>
    <w:rsid w:val="00081238"/>
    <w:rsid w:val="00081252"/>
    <w:rsid w:val="00081342"/>
    <w:rsid w:val="00081382"/>
    <w:rsid w:val="0008143B"/>
    <w:rsid w:val="0008145A"/>
    <w:rsid w:val="0008162D"/>
    <w:rsid w:val="0008163E"/>
    <w:rsid w:val="000817EB"/>
    <w:rsid w:val="00081801"/>
    <w:rsid w:val="000818CE"/>
    <w:rsid w:val="000818F0"/>
    <w:rsid w:val="00081945"/>
    <w:rsid w:val="00081A8E"/>
    <w:rsid w:val="00081B5D"/>
    <w:rsid w:val="00081BE1"/>
    <w:rsid w:val="00081C82"/>
    <w:rsid w:val="00081D16"/>
    <w:rsid w:val="00081D8C"/>
    <w:rsid w:val="00081DBB"/>
    <w:rsid w:val="00081EC7"/>
    <w:rsid w:val="00081F67"/>
    <w:rsid w:val="00082005"/>
    <w:rsid w:val="00082100"/>
    <w:rsid w:val="000821A9"/>
    <w:rsid w:val="000821C6"/>
    <w:rsid w:val="00082340"/>
    <w:rsid w:val="0008240C"/>
    <w:rsid w:val="00082433"/>
    <w:rsid w:val="00082467"/>
    <w:rsid w:val="0008248F"/>
    <w:rsid w:val="000824DF"/>
    <w:rsid w:val="000824E5"/>
    <w:rsid w:val="000825A6"/>
    <w:rsid w:val="000825EC"/>
    <w:rsid w:val="0008260B"/>
    <w:rsid w:val="000826B7"/>
    <w:rsid w:val="0008276A"/>
    <w:rsid w:val="000827A8"/>
    <w:rsid w:val="000827E1"/>
    <w:rsid w:val="0008280B"/>
    <w:rsid w:val="0008286D"/>
    <w:rsid w:val="00082948"/>
    <w:rsid w:val="000829D2"/>
    <w:rsid w:val="00082ADD"/>
    <w:rsid w:val="00082BB0"/>
    <w:rsid w:val="00082BCC"/>
    <w:rsid w:val="00082BD8"/>
    <w:rsid w:val="00082CA0"/>
    <w:rsid w:val="00082CF8"/>
    <w:rsid w:val="00082D62"/>
    <w:rsid w:val="00082E4B"/>
    <w:rsid w:val="00082F0D"/>
    <w:rsid w:val="00082F69"/>
    <w:rsid w:val="00082FBE"/>
    <w:rsid w:val="00083027"/>
    <w:rsid w:val="00083031"/>
    <w:rsid w:val="000831C8"/>
    <w:rsid w:val="000833B5"/>
    <w:rsid w:val="00083420"/>
    <w:rsid w:val="000834B4"/>
    <w:rsid w:val="00083593"/>
    <w:rsid w:val="000835A7"/>
    <w:rsid w:val="00083708"/>
    <w:rsid w:val="00083735"/>
    <w:rsid w:val="00083931"/>
    <w:rsid w:val="00083977"/>
    <w:rsid w:val="00083981"/>
    <w:rsid w:val="00083999"/>
    <w:rsid w:val="00083A06"/>
    <w:rsid w:val="00083AFE"/>
    <w:rsid w:val="00083CB4"/>
    <w:rsid w:val="00083CCB"/>
    <w:rsid w:val="00083CF0"/>
    <w:rsid w:val="00083D0C"/>
    <w:rsid w:val="00083D31"/>
    <w:rsid w:val="00083DC2"/>
    <w:rsid w:val="00083E7D"/>
    <w:rsid w:val="00083E8E"/>
    <w:rsid w:val="00083ECC"/>
    <w:rsid w:val="00083F38"/>
    <w:rsid w:val="00083F5E"/>
    <w:rsid w:val="0008405A"/>
    <w:rsid w:val="000840E7"/>
    <w:rsid w:val="0008412D"/>
    <w:rsid w:val="000841A0"/>
    <w:rsid w:val="000841A9"/>
    <w:rsid w:val="000841DA"/>
    <w:rsid w:val="000841E9"/>
    <w:rsid w:val="000842AD"/>
    <w:rsid w:val="000843C6"/>
    <w:rsid w:val="000843E6"/>
    <w:rsid w:val="0008451E"/>
    <w:rsid w:val="000845C8"/>
    <w:rsid w:val="000845E6"/>
    <w:rsid w:val="00084762"/>
    <w:rsid w:val="0008476A"/>
    <w:rsid w:val="000847D2"/>
    <w:rsid w:val="00084923"/>
    <w:rsid w:val="00084950"/>
    <w:rsid w:val="000849AF"/>
    <w:rsid w:val="00084A9A"/>
    <w:rsid w:val="00084B63"/>
    <w:rsid w:val="00084C84"/>
    <w:rsid w:val="00084DB0"/>
    <w:rsid w:val="00084E2B"/>
    <w:rsid w:val="00084F15"/>
    <w:rsid w:val="00084F22"/>
    <w:rsid w:val="00084F61"/>
    <w:rsid w:val="00084FDB"/>
    <w:rsid w:val="00085022"/>
    <w:rsid w:val="0008505A"/>
    <w:rsid w:val="0008505C"/>
    <w:rsid w:val="00085067"/>
    <w:rsid w:val="00085139"/>
    <w:rsid w:val="00085158"/>
    <w:rsid w:val="000851AC"/>
    <w:rsid w:val="000851D0"/>
    <w:rsid w:val="00085296"/>
    <w:rsid w:val="0008537B"/>
    <w:rsid w:val="00085450"/>
    <w:rsid w:val="00085465"/>
    <w:rsid w:val="0008556C"/>
    <w:rsid w:val="00085574"/>
    <w:rsid w:val="000855D4"/>
    <w:rsid w:val="00085996"/>
    <w:rsid w:val="0008599C"/>
    <w:rsid w:val="000859C9"/>
    <w:rsid w:val="00085AC8"/>
    <w:rsid w:val="00085B34"/>
    <w:rsid w:val="00085B89"/>
    <w:rsid w:val="00085BEB"/>
    <w:rsid w:val="00085C1B"/>
    <w:rsid w:val="00085C46"/>
    <w:rsid w:val="00085CC8"/>
    <w:rsid w:val="00085CFA"/>
    <w:rsid w:val="00085DF1"/>
    <w:rsid w:val="00085F74"/>
    <w:rsid w:val="00086064"/>
    <w:rsid w:val="00086109"/>
    <w:rsid w:val="000862BE"/>
    <w:rsid w:val="00086355"/>
    <w:rsid w:val="00086396"/>
    <w:rsid w:val="000863F9"/>
    <w:rsid w:val="00086497"/>
    <w:rsid w:val="000864F5"/>
    <w:rsid w:val="0008651A"/>
    <w:rsid w:val="0008652F"/>
    <w:rsid w:val="000866A6"/>
    <w:rsid w:val="000866DD"/>
    <w:rsid w:val="00086721"/>
    <w:rsid w:val="000867AD"/>
    <w:rsid w:val="000867C0"/>
    <w:rsid w:val="00086819"/>
    <w:rsid w:val="0008686A"/>
    <w:rsid w:val="00086941"/>
    <w:rsid w:val="00086B0F"/>
    <w:rsid w:val="00086D45"/>
    <w:rsid w:val="00086D70"/>
    <w:rsid w:val="00086D86"/>
    <w:rsid w:val="00086E28"/>
    <w:rsid w:val="00086E4B"/>
    <w:rsid w:val="00086F2A"/>
    <w:rsid w:val="00087006"/>
    <w:rsid w:val="00087125"/>
    <w:rsid w:val="0008712C"/>
    <w:rsid w:val="00087155"/>
    <w:rsid w:val="00087175"/>
    <w:rsid w:val="00087193"/>
    <w:rsid w:val="00087195"/>
    <w:rsid w:val="000871AC"/>
    <w:rsid w:val="000871C4"/>
    <w:rsid w:val="000871E2"/>
    <w:rsid w:val="000872C4"/>
    <w:rsid w:val="00087449"/>
    <w:rsid w:val="0008756B"/>
    <w:rsid w:val="0008770E"/>
    <w:rsid w:val="00087748"/>
    <w:rsid w:val="0008776A"/>
    <w:rsid w:val="000877D2"/>
    <w:rsid w:val="0008790B"/>
    <w:rsid w:val="0008793C"/>
    <w:rsid w:val="00087941"/>
    <w:rsid w:val="00087948"/>
    <w:rsid w:val="0008797B"/>
    <w:rsid w:val="000879D4"/>
    <w:rsid w:val="00087A5C"/>
    <w:rsid w:val="00087B8B"/>
    <w:rsid w:val="00087BBE"/>
    <w:rsid w:val="00087CC8"/>
    <w:rsid w:val="00087D0B"/>
    <w:rsid w:val="00087D35"/>
    <w:rsid w:val="00087D99"/>
    <w:rsid w:val="00087DF4"/>
    <w:rsid w:val="00087E33"/>
    <w:rsid w:val="00087F29"/>
    <w:rsid w:val="00087F54"/>
    <w:rsid w:val="00087F6F"/>
    <w:rsid w:val="00087FDD"/>
    <w:rsid w:val="00087FED"/>
    <w:rsid w:val="00090037"/>
    <w:rsid w:val="00090066"/>
    <w:rsid w:val="0009020B"/>
    <w:rsid w:val="00090339"/>
    <w:rsid w:val="0009034E"/>
    <w:rsid w:val="0009037E"/>
    <w:rsid w:val="000903B8"/>
    <w:rsid w:val="00090486"/>
    <w:rsid w:val="00090494"/>
    <w:rsid w:val="000904EF"/>
    <w:rsid w:val="00090529"/>
    <w:rsid w:val="00090548"/>
    <w:rsid w:val="00090575"/>
    <w:rsid w:val="000906B2"/>
    <w:rsid w:val="000906BE"/>
    <w:rsid w:val="000906FD"/>
    <w:rsid w:val="000907A9"/>
    <w:rsid w:val="000907D7"/>
    <w:rsid w:val="00090841"/>
    <w:rsid w:val="000908AA"/>
    <w:rsid w:val="000908EB"/>
    <w:rsid w:val="000908F6"/>
    <w:rsid w:val="00090A8C"/>
    <w:rsid w:val="00090AB9"/>
    <w:rsid w:val="00090AF2"/>
    <w:rsid w:val="00090B0C"/>
    <w:rsid w:val="00090B3E"/>
    <w:rsid w:val="00090BB9"/>
    <w:rsid w:val="00090CD5"/>
    <w:rsid w:val="00090E20"/>
    <w:rsid w:val="00090E27"/>
    <w:rsid w:val="00090E42"/>
    <w:rsid w:val="00090EE9"/>
    <w:rsid w:val="00090F94"/>
    <w:rsid w:val="00090FEA"/>
    <w:rsid w:val="0009114D"/>
    <w:rsid w:val="000911E8"/>
    <w:rsid w:val="000913D0"/>
    <w:rsid w:val="00091402"/>
    <w:rsid w:val="0009140D"/>
    <w:rsid w:val="0009148E"/>
    <w:rsid w:val="00091494"/>
    <w:rsid w:val="000914B0"/>
    <w:rsid w:val="00091554"/>
    <w:rsid w:val="00091608"/>
    <w:rsid w:val="000916AE"/>
    <w:rsid w:val="00091796"/>
    <w:rsid w:val="00091799"/>
    <w:rsid w:val="000917F6"/>
    <w:rsid w:val="00091801"/>
    <w:rsid w:val="000918D9"/>
    <w:rsid w:val="00091904"/>
    <w:rsid w:val="00091917"/>
    <w:rsid w:val="000919E6"/>
    <w:rsid w:val="000919E9"/>
    <w:rsid w:val="00091A0C"/>
    <w:rsid w:val="00091A0E"/>
    <w:rsid w:val="00091B42"/>
    <w:rsid w:val="00091BA2"/>
    <w:rsid w:val="00091C04"/>
    <w:rsid w:val="00091C36"/>
    <w:rsid w:val="00091C6B"/>
    <w:rsid w:val="00091CB0"/>
    <w:rsid w:val="00091D2A"/>
    <w:rsid w:val="00091DDC"/>
    <w:rsid w:val="00091DF7"/>
    <w:rsid w:val="00091E00"/>
    <w:rsid w:val="00091ECA"/>
    <w:rsid w:val="00091EE6"/>
    <w:rsid w:val="00091F40"/>
    <w:rsid w:val="00091F6C"/>
    <w:rsid w:val="000920CF"/>
    <w:rsid w:val="0009210D"/>
    <w:rsid w:val="000921FF"/>
    <w:rsid w:val="00092241"/>
    <w:rsid w:val="0009229B"/>
    <w:rsid w:val="000922F7"/>
    <w:rsid w:val="0009231D"/>
    <w:rsid w:val="0009231E"/>
    <w:rsid w:val="0009239F"/>
    <w:rsid w:val="000923A3"/>
    <w:rsid w:val="000923AA"/>
    <w:rsid w:val="000923D5"/>
    <w:rsid w:val="0009244A"/>
    <w:rsid w:val="0009256F"/>
    <w:rsid w:val="000925DD"/>
    <w:rsid w:val="000926F7"/>
    <w:rsid w:val="000926FF"/>
    <w:rsid w:val="000927BB"/>
    <w:rsid w:val="000927CC"/>
    <w:rsid w:val="00092901"/>
    <w:rsid w:val="000929FF"/>
    <w:rsid w:val="00092BC8"/>
    <w:rsid w:val="00092BE6"/>
    <w:rsid w:val="00092BF2"/>
    <w:rsid w:val="00092C13"/>
    <w:rsid w:val="00092EBB"/>
    <w:rsid w:val="00092EE4"/>
    <w:rsid w:val="00092F12"/>
    <w:rsid w:val="00092F53"/>
    <w:rsid w:val="00092F8A"/>
    <w:rsid w:val="0009300A"/>
    <w:rsid w:val="0009305B"/>
    <w:rsid w:val="0009308A"/>
    <w:rsid w:val="000932B2"/>
    <w:rsid w:val="000932E3"/>
    <w:rsid w:val="00093335"/>
    <w:rsid w:val="00093343"/>
    <w:rsid w:val="0009337F"/>
    <w:rsid w:val="00093439"/>
    <w:rsid w:val="00093482"/>
    <w:rsid w:val="00093524"/>
    <w:rsid w:val="00093542"/>
    <w:rsid w:val="00093581"/>
    <w:rsid w:val="000935C4"/>
    <w:rsid w:val="00093636"/>
    <w:rsid w:val="000936E4"/>
    <w:rsid w:val="00093705"/>
    <w:rsid w:val="000937BA"/>
    <w:rsid w:val="00093870"/>
    <w:rsid w:val="000938BA"/>
    <w:rsid w:val="00093938"/>
    <w:rsid w:val="00093944"/>
    <w:rsid w:val="000939C0"/>
    <w:rsid w:val="000939F7"/>
    <w:rsid w:val="00093ACF"/>
    <w:rsid w:val="00093B0D"/>
    <w:rsid w:val="00093B15"/>
    <w:rsid w:val="00093B32"/>
    <w:rsid w:val="00093C95"/>
    <w:rsid w:val="00093CF4"/>
    <w:rsid w:val="00093D28"/>
    <w:rsid w:val="00093D4C"/>
    <w:rsid w:val="00093FE1"/>
    <w:rsid w:val="00094048"/>
    <w:rsid w:val="0009407C"/>
    <w:rsid w:val="000941FB"/>
    <w:rsid w:val="000942B7"/>
    <w:rsid w:val="000942F5"/>
    <w:rsid w:val="00094344"/>
    <w:rsid w:val="00094355"/>
    <w:rsid w:val="0009438C"/>
    <w:rsid w:val="000944AE"/>
    <w:rsid w:val="000944EA"/>
    <w:rsid w:val="000945A3"/>
    <w:rsid w:val="00094686"/>
    <w:rsid w:val="000946EE"/>
    <w:rsid w:val="000946F1"/>
    <w:rsid w:val="0009474F"/>
    <w:rsid w:val="00094798"/>
    <w:rsid w:val="000947D5"/>
    <w:rsid w:val="000949AB"/>
    <w:rsid w:val="000949C7"/>
    <w:rsid w:val="00094B3B"/>
    <w:rsid w:val="00094CCD"/>
    <w:rsid w:val="00094D8F"/>
    <w:rsid w:val="0009506A"/>
    <w:rsid w:val="00095077"/>
    <w:rsid w:val="000950EA"/>
    <w:rsid w:val="00095180"/>
    <w:rsid w:val="000951A6"/>
    <w:rsid w:val="000951BC"/>
    <w:rsid w:val="00095269"/>
    <w:rsid w:val="00095346"/>
    <w:rsid w:val="0009536B"/>
    <w:rsid w:val="000953C6"/>
    <w:rsid w:val="000953F4"/>
    <w:rsid w:val="000955A4"/>
    <w:rsid w:val="000955B6"/>
    <w:rsid w:val="000955BF"/>
    <w:rsid w:val="000955C0"/>
    <w:rsid w:val="00095737"/>
    <w:rsid w:val="000957BA"/>
    <w:rsid w:val="0009590C"/>
    <w:rsid w:val="000959E7"/>
    <w:rsid w:val="00095A19"/>
    <w:rsid w:val="00095A82"/>
    <w:rsid w:val="00095AA4"/>
    <w:rsid w:val="00095AA7"/>
    <w:rsid w:val="00095BCD"/>
    <w:rsid w:val="00095C0A"/>
    <w:rsid w:val="00095C12"/>
    <w:rsid w:val="00095D52"/>
    <w:rsid w:val="00095D5E"/>
    <w:rsid w:val="00095D91"/>
    <w:rsid w:val="00095E7D"/>
    <w:rsid w:val="00095EED"/>
    <w:rsid w:val="00095F10"/>
    <w:rsid w:val="00095FC2"/>
    <w:rsid w:val="00096029"/>
    <w:rsid w:val="00096031"/>
    <w:rsid w:val="0009607A"/>
    <w:rsid w:val="000960A3"/>
    <w:rsid w:val="00096284"/>
    <w:rsid w:val="000964DE"/>
    <w:rsid w:val="000965AA"/>
    <w:rsid w:val="000965D4"/>
    <w:rsid w:val="00096A4B"/>
    <w:rsid w:val="00096A79"/>
    <w:rsid w:val="00096B12"/>
    <w:rsid w:val="00096B55"/>
    <w:rsid w:val="00096CCB"/>
    <w:rsid w:val="00096CDB"/>
    <w:rsid w:val="00096D55"/>
    <w:rsid w:val="00096E28"/>
    <w:rsid w:val="00096EFE"/>
    <w:rsid w:val="00097018"/>
    <w:rsid w:val="00097024"/>
    <w:rsid w:val="000970F2"/>
    <w:rsid w:val="00097192"/>
    <w:rsid w:val="0009719E"/>
    <w:rsid w:val="000971D0"/>
    <w:rsid w:val="00097214"/>
    <w:rsid w:val="000972AB"/>
    <w:rsid w:val="00097309"/>
    <w:rsid w:val="00097319"/>
    <w:rsid w:val="00097339"/>
    <w:rsid w:val="00097346"/>
    <w:rsid w:val="000973D1"/>
    <w:rsid w:val="00097404"/>
    <w:rsid w:val="000974A8"/>
    <w:rsid w:val="000974F9"/>
    <w:rsid w:val="000975D0"/>
    <w:rsid w:val="000975FF"/>
    <w:rsid w:val="00097760"/>
    <w:rsid w:val="000977F3"/>
    <w:rsid w:val="00097873"/>
    <w:rsid w:val="00097875"/>
    <w:rsid w:val="0009789E"/>
    <w:rsid w:val="00097935"/>
    <w:rsid w:val="00097960"/>
    <w:rsid w:val="00097A10"/>
    <w:rsid w:val="00097B2A"/>
    <w:rsid w:val="00097B40"/>
    <w:rsid w:val="00097BE1"/>
    <w:rsid w:val="00097C4D"/>
    <w:rsid w:val="00097CEB"/>
    <w:rsid w:val="00097D0E"/>
    <w:rsid w:val="00097D5E"/>
    <w:rsid w:val="00097DE2"/>
    <w:rsid w:val="00097DFB"/>
    <w:rsid w:val="00097E71"/>
    <w:rsid w:val="00097EF3"/>
    <w:rsid w:val="000A00B7"/>
    <w:rsid w:val="000A00FD"/>
    <w:rsid w:val="000A017B"/>
    <w:rsid w:val="000A018D"/>
    <w:rsid w:val="000A01DA"/>
    <w:rsid w:val="000A0416"/>
    <w:rsid w:val="000A057C"/>
    <w:rsid w:val="000A05DA"/>
    <w:rsid w:val="000A0633"/>
    <w:rsid w:val="000A0737"/>
    <w:rsid w:val="000A0769"/>
    <w:rsid w:val="000A079D"/>
    <w:rsid w:val="000A07CC"/>
    <w:rsid w:val="000A084A"/>
    <w:rsid w:val="000A08A9"/>
    <w:rsid w:val="000A095D"/>
    <w:rsid w:val="000A0976"/>
    <w:rsid w:val="000A09E0"/>
    <w:rsid w:val="000A09F3"/>
    <w:rsid w:val="000A0A54"/>
    <w:rsid w:val="000A0B43"/>
    <w:rsid w:val="000A0D74"/>
    <w:rsid w:val="000A0DC9"/>
    <w:rsid w:val="000A0E0A"/>
    <w:rsid w:val="000A0E7B"/>
    <w:rsid w:val="000A0E89"/>
    <w:rsid w:val="000A0E9A"/>
    <w:rsid w:val="000A0EC9"/>
    <w:rsid w:val="000A0F5A"/>
    <w:rsid w:val="000A0F8D"/>
    <w:rsid w:val="000A0FA6"/>
    <w:rsid w:val="000A0FF0"/>
    <w:rsid w:val="000A10D0"/>
    <w:rsid w:val="000A10DB"/>
    <w:rsid w:val="000A10F2"/>
    <w:rsid w:val="000A1116"/>
    <w:rsid w:val="000A1119"/>
    <w:rsid w:val="000A1124"/>
    <w:rsid w:val="000A11F6"/>
    <w:rsid w:val="000A126A"/>
    <w:rsid w:val="000A126C"/>
    <w:rsid w:val="000A12E0"/>
    <w:rsid w:val="000A1306"/>
    <w:rsid w:val="000A1423"/>
    <w:rsid w:val="000A153E"/>
    <w:rsid w:val="000A157C"/>
    <w:rsid w:val="000A1603"/>
    <w:rsid w:val="000A163D"/>
    <w:rsid w:val="000A16D3"/>
    <w:rsid w:val="000A1741"/>
    <w:rsid w:val="000A176D"/>
    <w:rsid w:val="000A17DE"/>
    <w:rsid w:val="000A17EA"/>
    <w:rsid w:val="000A1877"/>
    <w:rsid w:val="000A188A"/>
    <w:rsid w:val="000A1A0B"/>
    <w:rsid w:val="000A1B0D"/>
    <w:rsid w:val="000A1C10"/>
    <w:rsid w:val="000A1C7A"/>
    <w:rsid w:val="000A1CB4"/>
    <w:rsid w:val="000A1DD8"/>
    <w:rsid w:val="000A1E13"/>
    <w:rsid w:val="000A1E62"/>
    <w:rsid w:val="000A1EC8"/>
    <w:rsid w:val="000A1EDB"/>
    <w:rsid w:val="000A2060"/>
    <w:rsid w:val="000A2201"/>
    <w:rsid w:val="000A227D"/>
    <w:rsid w:val="000A22F6"/>
    <w:rsid w:val="000A2345"/>
    <w:rsid w:val="000A2394"/>
    <w:rsid w:val="000A23A6"/>
    <w:rsid w:val="000A24B7"/>
    <w:rsid w:val="000A2782"/>
    <w:rsid w:val="000A2821"/>
    <w:rsid w:val="000A2838"/>
    <w:rsid w:val="000A29D1"/>
    <w:rsid w:val="000A2A03"/>
    <w:rsid w:val="000A2B66"/>
    <w:rsid w:val="000A2CE1"/>
    <w:rsid w:val="000A2D68"/>
    <w:rsid w:val="000A2E44"/>
    <w:rsid w:val="000A2ED2"/>
    <w:rsid w:val="000A2FC6"/>
    <w:rsid w:val="000A2FF2"/>
    <w:rsid w:val="000A2FFA"/>
    <w:rsid w:val="000A30B1"/>
    <w:rsid w:val="000A30DE"/>
    <w:rsid w:val="000A3103"/>
    <w:rsid w:val="000A31C1"/>
    <w:rsid w:val="000A3225"/>
    <w:rsid w:val="000A32AC"/>
    <w:rsid w:val="000A32C5"/>
    <w:rsid w:val="000A32FA"/>
    <w:rsid w:val="000A3385"/>
    <w:rsid w:val="000A33AC"/>
    <w:rsid w:val="000A3411"/>
    <w:rsid w:val="000A34CA"/>
    <w:rsid w:val="000A34E8"/>
    <w:rsid w:val="000A34F2"/>
    <w:rsid w:val="000A3559"/>
    <w:rsid w:val="000A35AA"/>
    <w:rsid w:val="000A35D8"/>
    <w:rsid w:val="000A362E"/>
    <w:rsid w:val="000A3690"/>
    <w:rsid w:val="000A392A"/>
    <w:rsid w:val="000A3A63"/>
    <w:rsid w:val="000A3B1F"/>
    <w:rsid w:val="000A3B8F"/>
    <w:rsid w:val="000A3C18"/>
    <w:rsid w:val="000A3C75"/>
    <w:rsid w:val="000A3D2E"/>
    <w:rsid w:val="000A3D8C"/>
    <w:rsid w:val="000A3DF2"/>
    <w:rsid w:val="000A3E04"/>
    <w:rsid w:val="000A3FE3"/>
    <w:rsid w:val="000A40D3"/>
    <w:rsid w:val="000A40DE"/>
    <w:rsid w:val="000A4139"/>
    <w:rsid w:val="000A41AA"/>
    <w:rsid w:val="000A426F"/>
    <w:rsid w:val="000A4298"/>
    <w:rsid w:val="000A43EE"/>
    <w:rsid w:val="000A4493"/>
    <w:rsid w:val="000A44D9"/>
    <w:rsid w:val="000A4559"/>
    <w:rsid w:val="000A45FD"/>
    <w:rsid w:val="000A4610"/>
    <w:rsid w:val="000A46EC"/>
    <w:rsid w:val="000A477B"/>
    <w:rsid w:val="000A47A4"/>
    <w:rsid w:val="000A47ED"/>
    <w:rsid w:val="000A4807"/>
    <w:rsid w:val="000A48D7"/>
    <w:rsid w:val="000A4900"/>
    <w:rsid w:val="000A4978"/>
    <w:rsid w:val="000A4A42"/>
    <w:rsid w:val="000A4AF3"/>
    <w:rsid w:val="000A4B03"/>
    <w:rsid w:val="000A4B42"/>
    <w:rsid w:val="000A4C7E"/>
    <w:rsid w:val="000A4E11"/>
    <w:rsid w:val="000A4F16"/>
    <w:rsid w:val="000A4F8E"/>
    <w:rsid w:val="000A4FEA"/>
    <w:rsid w:val="000A5034"/>
    <w:rsid w:val="000A505A"/>
    <w:rsid w:val="000A506F"/>
    <w:rsid w:val="000A5125"/>
    <w:rsid w:val="000A51F7"/>
    <w:rsid w:val="000A5204"/>
    <w:rsid w:val="000A5353"/>
    <w:rsid w:val="000A53CD"/>
    <w:rsid w:val="000A53EA"/>
    <w:rsid w:val="000A557B"/>
    <w:rsid w:val="000A5585"/>
    <w:rsid w:val="000A558D"/>
    <w:rsid w:val="000A55BE"/>
    <w:rsid w:val="000A55F1"/>
    <w:rsid w:val="000A5611"/>
    <w:rsid w:val="000A563C"/>
    <w:rsid w:val="000A5687"/>
    <w:rsid w:val="000A5695"/>
    <w:rsid w:val="000A5802"/>
    <w:rsid w:val="000A583C"/>
    <w:rsid w:val="000A589C"/>
    <w:rsid w:val="000A59C5"/>
    <w:rsid w:val="000A5A35"/>
    <w:rsid w:val="000A5AE5"/>
    <w:rsid w:val="000A5AF5"/>
    <w:rsid w:val="000A5BF3"/>
    <w:rsid w:val="000A5C4B"/>
    <w:rsid w:val="000A5C65"/>
    <w:rsid w:val="000A5D08"/>
    <w:rsid w:val="000A5D1C"/>
    <w:rsid w:val="000A5D30"/>
    <w:rsid w:val="000A5D82"/>
    <w:rsid w:val="000A5DEA"/>
    <w:rsid w:val="000A5E04"/>
    <w:rsid w:val="000A5E71"/>
    <w:rsid w:val="000A5EBD"/>
    <w:rsid w:val="000A5EE2"/>
    <w:rsid w:val="000A5F0A"/>
    <w:rsid w:val="000A5F1C"/>
    <w:rsid w:val="000A5F78"/>
    <w:rsid w:val="000A5FF7"/>
    <w:rsid w:val="000A6005"/>
    <w:rsid w:val="000A606A"/>
    <w:rsid w:val="000A60C9"/>
    <w:rsid w:val="000A60E0"/>
    <w:rsid w:val="000A628A"/>
    <w:rsid w:val="000A62D0"/>
    <w:rsid w:val="000A62EC"/>
    <w:rsid w:val="000A62F8"/>
    <w:rsid w:val="000A634E"/>
    <w:rsid w:val="000A64BC"/>
    <w:rsid w:val="000A64FE"/>
    <w:rsid w:val="000A657F"/>
    <w:rsid w:val="000A65A5"/>
    <w:rsid w:val="000A6655"/>
    <w:rsid w:val="000A6685"/>
    <w:rsid w:val="000A673C"/>
    <w:rsid w:val="000A6755"/>
    <w:rsid w:val="000A6779"/>
    <w:rsid w:val="000A68B9"/>
    <w:rsid w:val="000A68D7"/>
    <w:rsid w:val="000A6983"/>
    <w:rsid w:val="000A69F3"/>
    <w:rsid w:val="000A6A30"/>
    <w:rsid w:val="000A6A37"/>
    <w:rsid w:val="000A6A54"/>
    <w:rsid w:val="000A6A91"/>
    <w:rsid w:val="000A6AEE"/>
    <w:rsid w:val="000A6BD0"/>
    <w:rsid w:val="000A6C99"/>
    <w:rsid w:val="000A6CEE"/>
    <w:rsid w:val="000A6D8A"/>
    <w:rsid w:val="000A6EE2"/>
    <w:rsid w:val="000A7002"/>
    <w:rsid w:val="000A7092"/>
    <w:rsid w:val="000A70DA"/>
    <w:rsid w:val="000A7144"/>
    <w:rsid w:val="000A7156"/>
    <w:rsid w:val="000A7209"/>
    <w:rsid w:val="000A7247"/>
    <w:rsid w:val="000A73A2"/>
    <w:rsid w:val="000A73E9"/>
    <w:rsid w:val="000A753D"/>
    <w:rsid w:val="000A7577"/>
    <w:rsid w:val="000A757D"/>
    <w:rsid w:val="000A7581"/>
    <w:rsid w:val="000A7658"/>
    <w:rsid w:val="000A76E0"/>
    <w:rsid w:val="000A7793"/>
    <w:rsid w:val="000A77D1"/>
    <w:rsid w:val="000A782F"/>
    <w:rsid w:val="000A78B2"/>
    <w:rsid w:val="000A78BC"/>
    <w:rsid w:val="000A791A"/>
    <w:rsid w:val="000A797C"/>
    <w:rsid w:val="000A79FF"/>
    <w:rsid w:val="000A7A4D"/>
    <w:rsid w:val="000A7A98"/>
    <w:rsid w:val="000A7ABD"/>
    <w:rsid w:val="000A7AD6"/>
    <w:rsid w:val="000A7C0B"/>
    <w:rsid w:val="000A7C41"/>
    <w:rsid w:val="000A7C5E"/>
    <w:rsid w:val="000A7D48"/>
    <w:rsid w:val="000A7D53"/>
    <w:rsid w:val="000A7D66"/>
    <w:rsid w:val="000A7D7F"/>
    <w:rsid w:val="000A7E17"/>
    <w:rsid w:val="000A7E36"/>
    <w:rsid w:val="000A7EDE"/>
    <w:rsid w:val="000A7F0F"/>
    <w:rsid w:val="000A7F1B"/>
    <w:rsid w:val="000A7F32"/>
    <w:rsid w:val="000A7F4C"/>
    <w:rsid w:val="000B00E6"/>
    <w:rsid w:val="000B014D"/>
    <w:rsid w:val="000B0152"/>
    <w:rsid w:val="000B01A5"/>
    <w:rsid w:val="000B01A7"/>
    <w:rsid w:val="000B01AB"/>
    <w:rsid w:val="000B02BC"/>
    <w:rsid w:val="000B03D7"/>
    <w:rsid w:val="000B03E6"/>
    <w:rsid w:val="000B0498"/>
    <w:rsid w:val="000B04BE"/>
    <w:rsid w:val="000B04EE"/>
    <w:rsid w:val="000B0766"/>
    <w:rsid w:val="000B0773"/>
    <w:rsid w:val="000B0803"/>
    <w:rsid w:val="000B08CA"/>
    <w:rsid w:val="000B08D4"/>
    <w:rsid w:val="000B08D7"/>
    <w:rsid w:val="000B0950"/>
    <w:rsid w:val="000B0A05"/>
    <w:rsid w:val="000B0AAF"/>
    <w:rsid w:val="000B0B38"/>
    <w:rsid w:val="000B0C47"/>
    <w:rsid w:val="000B0C5F"/>
    <w:rsid w:val="000B0D2F"/>
    <w:rsid w:val="000B0EB6"/>
    <w:rsid w:val="000B0ED8"/>
    <w:rsid w:val="000B0F00"/>
    <w:rsid w:val="000B0F22"/>
    <w:rsid w:val="000B0F36"/>
    <w:rsid w:val="000B0FA0"/>
    <w:rsid w:val="000B0FEA"/>
    <w:rsid w:val="000B118B"/>
    <w:rsid w:val="000B1208"/>
    <w:rsid w:val="000B1239"/>
    <w:rsid w:val="000B1365"/>
    <w:rsid w:val="000B144D"/>
    <w:rsid w:val="000B1459"/>
    <w:rsid w:val="000B15BD"/>
    <w:rsid w:val="000B166C"/>
    <w:rsid w:val="000B1674"/>
    <w:rsid w:val="000B1685"/>
    <w:rsid w:val="000B16F7"/>
    <w:rsid w:val="000B170D"/>
    <w:rsid w:val="000B179F"/>
    <w:rsid w:val="000B17B7"/>
    <w:rsid w:val="000B18F9"/>
    <w:rsid w:val="000B1903"/>
    <w:rsid w:val="000B1942"/>
    <w:rsid w:val="000B19B1"/>
    <w:rsid w:val="000B1A1C"/>
    <w:rsid w:val="000B1A34"/>
    <w:rsid w:val="000B1AC8"/>
    <w:rsid w:val="000B1B06"/>
    <w:rsid w:val="000B1BE7"/>
    <w:rsid w:val="000B1BED"/>
    <w:rsid w:val="000B1E0C"/>
    <w:rsid w:val="000B1E1E"/>
    <w:rsid w:val="000B1EA9"/>
    <w:rsid w:val="000B1EEB"/>
    <w:rsid w:val="000B1F6A"/>
    <w:rsid w:val="000B2179"/>
    <w:rsid w:val="000B218E"/>
    <w:rsid w:val="000B2190"/>
    <w:rsid w:val="000B21D1"/>
    <w:rsid w:val="000B21FB"/>
    <w:rsid w:val="000B2240"/>
    <w:rsid w:val="000B2270"/>
    <w:rsid w:val="000B2355"/>
    <w:rsid w:val="000B23D3"/>
    <w:rsid w:val="000B2458"/>
    <w:rsid w:val="000B2477"/>
    <w:rsid w:val="000B24DB"/>
    <w:rsid w:val="000B2518"/>
    <w:rsid w:val="000B25EE"/>
    <w:rsid w:val="000B2600"/>
    <w:rsid w:val="000B2616"/>
    <w:rsid w:val="000B2696"/>
    <w:rsid w:val="000B26CD"/>
    <w:rsid w:val="000B2726"/>
    <w:rsid w:val="000B274B"/>
    <w:rsid w:val="000B2778"/>
    <w:rsid w:val="000B2847"/>
    <w:rsid w:val="000B284E"/>
    <w:rsid w:val="000B294A"/>
    <w:rsid w:val="000B2C11"/>
    <w:rsid w:val="000B2C31"/>
    <w:rsid w:val="000B2C3F"/>
    <w:rsid w:val="000B2D2B"/>
    <w:rsid w:val="000B2D84"/>
    <w:rsid w:val="000B2D93"/>
    <w:rsid w:val="000B2E2A"/>
    <w:rsid w:val="000B2F50"/>
    <w:rsid w:val="000B2FF9"/>
    <w:rsid w:val="000B3087"/>
    <w:rsid w:val="000B30FA"/>
    <w:rsid w:val="000B312B"/>
    <w:rsid w:val="000B318A"/>
    <w:rsid w:val="000B319F"/>
    <w:rsid w:val="000B3232"/>
    <w:rsid w:val="000B3433"/>
    <w:rsid w:val="000B366E"/>
    <w:rsid w:val="000B36F9"/>
    <w:rsid w:val="000B373B"/>
    <w:rsid w:val="000B375A"/>
    <w:rsid w:val="000B3816"/>
    <w:rsid w:val="000B3922"/>
    <w:rsid w:val="000B39F4"/>
    <w:rsid w:val="000B3A2D"/>
    <w:rsid w:val="000B3A51"/>
    <w:rsid w:val="000B3BC3"/>
    <w:rsid w:val="000B3CBC"/>
    <w:rsid w:val="000B3CEE"/>
    <w:rsid w:val="000B3D74"/>
    <w:rsid w:val="000B3D7B"/>
    <w:rsid w:val="000B3DBC"/>
    <w:rsid w:val="000B3E35"/>
    <w:rsid w:val="000B3E3F"/>
    <w:rsid w:val="000B3E79"/>
    <w:rsid w:val="000B3ED2"/>
    <w:rsid w:val="000B3ED8"/>
    <w:rsid w:val="000B3EEA"/>
    <w:rsid w:val="000B3F1B"/>
    <w:rsid w:val="000B3F4D"/>
    <w:rsid w:val="000B3F9E"/>
    <w:rsid w:val="000B4015"/>
    <w:rsid w:val="000B4028"/>
    <w:rsid w:val="000B4074"/>
    <w:rsid w:val="000B4088"/>
    <w:rsid w:val="000B40DB"/>
    <w:rsid w:val="000B4128"/>
    <w:rsid w:val="000B4129"/>
    <w:rsid w:val="000B4145"/>
    <w:rsid w:val="000B4299"/>
    <w:rsid w:val="000B42EA"/>
    <w:rsid w:val="000B432C"/>
    <w:rsid w:val="000B448E"/>
    <w:rsid w:val="000B44FE"/>
    <w:rsid w:val="000B4503"/>
    <w:rsid w:val="000B4512"/>
    <w:rsid w:val="000B45A3"/>
    <w:rsid w:val="000B46DD"/>
    <w:rsid w:val="000B4732"/>
    <w:rsid w:val="000B47DC"/>
    <w:rsid w:val="000B485A"/>
    <w:rsid w:val="000B48BC"/>
    <w:rsid w:val="000B48D6"/>
    <w:rsid w:val="000B48DD"/>
    <w:rsid w:val="000B4997"/>
    <w:rsid w:val="000B49C4"/>
    <w:rsid w:val="000B4A9B"/>
    <w:rsid w:val="000B4B61"/>
    <w:rsid w:val="000B4B62"/>
    <w:rsid w:val="000B4BCD"/>
    <w:rsid w:val="000B4BF4"/>
    <w:rsid w:val="000B4DC1"/>
    <w:rsid w:val="000B4E61"/>
    <w:rsid w:val="000B4EDA"/>
    <w:rsid w:val="000B50E4"/>
    <w:rsid w:val="000B50EF"/>
    <w:rsid w:val="000B50F1"/>
    <w:rsid w:val="000B51BB"/>
    <w:rsid w:val="000B51E9"/>
    <w:rsid w:val="000B5447"/>
    <w:rsid w:val="000B56F0"/>
    <w:rsid w:val="000B5777"/>
    <w:rsid w:val="000B59CA"/>
    <w:rsid w:val="000B59D8"/>
    <w:rsid w:val="000B5A2A"/>
    <w:rsid w:val="000B5B21"/>
    <w:rsid w:val="000B5B22"/>
    <w:rsid w:val="000B5B8F"/>
    <w:rsid w:val="000B5BDE"/>
    <w:rsid w:val="000B5D04"/>
    <w:rsid w:val="000B5D3C"/>
    <w:rsid w:val="000B5DF1"/>
    <w:rsid w:val="000B5E8C"/>
    <w:rsid w:val="000B5F6A"/>
    <w:rsid w:val="000B5F85"/>
    <w:rsid w:val="000B6036"/>
    <w:rsid w:val="000B609A"/>
    <w:rsid w:val="000B60C3"/>
    <w:rsid w:val="000B6418"/>
    <w:rsid w:val="000B641C"/>
    <w:rsid w:val="000B6467"/>
    <w:rsid w:val="000B6472"/>
    <w:rsid w:val="000B6473"/>
    <w:rsid w:val="000B64AC"/>
    <w:rsid w:val="000B65D1"/>
    <w:rsid w:val="000B6621"/>
    <w:rsid w:val="000B664C"/>
    <w:rsid w:val="000B6686"/>
    <w:rsid w:val="000B66DC"/>
    <w:rsid w:val="000B66FD"/>
    <w:rsid w:val="000B6741"/>
    <w:rsid w:val="000B68AD"/>
    <w:rsid w:val="000B68D4"/>
    <w:rsid w:val="000B6AEA"/>
    <w:rsid w:val="000B6B3E"/>
    <w:rsid w:val="000B6D1F"/>
    <w:rsid w:val="000B6D9E"/>
    <w:rsid w:val="000B6DBB"/>
    <w:rsid w:val="000B6DBE"/>
    <w:rsid w:val="000B6E6D"/>
    <w:rsid w:val="000B6E8D"/>
    <w:rsid w:val="000B6EA7"/>
    <w:rsid w:val="000B6F3F"/>
    <w:rsid w:val="000B7053"/>
    <w:rsid w:val="000B72D3"/>
    <w:rsid w:val="000B72E1"/>
    <w:rsid w:val="000B734E"/>
    <w:rsid w:val="000B73A5"/>
    <w:rsid w:val="000B7438"/>
    <w:rsid w:val="000B74EF"/>
    <w:rsid w:val="000B7506"/>
    <w:rsid w:val="000B756D"/>
    <w:rsid w:val="000B75B5"/>
    <w:rsid w:val="000B76F6"/>
    <w:rsid w:val="000B77B8"/>
    <w:rsid w:val="000B77E8"/>
    <w:rsid w:val="000B78AB"/>
    <w:rsid w:val="000B78F7"/>
    <w:rsid w:val="000B7985"/>
    <w:rsid w:val="000B7C48"/>
    <w:rsid w:val="000B7CA8"/>
    <w:rsid w:val="000B7E45"/>
    <w:rsid w:val="000B7E6E"/>
    <w:rsid w:val="000B7F5F"/>
    <w:rsid w:val="000B7FAC"/>
    <w:rsid w:val="000B7FDD"/>
    <w:rsid w:val="000C01B7"/>
    <w:rsid w:val="000C02FD"/>
    <w:rsid w:val="000C0367"/>
    <w:rsid w:val="000C0391"/>
    <w:rsid w:val="000C0494"/>
    <w:rsid w:val="000C04AD"/>
    <w:rsid w:val="000C0573"/>
    <w:rsid w:val="000C062F"/>
    <w:rsid w:val="000C06B2"/>
    <w:rsid w:val="000C06BF"/>
    <w:rsid w:val="000C0752"/>
    <w:rsid w:val="000C0835"/>
    <w:rsid w:val="000C0867"/>
    <w:rsid w:val="000C08BB"/>
    <w:rsid w:val="000C0962"/>
    <w:rsid w:val="000C09B6"/>
    <w:rsid w:val="000C09DB"/>
    <w:rsid w:val="000C09DF"/>
    <w:rsid w:val="000C0A1C"/>
    <w:rsid w:val="000C0AA2"/>
    <w:rsid w:val="000C0AB9"/>
    <w:rsid w:val="000C0BAF"/>
    <w:rsid w:val="000C0BE6"/>
    <w:rsid w:val="000C0BF5"/>
    <w:rsid w:val="000C0C76"/>
    <w:rsid w:val="000C0C92"/>
    <w:rsid w:val="000C0E53"/>
    <w:rsid w:val="000C0E81"/>
    <w:rsid w:val="000C0EAE"/>
    <w:rsid w:val="000C0EC8"/>
    <w:rsid w:val="000C0FB5"/>
    <w:rsid w:val="000C1028"/>
    <w:rsid w:val="000C103F"/>
    <w:rsid w:val="000C1042"/>
    <w:rsid w:val="000C1093"/>
    <w:rsid w:val="000C1094"/>
    <w:rsid w:val="000C10FC"/>
    <w:rsid w:val="000C1153"/>
    <w:rsid w:val="000C1170"/>
    <w:rsid w:val="000C1259"/>
    <w:rsid w:val="000C1316"/>
    <w:rsid w:val="000C14C1"/>
    <w:rsid w:val="000C1505"/>
    <w:rsid w:val="000C157C"/>
    <w:rsid w:val="000C1586"/>
    <w:rsid w:val="000C1607"/>
    <w:rsid w:val="000C1617"/>
    <w:rsid w:val="000C1634"/>
    <w:rsid w:val="000C1648"/>
    <w:rsid w:val="000C17E7"/>
    <w:rsid w:val="000C1861"/>
    <w:rsid w:val="000C186D"/>
    <w:rsid w:val="000C1937"/>
    <w:rsid w:val="000C1984"/>
    <w:rsid w:val="000C19FD"/>
    <w:rsid w:val="000C1A0E"/>
    <w:rsid w:val="000C1A35"/>
    <w:rsid w:val="000C1A9E"/>
    <w:rsid w:val="000C1AB0"/>
    <w:rsid w:val="000C1B29"/>
    <w:rsid w:val="000C1B75"/>
    <w:rsid w:val="000C1C0F"/>
    <w:rsid w:val="000C1E39"/>
    <w:rsid w:val="000C2131"/>
    <w:rsid w:val="000C2156"/>
    <w:rsid w:val="000C2175"/>
    <w:rsid w:val="000C223F"/>
    <w:rsid w:val="000C22CD"/>
    <w:rsid w:val="000C231A"/>
    <w:rsid w:val="000C233B"/>
    <w:rsid w:val="000C2370"/>
    <w:rsid w:val="000C24B5"/>
    <w:rsid w:val="000C261E"/>
    <w:rsid w:val="000C2700"/>
    <w:rsid w:val="000C276F"/>
    <w:rsid w:val="000C2770"/>
    <w:rsid w:val="000C2792"/>
    <w:rsid w:val="000C27A4"/>
    <w:rsid w:val="000C27BD"/>
    <w:rsid w:val="000C28DB"/>
    <w:rsid w:val="000C299D"/>
    <w:rsid w:val="000C29B0"/>
    <w:rsid w:val="000C2A10"/>
    <w:rsid w:val="000C2ABD"/>
    <w:rsid w:val="000C2B63"/>
    <w:rsid w:val="000C2B97"/>
    <w:rsid w:val="000C2C23"/>
    <w:rsid w:val="000C2C29"/>
    <w:rsid w:val="000C2C48"/>
    <w:rsid w:val="000C2C73"/>
    <w:rsid w:val="000C2D25"/>
    <w:rsid w:val="000C2D83"/>
    <w:rsid w:val="000C2EB6"/>
    <w:rsid w:val="000C2EEE"/>
    <w:rsid w:val="000C2FC9"/>
    <w:rsid w:val="000C2FDE"/>
    <w:rsid w:val="000C301F"/>
    <w:rsid w:val="000C315F"/>
    <w:rsid w:val="000C3270"/>
    <w:rsid w:val="000C3451"/>
    <w:rsid w:val="000C3483"/>
    <w:rsid w:val="000C3526"/>
    <w:rsid w:val="000C35D6"/>
    <w:rsid w:val="000C35DB"/>
    <w:rsid w:val="000C36B7"/>
    <w:rsid w:val="000C3730"/>
    <w:rsid w:val="000C376C"/>
    <w:rsid w:val="000C37A1"/>
    <w:rsid w:val="000C383B"/>
    <w:rsid w:val="000C392B"/>
    <w:rsid w:val="000C39AC"/>
    <w:rsid w:val="000C3A5E"/>
    <w:rsid w:val="000C3AD0"/>
    <w:rsid w:val="000C3B2B"/>
    <w:rsid w:val="000C3C42"/>
    <w:rsid w:val="000C3CFF"/>
    <w:rsid w:val="000C3D25"/>
    <w:rsid w:val="000C3D52"/>
    <w:rsid w:val="000C3E92"/>
    <w:rsid w:val="000C3EC9"/>
    <w:rsid w:val="000C402B"/>
    <w:rsid w:val="000C4134"/>
    <w:rsid w:val="000C425D"/>
    <w:rsid w:val="000C4289"/>
    <w:rsid w:val="000C42B7"/>
    <w:rsid w:val="000C42E8"/>
    <w:rsid w:val="000C43B5"/>
    <w:rsid w:val="000C43C4"/>
    <w:rsid w:val="000C43DE"/>
    <w:rsid w:val="000C44AA"/>
    <w:rsid w:val="000C4549"/>
    <w:rsid w:val="000C4602"/>
    <w:rsid w:val="000C4627"/>
    <w:rsid w:val="000C46DB"/>
    <w:rsid w:val="000C477C"/>
    <w:rsid w:val="000C4A79"/>
    <w:rsid w:val="000C4B87"/>
    <w:rsid w:val="000C4BE9"/>
    <w:rsid w:val="000C4BEC"/>
    <w:rsid w:val="000C4CEB"/>
    <w:rsid w:val="000C4D67"/>
    <w:rsid w:val="000C4E96"/>
    <w:rsid w:val="000C4E99"/>
    <w:rsid w:val="000C5038"/>
    <w:rsid w:val="000C518C"/>
    <w:rsid w:val="000C51F8"/>
    <w:rsid w:val="000C5200"/>
    <w:rsid w:val="000C52AA"/>
    <w:rsid w:val="000C545E"/>
    <w:rsid w:val="000C5489"/>
    <w:rsid w:val="000C55D1"/>
    <w:rsid w:val="000C5615"/>
    <w:rsid w:val="000C5624"/>
    <w:rsid w:val="000C5704"/>
    <w:rsid w:val="000C577E"/>
    <w:rsid w:val="000C57D6"/>
    <w:rsid w:val="000C5966"/>
    <w:rsid w:val="000C5A10"/>
    <w:rsid w:val="000C5ADB"/>
    <w:rsid w:val="000C5ADD"/>
    <w:rsid w:val="000C5C8E"/>
    <w:rsid w:val="000C5F53"/>
    <w:rsid w:val="000C605F"/>
    <w:rsid w:val="000C60DF"/>
    <w:rsid w:val="000C61C6"/>
    <w:rsid w:val="000C6254"/>
    <w:rsid w:val="000C62E9"/>
    <w:rsid w:val="000C6317"/>
    <w:rsid w:val="000C6371"/>
    <w:rsid w:val="000C63F0"/>
    <w:rsid w:val="000C6536"/>
    <w:rsid w:val="000C6556"/>
    <w:rsid w:val="000C6684"/>
    <w:rsid w:val="000C66E4"/>
    <w:rsid w:val="000C6715"/>
    <w:rsid w:val="000C680E"/>
    <w:rsid w:val="000C69C1"/>
    <w:rsid w:val="000C69F4"/>
    <w:rsid w:val="000C6AA2"/>
    <w:rsid w:val="000C6AB4"/>
    <w:rsid w:val="000C6AFF"/>
    <w:rsid w:val="000C6B31"/>
    <w:rsid w:val="000C6B7A"/>
    <w:rsid w:val="000C6C23"/>
    <w:rsid w:val="000C6C73"/>
    <w:rsid w:val="000C6DD8"/>
    <w:rsid w:val="000C6E6C"/>
    <w:rsid w:val="000C6ED9"/>
    <w:rsid w:val="000C6F1E"/>
    <w:rsid w:val="000C6F3C"/>
    <w:rsid w:val="000C6F3D"/>
    <w:rsid w:val="000C6FAE"/>
    <w:rsid w:val="000C6FDD"/>
    <w:rsid w:val="000C7003"/>
    <w:rsid w:val="000C7259"/>
    <w:rsid w:val="000C72EE"/>
    <w:rsid w:val="000C72F7"/>
    <w:rsid w:val="000C73F2"/>
    <w:rsid w:val="000C73FF"/>
    <w:rsid w:val="000C7458"/>
    <w:rsid w:val="000C745E"/>
    <w:rsid w:val="000C746A"/>
    <w:rsid w:val="000C74BA"/>
    <w:rsid w:val="000C7536"/>
    <w:rsid w:val="000C765A"/>
    <w:rsid w:val="000C7789"/>
    <w:rsid w:val="000C786F"/>
    <w:rsid w:val="000C7876"/>
    <w:rsid w:val="000C78B7"/>
    <w:rsid w:val="000C78F4"/>
    <w:rsid w:val="000C79C2"/>
    <w:rsid w:val="000C7A8E"/>
    <w:rsid w:val="000C7AB1"/>
    <w:rsid w:val="000C7AC5"/>
    <w:rsid w:val="000C7B56"/>
    <w:rsid w:val="000C7B6D"/>
    <w:rsid w:val="000C7B85"/>
    <w:rsid w:val="000C7BC2"/>
    <w:rsid w:val="000C7C17"/>
    <w:rsid w:val="000C7CDC"/>
    <w:rsid w:val="000C7CDE"/>
    <w:rsid w:val="000C7CE5"/>
    <w:rsid w:val="000C7DE9"/>
    <w:rsid w:val="000C7EAB"/>
    <w:rsid w:val="000C7EB1"/>
    <w:rsid w:val="000C7ECA"/>
    <w:rsid w:val="000D0025"/>
    <w:rsid w:val="000D00FD"/>
    <w:rsid w:val="000D01DD"/>
    <w:rsid w:val="000D0205"/>
    <w:rsid w:val="000D0315"/>
    <w:rsid w:val="000D03F9"/>
    <w:rsid w:val="000D046C"/>
    <w:rsid w:val="000D04B7"/>
    <w:rsid w:val="000D04BA"/>
    <w:rsid w:val="000D04DA"/>
    <w:rsid w:val="000D051E"/>
    <w:rsid w:val="000D058C"/>
    <w:rsid w:val="000D0768"/>
    <w:rsid w:val="000D0852"/>
    <w:rsid w:val="000D0968"/>
    <w:rsid w:val="000D09A2"/>
    <w:rsid w:val="000D0A41"/>
    <w:rsid w:val="000D0A75"/>
    <w:rsid w:val="000D0AEE"/>
    <w:rsid w:val="000D0B13"/>
    <w:rsid w:val="000D0B4C"/>
    <w:rsid w:val="000D0B4D"/>
    <w:rsid w:val="000D0B6E"/>
    <w:rsid w:val="000D0C02"/>
    <w:rsid w:val="000D0C1E"/>
    <w:rsid w:val="000D0C5E"/>
    <w:rsid w:val="000D0CB5"/>
    <w:rsid w:val="000D0D65"/>
    <w:rsid w:val="000D0D7F"/>
    <w:rsid w:val="000D0E81"/>
    <w:rsid w:val="000D0F25"/>
    <w:rsid w:val="000D0F9A"/>
    <w:rsid w:val="000D1070"/>
    <w:rsid w:val="000D10BB"/>
    <w:rsid w:val="000D1243"/>
    <w:rsid w:val="000D127A"/>
    <w:rsid w:val="000D12E0"/>
    <w:rsid w:val="000D1321"/>
    <w:rsid w:val="000D1348"/>
    <w:rsid w:val="000D1399"/>
    <w:rsid w:val="000D143C"/>
    <w:rsid w:val="000D143E"/>
    <w:rsid w:val="000D1492"/>
    <w:rsid w:val="000D149A"/>
    <w:rsid w:val="000D14E5"/>
    <w:rsid w:val="000D14E7"/>
    <w:rsid w:val="000D1504"/>
    <w:rsid w:val="000D1521"/>
    <w:rsid w:val="000D15AE"/>
    <w:rsid w:val="000D15D0"/>
    <w:rsid w:val="000D169F"/>
    <w:rsid w:val="000D1824"/>
    <w:rsid w:val="000D1944"/>
    <w:rsid w:val="000D1978"/>
    <w:rsid w:val="000D1A13"/>
    <w:rsid w:val="000D1A83"/>
    <w:rsid w:val="000D1AAD"/>
    <w:rsid w:val="000D1AFF"/>
    <w:rsid w:val="000D1B06"/>
    <w:rsid w:val="000D1D01"/>
    <w:rsid w:val="000D1D20"/>
    <w:rsid w:val="000D1DB5"/>
    <w:rsid w:val="000D1DD9"/>
    <w:rsid w:val="000D1E14"/>
    <w:rsid w:val="000D1E8D"/>
    <w:rsid w:val="000D1EBE"/>
    <w:rsid w:val="000D1F18"/>
    <w:rsid w:val="000D1F23"/>
    <w:rsid w:val="000D1F8A"/>
    <w:rsid w:val="000D1FFF"/>
    <w:rsid w:val="000D200C"/>
    <w:rsid w:val="000D2172"/>
    <w:rsid w:val="000D2269"/>
    <w:rsid w:val="000D23B9"/>
    <w:rsid w:val="000D2431"/>
    <w:rsid w:val="000D243C"/>
    <w:rsid w:val="000D2543"/>
    <w:rsid w:val="000D256D"/>
    <w:rsid w:val="000D27FA"/>
    <w:rsid w:val="000D2889"/>
    <w:rsid w:val="000D293C"/>
    <w:rsid w:val="000D299B"/>
    <w:rsid w:val="000D29C0"/>
    <w:rsid w:val="000D2BC1"/>
    <w:rsid w:val="000D2C7A"/>
    <w:rsid w:val="000D2C84"/>
    <w:rsid w:val="000D2CAC"/>
    <w:rsid w:val="000D2CE6"/>
    <w:rsid w:val="000D2D39"/>
    <w:rsid w:val="000D2E2E"/>
    <w:rsid w:val="000D2EFC"/>
    <w:rsid w:val="000D2F84"/>
    <w:rsid w:val="000D312A"/>
    <w:rsid w:val="000D3140"/>
    <w:rsid w:val="000D31FB"/>
    <w:rsid w:val="000D330B"/>
    <w:rsid w:val="000D337B"/>
    <w:rsid w:val="000D33A0"/>
    <w:rsid w:val="000D33E2"/>
    <w:rsid w:val="000D3428"/>
    <w:rsid w:val="000D3562"/>
    <w:rsid w:val="000D3799"/>
    <w:rsid w:val="000D37C4"/>
    <w:rsid w:val="000D380E"/>
    <w:rsid w:val="000D3816"/>
    <w:rsid w:val="000D385A"/>
    <w:rsid w:val="000D38C2"/>
    <w:rsid w:val="000D3ADE"/>
    <w:rsid w:val="000D3B3C"/>
    <w:rsid w:val="000D3B6C"/>
    <w:rsid w:val="000D3B95"/>
    <w:rsid w:val="000D3CA7"/>
    <w:rsid w:val="000D3D07"/>
    <w:rsid w:val="000D3D86"/>
    <w:rsid w:val="000D3E01"/>
    <w:rsid w:val="000D3E66"/>
    <w:rsid w:val="000D3E75"/>
    <w:rsid w:val="000D3F0C"/>
    <w:rsid w:val="000D3F54"/>
    <w:rsid w:val="000D3F94"/>
    <w:rsid w:val="000D3FE0"/>
    <w:rsid w:val="000D40DB"/>
    <w:rsid w:val="000D41D3"/>
    <w:rsid w:val="000D4312"/>
    <w:rsid w:val="000D4340"/>
    <w:rsid w:val="000D4364"/>
    <w:rsid w:val="000D44C4"/>
    <w:rsid w:val="000D4550"/>
    <w:rsid w:val="000D4590"/>
    <w:rsid w:val="000D462C"/>
    <w:rsid w:val="000D466C"/>
    <w:rsid w:val="000D481C"/>
    <w:rsid w:val="000D48CD"/>
    <w:rsid w:val="000D4952"/>
    <w:rsid w:val="000D49EA"/>
    <w:rsid w:val="000D4A63"/>
    <w:rsid w:val="000D4A73"/>
    <w:rsid w:val="000D4ACF"/>
    <w:rsid w:val="000D4B35"/>
    <w:rsid w:val="000D4C61"/>
    <w:rsid w:val="000D4CBB"/>
    <w:rsid w:val="000D4CE3"/>
    <w:rsid w:val="000D4D17"/>
    <w:rsid w:val="000D4D93"/>
    <w:rsid w:val="000D4DA8"/>
    <w:rsid w:val="000D4ED7"/>
    <w:rsid w:val="000D4F61"/>
    <w:rsid w:val="000D4FDE"/>
    <w:rsid w:val="000D5143"/>
    <w:rsid w:val="000D52D6"/>
    <w:rsid w:val="000D52E7"/>
    <w:rsid w:val="000D52F3"/>
    <w:rsid w:val="000D531E"/>
    <w:rsid w:val="000D536E"/>
    <w:rsid w:val="000D5395"/>
    <w:rsid w:val="000D53CC"/>
    <w:rsid w:val="000D53D8"/>
    <w:rsid w:val="000D53F1"/>
    <w:rsid w:val="000D5425"/>
    <w:rsid w:val="000D5581"/>
    <w:rsid w:val="000D5715"/>
    <w:rsid w:val="000D5721"/>
    <w:rsid w:val="000D59E9"/>
    <w:rsid w:val="000D5AE6"/>
    <w:rsid w:val="000D5B16"/>
    <w:rsid w:val="000D5B25"/>
    <w:rsid w:val="000D5B49"/>
    <w:rsid w:val="000D5BB4"/>
    <w:rsid w:val="000D5C04"/>
    <w:rsid w:val="000D5CB3"/>
    <w:rsid w:val="000D5DAB"/>
    <w:rsid w:val="000D5DB5"/>
    <w:rsid w:val="000D5DB9"/>
    <w:rsid w:val="000D5E5E"/>
    <w:rsid w:val="000D5EF2"/>
    <w:rsid w:val="000D5F3D"/>
    <w:rsid w:val="000D5F68"/>
    <w:rsid w:val="000D5F7F"/>
    <w:rsid w:val="000D5FD6"/>
    <w:rsid w:val="000D60A5"/>
    <w:rsid w:val="000D614F"/>
    <w:rsid w:val="000D61E8"/>
    <w:rsid w:val="000D6201"/>
    <w:rsid w:val="000D624C"/>
    <w:rsid w:val="000D62D6"/>
    <w:rsid w:val="000D63A9"/>
    <w:rsid w:val="000D63E7"/>
    <w:rsid w:val="000D6488"/>
    <w:rsid w:val="000D64AF"/>
    <w:rsid w:val="000D64F6"/>
    <w:rsid w:val="000D6563"/>
    <w:rsid w:val="000D656F"/>
    <w:rsid w:val="000D6629"/>
    <w:rsid w:val="000D66E1"/>
    <w:rsid w:val="000D67C5"/>
    <w:rsid w:val="000D6825"/>
    <w:rsid w:val="000D6831"/>
    <w:rsid w:val="000D6993"/>
    <w:rsid w:val="000D6A52"/>
    <w:rsid w:val="000D6B67"/>
    <w:rsid w:val="000D6B89"/>
    <w:rsid w:val="000D6BAA"/>
    <w:rsid w:val="000D6BE4"/>
    <w:rsid w:val="000D6C32"/>
    <w:rsid w:val="000D6E25"/>
    <w:rsid w:val="000D6EC1"/>
    <w:rsid w:val="000D6FC0"/>
    <w:rsid w:val="000D7088"/>
    <w:rsid w:val="000D710B"/>
    <w:rsid w:val="000D71CC"/>
    <w:rsid w:val="000D7258"/>
    <w:rsid w:val="000D7399"/>
    <w:rsid w:val="000D73AD"/>
    <w:rsid w:val="000D73AE"/>
    <w:rsid w:val="000D7400"/>
    <w:rsid w:val="000D74DF"/>
    <w:rsid w:val="000D7548"/>
    <w:rsid w:val="000D7646"/>
    <w:rsid w:val="000D76E3"/>
    <w:rsid w:val="000D770B"/>
    <w:rsid w:val="000D777B"/>
    <w:rsid w:val="000D77E4"/>
    <w:rsid w:val="000D788E"/>
    <w:rsid w:val="000D7940"/>
    <w:rsid w:val="000D795D"/>
    <w:rsid w:val="000D7962"/>
    <w:rsid w:val="000D7ADE"/>
    <w:rsid w:val="000D7D6A"/>
    <w:rsid w:val="000D7DD6"/>
    <w:rsid w:val="000D7DDC"/>
    <w:rsid w:val="000D7F29"/>
    <w:rsid w:val="000D7F2B"/>
    <w:rsid w:val="000D7F99"/>
    <w:rsid w:val="000E0190"/>
    <w:rsid w:val="000E01B9"/>
    <w:rsid w:val="000E01D2"/>
    <w:rsid w:val="000E021E"/>
    <w:rsid w:val="000E024A"/>
    <w:rsid w:val="000E031C"/>
    <w:rsid w:val="000E0357"/>
    <w:rsid w:val="000E0358"/>
    <w:rsid w:val="000E0456"/>
    <w:rsid w:val="000E04CF"/>
    <w:rsid w:val="000E0594"/>
    <w:rsid w:val="000E05A6"/>
    <w:rsid w:val="000E06FD"/>
    <w:rsid w:val="000E0778"/>
    <w:rsid w:val="000E0852"/>
    <w:rsid w:val="000E0959"/>
    <w:rsid w:val="000E09F9"/>
    <w:rsid w:val="000E0A16"/>
    <w:rsid w:val="000E0A8E"/>
    <w:rsid w:val="000E0AC7"/>
    <w:rsid w:val="000E0B64"/>
    <w:rsid w:val="000E0BAF"/>
    <w:rsid w:val="000E0BBB"/>
    <w:rsid w:val="000E0D6C"/>
    <w:rsid w:val="000E0DE2"/>
    <w:rsid w:val="000E0E7A"/>
    <w:rsid w:val="000E112E"/>
    <w:rsid w:val="000E12B0"/>
    <w:rsid w:val="000E133E"/>
    <w:rsid w:val="000E1374"/>
    <w:rsid w:val="000E13D8"/>
    <w:rsid w:val="000E1430"/>
    <w:rsid w:val="000E1487"/>
    <w:rsid w:val="000E14D7"/>
    <w:rsid w:val="000E14E9"/>
    <w:rsid w:val="000E1501"/>
    <w:rsid w:val="000E1508"/>
    <w:rsid w:val="000E1557"/>
    <w:rsid w:val="000E1627"/>
    <w:rsid w:val="000E1635"/>
    <w:rsid w:val="000E1678"/>
    <w:rsid w:val="000E1718"/>
    <w:rsid w:val="000E173A"/>
    <w:rsid w:val="000E17CB"/>
    <w:rsid w:val="000E183E"/>
    <w:rsid w:val="000E18C1"/>
    <w:rsid w:val="000E1917"/>
    <w:rsid w:val="000E1951"/>
    <w:rsid w:val="000E1AAB"/>
    <w:rsid w:val="000E1B4B"/>
    <w:rsid w:val="000E1BC8"/>
    <w:rsid w:val="000E1BF8"/>
    <w:rsid w:val="000E1C13"/>
    <w:rsid w:val="000E1C5C"/>
    <w:rsid w:val="000E1C62"/>
    <w:rsid w:val="000E1D32"/>
    <w:rsid w:val="000E1D3B"/>
    <w:rsid w:val="000E1D76"/>
    <w:rsid w:val="000E1E7B"/>
    <w:rsid w:val="000E1E9D"/>
    <w:rsid w:val="000E1EB3"/>
    <w:rsid w:val="000E1EDA"/>
    <w:rsid w:val="000E1F5F"/>
    <w:rsid w:val="000E1FC0"/>
    <w:rsid w:val="000E2048"/>
    <w:rsid w:val="000E204A"/>
    <w:rsid w:val="000E2111"/>
    <w:rsid w:val="000E2126"/>
    <w:rsid w:val="000E21D1"/>
    <w:rsid w:val="000E2448"/>
    <w:rsid w:val="000E25F2"/>
    <w:rsid w:val="000E261E"/>
    <w:rsid w:val="000E2671"/>
    <w:rsid w:val="000E2685"/>
    <w:rsid w:val="000E26D1"/>
    <w:rsid w:val="000E26D8"/>
    <w:rsid w:val="000E27CB"/>
    <w:rsid w:val="000E2898"/>
    <w:rsid w:val="000E28B1"/>
    <w:rsid w:val="000E28F6"/>
    <w:rsid w:val="000E2A94"/>
    <w:rsid w:val="000E2A9E"/>
    <w:rsid w:val="000E2AC4"/>
    <w:rsid w:val="000E2B5F"/>
    <w:rsid w:val="000E2B94"/>
    <w:rsid w:val="000E2C50"/>
    <w:rsid w:val="000E2C9E"/>
    <w:rsid w:val="000E2CF5"/>
    <w:rsid w:val="000E2D5E"/>
    <w:rsid w:val="000E2DBF"/>
    <w:rsid w:val="000E2DFA"/>
    <w:rsid w:val="000E2E2D"/>
    <w:rsid w:val="000E2ECD"/>
    <w:rsid w:val="000E2F45"/>
    <w:rsid w:val="000E2FBB"/>
    <w:rsid w:val="000E2FE4"/>
    <w:rsid w:val="000E300C"/>
    <w:rsid w:val="000E3070"/>
    <w:rsid w:val="000E30BC"/>
    <w:rsid w:val="000E3156"/>
    <w:rsid w:val="000E323E"/>
    <w:rsid w:val="000E32C3"/>
    <w:rsid w:val="000E3442"/>
    <w:rsid w:val="000E3462"/>
    <w:rsid w:val="000E3478"/>
    <w:rsid w:val="000E3545"/>
    <w:rsid w:val="000E35B6"/>
    <w:rsid w:val="000E37B0"/>
    <w:rsid w:val="000E37D2"/>
    <w:rsid w:val="000E3852"/>
    <w:rsid w:val="000E387A"/>
    <w:rsid w:val="000E3985"/>
    <w:rsid w:val="000E39B2"/>
    <w:rsid w:val="000E39C4"/>
    <w:rsid w:val="000E3A7C"/>
    <w:rsid w:val="000E3A94"/>
    <w:rsid w:val="000E3A9C"/>
    <w:rsid w:val="000E3AB9"/>
    <w:rsid w:val="000E3B60"/>
    <w:rsid w:val="000E3BB8"/>
    <w:rsid w:val="000E3C6A"/>
    <w:rsid w:val="000E3C88"/>
    <w:rsid w:val="000E3CCD"/>
    <w:rsid w:val="000E3D1F"/>
    <w:rsid w:val="000E3D3F"/>
    <w:rsid w:val="000E3D9B"/>
    <w:rsid w:val="000E3DDC"/>
    <w:rsid w:val="000E3DFD"/>
    <w:rsid w:val="000E3F46"/>
    <w:rsid w:val="000E3F64"/>
    <w:rsid w:val="000E407D"/>
    <w:rsid w:val="000E4084"/>
    <w:rsid w:val="000E40BF"/>
    <w:rsid w:val="000E40C6"/>
    <w:rsid w:val="000E413E"/>
    <w:rsid w:val="000E41CF"/>
    <w:rsid w:val="000E4261"/>
    <w:rsid w:val="000E4286"/>
    <w:rsid w:val="000E43BA"/>
    <w:rsid w:val="000E43D9"/>
    <w:rsid w:val="000E443E"/>
    <w:rsid w:val="000E44BD"/>
    <w:rsid w:val="000E45BE"/>
    <w:rsid w:val="000E4609"/>
    <w:rsid w:val="000E463E"/>
    <w:rsid w:val="000E4697"/>
    <w:rsid w:val="000E4782"/>
    <w:rsid w:val="000E479A"/>
    <w:rsid w:val="000E4863"/>
    <w:rsid w:val="000E4891"/>
    <w:rsid w:val="000E4962"/>
    <w:rsid w:val="000E4A49"/>
    <w:rsid w:val="000E4A62"/>
    <w:rsid w:val="000E4AC1"/>
    <w:rsid w:val="000E4B1B"/>
    <w:rsid w:val="000E4B84"/>
    <w:rsid w:val="000E4BB2"/>
    <w:rsid w:val="000E4C65"/>
    <w:rsid w:val="000E4DF8"/>
    <w:rsid w:val="000E4E3E"/>
    <w:rsid w:val="000E4F6C"/>
    <w:rsid w:val="000E4F86"/>
    <w:rsid w:val="000E4FCC"/>
    <w:rsid w:val="000E4FCE"/>
    <w:rsid w:val="000E5094"/>
    <w:rsid w:val="000E50CE"/>
    <w:rsid w:val="000E51BB"/>
    <w:rsid w:val="000E51FF"/>
    <w:rsid w:val="000E5205"/>
    <w:rsid w:val="000E52F7"/>
    <w:rsid w:val="000E53E4"/>
    <w:rsid w:val="000E54C4"/>
    <w:rsid w:val="000E554A"/>
    <w:rsid w:val="000E556E"/>
    <w:rsid w:val="000E5581"/>
    <w:rsid w:val="000E55D6"/>
    <w:rsid w:val="000E566F"/>
    <w:rsid w:val="000E569C"/>
    <w:rsid w:val="000E5784"/>
    <w:rsid w:val="000E57EB"/>
    <w:rsid w:val="000E5802"/>
    <w:rsid w:val="000E58B6"/>
    <w:rsid w:val="000E58C5"/>
    <w:rsid w:val="000E58C6"/>
    <w:rsid w:val="000E59A0"/>
    <w:rsid w:val="000E59B3"/>
    <w:rsid w:val="000E59C1"/>
    <w:rsid w:val="000E59C6"/>
    <w:rsid w:val="000E5AD0"/>
    <w:rsid w:val="000E5B56"/>
    <w:rsid w:val="000E5D76"/>
    <w:rsid w:val="000E5DA9"/>
    <w:rsid w:val="000E5DF5"/>
    <w:rsid w:val="000E5E2B"/>
    <w:rsid w:val="000E5F6E"/>
    <w:rsid w:val="000E5FBA"/>
    <w:rsid w:val="000E6062"/>
    <w:rsid w:val="000E608E"/>
    <w:rsid w:val="000E60A1"/>
    <w:rsid w:val="000E60CA"/>
    <w:rsid w:val="000E6157"/>
    <w:rsid w:val="000E6203"/>
    <w:rsid w:val="000E6317"/>
    <w:rsid w:val="000E632B"/>
    <w:rsid w:val="000E63C2"/>
    <w:rsid w:val="000E63F5"/>
    <w:rsid w:val="000E641E"/>
    <w:rsid w:val="000E6423"/>
    <w:rsid w:val="000E645D"/>
    <w:rsid w:val="000E64CB"/>
    <w:rsid w:val="000E64D8"/>
    <w:rsid w:val="000E6641"/>
    <w:rsid w:val="000E66D8"/>
    <w:rsid w:val="000E6826"/>
    <w:rsid w:val="000E6940"/>
    <w:rsid w:val="000E69F6"/>
    <w:rsid w:val="000E6A27"/>
    <w:rsid w:val="000E6A5F"/>
    <w:rsid w:val="000E6A60"/>
    <w:rsid w:val="000E6AB8"/>
    <w:rsid w:val="000E6B05"/>
    <w:rsid w:val="000E6B8F"/>
    <w:rsid w:val="000E6C4B"/>
    <w:rsid w:val="000E6CD3"/>
    <w:rsid w:val="000E6D80"/>
    <w:rsid w:val="000E6DB9"/>
    <w:rsid w:val="000E6E2D"/>
    <w:rsid w:val="000E6E50"/>
    <w:rsid w:val="000E6E8E"/>
    <w:rsid w:val="000E6EB2"/>
    <w:rsid w:val="000E6F5B"/>
    <w:rsid w:val="000E6FED"/>
    <w:rsid w:val="000E7060"/>
    <w:rsid w:val="000E70C7"/>
    <w:rsid w:val="000E7143"/>
    <w:rsid w:val="000E7186"/>
    <w:rsid w:val="000E722C"/>
    <w:rsid w:val="000E7264"/>
    <w:rsid w:val="000E7287"/>
    <w:rsid w:val="000E72B9"/>
    <w:rsid w:val="000E72E3"/>
    <w:rsid w:val="000E72F0"/>
    <w:rsid w:val="000E73D7"/>
    <w:rsid w:val="000E7410"/>
    <w:rsid w:val="000E7438"/>
    <w:rsid w:val="000E74C4"/>
    <w:rsid w:val="000E755B"/>
    <w:rsid w:val="000E75C5"/>
    <w:rsid w:val="000E75E7"/>
    <w:rsid w:val="000E75EC"/>
    <w:rsid w:val="000E7657"/>
    <w:rsid w:val="000E765D"/>
    <w:rsid w:val="000E7683"/>
    <w:rsid w:val="000E76B5"/>
    <w:rsid w:val="000E7738"/>
    <w:rsid w:val="000E778A"/>
    <w:rsid w:val="000E77C2"/>
    <w:rsid w:val="000E7811"/>
    <w:rsid w:val="000E786B"/>
    <w:rsid w:val="000E786F"/>
    <w:rsid w:val="000E7984"/>
    <w:rsid w:val="000E7A1C"/>
    <w:rsid w:val="000E7A72"/>
    <w:rsid w:val="000E7AB9"/>
    <w:rsid w:val="000E7ACD"/>
    <w:rsid w:val="000E7BCD"/>
    <w:rsid w:val="000E7CB4"/>
    <w:rsid w:val="000E7DA7"/>
    <w:rsid w:val="000E7EB1"/>
    <w:rsid w:val="000E7EBB"/>
    <w:rsid w:val="000E7F30"/>
    <w:rsid w:val="000E7F48"/>
    <w:rsid w:val="000E7F4B"/>
    <w:rsid w:val="000E7F6C"/>
    <w:rsid w:val="000E7F87"/>
    <w:rsid w:val="000E7FA0"/>
    <w:rsid w:val="000F0008"/>
    <w:rsid w:val="000F00BA"/>
    <w:rsid w:val="000F0169"/>
    <w:rsid w:val="000F0171"/>
    <w:rsid w:val="000F0206"/>
    <w:rsid w:val="000F02F8"/>
    <w:rsid w:val="000F0409"/>
    <w:rsid w:val="000F0450"/>
    <w:rsid w:val="000F048B"/>
    <w:rsid w:val="000F049F"/>
    <w:rsid w:val="000F0514"/>
    <w:rsid w:val="000F0642"/>
    <w:rsid w:val="000F064B"/>
    <w:rsid w:val="000F0657"/>
    <w:rsid w:val="000F0670"/>
    <w:rsid w:val="000F069D"/>
    <w:rsid w:val="000F06BA"/>
    <w:rsid w:val="000F06D7"/>
    <w:rsid w:val="000F0757"/>
    <w:rsid w:val="000F07FA"/>
    <w:rsid w:val="000F0838"/>
    <w:rsid w:val="000F0866"/>
    <w:rsid w:val="000F0878"/>
    <w:rsid w:val="000F0891"/>
    <w:rsid w:val="000F09BC"/>
    <w:rsid w:val="000F09F8"/>
    <w:rsid w:val="000F0B5E"/>
    <w:rsid w:val="000F0B83"/>
    <w:rsid w:val="000F0C25"/>
    <w:rsid w:val="000F0C82"/>
    <w:rsid w:val="000F0D43"/>
    <w:rsid w:val="000F0E36"/>
    <w:rsid w:val="000F0E7C"/>
    <w:rsid w:val="000F0F28"/>
    <w:rsid w:val="000F1178"/>
    <w:rsid w:val="000F11A1"/>
    <w:rsid w:val="000F11A5"/>
    <w:rsid w:val="000F11F5"/>
    <w:rsid w:val="000F1274"/>
    <w:rsid w:val="000F1417"/>
    <w:rsid w:val="000F1424"/>
    <w:rsid w:val="000F1468"/>
    <w:rsid w:val="000F15C5"/>
    <w:rsid w:val="000F15E9"/>
    <w:rsid w:val="000F165C"/>
    <w:rsid w:val="000F168F"/>
    <w:rsid w:val="000F1793"/>
    <w:rsid w:val="000F17B4"/>
    <w:rsid w:val="000F17B9"/>
    <w:rsid w:val="000F1877"/>
    <w:rsid w:val="000F18E6"/>
    <w:rsid w:val="000F1B3E"/>
    <w:rsid w:val="000F1C24"/>
    <w:rsid w:val="000F1C4F"/>
    <w:rsid w:val="000F1CD2"/>
    <w:rsid w:val="000F1D08"/>
    <w:rsid w:val="000F1D43"/>
    <w:rsid w:val="000F1F89"/>
    <w:rsid w:val="000F1FFF"/>
    <w:rsid w:val="000F207A"/>
    <w:rsid w:val="000F20AA"/>
    <w:rsid w:val="000F2222"/>
    <w:rsid w:val="000F2266"/>
    <w:rsid w:val="000F22B8"/>
    <w:rsid w:val="000F22DF"/>
    <w:rsid w:val="000F230F"/>
    <w:rsid w:val="000F2391"/>
    <w:rsid w:val="000F23E7"/>
    <w:rsid w:val="000F2420"/>
    <w:rsid w:val="000F2429"/>
    <w:rsid w:val="000F2633"/>
    <w:rsid w:val="000F2651"/>
    <w:rsid w:val="000F2716"/>
    <w:rsid w:val="000F279B"/>
    <w:rsid w:val="000F2886"/>
    <w:rsid w:val="000F2915"/>
    <w:rsid w:val="000F2B7D"/>
    <w:rsid w:val="000F2C12"/>
    <w:rsid w:val="000F2C2D"/>
    <w:rsid w:val="000F2C60"/>
    <w:rsid w:val="000F2C9A"/>
    <w:rsid w:val="000F2CC4"/>
    <w:rsid w:val="000F2CFB"/>
    <w:rsid w:val="000F2D0E"/>
    <w:rsid w:val="000F2DCB"/>
    <w:rsid w:val="000F30BF"/>
    <w:rsid w:val="000F3142"/>
    <w:rsid w:val="000F33D0"/>
    <w:rsid w:val="000F3410"/>
    <w:rsid w:val="000F348D"/>
    <w:rsid w:val="000F3559"/>
    <w:rsid w:val="000F357B"/>
    <w:rsid w:val="000F369A"/>
    <w:rsid w:val="000F3762"/>
    <w:rsid w:val="000F37C7"/>
    <w:rsid w:val="000F3839"/>
    <w:rsid w:val="000F384E"/>
    <w:rsid w:val="000F3863"/>
    <w:rsid w:val="000F38D4"/>
    <w:rsid w:val="000F3972"/>
    <w:rsid w:val="000F3AAD"/>
    <w:rsid w:val="000F3BE5"/>
    <w:rsid w:val="000F3D27"/>
    <w:rsid w:val="000F3E18"/>
    <w:rsid w:val="000F3E8B"/>
    <w:rsid w:val="000F3ED5"/>
    <w:rsid w:val="000F3F22"/>
    <w:rsid w:val="000F40A9"/>
    <w:rsid w:val="000F40B8"/>
    <w:rsid w:val="000F41C2"/>
    <w:rsid w:val="000F4212"/>
    <w:rsid w:val="000F423C"/>
    <w:rsid w:val="000F4396"/>
    <w:rsid w:val="000F43F9"/>
    <w:rsid w:val="000F441A"/>
    <w:rsid w:val="000F4463"/>
    <w:rsid w:val="000F4479"/>
    <w:rsid w:val="000F4501"/>
    <w:rsid w:val="000F4518"/>
    <w:rsid w:val="000F4537"/>
    <w:rsid w:val="000F456A"/>
    <w:rsid w:val="000F45C1"/>
    <w:rsid w:val="000F4612"/>
    <w:rsid w:val="000F4831"/>
    <w:rsid w:val="000F488D"/>
    <w:rsid w:val="000F48A9"/>
    <w:rsid w:val="000F48DC"/>
    <w:rsid w:val="000F4988"/>
    <w:rsid w:val="000F4993"/>
    <w:rsid w:val="000F49D8"/>
    <w:rsid w:val="000F4A5A"/>
    <w:rsid w:val="000F4AB9"/>
    <w:rsid w:val="000F4ACF"/>
    <w:rsid w:val="000F4AD4"/>
    <w:rsid w:val="000F4BAB"/>
    <w:rsid w:val="000F4BF3"/>
    <w:rsid w:val="000F4CB9"/>
    <w:rsid w:val="000F4D64"/>
    <w:rsid w:val="000F4D7A"/>
    <w:rsid w:val="000F4DF0"/>
    <w:rsid w:val="000F4F2E"/>
    <w:rsid w:val="000F4F56"/>
    <w:rsid w:val="000F4FE2"/>
    <w:rsid w:val="000F5095"/>
    <w:rsid w:val="000F5167"/>
    <w:rsid w:val="000F51C5"/>
    <w:rsid w:val="000F51DF"/>
    <w:rsid w:val="000F5285"/>
    <w:rsid w:val="000F52E0"/>
    <w:rsid w:val="000F531D"/>
    <w:rsid w:val="000F53A9"/>
    <w:rsid w:val="000F5467"/>
    <w:rsid w:val="000F55DC"/>
    <w:rsid w:val="000F560A"/>
    <w:rsid w:val="000F56C0"/>
    <w:rsid w:val="000F572E"/>
    <w:rsid w:val="000F5734"/>
    <w:rsid w:val="000F58D4"/>
    <w:rsid w:val="000F598A"/>
    <w:rsid w:val="000F5996"/>
    <w:rsid w:val="000F59BC"/>
    <w:rsid w:val="000F5A9B"/>
    <w:rsid w:val="000F5AD7"/>
    <w:rsid w:val="000F5B1A"/>
    <w:rsid w:val="000F5B2F"/>
    <w:rsid w:val="000F5BC5"/>
    <w:rsid w:val="000F5C67"/>
    <w:rsid w:val="000F5CFE"/>
    <w:rsid w:val="000F5D69"/>
    <w:rsid w:val="000F5D6A"/>
    <w:rsid w:val="000F5D93"/>
    <w:rsid w:val="000F5E24"/>
    <w:rsid w:val="000F5E48"/>
    <w:rsid w:val="000F5EBC"/>
    <w:rsid w:val="000F611A"/>
    <w:rsid w:val="000F6246"/>
    <w:rsid w:val="000F62AE"/>
    <w:rsid w:val="000F631E"/>
    <w:rsid w:val="000F63BE"/>
    <w:rsid w:val="000F63C6"/>
    <w:rsid w:val="000F6405"/>
    <w:rsid w:val="000F6464"/>
    <w:rsid w:val="000F646D"/>
    <w:rsid w:val="000F64CB"/>
    <w:rsid w:val="000F64E0"/>
    <w:rsid w:val="000F6529"/>
    <w:rsid w:val="000F6535"/>
    <w:rsid w:val="000F657A"/>
    <w:rsid w:val="000F65D6"/>
    <w:rsid w:val="000F6628"/>
    <w:rsid w:val="000F66E3"/>
    <w:rsid w:val="000F673A"/>
    <w:rsid w:val="000F6753"/>
    <w:rsid w:val="000F6817"/>
    <w:rsid w:val="000F69D5"/>
    <w:rsid w:val="000F6A7D"/>
    <w:rsid w:val="000F6ADB"/>
    <w:rsid w:val="000F6B32"/>
    <w:rsid w:val="000F6B54"/>
    <w:rsid w:val="000F6BD4"/>
    <w:rsid w:val="000F6C10"/>
    <w:rsid w:val="000F6C25"/>
    <w:rsid w:val="000F6CFA"/>
    <w:rsid w:val="000F6D5B"/>
    <w:rsid w:val="000F6E08"/>
    <w:rsid w:val="000F6E51"/>
    <w:rsid w:val="000F6EA8"/>
    <w:rsid w:val="000F6F01"/>
    <w:rsid w:val="000F6F22"/>
    <w:rsid w:val="000F6F31"/>
    <w:rsid w:val="000F6F41"/>
    <w:rsid w:val="000F6FBC"/>
    <w:rsid w:val="000F6FC9"/>
    <w:rsid w:val="000F7021"/>
    <w:rsid w:val="000F7070"/>
    <w:rsid w:val="000F70AE"/>
    <w:rsid w:val="000F7112"/>
    <w:rsid w:val="000F7224"/>
    <w:rsid w:val="000F725C"/>
    <w:rsid w:val="000F72A8"/>
    <w:rsid w:val="000F72D7"/>
    <w:rsid w:val="000F7306"/>
    <w:rsid w:val="000F7401"/>
    <w:rsid w:val="000F749E"/>
    <w:rsid w:val="000F74CC"/>
    <w:rsid w:val="000F74E0"/>
    <w:rsid w:val="000F75D2"/>
    <w:rsid w:val="000F75F4"/>
    <w:rsid w:val="000F76CA"/>
    <w:rsid w:val="000F76EB"/>
    <w:rsid w:val="000F7735"/>
    <w:rsid w:val="000F789A"/>
    <w:rsid w:val="000F78AE"/>
    <w:rsid w:val="000F78E4"/>
    <w:rsid w:val="000F7937"/>
    <w:rsid w:val="000F794E"/>
    <w:rsid w:val="000F7975"/>
    <w:rsid w:val="000F7B78"/>
    <w:rsid w:val="000F7B98"/>
    <w:rsid w:val="000F7BCD"/>
    <w:rsid w:val="000F7C84"/>
    <w:rsid w:val="000F7CA8"/>
    <w:rsid w:val="000F7DA6"/>
    <w:rsid w:val="000F7E25"/>
    <w:rsid w:val="000F7E50"/>
    <w:rsid w:val="00100007"/>
    <w:rsid w:val="00100023"/>
    <w:rsid w:val="00100034"/>
    <w:rsid w:val="00100097"/>
    <w:rsid w:val="0010011E"/>
    <w:rsid w:val="00100218"/>
    <w:rsid w:val="0010022F"/>
    <w:rsid w:val="0010028B"/>
    <w:rsid w:val="00100318"/>
    <w:rsid w:val="00100382"/>
    <w:rsid w:val="001003A8"/>
    <w:rsid w:val="001004EB"/>
    <w:rsid w:val="00100566"/>
    <w:rsid w:val="00100579"/>
    <w:rsid w:val="00100690"/>
    <w:rsid w:val="00100723"/>
    <w:rsid w:val="0010075E"/>
    <w:rsid w:val="001007EE"/>
    <w:rsid w:val="00100849"/>
    <w:rsid w:val="00100914"/>
    <w:rsid w:val="00100972"/>
    <w:rsid w:val="001009BF"/>
    <w:rsid w:val="00100A37"/>
    <w:rsid w:val="00100A94"/>
    <w:rsid w:val="00100AE7"/>
    <w:rsid w:val="00100B4B"/>
    <w:rsid w:val="00100C27"/>
    <w:rsid w:val="00100CD2"/>
    <w:rsid w:val="00100D1D"/>
    <w:rsid w:val="00100D2F"/>
    <w:rsid w:val="00100F76"/>
    <w:rsid w:val="00100FBE"/>
    <w:rsid w:val="00101013"/>
    <w:rsid w:val="0010109B"/>
    <w:rsid w:val="001010EA"/>
    <w:rsid w:val="001011AA"/>
    <w:rsid w:val="001012C6"/>
    <w:rsid w:val="00101366"/>
    <w:rsid w:val="001013B9"/>
    <w:rsid w:val="00101448"/>
    <w:rsid w:val="0010145E"/>
    <w:rsid w:val="0010148E"/>
    <w:rsid w:val="0010150B"/>
    <w:rsid w:val="0010150E"/>
    <w:rsid w:val="0010159D"/>
    <w:rsid w:val="001015AD"/>
    <w:rsid w:val="001016CA"/>
    <w:rsid w:val="001017CA"/>
    <w:rsid w:val="00101813"/>
    <w:rsid w:val="00101878"/>
    <w:rsid w:val="001018B3"/>
    <w:rsid w:val="001018BB"/>
    <w:rsid w:val="00101904"/>
    <w:rsid w:val="0010195B"/>
    <w:rsid w:val="00101999"/>
    <w:rsid w:val="00101A37"/>
    <w:rsid w:val="00101D9D"/>
    <w:rsid w:val="00101E5D"/>
    <w:rsid w:val="00101EB4"/>
    <w:rsid w:val="00101EC5"/>
    <w:rsid w:val="00102053"/>
    <w:rsid w:val="00102140"/>
    <w:rsid w:val="00102429"/>
    <w:rsid w:val="0010253C"/>
    <w:rsid w:val="0010253D"/>
    <w:rsid w:val="00102561"/>
    <w:rsid w:val="001025D4"/>
    <w:rsid w:val="001025EC"/>
    <w:rsid w:val="00102788"/>
    <w:rsid w:val="001027CE"/>
    <w:rsid w:val="001029EF"/>
    <w:rsid w:val="00102B3D"/>
    <w:rsid w:val="00102B96"/>
    <w:rsid w:val="00102BAC"/>
    <w:rsid w:val="00102BD1"/>
    <w:rsid w:val="00102C06"/>
    <w:rsid w:val="00102C26"/>
    <w:rsid w:val="00102C86"/>
    <w:rsid w:val="00102CC5"/>
    <w:rsid w:val="00102E70"/>
    <w:rsid w:val="00102E84"/>
    <w:rsid w:val="00102F04"/>
    <w:rsid w:val="00102FEA"/>
    <w:rsid w:val="0010311B"/>
    <w:rsid w:val="0010312E"/>
    <w:rsid w:val="001031A2"/>
    <w:rsid w:val="0010336B"/>
    <w:rsid w:val="0010336C"/>
    <w:rsid w:val="001033AC"/>
    <w:rsid w:val="001033DC"/>
    <w:rsid w:val="00103600"/>
    <w:rsid w:val="00103648"/>
    <w:rsid w:val="0010373B"/>
    <w:rsid w:val="00103770"/>
    <w:rsid w:val="00103773"/>
    <w:rsid w:val="0010380D"/>
    <w:rsid w:val="0010391A"/>
    <w:rsid w:val="00103947"/>
    <w:rsid w:val="001039E7"/>
    <w:rsid w:val="00103A1F"/>
    <w:rsid w:val="00103AFD"/>
    <w:rsid w:val="00103D49"/>
    <w:rsid w:val="00103EBA"/>
    <w:rsid w:val="00103FED"/>
    <w:rsid w:val="001043DF"/>
    <w:rsid w:val="001045E5"/>
    <w:rsid w:val="001045EB"/>
    <w:rsid w:val="0010486A"/>
    <w:rsid w:val="00104875"/>
    <w:rsid w:val="00104973"/>
    <w:rsid w:val="001049E3"/>
    <w:rsid w:val="00104A14"/>
    <w:rsid w:val="00104A85"/>
    <w:rsid w:val="00104AFA"/>
    <w:rsid w:val="00104BAF"/>
    <w:rsid w:val="00104C5F"/>
    <w:rsid w:val="00104D15"/>
    <w:rsid w:val="00104F23"/>
    <w:rsid w:val="00104F60"/>
    <w:rsid w:val="00104FC0"/>
    <w:rsid w:val="00104FED"/>
    <w:rsid w:val="0010505B"/>
    <w:rsid w:val="001050FD"/>
    <w:rsid w:val="00105121"/>
    <w:rsid w:val="00105146"/>
    <w:rsid w:val="00105204"/>
    <w:rsid w:val="001052AE"/>
    <w:rsid w:val="0010542D"/>
    <w:rsid w:val="0010548E"/>
    <w:rsid w:val="001054DD"/>
    <w:rsid w:val="00105590"/>
    <w:rsid w:val="001055CF"/>
    <w:rsid w:val="0010561C"/>
    <w:rsid w:val="001056FB"/>
    <w:rsid w:val="00105715"/>
    <w:rsid w:val="00105795"/>
    <w:rsid w:val="001058CB"/>
    <w:rsid w:val="001058DD"/>
    <w:rsid w:val="001058FA"/>
    <w:rsid w:val="00105929"/>
    <w:rsid w:val="00105963"/>
    <w:rsid w:val="00105973"/>
    <w:rsid w:val="00105A38"/>
    <w:rsid w:val="00105A81"/>
    <w:rsid w:val="00105B0B"/>
    <w:rsid w:val="00105B32"/>
    <w:rsid w:val="00105B45"/>
    <w:rsid w:val="00105B46"/>
    <w:rsid w:val="00105BAE"/>
    <w:rsid w:val="00105C0B"/>
    <w:rsid w:val="00105C0F"/>
    <w:rsid w:val="00105C3E"/>
    <w:rsid w:val="00105C76"/>
    <w:rsid w:val="00105E39"/>
    <w:rsid w:val="00105E48"/>
    <w:rsid w:val="00105E64"/>
    <w:rsid w:val="00105E97"/>
    <w:rsid w:val="00105EFA"/>
    <w:rsid w:val="00105FA2"/>
    <w:rsid w:val="00105FB2"/>
    <w:rsid w:val="00106036"/>
    <w:rsid w:val="00106041"/>
    <w:rsid w:val="0010607C"/>
    <w:rsid w:val="0010608C"/>
    <w:rsid w:val="00106118"/>
    <w:rsid w:val="0010613F"/>
    <w:rsid w:val="00106159"/>
    <w:rsid w:val="0010615B"/>
    <w:rsid w:val="001061D1"/>
    <w:rsid w:val="00106217"/>
    <w:rsid w:val="0010625B"/>
    <w:rsid w:val="00106294"/>
    <w:rsid w:val="00106322"/>
    <w:rsid w:val="001063AB"/>
    <w:rsid w:val="001063EE"/>
    <w:rsid w:val="0010641E"/>
    <w:rsid w:val="0010652B"/>
    <w:rsid w:val="00106561"/>
    <w:rsid w:val="001065A7"/>
    <w:rsid w:val="0010661A"/>
    <w:rsid w:val="0010667F"/>
    <w:rsid w:val="0010671E"/>
    <w:rsid w:val="00106765"/>
    <w:rsid w:val="001067B7"/>
    <w:rsid w:val="00106891"/>
    <w:rsid w:val="0010691F"/>
    <w:rsid w:val="0010696F"/>
    <w:rsid w:val="001069E5"/>
    <w:rsid w:val="00106A23"/>
    <w:rsid w:val="00106A82"/>
    <w:rsid w:val="00106A97"/>
    <w:rsid w:val="00106AA0"/>
    <w:rsid w:val="00106AA9"/>
    <w:rsid w:val="00106ADA"/>
    <w:rsid w:val="00106B8C"/>
    <w:rsid w:val="00106BE5"/>
    <w:rsid w:val="00106BE6"/>
    <w:rsid w:val="00106CF6"/>
    <w:rsid w:val="00106CFA"/>
    <w:rsid w:val="00106D20"/>
    <w:rsid w:val="00106D63"/>
    <w:rsid w:val="00106E0A"/>
    <w:rsid w:val="00106E0E"/>
    <w:rsid w:val="00106E86"/>
    <w:rsid w:val="00106EAE"/>
    <w:rsid w:val="00106EC6"/>
    <w:rsid w:val="00107048"/>
    <w:rsid w:val="001070D6"/>
    <w:rsid w:val="001070F4"/>
    <w:rsid w:val="0010717B"/>
    <w:rsid w:val="0010723C"/>
    <w:rsid w:val="001072C4"/>
    <w:rsid w:val="001072CF"/>
    <w:rsid w:val="00107435"/>
    <w:rsid w:val="001075F3"/>
    <w:rsid w:val="0010773A"/>
    <w:rsid w:val="00107768"/>
    <w:rsid w:val="0010778E"/>
    <w:rsid w:val="001078E9"/>
    <w:rsid w:val="00107935"/>
    <w:rsid w:val="00107984"/>
    <w:rsid w:val="0010799D"/>
    <w:rsid w:val="00107A01"/>
    <w:rsid w:val="00107A64"/>
    <w:rsid w:val="00107B10"/>
    <w:rsid w:val="00107B1B"/>
    <w:rsid w:val="00107B8C"/>
    <w:rsid w:val="00107BA7"/>
    <w:rsid w:val="00107BDC"/>
    <w:rsid w:val="00107C0F"/>
    <w:rsid w:val="00107C23"/>
    <w:rsid w:val="00107C55"/>
    <w:rsid w:val="00107C98"/>
    <w:rsid w:val="00107CCD"/>
    <w:rsid w:val="00107D6A"/>
    <w:rsid w:val="00107D74"/>
    <w:rsid w:val="00107E15"/>
    <w:rsid w:val="00107E29"/>
    <w:rsid w:val="00107E9D"/>
    <w:rsid w:val="00107F18"/>
    <w:rsid w:val="00107FFA"/>
    <w:rsid w:val="0011004F"/>
    <w:rsid w:val="001100F5"/>
    <w:rsid w:val="001100FC"/>
    <w:rsid w:val="001102E4"/>
    <w:rsid w:val="00110307"/>
    <w:rsid w:val="001103F0"/>
    <w:rsid w:val="00110407"/>
    <w:rsid w:val="0011057E"/>
    <w:rsid w:val="001105B3"/>
    <w:rsid w:val="00110634"/>
    <w:rsid w:val="001106A8"/>
    <w:rsid w:val="001106F9"/>
    <w:rsid w:val="00110771"/>
    <w:rsid w:val="001107FD"/>
    <w:rsid w:val="0011098E"/>
    <w:rsid w:val="00110A27"/>
    <w:rsid w:val="00110A57"/>
    <w:rsid w:val="00110BE2"/>
    <w:rsid w:val="00110C7F"/>
    <w:rsid w:val="00110C8A"/>
    <w:rsid w:val="00110CE0"/>
    <w:rsid w:val="00110CE5"/>
    <w:rsid w:val="00110D50"/>
    <w:rsid w:val="00110D58"/>
    <w:rsid w:val="00110DB2"/>
    <w:rsid w:val="00110EE2"/>
    <w:rsid w:val="00110F86"/>
    <w:rsid w:val="00110FAE"/>
    <w:rsid w:val="0011101D"/>
    <w:rsid w:val="0011119D"/>
    <w:rsid w:val="001111BE"/>
    <w:rsid w:val="00111268"/>
    <w:rsid w:val="0011132C"/>
    <w:rsid w:val="001113D1"/>
    <w:rsid w:val="00111717"/>
    <w:rsid w:val="001117A4"/>
    <w:rsid w:val="0011189E"/>
    <w:rsid w:val="001118A6"/>
    <w:rsid w:val="001118D5"/>
    <w:rsid w:val="0011196E"/>
    <w:rsid w:val="00111A88"/>
    <w:rsid w:val="00111A92"/>
    <w:rsid w:val="00111B60"/>
    <w:rsid w:val="00111C8E"/>
    <w:rsid w:val="00111C95"/>
    <w:rsid w:val="00111CAF"/>
    <w:rsid w:val="00111FB5"/>
    <w:rsid w:val="00112018"/>
    <w:rsid w:val="001120AC"/>
    <w:rsid w:val="001120D3"/>
    <w:rsid w:val="0011214E"/>
    <w:rsid w:val="001121EB"/>
    <w:rsid w:val="0011221A"/>
    <w:rsid w:val="00112294"/>
    <w:rsid w:val="001122D1"/>
    <w:rsid w:val="0011239F"/>
    <w:rsid w:val="001124CA"/>
    <w:rsid w:val="001124D9"/>
    <w:rsid w:val="0011253A"/>
    <w:rsid w:val="001125FC"/>
    <w:rsid w:val="00112671"/>
    <w:rsid w:val="0011268E"/>
    <w:rsid w:val="001126B3"/>
    <w:rsid w:val="001127C6"/>
    <w:rsid w:val="0011280A"/>
    <w:rsid w:val="00112865"/>
    <w:rsid w:val="0011286A"/>
    <w:rsid w:val="0011289C"/>
    <w:rsid w:val="00112929"/>
    <w:rsid w:val="0011299A"/>
    <w:rsid w:val="001129A1"/>
    <w:rsid w:val="00112A85"/>
    <w:rsid w:val="00112AAA"/>
    <w:rsid w:val="00112AC7"/>
    <w:rsid w:val="00112AEA"/>
    <w:rsid w:val="00112B55"/>
    <w:rsid w:val="00112BF8"/>
    <w:rsid w:val="00112C83"/>
    <w:rsid w:val="00112D1D"/>
    <w:rsid w:val="00112EEB"/>
    <w:rsid w:val="00112F67"/>
    <w:rsid w:val="00112F99"/>
    <w:rsid w:val="00113086"/>
    <w:rsid w:val="00113090"/>
    <w:rsid w:val="001130E4"/>
    <w:rsid w:val="00113209"/>
    <w:rsid w:val="00113260"/>
    <w:rsid w:val="00113283"/>
    <w:rsid w:val="00113373"/>
    <w:rsid w:val="00113449"/>
    <w:rsid w:val="001134C5"/>
    <w:rsid w:val="001134E2"/>
    <w:rsid w:val="001135D0"/>
    <w:rsid w:val="001135F0"/>
    <w:rsid w:val="00113693"/>
    <w:rsid w:val="001137AE"/>
    <w:rsid w:val="0011392D"/>
    <w:rsid w:val="00113A7C"/>
    <w:rsid w:val="00113B20"/>
    <w:rsid w:val="00113D1A"/>
    <w:rsid w:val="00113D25"/>
    <w:rsid w:val="00113E20"/>
    <w:rsid w:val="00113EC7"/>
    <w:rsid w:val="00114063"/>
    <w:rsid w:val="00114232"/>
    <w:rsid w:val="0011423C"/>
    <w:rsid w:val="00114278"/>
    <w:rsid w:val="00114382"/>
    <w:rsid w:val="001143BC"/>
    <w:rsid w:val="001143BD"/>
    <w:rsid w:val="00114430"/>
    <w:rsid w:val="00114494"/>
    <w:rsid w:val="0011455A"/>
    <w:rsid w:val="0011464E"/>
    <w:rsid w:val="001146B7"/>
    <w:rsid w:val="001146BB"/>
    <w:rsid w:val="001147B3"/>
    <w:rsid w:val="00114805"/>
    <w:rsid w:val="0011484E"/>
    <w:rsid w:val="001148E8"/>
    <w:rsid w:val="001148F7"/>
    <w:rsid w:val="001149B2"/>
    <w:rsid w:val="00114A6B"/>
    <w:rsid w:val="00114A6F"/>
    <w:rsid w:val="00114B0A"/>
    <w:rsid w:val="00114B2E"/>
    <w:rsid w:val="00114BAB"/>
    <w:rsid w:val="00114BD7"/>
    <w:rsid w:val="00114BE9"/>
    <w:rsid w:val="00114C2D"/>
    <w:rsid w:val="00114CCA"/>
    <w:rsid w:val="00114D20"/>
    <w:rsid w:val="00114D73"/>
    <w:rsid w:val="00114DA0"/>
    <w:rsid w:val="00114E46"/>
    <w:rsid w:val="00114ED0"/>
    <w:rsid w:val="00114F3F"/>
    <w:rsid w:val="00114F64"/>
    <w:rsid w:val="00114FFA"/>
    <w:rsid w:val="00115099"/>
    <w:rsid w:val="0011510F"/>
    <w:rsid w:val="00115125"/>
    <w:rsid w:val="00115140"/>
    <w:rsid w:val="0011517E"/>
    <w:rsid w:val="0011519C"/>
    <w:rsid w:val="001152AF"/>
    <w:rsid w:val="001152F2"/>
    <w:rsid w:val="00115313"/>
    <w:rsid w:val="001153C3"/>
    <w:rsid w:val="00115422"/>
    <w:rsid w:val="001154AF"/>
    <w:rsid w:val="00115761"/>
    <w:rsid w:val="00115795"/>
    <w:rsid w:val="001157D2"/>
    <w:rsid w:val="001157D7"/>
    <w:rsid w:val="00115853"/>
    <w:rsid w:val="00115957"/>
    <w:rsid w:val="0011595C"/>
    <w:rsid w:val="001159CF"/>
    <w:rsid w:val="001159E2"/>
    <w:rsid w:val="00115A3F"/>
    <w:rsid w:val="00115A82"/>
    <w:rsid w:val="00115ACD"/>
    <w:rsid w:val="00115B61"/>
    <w:rsid w:val="00115C56"/>
    <w:rsid w:val="00115CAD"/>
    <w:rsid w:val="00115E59"/>
    <w:rsid w:val="00115E69"/>
    <w:rsid w:val="00115E82"/>
    <w:rsid w:val="00115E9C"/>
    <w:rsid w:val="00115F24"/>
    <w:rsid w:val="00116079"/>
    <w:rsid w:val="00116139"/>
    <w:rsid w:val="001161A4"/>
    <w:rsid w:val="0011626C"/>
    <w:rsid w:val="001162FE"/>
    <w:rsid w:val="00116382"/>
    <w:rsid w:val="0011643B"/>
    <w:rsid w:val="00116484"/>
    <w:rsid w:val="00116495"/>
    <w:rsid w:val="00116497"/>
    <w:rsid w:val="00116523"/>
    <w:rsid w:val="00116606"/>
    <w:rsid w:val="00116662"/>
    <w:rsid w:val="0011673D"/>
    <w:rsid w:val="00116849"/>
    <w:rsid w:val="0011687D"/>
    <w:rsid w:val="001168F0"/>
    <w:rsid w:val="00116907"/>
    <w:rsid w:val="00116ACF"/>
    <w:rsid w:val="00116AEC"/>
    <w:rsid w:val="00116B37"/>
    <w:rsid w:val="00116BAC"/>
    <w:rsid w:val="00116BBA"/>
    <w:rsid w:val="00116D5C"/>
    <w:rsid w:val="00116D6F"/>
    <w:rsid w:val="00116F1B"/>
    <w:rsid w:val="00116F40"/>
    <w:rsid w:val="00116F65"/>
    <w:rsid w:val="00116F7F"/>
    <w:rsid w:val="00117073"/>
    <w:rsid w:val="00117119"/>
    <w:rsid w:val="0011717B"/>
    <w:rsid w:val="001171FF"/>
    <w:rsid w:val="0011723A"/>
    <w:rsid w:val="0011726B"/>
    <w:rsid w:val="001172B2"/>
    <w:rsid w:val="0011741A"/>
    <w:rsid w:val="00117479"/>
    <w:rsid w:val="00117548"/>
    <w:rsid w:val="001175A6"/>
    <w:rsid w:val="00117650"/>
    <w:rsid w:val="001176FF"/>
    <w:rsid w:val="00117791"/>
    <w:rsid w:val="001178A0"/>
    <w:rsid w:val="00117A73"/>
    <w:rsid w:val="00117A88"/>
    <w:rsid w:val="00117B3B"/>
    <w:rsid w:val="00117B70"/>
    <w:rsid w:val="00117C7A"/>
    <w:rsid w:val="00117DB6"/>
    <w:rsid w:val="00117DB9"/>
    <w:rsid w:val="00117E35"/>
    <w:rsid w:val="00117EE8"/>
    <w:rsid w:val="00117F2B"/>
    <w:rsid w:val="00117F9B"/>
    <w:rsid w:val="00117FA0"/>
    <w:rsid w:val="00117FF6"/>
    <w:rsid w:val="00120037"/>
    <w:rsid w:val="001200A4"/>
    <w:rsid w:val="00120189"/>
    <w:rsid w:val="001201C2"/>
    <w:rsid w:val="00120209"/>
    <w:rsid w:val="00120226"/>
    <w:rsid w:val="0012023E"/>
    <w:rsid w:val="0012028D"/>
    <w:rsid w:val="00120341"/>
    <w:rsid w:val="00120384"/>
    <w:rsid w:val="001204B2"/>
    <w:rsid w:val="001204F1"/>
    <w:rsid w:val="0012050F"/>
    <w:rsid w:val="0012057D"/>
    <w:rsid w:val="001205A4"/>
    <w:rsid w:val="0012067E"/>
    <w:rsid w:val="001206A7"/>
    <w:rsid w:val="0012083E"/>
    <w:rsid w:val="00120888"/>
    <w:rsid w:val="001208AD"/>
    <w:rsid w:val="001208C9"/>
    <w:rsid w:val="001208FF"/>
    <w:rsid w:val="001209FA"/>
    <w:rsid w:val="00120A34"/>
    <w:rsid w:val="00120A49"/>
    <w:rsid w:val="00120A68"/>
    <w:rsid w:val="00120A78"/>
    <w:rsid w:val="00120AB7"/>
    <w:rsid w:val="00120B79"/>
    <w:rsid w:val="00120C64"/>
    <w:rsid w:val="00120D76"/>
    <w:rsid w:val="00120DFE"/>
    <w:rsid w:val="00120E59"/>
    <w:rsid w:val="00120EB6"/>
    <w:rsid w:val="00120ECF"/>
    <w:rsid w:val="00120F7E"/>
    <w:rsid w:val="00121001"/>
    <w:rsid w:val="00121072"/>
    <w:rsid w:val="00121093"/>
    <w:rsid w:val="001210A7"/>
    <w:rsid w:val="001210EF"/>
    <w:rsid w:val="0012114B"/>
    <w:rsid w:val="00121211"/>
    <w:rsid w:val="00121246"/>
    <w:rsid w:val="0012124F"/>
    <w:rsid w:val="00121324"/>
    <w:rsid w:val="0012134A"/>
    <w:rsid w:val="00121454"/>
    <w:rsid w:val="0012157E"/>
    <w:rsid w:val="001215B3"/>
    <w:rsid w:val="00121628"/>
    <w:rsid w:val="0012167D"/>
    <w:rsid w:val="00121723"/>
    <w:rsid w:val="00121850"/>
    <w:rsid w:val="00121861"/>
    <w:rsid w:val="00121AD3"/>
    <w:rsid w:val="00121AEB"/>
    <w:rsid w:val="00121B29"/>
    <w:rsid w:val="00121B6C"/>
    <w:rsid w:val="00121CD5"/>
    <w:rsid w:val="00121D0A"/>
    <w:rsid w:val="00121D15"/>
    <w:rsid w:val="00121D69"/>
    <w:rsid w:val="00121E8E"/>
    <w:rsid w:val="00121EB0"/>
    <w:rsid w:val="00121EBC"/>
    <w:rsid w:val="00121F30"/>
    <w:rsid w:val="00121F5A"/>
    <w:rsid w:val="00121F63"/>
    <w:rsid w:val="00121F86"/>
    <w:rsid w:val="00121FBC"/>
    <w:rsid w:val="001220DE"/>
    <w:rsid w:val="00122189"/>
    <w:rsid w:val="0012224D"/>
    <w:rsid w:val="0012227D"/>
    <w:rsid w:val="00122280"/>
    <w:rsid w:val="001222DC"/>
    <w:rsid w:val="0012234A"/>
    <w:rsid w:val="00122455"/>
    <w:rsid w:val="00122461"/>
    <w:rsid w:val="0012250C"/>
    <w:rsid w:val="00122517"/>
    <w:rsid w:val="0012266B"/>
    <w:rsid w:val="0012266E"/>
    <w:rsid w:val="0012269F"/>
    <w:rsid w:val="001226D9"/>
    <w:rsid w:val="001227DC"/>
    <w:rsid w:val="001229EC"/>
    <w:rsid w:val="00122A56"/>
    <w:rsid w:val="00122AC7"/>
    <w:rsid w:val="00122B4C"/>
    <w:rsid w:val="00122BEB"/>
    <w:rsid w:val="00122D16"/>
    <w:rsid w:val="00122D42"/>
    <w:rsid w:val="00122E3B"/>
    <w:rsid w:val="00122FC1"/>
    <w:rsid w:val="0012300A"/>
    <w:rsid w:val="0012302F"/>
    <w:rsid w:val="0012307F"/>
    <w:rsid w:val="00123109"/>
    <w:rsid w:val="0012316C"/>
    <w:rsid w:val="001232B9"/>
    <w:rsid w:val="001232FF"/>
    <w:rsid w:val="00123345"/>
    <w:rsid w:val="00123380"/>
    <w:rsid w:val="0012345A"/>
    <w:rsid w:val="001234F3"/>
    <w:rsid w:val="001234F7"/>
    <w:rsid w:val="0012355B"/>
    <w:rsid w:val="001235AA"/>
    <w:rsid w:val="001235EB"/>
    <w:rsid w:val="00123757"/>
    <w:rsid w:val="00123789"/>
    <w:rsid w:val="0012387F"/>
    <w:rsid w:val="001238CC"/>
    <w:rsid w:val="0012390D"/>
    <w:rsid w:val="00123933"/>
    <w:rsid w:val="00123AD5"/>
    <w:rsid w:val="00123B83"/>
    <w:rsid w:val="00123C22"/>
    <w:rsid w:val="00123C46"/>
    <w:rsid w:val="00123C8C"/>
    <w:rsid w:val="00123D46"/>
    <w:rsid w:val="00123D6A"/>
    <w:rsid w:val="00123E36"/>
    <w:rsid w:val="00123ECD"/>
    <w:rsid w:val="00123FBC"/>
    <w:rsid w:val="00124075"/>
    <w:rsid w:val="001241F3"/>
    <w:rsid w:val="001242A4"/>
    <w:rsid w:val="001242F2"/>
    <w:rsid w:val="001243EC"/>
    <w:rsid w:val="00124569"/>
    <w:rsid w:val="001246BD"/>
    <w:rsid w:val="0012470B"/>
    <w:rsid w:val="00124712"/>
    <w:rsid w:val="001247A4"/>
    <w:rsid w:val="001247E1"/>
    <w:rsid w:val="00124805"/>
    <w:rsid w:val="00124875"/>
    <w:rsid w:val="0012492D"/>
    <w:rsid w:val="00124985"/>
    <w:rsid w:val="00124A08"/>
    <w:rsid w:val="00124A39"/>
    <w:rsid w:val="00124A69"/>
    <w:rsid w:val="00124B6E"/>
    <w:rsid w:val="00124C0F"/>
    <w:rsid w:val="00124CE3"/>
    <w:rsid w:val="00124D77"/>
    <w:rsid w:val="00124FDF"/>
    <w:rsid w:val="00125008"/>
    <w:rsid w:val="0012500A"/>
    <w:rsid w:val="001250BA"/>
    <w:rsid w:val="001250C4"/>
    <w:rsid w:val="001250E9"/>
    <w:rsid w:val="00125248"/>
    <w:rsid w:val="0012525E"/>
    <w:rsid w:val="00125420"/>
    <w:rsid w:val="0012543E"/>
    <w:rsid w:val="00125513"/>
    <w:rsid w:val="001255B7"/>
    <w:rsid w:val="001255DB"/>
    <w:rsid w:val="00125643"/>
    <w:rsid w:val="001256EF"/>
    <w:rsid w:val="00125720"/>
    <w:rsid w:val="0012577A"/>
    <w:rsid w:val="00125795"/>
    <w:rsid w:val="00125797"/>
    <w:rsid w:val="0012581A"/>
    <w:rsid w:val="0012585D"/>
    <w:rsid w:val="001258C9"/>
    <w:rsid w:val="001259BE"/>
    <w:rsid w:val="00125B24"/>
    <w:rsid w:val="00125BB8"/>
    <w:rsid w:val="00125C75"/>
    <w:rsid w:val="00125C7E"/>
    <w:rsid w:val="00125CF3"/>
    <w:rsid w:val="00125D13"/>
    <w:rsid w:val="00125E21"/>
    <w:rsid w:val="00125EA8"/>
    <w:rsid w:val="00125FE6"/>
    <w:rsid w:val="0012602F"/>
    <w:rsid w:val="00126040"/>
    <w:rsid w:val="00126069"/>
    <w:rsid w:val="00126073"/>
    <w:rsid w:val="001260B5"/>
    <w:rsid w:val="001260E8"/>
    <w:rsid w:val="00126115"/>
    <w:rsid w:val="0012614C"/>
    <w:rsid w:val="0012618C"/>
    <w:rsid w:val="00126205"/>
    <w:rsid w:val="00126222"/>
    <w:rsid w:val="001262B7"/>
    <w:rsid w:val="00126310"/>
    <w:rsid w:val="00126375"/>
    <w:rsid w:val="00126489"/>
    <w:rsid w:val="00126556"/>
    <w:rsid w:val="0012657E"/>
    <w:rsid w:val="00126585"/>
    <w:rsid w:val="001265A7"/>
    <w:rsid w:val="001266C1"/>
    <w:rsid w:val="00126746"/>
    <w:rsid w:val="001267C2"/>
    <w:rsid w:val="0012683E"/>
    <w:rsid w:val="00126883"/>
    <w:rsid w:val="0012699D"/>
    <w:rsid w:val="001269C8"/>
    <w:rsid w:val="00126B33"/>
    <w:rsid w:val="00126B5B"/>
    <w:rsid w:val="00126BBC"/>
    <w:rsid w:val="00126BEE"/>
    <w:rsid w:val="00126C12"/>
    <w:rsid w:val="00126CB6"/>
    <w:rsid w:val="00126CFA"/>
    <w:rsid w:val="00126D3D"/>
    <w:rsid w:val="00126D73"/>
    <w:rsid w:val="00126DD6"/>
    <w:rsid w:val="00126E12"/>
    <w:rsid w:val="00126E13"/>
    <w:rsid w:val="00126E26"/>
    <w:rsid w:val="00126EBC"/>
    <w:rsid w:val="00126FEE"/>
    <w:rsid w:val="0012705F"/>
    <w:rsid w:val="0012708A"/>
    <w:rsid w:val="001270D1"/>
    <w:rsid w:val="001270ED"/>
    <w:rsid w:val="00127251"/>
    <w:rsid w:val="001272E2"/>
    <w:rsid w:val="0012738F"/>
    <w:rsid w:val="00127410"/>
    <w:rsid w:val="00127519"/>
    <w:rsid w:val="001275AF"/>
    <w:rsid w:val="001276CA"/>
    <w:rsid w:val="001276D3"/>
    <w:rsid w:val="0012775F"/>
    <w:rsid w:val="00127853"/>
    <w:rsid w:val="0012792E"/>
    <w:rsid w:val="00127945"/>
    <w:rsid w:val="00127B55"/>
    <w:rsid w:val="00127B57"/>
    <w:rsid w:val="00127B63"/>
    <w:rsid w:val="00127B99"/>
    <w:rsid w:val="00127BE5"/>
    <w:rsid w:val="00127C9F"/>
    <w:rsid w:val="00127CCD"/>
    <w:rsid w:val="00127D09"/>
    <w:rsid w:val="00127D94"/>
    <w:rsid w:val="00127DE0"/>
    <w:rsid w:val="00127E08"/>
    <w:rsid w:val="00127E62"/>
    <w:rsid w:val="00127E90"/>
    <w:rsid w:val="00127F30"/>
    <w:rsid w:val="00127F58"/>
    <w:rsid w:val="00127F92"/>
    <w:rsid w:val="001300C5"/>
    <w:rsid w:val="00130169"/>
    <w:rsid w:val="0013017C"/>
    <w:rsid w:val="0013025B"/>
    <w:rsid w:val="001302C1"/>
    <w:rsid w:val="00130310"/>
    <w:rsid w:val="0013034E"/>
    <w:rsid w:val="0013043C"/>
    <w:rsid w:val="00130471"/>
    <w:rsid w:val="00130486"/>
    <w:rsid w:val="00130487"/>
    <w:rsid w:val="00130491"/>
    <w:rsid w:val="001305B0"/>
    <w:rsid w:val="001306D3"/>
    <w:rsid w:val="001307C2"/>
    <w:rsid w:val="001307F3"/>
    <w:rsid w:val="00130858"/>
    <w:rsid w:val="00130874"/>
    <w:rsid w:val="001308E4"/>
    <w:rsid w:val="0013091D"/>
    <w:rsid w:val="00130A61"/>
    <w:rsid w:val="00130A6C"/>
    <w:rsid w:val="00130ACD"/>
    <w:rsid w:val="00130BE6"/>
    <w:rsid w:val="00130C73"/>
    <w:rsid w:val="00130D5F"/>
    <w:rsid w:val="00130D6E"/>
    <w:rsid w:val="00130DA7"/>
    <w:rsid w:val="00130EC1"/>
    <w:rsid w:val="00130FBE"/>
    <w:rsid w:val="00130FC5"/>
    <w:rsid w:val="00131086"/>
    <w:rsid w:val="001310BF"/>
    <w:rsid w:val="001311F7"/>
    <w:rsid w:val="001312C0"/>
    <w:rsid w:val="00131309"/>
    <w:rsid w:val="0013133B"/>
    <w:rsid w:val="001313DD"/>
    <w:rsid w:val="00131429"/>
    <w:rsid w:val="00131451"/>
    <w:rsid w:val="001314A4"/>
    <w:rsid w:val="001316B1"/>
    <w:rsid w:val="00131763"/>
    <w:rsid w:val="001317A5"/>
    <w:rsid w:val="001317E9"/>
    <w:rsid w:val="001317FE"/>
    <w:rsid w:val="0013185A"/>
    <w:rsid w:val="0013188E"/>
    <w:rsid w:val="001318DF"/>
    <w:rsid w:val="00131914"/>
    <w:rsid w:val="0013193B"/>
    <w:rsid w:val="001319B9"/>
    <w:rsid w:val="001319BE"/>
    <w:rsid w:val="00131A03"/>
    <w:rsid w:val="00131AF8"/>
    <w:rsid w:val="00131B38"/>
    <w:rsid w:val="00131C5C"/>
    <w:rsid w:val="00131C79"/>
    <w:rsid w:val="00131C95"/>
    <w:rsid w:val="00131D85"/>
    <w:rsid w:val="00131E52"/>
    <w:rsid w:val="00132079"/>
    <w:rsid w:val="001320CE"/>
    <w:rsid w:val="00132183"/>
    <w:rsid w:val="00132245"/>
    <w:rsid w:val="00132287"/>
    <w:rsid w:val="0013230D"/>
    <w:rsid w:val="00132315"/>
    <w:rsid w:val="00132407"/>
    <w:rsid w:val="0013246B"/>
    <w:rsid w:val="0013247F"/>
    <w:rsid w:val="0013248C"/>
    <w:rsid w:val="001325CD"/>
    <w:rsid w:val="0013264D"/>
    <w:rsid w:val="0013264E"/>
    <w:rsid w:val="00132660"/>
    <w:rsid w:val="00132702"/>
    <w:rsid w:val="00132704"/>
    <w:rsid w:val="0013271B"/>
    <w:rsid w:val="001327ED"/>
    <w:rsid w:val="00132860"/>
    <w:rsid w:val="001328FA"/>
    <w:rsid w:val="00132992"/>
    <w:rsid w:val="00132A43"/>
    <w:rsid w:val="00132A55"/>
    <w:rsid w:val="00132BED"/>
    <w:rsid w:val="00132D51"/>
    <w:rsid w:val="00132E21"/>
    <w:rsid w:val="00132E2D"/>
    <w:rsid w:val="00132E6F"/>
    <w:rsid w:val="00132E72"/>
    <w:rsid w:val="00132ED1"/>
    <w:rsid w:val="00132FED"/>
    <w:rsid w:val="0013300D"/>
    <w:rsid w:val="00133035"/>
    <w:rsid w:val="001330CD"/>
    <w:rsid w:val="001330E3"/>
    <w:rsid w:val="00133179"/>
    <w:rsid w:val="0013324C"/>
    <w:rsid w:val="001333EF"/>
    <w:rsid w:val="001333F9"/>
    <w:rsid w:val="00133425"/>
    <w:rsid w:val="0013342B"/>
    <w:rsid w:val="0013345E"/>
    <w:rsid w:val="001334D3"/>
    <w:rsid w:val="001335F2"/>
    <w:rsid w:val="001335F4"/>
    <w:rsid w:val="0013362D"/>
    <w:rsid w:val="00133640"/>
    <w:rsid w:val="00133715"/>
    <w:rsid w:val="0013373E"/>
    <w:rsid w:val="00133756"/>
    <w:rsid w:val="001337B4"/>
    <w:rsid w:val="001338FD"/>
    <w:rsid w:val="0013390B"/>
    <w:rsid w:val="00133B0F"/>
    <w:rsid w:val="00133C7D"/>
    <w:rsid w:val="00133C8F"/>
    <w:rsid w:val="00133C90"/>
    <w:rsid w:val="00133CA6"/>
    <w:rsid w:val="00133CC1"/>
    <w:rsid w:val="00133CD9"/>
    <w:rsid w:val="00133CE4"/>
    <w:rsid w:val="00133DA7"/>
    <w:rsid w:val="00133E15"/>
    <w:rsid w:val="00133E20"/>
    <w:rsid w:val="00133E73"/>
    <w:rsid w:val="00133FC2"/>
    <w:rsid w:val="00133FDB"/>
    <w:rsid w:val="00134110"/>
    <w:rsid w:val="001341A3"/>
    <w:rsid w:val="001341ED"/>
    <w:rsid w:val="001342C7"/>
    <w:rsid w:val="00134324"/>
    <w:rsid w:val="00134337"/>
    <w:rsid w:val="00134469"/>
    <w:rsid w:val="001344F6"/>
    <w:rsid w:val="00134534"/>
    <w:rsid w:val="0013456C"/>
    <w:rsid w:val="001345D6"/>
    <w:rsid w:val="001345E4"/>
    <w:rsid w:val="00134664"/>
    <w:rsid w:val="001346E9"/>
    <w:rsid w:val="00134719"/>
    <w:rsid w:val="00134724"/>
    <w:rsid w:val="00134771"/>
    <w:rsid w:val="00134799"/>
    <w:rsid w:val="001347D7"/>
    <w:rsid w:val="00134900"/>
    <w:rsid w:val="0013494F"/>
    <w:rsid w:val="00134957"/>
    <w:rsid w:val="00134A76"/>
    <w:rsid w:val="00134AEA"/>
    <w:rsid w:val="00134B8B"/>
    <w:rsid w:val="00134C01"/>
    <w:rsid w:val="00134C14"/>
    <w:rsid w:val="00134D53"/>
    <w:rsid w:val="00134E04"/>
    <w:rsid w:val="00134E2A"/>
    <w:rsid w:val="00134EE9"/>
    <w:rsid w:val="00134F42"/>
    <w:rsid w:val="00134F4A"/>
    <w:rsid w:val="00135093"/>
    <w:rsid w:val="001350ED"/>
    <w:rsid w:val="0013512A"/>
    <w:rsid w:val="00135239"/>
    <w:rsid w:val="001352D8"/>
    <w:rsid w:val="00135353"/>
    <w:rsid w:val="001353E7"/>
    <w:rsid w:val="001353EC"/>
    <w:rsid w:val="00135424"/>
    <w:rsid w:val="001354CE"/>
    <w:rsid w:val="001354D4"/>
    <w:rsid w:val="0013551E"/>
    <w:rsid w:val="0013552B"/>
    <w:rsid w:val="00135532"/>
    <w:rsid w:val="00135565"/>
    <w:rsid w:val="0013561B"/>
    <w:rsid w:val="0013562D"/>
    <w:rsid w:val="001356A7"/>
    <w:rsid w:val="001356D3"/>
    <w:rsid w:val="00135848"/>
    <w:rsid w:val="001358DE"/>
    <w:rsid w:val="0013591B"/>
    <w:rsid w:val="0013594B"/>
    <w:rsid w:val="00135A72"/>
    <w:rsid w:val="00135B73"/>
    <w:rsid w:val="00135B89"/>
    <w:rsid w:val="00135C52"/>
    <w:rsid w:val="00135CA5"/>
    <w:rsid w:val="00135CB7"/>
    <w:rsid w:val="00135D08"/>
    <w:rsid w:val="00135DFE"/>
    <w:rsid w:val="00135E4E"/>
    <w:rsid w:val="001360EC"/>
    <w:rsid w:val="0013613C"/>
    <w:rsid w:val="0013623B"/>
    <w:rsid w:val="00136246"/>
    <w:rsid w:val="0013633D"/>
    <w:rsid w:val="00136353"/>
    <w:rsid w:val="0013638E"/>
    <w:rsid w:val="001363FE"/>
    <w:rsid w:val="00136439"/>
    <w:rsid w:val="00136447"/>
    <w:rsid w:val="001364D4"/>
    <w:rsid w:val="00136520"/>
    <w:rsid w:val="00136585"/>
    <w:rsid w:val="001365DC"/>
    <w:rsid w:val="0013660F"/>
    <w:rsid w:val="00136711"/>
    <w:rsid w:val="001367FD"/>
    <w:rsid w:val="00136917"/>
    <w:rsid w:val="0013698B"/>
    <w:rsid w:val="00136B33"/>
    <w:rsid w:val="00136B60"/>
    <w:rsid w:val="00136BD1"/>
    <w:rsid w:val="00136BD4"/>
    <w:rsid w:val="00136C00"/>
    <w:rsid w:val="00136C1C"/>
    <w:rsid w:val="00136C74"/>
    <w:rsid w:val="00136CB7"/>
    <w:rsid w:val="00136D26"/>
    <w:rsid w:val="00136D4A"/>
    <w:rsid w:val="00136D69"/>
    <w:rsid w:val="00136DD4"/>
    <w:rsid w:val="00136DE5"/>
    <w:rsid w:val="00136FAD"/>
    <w:rsid w:val="00137127"/>
    <w:rsid w:val="00137132"/>
    <w:rsid w:val="001371A4"/>
    <w:rsid w:val="001371B4"/>
    <w:rsid w:val="001371C8"/>
    <w:rsid w:val="001371E6"/>
    <w:rsid w:val="0013724F"/>
    <w:rsid w:val="00137299"/>
    <w:rsid w:val="001372D3"/>
    <w:rsid w:val="001372ED"/>
    <w:rsid w:val="0013732A"/>
    <w:rsid w:val="00137392"/>
    <w:rsid w:val="001375D3"/>
    <w:rsid w:val="00137633"/>
    <w:rsid w:val="00137645"/>
    <w:rsid w:val="0013777C"/>
    <w:rsid w:val="00137818"/>
    <w:rsid w:val="001378C4"/>
    <w:rsid w:val="00137918"/>
    <w:rsid w:val="0013791E"/>
    <w:rsid w:val="0013798C"/>
    <w:rsid w:val="00137ABC"/>
    <w:rsid w:val="00137AF4"/>
    <w:rsid w:val="00137B02"/>
    <w:rsid w:val="00137B45"/>
    <w:rsid w:val="00137B5B"/>
    <w:rsid w:val="00137BAC"/>
    <w:rsid w:val="00137BC9"/>
    <w:rsid w:val="00137D6E"/>
    <w:rsid w:val="00137D87"/>
    <w:rsid w:val="00137D99"/>
    <w:rsid w:val="00137DB5"/>
    <w:rsid w:val="00137E26"/>
    <w:rsid w:val="00137E3A"/>
    <w:rsid w:val="00137E85"/>
    <w:rsid w:val="00137FBA"/>
    <w:rsid w:val="0014004C"/>
    <w:rsid w:val="00140056"/>
    <w:rsid w:val="00140099"/>
    <w:rsid w:val="00140171"/>
    <w:rsid w:val="0014022A"/>
    <w:rsid w:val="001402DA"/>
    <w:rsid w:val="001402FE"/>
    <w:rsid w:val="00140329"/>
    <w:rsid w:val="001403BD"/>
    <w:rsid w:val="00140432"/>
    <w:rsid w:val="00140528"/>
    <w:rsid w:val="0014055C"/>
    <w:rsid w:val="001405E3"/>
    <w:rsid w:val="00140639"/>
    <w:rsid w:val="00140678"/>
    <w:rsid w:val="00140695"/>
    <w:rsid w:val="00140790"/>
    <w:rsid w:val="001407A7"/>
    <w:rsid w:val="001407B3"/>
    <w:rsid w:val="001407BA"/>
    <w:rsid w:val="00140858"/>
    <w:rsid w:val="0014094F"/>
    <w:rsid w:val="00140A6C"/>
    <w:rsid w:val="00140C00"/>
    <w:rsid w:val="00140C40"/>
    <w:rsid w:val="00140C58"/>
    <w:rsid w:val="00140C6F"/>
    <w:rsid w:val="00140C76"/>
    <w:rsid w:val="00140CE8"/>
    <w:rsid w:val="00140D20"/>
    <w:rsid w:val="00140DC3"/>
    <w:rsid w:val="00140E8E"/>
    <w:rsid w:val="00140EBC"/>
    <w:rsid w:val="00140ECC"/>
    <w:rsid w:val="00140F28"/>
    <w:rsid w:val="00140F32"/>
    <w:rsid w:val="00140F54"/>
    <w:rsid w:val="00140FB5"/>
    <w:rsid w:val="00140FB9"/>
    <w:rsid w:val="001410E8"/>
    <w:rsid w:val="001410FC"/>
    <w:rsid w:val="0014124B"/>
    <w:rsid w:val="001412AE"/>
    <w:rsid w:val="001412B4"/>
    <w:rsid w:val="00141378"/>
    <w:rsid w:val="00141386"/>
    <w:rsid w:val="001413D3"/>
    <w:rsid w:val="0014140C"/>
    <w:rsid w:val="001414E5"/>
    <w:rsid w:val="00141515"/>
    <w:rsid w:val="00141574"/>
    <w:rsid w:val="00141590"/>
    <w:rsid w:val="001415FE"/>
    <w:rsid w:val="001416B6"/>
    <w:rsid w:val="001416BF"/>
    <w:rsid w:val="0014174F"/>
    <w:rsid w:val="001417AC"/>
    <w:rsid w:val="0014184A"/>
    <w:rsid w:val="0014193E"/>
    <w:rsid w:val="001419B3"/>
    <w:rsid w:val="001419B5"/>
    <w:rsid w:val="00141A19"/>
    <w:rsid w:val="00141ABE"/>
    <w:rsid w:val="00141B2E"/>
    <w:rsid w:val="00141D3F"/>
    <w:rsid w:val="00141D8A"/>
    <w:rsid w:val="00141E20"/>
    <w:rsid w:val="00141EE4"/>
    <w:rsid w:val="00141F2A"/>
    <w:rsid w:val="00141FD1"/>
    <w:rsid w:val="00142020"/>
    <w:rsid w:val="0014206D"/>
    <w:rsid w:val="0014208D"/>
    <w:rsid w:val="0014211B"/>
    <w:rsid w:val="00142172"/>
    <w:rsid w:val="001421B1"/>
    <w:rsid w:val="00142200"/>
    <w:rsid w:val="001422A3"/>
    <w:rsid w:val="001422AC"/>
    <w:rsid w:val="001422B4"/>
    <w:rsid w:val="001423E1"/>
    <w:rsid w:val="00142474"/>
    <w:rsid w:val="0014248C"/>
    <w:rsid w:val="001424BC"/>
    <w:rsid w:val="001424D8"/>
    <w:rsid w:val="00142505"/>
    <w:rsid w:val="0014260F"/>
    <w:rsid w:val="00142667"/>
    <w:rsid w:val="0014267C"/>
    <w:rsid w:val="0014279B"/>
    <w:rsid w:val="001427DF"/>
    <w:rsid w:val="0014284D"/>
    <w:rsid w:val="00142954"/>
    <w:rsid w:val="001429B7"/>
    <w:rsid w:val="00142A6C"/>
    <w:rsid w:val="00142A7B"/>
    <w:rsid w:val="00142B2D"/>
    <w:rsid w:val="00142B50"/>
    <w:rsid w:val="00142BB5"/>
    <w:rsid w:val="00142BE7"/>
    <w:rsid w:val="00142C3E"/>
    <w:rsid w:val="00142D0B"/>
    <w:rsid w:val="00142D30"/>
    <w:rsid w:val="00142D60"/>
    <w:rsid w:val="00142D6F"/>
    <w:rsid w:val="00142E47"/>
    <w:rsid w:val="00142E54"/>
    <w:rsid w:val="00142E7B"/>
    <w:rsid w:val="00142E8C"/>
    <w:rsid w:val="00142E95"/>
    <w:rsid w:val="00143016"/>
    <w:rsid w:val="001430A1"/>
    <w:rsid w:val="0014316E"/>
    <w:rsid w:val="001431EB"/>
    <w:rsid w:val="00143265"/>
    <w:rsid w:val="001432DA"/>
    <w:rsid w:val="001432F6"/>
    <w:rsid w:val="00143311"/>
    <w:rsid w:val="00143340"/>
    <w:rsid w:val="0014347B"/>
    <w:rsid w:val="001434D2"/>
    <w:rsid w:val="0014350D"/>
    <w:rsid w:val="00143540"/>
    <w:rsid w:val="0014356B"/>
    <w:rsid w:val="00143581"/>
    <w:rsid w:val="001436E7"/>
    <w:rsid w:val="00143732"/>
    <w:rsid w:val="00143741"/>
    <w:rsid w:val="00143745"/>
    <w:rsid w:val="001437D5"/>
    <w:rsid w:val="001437DF"/>
    <w:rsid w:val="00143826"/>
    <w:rsid w:val="00143873"/>
    <w:rsid w:val="001439E9"/>
    <w:rsid w:val="00143AF5"/>
    <w:rsid w:val="00143B88"/>
    <w:rsid w:val="00143C32"/>
    <w:rsid w:val="00143C55"/>
    <w:rsid w:val="00143D48"/>
    <w:rsid w:val="00143DA1"/>
    <w:rsid w:val="00143DD3"/>
    <w:rsid w:val="00143DEC"/>
    <w:rsid w:val="00143E6D"/>
    <w:rsid w:val="00143EEF"/>
    <w:rsid w:val="00143FB1"/>
    <w:rsid w:val="00143FC3"/>
    <w:rsid w:val="00144083"/>
    <w:rsid w:val="00144217"/>
    <w:rsid w:val="00144389"/>
    <w:rsid w:val="00144396"/>
    <w:rsid w:val="001443FD"/>
    <w:rsid w:val="0014451B"/>
    <w:rsid w:val="001445F5"/>
    <w:rsid w:val="00144669"/>
    <w:rsid w:val="001446CF"/>
    <w:rsid w:val="0014470B"/>
    <w:rsid w:val="00144711"/>
    <w:rsid w:val="0014473F"/>
    <w:rsid w:val="00144942"/>
    <w:rsid w:val="00144B03"/>
    <w:rsid w:val="00144C6F"/>
    <w:rsid w:val="00144E03"/>
    <w:rsid w:val="00144E41"/>
    <w:rsid w:val="00144F3F"/>
    <w:rsid w:val="00144FC3"/>
    <w:rsid w:val="00145089"/>
    <w:rsid w:val="001451E7"/>
    <w:rsid w:val="001452E6"/>
    <w:rsid w:val="00145335"/>
    <w:rsid w:val="001453D2"/>
    <w:rsid w:val="001453DE"/>
    <w:rsid w:val="00145565"/>
    <w:rsid w:val="00145589"/>
    <w:rsid w:val="00145592"/>
    <w:rsid w:val="001455AA"/>
    <w:rsid w:val="00145685"/>
    <w:rsid w:val="001456E7"/>
    <w:rsid w:val="0014572C"/>
    <w:rsid w:val="00145762"/>
    <w:rsid w:val="001457D7"/>
    <w:rsid w:val="00145859"/>
    <w:rsid w:val="001458E9"/>
    <w:rsid w:val="0014592D"/>
    <w:rsid w:val="0014593E"/>
    <w:rsid w:val="001459E1"/>
    <w:rsid w:val="00145C12"/>
    <w:rsid w:val="00145D07"/>
    <w:rsid w:val="00145D61"/>
    <w:rsid w:val="00145DAD"/>
    <w:rsid w:val="00145DBF"/>
    <w:rsid w:val="00145EBB"/>
    <w:rsid w:val="00145F1D"/>
    <w:rsid w:val="00145FC9"/>
    <w:rsid w:val="00145FDF"/>
    <w:rsid w:val="00146044"/>
    <w:rsid w:val="00146050"/>
    <w:rsid w:val="00146063"/>
    <w:rsid w:val="00146101"/>
    <w:rsid w:val="00146210"/>
    <w:rsid w:val="00146227"/>
    <w:rsid w:val="001462E3"/>
    <w:rsid w:val="001463E3"/>
    <w:rsid w:val="00146441"/>
    <w:rsid w:val="0014666B"/>
    <w:rsid w:val="001466B3"/>
    <w:rsid w:val="00146712"/>
    <w:rsid w:val="0014673F"/>
    <w:rsid w:val="001467A5"/>
    <w:rsid w:val="001467AC"/>
    <w:rsid w:val="001468B3"/>
    <w:rsid w:val="00146992"/>
    <w:rsid w:val="00146A30"/>
    <w:rsid w:val="00146A5B"/>
    <w:rsid w:val="00146AB0"/>
    <w:rsid w:val="00146AB3"/>
    <w:rsid w:val="00146B7A"/>
    <w:rsid w:val="00146C9F"/>
    <w:rsid w:val="00146D1F"/>
    <w:rsid w:val="00146D3F"/>
    <w:rsid w:val="00146D55"/>
    <w:rsid w:val="00146DFB"/>
    <w:rsid w:val="00146E09"/>
    <w:rsid w:val="00146E61"/>
    <w:rsid w:val="00146E64"/>
    <w:rsid w:val="00146EA2"/>
    <w:rsid w:val="00146ED6"/>
    <w:rsid w:val="00146F43"/>
    <w:rsid w:val="00147058"/>
    <w:rsid w:val="0014720C"/>
    <w:rsid w:val="00147248"/>
    <w:rsid w:val="0014724C"/>
    <w:rsid w:val="0014728A"/>
    <w:rsid w:val="001472BE"/>
    <w:rsid w:val="001472C2"/>
    <w:rsid w:val="00147308"/>
    <w:rsid w:val="0014730C"/>
    <w:rsid w:val="001473FB"/>
    <w:rsid w:val="00147418"/>
    <w:rsid w:val="0014741B"/>
    <w:rsid w:val="00147458"/>
    <w:rsid w:val="0014745E"/>
    <w:rsid w:val="001474CE"/>
    <w:rsid w:val="001474DC"/>
    <w:rsid w:val="001474EB"/>
    <w:rsid w:val="00147562"/>
    <w:rsid w:val="001475BA"/>
    <w:rsid w:val="001475BE"/>
    <w:rsid w:val="001475F8"/>
    <w:rsid w:val="00147668"/>
    <w:rsid w:val="00147693"/>
    <w:rsid w:val="00147710"/>
    <w:rsid w:val="00147714"/>
    <w:rsid w:val="0014775B"/>
    <w:rsid w:val="001478C9"/>
    <w:rsid w:val="0014791A"/>
    <w:rsid w:val="00147923"/>
    <w:rsid w:val="00147940"/>
    <w:rsid w:val="00147994"/>
    <w:rsid w:val="001479E9"/>
    <w:rsid w:val="00147A14"/>
    <w:rsid w:val="00147AC0"/>
    <w:rsid w:val="00147AEA"/>
    <w:rsid w:val="00147C7C"/>
    <w:rsid w:val="00147CF4"/>
    <w:rsid w:val="00147DFB"/>
    <w:rsid w:val="00147E21"/>
    <w:rsid w:val="00147ED0"/>
    <w:rsid w:val="00147EDA"/>
    <w:rsid w:val="00147F8B"/>
    <w:rsid w:val="00147FB5"/>
    <w:rsid w:val="00147FBC"/>
    <w:rsid w:val="0014FCA7"/>
    <w:rsid w:val="0015000C"/>
    <w:rsid w:val="0015007D"/>
    <w:rsid w:val="00150083"/>
    <w:rsid w:val="00150097"/>
    <w:rsid w:val="0015019A"/>
    <w:rsid w:val="001501F7"/>
    <w:rsid w:val="00150239"/>
    <w:rsid w:val="00150265"/>
    <w:rsid w:val="001502D9"/>
    <w:rsid w:val="001502DC"/>
    <w:rsid w:val="0015043B"/>
    <w:rsid w:val="00150444"/>
    <w:rsid w:val="001506C3"/>
    <w:rsid w:val="001506D4"/>
    <w:rsid w:val="00150718"/>
    <w:rsid w:val="00150758"/>
    <w:rsid w:val="00150790"/>
    <w:rsid w:val="00150804"/>
    <w:rsid w:val="001508AC"/>
    <w:rsid w:val="00150922"/>
    <w:rsid w:val="00150AE1"/>
    <w:rsid w:val="00150B7B"/>
    <w:rsid w:val="00150BA8"/>
    <w:rsid w:val="00150BDE"/>
    <w:rsid w:val="00150BFE"/>
    <w:rsid w:val="00150D19"/>
    <w:rsid w:val="00150D20"/>
    <w:rsid w:val="00150F21"/>
    <w:rsid w:val="00150F32"/>
    <w:rsid w:val="00150FE0"/>
    <w:rsid w:val="00150FE5"/>
    <w:rsid w:val="00150FFE"/>
    <w:rsid w:val="0015102A"/>
    <w:rsid w:val="00151033"/>
    <w:rsid w:val="001510CA"/>
    <w:rsid w:val="00151193"/>
    <w:rsid w:val="0015126F"/>
    <w:rsid w:val="00151272"/>
    <w:rsid w:val="00151312"/>
    <w:rsid w:val="00151369"/>
    <w:rsid w:val="001513FA"/>
    <w:rsid w:val="00151460"/>
    <w:rsid w:val="0015149E"/>
    <w:rsid w:val="00151554"/>
    <w:rsid w:val="001516A3"/>
    <w:rsid w:val="00151714"/>
    <w:rsid w:val="0015172E"/>
    <w:rsid w:val="001517C6"/>
    <w:rsid w:val="0015181B"/>
    <w:rsid w:val="00151911"/>
    <w:rsid w:val="00151937"/>
    <w:rsid w:val="0015195E"/>
    <w:rsid w:val="00151A9F"/>
    <w:rsid w:val="00151B51"/>
    <w:rsid w:val="00151B8E"/>
    <w:rsid w:val="00151C7C"/>
    <w:rsid w:val="00151CDF"/>
    <w:rsid w:val="00151D0B"/>
    <w:rsid w:val="00151D78"/>
    <w:rsid w:val="00151D80"/>
    <w:rsid w:val="00151DB8"/>
    <w:rsid w:val="00151E2D"/>
    <w:rsid w:val="00151E68"/>
    <w:rsid w:val="00151E85"/>
    <w:rsid w:val="00151F4D"/>
    <w:rsid w:val="00151FF5"/>
    <w:rsid w:val="0015207F"/>
    <w:rsid w:val="001520FD"/>
    <w:rsid w:val="001521A1"/>
    <w:rsid w:val="001521ED"/>
    <w:rsid w:val="001523E4"/>
    <w:rsid w:val="001523F9"/>
    <w:rsid w:val="001524AA"/>
    <w:rsid w:val="001524C3"/>
    <w:rsid w:val="00152553"/>
    <w:rsid w:val="001525B3"/>
    <w:rsid w:val="0015265F"/>
    <w:rsid w:val="001526AD"/>
    <w:rsid w:val="001526F7"/>
    <w:rsid w:val="001527EE"/>
    <w:rsid w:val="001528DD"/>
    <w:rsid w:val="001528EC"/>
    <w:rsid w:val="00152990"/>
    <w:rsid w:val="001529C4"/>
    <w:rsid w:val="001529C7"/>
    <w:rsid w:val="00152A20"/>
    <w:rsid w:val="00152B1E"/>
    <w:rsid w:val="00152B37"/>
    <w:rsid w:val="00152B87"/>
    <w:rsid w:val="00152BB9"/>
    <w:rsid w:val="00152D24"/>
    <w:rsid w:val="00152D71"/>
    <w:rsid w:val="00152E2E"/>
    <w:rsid w:val="00152E4F"/>
    <w:rsid w:val="00152F11"/>
    <w:rsid w:val="00152F33"/>
    <w:rsid w:val="00152F36"/>
    <w:rsid w:val="00152FC1"/>
    <w:rsid w:val="0015307D"/>
    <w:rsid w:val="00153109"/>
    <w:rsid w:val="00153261"/>
    <w:rsid w:val="001532C4"/>
    <w:rsid w:val="001532D3"/>
    <w:rsid w:val="001533E6"/>
    <w:rsid w:val="0015342C"/>
    <w:rsid w:val="0015343D"/>
    <w:rsid w:val="001534E9"/>
    <w:rsid w:val="001534FC"/>
    <w:rsid w:val="00153556"/>
    <w:rsid w:val="00153561"/>
    <w:rsid w:val="00153582"/>
    <w:rsid w:val="001535A3"/>
    <w:rsid w:val="001535F0"/>
    <w:rsid w:val="001536F2"/>
    <w:rsid w:val="001537CD"/>
    <w:rsid w:val="0015383F"/>
    <w:rsid w:val="00153877"/>
    <w:rsid w:val="001538C9"/>
    <w:rsid w:val="0015395C"/>
    <w:rsid w:val="0015397A"/>
    <w:rsid w:val="00153A0D"/>
    <w:rsid w:val="00153A1B"/>
    <w:rsid w:val="00153A96"/>
    <w:rsid w:val="00153ADC"/>
    <w:rsid w:val="00153AEA"/>
    <w:rsid w:val="00153B3F"/>
    <w:rsid w:val="00153BBB"/>
    <w:rsid w:val="00153BBF"/>
    <w:rsid w:val="00153BE2"/>
    <w:rsid w:val="00153C94"/>
    <w:rsid w:val="00153D1C"/>
    <w:rsid w:val="00153D41"/>
    <w:rsid w:val="00153D83"/>
    <w:rsid w:val="00153DF5"/>
    <w:rsid w:val="00153E17"/>
    <w:rsid w:val="00153E97"/>
    <w:rsid w:val="00153EC2"/>
    <w:rsid w:val="00154036"/>
    <w:rsid w:val="001540D8"/>
    <w:rsid w:val="001540E4"/>
    <w:rsid w:val="0015412F"/>
    <w:rsid w:val="00154163"/>
    <w:rsid w:val="00154175"/>
    <w:rsid w:val="001541F2"/>
    <w:rsid w:val="001541F8"/>
    <w:rsid w:val="0015423E"/>
    <w:rsid w:val="0015424D"/>
    <w:rsid w:val="001542F7"/>
    <w:rsid w:val="0015432B"/>
    <w:rsid w:val="001543A7"/>
    <w:rsid w:val="001543E2"/>
    <w:rsid w:val="001544A9"/>
    <w:rsid w:val="001544F2"/>
    <w:rsid w:val="0015456F"/>
    <w:rsid w:val="0015483F"/>
    <w:rsid w:val="00154844"/>
    <w:rsid w:val="0015485F"/>
    <w:rsid w:val="00154881"/>
    <w:rsid w:val="001548B6"/>
    <w:rsid w:val="001548E8"/>
    <w:rsid w:val="00154994"/>
    <w:rsid w:val="001549A5"/>
    <w:rsid w:val="001549CE"/>
    <w:rsid w:val="00154A49"/>
    <w:rsid w:val="00154AA1"/>
    <w:rsid w:val="00154AFF"/>
    <w:rsid w:val="00154BCD"/>
    <w:rsid w:val="00154BD6"/>
    <w:rsid w:val="00154C01"/>
    <w:rsid w:val="00154C2A"/>
    <w:rsid w:val="00154C60"/>
    <w:rsid w:val="00154C6B"/>
    <w:rsid w:val="00154CA9"/>
    <w:rsid w:val="00154CD8"/>
    <w:rsid w:val="00154D43"/>
    <w:rsid w:val="00154E16"/>
    <w:rsid w:val="00155005"/>
    <w:rsid w:val="00155308"/>
    <w:rsid w:val="0015542A"/>
    <w:rsid w:val="00155520"/>
    <w:rsid w:val="0015559B"/>
    <w:rsid w:val="00155690"/>
    <w:rsid w:val="00155709"/>
    <w:rsid w:val="00155725"/>
    <w:rsid w:val="001557BE"/>
    <w:rsid w:val="00155825"/>
    <w:rsid w:val="00155862"/>
    <w:rsid w:val="00155969"/>
    <w:rsid w:val="00155B43"/>
    <w:rsid w:val="00155C15"/>
    <w:rsid w:val="00155C5E"/>
    <w:rsid w:val="00155C76"/>
    <w:rsid w:val="00155D01"/>
    <w:rsid w:val="00155D23"/>
    <w:rsid w:val="00155D3B"/>
    <w:rsid w:val="00155E1B"/>
    <w:rsid w:val="00155E67"/>
    <w:rsid w:val="00155EB7"/>
    <w:rsid w:val="00155ECF"/>
    <w:rsid w:val="00155F2A"/>
    <w:rsid w:val="00155F41"/>
    <w:rsid w:val="00155FA3"/>
    <w:rsid w:val="00155FBB"/>
    <w:rsid w:val="0015619A"/>
    <w:rsid w:val="001561F1"/>
    <w:rsid w:val="001561F2"/>
    <w:rsid w:val="00156292"/>
    <w:rsid w:val="0015631A"/>
    <w:rsid w:val="0015637E"/>
    <w:rsid w:val="001563BB"/>
    <w:rsid w:val="0015642F"/>
    <w:rsid w:val="001564D9"/>
    <w:rsid w:val="001564FC"/>
    <w:rsid w:val="001565A2"/>
    <w:rsid w:val="0015661C"/>
    <w:rsid w:val="001566E4"/>
    <w:rsid w:val="00156730"/>
    <w:rsid w:val="001567C3"/>
    <w:rsid w:val="00156820"/>
    <w:rsid w:val="0015696F"/>
    <w:rsid w:val="001569B4"/>
    <w:rsid w:val="001569D6"/>
    <w:rsid w:val="001569E9"/>
    <w:rsid w:val="00156A12"/>
    <w:rsid w:val="00156A75"/>
    <w:rsid w:val="00156B45"/>
    <w:rsid w:val="00156B61"/>
    <w:rsid w:val="00156DBE"/>
    <w:rsid w:val="00156E49"/>
    <w:rsid w:val="00156EB0"/>
    <w:rsid w:val="00156EF6"/>
    <w:rsid w:val="00156F2A"/>
    <w:rsid w:val="00156F3E"/>
    <w:rsid w:val="00156FA6"/>
    <w:rsid w:val="00157081"/>
    <w:rsid w:val="00157263"/>
    <w:rsid w:val="001572EC"/>
    <w:rsid w:val="0015736F"/>
    <w:rsid w:val="001573BC"/>
    <w:rsid w:val="00157408"/>
    <w:rsid w:val="00157505"/>
    <w:rsid w:val="00157591"/>
    <w:rsid w:val="00157623"/>
    <w:rsid w:val="00157694"/>
    <w:rsid w:val="001576F8"/>
    <w:rsid w:val="00157796"/>
    <w:rsid w:val="001578EC"/>
    <w:rsid w:val="00157A05"/>
    <w:rsid w:val="00157A25"/>
    <w:rsid w:val="00157A73"/>
    <w:rsid w:val="00157B3F"/>
    <w:rsid w:val="00157CBC"/>
    <w:rsid w:val="00157CC8"/>
    <w:rsid w:val="00157D29"/>
    <w:rsid w:val="00157D98"/>
    <w:rsid w:val="00157D9B"/>
    <w:rsid w:val="00157E5E"/>
    <w:rsid w:val="00157F7A"/>
    <w:rsid w:val="00157F8A"/>
    <w:rsid w:val="00157FED"/>
    <w:rsid w:val="00160027"/>
    <w:rsid w:val="0016006D"/>
    <w:rsid w:val="0016010F"/>
    <w:rsid w:val="0016023B"/>
    <w:rsid w:val="001602AC"/>
    <w:rsid w:val="0016044D"/>
    <w:rsid w:val="001604AF"/>
    <w:rsid w:val="001604DC"/>
    <w:rsid w:val="0016058F"/>
    <w:rsid w:val="001605A4"/>
    <w:rsid w:val="001605B0"/>
    <w:rsid w:val="001605C3"/>
    <w:rsid w:val="001605CC"/>
    <w:rsid w:val="00160609"/>
    <w:rsid w:val="001606A7"/>
    <w:rsid w:val="001606FC"/>
    <w:rsid w:val="0016076F"/>
    <w:rsid w:val="00160786"/>
    <w:rsid w:val="001607D0"/>
    <w:rsid w:val="001608BF"/>
    <w:rsid w:val="001608E9"/>
    <w:rsid w:val="00160978"/>
    <w:rsid w:val="00160ABD"/>
    <w:rsid w:val="00160ADB"/>
    <w:rsid w:val="00160AEF"/>
    <w:rsid w:val="00160B06"/>
    <w:rsid w:val="00160BF2"/>
    <w:rsid w:val="00160C3D"/>
    <w:rsid w:val="00160C44"/>
    <w:rsid w:val="00160C7E"/>
    <w:rsid w:val="00160C82"/>
    <w:rsid w:val="00160CC2"/>
    <w:rsid w:val="00160D03"/>
    <w:rsid w:val="00160DE8"/>
    <w:rsid w:val="00160E39"/>
    <w:rsid w:val="00160E5E"/>
    <w:rsid w:val="00160E8F"/>
    <w:rsid w:val="0016106B"/>
    <w:rsid w:val="0016116E"/>
    <w:rsid w:val="001611BD"/>
    <w:rsid w:val="001613B6"/>
    <w:rsid w:val="00161530"/>
    <w:rsid w:val="00161635"/>
    <w:rsid w:val="0016166F"/>
    <w:rsid w:val="001616C5"/>
    <w:rsid w:val="001616E2"/>
    <w:rsid w:val="00161711"/>
    <w:rsid w:val="00161731"/>
    <w:rsid w:val="001617C0"/>
    <w:rsid w:val="00161811"/>
    <w:rsid w:val="00161980"/>
    <w:rsid w:val="001619C4"/>
    <w:rsid w:val="00161A10"/>
    <w:rsid w:val="00161A51"/>
    <w:rsid w:val="00161AFC"/>
    <w:rsid w:val="00161B1C"/>
    <w:rsid w:val="00161B24"/>
    <w:rsid w:val="00161B39"/>
    <w:rsid w:val="00161C17"/>
    <w:rsid w:val="00161C41"/>
    <w:rsid w:val="00161CB4"/>
    <w:rsid w:val="00161D58"/>
    <w:rsid w:val="00161D6E"/>
    <w:rsid w:val="00161DD5"/>
    <w:rsid w:val="00161DF6"/>
    <w:rsid w:val="00161E16"/>
    <w:rsid w:val="00161E43"/>
    <w:rsid w:val="00161F44"/>
    <w:rsid w:val="00161FD7"/>
    <w:rsid w:val="00162081"/>
    <w:rsid w:val="00162529"/>
    <w:rsid w:val="0016253E"/>
    <w:rsid w:val="0016266C"/>
    <w:rsid w:val="00162759"/>
    <w:rsid w:val="001627DE"/>
    <w:rsid w:val="001628E8"/>
    <w:rsid w:val="00162952"/>
    <w:rsid w:val="0016296D"/>
    <w:rsid w:val="00162ABD"/>
    <w:rsid w:val="00162AD0"/>
    <w:rsid w:val="00162AFA"/>
    <w:rsid w:val="00162B10"/>
    <w:rsid w:val="00162B8F"/>
    <w:rsid w:val="00162C4F"/>
    <w:rsid w:val="00162C79"/>
    <w:rsid w:val="00162D3D"/>
    <w:rsid w:val="00162DEE"/>
    <w:rsid w:val="00162EC6"/>
    <w:rsid w:val="00162ECC"/>
    <w:rsid w:val="00162F13"/>
    <w:rsid w:val="0016304B"/>
    <w:rsid w:val="00163097"/>
    <w:rsid w:val="001630B5"/>
    <w:rsid w:val="00163206"/>
    <w:rsid w:val="001633A4"/>
    <w:rsid w:val="0016341D"/>
    <w:rsid w:val="00163461"/>
    <w:rsid w:val="0016346D"/>
    <w:rsid w:val="001634D6"/>
    <w:rsid w:val="0016350D"/>
    <w:rsid w:val="0016363A"/>
    <w:rsid w:val="0016372B"/>
    <w:rsid w:val="0016390F"/>
    <w:rsid w:val="00163949"/>
    <w:rsid w:val="0016398F"/>
    <w:rsid w:val="00163A1C"/>
    <w:rsid w:val="00163A8D"/>
    <w:rsid w:val="00163AFF"/>
    <w:rsid w:val="00163C17"/>
    <w:rsid w:val="00163C29"/>
    <w:rsid w:val="00163D2E"/>
    <w:rsid w:val="00163DC5"/>
    <w:rsid w:val="00163DD5"/>
    <w:rsid w:val="00163EBA"/>
    <w:rsid w:val="00163EBB"/>
    <w:rsid w:val="00163FCB"/>
    <w:rsid w:val="00164039"/>
    <w:rsid w:val="001640BB"/>
    <w:rsid w:val="00164101"/>
    <w:rsid w:val="00164118"/>
    <w:rsid w:val="00164164"/>
    <w:rsid w:val="00164189"/>
    <w:rsid w:val="00164332"/>
    <w:rsid w:val="00164333"/>
    <w:rsid w:val="001643B1"/>
    <w:rsid w:val="00164493"/>
    <w:rsid w:val="00164525"/>
    <w:rsid w:val="0016454F"/>
    <w:rsid w:val="00164557"/>
    <w:rsid w:val="00164626"/>
    <w:rsid w:val="001646B5"/>
    <w:rsid w:val="001648DD"/>
    <w:rsid w:val="00164974"/>
    <w:rsid w:val="001649AC"/>
    <w:rsid w:val="00164A4C"/>
    <w:rsid w:val="00164ABD"/>
    <w:rsid w:val="00164B8D"/>
    <w:rsid w:val="00164BA6"/>
    <w:rsid w:val="00164C17"/>
    <w:rsid w:val="00164E68"/>
    <w:rsid w:val="00164E8C"/>
    <w:rsid w:val="00164F94"/>
    <w:rsid w:val="00165036"/>
    <w:rsid w:val="00165096"/>
    <w:rsid w:val="0016510B"/>
    <w:rsid w:val="001651E7"/>
    <w:rsid w:val="001651EA"/>
    <w:rsid w:val="0016522A"/>
    <w:rsid w:val="001652DD"/>
    <w:rsid w:val="0016535A"/>
    <w:rsid w:val="00165361"/>
    <w:rsid w:val="00165537"/>
    <w:rsid w:val="00165569"/>
    <w:rsid w:val="001655D3"/>
    <w:rsid w:val="00165632"/>
    <w:rsid w:val="001656E4"/>
    <w:rsid w:val="001656E7"/>
    <w:rsid w:val="00165705"/>
    <w:rsid w:val="001657E2"/>
    <w:rsid w:val="0016587C"/>
    <w:rsid w:val="0016591C"/>
    <w:rsid w:val="001659BF"/>
    <w:rsid w:val="001659E4"/>
    <w:rsid w:val="00165A35"/>
    <w:rsid w:val="00165A6E"/>
    <w:rsid w:val="00165BCF"/>
    <w:rsid w:val="00165BFE"/>
    <w:rsid w:val="00165D3F"/>
    <w:rsid w:val="00165DB1"/>
    <w:rsid w:val="00165E70"/>
    <w:rsid w:val="00165F94"/>
    <w:rsid w:val="0016604F"/>
    <w:rsid w:val="0016607A"/>
    <w:rsid w:val="00166081"/>
    <w:rsid w:val="001660DA"/>
    <w:rsid w:val="001660F1"/>
    <w:rsid w:val="0016615E"/>
    <w:rsid w:val="00166205"/>
    <w:rsid w:val="00166353"/>
    <w:rsid w:val="00166357"/>
    <w:rsid w:val="00166389"/>
    <w:rsid w:val="0016642F"/>
    <w:rsid w:val="00166443"/>
    <w:rsid w:val="0016647E"/>
    <w:rsid w:val="001664BB"/>
    <w:rsid w:val="00166526"/>
    <w:rsid w:val="00166586"/>
    <w:rsid w:val="0016659D"/>
    <w:rsid w:val="001665B7"/>
    <w:rsid w:val="0016668E"/>
    <w:rsid w:val="0016669D"/>
    <w:rsid w:val="001667B9"/>
    <w:rsid w:val="001668DF"/>
    <w:rsid w:val="00166A63"/>
    <w:rsid w:val="00166A9C"/>
    <w:rsid w:val="00166AA3"/>
    <w:rsid w:val="00166B5B"/>
    <w:rsid w:val="00166BD5"/>
    <w:rsid w:val="00166D91"/>
    <w:rsid w:val="00166E03"/>
    <w:rsid w:val="00166EDC"/>
    <w:rsid w:val="00166F1A"/>
    <w:rsid w:val="001670D3"/>
    <w:rsid w:val="00167187"/>
    <w:rsid w:val="0016730A"/>
    <w:rsid w:val="00167335"/>
    <w:rsid w:val="0016750B"/>
    <w:rsid w:val="001675DA"/>
    <w:rsid w:val="00167791"/>
    <w:rsid w:val="00167873"/>
    <w:rsid w:val="00167952"/>
    <w:rsid w:val="0016795D"/>
    <w:rsid w:val="00167972"/>
    <w:rsid w:val="00167A1B"/>
    <w:rsid w:val="00167AA8"/>
    <w:rsid w:val="00167AC5"/>
    <w:rsid w:val="00167AF8"/>
    <w:rsid w:val="00167B39"/>
    <w:rsid w:val="00167BA8"/>
    <w:rsid w:val="00167BC4"/>
    <w:rsid w:val="00167CB5"/>
    <w:rsid w:val="00167CD2"/>
    <w:rsid w:val="00167D10"/>
    <w:rsid w:val="00167D47"/>
    <w:rsid w:val="00167D7E"/>
    <w:rsid w:val="00167DCB"/>
    <w:rsid w:val="00167DF0"/>
    <w:rsid w:val="00167E4C"/>
    <w:rsid w:val="00167E54"/>
    <w:rsid w:val="00167E94"/>
    <w:rsid w:val="00167EA7"/>
    <w:rsid w:val="00167EB4"/>
    <w:rsid w:val="00167F9E"/>
    <w:rsid w:val="00167FDB"/>
    <w:rsid w:val="00170060"/>
    <w:rsid w:val="001700A3"/>
    <w:rsid w:val="001700CF"/>
    <w:rsid w:val="00170222"/>
    <w:rsid w:val="00170268"/>
    <w:rsid w:val="0017028F"/>
    <w:rsid w:val="001702DE"/>
    <w:rsid w:val="001703D0"/>
    <w:rsid w:val="0017042B"/>
    <w:rsid w:val="00170475"/>
    <w:rsid w:val="00170580"/>
    <w:rsid w:val="001705C7"/>
    <w:rsid w:val="001705C9"/>
    <w:rsid w:val="00170615"/>
    <w:rsid w:val="0017064A"/>
    <w:rsid w:val="001706B2"/>
    <w:rsid w:val="001707D1"/>
    <w:rsid w:val="0017080A"/>
    <w:rsid w:val="0017085D"/>
    <w:rsid w:val="0017091E"/>
    <w:rsid w:val="00170A71"/>
    <w:rsid w:val="00170B33"/>
    <w:rsid w:val="00170B48"/>
    <w:rsid w:val="00170B6D"/>
    <w:rsid w:val="00170C3C"/>
    <w:rsid w:val="00170C9F"/>
    <w:rsid w:val="00170D31"/>
    <w:rsid w:val="00170D9E"/>
    <w:rsid w:val="00170DF7"/>
    <w:rsid w:val="00170E6F"/>
    <w:rsid w:val="00170E96"/>
    <w:rsid w:val="00170E9B"/>
    <w:rsid w:val="00170EC6"/>
    <w:rsid w:val="00170F4D"/>
    <w:rsid w:val="00170F9D"/>
    <w:rsid w:val="00171012"/>
    <w:rsid w:val="00171051"/>
    <w:rsid w:val="00171068"/>
    <w:rsid w:val="00171077"/>
    <w:rsid w:val="0017108F"/>
    <w:rsid w:val="001711D8"/>
    <w:rsid w:val="0017126B"/>
    <w:rsid w:val="00171289"/>
    <w:rsid w:val="00171397"/>
    <w:rsid w:val="00171436"/>
    <w:rsid w:val="00171449"/>
    <w:rsid w:val="0017148A"/>
    <w:rsid w:val="0017157E"/>
    <w:rsid w:val="00171676"/>
    <w:rsid w:val="0017175A"/>
    <w:rsid w:val="0017179D"/>
    <w:rsid w:val="00171849"/>
    <w:rsid w:val="0017199C"/>
    <w:rsid w:val="001719EE"/>
    <w:rsid w:val="00171A9A"/>
    <w:rsid w:val="00171AE9"/>
    <w:rsid w:val="00171B83"/>
    <w:rsid w:val="00171C16"/>
    <w:rsid w:val="00171C33"/>
    <w:rsid w:val="00171C7E"/>
    <w:rsid w:val="00171D43"/>
    <w:rsid w:val="00171E40"/>
    <w:rsid w:val="00171F35"/>
    <w:rsid w:val="00171FCF"/>
    <w:rsid w:val="001720D1"/>
    <w:rsid w:val="001720E8"/>
    <w:rsid w:val="001720E9"/>
    <w:rsid w:val="001720F1"/>
    <w:rsid w:val="001721E9"/>
    <w:rsid w:val="00172324"/>
    <w:rsid w:val="0017245E"/>
    <w:rsid w:val="00172552"/>
    <w:rsid w:val="00172572"/>
    <w:rsid w:val="001725A6"/>
    <w:rsid w:val="001725BB"/>
    <w:rsid w:val="001725BE"/>
    <w:rsid w:val="00172667"/>
    <w:rsid w:val="00172794"/>
    <w:rsid w:val="001727D5"/>
    <w:rsid w:val="0017283B"/>
    <w:rsid w:val="00172869"/>
    <w:rsid w:val="00172873"/>
    <w:rsid w:val="00172932"/>
    <w:rsid w:val="0017295E"/>
    <w:rsid w:val="00172A20"/>
    <w:rsid w:val="00172B94"/>
    <w:rsid w:val="00172BBA"/>
    <w:rsid w:val="00172C66"/>
    <w:rsid w:val="00172CDF"/>
    <w:rsid w:val="00172CF7"/>
    <w:rsid w:val="00172E34"/>
    <w:rsid w:val="00172ED1"/>
    <w:rsid w:val="00172F1E"/>
    <w:rsid w:val="00172F85"/>
    <w:rsid w:val="00172FD4"/>
    <w:rsid w:val="0017300A"/>
    <w:rsid w:val="0017300D"/>
    <w:rsid w:val="0017317B"/>
    <w:rsid w:val="00173187"/>
    <w:rsid w:val="0017319E"/>
    <w:rsid w:val="001731E2"/>
    <w:rsid w:val="001732C7"/>
    <w:rsid w:val="00173398"/>
    <w:rsid w:val="0017357C"/>
    <w:rsid w:val="001735DD"/>
    <w:rsid w:val="00173710"/>
    <w:rsid w:val="00173723"/>
    <w:rsid w:val="001737BA"/>
    <w:rsid w:val="00173811"/>
    <w:rsid w:val="00173936"/>
    <w:rsid w:val="00173A03"/>
    <w:rsid w:val="00173A1F"/>
    <w:rsid w:val="00173A98"/>
    <w:rsid w:val="00173A9C"/>
    <w:rsid w:val="00173B27"/>
    <w:rsid w:val="00173B37"/>
    <w:rsid w:val="00173BC3"/>
    <w:rsid w:val="00173C4E"/>
    <w:rsid w:val="00173CAD"/>
    <w:rsid w:val="00173CCF"/>
    <w:rsid w:val="00173CE1"/>
    <w:rsid w:val="00173DD8"/>
    <w:rsid w:val="00173E6A"/>
    <w:rsid w:val="00173E8C"/>
    <w:rsid w:val="00173F1F"/>
    <w:rsid w:val="00173F8F"/>
    <w:rsid w:val="00173FF1"/>
    <w:rsid w:val="001740DE"/>
    <w:rsid w:val="00174128"/>
    <w:rsid w:val="00174147"/>
    <w:rsid w:val="001741A7"/>
    <w:rsid w:val="001741ED"/>
    <w:rsid w:val="0017424E"/>
    <w:rsid w:val="0017428B"/>
    <w:rsid w:val="001744DD"/>
    <w:rsid w:val="0017453D"/>
    <w:rsid w:val="001745C2"/>
    <w:rsid w:val="00174688"/>
    <w:rsid w:val="001746F6"/>
    <w:rsid w:val="0017479F"/>
    <w:rsid w:val="00174840"/>
    <w:rsid w:val="001748AB"/>
    <w:rsid w:val="001748E2"/>
    <w:rsid w:val="00174954"/>
    <w:rsid w:val="0017497A"/>
    <w:rsid w:val="00174981"/>
    <w:rsid w:val="001749CC"/>
    <w:rsid w:val="00174A91"/>
    <w:rsid w:val="00174B5F"/>
    <w:rsid w:val="00174B71"/>
    <w:rsid w:val="00174BC4"/>
    <w:rsid w:val="00174C51"/>
    <w:rsid w:val="00174CCF"/>
    <w:rsid w:val="00174D6A"/>
    <w:rsid w:val="00174DA1"/>
    <w:rsid w:val="00174E68"/>
    <w:rsid w:val="00174EAD"/>
    <w:rsid w:val="00175100"/>
    <w:rsid w:val="001751A4"/>
    <w:rsid w:val="0017520B"/>
    <w:rsid w:val="00175246"/>
    <w:rsid w:val="00175291"/>
    <w:rsid w:val="001752AA"/>
    <w:rsid w:val="0017539F"/>
    <w:rsid w:val="001753F3"/>
    <w:rsid w:val="0017541B"/>
    <w:rsid w:val="0017542C"/>
    <w:rsid w:val="0017544A"/>
    <w:rsid w:val="0017546E"/>
    <w:rsid w:val="00175474"/>
    <w:rsid w:val="00175482"/>
    <w:rsid w:val="001754A8"/>
    <w:rsid w:val="001755D0"/>
    <w:rsid w:val="00175655"/>
    <w:rsid w:val="001756CE"/>
    <w:rsid w:val="00175790"/>
    <w:rsid w:val="001757D5"/>
    <w:rsid w:val="00175853"/>
    <w:rsid w:val="00175862"/>
    <w:rsid w:val="001758BD"/>
    <w:rsid w:val="001759B0"/>
    <w:rsid w:val="00175A98"/>
    <w:rsid w:val="00175AED"/>
    <w:rsid w:val="00175B99"/>
    <w:rsid w:val="00175C34"/>
    <w:rsid w:val="00175CD6"/>
    <w:rsid w:val="00175D0D"/>
    <w:rsid w:val="00175DFC"/>
    <w:rsid w:val="00175F33"/>
    <w:rsid w:val="00175F9A"/>
    <w:rsid w:val="00175FD6"/>
    <w:rsid w:val="00175FFD"/>
    <w:rsid w:val="00176041"/>
    <w:rsid w:val="001760D5"/>
    <w:rsid w:val="00176169"/>
    <w:rsid w:val="001761D4"/>
    <w:rsid w:val="00176256"/>
    <w:rsid w:val="0017634D"/>
    <w:rsid w:val="00176423"/>
    <w:rsid w:val="0017642F"/>
    <w:rsid w:val="00176466"/>
    <w:rsid w:val="00176546"/>
    <w:rsid w:val="0017661C"/>
    <w:rsid w:val="00176809"/>
    <w:rsid w:val="00176937"/>
    <w:rsid w:val="00176979"/>
    <w:rsid w:val="00176A3D"/>
    <w:rsid w:val="00176AB3"/>
    <w:rsid w:val="00176AFD"/>
    <w:rsid w:val="00176B5D"/>
    <w:rsid w:val="00176BCA"/>
    <w:rsid w:val="00176C5F"/>
    <w:rsid w:val="00176C73"/>
    <w:rsid w:val="00176CAB"/>
    <w:rsid w:val="00176D6B"/>
    <w:rsid w:val="00176DE6"/>
    <w:rsid w:val="00176E98"/>
    <w:rsid w:val="00176EAC"/>
    <w:rsid w:val="00176EF7"/>
    <w:rsid w:val="00176F98"/>
    <w:rsid w:val="00176FA4"/>
    <w:rsid w:val="00176FE3"/>
    <w:rsid w:val="00176FFA"/>
    <w:rsid w:val="001770E2"/>
    <w:rsid w:val="00177121"/>
    <w:rsid w:val="00177240"/>
    <w:rsid w:val="00177265"/>
    <w:rsid w:val="001773EC"/>
    <w:rsid w:val="001774EC"/>
    <w:rsid w:val="0017758C"/>
    <w:rsid w:val="001778A0"/>
    <w:rsid w:val="00177996"/>
    <w:rsid w:val="00177998"/>
    <w:rsid w:val="00177ADD"/>
    <w:rsid w:val="00177B07"/>
    <w:rsid w:val="00177B33"/>
    <w:rsid w:val="00177B56"/>
    <w:rsid w:val="00177D26"/>
    <w:rsid w:val="00177D29"/>
    <w:rsid w:val="00177D76"/>
    <w:rsid w:val="00177DD8"/>
    <w:rsid w:val="00177DE0"/>
    <w:rsid w:val="00177E0B"/>
    <w:rsid w:val="00177F06"/>
    <w:rsid w:val="00177F12"/>
    <w:rsid w:val="00177FB7"/>
    <w:rsid w:val="00177FBC"/>
    <w:rsid w:val="00177FBD"/>
    <w:rsid w:val="00180017"/>
    <w:rsid w:val="001800C9"/>
    <w:rsid w:val="001800EC"/>
    <w:rsid w:val="00180109"/>
    <w:rsid w:val="00180114"/>
    <w:rsid w:val="00180180"/>
    <w:rsid w:val="0018032E"/>
    <w:rsid w:val="00180347"/>
    <w:rsid w:val="00180427"/>
    <w:rsid w:val="00180474"/>
    <w:rsid w:val="0018049C"/>
    <w:rsid w:val="001804E7"/>
    <w:rsid w:val="001804EB"/>
    <w:rsid w:val="001804EF"/>
    <w:rsid w:val="00180501"/>
    <w:rsid w:val="001805FD"/>
    <w:rsid w:val="00180679"/>
    <w:rsid w:val="001806A6"/>
    <w:rsid w:val="00180723"/>
    <w:rsid w:val="00180797"/>
    <w:rsid w:val="001807E9"/>
    <w:rsid w:val="00180806"/>
    <w:rsid w:val="00180910"/>
    <w:rsid w:val="00180913"/>
    <w:rsid w:val="00180972"/>
    <w:rsid w:val="00180981"/>
    <w:rsid w:val="00180A5D"/>
    <w:rsid w:val="00180AD2"/>
    <w:rsid w:val="00180AE0"/>
    <w:rsid w:val="00180B3F"/>
    <w:rsid w:val="00180B48"/>
    <w:rsid w:val="00180C0E"/>
    <w:rsid w:val="00180C83"/>
    <w:rsid w:val="00180C92"/>
    <w:rsid w:val="00180CE5"/>
    <w:rsid w:val="00180DAB"/>
    <w:rsid w:val="00180E75"/>
    <w:rsid w:val="00181068"/>
    <w:rsid w:val="001811E3"/>
    <w:rsid w:val="00181228"/>
    <w:rsid w:val="001812BD"/>
    <w:rsid w:val="001812D6"/>
    <w:rsid w:val="001813A1"/>
    <w:rsid w:val="0018143F"/>
    <w:rsid w:val="00181688"/>
    <w:rsid w:val="001816A0"/>
    <w:rsid w:val="0018175B"/>
    <w:rsid w:val="001819C7"/>
    <w:rsid w:val="001819D9"/>
    <w:rsid w:val="00181AE5"/>
    <w:rsid w:val="00181BB1"/>
    <w:rsid w:val="00181D30"/>
    <w:rsid w:val="00181D46"/>
    <w:rsid w:val="00181F2E"/>
    <w:rsid w:val="00181F98"/>
    <w:rsid w:val="001820A3"/>
    <w:rsid w:val="0018219F"/>
    <w:rsid w:val="001821C1"/>
    <w:rsid w:val="001821DF"/>
    <w:rsid w:val="001822BC"/>
    <w:rsid w:val="00182315"/>
    <w:rsid w:val="001824BC"/>
    <w:rsid w:val="001824C8"/>
    <w:rsid w:val="0018250A"/>
    <w:rsid w:val="0018262F"/>
    <w:rsid w:val="001826F0"/>
    <w:rsid w:val="001826FB"/>
    <w:rsid w:val="001828F9"/>
    <w:rsid w:val="00182A16"/>
    <w:rsid w:val="00182A23"/>
    <w:rsid w:val="00182BCF"/>
    <w:rsid w:val="00182C6F"/>
    <w:rsid w:val="00182C8D"/>
    <w:rsid w:val="00182CEB"/>
    <w:rsid w:val="00182DC9"/>
    <w:rsid w:val="00182E2E"/>
    <w:rsid w:val="00182EF3"/>
    <w:rsid w:val="00182F20"/>
    <w:rsid w:val="00182F57"/>
    <w:rsid w:val="001830ED"/>
    <w:rsid w:val="0018317B"/>
    <w:rsid w:val="00183286"/>
    <w:rsid w:val="0018331D"/>
    <w:rsid w:val="0018332A"/>
    <w:rsid w:val="0018336A"/>
    <w:rsid w:val="0018343B"/>
    <w:rsid w:val="00183562"/>
    <w:rsid w:val="0018359D"/>
    <w:rsid w:val="001835A9"/>
    <w:rsid w:val="001835C1"/>
    <w:rsid w:val="00183617"/>
    <w:rsid w:val="00183643"/>
    <w:rsid w:val="00183676"/>
    <w:rsid w:val="0018373B"/>
    <w:rsid w:val="001837BA"/>
    <w:rsid w:val="0018382E"/>
    <w:rsid w:val="00183837"/>
    <w:rsid w:val="001838E3"/>
    <w:rsid w:val="001838F6"/>
    <w:rsid w:val="0018390C"/>
    <w:rsid w:val="0018393D"/>
    <w:rsid w:val="001839CB"/>
    <w:rsid w:val="001839F1"/>
    <w:rsid w:val="00183D80"/>
    <w:rsid w:val="00183E3B"/>
    <w:rsid w:val="00183E6F"/>
    <w:rsid w:val="00183E81"/>
    <w:rsid w:val="00183F5A"/>
    <w:rsid w:val="00183FB6"/>
    <w:rsid w:val="00184049"/>
    <w:rsid w:val="001841C8"/>
    <w:rsid w:val="00184219"/>
    <w:rsid w:val="001842C8"/>
    <w:rsid w:val="001842DF"/>
    <w:rsid w:val="00184359"/>
    <w:rsid w:val="00184369"/>
    <w:rsid w:val="00184377"/>
    <w:rsid w:val="0018437C"/>
    <w:rsid w:val="0018445F"/>
    <w:rsid w:val="00184473"/>
    <w:rsid w:val="001844C5"/>
    <w:rsid w:val="00184568"/>
    <w:rsid w:val="0018458D"/>
    <w:rsid w:val="001845DB"/>
    <w:rsid w:val="00184616"/>
    <w:rsid w:val="00184623"/>
    <w:rsid w:val="00184642"/>
    <w:rsid w:val="0018471A"/>
    <w:rsid w:val="0018485F"/>
    <w:rsid w:val="0018495B"/>
    <w:rsid w:val="001849BF"/>
    <w:rsid w:val="00184BAB"/>
    <w:rsid w:val="00184BCB"/>
    <w:rsid w:val="00184CA1"/>
    <w:rsid w:val="00184CA5"/>
    <w:rsid w:val="00184D22"/>
    <w:rsid w:val="00184D33"/>
    <w:rsid w:val="00184DD9"/>
    <w:rsid w:val="00184E4A"/>
    <w:rsid w:val="00184E4B"/>
    <w:rsid w:val="00184E7A"/>
    <w:rsid w:val="00184ED5"/>
    <w:rsid w:val="0018500A"/>
    <w:rsid w:val="00185044"/>
    <w:rsid w:val="001850DB"/>
    <w:rsid w:val="00185124"/>
    <w:rsid w:val="0018518C"/>
    <w:rsid w:val="001851EC"/>
    <w:rsid w:val="001852BA"/>
    <w:rsid w:val="001853AC"/>
    <w:rsid w:val="001854C4"/>
    <w:rsid w:val="001855BA"/>
    <w:rsid w:val="00185632"/>
    <w:rsid w:val="0018564D"/>
    <w:rsid w:val="00185657"/>
    <w:rsid w:val="001857EA"/>
    <w:rsid w:val="001857F2"/>
    <w:rsid w:val="00185808"/>
    <w:rsid w:val="00185982"/>
    <w:rsid w:val="0018599C"/>
    <w:rsid w:val="001859C9"/>
    <w:rsid w:val="00185AA7"/>
    <w:rsid w:val="00185B3F"/>
    <w:rsid w:val="00185B40"/>
    <w:rsid w:val="00185BA7"/>
    <w:rsid w:val="00185D2F"/>
    <w:rsid w:val="00185D6B"/>
    <w:rsid w:val="00185D85"/>
    <w:rsid w:val="00185DEF"/>
    <w:rsid w:val="00185E5E"/>
    <w:rsid w:val="00185F7F"/>
    <w:rsid w:val="00185FDB"/>
    <w:rsid w:val="0018600A"/>
    <w:rsid w:val="001860AA"/>
    <w:rsid w:val="00186134"/>
    <w:rsid w:val="00186215"/>
    <w:rsid w:val="00186319"/>
    <w:rsid w:val="00186331"/>
    <w:rsid w:val="0018639A"/>
    <w:rsid w:val="001863B9"/>
    <w:rsid w:val="001864EE"/>
    <w:rsid w:val="001865B6"/>
    <w:rsid w:val="001865B9"/>
    <w:rsid w:val="001865FC"/>
    <w:rsid w:val="00186679"/>
    <w:rsid w:val="00186715"/>
    <w:rsid w:val="0018671B"/>
    <w:rsid w:val="00186785"/>
    <w:rsid w:val="001867DD"/>
    <w:rsid w:val="001867E9"/>
    <w:rsid w:val="001868BE"/>
    <w:rsid w:val="00186906"/>
    <w:rsid w:val="00186972"/>
    <w:rsid w:val="00186990"/>
    <w:rsid w:val="001869CC"/>
    <w:rsid w:val="001869EE"/>
    <w:rsid w:val="00186A49"/>
    <w:rsid w:val="00186B4A"/>
    <w:rsid w:val="00186D00"/>
    <w:rsid w:val="00186D21"/>
    <w:rsid w:val="00186D7A"/>
    <w:rsid w:val="00186DCC"/>
    <w:rsid w:val="00186DDB"/>
    <w:rsid w:val="00186F75"/>
    <w:rsid w:val="00186FF7"/>
    <w:rsid w:val="00187065"/>
    <w:rsid w:val="001870EE"/>
    <w:rsid w:val="0018716B"/>
    <w:rsid w:val="00187170"/>
    <w:rsid w:val="0018721B"/>
    <w:rsid w:val="00187278"/>
    <w:rsid w:val="00187289"/>
    <w:rsid w:val="001872AC"/>
    <w:rsid w:val="001872C7"/>
    <w:rsid w:val="001872E2"/>
    <w:rsid w:val="001872F1"/>
    <w:rsid w:val="00187337"/>
    <w:rsid w:val="00187433"/>
    <w:rsid w:val="0018743A"/>
    <w:rsid w:val="0018744E"/>
    <w:rsid w:val="001875B8"/>
    <w:rsid w:val="00187663"/>
    <w:rsid w:val="001876AD"/>
    <w:rsid w:val="00187760"/>
    <w:rsid w:val="00187913"/>
    <w:rsid w:val="001879AE"/>
    <w:rsid w:val="00187B88"/>
    <w:rsid w:val="00187E07"/>
    <w:rsid w:val="00187EEE"/>
    <w:rsid w:val="00187FB5"/>
    <w:rsid w:val="0019009A"/>
    <w:rsid w:val="00190116"/>
    <w:rsid w:val="0019011B"/>
    <w:rsid w:val="00190240"/>
    <w:rsid w:val="00190252"/>
    <w:rsid w:val="00190379"/>
    <w:rsid w:val="001903A6"/>
    <w:rsid w:val="001904D0"/>
    <w:rsid w:val="00190511"/>
    <w:rsid w:val="0019052E"/>
    <w:rsid w:val="0019067D"/>
    <w:rsid w:val="00190681"/>
    <w:rsid w:val="001906E2"/>
    <w:rsid w:val="001906F9"/>
    <w:rsid w:val="00190702"/>
    <w:rsid w:val="00190718"/>
    <w:rsid w:val="001907C0"/>
    <w:rsid w:val="00190801"/>
    <w:rsid w:val="0019084D"/>
    <w:rsid w:val="0019096A"/>
    <w:rsid w:val="001909E5"/>
    <w:rsid w:val="00190A26"/>
    <w:rsid w:val="00190A57"/>
    <w:rsid w:val="00190A5D"/>
    <w:rsid w:val="00190A6B"/>
    <w:rsid w:val="00190ABC"/>
    <w:rsid w:val="00190AEC"/>
    <w:rsid w:val="00190AF7"/>
    <w:rsid w:val="00190B3F"/>
    <w:rsid w:val="00190B7A"/>
    <w:rsid w:val="00190C65"/>
    <w:rsid w:val="00190CE4"/>
    <w:rsid w:val="00190CF5"/>
    <w:rsid w:val="00190CFC"/>
    <w:rsid w:val="00190CFD"/>
    <w:rsid w:val="00190D80"/>
    <w:rsid w:val="00190DA0"/>
    <w:rsid w:val="00190DD2"/>
    <w:rsid w:val="00190E07"/>
    <w:rsid w:val="00190E98"/>
    <w:rsid w:val="00190EFE"/>
    <w:rsid w:val="00190F2C"/>
    <w:rsid w:val="00190F65"/>
    <w:rsid w:val="00190FC4"/>
    <w:rsid w:val="0019108C"/>
    <w:rsid w:val="00191103"/>
    <w:rsid w:val="00191144"/>
    <w:rsid w:val="0019122C"/>
    <w:rsid w:val="001912BA"/>
    <w:rsid w:val="001912F7"/>
    <w:rsid w:val="00191358"/>
    <w:rsid w:val="0019139A"/>
    <w:rsid w:val="001913D5"/>
    <w:rsid w:val="001913E6"/>
    <w:rsid w:val="001915CB"/>
    <w:rsid w:val="00191660"/>
    <w:rsid w:val="00191734"/>
    <w:rsid w:val="001917BF"/>
    <w:rsid w:val="001918DA"/>
    <w:rsid w:val="00191908"/>
    <w:rsid w:val="001919FF"/>
    <w:rsid w:val="00191A04"/>
    <w:rsid w:val="00191A41"/>
    <w:rsid w:val="00191C0F"/>
    <w:rsid w:val="00191CA7"/>
    <w:rsid w:val="00191DE0"/>
    <w:rsid w:val="00191E02"/>
    <w:rsid w:val="00191E42"/>
    <w:rsid w:val="00191E66"/>
    <w:rsid w:val="00191F29"/>
    <w:rsid w:val="00191F44"/>
    <w:rsid w:val="00191FF0"/>
    <w:rsid w:val="001920BC"/>
    <w:rsid w:val="001920F9"/>
    <w:rsid w:val="00192131"/>
    <w:rsid w:val="00192151"/>
    <w:rsid w:val="00192182"/>
    <w:rsid w:val="00192186"/>
    <w:rsid w:val="0019222F"/>
    <w:rsid w:val="0019240F"/>
    <w:rsid w:val="00192412"/>
    <w:rsid w:val="001924A4"/>
    <w:rsid w:val="0019261B"/>
    <w:rsid w:val="001928B7"/>
    <w:rsid w:val="00192951"/>
    <w:rsid w:val="00192A0E"/>
    <w:rsid w:val="00192B44"/>
    <w:rsid w:val="00192B68"/>
    <w:rsid w:val="00192B83"/>
    <w:rsid w:val="00192C0C"/>
    <w:rsid w:val="00192C67"/>
    <w:rsid w:val="00192CEA"/>
    <w:rsid w:val="00192D6F"/>
    <w:rsid w:val="00192DF3"/>
    <w:rsid w:val="00192E92"/>
    <w:rsid w:val="00192ECA"/>
    <w:rsid w:val="00192F81"/>
    <w:rsid w:val="0019301F"/>
    <w:rsid w:val="001930C5"/>
    <w:rsid w:val="001930FC"/>
    <w:rsid w:val="0019310F"/>
    <w:rsid w:val="001931A4"/>
    <w:rsid w:val="001931AC"/>
    <w:rsid w:val="00193252"/>
    <w:rsid w:val="00193286"/>
    <w:rsid w:val="0019348D"/>
    <w:rsid w:val="001934D1"/>
    <w:rsid w:val="00193620"/>
    <w:rsid w:val="0019362A"/>
    <w:rsid w:val="00193773"/>
    <w:rsid w:val="001937B8"/>
    <w:rsid w:val="001937E5"/>
    <w:rsid w:val="001938C9"/>
    <w:rsid w:val="00193983"/>
    <w:rsid w:val="001939E6"/>
    <w:rsid w:val="00193BA0"/>
    <w:rsid w:val="00193BBF"/>
    <w:rsid w:val="00193BC0"/>
    <w:rsid w:val="00193CC7"/>
    <w:rsid w:val="00193D1C"/>
    <w:rsid w:val="00193D9B"/>
    <w:rsid w:val="00193DA7"/>
    <w:rsid w:val="00193DBA"/>
    <w:rsid w:val="00193E33"/>
    <w:rsid w:val="00193E3A"/>
    <w:rsid w:val="00193E92"/>
    <w:rsid w:val="00193FBD"/>
    <w:rsid w:val="00193FCE"/>
    <w:rsid w:val="00193FE8"/>
    <w:rsid w:val="00194031"/>
    <w:rsid w:val="00194076"/>
    <w:rsid w:val="001940CE"/>
    <w:rsid w:val="00194145"/>
    <w:rsid w:val="001941FD"/>
    <w:rsid w:val="00194445"/>
    <w:rsid w:val="00194447"/>
    <w:rsid w:val="00194639"/>
    <w:rsid w:val="00194793"/>
    <w:rsid w:val="001947FD"/>
    <w:rsid w:val="00194862"/>
    <w:rsid w:val="001948D5"/>
    <w:rsid w:val="00194969"/>
    <w:rsid w:val="00194984"/>
    <w:rsid w:val="00194A4A"/>
    <w:rsid w:val="00194B89"/>
    <w:rsid w:val="00194BB7"/>
    <w:rsid w:val="00194C32"/>
    <w:rsid w:val="00194CC5"/>
    <w:rsid w:val="00194CC9"/>
    <w:rsid w:val="00194DF6"/>
    <w:rsid w:val="00194E14"/>
    <w:rsid w:val="00194E67"/>
    <w:rsid w:val="00194E99"/>
    <w:rsid w:val="00194ED5"/>
    <w:rsid w:val="00194F74"/>
    <w:rsid w:val="00194FED"/>
    <w:rsid w:val="00195134"/>
    <w:rsid w:val="001951B2"/>
    <w:rsid w:val="001951EF"/>
    <w:rsid w:val="0019529A"/>
    <w:rsid w:val="001953AA"/>
    <w:rsid w:val="00195442"/>
    <w:rsid w:val="001954AD"/>
    <w:rsid w:val="00195530"/>
    <w:rsid w:val="00195551"/>
    <w:rsid w:val="001955B0"/>
    <w:rsid w:val="00195618"/>
    <w:rsid w:val="0019561D"/>
    <w:rsid w:val="0019565D"/>
    <w:rsid w:val="00195661"/>
    <w:rsid w:val="00195761"/>
    <w:rsid w:val="001958FD"/>
    <w:rsid w:val="00195935"/>
    <w:rsid w:val="00195AB6"/>
    <w:rsid w:val="00195AC4"/>
    <w:rsid w:val="00195AFD"/>
    <w:rsid w:val="00195C13"/>
    <w:rsid w:val="00195D84"/>
    <w:rsid w:val="00195E40"/>
    <w:rsid w:val="00195E72"/>
    <w:rsid w:val="00195E8F"/>
    <w:rsid w:val="00195EFA"/>
    <w:rsid w:val="00195F3A"/>
    <w:rsid w:val="00196206"/>
    <w:rsid w:val="0019624A"/>
    <w:rsid w:val="0019624B"/>
    <w:rsid w:val="00196454"/>
    <w:rsid w:val="001964D7"/>
    <w:rsid w:val="00196517"/>
    <w:rsid w:val="00196604"/>
    <w:rsid w:val="00196618"/>
    <w:rsid w:val="00196801"/>
    <w:rsid w:val="00196844"/>
    <w:rsid w:val="0019684C"/>
    <w:rsid w:val="001969F1"/>
    <w:rsid w:val="00196AB6"/>
    <w:rsid w:val="00196C62"/>
    <w:rsid w:val="00196CB9"/>
    <w:rsid w:val="00196D46"/>
    <w:rsid w:val="00196E0B"/>
    <w:rsid w:val="00196F1E"/>
    <w:rsid w:val="00196FA7"/>
    <w:rsid w:val="00196FAF"/>
    <w:rsid w:val="00196FEF"/>
    <w:rsid w:val="00196FFF"/>
    <w:rsid w:val="00197051"/>
    <w:rsid w:val="00197075"/>
    <w:rsid w:val="00197102"/>
    <w:rsid w:val="00197184"/>
    <w:rsid w:val="001971DD"/>
    <w:rsid w:val="0019725D"/>
    <w:rsid w:val="00197339"/>
    <w:rsid w:val="001973AD"/>
    <w:rsid w:val="001973BF"/>
    <w:rsid w:val="001974B3"/>
    <w:rsid w:val="00197564"/>
    <w:rsid w:val="001976EE"/>
    <w:rsid w:val="001977DA"/>
    <w:rsid w:val="00197813"/>
    <w:rsid w:val="00197847"/>
    <w:rsid w:val="001978AB"/>
    <w:rsid w:val="00197959"/>
    <w:rsid w:val="001979A7"/>
    <w:rsid w:val="001979D4"/>
    <w:rsid w:val="00197A30"/>
    <w:rsid w:val="00197A67"/>
    <w:rsid w:val="00197B60"/>
    <w:rsid w:val="00197BAD"/>
    <w:rsid w:val="00197BBF"/>
    <w:rsid w:val="00197BFA"/>
    <w:rsid w:val="00197C10"/>
    <w:rsid w:val="00197C19"/>
    <w:rsid w:val="00197C81"/>
    <w:rsid w:val="00197C9F"/>
    <w:rsid w:val="00197D42"/>
    <w:rsid w:val="00197DA3"/>
    <w:rsid w:val="00197E57"/>
    <w:rsid w:val="00197EC2"/>
    <w:rsid w:val="00197ECE"/>
    <w:rsid w:val="00197F7E"/>
    <w:rsid w:val="001A0124"/>
    <w:rsid w:val="001A022A"/>
    <w:rsid w:val="001A023D"/>
    <w:rsid w:val="001A0260"/>
    <w:rsid w:val="001A033B"/>
    <w:rsid w:val="001A03A9"/>
    <w:rsid w:val="001A03AE"/>
    <w:rsid w:val="001A03C7"/>
    <w:rsid w:val="001A04C7"/>
    <w:rsid w:val="001A04FB"/>
    <w:rsid w:val="001A05A8"/>
    <w:rsid w:val="001A05D0"/>
    <w:rsid w:val="001A061C"/>
    <w:rsid w:val="001A069C"/>
    <w:rsid w:val="001A06BB"/>
    <w:rsid w:val="001A0702"/>
    <w:rsid w:val="001A0862"/>
    <w:rsid w:val="001A086B"/>
    <w:rsid w:val="001A0878"/>
    <w:rsid w:val="001A08F4"/>
    <w:rsid w:val="001A09C8"/>
    <w:rsid w:val="001A0A19"/>
    <w:rsid w:val="001A0A77"/>
    <w:rsid w:val="001A0AD0"/>
    <w:rsid w:val="001A0B07"/>
    <w:rsid w:val="001A0C65"/>
    <w:rsid w:val="001A0C6A"/>
    <w:rsid w:val="001A0CDF"/>
    <w:rsid w:val="001A0D3A"/>
    <w:rsid w:val="001A0DD3"/>
    <w:rsid w:val="001A0DFF"/>
    <w:rsid w:val="001A0E64"/>
    <w:rsid w:val="001A0EA7"/>
    <w:rsid w:val="001A0ED4"/>
    <w:rsid w:val="001A0F71"/>
    <w:rsid w:val="001A0FF5"/>
    <w:rsid w:val="001A101E"/>
    <w:rsid w:val="001A1032"/>
    <w:rsid w:val="001A1045"/>
    <w:rsid w:val="001A107E"/>
    <w:rsid w:val="001A1120"/>
    <w:rsid w:val="001A11D0"/>
    <w:rsid w:val="001A12B3"/>
    <w:rsid w:val="001A1341"/>
    <w:rsid w:val="001A13D0"/>
    <w:rsid w:val="001A13FF"/>
    <w:rsid w:val="001A1437"/>
    <w:rsid w:val="001A143B"/>
    <w:rsid w:val="001A146D"/>
    <w:rsid w:val="001A147A"/>
    <w:rsid w:val="001A1529"/>
    <w:rsid w:val="001A1547"/>
    <w:rsid w:val="001A1560"/>
    <w:rsid w:val="001A1572"/>
    <w:rsid w:val="001A18C7"/>
    <w:rsid w:val="001A191B"/>
    <w:rsid w:val="001A192D"/>
    <w:rsid w:val="001A1B61"/>
    <w:rsid w:val="001A1BD8"/>
    <w:rsid w:val="001A1C59"/>
    <w:rsid w:val="001A1C99"/>
    <w:rsid w:val="001A1CDC"/>
    <w:rsid w:val="001A1CED"/>
    <w:rsid w:val="001A1D5E"/>
    <w:rsid w:val="001A1DC1"/>
    <w:rsid w:val="001A1EB2"/>
    <w:rsid w:val="001A1EC6"/>
    <w:rsid w:val="001A1EE6"/>
    <w:rsid w:val="001A1F30"/>
    <w:rsid w:val="001A1F72"/>
    <w:rsid w:val="001A2010"/>
    <w:rsid w:val="001A2115"/>
    <w:rsid w:val="001A2124"/>
    <w:rsid w:val="001A215A"/>
    <w:rsid w:val="001A2263"/>
    <w:rsid w:val="001A22F3"/>
    <w:rsid w:val="001A2301"/>
    <w:rsid w:val="001A2313"/>
    <w:rsid w:val="001A243D"/>
    <w:rsid w:val="001A2472"/>
    <w:rsid w:val="001A248B"/>
    <w:rsid w:val="001A2515"/>
    <w:rsid w:val="001A266E"/>
    <w:rsid w:val="001A26A9"/>
    <w:rsid w:val="001A2792"/>
    <w:rsid w:val="001A279B"/>
    <w:rsid w:val="001A28A7"/>
    <w:rsid w:val="001A28BB"/>
    <w:rsid w:val="001A28DF"/>
    <w:rsid w:val="001A28E6"/>
    <w:rsid w:val="001A2A10"/>
    <w:rsid w:val="001A2B29"/>
    <w:rsid w:val="001A2C0E"/>
    <w:rsid w:val="001A2D90"/>
    <w:rsid w:val="001A2D91"/>
    <w:rsid w:val="001A2DC3"/>
    <w:rsid w:val="001A2E66"/>
    <w:rsid w:val="001A2E87"/>
    <w:rsid w:val="001A2EC5"/>
    <w:rsid w:val="001A2F88"/>
    <w:rsid w:val="001A2F8E"/>
    <w:rsid w:val="001A3033"/>
    <w:rsid w:val="001A30EA"/>
    <w:rsid w:val="001A3188"/>
    <w:rsid w:val="001A31CF"/>
    <w:rsid w:val="001A31F3"/>
    <w:rsid w:val="001A32AB"/>
    <w:rsid w:val="001A32CB"/>
    <w:rsid w:val="001A3329"/>
    <w:rsid w:val="001A338C"/>
    <w:rsid w:val="001A3411"/>
    <w:rsid w:val="001A3434"/>
    <w:rsid w:val="001A344C"/>
    <w:rsid w:val="001A3453"/>
    <w:rsid w:val="001A352B"/>
    <w:rsid w:val="001A353F"/>
    <w:rsid w:val="001A358B"/>
    <w:rsid w:val="001A35F9"/>
    <w:rsid w:val="001A363E"/>
    <w:rsid w:val="001A3653"/>
    <w:rsid w:val="001A3659"/>
    <w:rsid w:val="001A3674"/>
    <w:rsid w:val="001A36E2"/>
    <w:rsid w:val="001A3716"/>
    <w:rsid w:val="001A378A"/>
    <w:rsid w:val="001A3869"/>
    <w:rsid w:val="001A38AB"/>
    <w:rsid w:val="001A38BA"/>
    <w:rsid w:val="001A38C2"/>
    <w:rsid w:val="001A38EE"/>
    <w:rsid w:val="001A394C"/>
    <w:rsid w:val="001A395B"/>
    <w:rsid w:val="001A397D"/>
    <w:rsid w:val="001A3A86"/>
    <w:rsid w:val="001A3B19"/>
    <w:rsid w:val="001A3B56"/>
    <w:rsid w:val="001A3BDC"/>
    <w:rsid w:val="001A3C10"/>
    <w:rsid w:val="001A3CD4"/>
    <w:rsid w:val="001A3CE5"/>
    <w:rsid w:val="001A3CE8"/>
    <w:rsid w:val="001A3DD8"/>
    <w:rsid w:val="001A3E2A"/>
    <w:rsid w:val="001A3EE8"/>
    <w:rsid w:val="001A3F28"/>
    <w:rsid w:val="001A3F4D"/>
    <w:rsid w:val="001A4006"/>
    <w:rsid w:val="001A403A"/>
    <w:rsid w:val="001A41A0"/>
    <w:rsid w:val="001A42CC"/>
    <w:rsid w:val="001A42D3"/>
    <w:rsid w:val="001A4328"/>
    <w:rsid w:val="001A4337"/>
    <w:rsid w:val="001A4385"/>
    <w:rsid w:val="001A439B"/>
    <w:rsid w:val="001A43AC"/>
    <w:rsid w:val="001A43B1"/>
    <w:rsid w:val="001A44A9"/>
    <w:rsid w:val="001A44AF"/>
    <w:rsid w:val="001A4574"/>
    <w:rsid w:val="001A45EE"/>
    <w:rsid w:val="001A471A"/>
    <w:rsid w:val="001A48DE"/>
    <w:rsid w:val="001A48F0"/>
    <w:rsid w:val="001A49D6"/>
    <w:rsid w:val="001A49E7"/>
    <w:rsid w:val="001A4A6C"/>
    <w:rsid w:val="001A4AEE"/>
    <w:rsid w:val="001A4B14"/>
    <w:rsid w:val="001A4B4B"/>
    <w:rsid w:val="001A4C40"/>
    <w:rsid w:val="001A4C85"/>
    <w:rsid w:val="001A4D0F"/>
    <w:rsid w:val="001A4EBF"/>
    <w:rsid w:val="001A4F63"/>
    <w:rsid w:val="001A4FE4"/>
    <w:rsid w:val="001A508D"/>
    <w:rsid w:val="001A50BF"/>
    <w:rsid w:val="001A51D7"/>
    <w:rsid w:val="001A52E3"/>
    <w:rsid w:val="001A5336"/>
    <w:rsid w:val="001A5363"/>
    <w:rsid w:val="001A5408"/>
    <w:rsid w:val="001A5449"/>
    <w:rsid w:val="001A545F"/>
    <w:rsid w:val="001A5563"/>
    <w:rsid w:val="001A5564"/>
    <w:rsid w:val="001A55BA"/>
    <w:rsid w:val="001A55D8"/>
    <w:rsid w:val="001A5738"/>
    <w:rsid w:val="001A574F"/>
    <w:rsid w:val="001A57D8"/>
    <w:rsid w:val="001A59A0"/>
    <w:rsid w:val="001A59B6"/>
    <w:rsid w:val="001A5A03"/>
    <w:rsid w:val="001A5AD4"/>
    <w:rsid w:val="001A5ADD"/>
    <w:rsid w:val="001A5B6C"/>
    <w:rsid w:val="001A5BB0"/>
    <w:rsid w:val="001A5BB6"/>
    <w:rsid w:val="001A5C22"/>
    <w:rsid w:val="001A5C46"/>
    <w:rsid w:val="001A5CA7"/>
    <w:rsid w:val="001A5CE2"/>
    <w:rsid w:val="001A5D13"/>
    <w:rsid w:val="001A5D3E"/>
    <w:rsid w:val="001A5DB0"/>
    <w:rsid w:val="001A5E40"/>
    <w:rsid w:val="001A6034"/>
    <w:rsid w:val="001A6064"/>
    <w:rsid w:val="001A6169"/>
    <w:rsid w:val="001A61D8"/>
    <w:rsid w:val="001A626C"/>
    <w:rsid w:val="001A62D9"/>
    <w:rsid w:val="001A6367"/>
    <w:rsid w:val="001A6527"/>
    <w:rsid w:val="001A65C8"/>
    <w:rsid w:val="001A6617"/>
    <w:rsid w:val="001A6702"/>
    <w:rsid w:val="001A6761"/>
    <w:rsid w:val="001A67A3"/>
    <w:rsid w:val="001A67AE"/>
    <w:rsid w:val="001A68C3"/>
    <w:rsid w:val="001A696F"/>
    <w:rsid w:val="001A6989"/>
    <w:rsid w:val="001A6BAC"/>
    <w:rsid w:val="001A6C00"/>
    <w:rsid w:val="001A6C48"/>
    <w:rsid w:val="001A6C57"/>
    <w:rsid w:val="001A6CBF"/>
    <w:rsid w:val="001A6CF1"/>
    <w:rsid w:val="001A6D2D"/>
    <w:rsid w:val="001A6E74"/>
    <w:rsid w:val="001A7008"/>
    <w:rsid w:val="001A707A"/>
    <w:rsid w:val="001A70DB"/>
    <w:rsid w:val="001A717E"/>
    <w:rsid w:val="001A7272"/>
    <w:rsid w:val="001A729E"/>
    <w:rsid w:val="001A7304"/>
    <w:rsid w:val="001A732E"/>
    <w:rsid w:val="001A7462"/>
    <w:rsid w:val="001A74BC"/>
    <w:rsid w:val="001A7520"/>
    <w:rsid w:val="001A7629"/>
    <w:rsid w:val="001A775B"/>
    <w:rsid w:val="001A7783"/>
    <w:rsid w:val="001A7824"/>
    <w:rsid w:val="001A78A5"/>
    <w:rsid w:val="001A78CA"/>
    <w:rsid w:val="001A791C"/>
    <w:rsid w:val="001A7940"/>
    <w:rsid w:val="001A79D9"/>
    <w:rsid w:val="001A79F4"/>
    <w:rsid w:val="001A7B88"/>
    <w:rsid w:val="001A7C31"/>
    <w:rsid w:val="001A7C55"/>
    <w:rsid w:val="001A7C61"/>
    <w:rsid w:val="001A7CD2"/>
    <w:rsid w:val="001A7CF5"/>
    <w:rsid w:val="001A7D02"/>
    <w:rsid w:val="001A7E6A"/>
    <w:rsid w:val="001A7F30"/>
    <w:rsid w:val="001A7F52"/>
    <w:rsid w:val="001A7FAA"/>
    <w:rsid w:val="001A7FBD"/>
    <w:rsid w:val="001A7FCE"/>
    <w:rsid w:val="001B003B"/>
    <w:rsid w:val="001B016C"/>
    <w:rsid w:val="001B01A0"/>
    <w:rsid w:val="001B01F8"/>
    <w:rsid w:val="001B024E"/>
    <w:rsid w:val="001B0251"/>
    <w:rsid w:val="001B033B"/>
    <w:rsid w:val="001B0368"/>
    <w:rsid w:val="001B03A6"/>
    <w:rsid w:val="001B03E8"/>
    <w:rsid w:val="001B03FE"/>
    <w:rsid w:val="001B04C5"/>
    <w:rsid w:val="001B04E8"/>
    <w:rsid w:val="001B050F"/>
    <w:rsid w:val="001B0549"/>
    <w:rsid w:val="001B059F"/>
    <w:rsid w:val="001B05DB"/>
    <w:rsid w:val="001B05E6"/>
    <w:rsid w:val="001B06C1"/>
    <w:rsid w:val="001B06E2"/>
    <w:rsid w:val="001B06F0"/>
    <w:rsid w:val="001B0767"/>
    <w:rsid w:val="001B082D"/>
    <w:rsid w:val="001B086D"/>
    <w:rsid w:val="001B08AF"/>
    <w:rsid w:val="001B08EE"/>
    <w:rsid w:val="001B0957"/>
    <w:rsid w:val="001B095D"/>
    <w:rsid w:val="001B09DE"/>
    <w:rsid w:val="001B0AC3"/>
    <w:rsid w:val="001B0B2C"/>
    <w:rsid w:val="001B0BAF"/>
    <w:rsid w:val="001B0CA7"/>
    <w:rsid w:val="001B0E6B"/>
    <w:rsid w:val="001B0F48"/>
    <w:rsid w:val="001B0F7E"/>
    <w:rsid w:val="001B0FF1"/>
    <w:rsid w:val="001B0FFD"/>
    <w:rsid w:val="001B103A"/>
    <w:rsid w:val="001B103D"/>
    <w:rsid w:val="001B115B"/>
    <w:rsid w:val="001B1200"/>
    <w:rsid w:val="001B132C"/>
    <w:rsid w:val="001B1422"/>
    <w:rsid w:val="001B14F6"/>
    <w:rsid w:val="001B1513"/>
    <w:rsid w:val="001B15AA"/>
    <w:rsid w:val="001B167D"/>
    <w:rsid w:val="001B1726"/>
    <w:rsid w:val="001B1767"/>
    <w:rsid w:val="001B17B9"/>
    <w:rsid w:val="001B19AE"/>
    <w:rsid w:val="001B1A57"/>
    <w:rsid w:val="001B1AB6"/>
    <w:rsid w:val="001B1D60"/>
    <w:rsid w:val="001B1EBD"/>
    <w:rsid w:val="001B2023"/>
    <w:rsid w:val="001B20E4"/>
    <w:rsid w:val="001B20FD"/>
    <w:rsid w:val="001B2363"/>
    <w:rsid w:val="001B2453"/>
    <w:rsid w:val="001B2473"/>
    <w:rsid w:val="001B2505"/>
    <w:rsid w:val="001B2541"/>
    <w:rsid w:val="001B2614"/>
    <w:rsid w:val="001B268F"/>
    <w:rsid w:val="001B279B"/>
    <w:rsid w:val="001B281D"/>
    <w:rsid w:val="001B28CD"/>
    <w:rsid w:val="001B2920"/>
    <w:rsid w:val="001B2A20"/>
    <w:rsid w:val="001B2A53"/>
    <w:rsid w:val="001B2A6B"/>
    <w:rsid w:val="001B2A7E"/>
    <w:rsid w:val="001B2A8F"/>
    <w:rsid w:val="001B2AD6"/>
    <w:rsid w:val="001B2B5C"/>
    <w:rsid w:val="001B2B63"/>
    <w:rsid w:val="001B2BD5"/>
    <w:rsid w:val="001B2C7A"/>
    <w:rsid w:val="001B2D13"/>
    <w:rsid w:val="001B2E2A"/>
    <w:rsid w:val="001B2ECF"/>
    <w:rsid w:val="001B2EEF"/>
    <w:rsid w:val="001B2F2C"/>
    <w:rsid w:val="001B2FBB"/>
    <w:rsid w:val="001B3004"/>
    <w:rsid w:val="001B304E"/>
    <w:rsid w:val="001B305E"/>
    <w:rsid w:val="001B3079"/>
    <w:rsid w:val="001B30A1"/>
    <w:rsid w:val="001B31C5"/>
    <w:rsid w:val="001B31D9"/>
    <w:rsid w:val="001B3210"/>
    <w:rsid w:val="001B326D"/>
    <w:rsid w:val="001B33DB"/>
    <w:rsid w:val="001B3451"/>
    <w:rsid w:val="001B3611"/>
    <w:rsid w:val="001B361D"/>
    <w:rsid w:val="001B372C"/>
    <w:rsid w:val="001B374C"/>
    <w:rsid w:val="001B3808"/>
    <w:rsid w:val="001B3869"/>
    <w:rsid w:val="001B393A"/>
    <w:rsid w:val="001B39AA"/>
    <w:rsid w:val="001B39FC"/>
    <w:rsid w:val="001B3A59"/>
    <w:rsid w:val="001B3AA6"/>
    <w:rsid w:val="001B3B4E"/>
    <w:rsid w:val="001B3B5A"/>
    <w:rsid w:val="001B3BEC"/>
    <w:rsid w:val="001B3CAF"/>
    <w:rsid w:val="001B3D48"/>
    <w:rsid w:val="001B3EC8"/>
    <w:rsid w:val="001B407B"/>
    <w:rsid w:val="001B40C3"/>
    <w:rsid w:val="001B4108"/>
    <w:rsid w:val="001B421F"/>
    <w:rsid w:val="001B4226"/>
    <w:rsid w:val="001B4257"/>
    <w:rsid w:val="001B4323"/>
    <w:rsid w:val="001B433E"/>
    <w:rsid w:val="001B4353"/>
    <w:rsid w:val="001B4380"/>
    <w:rsid w:val="001B43EF"/>
    <w:rsid w:val="001B4460"/>
    <w:rsid w:val="001B4628"/>
    <w:rsid w:val="001B4663"/>
    <w:rsid w:val="001B4685"/>
    <w:rsid w:val="001B47D2"/>
    <w:rsid w:val="001B4833"/>
    <w:rsid w:val="001B48B6"/>
    <w:rsid w:val="001B4991"/>
    <w:rsid w:val="001B4A1C"/>
    <w:rsid w:val="001B4B4B"/>
    <w:rsid w:val="001B4C5E"/>
    <w:rsid w:val="001B4D5F"/>
    <w:rsid w:val="001B4DAB"/>
    <w:rsid w:val="001B4E2D"/>
    <w:rsid w:val="001B4E53"/>
    <w:rsid w:val="001B4F89"/>
    <w:rsid w:val="001B4FDE"/>
    <w:rsid w:val="001B4FFC"/>
    <w:rsid w:val="001B502A"/>
    <w:rsid w:val="001B5039"/>
    <w:rsid w:val="001B505A"/>
    <w:rsid w:val="001B50C2"/>
    <w:rsid w:val="001B5181"/>
    <w:rsid w:val="001B51F7"/>
    <w:rsid w:val="001B532C"/>
    <w:rsid w:val="001B537E"/>
    <w:rsid w:val="001B5381"/>
    <w:rsid w:val="001B5394"/>
    <w:rsid w:val="001B540B"/>
    <w:rsid w:val="001B54C7"/>
    <w:rsid w:val="001B5552"/>
    <w:rsid w:val="001B55D2"/>
    <w:rsid w:val="001B561F"/>
    <w:rsid w:val="001B5652"/>
    <w:rsid w:val="001B5685"/>
    <w:rsid w:val="001B568B"/>
    <w:rsid w:val="001B5753"/>
    <w:rsid w:val="001B578E"/>
    <w:rsid w:val="001B5795"/>
    <w:rsid w:val="001B5831"/>
    <w:rsid w:val="001B586E"/>
    <w:rsid w:val="001B59DB"/>
    <w:rsid w:val="001B5A14"/>
    <w:rsid w:val="001B5AF1"/>
    <w:rsid w:val="001B5AF9"/>
    <w:rsid w:val="001B5BBC"/>
    <w:rsid w:val="001B5C0E"/>
    <w:rsid w:val="001B5C6E"/>
    <w:rsid w:val="001B5D2E"/>
    <w:rsid w:val="001B5D7E"/>
    <w:rsid w:val="001B5DF8"/>
    <w:rsid w:val="001B5E25"/>
    <w:rsid w:val="001B5EB1"/>
    <w:rsid w:val="001B5F0E"/>
    <w:rsid w:val="001B5F7C"/>
    <w:rsid w:val="001B6078"/>
    <w:rsid w:val="001B60B3"/>
    <w:rsid w:val="001B6192"/>
    <w:rsid w:val="001B6367"/>
    <w:rsid w:val="001B6368"/>
    <w:rsid w:val="001B63AF"/>
    <w:rsid w:val="001B63CA"/>
    <w:rsid w:val="001B642F"/>
    <w:rsid w:val="001B645A"/>
    <w:rsid w:val="001B65A1"/>
    <w:rsid w:val="001B65FB"/>
    <w:rsid w:val="001B6600"/>
    <w:rsid w:val="001B6706"/>
    <w:rsid w:val="001B67C9"/>
    <w:rsid w:val="001B68E6"/>
    <w:rsid w:val="001B6A56"/>
    <w:rsid w:val="001B6A57"/>
    <w:rsid w:val="001B6A64"/>
    <w:rsid w:val="001B6B6A"/>
    <w:rsid w:val="001B6B9B"/>
    <w:rsid w:val="001B6BB9"/>
    <w:rsid w:val="001B6C1C"/>
    <w:rsid w:val="001B6C27"/>
    <w:rsid w:val="001B6EF0"/>
    <w:rsid w:val="001B6F23"/>
    <w:rsid w:val="001B7051"/>
    <w:rsid w:val="001B7052"/>
    <w:rsid w:val="001B70EB"/>
    <w:rsid w:val="001B70EF"/>
    <w:rsid w:val="001B711A"/>
    <w:rsid w:val="001B7144"/>
    <w:rsid w:val="001B7171"/>
    <w:rsid w:val="001B71B4"/>
    <w:rsid w:val="001B71C5"/>
    <w:rsid w:val="001B71D4"/>
    <w:rsid w:val="001B7240"/>
    <w:rsid w:val="001B726A"/>
    <w:rsid w:val="001B72C1"/>
    <w:rsid w:val="001B7322"/>
    <w:rsid w:val="001B7419"/>
    <w:rsid w:val="001B7521"/>
    <w:rsid w:val="001B757E"/>
    <w:rsid w:val="001B7580"/>
    <w:rsid w:val="001B7636"/>
    <w:rsid w:val="001B7656"/>
    <w:rsid w:val="001B76D1"/>
    <w:rsid w:val="001B7785"/>
    <w:rsid w:val="001B78D3"/>
    <w:rsid w:val="001B7903"/>
    <w:rsid w:val="001B7925"/>
    <w:rsid w:val="001B792D"/>
    <w:rsid w:val="001B79DC"/>
    <w:rsid w:val="001B79FB"/>
    <w:rsid w:val="001B7A55"/>
    <w:rsid w:val="001B7B19"/>
    <w:rsid w:val="001B7B7D"/>
    <w:rsid w:val="001B7BCF"/>
    <w:rsid w:val="001B7BF3"/>
    <w:rsid w:val="001B7CA4"/>
    <w:rsid w:val="001B7D71"/>
    <w:rsid w:val="001B7DC4"/>
    <w:rsid w:val="001B7E91"/>
    <w:rsid w:val="001B7F9D"/>
    <w:rsid w:val="001BF3C0"/>
    <w:rsid w:val="001C0075"/>
    <w:rsid w:val="001C0130"/>
    <w:rsid w:val="001C018F"/>
    <w:rsid w:val="001C01A2"/>
    <w:rsid w:val="001C01F6"/>
    <w:rsid w:val="001C03A2"/>
    <w:rsid w:val="001C03F4"/>
    <w:rsid w:val="001C0434"/>
    <w:rsid w:val="001C04AC"/>
    <w:rsid w:val="001C0575"/>
    <w:rsid w:val="001C05C6"/>
    <w:rsid w:val="001C05CC"/>
    <w:rsid w:val="001C05E9"/>
    <w:rsid w:val="001C0663"/>
    <w:rsid w:val="001C06C5"/>
    <w:rsid w:val="001C076B"/>
    <w:rsid w:val="001C07A1"/>
    <w:rsid w:val="001C07DD"/>
    <w:rsid w:val="001C07F5"/>
    <w:rsid w:val="001C0849"/>
    <w:rsid w:val="001C0891"/>
    <w:rsid w:val="001C09A4"/>
    <w:rsid w:val="001C09DE"/>
    <w:rsid w:val="001C0A3B"/>
    <w:rsid w:val="001C0B3F"/>
    <w:rsid w:val="001C0B48"/>
    <w:rsid w:val="001C0BD4"/>
    <w:rsid w:val="001C0CC4"/>
    <w:rsid w:val="001C0CFE"/>
    <w:rsid w:val="001C0D0D"/>
    <w:rsid w:val="001C0D1C"/>
    <w:rsid w:val="001C0D4C"/>
    <w:rsid w:val="001C0D69"/>
    <w:rsid w:val="001C0E9A"/>
    <w:rsid w:val="001C1059"/>
    <w:rsid w:val="001C10C5"/>
    <w:rsid w:val="001C10F8"/>
    <w:rsid w:val="001C1196"/>
    <w:rsid w:val="001C1222"/>
    <w:rsid w:val="001C1238"/>
    <w:rsid w:val="001C12BA"/>
    <w:rsid w:val="001C12CC"/>
    <w:rsid w:val="001C1381"/>
    <w:rsid w:val="001C13A0"/>
    <w:rsid w:val="001C13DF"/>
    <w:rsid w:val="001C147E"/>
    <w:rsid w:val="001C14E1"/>
    <w:rsid w:val="001C151B"/>
    <w:rsid w:val="001C1563"/>
    <w:rsid w:val="001C15AE"/>
    <w:rsid w:val="001C162F"/>
    <w:rsid w:val="001C1638"/>
    <w:rsid w:val="001C1694"/>
    <w:rsid w:val="001C1724"/>
    <w:rsid w:val="001C17EE"/>
    <w:rsid w:val="001C18F0"/>
    <w:rsid w:val="001C1937"/>
    <w:rsid w:val="001C19E5"/>
    <w:rsid w:val="001C19FA"/>
    <w:rsid w:val="001C1A11"/>
    <w:rsid w:val="001C1AB4"/>
    <w:rsid w:val="001C1AB7"/>
    <w:rsid w:val="001C1B0D"/>
    <w:rsid w:val="001C1B6D"/>
    <w:rsid w:val="001C1B76"/>
    <w:rsid w:val="001C1BBB"/>
    <w:rsid w:val="001C1C71"/>
    <w:rsid w:val="001C1C9F"/>
    <w:rsid w:val="001C1CA8"/>
    <w:rsid w:val="001C1D13"/>
    <w:rsid w:val="001C1D48"/>
    <w:rsid w:val="001C1E23"/>
    <w:rsid w:val="001C1E7B"/>
    <w:rsid w:val="001C21EA"/>
    <w:rsid w:val="001C2271"/>
    <w:rsid w:val="001C22B8"/>
    <w:rsid w:val="001C22BC"/>
    <w:rsid w:val="001C22ED"/>
    <w:rsid w:val="001C22F9"/>
    <w:rsid w:val="001C233E"/>
    <w:rsid w:val="001C2393"/>
    <w:rsid w:val="001C2465"/>
    <w:rsid w:val="001C25DF"/>
    <w:rsid w:val="001C2609"/>
    <w:rsid w:val="001C2767"/>
    <w:rsid w:val="001C276B"/>
    <w:rsid w:val="001C27EF"/>
    <w:rsid w:val="001C280C"/>
    <w:rsid w:val="001C285B"/>
    <w:rsid w:val="001C2879"/>
    <w:rsid w:val="001C289A"/>
    <w:rsid w:val="001C28C3"/>
    <w:rsid w:val="001C28CF"/>
    <w:rsid w:val="001C297F"/>
    <w:rsid w:val="001C2ACC"/>
    <w:rsid w:val="001C2B16"/>
    <w:rsid w:val="001C2B3B"/>
    <w:rsid w:val="001C2B6B"/>
    <w:rsid w:val="001C2BAC"/>
    <w:rsid w:val="001C2BFE"/>
    <w:rsid w:val="001C2C52"/>
    <w:rsid w:val="001C2CBE"/>
    <w:rsid w:val="001C2E70"/>
    <w:rsid w:val="001C2F9D"/>
    <w:rsid w:val="001C322D"/>
    <w:rsid w:val="001C32DA"/>
    <w:rsid w:val="001C3341"/>
    <w:rsid w:val="001C3375"/>
    <w:rsid w:val="001C3383"/>
    <w:rsid w:val="001C3442"/>
    <w:rsid w:val="001C3470"/>
    <w:rsid w:val="001C3734"/>
    <w:rsid w:val="001C3737"/>
    <w:rsid w:val="001C37A4"/>
    <w:rsid w:val="001C3800"/>
    <w:rsid w:val="001C383A"/>
    <w:rsid w:val="001C384F"/>
    <w:rsid w:val="001C38F6"/>
    <w:rsid w:val="001C39C1"/>
    <w:rsid w:val="001C3ABC"/>
    <w:rsid w:val="001C3AD2"/>
    <w:rsid w:val="001C3AFD"/>
    <w:rsid w:val="001C3C7B"/>
    <w:rsid w:val="001C3CA2"/>
    <w:rsid w:val="001C3D0F"/>
    <w:rsid w:val="001C4104"/>
    <w:rsid w:val="001C41A6"/>
    <w:rsid w:val="001C420E"/>
    <w:rsid w:val="001C42B1"/>
    <w:rsid w:val="001C431C"/>
    <w:rsid w:val="001C443B"/>
    <w:rsid w:val="001C44AB"/>
    <w:rsid w:val="001C44E0"/>
    <w:rsid w:val="001C4566"/>
    <w:rsid w:val="001C45D8"/>
    <w:rsid w:val="001C45EF"/>
    <w:rsid w:val="001C4650"/>
    <w:rsid w:val="001C46E4"/>
    <w:rsid w:val="001C4729"/>
    <w:rsid w:val="001C47E9"/>
    <w:rsid w:val="001C483C"/>
    <w:rsid w:val="001C4A0F"/>
    <w:rsid w:val="001C4A6D"/>
    <w:rsid w:val="001C4B6B"/>
    <w:rsid w:val="001C4C3A"/>
    <w:rsid w:val="001C4C8B"/>
    <w:rsid w:val="001C4DD1"/>
    <w:rsid w:val="001C4E0E"/>
    <w:rsid w:val="001C4E2A"/>
    <w:rsid w:val="001C4F38"/>
    <w:rsid w:val="001C4F7A"/>
    <w:rsid w:val="001C4FCB"/>
    <w:rsid w:val="001C5083"/>
    <w:rsid w:val="001C5144"/>
    <w:rsid w:val="001C5271"/>
    <w:rsid w:val="001C527F"/>
    <w:rsid w:val="001C529F"/>
    <w:rsid w:val="001C52A8"/>
    <w:rsid w:val="001C52CE"/>
    <w:rsid w:val="001C52E5"/>
    <w:rsid w:val="001C5421"/>
    <w:rsid w:val="001C549D"/>
    <w:rsid w:val="001C5533"/>
    <w:rsid w:val="001C56DB"/>
    <w:rsid w:val="001C592A"/>
    <w:rsid w:val="001C5A1A"/>
    <w:rsid w:val="001C5B17"/>
    <w:rsid w:val="001C5B4F"/>
    <w:rsid w:val="001C5B5E"/>
    <w:rsid w:val="001C5D89"/>
    <w:rsid w:val="001C5DA0"/>
    <w:rsid w:val="001C5E2F"/>
    <w:rsid w:val="001C5E73"/>
    <w:rsid w:val="001C5F77"/>
    <w:rsid w:val="001C60F0"/>
    <w:rsid w:val="001C611C"/>
    <w:rsid w:val="001C6122"/>
    <w:rsid w:val="001C632C"/>
    <w:rsid w:val="001C6382"/>
    <w:rsid w:val="001C63A8"/>
    <w:rsid w:val="001C6441"/>
    <w:rsid w:val="001C6479"/>
    <w:rsid w:val="001C64A1"/>
    <w:rsid w:val="001C6587"/>
    <w:rsid w:val="001C6641"/>
    <w:rsid w:val="001C6784"/>
    <w:rsid w:val="001C6848"/>
    <w:rsid w:val="001C6934"/>
    <w:rsid w:val="001C69BE"/>
    <w:rsid w:val="001C6A63"/>
    <w:rsid w:val="001C6B02"/>
    <w:rsid w:val="001C6BC9"/>
    <w:rsid w:val="001C6C00"/>
    <w:rsid w:val="001C6C49"/>
    <w:rsid w:val="001C6CBB"/>
    <w:rsid w:val="001C6DB5"/>
    <w:rsid w:val="001C6DD8"/>
    <w:rsid w:val="001C6E24"/>
    <w:rsid w:val="001C6E2E"/>
    <w:rsid w:val="001C6E46"/>
    <w:rsid w:val="001C6E65"/>
    <w:rsid w:val="001C6F43"/>
    <w:rsid w:val="001C7009"/>
    <w:rsid w:val="001C70D6"/>
    <w:rsid w:val="001C716D"/>
    <w:rsid w:val="001C71AC"/>
    <w:rsid w:val="001C7284"/>
    <w:rsid w:val="001C72EC"/>
    <w:rsid w:val="001C7316"/>
    <w:rsid w:val="001C7376"/>
    <w:rsid w:val="001C741B"/>
    <w:rsid w:val="001C74F2"/>
    <w:rsid w:val="001C7548"/>
    <w:rsid w:val="001C757C"/>
    <w:rsid w:val="001C7588"/>
    <w:rsid w:val="001C7602"/>
    <w:rsid w:val="001C7621"/>
    <w:rsid w:val="001C765B"/>
    <w:rsid w:val="001C766A"/>
    <w:rsid w:val="001C7671"/>
    <w:rsid w:val="001C778F"/>
    <w:rsid w:val="001C77EB"/>
    <w:rsid w:val="001C7819"/>
    <w:rsid w:val="001C782F"/>
    <w:rsid w:val="001C7873"/>
    <w:rsid w:val="001C79D9"/>
    <w:rsid w:val="001C7A58"/>
    <w:rsid w:val="001C7A59"/>
    <w:rsid w:val="001C7A89"/>
    <w:rsid w:val="001C7A93"/>
    <w:rsid w:val="001C7B49"/>
    <w:rsid w:val="001C7B6F"/>
    <w:rsid w:val="001C7C24"/>
    <w:rsid w:val="001C7C56"/>
    <w:rsid w:val="001C7D92"/>
    <w:rsid w:val="001C7E5C"/>
    <w:rsid w:val="001C7E7E"/>
    <w:rsid w:val="001C7E98"/>
    <w:rsid w:val="001C7F1D"/>
    <w:rsid w:val="001C7FA9"/>
    <w:rsid w:val="001C7FEA"/>
    <w:rsid w:val="001D0025"/>
    <w:rsid w:val="001D00A5"/>
    <w:rsid w:val="001D00CC"/>
    <w:rsid w:val="001D0122"/>
    <w:rsid w:val="001D01A5"/>
    <w:rsid w:val="001D01C3"/>
    <w:rsid w:val="001D0494"/>
    <w:rsid w:val="001D0581"/>
    <w:rsid w:val="001D05EF"/>
    <w:rsid w:val="001D062B"/>
    <w:rsid w:val="001D069F"/>
    <w:rsid w:val="001D0781"/>
    <w:rsid w:val="001D07B7"/>
    <w:rsid w:val="001D08AC"/>
    <w:rsid w:val="001D0921"/>
    <w:rsid w:val="001D0934"/>
    <w:rsid w:val="001D0962"/>
    <w:rsid w:val="001D09A9"/>
    <w:rsid w:val="001D09EE"/>
    <w:rsid w:val="001D0A2B"/>
    <w:rsid w:val="001D0A7B"/>
    <w:rsid w:val="001D0AF4"/>
    <w:rsid w:val="001D0B05"/>
    <w:rsid w:val="001D0C08"/>
    <w:rsid w:val="001D0C16"/>
    <w:rsid w:val="001D0C44"/>
    <w:rsid w:val="001D0E2A"/>
    <w:rsid w:val="001D0E77"/>
    <w:rsid w:val="001D0EC3"/>
    <w:rsid w:val="001D0EEE"/>
    <w:rsid w:val="001D0F8D"/>
    <w:rsid w:val="001D1035"/>
    <w:rsid w:val="001D1066"/>
    <w:rsid w:val="001D109F"/>
    <w:rsid w:val="001D114C"/>
    <w:rsid w:val="001D124E"/>
    <w:rsid w:val="001D12F4"/>
    <w:rsid w:val="001D1316"/>
    <w:rsid w:val="001D136C"/>
    <w:rsid w:val="001D14AC"/>
    <w:rsid w:val="001D1572"/>
    <w:rsid w:val="001D15C4"/>
    <w:rsid w:val="001D160E"/>
    <w:rsid w:val="001D16A0"/>
    <w:rsid w:val="001D16D9"/>
    <w:rsid w:val="001D1719"/>
    <w:rsid w:val="001D171B"/>
    <w:rsid w:val="001D1732"/>
    <w:rsid w:val="001D1862"/>
    <w:rsid w:val="001D187A"/>
    <w:rsid w:val="001D1890"/>
    <w:rsid w:val="001D18F4"/>
    <w:rsid w:val="001D19A8"/>
    <w:rsid w:val="001D19DF"/>
    <w:rsid w:val="001D1A50"/>
    <w:rsid w:val="001D1B06"/>
    <w:rsid w:val="001D1B50"/>
    <w:rsid w:val="001D1BAF"/>
    <w:rsid w:val="001D1BD1"/>
    <w:rsid w:val="001D1C33"/>
    <w:rsid w:val="001D1CCC"/>
    <w:rsid w:val="001D1D18"/>
    <w:rsid w:val="001D1D6C"/>
    <w:rsid w:val="001D1DA5"/>
    <w:rsid w:val="001D1DB3"/>
    <w:rsid w:val="001D1DEA"/>
    <w:rsid w:val="001D1DFF"/>
    <w:rsid w:val="001D1E2E"/>
    <w:rsid w:val="001D1E60"/>
    <w:rsid w:val="001D1E67"/>
    <w:rsid w:val="001D20A8"/>
    <w:rsid w:val="001D20CD"/>
    <w:rsid w:val="001D20D0"/>
    <w:rsid w:val="001D2168"/>
    <w:rsid w:val="001D2177"/>
    <w:rsid w:val="001D2203"/>
    <w:rsid w:val="001D22DD"/>
    <w:rsid w:val="001D236C"/>
    <w:rsid w:val="001D2373"/>
    <w:rsid w:val="001D2399"/>
    <w:rsid w:val="001D243F"/>
    <w:rsid w:val="001D24BA"/>
    <w:rsid w:val="001D250B"/>
    <w:rsid w:val="001D255C"/>
    <w:rsid w:val="001D25F1"/>
    <w:rsid w:val="001D26B9"/>
    <w:rsid w:val="001D2787"/>
    <w:rsid w:val="001D281D"/>
    <w:rsid w:val="001D2A9D"/>
    <w:rsid w:val="001D2B6B"/>
    <w:rsid w:val="001D2C1B"/>
    <w:rsid w:val="001D2C29"/>
    <w:rsid w:val="001D2C47"/>
    <w:rsid w:val="001D2CCE"/>
    <w:rsid w:val="001D2CD2"/>
    <w:rsid w:val="001D2D06"/>
    <w:rsid w:val="001D2D4E"/>
    <w:rsid w:val="001D2DEF"/>
    <w:rsid w:val="001D2E61"/>
    <w:rsid w:val="001D30BB"/>
    <w:rsid w:val="001D311D"/>
    <w:rsid w:val="001D3124"/>
    <w:rsid w:val="001D314E"/>
    <w:rsid w:val="001D31CB"/>
    <w:rsid w:val="001D325E"/>
    <w:rsid w:val="001D32C8"/>
    <w:rsid w:val="001D32D9"/>
    <w:rsid w:val="001D3303"/>
    <w:rsid w:val="001D3329"/>
    <w:rsid w:val="001D335B"/>
    <w:rsid w:val="001D341F"/>
    <w:rsid w:val="001D35CD"/>
    <w:rsid w:val="001D3605"/>
    <w:rsid w:val="001D3758"/>
    <w:rsid w:val="001D37AB"/>
    <w:rsid w:val="001D37F4"/>
    <w:rsid w:val="001D380F"/>
    <w:rsid w:val="001D3876"/>
    <w:rsid w:val="001D388E"/>
    <w:rsid w:val="001D38AC"/>
    <w:rsid w:val="001D391D"/>
    <w:rsid w:val="001D3A6C"/>
    <w:rsid w:val="001D3AD0"/>
    <w:rsid w:val="001D3B88"/>
    <w:rsid w:val="001D3C98"/>
    <w:rsid w:val="001D3D3F"/>
    <w:rsid w:val="001D3DB8"/>
    <w:rsid w:val="001D3DB9"/>
    <w:rsid w:val="001D3E1E"/>
    <w:rsid w:val="001D3E31"/>
    <w:rsid w:val="001D3E69"/>
    <w:rsid w:val="001D3F44"/>
    <w:rsid w:val="001D4071"/>
    <w:rsid w:val="001D4178"/>
    <w:rsid w:val="001D4209"/>
    <w:rsid w:val="001D423E"/>
    <w:rsid w:val="001D4305"/>
    <w:rsid w:val="001D438E"/>
    <w:rsid w:val="001D446C"/>
    <w:rsid w:val="001D4567"/>
    <w:rsid w:val="001D4651"/>
    <w:rsid w:val="001D465F"/>
    <w:rsid w:val="001D479F"/>
    <w:rsid w:val="001D47D0"/>
    <w:rsid w:val="001D47F1"/>
    <w:rsid w:val="001D4815"/>
    <w:rsid w:val="001D484F"/>
    <w:rsid w:val="001D4862"/>
    <w:rsid w:val="001D488C"/>
    <w:rsid w:val="001D489D"/>
    <w:rsid w:val="001D49D7"/>
    <w:rsid w:val="001D4A99"/>
    <w:rsid w:val="001D4B0B"/>
    <w:rsid w:val="001D4B96"/>
    <w:rsid w:val="001D4BDD"/>
    <w:rsid w:val="001D4CA4"/>
    <w:rsid w:val="001D4CDF"/>
    <w:rsid w:val="001D4DA7"/>
    <w:rsid w:val="001D4E9A"/>
    <w:rsid w:val="001D4EB6"/>
    <w:rsid w:val="001D4F46"/>
    <w:rsid w:val="001D4F88"/>
    <w:rsid w:val="001D4FD4"/>
    <w:rsid w:val="001D50F5"/>
    <w:rsid w:val="001D511F"/>
    <w:rsid w:val="001D51E2"/>
    <w:rsid w:val="001D5211"/>
    <w:rsid w:val="001D521C"/>
    <w:rsid w:val="001D5255"/>
    <w:rsid w:val="001D5285"/>
    <w:rsid w:val="001D52E5"/>
    <w:rsid w:val="001D5316"/>
    <w:rsid w:val="001D532D"/>
    <w:rsid w:val="001D5330"/>
    <w:rsid w:val="001D53F8"/>
    <w:rsid w:val="001D54B7"/>
    <w:rsid w:val="001D555D"/>
    <w:rsid w:val="001D5577"/>
    <w:rsid w:val="001D55D5"/>
    <w:rsid w:val="001D55E8"/>
    <w:rsid w:val="001D567E"/>
    <w:rsid w:val="001D56ED"/>
    <w:rsid w:val="001D5723"/>
    <w:rsid w:val="001D577B"/>
    <w:rsid w:val="001D578D"/>
    <w:rsid w:val="001D5794"/>
    <w:rsid w:val="001D5818"/>
    <w:rsid w:val="001D584E"/>
    <w:rsid w:val="001D597B"/>
    <w:rsid w:val="001D5A61"/>
    <w:rsid w:val="001D5AB0"/>
    <w:rsid w:val="001D5AB8"/>
    <w:rsid w:val="001D5B03"/>
    <w:rsid w:val="001D5B11"/>
    <w:rsid w:val="001D5CAF"/>
    <w:rsid w:val="001D5D30"/>
    <w:rsid w:val="001D5D67"/>
    <w:rsid w:val="001D5DE1"/>
    <w:rsid w:val="001D5E43"/>
    <w:rsid w:val="001D5E65"/>
    <w:rsid w:val="001D5E9D"/>
    <w:rsid w:val="001D5F61"/>
    <w:rsid w:val="001D5F99"/>
    <w:rsid w:val="001D6098"/>
    <w:rsid w:val="001D60B0"/>
    <w:rsid w:val="001D61BE"/>
    <w:rsid w:val="001D62E2"/>
    <w:rsid w:val="001D648B"/>
    <w:rsid w:val="001D653A"/>
    <w:rsid w:val="001D6593"/>
    <w:rsid w:val="001D65A9"/>
    <w:rsid w:val="001D65F0"/>
    <w:rsid w:val="001D664A"/>
    <w:rsid w:val="001D673D"/>
    <w:rsid w:val="001D67AF"/>
    <w:rsid w:val="001D6825"/>
    <w:rsid w:val="001D6959"/>
    <w:rsid w:val="001D6A21"/>
    <w:rsid w:val="001D6AB9"/>
    <w:rsid w:val="001D6B19"/>
    <w:rsid w:val="001D6C12"/>
    <w:rsid w:val="001D6C43"/>
    <w:rsid w:val="001D6CA5"/>
    <w:rsid w:val="001D6CC9"/>
    <w:rsid w:val="001D6D36"/>
    <w:rsid w:val="001D7012"/>
    <w:rsid w:val="001D701D"/>
    <w:rsid w:val="001D708A"/>
    <w:rsid w:val="001D70D3"/>
    <w:rsid w:val="001D7190"/>
    <w:rsid w:val="001D7205"/>
    <w:rsid w:val="001D7236"/>
    <w:rsid w:val="001D7241"/>
    <w:rsid w:val="001D731C"/>
    <w:rsid w:val="001D7385"/>
    <w:rsid w:val="001D74BC"/>
    <w:rsid w:val="001D751B"/>
    <w:rsid w:val="001D753C"/>
    <w:rsid w:val="001D7626"/>
    <w:rsid w:val="001D77AC"/>
    <w:rsid w:val="001D7826"/>
    <w:rsid w:val="001D78B0"/>
    <w:rsid w:val="001D7AF7"/>
    <w:rsid w:val="001D7B27"/>
    <w:rsid w:val="001D7BC1"/>
    <w:rsid w:val="001D7BD3"/>
    <w:rsid w:val="001D7C12"/>
    <w:rsid w:val="001D7C1F"/>
    <w:rsid w:val="001D7CCB"/>
    <w:rsid w:val="001D7D5B"/>
    <w:rsid w:val="001D7DEE"/>
    <w:rsid w:val="001D7F13"/>
    <w:rsid w:val="001D7F86"/>
    <w:rsid w:val="001D7FB3"/>
    <w:rsid w:val="001D7FDD"/>
    <w:rsid w:val="001E0013"/>
    <w:rsid w:val="001E0076"/>
    <w:rsid w:val="001E0094"/>
    <w:rsid w:val="001E00DC"/>
    <w:rsid w:val="001E0154"/>
    <w:rsid w:val="001E02A8"/>
    <w:rsid w:val="001E02CB"/>
    <w:rsid w:val="001E0317"/>
    <w:rsid w:val="001E0330"/>
    <w:rsid w:val="001E03F3"/>
    <w:rsid w:val="001E04AB"/>
    <w:rsid w:val="001E0521"/>
    <w:rsid w:val="001E0540"/>
    <w:rsid w:val="001E055D"/>
    <w:rsid w:val="001E0575"/>
    <w:rsid w:val="001E05B9"/>
    <w:rsid w:val="001E05C9"/>
    <w:rsid w:val="001E05E6"/>
    <w:rsid w:val="001E063C"/>
    <w:rsid w:val="001E069F"/>
    <w:rsid w:val="001E06D3"/>
    <w:rsid w:val="001E0723"/>
    <w:rsid w:val="001E07B2"/>
    <w:rsid w:val="001E0864"/>
    <w:rsid w:val="001E0871"/>
    <w:rsid w:val="001E0968"/>
    <w:rsid w:val="001E09B6"/>
    <w:rsid w:val="001E09B8"/>
    <w:rsid w:val="001E09F7"/>
    <w:rsid w:val="001E0A76"/>
    <w:rsid w:val="001E0BFF"/>
    <w:rsid w:val="001E0D47"/>
    <w:rsid w:val="001E0DE8"/>
    <w:rsid w:val="001E0E45"/>
    <w:rsid w:val="001E0E64"/>
    <w:rsid w:val="001E0E9E"/>
    <w:rsid w:val="001E0E9F"/>
    <w:rsid w:val="001E0EAF"/>
    <w:rsid w:val="001E0EE0"/>
    <w:rsid w:val="001E0FDD"/>
    <w:rsid w:val="001E0FFE"/>
    <w:rsid w:val="001E1076"/>
    <w:rsid w:val="001E114B"/>
    <w:rsid w:val="001E11E4"/>
    <w:rsid w:val="001E1285"/>
    <w:rsid w:val="001E1288"/>
    <w:rsid w:val="001E12BC"/>
    <w:rsid w:val="001E1301"/>
    <w:rsid w:val="001E1307"/>
    <w:rsid w:val="001E131F"/>
    <w:rsid w:val="001E135F"/>
    <w:rsid w:val="001E1379"/>
    <w:rsid w:val="001E13EF"/>
    <w:rsid w:val="001E1412"/>
    <w:rsid w:val="001E14FD"/>
    <w:rsid w:val="001E15DD"/>
    <w:rsid w:val="001E15F1"/>
    <w:rsid w:val="001E161A"/>
    <w:rsid w:val="001E1686"/>
    <w:rsid w:val="001E180F"/>
    <w:rsid w:val="001E1836"/>
    <w:rsid w:val="001E1877"/>
    <w:rsid w:val="001E1958"/>
    <w:rsid w:val="001E1972"/>
    <w:rsid w:val="001E1A8E"/>
    <w:rsid w:val="001E1AFE"/>
    <w:rsid w:val="001E1B2E"/>
    <w:rsid w:val="001E1B61"/>
    <w:rsid w:val="001E1BD7"/>
    <w:rsid w:val="001E1BE1"/>
    <w:rsid w:val="001E1C64"/>
    <w:rsid w:val="001E1C87"/>
    <w:rsid w:val="001E1CEC"/>
    <w:rsid w:val="001E1D10"/>
    <w:rsid w:val="001E1D17"/>
    <w:rsid w:val="001E1D29"/>
    <w:rsid w:val="001E1E0A"/>
    <w:rsid w:val="001E1E12"/>
    <w:rsid w:val="001E1E54"/>
    <w:rsid w:val="001E1E55"/>
    <w:rsid w:val="001E1F7A"/>
    <w:rsid w:val="001E2136"/>
    <w:rsid w:val="001E2174"/>
    <w:rsid w:val="001E2237"/>
    <w:rsid w:val="001E2464"/>
    <w:rsid w:val="001E24FB"/>
    <w:rsid w:val="001E251A"/>
    <w:rsid w:val="001E259C"/>
    <w:rsid w:val="001E25FB"/>
    <w:rsid w:val="001E2631"/>
    <w:rsid w:val="001E26B0"/>
    <w:rsid w:val="001E27A3"/>
    <w:rsid w:val="001E2816"/>
    <w:rsid w:val="001E2835"/>
    <w:rsid w:val="001E28AB"/>
    <w:rsid w:val="001E28CD"/>
    <w:rsid w:val="001E28DC"/>
    <w:rsid w:val="001E291A"/>
    <w:rsid w:val="001E2974"/>
    <w:rsid w:val="001E29E2"/>
    <w:rsid w:val="001E2AF6"/>
    <w:rsid w:val="001E2B56"/>
    <w:rsid w:val="001E2B69"/>
    <w:rsid w:val="001E2D75"/>
    <w:rsid w:val="001E2E60"/>
    <w:rsid w:val="001E2EB1"/>
    <w:rsid w:val="001E2ECB"/>
    <w:rsid w:val="001E2EF9"/>
    <w:rsid w:val="001E2EFC"/>
    <w:rsid w:val="001E2F46"/>
    <w:rsid w:val="001E2F5D"/>
    <w:rsid w:val="001E2FDA"/>
    <w:rsid w:val="001E30FD"/>
    <w:rsid w:val="001E3147"/>
    <w:rsid w:val="001E31BE"/>
    <w:rsid w:val="001E31E0"/>
    <w:rsid w:val="001E322A"/>
    <w:rsid w:val="001E329E"/>
    <w:rsid w:val="001E32EC"/>
    <w:rsid w:val="001E3395"/>
    <w:rsid w:val="001E33A0"/>
    <w:rsid w:val="001E33D3"/>
    <w:rsid w:val="001E33D4"/>
    <w:rsid w:val="001E346C"/>
    <w:rsid w:val="001E3524"/>
    <w:rsid w:val="001E35BD"/>
    <w:rsid w:val="001E35E2"/>
    <w:rsid w:val="001E3605"/>
    <w:rsid w:val="001E3660"/>
    <w:rsid w:val="001E3686"/>
    <w:rsid w:val="001E3775"/>
    <w:rsid w:val="001E3793"/>
    <w:rsid w:val="001E3819"/>
    <w:rsid w:val="001E3865"/>
    <w:rsid w:val="001E3886"/>
    <w:rsid w:val="001E38AD"/>
    <w:rsid w:val="001E3904"/>
    <w:rsid w:val="001E390B"/>
    <w:rsid w:val="001E3B44"/>
    <w:rsid w:val="001E3C5C"/>
    <w:rsid w:val="001E3E6D"/>
    <w:rsid w:val="001E3EBB"/>
    <w:rsid w:val="001E3EDB"/>
    <w:rsid w:val="001E40B6"/>
    <w:rsid w:val="001E413C"/>
    <w:rsid w:val="001E41C7"/>
    <w:rsid w:val="001E431B"/>
    <w:rsid w:val="001E444A"/>
    <w:rsid w:val="001E447C"/>
    <w:rsid w:val="001E4498"/>
    <w:rsid w:val="001E44D7"/>
    <w:rsid w:val="001E450D"/>
    <w:rsid w:val="001E4567"/>
    <w:rsid w:val="001E45D5"/>
    <w:rsid w:val="001E464E"/>
    <w:rsid w:val="001E46AF"/>
    <w:rsid w:val="001E46C8"/>
    <w:rsid w:val="001E4719"/>
    <w:rsid w:val="001E484D"/>
    <w:rsid w:val="001E48BE"/>
    <w:rsid w:val="001E48DA"/>
    <w:rsid w:val="001E4963"/>
    <w:rsid w:val="001E49DA"/>
    <w:rsid w:val="001E49E3"/>
    <w:rsid w:val="001E4A9D"/>
    <w:rsid w:val="001E4B3C"/>
    <w:rsid w:val="001E4B4A"/>
    <w:rsid w:val="001E4B5B"/>
    <w:rsid w:val="001E4B64"/>
    <w:rsid w:val="001E4C18"/>
    <w:rsid w:val="001E4CBB"/>
    <w:rsid w:val="001E50C6"/>
    <w:rsid w:val="001E5191"/>
    <w:rsid w:val="001E5203"/>
    <w:rsid w:val="001E5269"/>
    <w:rsid w:val="001E535D"/>
    <w:rsid w:val="001E54F1"/>
    <w:rsid w:val="001E552A"/>
    <w:rsid w:val="001E554D"/>
    <w:rsid w:val="001E55B9"/>
    <w:rsid w:val="001E56BB"/>
    <w:rsid w:val="001E5750"/>
    <w:rsid w:val="001E5752"/>
    <w:rsid w:val="001E578C"/>
    <w:rsid w:val="001E5795"/>
    <w:rsid w:val="001E579F"/>
    <w:rsid w:val="001E57B9"/>
    <w:rsid w:val="001E57F9"/>
    <w:rsid w:val="001E5818"/>
    <w:rsid w:val="001E5840"/>
    <w:rsid w:val="001E5869"/>
    <w:rsid w:val="001E58AC"/>
    <w:rsid w:val="001E5A87"/>
    <w:rsid w:val="001E5B3B"/>
    <w:rsid w:val="001E5B5B"/>
    <w:rsid w:val="001E5B8F"/>
    <w:rsid w:val="001E5BAF"/>
    <w:rsid w:val="001E5BF6"/>
    <w:rsid w:val="001E5C7D"/>
    <w:rsid w:val="001E5CB8"/>
    <w:rsid w:val="001E5DC1"/>
    <w:rsid w:val="001E5E17"/>
    <w:rsid w:val="001E5E8F"/>
    <w:rsid w:val="001E5EA0"/>
    <w:rsid w:val="001E5ECF"/>
    <w:rsid w:val="001E5F49"/>
    <w:rsid w:val="001E60F0"/>
    <w:rsid w:val="001E6133"/>
    <w:rsid w:val="001E6139"/>
    <w:rsid w:val="001E6208"/>
    <w:rsid w:val="001E6367"/>
    <w:rsid w:val="001E6479"/>
    <w:rsid w:val="001E64DC"/>
    <w:rsid w:val="001E66F1"/>
    <w:rsid w:val="001E673F"/>
    <w:rsid w:val="001E67FD"/>
    <w:rsid w:val="001E680B"/>
    <w:rsid w:val="001E6838"/>
    <w:rsid w:val="001E68EE"/>
    <w:rsid w:val="001E6A62"/>
    <w:rsid w:val="001E6B69"/>
    <w:rsid w:val="001E6BD6"/>
    <w:rsid w:val="001E6C87"/>
    <w:rsid w:val="001E6DA9"/>
    <w:rsid w:val="001E6DB7"/>
    <w:rsid w:val="001E6E8D"/>
    <w:rsid w:val="001E702B"/>
    <w:rsid w:val="001E71CF"/>
    <w:rsid w:val="001E71D3"/>
    <w:rsid w:val="001E723B"/>
    <w:rsid w:val="001E7263"/>
    <w:rsid w:val="001E73D9"/>
    <w:rsid w:val="001E73E4"/>
    <w:rsid w:val="001E73F6"/>
    <w:rsid w:val="001E745A"/>
    <w:rsid w:val="001E74D3"/>
    <w:rsid w:val="001E7639"/>
    <w:rsid w:val="001E77A1"/>
    <w:rsid w:val="001E77D2"/>
    <w:rsid w:val="001E7806"/>
    <w:rsid w:val="001E79F0"/>
    <w:rsid w:val="001E7ACD"/>
    <w:rsid w:val="001E7B1C"/>
    <w:rsid w:val="001E7B7F"/>
    <w:rsid w:val="001E7CB3"/>
    <w:rsid w:val="001E7CE4"/>
    <w:rsid w:val="001E7DD3"/>
    <w:rsid w:val="001E7DD8"/>
    <w:rsid w:val="001E7E7D"/>
    <w:rsid w:val="001E7EE4"/>
    <w:rsid w:val="001E7F76"/>
    <w:rsid w:val="001E7F84"/>
    <w:rsid w:val="001F00DD"/>
    <w:rsid w:val="001F01D0"/>
    <w:rsid w:val="001F01D5"/>
    <w:rsid w:val="001F022D"/>
    <w:rsid w:val="001F025F"/>
    <w:rsid w:val="001F02BB"/>
    <w:rsid w:val="001F0306"/>
    <w:rsid w:val="001F0312"/>
    <w:rsid w:val="001F039B"/>
    <w:rsid w:val="001F05FC"/>
    <w:rsid w:val="001F06F3"/>
    <w:rsid w:val="001F0705"/>
    <w:rsid w:val="001F0765"/>
    <w:rsid w:val="001F07F9"/>
    <w:rsid w:val="001F0800"/>
    <w:rsid w:val="001F08E0"/>
    <w:rsid w:val="001F0A01"/>
    <w:rsid w:val="001F0B08"/>
    <w:rsid w:val="001F0C24"/>
    <w:rsid w:val="001F0C33"/>
    <w:rsid w:val="001F0C3A"/>
    <w:rsid w:val="001F0CF6"/>
    <w:rsid w:val="001F0D2F"/>
    <w:rsid w:val="001F0D9B"/>
    <w:rsid w:val="001F0DDC"/>
    <w:rsid w:val="001F0E1C"/>
    <w:rsid w:val="001F0F31"/>
    <w:rsid w:val="001F0F43"/>
    <w:rsid w:val="001F0FA0"/>
    <w:rsid w:val="001F0FAB"/>
    <w:rsid w:val="001F0FAF"/>
    <w:rsid w:val="001F10A9"/>
    <w:rsid w:val="001F10E2"/>
    <w:rsid w:val="001F10EC"/>
    <w:rsid w:val="001F1151"/>
    <w:rsid w:val="001F11EC"/>
    <w:rsid w:val="001F139F"/>
    <w:rsid w:val="001F1400"/>
    <w:rsid w:val="001F1455"/>
    <w:rsid w:val="001F14A1"/>
    <w:rsid w:val="001F14EB"/>
    <w:rsid w:val="001F153F"/>
    <w:rsid w:val="001F1545"/>
    <w:rsid w:val="001F156D"/>
    <w:rsid w:val="001F1627"/>
    <w:rsid w:val="001F1728"/>
    <w:rsid w:val="001F1790"/>
    <w:rsid w:val="001F179D"/>
    <w:rsid w:val="001F17BF"/>
    <w:rsid w:val="001F1832"/>
    <w:rsid w:val="001F187A"/>
    <w:rsid w:val="001F18B4"/>
    <w:rsid w:val="001F18EB"/>
    <w:rsid w:val="001F19E5"/>
    <w:rsid w:val="001F1A5B"/>
    <w:rsid w:val="001F1AA4"/>
    <w:rsid w:val="001F1B01"/>
    <w:rsid w:val="001F1B52"/>
    <w:rsid w:val="001F1BCF"/>
    <w:rsid w:val="001F1C88"/>
    <w:rsid w:val="001F1D11"/>
    <w:rsid w:val="001F1D50"/>
    <w:rsid w:val="001F1DDB"/>
    <w:rsid w:val="001F1DE8"/>
    <w:rsid w:val="001F1F48"/>
    <w:rsid w:val="001F1FD3"/>
    <w:rsid w:val="001F1FDF"/>
    <w:rsid w:val="001F20C6"/>
    <w:rsid w:val="001F2187"/>
    <w:rsid w:val="001F21E4"/>
    <w:rsid w:val="001F2261"/>
    <w:rsid w:val="001F235B"/>
    <w:rsid w:val="001F23BD"/>
    <w:rsid w:val="001F23D0"/>
    <w:rsid w:val="001F2420"/>
    <w:rsid w:val="001F24AB"/>
    <w:rsid w:val="001F25A7"/>
    <w:rsid w:val="001F2652"/>
    <w:rsid w:val="001F26C2"/>
    <w:rsid w:val="001F26E5"/>
    <w:rsid w:val="001F2794"/>
    <w:rsid w:val="001F27CA"/>
    <w:rsid w:val="001F2805"/>
    <w:rsid w:val="001F2814"/>
    <w:rsid w:val="001F287C"/>
    <w:rsid w:val="001F28D3"/>
    <w:rsid w:val="001F29A2"/>
    <w:rsid w:val="001F29E8"/>
    <w:rsid w:val="001F29EC"/>
    <w:rsid w:val="001F2A7F"/>
    <w:rsid w:val="001F2B06"/>
    <w:rsid w:val="001F2B0B"/>
    <w:rsid w:val="001F2CE3"/>
    <w:rsid w:val="001F2DCC"/>
    <w:rsid w:val="001F2DF9"/>
    <w:rsid w:val="001F2E42"/>
    <w:rsid w:val="001F2E4A"/>
    <w:rsid w:val="001F2E69"/>
    <w:rsid w:val="001F2E79"/>
    <w:rsid w:val="001F2EB5"/>
    <w:rsid w:val="001F2EE6"/>
    <w:rsid w:val="001F2EED"/>
    <w:rsid w:val="001F2F07"/>
    <w:rsid w:val="001F2F4F"/>
    <w:rsid w:val="001F2F6E"/>
    <w:rsid w:val="001F2FB4"/>
    <w:rsid w:val="001F303B"/>
    <w:rsid w:val="001F3067"/>
    <w:rsid w:val="001F30AC"/>
    <w:rsid w:val="001F30FD"/>
    <w:rsid w:val="001F3123"/>
    <w:rsid w:val="001F3153"/>
    <w:rsid w:val="001F31B4"/>
    <w:rsid w:val="001F32C2"/>
    <w:rsid w:val="001F32E7"/>
    <w:rsid w:val="001F3344"/>
    <w:rsid w:val="001F33E8"/>
    <w:rsid w:val="001F355A"/>
    <w:rsid w:val="001F357D"/>
    <w:rsid w:val="001F36F5"/>
    <w:rsid w:val="001F376D"/>
    <w:rsid w:val="001F3994"/>
    <w:rsid w:val="001F3A2A"/>
    <w:rsid w:val="001F3BE0"/>
    <w:rsid w:val="001F3D98"/>
    <w:rsid w:val="001F3DE7"/>
    <w:rsid w:val="001F3E96"/>
    <w:rsid w:val="001F3F25"/>
    <w:rsid w:val="001F4011"/>
    <w:rsid w:val="001F402C"/>
    <w:rsid w:val="001F4184"/>
    <w:rsid w:val="001F418C"/>
    <w:rsid w:val="001F4256"/>
    <w:rsid w:val="001F42B1"/>
    <w:rsid w:val="001F42DC"/>
    <w:rsid w:val="001F430B"/>
    <w:rsid w:val="001F433B"/>
    <w:rsid w:val="001F43A6"/>
    <w:rsid w:val="001F442D"/>
    <w:rsid w:val="001F45B6"/>
    <w:rsid w:val="001F46A8"/>
    <w:rsid w:val="001F4797"/>
    <w:rsid w:val="001F4799"/>
    <w:rsid w:val="001F47FE"/>
    <w:rsid w:val="001F480C"/>
    <w:rsid w:val="001F480F"/>
    <w:rsid w:val="001F484F"/>
    <w:rsid w:val="001F493D"/>
    <w:rsid w:val="001F4A18"/>
    <w:rsid w:val="001F4A63"/>
    <w:rsid w:val="001F4A75"/>
    <w:rsid w:val="001F4AAB"/>
    <w:rsid w:val="001F4AEE"/>
    <w:rsid w:val="001F4B2D"/>
    <w:rsid w:val="001F4B94"/>
    <w:rsid w:val="001F4DEC"/>
    <w:rsid w:val="001F4F1F"/>
    <w:rsid w:val="001F4F33"/>
    <w:rsid w:val="001F4F40"/>
    <w:rsid w:val="001F4FF1"/>
    <w:rsid w:val="001F5024"/>
    <w:rsid w:val="001F5070"/>
    <w:rsid w:val="001F50E0"/>
    <w:rsid w:val="001F50F8"/>
    <w:rsid w:val="001F5130"/>
    <w:rsid w:val="001F5180"/>
    <w:rsid w:val="001F52A0"/>
    <w:rsid w:val="001F52BE"/>
    <w:rsid w:val="001F531B"/>
    <w:rsid w:val="001F5393"/>
    <w:rsid w:val="001F53AE"/>
    <w:rsid w:val="001F53FF"/>
    <w:rsid w:val="001F5451"/>
    <w:rsid w:val="001F56AF"/>
    <w:rsid w:val="001F5741"/>
    <w:rsid w:val="001F575E"/>
    <w:rsid w:val="001F583D"/>
    <w:rsid w:val="001F58A7"/>
    <w:rsid w:val="001F58B6"/>
    <w:rsid w:val="001F594C"/>
    <w:rsid w:val="001F598B"/>
    <w:rsid w:val="001F59BD"/>
    <w:rsid w:val="001F59D9"/>
    <w:rsid w:val="001F5A53"/>
    <w:rsid w:val="001F5B60"/>
    <w:rsid w:val="001F5BB2"/>
    <w:rsid w:val="001F5CEC"/>
    <w:rsid w:val="001F5D71"/>
    <w:rsid w:val="001F5E72"/>
    <w:rsid w:val="001F5FA0"/>
    <w:rsid w:val="001F5FEB"/>
    <w:rsid w:val="001F603A"/>
    <w:rsid w:val="001F60A2"/>
    <w:rsid w:val="001F60C8"/>
    <w:rsid w:val="001F6115"/>
    <w:rsid w:val="001F622C"/>
    <w:rsid w:val="001F62B8"/>
    <w:rsid w:val="001F63B5"/>
    <w:rsid w:val="001F65F2"/>
    <w:rsid w:val="001F661B"/>
    <w:rsid w:val="001F6622"/>
    <w:rsid w:val="001F6653"/>
    <w:rsid w:val="001F66AA"/>
    <w:rsid w:val="001F66E9"/>
    <w:rsid w:val="001F6805"/>
    <w:rsid w:val="001F6875"/>
    <w:rsid w:val="001F688D"/>
    <w:rsid w:val="001F68F0"/>
    <w:rsid w:val="001F69F2"/>
    <w:rsid w:val="001F69FC"/>
    <w:rsid w:val="001F6ACF"/>
    <w:rsid w:val="001F6AEA"/>
    <w:rsid w:val="001F6AF2"/>
    <w:rsid w:val="001F6B28"/>
    <w:rsid w:val="001F6B70"/>
    <w:rsid w:val="001F6C3D"/>
    <w:rsid w:val="001F6D62"/>
    <w:rsid w:val="001F6DA1"/>
    <w:rsid w:val="001F6DC2"/>
    <w:rsid w:val="001F6E5C"/>
    <w:rsid w:val="001F6F37"/>
    <w:rsid w:val="001F6F73"/>
    <w:rsid w:val="001F7077"/>
    <w:rsid w:val="001F7160"/>
    <w:rsid w:val="001F71A2"/>
    <w:rsid w:val="001F71CA"/>
    <w:rsid w:val="001F71E9"/>
    <w:rsid w:val="001F725C"/>
    <w:rsid w:val="001F7275"/>
    <w:rsid w:val="001F7340"/>
    <w:rsid w:val="001F7414"/>
    <w:rsid w:val="001F74F4"/>
    <w:rsid w:val="001F751F"/>
    <w:rsid w:val="001F752D"/>
    <w:rsid w:val="001F759E"/>
    <w:rsid w:val="001F766C"/>
    <w:rsid w:val="001F7675"/>
    <w:rsid w:val="001F767C"/>
    <w:rsid w:val="001F7696"/>
    <w:rsid w:val="001F76D3"/>
    <w:rsid w:val="001F7702"/>
    <w:rsid w:val="001F7733"/>
    <w:rsid w:val="001F7756"/>
    <w:rsid w:val="001F77A8"/>
    <w:rsid w:val="001F782B"/>
    <w:rsid w:val="001F7831"/>
    <w:rsid w:val="001F7968"/>
    <w:rsid w:val="001F7983"/>
    <w:rsid w:val="001F7A28"/>
    <w:rsid w:val="001F7AB9"/>
    <w:rsid w:val="001F7B19"/>
    <w:rsid w:val="001F7BEE"/>
    <w:rsid w:val="001F7C7E"/>
    <w:rsid w:val="001F7D0F"/>
    <w:rsid w:val="001F7D89"/>
    <w:rsid w:val="001F7E83"/>
    <w:rsid w:val="001F7EDA"/>
    <w:rsid w:val="00200063"/>
    <w:rsid w:val="0020012B"/>
    <w:rsid w:val="00200153"/>
    <w:rsid w:val="00200259"/>
    <w:rsid w:val="0020025C"/>
    <w:rsid w:val="00200297"/>
    <w:rsid w:val="0020029C"/>
    <w:rsid w:val="002003BF"/>
    <w:rsid w:val="002003F9"/>
    <w:rsid w:val="00200434"/>
    <w:rsid w:val="002004F2"/>
    <w:rsid w:val="0020054D"/>
    <w:rsid w:val="00200565"/>
    <w:rsid w:val="002005F5"/>
    <w:rsid w:val="00200719"/>
    <w:rsid w:val="0020094B"/>
    <w:rsid w:val="00200A0C"/>
    <w:rsid w:val="00200A79"/>
    <w:rsid w:val="00200B35"/>
    <w:rsid w:val="00200BA1"/>
    <w:rsid w:val="00200CE1"/>
    <w:rsid w:val="00200E00"/>
    <w:rsid w:val="00200F1E"/>
    <w:rsid w:val="00200F38"/>
    <w:rsid w:val="00200F65"/>
    <w:rsid w:val="00200FAE"/>
    <w:rsid w:val="00200FB0"/>
    <w:rsid w:val="0020102D"/>
    <w:rsid w:val="00201089"/>
    <w:rsid w:val="002010E2"/>
    <w:rsid w:val="002010E9"/>
    <w:rsid w:val="0020111A"/>
    <w:rsid w:val="00201140"/>
    <w:rsid w:val="002011A1"/>
    <w:rsid w:val="0020127D"/>
    <w:rsid w:val="002012F1"/>
    <w:rsid w:val="0020135C"/>
    <w:rsid w:val="002013B2"/>
    <w:rsid w:val="002013CC"/>
    <w:rsid w:val="002013D8"/>
    <w:rsid w:val="00201465"/>
    <w:rsid w:val="0020149C"/>
    <w:rsid w:val="0020153E"/>
    <w:rsid w:val="002015E8"/>
    <w:rsid w:val="00201640"/>
    <w:rsid w:val="0020165C"/>
    <w:rsid w:val="0020168C"/>
    <w:rsid w:val="002016F8"/>
    <w:rsid w:val="0020173D"/>
    <w:rsid w:val="0020175A"/>
    <w:rsid w:val="00201863"/>
    <w:rsid w:val="002018C3"/>
    <w:rsid w:val="002018EF"/>
    <w:rsid w:val="0020190C"/>
    <w:rsid w:val="002019B6"/>
    <w:rsid w:val="00201AC3"/>
    <w:rsid w:val="00201B0D"/>
    <w:rsid w:val="00201B73"/>
    <w:rsid w:val="00201C57"/>
    <w:rsid w:val="00201D50"/>
    <w:rsid w:val="00201D8D"/>
    <w:rsid w:val="00201DF3"/>
    <w:rsid w:val="00201E72"/>
    <w:rsid w:val="00201F5A"/>
    <w:rsid w:val="00201F87"/>
    <w:rsid w:val="00201FE9"/>
    <w:rsid w:val="00202224"/>
    <w:rsid w:val="00202236"/>
    <w:rsid w:val="0020238B"/>
    <w:rsid w:val="0020239E"/>
    <w:rsid w:val="002023B4"/>
    <w:rsid w:val="00202453"/>
    <w:rsid w:val="0020248C"/>
    <w:rsid w:val="00202517"/>
    <w:rsid w:val="0020255B"/>
    <w:rsid w:val="0020258A"/>
    <w:rsid w:val="00202707"/>
    <w:rsid w:val="00202734"/>
    <w:rsid w:val="002028BA"/>
    <w:rsid w:val="002028CA"/>
    <w:rsid w:val="002029F6"/>
    <w:rsid w:val="00202ADB"/>
    <w:rsid w:val="00202B63"/>
    <w:rsid w:val="00202BB7"/>
    <w:rsid w:val="00202CA1"/>
    <w:rsid w:val="00202CAB"/>
    <w:rsid w:val="00202E20"/>
    <w:rsid w:val="00202E23"/>
    <w:rsid w:val="00202E2B"/>
    <w:rsid w:val="00202E5B"/>
    <w:rsid w:val="00202EAE"/>
    <w:rsid w:val="00202EF7"/>
    <w:rsid w:val="0020303A"/>
    <w:rsid w:val="00203080"/>
    <w:rsid w:val="002030C0"/>
    <w:rsid w:val="002030D9"/>
    <w:rsid w:val="002030DF"/>
    <w:rsid w:val="00203130"/>
    <w:rsid w:val="00203166"/>
    <w:rsid w:val="00203224"/>
    <w:rsid w:val="002032B5"/>
    <w:rsid w:val="0020352F"/>
    <w:rsid w:val="00203536"/>
    <w:rsid w:val="00203562"/>
    <w:rsid w:val="00203643"/>
    <w:rsid w:val="00203649"/>
    <w:rsid w:val="0020375A"/>
    <w:rsid w:val="002037E6"/>
    <w:rsid w:val="00203870"/>
    <w:rsid w:val="00203938"/>
    <w:rsid w:val="0020399A"/>
    <w:rsid w:val="002039D4"/>
    <w:rsid w:val="00203AB6"/>
    <w:rsid w:val="00203AF2"/>
    <w:rsid w:val="00203B02"/>
    <w:rsid w:val="00203B0F"/>
    <w:rsid w:val="00203B38"/>
    <w:rsid w:val="00203B73"/>
    <w:rsid w:val="00203BD6"/>
    <w:rsid w:val="00203C5F"/>
    <w:rsid w:val="00203D57"/>
    <w:rsid w:val="00203D59"/>
    <w:rsid w:val="00203DB2"/>
    <w:rsid w:val="00203F21"/>
    <w:rsid w:val="00203F64"/>
    <w:rsid w:val="00203F8E"/>
    <w:rsid w:val="00203FE0"/>
    <w:rsid w:val="0020408D"/>
    <w:rsid w:val="002040D8"/>
    <w:rsid w:val="00204116"/>
    <w:rsid w:val="0020414E"/>
    <w:rsid w:val="00204198"/>
    <w:rsid w:val="002041A8"/>
    <w:rsid w:val="002041AC"/>
    <w:rsid w:val="0020422C"/>
    <w:rsid w:val="00204233"/>
    <w:rsid w:val="00204244"/>
    <w:rsid w:val="00204268"/>
    <w:rsid w:val="002042A3"/>
    <w:rsid w:val="0020434C"/>
    <w:rsid w:val="00204350"/>
    <w:rsid w:val="0020435B"/>
    <w:rsid w:val="00204360"/>
    <w:rsid w:val="0020438D"/>
    <w:rsid w:val="0020444F"/>
    <w:rsid w:val="002044AA"/>
    <w:rsid w:val="00204533"/>
    <w:rsid w:val="00204553"/>
    <w:rsid w:val="00204587"/>
    <w:rsid w:val="002045D2"/>
    <w:rsid w:val="002047B6"/>
    <w:rsid w:val="002047D8"/>
    <w:rsid w:val="002047E4"/>
    <w:rsid w:val="002048A1"/>
    <w:rsid w:val="002048A6"/>
    <w:rsid w:val="002048E2"/>
    <w:rsid w:val="002049BC"/>
    <w:rsid w:val="002049EF"/>
    <w:rsid w:val="00204A36"/>
    <w:rsid w:val="00204ACA"/>
    <w:rsid w:val="00204AF4"/>
    <w:rsid w:val="00204B04"/>
    <w:rsid w:val="00204B6A"/>
    <w:rsid w:val="00204BB3"/>
    <w:rsid w:val="00204BF8"/>
    <w:rsid w:val="00204D6B"/>
    <w:rsid w:val="00204D71"/>
    <w:rsid w:val="00204DA1"/>
    <w:rsid w:val="00204E00"/>
    <w:rsid w:val="00204EA0"/>
    <w:rsid w:val="00204F2D"/>
    <w:rsid w:val="0020506E"/>
    <w:rsid w:val="002050CE"/>
    <w:rsid w:val="0020516A"/>
    <w:rsid w:val="002051F5"/>
    <w:rsid w:val="0020521B"/>
    <w:rsid w:val="00205321"/>
    <w:rsid w:val="00205372"/>
    <w:rsid w:val="00205434"/>
    <w:rsid w:val="00205455"/>
    <w:rsid w:val="0020546D"/>
    <w:rsid w:val="002054D2"/>
    <w:rsid w:val="00205566"/>
    <w:rsid w:val="002055B6"/>
    <w:rsid w:val="00205627"/>
    <w:rsid w:val="0020564C"/>
    <w:rsid w:val="00205749"/>
    <w:rsid w:val="00205787"/>
    <w:rsid w:val="00205831"/>
    <w:rsid w:val="0020587C"/>
    <w:rsid w:val="00205966"/>
    <w:rsid w:val="002059FB"/>
    <w:rsid w:val="00205A6F"/>
    <w:rsid w:val="00205AD2"/>
    <w:rsid w:val="00205AE3"/>
    <w:rsid w:val="00205B15"/>
    <w:rsid w:val="00205C75"/>
    <w:rsid w:val="00205DAD"/>
    <w:rsid w:val="00205E8E"/>
    <w:rsid w:val="00206069"/>
    <w:rsid w:val="002060C2"/>
    <w:rsid w:val="0020613C"/>
    <w:rsid w:val="00206191"/>
    <w:rsid w:val="00206207"/>
    <w:rsid w:val="002062B7"/>
    <w:rsid w:val="00206337"/>
    <w:rsid w:val="00206353"/>
    <w:rsid w:val="002063AA"/>
    <w:rsid w:val="00206450"/>
    <w:rsid w:val="002064BA"/>
    <w:rsid w:val="002064F9"/>
    <w:rsid w:val="00206506"/>
    <w:rsid w:val="0020655D"/>
    <w:rsid w:val="00206592"/>
    <w:rsid w:val="0020660C"/>
    <w:rsid w:val="00206611"/>
    <w:rsid w:val="002067DD"/>
    <w:rsid w:val="00206810"/>
    <w:rsid w:val="00206880"/>
    <w:rsid w:val="002069D9"/>
    <w:rsid w:val="002069DC"/>
    <w:rsid w:val="00206A22"/>
    <w:rsid w:val="00206A4E"/>
    <w:rsid w:val="00206A59"/>
    <w:rsid w:val="00206B27"/>
    <w:rsid w:val="00206B3E"/>
    <w:rsid w:val="00206BAC"/>
    <w:rsid w:val="00206BF5"/>
    <w:rsid w:val="00206C19"/>
    <w:rsid w:val="00206C1E"/>
    <w:rsid w:val="00206D6C"/>
    <w:rsid w:val="00206DCB"/>
    <w:rsid w:val="00206EC8"/>
    <w:rsid w:val="00206F60"/>
    <w:rsid w:val="00206FD3"/>
    <w:rsid w:val="00206FD6"/>
    <w:rsid w:val="002070C0"/>
    <w:rsid w:val="00207190"/>
    <w:rsid w:val="002071B4"/>
    <w:rsid w:val="00207204"/>
    <w:rsid w:val="00207223"/>
    <w:rsid w:val="00207246"/>
    <w:rsid w:val="00207307"/>
    <w:rsid w:val="002073C8"/>
    <w:rsid w:val="00207460"/>
    <w:rsid w:val="00207473"/>
    <w:rsid w:val="0020747C"/>
    <w:rsid w:val="00207484"/>
    <w:rsid w:val="0020769A"/>
    <w:rsid w:val="002076C2"/>
    <w:rsid w:val="0020778C"/>
    <w:rsid w:val="0020782D"/>
    <w:rsid w:val="00207832"/>
    <w:rsid w:val="002078F2"/>
    <w:rsid w:val="00207947"/>
    <w:rsid w:val="00207A65"/>
    <w:rsid w:val="00207B53"/>
    <w:rsid w:val="00207B7C"/>
    <w:rsid w:val="00207BCC"/>
    <w:rsid w:val="00207BFF"/>
    <w:rsid w:val="00207C90"/>
    <w:rsid w:val="00207CFF"/>
    <w:rsid w:val="00207D4F"/>
    <w:rsid w:val="00207D5A"/>
    <w:rsid w:val="00207D7F"/>
    <w:rsid w:val="00207EBA"/>
    <w:rsid w:val="00207F07"/>
    <w:rsid w:val="00207F79"/>
    <w:rsid w:val="00207FD8"/>
    <w:rsid w:val="00210076"/>
    <w:rsid w:val="00210236"/>
    <w:rsid w:val="00210286"/>
    <w:rsid w:val="002102EB"/>
    <w:rsid w:val="0021036B"/>
    <w:rsid w:val="0021053F"/>
    <w:rsid w:val="00210549"/>
    <w:rsid w:val="0021059C"/>
    <w:rsid w:val="002105C2"/>
    <w:rsid w:val="00210640"/>
    <w:rsid w:val="0021069E"/>
    <w:rsid w:val="002106E3"/>
    <w:rsid w:val="002107D5"/>
    <w:rsid w:val="00210804"/>
    <w:rsid w:val="0021088F"/>
    <w:rsid w:val="002109B5"/>
    <w:rsid w:val="00210A2F"/>
    <w:rsid w:val="00210B35"/>
    <w:rsid w:val="00210BA7"/>
    <w:rsid w:val="00210BC1"/>
    <w:rsid w:val="00210BF0"/>
    <w:rsid w:val="00210CBE"/>
    <w:rsid w:val="00210CC0"/>
    <w:rsid w:val="00210D46"/>
    <w:rsid w:val="00210F06"/>
    <w:rsid w:val="00210F23"/>
    <w:rsid w:val="00210F36"/>
    <w:rsid w:val="002110CF"/>
    <w:rsid w:val="00211144"/>
    <w:rsid w:val="002112D6"/>
    <w:rsid w:val="00211359"/>
    <w:rsid w:val="00211363"/>
    <w:rsid w:val="002113FE"/>
    <w:rsid w:val="00211457"/>
    <w:rsid w:val="002114B0"/>
    <w:rsid w:val="0021157D"/>
    <w:rsid w:val="002115BE"/>
    <w:rsid w:val="00211650"/>
    <w:rsid w:val="00211708"/>
    <w:rsid w:val="00211737"/>
    <w:rsid w:val="002117DF"/>
    <w:rsid w:val="002117E1"/>
    <w:rsid w:val="002117E7"/>
    <w:rsid w:val="0021181B"/>
    <w:rsid w:val="00211857"/>
    <w:rsid w:val="002119C8"/>
    <w:rsid w:val="00211A03"/>
    <w:rsid w:val="00211BEC"/>
    <w:rsid w:val="00211CAC"/>
    <w:rsid w:val="00211D21"/>
    <w:rsid w:val="00211D29"/>
    <w:rsid w:val="00211D4E"/>
    <w:rsid w:val="00211D91"/>
    <w:rsid w:val="00211DFD"/>
    <w:rsid w:val="00211F37"/>
    <w:rsid w:val="00211F51"/>
    <w:rsid w:val="00211F7F"/>
    <w:rsid w:val="00211FD9"/>
    <w:rsid w:val="00211FF5"/>
    <w:rsid w:val="002120E4"/>
    <w:rsid w:val="00212158"/>
    <w:rsid w:val="00212163"/>
    <w:rsid w:val="00212195"/>
    <w:rsid w:val="0021230F"/>
    <w:rsid w:val="0021242D"/>
    <w:rsid w:val="002124C0"/>
    <w:rsid w:val="0021251E"/>
    <w:rsid w:val="00212581"/>
    <w:rsid w:val="002125B0"/>
    <w:rsid w:val="002126DC"/>
    <w:rsid w:val="0021270F"/>
    <w:rsid w:val="00212791"/>
    <w:rsid w:val="00212834"/>
    <w:rsid w:val="0021283B"/>
    <w:rsid w:val="002128AB"/>
    <w:rsid w:val="00212903"/>
    <w:rsid w:val="00212948"/>
    <w:rsid w:val="00212965"/>
    <w:rsid w:val="002129CD"/>
    <w:rsid w:val="00212A4A"/>
    <w:rsid w:val="00212A82"/>
    <w:rsid w:val="00212CD5"/>
    <w:rsid w:val="00212D71"/>
    <w:rsid w:val="00212D9D"/>
    <w:rsid w:val="00212E5C"/>
    <w:rsid w:val="00212EC4"/>
    <w:rsid w:val="00212FD8"/>
    <w:rsid w:val="00213143"/>
    <w:rsid w:val="0021319E"/>
    <w:rsid w:val="002131A7"/>
    <w:rsid w:val="002131B5"/>
    <w:rsid w:val="002131D3"/>
    <w:rsid w:val="00213223"/>
    <w:rsid w:val="00213420"/>
    <w:rsid w:val="0021349C"/>
    <w:rsid w:val="0021354F"/>
    <w:rsid w:val="00213619"/>
    <w:rsid w:val="00213629"/>
    <w:rsid w:val="00213644"/>
    <w:rsid w:val="002136D6"/>
    <w:rsid w:val="002137B5"/>
    <w:rsid w:val="0021393F"/>
    <w:rsid w:val="002139BE"/>
    <w:rsid w:val="002139FA"/>
    <w:rsid w:val="00213A12"/>
    <w:rsid w:val="00213BCC"/>
    <w:rsid w:val="00213C91"/>
    <w:rsid w:val="00213CC1"/>
    <w:rsid w:val="00213F1E"/>
    <w:rsid w:val="00213F87"/>
    <w:rsid w:val="0021404C"/>
    <w:rsid w:val="002140F1"/>
    <w:rsid w:val="00214249"/>
    <w:rsid w:val="002142DE"/>
    <w:rsid w:val="0021430D"/>
    <w:rsid w:val="0021433B"/>
    <w:rsid w:val="00214345"/>
    <w:rsid w:val="002145DF"/>
    <w:rsid w:val="00214641"/>
    <w:rsid w:val="002146B1"/>
    <w:rsid w:val="002146CC"/>
    <w:rsid w:val="002146CD"/>
    <w:rsid w:val="002146FD"/>
    <w:rsid w:val="00214762"/>
    <w:rsid w:val="002148A1"/>
    <w:rsid w:val="002149CC"/>
    <w:rsid w:val="002149DE"/>
    <w:rsid w:val="00214A52"/>
    <w:rsid w:val="00214AFD"/>
    <w:rsid w:val="00214C14"/>
    <w:rsid w:val="00214D0E"/>
    <w:rsid w:val="00214D8A"/>
    <w:rsid w:val="00214D96"/>
    <w:rsid w:val="00214DA0"/>
    <w:rsid w:val="00214DAC"/>
    <w:rsid w:val="00214EA2"/>
    <w:rsid w:val="00214ED3"/>
    <w:rsid w:val="00214EF4"/>
    <w:rsid w:val="00214F14"/>
    <w:rsid w:val="00214F31"/>
    <w:rsid w:val="00214FFD"/>
    <w:rsid w:val="002150FF"/>
    <w:rsid w:val="00215355"/>
    <w:rsid w:val="002153AA"/>
    <w:rsid w:val="002154F7"/>
    <w:rsid w:val="00215595"/>
    <w:rsid w:val="002155F0"/>
    <w:rsid w:val="00215641"/>
    <w:rsid w:val="0021570A"/>
    <w:rsid w:val="00215780"/>
    <w:rsid w:val="0021584B"/>
    <w:rsid w:val="002158D5"/>
    <w:rsid w:val="00215904"/>
    <w:rsid w:val="00215988"/>
    <w:rsid w:val="002159CE"/>
    <w:rsid w:val="00215A4B"/>
    <w:rsid w:val="00215AD6"/>
    <w:rsid w:val="00215B0A"/>
    <w:rsid w:val="00215CC9"/>
    <w:rsid w:val="00215D30"/>
    <w:rsid w:val="00215E0B"/>
    <w:rsid w:val="00215EBA"/>
    <w:rsid w:val="00215F5C"/>
    <w:rsid w:val="00215FA3"/>
    <w:rsid w:val="00215FDB"/>
    <w:rsid w:val="002160DC"/>
    <w:rsid w:val="002160FA"/>
    <w:rsid w:val="00216139"/>
    <w:rsid w:val="0021614D"/>
    <w:rsid w:val="0021615D"/>
    <w:rsid w:val="002162E5"/>
    <w:rsid w:val="002162FA"/>
    <w:rsid w:val="00216315"/>
    <w:rsid w:val="002163BD"/>
    <w:rsid w:val="0021649E"/>
    <w:rsid w:val="002164D0"/>
    <w:rsid w:val="002164DB"/>
    <w:rsid w:val="0021654F"/>
    <w:rsid w:val="0021655F"/>
    <w:rsid w:val="002165FA"/>
    <w:rsid w:val="00216673"/>
    <w:rsid w:val="002166C2"/>
    <w:rsid w:val="002166DD"/>
    <w:rsid w:val="0021671A"/>
    <w:rsid w:val="002167F8"/>
    <w:rsid w:val="002168A2"/>
    <w:rsid w:val="002168C5"/>
    <w:rsid w:val="002168F3"/>
    <w:rsid w:val="00216931"/>
    <w:rsid w:val="0021697B"/>
    <w:rsid w:val="002169AA"/>
    <w:rsid w:val="002169EE"/>
    <w:rsid w:val="00216AB2"/>
    <w:rsid w:val="00216AFB"/>
    <w:rsid w:val="00216B20"/>
    <w:rsid w:val="00216C16"/>
    <w:rsid w:val="00216DB3"/>
    <w:rsid w:val="00216E9C"/>
    <w:rsid w:val="00216EA7"/>
    <w:rsid w:val="00216EDD"/>
    <w:rsid w:val="00216EED"/>
    <w:rsid w:val="00216F6D"/>
    <w:rsid w:val="0021701C"/>
    <w:rsid w:val="0021734D"/>
    <w:rsid w:val="0021734F"/>
    <w:rsid w:val="00217357"/>
    <w:rsid w:val="00217399"/>
    <w:rsid w:val="0021739B"/>
    <w:rsid w:val="00217479"/>
    <w:rsid w:val="00217497"/>
    <w:rsid w:val="00217531"/>
    <w:rsid w:val="00217570"/>
    <w:rsid w:val="00217598"/>
    <w:rsid w:val="002175AE"/>
    <w:rsid w:val="00217672"/>
    <w:rsid w:val="002176A9"/>
    <w:rsid w:val="00217707"/>
    <w:rsid w:val="00217783"/>
    <w:rsid w:val="002177C7"/>
    <w:rsid w:val="002177D9"/>
    <w:rsid w:val="00217825"/>
    <w:rsid w:val="00217867"/>
    <w:rsid w:val="002178B1"/>
    <w:rsid w:val="0021795F"/>
    <w:rsid w:val="002179C3"/>
    <w:rsid w:val="002179F4"/>
    <w:rsid w:val="00217AE8"/>
    <w:rsid w:val="00217B82"/>
    <w:rsid w:val="00217BBE"/>
    <w:rsid w:val="00217BE9"/>
    <w:rsid w:val="00217C83"/>
    <w:rsid w:val="00217D0D"/>
    <w:rsid w:val="00217E98"/>
    <w:rsid w:val="00217FE0"/>
    <w:rsid w:val="00217FEC"/>
    <w:rsid w:val="00220061"/>
    <w:rsid w:val="002200B1"/>
    <w:rsid w:val="002200CE"/>
    <w:rsid w:val="002201C5"/>
    <w:rsid w:val="002203ED"/>
    <w:rsid w:val="00220405"/>
    <w:rsid w:val="002204CD"/>
    <w:rsid w:val="002204E6"/>
    <w:rsid w:val="002204F3"/>
    <w:rsid w:val="00220523"/>
    <w:rsid w:val="002205A5"/>
    <w:rsid w:val="002205CA"/>
    <w:rsid w:val="002205E4"/>
    <w:rsid w:val="002205F1"/>
    <w:rsid w:val="00220642"/>
    <w:rsid w:val="00220720"/>
    <w:rsid w:val="00220742"/>
    <w:rsid w:val="002208D2"/>
    <w:rsid w:val="00220966"/>
    <w:rsid w:val="002209CB"/>
    <w:rsid w:val="00220ADE"/>
    <w:rsid w:val="00220C18"/>
    <w:rsid w:val="00220C9D"/>
    <w:rsid w:val="00220D08"/>
    <w:rsid w:val="00220D67"/>
    <w:rsid w:val="00220E14"/>
    <w:rsid w:val="00220F0D"/>
    <w:rsid w:val="00220F99"/>
    <w:rsid w:val="00220FA8"/>
    <w:rsid w:val="0022116B"/>
    <w:rsid w:val="00221199"/>
    <w:rsid w:val="00221335"/>
    <w:rsid w:val="00221426"/>
    <w:rsid w:val="00221512"/>
    <w:rsid w:val="00221528"/>
    <w:rsid w:val="002215C4"/>
    <w:rsid w:val="002215F8"/>
    <w:rsid w:val="00221707"/>
    <w:rsid w:val="002218DD"/>
    <w:rsid w:val="00221A3D"/>
    <w:rsid w:val="00221A66"/>
    <w:rsid w:val="00221ACE"/>
    <w:rsid w:val="00221BE3"/>
    <w:rsid w:val="00221C64"/>
    <w:rsid w:val="00221C9C"/>
    <w:rsid w:val="00221D70"/>
    <w:rsid w:val="00221DAF"/>
    <w:rsid w:val="00221F7A"/>
    <w:rsid w:val="00221F80"/>
    <w:rsid w:val="00222026"/>
    <w:rsid w:val="00222122"/>
    <w:rsid w:val="00222145"/>
    <w:rsid w:val="00222217"/>
    <w:rsid w:val="0022228A"/>
    <w:rsid w:val="0022233E"/>
    <w:rsid w:val="0022242B"/>
    <w:rsid w:val="00222447"/>
    <w:rsid w:val="0022245C"/>
    <w:rsid w:val="002224CD"/>
    <w:rsid w:val="002225E3"/>
    <w:rsid w:val="002226C8"/>
    <w:rsid w:val="002226ED"/>
    <w:rsid w:val="0022273A"/>
    <w:rsid w:val="0022275A"/>
    <w:rsid w:val="0022277A"/>
    <w:rsid w:val="002227CA"/>
    <w:rsid w:val="002227FE"/>
    <w:rsid w:val="0022281C"/>
    <w:rsid w:val="0022284E"/>
    <w:rsid w:val="00222850"/>
    <w:rsid w:val="00222879"/>
    <w:rsid w:val="002228BE"/>
    <w:rsid w:val="00222902"/>
    <w:rsid w:val="00222946"/>
    <w:rsid w:val="00222A46"/>
    <w:rsid w:val="00222ADE"/>
    <w:rsid w:val="00222AE2"/>
    <w:rsid w:val="00222C00"/>
    <w:rsid w:val="00222C72"/>
    <w:rsid w:val="00222CE0"/>
    <w:rsid w:val="00222D28"/>
    <w:rsid w:val="00222D31"/>
    <w:rsid w:val="00222E17"/>
    <w:rsid w:val="00222EC0"/>
    <w:rsid w:val="00222FE2"/>
    <w:rsid w:val="00223060"/>
    <w:rsid w:val="002230B8"/>
    <w:rsid w:val="002231E6"/>
    <w:rsid w:val="00223262"/>
    <w:rsid w:val="002232FF"/>
    <w:rsid w:val="00223435"/>
    <w:rsid w:val="0022354F"/>
    <w:rsid w:val="00223609"/>
    <w:rsid w:val="0022361E"/>
    <w:rsid w:val="00223622"/>
    <w:rsid w:val="002236A1"/>
    <w:rsid w:val="0022371F"/>
    <w:rsid w:val="00223779"/>
    <w:rsid w:val="002237D2"/>
    <w:rsid w:val="002237D3"/>
    <w:rsid w:val="002239FD"/>
    <w:rsid w:val="00223BB6"/>
    <w:rsid w:val="00223CF4"/>
    <w:rsid w:val="00223E47"/>
    <w:rsid w:val="00223EEC"/>
    <w:rsid w:val="00223F5C"/>
    <w:rsid w:val="00223FE3"/>
    <w:rsid w:val="00224013"/>
    <w:rsid w:val="00224054"/>
    <w:rsid w:val="0022407E"/>
    <w:rsid w:val="00224147"/>
    <w:rsid w:val="00224220"/>
    <w:rsid w:val="00224230"/>
    <w:rsid w:val="00224301"/>
    <w:rsid w:val="00224322"/>
    <w:rsid w:val="00224339"/>
    <w:rsid w:val="0022438B"/>
    <w:rsid w:val="00224398"/>
    <w:rsid w:val="002243D3"/>
    <w:rsid w:val="00224451"/>
    <w:rsid w:val="00224552"/>
    <w:rsid w:val="00224591"/>
    <w:rsid w:val="00224599"/>
    <w:rsid w:val="002246BC"/>
    <w:rsid w:val="002247BA"/>
    <w:rsid w:val="00224807"/>
    <w:rsid w:val="00224891"/>
    <w:rsid w:val="002248D2"/>
    <w:rsid w:val="00224939"/>
    <w:rsid w:val="00224A01"/>
    <w:rsid w:val="00224A81"/>
    <w:rsid w:val="00224C85"/>
    <w:rsid w:val="00224D1E"/>
    <w:rsid w:val="00224D46"/>
    <w:rsid w:val="00224D6F"/>
    <w:rsid w:val="00224D79"/>
    <w:rsid w:val="00224D9D"/>
    <w:rsid w:val="00224DB8"/>
    <w:rsid w:val="00224DC7"/>
    <w:rsid w:val="00224E32"/>
    <w:rsid w:val="00224E37"/>
    <w:rsid w:val="00224E91"/>
    <w:rsid w:val="00224EBC"/>
    <w:rsid w:val="00224F17"/>
    <w:rsid w:val="00224F8D"/>
    <w:rsid w:val="00225027"/>
    <w:rsid w:val="0022504D"/>
    <w:rsid w:val="00225067"/>
    <w:rsid w:val="002250B0"/>
    <w:rsid w:val="00225150"/>
    <w:rsid w:val="0022521D"/>
    <w:rsid w:val="00225301"/>
    <w:rsid w:val="002253CF"/>
    <w:rsid w:val="002253DC"/>
    <w:rsid w:val="002254CF"/>
    <w:rsid w:val="002255C9"/>
    <w:rsid w:val="00225639"/>
    <w:rsid w:val="0022576D"/>
    <w:rsid w:val="00225770"/>
    <w:rsid w:val="0022579B"/>
    <w:rsid w:val="00225830"/>
    <w:rsid w:val="00225907"/>
    <w:rsid w:val="0022594B"/>
    <w:rsid w:val="00225983"/>
    <w:rsid w:val="002259EE"/>
    <w:rsid w:val="00225A2E"/>
    <w:rsid w:val="00225A35"/>
    <w:rsid w:val="00225A68"/>
    <w:rsid w:val="00225AF7"/>
    <w:rsid w:val="00225B19"/>
    <w:rsid w:val="00225B3D"/>
    <w:rsid w:val="00225B4C"/>
    <w:rsid w:val="00225C2D"/>
    <w:rsid w:val="00225CB1"/>
    <w:rsid w:val="00225DC3"/>
    <w:rsid w:val="00225E1E"/>
    <w:rsid w:val="00225E3B"/>
    <w:rsid w:val="00225E9E"/>
    <w:rsid w:val="0022602F"/>
    <w:rsid w:val="002260B5"/>
    <w:rsid w:val="00226129"/>
    <w:rsid w:val="0022614D"/>
    <w:rsid w:val="00226270"/>
    <w:rsid w:val="002262AB"/>
    <w:rsid w:val="00226399"/>
    <w:rsid w:val="00226479"/>
    <w:rsid w:val="00226732"/>
    <w:rsid w:val="0022676F"/>
    <w:rsid w:val="00226773"/>
    <w:rsid w:val="0022678B"/>
    <w:rsid w:val="002267A9"/>
    <w:rsid w:val="00226873"/>
    <w:rsid w:val="00226895"/>
    <w:rsid w:val="00226973"/>
    <w:rsid w:val="00226AA2"/>
    <w:rsid w:val="00226B4C"/>
    <w:rsid w:val="00226B52"/>
    <w:rsid w:val="00226B8C"/>
    <w:rsid w:val="00226BAA"/>
    <w:rsid w:val="00226D52"/>
    <w:rsid w:val="00226D90"/>
    <w:rsid w:val="00226D92"/>
    <w:rsid w:val="00226E4A"/>
    <w:rsid w:val="00226ECF"/>
    <w:rsid w:val="00227063"/>
    <w:rsid w:val="002271B1"/>
    <w:rsid w:val="002271C8"/>
    <w:rsid w:val="00227218"/>
    <w:rsid w:val="00227286"/>
    <w:rsid w:val="002272BC"/>
    <w:rsid w:val="0022734E"/>
    <w:rsid w:val="00227350"/>
    <w:rsid w:val="002273D7"/>
    <w:rsid w:val="0022742C"/>
    <w:rsid w:val="0022746A"/>
    <w:rsid w:val="0022748B"/>
    <w:rsid w:val="0022749F"/>
    <w:rsid w:val="0022750B"/>
    <w:rsid w:val="00227534"/>
    <w:rsid w:val="0022753E"/>
    <w:rsid w:val="00227562"/>
    <w:rsid w:val="00227580"/>
    <w:rsid w:val="0022769A"/>
    <w:rsid w:val="0022770A"/>
    <w:rsid w:val="0022783C"/>
    <w:rsid w:val="0022795F"/>
    <w:rsid w:val="00227981"/>
    <w:rsid w:val="00227A1B"/>
    <w:rsid w:val="00227A50"/>
    <w:rsid w:val="00227A97"/>
    <w:rsid w:val="00227B34"/>
    <w:rsid w:val="00227B3B"/>
    <w:rsid w:val="00227BEE"/>
    <w:rsid w:val="00227BF7"/>
    <w:rsid w:val="00227C10"/>
    <w:rsid w:val="00227C70"/>
    <w:rsid w:val="00227CD4"/>
    <w:rsid w:val="00227CF9"/>
    <w:rsid w:val="00227EB6"/>
    <w:rsid w:val="00227F62"/>
    <w:rsid w:val="00227F8A"/>
    <w:rsid w:val="00227FB4"/>
    <w:rsid w:val="00227FF5"/>
    <w:rsid w:val="0023008C"/>
    <w:rsid w:val="00230121"/>
    <w:rsid w:val="00230126"/>
    <w:rsid w:val="00230140"/>
    <w:rsid w:val="002301C1"/>
    <w:rsid w:val="002302B3"/>
    <w:rsid w:val="002302FF"/>
    <w:rsid w:val="00230363"/>
    <w:rsid w:val="00230387"/>
    <w:rsid w:val="00230397"/>
    <w:rsid w:val="002303A6"/>
    <w:rsid w:val="00230415"/>
    <w:rsid w:val="002304AE"/>
    <w:rsid w:val="0023057E"/>
    <w:rsid w:val="002305AF"/>
    <w:rsid w:val="002305B3"/>
    <w:rsid w:val="00230637"/>
    <w:rsid w:val="0023066B"/>
    <w:rsid w:val="00230676"/>
    <w:rsid w:val="00230707"/>
    <w:rsid w:val="00230751"/>
    <w:rsid w:val="002307B8"/>
    <w:rsid w:val="0023081F"/>
    <w:rsid w:val="002308FF"/>
    <w:rsid w:val="00230939"/>
    <w:rsid w:val="002309C0"/>
    <w:rsid w:val="002309DF"/>
    <w:rsid w:val="00230A10"/>
    <w:rsid w:val="00230AAF"/>
    <w:rsid w:val="00230C26"/>
    <w:rsid w:val="00230C56"/>
    <w:rsid w:val="00230CEF"/>
    <w:rsid w:val="00230D0B"/>
    <w:rsid w:val="00230E1C"/>
    <w:rsid w:val="00230E3D"/>
    <w:rsid w:val="00230E46"/>
    <w:rsid w:val="00230E48"/>
    <w:rsid w:val="00230F16"/>
    <w:rsid w:val="00231014"/>
    <w:rsid w:val="00231063"/>
    <w:rsid w:val="00231089"/>
    <w:rsid w:val="002312B5"/>
    <w:rsid w:val="002312BC"/>
    <w:rsid w:val="00231360"/>
    <w:rsid w:val="002314A4"/>
    <w:rsid w:val="002314A8"/>
    <w:rsid w:val="002314E9"/>
    <w:rsid w:val="00231567"/>
    <w:rsid w:val="0023161D"/>
    <w:rsid w:val="0023179F"/>
    <w:rsid w:val="0023181F"/>
    <w:rsid w:val="00231827"/>
    <w:rsid w:val="002318B7"/>
    <w:rsid w:val="002319EA"/>
    <w:rsid w:val="00231A02"/>
    <w:rsid w:val="00231B36"/>
    <w:rsid w:val="00231B3B"/>
    <w:rsid w:val="00231B43"/>
    <w:rsid w:val="00231B78"/>
    <w:rsid w:val="00231BC8"/>
    <w:rsid w:val="00231BCC"/>
    <w:rsid w:val="00231C9A"/>
    <w:rsid w:val="00231CB2"/>
    <w:rsid w:val="00231E49"/>
    <w:rsid w:val="00231E9D"/>
    <w:rsid w:val="00231FEB"/>
    <w:rsid w:val="0023204C"/>
    <w:rsid w:val="00232095"/>
    <w:rsid w:val="002320F5"/>
    <w:rsid w:val="00232177"/>
    <w:rsid w:val="002321B1"/>
    <w:rsid w:val="00232236"/>
    <w:rsid w:val="0023226C"/>
    <w:rsid w:val="002322E0"/>
    <w:rsid w:val="002323AB"/>
    <w:rsid w:val="002323DC"/>
    <w:rsid w:val="0023242B"/>
    <w:rsid w:val="0023244B"/>
    <w:rsid w:val="00232658"/>
    <w:rsid w:val="00232692"/>
    <w:rsid w:val="002326FC"/>
    <w:rsid w:val="00232716"/>
    <w:rsid w:val="00232737"/>
    <w:rsid w:val="002327DD"/>
    <w:rsid w:val="002327F2"/>
    <w:rsid w:val="0023284B"/>
    <w:rsid w:val="0023291D"/>
    <w:rsid w:val="0023294F"/>
    <w:rsid w:val="00232953"/>
    <w:rsid w:val="00232996"/>
    <w:rsid w:val="00232A44"/>
    <w:rsid w:val="00232CE7"/>
    <w:rsid w:val="00232E5B"/>
    <w:rsid w:val="00232ED2"/>
    <w:rsid w:val="00232F1F"/>
    <w:rsid w:val="00232F55"/>
    <w:rsid w:val="00232F5F"/>
    <w:rsid w:val="00232F64"/>
    <w:rsid w:val="00232FA4"/>
    <w:rsid w:val="00232FE2"/>
    <w:rsid w:val="00233027"/>
    <w:rsid w:val="00233192"/>
    <w:rsid w:val="0023319E"/>
    <w:rsid w:val="002331AE"/>
    <w:rsid w:val="002331EF"/>
    <w:rsid w:val="002332BF"/>
    <w:rsid w:val="002333A3"/>
    <w:rsid w:val="0023341A"/>
    <w:rsid w:val="0023359B"/>
    <w:rsid w:val="00233641"/>
    <w:rsid w:val="00233651"/>
    <w:rsid w:val="00233718"/>
    <w:rsid w:val="002337E5"/>
    <w:rsid w:val="00233934"/>
    <w:rsid w:val="00233993"/>
    <w:rsid w:val="00233C06"/>
    <w:rsid w:val="00233C2A"/>
    <w:rsid w:val="00233E23"/>
    <w:rsid w:val="00233ED4"/>
    <w:rsid w:val="00233F21"/>
    <w:rsid w:val="00233F24"/>
    <w:rsid w:val="002340C2"/>
    <w:rsid w:val="0023412B"/>
    <w:rsid w:val="0023413B"/>
    <w:rsid w:val="00234187"/>
    <w:rsid w:val="002341C0"/>
    <w:rsid w:val="002341CE"/>
    <w:rsid w:val="002341E4"/>
    <w:rsid w:val="00234284"/>
    <w:rsid w:val="002342D3"/>
    <w:rsid w:val="00234337"/>
    <w:rsid w:val="00234356"/>
    <w:rsid w:val="0023435F"/>
    <w:rsid w:val="002343BD"/>
    <w:rsid w:val="0023446B"/>
    <w:rsid w:val="0023449D"/>
    <w:rsid w:val="002344DE"/>
    <w:rsid w:val="002344FC"/>
    <w:rsid w:val="00234637"/>
    <w:rsid w:val="00234673"/>
    <w:rsid w:val="002346FD"/>
    <w:rsid w:val="00234737"/>
    <w:rsid w:val="002347BA"/>
    <w:rsid w:val="0023495A"/>
    <w:rsid w:val="00234A2D"/>
    <w:rsid w:val="00234A7E"/>
    <w:rsid w:val="00234A9A"/>
    <w:rsid w:val="00234B2E"/>
    <w:rsid w:val="00234BAD"/>
    <w:rsid w:val="00234BBB"/>
    <w:rsid w:val="00234BF8"/>
    <w:rsid w:val="00234D13"/>
    <w:rsid w:val="00234DAA"/>
    <w:rsid w:val="00234E2C"/>
    <w:rsid w:val="00234E49"/>
    <w:rsid w:val="00234E9A"/>
    <w:rsid w:val="00235058"/>
    <w:rsid w:val="00235114"/>
    <w:rsid w:val="0023512B"/>
    <w:rsid w:val="002352DA"/>
    <w:rsid w:val="00235325"/>
    <w:rsid w:val="0023533C"/>
    <w:rsid w:val="00235401"/>
    <w:rsid w:val="00235476"/>
    <w:rsid w:val="002354EA"/>
    <w:rsid w:val="002354F5"/>
    <w:rsid w:val="002355EF"/>
    <w:rsid w:val="0023566A"/>
    <w:rsid w:val="0023566D"/>
    <w:rsid w:val="002356F4"/>
    <w:rsid w:val="002356F5"/>
    <w:rsid w:val="00235721"/>
    <w:rsid w:val="00235930"/>
    <w:rsid w:val="00235A8C"/>
    <w:rsid w:val="00235AC7"/>
    <w:rsid w:val="00235AE5"/>
    <w:rsid w:val="00235B3E"/>
    <w:rsid w:val="00235BAA"/>
    <w:rsid w:val="00235D07"/>
    <w:rsid w:val="00235D31"/>
    <w:rsid w:val="00235E3D"/>
    <w:rsid w:val="00235F02"/>
    <w:rsid w:val="00235FDF"/>
    <w:rsid w:val="00236006"/>
    <w:rsid w:val="002360F5"/>
    <w:rsid w:val="0023615B"/>
    <w:rsid w:val="00236203"/>
    <w:rsid w:val="002362B8"/>
    <w:rsid w:val="002362DD"/>
    <w:rsid w:val="002362F7"/>
    <w:rsid w:val="00236326"/>
    <w:rsid w:val="00236332"/>
    <w:rsid w:val="002363D9"/>
    <w:rsid w:val="00236483"/>
    <w:rsid w:val="0023667B"/>
    <w:rsid w:val="00236844"/>
    <w:rsid w:val="00236867"/>
    <w:rsid w:val="0023687B"/>
    <w:rsid w:val="002368FD"/>
    <w:rsid w:val="00236924"/>
    <w:rsid w:val="00236933"/>
    <w:rsid w:val="00236947"/>
    <w:rsid w:val="002369D8"/>
    <w:rsid w:val="00236AB9"/>
    <w:rsid w:val="00236B8A"/>
    <w:rsid w:val="00236C3C"/>
    <w:rsid w:val="00236C94"/>
    <w:rsid w:val="00236D25"/>
    <w:rsid w:val="00236D28"/>
    <w:rsid w:val="00236D68"/>
    <w:rsid w:val="00236DA3"/>
    <w:rsid w:val="00236E72"/>
    <w:rsid w:val="0023705C"/>
    <w:rsid w:val="00237069"/>
    <w:rsid w:val="00237086"/>
    <w:rsid w:val="002370A8"/>
    <w:rsid w:val="002370B4"/>
    <w:rsid w:val="0023717F"/>
    <w:rsid w:val="002371E8"/>
    <w:rsid w:val="002371FF"/>
    <w:rsid w:val="002372E6"/>
    <w:rsid w:val="0023739C"/>
    <w:rsid w:val="0023746E"/>
    <w:rsid w:val="00237509"/>
    <w:rsid w:val="002375E1"/>
    <w:rsid w:val="002375F2"/>
    <w:rsid w:val="00237690"/>
    <w:rsid w:val="002378CA"/>
    <w:rsid w:val="00237956"/>
    <w:rsid w:val="00237A15"/>
    <w:rsid w:val="00237A7B"/>
    <w:rsid w:val="00237A95"/>
    <w:rsid w:val="00237AA0"/>
    <w:rsid w:val="00237B28"/>
    <w:rsid w:val="00237BA2"/>
    <w:rsid w:val="00237BBF"/>
    <w:rsid w:val="00237C1B"/>
    <w:rsid w:val="00237C77"/>
    <w:rsid w:val="00237D7C"/>
    <w:rsid w:val="00237D92"/>
    <w:rsid w:val="00237DD7"/>
    <w:rsid w:val="00237DDC"/>
    <w:rsid w:val="00237DE8"/>
    <w:rsid w:val="00237DF5"/>
    <w:rsid w:val="00237F06"/>
    <w:rsid w:val="00237FA4"/>
    <w:rsid w:val="00237FE4"/>
    <w:rsid w:val="0024005D"/>
    <w:rsid w:val="002400A6"/>
    <w:rsid w:val="00240160"/>
    <w:rsid w:val="00240166"/>
    <w:rsid w:val="0024021C"/>
    <w:rsid w:val="0024027A"/>
    <w:rsid w:val="002402B2"/>
    <w:rsid w:val="002402E2"/>
    <w:rsid w:val="002402FB"/>
    <w:rsid w:val="0024039D"/>
    <w:rsid w:val="002403F5"/>
    <w:rsid w:val="0024040D"/>
    <w:rsid w:val="002404F3"/>
    <w:rsid w:val="0024051F"/>
    <w:rsid w:val="00240656"/>
    <w:rsid w:val="00240693"/>
    <w:rsid w:val="00240733"/>
    <w:rsid w:val="0024076C"/>
    <w:rsid w:val="00240789"/>
    <w:rsid w:val="00240889"/>
    <w:rsid w:val="0024092E"/>
    <w:rsid w:val="002409CD"/>
    <w:rsid w:val="00240A52"/>
    <w:rsid w:val="00240B23"/>
    <w:rsid w:val="00240B58"/>
    <w:rsid w:val="00240CAD"/>
    <w:rsid w:val="00240D5C"/>
    <w:rsid w:val="00240E76"/>
    <w:rsid w:val="00240EB3"/>
    <w:rsid w:val="00240EEE"/>
    <w:rsid w:val="00240FF8"/>
    <w:rsid w:val="00240FF9"/>
    <w:rsid w:val="00241008"/>
    <w:rsid w:val="0024100A"/>
    <w:rsid w:val="002410D5"/>
    <w:rsid w:val="002410F9"/>
    <w:rsid w:val="00241104"/>
    <w:rsid w:val="00241122"/>
    <w:rsid w:val="0024119F"/>
    <w:rsid w:val="002411DC"/>
    <w:rsid w:val="002411EC"/>
    <w:rsid w:val="002412A0"/>
    <w:rsid w:val="002412BB"/>
    <w:rsid w:val="00241336"/>
    <w:rsid w:val="002413C8"/>
    <w:rsid w:val="002414B3"/>
    <w:rsid w:val="002414B6"/>
    <w:rsid w:val="00241515"/>
    <w:rsid w:val="00241534"/>
    <w:rsid w:val="002415C0"/>
    <w:rsid w:val="00241610"/>
    <w:rsid w:val="0024168E"/>
    <w:rsid w:val="00241728"/>
    <w:rsid w:val="002417EA"/>
    <w:rsid w:val="00241805"/>
    <w:rsid w:val="0024182E"/>
    <w:rsid w:val="002418F6"/>
    <w:rsid w:val="00241A51"/>
    <w:rsid w:val="00241A9F"/>
    <w:rsid w:val="00241AC5"/>
    <w:rsid w:val="00241AED"/>
    <w:rsid w:val="00241B0E"/>
    <w:rsid w:val="00241B15"/>
    <w:rsid w:val="00241B65"/>
    <w:rsid w:val="00241C87"/>
    <w:rsid w:val="00241D41"/>
    <w:rsid w:val="00241F0A"/>
    <w:rsid w:val="00241F22"/>
    <w:rsid w:val="00241FCB"/>
    <w:rsid w:val="00242037"/>
    <w:rsid w:val="0024208F"/>
    <w:rsid w:val="002421AE"/>
    <w:rsid w:val="002421E4"/>
    <w:rsid w:val="00242276"/>
    <w:rsid w:val="00242397"/>
    <w:rsid w:val="002423A1"/>
    <w:rsid w:val="002423B3"/>
    <w:rsid w:val="002423C2"/>
    <w:rsid w:val="002424A2"/>
    <w:rsid w:val="002424CD"/>
    <w:rsid w:val="00242550"/>
    <w:rsid w:val="00242695"/>
    <w:rsid w:val="002426C1"/>
    <w:rsid w:val="00242716"/>
    <w:rsid w:val="002427B0"/>
    <w:rsid w:val="00242825"/>
    <w:rsid w:val="00242845"/>
    <w:rsid w:val="00242872"/>
    <w:rsid w:val="002428BC"/>
    <w:rsid w:val="0024293F"/>
    <w:rsid w:val="00242A9D"/>
    <w:rsid w:val="00242B06"/>
    <w:rsid w:val="00242B7B"/>
    <w:rsid w:val="00242BC0"/>
    <w:rsid w:val="00242BF0"/>
    <w:rsid w:val="00242BF9"/>
    <w:rsid w:val="00242C82"/>
    <w:rsid w:val="00242CC9"/>
    <w:rsid w:val="00242D57"/>
    <w:rsid w:val="00242D85"/>
    <w:rsid w:val="00242DE2"/>
    <w:rsid w:val="00242E5E"/>
    <w:rsid w:val="00242E6F"/>
    <w:rsid w:val="00242F4D"/>
    <w:rsid w:val="00242F8E"/>
    <w:rsid w:val="00242F9C"/>
    <w:rsid w:val="00243104"/>
    <w:rsid w:val="0024311F"/>
    <w:rsid w:val="00243182"/>
    <w:rsid w:val="002431B6"/>
    <w:rsid w:val="00243255"/>
    <w:rsid w:val="0024334D"/>
    <w:rsid w:val="002433A5"/>
    <w:rsid w:val="002433FA"/>
    <w:rsid w:val="002434D7"/>
    <w:rsid w:val="0024356E"/>
    <w:rsid w:val="0024356F"/>
    <w:rsid w:val="002435C3"/>
    <w:rsid w:val="002435F9"/>
    <w:rsid w:val="00243635"/>
    <w:rsid w:val="00243713"/>
    <w:rsid w:val="0024377F"/>
    <w:rsid w:val="00243781"/>
    <w:rsid w:val="002437B4"/>
    <w:rsid w:val="002437B6"/>
    <w:rsid w:val="002437BF"/>
    <w:rsid w:val="0024384D"/>
    <w:rsid w:val="00243872"/>
    <w:rsid w:val="00243885"/>
    <w:rsid w:val="0024388E"/>
    <w:rsid w:val="002438C1"/>
    <w:rsid w:val="00243928"/>
    <w:rsid w:val="00243944"/>
    <w:rsid w:val="00243946"/>
    <w:rsid w:val="00243994"/>
    <w:rsid w:val="00243A2F"/>
    <w:rsid w:val="00243A9C"/>
    <w:rsid w:val="00243B03"/>
    <w:rsid w:val="00243B4E"/>
    <w:rsid w:val="00243BC5"/>
    <w:rsid w:val="00243BCC"/>
    <w:rsid w:val="00243C1D"/>
    <w:rsid w:val="00243C20"/>
    <w:rsid w:val="00243C27"/>
    <w:rsid w:val="00243C2B"/>
    <w:rsid w:val="00243C3F"/>
    <w:rsid w:val="00243C6D"/>
    <w:rsid w:val="00243C7D"/>
    <w:rsid w:val="00243D5B"/>
    <w:rsid w:val="00243E9A"/>
    <w:rsid w:val="00243EB5"/>
    <w:rsid w:val="00243F7F"/>
    <w:rsid w:val="00243F8D"/>
    <w:rsid w:val="0024410C"/>
    <w:rsid w:val="00244143"/>
    <w:rsid w:val="00244155"/>
    <w:rsid w:val="00244169"/>
    <w:rsid w:val="00244282"/>
    <w:rsid w:val="00244371"/>
    <w:rsid w:val="002443BF"/>
    <w:rsid w:val="002443C0"/>
    <w:rsid w:val="002443FA"/>
    <w:rsid w:val="0024440D"/>
    <w:rsid w:val="00244493"/>
    <w:rsid w:val="002445AE"/>
    <w:rsid w:val="002445B8"/>
    <w:rsid w:val="0024474A"/>
    <w:rsid w:val="0024477C"/>
    <w:rsid w:val="00244783"/>
    <w:rsid w:val="00244819"/>
    <w:rsid w:val="0024486B"/>
    <w:rsid w:val="00244A75"/>
    <w:rsid w:val="00244AF8"/>
    <w:rsid w:val="00244BA4"/>
    <w:rsid w:val="00244BC5"/>
    <w:rsid w:val="00244C5F"/>
    <w:rsid w:val="00244E68"/>
    <w:rsid w:val="00244EB1"/>
    <w:rsid w:val="00244EC7"/>
    <w:rsid w:val="00244F42"/>
    <w:rsid w:val="00244F59"/>
    <w:rsid w:val="00244FC5"/>
    <w:rsid w:val="00244FEA"/>
    <w:rsid w:val="00245125"/>
    <w:rsid w:val="0024513B"/>
    <w:rsid w:val="002451B3"/>
    <w:rsid w:val="002452B6"/>
    <w:rsid w:val="002453EE"/>
    <w:rsid w:val="002454AE"/>
    <w:rsid w:val="0024551C"/>
    <w:rsid w:val="002455EB"/>
    <w:rsid w:val="0024560C"/>
    <w:rsid w:val="002456C5"/>
    <w:rsid w:val="00245753"/>
    <w:rsid w:val="002458A2"/>
    <w:rsid w:val="002458D4"/>
    <w:rsid w:val="002458FE"/>
    <w:rsid w:val="00245917"/>
    <w:rsid w:val="002459E0"/>
    <w:rsid w:val="00245A64"/>
    <w:rsid w:val="00245ABE"/>
    <w:rsid w:val="00245AFE"/>
    <w:rsid w:val="00245B28"/>
    <w:rsid w:val="00245BA1"/>
    <w:rsid w:val="00245BF3"/>
    <w:rsid w:val="00245C0B"/>
    <w:rsid w:val="00245CB3"/>
    <w:rsid w:val="00245CD3"/>
    <w:rsid w:val="00245D0A"/>
    <w:rsid w:val="00245D60"/>
    <w:rsid w:val="00245D86"/>
    <w:rsid w:val="00245DAF"/>
    <w:rsid w:val="00245DF3"/>
    <w:rsid w:val="00245EC5"/>
    <w:rsid w:val="00245F7E"/>
    <w:rsid w:val="00245F8C"/>
    <w:rsid w:val="00245FCB"/>
    <w:rsid w:val="00246001"/>
    <w:rsid w:val="002460C9"/>
    <w:rsid w:val="0024629D"/>
    <w:rsid w:val="00246476"/>
    <w:rsid w:val="0024651A"/>
    <w:rsid w:val="002467D9"/>
    <w:rsid w:val="00246859"/>
    <w:rsid w:val="00246871"/>
    <w:rsid w:val="00246A7D"/>
    <w:rsid w:val="00246B1D"/>
    <w:rsid w:val="00246B25"/>
    <w:rsid w:val="00246C0A"/>
    <w:rsid w:val="00246C42"/>
    <w:rsid w:val="00246CD6"/>
    <w:rsid w:val="00246D07"/>
    <w:rsid w:val="00246DFA"/>
    <w:rsid w:val="00246E38"/>
    <w:rsid w:val="00246EA2"/>
    <w:rsid w:val="00246EAE"/>
    <w:rsid w:val="00246EB3"/>
    <w:rsid w:val="00246EFA"/>
    <w:rsid w:val="00247079"/>
    <w:rsid w:val="00247116"/>
    <w:rsid w:val="00247147"/>
    <w:rsid w:val="002471E0"/>
    <w:rsid w:val="002471E5"/>
    <w:rsid w:val="00247257"/>
    <w:rsid w:val="00247265"/>
    <w:rsid w:val="00247402"/>
    <w:rsid w:val="00247464"/>
    <w:rsid w:val="0024751D"/>
    <w:rsid w:val="00247556"/>
    <w:rsid w:val="00247878"/>
    <w:rsid w:val="00247A12"/>
    <w:rsid w:val="00247AE6"/>
    <w:rsid w:val="00247BF8"/>
    <w:rsid w:val="00247C63"/>
    <w:rsid w:val="00247D74"/>
    <w:rsid w:val="00247DA1"/>
    <w:rsid w:val="00247E37"/>
    <w:rsid w:val="00247E4D"/>
    <w:rsid w:val="00247E59"/>
    <w:rsid w:val="00247E82"/>
    <w:rsid w:val="00250069"/>
    <w:rsid w:val="002500A1"/>
    <w:rsid w:val="0025015F"/>
    <w:rsid w:val="0025024E"/>
    <w:rsid w:val="002502D4"/>
    <w:rsid w:val="00250348"/>
    <w:rsid w:val="00250382"/>
    <w:rsid w:val="002503F4"/>
    <w:rsid w:val="00250548"/>
    <w:rsid w:val="0025057A"/>
    <w:rsid w:val="002505BD"/>
    <w:rsid w:val="00250679"/>
    <w:rsid w:val="002506D2"/>
    <w:rsid w:val="002507B2"/>
    <w:rsid w:val="00250838"/>
    <w:rsid w:val="00250984"/>
    <w:rsid w:val="00250994"/>
    <w:rsid w:val="00250AF4"/>
    <w:rsid w:val="00250B26"/>
    <w:rsid w:val="00250B93"/>
    <w:rsid w:val="00250C58"/>
    <w:rsid w:val="00250C6B"/>
    <w:rsid w:val="00250CAA"/>
    <w:rsid w:val="00250CB5"/>
    <w:rsid w:val="00250D43"/>
    <w:rsid w:val="00250D4F"/>
    <w:rsid w:val="00250E75"/>
    <w:rsid w:val="00250EC9"/>
    <w:rsid w:val="00250F09"/>
    <w:rsid w:val="00251026"/>
    <w:rsid w:val="0025105D"/>
    <w:rsid w:val="00251090"/>
    <w:rsid w:val="002511DE"/>
    <w:rsid w:val="002511FB"/>
    <w:rsid w:val="0025120E"/>
    <w:rsid w:val="0025131A"/>
    <w:rsid w:val="00251320"/>
    <w:rsid w:val="00251435"/>
    <w:rsid w:val="002515DD"/>
    <w:rsid w:val="002515F3"/>
    <w:rsid w:val="00251612"/>
    <w:rsid w:val="00251621"/>
    <w:rsid w:val="0025172A"/>
    <w:rsid w:val="0025172B"/>
    <w:rsid w:val="002517A8"/>
    <w:rsid w:val="002517AC"/>
    <w:rsid w:val="002517E4"/>
    <w:rsid w:val="00251801"/>
    <w:rsid w:val="00251838"/>
    <w:rsid w:val="00251897"/>
    <w:rsid w:val="002519C8"/>
    <w:rsid w:val="00251AA1"/>
    <w:rsid w:val="00251AAF"/>
    <w:rsid w:val="00251C03"/>
    <w:rsid w:val="00251C32"/>
    <w:rsid w:val="00251C72"/>
    <w:rsid w:val="00251DBC"/>
    <w:rsid w:val="00251E15"/>
    <w:rsid w:val="00251E57"/>
    <w:rsid w:val="00251EC6"/>
    <w:rsid w:val="00251EEE"/>
    <w:rsid w:val="00251F31"/>
    <w:rsid w:val="00251F6A"/>
    <w:rsid w:val="00251FF4"/>
    <w:rsid w:val="0025214C"/>
    <w:rsid w:val="002521AD"/>
    <w:rsid w:val="0025220A"/>
    <w:rsid w:val="002523F1"/>
    <w:rsid w:val="002525A4"/>
    <w:rsid w:val="00252620"/>
    <w:rsid w:val="002526F1"/>
    <w:rsid w:val="002526F4"/>
    <w:rsid w:val="00252828"/>
    <w:rsid w:val="00252841"/>
    <w:rsid w:val="0025289B"/>
    <w:rsid w:val="002528B0"/>
    <w:rsid w:val="002528DC"/>
    <w:rsid w:val="002528F7"/>
    <w:rsid w:val="0025299C"/>
    <w:rsid w:val="0025299D"/>
    <w:rsid w:val="002529BD"/>
    <w:rsid w:val="00252A78"/>
    <w:rsid w:val="00252B10"/>
    <w:rsid w:val="00252B24"/>
    <w:rsid w:val="00252C91"/>
    <w:rsid w:val="00252CA1"/>
    <w:rsid w:val="00252D0D"/>
    <w:rsid w:val="00252D22"/>
    <w:rsid w:val="00252D52"/>
    <w:rsid w:val="00252E57"/>
    <w:rsid w:val="00253038"/>
    <w:rsid w:val="002530A8"/>
    <w:rsid w:val="00253177"/>
    <w:rsid w:val="0025328D"/>
    <w:rsid w:val="00253313"/>
    <w:rsid w:val="00253388"/>
    <w:rsid w:val="00253392"/>
    <w:rsid w:val="002533B5"/>
    <w:rsid w:val="002533C8"/>
    <w:rsid w:val="0025340B"/>
    <w:rsid w:val="00253457"/>
    <w:rsid w:val="002535E7"/>
    <w:rsid w:val="002536B1"/>
    <w:rsid w:val="00253760"/>
    <w:rsid w:val="002537A5"/>
    <w:rsid w:val="002537B0"/>
    <w:rsid w:val="002537C5"/>
    <w:rsid w:val="00253868"/>
    <w:rsid w:val="002538B8"/>
    <w:rsid w:val="00253949"/>
    <w:rsid w:val="0025396F"/>
    <w:rsid w:val="00253971"/>
    <w:rsid w:val="00253A20"/>
    <w:rsid w:val="00253A22"/>
    <w:rsid w:val="00253A30"/>
    <w:rsid w:val="00253A83"/>
    <w:rsid w:val="00253AAD"/>
    <w:rsid w:val="00253B65"/>
    <w:rsid w:val="00253B9F"/>
    <w:rsid w:val="00253BE9"/>
    <w:rsid w:val="00253C57"/>
    <w:rsid w:val="00253C96"/>
    <w:rsid w:val="00253CC9"/>
    <w:rsid w:val="00253D11"/>
    <w:rsid w:val="00253D2F"/>
    <w:rsid w:val="00253DAD"/>
    <w:rsid w:val="00253EFA"/>
    <w:rsid w:val="00253F0A"/>
    <w:rsid w:val="00254068"/>
    <w:rsid w:val="00254163"/>
    <w:rsid w:val="002541B6"/>
    <w:rsid w:val="002541FF"/>
    <w:rsid w:val="00254291"/>
    <w:rsid w:val="002542AB"/>
    <w:rsid w:val="00254319"/>
    <w:rsid w:val="002543F8"/>
    <w:rsid w:val="002544BA"/>
    <w:rsid w:val="00254561"/>
    <w:rsid w:val="00254579"/>
    <w:rsid w:val="00254584"/>
    <w:rsid w:val="002545BD"/>
    <w:rsid w:val="0025464D"/>
    <w:rsid w:val="00254660"/>
    <w:rsid w:val="00254709"/>
    <w:rsid w:val="0025473F"/>
    <w:rsid w:val="0025481C"/>
    <w:rsid w:val="00254925"/>
    <w:rsid w:val="0025494E"/>
    <w:rsid w:val="00254961"/>
    <w:rsid w:val="00254994"/>
    <w:rsid w:val="002549D0"/>
    <w:rsid w:val="00254A19"/>
    <w:rsid w:val="00254B48"/>
    <w:rsid w:val="00254BC9"/>
    <w:rsid w:val="00254BEA"/>
    <w:rsid w:val="00254CD0"/>
    <w:rsid w:val="00254CF2"/>
    <w:rsid w:val="00254D48"/>
    <w:rsid w:val="00254DB1"/>
    <w:rsid w:val="00254E1A"/>
    <w:rsid w:val="00254E4F"/>
    <w:rsid w:val="00254ECF"/>
    <w:rsid w:val="00255038"/>
    <w:rsid w:val="002550E8"/>
    <w:rsid w:val="0025510F"/>
    <w:rsid w:val="00255118"/>
    <w:rsid w:val="002551D6"/>
    <w:rsid w:val="0025532A"/>
    <w:rsid w:val="00255358"/>
    <w:rsid w:val="0025538A"/>
    <w:rsid w:val="0025539F"/>
    <w:rsid w:val="0025548E"/>
    <w:rsid w:val="00255492"/>
    <w:rsid w:val="002554B2"/>
    <w:rsid w:val="002554E0"/>
    <w:rsid w:val="0025555B"/>
    <w:rsid w:val="00255715"/>
    <w:rsid w:val="0025577B"/>
    <w:rsid w:val="00255894"/>
    <w:rsid w:val="00255953"/>
    <w:rsid w:val="00255C04"/>
    <w:rsid w:val="00255D16"/>
    <w:rsid w:val="00255D79"/>
    <w:rsid w:val="00255D94"/>
    <w:rsid w:val="00255DA5"/>
    <w:rsid w:val="00255E8C"/>
    <w:rsid w:val="00255EA5"/>
    <w:rsid w:val="00255EE8"/>
    <w:rsid w:val="00255F94"/>
    <w:rsid w:val="00255FD8"/>
    <w:rsid w:val="0025602F"/>
    <w:rsid w:val="00256061"/>
    <w:rsid w:val="002560A1"/>
    <w:rsid w:val="0025613B"/>
    <w:rsid w:val="0025619F"/>
    <w:rsid w:val="002561AF"/>
    <w:rsid w:val="0025628E"/>
    <w:rsid w:val="0025637A"/>
    <w:rsid w:val="00256388"/>
    <w:rsid w:val="0025646F"/>
    <w:rsid w:val="00256482"/>
    <w:rsid w:val="0025648F"/>
    <w:rsid w:val="00256542"/>
    <w:rsid w:val="0025656B"/>
    <w:rsid w:val="00256771"/>
    <w:rsid w:val="0025679A"/>
    <w:rsid w:val="002568D8"/>
    <w:rsid w:val="00256A02"/>
    <w:rsid w:val="00256AB5"/>
    <w:rsid w:val="00256B19"/>
    <w:rsid w:val="00256B7E"/>
    <w:rsid w:val="00256C36"/>
    <w:rsid w:val="00256D40"/>
    <w:rsid w:val="00256DFF"/>
    <w:rsid w:val="00256E44"/>
    <w:rsid w:val="00256F29"/>
    <w:rsid w:val="00256FA2"/>
    <w:rsid w:val="00256FDA"/>
    <w:rsid w:val="00257027"/>
    <w:rsid w:val="00257029"/>
    <w:rsid w:val="00257227"/>
    <w:rsid w:val="002572AF"/>
    <w:rsid w:val="002573C6"/>
    <w:rsid w:val="0025758D"/>
    <w:rsid w:val="00257687"/>
    <w:rsid w:val="002577D0"/>
    <w:rsid w:val="0025791F"/>
    <w:rsid w:val="0025796A"/>
    <w:rsid w:val="00257984"/>
    <w:rsid w:val="002579F3"/>
    <w:rsid w:val="002579FA"/>
    <w:rsid w:val="00257A62"/>
    <w:rsid w:val="00257C7F"/>
    <w:rsid w:val="00257CAD"/>
    <w:rsid w:val="00257CAE"/>
    <w:rsid w:val="00257D1C"/>
    <w:rsid w:val="00257DEC"/>
    <w:rsid w:val="00257ED8"/>
    <w:rsid w:val="00257F23"/>
    <w:rsid w:val="00257F90"/>
    <w:rsid w:val="002600C9"/>
    <w:rsid w:val="00260226"/>
    <w:rsid w:val="0026024F"/>
    <w:rsid w:val="002602B5"/>
    <w:rsid w:val="002602CE"/>
    <w:rsid w:val="00260318"/>
    <w:rsid w:val="00260330"/>
    <w:rsid w:val="00260449"/>
    <w:rsid w:val="002604D4"/>
    <w:rsid w:val="002604E8"/>
    <w:rsid w:val="00260532"/>
    <w:rsid w:val="002605D9"/>
    <w:rsid w:val="002606E8"/>
    <w:rsid w:val="002606F3"/>
    <w:rsid w:val="00260791"/>
    <w:rsid w:val="002607EA"/>
    <w:rsid w:val="002608D2"/>
    <w:rsid w:val="00260919"/>
    <w:rsid w:val="002609AD"/>
    <w:rsid w:val="00260B8A"/>
    <w:rsid w:val="00260C1F"/>
    <w:rsid w:val="00260D03"/>
    <w:rsid w:val="00260E04"/>
    <w:rsid w:val="00260E09"/>
    <w:rsid w:val="00260F85"/>
    <w:rsid w:val="00260FB2"/>
    <w:rsid w:val="00261009"/>
    <w:rsid w:val="002610E4"/>
    <w:rsid w:val="0026122B"/>
    <w:rsid w:val="00261234"/>
    <w:rsid w:val="00261264"/>
    <w:rsid w:val="00261271"/>
    <w:rsid w:val="002612FD"/>
    <w:rsid w:val="00261323"/>
    <w:rsid w:val="002613DC"/>
    <w:rsid w:val="00261414"/>
    <w:rsid w:val="0026157C"/>
    <w:rsid w:val="002615B7"/>
    <w:rsid w:val="002615D3"/>
    <w:rsid w:val="0026162D"/>
    <w:rsid w:val="00261690"/>
    <w:rsid w:val="00261723"/>
    <w:rsid w:val="00261755"/>
    <w:rsid w:val="00261804"/>
    <w:rsid w:val="00261833"/>
    <w:rsid w:val="00261862"/>
    <w:rsid w:val="0026189C"/>
    <w:rsid w:val="00261913"/>
    <w:rsid w:val="00261A7D"/>
    <w:rsid w:val="00261AAA"/>
    <w:rsid w:val="00261AD4"/>
    <w:rsid w:val="00261B23"/>
    <w:rsid w:val="00261B43"/>
    <w:rsid w:val="00261B7F"/>
    <w:rsid w:val="00261BAB"/>
    <w:rsid w:val="00261BEA"/>
    <w:rsid w:val="00261C2A"/>
    <w:rsid w:val="00261C3B"/>
    <w:rsid w:val="00261CBB"/>
    <w:rsid w:val="00261DC5"/>
    <w:rsid w:val="00261E65"/>
    <w:rsid w:val="00261F12"/>
    <w:rsid w:val="00261F2C"/>
    <w:rsid w:val="00261F69"/>
    <w:rsid w:val="00262078"/>
    <w:rsid w:val="00262082"/>
    <w:rsid w:val="00262097"/>
    <w:rsid w:val="002620B7"/>
    <w:rsid w:val="002620E0"/>
    <w:rsid w:val="002621A6"/>
    <w:rsid w:val="0026227D"/>
    <w:rsid w:val="00262338"/>
    <w:rsid w:val="0026235C"/>
    <w:rsid w:val="002623CA"/>
    <w:rsid w:val="00262444"/>
    <w:rsid w:val="00262447"/>
    <w:rsid w:val="00262459"/>
    <w:rsid w:val="0026245D"/>
    <w:rsid w:val="00262491"/>
    <w:rsid w:val="0026252D"/>
    <w:rsid w:val="00262550"/>
    <w:rsid w:val="002625A1"/>
    <w:rsid w:val="002625E1"/>
    <w:rsid w:val="002625E9"/>
    <w:rsid w:val="00262699"/>
    <w:rsid w:val="002626C7"/>
    <w:rsid w:val="00262707"/>
    <w:rsid w:val="00262726"/>
    <w:rsid w:val="0026272F"/>
    <w:rsid w:val="0026280A"/>
    <w:rsid w:val="00262911"/>
    <w:rsid w:val="0026295B"/>
    <w:rsid w:val="002629E5"/>
    <w:rsid w:val="00262A5F"/>
    <w:rsid w:val="00262ABB"/>
    <w:rsid w:val="00262B0E"/>
    <w:rsid w:val="00262B20"/>
    <w:rsid w:val="00262B70"/>
    <w:rsid w:val="00262BE2"/>
    <w:rsid w:val="00262C0D"/>
    <w:rsid w:val="00262C2C"/>
    <w:rsid w:val="00262C5E"/>
    <w:rsid w:val="00262D20"/>
    <w:rsid w:val="00262D28"/>
    <w:rsid w:val="00262D31"/>
    <w:rsid w:val="00262D53"/>
    <w:rsid w:val="00262D77"/>
    <w:rsid w:val="00262DE1"/>
    <w:rsid w:val="00262E85"/>
    <w:rsid w:val="00262EB2"/>
    <w:rsid w:val="00262F10"/>
    <w:rsid w:val="00262F4C"/>
    <w:rsid w:val="00262F74"/>
    <w:rsid w:val="00263108"/>
    <w:rsid w:val="00263114"/>
    <w:rsid w:val="0026321B"/>
    <w:rsid w:val="0026336D"/>
    <w:rsid w:val="002633AB"/>
    <w:rsid w:val="002633F5"/>
    <w:rsid w:val="002634AB"/>
    <w:rsid w:val="002634EC"/>
    <w:rsid w:val="00263509"/>
    <w:rsid w:val="0026353E"/>
    <w:rsid w:val="00263884"/>
    <w:rsid w:val="002638C2"/>
    <w:rsid w:val="002638E0"/>
    <w:rsid w:val="002638E8"/>
    <w:rsid w:val="00263901"/>
    <w:rsid w:val="0026399B"/>
    <w:rsid w:val="002639D6"/>
    <w:rsid w:val="00263B32"/>
    <w:rsid w:val="00263BBF"/>
    <w:rsid w:val="00263C19"/>
    <w:rsid w:val="00263C59"/>
    <w:rsid w:val="00263CB8"/>
    <w:rsid w:val="00263CC8"/>
    <w:rsid w:val="00263D62"/>
    <w:rsid w:val="00263D78"/>
    <w:rsid w:val="00263E08"/>
    <w:rsid w:val="00263E0D"/>
    <w:rsid w:val="00263E15"/>
    <w:rsid w:val="00263E9F"/>
    <w:rsid w:val="00263EAD"/>
    <w:rsid w:val="00263FAE"/>
    <w:rsid w:val="00263FE0"/>
    <w:rsid w:val="00264158"/>
    <w:rsid w:val="00264225"/>
    <w:rsid w:val="00264408"/>
    <w:rsid w:val="0026440C"/>
    <w:rsid w:val="0026445E"/>
    <w:rsid w:val="002644C3"/>
    <w:rsid w:val="00264506"/>
    <w:rsid w:val="00264522"/>
    <w:rsid w:val="00264569"/>
    <w:rsid w:val="002645CB"/>
    <w:rsid w:val="00264668"/>
    <w:rsid w:val="002647AB"/>
    <w:rsid w:val="002648DF"/>
    <w:rsid w:val="00264995"/>
    <w:rsid w:val="00264B05"/>
    <w:rsid w:val="00264B28"/>
    <w:rsid w:val="00264BCC"/>
    <w:rsid w:val="00264BE4"/>
    <w:rsid w:val="00264C8E"/>
    <w:rsid w:val="00264C8F"/>
    <w:rsid w:val="00264D30"/>
    <w:rsid w:val="00264D3D"/>
    <w:rsid w:val="00264DAD"/>
    <w:rsid w:val="00264E89"/>
    <w:rsid w:val="00264F03"/>
    <w:rsid w:val="00264F5E"/>
    <w:rsid w:val="00264F8F"/>
    <w:rsid w:val="0026522A"/>
    <w:rsid w:val="00265256"/>
    <w:rsid w:val="00265271"/>
    <w:rsid w:val="00265440"/>
    <w:rsid w:val="0026546F"/>
    <w:rsid w:val="00265514"/>
    <w:rsid w:val="0026552D"/>
    <w:rsid w:val="00265551"/>
    <w:rsid w:val="002655AE"/>
    <w:rsid w:val="002655B6"/>
    <w:rsid w:val="002655E1"/>
    <w:rsid w:val="00265670"/>
    <w:rsid w:val="002656A0"/>
    <w:rsid w:val="002656D8"/>
    <w:rsid w:val="00265702"/>
    <w:rsid w:val="0026572F"/>
    <w:rsid w:val="00265743"/>
    <w:rsid w:val="0026578F"/>
    <w:rsid w:val="002657AC"/>
    <w:rsid w:val="00265864"/>
    <w:rsid w:val="00265866"/>
    <w:rsid w:val="0026591F"/>
    <w:rsid w:val="002659D9"/>
    <w:rsid w:val="00265A65"/>
    <w:rsid w:val="00265B3B"/>
    <w:rsid w:val="00265B98"/>
    <w:rsid w:val="00265BF9"/>
    <w:rsid w:val="00265C6D"/>
    <w:rsid w:val="00265C7E"/>
    <w:rsid w:val="00265CE4"/>
    <w:rsid w:val="00265D06"/>
    <w:rsid w:val="00265E15"/>
    <w:rsid w:val="00265E5F"/>
    <w:rsid w:val="00265EA8"/>
    <w:rsid w:val="00265EC7"/>
    <w:rsid w:val="00266043"/>
    <w:rsid w:val="00266079"/>
    <w:rsid w:val="002660F0"/>
    <w:rsid w:val="002661D7"/>
    <w:rsid w:val="0026627B"/>
    <w:rsid w:val="0026628E"/>
    <w:rsid w:val="002662B0"/>
    <w:rsid w:val="00266300"/>
    <w:rsid w:val="0026639D"/>
    <w:rsid w:val="002663C1"/>
    <w:rsid w:val="00266402"/>
    <w:rsid w:val="002664AF"/>
    <w:rsid w:val="00266507"/>
    <w:rsid w:val="00266541"/>
    <w:rsid w:val="0026655F"/>
    <w:rsid w:val="0026658E"/>
    <w:rsid w:val="002665AD"/>
    <w:rsid w:val="002665B9"/>
    <w:rsid w:val="0026664F"/>
    <w:rsid w:val="00266674"/>
    <w:rsid w:val="0026674E"/>
    <w:rsid w:val="00266751"/>
    <w:rsid w:val="0026676F"/>
    <w:rsid w:val="00266799"/>
    <w:rsid w:val="0026692B"/>
    <w:rsid w:val="00266942"/>
    <w:rsid w:val="00266947"/>
    <w:rsid w:val="00266A1C"/>
    <w:rsid w:val="00266B98"/>
    <w:rsid w:val="00266C19"/>
    <w:rsid w:val="00266D14"/>
    <w:rsid w:val="00266E29"/>
    <w:rsid w:val="00266E3E"/>
    <w:rsid w:val="00266E9B"/>
    <w:rsid w:val="00266F2F"/>
    <w:rsid w:val="00266FAA"/>
    <w:rsid w:val="00266FD4"/>
    <w:rsid w:val="00266FE0"/>
    <w:rsid w:val="00267042"/>
    <w:rsid w:val="00267080"/>
    <w:rsid w:val="0026708D"/>
    <w:rsid w:val="002670F0"/>
    <w:rsid w:val="002670FE"/>
    <w:rsid w:val="00267168"/>
    <w:rsid w:val="00267176"/>
    <w:rsid w:val="002671B0"/>
    <w:rsid w:val="002671B2"/>
    <w:rsid w:val="002671FA"/>
    <w:rsid w:val="0026726C"/>
    <w:rsid w:val="002672FD"/>
    <w:rsid w:val="00267305"/>
    <w:rsid w:val="0026733E"/>
    <w:rsid w:val="002673A1"/>
    <w:rsid w:val="002673DD"/>
    <w:rsid w:val="00267487"/>
    <w:rsid w:val="00267511"/>
    <w:rsid w:val="00267540"/>
    <w:rsid w:val="002675AA"/>
    <w:rsid w:val="002675B6"/>
    <w:rsid w:val="00267694"/>
    <w:rsid w:val="0026778D"/>
    <w:rsid w:val="002677C4"/>
    <w:rsid w:val="0026782B"/>
    <w:rsid w:val="0026796D"/>
    <w:rsid w:val="002679CB"/>
    <w:rsid w:val="00267A3B"/>
    <w:rsid w:val="00267A99"/>
    <w:rsid w:val="00267B65"/>
    <w:rsid w:val="00267BBD"/>
    <w:rsid w:val="00267BC3"/>
    <w:rsid w:val="00267C05"/>
    <w:rsid w:val="00267C1C"/>
    <w:rsid w:val="00267C40"/>
    <w:rsid w:val="00267C62"/>
    <w:rsid w:val="00267C83"/>
    <w:rsid w:val="00267CFA"/>
    <w:rsid w:val="00267D2C"/>
    <w:rsid w:val="00267D59"/>
    <w:rsid w:val="00267D6B"/>
    <w:rsid w:val="00267DBC"/>
    <w:rsid w:val="00267F42"/>
    <w:rsid w:val="00267F7B"/>
    <w:rsid w:val="00267FAA"/>
    <w:rsid w:val="00267FB5"/>
    <w:rsid w:val="002700EC"/>
    <w:rsid w:val="0027018A"/>
    <w:rsid w:val="00270239"/>
    <w:rsid w:val="00270270"/>
    <w:rsid w:val="00270271"/>
    <w:rsid w:val="00270368"/>
    <w:rsid w:val="002704A5"/>
    <w:rsid w:val="00270563"/>
    <w:rsid w:val="002705E9"/>
    <w:rsid w:val="002705FA"/>
    <w:rsid w:val="00270621"/>
    <w:rsid w:val="00270664"/>
    <w:rsid w:val="002706C9"/>
    <w:rsid w:val="002707DF"/>
    <w:rsid w:val="0027081D"/>
    <w:rsid w:val="00270833"/>
    <w:rsid w:val="002708A5"/>
    <w:rsid w:val="0027099D"/>
    <w:rsid w:val="002709B4"/>
    <w:rsid w:val="00270A4E"/>
    <w:rsid w:val="00270A97"/>
    <w:rsid w:val="00270B68"/>
    <w:rsid w:val="00270C4B"/>
    <w:rsid w:val="00270CAC"/>
    <w:rsid w:val="00270D30"/>
    <w:rsid w:val="00270D42"/>
    <w:rsid w:val="00270DA4"/>
    <w:rsid w:val="00270E15"/>
    <w:rsid w:val="00270E35"/>
    <w:rsid w:val="00270E5E"/>
    <w:rsid w:val="00270E99"/>
    <w:rsid w:val="00270FCE"/>
    <w:rsid w:val="00271040"/>
    <w:rsid w:val="002710CF"/>
    <w:rsid w:val="00271183"/>
    <w:rsid w:val="00271194"/>
    <w:rsid w:val="0027120D"/>
    <w:rsid w:val="0027125F"/>
    <w:rsid w:val="002712DA"/>
    <w:rsid w:val="00271305"/>
    <w:rsid w:val="0027135F"/>
    <w:rsid w:val="002714FF"/>
    <w:rsid w:val="0027151C"/>
    <w:rsid w:val="002715FF"/>
    <w:rsid w:val="00271636"/>
    <w:rsid w:val="00271740"/>
    <w:rsid w:val="00271762"/>
    <w:rsid w:val="002717F2"/>
    <w:rsid w:val="0027180C"/>
    <w:rsid w:val="00271854"/>
    <w:rsid w:val="002718F4"/>
    <w:rsid w:val="002718FE"/>
    <w:rsid w:val="00271969"/>
    <w:rsid w:val="002719F8"/>
    <w:rsid w:val="00271A56"/>
    <w:rsid w:val="00271A8C"/>
    <w:rsid w:val="00271B91"/>
    <w:rsid w:val="00271BBB"/>
    <w:rsid w:val="00271D2A"/>
    <w:rsid w:val="00271DA7"/>
    <w:rsid w:val="00271E9A"/>
    <w:rsid w:val="00272081"/>
    <w:rsid w:val="0027215F"/>
    <w:rsid w:val="00272174"/>
    <w:rsid w:val="002721A0"/>
    <w:rsid w:val="002721A6"/>
    <w:rsid w:val="002721EC"/>
    <w:rsid w:val="002722B9"/>
    <w:rsid w:val="002722E0"/>
    <w:rsid w:val="00272318"/>
    <w:rsid w:val="00272323"/>
    <w:rsid w:val="0027237A"/>
    <w:rsid w:val="002723CC"/>
    <w:rsid w:val="0027241E"/>
    <w:rsid w:val="00272441"/>
    <w:rsid w:val="00272672"/>
    <w:rsid w:val="00272690"/>
    <w:rsid w:val="0027271E"/>
    <w:rsid w:val="00272729"/>
    <w:rsid w:val="002727E3"/>
    <w:rsid w:val="00272874"/>
    <w:rsid w:val="002728B7"/>
    <w:rsid w:val="00272938"/>
    <w:rsid w:val="00272972"/>
    <w:rsid w:val="00272A19"/>
    <w:rsid w:val="00272A69"/>
    <w:rsid w:val="00272B18"/>
    <w:rsid w:val="00272CC2"/>
    <w:rsid w:val="00272CC5"/>
    <w:rsid w:val="00272D6F"/>
    <w:rsid w:val="00272E54"/>
    <w:rsid w:val="00272ED0"/>
    <w:rsid w:val="00272FEB"/>
    <w:rsid w:val="00272FF0"/>
    <w:rsid w:val="002730EC"/>
    <w:rsid w:val="00273100"/>
    <w:rsid w:val="002731D0"/>
    <w:rsid w:val="00273419"/>
    <w:rsid w:val="00273458"/>
    <w:rsid w:val="0027354A"/>
    <w:rsid w:val="00273594"/>
    <w:rsid w:val="002735CC"/>
    <w:rsid w:val="00273764"/>
    <w:rsid w:val="00273782"/>
    <w:rsid w:val="00273794"/>
    <w:rsid w:val="002737C6"/>
    <w:rsid w:val="00273886"/>
    <w:rsid w:val="002738B2"/>
    <w:rsid w:val="00273A1B"/>
    <w:rsid w:val="00273A23"/>
    <w:rsid w:val="00273A82"/>
    <w:rsid w:val="00273AC1"/>
    <w:rsid w:val="00273B1B"/>
    <w:rsid w:val="00273B5C"/>
    <w:rsid w:val="00273C06"/>
    <w:rsid w:val="00273C90"/>
    <w:rsid w:val="00273D21"/>
    <w:rsid w:val="00273D2A"/>
    <w:rsid w:val="00273D34"/>
    <w:rsid w:val="00273DA3"/>
    <w:rsid w:val="00273E15"/>
    <w:rsid w:val="00273E2F"/>
    <w:rsid w:val="00273E4B"/>
    <w:rsid w:val="00273E65"/>
    <w:rsid w:val="00273EAD"/>
    <w:rsid w:val="00273EAF"/>
    <w:rsid w:val="00273F15"/>
    <w:rsid w:val="00273F42"/>
    <w:rsid w:val="00273F93"/>
    <w:rsid w:val="00273F95"/>
    <w:rsid w:val="00273FB7"/>
    <w:rsid w:val="0027404D"/>
    <w:rsid w:val="00274101"/>
    <w:rsid w:val="002741D8"/>
    <w:rsid w:val="0027429C"/>
    <w:rsid w:val="0027435D"/>
    <w:rsid w:val="00274403"/>
    <w:rsid w:val="00274443"/>
    <w:rsid w:val="00274458"/>
    <w:rsid w:val="00274468"/>
    <w:rsid w:val="0027446B"/>
    <w:rsid w:val="002744E6"/>
    <w:rsid w:val="00274524"/>
    <w:rsid w:val="0027452E"/>
    <w:rsid w:val="00274588"/>
    <w:rsid w:val="0027460F"/>
    <w:rsid w:val="0027461A"/>
    <w:rsid w:val="0027462A"/>
    <w:rsid w:val="0027462E"/>
    <w:rsid w:val="0027468A"/>
    <w:rsid w:val="0027473B"/>
    <w:rsid w:val="002747D8"/>
    <w:rsid w:val="00274875"/>
    <w:rsid w:val="0027487F"/>
    <w:rsid w:val="002748B2"/>
    <w:rsid w:val="0027498C"/>
    <w:rsid w:val="002749FA"/>
    <w:rsid w:val="00274A67"/>
    <w:rsid w:val="00274AA2"/>
    <w:rsid w:val="00274ACC"/>
    <w:rsid w:val="00274C66"/>
    <w:rsid w:val="00274CEE"/>
    <w:rsid w:val="00274DC9"/>
    <w:rsid w:val="00274E4B"/>
    <w:rsid w:val="00274EE5"/>
    <w:rsid w:val="00274EFB"/>
    <w:rsid w:val="00274F36"/>
    <w:rsid w:val="00274F4B"/>
    <w:rsid w:val="0027502F"/>
    <w:rsid w:val="0027509E"/>
    <w:rsid w:val="002750B2"/>
    <w:rsid w:val="00275128"/>
    <w:rsid w:val="00275187"/>
    <w:rsid w:val="002751DA"/>
    <w:rsid w:val="0027523B"/>
    <w:rsid w:val="00275289"/>
    <w:rsid w:val="002752E7"/>
    <w:rsid w:val="00275364"/>
    <w:rsid w:val="00275366"/>
    <w:rsid w:val="00275383"/>
    <w:rsid w:val="00275384"/>
    <w:rsid w:val="002755BF"/>
    <w:rsid w:val="002755D2"/>
    <w:rsid w:val="00275614"/>
    <w:rsid w:val="002756BB"/>
    <w:rsid w:val="002756EF"/>
    <w:rsid w:val="002756F2"/>
    <w:rsid w:val="00275708"/>
    <w:rsid w:val="0027571C"/>
    <w:rsid w:val="002757CF"/>
    <w:rsid w:val="0027591D"/>
    <w:rsid w:val="002759A9"/>
    <w:rsid w:val="00275A57"/>
    <w:rsid w:val="00275C7C"/>
    <w:rsid w:val="00275C87"/>
    <w:rsid w:val="00275C94"/>
    <w:rsid w:val="00275D12"/>
    <w:rsid w:val="00275D13"/>
    <w:rsid w:val="00275DBA"/>
    <w:rsid w:val="00275DDA"/>
    <w:rsid w:val="00275DE7"/>
    <w:rsid w:val="00275DF8"/>
    <w:rsid w:val="00275EFA"/>
    <w:rsid w:val="00275F6B"/>
    <w:rsid w:val="00276007"/>
    <w:rsid w:val="00276216"/>
    <w:rsid w:val="00276231"/>
    <w:rsid w:val="002762CB"/>
    <w:rsid w:val="002762D3"/>
    <w:rsid w:val="00276394"/>
    <w:rsid w:val="0027652F"/>
    <w:rsid w:val="00276603"/>
    <w:rsid w:val="0027663D"/>
    <w:rsid w:val="00276661"/>
    <w:rsid w:val="0027676C"/>
    <w:rsid w:val="00276796"/>
    <w:rsid w:val="002767B6"/>
    <w:rsid w:val="0027689B"/>
    <w:rsid w:val="002768AC"/>
    <w:rsid w:val="002768CF"/>
    <w:rsid w:val="00276988"/>
    <w:rsid w:val="002769E6"/>
    <w:rsid w:val="00276A72"/>
    <w:rsid w:val="00276D50"/>
    <w:rsid w:val="00276DA5"/>
    <w:rsid w:val="00276E1F"/>
    <w:rsid w:val="00276E57"/>
    <w:rsid w:val="00276F2F"/>
    <w:rsid w:val="00276F82"/>
    <w:rsid w:val="00277021"/>
    <w:rsid w:val="00277026"/>
    <w:rsid w:val="002770C0"/>
    <w:rsid w:val="0027715D"/>
    <w:rsid w:val="0027724D"/>
    <w:rsid w:val="002772F4"/>
    <w:rsid w:val="0027746A"/>
    <w:rsid w:val="002774A1"/>
    <w:rsid w:val="002774B5"/>
    <w:rsid w:val="002774ED"/>
    <w:rsid w:val="00277631"/>
    <w:rsid w:val="002776B3"/>
    <w:rsid w:val="002776F0"/>
    <w:rsid w:val="002777EA"/>
    <w:rsid w:val="00277805"/>
    <w:rsid w:val="002778E9"/>
    <w:rsid w:val="00277974"/>
    <w:rsid w:val="002779B4"/>
    <w:rsid w:val="00277ADD"/>
    <w:rsid w:val="00277B9C"/>
    <w:rsid w:val="00277BC3"/>
    <w:rsid w:val="00277BD7"/>
    <w:rsid w:val="00277BF9"/>
    <w:rsid w:val="00277CB0"/>
    <w:rsid w:val="00277CFC"/>
    <w:rsid w:val="00277D05"/>
    <w:rsid w:val="00277EAF"/>
    <w:rsid w:val="00277F34"/>
    <w:rsid w:val="00277F62"/>
    <w:rsid w:val="00277F9F"/>
    <w:rsid w:val="00277FAD"/>
    <w:rsid w:val="002800A4"/>
    <w:rsid w:val="002800FF"/>
    <w:rsid w:val="002801C1"/>
    <w:rsid w:val="002803BD"/>
    <w:rsid w:val="0028041B"/>
    <w:rsid w:val="0028042D"/>
    <w:rsid w:val="00280453"/>
    <w:rsid w:val="002804B3"/>
    <w:rsid w:val="002804BE"/>
    <w:rsid w:val="002804D4"/>
    <w:rsid w:val="002805C8"/>
    <w:rsid w:val="002805DF"/>
    <w:rsid w:val="00280862"/>
    <w:rsid w:val="002808A3"/>
    <w:rsid w:val="002808C5"/>
    <w:rsid w:val="002808FF"/>
    <w:rsid w:val="0028092D"/>
    <w:rsid w:val="0028096B"/>
    <w:rsid w:val="002809A9"/>
    <w:rsid w:val="00280A65"/>
    <w:rsid w:val="00280AAE"/>
    <w:rsid w:val="00280B53"/>
    <w:rsid w:val="00280B95"/>
    <w:rsid w:val="00280BE3"/>
    <w:rsid w:val="00280C1F"/>
    <w:rsid w:val="00280CEF"/>
    <w:rsid w:val="00280D68"/>
    <w:rsid w:val="00280EC3"/>
    <w:rsid w:val="00280EE4"/>
    <w:rsid w:val="00280F75"/>
    <w:rsid w:val="00280FAD"/>
    <w:rsid w:val="002810AE"/>
    <w:rsid w:val="00281128"/>
    <w:rsid w:val="0028121E"/>
    <w:rsid w:val="0028126C"/>
    <w:rsid w:val="00281349"/>
    <w:rsid w:val="002814A4"/>
    <w:rsid w:val="002814DB"/>
    <w:rsid w:val="00281529"/>
    <w:rsid w:val="0028154F"/>
    <w:rsid w:val="002815D9"/>
    <w:rsid w:val="0028165D"/>
    <w:rsid w:val="002816B6"/>
    <w:rsid w:val="00281728"/>
    <w:rsid w:val="00281752"/>
    <w:rsid w:val="00281874"/>
    <w:rsid w:val="002818EE"/>
    <w:rsid w:val="002819A9"/>
    <w:rsid w:val="002819D7"/>
    <w:rsid w:val="00281A0A"/>
    <w:rsid w:val="00281AA4"/>
    <w:rsid w:val="00281B25"/>
    <w:rsid w:val="00281BB0"/>
    <w:rsid w:val="00281BB6"/>
    <w:rsid w:val="00281C40"/>
    <w:rsid w:val="00281C86"/>
    <w:rsid w:val="00281C94"/>
    <w:rsid w:val="00281D0C"/>
    <w:rsid w:val="00281DBB"/>
    <w:rsid w:val="00281E06"/>
    <w:rsid w:val="00281EB7"/>
    <w:rsid w:val="00282022"/>
    <w:rsid w:val="0028208C"/>
    <w:rsid w:val="002820CD"/>
    <w:rsid w:val="002820EC"/>
    <w:rsid w:val="0028218D"/>
    <w:rsid w:val="002821C9"/>
    <w:rsid w:val="002821EE"/>
    <w:rsid w:val="00282258"/>
    <w:rsid w:val="00282317"/>
    <w:rsid w:val="002823F2"/>
    <w:rsid w:val="0028240F"/>
    <w:rsid w:val="0028242C"/>
    <w:rsid w:val="00282675"/>
    <w:rsid w:val="0028268C"/>
    <w:rsid w:val="0028271D"/>
    <w:rsid w:val="00282818"/>
    <w:rsid w:val="00282849"/>
    <w:rsid w:val="002828D2"/>
    <w:rsid w:val="0028290F"/>
    <w:rsid w:val="00282923"/>
    <w:rsid w:val="00282938"/>
    <w:rsid w:val="00282973"/>
    <w:rsid w:val="0028298B"/>
    <w:rsid w:val="00282A2C"/>
    <w:rsid w:val="00282A3F"/>
    <w:rsid w:val="00282A40"/>
    <w:rsid w:val="00282A79"/>
    <w:rsid w:val="00282B5A"/>
    <w:rsid w:val="00282D25"/>
    <w:rsid w:val="00282D55"/>
    <w:rsid w:val="00282DF9"/>
    <w:rsid w:val="00282E25"/>
    <w:rsid w:val="0028301F"/>
    <w:rsid w:val="00283052"/>
    <w:rsid w:val="00283195"/>
    <w:rsid w:val="002831C4"/>
    <w:rsid w:val="002832ED"/>
    <w:rsid w:val="00283349"/>
    <w:rsid w:val="0028349A"/>
    <w:rsid w:val="002835BE"/>
    <w:rsid w:val="002835D4"/>
    <w:rsid w:val="002835F4"/>
    <w:rsid w:val="00283620"/>
    <w:rsid w:val="00283665"/>
    <w:rsid w:val="0028376A"/>
    <w:rsid w:val="00283859"/>
    <w:rsid w:val="002838AB"/>
    <w:rsid w:val="00283957"/>
    <w:rsid w:val="00283974"/>
    <w:rsid w:val="002839DC"/>
    <w:rsid w:val="002839EC"/>
    <w:rsid w:val="00283A10"/>
    <w:rsid w:val="00283A41"/>
    <w:rsid w:val="00283A44"/>
    <w:rsid w:val="00283A93"/>
    <w:rsid w:val="00283ABE"/>
    <w:rsid w:val="00283DC9"/>
    <w:rsid w:val="00283EA2"/>
    <w:rsid w:val="00283EC6"/>
    <w:rsid w:val="00283F09"/>
    <w:rsid w:val="00283FE9"/>
    <w:rsid w:val="00284024"/>
    <w:rsid w:val="002840E8"/>
    <w:rsid w:val="002840F0"/>
    <w:rsid w:val="00284210"/>
    <w:rsid w:val="00284322"/>
    <w:rsid w:val="00284445"/>
    <w:rsid w:val="00284620"/>
    <w:rsid w:val="00284673"/>
    <w:rsid w:val="002847F5"/>
    <w:rsid w:val="00284832"/>
    <w:rsid w:val="0028483A"/>
    <w:rsid w:val="002848C6"/>
    <w:rsid w:val="002848F3"/>
    <w:rsid w:val="00284ACB"/>
    <w:rsid w:val="00284B12"/>
    <w:rsid w:val="00284BA7"/>
    <w:rsid w:val="00284BB0"/>
    <w:rsid w:val="00284D02"/>
    <w:rsid w:val="00284D0B"/>
    <w:rsid w:val="00284DC1"/>
    <w:rsid w:val="00284EB1"/>
    <w:rsid w:val="00284F15"/>
    <w:rsid w:val="00284F29"/>
    <w:rsid w:val="00284F4E"/>
    <w:rsid w:val="00284FFB"/>
    <w:rsid w:val="00285050"/>
    <w:rsid w:val="00285100"/>
    <w:rsid w:val="0028529F"/>
    <w:rsid w:val="002852B3"/>
    <w:rsid w:val="0028531E"/>
    <w:rsid w:val="00285422"/>
    <w:rsid w:val="002854CD"/>
    <w:rsid w:val="0028558C"/>
    <w:rsid w:val="00285687"/>
    <w:rsid w:val="002856AD"/>
    <w:rsid w:val="002856F8"/>
    <w:rsid w:val="00285725"/>
    <w:rsid w:val="00285767"/>
    <w:rsid w:val="00285826"/>
    <w:rsid w:val="0028589C"/>
    <w:rsid w:val="0028592F"/>
    <w:rsid w:val="0028596D"/>
    <w:rsid w:val="00285A7F"/>
    <w:rsid w:val="00285B27"/>
    <w:rsid w:val="00285DA8"/>
    <w:rsid w:val="00285DC6"/>
    <w:rsid w:val="00285DED"/>
    <w:rsid w:val="00285EC9"/>
    <w:rsid w:val="00285F90"/>
    <w:rsid w:val="00285FD4"/>
    <w:rsid w:val="00285FDA"/>
    <w:rsid w:val="0028608B"/>
    <w:rsid w:val="002860AA"/>
    <w:rsid w:val="0028616B"/>
    <w:rsid w:val="002862C9"/>
    <w:rsid w:val="002862E0"/>
    <w:rsid w:val="00286364"/>
    <w:rsid w:val="002863A9"/>
    <w:rsid w:val="002863B3"/>
    <w:rsid w:val="002863CC"/>
    <w:rsid w:val="002864B1"/>
    <w:rsid w:val="002864DA"/>
    <w:rsid w:val="002864EF"/>
    <w:rsid w:val="0028662E"/>
    <w:rsid w:val="002866CF"/>
    <w:rsid w:val="00286778"/>
    <w:rsid w:val="00286833"/>
    <w:rsid w:val="00286834"/>
    <w:rsid w:val="00286A30"/>
    <w:rsid w:val="00286A59"/>
    <w:rsid w:val="00286AD1"/>
    <w:rsid w:val="00286B30"/>
    <w:rsid w:val="00286BF3"/>
    <w:rsid w:val="00286BFB"/>
    <w:rsid w:val="00286CEA"/>
    <w:rsid w:val="00286E04"/>
    <w:rsid w:val="00286E50"/>
    <w:rsid w:val="00286F2C"/>
    <w:rsid w:val="00286F8C"/>
    <w:rsid w:val="00286FAE"/>
    <w:rsid w:val="0028705E"/>
    <w:rsid w:val="00287110"/>
    <w:rsid w:val="002871AA"/>
    <w:rsid w:val="00287285"/>
    <w:rsid w:val="002872C5"/>
    <w:rsid w:val="002872E9"/>
    <w:rsid w:val="00287313"/>
    <w:rsid w:val="002873AF"/>
    <w:rsid w:val="002873CF"/>
    <w:rsid w:val="00287428"/>
    <w:rsid w:val="002874CC"/>
    <w:rsid w:val="0028756C"/>
    <w:rsid w:val="00287597"/>
    <w:rsid w:val="002875E2"/>
    <w:rsid w:val="00287649"/>
    <w:rsid w:val="00287778"/>
    <w:rsid w:val="0028786E"/>
    <w:rsid w:val="00287873"/>
    <w:rsid w:val="002878CD"/>
    <w:rsid w:val="002878DC"/>
    <w:rsid w:val="00287903"/>
    <w:rsid w:val="00287B1B"/>
    <w:rsid w:val="00287B42"/>
    <w:rsid w:val="00287B8D"/>
    <w:rsid w:val="00287BDA"/>
    <w:rsid w:val="00287BEC"/>
    <w:rsid w:val="00287BEF"/>
    <w:rsid w:val="00287C4B"/>
    <w:rsid w:val="00287D5E"/>
    <w:rsid w:val="00287DAB"/>
    <w:rsid w:val="00287E18"/>
    <w:rsid w:val="00287EF0"/>
    <w:rsid w:val="00287F13"/>
    <w:rsid w:val="00287FB6"/>
    <w:rsid w:val="00287FFE"/>
    <w:rsid w:val="00290004"/>
    <w:rsid w:val="00290055"/>
    <w:rsid w:val="002900C5"/>
    <w:rsid w:val="002901E0"/>
    <w:rsid w:val="002902CF"/>
    <w:rsid w:val="002902EF"/>
    <w:rsid w:val="0029030F"/>
    <w:rsid w:val="0029032D"/>
    <w:rsid w:val="00290432"/>
    <w:rsid w:val="002904C3"/>
    <w:rsid w:val="002905B0"/>
    <w:rsid w:val="002906BE"/>
    <w:rsid w:val="002906D7"/>
    <w:rsid w:val="0029072F"/>
    <w:rsid w:val="0029075B"/>
    <w:rsid w:val="002907D3"/>
    <w:rsid w:val="00290808"/>
    <w:rsid w:val="0029081E"/>
    <w:rsid w:val="002908FF"/>
    <w:rsid w:val="0029097A"/>
    <w:rsid w:val="002909F5"/>
    <w:rsid w:val="00290B44"/>
    <w:rsid w:val="00290BB1"/>
    <w:rsid w:val="00290BB5"/>
    <w:rsid w:val="00290BC7"/>
    <w:rsid w:val="00290C4A"/>
    <w:rsid w:val="00290C83"/>
    <w:rsid w:val="00290C85"/>
    <w:rsid w:val="00290CD9"/>
    <w:rsid w:val="00290D0C"/>
    <w:rsid w:val="00290D69"/>
    <w:rsid w:val="00290D7D"/>
    <w:rsid w:val="00290DC9"/>
    <w:rsid w:val="00290DEA"/>
    <w:rsid w:val="00290DFD"/>
    <w:rsid w:val="00290E40"/>
    <w:rsid w:val="00290E75"/>
    <w:rsid w:val="00290E7B"/>
    <w:rsid w:val="00290EA0"/>
    <w:rsid w:val="00290F25"/>
    <w:rsid w:val="00290F9A"/>
    <w:rsid w:val="0029102A"/>
    <w:rsid w:val="002911A2"/>
    <w:rsid w:val="002911DB"/>
    <w:rsid w:val="002911DF"/>
    <w:rsid w:val="002911E8"/>
    <w:rsid w:val="00291207"/>
    <w:rsid w:val="00291405"/>
    <w:rsid w:val="00291427"/>
    <w:rsid w:val="002915A2"/>
    <w:rsid w:val="002915AA"/>
    <w:rsid w:val="00291666"/>
    <w:rsid w:val="0029170C"/>
    <w:rsid w:val="00291728"/>
    <w:rsid w:val="002918DD"/>
    <w:rsid w:val="00291932"/>
    <w:rsid w:val="00291935"/>
    <w:rsid w:val="0029197C"/>
    <w:rsid w:val="00291AB1"/>
    <w:rsid w:val="00291B3B"/>
    <w:rsid w:val="00291B48"/>
    <w:rsid w:val="00291B6C"/>
    <w:rsid w:val="00291B8F"/>
    <w:rsid w:val="00291BC1"/>
    <w:rsid w:val="00291C64"/>
    <w:rsid w:val="00291C78"/>
    <w:rsid w:val="00291CFD"/>
    <w:rsid w:val="00291E53"/>
    <w:rsid w:val="00291F31"/>
    <w:rsid w:val="00291F92"/>
    <w:rsid w:val="002921C2"/>
    <w:rsid w:val="0029223F"/>
    <w:rsid w:val="002922D5"/>
    <w:rsid w:val="00292375"/>
    <w:rsid w:val="00292395"/>
    <w:rsid w:val="00292400"/>
    <w:rsid w:val="0029247D"/>
    <w:rsid w:val="002925F2"/>
    <w:rsid w:val="0029262A"/>
    <w:rsid w:val="00292693"/>
    <w:rsid w:val="002926B5"/>
    <w:rsid w:val="002926BD"/>
    <w:rsid w:val="002926CF"/>
    <w:rsid w:val="0029271E"/>
    <w:rsid w:val="00292768"/>
    <w:rsid w:val="002927F0"/>
    <w:rsid w:val="002927F3"/>
    <w:rsid w:val="002927F7"/>
    <w:rsid w:val="00292828"/>
    <w:rsid w:val="0029289F"/>
    <w:rsid w:val="002928CB"/>
    <w:rsid w:val="002928FA"/>
    <w:rsid w:val="00292927"/>
    <w:rsid w:val="00292969"/>
    <w:rsid w:val="002929AE"/>
    <w:rsid w:val="00292A6A"/>
    <w:rsid w:val="00292BC6"/>
    <w:rsid w:val="00292C3F"/>
    <w:rsid w:val="00292CF8"/>
    <w:rsid w:val="00292D39"/>
    <w:rsid w:val="00292DF8"/>
    <w:rsid w:val="00292E20"/>
    <w:rsid w:val="00292E32"/>
    <w:rsid w:val="00292EA4"/>
    <w:rsid w:val="00292F64"/>
    <w:rsid w:val="00293048"/>
    <w:rsid w:val="002930D9"/>
    <w:rsid w:val="0029314B"/>
    <w:rsid w:val="002931AE"/>
    <w:rsid w:val="0029331D"/>
    <w:rsid w:val="0029335D"/>
    <w:rsid w:val="002933C8"/>
    <w:rsid w:val="002933CA"/>
    <w:rsid w:val="0029346F"/>
    <w:rsid w:val="0029348A"/>
    <w:rsid w:val="002934E7"/>
    <w:rsid w:val="002934F9"/>
    <w:rsid w:val="00293516"/>
    <w:rsid w:val="00293655"/>
    <w:rsid w:val="00293911"/>
    <w:rsid w:val="00293941"/>
    <w:rsid w:val="0029395F"/>
    <w:rsid w:val="002939C8"/>
    <w:rsid w:val="002939E5"/>
    <w:rsid w:val="00293A0F"/>
    <w:rsid w:val="00293A34"/>
    <w:rsid w:val="00293A89"/>
    <w:rsid w:val="00293A8F"/>
    <w:rsid w:val="00293ADD"/>
    <w:rsid w:val="00293C51"/>
    <w:rsid w:val="00293C60"/>
    <w:rsid w:val="00293DE5"/>
    <w:rsid w:val="00293E18"/>
    <w:rsid w:val="00293EC6"/>
    <w:rsid w:val="00293FC4"/>
    <w:rsid w:val="00294033"/>
    <w:rsid w:val="00294067"/>
    <w:rsid w:val="002940C5"/>
    <w:rsid w:val="002940FD"/>
    <w:rsid w:val="00294187"/>
    <w:rsid w:val="002941B6"/>
    <w:rsid w:val="002942D6"/>
    <w:rsid w:val="00294351"/>
    <w:rsid w:val="002943E0"/>
    <w:rsid w:val="002945B6"/>
    <w:rsid w:val="00294644"/>
    <w:rsid w:val="00294666"/>
    <w:rsid w:val="002946B1"/>
    <w:rsid w:val="00294709"/>
    <w:rsid w:val="00294738"/>
    <w:rsid w:val="0029473B"/>
    <w:rsid w:val="00294741"/>
    <w:rsid w:val="002948E6"/>
    <w:rsid w:val="00294989"/>
    <w:rsid w:val="002949A3"/>
    <w:rsid w:val="00294A26"/>
    <w:rsid w:val="00294A7A"/>
    <w:rsid w:val="00294AAD"/>
    <w:rsid w:val="00294AE0"/>
    <w:rsid w:val="00294AF9"/>
    <w:rsid w:val="00294BC1"/>
    <w:rsid w:val="00294C3F"/>
    <w:rsid w:val="00294D26"/>
    <w:rsid w:val="00294D65"/>
    <w:rsid w:val="00294D95"/>
    <w:rsid w:val="00294EC3"/>
    <w:rsid w:val="00294F3B"/>
    <w:rsid w:val="00294FDE"/>
    <w:rsid w:val="00295063"/>
    <w:rsid w:val="002950AC"/>
    <w:rsid w:val="00295155"/>
    <w:rsid w:val="00295180"/>
    <w:rsid w:val="00295199"/>
    <w:rsid w:val="00295280"/>
    <w:rsid w:val="0029529D"/>
    <w:rsid w:val="002952EB"/>
    <w:rsid w:val="00295371"/>
    <w:rsid w:val="0029546E"/>
    <w:rsid w:val="002954C4"/>
    <w:rsid w:val="002954C5"/>
    <w:rsid w:val="00295502"/>
    <w:rsid w:val="00295576"/>
    <w:rsid w:val="00295586"/>
    <w:rsid w:val="002955BB"/>
    <w:rsid w:val="002957DA"/>
    <w:rsid w:val="00295865"/>
    <w:rsid w:val="0029595D"/>
    <w:rsid w:val="00295A3D"/>
    <w:rsid w:val="00295AD2"/>
    <w:rsid w:val="00295AE4"/>
    <w:rsid w:val="00295B62"/>
    <w:rsid w:val="00295C2D"/>
    <w:rsid w:val="00295D1B"/>
    <w:rsid w:val="00295D51"/>
    <w:rsid w:val="00295D82"/>
    <w:rsid w:val="00295E46"/>
    <w:rsid w:val="00295E60"/>
    <w:rsid w:val="00295EA9"/>
    <w:rsid w:val="00295EF3"/>
    <w:rsid w:val="00295F75"/>
    <w:rsid w:val="00295FF0"/>
    <w:rsid w:val="00296012"/>
    <w:rsid w:val="00296123"/>
    <w:rsid w:val="002961BD"/>
    <w:rsid w:val="002961DC"/>
    <w:rsid w:val="002961DD"/>
    <w:rsid w:val="00296203"/>
    <w:rsid w:val="00296343"/>
    <w:rsid w:val="00296349"/>
    <w:rsid w:val="00296428"/>
    <w:rsid w:val="0029643D"/>
    <w:rsid w:val="002964ED"/>
    <w:rsid w:val="0029660C"/>
    <w:rsid w:val="00296669"/>
    <w:rsid w:val="0029669E"/>
    <w:rsid w:val="00296783"/>
    <w:rsid w:val="002967A2"/>
    <w:rsid w:val="00296856"/>
    <w:rsid w:val="00296876"/>
    <w:rsid w:val="002968AD"/>
    <w:rsid w:val="0029695D"/>
    <w:rsid w:val="00296973"/>
    <w:rsid w:val="00296A82"/>
    <w:rsid w:val="00296B17"/>
    <w:rsid w:val="00296B28"/>
    <w:rsid w:val="00296B68"/>
    <w:rsid w:val="00296B8F"/>
    <w:rsid w:val="00296D61"/>
    <w:rsid w:val="00296D8C"/>
    <w:rsid w:val="00296DC4"/>
    <w:rsid w:val="00296E57"/>
    <w:rsid w:val="00296EB4"/>
    <w:rsid w:val="00296F85"/>
    <w:rsid w:val="00296FCF"/>
    <w:rsid w:val="00296FF4"/>
    <w:rsid w:val="00296FFD"/>
    <w:rsid w:val="0029706A"/>
    <w:rsid w:val="0029710C"/>
    <w:rsid w:val="0029719A"/>
    <w:rsid w:val="002971C4"/>
    <w:rsid w:val="00297250"/>
    <w:rsid w:val="00297254"/>
    <w:rsid w:val="002972AD"/>
    <w:rsid w:val="002972EE"/>
    <w:rsid w:val="002973AA"/>
    <w:rsid w:val="002973F3"/>
    <w:rsid w:val="00297423"/>
    <w:rsid w:val="0029743E"/>
    <w:rsid w:val="002975A2"/>
    <w:rsid w:val="0029763F"/>
    <w:rsid w:val="002976A3"/>
    <w:rsid w:val="00297702"/>
    <w:rsid w:val="0029775F"/>
    <w:rsid w:val="002977DF"/>
    <w:rsid w:val="002977E5"/>
    <w:rsid w:val="00297807"/>
    <w:rsid w:val="002978AC"/>
    <w:rsid w:val="00297B55"/>
    <w:rsid w:val="00297B83"/>
    <w:rsid w:val="00297BBC"/>
    <w:rsid w:val="00297C6A"/>
    <w:rsid w:val="00297CCA"/>
    <w:rsid w:val="00297CDD"/>
    <w:rsid w:val="00297D48"/>
    <w:rsid w:val="00297E7A"/>
    <w:rsid w:val="00297ED3"/>
    <w:rsid w:val="00297F01"/>
    <w:rsid w:val="00297F23"/>
    <w:rsid w:val="002A002F"/>
    <w:rsid w:val="002A00D8"/>
    <w:rsid w:val="002A019A"/>
    <w:rsid w:val="002A0238"/>
    <w:rsid w:val="002A0307"/>
    <w:rsid w:val="002A0369"/>
    <w:rsid w:val="002A036F"/>
    <w:rsid w:val="002A039C"/>
    <w:rsid w:val="002A03B5"/>
    <w:rsid w:val="002A04D7"/>
    <w:rsid w:val="002A052D"/>
    <w:rsid w:val="002A0651"/>
    <w:rsid w:val="002A0794"/>
    <w:rsid w:val="002A0804"/>
    <w:rsid w:val="002A084F"/>
    <w:rsid w:val="002A0915"/>
    <w:rsid w:val="002A093D"/>
    <w:rsid w:val="002A0A03"/>
    <w:rsid w:val="002A0A86"/>
    <w:rsid w:val="002A0BCD"/>
    <w:rsid w:val="002A0C4F"/>
    <w:rsid w:val="002A0DF8"/>
    <w:rsid w:val="002A0E22"/>
    <w:rsid w:val="002A0F96"/>
    <w:rsid w:val="002A0FFD"/>
    <w:rsid w:val="002A103C"/>
    <w:rsid w:val="002A11CA"/>
    <w:rsid w:val="002A121B"/>
    <w:rsid w:val="002A127D"/>
    <w:rsid w:val="002A1281"/>
    <w:rsid w:val="002A128C"/>
    <w:rsid w:val="002A12F5"/>
    <w:rsid w:val="002A1369"/>
    <w:rsid w:val="002A1374"/>
    <w:rsid w:val="002A1453"/>
    <w:rsid w:val="002A14AF"/>
    <w:rsid w:val="002A1577"/>
    <w:rsid w:val="002A15A6"/>
    <w:rsid w:val="002A15EA"/>
    <w:rsid w:val="002A1654"/>
    <w:rsid w:val="002A165D"/>
    <w:rsid w:val="002A16D4"/>
    <w:rsid w:val="002A176E"/>
    <w:rsid w:val="002A17CD"/>
    <w:rsid w:val="002A18DC"/>
    <w:rsid w:val="002A1928"/>
    <w:rsid w:val="002A1937"/>
    <w:rsid w:val="002A1992"/>
    <w:rsid w:val="002A1A64"/>
    <w:rsid w:val="002A1A7C"/>
    <w:rsid w:val="002A1AD1"/>
    <w:rsid w:val="002A1C6E"/>
    <w:rsid w:val="002A1D03"/>
    <w:rsid w:val="002A1D2F"/>
    <w:rsid w:val="002A1D3E"/>
    <w:rsid w:val="002A1DFE"/>
    <w:rsid w:val="002A1EA1"/>
    <w:rsid w:val="002A1F1F"/>
    <w:rsid w:val="002A1F2C"/>
    <w:rsid w:val="002A1FBE"/>
    <w:rsid w:val="002A2077"/>
    <w:rsid w:val="002A2127"/>
    <w:rsid w:val="002A216B"/>
    <w:rsid w:val="002A21B5"/>
    <w:rsid w:val="002A2247"/>
    <w:rsid w:val="002A2291"/>
    <w:rsid w:val="002A22F9"/>
    <w:rsid w:val="002A23EF"/>
    <w:rsid w:val="002A23FA"/>
    <w:rsid w:val="002A2446"/>
    <w:rsid w:val="002A2631"/>
    <w:rsid w:val="002A263F"/>
    <w:rsid w:val="002A264A"/>
    <w:rsid w:val="002A2668"/>
    <w:rsid w:val="002A26E3"/>
    <w:rsid w:val="002A27DB"/>
    <w:rsid w:val="002A2892"/>
    <w:rsid w:val="002A2939"/>
    <w:rsid w:val="002A2997"/>
    <w:rsid w:val="002A29D9"/>
    <w:rsid w:val="002A2A0C"/>
    <w:rsid w:val="002A2A4B"/>
    <w:rsid w:val="002A2A7F"/>
    <w:rsid w:val="002A2BB6"/>
    <w:rsid w:val="002A2C53"/>
    <w:rsid w:val="002A2CCC"/>
    <w:rsid w:val="002A2CE8"/>
    <w:rsid w:val="002A2D46"/>
    <w:rsid w:val="002A2D87"/>
    <w:rsid w:val="002A2DE0"/>
    <w:rsid w:val="002A2E92"/>
    <w:rsid w:val="002A30E0"/>
    <w:rsid w:val="002A310C"/>
    <w:rsid w:val="002A3441"/>
    <w:rsid w:val="002A3448"/>
    <w:rsid w:val="002A3521"/>
    <w:rsid w:val="002A35C5"/>
    <w:rsid w:val="002A3603"/>
    <w:rsid w:val="002A363D"/>
    <w:rsid w:val="002A3654"/>
    <w:rsid w:val="002A366E"/>
    <w:rsid w:val="002A3797"/>
    <w:rsid w:val="002A37D3"/>
    <w:rsid w:val="002A37E1"/>
    <w:rsid w:val="002A380E"/>
    <w:rsid w:val="002A3882"/>
    <w:rsid w:val="002A397E"/>
    <w:rsid w:val="002A39F0"/>
    <w:rsid w:val="002A3A61"/>
    <w:rsid w:val="002A3B38"/>
    <w:rsid w:val="002A3B4C"/>
    <w:rsid w:val="002A3B61"/>
    <w:rsid w:val="002A3B62"/>
    <w:rsid w:val="002A3B97"/>
    <w:rsid w:val="002A3BFB"/>
    <w:rsid w:val="002A3C5C"/>
    <w:rsid w:val="002A3D1C"/>
    <w:rsid w:val="002A3D22"/>
    <w:rsid w:val="002A3DA3"/>
    <w:rsid w:val="002A3DFC"/>
    <w:rsid w:val="002A3EB0"/>
    <w:rsid w:val="002A3EB9"/>
    <w:rsid w:val="002A3F87"/>
    <w:rsid w:val="002A3FC8"/>
    <w:rsid w:val="002A3FDE"/>
    <w:rsid w:val="002A402A"/>
    <w:rsid w:val="002A4036"/>
    <w:rsid w:val="002A407C"/>
    <w:rsid w:val="002A40C4"/>
    <w:rsid w:val="002A4107"/>
    <w:rsid w:val="002A4134"/>
    <w:rsid w:val="002A41D7"/>
    <w:rsid w:val="002A4418"/>
    <w:rsid w:val="002A4450"/>
    <w:rsid w:val="002A4554"/>
    <w:rsid w:val="002A45AA"/>
    <w:rsid w:val="002A47CA"/>
    <w:rsid w:val="002A47E7"/>
    <w:rsid w:val="002A4878"/>
    <w:rsid w:val="002A4939"/>
    <w:rsid w:val="002A49BE"/>
    <w:rsid w:val="002A49C7"/>
    <w:rsid w:val="002A49F0"/>
    <w:rsid w:val="002A4AA0"/>
    <w:rsid w:val="002A4AB0"/>
    <w:rsid w:val="002A4AB8"/>
    <w:rsid w:val="002A4B0B"/>
    <w:rsid w:val="002A4B6F"/>
    <w:rsid w:val="002A4BE7"/>
    <w:rsid w:val="002A4DA5"/>
    <w:rsid w:val="002A4E8B"/>
    <w:rsid w:val="002A4F38"/>
    <w:rsid w:val="002A4FD7"/>
    <w:rsid w:val="002A4FFF"/>
    <w:rsid w:val="002A504A"/>
    <w:rsid w:val="002A50D3"/>
    <w:rsid w:val="002A50F1"/>
    <w:rsid w:val="002A533C"/>
    <w:rsid w:val="002A539F"/>
    <w:rsid w:val="002A53C5"/>
    <w:rsid w:val="002A5467"/>
    <w:rsid w:val="002A5503"/>
    <w:rsid w:val="002A5574"/>
    <w:rsid w:val="002A55A7"/>
    <w:rsid w:val="002A561D"/>
    <w:rsid w:val="002A56CD"/>
    <w:rsid w:val="002A56E1"/>
    <w:rsid w:val="002A5753"/>
    <w:rsid w:val="002A57BF"/>
    <w:rsid w:val="002A580F"/>
    <w:rsid w:val="002A5846"/>
    <w:rsid w:val="002A58F4"/>
    <w:rsid w:val="002A5968"/>
    <w:rsid w:val="002A59BD"/>
    <w:rsid w:val="002A5A2B"/>
    <w:rsid w:val="002A5ACC"/>
    <w:rsid w:val="002A5B0A"/>
    <w:rsid w:val="002A5B0D"/>
    <w:rsid w:val="002A5B89"/>
    <w:rsid w:val="002A5B98"/>
    <w:rsid w:val="002A5CDD"/>
    <w:rsid w:val="002A5E83"/>
    <w:rsid w:val="002A5EC6"/>
    <w:rsid w:val="002A5FD6"/>
    <w:rsid w:val="002A6033"/>
    <w:rsid w:val="002A60DE"/>
    <w:rsid w:val="002A6157"/>
    <w:rsid w:val="002A6158"/>
    <w:rsid w:val="002A616C"/>
    <w:rsid w:val="002A61F4"/>
    <w:rsid w:val="002A6223"/>
    <w:rsid w:val="002A62C1"/>
    <w:rsid w:val="002A6348"/>
    <w:rsid w:val="002A6375"/>
    <w:rsid w:val="002A6425"/>
    <w:rsid w:val="002A647A"/>
    <w:rsid w:val="002A647D"/>
    <w:rsid w:val="002A650F"/>
    <w:rsid w:val="002A658D"/>
    <w:rsid w:val="002A65B5"/>
    <w:rsid w:val="002A6621"/>
    <w:rsid w:val="002A6644"/>
    <w:rsid w:val="002A6658"/>
    <w:rsid w:val="002A68AA"/>
    <w:rsid w:val="002A68AD"/>
    <w:rsid w:val="002A68D6"/>
    <w:rsid w:val="002A6968"/>
    <w:rsid w:val="002A69A5"/>
    <w:rsid w:val="002A6A14"/>
    <w:rsid w:val="002A6A2B"/>
    <w:rsid w:val="002A6B15"/>
    <w:rsid w:val="002A6B6A"/>
    <w:rsid w:val="002A6B96"/>
    <w:rsid w:val="002A6BD2"/>
    <w:rsid w:val="002A6C3F"/>
    <w:rsid w:val="002A6D1D"/>
    <w:rsid w:val="002A6D4E"/>
    <w:rsid w:val="002A6DF7"/>
    <w:rsid w:val="002A6E8C"/>
    <w:rsid w:val="002A6F31"/>
    <w:rsid w:val="002A6F71"/>
    <w:rsid w:val="002A6F90"/>
    <w:rsid w:val="002A6FE3"/>
    <w:rsid w:val="002A704E"/>
    <w:rsid w:val="002A70EA"/>
    <w:rsid w:val="002A710D"/>
    <w:rsid w:val="002A7168"/>
    <w:rsid w:val="002A7187"/>
    <w:rsid w:val="002A7199"/>
    <w:rsid w:val="002A7255"/>
    <w:rsid w:val="002A7437"/>
    <w:rsid w:val="002A74FD"/>
    <w:rsid w:val="002A7568"/>
    <w:rsid w:val="002A7576"/>
    <w:rsid w:val="002A75CA"/>
    <w:rsid w:val="002A75D2"/>
    <w:rsid w:val="002A7630"/>
    <w:rsid w:val="002A76AA"/>
    <w:rsid w:val="002A76D5"/>
    <w:rsid w:val="002A77CB"/>
    <w:rsid w:val="002A7889"/>
    <w:rsid w:val="002A799A"/>
    <w:rsid w:val="002A79FB"/>
    <w:rsid w:val="002A7A93"/>
    <w:rsid w:val="002A7B37"/>
    <w:rsid w:val="002A7B53"/>
    <w:rsid w:val="002A7B77"/>
    <w:rsid w:val="002A7BC1"/>
    <w:rsid w:val="002A7BDE"/>
    <w:rsid w:val="002A7C26"/>
    <w:rsid w:val="002A7CB3"/>
    <w:rsid w:val="002A7DAE"/>
    <w:rsid w:val="002A7DB9"/>
    <w:rsid w:val="002A7EFC"/>
    <w:rsid w:val="002A7F66"/>
    <w:rsid w:val="002B0052"/>
    <w:rsid w:val="002B00D5"/>
    <w:rsid w:val="002B0136"/>
    <w:rsid w:val="002B0177"/>
    <w:rsid w:val="002B028A"/>
    <w:rsid w:val="002B0309"/>
    <w:rsid w:val="002B03BB"/>
    <w:rsid w:val="002B0415"/>
    <w:rsid w:val="002B0533"/>
    <w:rsid w:val="002B075B"/>
    <w:rsid w:val="002B07AF"/>
    <w:rsid w:val="002B07D7"/>
    <w:rsid w:val="002B0867"/>
    <w:rsid w:val="002B0871"/>
    <w:rsid w:val="002B097D"/>
    <w:rsid w:val="002B0A44"/>
    <w:rsid w:val="002B0ACD"/>
    <w:rsid w:val="002B0AE6"/>
    <w:rsid w:val="002B0AF0"/>
    <w:rsid w:val="002B0D39"/>
    <w:rsid w:val="002B0D63"/>
    <w:rsid w:val="002B0E0E"/>
    <w:rsid w:val="002B0E89"/>
    <w:rsid w:val="002B0F0B"/>
    <w:rsid w:val="002B0F53"/>
    <w:rsid w:val="002B0F55"/>
    <w:rsid w:val="002B0FC6"/>
    <w:rsid w:val="002B102F"/>
    <w:rsid w:val="002B1051"/>
    <w:rsid w:val="002B11B2"/>
    <w:rsid w:val="002B1247"/>
    <w:rsid w:val="002B12A5"/>
    <w:rsid w:val="002B132A"/>
    <w:rsid w:val="002B13DF"/>
    <w:rsid w:val="002B1763"/>
    <w:rsid w:val="002B1891"/>
    <w:rsid w:val="002B18F7"/>
    <w:rsid w:val="002B18FA"/>
    <w:rsid w:val="002B1993"/>
    <w:rsid w:val="002B1AB8"/>
    <w:rsid w:val="002B1CE7"/>
    <w:rsid w:val="002B1DFA"/>
    <w:rsid w:val="002B1E14"/>
    <w:rsid w:val="002B1E69"/>
    <w:rsid w:val="002B1ECD"/>
    <w:rsid w:val="002B1F25"/>
    <w:rsid w:val="002B1FB4"/>
    <w:rsid w:val="002B2004"/>
    <w:rsid w:val="002B201B"/>
    <w:rsid w:val="002B207D"/>
    <w:rsid w:val="002B2145"/>
    <w:rsid w:val="002B219B"/>
    <w:rsid w:val="002B21B7"/>
    <w:rsid w:val="002B2286"/>
    <w:rsid w:val="002B22F4"/>
    <w:rsid w:val="002B24A9"/>
    <w:rsid w:val="002B250D"/>
    <w:rsid w:val="002B2620"/>
    <w:rsid w:val="002B2621"/>
    <w:rsid w:val="002B2715"/>
    <w:rsid w:val="002B27BF"/>
    <w:rsid w:val="002B2893"/>
    <w:rsid w:val="002B28EE"/>
    <w:rsid w:val="002B2945"/>
    <w:rsid w:val="002B2957"/>
    <w:rsid w:val="002B2998"/>
    <w:rsid w:val="002B29EC"/>
    <w:rsid w:val="002B2A96"/>
    <w:rsid w:val="002B2B23"/>
    <w:rsid w:val="002B2BAC"/>
    <w:rsid w:val="002B2C4C"/>
    <w:rsid w:val="002B2CB4"/>
    <w:rsid w:val="002B2DBB"/>
    <w:rsid w:val="002B2E6B"/>
    <w:rsid w:val="002B2F56"/>
    <w:rsid w:val="002B30B7"/>
    <w:rsid w:val="002B30CD"/>
    <w:rsid w:val="002B318C"/>
    <w:rsid w:val="002B319D"/>
    <w:rsid w:val="002B322C"/>
    <w:rsid w:val="002B323C"/>
    <w:rsid w:val="002B3246"/>
    <w:rsid w:val="002B32F1"/>
    <w:rsid w:val="002B336A"/>
    <w:rsid w:val="002B3399"/>
    <w:rsid w:val="002B339D"/>
    <w:rsid w:val="002B33D8"/>
    <w:rsid w:val="002B3451"/>
    <w:rsid w:val="002B349C"/>
    <w:rsid w:val="002B34C1"/>
    <w:rsid w:val="002B34C2"/>
    <w:rsid w:val="002B34C8"/>
    <w:rsid w:val="002B353D"/>
    <w:rsid w:val="002B362F"/>
    <w:rsid w:val="002B3668"/>
    <w:rsid w:val="002B373F"/>
    <w:rsid w:val="002B3807"/>
    <w:rsid w:val="002B387A"/>
    <w:rsid w:val="002B38D5"/>
    <w:rsid w:val="002B3953"/>
    <w:rsid w:val="002B39A4"/>
    <w:rsid w:val="002B39E9"/>
    <w:rsid w:val="002B3A31"/>
    <w:rsid w:val="002B3B5E"/>
    <w:rsid w:val="002B3C0B"/>
    <w:rsid w:val="002B3C18"/>
    <w:rsid w:val="002B3CA4"/>
    <w:rsid w:val="002B3E7C"/>
    <w:rsid w:val="002B3ED7"/>
    <w:rsid w:val="002B3F31"/>
    <w:rsid w:val="002B3FA4"/>
    <w:rsid w:val="002B4006"/>
    <w:rsid w:val="002B40B2"/>
    <w:rsid w:val="002B410D"/>
    <w:rsid w:val="002B42F9"/>
    <w:rsid w:val="002B4341"/>
    <w:rsid w:val="002B43B0"/>
    <w:rsid w:val="002B43D8"/>
    <w:rsid w:val="002B4413"/>
    <w:rsid w:val="002B44C7"/>
    <w:rsid w:val="002B45B0"/>
    <w:rsid w:val="002B4606"/>
    <w:rsid w:val="002B4665"/>
    <w:rsid w:val="002B4721"/>
    <w:rsid w:val="002B4778"/>
    <w:rsid w:val="002B483C"/>
    <w:rsid w:val="002B4914"/>
    <w:rsid w:val="002B49A6"/>
    <w:rsid w:val="002B49DD"/>
    <w:rsid w:val="002B4A49"/>
    <w:rsid w:val="002B4B4A"/>
    <w:rsid w:val="002B4BAD"/>
    <w:rsid w:val="002B4CE0"/>
    <w:rsid w:val="002B4D63"/>
    <w:rsid w:val="002B4DF8"/>
    <w:rsid w:val="002B4F09"/>
    <w:rsid w:val="002B4F0C"/>
    <w:rsid w:val="002B4F62"/>
    <w:rsid w:val="002B4F79"/>
    <w:rsid w:val="002B50E6"/>
    <w:rsid w:val="002B5180"/>
    <w:rsid w:val="002B5217"/>
    <w:rsid w:val="002B5234"/>
    <w:rsid w:val="002B5254"/>
    <w:rsid w:val="002B5312"/>
    <w:rsid w:val="002B532D"/>
    <w:rsid w:val="002B5339"/>
    <w:rsid w:val="002B53BC"/>
    <w:rsid w:val="002B547D"/>
    <w:rsid w:val="002B5663"/>
    <w:rsid w:val="002B567A"/>
    <w:rsid w:val="002B56C4"/>
    <w:rsid w:val="002B58B1"/>
    <w:rsid w:val="002B58DF"/>
    <w:rsid w:val="002B5908"/>
    <w:rsid w:val="002B5921"/>
    <w:rsid w:val="002B5966"/>
    <w:rsid w:val="002B5A96"/>
    <w:rsid w:val="002B5C4B"/>
    <w:rsid w:val="002B5C5A"/>
    <w:rsid w:val="002B5D59"/>
    <w:rsid w:val="002B5E31"/>
    <w:rsid w:val="002B5EAB"/>
    <w:rsid w:val="002B5EC1"/>
    <w:rsid w:val="002B5ECC"/>
    <w:rsid w:val="002B5EF3"/>
    <w:rsid w:val="002B5F34"/>
    <w:rsid w:val="002B5F65"/>
    <w:rsid w:val="002B6082"/>
    <w:rsid w:val="002B60D4"/>
    <w:rsid w:val="002B6115"/>
    <w:rsid w:val="002B6124"/>
    <w:rsid w:val="002B61C4"/>
    <w:rsid w:val="002B6246"/>
    <w:rsid w:val="002B62B8"/>
    <w:rsid w:val="002B648D"/>
    <w:rsid w:val="002B6495"/>
    <w:rsid w:val="002B65B5"/>
    <w:rsid w:val="002B6611"/>
    <w:rsid w:val="002B6706"/>
    <w:rsid w:val="002B687D"/>
    <w:rsid w:val="002B68BF"/>
    <w:rsid w:val="002B6908"/>
    <w:rsid w:val="002B693F"/>
    <w:rsid w:val="002B695D"/>
    <w:rsid w:val="002B6B43"/>
    <w:rsid w:val="002B6BA5"/>
    <w:rsid w:val="002B6C7E"/>
    <w:rsid w:val="002B6C8A"/>
    <w:rsid w:val="002B6D7D"/>
    <w:rsid w:val="002B6DBE"/>
    <w:rsid w:val="002B6DC7"/>
    <w:rsid w:val="002B6E02"/>
    <w:rsid w:val="002B6EDC"/>
    <w:rsid w:val="002B6EEA"/>
    <w:rsid w:val="002B6FA2"/>
    <w:rsid w:val="002B6FF9"/>
    <w:rsid w:val="002B715A"/>
    <w:rsid w:val="002B71AB"/>
    <w:rsid w:val="002B7270"/>
    <w:rsid w:val="002B7280"/>
    <w:rsid w:val="002B72F6"/>
    <w:rsid w:val="002B73F6"/>
    <w:rsid w:val="002B746D"/>
    <w:rsid w:val="002B74ED"/>
    <w:rsid w:val="002B75B2"/>
    <w:rsid w:val="002B7650"/>
    <w:rsid w:val="002B767E"/>
    <w:rsid w:val="002B77FE"/>
    <w:rsid w:val="002B78E1"/>
    <w:rsid w:val="002B7954"/>
    <w:rsid w:val="002B798B"/>
    <w:rsid w:val="002B79B7"/>
    <w:rsid w:val="002B7A41"/>
    <w:rsid w:val="002B7B3D"/>
    <w:rsid w:val="002B7B4F"/>
    <w:rsid w:val="002B7BBE"/>
    <w:rsid w:val="002B7C67"/>
    <w:rsid w:val="002B7CB3"/>
    <w:rsid w:val="002B7CE1"/>
    <w:rsid w:val="002B7DD2"/>
    <w:rsid w:val="002B7E01"/>
    <w:rsid w:val="002B7E66"/>
    <w:rsid w:val="002B7F24"/>
    <w:rsid w:val="002B7F61"/>
    <w:rsid w:val="002B7F84"/>
    <w:rsid w:val="002B7FF5"/>
    <w:rsid w:val="002C0030"/>
    <w:rsid w:val="002C009A"/>
    <w:rsid w:val="002C0103"/>
    <w:rsid w:val="002C0296"/>
    <w:rsid w:val="002C0348"/>
    <w:rsid w:val="002C037D"/>
    <w:rsid w:val="002C03BE"/>
    <w:rsid w:val="002C0411"/>
    <w:rsid w:val="002C0538"/>
    <w:rsid w:val="002C0658"/>
    <w:rsid w:val="002C0800"/>
    <w:rsid w:val="002C08D4"/>
    <w:rsid w:val="002C08F6"/>
    <w:rsid w:val="002C0948"/>
    <w:rsid w:val="002C09B9"/>
    <w:rsid w:val="002C09E5"/>
    <w:rsid w:val="002C0A8E"/>
    <w:rsid w:val="002C0ABE"/>
    <w:rsid w:val="002C0AD0"/>
    <w:rsid w:val="002C0B41"/>
    <w:rsid w:val="002C0C7C"/>
    <w:rsid w:val="002C0C9A"/>
    <w:rsid w:val="002C0D0F"/>
    <w:rsid w:val="002C0E2E"/>
    <w:rsid w:val="002C0E77"/>
    <w:rsid w:val="002C0F7F"/>
    <w:rsid w:val="002C0FEF"/>
    <w:rsid w:val="002C109D"/>
    <w:rsid w:val="002C10C1"/>
    <w:rsid w:val="002C11AD"/>
    <w:rsid w:val="002C120C"/>
    <w:rsid w:val="002C1254"/>
    <w:rsid w:val="002C1328"/>
    <w:rsid w:val="002C1345"/>
    <w:rsid w:val="002C134E"/>
    <w:rsid w:val="002C141D"/>
    <w:rsid w:val="002C155D"/>
    <w:rsid w:val="002C1632"/>
    <w:rsid w:val="002C1662"/>
    <w:rsid w:val="002C16E3"/>
    <w:rsid w:val="002C172F"/>
    <w:rsid w:val="002C1795"/>
    <w:rsid w:val="002C17EB"/>
    <w:rsid w:val="002C18A0"/>
    <w:rsid w:val="002C19C0"/>
    <w:rsid w:val="002C1A15"/>
    <w:rsid w:val="002C1AC0"/>
    <w:rsid w:val="002C1B0A"/>
    <w:rsid w:val="002C1C27"/>
    <w:rsid w:val="002C1C68"/>
    <w:rsid w:val="002C1CA5"/>
    <w:rsid w:val="002C1D22"/>
    <w:rsid w:val="002C1D49"/>
    <w:rsid w:val="002C1E13"/>
    <w:rsid w:val="002C1E7A"/>
    <w:rsid w:val="002C1F8A"/>
    <w:rsid w:val="002C1FB7"/>
    <w:rsid w:val="002C20D6"/>
    <w:rsid w:val="002C21A3"/>
    <w:rsid w:val="002C2263"/>
    <w:rsid w:val="002C2307"/>
    <w:rsid w:val="002C2430"/>
    <w:rsid w:val="002C2446"/>
    <w:rsid w:val="002C2460"/>
    <w:rsid w:val="002C2469"/>
    <w:rsid w:val="002C2485"/>
    <w:rsid w:val="002C2533"/>
    <w:rsid w:val="002C2553"/>
    <w:rsid w:val="002C25AF"/>
    <w:rsid w:val="002C25E0"/>
    <w:rsid w:val="002C2714"/>
    <w:rsid w:val="002C2843"/>
    <w:rsid w:val="002C28C3"/>
    <w:rsid w:val="002C28FB"/>
    <w:rsid w:val="002C29B7"/>
    <w:rsid w:val="002C29BB"/>
    <w:rsid w:val="002C29CA"/>
    <w:rsid w:val="002C29DE"/>
    <w:rsid w:val="002C2A2D"/>
    <w:rsid w:val="002C2A86"/>
    <w:rsid w:val="002C2B02"/>
    <w:rsid w:val="002C2B05"/>
    <w:rsid w:val="002C2B16"/>
    <w:rsid w:val="002C2C9B"/>
    <w:rsid w:val="002C2CFE"/>
    <w:rsid w:val="002C2D55"/>
    <w:rsid w:val="002C2DB6"/>
    <w:rsid w:val="002C2E72"/>
    <w:rsid w:val="002C2F11"/>
    <w:rsid w:val="002C2F76"/>
    <w:rsid w:val="002C2F9A"/>
    <w:rsid w:val="002C2FC7"/>
    <w:rsid w:val="002C30D1"/>
    <w:rsid w:val="002C31BB"/>
    <w:rsid w:val="002C31E4"/>
    <w:rsid w:val="002C329C"/>
    <w:rsid w:val="002C32ED"/>
    <w:rsid w:val="002C3412"/>
    <w:rsid w:val="002C34C6"/>
    <w:rsid w:val="002C36C0"/>
    <w:rsid w:val="002C36C8"/>
    <w:rsid w:val="002C3754"/>
    <w:rsid w:val="002C378D"/>
    <w:rsid w:val="002C3790"/>
    <w:rsid w:val="002C3811"/>
    <w:rsid w:val="002C3928"/>
    <w:rsid w:val="002C3B33"/>
    <w:rsid w:val="002C3BE9"/>
    <w:rsid w:val="002C3C00"/>
    <w:rsid w:val="002C3C3A"/>
    <w:rsid w:val="002C3D11"/>
    <w:rsid w:val="002C3E7E"/>
    <w:rsid w:val="002C3F14"/>
    <w:rsid w:val="002C3FA8"/>
    <w:rsid w:val="002C4082"/>
    <w:rsid w:val="002C4083"/>
    <w:rsid w:val="002C41F2"/>
    <w:rsid w:val="002C420F"/>
    <w:rsid w:val="002C4266"/>
    <w:rsid w:val="002C426C"/>
    <w:rsid w:val="002C42AB"/>
    <w:rsid w:val="002C435E"/>
    <w:rsid w:val="002C4391"/>
    <w:rsid w:val="002C43BB"/>
    <w:rsid w:val="002C44AB"/>
    <w:rsid w:val="002C457B"/>
    <w:rsid w:val="002C45D1"/>
    <w:rsid w:val="002C467E"/>
    <w:rsid w:val="002C4706"/>
    <w:rsid w:val="002C470E"/>
    <w:rsid w:val="002C4795"/>
    <w:rsid w:val="002C4875"/>
    <w:rsid w:val="002C48F9"/>
    <w:rsid w:val="002C4904"/>
    <w:rsid w:val="002C4949"/>
    <w:rsid w:val="002C496F"/>
    <w:rsid w:val="002C4A30"/>
    <w:rsid w:val="002C4A41"/>
    <w:rsid w:val="002C4A84"/>
    <w:rsid w:val="002C4AD8"/>
    <w:rsid w:val="002C4BE5"/>
    <w:rsid w:val="002C4C2D"/>
    <w:rsid w:val="002C4C4A"/>
    <w:rsid w:val="002C4E4A"/>
    <w:rsid w:val="002C4E8B"/>
    <w:rsid w:val="002C4F72"/>
    <w:rsid w:val="002C4FF1"/>
    <w:rsid w:val="002C51A3"/>
    <w:rsid w:val="002C5218"/>
    <w:rsid w:val="002C5299"/>
    <w:rsid w:val="002C5348"/>
    <w:rsid w:val="002C5356"/>
    <w:rsid w:val="002C53AC"/>
    <w:rsid w:val="002C53DD"/>
    <w:rsid w:val="002C53E5"/>
    <w:rsid w:val="002C5635"/>
    <w:rsid w:val="002C5858"/>
    <w:rsid w:val="002C58B7"/>
    <w:rsid w:val="002C590E"/>
    <w:rsid w:val="002C5970"/>
    <w:rsid w:val="002C5999"/>
    <w:rsid w:val="002C59A5"/>
    <w:rsid w:val="002C5B6C"/>
    <w:rsid w:val="002C5CED"/>
    <w:rsid w:val="002C5CFC"/>
    <w:rsid w:val="002C5D29"/>
    <w:rsid w:val="002C5DF6"/>
    <w:rsid w:val="002C5E39"/>
    <w:rsid w:val="002C5E65"/>
    <w:rsid w:val="002C5E7B"/>
    <w:rsid w:val="002C5EEC"/>
    <w:rsid w:val="002C5F4D"/>
    <w:rsid w:val="002C5FA2"/>
    <w:rsid w:val="002C5FD4"/>
    <w:rsid w:val="002C6004"/>
    <w:rsid w:val="002C6008"/>
    <w:rsid w:val="002C6032"/>
    <w:rsid w:val="002C60B7"/>
    <w:rsid w:val="002C60CB"/>
    <w:rsid w:val="002C6100"/>
    <w:rsid w:val="002C6148"/>
    <w:rsid w:val="002C6274"/>
    <w:rsid w:val="002C62D7"/>
    <w:rsid w:val="002C6432"/>
    <w:rsid w:val="002C64EF"/>
    <w:rsid w:val="002C64FA"/>
    <w:rsid w:val="002C6579"/>
    <w:rsid w:val="002C65A1"/>
    <w:rsid w:val="002C666C"/>
    <w:rsid w:val="002C668A"/>
    <w:rsid w:val="002C66D3"/>
    <w:rsid w:val="002C66FC"/>
    <w:rsid w:val="002C6703"/>
    <w:rsid w:val="002C681A"/>
    <w:rsid w:val="002C68D3"/>
    <w:rsid w:val="002C6906"/>
    <w:rsid w:val="002C692C"/>
    <w:rsid w:val="002C693E"/>
    <w:rsid w:val="002C69ED"/>
    <w:rsid w:val="002C6B94"/>
    <w:rsid w:val="002C6C84"/>
    <w:rsid w:val="002C6CD1"/>
    <w:rsid w:val="002C6D2E"/>
    <w:rsid w:val="002C6DB2"/>
    <w:rsid w:val="002C6E1A"/>
    <w:rsid w:val="002C6EBA"/>
    <w:rsid w:val="002C6EF6"/>
    <w:rsid w:val="002C6F46"/>
    <w:rsid w:val="002C6F4F"/>
    <w:rsid w:val="002C6FA7"/>
    <w:rsid w:val="002C6FE2"/>
    <w:rsid w:val="002C6FFF"/>
    <w:rsid w:val="002C70DA"/>
    <w:rsid w:val="002C717C"/>
    <w:rsid w:val="002C721A"/>
    <w:rsid w:val="002C7225"/>
    <w:rsid w:val="002C7239"/>
    <w:rsid w:val="002C725F"/>
    <w:rsid w:val="002C7269"/>
    <w:rsid w:val="002C72E3"/>
    <w:rsid w:val="002C7351"/>
    <w:rsid w:val="002C74D0"/>
    <w:rsid w:val="002C751D"/>
    <w:rsid w:val="002C753C"/>
    <w:rsid w:val="002C754A"/>
    <w:rsid w:val="002C7677"/>
    <w:rsid w:val="002C76D6"/>
    <w:rsid w:val="002C775E"/>
    <w:rsid w:val="002C77CC"/>
    <w:rsid w:val="002C77D2"/>
    <w:rsid w:val="002C77FB"/>
    <w:rsid w:val="002C7822"/>
    <w:rsid w:val="002C7827"/>
    <w:rsid w:val="002C7890"/>
    <w:rsid w:val="002C78C6"/>
    <w:rsid w:val="002C793B"/>
    <w:rsid w:val="002C7A02"/>
    <w:rsid w:val="002C7A78"/>
    <w:rsid w:val="002C7A7B"/>
    <w:rsid w:val="002C7B85"/>
    <w:rsid w:val="002C7BD4"/>
    <w:rsid w:val="002C7BD7"/>
    <w:rsid w:val="002C7C81"/>
    <w:rsid w:val="002C7D26"/>
    <w:rsid w:val="002C7D44"/>
    <w:rsid w:val="002C7E14"/>
    <w:rsid w:val="002C7E47"/>
    <w:rsid w:val="002C7EB5"/>
    <w:rsid w:val="002C7F25"/>
    <w:rsid w:val="002C7F51"/>
    <w:rsid w:val="002D0107"/>
    <w:rsid w:val="002D019B"/>
    <w:rsid w:val="002D0515"/>
    <w:rsid w:val="002D0599"/>
    <w:rsid w:val="002D05D9"/>
    <w:rsid w:val="002D062E"/>
    <w:rsid w:val="002D064F"/>
    <w:rsid w:val="002D067C"/>
    <w:rsid w:val="002D06FA"/>
    <w:rsid w:val="002D078D"/>
    <w:rsid w:val="002D079C"/>
    <w:rsid w:val="002D086E"/>
    <w:rsid w:val="002D0951"/>
    <w:rsid w:val="002D09FA"/>
    <w:rsid w:val="002D09FF"/>
    <w:rsid w:val="002D0A94"/>
    <w:rsid w:val="002D0AF6"/>
    <w:rsid w:val="002D0AFC"/>
    <w:rsid w:val="002D0B6F"/>
    <w:rsid w:val="002D0BB8"/>
    <w:rsid w:val="002D0C61"/>
    <w:rsid w:val="002D0C7C"/>
    <w:rsid w:val="002D0D1B"/>
    <w:rsid w:val="002D0D2B"/>
    <w:rsid w:val="002D0D43"/>
    <w:rsid w:val="002D0DAA"/>
    <w:rsid w:val="002D0DF0"/>
    <w:rsid w:val="002D0E20"/>
    <w:rsid w:val="002D0E54"/>
    <w:rsid w:val="002D0E86"/>
    <w:rsid w:val="002D0F30"/>
    <w:rsid w:val="002D0F7D"/>
    <w:rsid w:val="002D0FA2"/>
    <w:rsid w:val="002D0FF1"/>
    <w:rsid w:val="002D1014"/>
    <w:rsid w:val="002D105D"/>
    <w:rsid w:val="002D1251"/>
    <w:rsid w:val="002D125F"/>
    <w:rsid w:val="002D12F3"/>
    <w:rsid w:val="002D12FA"/>
    <w:rsid w:val="002D1347"/>
    <w:rsid w:val="002D136B"/>
    <w:rsid w:val="002D1374"/>
    <w:rsid w:val="002D14EB"/>
    <w:rsid w:val="002D156D"/>
    <w:rsid w:val="002D15C2"/>
    <w:rsid w:val="002D175A"/>
    <w:rsid w:val="002D17AD"/>
    <w:rsid w:val="002D17B3"/>
    <w:rsid w:val="002D1887"/>
    <w:rsid w:val="002D18C7"/>
    <w:rsid w:val="002D1B76"/>
    <w:rsid w:val="002D1C4C"/>
    <w:rsid w:val="002D1CCE"/>
    <w:rsid w:val="002D1CD0"/>
    <w:rsid w:val="002D1D6B"/>
    <w:rsid w:val="002D1E21"/>
    <w:rsid w:val="002D1E2C"/>
    <w:rsid w:val="002D1E63"/>
    <w:rsid w:val="002D1F7B"/>
    <w:rsid w:val="002D210D"/>
    <w:rsid w:val="002D2181"/>
    <w:rsid w:val="002D2351"/>
    <w:rsid w:val="002D2362"/>
    <w:rsid w:val="002D2370"/>
    <w:rsid w:val="002D23DB"/>
    <w:rsid w:val="002D23EB"/>
    <w:rsid w:val="002D2435"/>
    <w:rsid w:val="002D25A4"/>
    <w:rsid w:val="002D26C7"/>
    <w:rsid w:val="002D279E"/>
    <w:rsid w:val="002D281A"/>
    <w:rsid w:val="002D2837"/>
    <w:rsid w:val="002D2991"/>
    <w:rsid w:val="002D29A0"/>
    <w:rsid w:val="002D29D2"/>
    <w:rsid w:val="002D29FA"/>
    <w:rsid w:val="002D2A40"/>
    <w:rsid w:val="002D2A88"/>
    <w:rsid w:val="002D2B04"/>
    <w:rsid w:val="002D2B10"/>
    <w:rsid w:val="002D2B56"/>
    <w:rsid w:val="002D2BE4"/>
    <w:rsid w:val="002D2C66"/>
    <w:rsid w:val="002D2C7B"/>
    <w:rsid w:val="002D2D5D"/>
    <w:rsid w:val="002D2DAF"/>
    <w:rsid w:val="002D2E3A"/>
    <w:rsid w:val="002D3024"/>
    <w:rsid w:val="002D30C6"/>
    <w:rsid w:val="002D30CB"/>
    <w:rsid w:val="002D30E1"/>
    <w:rsid w:val="002D30FD"/>
    <w:rsid w:val="002D3108"/>
    <w:rsid w:val="002D31D8"/>
    <w:rsid w:val="002D329D"/>
    <w:rsid w:val="002D33CF"/>
    <w:rsid w:val="002D351D"/>
    <w:rsid w:val="002D3577"/>
    <w:rsid w:val="002D357F"/>
    <w:rsid w:val="002D36A3"/>
    <w:rsid w:val="002D3712"/>
    <w:rsid w:val="002D3858"/>
    <w:rsid w:val="002D386A"/>
    <w:rsid w:val="002D38A0"/>
    <w:rsid w:val="002D3A63"/>
    <w:rsid w:val="002D3B62"/>
    <w:rsid w:val="002D3C0D"/>
    <w:rsid w:val="002D3D6A"/>
    <w:rsid w:val="002D3D91"/>
    <w:rsid w:val="002D3E0C"/>
    <w:rsid w:val="002D3E35"/>
    <w:rsid w:val="002D3E8B"/>
    <w:rsid w:val="002D3F59"/>
    <w:rsid w:val="002D3FB4"/>
    <w:rsid w:val="002D4100"/>
    <w:rsid w:val="002D4148"/>
    <w:rsid w:val="002D4174"/>
    <w:rsid w:val="002D42B8"/>
    <w:rsid w:val="002D4440"/>
    <w:rsid w:val="002D44D4"/>
    <w:rsid w:val="002D44DE"/>
    <w:rsid w:val="002D4597"/>
    <w:rsid w:val="002D4619"/>
    <w:rsid w:val="002D461E"/>
    <w:rsid w:val="002D477F"/>
    <w:rsid w:val="002D481C"/>
    <w:rsid w:val="002D4821"/>
    <w:rsid w:val="002D484A"/>
    <w:rsid w:val="002D48B3"/>
    <w:rsid w:val="002D497F"/>
    <w:rsid w:val="002D4B5C"/>
    <w:rsid w:val="002D4D00"/>
    <w:rsid w:val="002D4E57"/>
    <w:rsid w:val="002D4EE5"/>
    <w:rsid w:val="002D4EF9"/>
    <w:rsid w:val="002D4F15"/>
    <w:rsid w:val="002D4F48"/>
    <w:rsid w:val="002D4F6D"/>
    <w:rsid w:val="002D4F90"/>
    <w:rsid w:val="002D50F5"/>
    <w:rsid w:val="002D5101"/>
    <w:rsid w:val="002D5152"/>
    <w:rsid w:val="002D519B"/>
    <w:rsid w:val="002D51E2"/>
    <w:rsid w:val="002D5217"/>
    <w:rsid w:val="002D5365"/>
    <w:rsid w:val="002D53C4"/>
    <w:rsid w:val="002D54C0"/>
    <w:rsid w:val="002D55E1"/>
    <w:rsid w:val="002D56CB"/>
    <w:rsid w:val="002D57DE"/>
    <w:rsid w:val="002D586B"/>
    <w:rsid w:val="002D589A"/>
    <w:rsid w:val="002D59A0"/>
    <w:rsid w:val="002D59CA"/>
    <w:rsid w:val="002D5A43"/>
    <w:rsid w:val="002D5AED"/>
    <w:rsid w:val="002D5B02"/>
    <w:rsid w:val="002D5B57"/>
    <w:rsid w:val="002D5BEE"/>
    <w:rsid w:val="002D5C45"/>
    <w:rsid w:val="002D5D87"/>
    <w:rsid w:val="002D5DF2"/>
    <w:rsid w:val="002D5FF5"/>
    <w:rsid w:val="002D6039"/>
    <w:rsid w:val="002D6063"/>
    <w:rsid w:val="002D60EF"/>
    <w:rsid w:val="002D621E"/>
    <w:rsid w:val="002D626E"/>
    <w:rsid w:val="002D6286"/>
    <w:rsid w:val="002D629D"/>
    <w:rsid w:val="002D62BB"/>
    <w:rsid w:val="002D62D0"/>
    <w:rsid w:val="002D6352"/>
    <w:rsid w:val="002D63E9"/>
    <w:rsid w:val="002D6405"/>
    <w:rsid w:val="002D6439"/>
    <w:rsid w:val="002D64C6"/>
    <w:rsid w:val="002D6526"/>
    <w:rsid w:val="002D65A9"/>
    <w:rsid w:val="002D65B2"/>
    <w:rsid w:val="002D66A3"/>
    <w:rsid w:val="002D66AC"/>
    <w:rsid w:val="002D66BD"/>
    <w:rsid w:val="002D66DA"/>
    <w:rsid w:val="002D66F6"/>
    <w:rsid w:val="002D6708"/>
    <w:rsid w:val="002D677F"/>
    <w:rsid w:val="002D6788"/>
    <w:rsid w:val="002D6899"/>
    <w:rsid w:val="002D68AF"/>
    <w:rsid w:val="002D6938"/>
    <w:rsid w:val="002D6952"/>
    <w:rsid w:val="002D6953"/>
    <w:rsid w:val="002D69F8"/>
    <w:rsid w:val="002D6B79"/>
    <w:rsid w:val="002D6BFD"/>
    <w:rsid w:val="002D6C43"/>
    <w:rsid w:val="002D6DC4"/>
    <w:rsid w:val="002D6DEE"/>
    <w:rsid w:val="002D6DFD"/>
    <w:rsid w:val="002D6E85"/>
    <w:rsid w:val="002D6F0D"/>
    <w:rsid w:val="002D6F71"/>
    <w:rsid w:val="002D7027"/>
    <w:rsid w:val="002D7049"/>
    <w:rsid w:val="002D706C"/>
    <w:rsid w:val="002D70DC"/>
    <w:rsid w:val="002D718A"/>
    <w:rsid w:val="002D71BF"/>
    <w:rsid w:val="002D72D9"/>
    <w:rsid w:val="002D73AD"/>
    <w:rsid w:val="002D749F"/>
    <w:rsid w:val="002D74CA"/>
    <w:rsid w:val="002D7577"/>
    <w:rsid w:val="002D758B"/>
    <w:rsid w:val="002D7594"/>
    <w:rsid w:val="002D7605"/>
    <w:rsid w:val="002D7625"/>
    <w:rsid w:val="002D7689"/>
    <w:rsid w:val="002D777E"/>
    <w:rsid w:val="002D77D7"/>
    <w:rsid w:val="002D77E8"/>
    <w:rsid w:val="002D78D0"/>
    <w:rsid w:val="002D790F"/>
    <w:rsid w:val="002D791C"/>
    <w:rsid w:val="002D79BC"/>
    <w:rsid w:val="002D7A1C"/>
    <w:rsid w:val="002D7B41"/>
    <w:rsid w:val="002D7B99"/>
    <w:rsid w:val="002D7BEA"/>
    <w:rsid w:val="002D7C56"/>
    <w:rsid w:val="002D7C62"/>
    <w:rsid w:val="002D7CF9"/>
    <w:rsid w:val="002D7DEB"/>
    <w:rsid w:val="002D7DEF"/>
    <w:rsid w:val="002D7E22"/>
    <w:rsid w:val="002D7E51"/>
    <w:rsid w:val="002D7E58"/>
    <w:rsid w:val="002E010B"/>
    <w:rsid w:val="002E0121"/>
    <w:rsid w:val="002E01DE"/>
    <w:rsid w:val="002E025D"/>
    <w:rsid w:val="002E0323"/>
    <w:rsid w:val="002E0388"/>
    <w:rsid w:val="002E03BA"/>
    <w:rsid w:val="002E03D2"/>
    <w:rsid w:val="002E0461"/>
    <w:rsid w:val="002E0476"/>
    <w:rsid w:val="002E0477"/>
    <w:rsid w:val="002E055D"/>
    <w:rsid w:val="002E0621"/>
    <w:rsid w:val="002E066E"/>
    <w:rsid w:val="002E07D7"/>
    <w:rsid w:val="002E07FD"/>
    <w:rsid w:val="002E089D"/>
    <w:rsid w:val="002E0934"/>
    <w:rsid w:val="002E0982"/>
    <w:rsid w:val="002E0A6F"/>
    <w:rsid w:val="002E0AAD"/>
    <w:rsid w:val="002E0B21"/>
    <w:rsid w:val="002E0B2F"/>
    <w:rsid w:val="002E0BEF"/>
    <w:rsid w:val="002E0CC0"/>
    <w:rsid w:val="002E0CC4"/>
    <w:rsid w:val="002E0CFD"/>
    <w:rsid w:val="002E0D31"/>
    <w:rsid w:val="002E0D7A"/>
    <w:rsid w:val="002E0D7C"/>
    <w:rsid w:val="002E0DC9"/>
    <w:rsid w:val="002E0EE1"/>
    <w:rsid w:val="002E0EE2"/>
    <w:rsid w:val="002E0EFA"/>
    <w:rsid w:val="002E1022"/>
    <w:rsid w:val="002E1061"/>
    <w:rsid w:val="002E1064"/>
    <w:rsid w:val="002E1073"/>
    <w:rsid w:val="002E10F1"/>
    <w:rsid w:val="002E12EC"/>
    <w:rsid w:val="002E12F7"/>
    <w:rsid w:val="002E1375"/>
    <w:rsid w:val="002E1465"/>
    <w:rsid w:val="002E146D"/>
    <w:rsid w:val="002E14F3"/>
    <w:rsid w:val="002E15A3"/>
    <w:rsid w:val="002E1690"/>
    <w:rsid w:val="002E16A1"/>
    <w:rsid w:val="002E16F2"/>
    <w:rsid w:val="002E1732"/>
    <w:rsid w:val="002E1760"/>
    <w:rsid w:val="002E1816"/>
    <w:rsid w:val="002E1825"/>
    <w:rsid w:val="002E196A"/>
    <w:rsid w:val="002E1ACB"/>
    <w:rsid w:val="002E1B01"/>
    <w:rsid w:val="002E1BBD"/>
    <w:rsid w:val="002E1DD3"/>
    <w:rsid w:val="002E1E3F"/>
    <w:rsid w:val="002E1E65"/>
    <w:rsid w:val="002E1EAB"/>
    <w:rsid w:val="002E1F38"/>
    <w:rsid w:val="002E1FC6"/>
    <w:rsid w:val="002E2073"/>
    <w:rsid w:val="002E2082"/>
    <w:rsid w:val="002E20A4"/>
    <w:rsid w:val="002E2178"/>
    <w:rsid w:val="002E2190"/>
    <w:rsid w:val="002E236C"/>
    <w:rsid w:val="002E2404"/>
    <w:rsid w:val="002E25EF"/>
    <w:rsid w:val="002E260A"/>
    <w:rsid w:val="002E260D"/>
    <w:rsid w:val="002E26BB"/>
    <w:rsid w:val="002E26C2"/>
    <w:rsid w:val="002E272B"/>
    <w:rsid w:val="002E278C"/>
    <w:rsid w:val="002E2855"/>
    <w:rsid w:val="002E2858"/>
    <w:rsid w:val="002E2924"/>
    <w:rsid w:val="002E29F8"/>
    <w:rsid w:val="002E2A98"/>
    <w:rsid w:val="002E2ADE"/>
    <w:rsid w:val="002E2B4F"/>
    <w:rsid w:val="002E2BCE"/>
    <w:rsid w:val="002E2BF7"/>
    <w:rsid w:val="002E2C52"/>
    <w:rsid w:val="002E2C99"/>
    <w:rsid w:val="002E2F1A"/>
    <w:rsid w:val="002E2F73"/>
    <w:rsid w:val="002E30BE"/>
    <w:rsid w:val="002E30DE"/>
    <w:rsid w:val="002E313F"/>
    <w:rsid w:val="002E32F3"/>
    <w:rsid w:val="002E3348"/>
    <w:rsid w:val="002E342B"/>
    <w:rsid w:val="002E344A"/>
    <w:rsid w:val="002E34FE"/>
    <w:rsid w:val="002E3532"/>
    <w:rsid w:val="002E35F1"/>
    <w:rsid w:val="002E3750"/>
    <w:rsid w:val="002E388D"/>
    <w:rsid w:val="002E38A7"/>
    <w:rsid w:val="002E38F7"/>
    <w:rsid w:val="002E39B8"/>
    <w:rsid w:val="002E39C0"/>
    <w:rsid w:val="002E39E8"/>
    <w:rsid w:val="002E3A3E"/>
    <w:rsid w:val="002E3AA5"/>
    <w:rsid w:val="002E3B81"/>
    <w:rsid w:val="002E3C14"/>
    <w:rsid w:val="002E3C28"/>
    <w:rsid w:val="002E3C93"/>
    <w:rsid w:val="002E3CF2"/>
    <w:rsid w:val="002E3D08"/>
    <w:rsid w:val="002E3D57"/>
    <w:rsid w:val="002E3D9D"/>
    <w:rsid w:val="002E3DE9"/>
    <w:rsid w:val="002E3E1D"/>
    <w:rsid w:val="002E3EB3"/>
    <w:rsid w:val="002E3EEA"/>
    <w:rsid w:val="002E3EF7"/>
    <w:rsid w:val="002E3F3C"/>
    <w:rsid w:val="002E3FA1"/>
    <w:rsid w:val="002E3FE9"/>
    <w:rsid w:val="002E40B3"/>
    <w:rsid w:val="002E4205"/>
    <w:rsid w:val="002E424D"/>
    <w:rsid w:val="002E4272"/>
    <w:rsid w:val="002E42C4"/>
    <w:rsid w:val="002E42C5"/>
    <w:rsid w:val="002E42F0"/>
    <w:rsid w:val="002E445E"/>
    <w:rsid w:val="002E453E"/>
    <w:rsid w:val="002E45D4"/>
    <w:rsid w:val="002E4602"/>
    <w:rsid w:val="002E462F"/>
    <w:rsid w:val="002E46CA"/>
    <w:rsid w:val="002E46F1"/>
    <w:rsid w:val="002E47E4"/>
    <w:rsid w:val="002E4922"/>
    <w:rsid w:val="002E4AC5"/>
    <w:rsid w:val="002E4AEE"/>
    <w:rsid w:val="002E4C0D"/>
    <w:rsid w:val="002E4C14"/>
    <w:rsid w:val="002E4C15"/>
    <w:rsid w:val="002E4C68"/>
    <w:rsid w:val="002E4D08"/>
    <w:rsid w:val="002E4DA5"/>
    <w:rsid w:val="002E4E4C"/>
    <w:rsid w:val="002E4EB5"/>
    <w:rsid w:val="002E4ED5"/>
    <w:rsid w:val="002E4F48"/>
    <w:rsid w:val="002E4FA6"/>
    <w:rsid w:val="002E4FCF"/>
    <w:rsid w:val="002E4FE5"/>
    <w:rsid w:val="002E5062"/>
    <w:rsid w:val="002E50B6"/>
    <w:rsid w:val="002E50B7"/>
    <w:rsid w:val="002E50D2"/>
    <w:rsid w:val="002E511C"/>
    <w:rsid w:val="002E5142"/>
    <w:rsid w:val="002E522B"/>
    <w:rsid w:val="002E523F"/>
    <w:rsid w:val="002E52B8"/>
    <w:rsid w:val="002E52DA"/>
    <w:rsid w:val="002E538C"/>
    <w:rsid w:val="002E5421"/>
    <w:rsid w:val="002E554A"/>
    <w:rsid w:val="002E5644"/>
    <w:rsid w:val="002E5673"/>
    <w:rsid w:val="002E56EF"/>
    <w:rsid w:val="002E5821"/>
    <w:rsid w:val="002E584F"/>
    <w:rsid w:val="002E58AE"/>
    <w:rsid w:val="002E58F3"/>
    <w:rsid w:val="002E5992"/>
    <w:rsid w:val="002E59B8"/>
    <w:rsid w:val="002E59E3"/>
    <w:rsid w:val="002E5A0E"/>
    <w:rsid w:val="002E5B62"/>
    <w:rsid w:val="002E5C2C"/>
    <w:rsid w:val="002E5C58"/>
    <w:rsid w:val="002E5CD1"/>
    <w:rsid w:val="002E5D94"/>
    <w:rsid w:val="002E5DBF"/>
    <w:rsid w:val="002E5E01"/>
    <w:rsid w:val="002E5E18"/>
    <w:rsid w:val="002E5E2A"/>
    <w:rsid w:val="002E5FB0"/>
    <w:rsid w:val="002E5FBB"/>
    <w:rsid w:val="002E5FFC"/>
    <w:rsid w:val="002E604E"/>
    <w:rsid w:val="002E6071"/>
    <w:rsid w:val="002E60F5"/>
    <w:rsid w:val="002E6149"/>
    <w:rsid w:val="002E61B9"/>
    <w:rsid w:val="002E61D4"/>
    <w:rsid w:val="002E6289"/>
    <w:rsid w:val="002E6536"/>
    <w:rsid w:val="002E6544"/>
    <w:rsid w:val="002E6551"/>
    <w:rsid w:val="002E65C0"/>
    <w:rsid w:val="002E679C"/>
    <w:rsid w:val="002E67FE"/>
    <w:rsid w:val="002E680F"/>
    <w:rsid w:val="002E68EA"/>
    <w:rsid w:val="002E6929"/>
    <w:rsid w:val="002E69D3"/>
    <w:rsid w:val="002E69F5"/>
    <w:rsid w:val="002E6A4F"/>
    <w:rsid w:val="002E6A8B"/>
    <w:rsid w:val="002E6C80"/>
    <w:rsid w:val="002E6CAA"/>
    <w:rsid w:val="002E6EE7"/>
    <w:rsid w:val="002E6F27"/>
    <w:rsid w:val="002E6F3E"/>
    <w:rsid w:val="002E7124"/>
    <w:rsid w:val="002E72C8"/>
    <w:rsid w:val="002E72E0"/>
    <w:rsid w:val="002E7344"/>
    <w:rsid w:val="002E7355"/>
    <w:rsid w:val="002E73EC"/>
    <w:rsid w:val="002E7499"/>
    <w:rsid w:val="002E7567"/>
    <w:rsid w:val="002E75D2"/>
    <w:rsid w:val="002E7609"/>
    <w:rsid w:val="002E7741"/>
    <w:rsid w:val="002E77BC"/>
    <w:rsid w:val="002E77D5"/>
    <w:rsid w:val="002E7944"/>
    <w:rsid w:val="002E7A33"/>
    <w:rsid w:val="002E7ABB"/>
    <w:rsid w:val="002E7B1F"/>
    <w:rsid w:val="002E7BC0"/>
    <w:rsid w:val="002E7F30"/>
    <w:rsid w:val="002F0035"/>
    <w:rsid w:val="002F0102"/>
    <w:rsid w:val="002F0184"/>
    <w:rsid w:val="002F0213"/>
    <w:rsid w:val="002F023D"/>
    <w:rsid w:val="002F0312"/>
    <w:rsid w:val="002F03BF"/>
    <w:rsid w:val="002F0479"/>
    <w:rsid w:val="002F05C5"/>
    <w:rsid w:val="002F066A"/>
    <w:rsid w:val="002F069C"/>
    <w:rsid w:val="002F06C7"/>
    <w:rsid w:val="002F06FD"/>
    <w:rsid w:val="002F0744"/>
    <w:rsid w:val="002F0817"/>
    <w:rsid w:val="002F08B3"/>
    <w:rsid w:val="002F08BF"/>
    <w:rsid w:val="002F0908"/>
    <w:rsid w:val="002F094E"/>
    <w:rsid w:val="002F0A3A"/>
    <w:rsid w:val="002F0AB3"/>
    <w:rsid w:val="002F0AD2"/>
    <w:rsid w:val="002F0B55"/>
    <w:rsid w:val="002F0BFB"/>
    <w:rsid w:val="002F0C2A"/>
    <w:rsid w:val="002F0C93"/>
    <w:rsid w:val="002F0C9C"/>
    <w:rsid w:val="002F0CDC"/>
    <w:rsid w:val="002F0D75"/>
    <w:rsid w:val="002F0E4C"/>
    <w:rsid w:val="002F0EB6"/>
    <w:rsid w:val="002F0F07"/>
    <w:rsid w:val="002F1060"/>
    <w:rsid w:val="002F107A"/>
    <w:rsid w:val="002F10D6"/>
    <w:rsid w:val="002F10E1"/>
    <w:rsid w:val="002F10EC"/>
    <w:rsid w:val="002F1136"/>
    <w:rsid w:val="002F1150"/>
    <w:rsid w:val="002F11E1"/>
    <w:rsid w:val="002F1231"/>
    <w:rsid w:val="002F1233"/>
    <w:rsid w:val="002F1247"/>
    <w:rsid w:val="002F1249"/>
    <w:rsid w:val="002F127F"/>
    <w:rsid w:val="002F12F5"/>
    <w:rsid w:val="002F1333"/>
    <w:rsid w:val="002F1390"/>
    <w:rsid w:val="002F14AC"/>
    <w:rsid w:val="002F14DF"/>
    <w:rsid w:val="002F14E3"/>
    <w:rsid w:val="002F150B"/>
    <w:rsid w:val="002F1521"/>
    <w:rsid w:val="002F1581"/>
    <w:rsid w:val="002F15EE"/>
    <w:rsid w:val="002F161B"/>
    <w:rsid w:val="002F1667"/>
    <w:rsid w:val="002F16F6"/>
    <w:rsid w:val="002F1710"/>
    <w:rsid w:val="002F1722"/>
    <w:rsid w:val="002F199B"/>
    <w:rsid w:val="002F1A77"/>
    <w:rsid w:val="002F1A8A"/>
    <w:rsid w:val="002F1BD4"/>
    <w:rsid w:val="002F1C1B"/>
    <w:rsid w:val="002F1C6F"/>
    <w:rsid w:val="002F1D23"/>
    <w:rsid w:val="002F1E2D"/>
    <w:rsid w:val="002F1E6D"/>
    <w:rsid w:val="002F1E87"/>
    <w:rsid w:val="002F1EA5"/>
    <w:rsid w:val="002F1F62"/>
    <w:rsid w:val="002F1FC2"/>
    <w:rsid w:val="002F209D"/>
    <w:rsid w:val="002F20D2"/>
    <w:rsid w:val="002F2179"/>
    <w:rsid w:val="002F22B2"/>
    <w:rsid w:val="002F23EA"/>
    <w:rsid w:val="002F24DE"/>
    <w:rsid w:val="002F257C"/>
    <w:rsid w:val="002F2724"/>
    <w:rsid w:val="002F27CA"/>
    <w:rsid w:val="002F2811"/>
    <w:rsid w:val="002F281C"/>
    <w:rsid w:val="002F28E6"/>
    <w:rsid w:val="002F2949"/>
    <w:rsid w:val="002F2C02"/>
    <w:rsid w:val="002F2C08"/>
    <w:rsid w:val="002F2CB8"/>
    <w:rsid w:val="002F2D4D"/>
    <w:rsid w:val="002F2D6E"/>
    <w:rsid w:val="002F2F0F"/>
    <w:rsid w:val="002F2F31"/>
    <w:rsid w:val="002F2F7D"/>
    <w:rsid w:val="002F2FB8"/>
    <w:rsid w:val="002F301F"/>
    <w:rsid w:val="002F304D"/>
    <w:rsid w:val="002F315F"/>
    <w:rsid w:val="002F3201"/>
    <w:rsid w:val="002F3271"/>
    <w:rsid w:val="002F330F"/>
    <w:rsid w:val="002F34A6"/>
    <w:rsid w:val="002F34E7"/>
    <w:rsid w:val="002F3572"/>
    <w:rsid w:val="002F3578"/>
    <w:rsid w:val="002F359F"/>
    <w:rsid w:val="002F361F"/>
    <w:rsid w:val="002F3632"/>
    <w:rsid w:val="002F366B"/>
    <w:rsid w:val="002F3737"/>
    <w:rsid w:val="002F374F"/>
    <w:rsid w:val="002F376C"/>
    <w:rsid w:val="002F383C"/>
    <w:rsid w:val="002F38DC"/>
    <w:rsid w:val="002F3913"/>
    <w:rsid w:val="002F394B"/>
    <w:rsid w:val="002F397B"/>
    <w:rsid w:val="002F3AF3"/>
    <w:rsid w:val="002F3AFB"/>
    <w:rsid w:val="002F3B19"/>
    <w:rsid w:val="002F3B95"/>
    <w:rsid w:val="002F3BE1"/>
    <w:rsid w:val="002F3C41"/>
    <w:rsid w:val="002F3CCE"/>
    <w:rsid w:val="002F3D47"/>
    <w:rsid w:val="002F3DBB"/>
    <w:rsid w:val="002F3E89"/>
    <w:rsid w:val="002F3F04"/>
    <w:rsid w:val="002F3F31"/>
    <w:rsid w:val="002F3F40"/>
    <w:rsid w:val="002F3FAC"/>
    <w:rsid w:val="002F3FB0"/>
    <w:rsid w:val="002F3FBB"/>
    <w:rsid w:val="002F3FC9"/>
    <w:rsid w:val="002F4000"/>
    <w:rsid w:val="002F40C6"/>
    <w:rsid w:val="002F4100"/>
    <w:rsid w:val="002F410D"/>
    <w:rsid w:val="002F429B"/>
    <w:rsid w:val="002F433D"/>
    <w:rsid w:val="002F43C6"/>
    <w:rsid w:val="002F4538"/>
    <w:rsid w:val="002F4645"/>
    <w:rsid w:val="002F493A"/>
    <w:rsid w:val="002F49BA"/>
    <w:rsid w:val="002F4A25"/>
    <w:rsid w:val="002F4A4A"/>
    <w:rsid w:val="002F4AD2"/>
    <w:rsid w:val="002F4B1A"/>
    <w:rsid w:val="002F4B55"/>
    <w:rsid w:val="002F4C41"/>
    <w:rsid w:val="002F4C8E"/>
    <w:rsid w:val="002F4DA1"/>
    <w:rsid w:val="002F4F99"/>
    <w:rsid w:val="002F504C"/>
    <w:rsid w:val="002F5076"/>
    <w:rsid w:val="002F50B3"/>
    <w:rsid w:val="002F50CB"/>
    <w:rsid w:val="002F514D"/>
    <w:rsid w:val="002F516D"/>
    <w:rsid w:val="002F520A"/>
    <w:rsid w:val="002F527B"/>
    <w:rsid w:val="002F53B5"/>
    <w:rsid w:val="002F5479"/>
    <w:rsid w:val="002F5593"/>
    <w:rsid w:val="002F5688"/>
    <w:rsid w:val="002F5738"/>
    <w:rsid w:val="002F5746"/>
    <w:rsid w:val="002F57A2"/>
    <w:rsid w:val="002F580A"/>
    <w:rsid w:val="002F581E"/>
    <w:rsid w:val="002F5824"/>
    <w:rsid w:val="002F5839"/>
    <w:rsid w:val="002F5949"/>
    <w:rsid w:val="002F59B1"/>
    <w:rsid w:val="002F5A11"/>
    <w:rsid w:val="002F5A3B"/>
    <w:rsid w:val="002F5A50"/>
    <w:rsid w:val="002F5AF0"/>
    <w:rsid w:val="002F5C66"/>
    <w:rsid w:val="002F5DEF"/>
    <w:rsid w:val="002F5E7A"/>
    <w:rsid w:val="002F5F69"/>
    <w:rsid w:val="002F5F87"/>
    <w:rsid w:val="002F5FF4"/>
    <w:rsid w:val="002F6055"/>
    <w:rsid w:val="002F6134"/>
    <w:rsid w:val="002F619A"/>
    <w:rsid w:val="002F61F8"/>
    <w:rsid w:val="002F629A"/>
    <w:rsid w:val="002F62E0"/>
    <w:rsid w:val="002F6384"/>
    <w:rsid w:val="002F63A2"/>
    <w:rsid w:val="002F63AC"/>
    <w:rsid w:val="002F63DA"/>
    <w:rsid w:val="002F64D9"/>
    <w:rsid w:val="002F64E7"/>
    <w:rsid w:val="002F6519"/>
    <w:rsid w:val="002F651D"/>
    <w:rsid w:val="002F6537"/>
    <w:rsid w:val="002F65BB"/>
    <w:rsid w:val="002F65D6"/>
    <w:rsid w:val="002F6648"/>
    <w:rsid w:val="002F6659"/>
    <w:rsid w:val="002F6766"/>
    <w:rsid w:val="002F69F3"/>
    <w:rsid w:val="002F6A19"/>
    <w:rsid w:val="002F6ADB"/>
    <w:rsid w:val="002F6BD9"/>
    <w:rsid w:val="002F6C4E"/>
    <w:rsid w:val="002F6C67"/>
    <w:rsid w:val="002F6D67"/>
    <w:rsid w:val="002F6E44"/>
    <w:rsid w:val="002F6E60"/>
    <w:rsid w:val="002F6E74"/>
    <w:rsid w:val="002F6EE3"/>
    <w:rsid w:val="002F6F50"/>
    <w:rsid w:val="002F6F8D"/>
    <w:rsid w:val="002F6FF5"/>
    <w:rsid w:val="002F70A8"/>
    <w:rsid w:val="002F71D2"/>
    <w:rsid w:val="002F7233"/>
    <w:rsid w:val="002F7270"/>
    <w:rsid w:val="002F7334"/>
    <w:rsid w:val="002F7405"/>
    <w:rsid w:val="002F74D5"/>
    <w:rsid w:val="002F74FD"/>
    <w:rsid w:val="002F75D2"/>
    <w:rsid w:val="002F764E"/>
    <w:rsid w:val="002F7673"/>
    <w:rsid w:val="002F76D9"/>
    <w:rsid w:val="002F7735"/>
    <w:rsid w:val="002F7747"/>
    <w:rsid w:val="002F774C"/>
    <w:rsid w:val="002F787B"/>
    <w:rsid w:val="002F78E1"/>
    <w:rsid w:val="002F78FF"/>
    <w:rsid w:val="002F7903"/>
    <w:rsid w:val="002F7953"/>
    <w:rsid w:val="002F7974"/>
    <w:rsid w:val="002F797E"/>
    <w:rsid w:val="002F79BD"/>
    <w:rsid w:val="002F7A38"/>
    <w:rsid w:val="002F7A4B"/>
    <w:rsid w:val="002F7B73"/>
    <w:rsid w:val="002F7B85"/>
    <w:rsid w:val="002F7C63"/>
    <w:rsid w:val="002F7C8A"/>
    <w:rsid w:val="002F7CD3"/>
    <w:rsid w:val="002F7D01"/>
    <w:rsid w:val="002F7E4C"/>
    <w:rsid w:val="002F7EA1"/>
    <w:rsid w:val="002F7EE3"/>
    <w:rsid w:val="002F7F15"/>
    <w:rsid w:val="002F7F94"/>
    <w:rsid w:val="0030005C"/>
    <w:rsid w:val="00300068"/>
    <w:rsid w:val="0030012E"/>
    <w:rsid w:val="0030023A"/>
    <w:rsid w:val="0030023D"/>
    <w:rsid w:val="0030027A"/>
    <w:rsid w:val="00300324"/>
    <w:rsid w:val="00300369"/>
    <w:rsid w:val="00300393"/>
    <w:rsid w:val="00300588"/>
    <w:rsid w:val="003005EC"/>
    <w:rsid w:val="00300688"/>
    <w:rsid w:val="00300777"/>
    <w:rsid w:val="00300883"/>
    <w:rsid w:val="00300B52"/>
    <w:rsid w:val="00300C76"/>
    <w:rsid w:val="00300D1E"/>
    <w:rsid w:val="00300DAA"/>
    <w:rsid w:val="00300FA1"/>
    <w:rsid w:val="00300FC9"/>
    <w:rsid w:val="00301052"/>
    <w:rsid w:val="00301085"/>
    <w:rsid w:val="0030108E"/>
    <w:rsid w:val="00301144"/>
    <w:rsid w:val="0030130E"/>
    <w:rsid w:val="0030146D"/>
    <w:rsid w:val="003014A4"/>
    <w:rsid w:val="003014D2"/>
    <w:rsid w:val="003016A7"/>
    <w:rsid w:val="003016BC"/>
    <w:rsid w:val="00301A12"/>
    <w:rsid w:val="00301A17"/>
    <w:rsid w:val="00301A65"/>
    <w:rsid w:val="00301AC8"/>
    <w:rsid w:val="00301B29"/>
    <w:rsid w:val="00301B59"/>
    <w:rsid w:val="00301BB9"/>
    <w:rsid w:val="00301CCC"/>
    <w:rsid w:val="00301D0A"/>
    <w:rsid w:val="00301D1C"/>
    <w:rsid w:val="00301E36"/>
    <w:rsid w:val="00301F20"/>
    <w:rsid w:val="00301F37"/>
    <w:rsid w:val="00301F91"/>
    <w:rsid w:val="00301FC1"/>
    <w:rsid w:val="003020B1"/>
    <w:rsid w:val="003020F6"/>
    <w:rsid w:val="0030210F"/>
    <w:rsid w:val="00302137"/>
    <w:rsid w:val="0030213B"/>
    <w:rsid w:val="00302303"/>
    <w:rsid w:val="00302398"/>
    <w:rsid w:val="00302522"/>
    <w:rsid w:val="003025A2"/>
    <w:rsid w:val="00302603"/>
    <w:rsid w:val="0030264A"/>
    <w:rsid w:val="003026D4"/>
    <w:rsid w:val="003026D5"/>
    <w:rsid w:val="00302736"/>
    <w:rsid w:val="00302748"/>
    <w:rsid w:val="0030279B"/>
    <w:rsid w:val="003027B8"/>
    <w:rsid w:val="0030293F"/>
    <w:rsid w:val="00302947"/>
    <w:rsid w:val="00302968"/>
    <w:rsid w:val="003029F8"/>
    <w:rsid w:val="00302A95"/>
    <w:rsid w:val="00302A97"/>
    <w:rsid w:val="00302AA6"/>
    <w:rsid w:val="00302AB9"/>
    <w:rsid w:val="00302BAC"/>
    <w:rsid w:val="00302C50"/>
    <w:rsid w:val="00302CBE"/>
    <w:rsid w:val="00302CF5"/>
    <w:rsid w:val="00302D2C"/>
    <w:rsid w:val="00302DE7"/>
    <w:rsid w:val="00302F41"/>
    <w:rsid w:val="00302FEB"/>
    <w:rsid w:val="00303023"/>
    <w:rsid w:val="0030308F"/>
    <w:rsid w:val="003030C6"/>
    <w:rsid w:val="003030FB"/>
    <w:rsid w:val="003031B4"/>
    <w:rsid w:val="003031C2"/>
    <w:rsid w:val="00303457"/>
    <w:rsid w:val="0030349F"/>
    <w:rsid w:val="003034AC"/>
    <w:rsid w:val="003035B5"/>
    <w:rsid w:val="003035D5"/>
    <w:rsid w:val="0030360C"/>
    <w:rsid w:val="00303667"/>
    <w:rsid w:val="00303694"/>
    <w:rsid w:val="00303699"/>
    <w:rsid w:val="003036EF"/>
    <w:rsid w:val="0030377A"/>
    <w:rsid w:val="003037DA"/>
    <w:rsid w:val="003037F4"/>
    <w:rsid w:val="00303860"/>
    <w:rsid w:val="00303861"/>
    <w:rsid w:val="00303863"/>
    <w:rsid w:val="00303917"/>
    <w:rsid w:val="00303AAF"/>
    <w:rsid w:val="00303B39"/>
    <w:rsid w:val="00303B8A"/>
    <w:rsid w:val="00303BAA"/>
    <w:rsid w:val="00303CDC"/>
    <w:rsid w:val="00303E25"/>
    <w:rsid w:val="00303E5B"/>
    <w:rsid w:val="00303E6A"/>
    <w:rsid w:val="00303EC6"/>
    <w:rsid w:val="00303FAD"/>
    <w:rsid w:val="00303FCF"/>
    <w:rsid w:val="00304051"/>
    <w:rsid w:val="0030407C"/>
    <w:rsid w:val="003040BB"/>
    <w:rsid w:val="003040C9"/>
    <w:rsid w:val="003043A1"/>
    <w:rsid w:val="0030444F"/>
    <w:rsid w:val="00304486"/>
    <w:rsid w:val="0030448A"/>
    <w:rsid w:val="003044E8"/>
    <w:rsid w:val="0030457B"/>
    <w:rsid w:val="003045C0"/>
    <w:rsid w:val="003047CB"/>
    <w:rsid w:val="0030481A"/>
    <w:rsid w:val="0030486A"/>
    <w:rsid w:val="00304874"/>
    <w:rsid w:val="0030488E"/>
    <w:rsid w:val="003048B4"/>
    <w:rsid w:val="003049E8"/>
    <w:rsid w:val="003049EE"/>
    <w:rsid w:val="00304BC4"/>
    <w:rsid w:val="00304C4A"/>
    <w:rsid w:val="00304CF6"/>
    <w:rsid w:val="00304D6C"/>
    <w:rsid w:val="00304DF1"/>
    <w:rsid w:val="00304EFE"/>
    <w:rsid w:val="00304F51"/>
    <w:rsid w:val="00304F6C"/>
    <w:rsid w:val="00304F8B"/>
    <w:rsid w:val="00304FA8"/>
    <w:rsid w:val="00304FFF"/>
    <w:rsid w:val="0030501B"/>
    <w:rsid w:val="00305021"/>
    <w:rsid w:val="00305042"/>
    <w:rsid w:val="003050CD"/>
    <w:rsid w:val="00305117"/>
    <w:rsid w:val="00305224"/>
    <w:rsid w:val="00305248"/>
    <w:rsid w:val="003052B8"/>
    <w:rsid w:val="003053B9"/>
    <w:rsid w:val="003053D3"/>
    <w:rsid w:val="00305453"/>
    <w:rsid w:val="0030546A"/>
    <w:rsid w:val="00305557"/>
    <w:rsid w:val="00305593"/>
    <w:rsid w:val="003055AF"/>
    <w:rsid w:val="003055B1"/>
    <w:rsid w:val="0030561F"/>
    <w:rsid w:val="003056FA"/>
    <w:rsid w:val="00305723"/>
    <w:rsid w:val="003058BD"/>
    <w:rsid w:val="0030590F"/>
    <w:rsid w:val="00305941"/>
    <w:rsid w:val="00305963"/>
    <w:rsid w:val="003059D6"/>
    <w:rsid w:val="00305A98"/>
    <w:rsid w:val="00305AA7"/>
    <w:rsid w:val="00305B1F"/>
    <w:rsid w:val="00305BED"/>
    <w:rsid w:val="00305CA3"/>
    <w:rsid w:val="00305D9B"/>
    <w:rsid w:val="00305D9D"/>
    <w:rsid w:val="00305DC4"/>
    <w:rsid w:val="00305DE0"/>
    <w:rsid w:val="00305E3B"/>
    <w:rsid w:val="00305E44"/>
    <w:rsid w:val="00305FA2"/>
    <w:rsid w:val="00305FB6"/>
    <w:rsid w:val="00306000"/>
    <w:rsid w:val="0030613D"/>
    <w:rsid w:val="00306172"/>
    <w:rsid w:val="00306342"/>
    <w:rsid w:val="003064CE"/>
    <w:rsid w:val="00306562"/>
    <w:rsid w:val="00306577"/>
    <w:rsid w:val="00306668"/>
    <w:rsid w:val="00306711"/>
    <w:rsid w:val="0030682D"/>
    <w:rsid w:val="003068EC"/>
    <w:rsid w:val="00306926"/>
    <w:rsid w:val="0030698F"/>
    <w:rsid w:val="00306999"/>
    <w:rsid w:val="00306A21"/>
    <w:rsid w:val="00306AF2"/>
    <w:rsid w:val="00306B24"/>
    <w:rsid w:val="00306B92"/>
    <w:rsid w:val="00306C6B"/>
    <w:rsid w:val="00306D27"/>
    <w:rsid w:val="00306E5C"/>
    <w:rsid w:val="00306F3A"/>
    <w:rsid w:val="00306F91"/>
    <w:rsid w:val="00306FEC"/>
    <w:rsid w:val="003070AF"/>
    <w:rsid w:val="003070D0"/>
    <w:rsid w:val="003070FE"/>
    <w:rsid w:val="00307155"/>
    <w:rsid w:val="0030717C"/>
    <w:rsid w:val="003071B3"/>
    <w:rsid w:val="00307290"/>
    <w:rsid w:val="0030731C"/>
    <w:rsid w:val="00307441"/>
    <w:rsid w:val="00307469"/>
    <w:rsid w:val="003075FE"/>
    <w:rsid w:val="0030763F"/>
    <w:rsid w:val="00307875"/>
    <w:rsid w:val="003079E0"/>
    <w:rsid w:val="003079E7"/>
    <w:rsid w:val="00307AA4"/>
    <w:rsid w:val="00307AAC"/>
    <w:rsid w:val="00307AD6"/>
    <w:rsid w:val="00307C19"/>
    <w:rsid w:val="00307C24"/>
    <w:rsid w:val="00307C29"/>
    <w:rsid w:val="00307E0A"/>
    <w:rsid w:val="00307F22"/>
    <w:rsid w:val="00307F68"/>
    <w:rsid w:val="00310013"/>
    <w:rsid w:val="00310033"/>
    <w:rsid w:val="003100AE"/>
    <w:rsid w:val="00310132"/>
    <w:rsid w:val="003101EA"/>
    <w:rsid w:val="00310335"/>
    <w:rsid w:val="00310460"/>
    <w:rsid w:val="00310490"/>
    <w:rsid w:val="0031050C"/>
    <w:rsid w:val="0031052D"/>
    <w:rsid w:val="00310648"/>
    <w:rsid w:val="00310709"/>
    <w:rsid w:val="00310732"/>
    <w:rsid w:val="003107A4"/>
    <w:rsid w:val="003107D1"/>
    <w:rsid w:val="0031091A"/>
    <w:rsid w:val="0031096B"/>
    <w:rsid w:val="003109D4"/>
    <w:rsid w:val="00310A20"/>
    <w:rsid w:val="00310A88"/>
    <w:rsid w:val="00310B1C"/>
    <w:rsid w:val="00310B92"/>
    <w:rsid w:val="00310BBE"/>
    <w:rsid w:val="00310BC9"/>
    <w:rsid w:val="00310C05"/>
    <w:rsid w:val="00310F31"/>
    <w:rsid w:val="00310F50"/>
    <w:rsid w:val="00310F77"/>
    <w:rsid w:val="0031105C"/>
    <w:rsid w:val="003110C4"/>
    <w:rsid w:val="003112D1"/>
    <w:rsid w:val="003112DD"/>
    <w:rsid w:val="00311453"/>
    <w:rsid w:val="00311461"/>
    <w:rsid w:val="003115FD"/>
    <w:rsid w:val="00311634"/>
    <w:rsid w:val="00311715"/>
    <w:rsid w:val="00311762"/>
    <w:rsid w:val="0031194E"/>
    <w:rsid w:val="003119FF"/>
    <w:rsid w:val="00311ADC"/>
    <w:rsid w:val="00311B0D"/>
    <w:rsid w:val="00311B67"/>
    <w:rsid w:val="00311C23"/>
    <w:rsid w:val="00311C42"/>
    <w:rsid w:val="00311C6D"/>
    <w:rsid w:val="00311C86"/>
    <w:rsid w:val="00311C92"/>
    <w:rsid w:val="00311CCD"/>
    <w:rsid w:val="00311CE9"/>
    <w:rsid w:val="00311D4A"/>
    <w:rsid w:val="00311D51"/>
    <w:rsid w:val="00311DA9"/>
    <w:rsid w:val="00311E4F"/>
    <w:rsid w:val="00311E98"/>
    <w:rsid w:val="00311E9F"/>
    <w:rsid w:val="00311F50"/>
    <w:rsid w:val="00312105"/>
    <w:rsid w:val="003121DE"/>
    <w:rsid w:val="00312215"/>
    <w:rsid w:val="0031222B"/>
    <w:rsid w:val="003122CD"/>
    <w:rsid w:val="00312394"/>
    <w:rsid w:val="0031247A"/>
    <w:rsid w:val="0031249C"/>
    <w:rsid w:val="003124F7"/>
    <w:rsid w:val="0031258D"/>
    <w:rsid w:val="003125BB"/>
    <w:rsid w:val="003125C3"/>
    <w:rsid w:val="0031266C"/>
    <w:rsid w:val="0031269D"/>
    <w:rsid w:val="00312739"/>
    <w:rsid w:val="003127C4"/>
    <w:rsid w:val="00312803"/>
    <w:rsid w:val="00312896"/>
    <w:rsid w:val="00312980"/>
    <w:rsid w:val="00312A75"/>
    <w:rsid w:val="00312A8C"/>
    <w:rsid w:val="00312AAE"/>
    <w:rsid w:val="00312B0C"/>
    <w:rsid w:val="00312B17"/>
    <w:rsid w:val="00312B1A"/>
    <w:rsid w:val="00312B87"/>
    <w:rsid w:val="00312BF1"/>
    <w:rsid w:val="00312FCE"/>
    <w:rsid w:val="00312FE6"/>
    <w:rsid w:val="00313020"/>
    <w:rsid w:val="003130AF"/>
    <w:rsid w:val="00313100"/>
    <w:rsid w:val="00313394"/>
    <w:rsid w:val="003133C5"/>
    <w:rsid w:val="003133D1"/>
    <w:rsid w:val="0031340F"/>
    <w:rsid w:val="0031348E"/>
    <w:rsid w:val="003134C3"/>
    <w:rsid w:val="003136B6"/>
    <w:rsid w:val="00313930"/>
    <w:rsid w:val="0031395E"/>
    <w:rsid w:val="00313973"/>
    <w:rsid w:val="003139BF"/>
    <w:rsid w:val="00313A1C"/>
    <w:rsid w:val="00313A94"/>
    <w:rsid w:val="00313B48"/>
    <w:rsid w:val="00313BCE"/>
    <w:rsid w:val="00313D4E"/>
    <w:rsid w:val="00313D8B"/>
    <w:rsid w:val="00313E3F"/>
    <w:rsid w:val="00313EA4"/>
    <w:rsid w:val="00313EA8"/>
    <w:rsid w:val="00313EAC"/>
    <w:rsid w:val="00313F4D"/>
    <w:rsid w:val="00313FBF"/>
    <w:rsid w:val="00313FF7"/>
    <w:rsid w:val="003140EA"/>
    <w:rsid w:val="0031411A"/>
    <w:rsid w:val="0031411C"/>
    <w:rsid w:val="003141B3"/>
    <w:rsid w:val="00314239"/>
    <w:rsid w:val="00314263"/>
    <w:rsid w:val="0031428C"/>
    <w:rsid w:val="003142F4"/>
    <w:rsid w:val="0031435F"/>
    <w:rsid w:val="00314386"/>
    <w:rsid w:val="003143FD"/>
    <w:rsid w:val="00314488"/>
    <w:rsid w:val="0031449F"/>
    <w:rsid w:val="003144D3"/>
    <w:rsid w:val="0031454E"/>
    <w:rsid w:val="00314569"/>
    <w:rsid w:val="00314644"/>
    <w:rsid w:val="00314712"/>
    <w:rsid w:val="0031481B"/>
    <w:rsid w:val="00314884"/>
    <w:rsid w:val="00314889"/>
    <w:rsid w:val="0031488F"/>
    <w:rsid w:val="003148A3"/>
    <w:rsid w:val="00314A02"/>
    <w:rsid w:val="00314A37"/>
    <w:rsid w:val="00314A70"/>
    <w:rsid w:val="00314A83"/>
    <w:rsid w:val="00314B88"/>
    <w:rsid w:val="00314C71"/>
    <w:rsid w:val="00314D5F"/>
    <w:rsid w:val="00314EAD"/>
    <w:rsid w:val="00314EB5"/>
    <w:rsid w:val="00314F55"/>
    <w:rsid w:val="00314F93"/>
    <w:rsid w:val="00315065"/>
    <w:rsid w:val="003151D5"/>
    <w:rsid w:val="00315258"/>
    <w:rsid w:val="0031529A"/>
    <w:rsid w:val="00315440"/>
    <w:rsid w:val="00315477"/>
    <w:rsid w:val="0031552F"/>
    <w:rsid w:val="003155A4"/>
    <w:rsid w:val="003155BC"/>
    <w:rsid w:val="003155F1"/>
    <w:rsid w:val="0031570B"/>
    <w:rsid w:val="00315818"/>
    <w:rsid w:val="0031582A"/>
    <w:rsid w:val="0031587E"/>
    <w:rsid w:val="00315929"/>
    <w:rsid w:val="00315953"/>
    <w:rsid w:val="003159BB"/>
    <w:rsid w:val="00315A93"/>
    <w:rsid w:val="00315B08"/>
    <w:rsid w:val="00315B0A"/>
    <w:rsid w:val="00315B1A"/>
    <w:rsid w:val="00315B94"/>
    <w:rsid w:val="00315BE8"/>
    <w:rsid w:val="00315BEA"/>
    <w:rsid w:val="00315C8E"/>
    <w:rsid w:val="00315DED"/>
    <w:rsid w:val="00315DFD"/>
    <w:rsid w:val="00315E17"/>
    <w:rsid w:val="00315E83"/>
    <w:rsid w:val="0031601B"/>
    <w:rsid w:val="003160AE"/>
    <w:rsid w:val="003160D4"/>
    <w:rsid w:val="003160FC"/>
    <w:rsid w:val="00316109"/>
    <w:rsid w:val="0031611F"/>
    <w:rsid w:val="003161E9"/>
    <w:rsid w:val="003163D3"/>
    <w:rsid w:val="00316413"/>
    <w:rsid w:val="0031643D"/>
    <w:rsid w:val="00316458"/>
    <w:rsid w:val="00316536"/>
    <w:rsid w:val="0031654D"/>
    <w:rsid w:val="003165D6"/>
    <w:rsid w:val="003165DE"/>
    <w:rsid w:val="00316632"/>
    <w:rsid w:val="00316659"/>
    <w:rsid w:val="00316666"/>
    <w:rsid w:val="003167AE"/>
    <w:rsid w:val="00316825"/>
    <w:rsid w:val="00316850"/>
    <w:rsid w:val="0031687A"/>
    <w:rsid w:val="003169C5"/>
    <w:rsid w:val="00316AAC"/>
    <w:rsid w:val="00316ABC"/>
    <w:rsid w:val="00316ADB"/>
    <w:rsid w:val="00316AEF"/>
    <w:rsid w:val="00316BA5"/>
    <w:rsid w:val="00316C5E"/>
    <w:rsid w:val="00316D2F"/>
    <w:rsid w:val="00316E1D"/>
    <w:rsid w:val="00316F45"/>
    <w:rsid w:val="00317022"/>
    <w:rsid w:val="00317164"/>
    <w:rsid w:val="00317208"/>
    <w:rsid w:val="0031724E"/>
    <w:rsid w:val="00317250"/>
    <w:rsid w:val="0031726E"/>
    <w:rsid w:val="00317394"/>
    <w:rsid w:val="003173D5"/>
    <w:rsid w:val="00317479"/>
    <w:rsid w:val="0031761A"/>
    <w:rsid w:val="00317670"/>
    <w:rsid w:val="0031768F"/>
    <w:rsid w:val="00317803"/>
    <w:rsid w:val="00317842"/>
    <w:rsid w:val="00317962"/>
    <w:rsid w:val="003179BA"/>
    <w:rsid w:val="00317A14"/>
    <w:rsid w:val="00317A33"/>
    <w:rsid w:val="00317A9B"/>
    <w:rsid w:val="00317C75"/>
    <w:rsid w:val="00317C7E"/>
    <w:rsid w:val="00317C97"/>
    <w:rsid w:val="00317CA1"/>
    <w:rsid w:val="00317E73"/>
    <w:rsid w:val="00320001"/>
    <w:rsid w:val="003200D3"/>
    <w:rsid w:val="00320173"/>
    <w:rsid w:val="003201CC"/>
    <w:rsid w:val="0032030B"/>
    <w:rsid w:val="0032030D"/>
    <w:rsid w:val="00320339"/>
    <w:rsid w:val="00320397"/>
    <w:rsid w:val="0032040F"/>
    <w:rsid w:val="003205D1"/>
    <w:rsid w:val="00320665"/>
    <w:rsid w:val="00320670"/>
    <w:rsid w:val="0032068D"/>
    <w:rsid w:val="00320817"/>
    <w:rsid w:val="0032092F"/>
    <w:rsid w:val="00320932"/>
    <w:rsid w:val="00320A83"/>
    <w:rsid w:val="00320AB3"/>
    <w:rsid w:val="00320B26"/>
    <w:rsid w:val="00320C12"/>
    <w:rsid w:val="00320C4B"/>
    <w:rsid w:val="00320CEB"/>
    <w:rsid w:val="00320D39"/>
    <w:rsid w:val="00320D43"/>
    <w:rsid w:val="00320F1A"/>
    <w:rsid w:val="00320FC7"/>
    <w:rsid w:val="00320FD4"/>
    <w:rsid w:val="0032104D"/>
    <w:rsid w:val="00321061"/>
    <w:rsid w:val="00321070"/>
    <w:rsid w:val="003210BD"/>
    <w:rsid w:val="003210CF"/>
    <w:rsid w:val="003210E1"/>
    <w:rsid w:val="0032114D"/>
    <w:rsid w:val="00321179"/>
    <w:rsid w:val="00321214"/>
    <w:rsid w:val="003212AF"/>
    <w:rsid w:val="003212F1"/>
    <w:rsid w:val="003213C7"/>
    <w:rsid w:val="003213D5"/>
    <w:rsid w:val="003213FC"/>
    <w:rsid w:val="003214B4"/>
    <w:rsid w:val="00321512"/>
    <w:rsid w:val="0032151A"/>
    <w:rsid w:val="00321645"/>
    <w:rsid w:val="003216EA"/>
    <w:rsid w:val="0032172F"/>
    <w:rsid w:val="00321779"/>
    <w:rsid w:val="003217A4"/>
    <w:rsid w:val="00321883"/>
    <w:rsid w:val="003218B3"/>
    <w:rsid w:val="0032190D"/>
    <w:rsid w:val="00321928"/>
    <w:rsid w:val="00321A42"/>
    <w:rsid w:val="00321ACC"/>
    <w:rsid w:val="00321B55"/>
    <w:rsid w:val="00321BBD"/>
    <w:rsid w:val="00321BD4"/>
    <w:rsid w:val="00321C8F"/>
    <w:rsid w:val="00321CAF"/>
    <w:rsid w:val="00321CE8"/>
    <w:rsid w:val="00321D1D"/>
    <w:rsid w:val="00321D2D"/>
    <w:rsid w:val="00321DD4"/>
    <w:rsid w:val="00321EC1"/>
    <w:rsid w:val="00321F58"/>
    <w:rsid w:val="00321F84"/>
    <w:rsid w:val="00322083"/>
    <w:rsid w:val="00322158"/>
    <w:rsid w:val="003222FF"/>
    <w:rsid w:val="00322365"/>
    <w:rsid w:val="0032237A"/>
    <w:rsid w:val="003224EA"/>
    <w:rsid w:val="00322519"/>
    <w:rsid w:val="003226D5"/>
    <w:rsid w:val="003226D6"/>
    <w:rsid w:val="0032270F"/>
    <w:rsid w:val="003228B0"/>
    <w:rsid w:val="00322A0F"/>
    <w:rsid w:val="00322A1A"/>
    <w:rsid w:val="00322A5C"/>
    <w:rsid w:val="00322B28"/>
    <w:rsid w:val="00322B48"/>
    <w:rsid w:val="00322BE9"/>
    <w:rsid w:val="00322D36"/>
    <w:rsid w:val="00322DA2"/>
    <w:rsid w:val="00322E06"/>
    <w:rsid w:val="00322F4B"/>
    <w:rsid w:val="00323065"/>
    <w:rsid w:val="00323099"/>
    <w:rsid w:val="0032312A"/>
    <w:rsid w:val="00323165"/>
    <w:rsid w:val="00323171"/>
    <w:rsid w:val="00323183"/>
    <w:rsid w:val="0032345F"/>
    <w:rsid w:val="0032355C"/>
    <w:rsid w:val="00323640"/>
    <w:rsid w:val="00323650"/>
    <w:rsid w:val="00323653"/>
    <w:rsid w:val="00323737"/>
    <w:rsid w:val="0032374E"/>
    <w:rsid w:val="00323767"/>
    <w:rsid w:val="003237DF"/>
    <w:rsid w:val="00323860"/>
    <w:rsid w:val="003238FE"/>
    <w:rsid w:val="00323952"/>
    <w:rsid w:val="003239EB"/>
    <w:rsid w:val="00323AD6"/>
    <w:rsid w:val="00323B89"/>
    <w:rsid w:val="00323BB1"/>
    <w:rsid w:val="00323BB7"/>
    <w:rsid w:val="00323BFE"/>
    <w:rsid w:val="00323CBD"/>
    <w:rsid w:val="00323CD0"/>
    <w:rsid w:val="00323CD3"/>
    <w:rsid w:val="00323E3C"/>
    <w:rsid w:val="00323F14"/>
    <w:rsid w:val="00323F27"/>
    <w:rsid w:val="00323F42"/>
    <w:rsid w:val="00324124"/>
    <w:rsid w:val="003241F1"/>
    <w:rsid w:val="003242EF"/>
    <w:rsid w:val="003242FD"/>
    <w:rsid w:val="0032433B"/>
    <w:rsid w:val="0032444C"/>
    <w:rsid w:val="003244BF"/>
    <w:rsid w:val="00324503"/>
    <w:rsid w:val="00324519"/>
    <w:rsid w:val="00324604"/>
    <w:rsid w:val="00324710"/>
    <w:rsid w:val="003247D1"/>
    <w:rsid w:val="0032481F"/>
    <w:rsid w:val="003248D9"/>
    <w:rsid w:val="00324A38"/>
    <w:rsid w:val="00324AB1"/>
    <w:rsid w:val="00324AD3"/>
    <w:rsid w:val="00324BD2"/>
    <w:rsid w:val="00324BEE"/>
    <w:rsid w:val="00324C8A"/>
    <w:rsid w:val="00324D03"/>
    <w:rsid w:val="00324E8E"/>
    <w:rsid w:val="00325039"/>
    <w:rsid w:val="003250CE"/>
    <w:rsid w:val="00325255"/>
    <w:rsid w:val="00325263"/>
    <w:rsid w:val="003252ED"/>
    <w:rsid w:val="003252F8"/>
    <w:rsid w:val="00325318"/>
    <w:rsid w:val="00325339"/>
    <w:rsid w:val="00325432"/>
    <w:rsid w:val="00325438"/>
    <w:rsid w:val="00325462"/>
    <w:rsid w:val="003254CD"/>
    <w:rsid w:val="00325552"/>
    <w:rsid w:val="00325598"/>
    <w:rsid w:val="003255AA"/>
    <w:rsid w:val="0032561E"/>
    <w:rsid w:val="0032578F"/>
    <w:rsid w:val="003257BA"/>
    <w:rsid w:val="003258B7"/>
    <w:rsid w:val="003258C1"/>
    <w:rsid w:val="003259EC"/>
    <w:rsid w:val="00325AD9"/>
    <w:rsid w:val="00325BB9"/>
    <w:rsid w:val="00325BCD"/>
    <w:rsid w:val="00325BF6"/>
    <w:rsid w:val="00325C82"/>
    <w:rsid w:val="00325C86"/>
    <w:rsid w:val="00325CC3"/>
    <w:rsid w:val="00325CD4"/>
    <w:rsid w:val="00325F79"/>
    <w:rsid w:val="00325F8A"/>
    <w:rsid w:val="00326093"/>
    <w:rsid w:val="003261E1"/>
    <w:rsid w:val="00326308"/>
    <w:rsid w:val="0032637C"/>
    <w:rsid w:val="00326462"/>
    <w:rsid w:val="00326585"/>
    <w:rsid w:val="00326671"/>
    <w:rsid w:val="003266A0"/>
    <w:rsid w:val="003266DE"/>
    <w:rsid w:val="003266ED"/>
    <w:rsid w:val="003267E5"/>
    <w:rsid w:val="0032680E"/>
    <w:rsid w:val="003268C7"/>
    <w:rsid w:val="00326924"/>
    <w:rsid w:val="0032699A"/>
    <w:rsid w:val="00326A6F"/>
    <w:rsid w:val="00326A88"/>
    <w:rsid w:val="00326AFC"/>
    <w:rsid w:val="00326C0B"/>
    <w:rsid w:val="00326CB4"/>
    <w:rsid w:val="00326E62"/>
    <w:rsid w:val="00326E76"/>
    <w:rsid w:val="00326EB7"/>
    <w:rsid w:val="00326F34"/>
    <w:rsid w:val="00326F4E"/>
    <w:rsid w:val="00326F81"/>
    <w:rsid w:val="0032700D"/>
    <w:rsid w:val="00327090"/>
    <w:rsid w:val="003270D1"/>
    <w:rsid w:val="00327158"/>
    <w:rsid w:val="0032718E"/>
    <w:rsid w:val="00327209"/>
    <w:rsid w:val="0032725D"/>
    <w:rsid w:val="00327265"/>
    <w:rsid w:val="0032730F"/>
    <w:rsid w:val="00327320"/>
    <w:rsid w:val="003274B8"/>
    <w:rsid w:val="003274E9"/>
    <w:rsid w:val="003275A9"/>
    <w:rsid w:val="003275AC"/>
    <w:rsid w:val="00327761"/>
    <w:rsid w:val="00327798"/>
    <w:rsid w:val="00327864"/>
    <w:rsid w:val="00327A47"/>
    <w:rsid w:val="00327BF1"/>
    <w:rsid w:val="00327C63"/>
    <w:rsid w:val="00327CF6"/>
    <w:rsid w:val="00327D14"/>
    <w:rsid w:val="00327D43"/>
    <w:rsid w:val="00327D45"/>
    <w:rsid w:val="00327D7B"/>
    <w:rsid w:val="00327DB0"/>
    <w:rsid w:val="00327E20"/>
    <w:rsid w:val="00327FE7"/>
    <w:rsid w:val="00330022"/>
    <w:rsid w:val="0033007D"/>
    <w:rsid w:val="003301EC"/>
    <w:rsid w:val="003302AD"/>
    <w:rsid w:val="0033033D"/>
    <w:rsid w:val="0033045E"/>
    <w:rsid w:val="003304F0"/>
    <w:rsid w:val="0033053A"/>
    <w:rsid w:val="00330599"/>
    <w:rsid w:val="00330603"/>
    <w:rsid w:val="0033070C"/>
    <w:rsid w:val="0033071F"/>
    <w:rsid w:val="0033074A"/>
    <w:rsid w:val="00330791"/>
    <w:rsid w:val="00330833"/>
    <w:rsid w:val="0033083A"/>
    <w:rsid w:val="00330903"/>
    <w:rsid w:val="00330AC8"/>
    <w:rsid w:val="00330B56"/>
    <w:rsid w:val="00330B58"/>
    <w:rsid w:val="00330C29"/>
    <w:rsid w:val="00330D0B"/>
    <w:rsid w:val="00330DA1"/>
    <w:rsid w:val="00330DA9"/>
    <w:rsid w:val="00330DBF"/>
    <w:rsid w:val="00330DF2"/>
    <w:rsid w:val="00330E63"/>
    <w:rsid w:val="00330EA0"/>
    <w:rsid w:val="00330EB2"/>
    <w:rsid w:val="00330F4A"/>
    <w:rsid w:val="00330F57"/>
    <w:rsid w:val="00330FB2"/>
    <w:rsid w:val="00330FE0"/>
    <w:rsid w:val="003311A9"/>
    <w:rsid w:val="003311E9"/>
    <w:rsid w:val="003311EF"/>
    <w:rsid w:val="003312A7"/>
    <w:rsid w:val="003312AD"/>
    <w:rsid w:val="0033136C"/>
    <w:rsid w:val="003313ED"/>
    <w:rsid w:val="00331476"/>
    <w:rsid w:val="003314B6"/>
    <w:rsid w:val="003314DC"/>
    <w:rsid w:val="003314E5"/>
    <w:rsid w:val="0033150B"/>
    <w:rsid w:val="00331692"/>
    <w:rsid w:val="003316F0"/>
    <w:rsid w:val="0033174B"/>
    <w:rsid w:val="00331768"/>
    <w:rsid w:val="0033177F"/>
    <w:rsid w:val="00331814"/>
    <w:rsid w:val="0033185F"/>
    <w:rsid w:val="003318C9"/>
    <w:rsid w:val="0033194A"/>
    <w:rsid w:val="003319DB"/>
    <w:rsid w:val="00331A20"/>
    <w:rsid w:val="00331A33"/>
    <w:rsid w:val="00331A36"/>
    <w:rsid w:val="00331A54"/>
    <w:rsid w:val="00331A96"/>
    <w:rsid w:val="00331AE7"/>
    <w:rsid w:val="00331B5A"/>
    <w:rsid w:val="00331BAD"/>
    <w:rsid w:val="00331D3A"/>
    <w:rsid w:val="00331DB8"/>
    <w:rsid w:val="00331E3A"/>
    <w:rsid w:val="00331E65"/>
    <w:rsid w:val="00331E6A"/>
    <w:rsid w:val="00331E7D"/>
    <w:rsid w:val="00331ECE"/>
    <w:rsid w:val="00331F64"/>
    <w:rsid w:val="00331FD6"/>
    <w:rsid w:val="00331FDD"/>
    <w:rsid w:val="00332002"/>
    <w:rsid w:val="003320E8"/>
    <w:rsid w:val="00332113"/>
    <w:rsid w:val="003322A0"/>
    <w:rsid w:val="003324CB"/>
    <w:rsid w:val="0033253D"/>
    <w:rsid w:val="00332566"/>
    <w:rsid w:val="00332571"/>
    <w:rsid w:val="0033257A"/>
    <w:rsid w:val="00332593"/>
    <w:rsid w:val="0033262B"/>
    <w:rsid w:val="00332683"/>
    <w:rsid w:val="003326FB"/>
    <w:rsid w:val="00332785"/>
    <w:rsid w:val="003327CF"/>
    <w:rsid w:val="00332922"/>
    <w:rsid w:val="0033297A"/>
    <w:rsid w:val="003329C9"/>
    <w:rsid w:val="00332E21"/>
    <w:rsid w:val="00332E49"/>
    <w:rsid w:val="00332EFD"/>
    <w:rsid w:val="00332F6B"/>
    <w:rsid w:val="003330E1"/>
    <w:rsid w:val="00333107"/>
    <w:rsid w:val="00333211"/>
    <w:rsid w:val="0033328A"/>
    <w:rsid w:val="003332F8"/>
    <w:rsid w:val="0033343B"/>
    <w:rsid w:val="0033357E"/>
    <w:rsid w:val="00333596"/>
    <w:rsid w:val="003335AE"/>
    <w:rsid w:val="00333611"/>
    <w:rsid w:val="003336F9"/>
    <w:rsid w:val="00333738"/>
    <w:rsid w:val="00333901"/>
    <w:rsid w:val="00333911"/>
    <w:rsid w:val="0033393C"/>
    <w:rsid w:val="00333973"/>
    <w:rsid w:val="0033399D"/>
    <w:rsid w:val="00333A42"/>
    <w:rsid w:val="00333AE3"/>
    <w:rsid w:val="00333CA6"/>
    <w:rsid w:val="00333D0F"/>
    <w:rsid w:val="00333E2F"/>
    <w:rsid w:val="00333EA4"/>
    <w:rsid w:val="00333F2E"/>
    <w:rsid w:val="0033404D"/>
    <w:rsid w:val="003340D0"/>
    <w:rsid w:val="00334189"/>
    <w:rsid w:val="003341C9"/>
    <w:rsid w:val="00334220"/>
    <w:rsid w:val="003342EE"/>
    <w:rsid w:val="00334372"/>
    <w:rsid w:val="003343CD"/>
    <w:rsid w:val="003343F8"/>
    <w:rsid w:val="00334442"/>
    <w:rsid w:val="00334476"/>
    <w:rsid w:val="003344DD"/>
    <w:rsid w:val="003344FD"/>
    <w:rsid w:val="00334573"/>
    <w:rsid w:val="003345C1"/>
    <w:rsid w:val="003345D6"/>
    <w:rsid w:val="00334606"/>
    <w:rsid w:val="00334686"/>
    <w:rsid w:val="003346A1"/>
    <w:rsid w:val="00334838"/>
    <w:rsid w:val="00334854"/>
    <w:rsid w:val="003348B9"/>
    <w:rsid w:val="00334953"/>
    <w:rsid w:val="00334B86"/>
    <w:rsid w:val="00334C5A"/>
    <w:rsid w:val="00334C63"/>
    <w:rsid w:val="00334C94"/>
    <w:rsid w:val="00334E69"/>
    <w:rsid w:val="00334F04"/>
    <w:rsid w:val="00335006"/>
    <w:rsid w:val="00335027"/>
    <w:rsid w:val="003350FA"/>
    <w:rsid w:val="003351AD"/>
    <w:rsid w:val="003351B7"/>
    <w:rsid w:val="0033521A"/>
    <w:rsid w:val="0033523D"/>
    <w:rsid w:val="003352F6"/>
    <w:rsid w:val="0033533B"/>
    <w:rsid w:val="003353D9"/>
    <w:rsid w:val="0033541F"/>
    <w:rsid w:val="00335424"/>
    <w:rsid w:val="00335477"/>
    <w:rsid w:val="0033557E"/>
    <w:rsid w:val="00335715"/>
    <w:rsid w:val="003357EE"/>
    <w:rsid w:val="0033586A"/>
    <w:rsid w:val="0033588F"/>
    <w:rsid w:val="003358D7"/>
    <w:rsid w:val="00335A92"/>
    <w:rsid w:val="00335AD7"/>
    <w:rsid w:val="00335B0A"/>
    <w:rsid w:val="00335B1D"/>
    <w:rsid w:val="00335BA4"/>
    <w:rsid w:val="00335BBE"/>
    <w:rsid w:val="00335BD7"/>
    <w:rsid w:val="00335C9A"/>
    <w:rsid w:val="00335CB4"/>
    <w:rsid w:val="00335D45"/>
    <w:rsid w:val="00335D6B"/>
    <w:rsid w:val="00335DA8"/>
    <w:rsid w:val="00335DC3"/>
    <w:rsid w:val="00335E2B"/>
    <w:rsid w:val="00335E54"/>
    <w:rsid w:val="00335E99"/>
    <w:rsid w:val="003360AF"/>
    <w:rsid w:val="003360F8"/>
    <w:rsid w:val="00336171"/>
    <w:rsid w:val="00336356"/>
    <w:rsid w:val="003363D5"/>
    <w:rsid w:val="00336437"/>
    <w:rsid w:val="00336468"/>
    <w:rsid w:val="0033654A"/>
    <w:rsid w:val="003365D5"/>
    <w:rsid w:val="003365FE"/>
    <w:rsid w:val="00336650"/>
    <w:rsid w:val="00336652"/>
    <w:rsid w:val="00336694"/>
    <w:rsid w:val="003366EC"/>
    <w:rsid w:val="00336774"/>
    <w:rsid w:val="00336850"/>
    <w:rsid w:val="0033689E"/>
    <w:rsid w:val="00336926"/>
    <w:rsid w:val="00336B43"/>
    <w:rsid w:val="00336B58"/>
    <w:rsid w:val="00336BD5"/>
    <w:rsid w:val="00336C74"/>
    <w:rsid w:val="00336C76"/>
    <w:rsid w:val="00336D91"/>
    <w:rsid w:val="00337041"/>
    <w:rsid w:val="0033711B"/>
    <w:rsid w:val="00337140"/>
    <w:rsid w:val="003371A6"/>
    <w:rsid w:val="00337368"/>
    <w:rsid w:val="003373C3"/>
    <w:rsid w:val="003373F7"/>
    <w:rsid w:val="0033742D"/>
    <w:rsid w:val="003374BA"/>
    <w:rsid w:val="0033751E"/>
    <w:rsid w:val="003375EC"/>
    <w:rsid w:val="003376CC"/>
    <w:rsid w:val="003376E7"/>
    <w:rsid w:val="003376FF"/>
    <w:rsid w:val="003377DD"/>
    <w:rsid w:val="00337820"/>
    <w:rsid w:val="003378A8"/>
    <w:rsid w:val="00337961"/>
    <w:rsid w:val="003379B3"/>
    <w:rsid w:val="003379C2"/>
    <w:rsid w:val="003379FF"/>
    <w:rsid w:val="00337A1C"/>
    <w:rsid w:val="00337A56"/>
    <w:rsid w:val="00337AFC"/>
    <w:rsid w:val="00337B09"/>
    <w:rsid w:val="00337B0A"/>
    <w:rsid w:val="00337B4D"/>
    <w:rsid w:val="00337B92"/>
    <w:rsid w:val="00337C15"/>
    <w:rsid w:val="00337E5B"/>
    <w:rsid w:val="00337EA5"/>
    <w:rsid w:val="00337EAF"/>
    <w:rsid w:val="00337F61"/>
    <w:rsid w:val="003400D3"/>
    <w:rsid w:val="003400DB"/>
    <w:rsid w:val="00340109"/>
    <w:rsid w:val="0034014A"/>
    <w:rsid w:val="0034019D"/>
    <w:rsid w:val="00340266"/>
    <w:rsid w:val="003403D7"/>
    <w:rsid w:val="003404A1"/>
    <w:rsid w:val="003406C6"/>
    <w:rsid w:val="003407A9"/>
    <w:rsid w:val="0034084E"/>
    <w:rsid w:val="003408C0"/>
    <w:rsid w:val="0034096D"/>
    <w:rsid w:val="00340A54"/>
    <w:rsid w:val="00340BA3"/>
    <w:rsid w:val="00340BAF"/>
    <w:rsid w:val="00340C2B"/>
    <w:rsid w:val="00340DB0"/>
    <w:rsid w:val="00340EFE"/>
    <w:rsid w:val="00340F12"/>
    <w:rsid w:val="00340F16"/>
    <w:rsid w:val="00340F82"/>
    <w:rsid w:val="00340F9A"/>
    <w:rsid w:val="00341018"/>
    <w:rsid w:val="00341076"/>
    <w:rsid w:val="00341088"/>
    <w:rsid w:val="003410DC"/>
    <w:rsid w:val="003410DD"/>
    <w:rsid w:val="003410E3"/>
    <w:rsid w:val="003410E6"/>
    <w:rsid w:val="003410F2"/>
    <w:rsid w:val="0034110D"/>
    <w:rsid w:val="00341124"/>
    <w:rsid w:val="00341164"/>
    <w:rsid w:val="0034116E"/>
    <w:rsid w:val="003411FB"/>
    <w:rsid w:val="00341321"/>
    <w:rsid w:val="00341388"/>
    <w:rsid w:val="0034139B"/>
    <w:rsid w:val="003413E1"/>
    <w:rsid w:val="00341779"/>
    <w:rsid w:val="003417C3"/>
    <w:rsid w:val="003417F8"/>
    <w:rsid w:val="0034182A"/>
    <w:rsid w:val="0034184F"/>
    <w:rsid w:val="00341861"/>
    <w:rsid w:val="0034187B"/>
    <w:rsid w:val="00341892"/>
    <w:rsid w:val="003418A2"/>
    <w:rsid w:val="003418F4"/>
    <w:rsid w:val="00341938"/>
    <w:rsid w:val="00341ABA"/>
    <w:rsid w:val="00341C14"/>
    <w:rsid w:val="00341D28"/>
    <w:rsid w:val="00341EB3"/>
    <w:rsid w:val="00341EF0"/>
    <w:rsid w:val="00341F65"/>
    <w:rsid w:val="00341FB6"/>
    <w:rsid w:val="00342009"/>
    <w:rsid w:val="00342058"/>
    <w:rsid w:val="00342088"/>
    <w:rsid w:val="003420D9"/>
    <w:rsid w:val="0034213D"/>
    <w:rsid w:val="00342140"/>
    <w:rsid w:val="003421F8"/>
    <w:rsid w:val="00342235"/>
    <w:rsid w:val="0034224D"/>
    <w:rsid w:val="00342272"/>
    <w:rsid w:val="00342349"/>
    <w:rsid w:val="003423E0"/>
    <w:rsid w:val="003424E5"/>
    <w:rsid w:val="003425FF"/>
    <w:rsid w:val="0034264F"/>
    <w:rsid w:val="003426C0"/>
    <w:rsid w:val="003426F2"/>
    <w:rsid w:val="00342A31"/>
    <w:rsid w:val="00342A54"/>
    <w:rsid w:val="00342A94"/>
    <w:rsid w:val="00342AA8"/>
    <w:rsid w:val="00342B65"/>
    <w:rsid w:val="00342B8F"/>
    <w:rsid w:val="00342CCB"/>
    <w:rsid w:val="00342D0D"/>
    <w:rsid w:val="00342E11"/>
    <w:rsid w:val="00342E17"/>
    <w:rsid w:val="00342FCC"/>
    <w:rsid w:val="00342FE5"/>
    <w:rsid w:val="00342FFC"/>
    <w:rsid w:val="0034301A"/>
    <w:rsid w:val="00343096"/>
    <w:rsid w:val="003431C7"/>
    <w:rsid w:val="0034335D"/>
    <w:rsid w:val="00343452"/>
    <w:rsid w:val="0034345B"/>
    <w:rsid w:val="003434AD"/>
    <w:rsid w:val="003434B0"/>
    <w:rsid w:val="003434EB"/>
    <w:rsid w:val="00343663"/>
    <w:rsid w:val="00343698"/>
    <w:rsid w:val="00343A86"/>
    <w:rsid w:val="00343AA7"/>
    <w:rsid w:val="00343AE2"/>
    <w:rsid w:val="00343B9F"/>
    <w:rsid w:val="00343BC1"/>
    <w:rsid w:val="00343C49"/>
    <w:rsid w:val="00343C5C"/>
    <w:rsid w:val="00343CBD"/>
    <w:rsid w:val="00343D2D"/>
    <w:rsid w:val="00343D3D"/>
    <w:rsid w:val="00343D76"/>
    <w:rsid w:val="00343E29"/>
    <w:rsid w:val="00343F58"/>
    <w:rsid w:val="003440A9"/>
    <w:rsid w:val="00344175"/>
    <w:rsid w:val="0034418A"/>
    <w:rsid w:val="003441DF"/>
    <w:rsid w:val="0034425C"/>
    <w:rsid w:val="003442B9"/>
    <w:rsid w:val="00344449"/>
    <w:rsid w:val="0034446C"/>
    <w:rsid w:val="003444BF"/>
    <w:rsid w:val="003444C0"/>
    <w:rsid w:val="00344524"/>
    <w:rsid w:val="0034454A"/>
    <w:rsid w:val="0034457F"/>
    <w:rsid w:val="003445F8"/>
    <w:rsid w:val="0034471A"/>
    <w:rsid w:val="003447A7"/>
    <w:rsid w:val="003447E4"/>
    <w:rsid w:val="003447F3"/>
    <w:rsid w:val="003448B7"/>
    <w:rsid w:val="003448FE"/>
    <w:rsid w:val="003449A8"/>
    <w:rsid w:val="00344A9A"/>
    <w:rsid w:val="00344AC3"/>
    <w:rsid w:val="00344C00"/>
    <w:rsid w:val="00344DB8"/>
    <w:rsid w:val="00344DF3"/>
    <w:rsid w:val="00344DFD"/>
    <w:rsid w:val="00344E08"/>
    <w:rsid w:val="00345071"/>
    <w:rsid w:val="003451D3"/>
    <w:rsid w:val="0034520F"/>
    <w:rsid w:val="003452E3"/>
    <w:rsid w:val="00345312"/>
    <w:rsid w:val="00345324"/>
    <w:rsid w:val="003453A0"/>
    <w:rsid w:val="0034541C"/>
    <w:rsid w:val="00345427"/>
    <w:rsid w:val="003454F6"/>
    <w:rsid w:val="00345507"/>
    <w:rsid w:val="0034563C"/>
    <w:rsid w:val="00345681"/>
    <w:rsid w:val="003456B6"/>
    <w:rsid w:val="003456F5"/>
    <w:rsid w:val="00345767"/>
    <w:rsid w:val="00345876"/>
    <w:rsid w:val="00345A19"/>
    <w:rsid w:val="00345A7F"/>
    <w:rsid w:val="00345AF8"/>
    <w:rsid w:val="00345B12"/>
    <w:rsid w:val="00345B8D"/>
    <w:rsid w:val="00345D98"/>
    <w:rsid w:val="00345DB2"/>
    <w:rsid w:val="00345E28"/>
    <w:rsid w:val="00345E3B"/>
    <w:rsid w:val="00345E4A"/>
    <w:rsid w:val="00345EEB"/>
    <w:rsid w:val="00345F6D"/>
    <w:rsid w:val="00345FA7"/>
    <w:rsid w:val="00345FDE"/>
    <w:rsid w:val="00346017"/>
    <w:rsid w:val="00346096"/>
    <w:rsid w:val="00346125"/>
    <w:rsid w:val="003461D7"/>
    <w:rsid w:val="00346445"/>
    <w:rsid w:val="003464A1"/>
    <w:rsid w:val="003465D0"/>
    <w:rsid w:val="00346631"/>
    <w:rsid w:val="0034676D"/>
    <w:rsid w:val="003467AC"/>
    <w:rsid w:val="00346825"/>
    <w:rsid w:val="00346896"/>
    <w:rsid w:val="0034690B"/>
    <w:rsid w:val="00346A62"/>
    <w:rsid w:val="00346A71"/>
    <w:rsid w:val="00346A7F"/>
    <w:rsid w:val="00346AAD"/>
    <w:rsid w:val="00346BAF"/>
    <w:rsid w:val="00346C33"/>
    <w:rsid w:val="00346C8D"/>
    <w:rsid w:val="00346CD8"/>
    <w:rsid w:val="00346D96"/>
    <w:rsid w:val="00346DC7"/>
    <w:rsid w:val="00346E03"/>
    <w:rsid w:val="00346E26"/>
    <w:rsid w:val="00346E86"/>
    <w:rsid w:val="00346ECC"/>
    <w:rsid w:val="00346F2E"/>
    <w:rsid w:val="00346FF8"/>
    <w:rsid w:val="00347086"/>
    <w:rsid w:val="00347191"/>
    <w:rsid w:val="003472A0"/>
    <w:rsid w:val="00347342"/>
    <w:rsid w:val="0034736A"/>
    <w:rsid w:val="0034737A"/>
    <w:rsid w:val="0034747C"/>
    <w:rsid w:val="003474CA"/>
    <w:rsid w:val="00347511"/>
    <w:rsid w:val="00347519"/>
    <w:rsid w:val="00347692"/>
    <w:rsid w:val="00347762"/>
    <w:rsid w:val="0034782F"/>
    <w:rsid w:val="003478AC"/>
    <w:rsid w:val="003478AD"/>
    <w:rsid w:val="003478E5"/>
    <w:rsid w:val="0034795D"/>
    <w:rsid w:val="00347986"/>
    <w:rsid w:val="00347A5E"/>
    <w:rsid w:val="00347A6E"/>
    <w:rsid w:val="00347ACE"/>
    <w:rsid w:val="00347B6C"/>
    <w:rsid w:val="00347D57"/>
    <w:rsid w:val="00347D8A"/>
    <w:rsid w:val="00347F16"/>
    <w:rsid w:val="00350023"/>
    <w:rsid w:val="0035003E"/>
    <w:rsid w:val="003501F8"/>
    <w:rsid w:val="0035020E"/>
    <w:rsid w:val="0035021D"/>
    <w:rsid w:val="003502B4"/>
    <w:rsid w:val="00350353"/>
    <w:rsid w:val="003503F2"/>
    <w:rsid w:val="00350415"/>
    <w:rsid w:val="0035046A"/>
    <w:rsid w:val="00350527"/>
    <w:rsid w:val="00350648"/>
    <w:rsid w:val="003506E2"/>
    <w:rsid w:val="003506EF"/>
    <w:rsid w:val="00350747"/>
    <w:rsid w:val="00350809"/>
    <w:rsid w:val="003508E8"/>
    <w:rsid w:val="0035090C"/>
    <w:rsid w:val="00350936"/>
    <w:rsid w:val="00350A0D"/>
    <w:rsid w:val="00350AB0"/>
    <w:rsid w:val="00350AF9"/>
    <w:rsid w:val="00350B59"/>
    <w:rsid w:val="00350B5D"/>
    <w:rsid w:val="00350BF6"/>
    <w:rsid w:val="00350C3B"/>
    <w:rsid w:val="00350C51"/>
    <w:rsid w:val="00350C54"/>
    <w:rsid w:val="00350CAB"/>
    <w:rsid w:val="00350CAC"/>
    <w:rsid w:val="00350D30"/>
    <w:rsid w:val="00350D5A"/>
    <w:rsid w:val="00350E14"/>
    <w:rsid w:val="00350E1F"/>
    <w:rsid w:val="00350E4F"/>
    <w:rsid w:val="00350E60"/>
    <w:rsid w:val="00351055"/>
    <w:rsid w:val="0035107A"/>
    <w:rsid w:val="0035110E"/>
    <w:rsid w:val="00351309"/>
    <w:rsid w:val="003514C9"/>
    <w:rsid w:val="003514D6"/>
    <w:rsid w:val="0035151C"/>
    <w:rsid w:val="003515C3"/>
    <w:rsid w:val="0035170F"/>
    <w:rsid w:val="0035171A"/>
    <w:rsid w:val="00351760"/>
    <w:rsid w:val="0035178A"/>
    <w:rsid w:val="003517C5"/>
    <w:rsid w:val="0035182C"/>
    <w:rsid w:val="003518FE"/>
    <w:rsid w:val="00351916"/>
    <w:rsid w:val="00351966"/>
    <w:rsid w:val="003519B6"/>
    <w:rsid w:val="003519FC"/>
    <w:rsid w:val="00351AA5"/>
    <w:rsid w:val="00351B2B"/>
    <w:rsid w:val="00351C33"/>
    <w:rsid w:val="00351D36"/>
    <w:rsid w:val="00351D97"/>
    <w:rsid w:val="00351E6C"/>
    <w:rsid w:val="00351E92"/>
    <w:rsid w:val="0035211D"/>
    <w:rsid w:val="00352254"/>
    <w:rsid w:val="0035229F"/>
    <w:rsid w:val="003522A3"/>
    <w:rsid w:val="00352409"/>
    <w:rsid w:val="0035244F"/>
    <w:rsid w:val="00352478"/>
    <w:rsid w:val="003524DB"/>
    <w:rsid w:val="0035255A"/>
    <w:rsid w:val="003525C2"/>
    <w:rsid w:val="00352697"/>
    <w:rsid w:val="003526F3"/>
    <w:rsid w:val="003527DE"/>
    <w:rsid w:val="003528A7"/>
    <w:rsid w:val="00352ACF"/>
    <w:rsid w:val="00352AD1"/>
    <w:rsid w:val="00352BA1"/>
    <w:rsid w:val="00352C4F"/>
    <w:rsid w:val="00352C68"/>
    <w:rsid w:val="00352C7F"/>
    <w:rsid w:val="00352C97"/>
    <w:rsid w:val="00352D79"/>
    <w:rsid w:val="00352D90"/>
    <w:rsid w:val="00352DE0"/>
    <w:rsid w:val="00352EC7"/>
    <w:rsid w:val="00352F0A"/>
    <w:rsid w:val="00352FC0"/>
    <w:rsid w:val="00353087"/>
    <w:rsid w:val="003530DC"/>
    <w:rsid w:val="0035314A"/>
    <w:rsid w:val="00353257"/>
    <w:rsid w:val="0035333D"/>
    <w:rsid w:val="003533AF"/>
    <w:rsid w:val="00353426"/>
    <w:rsid w:val="00353469"/>
    <w:rsid w:val="003534BC"/>
    <w:rsid w:val="003534D0"/>
    <w:rsid w:val="00353697"/>
    <w:rsid w:val="0035376B"/>
    <w:rsid w:val="00353929"/>
    <w:rsid w:val="0035392E"/>
    <w:rsid w:val="00353A64"/>
    <w:rsid w:val="00353ABE"/>
    <w:rsid w:val="00353B67"/>
    <w:rsid w:val="00353B69"/>
    <w:rsid w:val="00353BAD"/>
    <w:rsid w:val="00353BBF"/>
    <w:rsid w:val="00353D2E"/>
    <w:rsid w:val="00353F43"/>
    <w:rsid w:val="00353F9E"/>
    <w:rsid w:val="00354073"/>
    <w:rsid w:val="003540D1"/>
    <w:rsid w:val="00354398"/>
    <w:rsid w:val="003543FB"/>
    <w:rsid w:val="00354452"/>
    <w:rsid w:val="00354468"/>
    <w:rsid w:val="003544FE"/>
    <w:rsid w:val="00354545"/>
    <w:rsid w:val="003545A5"/>
    <w:rsid w:val="003545BF"/>
    <w:rsid w:val="0035465F"/>
    <w:rsid w:val="003547CC"/>
    <w:rsid w:val="00354859"/>
    <w:rsid w:val="00354880"/>
    <w:rsid w:val="00354882"/>
    <w:rsid w:val="00354965"/>
    <w:rsid w:val="003549F9"/>
    <w:rsid w:val="00354ACC"/>
    <w:rsid w:val="00354AD1"/>
    <w:rsid w:val="00354B19"/>
    <w:rsid w:val="00354B1E"/>
    <w:rsid w:val="00354BB3"/>
    <w:rsid w:val="00354BD4"/>
    <w:rsid w:val="00354BD9"/>
    <w:rsid w:val="00354BDA"/>
    <w:rsid w:val="00354C94"/>
    <w:rsid w:val="00354CE1"/>
    <w:rsid w:val="00354EE7"/>
    <w:rsid w:val="00354F7E"/>
    <w:rsid w:val="00354FE6"/>
    <w:rsid w:val="003551E2"/>
    <w:rsid w:val="00355245"/>
    <w:rsid w:val="0035540F"/>
    <w:rsid w:val="003554BE"/>
    <w:rsid w:val="003554ED"/>
    <w:rsid w:val="00355514"/>
    <w:rsid w:val="003555BA"/>
    <w:rsid w:val="00355641"/>
    <w:rsid w:val="003556B4"/>
    <w:rsid w:val="00355710"/>
    <w:rsid w:val="0035586A"/>
    <w:rsid w:val="003558AE"/>
    <w:rsid w:val="0035597A"/>
    <w:rsid w:val="003559F9"/>
    <w:rsid w:val="00355A08"/>
    <w:rsid w:val="00355A5D"/>
    <w:rsid w:val="00355A77"/>
    <w:rsid w:val="00355B2F"/>
    <w:rsid w:val="00355BCE"/>
    <w:rsid w:val="00355BF2"/>
    <w:rsid w:val="00355C04"/>
    <w:rsid w:val="00355C0E"/>
    <w:rsid w:val="00355C1F"/>
    <w:rsid w:val="00355CA9"/>
    <w:rsid w:val="00355D75"/>
    <w:rsid w:val="00355DEB"/>
    <w:rsid w:val="00355E80"/>
    <w:rsid w:val="0035611A"/>
    <w:rsid w:val="00356182"/>
    <w:rsid w:val="00356217"/>
    <w:rsid w:val="0035629C"/>
    <w:rsid w:val="003562A3"/>
    <w:rsid w:val="0035630B"/>
    <w:rsid w:val="003563BC"/>
    <w:rsid w:val="003563E0"/>
    <w:rsid w:val="00356508"/>
    <w:rsid w:val="00356618"/>
    <w:rsid w:val="00356633"/>
    <w:rsid w:val="0035663B"/>
    <w:rsid w:val="0035668D"/>
    <w:rsid w:val="003566A4"/>
    <w:rsid w:val="00356721"/>
    <w:rsid w:val="00356747"/>
    <w:rsid w:val="003567E0"/>
    <w:rsid w:val="003568C2"/>
    <w:rsid w:val="003569DD"/>
    <w:rsid w:val="00356A1D"/>
    <w:rsid w:val="00356A21"/>
    <w:rsid w:val="00356A22"/>
    <w:rsid w:val="00356BD8"/>
    <w:rsid w:val="00356C18"/>
    <w:rsid w:val="00356C3D"/>
    <w:rsid w:val="00356C83"/>
    <w:rsid w:val="00356C8E"/>
    <w:rsid w:val="00356CA8"/>
    <w:rsid w:val="00356DE9"/>
    <w:rsid w:val="00356E7D"/>
    <w:rsid w:val="00356FEC"/>
    <w:rsid w:val="0035714F"/>
    <w:rsid w:val="00357237"/>
    <w:rsid w:val="0035726F"/>
    <w:rsid w:val="0035727E"/>
    <w:rsid w:val="0035728F"/>
    <w:rsid w:val="00357355"/>
    <w:rsid w:val="0035745F"/>
    <w:rsid w:val="00357483"/>
    <w:rsid w:val="003574C7"/>
    <w:rsid w:val="00357577"/>
    <w:rsid w:val="003575AB"/>
    <w:rsid w:val="003575DC"/>
    <w:rsid w:val="003575E0"/>
    <w:rsid w:val="00357711"/>
    <w:rsid w:val="00357736"/>
    <w:rsid w:val="00357753"/>
    <w:rsid w:val="003577CF"/>
    <w:rsid w:val="0035790A"/>
    <w:rsid w:val="0035792B"/>
    <w:rsid w:val="00357967"/>
    <w:rsid w:val="003579D4"/>
    <w:rsid w:val="00357BD5"/>
    <w:rsid w:val="00357CB8"/>
    <w:rsid w:val="00357CCF"/>
    <w:rsid w:val="00357E6A"/>
    <w:rsid w:val="00357E77"/>
    <w:rsid w:val="00357ED8"/>
    <w:rsid w:val="00357F13"/>
    <w:rsid w:val="00360066"/>
    <w:rsid w:val="00360073"/>
    <w:rsid w:val="00360085"/>
    <w:rsid w:val="0036015F"/>
    <w:rsid w:val="003601A5"/>
    <w:rsid w:val="0036031C"/>
    <w:rsid w:val="00360327"/>
    <w:rsid w:val="0036032E"/>
    <w:rsid w:val="00360393"/>
    <w:rsid w:val="00360432"/>
    <w:rsid w:val="00360476"/>
    <w:rsid w:val="003604E9"/>
    <w:rsid w:val="00360591"/>
    <w:rsid w:val="00360645"/>
    <w:rsid w:val="003606A6"/>
    <w:rsid w:val="00360829"/>
    <w:rsid w:val="0036086F"/>
    <w:rsid w:val="003608CA"/>
    <w:rsid w:val="003608FA"/>
    <w:rsid w:val="003609C5"/>
    <w:rsid w:val="003609EC"/>
    <w:rsid w:val="00360A82"/>
    <w:rsid w:val="00360AB6"/>
    <w:rsid w:val="00360AC0"/>
    <w:rsid w:val="00360B23"/>
    <w:rsid w:val="00360B46"/>
    <w:rsid w:val="00360B58"/>
    <w:rsid w:val="00360B5B"/>
    <w:rsid w:val="00360B75"/>
    <w:rsid w:val="00360B7D"/>
    <w:rsid w:val="00360BEE"/>
    <w:rsid w:val="00360C94"/>
    <w:rsid w:val="00360CD4"/>
    <w:rsid w:val="00360D5E"/>
    <w:rsid w:val="00360DEE"/>
    <w:rsid w:val="00360E71"/>
    <w:rsid w:val="00360E9D"/>
    <w:rsid w:val="00360EBD"/>
    <w:rsid w:val="00360F22"/>
    <w:rsid w:val="00360F86"/>
    <w:rsid w:val="00360FB6"/>
    <w:rsid w:val="00361043"/>
    <w:rsid w:val="00361089"/>
    <w:rsid w:val="0036130D"/>
    <w:rsid w:val="003613A1"/>
    <w:rsid w:val="003613D0"/>
    <w:rsid w:val="003613E4"/>
    <w:rsid w:val="00361429"/>
    <w:rsid w:val="003614D6"/>
    <w:rsid w:val="0036151C"/>
    <w:rsid w:val="0036159E"/>
    <w:rsid w:val="0036162F"/>
    <w:rsid w:val="00361633"/>
    <w:rsid w:val="003616BC"/>
    <w:rsid w:val="003616FE"/>
    <w:rsid w:val="00361730"/>
    <w:rsid w:val="003619B2"/>
    <w:rsid w:val="003619F3"/>
    <w:rsid w:val="00361A9B"/>
    <w:rsid w:val="00361B15"/>
    <w:rsid w:val="00361B17"/>
    <w:rsid w:val="00361B9A"/>
    <w:rsid w:val="00361C89"/>
    <w:rsid w:val="00361D53"/>
    <w:rsid w:val="00361D69"/>
    <w:rsid w:val="00361DC3"/>
    <w:rsid w:val="00361E04"/>
    <w:rsid w:val="00361E1B"/>
    <w:rsid w:val="00361EFC"/>
    <w:rsid w:val="00361FC2"/>
    <w:rsid w:val="0036202B"/>
    <w:rsid w:val="0036209E"/>
    <w:rsid w:val="003620C7"/>
    <w:rsid w:val="00362110"/>
    <w:rsid w:val="003621B8"/>
    <w:rsid w:val="003621BB"/>
    <w:rsid w:val="003621CE"/>
    <w:rsid w:val="003622F0"/>
    <w:rsid w:val="0036230C"/>
    <w:rsid w:val="003623DF"/>
    <w:rsid w:val="00362504"/>
    <w:rsid w:val="00362521"/>
    <w:rsid w:val="003625FF"/>
    <w:rsid w:val="0036264A"/>
    <w:rsid w:val="00362741"/>
    <w:rsid w:val="003627D2"/>
    <w:rsid w:val="003627F0"/>
    <w:rsid w:val="0036283A"/>
    <w:rsid w:val="0036284C"/>
    <w:rsid w:val="00362898"/>
    <w:rsid w:val="00362996"/>
    <w:rsid w:val="003629D1"/>
    <w:rsid w:val="00362C33"/>
    <w:rsid w:val="00362C73"/>
    <w:rsid w:val="00362C9B"/>
    <w:rsid w:val="00362CCF"/>
    <w:rsid w:val="00362E79"/>
    <w:rsid w:val="00362F2B"/>
    <w:rsid w:val="00362F4E"/>
    <w:rsid w:val="00362FAA"/>
    <w:rsid w:val="0036302D"/>
    <w:rsid w:val="0036303A"/>
    <w:rsid w:val="0036318E"/>
    <w:rsid w:val="003631C8"/>
    <w:rsid w:val="003631DB"/>
    <w:rsid w:val="00363222"/>
    <w:rsid w:val="003632FE"/>
    <w:rsid w:val="00363374"/>
    <w:rsid w:val="00363424"/>
    <w:rsid w:val="0036349B"/>
    <w:rsid w:val="00363522"/>
    <w:rsid w:val="00363543"/>
    <w:rsid w:val="00363569"/>
    <w:rsid w:val="00363653"/>
    <w:rsid w:val="0036369B"/>
    <w:rsid w:val="003636A7"/>
    <w:rsid w:val="003636A8"/>
    <w:rsid w:val="003636B3"/>
    <w:rsid w:val="0036386C"/>
    <w:rsid w:val="00363987"/>
    <w:rsid w:val="00363ABC"/>
    <w:rsid w:val="00363B38"/>
    <w:rsid w:val="00363B61"/>
    <w:rsid w:val="00363BCC"/>
    <w:rsid w:val="00363C9F"/>
    <w:rsid w:val="00363DC5"/>
    <w:rsid w:val="00363DE8"/>
    <w:rsid w:val="00363F51"/>
    <w:rsid w:val="00363F7C"/>
    <w:rsid w:val="0036402F"/>
    <w:rsid w:val="0036407D"/>
    <w:rsid w:val="00364085"/>
    <w:rsid w:val="0036409D"/>
    <w:rsid w:val="0036414A"/>
    <w:rsid w:val="003642BD"/>
    <w:rsid w:val="003642E1"/>
    <w:rsid w:val="003644CF"/>
    <w:rsid w:val="0036450B"/>
    <w:rsid w:val="00364524"/>
    <w:rsid w:val="003645FF"/>
    <w:rsid w:val="00364631"/>
    <w:rsid w:val="0036468F"/>
    <w:rsid w:val="00364748"/>
    <w:rsid w:val="003647B6"/>
    <w:rsid w:val="003647CC"/>
    <w:rsid w:val="0036484F"/>
    <w:rsid w:val="0036487F"/>
    <w:rsid w:val="00364ABE"/>
    <w:rsid w:val="00364ADE"/>
    <w:rsid w:val="00364AF7"/>
    <w:rsid w:val="00364B9A"/>
    <w:rsid w:val="00364BF5"/>
    <w:rsid w:val="00364C88"/>
    <w:rsid w:val="00364D22"/>
    <w:rsid w:val="00364D69"/>
    <w:rsid w:val="00364D76"/>
    <w:rsid w:val="00364EB3"/>
    <w:rsid w:val="00364F10"/>
    <w:rsid w:val="00364F20"/>
    <w:rsid w:val="00365112"/>
    <w:rsid w:val="0036513A"/>
    <w:rsid w:val="00365237"/>
    <w:rsid w:val="0036527A"/>
    <w:rsid w:val="0036531F"/>
    <w:rsid w:val="0036533F"/>
    <w:rsid w:val="003653A5"/>
    <w:rsid w:val="003654F5"/>
    <w:rsid w:val="003654FF"/>
    <w:rsid w:val="0036559C"/>
    <w:rsid w:val="0036564C"/>
    <w:rsid w:val="0036575D"/>
    <w:rsid w:val="0036587E"/>
    <w:rsid w:val="00365A60"/>
    <w:rsid w:val="00365D53"/>
    <w:rsid w:val="00365E12"/>
    <w:rsid w:val="00365E76"/>
    <w:rsid w:val="00365F23"/>
    <w:rsid w:val="00365F41"/>
    <w:rsid w:val="003660CD"/>
    <w:rsid w:val="003660F1"/>
    <w:rsid w:val="0036610B"/>
    <w:rsid w:val="00366193"/>
    <w:rsid w:val="00366207"/>
    <w:rsid w:val="003662C5"/>
    <w:rsid w:val="003664F6"/>
    <w:rsid w:val="00366537"/>
    <w:rsid w:val="00366548"/>
    <w:rsid w:val="00366723"/>
    <w:rsid w:val="003667A3"/>
    <w:rsid w:val="00366888"/>
    <w:rsid w:val="00366957"/>
    <w:rsid w:val="00366959"/>
    <w:rsid w:val="00366985"/>
    <w:rsid w:val="0036698B"/>
    <w:rsid w:val="00366A8E"/>
    <w:rsid w:val="00366B08"/>
    <w:rsid w:val="00366BA0"/>
    <w:rsid w:val="00366BE1"/>
    <w:rsid w:val="00366BE7"/>
    <w:rsid w:val="00366CA9"/>
    <w:rsid w:val="00366D04"/>
    <w:rsid w:val="00366D80"/>
    <w:rsid w:val="00366DEC"/>
    <w:rsid w:val="00366E07"/>
    <w:rsid w:val="00366E7E"/>
    <w:rsid w:val="00366E99"/>
    <w:rsid w:val="00366EA0"/>
    <w:rsid w:val="00366F11"/>
    <w:rsid w:val="00366F63"/>
    <w:rsid w:val="00366FC9"/>
    <w:rsid w:val="00367049"/>
    <w:rsid w:val="0036709D"/>
    <w:rsid w:val="003670AF"/>
    <w:rsid w:val="00367231"/>
    <w:rsid w:val="00367278"/>
    <w:rsid w:val="00367496"/>
    <w:rsid w:val="00367608"/>
    <w:rsid w:val="003676BB"/>
    <w:rsid w:val="003676F6"/>
    <w:rsid w:val="00367735"/>
    <w:rsid w:val="00367779"/>
    <w:rsid w:val="003677AC"/>
    <w:rsid w:val="0036785A"/>
    <w:rsid w:val="003678AC"/>
    <w:rsid w:val="003678BE"/>
    <w:rsid w:val="003678E9"/>
    <w:rsid w:val="003678F5"/>
    <w:rsid w:val="00367ACF"/>
    <w:rsid w:val="00367ADF"/>
    <w:rsid w:val="00367B16"/>
    <w:rsid w:val="00367B49"/>
    <w:rsid w:val="00367BA1"/>
    <w:rsid w:val="00367C0E"/>
    <w:rsid w:val="00367C3E"/>
    <w:rsid w:val="00367C74"/>
    <w:rsid w:val="00367D29"/>
    <w:rsid w:val="00367D33"/>
    <w:rsid w:val="00367DDF"/>
    <w:rsid w:val="00367E43"/>
    <w:rsid w:val="00367ECC"/>
    <w:rsid w:val="00367F47"/>
    <w:rsid w:val="00367F50"/>
    <w:rsid w:val="00367F97"/>
    <w:rsid w:val="00367FC9"/>
    <w:rsid w:val="00367FE5"/>
    <w:rsid w:val="0037003E"/>
    <w:rsid w:val="0037004F"/>
    <w:rsid w:val="00370064"/>
    <w:rsid w:val="00370079"/>
    <w:rsid w:val="003700A4"/>
    <w:rsid w:val="003700F8"/>
    <w:rsid w:val="00370121"/>
    <w:rsid w:val="00370183"/>
    <w:rsid w:val="003701CE"/>
    <w:rsid w:val="00370213"/>
    <w:rsid w:val="00370221"/>
    <w:rsid w:val="00370277"/>
    <w:rsid w:val="0037043C"/>
    <w:rsid w:val="003704CB"/>
    <w:rsid w:val="003704F2"/>
    <w:rsid w:val="003704FC"/>
    <w:rsid w:val="0037060F"/>
    <w:rsid w:val="00370684"/>
    <w:rsid w:val="003707DB"/>
    <w:rsid w:val="00370890"/>
    <w:rsid w:val="00370918"/>
    <w:rsid w:val="00370949"/>
    <w:rsid w:val="0037095F"/>
    <w:rsid w:val="003709CC"/>
    <w:rsid w:val="00370A65"/>
    <w:rsid w:val="00370B64"/>
    <w:rsid w:val="00370BF0"/>
    <w:rsid w:val="00370C25"/>
    <w:rsid w:val="00370C2E"/>
    <w:rsid w:val="00370D5E"/>
    <w:rsid w:val="00370E50"/>
    <w:rsid w:val="00370E62"/>
    <w:rsid w:val="00370F54"/>
    <w:rsid w:val="00370F5D"/>
    <w:rsid w:val="00370FE2"/>
    <w:rsid w:val="003710D5"/>
    <w:rsid w:val="003711FE"/>
    <w:rsid w:val="00371379"/>
    <w:rsid w:val="00371427"/>
    <w:rsid w:val="00371461"/>
    <w:rsid w:val="00371476"/>
    <w:rsid w:val="0037147F"/>
    <w:rsid w:val="00371522"/>
    <w:rsid w:val="00371525"/>
    <w:rsid w:val="0037154B"/>
    <w:rsid w:val="00371623"/>
    <w:rsid w:val="00371627"/>
    <w:rsid w:val="0037163E"/>
    <w:rsid w:val="00371703"/>
    <w:rsid w:val="00371784"/>
    <w:rsid w:val="003717D6"/>
    <w:rsid w:val="00371826"/>
    <w:rsid w:val="003718BB"/>
    <w:rsid w:val="003718F5"/>
    <w:rsid w:val="0037191B"/>
    <w:rsid w:val="003719AB"/>
    <w:rsid w:val="00371A40"/>
    <w:rsid w:val="00371A94"/>
    <w:rsid w:val="00371B40"/>
    <w:rsid w:val="00371BB7"/>
    <w:rsid w:val="00371C1C"/>
    <w:rsid w:val="00371C21"/>
    <w:rsid w:val="00371D21"/>
    <w:rsid w:val="00371DD8"/>
    <w:rsid w:val="00371E2A"/>
    <w:rsid w:val="00371EA4"/>
    <w:rsid w:val="00371F39"/>
    <w:rsid w:val="00371FBC"/>
    <w:rsid w:val="00371FD5"/>
    <w:rsid w:val="00371FD8"/>
    <w:rsid w:val="003720AD"/>
    <w:rsid w:val="00372104"/>
    <w:rsid w:val="00372143"/>
    <w:rsid w:val="0037214F"/>
    <w:rsid w:val="0037215D"/>
    <w:rsid w:val="00372166"/>
    <w:rsid w:val="0037227B"/>
    <w:rsid w:val="00372338"/>
    <w:rsid w:val="003723EB"/>
    <w:rsid w:val="0037243B"/>
    <w:rsid w:val="0037244A"/>
    <w:rsid w:val="00372492"/>
    <w:rsid w:val="003724D9"/>
    <w:rsid w:val="0037251C"/>
    <w:rsid w:val="00372587"/>
    <w:rsid w:val="003726D7"/>
    <w:rsid w:val="0037272C"/>
    <w:rsid w:val="00372779"/>
    <w:rsid w:val="003727BC"/>
    <w:rsid w:val="00372819"/>
    <w:rsid w:val="00372993"/>
    <w:rsid w:val="00372A36"/>
    <w:rsid w:val="00372B11"/>
    <w:rsid w:val="00372B94"/>
    <w:rsid w:val="00372B9A"/>
    <w:rsid w:val="00372CB3"/>
    <w:rsid w:val="00372CDD"/>
    <w:rsid w:val="00372CFA"/>
    <w:rsid w:val="00372E50"/>
    <w:rsid w:val="00372E5E"/>
    <w:rsid w:val="00372E9F"/>
    <w:rsid w:val="00372EAE"/>
    <w:rsid w:val="00372EBA"/>
    <w:rsid w:val="00372EBF"/>
    <w:rsid w:val="00372EDC"/>
    <w:rsid w:val="00372F56"/>
    <w:rsid w:val="00373136"/>
    <w:rsid w:val="003731BF"/>
    <w:rsid w:val="00373204"/>
    <w:rsid w:val="00373233"/>
    <w:rsid w:val="0037324D"/>
    <w:rsid w:val="00373311"/>
    <w:rsid w:val="0037332B"/>
    <w:rsid w:val="0037333A"/>
    <w:rsid w:val="00373343"/>
    <w:rsid w:val="0037338D"/>
    <w:rsid w:val="003733A5"/>
    <w:rsid w:val="003733A9"/>
    <w:rsid w:val="003733BA"/>
    <w:rsid w:val="003733C8"/>
    <w:rsid w:val="003733DE"/>
    <w:rsid w:val="00373529"/>
    <w:rsid w:val="0037353C"/>
    <w:rsid w:val="003735AB"/>
    <w:rsid w:val="00373625"/>
    <w:rsid w:val="003736C5"/>
    <w:rsid w:val="00373847"/>
    <w:rsid w:val="003738B2"/>
    <w:rsid w:val="003738B7"/>
    <w:rsid w:val="00373A20"/>
    <w:rsid w:val="00373AB5"/>
    <w:rsid w:val="00373BD4"/>
    <w:rsid w:val="00373BFC"/>
    <w:rsid w:val="00373CA7"/>
    <w:rsid w:val="00373D19"/>
    <w:rsid w:val="00373D70"/>
    <w:rsid w:val="00373DAE"/>
    <w:rsid w:val="00373EE4"/>
    <w:rsid w:val="00373FB0"/>
    <w:rsid w:val="00374080"/>
    <w:rsid w:val="0037409E"/>
    <w:rsid w:val="003740E5"/>
    <w:rsid w:val="00374105"/>
    <w:rsid w:val="003741F7"/>
    <w:rsid w:val="0037443E"/>
    <w:rsid w:val="0037448D"/>
    <w:rsid w:val="00374597"/>
    <w:rsid w:val="00374751"/>
    <w:rsid w:val="00374910"/>
    <w:rsid w:val="00374974"/>
    <w:rsid w:val="003749B6"/>
    <w:rsid w:val="003749BB"/>
    <w:rsid w:val="00374A03"/>
    <w:rsid w:val="00374A1A"/>
    <w:rsid w:val="00374A4E"/>
    <w:rsid w:val="00374A65"/>
    <w:rsid w:val="00374AE7"/>
    <w:rsid w:val="00374B9D"/>
    <w:rsid w:val="00374CD0"/>
    <w:rsid w:val="00374D76"/>
    <w:rsid w:val="00374D7D"/>
    <w:rsid w:val="00374D8A"/>
    <w:rsid w:val="00374E13"/>
    <w:rsid w:val="00374E3E"/>
    <w:rsid w:val="00374E8E"/>
    <w:rsid w:val="00374F85"/>
    <w:rsid w:val="003750C5"/>
    <w:rsid w:val="003751EC"/>
    <w:rsid w:val="00375265"/>
    <w:rsid w:val="00375287"/>
    <w:rsid w:val="003752E3"/>
    <w:rsid w:val="00375314"/>
    <w:rsid w:val="0037536E"/>
    <w:rsid w:val="00375383"/>
    <w:rsid w:val="003753A6"/>
    <w:rsid w:val="00375480"/>
    <w:rsid w:val="003754E6"/>
    <w:rsid w:val="00375577"/>
    <w:rsid w:val="0037571C"/>
    <w:rsid w:val="00375720"/>
    <w:rsid w:val="0037575D"/>
    <w:rsid w:val="00375791"/>
    <w:rsid w:val="00375826"/>
    <w:rsid w:val="003758AB"/>
    <w:rsid w:val="00375941"/>
    <w:rsid w:val="0037598C"/>
    <w:rsid w:val="00375994"/>
    <w:rsid w:val="00375A2F"/>
    <w:rsid w:val="00375AA6"/>
    <w:rsid w:val="00375B45"/>
    <w:rsid w:val="00375C59"/>
    <w:rsid w:val="00375D4D"/>
    <w:rsid w:val="00375DDB"/>
    <w:rsid w:val="00375E05"/>
    <w:rsid w:val="00375E10"/>
    <w:rsid w:val="00375EFA"/>
    <w:rsid w:val="00375FAF"/>
    <w:rsid w:val="003760C6"/>
    <w:rsid w:val="0037612C"/>
    <w:rsid w:val="0037612D"/>
    <w:rsid w:val="003762BD"/>
    <w:rsid w:val="00376351"/>
    <w:rsid w:val="00376357"/>
    <w:rsid w:val="00376366"/>
    <w:rsid w:val="00376487"/>
    <w:rsid w:val="00376563"/>
    <w:rsid w:val="00376595"/>
    <w:rsid w:val="0037679E"/>
    <w:rsid w:val="003769E1"/>
    <w:rsid w:val="00376B90"/>
    <w:rsid w:val="00376BB7"/>
    <w:rsid w:val="00376BBD"/>
    <w:rsid w:val="00376C59"/>
    <w:rsid w:val="00376CE3"/>
    <w:rsid w:val="00376D06"/>
    <w:rsid w:val="00376DAB"/>
    <w:rsid w:val="00376E05"/>
    <w:rsid w:val="00376E57"/>
    <w:rsid w:val="00376EEE"/>
    <w:rsid w:val="00376EFD"/>
    <w:rsid w:val="00376EFF"/>
    <w:rsid w:val="003770E9"/>
    <w:rsid w:val="00377142"/>
    <w:rsid w:val="003771F2"/>
    <w:rsid w:val="003772EC"/>
    <w:rsid w:val="003773F4"/>
    <w:rsid w:val="00377430"/>
    <w:rsid w:val="00377453"/>
    <w:rsid w:val="00377478"/>
    <w:rsid w:val="003774DE"/>
    <w:rsid w:val="003774F2"/>
    <w:rsid w:val="003775FD"/>
    <w:rsid w:val="0037761B"/>
    <w:rsid w:val="00377682"/>
    <w:rsid w:val="00377719"/>
    <w:rsid w:val="0037778E"/>
    <w:rsid w:val="0037785F"/>
    <w:rsid w:val="0037786B"/>
    <w:rsid w:val="00377874"/>
    <w:rsid w:val="0037791D"/>
    <w:rsid w:val="00377AAE"/>
    <w:rsid w:val="00377B02"/>
    <w:rsid w:val="00377BA1"/>
    <w:rsid w:val="00377BC2"/>
    <w:rsid w:val="00377BD8"/>
    <w:rsid w:val="00377BDD"/>
    <w:rsid w:val="00377C00"/>
    <w:rsid w:val="00377D81"/>
    <w:rsid w:val="00377DFF"/>
    <w:rsid w:val="00377E3F"/>
    <w:rsid w:val="00377E83"/>
    <w:rsid w:val="00377F43"/>
    <w:rsid w:val="00377F4A"/>
    <w:rsid w:val="00377F5F"/>
    <w:rsid w:val="00377F63"/>
    <w:rsid w:val="00377FF0"/>
    <w:rsid w:val="0038002C"/>
    <w:rsid w:val="0038002D"/>
    <w:rsid w:val="003800CD"/>
    <w:rsid w:val="0038021C"/>
    <w:rsid w:val="00380277"/>
    <w:rsid w:val="003802CF"/>
    <w:rsid w:val="00380418"/>
    <w:rsid w:val="003804DB"/>
    <w:rsid w:val="0038050F"/>
    <w:rsid w:val="00380561"/>
    <w:rsid w:val="00380599"/>
    <w:rsid w:val="003805DF"/>
    <w:rsid w:val="00380616"/>
    <w:rsid w:val="003806E6"/>
    <w:rsid w:val="00380977"/>
    <w:rsid w:val="0038097F"/>
    <w:rsid w:val="00380A33"/>
    <w:rsid w:val="00380B37"/>
    <w:rsid w:val="00380B71"/>
    <w:rsid w:val="00380CEB"/>
    <w:rsid w:val="00380E0A"/>
    <w:rsid w:val="00380E83"/>
    <w:rsid w:val="00380FC3"/>
    <w:rsid w:val="00380FCE"/>
    <w:rsid w:val="00380FD8"/>
    <w:rsid w:val="00381022"/>
    <w:rsid w:val="0038128A"/>
    <w:rsid w:val="003813F1"/>
    <w:rsid w:val="00381402"/>
    <w:rsid w:val="003814B8"/>
    <w:rsid w:val="003814C8"/>
    <w:rsid w:val="00381610"/>
    <w:rsid w:val="003816AB"/>
    <w:rsid w:val="0038171B"/>
    <w:rsid w:val="0038172C"/>
    <w:rsid w:val="00381739"/>
    <w:rsid w:val="003817BB"/>
    <w:rsid w:val="003817DF"/>
    <w:rsid w:val="003818AE"/>
    <w:rsid w:val="003818C2"/>
    <w:rsid w:val="00381A32"/>
    <w:rsid w:val="00381B08"/>
    <w:rsid w:val="00381B4E"/>
    <w:rsid w:val="00381BA5"/>
    <w:rsid w:val="00381BB6"/>
    <w:rsid w:val="00381CB4"/>
    <w:rsid w:val="00381D79"/>
    <w:rsid w:val="00381E2F"/>
    <w:rsid w:val="00381E82"/>
    <w:rsid w:val="00381F0E"/>
    <w:rsid w:val="00381F6F"/>
    <w:rsid w:val="00381FA5"/>
    <w:rsid w:val="00382047"/>
    <w:rsid w:val="00382219"/>
    <w:rsid w:val="00382282"/>
    <w:rsid w:val="00382354"/>
    <w:rsid w:val="0038237C"/>
    <w:rsid w:val="003823E2"/>
    <w:rsid w:val="003824E5"/>
    <w:rsid w:val="003825E6"/>
    <w:rsid w:val="003828D1"/>
    <w:rsid w:val="003828ED"/>
    <w:rsid w:val="00382909"/>
    <w:rsid w:val="0038299F"/>
    <w:rsid w:val="00382A2C"/>
    <w:rsid w:val="00382B08"/>
    <w:rsid w:val="00382B33"/>
    <w:rsid w:val="00382B5D"/>
    <w:rsid w:val="00382BBB"/>
    <w:rsid w:val="00382C49"/>
    <w:rsid w:val="00382E57"/>
    <w:rsid w:val="00382EB3"/>
    <w:rsid w:val="00382EC9"/>
    <w:rsid w:val="00382EE1"/>
    <w:rsid w:val="00382EEF"/>
    <w:rsid w:val="00382F69"/>
    <w:rsid w:val="00382F78"/>
    <w:rsid w:val="00383130"/>
    <w:rsid w:val="00383133"/>
    <w:rsid w:val="0038313B"/>
    <w:rsid w:val="00383206"/>
    <w:rsid w:val="00383231"/>
    <w:rsid w:val="0038325A"/>
    <w:rsid w:val="003832F9"/>
    <w:rsid w:val="00383366"/>
    <w:rsid w:val="003833B1"/>
    <w:rsid w:val="00383584"/>
    <w:rsid w:val="003835E4"/>
    <w:rsid w:val="00383620"/>
    <w:rsid w:val="003836BE"/>
    <w:rsid w:val="003836DF"/>
    <w:rsid w:val="00383733"/>
    <w:rsid w:val="0038376B"/>
    <w:rsid w:val="003837C5"/>
    <w:rsid w:val="0038381C"/>
    <w:rsid w:val="0038381D"/>
    <w:rsid w:val="00383829"/>
    <w:rsid w:val="003838C1"/>
    <w:rsid w:val="003838C7"/>
    <w:rsid w:val="003839B9"/>
    <w:rsid w:val="00383A88"/>
    <w:rsid w:val="00383AB7"/>
    <w:rsid w:val="00383AE7"/>
    <w:rsid w:val="00383B2B"/>
    <w:rsid w:val="00383BAE"/>
    <w:rsid w:val="00383C1F"/>
    <w:rsid w:val="00383CA6"/>
    <w:rsid w:val="00383D0C"/>
    <w:rsid w:val="00383D48"/>
    <w:rsid w:val="00383D84"/>
    <w:rsid w:val="00383E86"/>
    <w:rsid w:val="00383F9D"/>
    <w:rsid w:val="00384006"/>
    <w:rsid w:val="00384066"/>
    <w:rsid w:val="00384217"/>
    <w:rsid w:val="00384252"/>
    <w:rsid w:val="00384258"/>
    <w:rsid w:val="00384266"/>
    <w:rsid w:val="0038426A"/>
    <w:rsid w:val="003843BF"/>
    <w:rsid w:val="003843C7"/>
    <w:rsid w:val="003844AB"/>
    <w:rsid w:val="00384505"/>
    <w:rsid w:val="00384538"/>
    <w:rsid w:val="00384688"/>
    <w:rsid w:val="0038469B"/>
    <w:rsid w:val="00384729"/>
    <w:rsid w:val="00384951"/>
    <w:rsid w:val="0038497C"/>
    <w:rsid w:val="0038497D"/>
    <w:rsid w:val="003849E9"/>
    <w:rsid w:val="00384B45"/>
    <w:rsid w:val="00384BD3"/>
    <w:rsid w:val="00384D14"/>
    <w:rsid w:val="00384DF9"/>
    <w:rsid w:val="00384E3E"/>
    <w:rsid w:val="00384EB4"/>
    <w:rsid w:val="00384F40"/>
    <w:rsid w:val="00384F4A"/>
    <w:rsid w:val="00384F54"/>
    <w:rsid w:val="0038500A"/>
    <w:rsid w:val="003850C5"/>
    <w:rsid w:val="003850D3"/>
    <w:rsid w:val="003850D8"/>
    <w:rsid w:val="003850FE"/>
    <w:rsid w:val="00385131"/>
    <w:rsid w:val="0038517B"/>
    <w:rsid w:val="00385320"/>
    <w:rsid w:val="00385511"/>
    <w:rsid w:val="00385519"/>
    <w:rsid w:val="003855C9"/>
    <w:rsid w:val="0038561F"/>
    <w:rsid w:val="0038567D"/>
    <w:rsid w:val="003856B9"/>
    <w:rsid w:val="003857F7"/>
    <w:rsid w:val="003858FD"/>
    <w:rsid w:val="00385953"/>
    <w:rsid w:val="0038599B"/>
    <w:rsid w:val="00385A3A"/>
    <w:rsid w:val="00385A94"/>
    <w:rsid w:val="00385ABA"/>
    <w:rsid w:val="00385B4E"/>
    <w:rsid w:val="00385B5B"/>
    <w:rsid w:val="00385C1D"/>
    <w:rsid w:val="00385C9F"/>
    <w:rsid w:val="00385EBB"/>
    <w:rsid w:val="00385F4C"/>
    <w:rsid w:val="00385FFE"/>
    <w:rsid w:val="00386040"/>
    <w:rsid w:val="00386072"/>
    <w:rsid w:val="003860D9"/>
    <w:rsid w:val="00386125"/>
    <w:rsid w:val="00386180"/>
    <w:rsid w:val="00386199"/>
    <w:rsid w:val="0038620B"/>
    <w:rsid w:val="00386226"/>
    <w:rsid w:val="00386296"/>
    <w:rsid w:val="0038629A"/>
    <w:rsid w:val="0038631B"/>
    <w:rsid w:val="00386333"/>
    <w:rsid w:val="00386434"/>
    <w:rsid w:val="0038646A"/>
    <w:rsid w:val="00386564"/>
    <w:rsid w:val="003865C5"/>
    <w:rsid w:val="0038662A"/>
    <w:rsid w:val="003866F8"/>
    <w:rsid w:val="00386903"/>
    <w:rsid w:val="003869C9"/>
    <w:rsid w:val="003869CA"/>
    <w:rsid w:val="00386B26"/>
    <w:rsid w:val="00386B86"/>
    <w:rsid w:val="00386BA2"/>
    <w:rsid w:val="00386C48"/>
    <w:rsid w:val="00386E18"/>
    <w:rsid w:val="00386F32"/>
    <w:rsid w:val="00387012"/>
    <w:rsid w:val="00387078"/>
    <w:rsid w:val="003870D1"/>
    <w:rsid w:val="003871D5"/>
    <w:rsid w:val="0038721E"/>
    <w:rsid w:val="0038723C"/>
    <w:rsid w:val="003872AD"/>
    <w:rsid w:val="00387308"/>
    <w:rsid w:val="0038731E"/>
    <w:rsid w:val="00387647"/>
    <w:rsid w:val="003876D1"/>
    <w:rsid w:val="0038775E"/>
    <w:rsid w:val="00387761"/>
    <w:rsid w:val="0038791A"/>
    <w:rsid w:val="0038794F"/>
    <w:rsid w:val="003879F8"/>
    <w:rsid w:val="00387A06"/>
    <w:rsid w:val="00387A96"/>
    <w:rsid w:val="00387AEE"/>
    <w:rsid w:val="00387C10"/>
    <w:rsid w:val="00387CA8"/>
    <w:rsid w:val="00387D66"/>
    <w:rsid w:val="00387E5D"/>
    <w:rsid w:val="00387E89"/>
    <w:rsid w:val="00387EC7"/>
    <w:rsid w:val="00387FEF"/>
    <w:rsid w:val="00390046"/>
    <w:rsid w:val="00390056"/>
    <w:rsid w:val="00390060"/>
    <w:rsid w:val="0039016A"/>
    <w:rsid w:val="00390244"/>
    <w:rsid w:val="0039025C"/>
    <w:rsid w:val="003902E6"/>
    <w:rsid w:val="003903B5"/>
    <w:rsid w:val="00390475"/>
    <w:rsid w:val="00390503"/>
    <w:rsid w:val="0039055C"/>
    <w:rsid w:val="0039060B"/>
    <w:rsid w:val="00390698"/>
    <w:rsid w:val="00390718"/>
    <w:rsid w:val="00390748"/>
    <w:rsid w:val="00390767"/>
    <w:rsid w:val="0039076B"/>
    <w:rsid w:val="00390883"/>
    <w:rsid w:val="003908A7"/>
    <w:rsid w:val="00390A08"/>
    <w:rsid w:val="00390A29"/>
    <w:rsid w:val="00390A6D"/>
    <w:rsid w:val="00390B9D"/>
    <w:rsid w:val="00390BA6"/>
    <w:rsid w:val="00390CA1"/>
    <w:rsid w:val="00390D01"/>
    <w:rsid w:val="00390EF0"/>
    <w:rsid w:val="00390F29"/>
    <w:rsid w:val="00390F71"/>
    <w:rsid w:val="003910F0"/>
    <w:rsid w:val="00391114"/>
    <w:rsid w:val="003911CC"/>
    <w:rsid w:val="003911DC"/>
    <w:rsid w:val="003912C9"/>
    <w:rsid w:val="003912F6"/>
    <w:rsid w:val="00391385"/>
    <w:rsid w:val="00391470"/>
    <w:rsid w:val="003914AC"/>
    <w:rsid w:val="00391625"/>
    <w:rsid w:val="0039176F"/>
    <w:rsid w:val="003917E3"/>
    <w:rsid w:val="003917FD"/>
    <w:rsid w:val="00391863"/>
    <w:rsid w:val="00391874"/>
    <w:rsid w:val="003918C5"/>
    <w:rsid w:val="00391983"/>
    <w:rsid w:val="00391A1C"/>
    <w:rsid w:val="00391A49"/>
    <w:rsid w:val="00391B74"/>
    <w:rsid w:val="00391B86"/>
    <w:rsid w:val="00391C21"/>
    <w:rsid w:val="00391C27"/>
    <w:rsid w:val="00391C46"/>
    <w:rsid w:val="00391C94"/>
    <w:rsid w:val="00391CE3"/>
    <w:rsid w:val="00391D96"/>
    <w:rsid w:val="00391ECD"/>
    <w:rsid w:val="00391EFF"/>
    <w:rsid w:val="00391F20"/>
    <w:rsid w:val="00391F89"/>
    <w:rsid w:val="003920AD"/>
    <w:rsid w:val="003920C4"/>
    <w:rsid w:val="00392123"/>
    <w:rsid w:val="00392184"/>
    <w:rsid w:val="00392261"/>
    <w:rsid w:val="0039247E"/>
    <w:rsid w:val="003924C9"/>
    <w:rsid w:val="00392652"/>
    <w:rsid w:val="0039265B"/>
    <w:rsid w:val="00392690"/>
    <w:rsid w:val="00392815"/>
    <w:rsid w:val="003929B0"/>
    <w:rsid w:val="003929C0"/>
    <w:rsid w:val="00392A53"/>
    <w:rsid w:val="00392B41"/>
    <w:rsid w:val="00392C96"/>
    <w:rsid w:val="00392D61"/>
    <w:rsid w:val="00392DA2"/>
    <w:rsid w:val="00392DFA"/>
    <w:rsid w:val="00392E39"/>
    <w:rsid w:val="00392E77"/>
    <w:rsid w:val="00392EE7"/>
    <w:rsid w:val="00392F2D"/>
    <w:rsid w:val="00392F41"/>
    <w:rsid w:val="00392FE7"/>
    <w:rsid w:val="00393040"/>
    <w:rsid w:val="003930DE"/>
    <w:rsid w:val="00393106"/>
    <w:rsid w:val="0039315B"/>
    <w:rsid w:val="0039316C"/>
    <w:rsid w:val="00393246"/>
    <w:rsid w:val="00393287"/>
    <w:rsid w:val="003932CC"/>
    <w:rsid w:val="0039335D"/>
    <w:rsid w:val="003933DC"/>
    <w:rsid w:val="00393460"/>
    <w:rsid w:val="0039365A"/>
    <w:rsid w:val="003936FE"/>
    <w:rsid w:val="0039377E"/>
    <w:rsid w:val="003937AE"/>
    <w:rsid w:val="003937C7"/>
    <w:rsid w:val="0039380D"/>
    <w:rsid w:val="003938F6"/>
    <w:rsid w:val="00393B16"/>
    <w:rsid w:val="00393C5F"/>
    <w:rsid w:val="00393CAC"/>
    <w:rsid w:val="00393CB6"/>
    <w:rsid w:val="00393D43"/>
    <w:rsid w:val="00393DD6"/>
    <w:rsid w:val="00393E25"/>
    <w:rsid w:val="00393E42"/>
    <w:rsid w:val="00393FC7"/>
    <w:rsid w:val="0039408F"/>
    <w:rsid w:val="003940CE"/>
    <w:rsid w:val="00394138"/>
    <w:rsid w:val="0039422A"/>
    <w:rsid w:val="003943CC"/>
    <w:rsid w:val="0039444B"/>
    <w:rsid w:val="0039451E"/>
    <w:rsid w:val="0039456F"/>
    <w:rsid w:val="003945C8"/>
    <w:rsid w:val="003946CA"/>
    <w:rsid w:val="00394749"/>
    <w:rsid w:val="0039480D"/>
    <w:rsid w:val="00394865"/>
    <w:rsid w:val="003948C6"/>
    <w:rsid w:val="0039498A"/>
    <w:rsid w:val="00394AFF"/>
    <w:rsid w:val="00394C5D"/>
    <w:rsid w:val="00394CF0"/>
    <w:rsid w:val="00394D30"/>
    <w:rsid w:val="00394DCC"/>
    <w:rsid w:val="00394DD2"/>
    <w:rsid w:val="00394DF0"/>
    <w:rsid w:val="00394E29"/>
    <w:rsid w:val="00394F2C"/>
    <w:rsid w:val="00395030"/>
    <w:rsid w:val="003950DB"/>
    <w:rsid w:val="003950DD"/>
    <w:rsid w:val="00395298"/>
    <w:rsid w:val="00395388"/>
    <w:rsid w:val="00395446"/>
    <w:rsid w:val="0039548B"/>
    <w:rsid w:val="0039554D"/>
    <w:rsid w:val="003955BA"/>
    <w:rsid w:val="00395624"/>
    <w:rsid w:val="003956F5"/>
    <w:rsid w:val="003957F6"/>
    <w:rsid w:val="00395855"/>
    <w:rsid w:val="00395979"/>
    <w:rsid w:val="00395996"/>
    <w:rsid w:val="00395A4C"/>
    <w:rsid w:val="00395A71"/>
    <w:rsid w:val="00395B1F"/>
    <w:rsid w:val="00395BA3"/>
    <w:rsid w:val="00395C9D"/>
    <w:rsid w:val="00395D70"/>
    <w:rsid w:val="00395D99"/>
    <w:rsid w:val="00395EBC"/>
    <w:rsid w:val="00395F65"/>
    <w:rsid w:val="00395FB0"/>
    <w:rsid w:val="0039602F"/>
    <w:rsid w:val="00396046"/>
    <w:rsid w:val="00396051"/>
    <w:rsid w:val="00396107"/>
    <w:rsid w:val="0039625D"/>
    <w:rsid w:val="003962B7"/>
    <w:rsid w:val="003962CE"/>
    <w:rsid w:val="00396304"/>
    <w:rsid w:val="00396370"/>
    <w:rsid w:val="003963C1"/>
    <w:rsid w:val="003963CC"/>
    <w:rsid w:val="003963DD"/>
    <w:rsid w:val="003963FF"/>
    <w:rsid w:val="003964E3"/>
    <w:rsid w:val="00396711"/>
    <w:rsid w:val="00396725"/>
    <w:rsid w:val="00396755"/>
    <w:rsid w:val="003967A3"/>
    <w:rsid w:val="0039681F"/>
    <w:rsid w:val="00396827"/>
    <w:rsid w:val="0039683D"/>
    <w:rsid w:val="003968A0"/>
    <w:rsid w:val="003968FC"/>
    <w:rsid w:val="00396AC5"/>
    <w:rsid w:val="00396B39"/>
    <w:rsid w:val="00396C66"/>
    <w:rsid w:val="00396CB9"/>
    <w:rsid w:val="00396CBE"/>
    <w:rsid w:val="00396D76"/>
    <w:rsid w:val="00396ED5"/>
    <w:rsid w:val="00396FB5"/>
    <w:rsid w:val="00396FCA"/>
    <w:rsid w:val="0039710E"/>
    <w:rsid w:val="003971B0"/>
    <w:rsid w:val="003971DA"/>
    <w:rsid w:val="0039737D"/>
    <w:rsid w:val="00397444"/>
    <w:rsid w:val="003976C4"/>
    <w:rsid w:val="00397750"/>
    <w:rsid w:val="003977FA"/>
    <w:rsid w:val="00397A28"/>
    <w:rsid w:val="00397AC9"/>
    <w:rsid w:val="00397B8A"/>
    <w:rsid w:val="00397C2C"/>
    <w:rsid w:val="00397CB7"/>
    <w:rsid w:val="00397CC9"/>
    <w:rsid w:val="00397CCD"/>
    <w:rsid w:val="00397D59"/>
    <w:rsid w:val="00397D6A"/>
    <w:rsid w:val="00397DB6"/>
    <w:rsid w:val="00397DCF"/>
    <w:rsid w:val="00397E1B"/>
    <w:rsid w:val="00397E94"/>
    <w:rsid w:val="00397EDA"/>
    <w:rsid w:val="00397F05"/>
    <w:rsid w:val="00397F42"/>
    <w:rsid w:val="003A023B"/>
    <w:rsid w:val="003A0299"/>
    <w:rsid w:val="003A02A7"/>
    <w:rsid w:val="003A02F4"/>
    <w:rsid w:val="003A041E"/>
    <w:rsid w:val="003A0442"/>
    <w:rsid w:val="003A0473"/>
    <w:rsid w:val="003A0556"/>
    <w:rsid w:val="003A05B9"/>
    <w:rsid w:val="003A0656"/>
    <w:rsid w:val="003A072C"/>
    <w:rsid w:val="003A0757"/>
    <w:rsid w:val="003A0899"/>
    <w:rsid w:val="003A090E"/>
    <w:rsid w:val="003A0AC5"/>
    <w:rsid w:val="003A0BB4"/>
    <w:rsid w:val="003A0BEB"/>
    <w:rsid w:val="003A0C40"/>
    <w:rsid w:val="003A0D11"/>
    <w:rsid w:val="003A0DD4"/>
    <w:rsid w:val="003A0E8C"/>
    <w:rsid w:val="003A0E9C"/>
    <w:rsid w:val="003A0EE2"/>
    <w:rsid w:val="003A0F36"/>
    <w:rsid w:val="003A1022"/>
    <w:rsid w:val="003A1035"/>
    <w:rsid w:val="003A104D"/>
    <w:rsid w:val="003A108B"/>
    <w:rsid w:val="003A10A1"/>
    <w:rsid w:val="003A111D"/>
    <w:rsid w:val="003A1237"/>
    <w:rsid w:val="003A1242"/>
    <w:rsid w:val="003A125B"/>
    <w:rsid w:val="003A1357"/>
    <w:rsid w:val="003A143B"/>
    <w:rsid w:val="003A1495"/>
    <w:rsid w:val="003A1512"/>
    <w:rsid w:val="003A1682"/>
    <w:rsid w:val="003A1713"/>
    <w:rsid w:val="003A17F0"/>
    <w:rsid w:val="003A17FC"/>
    <w:rsid w:val="003A1843"/>
    <w:rsid w:val="003A18EF"/>
    <w:rsid w:val="003A1A61"/>
    <w:rsid w:val="003A1AC1"/>
    <w:rsid w:val="003A1B4C"/>
    <w:rsid w:val="003A1BC7"/>
    <w:rsid w:val="003A1DF1"/>
    <w:rsid w:val="003A1E8D"/>
    <w:rsid w:val="003A1EB7"/>
    <w:rsid w:val="003A2022"/>
    <w:rsid w:val="003A209D"/>
    <w:rsid w:val="003A20B9"/>
    <w:rsid w:val="003A2113"/>
    <w:rsid w:val="003A2116"/>
    <w:rsid w:val="003A21C6"/>
    <w:rsid w:val="003A23BD"/>
    <w:rsid w:val="003A23F3"/>
    <w:rsid w:val="003A2439"/>
    <w:rsid w:val="003A2497"/>
    <w:rsid w:val="003A24DB"/>
    <w:rsid w:val="003A24DC"/>
    <w:rsid w:val="003A25A9"/>
    <w:rsid w:val="003A2649"/>
    <w:rsid w:val="003A264B"/>
    <w:rsid w:val="003A26AF"/>
    <w:rsid w:val="003A2777"/>
    <w:rsid w:val="003A287D"/>
    <w:rsid w:val="003A292B"/>
    <w:rsid w:val="003A298F"/>
    <w:rsid w:val="003A2A03"/>
    <w:rsid w:val="003A2A07"/>
    <w:rsid w:val="003A2BCD"/>
    <w:rsid w:val="003A2C5E"/>
    <w:rsid w:val="003A2C9D"/>
    <w:rsid w:val="003A2D82"/>
    <w:rsid w:val="003A2DC8"/>
    <w:rsid w:val="003A2E54"/>
    <w:rsid w:val="003A2EFB"/>
    <w:rsid w:val="003A2F11"/>
    <w:rsid w:val="003A3065"/>
    <w:rsid w:val="003A307E"/>
    <w:rsid w:val="003A31A4"/>
    <w:rsid w:val="003A32A1"/>
    <w:rsid w:val="003A32DB"/>
    <w:rsid w:val="003A337C"/>
    <w:rsid w:val="003A33F5"/>
    <w:rsid w:val="003A344F"/>
    <w:rsid w:val="003A35E2"/>
    <w:rsid w:val="003A35F5"/>
    <w:rsid w:val="003A3683"/>
    <w:rsid w:val="003A36DA"/>
    <w:rsid w:val="003A36DC"/>
    <w:rsid w:val="003A371C"/>
    <w:rsid w:val="003A3792"/>
    <w:rsid w:val="003A37AB"/>
    <w:rsid w:val="003A384A"/>
    <w:rsid w:val="003A385D"/>
    <w:rsid w:val="003A38B1"/>
    <w:rsid w:val="003A38ED"/>
    <w:rsid w:val="003A38F1"/>
    <w:rsid w:val="003A3A44"/>
    <w:rsid w:val="003A3C9F"/>
    <w:rsid w:val="003A3D1B"/>
    <w:rsid w:val="003A3D51"/>
    <w:rsid w:val="003A3E1F"/>
    <w:rsid w:val="003A3F09"/>
    <w:rsid w:val="003A3F39"/>
    <w:rsid w:val="003A3F6F"/>
    <w:rsid w:val="003A3FA2"/>
    <w:rsid w:val="003A409F"/>
    <w:rsid w:val="003A40DD"/>
    <w:rsid w:val="003A40F2"/>
    <w:rsid w:val="003A41E2"/>
    <w:rsid w:val="003A4296"/>
    <w:rsid w:val="003A42DF"/>
    <w:rsid w:val="003A42F0"/>
    <w:rsid w:val="003A44D6"/>
    <w:rsid w:val="003A4549"/>
    <w:rsid w:val="003A457C"/>
    <w:rsid w:val="003A45AF"/>
    <w:rsid w:val="003A45BB"/>
    <w:rsid w:val="003A462E"/>
    <w:rsid w:val="003A463A"/>
    <w:rsid w:val="003A478A"/>
    <w:rsid w:val="003A481D"/>
    <w:rsid w:val="003A4822"/>
    <w:rsid w:val="003A483E"/>
    <w:rsid w:val="003A490D"/>
    <w:rsid w:val="003A496C"/>
    <w:rsid w:val="003A49B3"/>
    <w:rsid w:val="003A49B8"/>
    <w:rsid w:val="003A49E7"/>
    <w:rsid w:val="003A4A41"/>
    <w:rsid w:val="003A4ACF"/>
    <w:rsid w:val="003A4B42"/>
    <w:rsid w:val="003A4B57"/>
    <w:rsid w:val="003A4B85"/>
    <w:rsid w:val="003A4BAD"/>
    <w:rsid w:val="003A4C92"/>
    <w:rsid w:val="003A4CE4"/>
    <w:rsid w:val="003A4D0A"/>
    <w:rsid w:val="003A4D5E"/>
    <w:rsid w:val="003A4E45"/>
    <w:rsid w:val="003A4EA7"/>
    <w:rsid w:val="003A502E"/>
    <w:rsid w:val="003A529A"/>
    <w:rsid w:val="003A534D"/>
    <w:rsid w:val="003A53CD"/>
    <w:rsid w:val="003A542A"/>
    <w:rsid w:val="003A542B"/>
    <w:rsid w:val="003A551C"/>
    <w:rsid w:val="003A5535"/>
    <w:rsid w:val="003A55B4"/>
    <w:rsid w:val="003A562C"/>
    <w:rsid w:val="003A5637"/>
    <w:rsid w:val="003A57F2"/>
    <w:rsid w:val="003A58A0"/>
    <w:rsid w:val="003A599E"/>
    <w:rsid w:val="003A59C5"/>
    <w:rsid w:val="003A5A56"/>
    <w:rsid w:val="003A5AEE"/>
    <w:rsid w:val="003A5B32"/>
    <w:rsid w:val="003A5ED8"/>
    <w:rsid w:val="003A5F90"/>
    <w:rsid w:val="003A5FF4"/>
    <w:rsid w:val="003A60DE"/>
    <w:rsid w:val="003A6137"/>
    <w:rsid w:val="003A613F"/>
    <w:rsid w:val="003A61B6"/>
    <w:rsid w:val="003A623F"/>
    <w:rsid w:val="003A6267"/>
    <w:rsid w:val="003A62B7"/>
    <w:rsid w:val="003A632E"/>
    <w:rsid w:val="003A6351"/>
    <w:rsid w:val="003A6513"/>
    <w:rsid w:val="003A652D"/>
    <w:rsid w:val="003A6532"/>
    <w:rsid w:val="003A653D"/>
    <w:rsid w:val="003A6557"/>
    <w:rsid w:val="003A655E"/>
    <w:rsid w:val="003A66B5"/>
    <w:rsid w:val="003A66F9"/>
    <w:rsid w:val="003A6786"/>
    <w:rsid w:val="003A67BC"/>
    <w:rsid w:val="003A67E1"/>
    <w:rsid w:val="003A681D"/>
    <w:rsid w:val="003A6820"/>
    <w:rsid w:val="003A6855"/>
    <w:rsid w:val="003A689E"/>
    <w:rsid w:val="003A68AA"/>
    <w:rsid w:val="003A68D2"/>
    <w:rsid w:val="003A6966"/>
    <w:rsid w:val="003A69E3"/>
    <w:rsid w:val="003A6A18"/>
    <w:rsid w:val="003A6A9A"/>
    <w:rsid w:val="003A6B5F"/>
    <w:rsid w:val="003A6BD2"/>
    <w:rsid w:val="003A6C57"/>
    <w:rsid w:val="003A6EC0"/>
    <w:rsid w:val="003A6FD1"/>
    <w:rsid w:val="003A71AD"/>
    <w:rsid w:val="003A71FC"/>
    <w:rsid w:val="003A7244"/>
    <w:rsid w:val="003A7294"/>
    <w:rsid w:val="003A7516"/>
    <w:rsid w:val="003A765B"/>
    <w:rsid w:val="003A7767"/>
    <w:rsid w:val="003A77E5"/>
    <w:rsid w:val="003A784D"/>
    <w:rsid w:val="003A78E1"/>
    <w:rsid w:val="003A7A86"/>
    <w:rsid w:val="003A7B16"/>
    <w:rsid w:val="003A7B32"/>
    <w:rsid w:val="003A7C89"/>
    <w:rsid w:val="003A7D1D"/>
    <w:rsid w:val="003A7D2D"/>
    <w:rsid w:val="003A7D6B"/>
    <w:rsid w:val="003A7D8B"/>
    <w:rsid w:val="003A7E75"/>
    <w:rsid w:val="003A7E7F"/>
    <w:rsid w:val="003A7EBF"/>
    <w:rsid w:val="003A7EF8"/>
    <w:rsid w:val="003A7F40"/>
    <w:rsid w:val="003A7FFE"/>
    <w:rsid w:val="003ACA25"/>
    <w:rsid w:val="003B0024"/>
    <w:rsid w:val="003B00D2"/>
    <w:rsid w:val="003B015C"/>
    <w:rsid w:val="003B0346"/>
    <w:rsid w:val="003B0369"/>
    <w:rsid w:val="003B038E"/>
    <w:rsid w:val="003B03E8"/>
    <w:rsid w:val="003B0468"/>
    <w:rsid w:val="003B04CA"/>
    <w:rsid w:val="003B04CE"/>
    <w:rsid w:val="003B054B"/>
    <w:rsid w:val="003B05AF"/>
    <w:rsid w:val="003B05CA"/>
    <w:rsid w:val="003B0677"/>
    <w:rsid w:val="003B0681"/>
    <w:rsid w:val="003B0736"/>
    <w:rsid w:val="003B0758"/>
    <w:rsid w:val="003B0789"/>
    <w:rsid w:val="003B07C7"/>
    <w:rsid w:val="003B0804"/>
    <w:rsid w:val="003B081F"/>
    <w:rsid w:val="003B0832"/>
    <w:rsid w:val="003B0838"/>
    <w:rsid w:val="003B08E8"/>
    <w:rsid w:val="003B0919"/>
    <w:rsid w:val="003B0952"/>
    <w:rsid w:val="003B099E"/>
    <w:rsid w:val="003B09A5"/>
    <w:rsid w:val="003B0A2A"/>
    <w:rsid w:val="003B0A80"/>
    <w:rsid w:val="003B0ACB"/>
    <w:rsid w:val="003B0AE5"/>
    <w:rsid w:val="003B0B38"/>
    <w:rsid w:val="003B0B7C"/>
    <w:rsid w:val="003B0B98"/>
    <w:rsid w:val="003B0C0E"/>
    <w:rsid w:val="003B0CC8"/>
    <w:rsid w:val="003B0CD1"/>
    <w:rsid w:val="003B0D24"/>
    <w:rsid w:val="003B0E53"/>
    <w:rsid w:val="003B0F1B"/>
    <w:rsid w:val="003B0FA0"/>
    <w:rsid w:val="003B1045"/>
    <w:rsid w:val="003B11CC"/>
    <w:rsid w:val="003B121F"/>
    <w:rsid w:val="003B1282"/>
    <w:rsid w:val="003B128A"/>
    <w:rsid w:val="003B12CF"/>
    <w:rsid w:val="003B137F"/>
    <w:rsid w:val="003B14C6"/>
    <w:rsid w:val="003B15F2"/>
    <w:rsid w:val="003B15F3"/>
    <w:rsid w:val="003B161B"/>
    <w:rsid w:val="003B165D"/>
    <w:rsid w:val="003B1688"/>
    <w:rsid w:val="003B1702"/>
    <w:rsid w:val="003B17A9"/>
    <w:rsid w:val="003B1830"/>
    <w:rsid w:val="003B18AB"/>
    <w:rsid w:val="003B18E2"/>
    <w:rsid w:val="003B192C"/>
    <w:rsid w:val="003B1943"/>
    <w:rsid w:val="003B1982"/>
    <w:rsid w:val="003B1A32"/>
    <w:rsid w:val="003B1BC9"/>
    <w:rsid w:val="003B1C75"/>
    <w:rsid w:val="003B1CB7"/>
    <w:rsid w:val="003B1DBF"/>
    <w:rsid w:val="003B1E9C"/>
    <w:rsid w:val="003B1F1A"/>
    <w:rsid w:val="003B1FA4"/>
    <w:rsid w:val="003B1FC2"/>
    <w:rsid w:val="003B1FE6"/>
    <w:rsid w:val="003B2022"/>
    <w:rsid w:val="003B207A"/>
    <w:rsid w:val="003B20E9"/>
    <w:rsid w:val="003B210B"/>
    <w:rsid w:val="003B21E2"/>
    <w:rsid w:val="003B220D"/>
    <w:rsid w:val="003B223F"/>
    <w:rsid w:val="003B227E"/>
    <w:rsid w:val="003B2339"/>
    <w:rsid w:val="003B2368"/>
    <w:rsid w:val="003B2374"/>
    <w:rsid w:val="003B2539"/>
    <w:rsid w:val="003B2548"/>
    <w:rsid w:val="003B26B0"/>
    <w:rsid w:val="003B270A"/>
    <w:rsid w:val="003B273D"/>
    <w:rsid w:val="003B2762"/>
    <w:rsid w:val="003B27CB"/>
    <w:rsid w:val="003B28F5"/>
    <w:rsid w:val="003B28FB"/>
    <w:rsid w:val="003B2906"/>
    <w:rsid w:val="003B2AFE"/>
    <w:rsid w:val="003B2D29"/>
    <w:rsid w:val="003B2E6F"/>
    <w:rsid w:val="003B2EB4"/>
    <w:rsid w:val="003B2EDE"/>
    <w:rsid w:val="003B2FC7"/>
    <w:rsid w:val="003B2FDD"/>
    <w:rsid w:val="003B2FF9"/>
    <w:rsid w:val="003B3086"/>
    <w:rsid w:val="003B30FD"/>
    <w:rsid w:val="003B3106"/>
    <w:rsid w:val="003B31D9"/>
    <w:rsid w:val="003B3215"/>
    <w:rsid w:val="003B3258"/>
    <w:rsid w:val="003B3294"/>
    <w:rsid w:val="003B33C2"/>
    <w:rsid w:val="003B3447"/>
    <w:rsid w:val="003B349A"/>
    <w:rsid w:val="003B34FF"/>
    <w:rsid w:val="003B35C7"/>
    <w:rsid w:val="003B3629"/>
    <w:rsid w:val="003B36AD"/>
    <w:rsid w:val="003B378F"/>
    <w:rsid w:val="003B3896"/>
    <w:rsid w:val="003B3974"/>
    <w:rsid w:val="003B3978"/>
    <w:rsid w:val="003B39E0"/>
    <w:rsid w:val="003B3A96"/>
    <w:rsid w:val="003B3ABE"/>
    <w:rsid w:val="003B3AE8"/>
    <w:rsid w:val="003B3B38"/>
    <w:rsid w:val="003B3C83"/>
    <w:rsid w:val="003B3DAB"/>
    <w:rsid w:val="003B3E32"/>
    <w:rsid w:val="003B3EB9"/>
    <w:rsid w:val="003B3EE1"/>
    <w:rsid w:val="003B402B"/>
    <w:rsid w:val="003B404D"/>
    <w:rsid w:val="003B407D"/>
    <w:rsid w:val="003B40F3"/>
    <w:rsid w:val="003B4135"/>
    <w:rsid w:val="003B4151"/>
    <w:rsid w:val="003B4371"/>
    <w:rsid w:val="003B43F1"/>
    <w:rsid w:val="003B4449"/>
    <w:rsid w:val="003B4530"/>
    <w:rsid w:val="003B453B"/>
    <w:rsid w:val="003B45AA"/>
    <w:rsid w:val="003B46EF"/>
    <w:rsid w:val="003B4711"/>
    <w:rsid w:val="003B4723"/>
    <w:rsid w:val="003B4765"/>
    <w:rsid w:val="003B4853"/>
    <w:rsid w:val="003B4859"/>
    <w:rsid w:val="003B487F"/>
    <w:rsid w:val="003B4881"/>
    <w:rsid w:val="003B489C"/>
    <w:rsid w:val="003B48A3"/>
    <w:rsid w:val="003B48C1"/>
    <w:rsid w:val="003B48F6"/>
    <w:rsid w:val="003B4941"/>
    <w:rsid w:val="003B494F"/>
    <w:rsid w:val="003B4974"/>
    <w:rsid w:val="003B4990"/>
    <w:rsid w:val="003B4AEF"/>
    <w:rsid w:val="003B4B1C"/>
    <w:rsid w:val="003B4B34"/>
    <w:rsid w:val="003B4C47"/>
    <w:rsid w:val="003B4CDA"/>
    <w:rsid w:val="003B4CF6"/>
    <w:rsid w:val="003B4DC3"/>
    <w:rsid w:val="003B4DF3"/>
    <w:rsid w:val="003B4DF6"/>
    <w:rsid w:val="003B4E1E"/>
    <w:rsid w:val="003B4E39"/>
    <w:rsid w:val="003B4EA3"/>
    <w:rsid w:val="003B4ED5"/>
    <w:rsid w:val="003B4EEB"/>
    <w:rsid w:val="003B4F2D"/>
    <w:rsid w:val="003B4F38"/>
    <w:rsid w:val="003B4F6E"/>
    <w:rsid w:val="003B501D"/>
    <w:rsid w:val="003B50A0"/>
    <w:rsid w:val="003B50CC"/>
    <w:rsid w:val="003B5112"/>
    <w:rsid w:val="003B526D"/>
    <w:rsid w:val="003B52F8"/>
    <w:rsid w:val="003B530E"/>
    <w:rsid w:val="003B531B"/>
    <w:rsid w:val="003B5391"/>
    <w:rsid w:val="003B53A3"/>
    <w:rsid w:val="003B53A9"/>
    <w:rsid w:val="003B53E0"/>
    <w:rsid w:val="003B53F2"/>
    <w:rsid w:val="003B5429"/>
    <w:rsid w:val="003B5514"/>
    <w:rsid w:val="003B55D7"/>
    <w:rsid w:val="003B5615"/>
    <w:rsid w:val="003B563C"/>
    <w:rsid w:val="003B5673"/>
    <w:rsid w:val="003B56FB"/>
    <w:rsid w:val="003B571A"/>
    <w:rsid w:val="003B5737"/>
    <w:rsid w:val="003B5769"/>
    <w:rsid w:val="003B5774"/>
    <w:rsid w:val="003B5881"/>
    <w:rsid w:val="003B59A5"/>
    <w:rsid w:val="003B5B25"/>
    <w:rsid w:val="003B5BD9"/>
    <w:rsid w:val="003B5C9F"/>
    <w:rsid w:val="003B5DBA"/>
    <w:rsid w:val="003B5DDA"/>
    <w:rsid w:val="003B5E4A"/>
    <w:rsid w:val="003B5F21"/>
    <w:rsid w:val="003B5F33"/>
    <w:rsid w:val="003B5FE3"/>
    <w:rsid w:val="003B607A"/>
    <w:rsid w:val="003B619C"/>
    <w:rsid w:val="003B61F7"/>
    <w:rsid w:val="003B62C6"/>
    <w:rsid w:val="003B641A"/>
    <w:rsid w:val="003B6468"/>
    <w:rsid w:val="003B64A3"/>
    <w:rsid w:val="003B64AF"/>
    <w:rsid w:val="003B653E"/>
    <w:rsid w:val="003B6590"/>
    <w:rsid w:val="003B65F2"/>
    <w:rsid w:val="003B67BA"/>
    <w:rsid w:val="003B6855"/>
    <w:rsid w:val="003B68D5"/>
    <w:rsid w:val="003B68D7"/>
    <w:rsid w:val="003B68E1"/>
    <w:rsid w:val="003B690B"/>
    <w:rsid w:val="003B6920"/>
    <w:rsid w:val="003B69B8"/>
    <w:rsid w:val="003B69C9"/>
    <w:rsid w:val="003B6A05"/>
    <w:rsid w:val="003B6A48"/>
    <w:rsid w:val="003B6B18"/>
    <w:rsid w:val="003B6BF2"/>
    <w:rsid w:val="003B6BF8"/>
    <w:rsid w:val="003B6D35"/>
    <w:rsid w:val="003B6DB8"/>
    <w:rsid w:val="003B6ED8"/>
    <w:rsid w:val="003B6F7D"/>
    <w:rsid w:val="003B6F8D"/>
    <w:rsid w:val="003B6FC0"/>
    <w:rsid w:val="003B70F4"/>
    <w:rsid w:val="003B7154"/>
    <w:rsid w:val="003B7206"/>
    <w:rsid w:val="003B7264"/>
    <w:rsid w:val="003B72B9"/>
    <w:rsid w:val="003B72ED"/>
    <w:rsid w:val="003B744E"/>
    <w:rsid w:val="003B745A"/>
    <w:rsid w:val="003B75F6"/>
    <w:rsid w:val="003B7604"/>
    <w:rsid w:val="003B765C"/>
    <w:rsid w:val="003B769D"/>
    <w:rsid w:val="003B76B2"/>
    <w:rsid w:val="003B772B"/>
    <w:rsid w:val="003B776A"/>
    <w:rsid w:val="003B778E"/>
    <w:rsid w:val="003B7873"/>
    <w:rsid w:val="003B787B"/>
    <w:rsid w:val="003B78F6"/>
    <w:rsid w:val="003B79A5"/>
    <w:rsid w:val="003B7A50"/>
    <w:rsid w:val="003B7BE1"/>
    <w:rsid w:val="003B7C8E"/>
    <w:rsid w:val="003B7CBA"/>
    <w:rsid w:val="003B7D82"/>
    <w:rsid w:val="003B7D97"/>
    <w:rsid w:val="003B7E05"/>
    <w:rsid w:val="003B7F0F"/>
    <w:rsid w:val="003B7F26"/>
    <w:rsid w:val="003B7F42"/>
    <w:rsid w:val="003B7FA3"/>
    <w:rsid w:val="003C0042"/>
    <w:rsid w:val="003C00B7"/>
    <w:rsid w:val="003C010D"/>
    <w:rsid w:val="003C0184"/>
    <w:rsid w:val="003C0210"/>
    <w:rsid w:val="003C0254"/>
    <w:rsid w:val="003C02A8"/>
    <w:rsid w:val="003C02B1"/>
    <w:rsid w:val="003C02E0"/>
    <w:rsid w:val="003C02EB"/>
    <w:rsid w:val="003C02F1"/>
    <w:rsid w:val="003C0306"/>
    <w:rsid w:val="003C054B"/>
    <w:rsid w:val="003C0553"/>
    <w:rsid w:val="003C05DD"/>
    <w:rsid w:val="003C0788"/>
    <w:rsid w:val="003C078F"/>
    <w:rsid w:val="003C07A1"/>
    <w:rsid w:val="003C0887"/>
    <w:rsid w:val="003C08AF"/>
    <w:rsid w:val="003C0A0A"/>
    <w:rsid w:val="003C0A8C"/>
    <w:rsid w:val="003C0AE7"/>
    <w:rsid w:val="003C0B20"/>
    <w:rsid w:val="003C0C91"/>
    <w:rsid w:val="003C0CCC"/>
    <w:rsid w:val="003C0CD9"/>
    <w:rsid w:val="003C0D02"/>
    <w:rsid w:val="003C0E03"/>
    <w:rsid w:val="003C0E97"/>
    <w:rsid w:val="003C0ECD"/>
    <w:rsid w:val="003C0FC2"/>
    <w:rsid w:val="003C1094"/>
    <w:rsid w:val="003C1107"/>
    <w:rsid w:val="003C11F2"/>
    <w:rsid w:val="003C1252"/>
    <w:rsid w:val="003C12A3"/>
    <w:rsid w:val="003C133F"/>
    <w:rsid w:val="003C161F"/>
    <w:rsid w:val="003C16EF"/>
    <w:rsid w:val="003C18C7"/>
    <w:rsid w:val="003C18ED"/>
    <w:rsid w:val="003C191E"/>
    <w:rsid w:val="003C1A26"/>
    <w:rsid w:val="003C1A9E"/>
    <w:rsid w:val="003C1AA4"/>
    <w:rsid w:val="003C1B66"/>
    <w:rsid w:val="003C1C33"/>
    <w:rsid w:val="003C1C55"/>
    <w:rsid w:val="003C1CDD"/>
    <w:rsid w:val="003C1DD5"/>
    <w:rsid w:val="003C1E5E"/>
    <w:rsid w:val="003C1E73"/>
    <w:rsid w:val="003C1E7E"/>
    <w:rsid w:val="003C20A9"/>
    <w:rsid w:val="003C20BF"/>
    <w:rsid w:val="003C2143"/>
    <w:rsid w:val="003C216E"/>
    <w:rsid w:val="003C226D"/>
    <w:rsid w:val="003C232B"/>
    <w:rsid w:val="003C23C4"/>
    <w:rsid w:val="003C2411"/>
    <w:rsid w:val="003C2420"/>
    <w:rsid w:val="003C242F"/>
    <w:rsid w:val="003C24D9"/>
    <w:rsid w:val="003C24E3"/>
    <w:rsid w:val="003C2558"/>
    <w:rsid w:val="003C2567"/>
    <w:rsid w:val="003C2621"/>
    <w:rsid w:val="003C2641"/>
    <w:rsid w:val="003C2650"/>
    <w:rsid w:val="003C2652"/>
    <w:rsid w:val="003C2827"/>
    <w:rsid w:val="003C289C"/>
    <w:rsid w:val="003C28D1"/>
    <w:rsid w:val="003C2B06"/>
    <w:rsid w:val="003C2B53"/>
    <w:rsid w:val="003C2B5C"/>
    <w:rsid w:val="003C2BA9"/>
    <w:rsid w:val="003C2BB1"/>
    <w:rsid w:val="003C2C00"/>
    <w:rsid w:val="003C2C56"/>
    <w:rsid w:val="003C2C91"/>
    <w:rsid w:val="003C2CAA"/>
    <w:rsid w:val="003C2CD6"/>
    <w:rsid w:val="003C2E08"/>
    <w:rsid w:val="003C2E97"/>
    <w:rsid w:val="003C2EDD"/>
    <w:rsid w:val="003C2F2F"/>
    <w:rsid w:val="003C2F59"/>
    <w:rsid w:val="003C2F89"/>
    <w:rsid w:val="003C2FBB"/>
    <w:rsid w:val="003C2FD4"/>
    <w:rsid w:val="003C2FE2"/>
    <w:rsid w:val="003C3033"/>
    <w:rsid w:val="003C30A0"/>
    <w:rsid w:val="003C316A"/>
    <w:rsid w:val="003C3207"/>
    <w:rsid w:val="003C3220"/>
    <w:rsid w:val="003C3230"/>
    <w:rsid w:val="003C3329"/>
    <w:rsid w:val="003C3366"/>
    <w:rsid w:val="003C3375"/>
    <w:rsid w:val="003C33EF"/>
    <w:rsid w:val="003C33F9"/>
    <w:rsid w:val="003C3408"/>
    <w:rsid w:val="003C3503"/>
    <w:rsid w:val="003C3518"/>
    <w:rsid w:val="003C356F"/>
    <w:rsid w:val="003C3723"/>
    <w:rsid w:val="003C3900"/>
    <w:rsid w:val="003C395F"/>
    <w:rsid w:val="003C3A47"/>
    <w:rsid w:val="003C3A79"/>
    <w:rsid w:val="003C3A81"/>
    <w:rsid w:val="003C3AE1"/>
    <w:rsid w:val="003C3B18"/>
    <w:rsid w:val="003C3BBA"/>
    <w:rsid w:val="003C3CAD"/>
    <w:rsid w:val="003C3CCB"/>
    <w:rsid w:val="003C3CF3"/>
    <w:rsid w:val="003C3D09"/>
    <w:rsid w:val="003C3D65"/>
    <w:rsid w:val="003C3E31"/>
    <w:rsid w:val="003C3E64"/>
    <w:rsid w:val="003C4178"/>
    <w:rsid w:val="003C425E"/>
    <w:rsid w:val="003C4294"/>
    <w:rsid w:val="003C4339"/>
    <w:rsid w:val="003C43E5"/>
    <w:rsid w:val="003C44B7"/>
    <w:rsid w:val="003C44D7"/>
    <w:rsid w:val="003C44E6"/>
    <w:rsid w:val="003C451D"/>
    <w:rsid w:val="003C4533"/>
    <w:rsid w:val="003C4580"/>
    <w:rsid w:val="003C45F7"/>
    <w:rsid w:val="003C461F"/>
    <w:rsid w:val="003C471B"/>
    <w:rsid w:val="003C4736"/>
    <w:rsid w:val="003C47AC"/>
    <w:rsid w:val="003C4833"/>
    <w:rsid w:val="003C48F2"/>
    <w:rsid w:val="003C49EC"/>
    <w:rsid w:val="003C4B6D"/>
    <w:rsid w:val="003C4BF7"/>
    <w:rsid w:val="003C4C7A"/>
    <w:rsid w:val="003C4CAC"/>
    <w:rsid w:val="003C4D0C"/>
    <w:rsid w:val="003C4DD0"/>
    <w:rsid w:val="003C4E1E"/>
    <w:rsid w:val="003C4F22"/>
    <w:rsid w:val="003C4FD9"/>
    <w:rsid w:val="003C4FF3"/>
    <w:rsid w:val="003C5057"/>
    <w:rsid w:val="003C5072"/>
    <w:rsid w:val="003C5073"/>
    <w:rsid w:val="003C5077"/>
    <w:rsid w:val="003C5088"/>
    <w:rsid w:val="003C50D4"/>
    <w:rsid w:val="003C5172"/>
    <w:rsid w:val="003C5177"/>
    <w:rsid w:val="003C5195"/>
    <w:rsid w:val="003C52B0"/>
    <w:rsid w:val="003C5332"/>
    <w:rsid w:val="003C537F"/>
    <w:rsid w:val="003C53A8"/>
    <w:rsid w:val="003C53C7"/>
    <w:rsid w:val="003C54FC"/>
    <w:rsid w:val="003C5731"/>
    <w:rsid w:val="003C577D"/>
    <w:rsid w:val="003C582C"/>
    <w:rsid w:val="003C5836"/>
    <w:rsid w:val="003C583C"/>
    <w:rsid w:val="003C5888"/>
    <w:rsid w:val="003C58C6"/>
    <w:rsid w:val="003C5911"/>
    <w:rsid w:val="003C591C"/>
    <w:rsid w:val="003C5964"/>
    <w:rsid w:val="003C5A1F"/>
    <w:rsid w:val="003C5A8D"/>
    <w:rsid w:val="003C5ABD"/>
    <w:rsid w:val="003C5B0D"/>
    <w:rsid w:val="003C5B75"/>
    <w:rsid w:val="003C5C3B"/>
    <w:rsid w:val="003C5CDB"/>
    <w:rsid w:val="003C5D5C"/>
    <w:rsid w:val="003C5DA0"/>
    <w:rsid w:val="003C5DA9"/>
    <w:rsid w:val="003C606E"/>
    <w:rsid w:val="003C6160"/>
    <w:rsid w:val="003C61D7"/>
    <w:rsid w:val="003C63C1"/>
    <w:rsid w:val="003C644F"/>
    <w:rsid w:val="003C6465"/>
    <w:rsid w:val="003C651E"/>
    <w:rsid w:val="003C65E4"/>
    <w:rsid w:val="003C65EB"/>
    <w:rsid w:val="003C662E"/>
    <w:rsid w:val="003C6670"/>
    <w:rsid w:val="003C668A"/>
    <w:rsid w:val="003C67C2"/>
    <w:rsid w:val="003C6848"/>
    <w:rsid w:val="003C6903"/>
    <w:rsid w:val="003C6910"/>
    <w:rsid w:val="003C696F"/>
    <w:rsid w:val="003C69CE"/>
    <w:rsid w:val="003C6AE9"/>
    <w:rsid w:val="003C6B5C"/>
    <w:rsid w:val="003C6C0F"/>
    <w:rsid w:val="003C6C18"/>
    <w:rsid w:val="003C6E2B"/>
    <w:rsid w:val="003C6E72"/>
    <w:rsid w:val="003C6EFE"/>
    <w:rsid w:val="003C70F2"/>
    <w:rsid w:val="003C7146"/>
    <w:rsid w:val="003C715F"/>
    <w:rsid w:val="003C71C5"/>
    <w:rsid w:val="003C732A"/>
    <w:rsid w:val="003C73AF"/>
    <w:rsid w:val="003C73F5"/>
    <w:rsid w:val="003C742C"/>
    <w:rsid w:val="003C752B"/>
    <w:rsid w:val="003C7544"/>
    <w:rsid w:val="003C755C"/>
    <w:rsid w:val="003C75D9"/>
    <w:rsid w:val="003C7712"/>
    <w:rsid w:val="003C77FD"/>
    <w:rsid w:val="003C783C"/>
    <w:rsid w:val="003C7850"/>
    <w:rsid w:val="003C7862"/>
    <w:rsid w:val="003C7AC2"/>
    <w:rsid w:val="003C7B59"/>
    <w:rsid w:val="003C7C60"/>
    <w:rsid w:val="003C7D34"/>
    <w:rsid w:val="003C7D5C"/>
    <w:rsid w:val="003C7DAD"/>
    <w:rsid w:val="003C7E45"/>
    <w:rsid w:val="003C7EC7"/>
    <w:rsid w:val="003C7ECD"/>
    <w:rsid w:val="003C7F42"/>
    <w:rsid w:val="003D007D"/>
    <w:rsid w:val="003D00BA"/>
    <w:rsid w:val="003D0117"/>
    <w:rsid w:val="003D013D"/>
    <w:rsid w:val="003D0191"/>
    <w:rsid w:val="003D01A1"/>
    <w:rsid w:val="003D022C"/>
    <w:rsid w:val="003D02F7"/>
    <w:rsid w:val="003D03A5"/>
    <w:rsid w:val="003D04D6"/>
    <w:rsid w:val="003D04DA"/>
    <w:rsid w:val="003D04F6"/>
    <w:rsid w:val="003D0569"/>
    <w:rsid w:val="003D068B"/>
    <w:rsid w:val="003D0723"/>
    <w:rsid w:val="003D07C5"/>
    <w:rsid w:val="003D07E5"/>
    <w:rsid w:val="003D07E6"/>
    <w:rsid w:val="003D0817"/>
    <w:rsid w:val="003D08BB"/>
    <w:rsid w:val="003D0A3F"/>
    <w:rsid w:val="003D0B39"/>
    <w:rsid w:val="003D0B9A"/>
    <w:rsid w:val="003D0C67"/>
    <w:rsid w:val="003D0C73"/>
    <w:rsid w:val="003D0CA1"/>
    <w:rsid w:val="003D0CE6"/>
    <w:rsid w:val="003D0DC0"/>
    <w:rsid w:val="003D0DED"/>
    <w:rsid w:val="003D0E9F"/>
    <w:rsid w:val="003D0F0E"/>
    <w:rsid w:val="003D0F7A"/>
    <w:rsid w:val="003D0FC6"/>
    <w:rsid w:val="003D10C0"/>
    <w:rsid w:val="003D11CF"/>
    <w:rsid w:val="003D11DE"/>
    <w:rsid w:val="003D1222"/>
    <w:rsid w:val="003D12DB"/>
    <w:rsid w:val="003D12FA"/>
    <w:rsid w:val="003D138D"/>
    <w:rsid w:val="003D13CC"/>
    <w:rsid w:val="003D142F"/>
    <w:rsid w:val="003D1523"/>
    <w:rsid w:val="003D152C"/>
    <w:rsid w:val="003D1567"/>
    <w:rsid w:val="003D1579"/>
    <w:rsid w:val="003D15E9"/>
    <w:rsid w:val="003D16A8"/>
    <w:rsid w:val="003D170F"/>
    <w:rsid w:val="003D179C"/>
    <w:rsid w:val="003D17BD"/>
    <w:rsid w:val="003D1800"/>
    <w:rsid w:val="003D182D"/>
    <w:rsid w:val="003D18CC"/>
    <w:rsid w:val="003D19C1"/>
    <w:rsid w:val="003D19E7"/>
    <w:rsid w:val="003D19E9"/>
    <w:rsid w:val="003D1A07"/>
    <w:rsid w:val="003D1ACD"/>
    <w:rsid w:val="003D1B83"/>
    <w:rsid w:val="003D1B89"/>
    <w:rsid w:val="003D1DFA"/>
    <w:rsid w:val="003D1E92"/>
    <w:rsid w:val="003D1F1C"/>
    <w:rsid w:val="003D1F21"/>
    <w:rsid w:val="003D1F48"/>
    <w:rsid w:val="003D207E"/>
    <w:rsid w:val="003D21AC"/>
    <w:rsid w:val="003D222A"/>
    <w:rsid w:val="003D2297"/>
    <w:rsid w:val="003D2425"/>
    <w:rsid w:val="003D2435"/>
    <w:rsid w:val="003D2445"/>
    <w:rsid w:val="003D248E"/>
    <w:rsid w:val="003D249C"/>
    <w:rsid w:val="003D2511"/>
    <w:rsid w:val="003D2513"/>
    <w:rsid w:val="003D256A"/>
    <w:rsid w:val="003D261C"/>
    <w:rsid w:val="003D2662"/>
    <w:rsid w:val="003D2971"/>
    <w:rsid w:val="003D2A35"/>
    <w:rsid w:val="003D2A43"/>
    <w:rsid w:val="003D2A8C"/>
    <w:rsid w:val="003D2C0D"/>
    <w:rsid w:val="003D2CB2"/>
    <w:rsid w:val="003D2D0F"/>
    <w:rsid w:val="003D2DC5"/>
    <w:rsid w:val="003D2F3D"/>
    <w:rsid w:val="003D302B"/>
    <w:rsid w:val="003D3074"/>
    <w:rsid w:val="003D30B2"/>
    <w:rsid w:val="003D3203"/>
    <w:rsid w:val="003D3208"/>
    <w:rsid w:val="003D32CF"/>
    <w:rsid w:val="003D335A"/>
    <w:rsid w:val="003D33F9"/>
    <w:rsid w:val="003D3468"/>
    <w:rsid w:val="003D3583"/>
    <w:rsid w:val="003D35A8"/>
    <w:rsid w:val="003D365C"/>
    <w:rsid w:val="003D3707"/>
    <w:rsid w:val="003D37BF"/>
    <w:rsid w:val="003D37DC"/>
    <w:rsid w:val="003D38EE"/>
    <w:rsid w:val="003D391E"/>
    <w:rsid w:val="003D392C"/>
    <w:rsid w:val="003D39B4"/>
    <w:rsid w:val="003D39B7"/>
    <w:rsid w:val="003D3A10"/>
    <w:rsid w:val="003D3A20"/>
    <w:rsid w:val="003D3AD6"/>
    <w:rsid w:val="003D3B6F"/>
    <w:rsid w:val="003D3BBF"/>
    <w:rsid w:val="003D3C27"/>
    <w:rsid w:val="003D3CCC"/>
    <w:rsid w:val="003D3D46"/>
    <w:rsid w:val="003D3F6A"/>
    <w:rsid w:val="003D3F6D"/>
    <w:rsid w:val="003D3FC2"/>
    <w:rsid w:val="003D4078"/>
    <w:rsid w:val="003D40E8"/>
    <w:rsid w:val="003D4164"/>
    <w:rsid w:val="003D416C"/>
    <w:rsid w:val="003D4199"/>
    <w:rsid w:val="003D41A3"/>
    <w:rsid w:val="003D41E7"/>
    <w:rsid w:val="003D424B"/>
    <w:rsid w:val="003D431D"/>
    <w:rsid w:val="003D4381"/>
    <w:rsid w:val="003D4497"/>
    <w:rsid w:val="003D4498"/>
    <w:rsid w:val="003D44A8"/>
    <w:rsid w:val="003D44D2"/>
    <w:rsid w:val="003D44F3"/>
    <w:rsid w:val="003D455E"/>
    <w:rsid w:val="003D45DD"/>
    <w:rsid w:val="003D4685"/>
    <w:rsid w:val="003D4802"/>
    <w:rsid w:val="003D4A30"/>
    <w:rsid w:val="003D4A5D"/>
    <w:rsid w:val="003D4A6C"/>
    <w:rsid w:val="003D4A78"/>
    <w:rsid w:val="003D4A86"/>
    <w:rsid w:val="003D4AB5"/>
    <w:rsid w:val="003D4AC2"/>
    <w:rsid w:val="003D4AEA"/>
    <w:rsid w:val="003D4BA0"/>
    <w:rsid w:val="003D4C71"/>
    <w:rsid w:val="003D4DFB"/>
    <w:rsid w:val="003D4E09"/>
    <w:rsid w:val="003D4ED2"/>
    <w:rsid w:val="003D4EED"/>
    <w:rsid w:val="003D4F04"/>
    <w:rsid w:val="003D4FCF"/>
    <w:rsid w:val="003D517E"/>
    <w:rsid w:val="003D5216"/>
    <w:rsid w:val="003D5285"/>
    <w:rsid w:val="003D528D"/>
    <w:rsid w:val="003D52B3"/>
    <w:rsid w:val="003D552E"/>
    <w:rsid w:val="003D55BD"/>
    <w:rsid w:val="003D561E"/>
    <w:rsid w:val="003D567D"/>
    <w:rsid w:val="003D56CE"/>
    <w:rsid w:val="003D5751"/>
    <w:rsid w:val="003D5785"/>
    <w:rsid w:val="003D584C"/>
    <w:rsid w:val="003D584F"/>
    <w:rsid w:val="003D5853"/>
    <w:rsid w:val="003D58B1"/>
    <w:rsid w:val="003D58E3"/>
    <w:rsid w:val="003D595B"/>
    <w:rsid w:val="003D5986"/>
    <w:rsid w:val="003D5A0E"/>
    <w:rsid w:val="003D5A2C"/>
    <w:rsid w:val="003D5A2D"/>
    <w:rsid w:val="003D5A9D"/>
    <w:rsid w:val="003D5B01"/>
    <w:rsid w:val="003D5BD4"/>
    <w:rsid w:val="003D5C21"/>
    <w:rsid w:val="003D5C92"/>
    <w:rsid w:val="003D5CA2"/>
    <w:rsid w:val="003D5CAB"/>
    <w:rsid w:val="003D5E68"/>
    <w:rsid w:val="003D5ECA"/>
    <w:rsid w:val="003D5FB2"/>
    <w:rsid w:val="003D5FB3"/>
    <w:rsid w:val="003D5FE4"/>
    <w:rsid w:val="003D60F9"/>
    <w:rsid w:val="003D61F7"/>
    <w:rsid w:val="003D61FA"/>
    <w:rsid w:val="003D620B"/>
    <w:rsid w:val="003D622F"/>
    <w:rsid w:val="003D6261"/>
    <w:rsid w:val="003D62C0"/>
    <w:rsid w:val="003D62C4"/>
    <w:rsid w:val="003D6422"/>
    <w:rsid w:val="003D6454"/>
    <w:rsid w:val="003D650B"/>
    <w:rsid w:val="003D655A"/>
    <w:rsid w:val="003D6582"/>
    <w:rsid w:val="003D65A6"/>
    <w:rsid w:val="003D65A8"/>
    <w:rsid w:val="003D65F6"/>
    <w:rsid w:val="003D6685"/>
    <w:rsid w:val="003D66F2"/>
    <w:rsid w:val="003D6733"/>
    <w:rsid w:val="003D68C8"/>
    <w:rsid w:val="003D6911"/>
    <w:rsid w:val="003D6930"/>
    <w:rsid w:val="003D6957"/>
    <w:rsid w:val="003D6A8C"/>
    <w:rsid w:val="003D6A9E"/>
    <w:rsid w:val="003D6AEC"/>
    <w:rsid w:val="003D6B1C"/>
    <w:rsid w:val="003D6BCE"/>
    <w:rsid w:val="003D6C4B"/>
    <w:rsid w:val="003D6C84"/>
    <w:rsid w:val="003D6C85"/>
    <w:rsid w:val="003D6D0B"/>
    <w:rsid w:val="003D6E58"/>
    <w:rsid w:val="003D6F9F"/>
    <w:rsid w:val="003D6FA8"/>
    <w:rsid w:val="003D7099"/>
    <w:rsid w:val="003D70BA"/>
    <w:rsid w:val="003D717E"/>
    <w:rsid w:val="003D724D"/>
    <w:rsid w:val="003D728E"/>
    <w:rsid w:val="003D7292"/>
    <w:rsid w:val="003D7379"/>
    <w:rsid w:val="003D73E5"/>
    <w:rsid w:val="003D73F4"/>
    <w:rsid w:val="003D740E"/>
    <w:rsid w:val="003D7422"/>
    <w:rsid w:val="003D751D"/>
    <w:rsid w:val="003D7600"/>
    <w:rsid w:val="003D76D5"/>
    <w:rsid w:val="003D7707"/>
    <w:rsid w:val="003D771D"/>
    <w:rsid w:val="003D7741"/>
    <w:rsid w:val="003D7751"/>
    <w:rsid w:val="003D7884"/>
    <w:rsid w:val="003D78D6"/>
    <w:rsid w:val="003D7931"/>
    <w:rsid w:val="003D798B"/>
    <w:rsid w:val="003D79A6"/>
    <w:rsid w:val="003D79CC"/>
    <w:rsid w:val="003D7A14"/>
    <w:rsid w:val="003D7A30"/>
    <w:rsid w:val="003D7B05"/>
    <w:rsid w:val="003D7B14"/>
    <w:rsid w:val="003D7B42"/>
    <w:rsid w:val="003D7B50"/>
    <w:rsid w:val="003D7B97"/>
    <w:rsid w:val="003D7BBD"/>
    <w:rsid w:val="003D7C07"/>
    <w:rsid w:val="003D7C2D"/>
    <w:rsid w:val="003D7C6E"/>
    <w:rsid w:val="003D7C8E"/>
    <w:rsid w:val="003D7D03"/>
    <w:rsid w:val="003D7DA9"/>
    <w:rsid w:val="003D7E38"/>
    <w:rsid w:val="003D7E4B"/>
    <w:rsid w:val="003D7EF8"/>
    <w:rsid w:val="003D7FBE"/>
    <w:rsid w:val="003E0035"/>
    <w:rsid w:val="003E00A9"/>
    <w:rsid w:val="003E00B4"/>
    <w:rsid w:val="003E00C3"/>
    <w:rsid w:val="003E00D0"/>
    <w:rsid w:val="003E013A"/>
    <w:rsid w:val="003E0225"/>
    <w:rsid w:val="003E0253"/>
    <w:rsid w:val="003E02CD"/>
    <w:rsid w:val="003E02D9"/>
    <w:rsid w:val="003E0335"/>
    <w:rsid w:val="003E03A4"/>
    <w:rsid w:val="003E043E"/>
    <w:rsid w:val="003E0480"/>
    <w:rsid w:val="003E048C"/>
    <w:rsid w:val="003E0563"/>
    <w:rsid w:val="003E05F1"/>
    <w:rsid w:val="003E0715"/>
    <w:rsid w:val="003E08EB"/>
    <w:rsid w:val="003E08F3"/>
    <w:rsid w:val="003E0922"/>
    <w:rsid w:val="003E09AE"/>
    <w:rsid w:val="003E09D7"/>
    <w:rsid w:val="003E0A11"/>
    <w:rsid w:val="003E0B17"/>
    <w:rsid w:val="003E0B3F"/>
    <w:rsid w:val="003E0C14"/>
    <w:rsid w:val="003E0D6F"/>
    <w:rsid w:val="003E0D94"/>
    <w:rsid w:val="003E0DA2"/>
    <w:rsid w:val="003E0E8E"/>
    <w:rsid w:val="003E109A"/>
    <w:rsid w:val="003E10AE"/>
    <w:rsid w:val="003E11C4"/>
    <w:rsid w:val="003E1220"/>
    <w:rsid w:val="003E125C"/>
    <w:rsid w:val="003E12F2"/>
    <w:rsid w:val="003E13DC"/>
    <w:rsid w:val="003E140B"/>
    <w:rsid w:val="003E1465"/>
    <w:rsid w:val="003E1469"/>
    <w:rsid w:val="003E147E"/>
    <w:rsid w:val="003E14CE"/>
    <w:rsid w:val="003E1524"/>
    <w:rsid w:val="003E1591"/>
    <w:rsid w:val="003E15E3"/>
    <w:rsid w:val="003E1609"/>
    <w:rsid w:val="003E161E"/>
    <w:rsid w:val="003E1668"/>
    <w:rsid w:val="003E16FD"/>
    <w:rsid w:val="003E172C"/>
    <w:rsid w:val="003E1747"/>
    <w:rsid w:val="003E1782"/>
    <w:rsid w:val="003E1799"/>
    <w:rsid w:val="003E17ED"/>
    <w:rsid w:val="003E188F"/>
    <w:rsid w:val="003E1A10"/>
    <w:rsid w:val="003E1ACF"/>
    <w:rsid w:val="003E1C5B"/>
    <w:rsid w:val="003E1D37"/>
    <w:rsid w:val="003E1D96"/>
    <w:rsid w:val="003E1DE0"/>
    <w:rsid w:val="003E1E2F"/>
    <w:rsid w:val="003E1EBE"/>
    <w:rsid w:val="003E1F78"/>
    <w:rsid w:val="003E2005"/>
    <w:rsid w:val="003E20E9"/>
    <w:rsid w:val="003E216C"/>
    <w:rsid w:val="003E218E"/>
    <w:rsid w:val="003E22D7"/>
    <w:rsid w:val="003E22E9"/>
    <w:rsid w:val="003E232D"/>
    <w:rsid w:val="003E234C"/>
    <w:rsid w:val="003E236E"/>
    <w:rsid w:val="003E2372"/>
    <w:rsid w:val="003E23CB"/>
    <w:rsid w:val="003E23F1"/>
    <w:rsid w:val="003E2404"/>
    <w:rsid w:val="003E242F"/>
    <w:rsid w:val="003E2460"/>
    <w:rsid w:val="003E2540"/>
    <w:rsid w:val="003E259D"/>
    <w:rsid w:val="003E2613"/>
    <w:rsid w:val="003E265C"/>
    <w:rsid w:val="003E26BA"/>
    <w:rsid w:val="003E26BC"/>
    <w:rsid w:val="003E2847"/>
    <w:rsid w:val="003E2863"/>
    <w:rsid w:val="003E2891"/>
    <w:rsid w:val="003E28EB"/>
    <w:rsid w:val="003E28F8"/>
    <w:rsid w:val="003E2906"/>
    <w:rsid w:val="003E2969"/>
    <w:rsid w:val="003E2ADF"/>
    <w:rsid w:val="003E2AEA"/>
    <w:rsid w:val="003E2B82"/>
    <w:rsid w:val="003E2BF6"/>
    <w:rsid w:val="003E2C1A"/>
    <w:rsid w:val="003E2CE5"/>
    <w:rsid w:val="003E2D09"/>
    <w:rsid w:val="003E2E42"/>
    <w:rsid w:val="003E2E90"/>
    <w:rsid w:val="003E2F68"/>
    <w:rsid w:val="003E2FA9"/>
    <w:rsid w:val="003E2FAD"/>
    <w:rsid w:val="003E3089"/>
    <w:rsid w:val="003E30F8"/>
    <w:rsid w:val="003E3132"/>
    <w:rsid w:val="003E3173"/>
    <w:rsid w:val="003E3209"/>
    <w:rsid w:val="003E330F"/>
    <w:rsid w:val="003E3339"/>
    <w:rsid w:val="003E343A"/>
    <w:rsid w:val="003E344C"/>
    <w:rsid w:val="003E3478"/>
    <w:rsid w:val="003E388E"/>
    <w:rsid w:val="003E38DB"/>
    <w:rsid w:val="003E3939"/>
    <w:rsid w:val="003E3A63"/>
    <w:rsid w:val="003E3ACC"/>
    <w:rsid w:val="003E3AF9"/>
    <w:rsid w:val="003E3C99"/>
    <w:rsid w:val="003E3CC3"/>
    <w:rsid w:val="003E3D75"/>
    <w:rsid w:val="003E3DD1"/>
    <w:rsid w:val="003E3E21"/>
    <w:rsid w:val="003E3F7F"/>
    <w:rsid w:val="003E3FB1"/>
    <w:rsid w:val="003E4100"/>
    <w:rsid w:val="003E4119"/>
    <w:rsid w:val="003E417D"/>
    <w:rsid w:val="003E41C1"/>
    <w:rsid w:val="003E421C"/>
    <w:rsid w:val="003E4252"/>
    <w:rsid w:val="003E42DD"/>
    <w:rsid w:val="003E43F2"/>
    <w:rsid w:val="003E43F6"/>
    <w:rsid w:val="003E443D"/>
    <w:rsid w:val="003E4563"/>
    <w:rsid w:val="003E46A7"/>
    <w:rsid w:val="003E46C9"/>
    <w:rsid w:val="003E473D"/>
    <w:rsid w:val="003E487D"/>
    <w:rsid w:val="003E48E6"/>
    <w:rsid w:val="003E490F"/>
    <w:rsid w:val="003E493A"/>
    <w:rsid w:val="003E4AC4"/>
    <w:rsid w:val="003E4AD1"/>
    <w:rsid w:val="003E4AF9"/>
    <w:rsid w:val="003E4B5B"/>
    <w:rsid w:val="003E4C76"/>
    <w:rsid w:val="003E4D8F"/>
    <w:rsid w:val="003E4DE4"/>
    <w:rsid w:val="003E4E06"/>
    <w:rsid w:val="003E4E5A"/>
    <w:rsid w:val="003E4E74"/>
    <w:rsid w:val="003E4EEB"/>
    <w:rsid w:val="003E4EF8"/>
    <w:rsid w:val="003E4F28"/>
    <w:rsid w:val="003E4F36"/>
    <w:rsid w:val="003E4F41"/>
    <w:rsid w:val="003E4F64"/>
    <w:rsid w:val="003E4FB2"/>
    <w:rsid w:val="003E4FD0"/>
    <w:rsid w:val="003E5054"/>
    <w:rsid w:val="003E50C7"/>
    <w:rsid w:val="003E51F7"/>
    <w:rsid w:val="003E5247"/>
    <w:rsid w:val="003E5258"/>
    <w:rsid w:val="003E52BF"/>
    <w:rsid w:val="003E53C3"/>
    <w:rsid w:val="003E53ED"/>
    <w:rsid w:val="003E53F7"/>
    <w:rsid w:val="003E5405"/>
    <w:rsid w:val="003E55CB"/>
    <w:rsid w:val="003E5609"/>
    <w:rsid w:val="003E581E"/>
    <w:rsid w:val="003E5984"/>
    <w:rsid w:val="003E59AB"/>
    <w:rsid w:val="003E5A1B"/>
    <w:rsid w:val="003E5C33"/>
    <w:rsid w:val="003E5CB2"/>
    <w:rsid w:val="003E5D13"/>
    <w:rsid w:val="003E5D30"/>
    <w:rsid w:val="003E5D3B"/>
    <w:rsid w:val="003E5D4B"/>
    <w:rsid w:val="003E5DB8"/>
    <w:rsid w:val="003E5E55"/>
    <w:rsid w:val="003E5E6B"/>
    <w:rsid w:val="003E5E6D"/>
    <w:rsid w:val="003E5F00"/>
    <w:rsid w:val="003E5F3B"/>
    <w:rsid w:val="003E5F7D"/>
    <w:rsid w:val="003E609A"/>
    <w:rsid w:val="003E61D4"/>
    <w:rsid w:val="003E627E"/>
    <w:rsid w:val="003E628C"/>
    <w:rsid w:val="003E62E0"/>
    <w:rsid w:val="003E637F"/>
    <w:rsid w:val="003E6423"/>
    <w:rsid w:val="003E645B"/>
    <w:rsid w:val="003E64F1"/>
    <w:rsid w:val="003E6520"/>
    <w:rsid w:val="003E653A"/>
    <w:rsid w:val="003E65E9"/>
    <w:rsid w:val="003E664E"/>
    <w:rsid w:val="003E66AC"/>
    <w:rsid w:val="003E67C9"/>
    <w:rsid w:val="003E67E7"/>
    <w:rsid w:val="003E68B2"/>
    <w:rsid w:val="003E68B8"/>
    <w:rsid w:val="003E6AAE"/>
    <w:rsid w:val="003E6B3C"/>
    <w:rsid w:val="003E6B95"/>
    <w:rsid w:val="003E6BEB"/>
    <w:rsid w:val="003E6CDB"/>
    <w:rsid w:val="003E6CE9"/>
    <w:rsid w:val="003E6CF2"/>
    <w:rsid w:val="003E6D4F"/>
    <w:rsid w:val="003E6D72"/>
    <w:rsid w:val="003E6DB7"/>
    <w:rsid w:val="003E6DF2"/>
    <w:rsid w:val="003E6E3A"/>
    <w:rsid w:val="003E6E57"/>
    <w:rsid w:val="003E6E6A"/>
    <w:rsid w:val="003E6E7D"/>
    <w:rsid w:val="003E6E80"/>
    <w:rsid w:val="003E6F59"/>
    <w:rsid w:val="003E6FE0"/>
    <w:rsid w:val="003E7086"/>
    <w:rsid w:val="003E70FF"/>
    <w:rsid w:val="003E71C0"/>
    <w:rsid w:val="003E72AD"/>
    <w:rsid w:val="003E72C4"/>
    <w:rsid w:val="003E72E8"/>
    <w:rsid w:val="003E736C"/>
    <w:rsid w:val="003E740B"/>
    <w:rsid w:val="003E7492"/>
    <w:rsid w:val="003E74EA"/>
    <w:rsid w:val="003E7536"/>
    <w:rsid w:val="003E7673"/>
    <w:rsid w:val="003E768A"/>
    <w:rsid w:val="003E7743"/>
    <w:rsid w:val="003E77A4"/>
    <w:rsid w:val="003E7BA9"/>
    <w:rsid w:val="003E7D47"/>
    <w:rsid w:val="003E7DA3"/>
    <w:rsid w:val="003E7DB6"/>
    <w:rsid w:val="003E7F1B"/>
    <w:rsid w:val="003F0126"/>
    <w:rsid w:val="003F0174"/>
    <w:rsid w:val="003F01E4"/>
    <w:rsid w:val="003F0229"/>
    <w:rsid w:val="003F03BF"/>
    <w:rsid w:val="003F03E9"/>
    <w:rsid w:val="003F04CF"/>
    <w:rsid w:val="003F04F8"/>
    <w:rsid w:val="003F0514"/>
    <w:rsid w:val="003F0541"/>
    <w:rsid w:val="003F072C"/>
    <w:rsid w:val="003F0798"/>
    <w:rsid w:val="003F079B"/>
    <w:rsid w:val="003F082E"/>
    <w:rsid w:val="003F0836"/>
    <w:rsid w:val="003F085C"/>
    <w:rsid w:val="003F0872"/>
    <w:rsid w:val="003F0898"/>
    <w:rsid w:val="003F08C4"/>
    <w:rsid w:val="003F08D1"/>
    <w:rsid w:val="003F098F"/>
    <w:rsid w:val="003F09BE"/>
    <w:rsid w:val="003F0A66"/>
    <w:rsid w:val="003F0A91"/>
    <w:rsid w:val="003F0B41"/>
    <w:rsid w:val="003F0B4C"/>
    <w:rsid w:val="003F0C06"/>
    <w:rsid w:val="003F0D0B"/>
    <w:rsid w:val="003F0E23"/>
    <w:rsid w:val="003F0EFF"/>
    <w:rsid w:val="003F0F25"/>
    <w:rsid w:val="003F0F80"/>
    <w:rsid w:val="003F0FDB"/>
    <w:rsid w:val="003F106D"/>
    <w:rsid w:val="003F111F"/>
    <w:rsid w:val="003F12FB"/>
    <w:rsid w:val="003F12FD"/>
    <w:rsid w:val="003F13F2"/>
    <w:rsid w:val="003F145F"/>
    <w:rsid w:val="003F14E5"/>
    <w:rsid w:val="003F14F0"/>
    <w:rsid w:val="003F152D"/>
    <w:rsid w:val="003F1540"/>
    <w:rsid w:val="003F1820"/>
    <w:rsid w:val="003F1844"/>
    <w:rsid w:val="003F1850"/>
    <w:rsid w:val="003F18A0"/>
    <w:rsid w:val="003F194F"/>
    <w:rsid w:val="003F1960"/>
    <w:rsid w:val="003F19F6"/>
    <w:rsid w:val="003F1AF6"/>
    <w:rsid w:val="003F1B8C"/>
    <w:rsid w:val="003F1BC0"/>
    <w:rsid w:val="003F1CB4"/>
    <w:rsid w:val="003F1CC9"/>
    <w:rsid w:val="003F1D3B"/>
    <w:rsid w:val="003F1D77"/>
    <w:rsid w:val="003F1DC1"/>
    <w:rsid w:val="003F1E39"/>
    <w:rsid w:val="003F1FB5"/>
    <w:rsid w:val="003F2001"/>
    <w:rsid w:val="003F2055"/>
    <w:rsid w:val="003F20A9"/>
    <w:rsid w:val="003F20AE"/>
    <w:rsid w:val="003F2108"/>
    <w:rsid w:val="003F21E1"/>
    <w:rsid w:val="003F21E5"/>
    <w:rsid w:val="003F21FF"/>
    <w:rsid w:val="003F229D"/>
    <w:rsid w:val="003F23FE"/>
    <w:rsid w:val="003F241A"/>
    <w:rsid w:val="003F24F2"/>
    <w:rsid w:val="003F2526"/>
    <w:rsid w:val="003F2540"/>
    <w:rsid w:val="003F254E"/>
    <w:rsid w:val="003F25B1"/>
    <w:rsid w:val="003F25F0"/>
    <w:rsid w:val="003F25F2"/>
    <w:rsid w:val="003F26A3"/>
    <w:rsid w:val="003F26FF"/>
    <w:rsid w:val="003F274F"/>
    <w:rsid w:val="003F2879"/>
    <w:rsid w:val="003F2930"/>
    <w:rsid w:val="003F2B73"/>
    <w:rsid w:val="003F2C97"/>
    <w:rsid w:val="003F2D5B"/>
    <w:rsid w:val="003F2D81"/>
    <w:rsid w:val="003F2E38"/>
    <w:rsid w:val="003F2F0E"/>
    <w:rsid w:val="003F2F86"/>
    <w:rsid w:val="003F2FDA"/>
    <w:rsid w:val="003F3067"/>
    <w:rsid w:val="003F3086"/>
    <w:rsid w:val="003F3138"/>
    <w:rsid w:val="003F3181"/>
    <w:rsid w:val="003F31FA"/>
    <w:rsid w:val="003F3210"/>
    <w:rsid w:val="003F3226"/>
    <w:rsid w:val="003F323C"/>
    <w:rsid w:val="003F32D4"/>
    <w:rsid w:val="003F3328"/>
    <w:rsid w:val="003F33B8"/>
    <w:rsid w:val="003F351F"/>
    <w:rsid w:val="003F35CC"/>
    <w:rsid w:val="003F38ED"/>
    <w:rsid w:val="003F39A2"/>
    <w:rsid w:val="003F39B0"/>
    <w:rsid w:val="003F3A28"/>
    <w:rsid w:val="003F3A5B"/>
    <w:rsid w:val="003F3AF6"/>
    <w:rsid w:val="003F3AFC"/>
    <w:rsid w:val="003F3B34"/>
    <w:rsid w:val="003F3BFD"/>
    <w:rsid w:val="003F3CCE"/>
    <w:rsid w:val="003F3D76"/>
    <w:rsid w:val="003F3DD8"/>
    <w:rsid w:val="003F3E40"/>
    <w:rsid w:val="003F3E52"/>
    <w:rsid w:val="003F3ED4"/>
    <w:rsid w:val="003F3F23"/>
    <w:rsid w:val="003F4059"/>
    <w:rsid w:val="003F4171"/>
    <w:rsid w:val="003F4185"/>
    <w:rsid w:val="003F41A8"/>
    <w:rsid w:val="003F41D1"/>
    <w:rsid w:val="003F4213"/>
    <w:rsid w:val="003F421D"/>
    <w:rsid w:val="003F4269"/>
    <w:rsid w:val="003F428A"/>
    <w:rsid w:val="003F4293"/>
    <w:rsid w:val="003F430A"/>
    <w:rsid w:val="003F4325"/>
    <w:rsid w:val="003F44B5"/>
    <w:rsid w:val="003F44F2"/>
    <w:rsid w:val="003F4583"/>
    <w:rsid w:val="003F45C5"/>
    <w:rsid w:val="003F4636"/>
    <w:rsid w:val="003F4638"/>
    <w:rsid w:val="003F4644"/>
    <w:rsid w:val="003F4758"/>
    <w:rsid w:val="003F475F"/>
    <w:rsid w:val="003F4839"/>
    <w:rsid w:val="003F4905"/>
    <w:rsid w:val="003F49D2"/>
    <w:rsid w:val="003F4CB9"/>
    <w:rsid w:val="003F4CC5"/>
    <w:rsid w:val="003F4E65"/>
    <w:rsid w:val="003F4E95"/>
    <w:rsid w:val="003F4F0F"/>
    <w:rsid w:val="003F4F2F"/>
    <w:rsid w:val="003F4F39"/>
    <w:rsid w:val="003F5028"/>
    <w:rsid w:val="003F50E9"/>
    <w:rsid w:val="003F50EA"/>
    <w:rsid w:val="003F520A"/>
    <w:rsid w:val="003F522F"/>
    <w:rsid w:val="003F5254"/>
    <w:rsid w:val="003F5325"/>
    <w:rsid w:val="003F5412"/>
    <w:rsid w:val="003F54A9"/>
    <w:rsid w:val="003F5518"/>
    <w:rsid w:val="003F557E"/>
    <w:rsid w:val="003F55BD"/>
    <w:rsid w:val="003F56C9"/>
    <w:rsid w:val="003F5784"/>
    <w:rsid w:val="003F584D"/>
    <w:rsid w:val="003F58B6"/>
    <w:rsid w:val="003F5AB4"/>
    <w:rsid w:val="003F5AD2"/>
    <w:rsid w:val="003F5B23"/>
    <w:rsid w:val="003F5B4E"/>
    <w:rsid w:val="003F5B6E"/>
    <w:rsid w:val="003F5B9A"/>
    <w:rsid w:val="003F5C28"/>
    <w:rsid w:val="003F5CA4"/>
    <w:rsid w:val="003F5CC5"/>
    <w:rsid w:val="003F5CF1"/>
    <w:rsid w:val="003F5D3E"/>
    <w:rsid w:val="003F5D51"/>
    <w:rsid w:val="003F5E21"/>
    <w:rsid w:val="003F5E7F"/>
    <w:rsid w:val="003F5EB3"/>
    <w:rsid w:val="003F5F0A"/>
    <w:rsid w:val="003F6014"/>
    <w:rsid w:val="003F6044"/>
    <w:rsid w:val="003F60DE"/>
    <w:rsid w:val="003F6132"/>
    <w:rsid w:val="003F614D"/>
    <w:rsid w:val="003F6157"/>
    <w:rsid w:val="003F6195"/>
    <w:rsid w:val="003F6277"/>
    <w:rsid w:val="003F6346"/>
    <w:rsid w:val="003F641F"/>
    <w:rsid w:val="003F6449"/>
    <w:rsid w:val="003F6467"/>
    <w:rsid w:val="003F646D"/>
    <w:rsid w:val="003F647F"/>
    <w:rsid w:val="003F6488"/>
    <w:rsid w:val="003F649F"/>
    <w:rsid w:val="003F64C9"/>
    <w:rsid w:val="003F64D7"/>
    <w:rsid w:val="003F65CA"/>
    <w:rsid w:val="003F6664"/>
    <w:rsid w:val="003F66BF"/>
    <w:rsid w:val="003F6701"/>
    <w:rsid w:val="003F68B2"/>
    <w:rsid w:val="003F692A"/>
    <w:rsid w:val="003F6A8F"/>
    <w:rsid w:val="003F6A9A"/>
    <w:rsid w:val="003F6AE4"/>
    <w:rsid w:val="003F6AF5"/>
    <w:rsid w:val="003F6B43"/>
    <w:rsid w:val="003F6B54"/>
    <w:rsid w:val="003F6C02"/>
    <w:rsid w:val="003F6C2B"/>
    <w:rsid w:val="003F6C59"/>
    <w:rsid w:val="003F6C6E"/>
    <w:rsid w:val="003F6CFA"/>
    <w:rsid w:val="003F6D3E"/>
    <w:rsid w:val="003F6D50"/>
    <w:rsid w:val="003F6DAB"/>
    <w:rsid w:val="003F6F01"/>
    <w:rsid w:val="003F7006"/>
    <w:rsid w:val="003F70FD"/>
    <w:rsid w:val="003F711B"/>
    <w:rsid w:val="003F719E"/>
    <w:rsid w:val="003F7201"/>
    <w:rsid w:val="003F7312"/>
    <w:rsid w:val="003F731A"/>
    <w:rsid w:val="003F7371"/>
    <w:rsid w:val="003F73CD"/>
    <w:rsid w:val="003F74E7"/>
    <w:rsid w:val="003F7507"/>
    <w:rsid w:val="003F7552"/>
    <w:rsid w:val="003F763B"/>
    <w:rsid w:val="003F7719"/>
    <w:rsid w:val="003F7766"/>
    <w:rsid w:val="003F7886"/>
    <w:rsid w:val="003F7897"/>
    <w:rsid w:val="003F78A3"/>
    <w:rsid w:val="003F7943"/>
    <w:rsid w:val="003F79C5"/>
    <w:rsid w:val="003F7AD9"/>
    <w:rsid w:val="003F7C52"/>
    <w:rsid w:val="003F7C72"/>
    <w:rsid w:val="003F7D10"/>
    <w:rsid w:val="003F7D5D"/>
    <w:rsid w:val="003F7DD8"/>
    <w:rsid w:val="003F7DEF"/>
    <w:rsid w:val="003F7DFF"/>
    <w:rsid w:val="003F7EC8"/>
    <w:rsid w:val="003F7EE1"/>
    <w:rsid w:val="0040000C"/>
    <w:rsid w:val="00400042"/>
    <w:rsid w:val="004000D9"/>
    <w:rsid w:val="00400133"/>
    <w:rsid w:val="00400166"/>
    <w:rsid w:val="0040017F"/>
    <w:rsid w:val="00400245"/>
    <w:rsid w:val="00400254"/>
    <w:rsid w:val="00400268"/>
    <w:rsid w:val="004002DD"/>
    <w:rsid w:val="004003A2"/>
    <w:rsid w:val="004003D9"/>
    <w:rsid w:val="00400408"/>
    <w:rsid w:val="0040042D"/>
    <w:rsid w:val="004004E7"/>
    <w:rsid w:val="004006D4"/>
    <w:rsid w:val="004006F6"/>
    <w:rsid w:val="0040074B"/>
    <w:rsid w:val="00400930"/>
    <w:rsid w:val="00400986"/>
    <w:rsid w:val="004009EF"/>
    <w:rsid w:val="00400A91"/>
    <w:rsid w:val="00400ADF"/>
    <w:rsid w:val="00400BEC"/>
    <w:rsid w:val="00400C35"/>
    <w:rsid w:val="00400CF2"/>
    <w:rsid w:val="00400D0B"/>
    <w:rsid w:val="00400D92"/>
    <w:rsid w:val="00400DC2"/>
    <w:rsid w:val="00400DE0"/>
    <w:rsid w:val="00400E62"/>
    <w:rsid w:val="00401000"/>
    <w:rsid w:val="004012FC"/>
    <w:rsid w:val="004015AE"/>
    <w:rsid w:val="00401630"/>
    <w:rsid w:val="004016C6"/>
    <w:rsid w:val="0040175A"/>
    <w:rsid w:val="0040179A"/>
    <w:rsid w:val="004017A5"/>
    <w:rsid w:val="004017D9"/>
    <w:rsid w:val="00401856"/>
    <w:rsid w:val="004018A4"/>
    <w:rsid w:val="00401929"/>
    <w:rsid w:val="0040198F"/>
    <w:rsid w:val="004019A1"/>
    <w:rsid w:val="004019DB"/>
    <w:rsid w:val="00401A19"/>
    <w:rsid w:val="00401A52"/>
    <w:rsid w:val="00401B55"/>
    <w:rsid w:val="00401BA4"/>
    <w:rsid w:val="00401C36"/>
    <w:rsid w:val="00401D00"/>
    <w:rsid w:val="00401D8B"/>
    <w:rsid w:val="00401D94"/>
    <w:rsid w:val="00401E4A"/>
    <w:rsid w:val="00401E68"/>
    <w:rsid w:val="00402135"/>
    <w:rsid w:val="00402181"/>
    <w:rsid w:val="00402243"/>
    <w:rsid w:val="00402314"/>
    <w:rsid w:val="0040237E"/>
    <w:rsid w:val="004023B6"/>
    <w:rsid w:val="0040240B"/>
    <w:rsid w:val="0040240F"/>
    <w:rsid w:val="00402460"/>
    <w:rsid w:val="004024EB"/>
    <w:rsid w:val="0040251E"/>
    <w:rsid w:val="00402588"/>
    <w:rsid w:val="004025F6"/>
    <w:rsid w:val="00402607"/>
    <w:rsid w:val="0040261C"/>
    <w:rsid w:val="0040268F"/>
    <w:rsid w:val="00402780"/>
    <w:rsid w:val="0040278C"/>
    <w:rsid w:val="0040287A"/>
    <w:rsid w:val="0040289E"/>
    <w:rsid w:val="004028A2"/>
    <w:rsid w:val="004028A7"/>
    <w:rsid w:val="00402915"/>
    <w:rsid w:val="00402A9F"/>
    <w:rsid w:val="00402B02"/>
    <w:rsid w:val="00402B40"/>
    <w:rsid w:val="00402C31"/>
    <w:rsid w:val="00402C4A"/>
    <w:rsid w:val="00402D07"/>
    <w:rsid w:val="00402D70"/>
    <w:rsid w:val="00402DA1"/>
    <w:rsid w:val="00402DE5"/>
    <w:rsid w:val="00402E45"/>
    <w:rsid w:val="00402EF0"/>
    <w:rsid w:val="00402FDF"/>
    <w:rsid w:val="00402FEA"/>
    <w:rsid w:val="00402FEB"/>
    <w:rsid w:val="0040302D"/>
    <w:rsid w:val="0040305D"/>
    <w:rsid w:val="00403096"/>
    <w:rsid w:val="00403105"/>
    <w:rsid w:val="004031E1"/>
    <w:rsid w:val="004032C1"/>
    <w:rsid w:val="00403344"/>
    <w:rsid w:val="0040337A"/>
    <w:rsid w:val="00403393"/>
    <w:rsid w:val="00403460"/>
    <w:rsid w:val="0040346E"/>
    <w:rsid w:val="00403524"/>
    <w:rsid w:val="0040354F"/>
    <w:rsid w:val="004035E1"/>
    <w:rsid w:val="00403626"/>
    <w:rsid w:val="00403745"/>
    <w:rsid w:val="00403783"/>
    <w:rsid w:val="00403807"/>
    <w:rsid w:val="00403852"/>
    <w:rsid w:val="0040386F"/>
    <w:rsid w:val="00403886"/>
    <w:rsid w:val="004038A1"/>
    <w:rsid w:val="00403913"/>
    <w:rsid w:val="0040399C"/>
    <w:rsid w:val="004039BB"/>
    <w:rsid w:val="00403A8B"/>
    <w:rsid w:val="00403AA0"/>
    <w:rsid w:val="00403B1D"/>
    <w:rsid w:val="00403B22"/>
    <w:rsid w:val="00403B2C"/>
    <w:rsid w:val="00403BAA"/>
    <w:rsid w:val="00403C82"/>
    <w:rsid w:val="00403CEB"/>
    <w:rsid w:val="00403CF5"/>
    <w:rsid w:val="00403D26"/>
    <w:rsid w:val="00403DB3"/>
    <w:rsid w:val="00403E28"/>
    <w:rsid w:val="00403F4A"/>
    <w:rsid w:val="0040403B"/>
    <w:rsid w:val="00404079"/>
    <w:rsid w:val="00404172"/>
    <w:rsid w:val="00404251"/>
    <w:rsid w:val="0040426D"/>
    <w:rsid w:val="00404300"/>
    <w:rsid w:val="0040439E"/>
    <w:rsid w:val="004043E0"/>
    <w:rsid w:val="00404491"/>
    <w:rsid w:val="00404497"/>
    <w:rsid w:val="00404527"/>
    <w:rsid w:val="004045CE"/>
    <w:rsid w:val="0040472E"/>
    <w:rsid w:val="00404767"/>
    <w:rsid w:val="004047F3"/>
    <w:rsid w:val="004047FE"/>
    <w:rsid w:val="00404825"/>
    <w:rsid w:val="00404834"/>
    <w:rsid w:val="00404859"/>
    <w:rsid w:val="00404887"/>
    <w:rsid w:val="004048B5"/>
    <w:rsid w:val="004048C9"/>
    <w:rsid w:val="00404910"/>
    <w:rsid w:val="00404978"/>
    <w:rsid w:val="004049AA"/>
    <w:rsid w:val="00404B64"/>
    <w:rsid w:val="00404BC5"/>
    <w:rsid w:val="00404C44"/>
    <w:rsid w:val="00404CAC"/>
    <w:rsid w:val="00404EE8"/>
    <w:rsid w:val="00404F1B"/>
    <w:rsid w:val="00404F4A"/>
    <w:rsid w:val="00404F5B"/>
    <w:rsid w:val="0040501F"/>
    <w:rsid w:val="0040503E"/>
    <w:rsid w:val="0040510D"/>
    <w:rsid w:val="0040512D"/>
    <w:rsid w:val="0040514C"/>
    <w:rsid w:val="00405219"/>
    <w:rsid w:val="00405286"/>
    <w:rsid w:val="004052D4"/>
    <w:rsid w:val="0040532D"/>
    <w:rsid w:val="0040538F"/>
    <w:rsid w:val="004053A6"/>
    <w:rsid w:val="004054CA"/>
    <w:rsid w:val="004054DD"/>
    <w:rsid w:val="004054FD"/>
    <w:rsid w:val="00405510"/>
    <w:rsid w:val="0040564F"/>
    <w:rsid w:val="0040565C"/>
    <w:rsid w:val="0040565F"/>
    <w:rsid w:val="004056D2"/>
    <w:rsid w:val="00405807"/>
    <w:rsid w:val="0040583F"/>
    <w:rsid w:val="0040592F"/>
    <w:rsid w:val="00405A1B"/>
    <w:rsid w:val="00405A23"/>
    <w:rsid w:val="00405A48"/>
    <w:rsid w:val="00405A93"/>
    <w:rsid w:val="00405B3E"/>
    <w:rsid w:val="00405B47"/>
    <w:rsid w:val="00405BBD"/>
    <w:rsid w:val="00405CB3"/>
    <w:rsid w:val="00405D9C"/>
    <w:rsid w:val="00405DAE"/>
    <w:rsid w:val="00405E99"/>
    <w:rsid w:val="00405EC9"/>
    <w:rsid w:val="00405F6D"/>
    <w:rsid w:val="0040602F"/>
    <w:rsid w:val="004060A1"/>
    <w:rsid w:val="00406152"/>
    <w:rsid w:val="0040619A"/>
    <w:rsid w:val="0040623D"/>
    <w:rsid w:val="00406306"/>
    <w:rsid w:val="0040638D"/>
    <w:rsid w:val="004063A8"/>
    <w:rsid w:val="0040648E"/>
    <w:rsid w:val="004064B1"/>
    <w:rsid w:val="00406549"/>
    <w:rsid w:val="004065E0"/>
    <w:rsid w:val="004065F0"/>
    <w:rsid w:val="00406604"/>
    <w:rsid w:val="0040665B"/>
    <w:rsid w:val="004066BB"/>
    <w:rsid w:val="00406723"/>
    <w:rsid w:val="0040672C"/>
    <w:rsid w:val="004067CB"/>
    <w:rsid w:val="004067FC"/>
    <w:rsid w:val="00406829"/>
    <w:rsid w:val="00406848"/>
    <w:rsid w:val="004068AB"/>
    <w:rsid w:val="004068B6"/>
    <w:rsid w:val="004068E1"/>
    <w:rsid w:val="00406935"/>
    <w:rsid w:val="004069B8"/>
    <w:rsid w:val="004069FC"/>
    <w:rsid w:val="00406A01"/>
    <w:rsid w:val="00406A3F"/>
    <w:rsid w:val="00406AFB"/>
    <w:rsid w:val="00406B22"/>
    <w:rsid w:val="00406BBA"/>
    <w:rsid w:val="00406C27"/>
    <w:rsid w:val="00406CDE"/>
    <w:rsid w:val="00406DCA"/>
    <w:rsid w:val="00406E20"/>
    <w:rsid w:val="00406FC4"/>
    <w:rsid w:val="00406FFB"/>
    <w:rsid w:val="00407046"/>
    <w:rsid w:val="004070D2"/>
    <w:rsid w:val="00407177"/>
    <w:rsid w:val="00407195"/>
    <w:rsid w:val="00407273"/>
    <w:rsid w:val="00407382"/>
    <w:rsid w:val="00407387"/>
    <w:rsid w:val="004073BC"/>
    <w:rsid w:val="00407508"/>
    <w:rsid w:val="00407534"/>
    <w:rsid w:val="00407578"/>
    <w:rsid w:val="004075E2"/>
    <w:rsid w:val="0040763E"/>
    <w:rsid w:val="00407679"/>
    <w:rsid w:val="004076AA"/>
    <w:rsid w:val="004076AC"/>
    <w:rsid w:val="004076BD"/>
    <w:rsid w:val="004076E8"/>
    <w:rsid w:val="0040776C"/>
    <w:rsid w:val="004077A6"/>
    <w:rsid w:val="0040784A"/>
    <w:rsid w:val="0040784E"/>
    <w:rsid w:val="0040786E"/>
    <w:rsid w:val="0040791B"/>
    <w:rsid w:val="00407921"/>
    <w:rsid w:val="0040793B"/>
    <w:rsid w:val="00407A71"/>
    <w:rsid w:val="00407C4E"/>
    <w:rsid w:val="00407C65"/>
    <w:rsid w:val="00407CA1"/>
    <w:rsid w:val="00407D11"/>
    <w:rsid w:val="00407D1C"/>
    <w:rsid w:val="00407D36"/>
    <w:rsid w:val="00407D9D"/>
    <w:rsid w:val="00407EFD"/>
    <w:rsid w:val="00410082"/>
    <w:rsid w:val="004102E2"/>
    <w:rsid w:val="00410351"/>
    <w:rsid w:val="00410365"/>
    <w:rsid w:val="00410457"/>
    <w:rsid w:val="004104DB"/>
    <w:rsid w:val="0041055E"/>
    <w:rsid w:val="004105A0"/>
    <w:rsid w:val="004105A8"/>
    <w:rsid w:val="004105B5"/>
    <w:rsid w:val="004106C3"/>
    <w:rsid w:val="00410707"/>
    <w:rsid w:val="00410845"/>
    <w:rsid w:val="00410872"/>
    <w:rsid w:val="00410905"/>
    <w:rsid w:val="0041091E"/>
    <w:rsid w:val="004109DD"/>
    <w:rsid w:val="004109EB"/>
    <w:rsid w:val="00410A93"/>
    <w:rsid w:val="00410A9E"/>
    <w:rsid w:val="00410AB8"/>
    <w:rsid w:val="00410B65"/>
    <w:rsid w:val="00410BD5"/>
    <w:rsid w:val="00410DD0"/>
    <w:rsid w:val="00410E37"/>
    <w:rsid w:val="00410F08"/>
    <w:rsid w:val="00410F7B"/>
    <w:rsid w:val="004110A9"/>
    <w:rsid w:val="004110B5"/>
    <w:rsid w:val="004110BA"/>
    <w:rsid w:val="004110D3"/>
    <w:rsid w:val="00411205"/>
    <w:rsid w:val="00411300"/>
    <w:rsid w:val="00411378"/>
    <w:rsid w:val="004113BE"/>
    <w:rsid w:val="004114D0"/>
    <w:rsid w:val="00411596"/>
    <w:rsid w:val="0041173E"/>
    <w:rsid w:val="0041176D"/>
    <w:rsid w:val="004117BD"/>
    <w:rsid w:val="00411958"/>
    <w:rsid w:val="004119BA"/>
    <w:rsid w:val="00411B2A"/>
    <w:rsid w:val="00411B71"/>
    <w:rsid w:val="00411C5C"/>
    <w:rsid w:val="00411D3C"/>
    <w:rsid w:val="00411DAE"/>
    <w:rsid w:val="00411DE2"/>
    <w:rsid w:val="00411E90"/>
    <w:rsid w:val="00411FE6"/>
    <w:rsid w:val="004120BB"/>
    <w:rsid w:val="004120D2"/>
    <w:rsid w:val="004120EE"/>
    <w:rsid w:val="0041214C"/>
    <w:rsid w:val="00412184"/>
    <w:rsid w:val="0041218D"/>
    <w:rsid w:val="0041221E"/>
    <w:rsid w:val="004122BB"/>
    <w:rsid w:val="004122D7"/>
    <w:rsid w:val="00412409"/>
    <w:rsid w:val="00412463"/>
    <w:rsid w:val="004124E0"/>
    <w:rsid w:val="00412525"/>
    <w:rsid w:val="004125BD"/>
    <w:rsid w:val="00412709"/>
    <w:rsid w:val="0041270A"/>
    <w:rsid w:val="0041280C"/>
    <w:rsid w:val="00412973"/>
    <w:rsid w:val="004129EC"/>
    <w:rsid w:val="00412A0F"/>
    <w:rsid w:val="00412AAF"/>
    <w:rsid w:val="00412BCE"/>
    <w:rsid w:val="00412D42"/>
    <w:rsid w:val="00412D93"/>
    <w:rsid w:val="00412DA4"/>
    <w:rsid w:val="00412E58"/>
    <w:rsid w:val="00412EB6"/>
    <w:rsid w:val="00412EE0"/>
    <w:rsid w:val="00412F43"/>
    <w:rsid w:val="0041301E"/>
    <w:rsid w:val="004130E8"/>
    <w:rsid w:val="004130F5"/>
    <w:rsid w:val="0041318B"/>
    <w:rsid w:val="00413195"/>
    <w:rsid w:val="004131AA"/>
    <w:rsid w:val="004131B6"/>
    <w:rsid w:val="00413220"/>
    <w:rsid w:val="004132BC"/>
    <w:rsid w:val="004132C0"/>
    <w:rsid w:val="004133E2"/>
    <w:rsid w:val="0041343C"/>
    <w:rsid w:val="0041350A"/>
    <w:rsid w:val="0041351F"/>
    <w:rsid w:val="00413596"/>
    <w:rsid w:val="004136CF"/>
    <w:rsid w:val="004136F1"/>
    <w:rsid w:val="00413748"/>
    <w:rsid w:val="0041376C"/>
    <w:rsid w:val="004137AB"/>
    <w:rsid w:val="004137C8"/>
    <w:rsid w:val="004138E0"/>
    <w:rsid w:val="004139E0"/>
    <w:rsid w:val="004139E5"/>
    <w:rsid w:val="00413AF7"/>
    <w:rsid w:val="00413AFF"/>
    <w:rsid w:val="00413B90"/>
    <w:rsid w:val="00413BF9"/>
    <w:rsid w:val="00413C25"/>
    <w:rsid w:val="00413C7A"/>
    <w:rsid w:val="00413CC3"/>
    <w:rsid w:val="00413CD8"/>
    <w:rsid w:val="00413D08"/>
    <w:rsid w:val="00413DCE"/>
    <w:rsid w:val="00413E59"/>
    <w:rsid w:val="00413E67"/>
    <w:rsid w:val="0041401E"/>
    <w:rsid w:val="004141AB"/>
    <w:rsid w:val="004141D8"/>
    <w:rsid w:val="0041428B"/>
    <w:rsid w:val="004142A9"/>
    <w:rsid w:val="004142B6"/>
    <w:rsid w:val="004142B7"/>
    <w:rsid w:val="0041432E"/>
    <w:rsid w:val="004143AF"/>
    <w:rsid w:val="004143C3"/>
    <w:rsid w:val="004143CE"/>
    <w:rsid w:val="00414438"/>
    <w:rsid w:val="00414571"/>
    <w:rsid w:val="004145BF"/>
    <w:rsid w:val="004145F5"/>
    <w:rsid w:val="0041473E"/>
    <w:rsid w:val="004147B5"/>
    <w:rsid w:val="004147F6"/>
    <w:rsid w:val="0041495B"/>
    <w:rsid w:val="00414A95"/>
    <w:rsid w:val="00414BAC"/>
    <w:rsid w:val="00414BDB"/>
    <w:rsid w:val="00414C52"/>
    <w:rsid w:val="00414C6E"/>
    <w:rsid w:val="00414CD3"/>
    <w:rsid w:val="00414D5D"/>
    <w:rsid w:val="00414F48"/>
    <w:rsid w:val="00414F58"/>
    <w:rsid w:val="004150C0"/>
    <w:rsid w:val="004152DA"/>
    <w:rsid w:val="00415328"/>
    <w:rsid w:val="0041536A"/>
    <w:rsid w:val="00415397"/>
    <w:rsid w:val="004153D4"/>
    <w:rsid w:val="00415448"/>
    <w:rsid w:val="00415531"/>
    <w:rsid w:val="004155BA"/>
    <w:rsid w:val="0041562F"/>
    <w:rsid w:val="00415697"/>
    <w:rsid w:val="004156B5"/>
    <w:rsid w:val="00415736"/>
    <w:rsid w:val="00415749"/>
    <w:rsid w:val="0041576A"/>
    <w:rsid w:val="0041577F"/>
    <w:rsid w:val="004157B3"/>
    <w:rsid w:val="004157C1"/>
    <w:rsid w:val="004157E4"/>
    <w:rsid w:val="00415816"/>
    <w:rsid w:val="00415A12"/>
    <w:rsid w:val="00415A30"/>
    <w:rsid w:val="00415A43"/>
    <w:rsid w:val="00415AA4"/>
    <w:rsid w:val="00415ACD"/>
    <w:rsid w:val="00415B8D"/>
    <w:rsid w:val="00415C66"/>
    <w:rsid w:val="00415D6D"/>
    <w:rsid w:val="00415DA3"/>
    <w:rsid w:val="00415DCD"/>
    <w:rsid w:val="00415F4E"/>
    <w:rsid w:val="00415FAB"/>
    <w:rsid w:val="00415FFD"/>
    <w:rsid w:val="00416004"/>
    <w:rsid w:val="00416036"/>
    <w:rsid w:val="004160B3"/>
    <w:rsid w:val="004161F3"/>
    <w:rsid w:val="00416241"/>
    <w:rsid w:val="004162FE"/>
    <w:rsid w:val="00416330"/>
    <w:rsid w:val="004163ED"/>
    <w:rsid w:val="004163FA"/>
    <w:rsid w:val="00416403"/>
    <w:rsid w:val="0041657B"/>
    <w:rsid w:val="00416593"/>
    <w:rsid w:val="004166F1"/>
    <w:rsid w:val="00416759"/>
    <w:rsid w:val="00416796"/>
    <w:rsid w:val="00416801"/>
    <w:rsid w:val="00416BA6"/>
    <w:rsid w:val="00416BAC"/>
    <w:rsid w:val="00416BC6"/>
    <w:rsid w:val="00416D7E"/>
    <w:rsid w:val="00416DBD"/>
    <w:rsid w:val="00417038"/>
    <w:rsid w:val="00417065"/>
    <w:rsid w:val="0041707C"/>
    <w:rsid w:val="004170E9"/>
    <w:rsid w:val="00417114"/>
    <w:rsid w:val="00417117"/>
    <w:rsid w:val="00417413"/>
    <w:rsid w:val="00417499"/>
    <w:rsid w:val="004174C4"/>
    <w:rsid w:val="0041752B"/>
    <w:rsid w:val="00417627"/>
    <w:rsid w:val="004176C7"/>
    <w:rsid w:val="00417723"/>
    <w:rsid w:val="00417779"/>
    <w:rsid w:val="004177A3"/>
    <w:rsid w:val="004177F0"/>
    <w:rsid w:val="00417857"/>
    <w:rsid w:val="00417877"/>
    <w:rsid w:val="00417919"/>
    <w:rsid w:val="00417985"/>
    <w:rsid w:val="00417A2C"/>
    <w:rsid w:val="00417AC5"/>
    <w:rsid w:val="00417B11"/>
    <w:rsid w:val="00417B2F"/>
    <w:rsid w:val="00417BBA"/>
    <w:rsid w:val="00417BF5"/>
    <w:rsid w:val="00417C4E"/>
    <w:rsid w:val="00417CA6"/>
    <w:rsid w:val="00417D9C"/>
    <w:rsid w:val="00417D9D"/>
    <w:rsid w:val="00417D9F"/>
    <w:rsid w:val="00417E45"/>
    <w:rsid w:val="00417ECF"/>
    <w:rsid w:val="00420049"/>
    <w:rsid w:val="004201A7"/>
    <w:rsid w:val="004201E4"/>
    <w:rsid w:val="00420212"/>
    <w:rsid w:val="00420229"/>
    <w:rsid w:val="0042025A"/>
    <w:rsid w:val="0042026A"/>
    <w:rsid w:val="004202D7"/>
    <w:rsid w:val="004203F3"/>
    <w:rsid w:val="00420453"/>
    <w:rsid w:val="0042045C"/>
    <w:rsid w:val="00420575"/>
    <w:rsid w:val="004205BA"/>
    <w:rsid w:val="004205BB"/>
    <w:rsid w:val="004205DC"/>
    <w:rsid w:val="004205FF"/>
    <w:rsid w:val="00420A16"/>
    <w:rsid w:val="00420C51"/>
    <w:rsid w:val="00420CDF"/>
    <w:rsid w:val="00420CF5"/>
    <w:rsid w:val="00420D01"/>
    <w:rsid w:val="00420D49"/>
    <w:rsid w:val="00420DA2"/>
    <w:rsid w:val="00420DBA"/>
    <w:rsid w:val="00420DC9"/>
    <w:rsid w:val="00420E39"/>
    <w:rsid w:val="00420EE5"/>
    <w:rsid w:val="00420F05"/>
    <w:rsid w:val="00420F0F"/>
    <w:rsid w:val="00420F55"/>
    <w:rsid w:val="00420FD2"/>
    <w:rsid w:val="00420FFD"/>
    <w:rsid w:val="004210BA"/>
    <w:rsid w:val="004211C3"/>
    <w:rsid w:val="004212A7"/>
    <w:rsid w:val="004212B8"/>
    <w:rsid w:val="00421311"/>
    <w:rsid w:val="0042139E"/>
    <w:rsid w:val="004213C3"/>
    <w:rsid w:val="004213D7"/>
    <w:rsid w:val="00421465"/>
    <w:rsid w:val="00421480"/>
    <w:rsid w:val="0042155B"/>
    <w:rsid w:val="0042156C"/>
    <w:rsid w:val="0042158D"/>
    <w:rsid w:val="00421626"/>
    <w:rsid w:val="0042163D"/>
    <w:rsid w:val="004216A6"/>
    <w:rsid w:val="00421829"/>
    <w:rsid w:val="00421881"/>
    <w:rsid w:val="004218D2"/>
    <w:rsid w:val="004219B6"/>
    <w:rsid w:val="00421AFA"/>
    <w:rsid w:val="00421B33"/>
    <w:rsid w:val="00421B95"/>
    <w:rsid w:val="00421C99"/>
    <w:rsid w:val="00421EA1"/>
    <w:rsid w:val="00421FB6"/>
    <w:rsid w:val="00421FDB"/>
    <w:rsid w:val="0042209F"/>
    <w:rsid w:val="0042219B"/>
    <w:rsid w:val="004221AF"/>
    <w:rsid w:val="0042238B"/>
    <w:rsid w:val="0042238F"/>
    <w:rsid w:val="004225B2"/>
    <w:rsid w:val="00422644"/>
    <w:rsid w:val="004226F3"/>
    <w:rsid w:val="00422723"/>
    <w:rsid w:val="0042275E"/>
    <w:rsid w:val="004227B4"/>
    <w:rsid w:val="004227BF"/>
    <w:rsid w:val="004227DB"/>
    <w:rsid w:val="00422834"/>
    <w:rsid w:val="004228CE"/>
    <w:rsid w:val="004228DD"/>
    <w:rsid w:val="004228F5"/>
    <w:rsid w:val="00422A32"/>
    <w:rsid w:val="00422A8B"/>
    <w:rsid w:val="00422AF6"/>
    <w:rsid w:val="00422CFE"/>
    <w:rsid w:val="00422D88"/>
    <w:rsid w:val="00422DCE"/>
    <w:rsid w:val="00422DD2"/>
    <w:rsid w:val="00422DF3"/>
    <w:rsid w:val="00422DF6"/>
    <w:rsid w:val="00422E0A"/>
    <w:rsid w:val="00422E13"/>
    <w:rsid w:val="00422EA7"/>
    <w:rsid w:val="004230B2"/>
    <w:rsid w:val="004230C9"/>
    <w:rsid w:val="004230E4"/>
    <w:rsid w:val="00423190"/>
    <w:rsid w:val="0042345B"/>
    <w:rsid w:val="0042348F"/>
    <w:rsid w:val="0042350F"/>
    <w:rsid w:val="0042352B"/>
    <w:rsid w:val="00423599"/>
    <w:rsid w:val="0042367B"/>
    <w:rsid w:val="004236D9"/>
    <w:rsid w:val="00423776"/>
    <w:rsid w:val="004237C5"/>
    <w:rsid w:val="0042384C"/>
    <w:rsid w:val="0042386B"/>
    <w:rsid w:val="00423893"/>
    <w:rsid w:val="0042394E"/>
    <w:rsid w:val="00423972"/>
    <w:rsid w:val="00423981"/>
    <w:rsid w:val="00423993"/>
    <w:rsid w:val="00423B4F"/>
    <w:rsid w:val="00423BC9"/>
    <w:rsid w:val="00423C48"/>
    <w:rsid w:val="00423E42"/>
    <w:rsid w:val="00423ECF"/>
    <w:rsid w:val="00423EDC"/>
    <w:rsid w:val="00423F00"/>
    <w:rsid w:val="00423F90"/>
    <w:rsid w:val="00423FA4"/>
    <w:rsid w:val="00423FB7"/>
    <w:rsid w:val="00424036"/>
    <w:rsid w:val="00424072"/>
    <w:rsid w:val="0042407C"/>
    <w:rsid w:val="004240B1"/>
    <w:rsid w:val="0042419D"/>
    <w:rsid w:val="004241FC"/>
    <w:rsid w:val="0042421C"/>
    <w:rsid w:val="00424298"/>
    <w:rsid w:val="004242E5"/>
    <w:rsid w:val="00424406"/>
    <w:rsid w:val="004244EC"/>
    <w:rsid w:val="00424550"/>
    <w:rsid w:val="004245A7"/>
    <w:rsid w:val="004245D9"/>
    <w:rsid w:val="00424665"/>
    <w:rsid w:val="0042478A"/>
    <w:rsid w:val="004247AC"/>
    <w:rsid w:val="00424836"/>
    <w:rsid w:val="004248A8"/>
    <w:rsid w:val="0042490F"/>
    <w:rsid w:val="00424921"/>
    <w:rsid w:val="004249D5"/>
    <w:rsid w:val="004249EF"/>
    <w:rsid w:val="00424B01"/>
    <w:rsid w:val="00424C6F"/>
    <w:rsid w:val="00424CEF"/>
    <w:rsid w:val="00424D1A"/>
    <w:rsid w:val="00424D58"/>
    <w:rsid w:val="00424D65"/>
    <w:rsid w:val="00424D6C"/>
    <w:rsid w:val="00424EDD"/>
    <w:rsid w:val="00424F3A"/>
    <w:rsid w:val="00425059"/>
    <w:rsid w:val="004250A1"/>
    <w:rsid w:val="004252BF"/>
    <w:rsid w:val="00425434"/>
    <w:rsid w:val="00425526"/>
    <w:rsid w:val="0042558F"/>
    <w:rsid w:val="004255B4"/>
    <w:rsid w:val="004256E6"/>
    <w:rsid w:val="00425907"/>
    <w:rsid w:val="00425950"/>
    <w:rsid w:val="00425A64"/>
    <w:rsid w:val="00425B1C"/>
    <w:rsid w:val="00425B54"/>
    <w:rsid w:val="00425BAE"/>
    <w:rsid w:val="00425D19"/>
    <w:rsid w:val="00425D1A"/>
    <w:rsid w:val="00425E5D"/>
    <w:rsid w:val="00425EE4"/>
    <w:rsid w:val="00425F20"/>
    <w:rsid w:val="00425F30"/>
    <w:rsid w:val="00425FC6"/>
    <w:rsid w:val="00426211"/>
    <w:rsid w:val="0042668C"/>
    <w:rsid w:val="0042675D"/>
    <w:rsid w:val="00426766"/>
    <w:rsid w:val="004267D0"/>
    <w:rsid w:val="0042686C"/>
    <w:rsid w:val="004268D5"/>
    <w:rsid w:val="004268D6"/>
    <w:rsid w:val="004268F5"/>
    <w:rsid w:val="00426AA8"/>
    <w:rsid w:val="00426CAB"/>
    <w:rsid w:val="00426CE8"/>
    <w:rsid w:val="00426DB3"/>
    <w:rsid w:val="00426EF4"/>
    <w:rsid w:val="00426EFA"/>
    <w:rsid w:val="00427068"/>
    <w:rsid w:val="0042710A"/>
    <w:rsid w:val="004271A8"/>
    <w:rsid w:val="0042720F"/>
    <w:rsid w:val="00427291"/>
    <w:rsid w:val="0042729A"/>
    <w:rsid w:val="00427393"/>
    <w:rsid w:val="004273EC"/>
    <w:rsid w:val="00427448"/>
    <w:rsid w:val="00427494"/>
    <w:rsid w:val="0042750B"/>
    <w:rsid w:val="004276A9"/>
    <w:rsid w:val="00427742"/>
    <w:rsid w:val="0042784B"/>
    <w:rsid w:val="0042791F"/>
    <w:rsid w:val="00427945"/>
    <w:rsid w:val="004279CA"/>
    <w:rsid w:val="00427A82"/>
    <w:rsid w:val="00427AFC"/>
    <w:rsid w:val="00427B19"/>
    <w:rsid w:val="00427B8D"/>
    <w:rsid w:val="00427C09"/>
    <w:rsid w:val="00427C5B"/>
    <w:rsid w:val="00427E29"/>
    <w:rsid w:val="00427E38"/>
    <w:rsid w:val="00427E39"/>
    <w:rsid w:val="00427EA2"/>
    <w:rsid w:val="00427FD1"/>
    <w:rsid w:val="00430085"/>
    <w:rsid w:val="004300CA"/>
    <w:rsid w:val="00430115"/>
    <w:rsid w:val="0043017D"/>
    <w:rsid w:val="00430202"/>
    <w:rsid w:val="0043037A"/>
    <w:rsid w:val="00430409"/>
    <w:rsid w:val="0043046B"/>
    <w:rsid w:val="0043046D"/>
    <w:rsid w:val="0043048E"/>
    <w:rsid w:val="0043051A"/>
    <w:rsid w:val="0043066A"/>
    <w:rsid w:val="004307D3"/>
    <w:rsid w:val="0043082D"/>
    <w:rsid w:val="0043094A"/>
    <w:rsid w:val="0043098E"/>
    <w:rsid w:val="00430A4B"/>
    <w:rsid w:val="00430A63"/>
    <w:rsid w:val="00430A66"/>
    <w:rsid w:val="00430B4A"/>
    <w:rsid w:val="00430BBD"/>
    <w:rsid w:val="00430BC0"/>
    <w:rsid w:val="00430BE6"/>
    <w:rsid w:val="00430CDE"/>
    <w:rsid w:val="00430E33"/>
    <w:rsid w:val="00430E84"/>
    <w:rsid w:val="00430EFC"/>
    <w:rsid w:val="00430F65"/>
    <w:rsid w:val="00430F8C"/>
    <w:rsid w:val="00430FAA"/>
    <w:rsid w:val="00431039"/>
    <w:rsid w:val="004310E0"/>
    <w:rsid w:val="0043110C"/>
    <w:rsid w:val="00431143"/>
    <w:rsid w:val="0043117F"/>
    <w:rsid w:val="0043118E"/>
    <w:rsid w:val="00431206"/>
    <w:rsid w:val="0043124A"/>
    <w:rsid w:val="00431256"/>
    <w:rsid w:val="00431267"/>
    <w:rsid w:val="00431271"/>
    <w:rsid w:val="00431308"/>
    <w:rsid w:val="0043137E"/>
    <w:rsid w:val="004313E9"/>
    <w:rsid w:val="00431514"/>
    <w:rsid w:val="004316C1"/>
    <w:rsid w:val="004316DB"/>
    <w:rsid w:val="00431753"/>
    <w:rsid w:val="004319D1"/>
    <w:rsid w:val="00431AB7"/>
    <w:rsid w:val="00431ABC"/>
    <w:rsid w:val="00431B98"/>
    <w:rsid w:val="00431C0C"/>
    <w:rsid w:val="00431C16"/>
    <w:rsid w:val="00431C35"/>
    <w:rsid w:val="00431C46"/>
    <w:rsid w:val="00431D22"/>
    <w:rsid w:val="00431D45"/>
    <w:rsid w:val="00431DC7"/>
    <w:rsid w:val="00431EA5"/>
    <w:rsid w:val="00431F75"/>
    <w:rsid w:val="00431F77"/>
    <w:rsid w:val="00432018"/>
    <w:rsid w:val="0043203D"/>
    <w:rsid w:val="00432045"/>
    <w:rsid w:val="00432086"/>
    <w:rsid w:val="004320CB"/>
    <w:rsid w:val="00432126"/>
    <w:rsid w:val="004321B9"/>
    <w:rsid w:val="0043220E"/>
    <w:rsid w:val="004322EE"/>
    <w:rsid w:val="004322F0"/>
    <w:rsid w:val="0043232C"/>
    <w:rsid w:val="00432359"/>
    <w:rsid w:val="00432388"/>
    <w:rsid w:val="004323C2"/>
    <w:rsid w:val="004323E3"/>
    <w:rsid w:val="00432440"/>
    <w:rsid w:val="004325C6"/>
    <w:rsid w:val="004325F4"/>
    <w:rsid w:val="004326CD"/>
    <w:rsid w:val="004326D7"/>
    <w:rsid w:val="00432710"/>
    <w:rsid w:val="00432745"/>
    <w:rsid w:val="004327E6"/>
    <w:rsid w:val="00432805"/>
    <w:rsid w:val="0043280B"/>
    <w:rsid w:val="004328ED"/>
    <w:rsid w:val="0043294E"/>
    <w:rsid w:val="004329DC"/>
    <w:rsid w:val="00432A39"/>
    <w:rsid w:val="00432A6C"/>
    <w:rsid w:val="00432A75"/>
    <w:rsid w:val="00432A89"/>
    <w:rsid w:val="00432AC6"/>
    <w:rsid w:val="00432B51"/>
    <w:rsid w:val="00432B65"/>
    <w:rsid w:val="00432C8C"/>
    <w:rsid w:val="00432D15"/>
    <w:rsid w:val="00432D38"/>
    <w:rsid w:val="00432E02"/>
    <w:rsid w:val="00432E99"/>
    <w:rsid w:val="00432FD0"/>
    <w:rsid w:val="00432FEC"/>
    <w:rsid w:val="004331D8"/>
    <w:rsid w:val="0043323C"/>
    <w:rsid w:val="004332D4"/>
    <w:rsid w:val="0043334B"/>
    <w:rsid w:val="00433500"/>
    <w:rsid w:val="004335A1"/>
    <w:rsid w:val="00433630"/>
    <w:rsid w:val="0043364B"/>
    <w:rsid w:val="00433731"/>
    <w:rsid w:val="004338C3"/>
    <w:rsid w:val="00433937"/>
    <w:rsid w:val="004339A6"/>
    <w:rsid w:val="00433B33"/>
    <w:rsid w:val="00433B7B"/>
    <w:rsid w:val="00433C46"/>
    <w:rsid w:val="00434058"/>
    <w:rsid w:val="004340FD"/>
    <w:rsid w:val="00434124"/>
    <w:rsid w:val="00434284"/>
    <w:rsid w:val="004342B2"/>
    <w:rsid w:val="004342E0"/>
    <w:rsid w:val="00434317"/>
    <w:rsid w:val="0043433A"/>
    <w:rsid w:val="0043441C"/>
    <w:rsid w:val="00434444"/>
    <w:rsid w:val="004344DF"/>
    <w:rsid w:val="00434582"/>
    <w:rsid w:val="0043460B"/>
    <w:rsid w:val="004346A8"/>
    <w:rsid w:val="004346C9"/>
    <w:rsid w:val="0043474B"/>
    <w:rsid w:val="00434800"/>
    <w:rsid w:val="004348DE"/>
    <w:rsid w:val="00434910"/>
    <w:rsid w:val="0043491A"/>
    <w:rsid w:val="00434932"/>
    <w:rsid w:val="00434940"/>
    <w:rsid w:val="004349BE"/>
    <w:rsid w:val="00434A30"/>
    <w:rsid w:val="00434A3C"/>
    <w:rsid w:val="00434A57"/>
    <w:rsid w:val="00434A67"/>
    <w:rsid w:val="00434B16"/>
    <w:rsid w:val="00434B2C"/>
    <w:rsid w:val="00434B31"/>
    <w:rsid w:val="00434C2A"/>
    <w:rsid w:val="00434C2F"/>
    <w:rsid w:val="00434C45"/>
    <w:rsid w:val="00434C59"/>
    <w:rsid w:val="00434C5E"/>
    <w:rsid w:val="00434E29"/>
    <w:rsid w:val="00434E49"/>
    <w:rsid w:val="00434E91"/>
    <w:rsid w:val="00434EB9"/>
    <w:rsid w:val="004350AA"/>
    <w:rsid w:val="004350BD"/>
    <w:rsid w:val="004350DB"/>
    <w:rsid w:val="004351B1"/>
    <w:rsid w:val="00435273"/>
    <w:rsid w:val="0043540B"/>
    <w:rsid w:val="00435414"/>
    <w:rsid w:val="00435434"/>
    <w:rsid w:val="00435451"/>
    <w:rsid w:val="0043555C"/>
    <w:rsid w:val="004355E0"/>
    <w:rsid w:val="0043563C"/>
    <w:rsid w:val="00435698"/>
    <w:rsid w:val="00435765"/>
    <w:rsid w:val="00435810"/>
    <w:rsid w:val="00435981"/>
    <w:rsid w:val="00435ACD"/>
    <w:rsid w:val="00435B20"/>
    <w:rsid w:val="00435B43"/>
    <w:rsid w:val="00435B56"/>
    <w:rsid w:val="00435BDC"/>
    <w:rsid w:val="00435C42"/>
    <w:rsid w:val="00435C77"/>
    <w:rsid w:val="00435CAB"/>
    <w:rsid w:val="00435D72"/>
    <w:rsid w:val="00435E05"/>
    <w:rsid w:val="00435E4A"/>
    <w:rsid w:val="00435E80"/>
    <w:rsid w:val="00435ECE"/>
    <w:rsid w:val="00435FD9"/>
    <w:rsid w:val="004360B6"/>
    <w:rsid w:val="0043624A"/>
    <w:rsid w:val="004362A0"/>
    <w:rsid w:val="004362E5"/>
    <w:rsid w:val="0043634A"/>
    <w:rsid w:val="00436356"/>
    <w:rsid w:val="00436399"/>
    <w:rsid w:val="00436400"/>
    <w:rsid w:val="0043640C"/>
    <w:rsid w:val="004364B9"/>
    <w:rsid w:val="004365FA"/>
    <w:rsid w:val="004366B0"/>
    <w:rsid w:val="004366CE"/>
    <w:rsid w:val="004366F1"/>
    <w:rsid w:val="00436713"/>
    <w:rsid w:val="00436836"/>
    <w:rsid w:val="0043690B"/>
    <w:rsid w:val="0043694C"/>
    <w:rsid w:val="00436A4E"/>
    <w:rsid w:val="00436A66"/>
    <w:rsid w:val="00436AAF"/>
    <w:rsid w:val="00436BC0"/>
    <w:rsid w:val="00436BE9"/>
    <w:rsid w:val="00436BFA"/>
    <w:rsid w:val="00436C27"/>
    <w:rsid w:val="00436ED4"/>
    <w:rsid w:val="00436FAF"/>
    <w:rsid w:val="00436FDF"/>
    <w:rsid w:val="004370D7"/>
    <w:rsid w:val="00437129"/>
    <w:rsid w:val="00437287"/>
    <w:rsid w:val="004372D4"/>
    <w:rsid w:val="004372D9"/>
    <w:rsid w:val="00437382"/>
    <w:rsid w:val="004373A0"/>
    <w:rsid w:val="0043749F"/>
    <w:rsid w:val="004375E5"/>
    <w:rsid w:val="004376C7"/>
    <w:rsid w:val="0043774A"/>
    <w:rsid w:val="004377CC"/>
    <w:rsid w:val="0043783C"/>
    <w:rsid w:val="0043789D"/>
    <w:rsid w:val="004378AD"/>
    <w:rsid w:val="004378CF"/>
    <w:rsid w:val="0043794E"/>
    <w:rsid w:val="00437A28"/>
    <w:rsid w:val="00437A79"/>
    <w:rsid w:val="00437A8E"/>
    <w:rsid w:val="00437B62"/>
    <w:rsid w:val="00437BA6"/>
    <w:rsid w:val="00437C43"/>
    <w:rsid w:val="00437C6B"/>
    <w:rsid w:val="00437D2D"/>
    <w:rsid w:val="00437D37"/>
    <w:rsid w:val="00437DF9"/>
    <w:rsid w:val="00437E2A"/>
    <w:rsid w:val="00440059"/>
    <w:rsid w:val="004400D9"/>
    <w:rsid w:val="00440168"/>
    <w:rsid w:val="004401E6"/>
    <w:rsid w:val="004403DF"/>
    <w:rsid w:val="004403E0"/>
    <w:rsid w:val="004404BF"/>
    <w:rsid w:val="0044055F"/>
    <w:rsid w:val="0044057E"/>
    <w:rsid w:val="00440613"/>
    <w:rsid w:val="00440645"/>
    <w:rsid w:val="004406B8"/>
    <w:rsid w:val="004406FA"/>
    <w:rsid w:val="004406FF"/>
    <w:rsid w:val="00440722"/>
    <w:rsid w:val="004407AA"/>
    <w:rsid w:val="004407DF"/>
    <w:rsid w:val="0044088F"/>
    <w:rsid w:val="004408CC"/>
    <w:rsid w:val="00440932"/>
    <w:rsid w:val="00440944"/>
    <w:rsid w:val="0044095B"/>
    <w:rsid w:val="00440989"/>
    <w:rsid w:val="00440AD1"/>
    <w:rsid w:val="00440DDB"/>
    <w:rsid w:val="00440E1B"/>
    <w:rsid w:val="00440F01"/>
    <w:rsid w:val="00440F2E"/>
    <w:rsid w:val="00440FB6"/>
    <w:rsid w:val="00440FFE"/>
    <w:rsid w:val="0044104B"/>
    <w:rsid w:val="00441071"/>
    <w:rsid w:val="00441172"/>
    <w:rsid w:val="00441233"/>
    <w:rsid w:val="00441306"/>
    <w:rsid w:val="004413DA"/>
    <w:rsid w:val="00441491"/>
    <w:rsid w:val="004414E9"/>
    <w:rsid w:val="0044153F"/>
    <w:rsid w:val="004415D1"/>
    <w:rsid w:val="00441643"/>
    <w:rsid w:val="004416BF"/>
    <w:rsid w:val="0044194A"/>
    <w:rsid w:val="00441A10"/>
    <w:rsid w:val="00441B61"/>
    <w:rsid w:val="00441BD1"/>
    <w:rsid w:val="00441C32"/>
    <w:rsid w:val="00441C45"/>
    <w:rsid w:val="00441CD1"/>
    <w:rsid w:val="00441E4F"/>
    <w:rsid w:val="00441E61"/>
    <w:rsid w:val="00441E6A"/>
    <w:rsid w:val="00441EC7"/>
    <w:rsid w:val="00442031"/>
    <w:rsid w:val="0044204F"/>
    <w:rsid w:val="00442082"/>
    <w:rsid w:val="00442168"/>
    <w:rsid w:val="0044222C"/>
    <w:rsid w:val="004422FD"/>
    <w:rsid w:val="00442395"/>
    <w:rsid w:val="00442423"/>
    <w:rsid w:val="0044243D"/>
    <w:rsid w:val="004424FA"/>
    <w:rsid w:val="00442596"/>
    <w:rsid w:val="004425C9"/>
    <w:rsid w:val="004425CD"/>
    <w:rsid w:val="004425D0"/>
    <w:rsid w:val="004425D9"/>
    <w:rsid w:val="00442615"/>
    <w:rsid w:val="00442634"/>
    <w:rsid w:val="00442675"/>
    <w:rsid w:val="004426D9"/>
    <w:rsid w:val="004426DB"/>
    <w:rsid w:val="004428B2"/>
    <w:rsid w:val="004429C0"/>
    <w:rsid w:val="004429D4"/>
    <w:rsid w:val="00442B54"/>
    <w:rsid w:val="00442B95"/>
    <w:rsid w:val="00442BA6"/>
    <w:rsid w:val="00442BFE"/>
    <w:rsid w:val="00442CB4"/>
    <w:rsid w:val="00442CFC"/>
    <w:rsid w:val="00442D00"/>
    <w:rsid w:val="00442D13"/>
    <w:rsid w:val="00442D51"/>
    <w:rsid w:val="00442D86"/>
    <w:rsid w:val="00442D9B"/>
    <w:rsid w:val="00442DD9"/>
    <w:rsid w:val="00442F1B"/>
    <w:rsid w:val="00443033"/>
    <w:rsid w:val="004430C6"/>
    <w:rsid w:val="0044313F"/>
    <w:rsid w:val="004431FB"/>
    <w:rsid w:val="00443209"/>
    <w:rsid w:val="00443244"/>
    <w:rsid w:val="004436DD"/>
    <w:rsid w:val="004436EA"/>
    <w:rsid w:val="00443707"/>
    <w:rsid w:val="004437D0"/>
    <w:rsid w:val="00443859"/>
    <w:rsid w:val="0044395C"/>
    <w:rsid w:val="00443974"/>
    <w:rsid w:val="004439BE"/>
    <w:rsid w:val="00443A5A"/>
    <w:rsid w:val="00443AC9"/>
    <w:rsid w:val="00443B38"/>
    <w:rsid w:val="00443B6C"/>
    <w:rsid w:val="00443B8B"/>
    <w:rsid w:val="00443C7B"/>
    <w:rsid w:val="00443D60"/>
    <w:rsid w:val="00443E08"/>
    <w:rsid w:val="00443E0E"/>
    <w:rsid w:val="00443E87"/>
    <w:rsid w:val="00443F22"/>
    <w:rsid w:val="00444006"/>
    <w:rsid w:val="0044404A"/>
    <w:rsid w:val="004440AC"/>
    <w:rsid w:val="004441BA"/>
    <w:rsid w:val="00444204"/>
    <w:rsid w:val="00444277"/>
    <w:rsid w:val="00444350"/>
    <w:rsid w:val="00444399"/>
    <w:rsid w:val="00444485"/>
    <w:rsid w:val="004444DF"/>
    <w:rsid w:val="00444601"/>
    <w:rsid w:val="00444605"/>
    <w:rsid w:val="0044463A"/>
    <w:rsid w:val="00444689"/>
    <w:rsid w:val="00444743"/>
    <w:rsid w:val="004448C0"/>
    <w:rsid w:val="00444920"/>
    <w:rsid w:val="00444A3A"/>
    <w:rsid w:val="00444ADA"/>
    <w:rsid w:val="00444AF6"/>
    <w:rsid w:val="00444B33"/>
    <w:rsid w:val="00444BAF"/>
    <w:rsid w:val="00444C55"/>
    <w:rsid w:val="00444C5A"/>
    <w:rsid w:val="00444CF3"/>
    <w:rsid w:val="00444E15"/>
    <w:rsid w:val="00444E43"/>
    <w:rsid w:val="00444EF4"/>
    <w:rsid w:val="00444F89"/>
    <w:rsid w:val="00444FE0"/>
    <w:rsid w:val="004450C0"/>
    <w:rsid w:val="004450D9"/>
    <w:rsid w:val="0044511B"/>
    <w:rsid w:val="0044519D"/>
    <w:rsid w:val="00445357"/>
    <w:rsid w:val="0044539E"/>
    <w:rsid w:val="004453BC"/>
    <w:rsid w:val="004454DA"/>
    <w:rsid w:val="00445544"/>
    <w:rsid w:val="00445603"/>
    <w:rsid w:val="00445679"/>
    <w:rsid w:val="00445763"/>
    <w:rsid w:val="004457AB"/>
    <w:rsid w:val="0044594D"/>
    <w:rsid w:val="00445952"/>
    <w:rsid w:val="00445ACB"/>
    <w:rsid w:val="00445AE8"/>
    <w:rsid w:val="00445AF1"/>
    <w:rsid w:val="00445AF2"/>
    <w:rsid w:val="00445B2A"/>
    <w:rsid w:val="00445B2D"/>
    <w:rsid w:val="00445B4D"/>
    <w:rsid w:val="00445B76"/>
    <w:rsid w:val="00445B94"/>
    <w:rsid w:val="00445BC9"/>
    <w:rsid w:val="00445C08"/>
    <w:rsid w:val="00445C0B"/>
    <w:rsid w:val="00445C4C"/>
    <w:rsid w:val="00445C71"/>
    <w:rsid w:val="00445CBF"/>
    <w:rsid w:val="00445DB0"/>
    <w:rsid w:val="00445DC6"/>
    <w:rsid w:val="00445DE8"/>
    <w:rsid w:val="00445E7C"/>
    <w:rsid w:val="00445EBC"/>
    <w:rsid w:val="00445F19"/>
    <w:rsid w:val="00445F1F"/>
    <w:rsid w:val="00445F8B"/>
    <w:rsid w:val="00445F96"/>
    <w:rsid w:val="00446001"/>
    <w:rsid w:val="004460EA"/>
    <w:rsid w:val="00446118"/>
    <w:rsid w:val="00446195"/>
    <w:rsid w:val="004462FE"/>
    <w:rsid w:val="00446341"/>
    <w:rsid w:val="0044641C"/>
    <w:rsid w:val="0044648F"/>
    <w:rsid w:val="004464C0"/>
    <w:rsid w:val="004465C5"/>
    <w:rsid w:val="0044664B"/>
    <w:rsid w:val="0044669D"/>
    <w:rsid w:val="004466E1"/>
    <w:rsid w:val="00446821"/>
    <w:rsid w:val="0044685F"/>
    <w:rsid w:val="004468B1"/>
    <w:rsid w:val="00446935"/>
    <w:rsid w:val="00446D0C"/>
    <w:rsid w:val="00446D19"/>
    <w:rsid w:val="00446DAE"/>
    <w:rsid w:val="00446DF8"/>
    <w:rsid w:val="00446E16"/>
    <w:rsid w:val="00446E27"/>
    <w:rsid w:val="00446E77"/>
    <w:rsid w:val="00446FE3"/>
    <w:rsid w:val="00447019"/>
    <w:rsid w:val="00447179"/>
    <w:rsid w:val="004471B2"/>
    <w:rsid w:val="0044725C"/>
    <w:rsid w:val="00447263"/>
    <w:rsid w:val="004473F0"/>
    <w:rsid w:val="00447438"/>
    <w:rsid w:val="00447597"/>
    <w:rsid w:val="004475FF"/>
    <w:rsid w:val="004476CB"/>
    <w:rsid w:val="004477B9"/>
    <w:rsid w:val="004477FD"/>
    <w:rsid w:val="004478E7"/>
    <w:rsid w:val="004479CB"/>
    <w:rsid w:val="00447A00"/>
    <w:rsid w:val="00447A27"/>
    <w:rsid w:val="00447A7C"/>
    <w:rsid w:val="00447ACF"/>
    <w:rsid w:val="00447CB7"/>
    <w:rsid w:val="00447CD0"/>
    <w:rsid w:val="00447D4C"/>
    <w:rsid w:val="00447D62"/>
    <w:rsid w:val="00447E85"/>
    <w:rsid w:val="00447EBD"/>
    <w:rsid w:val="00447F06"/>
    <w:rsid w:val="00447F96"/>
    <w:rsid w:val="00447FC2"/>
    <w:rsid w:val="00450242"/>
    <w:rsid w:val="004502F4"/>
    <w:rsid w:val="004503BA"/>
    <w:rsid w:val="00450518"/>
    <w:rsid w:val="004505AC"/>
    <w:rsid w:val="0045063D"/>
    <w:rsid w:val="00450670"/>
    <w:rsid w:val="004506A7"/>
    <w:rsid w:val="004506F4"/>
    <w:rsid w:val="00450751"/>
    <w:rsid w:val="00450790"/>
    <w:rsid w:val="0045089D"/>
    <w:rsid w:val="004509D1"/>
    <w:rsid w:val="00450A36"/>
    <w:rsid w:val="00450A42"/>
    <w:rsid w:val="00450AFF"/>
    <w:rsid w:val="00450B2B"/>
    <w:rsid w:val="00450B43"/>
    <w:rsid w:val="00450C0D"/>
    <w:rsid w:val="00450CD6"/>
    <w:rsid w:val="00450D04"/>
    <w:rsid w:val="00450D6A"/>
    <w:rsid w:val="00450E13"/>
    <w:rsid w:val="00450E1E"/>
    <w:rsid w:val="00450FA6"/>
    <w:rsid w:val="00450FAC"/>
    <w:rsid w:val="00451014"/>
    <w:rsid w:val="004510E3"/>
    <w:rsid w:val="0045115D"/>
    <w:rsid w:val="00451291"/>
    <w:rsid w:val="00451296"/>
    <w:rsid w:val="004513A5"/>
    <w:rsid w:val="004513F6"/>
    <w:rsid w:val="0045151E"/>
    <w:rsid w:val="0045152C"/>
    <w:rsid w:val="004515BD"/>
    <w:rsid w:val="0045166D"/>
    <w:rsid w:val="004516AF"/>
    <w:rsid w:val="004516D6"/>
    <w:rsid w:val="004516DD"/>
    <w:rsid w:val="004516F4"/>
    <w:rsid w:val="00451727"/>
    <w:rsid w:val="004517F5"/>
    <w:rsid w:val="00451800"/>
    <w:rsid w:val="00451B12"/>
    <w:rsid w:val="00451B37"/>
    <w:rsid w:val="00451B4B"/>
    <w:rsid w:val="00451C86"/>
    <w:rsid w:val="00451CA3"/>
    <w:rsid w:val="00451D50"/>
    <w:rsid w:val="00451D7F"/>
    <w:rsid w:val="00451E5A"/>
    <w:rsid w:val="00451E72"/>
    <w:rsid w:val="00451E9C"/>
    <w:rsid w:val="00451EAC"/>
    <w:rsid w:val="0045202A"/>
    <w:rsid w:val="0045208F"/>
    <w:rsid w:val="004521D5"/>
    <w:rsid w:val="004521ED"/>
    <w:rsid w:val="004524D3"/>
    <w:rsid w:val="0045250B"/>
    <w:rsid w:val="00452550"/>
    <w:rsid w:val="0045258F"/>
    <w:rsid w:val="00452610"/>
    <w:rsid w:val="00452612"/>
    <w:rsid w:val="004526FA"/>
    <w:rsid w:val="00452706"/>
    <w:rsid w:val="00452783"/>
    <w:rsid w:val="004527F2"/>
    <w:rsid w:val="004528B1"/>
    <w:rsid w:val="004529F0"/>
    <w:rsid w:val="00452B3B"/>
    <w:rsid w:val="00452B7C"/>
    <w:rsid w:val="00452BE1"/>
    <w:rsid w:val="00452C92"/>
    <w:rsid w:val="00452CA1"/>
    <w:rsid w:val="00452D57"/>
    <w:rsid w:val="00452D93"/>
    <w:rsid w:val="00452DDC"/>
    <w:rsid w:val="00452DE4"/>
    <w:rsid w:val="00452EA2"/>
    <w:rsid w:val="00452EC4"/>
    <w:rsid w:val="00452F2D"/>
    <w:rsid w:val="004531EF"/>
    <w:rsid w:val="004532BF"/>
    <w:rsid w:val="0045330A"/>
    <w:rsid w:val="00453340"/>
    <w:rsid w:val="00453415"/>
    <w:rsid w:val="0045341A"/>
    <w:rsid w:val="004534CC"/>
    <w:rsid w:val="004535EC"/>
    <w:rsid w:val="00453641"/>
    <w:rsid w:val="004536D1"/>
    <w:rsid w:val="00453775"/>
    <w:rsid w:val="004537B1"/>
    <w:rsid w:val="004537FB"/>
    <w:rsid w:val="0045380C"/>
    <w:rsid w:val="00453830"/>
    <w:rsid w:val="00453838"/>
    <w:rsid w:val="0045383F"/>
    <w:rsid w:val="00453890"/>
    <w:rsid w:val="004539AB"/>
    <w:rsid w:val="004539ED"/>
    <w:rsid w:val="00453A3D"/>
    <w:rsid w:val="00453B1F"/>
    <w:rsid w:val="00453B78"/>
    <w:rsid w:val="00453BF5"/>
    <w:rsid w:val="00453CE9"/>
    <w:rsid w:val="00453D53"/>
    <w:rsid w:val="00453D70"/>
    <w:rsid w:val="00453DF2"/>
    <w:rsid w:val="00453DFB"/>
    <w:rsid w:val="00453E7C"/>
    <w:rsid w:val="0045411B"/>
    <w:rsid w:val="00454176"/>
    <w:rsid w:val="0045424D"/>
    <w:rsid w:val="00454380"/>
    <w:rsid w:val="00454454"/>
    <w:rsid w:val="0045448A"/>
    <w:rsid w:val="00454522"/>
    <w:rsid w:val="00454534"/>
    <w:rsid w:val="004545E8"/>
    <w:rsid w:val="00454629"/>
    <w:rsid w:val="00454661"/>
    <w:rsid w:val="00454697"/>
    <w:rsid w:val="004546D8"/>
    <w:rsid w:val="00454702"/>
    <w:rsid w:val="0045470C"/>
    <w:rsid w:val="0045481B"/>
    <w:rsid w:val="00454850"/>
    <w:rsid w:val="0045490A"/>
    <w:rsid w:val="00454A1C"/>
    <w:rsid w:val="00454A91"/>
    <w:rsid w:val="00454BD3"/>
    <w:rsid w:val="00454DFF"/>
    <w:rsid w:val="00454E01"/>
    <w:rsid w:val="00454F70"/>
    <w:rsid w:val="00454F76"/>
    <w:rsid w:val="00454FF6"/>
    <w:rsid w:val="0045502E"/>
    <w:rsid w:val="0045506D"/>
    <w:rsid w:val="0045519F"/>
    <w:rsid w:val="00455206"/>
    <w:rsid w:val="00455245"/>
    <w:rsid w:val="004552C8"/>
    <w:rsid w:val="004552F8"/>
    <w:rsid w:val="0045531E"/>
    <w:rsid w:val="0045536C"/>
    <w:rsid w:val="00455443"/>
    <w:rsid w:val="0045544F"/>
    <w:rsid w:val="00455637"/>
    <w:rsid w:val="00455663"/>
    <w:rsid w:val="004556AD"/>
    <w:rsid w:val="004556D9"/>
    <w:rsid w:val="00455715"/>
    <w:rsid w:val="00455720"/>
    <w:rsid w:val="0045574B"/>
    <w:rsid w:val="004557AC"/>
    <w:rsid w:val="00455899"/>
    <w:rsid w:val="0045590B"/>
    <w:rsid w:val="00455938"/>
    <w:rsid w:val="00455949"/>
    <w:rsid w:val="00455997"/>
    <w:rsid w:val="00455A07"/>
    <w:rsid w:val="00455A4B"/>
    <w:rsid w:val="00455AEB"/>
    <w:rsid w:val="00455CD1"/>
    <w:rsid w:val="00455CE4"/>
    <w:rsid w:val="00455D13"/>
    <w:rsid w:val="00455D1B"/>
    <w:rsid w:val="00455DC4"/>
    <w:rsid w:val="00455E3D"/>
    <w:rsid w:val="00455FD7"/>
    <w:rsid w:val="0045603C"/>
    <w:rsid w:val="00456053"/>
    <w:rsid w:val="00456068"/>
    <w:rsid w:val="0045611C"/>
    <w:rsid w:val="00456121"/>
    <w:rsid w:val="0045613F"/>
    <w:rsid w:val="0045624A"/>
    <w:rsid w:val="0045628E"/>
    <w:rsid w:val="00456392"/>
    <w:rsid w:val="004563B9"/>
    <w:rsid w:val="004563C4"/>
    <w:rsid w:val="00456467"/>
    <w:rsid w:val="004564A1"/>
    <w:rsid w:val="004564FE"/>
    <w:rsid w:val="00456678"/>
    <w:rsid w:val="0045667D"/>
    <w:rsid w:val="004566DD"/>
    <w:rsid w:val="004566DF"/>
    <w:rsid w:val="0045676B"/>
    <w:rsid w:val="00456851"/>
    <w:rsid w:val="00456887"/>
    <w:rsid w:val="00456896"/>
    <w:rsid w:val="004568AB"/>
    <w:rsid w:val="00456A13"/>
    <w:rsid w:val="00456A6E"/>
    <w:rsid w:val="00456AA4"/>
    <w:rsid w:val="00456ADA"/>
    <w:rsid w:val="00456B09"/>
    <w:rsid w:val="00456B0D"/>
    <w:rsid w:val="00456C88"/>
    <w:rsid w:val="00456CA9"/>
    <w:rsid w:val="00456E6E"/>
    <w:rsid w:val="00456F0F"/>
    <w:rsid w:val="00457042"/>
    <w:rsid w:val="004570BF"/>
    <w:rsid w:val="004570EF"/>
    <w:rsid w:val="0045718A"/>
    <w:rsid w:val="00457246"/>
    <w:rsid w:val="0045724E"/>
    <w:rsid w:val="00457328"/>
    <w:rsid w:val="00457334"/>
    <w:rsid w:val="004574CA"/>
    <w:rsid w:val="00457669"/>
    <w:rsid w:val="00457684"/>
    <w:rsid w:val="004576E9"/>
    <w:rsid w:val="0045770D"/>
    <w:rsid w:val="00457710"/>
    <w:rsid w:val="00457852"/>
    <w:rsid w:val="004578B9"/>
    <w:rsid w:val="0045790F"/>
    <w:rsid w:val="00457935"/>
    <w:rsid w:val="00457B69"/>
    <w:rsid w:val="00457BE4"/>
    <w:rsid w:val="00457C6D"/>
    <w:rsid w:val="00457C9B"/>
    <w:rsid w:val="00457D00"/>
    <w:rsid w:val="00457D63"/>
    <w:rsid w:val="00457D9C"/>
    <w:rsid w:val="00457DB5"/>
    <w:rsid w:val="00457E21"/>
    <w:rsid w:val="00457E87"/>
    <w:rsid w:val="00457EFB"/>
    <w:rsid w:val="00457F5A"/>
    <w:rsid w:val="00457FAF"/>
    <w:rsid w:val="0046007E"/>
    <w:rsid w:val="004600A5"/>
    <w:rsid w:val="004600F4"/>
    <w:rsid w:val="0046012B"/>
    <w:rsid w:val="00460130"/>
    <w:rsid w:val="004601C2"/>
    <w:rsid w:val="004601CE"/>
    <w:rsid w:val="0046024B"/>
    <w:rsid w:val="004602A5"/>
    <w:rsid w:val="004602D1"/>
    <w:rsid w:val="004602DD"/>
    <w:rsid w:val="0046030D"/>
    <w:rsid w:val="004604D6"/>
    <w:rsid w:val="0046055F"/>
    <w:rsid w:val="0046059F"/>
    <w:rsid w:val="004605BB"/>
    <w:rsid w:val="004605C4"/>
    <w:rsid w:val="004605E9"/>
    <w:rsid w:val="00460685"/>
    <w:rsid w:val="004606D1"/>
    <w:rsid w:val="00460730"/>
    <w:rsid w:val="00460734"/>
    <w:rsid w:val="004607C5"/>
    <w:rsid w:val="004607F7"/>
    <w:rsid w:val="00460839"/>
    <w:rsid w:val="00460953"/>
    <w:rsid w:val="004609DF"/>
    <w:rsid w:val="004609F0"/>
    <w:rsid w:val="004609F8"/>
    <w:rsid w:val="00460A06"/>
    <w:rsid w:val="00460A16"/>
    <w:rsid w:val="00460AB4"/>
    <w:rsid w:val="00460AF9"/>
    <w:rsid w:val="00460B33"/>
    <w:rsid w:val="00460BD5"/>
    <w:rsid w:val="00460C52"/>
    <w:rsid w:val="00460D69"/>
    <w:rsid w:val="00460E20"/>
    <w:rsid w:val="00460E29"/>
    <w:rsid w:val="00460E36"/>
    <w:rsid w:val="00461155"/>
    <w:rsid w:val="0046117F"/>
    <w:rsid w:val="004611AA"/>
    <w:rsid w:val="0046121F"/>
    <w:rsid w:val="0046127B"/>
    <w:rsid w:val="004612A5"/>
    <w:rsid w:val="004612D9"/>
    <w:rsid w:val="004612F9"/>
    <w:rsid w:val="0046141E"/>
    <w:rsid w:val="00461494"/>
    <w:rsid w:val="00461556"/>
    <w:rsid w:val="00461592"/>
    <w:rsid w:val="004616AE"/>
    <w:rsid w:val="004616C3"/>
    <w:rsid w:val="0046172A"/>
    <w:rsid w:val="0046172D"/>
    <w:rsid w:val="00461787"/>
    <w:rsid w:val="00461825"/>
    <w:rsid w:val="00461911"/>
    <w:rsid w:val="00461985"/>
    <w:rsid w:val="004619A3"/>
    <w:rsid w:val="00461CE8"/>
    <w:rsid w:val="00461CFC"/>
    <w:rsid w:val="00461D19"/>
    <w:rsid w:val="00461E58"/>
    <w:rsid w:val="00461E9F"/>
    <w:rsid w:val="0046205B"/>
    <w:rsid w:val="00462117"/>
    <w:rsid w:val="0046211E"/>
    <w:rsid w:val="00462139"/>
    <w:rsid w:val="0046215C"/>
    <w:rsid w:val="0046218C"/>
    <w:rsid w:val="0046219C"/>
    <w:rsid w:val="00462284"/>
    <w:rsid w:val="00462339"/>
    <w:rsid w:val="004623D4"/>
    <w:rsid w:val="004623D9"/>
    <w:rsid w:val="00462469"/>
    <w:rsid w:val="004624F3"/>
    <w:rsid w:val="00462517"/>
    <w:rsid w:val="00462560"/>
    <w:rsid w:val="004625C6"/>
    <w:rsid w:val="004625E1"/>
    <w:rsid w:val="004626F9"/>
    <w:rsid w:val="004627A9"/>
    <w:rsid w:val="004627F9"/>
    <w:rsid w:val="00462819"/>
    <w:rsid w:val="0046285B"/>
    <w:rsid w:val="00462952"/>
    <w:rsid w:val="00462A27"/>
    <w:rsid w:val="00462A4F"/>
    <w:rsid w:val="00462A7F"/>
    <w:rsid w:val="00462AC3"/>
    <w:rsid w:val="00462C79"/>
    <w:rsid w:val="00462CAC"/>
    <w:rsid w:val="00462CBE"/>
    <w:rsid w:val="00462D10"/>
    <w:rsid w:val="00462D40"/>
    <w:rsid w:val="00462D5C"/>
    <w:rsid w:val="00462D79"/>
    <w:rsid w:val="00462E26"/>
    <w:rsid w:val="00462E9B"/>
    <w:rsid w:val="00462EA7"/>
    <w:rsid w:val="00462F01"/>
    <w:rsid w:val="00462F10"/>
    <w:rsid w:val="00462F44"/>
    <w:rsid w:val="00462FB0"/>
    <w:rsid w:val="00462FD4"/>
    <w:rsid w:val="00463061"/>
    <w:rsid w:val="00463124"/>
    <w:rsid w:val="00463226"/>
    <w:rsid w:val="00463243"/>
    <w:rsid w:val="0046324B"/>
    <w:rsid w:val="004632FF"/>
    <w:rsid w:val="00463323"/>
    <w:rsid w:val="00463370"/>
    <w:rsid w:val="004633AC"/>
    <w:rsid w:val="004633CD"/>
    <w:rsid w:val="00463407"/>
    <w:rsid w:val="00463547"/>
    <w:rsid w:val="004635EE"/>
    <w:rsid w:val="004636E0"/>
    <w:rsid w:val="004637BA"/>
    <w:rsid w:val="004637E1"/>
    <w:rsid w:val="004637FF"/>
    <w:rsid w:val="004638E2"/>
    <w:rsid w:val="0046390A"/>
    <w:rsid w:val="00463944"/>
    <w:rsid w:val="00463962"/>
    <w:rsid w:val="00463964"/>
    <w:rsid w:val="00463994"/>
    <w:rsid w:val="004639C0"/>
    <w:rsid w:val="00463AAC"/>
    <w:rsid w:val="00463BE5"/>
    <w:rsid w:val="00463CFB"/>
    <w:rsid w:val="00463D33"/>
    <w:rsid w:val="00463F4E"/>
    <w:rsid w:val="00463FE0"/>
    <w:rsid w:val="004640CD"/>
    <w:rsid w:val="004641F7"/>
    <w:rsid w:val="0046426A"/>
    <w:rsid w:val="004642FD"/>
    <w:rsid w:val="0046436F"/>
    <w:rsid w:val="0046442C"/>
    <w:rsid w:val="00464431"/>
    <w:rsid w:val="00464446"/>
    <w:rsid w:val="0046446F"/>
    <w:rsid w:val="0046454A"/>
    <w:rsid w:val="00464581"/>
    <w:rsid w:val="00464682"/>
    <w:rsid w:val="004648A0"/>
    <w:rsid w:val="00464A58"/>
    <w:rsid w:val="00464A6C"/>
    <w:rsid w:val="00464AE0"/>
    <w:rsid w:val="00464B5C"/>
    <w:rsid w:val="00464BA6"/>
    <w:rsid w:val="00464E23"/>
    <w:rsid w:val="00464E39"/>
    <w:rsid w:val="00464E47"/>
    <w:rsid w:val="00464F07"/>
    <w:rsid w:val="00464F25"/>
    <w:rsid w:val="00464F9B"/>
    <w:rsid w:val="00465076"/>
    <w:rsid w:val="004650B1"/>
    <w:rsid w:val="0046512A"/>
    <w:rsid w:val="0046518B"/>
    <w:rsid w:val="004651A2"/>
    <w:rsid w:val="004651FB"/>
    <w:rsid w:val="00465224"/>
    <w:rsid w:val="00465234"/>
    <w:rsid w:val="0046527F"/>
    <w:rsid w:val="0046528F"/>
    <w:rsid w:val="004653B5"/>
    <w:rsid w:val="00465462"/>
    <w:rsid w:val="004654C2"/>
    <w:rsid w:val="00465602"/>
    <w:rsid w:val="00465655"/>
    <w:rsid w:val="00465680"/>
    <w:rsid w:val="004656A3"/>
    <w:rsid w:val="004656CF"/>
    <w:rsid w:val="004656E3"/>
    <w:rsid w:val="0046572E"/>
    <w:rsid w:val="004658BD"/>
    <w:rsid w:val="004659A6"/>
    <w:rsid w:val="004659CC"/>
    <w:rsid w:val="00465A55"/>
    <w:rsid w:val="00465A97"/>
    <w:rsid w:val="00465B09"/>
    <w:rsid w:val="00465B0C"/>
    <w:rsid w:val="00465B24"/>
    <w:rsid w:val="00465BAF"/>
    <w:rsid w:val="00465C17"/>
    <w:rsid w:val="00465D39"/>
    <w:rsid w:val="00465D7E"/>
    <w:rsid w:val="00465DB8"/>
    <w:rsid w:val="00465F4A"/>
    <w:rsid w:val="004660B8"/>
    <w:rsid w:val="00466110"/>
    <w:rsid w:val="0046613D"/>
    <w:rsid w:val="00466261"/>
    <w:rsid w:val="0046626C"/>
    <w:rsid w:val="00466288"/>
    <w:rsid w:val="004664BF"/>
    <w:rsid w:val="004664F8"/>
    <w:rsid w:val="00466533"/>
    <w:rsid w:val="00466562"/>
    <w:rsid w:val="00466583"/>
    <w:rsid w:val="004666B5"/>
    <w:rsid w:val="0046681D"/>
    <w:rsid w:val="00466858"/>
    <w:rsid w:val="004668A3"/>
    <w:rsid w:val="004668CC"/>
    <w:rsid w:val="00466927"/>
    <w:rsid w:val="0046696B"/>
    <w:rsid w:val="00466992"/>
    <w:rsid w:val="00466A65"/>
    <w:rsid w:val="00466AB5"/>
    <w:rsid w:val="00466B13"/>
    <w:rsid w:val="00466B3C"/>
    <w:rsid w:val="00466B46"/>
    <w:rsid w:val="00466BB0"/>
    <w:rsid w:val="00466C23"/>
    <w:rsid w:val="00466D0F"/>
    <w:rsid w:val="00466D72"/>
    <w:rsid w:val="00466DC1"/>
    <w:rsid w:val="00466EF6"/>
    <w:rsid w:val="00466F48"/>
    <w:rsid w:val="00466FDC"/>
    <w:rsid w:val="00467022"/>
    <w:rsid w:val="0046703D"/>
    <w:rsid w:val="0046717C"/>
    <w:rsid w:val="0046717E"/>
    <w:rsid w:val="004671BB"/>
    <w:rsid w:val="00467243"/>
    <w:rsid w:val="00467346"/>
    <w:rsid w:val="004674CA"/>
    <w:rsid w:val="004674CC"/>
    <w:rsid w:val="00467507"/>
    <w:rsid w:val="00467524"/>
    <w:rsid w:val="00467540"/>
    <w:rsid w:val="00467544"/>
    <w:rsid w:val="004675AB"/>
    <w:rsid w:val="00467658"/>
    <w:rsid w:val="004676BA"/>
    <w:rsid w:val="00467734"/>
    <w:rsid w:val="004677AB"/>
    <w:rsid w:val="004677DB"/>
    <w:rsid w:val="00467805"/>
    <w:rsid w:val="0046784C"/>
    <w:rsid w:val="00467A3F"/>
    <w:rsid w:val="00467A96"/>
    <w:rsid w:val="00467BB6"/>
    <w:rsid w:val="00467BFE"/>
    <w:rsid w:val="00467CBD"/>
    <w:rsid w:val="00467CDF"/>
    <w:rsid w:val="00467D21"/>
    <w:rsid w:val="00467DA0"/>
    <w:rsid w:val="00467E73"/>
    <w:rsid w:val="00467ECB"/>
    <w:rsid w:val="00467F5D"/>
    <w:rsid w:val="00467F60"/>
    <w:rsid w:val="00467F70"/>
    <w:rsid w:val="0047000D"/>
    <w:rsid w:val="004700F9"/>
    <w:rsid w:val="0047012E"/>
    <w:rsid w:val="0047022C"/>
    <w:rsid w:val="00470265"/>
    <w:rsid w:val="00470282"/>
    <w:rsid w:val="00470307"/>
    <w:rsid w:val="0047030A"/>
    <w:rsid w:val="00470354"/>
    <w:rsid w:val="0047037E"/>
    <w:rsid w:val="00470390"/>
    <w:rsid w:val="00470399"/>
    <w:rsid w:val="004703B9"/>
    <w:rsid w:val="0047051A"/>
    <w:rsid w:val="00470537"/>
    <w:rsid w:val="00470770"/>
    <w:rsid w:val="0047080C"/>
    <w:rsid w:val="00470815"/>
    <w:rsid w:val="0047083E"/>
    <w:rsid w:val="00470848"/>
    <w:rsid w:val="00470A0E"/>
    <w:rsid w:val="00470AB8"/>
    <w:rsid w:val="00470B8F"/>
    <w:rsid w:val="00470C29"/>
    <w:rsid w:val="00470CEE"/>
    <w:rsid w:val="00470D47"/>
    <w:rsid w:val="00470EAA"/>
    <w:rsid w:val="00470EE1"/>
    <w:rsid w:val="004710C3"/>
    <w:rsid w:val="004711EC"/>
    <w:rsid w:val="00471459"/>
    <w:rsid w:val="004714B0"/>
    <w:rsid w:val="004714E5"/>
    <w:rsid w:val="00471520"/>
    <w:rsid w:val="0047153D"/>
    <w:rsid w:val="00471769"/>
    <w:rsid w:val="0047176E"/>
    <w:rsid w:val="004717BE"/>
    <w:rsid w:val="00471855"/>
    <w:rsid w:val="00471897"/>
    <w:rsid w:val="004718A4"/>
    <w:rsid w:val="00471ABB"/>
    <w:rsid w:val="00471B81"/>
    <w:rsid w:val="00471C19"/>
    <w:rsid w:val="00471DEC"/>
    <w:rsid w:val="00471F18"/>
    <w:rsid w:val="00471F4A"/>
    <w:rsid w:val="00471F83"/>
    <w:rsid w:val="00471FB9"/>
    <w:rsid w:val="00471FEA"/>
    <w:rsid w:val="00471FF8"/>
    <w:rsid w:val="004720B6"/>
    <w:rsid w:val="00472235"/>
    <w:rsid w:val="0047224A"/>
    <w:rsid w:val="00472274"/>
    <w:rsid w:val="004722D4"/>
    <w:rsid w:val="004722D7"/>
    <w:rsid w:val="00472336"/>
    <w:rsid w:val="0047239C"/>
    <w:rsid w:val="004723D2"/>
    <w:rsid w:val="004723FE"/>
    <w:rsid w:val="00472475"/>
    <w:rsid w:val="004724AD"/>
    <w:rsid w:val="004724D4"/>
    <w:rsid w:val="00472518"/>
    <w:rsid w:val="00472542"/>
    <w:rsid w:val="0047265E"/>
    <w:rsid w:val="00472672"/>
    <w:rsid w:val="004726A7"/>
    <w:rsid w:val="00472AA0"/>
    <w:rsid w:val="00472AA8"/>
    <w:rsid w:val="00472AB6"/>
    <w:rsid w:val="00472AC3"/>
    <w:rsid w:val="00472B62"/>
    <w:rsid w:val="00472BBB"/>
    <w:rsid w:val="00472C22"/>
    <w:rsid w:val="00472C35"/>
    <w:rsid w:val="00472C42"/>
    <w:rsid w:val="00472C90"/>
    <w:rsid w:val="00472D65"/>
    <w:rsid w:val="00472D6A"/>
    <w:rsid w:val="00472D9C"/>
    <w:rsid w:val="00472DF8"/>
    <w:rsid w:val="00472E80"/>
    <w:rsid w:val="00472FB5"/>
    <w:rsid w:val="0047310D"/>
    <w:rsid w:val="00473156"/>
    <w:rsid w:val="00473170"/>
    <w:rsid w:val="0047317A"/>
    <w:rsid w:val="004731A3"/>
    <w:rsid w:val="004731ED"/>
    <w:rsid w:val="00473290"/>
    <w:rsid w:val="00473306"/>
    <w:rsid w:val="00473312"/>
    <w:rsid w:val="00473330"/>
    <w:rsid w:val="00473353"/>
    <w:rsid w:val="0047339A"/>
    <w:rsid w:val="004733B0"/>
    <w:rsid w:val="0047343D"/>
    <w:rsid w:val="004734D2"/>
    <w:rsid w:val="004734DB"/>
    <w:rsid w:val="00473503"/>
    <w:rsid w:val="0047352B"/>
    <w:rsid w:val="004735FB"/>
    <w:rsid w:val="004736BE"/>
    <w:rsid w:val="004736EC"/>
    <w:rsid w:val="00473708"/>
    <w:rsid w:val="00473740"/>
    <w:rsid w:val="004738A4"/>
    <w:rsid w:val="004738C9"/>
    <w:rsid w:val="004739E2"/>
    <w:rsid w:val="00473A45"/>
    <w:rsid w:val="00473A6C"/>
    <w:rsid w:val="00473A74"/>
    <w:rsid w:val="00473A86"/>
    <w:rsid w:val="00473AD0"/>
    <w:rsid w:val="00473ADA"/>
    <w:rsid w:val="00473AE0"/>
    <w:rsid w:val="00473B37"/>
    <w:rsid w:val="00473B60"/>
    <w:rsid w:val="00473C1E"/>
    <w:rsid w:val="00473C89"/>
    <w:rsid w:val="00473CC5"/>
    <w:rsid w:val="00473D9D"/>
    <w:rsid w:val="00473E7C"/>
    <w:rsid w:val="00473F25"/>
    <w:rsid w:val="00473F4C"/>
    <w:rsid w:val="00473FC1"/>
    <w:rsid w:val="00473FCC"/>
    <w:rsid w:val="00474041"/>
    <w:rsid w:val="004740AB"/>
    <w:rsid w:val="004740E8"/>
    <w:rsid w:val="0047414B"/>
    <w:rsid w:val="004741AF"/>
    <w:rsid w:val="004741E1"/>
    <w:rsid w:val="0047420C"/>
    <w:rsid w:val="00474406"/>
    <w:rsid w:val="004745DF"/>
    <w:rsid w:val="0047465A"/>
    <w:rsid w:val="0047471D"/>
    <w:rsid w:val="0047479E"/>
    <w:rsid w:val="0047480D"/>
    <w:rsid w:val="0047491C"/>
    <w:rsid w:val="00474980"/>
    <w:rsid w:val="0047499E"/>
    <w:rsid w:val="00474A3F"/>
    <w:rsid w:val="00474A41"/>
    <w:rsid w:val="00474A81"/>
    <w:rsid w:val="00474B52"/>
    <w:rsid w:val="00474B93"/>
    <w:rsid w:val="00474C84"/>
    <w:rsid w:val="00474D61"/>
    <w:rsid w:val="00474D6F"/>
    <w:rsid w:val="00474E30"/>
    <w:rsid w:val="00474FCE"/>
    <w:rsid w:val="0047502F"/>
    <w:rsid w:val="00475043"/>
    <w:rsid w:val="00475265"/>
    <w:rsid w:val="004752CD"/>
    <w:rsid w:val="004752DA"/>
    <w:rsid w:val="00475347"/>
    <w:rsid w:val="0047539D"/>
    <w:rsid w:val="004753EE"/>
    <w:rsid w:val="004753F1"/>
    <w:rsid w:val="0047552B"/>
    <w:rsid w:val="00475597"/>
    <w:rsid w:val="004755AF"/>
    <w:rsid w:val="004755CA"/>
    <w:rsid w:val="0047563A"/>
    <w:rsid w:val="00475664"/>
    <w:rsid w:val="004757C7"/>
    <w:rsid w:val="004758E2"/>
    <w:rsid w:val="00475918"/>
    <w:rsid w:val="0047599C"/>
    <w:rsid w:val="00475A15"/>
    <w:rsid w:val="00475A22"/>
    <w:rsid w:val="00475A44"/>
    <w:rsid w:val="00475A46"/>
    <w:rsid w:val="00475AE3"/>
    <w:rsid w:val="00475AFF"/>
    <w:rsid w:val="00475B22"/>
    <w:rsid w:val="00475B33"/>
    <w:rsid w:val="00475B68"/>
    <w:rsid w:val="00475BF8"/>
    <w:rsid w:val="00475C3A"/>
    <w:rsid w:val="00475C8B"/>
    <w:rsid w:val="00475CD2"/>
    <w:rsid w:val="00475D30"/>
    <w:rsid w:val="00475EB4"/>
    <w:rsid w:val="00475FF3"/>
    <w:rsid w:val="00476162"/>
    <w:rsid w:val="0047632D"/>
    <w:rsid w:val="004763A9"/>
    <w:rsid w:val="0047642C"/>
    <w:rsid w:val="0047644C"/>
    <w:rsid w:val="004765F4"/>
    <w:rsid w:val="0047686F"/>
    <w:rsid w:val="0047692F"/>
    <w:rsid w:val="00476990"/>
    <w:rsid w:val="0047699E"/>
    <w:rsid w:val="004769D1"/>
    <w:rsid w:val="00476A75"/>
    <w:rsid w:val="00476B04"/>
    <w:rsid w:val="00476B4D"/>
    <w:rsid w:val="00476BCA"/>
    <w:rsid w:val="00476BFC"/>
    <w:rsid w:val="00476CBC"/>
    <w:rsid w:val="00476D0E"/>
    <w:rsid w:val="00476D5B"/>
    <w:rsid w:val="00476DD8"/>
    <w:rsid w:val="00476E58"/>
    <w:rsid w:val="00476E6C"/>
    <w:rsid w:val="00476E79"/>
    <w:rsid w:val="00476F5B"/>
    <w:rsid w:val="00476FE3"/>
    <w:rsid w:val="0047716D"/>
    <w:rsid w:val="00477282"/>
    <w:rsid w:val="004772AE"/>
    <w:rsid w:val="00477357"/>
    <w:rsid w:val="0047736F"/>
    <w:rsid w:val="004773B1"/>
    <w:rsid w:val="004773B9"/>
    <w:rsid w:val="004773C5"/>
    <w:rsid w:val="00477442"/>
    <w:rsid w:val="00477523"/>
    <w:rsid w:val="00477599"/>
    <w:rsid w:val="004777A2"/>
    <w:rsid w:val="004778A4"/>
    <w:rsid w:val="00477905"/>
    <w:rsid w:val="0047790F"/>
    <w:rsid w:val="00477947"/>
    <w:rsid w:val="00477A00"/>
    <w:rsid w:val="00477B99"/>
    <w:rsid w:val="00477C0D"/>
    <w:rsid w:val="00477C87"/>
    <w:rsid w:val="00477CAC"/>
    <w:rsid w:val="00477CC7"/>
    <w:rsid w:val="00477FA8"/>
    <w:rsid w:val="0048009E"/>
    <w:rsid w:val="004800C8"/>
    <w:rsid w:val="00480153"/>
    <w:rsid w:val="0048015E"/>
    <w:rsid w:val="004801C8"/>
    <w:rsid w:val="004802E7"/>
    <w:rsid w:val="00480313"/>
    <w:rsid w:val="004803E6"/>
    <w:rsid w:val="004804CD"/>
    <w:rsid w:val="004804DD"/>
    <w:rsid w:val="00480882"/>
    <w:rsid w:val="0048088C"/>
    <w:rsid w:val="004808BC"/>
    <w:rsid w:val="0048096D"/>
    <w:rsid w:val="00480A2A"/>
    <w:rsid w:val="00480ABA"/>
    <w:rsid w:val="00480C06"/>
    <w:rsid w:val="00480CF9"/>
    <w:rsid w:val="00480D47"/>
    <w:rsid w:val="00480D96"/>
    <w:rsid w:val="00480DB9"/>
    <w:rsid w:val="00480E73"/>
    <w:rsid w:val="00480EAE"/>
    <w:rsid w:val="00480F32"/>
    <w:rsid w:val="00480FA1"/>
    <w:rsid w:val="00480FD5"/>
    <w:rsid w:val="00481001"/>
    <w:rsid w:val="0048101E"/>
    <w:rsid w:val="00481059"/>
    <w:rsid w:val="00481124"/>
    <w:rsid w:val="00481173"/>
    <w:rsid w:val="004811F9"/>
    <w:rsid w:val="0048123E"/>
    <w:rsid w:val="00481288"/>
    <w:rsid w:val="00481334"/>
    <w:rsid w:val="004813B4"/>
    <w:rsid w:val="004813CD"/>
    <w:rsid w:val="004813EF"/>
    <w:rsid w:val="00481412"/>
    <w:rsid w:val="00481413"/>
    <w:rsid w:val="0048155F"/>
    <w:rsid w:val="004815C4"/>
    <w:rsid w:val="004815F9"/>
    <w:rsid w:val="00481617"/>
    <w:rsid w:val="0048163E"/>
    <w:rsid w:val="00481664"/>
    <w:rsid w:val="00481672"/>
    <w:rsid w:val="00481808"/>
    <w:rsid w:val="0048185B"/>
    <w:rsid w:val="0048186F"/>
    <w:rsid w:val="00481972"/>
    <w:rsid w:val="004819AE"/>
    <w:rsid w:val="00481AEE"/>
    <w:rsid w:val="00481B16"/>
    <w:rsid w:val="00481B7C"/>
    <w:rsid w:val="00481C54"/>
    <w:rsid w:val="00481CA2"/>
    <w:rsid w:val="00481CAE"/>
    <w:rsid w:val="00481EB9"/>
    <w:rsid w:val="00481EFF"/>
    <w:rsid w:val="00481FD1"/>
    <w:rsid w:val="00481FD7"/>
    <w:rsid w:val="00482021"/>
    <w:rsid w:val="004820FA"/>
    <w:rsid w:val="0048216F"/>
    <w:rsid w:val="004821D3"/>
    <w:rsid w:val="004821EC"/>
    <w:rsid w:val="0048222A"/>
    <w:rsid w:val="004826A5"/>
    <w:rsid w:val="00482760"/>
    <w:rsid w:val="0048286F"/>
    <w:rsid w:val="004828A9"/>
    <w:rsid w:val="00482B5B"/>
    <w:rsid w:val="00482B6F"/>
    <w:rsid w:val="00482BCA"/>
    <w:rsid w:val="00482D71"/>
    <w:rsid w:val="00482DE5"/>
    <w:rsid w:val="00482E00"/>
    <w:rsid w:val="00482E1F"/>
    <w:rsid w:val="00482F72"/>
    <w:rsid w:val="004830A4"/>
    <w:rsid w:val="0048314B"/>
    <w:rsid w:val="00483266"/>
    <w:rsid w:val="00483411"/>
    <w:rsid w:val="00483472"/>
    <w:rsid w:val="0048352E"/>
    <w:rsid w:val="004835A4"/>
    <w:rsid w:val="004835AA"/>
    <w:rsid w:val="004836A9"/>
    <w:rsid w:val="0048375E"/>
    <w:rsid w:val="00483857"/>
    <w:rsid w:val="0048390E"/>
    <w:rsid w:val="00483A33"/>
    <w:rsid w:val="00483A3C"/>
    <w:rsid w:val="00483B1D"/>
    <w:rsid w:val="00483B23"/>
    <w:rsid w:val="00483B3D"/>
    <w:rsid w:val="00483BBF"/>
    <w:rsid w:val="00483D8E"/>
    <w:rsid w:val="00483DD1"/>
    <w:rsid w:val="00483DF9"/>
    <w:rsid w:val="00483EF1"/>
    <w:rsid w:val="00483FA8"/>
    <w:rsid w:val="00483FCA"/>
    <w:rsid w:val="004840B6"/>
    <w:rsid w:val="004840D7"/>
    <w:rsid w:val="004841B6"/>
    <w:rsid w:val="00484275"/>
    <w:rsid w:val="004842F4"/>
    <w:rsid w:val="00484341"/>
    <w:rsid w:val="00484379"/>
    <w:rsid w:val="00484456"/>
    <w:rsid w:val="00484567"/>
    <w:rsid w:val="00484581"/>
    <w:rsid w:val="0048465E"/>
    <w:rsid w:val="004846F4"/>
    <w:rsid w:val="00484765"/>
    <w:rsid w:val="004847F6"/>
    <w:rsid w:val="00484879"/>
    <w:rsid w:val="00484884"/>
    <w:rsid w:val="004848E0"/>
    <w:rsid w:val="0048491A"/>
    <w:rsid w:val="00484A98"/>
    <w:rsid w:val="00484AA5"/>
    <w:rsid w:val="00484C3A"/>
    <w:rsid w:val="00484C71"/>
    <w:rsid w:val="00484CAF"/>
    <w:rsid w:val="00484DD0"/>
    <w:rsid w:val="00484E13"/>
    <w:rsid w:val="00484E22"/>
    <w:rsid w:val="00484E88"/>
    <w:rsid w:val="00484E98"/>
    <w:rsid w:val="00484EA1"/>
    <w:rsid w:val="00484F0E"/>
    <w:rsid w:val="00484F56"/>
    <w:rsid w:val="00484F61"/>
    <w:rsid w:val="00484F96"/>
    <w:rsid w:val="00484FC0"/>
    <w:rsid w:val="00484FD5"/>
    <w:rsid w:val="00485030"/>
    <w:rsid w:val="004850B5"/>
    <w:rsid w:val="004851F5"/>
    <w:rsid w:val="00485206"/>
    <w:rsid w:val="0048530B"/>
    <w:rsid w:val="00485521"/>
    <w:rsid w:val="00485630"/>
    <w:rsid w:val="00485673"/>
    <w:rsid w:val="004856B9"/>
    <w:rsid w:val="004857CF"/>
    <w:rsid w:val="00485A08"/>
    <w:rsid w:val="00485A45"/>
    <w:rsid w:val="00485A5A"/>
    <w:rsid w:val="00485C26"/>
    <w:rsid w:val="00485DED"/>
    <w:rsid w:val="00485E74"/>
    <w:rsid w:val="00485E9D"/>
    <w:rsid w:val="00485EC0"/>
    <w:rsid w:val="00485F0B"/>
    <w:rsid w:val="00485F92"/>
    <w:rsid w:val="00485FD4"/>
    <w:rsid w:val="004860C2"/>
    <w:rsid w:val="00486298"/>
    <w:rsid w:val="0048632D"/>
    <w:rsid w:val="00486374"/>
    <w:rsid w:val="004863B1"/>
    <w:rsid w:val="004863D0"/>
    <w:rsid w:val="00486431"/>
    <w:rsid w:val="004864D6"/>
    <w:rsid w:val="004865FB"/>
    <w:rsid w:val="00486743"/>
    <w:rsid w:val="00486919"/>
    <w:rsid w:val="00486B26"/>
    <w:rsid w:val="00486C86"/>
    <w:rsid w:val="00486D69"/>
    <w:rsid w:val="00486E89"/>
    <w:rsid w:val="00486EBB"/>
    <w:rsid w:val="00486EF1"/>
    <w:rsid w:val="00486FB9"/>
    <w:rsid w:val="00486FFB"/>
    <w:rsid w:val="00487029"/>
    <w:rsid w:val="00487078"/>
    <w:rsid w:val="0048719F"/>
    <w:rsid w:val="004871FC"/>
    <w:rsid w:val="00487282"/>
    <w:rsid w:val="004873F5"/>
    <w:rsid w:val="00487482"/>
    <w:rsid w:val="004874B1"/>
    <w:rsid w:val="004874DB"/>
    <w:rsid w:val="004874F7"/>
    <w:rsid w:val="0048754A"/>
    <w:rsid w:val="004875E1"/>
    <w:rsid w:val="0048768B"/>
    <w:rsid w:val="004876A6"/>
    <w:rsid w:val="004876B1"/>
    <w:rsid w:val="0048771C"/>
    <w:rsid w:val="00487788"/>
    <w:rsid w:val="0048787F"/>
    <w:rsid w:val="0048799B"/>
    <w:rsid w:val="00487A27"/>
    <w:rsid w:val="00487A3A"/>
    <w:rsid w:val="00487A72"/>
    <w:rsid w:val="00487ABA"/>
    <w:rsid w:val="00487ACD"/>
    <w:rsid w:val="00487B37"/>
    <w:rsid w:val="00487BB8"/>
    <w:rsid w:val="00487C17"/>
    <w:rsid w:val="00487C8E"/>
    <w:rsid w:val="00487D59"/>
    <w:rsid w:val="00487DE6"/>
    <w:rsid w:val="00487E2E"/>
    <w:rsid w:val="00487E50"/>
    <w:rsid w:val="00487F0D"/>
    <w:rsid w:val="00487F86"/>
    <w:rsid w:val="00487FB7"/>
    <w:rsid w:val="004900A5"/>
    <w:rsid w:val="004901A9"/>
    <w:rsid w:val="0049021B"/>
    <w:rsid w:val="004902C4"/>
    <w:rsid w:val="00490336"/>
    <w:rsid w:val="00490350"/>
    <w:rsid w:val="00490371"/>
    <w:rsid w:val="00490396"/>
    <w:rsid w:val="0049039A"/>
    <w:rsid w:val="004903A8"/>
    <w:rsid w:val="004903EA"/>
    <w:rsid w:val="00490442"/>
    <w:rsid w:val="0049045E"/>
    <w:rsid w:val="0049057D"/>
    <w:rsid w:val="00490636"/>
    <w:rsid w:val="0049063F"/>
    <w:rsid w:val="00490818"/>
    <w:rsid w:val="00490865"/>
    <w:rsid w:val="00490985"/>
    <w:rsid w:val="00490B1A"/>
    <w:rsid w:val="00490CD8"/>
    <w:rsid w:val="00490D65"/>
    <w:rsid w:val="00490E00"/>
    <w:rsid w:val="00490F6B"/>
    <w:rsid w:val="00490F96"/>
    <w:rsid w:val="00490FA8"/>
    <w:rsid w:val="00490FF0"/>
    <w:rsid w:val="0049106C"/>
    <w:rsid w:val="0049107A"/>
    <w:rsid w:val="004910FE"/>
    <w:rsid w:val="00491198"/>
    <w:rsid w:val="004911B0"/>
    <w:rsid w:val="0049122B"/>
    <w:rsid w:val="00491280"/>
    <w:rsid w:val="004912A5"/>
    <w:rsid w:val="004912B5"/>
    <w:rsid w:val="00491308"/>
    <w:rsid w:val="004913CF"/>
    <w:rsid w:val="0049140B"/>
    <w:rsid w:val="0049149F"/>
    <w:rsid w:val="004914E6"/>
    <w:rsid w:val="00491531"/>
    <w:rsid w:val="00491603"/>
    <w:rsid w:val="00491627"/>
    <w:rsid w:val="004917DA"/>
    <w:rsid w:val="004917E0"/>
    <w:rsid w:val="00491810"/>
    <w:rsid w:val="00491894"/>
    <w:rsid w:val="004918CA"/>
    <w:rsid w:val="00491968"/>
    <w:rsid w:val="00491979"/>
    <w:rsid w:val="00491A02"/>
    <w:rsid w:val="00491A1E"/>
    <w:rsid w:val="00491B5B"/>
    <w:rsid w:val="00491BF2"/>
    <w:rsid w:val="00491BF6"/>
    <w:rsid w:val="00491C7E"/>
    <w:rsid w:val="00491D95"/>
    <w:rsid w:val="00491EE0"/>
    <w:rsid w:val="00491F26"/>
    <w:rsid w:val="00491F4F"/>
    <w:rsid w:val="00491F59"/>
    <w:rsid w:val="00491FB2"/>
    <w:rsid w:val="00491FC0"/>
    <w:rsid w:val="00491FED"/>
    <w:rsid w:val="0049205E"/>
    <w:rsid w:val="004920A0"/>
    <w:rsid w:val="004920D1"/>
    <w:rsid w:val="0049214E"/>
    <w:rsid w:val="004921AF"/>
    <w:rsid w:val="004921F9"/>
    <w:rsid w:val="00492213"/>
    <w:rsid w:val="00492275"/>
    <w:rsid w:val="004923A6"/>
    <w:rsid w:val="004923E5"/>
    <w:rsid w:val="0049243E"/>
    <w:rsid w:val="00492441"/>
    <w:rsid w:val="00492460"/>
    <w:rsid w:val="00492467"/>
    <w:rsid w:val="004924C3"/>
    <w:rsid w:val="004924F4"/>
    <w:rsid w:val="00492519"/>
    <w:rsid w:val="00492564"/>
    <w:rsid w:val="00492628"/>
    <w:rsid w:val="004926EB"/>
    <w:rsid w:val="00492827"/>
    <w:rsid w:val="0049288B"/>
    <w:rsid w:val="00492A7E"/>
    <w:rsid w:val="00492AE4"/>
    <w:rsid w:val="00492B4A"/>
    <w:rsid w:val="00492B5B"/>
    <w:rsid w:val="00492B6C"/>
    <w:rsid w:val="00492B7E"/>
    <w:rsid w:val="00492CE1"/>
    <w:rsid w:val="00492E02"/>
    <w:rsid w:val="00492E19"/>
    <w:rsid w:val="00492EC2"/>
    <w:rsid w:val="00492F82"/>
    <w:rsid w:val="0049306A"/>
    <w:rsid w:val="004930A6"/>
    <w:rsid w:val="004930BB"/>
    <w:rsid w:val="004931B2"/>
    <w:rsid w:val="004931D2"/>
    <w:rsid w:val="00493217"/>
    <w:rsid w:val="0049330A"/>
    <w:rsid w:val="004933D0"/>
    <w:rsid w:val="00493423"/>
    <w:rsid w:val="00493444"/>
    <w:rsid w:val="00493484"/>
    <w:rsid w:val="0049349E"/>
    <w:rsid w:val="004934BD"/>
    <w:rsid w:val="004934C8"/>
    <w:rsid w:val="0049351B"/>
    <w:rsid w:val="004935EC"/>
    <w:rsid w:val="00493602"/>
    <w:rsid w:val="00493743"/>
    <w:rsid w:val="004937A2"/>
    <w:rsid w:val="00493804"/>
    <w:rsid w:val="00493888"/>
    <w:rsid w:val="00493972"/>
    <w:rsid w:val="00493996"/>
    <w:rsid w:val="00493B3B"/>
    <w:rsid w:val="00493B66"/>
    <w:rsid w:val="00493BD3"/>
    <w:rsid w:val="00493BE1"/>
    <w:rsid w:val="00493C36"/>
    <w:rsid w:val="00493CB6"/>
    <w:rsid w:val="00493CBF"/>
    <w:rsid w:val="00493D84"/>
    <w:rsid w:val="00493E2B"/>
    <w:rsid w:val="00493E51"/>
    <w:rsid w:val="00493ECF"/>
    <w:rsid w:val="00493F83"/>
    <w:rsid w:val="00493FE4"/>
    <w:rsid w:val="0049406F"/>
    <w:rsid w:val="0049418C"/>
    <w:rsid w:val="004941AE"/>
    <w:rsid w:val="00494241"/>
    <w:rsid w:val="004942DF"/>
    <w:rsid w:val="004943C2"/>
    <w:rsid w:val="004943E2"/>
    <w:rsid w:val="0049457C"/>
    <w:rsid w:val="00494593"/>
    <w:rsid w:val="00494616"/>
    <w:rsid w:val="0049465B"/>
    <w:rsid w:val="00494670"/>
    <w:rsid w:val="0049471F"/>
    <w:rsid w:val="0049481C"/>
    <w:rsid w:val="004948C2"/>
    <w:rsid w:val="004948DB"/>
    <w:rsid w:val="00494918"/>
    <w:rsid w:val="00494A3F"/>
    <w:rsid w:val="00494A67"/>
    <w:rsid w:val="00494AAD"/>
    <w:rsid w:val="00494B04"/>
    <w:rsid w:val="00494C65"/>
    <w:rsid w:val="00494C92"/>
    <w:rsid w:val="00494CE7"/>
    <w:rsid w:val="00494D74"/>
    <w:rsid w:val="00494D7A"/>
    <w:rsid w:val="00494D8D"/>
    <w:rsid w:val="00494DCE"/>
    <w:rsid w:val="00494E75"/>
    <w:rsid w:val="00494E79"/>
    <w:rsid w:val="00494F0C"/>
    <w:rsid w:val="00494F64"/>
    <w:rsid w:val="0049504F"/>
    <w:rsid w:val="00495072"/>
    <w:rsid w:val="004950AB"/>
    <w:rsid w:val="004950F0"/>
    <w:rsid w:val="00495143"/>
    <w:rsid w:val="00495159"/>
    <w:rsid w:val="00495186"/>
    <w:rsid w:val="00495188"/>
    <w:rsid w:val="004951D6"/>
    <w:rsid w:val="00495280"/>
    <w:rsid w:val="0049530C"/>
    <w:rsid w:val="004953DA"/>
    <w:rsid w:val="0049548C"/>
    <w:rsid w:val="004954CF"/>
    <w:rsid w:val="00495515"/>
    <w:rsid w:val="00495537"/>
    <w:rsid w:val="00495557"/>
    <w:rsid w:val="004955CA"/>
    <w:rsid w:val="00495747"/>
    <w:rsid w:val="0049576D"/>
    <w:rsid w:val="0049578D"/>
    <w:rsid w:val="00495821"/>
    <w:rsid w:val="00495827"/>
    <w:rsid w:val="00495936"/>
    <w:rsid w:val="00495953"/>
    <w:rsid w:val="004959E9"/>
    <w:rsid w:val="00495B07"/>
    <w:rsid w:val="00495B2D"/>
    <w:rsid w:val="00495B74"/>
    <w:rsid w:val="00495BC8"/>
    <w:rsid w:val="00495BEB"/>
    <w:rsid w:val="00495D39"/>
    <w:rsid w:val="00495D84"/>
    <w:rsid w:val="00495E1F"/>
    <w:rsid w:val="00495E51"/>
    <w:rsid w:val="00495F73"/>
    <w:rsid w:val="00495FF3"/>
    <w:rsid w:val="004960C4"/>
    <w:rsid w:val="0049618D"/>
    <w:rsid w:val="004961FD"/>
    <w:rsid w:val="00496252"/>
    <w:rsid w:val="0049629C"/>
    <w:rsid w:val="004962C5"/>
    <w:rsid w:val="004962DC"/>
    <w:rsid w:val="004963E8"/>
    <w:rsid w:val="0049647F"/>
    <w:rsid w:val="0049653C"/>
    <w:rsid w:val="004965EF"/>
    <w:rsid w:val="0049660C"/>
    <w:rsid w:val="00496680"/>
    <w:rsid w:val="004966C0"/>
    <w:rsid w:val="00496711"/>
    <w:rsid w:val="00496767"/>
    <w:rsid w:val="004968ED"/>
    <w:rsid w:val="004969EC"/>
    <w:rsid w:val="004969FB"/>
    <w:rsid w:val="00496A49"/>
    <w:rsid w:val="00496A5F"/>
    <w:rsid w:val="00496A9A"/>
    <w:rsid w:val="00496AC8"/>
    <w:rsid w:val="00496AE9"/>
    <w:rsid w:val="00496B5D"/>
    <w:rsid w:val="00496B95"/>
    <w:rsid w:val="00496BB6"/>
    <w:rsid w:val="00496C50"/>
    <w:rsid w:val="00496E3D"/>
    <w:rsid w:val="00496F18"/>
    <w:rsid w:val="0049718C"/>
    <w:rsid w:val="0049718E"/>
    <w:rsid w:val="0049719D"/>
    <w:rsid w:val="00497250"/>
    <w:rsid w:val="00497261"/>
    <w:rsid w:val="00497453"/>
    <w:rsid w:val="004974E5"/>
    <w:rsid w:val="004977EA"/>
    <w:rsid w:val="00497849"/>
    <w:rsid w:val="004978BB"/>
    <w:rsid w:val="00497B0E"/>
    <w:rsid w:val="00497C3B"/>
    <w:rsid w:val="00497CA0"/>
    <w:rsid w:val="00497CF7"/>
    <w:rsid w:val="00497D23"/>
    <w:rsid w:val="00497DBB"/>
    <w:rsid w:val="00497DDF"/>
    <w:rsid w:val="00497E63"/>
    <w:rsid w:val="00497FCD"/>
    <w:rsid w:val="004A0037"/>
    <w:rsid w:val="004A003E"/>
    <w:rsid w:val="004A00A6"/>
    <w:rsid w:val="004A017C"/>
    <w:rsid w:val="004A0199"/>
    <w:rsid w:val="004A02A4"/>
    <w:rsid w:val="004A02B7"/>
    <w:rsid w:val="004A02CA"/>
    <w:rsid w:val="004A02D2"/>
    <w:rsid w:val="004A036F"/>
    <w:rsid w:val="004A03BA"/>
    <w:rsid w:val="004A0426"/>
    <w:rsid w:val="004A0437"/>
    <w:rsid w:val="004A048C"/>
    <w:rsid w:val="004A04E2"/>
    <w:rsid w:val="004A053A"/>
    <w:rsid w:val="004A05B9"/>
    <w:rsid w:val="004A05C9"/>
    <w:rsid w:val="004A0601"/>
    <w:rsid w:val="004A076D"/>
    <w:rsid w:val="004A07C0"/>
    <w:rsid w:val="004A0813"/>
    <w:rsid w:val="004A0842"/>
    <w:rsid w:val="004A086C"/>
    <w:rsid w:val="004A08C5"/>
    <w:rsid w:val="004A095B"/>
    <w:rsid w:val="004A09B9"/>
    <w:rsid w:val="004A0B1C"/>
    <w:rsid w:val="004A0D1E"/>
    <w:rsid w:val="004A0E66"/>
    <w:rsid w:val="004A0ED4"/>
    <w:rsid w:val="004A0EEC"/>
    <w:rsid w:val="004A0F71"/>
    <w:rsid w:val="004A10D4"/>
    <w:rsid w:val="004A1130"/>
    <w:rsid w:val="004A1187"/>
    <w:rsid w:val="004A120E"/>
    <w:rsid w:val="004A1262"/>
    <w:rsid w:val="004A12A6"/>
    <w:rsid w:val="004A12D0"/>
    <w:rsid w:val="004A130F"/>
    <w:rsid w:val="004A1360"/>
    <w:rsid w:val="004A13A4"/>
    <w:rsid w:val="004A140F"/>
    <w:rsid w:val="004A1465"/>
    <w:rsid w:val="004A15BC"/>
    <w:rsid w:val="004A15E5"/>
    <w:rsid w:val="004A1638"/>
    <w:rsid w:val="004A17EF"/>
    <w:rsid w:val="004A18AA"/>
    <w:rsid w:val="004A1962"/>
    <w:rsid w:val="004A19B3"/>
    <w:rsid w:val="004A1AB7"/>
    <w:rsid w:val="004A1B51"/>
    <w:rsid w:val="004A1B8A"/>
    <w:rsid w:val="004A1BB1"/>
    <w:rsid w:val="004A1BDA"/>
    <w:rsid w:val="004A1C21"/>
    <w:rsid w:val="004A1CAD"/>
    <w:rsid w:val="004A1E99"/>
    <w:rsid w:val="004A1F00"/>
    <w:rsid w:val="004A1FBA"/>
    <w:rsid w:val="004A2070"/>
    <w:rsid w:val="004A20A8"/>
    <w:rsid w:val="004A218A"/>
    <w:rsid w:val="004A22DA"/>
    <w:rsid w:val="004A2317"/>
    <w:rsid w:val="004A23FC"/>
    <w:rsid w:val="004A252C"/>
    <w:rsid w:val="004A2558"/>
    <w:rsid w:val="004A2646"/>
    <w:rsid w:val="004A2700"/>
    <w:rsid w:val="004A28D9"/>
    <w:rsid w:val="004A2962"/>
    <w:rsid w:val="004A297D"/>
    <w:rsid w:val="004A2A53"/>
    <w:rsid w:val="004A2B12"/>
    <w:rsid w:val="004A2B1D"/>
    <w:rsid w:val="004A2DBC"/>
    <w:rsid w:val="004A2E50"/>
    <w:rsid w:val="004A2EA0"/>
    <w:rsid w:val="004A2F1F"/>
    <w:rsid w:val="004A3009"/>
    <w:rsid w:val="004A300F"/>
    <w:rsid w:val="004A301B"/>
    <w:rsid w:val="004A3037"/>
    <w:rsid w:val="004A3081"/>
    <w:rsid w:val="004A30AC"/>
    <w:rsid w:val="004A30D9"/>
    <w:rsid w:val="004A31C4"/>
    <w:rsid w:val="004A33A1"/>
    <w:rsid w:val="004A33BE"/>
    <w:rsid w:val="004A341C"/>
    <w:rsid w:val="004A34CE"/>
    <w:rsid w:val="004A34EF"/>
    <w:rsid w:val="004A3514"/>
    <w:rsid w:val="004A35A8"/>
    <w:rsid w:val="004A35CF"/>
    <w:rsid w:val="004A35E9"/>
    <w:rsid w:val="004A35F6"/>
    <w:rsid w:val="004A36C8"/>
    <w:rsid w:val="004A36FC"/>
    <w:rsid w:val="004A3705"/>
    <w:rsid w:val="004A3721"/>
    <w:rsid w:val="004A372B"/>
    <w:rsid w:val="004A3742"/>
    <w:rsid w:val="004A37AD"/>
    <w:rsid w:val="004A37B8"/>
    <w:rsid w:val="004A382D"/>
    <w:rsid w:val="004A38A5"/>
    <w:rsid w:val="004A393C"/>
    <w:rsid w:val="004A3985"/>
    <w:rsid w:val="004A3AB8"/>
    <w:rsid w:val="004A3B6A"/>
    <w:rsid w:val="004A3B9C"/>
    <w:rsid w:val="004A3BAB"/>
    <w:rsid w:val="004A3BB3"/>
    <w:rsid w:val="004A3C37"/>
    <w:rsid w:val="004A3D2A"/>
    <w:rsid w:val="004A3E13"/>
    <w:rsid w:val="004A3E33"/>
    <w:rsid w:val="004A3E34"/>
    <w:rsid w:val="004A3EC0"/>
    <w:rsid w:val="004A3ED3"/>
    <w:rsid w:val="004A3FAA"/>
    <w:rsid w:val="004A4024"/>
    <w:rsid w:val="004A4051"/>
    <w:rsid w:val="004A4077"/>
    <w:rsid w:val="004A40D2"/>
    <w:rsid w:val="004A4134"/>
    <w:rsid w:val="004A427B"/>
    <w:rsid w:val="004A4354"/>
    <w:rsid w:val="004A43E8"/>
    <w:rsid w:val="004A44B8"/>
    <w:rsid w:val="004A44FA"/>
    <w:rsid w:val="004A455D"/>
    <w:rsid w:val="004A45F2"/>
    <w:rsid w:val="004A46B9"/>
    <w:rsid w:val="004A474F"/>
    <w:rsid w:val="004A47BC"/>
    <w:rsid w:val="004A4893"/>
    <w:rsid w:val="004A48A2"/>
    <w:rsid w:val="004A48DD"/>
    <w:rsid w:val="004A493F"/>
    <w:rsid w:val="004A49A6"/>
    <w:rsid w:val="004A4A72"/>
    <w:rsid w:val="004A4ABB"/>
    <w:rsid w:val="004A4AC6"/>
    <w:rsid w:val="004A4AD2"/>
    <w:rsid w:val="004A4BC0"/>
    <w:rsid w:val="004A4CEA"/>
    <w:rsid w:val="004A4E1D"/>
    <w:rsid w:val="004A4E71"/>
    <w:rsid w:val="004A4E86"/>
    <w:rsid w:val="004A4EBF"/>
    <w:rsid w:val="004A4EE3"/>
    <w:rsid w:val="004A4F29"/>
    <w:rsid w:val="004A4F6E"/>
    <w:rsid w:val="004A4FC5"/>
    <w:rsid w:val="004A5104"/>
    <w:rsid w:val="004A5181"/>
    <w:rsid w:val="004A532A"/>
    <w:rsid w:val="004A53C5"/>
    <w:rsid w:val="004A5450"/>
    <w:rsid w:val="004A54C8"/>
    <w:rsid w:val="004A54EE"/>
    <w:rsid w:val="004A5544"/>
    <w:rsid w:val="004A554E"/>
    <w:rsid w:val="004A5736"/>
    <w:rsid w:val="004A5789"/>
    <w:rsid w:val="004A57F2"/>
    <w:rsid w:val="004A59EC"/>
    <w:rsid w:val="004A5ACC"/>
    <w:rsid w:val="004A5B60"/>
    <w:rsid w:val="004A5C90"/>
    <w:rsid w:val="004A5CBD"/>
    <w:rsid w:val="004A5D2B"/>
    <w:rsid w:val="004A5D46"/>
    <w:rsid w:val="004A5EBB"/>
    <w:rsid w:val="004A5F3E"/>
    <w:rsid w:val="004A5FBA"/>
    <w:rsid w:val="004A5FBC"/>
    <w:rsid w:val="004A60B7"/>
    <w:rsid w:val="004A60D4"/>
    <w:rsid w:val="004A61C2"/>
    <w:rsid w:val="004A6206"/>
    <w:rsid w:val="004A6243"/>
    <w:rsid w:val="004A63C4"/>
    <w:rsid w:val="004A6451"/>
    <w:rsid w:val="004A64C6"/>
    <w:rsid w:val="004A64FE"/>
    <w:rsid w:val="004A6579"/>
    <w:rsid w:val="004A66CD"/>
    <w:rsid w:val="004A67BA"/>
    <w:rsid w:val="004A69FB"/>
    <w:rsid w:val="004A6A68"/>
    <w:rsid w:val="004A6A90"/>
    <w:rsid w:val="004A6B1C"/>
    <w:rsid w:val="004A6C38"/>
    <w:rsid w:val="004A6C5D"/>
    <w:rsid w:val="004A6C96"/>
    <w:rsid w:val="004A6C98"/>
    <w:rsid w:val="004A6D4B"/>
    <w:rsid w:val="004A6D50"/>
    <w:rsid w:val="004A6DB5"/>
    <w:rsid w:val="004A6E0A"/>
    <w:rsid w:val="004A6E2F"/>
    <w:rsid w:val="004A6F89"/>
    <w:rsid w:val="004A6F9C"/>
    <w:rsid w:val="004A6FB0"/>
    <w:rsid w:val="004A705B"/>
    <w:rsid w:val="004A7086"/>
    <w:rsid w:val="004A713E"/>
    <w:rsid w:val="004A7262"/>
    <w:rsid w:val="004A734B"/>
    <w:rsid w:val="004A7515"/>
    <w:rsid w:val="004A7586"/>
    <w:rsid w:val="004A767B"/>
    <w:rsid w:val="004A7684"/>
    <w:rsid w:val="004A768A"/>
    <w:rsid w:val="004A7710"/>
    <w:rsid w:val="004A7711"/>
    <w:rsid w:val="004A774F"/>
    <w:rsid w:val="004A7772"/>
    <w:rsid w:val="004A7779"/>
    <w:rsid w:val="004A7815"/>
    <w:rsid w:val="004A7864"/>
    <w:rsid w:val="004A78C6"/>
    <w:rsid w:val="004A794C"/>
    <w:rsid w:val="004A7965"/>
    <w:rsid w:val="004A79E8"/>
    <w:rsid w:val="004A7BC2"/>
    <w:rsid w:val="004A7BD3"/>
    <w:rsid w:val="004A7BE5"/>
    <w:rsid w:val="004A7C18"/>
    <w:rsid w:val="004A7D7F"/>
    <w:rsid w:val="004A7E18"/>
    <w:rsid w:val="004A7F05"/>
    <w:rsid w:val="004A7F23"/>
    <w:rsid w:val="004A7FCD"/>
    <w:rsid w:val="004A7FFC"/>
    <w:rsid w:val="004B001B"/>
    <w:rsid w:val="004B001C"/>
    <w:rsid w:val="004B0097"/>
    <w:rsid w:val="004B00B2"/>
    <w:rsid w:val="004B00C2"/>
    <w:rsid w:val="004B00D5"/>
    <w:rsid w:val="004B0178"/>
    <w:rsid w:val="004B018C"/>
    <w:rsid w:val="004B0278"/>
    <w:rsid w:val="004B0279"/>
    <w:rsid w:val="004B0295"/>
    <w:rsid w:val="004B03AD"/>
    <w:rsid w:val="004B03D8"/>
    <w:rsid w:val="004B04CA"/>
    <w:rsid w:val="004B0523"/>
    <w:rsid w:val="004B0533"/>
    <w:rsid w:val="004B057F"/>
    <w:rsid w:val="004B05A0"/>
    <w:rsid w:val="004B0621"/>
    <w:rsid w:val="004B0663"/>
    <w:rsid w:val="004B0732"/>
    <w:rsid w:val="004B0740"/>
    <w:rsid w:val="004B078E"/>
    <w:rsid w:val="004B0825"/>
    <w:rsid w:val="004B082A"/>
    <w:rsid w:val="004B0937"/>
    <w:rsid w:val="004B096F"/>
    <w:rsid w:val="004B0A9C"/>
    <w:rsid w:val="004B0ADF"/>
    <w:rsid w:val="004B0B3F"/>
    <w:rsid w:val="004B0B5D"/>
    <w:rsid w:val="004B0CB0"/>
    <w:rsid w:val="004B0CED"/>
    <w:rsid w:val="004B0D27"/>
    <w:rsid w:val="004B0D82"/>
    <w:rsid w:val="004B0DBA"/>
    <w:rsid w:val="004B0E37"/>
    <w:rsid w:val="004B0E3D"/>
    <w:rsid w:val="004B0EF9"/>
    <w:rsid w:val="004B0F4B"/>
    <w:rsid w:val="004B1199"/>
    <w:rsid w:val="004B11B9"/>
    <w:rsid w:val="004B1224"/>
    <w:rsid w:val="004B12B0"/>
    <w:rsid w:val="004B1302"/>
    <w:rsid w:val="004B1372"/>
    <w:rsid w:val="004B13BF"/>
    <w:rsid w:val="004B13D4"/>
    <w:rsid w:val="004B142B"/>
    <w:rsid w:val="004B149E"/>
    <w:rsid w:val="004B14C6"/>
    <w:rsid w:val="004B1536"/>
    <w:rsid w:val="004B160C"/>
    <w:rsid w:val="004B1653"/>
    <w:rsid w:val="004B1674"/>
    <w:rsid w:val="004B16C4"/>
    <w:rsid w:val="004B16D6"/>
    <w:rsid w:val="004B1738"/>
    <w:rsid w:val="004B17A5"/>
    <w:rsid w:val="004B17B1"/>
    <w:rsid w:val="004B181F"/>
    <w:rsid w:val="004B1867"/>
    <w:rsid w:val="004B18CA"/>
    <w:rsid w:val="004B191D"/>
    <w:rsid w:val="004B1A12"/>
    <w:rsid w:val="004B1A1E"/>
    <w:rsid w:val="004B1B3D"/>
    <w:rsid w:val="004B1B85"/>
    <w:rsid w:val="004B1C0E"/>
    <w:rsid w:val="004B1C46"/>
    <w:rsid w:val="004B1C86"/>
    <w:rsid w:val="004B1DD9"/>
    <w:rsid w:val="004B1DE1"/>
    <w:rsid w:val="004B1E26"/>
    <w:rsid w:val="004B1E86"/>
    <w:rsid w:val="004B1ED5"/>
    <w:rsid w:val="004B1F04"/>
    <w:rsid w:val="004B1F17"/>
    <w:rsid w:val="004B1FB0"/>
    <w:rsid w:val="004B210E"/>
    <w:rsid w:val="004B2115"/>
    <w:rsid w:val="004B2122"/>
    <w:rsid w:val="004B2183"/>
    <w:rsid w:val="004B2203"/>
    <w:rsid w:val="004B224B"/>
    <w:rsid w:val="004B2368"/>
    <w:rsid w:val="004B239B"/>
    <w:rsid w:val="004B2421"/>
    <w:rsid w:val="004B2428"/>
    <w:rsid w:val="004B247A"/>
    <w:rsid w:val="004B2484"/>
    <w:rsid w:val="004B25B3"/>
    <w:rsid w:val="004B261E"/>
    <w:rsid w:val="004B2634"/>
    <w:rsid w:val="004B2677"/>
    <w:rsid w:val="004B284E"/>
    <w:rsid w:val="004B286E"/>
    <w:rsid w:val="004B28A0"/>
    <w:rsid w:val="004B28F4"/>
    <w:rsid w:val="004B2975"/>
    <w:rsid w:val="004B2987"/>
    <w:rsid w:val="004B2A64"/>
    <w:rsid w:val="004B2A6F"/>
    <w:rsid w:val="004B2B03"/>
    <w:rsid w:val="004B2C53"/>
    <w:rsid w:val="004B2C76"/>
    <w:rsid w:val="004B2C9D"/>
    <w:rsid w:val="004B2CC2"/>
    <w:rsid w:val="004B2CF8"/>
    <w:rsid w:val="004B2E7C"/>
    <w:rsid w:val="004B2EA0"/>
    <w:rsid w:val="004B2FD4"/>
    <w:rsid w:val="004B30D0"/>
    <w:rsid w:val="004B31A7"/>
    <w:rsid w:val="004B32BB"/>
    <w:rsid w:val="004B32D3"/>
    <w:rsid w:val="004B3312"/>
    <w:rsid w:val="004B3458"/>
    <w:rsid w:val="004B34EA"/>
    <w:rsid w:val="004B34F8"/>
    <w:rsid w:val="004B3597"/>
    <w:rsid w:val="004B359B"/>
    <w:rsid w:val="004B35BD"/>
    <w:rsid w:val="004B369A"/>
    <w:rsid w:val="004B3881"/>
    <w:rsid w:val="004B3955"/>
    <w:rsid w:val="004B3AAF"/>
    <w:rsid w:val="004B3BFB"/>
    <w:rsid w:val="004B3C39"/>
    <w:rsid w:val="004B3C6D"/>
    <w:rsid w:val="004B3CC4"/>
    <w:rsid w:val="004B3CDC"/>
    <w:rsid w:val="004B3D57"/>
    <w:rsid w:val="004B3E2D"/>
    <w:rsid w:val="004B3E91"/>
    <w:rsid w:val="004B3EC5"/>
    <w:rsid w:val="004B4081"/>
    <w:rsid w:val="004B413C"/>
    <w:rsid w:val="004B41AA"/>
    <w:rsid w:val="004B41DA"/>
    <w:rsid w:val="004B425B"/>
    <w:rsid w:val="004B42D7"/>
    <w:rsid w:val="004B43AE"/>
    <w:rsid w:val="004B441F"/>
    <w:rsid w:val="004B4461"/>
    <w:rsid w:val="004B449B"/>
    <w:rsid w:val="004B44BB"/>
    <w:rsid w:val="004B457B"/>
    <w:rsid w:val="004B4590"/>
    <w:rsid w:val="004B4598"/>
    <w:rsid w:val="004B4601"/>
    <w:rsid w:val="004B460C"/>
    <w:rsid w:val="004B463A"/>
    <w:rsid w:val="004B4656"/>
    <w:rsid w:val="004B4658"/>
    <w:rsid w:val="004B46FC"/>
    <w:rsid w:val="004B470D"/>
    <w:rsid w:val="004B4764"/>
    <w:rsid w:val="004B476A"/>
    <w:rsid w:val="004B4818"/>
    <w:rsid w:val="004B4846"/>
    <w:rsid w:val="004B48BB"/>
    <w:rsid w:val="004B49B6"/>
    <w:rsid w:val="004B49EE"/>
    <w:rsid w:val="004B4ADD"/>
    <w:rsid w:val="004B4B3B"/>
    <w:rsid w:val="004B4C37"/>
    <w:rsid w:val="004B4CDD"/>
    <w:rsid w:val="004B4DEB"/>
    <w:rsid w:val="004B4DFA"/>
    <w:rsid w:val="004B4EDE"/>
    <w:rsid w:val="004B4F5B"/>
    <w:rsid w:val="004B5057"/>
    <w:rsid w:val="004B5062"/>
    <w:rsid w:val="004B5163"/>
    <w:rsid w:val="004B51A8"/>
    <w:rsid w:val="004B5272"/>
    <w:rsid w:val="004B52D2"/>
    <w:rsid w:val="004B52FA"/>
    <w:rsid w:val="004B530E"/>
    <w:rsid w:val="004B5375"/>
    <w:rsid w:val="004B5394"/>
    <w:rsid w:val="004B53AA"/>
    <w:rsid w:val="004B53D7"/>
    <w:rsid w:val="004B5433"/>
    <w:rsid w:val="004B5564"/>
    <w:rsid w:val="004B55D6"/>
    <w:rsid w:val="004B560C"/>
    <w:rsid w:val="004B56C7"/>
    <w:rsid w:val="004B57E8"/>
    <w:rsid w:val="004B580C"/>
    <w:rsid w:val="004B5901"/>
    <w:rsid w:val="004B5974"/>
    <w:rsid w:val="004B5ACB"/>
    <w:rsid w:val="004B5B4D"/>
    <w:rsid w:val="004B5B9E"/>
    <w:rsid w:val="004B5BC5"/>
    <w:rsid w:val="004B5BDD"/>
    <w:rsid w:val="004B5CAB"/>
    <w:rsid w:val="004B5D89"/>
    <w:rsid w:val="004B5DFD"/>
    <w:rsid w:val="004B5E69"/>
    <w:rsid w:val="004B5F04"/>
    <w:rsid w:val="004B5F47"/>
    <w:rsid w:val="004B6088"/>
    <w:rsid w:val="004B60C9"/>
    <w:rsid w:val="004B621E"/>
    <w:rsid w:val="004B6287"/>
    <w:rsid w:val="004B635C"/>
    <w:rsid w:val="004B6399"/>
    <w:rsid w:val="004B6463"/>
    <w:rsid w:val="004B6474"/>
    <w:rsid w:val="004B6489"/>
    <w:rsid w:val="004B64C2"/>
    <w:rsid w:val="004B65C3"/>
    <w:rsid w:val="004B660A"/>
    <w:rsid w:val="004B6731"/>
    <w:rsid w:val="004B674F"/>
    <w:rsid w:val="004B6995"/>
    <w:rsid w:val="004B6A51"/>
    <w:rsid w:val="004B6AD2"/>
    <w:rsid w:val="004B6AF7"/>
    <w:rsid w:val="004B6C1F"/>
    <w:rsid w:val="004B6C72"/>
    <w:rsid w:val="004B6C97"/>
    <w:rsid w:val="004B6DDF"/>
    <w:rsid w:val="004B6E9E"/>
    <w:rsid w:val="004B6EB4"/>
    <w:rsid w:val="004B6F83"/>
    <w:rsid w:val="004B6FA6"/>
    <w:rsid w:val="004B70B2"/>
    <w:rsid w:val="004B71C7"/>
    <w:rsid w:val="004B7263"/>
    <w:rsid w:val="004B72B2"/>
    <w:rsid w:val="004B7406"/>
    <w:rsid w:val="004B7493"/>
    <w:rsid w:val="004B75B1"/>
    <w:rsid w:val="004B75D8"/>
    <w:rsid w:val="004B7615"/>
    <w:rsid w:val="004B7665"/>
    <w:rsid w:val="004B768E"/>
    <w:rsid w:val="004B773F"/>
    <w:rsid w:val="004B777E"/>
    <w:rsid w:val="004B7832"/>
    <w:rsid w:val="004B78D2"/>
    <w:rsid w:val="004B78F3"/>
    <w:rsid w:val="004B7927"/>
    <w:rsid w:val="004B792B"/>
    <w:rsid w:val="004B79CB"/>
    <w:rsid w:val="004B7B3E"/>
    <w:rsid w:val="004B7C29"/>
    <w:rsid w:val="004B7C99"/>
    <w:rsid w:val="004B7CB5"/>
    <w:rsid w:val="004B7CC1"/>
    <w:rsid w:val="004B7CD9"/>
    <w:rsid w:val="004B7E41"/>
    <w:rsid w:val="004B7F14"/>
    <w:rsid w:val="004B7F30"/>
    <w:rsid w:val="004C01C3"/>
    <w:rsid w:val="004C01F8"/>
    <w:rsid w:val="004C03D2"/>
    <w:rsid w:val="004C03D3"/>
    <w:rsid w:val="004C04CF"/>
    <w:rsid w:val="004C067B"/>
    <w:rsid w:val="004C068F"/>
    <w:rsid w:val="004C06E5"/>
    <w:rsid w:val="004C0781"/>
    <w:rsid w:val="004C07C0"/>
    <w:rsid w:val="004C07D4"/>
    <w:rsid w:val="004C07E8"/>
    <w:rsid w:val="004C0B8C"/>
    <w:rsid w:val="004C0BC0"/>
    <w:rsid w:val="004C0BD8"/>
    <w:rsid w:val="004C0C98"/>
    <w:rsid w:val="004C0CE3"/>
    <w:rsid w:val="004C0D0F"/>
    <w:rsid w:val="004C0D2D"/>
    <w:rsid w:val="004C0ECF"/>
    <w:rsid w:val="004C0ED4"/>
    <w:rsid w:val="004C0EEF"/>
    <w:rsid w:val="004C0F4D"/>
    <w:rsid w:val="004C0F91"/>
    <w:rsid w:val="004C0FCD"/>
    <w:rsid w:val="004C1187"/>
    <w:rsid w:val="004C119D"/>
    <w:rsid w:val="004C1289"/>
    <w:rsid w:val="004C12E5"/>
    <w:rsid w:val="004C1399"/>
    <w:rsid w:val="004C1421"/>
    <w:rsid w:val="004C143D"/>
    <w:rsid w:val="004C145C"/>
    <w:rsid w:val="004C145F"/>
    <w:rsid w:val="004C14A3"/>
    <w:rsid w:val="004C1550"/>
    <w:rsid w:val="004C156B"/>
    <w:rsid w:val="004C157B"/>
    <w:rsid w:val="004C15AA"/>
    <w:rsid w:val="004C15DF"/>
    <w:rsid w:val="004C16A5"/>
    <w:rsid w:val="004C1711"/>
    <w:rsid w:val="004C17A1"/>
    <w:rsid w:val="004C18BD"/>
    <w:rsid w:val="004C18DF"/>
    <w:rsid w:val="004C197C"/>
    <w:rsid w:val="004C19D2"/>
    <w:rsid w:val="004C19DF"/>
    <w:rsid w:val="004C19F0"/>
    <w:rsid w:val="004C1B7B"/>
    <w:rsid w:val="004C1B7D"/>
    <w:rsid w:val="004C1BFE"/>
    <w:rsid w:val="004C1CC9"/>
    <w:rsid w:val="004C1DD6"/>
    <w:rsid w:val="004C1E3C"/>
    <w:rsid w:val="004C1E8A"/>
    <w:rsid w:val="004C1F3B"/>
    <w:rsid w:val="004C1FED"/>
    <w:rsid w:val="004C20E0"/>
    <w:rsid w:val="004C20FC"/>
    <w:rsid w:val="004C212B"/>
    <w:rsid w:val="004C2241"/>
    <w:rsid w:val="004C2242"/>
    <w:rsid w:val="004C22E0"/>
    <w:rsid w:val="004C2495"/>
    <w:rsid w:val="004C2579"/>
    <w:rsid w:val="004C25F0"/>
    <w:rsid w:val="004C2642"/>
    <w:rsid w:val="004C26DD"/>
    <w:rsid w:val="004C2705"/>
    <w:rsid w:val="004C280F"/>
    <w:rsid w:val="004C2813"/>
    <w:rsid w:val="004C2823"/>
    <w:rsid w:val="004C2861"/>
    <w:rsid w:val="004C2957"/>
    <w:rsid w:val="004C29DD"/>
    <w:rsid w:val="004C29DF"/>
    <w:rsid w:val="004C2AC2"/>
    <w:rsid w:val="004C2B32"/>
    <w:rsid w:val="004C2B3C"/>
    <w:rsid w:val="004C2B5D"/>
    <w:rsid w:val="004C2C5F"/>
    <w:rsid w:val="004C2C6A"/>
    <w:rsid w:val="004C2C9F"/>
    <w:rsid w:val="004C2D30"/>
    <w:rsid w:val="004C2D68"/>
    <w:rsid w:val="004C2E6E"/>
    <w:rsid w:val="004C2EC5"/>
    <w:rsid w:val="004C2F56"/>
    <w:rsid w:val="004C3136"/>
    <w:rsid w:val="004C316B"/>
    <w:rsid w:val="004C3195"/>
    <w:rsid w:val="004C31C3"/>
    <w:rsid w:val="004C3243"/>
    <w:rsid w:val="004C339D"/>
    <w:rsid w:val="004C33E8"/>
    <w:rsid w:val="004C3456"/>
    <w:rsid w:val="004C34BE"/>
    <w:rsid w:val="004C34CE"/>
    <w:rsid w:val="004C3552"/>
    <w:rsid w:val="004C35C3"/>
    <w:rsid w:val="004C375A"/>
    <w:rsid w:val="004C38AC"/>
    <w:rsid w:val="004C38B3"/>
    <w:rsid w:val="004C39CA"/>
    <w:rsid w:val="004C3A2B"/>
    <w:rsid w:val="004C3A65"/>
    <w:rsid w:val="004C3AF1"/>
    <w:rsid w:val="004C3BCC"/>
    <w:rsid w:val="004C3BED"/>
    <w:rsid w:val="004C3C1C"/>
    <w:rsid w:val="004C3C72"/>
    <w:rsid w:val="004C3CDF"/>
    <w:rsid w:val="004C3D0B"/>
    <w:rsid w:val="004C3D4F"/>
    <w:rsid w:val="004C3DCE"/>
    <w:rsid w:val="004C3DE4"/>
    <w:rsid w:val="004C3EEC"/>
    <w:rsid w:val="004C3EF0"/>
    <w:rsid w:val="004C3F35"/>
    <w:rsid w:val="004C3F46"/>
    <w:rsid w:val="004C3F72"/>
    <w:rsid w:val="004C4016"/>
    <w:rsid w:val="004C4042"/>
    <w:rsid w:val="004C40EF"/>
    <w:rsid w:val="004C415D"/>
    <w:rsid w:val="004C4295"/>
    <w:rsid w:val="004C429E"/>
    <w:rsid w:val="004C4307"/>
    <w:rsid w:val="004C4309"/>
    <w:rsid w:val="004C4333"/>
    <w:rsid w:val="004C443D"/>
    <w:rsid w:val="004C448A"/>
    <w:rsid w:val="004C46F0"/>
    <w:rsid w:val="004C48A5"/>
    <w:rsid w:val="004C49BA"/>
    <w:rsid w:val="004C49E3"/>
    <w:rsid w:val="004C4A22"/>
    <w:rsid w:val="004C4A5F"/>
    <w:rsid w:val="004C4BA5"/>
    <w:rsid w:val="004C4BAC"/>
    <w:rsid w:val="004C4C64"/>
    <w:rsid w:val="004C4C66"/>
    <w:rsid w:val="004C4C9A"/>
    <w:rsid w:val="004C4CA2"/>
    <w:rsid w:val="004C4D3A"/>
    <w:rsid w:val="004C4D9F"/>
    <w:rsid w:val="004C4E80"/>
    <w:rsid w:val="004C4E8A"/>
    <w:rsid w:val="004C4FAC"/>
    <w:rsid w:val="004C4FF1"/>
    <w:rsid w:val="004C5077"/>
    <w:rsid w:val="004C50F3"/>
    <w:rsid w:val="004C5114"/>
    <w:rsid w:val="004C514A"/>
    <w:rsid w:val="004C51A1"/>
    <w:rsid w:val="004C5259"/>
    <w:rsid w:val="004C5311"/>
    <w:rsid w:val="004C5324"/>
    <w:rsid w:val="004C5398"/>
    <w:rsid w:val="004C542D"/>
    <w:rsid w:val="004C55A7"/>
    <w:rsid w:val="004C55ED"/>
    <w:rsid w:val="004C5670"/>
    <w:rsid w:val="004C567D"/>
    <w:rsid w:val="004C5696"/>
    <w:rsid w:val="004C56B2"/>
    <w:rsid w:val="004C570B"/>
    <w:rsid w:val="004C586B"/>
    <w:rsid w:val="004C5877"/>
    <w:rsid w:val="004C5905"/>
    <w:rsid w:val="004C591A"/>
    <w:rsid w:val="004C5942"/>
    <w:rsid w:val="004C5971"/>
    <w:rsid w:val="004C59E7"/>
    <w:rsid w:val="004C5AEF"/>
    <w:rsid w:val="004C5AFD"/>
    <w:rsid w:val="004C5C4B"/>
    <w:rsid w:val="004C5C64"/>
    <w:rsid w:val="004C5D0C"/>
    <w:rsid w:val="004C5D89"/>
    <w:rsid w:val="004C5E44"/>
    <w:rsid w:val="004C5EFE"/>
    <w:rsid w:val="004C5F58"/>
    <w:rsid w:val="004C5F5D"/>
    <w:rsid w:val="004C5F71"/>
    <w:rsid w:val="004C5F79"/>
    <w:rsid w:val="004C5F87"/>
    <w:rsid w:val="004C60CE"/>
    <w:rsid w:val="004C6273"/>
    <w:rsid w:val="004C62B7"/>
    <w:rsid w:val="004C62F0"/>
    <w:rsid w:val="004C63C5"/>
    <w:rsid w:val="004C6448"/>
    <w:rsid w:val="004C6572"/>
    <w:rsid w:val="004C6591"/>
    <w:rsid w:val="004C65F3"/>
    <w:rsid w:val="004C6658"/>
    <w:rsid w:val="004C66E2"/>
    <w:rsid w:val="004C6760"/>
    <w:rsid w:val="004C67A3"/>
    <w:rsid w:val="004C68C4"/>
    <w:rsid w:val="004C697D"/>
    <w:rsid w:val="004C6994"/>
    <w:rsid w:val="004C6A28"/>
    <w:rsid w:val="004C6A65"/>
    <w:rsid w:val="004C6AD1"/>
    <w:rsid w:val="004C6B24"/>
    <w:rsid w:val="004C6B60"/>
    <w:rsid w:val="004C6C1C"/>
    <w:rsid w:val="004C6CBB"/>
    <w:rsid w:val="004C6D4F"/>
    <w:rsid w:val="004C6DAC"/>
    <w:rsid w:val="004C6E21"/>
    <w:rsid w:val="004C6E82"/>
    <w:rsid w:val="004C6F38"/>
    <w:rsid w:val="004C6F7F"/>
    <w:rsid w:val="004C703E"/>
    <w:rsid w:val="004C70C9"/>
    <w:rsid w:val="004C71FD"/>
    <w:rsid w:val="004C726D"/>
    <w:rsid w:val="004C7340"/>
    <w:rsid w:val="004C7380"/>
    <w:rsid w:val="004C7400"/>
    <w:rsid w:val="004C7422"/>
    <w:rsid w:val="004C7541"/>
    <w:rsid w:val="004C758C"/>
    <w:rsid w:val="004C7608"/>
    <w:rsid w:val="004C7734"/>
    <w:rsid w:val="004C774F"/>
    <w:rsid w:val="004C7762"/>
    <w:rsid w:val="004C7793"/>
    <w:rsid w:val="004C77B8"/>
    <w:rsid w:val="004C77BC"/>
    <w:rsid w:val="004C7908"/>
    <w:rsid w:val="004C7987"/>
    <w:rsid w:val="004C798B"/>
    <w:rsid w:val="004C7DE6"/>
    <w:rsid w:val="004C7E37"/>
    <w:rsid w:val="004D00AA"/>
    <w:rsid w:val="004D0103"/>
    <w:rsid w:val="004D0154"/>
    <w:rsid w:val="004D027F"/>
    <w:rsid w:val="004D0373"/>
    <w:rsid w:val="004D0446"/>
    <w:rsid w:val="004D0466"/>
    <w:rsid w:val="004D04E2"/>
    <w:rsid w:val="004D050E"/>
    <w:rsid w:val="004D0566"/>
    <w:rsid w:val="004D0664"/>
    <w:rsid w:val="004D0686"/>
    <w:rsid w:val="004D069E"/>
    <w:rsid w:val="004D06A6"/>
    <w:rsid w:val="004D06C2"/>
    <w:rsid w:val="004D0757"/>
    <w:rsid w:val="004D07F6"/>
    <w:rsid w:val="004D07FB"/>
    <w:rsid w:val="004D093D"/>
    <w:rsid w:val="004D0A88"/>
    <w:rsid w:val="004D0B41"/>
    <w:rsid w:val="004D0D0D"/>
    <w:rsid w:val="004D0D57"/>
    <w:rsid w:val="004D0DBC"/>
    <w:rsid w:val="004D0E8C"/>
    <w:rsid w:val="004D0EA1"/>
    <w:rsid w:val="004D0F93"/>
    <w:rsid w:val="004D0FF8"/>
    <w:rsid w:val="004D100D"/>
    <w:rsid w:val="004D1041"/>
    <w:rsid w:val="004D10BF"/>
    <w:rsid w:val="004D10C0"/>
    <w:rsid w:val="004D10CA"/>
    <w:rsid w:val="004D1111"/>
    <w:rsid w:val="004D11DC"/>
    <w:rsid w:val="004D1202"/>
    <w:rsid w:val="004D1249"/>
    <w:rsid w:val="004D13A6"/>
    <w:rsid w:val="004D1714"/>
    <w:rsid w:val="004D1762"/>
    <w:rsid w:val="004D1791"/>
    <w:rsid w:val="004D1978"/>
    <w:rsid w:val="004D1A0F"/>
    <w:rsid w:val="004D1A69"/>
    <w:rsid w:val="004D1C7B"/>
    <w:rsid w:val="004D1E71"/>
    <w:rsid w:val="004D1EA3"/>
    <w:rsid w:val="004D2048"/>
    <w:rsid w:val="004D20B3"/>
    <w:rsid w:val="004D20C6"/>
    <w:rsid w:val="004D20CD"/>
    <w:rsid w:val="004D2168"/>
    <w:rsid w:val="004D221A"/>
    <w:rsid w:val="004D221B"/>
    <w:rsid w:val="004D23C0"/>
    <w:rsid w:val="004D23DF"/>
    <w:rsid w:val="004D2451"/>
    <w:rsid w:val="004D26D7"/>
    <w:rsid w:val="004D274F"/>
    <w:rsid w:val="004D275C"/>
    <w:rsid w:val="004D27A2"/>
    <w:rsid w:val="004D27B8"/>
    <w:rsid w:val="004D27C1"/>
    <w:rsid w:val="004D283D"/>
    <w:rsid w:val="004D28F1"/>
    <w:rsid w:val="004D291B"/>
    <w:rsid w:val="004D2A78"/>
    <w:rsid w:val="004D2CDF"/>
    <w:rsid w:val="004D2EC7"/>
    <w:rsid w:val="004D2ED6"/>
    <w:rsid w:val="004D2EFE"/>
    <w:rsid w:val="004D2FD3"/>
    <w:rsid w:val="004D3030"/>
    <w:rsid w:val="004D3052"/>
    <w:rsid w:val="004D30A5"/>
    <w:rsid w:val="004D30DB"/>
    <w:rsid w:val="004D3123"/>
    <w:rsid w:val="004D3153"/>
    <w:rsid w:val="004D32F3"/>
    <w:rsid w:val="004D33AD"/>
    <w:rsid w:val="004D33CE"/>
    <w:rsid w:val="004D3411"/>
    <w:rsid w:val="004D347B"/>
    <w:rsid w:val="004D350E"/>
    <w:rsid w:val="004D356D"/>
    <w:rsid w:val="004D35D7"/>
    <w:rsid w:val="004D36F9"/>
    <w:rsid w:val="004D36FC"/>
    <w:rsid w:val="004D371F"/>
    <w:rsid w:val="004D3785"/>
    <w:rsid w:val="004D37DC"/>
    <w:rsid w:val="004D3864"/>
    <w:rsid w:val="004D3865"/>
    <w:rsid w:val="004D394F"/>
    <w:rsid w:val="004D39FC"/>
    <w:rsid w:val="004D3A3D"/>
    <w:rsid w:val="004D3A6C"/>
    <w:rsid w:val="004D3B1B"/>
    <w:rsid w:val="004D3B82"/>
    <w:rsid w:val="004D3B89"/>
    <w:rsid w:val="004D3C94"/>
    <w:rsid w:val="004D3D40"/>
    <w:rsid w:val="004D3D7D"/>
    <w:rsid w:val="004D3DB7"/>
    <w:rsid w:val="004D3E56"/>
    <w:rsid w:val="004D3E87"/>
    <w:rsid w:val="004D3E8E"/>
    <w:rsid w:val="004D3EC9"/>
    <w:rsid w:val="004D3ECC"/>
    <w:rsid w:val="004D3F39"/>
    <w:rsid w:val="004D3FB8"/>
    <w:rsid w:val="004D3FDF"/>
    <w:rsid w:val="004D3FF2"/>
    <w:rsid w:val="004D4026"/>
    <w:rsid w:val="004D404D"/>
    <w:rsid w:val="004D406C"/>
    <w:rsid w:val="004D4138"/>
    <w:rsid w:val="004D41A4"/>
    <w:rsid w:val="004D41C3"/>
    <w:rsid w:val="004D41D8"/>
    <w:rsid w:val="004D41E6"/>
    <w:rsid w:val="004D420E"/>
    <w:rsid w:val="004D42AE"/>
    <w:rsid w:val="004D432D"/>
    <w:rsid w:val="004D438C"/>
    <w:rsid w:val="004D440B"/>
    <w:rsid w:val="004D4461"/>
    <w:rsid w:val="004D4494"/>
    <w:rsid w:val="004D44F7"/>
    <w:rsid w:val="004D451C"/>
    <w:rsid w:val="004D4537"/>
    <w:rsid w:val="004D4547"/>
    <w:rsid w:val="004D4610"/>
    <w:rsid w:val="004D4761"/>
    <w:rsid w:val="004D481F"/>
    <w:rsid w:val="004D483B"/>
    <w:rsid w:val="004D486C"/>
    <w:rsid w:val="004D488D"/>
    <w:rsid w:val="004D492D"/>
    <w:rsid w:val="004D4955"/>
    <w:rsid w:val="004D496D"/>
    <w:rsid w:val="004D497F"/>
    <w:rsid w:val="004D4AAE"/>
    <w:rsid w:val="004D4C29"/>
    <w:rsid w:val="004D4C38"/>
    <w:rsid w:val="004D4C5C"/>
    <w:rsid w:val="004D4D23"/>
    <w:rsid w:val="004D4E4B"/>
    <w:rsid w:val="004D4F27"/>
    <w:rsid w:val="004D501D"/>
    <w:rsid w:val="004D50B2"/>
    <w:rsid w:val="004D50F1"/>
    <w:rsid w:val="004D50FB"/>
    <w:rsid w:val="004D5178"/>
    <w:rsid w:val="004D51A5"/>
    <w:rsid w:val="004D51DC"/>
    <w:rsid w:val="004D53B9"/>
    <w:rsid w:val="004D54A5"/>
    <w:rsid w:val="004D552D"/>
    <w:rsid w:val="004D5592"/>
    <w:rsid w:val="004D5594"/>
    <w:rsid w:val="004D55B5"/>
    <w:rsid w:val="004D5609"/>
    <w:rsid w:val="004D565F"/>
    <w:rsid w:val="004D56C9"/>
    <w:rsid w:val="004D56F4"/>
    <w:rsid w:val="004D5772"/>
    <w:rsid w:val="004D5791"/>
    <w:rsid w:val="004D5806"/>
    <w:rsid w:val="004D580F"/>
    <w:rsid w:val="004D5978"/>
    <w:rsid w:val="004D59BB"/>
    <w:rsid w:val="004D5A66"/>
    <w:rsid w:val="004D5A89"/>
    <w:rsid w:val="004D5A8A"/>
    <w:rsid w:val="004D5AB8"/>
    <w:rsid w:val="004D5AE6"/>
    <w:rsid w:val="004D5AF1"/>
    <w:rsid w:val="004D5B50"/>
    <w:rsid w:val="004D5C29"/>
    <w:rsid w:val="004D5C3A"/>
    <w:rsid w:val="004D5CE1"/>
    <w:rsid w:val="004D5D84"/>
    <w:rsid w:val="004D5E69"/>
    <w:rsid w:val="004D5F93"/>
    <w:rsid w:val="004D6084"/>
    <w:rsid w:val="004D60A2"/>
    <w:rsid w:val="004D6145"/>
    <w:rsid w:val="004D618C"/>
    <w:rsid w:val="004D61E0"/>
    <w:rsid w:val="004D6204"/>
    <w:rsid w:val="004D6217"/>
    <w:rsid w:val="004D622E"/>
    <w:rsid w:val="004D6271"/>
    <w:rsid w:val="004D6284"/>
    <w:rsid w:val="004D62F0"/>
    <w:rsid w:val="004D64DA"/>
    <w:rsid w:val="004D6586"/>
    <w:rsid w:val="004D65C6"/>
    <w:rsid w:val="004D6643"/>
    <w:rsid w:val="004D6656"/>
    <w:rsid w:val="004D6663"/>
    <w:rsid w:val="004D6689"/>
    <w:rsid w:val="004D6698"/>
    <w:rsid w:val="004D6699"/>
    <w:rsid w:val="004D673C"/>
    <w:rsid w:val="004D6757"/>
    <w:rsid w:val="004D6784"/>
    <w:rsid w:val="004D69F9"/>
    <w:rsid w:val="004D6A72"/>
    <w:rsid w:val="004D6A79"/>
    <w:rsid w:val="004D6B36"/>
    <w:rsid w:val="004D6B97"/>
    <w:rsid w:val="004D6C81"/>
    <w:rsid w:val="004D6D7E"/>
    <w:rsid w:val="004D6D86"/>
    <w:rsid w:val="004D6DA9"/>
    <w:rsid w:val="004D6E33"/>
    <w:rsid w:val="004D6E6A"/>
    <w:rsid w:val="004D6EE2"/>
    <w:rsid w:val="004D6EEF"/>
    <w:rsid w:val="004D6F7B"/>
    <w:rsid w:val="004D708A"/>
    <w:rsid w:val="004D7094"/>
    <w:rsid w:val="004D7117"/>
    <w:rsid w:val="004D711F"/>
    <w:rsid w:val="004D71CA"/>
    <w:rsid w:val="004D7261"/>
    <w:rsid w:val="004D72FD"/>
    <w:rsid w:val="004D733A"/>
    <w:rsid w:val="004D73AB"/>
    <w:rsid w:val="004D7521"/>
    <w:rsid w:val="004D7573"/>
    <w:rsid w:val="004D75ED"/>
    <w:rsid w:val="004D770D"/>
    <w:rsid w:val="004D7850"/>
    <w:rsid w:val="004D786D"/>
    <w:rsid w:val="004D7C70"/>
    <w:rsid w:val="004D7C86"/>
    <w:rsid w:val="004D7D12"/>
    <w:rsid w:val="004D7E50"/>
    <w:rsid w:val="004D7E8D"/>
    <w:rsid w:val="004D7EC9"/>
    <w:rsid w:val="004D7EE3"/>
    <w:rsid w:val="004D7EF1"/>
    <w:rsid w:val="004D7F55"/>
    <w:rsid w:val="004D7FF1"/>
    <w:rsid w:val="004E0005"/>
    <w:rsid w:val="004E0132"/>
    <w:rsid w:val="004E0197"/>
    <w:rsid w:val="004E020F"/>
    <w:rsid w:val="004E02DF"/>
    <w:rsid w:val="004E02E1"/>
    <w:rsid w:val="004E038F"/>
    <w:rsid w:val="004E03C8"/>
    <w:rsid w:val="004E0495"/>
    <w:rsid w:val="004E04E3"/>
    <w:rsid w:val="004E062D"/>
    <w:rsid w:val="004E06BB"/>
    <w:rsid w:val="004E07CB"/>
    <w:rsid w:val="004E07D4"/>
    <w:rsid w:val="004E0850"/>
    <w:rsid w:val="004E08EB"/>
    <w:rsid w:val="004E0A37"/>
    <w:rsid w:val="004E0B6F"/>
    <w:rsid w:val="004E0B7F"/>
    <w:rsid w:val="004E0BB0"/>
    <w:rsid w:val="004E0BE3"/>
    <w:rsid w:val="004E0BEB"/>
    <w:rsid w:val="004E0C92"/>
    <w:rsid w:val="004E0CE3"/>
    <w:rsid w:val="004E0D14"/>
    <w:rsid w:val="004E0DCB"/>
    <w:rsid w:val="004E0E03"/>
    <w:rsid w:val="004E0F4E"/>
    <w:rsid w:val="004E0FA7"/>
    <w:rsid w:val="004E109D"/>
    <w:rsid w:val="004E10A2"/>
    <w:rsid w:val="004E1116"/>
    <w:rsid w:val="004E1122"/>
    <w:rsid w:val="004E1409"/>
    <w:rsid w:val="004E1529"/>
    <w:rsid w:val="004E15BE"/>
    <w:rsid w:val="004E15E2"/>
    <w:rsid w:val="004E1670"/>
    <w:rsid w:val="004E16C7"/>
    <w:rsid w:val="004E16D5"/>
    <w:rsid w:val="004E16F8"/>
    <w:rsid w:val="004E178E"/>
    <w:rsid w:val="004E18C2"/>
    <w:rsid w:val="004E18E7"/>
    <w:rsid w:val="004E191A"/>
    <w:rsid w:val="004E1999"/>
    <w:rsid w:val="004E1A0D"/>
    <w:rsid w:val="004E1A3A"/>
    <w:rsid w:val="004E1A40"/>
    <w:rsid w:val="004E1A87"/>
    <w:rsid w:val="004E1B3C"/>
    <w:rsid w:val="004E1B84"/>
    <w:rsid w:val="004E1BA1"/>
    <w:rsid w:val="004E1BB0"/>
    <w:rsid w:val="004E1C49"/>
    <w:rsid w:val="004E1C65"/>
    <w:rsid w:val="004E1D34"/>
    <w:rsid w:val="004E1D66"/>
    <w:rsid w:val="004E1EF1"/>
    <w:rsid w:val="004E1F3A"/>
    <w:rsid w:val="004E20B8"/>
    <w:rsid w:val="004E2181"/>
    <w:rsid w:val="004E21FE"/>
    <w:rsid w:val="004E21FF"/>
    <w:rsid w:val="004E220E"/>
    <w:rsid w:val="004E23A7"/>
    <w:rsid w:val="004E23AB"/>
    <w:rsid w:val="004E25B5"/>
    <w:rsid w:val="004E2623"/>
    <w:rsid w:val="004E2628"/>
    <w:rsid w:val="004E2651"/>
    <w:rsid w:val="004E26A3"/>
    <w:rsid w:val="004E2732"/>
    <w:rsid w:val="004E2745"/>
    <w:rsid w:val="004E2749"/>
    <w:rsid w:val="004E282B"/>
    <w:rsid w:val="004E28D9"/>
    <w:rsid w:val="004E29B6"/>
    <w:rsid w:val="004E29DB"/>
    <w:rsid w:val="004E2A00"/>
    <w:rsid w:val="004E2A85"/>
    <w:rsid w:val="004E2AC3"/>
    <w:rsid w:val="004E2BDB"/>
    <w:rsid w:val="004E2BEA"/>
    <w:rsid w:val="004E2D1D"/>
    <w:rsid w:val="004E2D98"/>
    <w:rsid w:val="004E2DB8"/>
    <w:rsid w:val="004E2E26"/>
    <w:rsid w:val="004E2E2F"/>
    <w:rsid w:val="004E2F23"/>
    <w:rsid w:val="004E2F7B"/>
    <w:rsid w:val="004E3011"/>
    <w:rsid w:val="004E3030"/>
    <w:rsid w:val="004E303B"/>
    <w:rsid w:val="004E306C"/>
    <w:rsid w:val="004E3146"/>
    <w:rsid w:val="004E3151"/>
    <w:rsid w:val="004E324B"/>
    <w:rsid w:val="004E328E"/>
    <w:rsid w:val="004E3311"/>
    <w:rsid w:val="004E3371"/>
    <w:rsid w:val="004E33E0"/>
    <w:rsid w:val="004E3607"/>
    <w:rsid w:val="004E370D"/>
    <w:rsid w:val="004E372A"/>
    <w:rsid w:val="004E384C"/>
    <w:rsid w:val="004E38EC"/>
    <w:rsid w:val="004E3901"/>
    <w:rsid w:val="004E3933"/>
    <w:rsid w:val="004E39B1"/>
    <w:rsid w:val="004E39EB"/>
    <w:rsid w:val="004E3AC1"/>
    <w:rsid w:val="004E3AD2"/>
    <w:rsid w:val="004E3AF1"/>
    <w:rsid w:val="004E3B04"/>
    <w:rsid w:val="004E3BDA"/>
    <w:rsid w:val="004E3BED"/>
    <w:rsid w:val="004E3C0A"/>
    <w:rsid w:val="004E3C44"/>
    <w:rsid w:val="004E3CF4"/>
    <w:rsid w:val="004E3D8E"/>
    <w:rsid w:val="004E3EA1"/>
    <w:rsid w:val="004E3EB0"/>
    <w:rsid w:val="004E3F72"/>
    <w:rsid w:val="004E3FF9"/>
    <w:rsid w:val="004E4028"/>
    <w:rsid w:val="004E4181"/>
    <w:rsid w:val="004E4208"/>
    <w:rsid w:val="004E428A"/>
    <w:rsid w:val="004E42CB"/>
    <w:rsid w:val="004E439F"/>
    <w:rsid w:val="004E44B6"/>
    <w:rsid w:val="004E44B8"/>
    <w:rsid w:val="004E44DD"/>
    <w:rsid w:val="004E4549"/>
    <w:rsid w:val="004E4570"/>
    <w:rsid w:val="004E4616"/>
    <w:rsid w:val="004E4656"/>
    <w:rsid w:val="004E46C8"/>
    <w:rsid w:val="004E47E6"/>
    <w:rsid w:val="004E4859"/>
    <w:rsid w:val="004E486C"/>
    <w:rsid w:val="004E48AD"/>
    <w:rsid w:val="004E4928"/>
    <w:rsid w:val="004E4929"/>
    <w:rsid w:val="004E4B38"/>
    <w:rsid w:val="004E4C41"/>
    <w:rsid w:val="004E4C81"/>
    <w:rsid w:val="004E4C83"/>
    <w:rsid w:val="004E4C95"/>
    <w:rsid w:val="004E4D53"/>
    <w:rsid w:val="004E4D84"/>
    <w:rsid w:val="004E4E24"/>
    <w:rsid w:val="004E4EA0"/>
    <w:rsid w:val="004E4EBC"/>
    <w:rsid w:val="004E4ECE"/>
    <w:rsid w:val="004E5063"/>
    <w:rsid w:val="004E5069"/>
    <w:rsid w:val="004E5104"/>
    <w:rsid w:val="004E5296"/>
    <w:rsid w:val="004E52B6"/>
    <w:rsid w:val="004E5314"/>
    <w:rsid w:val="004E5315"/>
    <w:rsid w:val="004E540D"/>
    <w:rsid w:val="004E5451"/>
    <w:rsid w:val="004E546C"/>
    <w:rsid w:val="004E5515"/>
    <w:rsid w:val="004E555B"/>
    <w:rsid w:val="004E57EB"/>
    <w:rsid w:val="004E57FC"/>
    <w:rsid w:val="004E58F9"/>
    <w:rsid w:val="004E5908"/>
    <w:rsid w:val="004E597C"/>
    <w:rsid w:val="004E5A49"/>
    <w:rsid w:val="004E5A61"/>
    <w:rsid w:val="004E5B06"/>
    <w:rsid w:val="004E5CC6"/>
    <w:rsid w:val="004E5CE0"/>
    <w:rsid w:val="004E5D10"/>
    <w:rsid w:val="004E5D3B"/>
    <w:rsid w:val="004E5E3F"/>
    <w:rsid w:val="004E5EBA"/>
    <w:rsid w:val="004E5EBF"/>
    <w:rsid w:val="004E5F5A"/>
    <w:rsid w:val="004E5F72"/>
    <w:rsid w:val="004E5FA8"/>
    <w:rsid w:val="004E610E"/>
    <w:rsid w:val="004E61A0"/>
    <w:rsid w:val="004E628C"/>
    <w:rsid w:val="004E630C"/>
    <w:rsid w:val="004E6357"/>
    <w:rsid w:val="004E638B"/>
    <w:rsid w:val="004E63D3"/>
    <w:rsid w:val="004E64A1"/>
    <w:rsid w:val="004E6563"/>
    <w:rsid w:val="004E6570"/>
    <w:rsid w:val="004E6625"/>
    <w:rsid w:val="004E66DB"/>
    <w:rsid w:val="004E6824"/>
    <w:rsid w:val="004E684C"/>
    <w:rsid w:val="004E6BEA"/>
    <w:rsid w:val="004E6C75"/>
    <w:rsid w:val="004E6CFA"/>
    <w:rsid w:val="004E6D17"/>
    <w:rsid w:val="004E6D84"/>
    <w:rsid w:val="004E6DD2"/>
    <w:rsid w:val="004E6E34"/>
    <w:rsid w:val="004E6EDF"/>
    <w:rsid w:val="004E6FCC"/>
    <w:rsid w:val="004E6FF1"/>
    <w:rsid w:val="004E708E"/>
    <w:rsid w:val="004E70D3"/>
    <w:rsid w:val="004E716C"/>
    <w:rsid w:val="004E7207"/>
    <w:rsid w:val="004E724A"/>
    <w:rsid w:val="004E724C"/>
    <w:rsid w:val="004E7370"/>
    <w:rsid w:val="004E73CF"/>
    <w:rsid w:val="004E751E"/>
    <w:rsid w:val="004E755D"/>
    <w:rsid w:val="004E75D0"/>
    <w:rsid w:val="004E75E7"/>
    <w:rsid w:val="004E76DB"/>
    <w:rsid w:val="004E7763"/>
    <w:rsid w:val="004E7802"/>
    <w:rsid w:val="004E7866"/>
    <w:rsid w:val="004E7929"/>
    <w:rsid w:val="004E7976"/>
    <w:rsid w:val="004E7983"/>
    <w:rsid w:val="004E7A17"/>
    <w:rsid w:val="004E7C31"/>
    <w:rsid w:val="004E7CF4"/>
    <w:rsid w:val="004E7D25"/>
    <w:rsid w:val="004E7D44"/>
    <w:rsid w:val="004E7D9E"/>
    <w:rsid w:val="004E7DA2"/>
    <w:rsid w:val="004E7E7E"/>
    <w:rsid w:val="004E7F64"/>
    <w:rsid w:val="004E7FCB"/>
    <w:rsid w:val="004F000A"/>
    <w:rsid w:val="004F001E"/>
    <w:rsid w:val="004F00B7"/>
    <w:rsid w:val="004F00F5"/>
    <w:rsid w:val="004F0338"/>
    <w:rsid w:val="004F043D"/>
    <w:rsid w:val="004F044D"/>
    <w:rsid w:val="004F04F2"/>
    <w:rsid w:val="004F04FB"/>
    <w:rsid w:val="004F05A9"/>
    <w:rsid w:val="004F06BE"/>
    <w:rsid w:val="004F0725"/>
    <w:rsid w:val="004F0803"/>
    <w:rsid w:val="004F08E3"/>
    <w:rsid w:val="004F0924"/>
    <w:rsid w:val="004F09B2"/>
    <w:rsid w:val="004F09D1"/>
    <w:rsid w:val="004F0AA2"/>
    <w:rsid w:val="004F0AC4"/>
    <w:rsid w:val="004F0B5A"/>
    <w:rsid w:val="004F0B70"/>
    <w:rsid w:val="004F0BE5"/>
    <w:rsid w:val="004F0C0F"/>
    <w:rsid w:val="004F0C4F"/>
    <w:rsid w:val="004F0F41"/>
    <w:rsid w:val="004F0FA9"/>
    <w:rsid w:val="004F1086"/>
    <w:rsid w:val="004F1134"/>
    <w:rsid w:val="004F1274"/>
    <w:rsid w:val="004F1282"/>
    <w:rsid w:val="004F132C"/>
    <w:rsid w:val="004F13E0"/>
    <w:rsid w:val="004F13E3"/>
    <w:rsid w:val="004F1589"/>
    <w:rsid w:val="004F158B"/>
    <w:rsid w:val="004F161E"/>
    <w:rsid w:val="004F1633"/>
    <w:rsid w:val="004F168F"/>
    <w:rsid w:val="004F16FA"/>
    <w:rsid w:val="004F17CB"/>
    <w:rsid w:val="004F17DB"/>
    <w:rsid w:val="004F186B"/>
    <w:rsid w:val="004F187B"/>
    <w:rsid w:val="004F1884"/>
    <w:rsid w:val="004F18E2"/>
    <w:rsid w:val="004F18E8"/>
    <w:rsid w:val="004F196F"/>
    <w:rsid w:val="004F197C"/>
    <w:rsid w:val="004F1A47"/>
    <w:rsid w:val="004F1AFF"/>
    <w:rsid w:val="004F1B13"/>
    <w:rsid w:val="004F1D53"/>
    <w:rsid w:val="004F1DBB"/>
    <w:rsid w:val="004F1EC0"/>
    <w:rsid w:val="004F1EF0"/>
    <w:rsid w:val="004F1F87"/>
    <w:rsid w:val="004F1F90"/>
    <w:rsid w:val="004F2074"/>
    <w:rsid w:val="004F217D"/>
    <w:rsid w:val="004F2195"/>
    <w:rsid w:val="004F21BF"/>
    <w:rsid w:val="004F22AC"/>
    <w:rsid w:val="004F22F1"/>
    <w:rsid w:val="004F23CC"/>
    <w:rsid w:val="004F2401"/>
    <w:rsid w:val="004F2425"/>
    <w:rsid w:val="004F2440"/>
    <w:rsid w:val="004F2448"/>
    <w:rsid w:val="004F24FF"/>
    <w:rsid w:val="004F2522"/>
    <w:rsid w:val="004F255D"/>
    <w:rsid w:val="004F2586"/>
    <w:rsid w:val="004F2647"/>
    <w:rsid w:val="004F270F"/>
    <w:rsid w:val="004F284E"/>
    <w:rsid w:val="004F28EF"/>
    <w:rsid w:val="004F2915"/>
    <w:rsid w:val="004F297F"/>
    <w:rsid w:val="004F29FC"/>
    <w:rsid w:val="004F2A44"/>
    <w:rsid w:val="004F2B25"/>
    <w:rsid w:val="004F2C61"/>
    <w:rsid w:val="004F2D16"/>
    <w:rsid w:val="004F2DAD"/>
    <w:rsid w:val="004F3171"/>
    <w:rsid w:val="004F31BF"/>
    <w:rsid w:val="004F322D"/>
    <w:rsid w:val="004F32D6"/>
    <w:rsid w:val="004F33CD"/>
    <w:rsid w:val="004F3431"/>
    <w:rsid w:val="004F3439"/>
    <w:rsid w:val="004F34AC"/>
    <w:rsid w:val="004F34F7"/>
    <w:rsid w:val="004F3516"/>
    <w:rsid w:val="004F35DB"/>
    <w:rsid w:val="004F361B"/>
    <w:rsid w:val="004F3664"/>
    <w:rsid w:val="004F3675"/>
    <w:rsid w:val="004F36E3"/>
    <w:rsid w:val="004F3785"/>
    <w:rsid w:val="004F37EE"/>
    <w:rsid w:val="004F38CA"/>
    <w:rsid w:val="004F39A5"/>
    <w:rsid w:val="004F39FD"/>
    <w:rsid w:val="004F3BC4"/>
    <w:rsid w:val="004F3C11"/>
    <w:rsid w:val="004F3CC4"/>
    <w:rsid w:val="004F3E2E"/>
    <w:rsid w:val="004F3E38"/>
    <w:rsid w:val="004F4059"/>
    <w:rsid w:val="004F40C3"/>
    <w:rsid w:val="004F40F8"/>
    <w:rsid w:val="004F4273"/>
    <w:rsid w:val="004F4295"/>
    <w:rsid w:val="004F4364"/>
    <w:rsid w:val="004F4375"/>
    <w:rsid w:val="004F439D"/>
    <w:rsid w:val="004F43CE"/>
    <w:rsid w:val="004F44DA"/>
    <w:rsid w:val="004F4520"/>
    <w:rsid w:val="004F46FB"/>
    <w:rsid w:val="004F47F5"/>
    <w:rsid w:val="004F4859"/>
    <w:rsid w:val="004F4980"/>
    <w:rsid w:val="004F49AF"/>
    <w:rsid w:val="004F49BC"/>
    <w:rsid w:val="004F4B2F"/>
    <w:rsid w:val="004F4B7A"/>
    <w:rsid w:val="004F4BD0"/>
    <w:rsid w:val="004F4C0A"/>
    <w:rsid w:val="004F4DBC"/>
    <w:rsid w:val="004F4E82"/>
    <w:rsid w:val="004F4F6B"/>
    <w:rsid w:val="004F4F9E"/>
    <w:rsid w:val="004F4FBA"/>
    <w:rsid w:val="004F503F"/>
    <w:rsid w:val="004F5093"/>
    <w:rsid w:val="004F50F4"/>
    <w:rsid w:val="004F5126"/>
    <w:rsid w:val="004F512E"/>
    <w:rsid w:val="004F51D5"/>
    <w:rsid w:val="004F52F5"/>
    <w:rsid w:val="004F532B"/>
    <w:rsid w:val="004F5393"/>
    <w:rsid w:val="004F544B"/>
    <w:rsid w:val="004F54A1"/>
    <w:rsid w:val="004F5527"/>
    <w:rsid w:val="004F55D6"/>
    <w:rsid w:val="004F562E"/>
    <w:rsid w:val="004F565A"/>
    <w:rsid w:val="004F56CC"/>
    <w:rsid w:val="004F56D9"/>
    <w:rsid w:val="004F5702"/>
    <w:rsid w:val="004F571B"/>
    <w:rsid w:val="004F5743"/>
    <w:rsid w:val="004F57D5"/>
    <w:rsid w:val="004F583B"/>
    <w:rsid w:val="004F583C"/>
    <w:rsid w:val="004F58EF"/>
    <w:rsid w:val="004F590A"/>
    <w:rsid w:val="004F5914"/>
    <w:rsid w:val="004F5935"/>
    <w:rsid w:val="004F59EA"/>
    <w:rsid w:val="004F5A09"/>
    <w:rsid w:val="004F5A69"/>
    <w:rsid w:val="004F5AC1"/>
    <w:rsid w:val="004F5AF0"/>
    <w:rsid w:val="004F5BAF"/>
    <w:rsid w:val="004F5C01"/>
    <w:rsid w:val="004F5C0E"/>
    <w:rsid w:val="004F5C56"/>
    <w:rsid w:val="004F5C67"/>
    <w:rsid w:val="004F5CB4"/>
    <w:rsid w:val="004F5CC1"/>
    <w:rsid w:val="004F5D17"/>
    <w:rsid w:val="004F5DC1"/>
    <w:rsid w:val="004F5E36"/>
    <w:rsid w:val="004F5FA2"/>
    <w:rsid w:val="004F5FED"/>
    <w:rsid w:val="004F6042"/>
    <w:rsid w:val="004F605D"/>
    <w:rsid w:val="004F60CE"/>
    <w:rsid w:val="004F6106"/>
    <w:rsid w:val="004F6194"/>
    <w:rsid w:val="004F61A6"/>
    <w:rsid w:val="004F6371"/>
    <w:rsid w:val="004F6377"/>
    <w:rsid w:val="004F6441"/>
    <w:rsid w:val="004F64EB"/>
    <w:rsid w:val="004F6502"/>
    <w:rsid w:val="004F6550"/>
    <w:rsid w:val="004F65CD"/>
    <w:rsid w:val="004F65F5"/>
    <w:rsid w:val="004F6662"/>
    <w:rsid w:val="004F6684"/>
    <w:rsid w:val="004F66C8"/>
    <w:rsid w:val="004F6766"/>
    <w:rsid w:val="004F6830"/>
    <w:rsid w:val="004F6838"/>
    <w:rsid w:val="004F69B4"/>
    <w:rsid w:val="004F6AE1"/>
    <w:rsid w:val="004F6AF7"/>
    <w:rsid w:val="004F6BC3"/>
    <w:rsid w:val="004F6C12"/>
    <w:rsid w:val="004F6C5F"/>
    <w:rsid w:val="004F6C94"/>
    <w:rsid w:val="004F6CC8"/>
    <w:rsid w:val="004F6D18"/>
    <w:rsid w:val="004F6D6B"/>
    <w:rsid w:val="004F6E06"/>
    <w:rsid w:val="004F6E20"/>
    <w:rsid w:val="004F6E4F"/>
    <w:rsid w:val="004F6EDB"/>
    <w:rsid w:val="004F6EE7"/>
    <w:rsid w:val="004F6F7B"/>
    <w:rsid w:val="004F7002"/>
    <w:rsid w:val="004F7040"/>
    <w:rsid w:val="004F70AF"/>
    <w:rsid w:val="004F70D3"/>
    <w:rsid w:val="004F70FF"/>
    <w:rsid w:val="004F7109"/>
    <w:rsid w:val="004F71D9"/>
    <w:rsid w:val="004F7351"/>
    <w:rsid w:val="004F736F"/>
    <w:rsid w:val="004F73BF"/>
    <w:rsid w:val="004F73FD"/>
    <w:rsid w:val="004F7641"/>
    <w:rsid w:val="004F7704"/>
    <w:rsid w:val="004F77FF"/>
    <w:rsid w:val="004F7908"/>
    <w:rsid w:val="004F7921"/>
    <w:rsid w:val="004F7982"/>
    <w:rsid w:val="004F7987"/>
    <w:rsid w:val="004F7A74"/>
    <w:rsid w:val="004F7AB5"/>
    <w:rsid w:val="004F7B25"/>
    <w:rsid w:val="004F7B34"/>
    <w:rsid w:val="004F7B4B"/>
    <w:rsid w:val="004F7BEB"/>
    <w:rsid w:val="004F7CC7"/>
    <w:rsid w:val="004F7CED"/>
    <w:rsid w:val="004F7DB1"/>
    <w:rsid w:val="004F7F22"/>
    <w:rsid w:val="0050003D"/>
    <w:rsid w:val="00500056"/>
    <w:rsid w:val="00500084"/>
    <w:rsid w:val="005000DE"/>
    <w:rsid w:val="00500250"/>
    <w:rsid w:val="00500264"/>
    <w:rsid w:val="0050027A"/>
    <w:rsid w:val="0050027D"/>
    <w:rsid w:val="005002FF"/>
    <w:rsid w:val="00500318"/>
    <w:rsid w:val="00500321"/>
    <w:rsid w:val="0050033D"/>
    <w:rsid w:val="0050034F"/>
    <w:rsid w:val="0050036A"/>
    <w:rsid w:val="005003C0"/>
    <w:rsid w:val="005003C8"/>
    <w:rsid w:val="0050044C"/>
    <w:rsid w:val="00500526"/>
    <w:rsid w:val="005005B1"/>
    <w:rsid w:val="005005BC"/>
    <w:rsid w:val="005005E5"/>
    <w:rsid w:val="0050060C"/>
    <w:rsid w:val="0050062B"/>
    <w:rsid w:val="005006CA"/>
    <w:rsid w:val="005006D2"/>
    <w:rsid w:val="005007DA"/>
    <w:rsid w:val="005007F8"/>
    <w:rsid w:val="00500809"/>
    <w:rsid w:val="00500813"/>
    <w:rsid w:val="00500824"/>
    <w:rsid w:val="0050083A"/>
    <w:rsid w:val="00500843"/>
    <w:rsid w:val="00500855"/>
    <w:rsid w:val="00500930"/>
    <w:rsid w:val="00500979"/>
    <w:rsid w:val="00500995"/>
    <w:rsid w:val="005009E4"/>
    <w:rsid w:val="00500A34"/>
    <w:rsid w:val="00500A65"/>
    <w:rsid w:val="00500AC2"/>
    <w:rsid w:val="00500D82"/>
    <w:rsid w:val="00500DAB"/>
    <w:rsid w:val="00500DC4"/>
    <w:rsid w:val="00500FC7"/>
    <w:rsid w:val="00501015"/>
    <w:rsid w:val="0050109D"/>
    <w:rsid w:val="00501144"/>
    <w:rsid w:val="005011A0"/>
    <w:rsid w:val="005011B5"/>
    <w:rsid w:val="005011BB"/>
    <w:rsid w:val="0050120F"/>
    <w:rsid w:val="00501279"/>
    <w:rsid w:val="005013D6"/>
    <w:rsid w:val="005013EF"/>
    <w:rsid w:val="00501409"/>
    <w:rsid w:val="00501436"/>
    <w:rsid w:val="005014BA"/>
    <w:rsid w:val="0050161A"/>
    <w:rsid w:val="005018CB"/>
    <w:rsid w:val="005019A5"/>
    <w:rsid w:val="005019E0"/>
    <w:rsid w:val="00501ABC"/>
    <w:rsid w:val="00501B53"/>
    <w:rsid w:val="00501B7A"/>
    <w:rsid w:val="00501CC4"/>
    <w:rsid w:val="00501D69"/>
    <w:rsid w:val="00501DB6"/>
    <w:rsid w:val="00501E06"/>
    <w:rsid w:val="00501E8D"/>
    <w:rsid w:val="00501ECB"/>
    <w:rsid w:val="00501EEC"/>
    <w:rsid w:val="00501FA5"/>
    <w:rsid w:val="00501FF9"/>
    <w:rsid w:val="00502029"/>
    <w:rsid w:val="00502116"/>
    <w:rsid w:val="0050211F"/>
    <w:rsid w:val="0050216F"/>
    <w:rsid w:val="005021A1"/>
    <w:rsid w:val="0050229B"/>
    <w:rsid w:val="005022E7"/>
    <w:rsid w:val="00502303"/>
    <w:rsid w:val="005023BB"/>
    <w:rsid w:val="005024DD"/>
    <w:rsid w:val="005025CD"/>
    <w:rsid w:val="005026CB"/>
    <w:rsid w:val="005027C4"/>
    <w:rsid w:val="005027C5"/>
    <w:rsid w:val="0050280F"/>
    <w:rsid w:val="00502905"/>
    <w:rsid w:val="0050293F"/>
    <w:rsid w:val="00502961"/>
    <w:rsid w:val="0050297B"/>
    <w:rsid w:val="00502A93"/>
    <w:rsid w:val="00502A99"/>
    <w:rsid w:val="00502BFB"/>
    <w:rsid w:val="00502D0A"/>
    <w:rsid w:val="00502D58"/>
    <w:rsid w:val="00502D8E"/>
    <w:rsid w:val="00502DFB"/>
    <w:rsid w:val="00502F44"/>
    <w:rsid w:val="00502F7D"/>
    <w:rsid w:val="00502FC5"/>
    <w:rsid w:val="00502FF2"/>
    <w:rsid w:val="00503045"/>
    <w:rsid w:val="005030E1"/>
    <w:rsid w:val="0050315D"/>
    <w:rsid w:val="005031CB"/>
    <w:rsid w:val="005032B4"/>
    <w:rsid w:val="0050337B"/>
    <w:rsid w:val="005036A5"/>
    <w:rsid w:val="005036BE"/>
    <w:rsid w:val="005036C4"/>
    <w:rsid w:val="005036F8"/>
    <w:rsid w:val="00503773"/>
    <w:rsid w:val="005037C9"/>
    <w:rsid w:val="005037F9"/>
    <w:rsid w:val="0050386A"/>
    <w:rsid w:val="005038C3"/>
    <w:rsid w:val="005038F9"/>
    <w:rsid w:val="00503917"/>
    <w:rsid w:val="00503922"/>
    <w:rsid w:val="005039BE"/>
    <w:rsid w:val="00503A1F"/>
    <w:rsid w:val="00503A6E"/>
    <w:rsid w:val="00503ABE"/>
    <w:rsid w:val="00503B9C"/>
    <w:rsid w:val="00503BC8"/>
    <w:rsid w:val="00503C3D"/>
    <w:rsid w:val="00503C45"/>
    <w:rsid w:val="00503CC5"/>
    <w:rsid w:val="00503D6D"/>
    <w:rsid w:val="00503D98"/>
    <w:rsid w:val="00503D9B"/>
    <w:rsid w:val="00503DD4"/>
    <w:rsid w:val="00503E99"/>
    <w:rsid w:val="00503F8D"/>
    <w:rsid w:val="0050403E"/>
    <w:rsid w:val="00504240"/>
    <w:rsid w:val="005042AF"/>
    <w:rsid w:val="0050439B"/>
    <w:rsid w:val="00504429"/>
    <w:rsid w:val="005044A1"/>
    <w:rsid w:val="0050451D"/>
    <w:rsid w:val="005045D0"/>
    <w:rsid w:val="00504694"/>
    <w:rsid w:val="005047A5"/>
    <w:rsid w:val="005047D6"/>
    <w:rsid w:val="005048AA"/>
    <w:rsid w:val="0050495B"/>
    <w:rsid w:val="00504A6F"/>
    <w:rsid w:val="00504A73"/>
    <w:rsid w:val="00504A89"/>
    <w:rsid w:val="00504B2C"/>
    <w:rsid w:val="00504B8D"/>
    <w:rsid w:val="00504C18"/>
    <w:rsid w:val="00504D76"/>
    <w:rsid w:val="00504DDA"/>
    <w:rsid w:val="00504E66"/>
    <w:rsid w:val="00504EC3"/>
    <w:rsid w:val="00504FBA"/>
    <w:rsid w:val="00504FEF"/>
    <w:rsid w:val="00504FF7"/>
    <w:rsid w:val="00505021"/>
    <w:rsid w:val="00505077"/>
    <w:rsid w:val="00505236"/>
    <w:rsid w:val="00505338"/>
    <w:rsid w:val="005053D6"/>
    <w:rsid w:val="005053E8"/>
    <w:rsid w:val="005054B8"/>
    <w:rsid w:val="0050553D"/>
    <w:rsid w:val="00505587"/>
    <w:rsid w:val="005055F5"/>
    <w:rsid w:val="005055F6"/>
    <w:rsid w:val="00505777"/>
    <w:rsid w:val="00505B82"/>
    <w:rsid w:val="00505BEE"/>
    <w:rsid w:val="00505D7E"/>
    <w:rsid w:val="00505D9D"/>
    <w:rsid w:val="00505DA7"/>
    <w:rsid w:val="00505EC0"/>
    <w:rsid w:val="00505EF7"/>
    <w:rsid w:val="00506058"/>
    <w:rsid w:val="00506060"/>
    <w:rsid w:val="00506083"/>
    <w:rsid w:val="0050609B"/>
    <w:rsid w:val="005060FC"/>
    <w:rsid w:val="005061B9"/>
    <w:rsid w:val="00506260"/>
    <w:rsid w:val="00506294"/>
    <w:rsid w:val="00506314"/>
    <w:rsid w:val="005063B8"/>
    <w:rsid w:val="0050649A"/>
    <w:rsid w:val="00506521"/>
    <w:rsid w:val="00506662"/>
    <w:rsid w:val="00506698"/>
    <w:rsid w:val="0050669B"/>
    <w:rsid w:val="005066A6"/>
    <w:rsid w:val="00506736"/>
    <w:rsid w:val="005068D6"/>
    <w:rsid w:val="00506970"/>
    <w:rsid w:val="00506AF3"/>
    <w:rsid w:val="00506B53"/>
    <w:rsid w:val="00506B86"/>
    <w:rsid w:val="00506BB7"/>
    <w:rsid w:val="00506BDD"/>
    <w:rsid w:val="00506C24"/>
    <w:rsid w:val="00506C3C"/>
    <w:rsid w:val="00506D9B"/>
    <w:rsid w:val="00506DF1"/>
    <w:rsid w:val="00506EEC"/>
    <w:rsid w:val="00506EF8"/>
    <w:rsid w:val="00506F76"/>
    <w:rsid w:val="00506FD4"/>
    <w:rsid w:val="00506FDA"/>
    <w:rsid w:val="00507025"/>
    <w:rsid w:val="00507137"/>
    <w:rsid w:val="0050715F"/>
    <w:rsid w:val="005071A2"/>
    <w:rsid w:val="005071A4"/>
    <w:rsid w:val="005072C7"/>
    <w:rsid w:val="00507378"/>
    <w:rsid w:val="005073A1"/>
    <w:rsid w:val="005073FD"/>
    <w:rsid w:val="005073FF"/>
    <w:rsid w:val="00507467"/>
    <w:rsid w:val="005074F2"/>
    <w:rsid w:val="00507524"/>
    <w:rsid w:val="0050767A"/>
    <w:rsid w:val="005076B5"/>
    <w:rsid w:val="005077FA"/>
    <w:rsid w:val="00507853"/>
    <w:rsid w:val="005078B3"/>
    <w:rsid w:val="0050794D"/>
    <w:rsid w:val="00507A8C"/>
    <w:rsid w:val="00507B8C"/>
    <w:rsid w:val="00507C21"/>
    <w:rsid w:val="00507C7A"/>
    <w:rsid w:val="00507CE2"/>
    <w:rsid w:val="00507D33"/>
    <w:rsid w:val="00507F13"/>
    <w:rsid w:val="00507F2F"/>
    <w:rsid w:val="00510034"/>
    <w:rsid w:val="00510044"/>
    <w:rsid w:val="0051009B"/>
    <w:rsid w:val="005100C3"/>
    <w:rsid w:val="005100D1"/>
    <w:rsid w:val="0051010C"/>
    <w:rsid w:val="00510118"/>
    <w:rsid w:val="0051028E"/>
    <w:rsid w:val="0051036A"/>
    <w:rsid w:val="005103A4"/>
    <w:rsid w:val="005103AA"/>
    <w:rsid w:val="00510507"/>
    <w:rsid w:val="005105F3"/>
    <w:rsid w:val="005107FF"/>
    <w:rsid w:val="0051080D"/>
    <w:rsid w:val="005108E3"/>
    <w:rsid w:val="005109DB"/>
    <w:rsid w:val="005109E5"/>
    <w:rsid w:val="005109F8"/>
    <w:rsid w:val="00510A05"/>
    <w:rsid w:val="00510A1E"/>
    <w:rsid w:val="00510A96"/>
    <w:rsid w:val="00510C2E"/>
    <w:rsid w:val="00510C41"/>
    <w:rsid w:val="00510C67"/>
    <w:rsid w:val="00510C7C"/>
    <w:rsid w:val="00510CB7"/>
    <w:rsid w:val="00510CBC"/>
    <w:rsid w:val="00510D02"/>
    <w:rsid w:val="00510D56"/>
    <w:rsid w:val="00510D9D"/>
    <w:rsid w:val="00510EF2"/>
    <w:rsid w:val="00510F75"/>
    <w:rsid w:val="00510FA6"/>
    <w:rsid w:val="0051102D"/>
    <w:rsid w:val="00511066"/>
    <w:rsid w:val="0051110E"/>
    <w:rsid w:val="0051116A"/>
    <w:rsid w:val="0051118A"/>
    <w:rsid w:val="00511193"/>
    <w:rsid w:val="00511268"/>
    <w:rsid w:val="005112A5"/>
    <w:rsid w:val="005113FF"/>
    <w:rsid w:val="00511578"/>
    <w:rsid w:val="005115D7"/>
    <w:rsid w:val="005115EB"/>
    <w:rsid w:val="00511747"/>
    <w:rsid w:val="0051174C"/>
    <w:rsid w:val="005117A8"/>
    <w:rsid w:val="005117D0"/>
    <w:rsid w:val="005117E4"/>
    <w:rsid w:val="0051190A"/>
    <w:rsid w:val="00511BA7"/>
    <w:rsid w:val="00511C46"/>
    <w:rsid w:val="00511C8D"/>
    <w:rsid w:val="00511CC2"/>
    <w:rsid w:val="00511D8D"/>
    <w:rsid w:val="00511EBD"/>
    <w:rsid w:val="00511EF2"/>
    <w:rsid w:val="00511F2F"/>
    <w:rsid w:val="00511F48"/>
    <w:rsid w:val="00512038"/>
    <w:rsid w:val="00512095"/>
    <w:rsid w:val="00512129"/>
    <w:rsid w:val="00512177"/>
    <w:rsid w:val="005122C3"/>
    <w:rsid w:val="005122DF"/>
    <w:rsid w:val="00512383"/>
    <w:rsid w:val="00512448"/>
    <w:rsid w:val="00512469"/>
    <w:rsid w:val="005124E5"/>
    <w:rsid w:val="005124F2"/>
    <w:rsid w:val="0051253A"/>
    <w:rsid w:val="00512553"/>
    <w:rsid w:val="005125DE"/>
    <w:rsid w:val="0051265E"/>
    <w:rsid w:val="0051266C"/>
    <w:rsid w:val="00512775"/>
    <w:rsid w:val="00512796"/>
    <w:rsid w:val="005127AC"/>
    <w:rsid w:val="00512874"/>
    <w:rsid w:val="005128D1"/>
    <w:rsid w:val="005128EE"/>
    <w:rsid w:val="0051299C"/>
    <w:rsid w:val="00512A0F"/>
    <w:rsid w:val="00512A3E"/>
    <w:rsid w:val="00512A70"/>
    <w:rsid w:val="00512B33"/>
    <w:rsid w:val="00512B93"/>
    <w:rsid w:val="00512BE6"/>
    <w:rsid w:val="00512C1C"/>
    <w:rsid w:val="00512C99"/>
    <w:rsid w:val="00512D49"/>
    <w:rsid w:val="00512D4A"/>
    <w:rsid w:val="00512EF9"/>
    <w:rsid w:val="00512F1F"/>
    <w:rsid w:val="00512F7E"/>
    <w:rsid w:val="00512FB4"/>
    <w:rsid w:val="00512FD5"/>
    <w:rsid w:val="00513029"/>
    <w:rsid w:val="00513040"/>
    <w:rsid w:val="00513111"/>
    <w:rsid w:val="00513248"/>
    <w:rsid w:val="005132C0"/>
    <w:rsid w:val="005132D3"/>
    <w:rsid w:val="005132FC"/>
    <w:rsid w:val="005133DF"/>
    <w:rsid w:val="005133F9"/>
    <w:rsid w:val="00513449"/>
    <w:rsid w:val="0051344E"/>
    <w:rsid w:val="005134E4"/>
    <w:rsid w:val="0051353A"/>
    <w:rsid w:val="0051357B"/>
    <w:rsid w:val="0051358D"/>
    <w:rsid w:val="005136CD"/>
    <w:rsid w:val="00513741"/>
    <w:rsid w:val="00513777"/>
    <w:rsid w:val="005138C6"/>
    <w:rsid w:val="005138D9"/>
    <w:rsid w:val="0051390F"/>
    <w:rsid w:val="0051391D"/>
    <w:rsid w:val="00513935"/>
    <w:rsid w:val="00513A1F"/>
    <w:rsid w:val="00513A69"/>
    <w:rsid w:val="00513AB1"/>
    <w:rsid w:val="00513ABC"/>
    <w:rsid w:val="00513B5C"/>
    <w:rsid w:val="00513B72"/>
    <w:rsid w:val="00513B88"/>
    <w:rsid w:val="00513BAA"/>
    <w:rsid w:val="00513CF7"/>
    <w:rsid w:val="00513CF9"/>
    <w:rsid w:val="00513F35"/>
    <w:rsid w:val="00513F57"/>
    <w:rsid w:val="00513F62"/>
    <w:rsid w:val="00513FC6"/>
    <w:rsid w:val="00514002"/>
    <w:rsid w:val="005140C2"/>
    <w:rsid w:val="005141EF"/>
    <w:rsid w:val="00514252"/>
    <w:rsid w:val="0051428C"/>
    <w:rsid w:val="005143C7"/>
    <w:rsid w:val="0051452C"/>
    <w:rsid w:val="0051453B"/>
    <w:rsid w:val="0051454A"/>
    <w:rsid w:val="00514598"/>
    <w:rsid w:val="005145A7"/>
    <w:rsid w:val="005145C2"/>
    <w:rsid w:val="005146CD"/>
    <w:rsid w:val="00514739"/>
    <w:rsid w:val="00514740"/>
    <w:rsid w:val="00514745"/>
    <w:rsid w:val="005147BC"/>
    <w:rsid w:val="00514848"/>
    <w:rsid w:val="0051489D"/>
    <w:rsid w:val="005148BE"/>
    <w:rsid w:val="00514942"/>
    <w:rsid w:val="00514A66"/>
    <w:rsid w:val="00514AC3"/>
    <w:rsid w:val="00514BF0"/>
    <w:rsid w:val="00514C05"/>
    <w:rsid w:val="00514C92"/>
    <w:rsid w:val="00514CCD"/>
    <w:rsid w:val="00514CE2"/>
    <w:rsid w:val="00514F12"/>
    <w:rsid w:val="00514F1B"/>
    <w:rsid w:val="00514F34"/>
    <w:rsid w:val="00514F68"/>
    <w:rsid w:val="00514FD6"/>
    <w:rsid w:val="0051505F"/>
    <w:rsid w:val="00515107"/>
    <w:rsid w:val="00515118"/>
    <w:rsid w:val="0051513D"/>
    <w:rsid w:val="005151CA"/>
    <w:rsid w:val="00515277"/>
    <w:rsid w:val="00515370"/>
    <w:rsid w:val="005153A5"/>
    <w:rsid w:val="0051544F"/>
    <w:rsid w:val="00515601"/>
    <w:rsid w:val="00515696"/>
    <w:rsid w:val="005156AA"/>
    <w:rsid w:val="00515701"/>
    <w:rsid w:val="0051570E"/>
    <w:rsid w:val="005158C2"/>
    <w:rsid w:val="0051599D"/>
    <w:rsid w:val="00515ACD"/>
    <w:rsid w:val="00515B1F"/>
    <w:rsid w:val="00515B88"/>
    <w:rsid w:val="00515C35"/>
    <w:rsid w:val="00515C39"/>
    <w:rsid w:val="00515C76"/>
    <w:rsid w:val="00515CC9"/>
    <w:rsid w:val="00515CF6"/>
    <w:rsid w:val="00515D8C"/>
    <w:rsid w:val="00515DA0"/>
    <w:rsid w:val="00515DD6"/>
    <w:rsid w:val="00515DEE"/>
    <w:rsid w:val="00515E4A"/>
    <w:rsid w:val="00515F27"/>
    <w:rsid w:val="00516025"/>
    <w:rsid w:val="00516046"/>
    <w:rsid w:val="00516078"/>
    <w:rsid w:val="0051617B"/>
    <w:rsid w:val="005162B0"/>
    <w:rsid w:val="0051636C"/>
    <w:rsid w:val="0051644B"/>
    <w:rsid w:val="005165CD"/>
    <w:rsid w:val="0051668A"/>
    <w:rsid w:val="005166B5"/>
    <w:rsid w:val="005166C9"/>
    <w:rsid w:val="0051673D"/>
    <w:rsid w:val="00516770"/>
    <w:rsid w:val="0051682F"/>
    <w:rsid w:val="0051686F"/>
    <w:rsid w:val="00516936"/>
    <w:rsid w:val="005169C3"/>
    <w:rsid w:val="005169DE"/>
    <w:rsid w:val="00516AB2"/>
    <w:rsid w:val="00516AFB"/>
    <w:rsid w:val="00516B72"/>
    <w:rsid w:val="00516BBC"/>
    <w:rsid w:val="00516CC2"/>
    <w:rsid w:val="00516DB4"/>
    <w:rsid w:val="00516E61"/>
    <w:rsid w:val="00517056"/>
    <w:rsid w:val="00517066"/>
    <w:rsid w:val="0051711A"/>
    <w:rsid w:val="00517135"/>
    <w:rsid w:val="00517164"/>
    <w:rsid w:val="005171A5"/>
    <w:rsid w:val="0051724A"/>
    <w:rsid w:val="00517253"/>
    <w:rsid w:val="005172B7"/>
    <w:rsid w:val="005172BE"/>
    <w:rsid w:val="0051733B"/>
    <w:rsid w:val="00517346"/>
    <w:rsid w:val="0051735D"/>
    <w:rsid w:val="00517454"/>
    <w:rsid w:val="0051754D"/>
    <w:rsid w:val="00517593"/>
    <w:rsid w:val="00517666"/>
    <w:rsid w:val="00517692"/>
    <w:rsid w:val="005176BA"/>
    <w:rsid w:val="0051785D"/>
    <w:rsid w:val="00517887"/>
    <w:rsid w:val="005178CF"/>
    <w:rsid w:val="005178FC"/>
    <w:rsid w:val="00517913"/>
    <w:rsid w:val="00517A4A"/>
    <w:rsid w:val="00517BFB"/>
    <w:rsid w:val="00517C17"/>
    <w:rsid w:val="00517C7E"/>
    <w:rsid w:val="00517D15"/>
    <w:rsid w:val="00517E3E"/>
    <w:rsid w:val="00517E43"/>
    <w:rsid w:val="00517F25"/>
    <w:rsid w:val="00517F9D"/>
    <w:rsid w:val="00517FDC"/>
    <w:rsid w:val="0052005F"/>
    <w:rsid w:val="005200BC"/>
    <w:rsid w:val="005200CD"/>
    <w:rsid w:val="00520156"/>
    <w:rsid w:val="0052018D"/>
    <w:rsid w:val="00520200"/>
    <w:rsid w:val="00520344"/>
    <w:rsid w:val="00520475"/>
    <w:rsid w:val="005204CB"/>
    <w:rsid w:val="00520627"/>
    <w:rsid w:val="00520763"/>
    <w:rsid w:val="005207FF"/>
    <w:rsid w:val="00520812"/>
    <w:rsid w:val="0052098D"/>
    <w:rsid w:val="00520997"/>
    <w:rsid w:val="005209A0"/>
    <w:rsid w:val="005209FE"/>
    <w:rsid w:val="00520B5E"/>
    <w:rsid w:val="00520BCD"/>
    <w:rsid w:val="00520C73"/>
    <w:rsid w:val="00520D0A"/>
    <w:rsid w:val="00520D21"/>
    <w:rsid w:val="00520E28"/>
    <w:rsid w:val="00520E2D"/>
    <w:rsid w:val="00520F04"/>
    <w:rsid w:val="00520F06"/>
    <w:rsid w:val="00520F59"/>
    <w:rsid w:val="00520F87"/>
    <w:rsid w:val="00520FEA"/>
    <w:rsid w:val="00521009"/>
    <w:rsid w:val="00521068"/>
    <w:rsid w:val="0052118D"/>
    <w:rsid w:val="00521284"/>
    <w:rsid w:val="005212BB"/>
    <w:rsid w:val="005212CB"/>
    <w:rsid w:val="00521330"/>
    <w:rsid w:val="005213E0"/>
    <w:rsid w:val="0052143B"/>
    <w:rsid w:val="0052145A"/>
    <w:rsid w:val="0052159E"/>
    <w:rsid w:val="005215D7"/>
    <w:rsid w:val="005215E6"/>
    <w:rsid w:val="005216AF"/>
    <w:rsid w:val="00521717"/>
    <w:rsid w:val="00521739"/>
    <w:rsid w:val="00521768"/>
    <w:rsid w:val="005218DD"/>
    <w:rsid w:val="00521978"/>
    <w:rsid w:val="00521992"/>
    <w:rsid w:val="00521A15"/>
    <w:rsid w:val="00521A61"/>
    <w:rsid w:val="00521BA5"/>
    <w:rsid w:val="00521BB0"/>
    <w:rsid w:val="00521BD8"/>
    <w:rsid w:val="00521C7C"/>
    <w:rsid w:val="00521CC4"/>
    <w:rsid w:val="00521D7F"/>
    <w:rsid w:val="00521E94"/>
    <w:rsid w:val="00521F39"/>
    <w:rsid w:val="0052200B"/>
    <w:rsid w:val="00522163"/>
    <w:rsid w:val="00522178"/>
    <w:rsid w:val="005222BA"/>
    <w:rsid w:val="005224B2"/>
    <w:rsid w:val="0052254E"/>
    <w:rsid w:val="0052257E"/>
    <w:rsid w:val="00522789"/>
    <w:rsid w:val="005227AE"/>
    <w:rsid w:val="00522844"/>
    <w:rsid w:val="00522891"/>
    <w:rsid w:val="00522927"/>
    <w:rsid w:val="00522987"/>
    <w:rsid w:val="00522990"/>
    <w:rsid w:val="005229B0"/>
    <w:rsid w:val="005229DC"/>
    <w:rsid w:val="00522A26"/>
    <w:rsid w:val="00522B6F"/>
    <w:rsid w:val="00522BF0"/>
    <w:rsid w:val="00522C47"/>
    <w:rsid w:val="00522D6D"/>
    <w:rsid w:val="00522E03"/>
    <w:rsid w:val="00522E83"/>
    <w:rsid w:val="0052305E"/>
    <w:rsid w:val="005230CC"/>
    <w:rsid w:val="00523158"/>
    <w:rsid w:val="00523211"/>
    <w:rsid w:val="00523277"/>
    <w:rsid w:val="005232FB"/>
    <w:rsid w:val="005233B4"/>
    <w:rsid w:val="005233FD"/>
    <w:rsid w:val="005233FF"/>
    <w:rsid w:val="00523488"/>
    <w:rsid w:val="005234ED"/>
    <w:rsid w:val="0052350B"/>
    <w:rsid w:val="0052357B"/>
    <w:rsid w:val="00523693"/>
    <w:rsid w:val="00523701"/>
    <w:rsid w:val="00523827"/>
    <w:rsid w:val="005238AD"/>
    <w:rsid w:val="005239A5"/>
    <w:rsid w:val="00523A1C"/>
    <w:rsid w:val="00523A7B"/>
    <w:rsid w:val="00523B23"/>
    <w:rsid w:val="00523CB7"/>
    <w:rsid w:val="00523D25"/>
    <w:rsid w:val="00523DFA"/>
    <w:rsid w:val="00523EB2"/>
    <w:rsid w:val="00523F50"/>
    <w:rsid w:val="00523F6E"/>
    <w:rsid w:val="0052407B"/>
    <w:rsid w:val="005240E1"/>
    <w:rsid w:val="00524184"/>
    <w:rsid w:val="005242EB"/>
    <w:rsid w:val="0052431A"/>
    <w:rsid w:val="005244E2"/>
    <w:rsid w:val="0052454B"/>
    <w:rsid w:val="0052456B"/>
    <w:rsid w:val="0052458A"/>
    <w:rsid w:val="00524686"/>
    <w:rsid w:val="005246A5"/>
    <w:rsid w:val="0052471D"/>
    <w:rsid w:val="005248B2"/>
    <w:rsid w:val="005248FE"/>
    <w:rsid w:val="00524965"/>
    <w:rsid w:val="00524972"/>
    <w:rsid w:val="005249D6"/>
    <w:rsid w:val="00524A58"/>
    <w:rsid w:val="00524B01"/>
    <w:rsid w:val="00524B0B"/>
    <w:rsid w:val="00524C83"/>
    <w:rsid w:val="00524CE8"/>
    <w:rsid w:val="00524D3E"/>
    <w:rsid w:val="00524E45"/>
    <w:rsid w:val="00524E71"/>
    <w:rsid w:val="00524FF7"/>
    <w:rsid w:val="00525107"/>
    <w:rsid w:val="0052511C"/>
    <w:rsid w:val="0052518E"/>
    <w:rsid w:val="00525250"/>
    <w:rsid w:val="00525285"/>
    <w:rsid w:val="005252A4"/>
    <w:rsid w:val="005253D1"/>
    <w:rsid w:val="0052540B"/>
    <w:rsid w:val="00525449"/>
    <w:rsid w:val="00525458"/>
    <w:rsid w:val="005254BC"/>
    <w:rsid w:val="005254C4"/>
    <w:rsid w:val="005254C6"/>
    <w:rsid w:val="005254EC"/>
    <w:rsid w:val="00525526"/>
    <w:rsid w:val="00525532"/>
    <w:rsid w:val="005255B9"/>
    <w:rsid w:val="005255E6"/>
    <w:rsid w:val="005256FC"/>
    <w:rsid w:val="0052570E"/>
    <w:rsid w:val="00525795"/>
    <w:rsid w:val="005258A2"/>
    <w:rsid w:val="005258D3"/>
    <w:rsid w:val="00525A11"/>
    <w:rsid w:val="00525A80"/>
    <w:rsid w:val="00525A83"/>
    <w:rsid w:val="00525ADF"/>
    <w:rsid w:val="00525B07"/>
    <w:rsid w:val="00525B1C"/>
    <w:rsid w:val="00525B69"/>
    <w:rsid w:val="00525D27"/>
    <w:rsid w:val="00525D6A"/>
    <w:rsid w:val="00525EAA"/>
    <w:rsid w:val="00525FDB"/>
    <w:rsid w:val="005260A4"/>
    <w:rsid w:val="0052617E"/>
    <w:rsid w:val="005261A2"/>
    <w:rsid w:val="005262D2"/>
    <w:rsid w:val="005262FE"/>
    <w:rsid w:val="00526307"/>
    <w:rsid w:val="0052635C"/>
    <w:rsid w:val="005263E9"/>
    <w:rsid w:val="0052642B"/>
    <w:rsid w:val="0052648E"/>
    <w:rsid w:val="00526536"/>
    <w:rsid w:val="0052656C"/>
    <w:rsid w:val="00526575"/>
    <w:rsid w:val="0052657A"/>
    <w:rsid w:val="005265A3"/>
    <w:rsid w:val="005265D1"/>
    <w:rsid w:val="005265FF"/>
    <w:rsid w:val="0052675A"/>
    <w:rsid w:val="00526836"/>
    <w:rsid w:val="0052698E"/>
    <w:rsid w:val="00526A46"/>
    <w:rsid w:val="00526B86"/>
    <w:rsid w:val="00526BA9"/>
    <w:rsid w:val="00526BB0"/>
    <w:rsid w:val="00526C27"/>
    <w:rsid w:val="00526C63"/>
    <w:rsid w:val="00526DCA"/>
    <w:rsid w:val="00526DFF"/>
    <w:rsid w:val="00526E23"/>
    <w:rsid w:val="00526E39"/>
    <w:rsid w:val="00526F52"/>
    <w:rsid w:val="00526FD1"/>
    <w:rsid w:val="00527119"/>
    <w:rsid w:val="005271DA"/>
    <w:rsid w:val="00527206"/>
    <w:rsid w:val="00527236"/>
    <w:rsid w:val="005273BA"/>
    <w:rsid w:val="005273D0"/>
    <w:rsid w:val="00527447"/>
    <w:rsid w:val="00527473"/>
    <w:rsid w:val="005275ED"/>
    <w:rsid w:val="00527631"/>
    <w:rsid w:val="00527994"/>
    <w:rsid w:val="00527A13"/>
    <w:rsid w:val="00527A3C"/>
    <w:rsid w:val="00527A60"/>
    <w:rsid w:val="00527A7F"/>
    <w:rsid w:val="00527A9E"/>
    <w:rsid w:val="00527AF1"/>
    <w:rsid w:val="00527B57"/>
    <w:rsid w:val="00527C5E"/>
    <w:rsid w:val="00527CD0"/>
    <w:rsid w:val="00527CF6"/>
    <w:rsid w:val="00527D9E"/>
    <w:rsid w:val="00527ED0"/>
    <w:rsid w:val="00527EF9"/>
    <w:rsid w:val="00527F44"/>
    <w:rsid w:val="00527F50"/>
    <w:rsid w:val="00527FD0"/>
    <w:rsid w:val="00527FF4"/>
    <w:rsid w:val="0053000C"/>
    <w:rsid w:val="00530027"/>
    <w:rsid w:val="0053002A"/>
    <w:rsid w:val="0053007D"/>
    <w:rsid w:val="0053024D"/>
    <w:rsid w:val="00530387"/>
    <w:rsid w:val="005303E8"/>
    <w:rsid w:val="00530481"/>
    <w:rsid w:val="005305FF"/>
    <w:rsid w:val="00530641"/>
    <w:rsid w:val="005307DA"/>
    <w:rsid w:val="0053081E"/>
    <w:rsid w:val="005309CE"/>
    <w:rsid w:val="005309D0"/>
    <w:rsid w:val="00530C4C"/>
    <w:rsid w:val="00530C9B"/>
    <w:rsid w:val="00530CBD"/>
    <w:rsid w:val="00530D90"/>
    <w:rsid w:val="00530E17"/>
    <w:rsid w:val="00530E3A"/>
    <w:rsid w:val="00530E53"/>
    <w:rsid w:val="00530EB4"/>
    <w:rsid w:val="0053105E"/>
    <w:rsid w:val="005310E0"/>
    <w:rsid w:val="005311A9"/>
    <w:rsid w:val="005311AA"/>
    <w:rsid w:val="005311FC"/>
    <w:rsid w:val="0053121B"/>
    <w:rsid w:val="005313D2"/>
    <w:rsid w:val="0053148D"/>
    <w:rsid w:val="005314BC"/>
    <w:rsid w:val="00531786"/>
    <w:rsid w:val="00531798"/>
    <w:rsid w:val="0053188A"/>
    <w:rsid w:val="0053194D"/>
    <w:rsid w:val="005319B8"/>
    <w:rsid w:val="005319F4"/>
    <w:rsid w:val="005319FD"/>
    <w:rsid w:val="00531A59"/>
    <w:rsid w:val="00531A5A"/>
    <w:rsid w:val="00531B09"/>
    <w:rsid w:val="00531B12"/>
    <w:rsid w:val="00531C3F"/>
    <w:rsid w:val="00531CA4"/>
    <w:rsid w:val="00531CBB"/>
    <w:rsid w:val="00531E17"/>
    <w:rsid w:val="00531E2F"/>
    <w:rsid w:val="00531F5F"/>
    <w:rsid w:val="00531FC2"/>
    <w:rsid w:val="0053209E"/>
    <w:rsid w:val="005320F3"/>
    <w:rsid w:val="00532114"/>
    <w:rsid w:val="00532141"/>
    <w:rsid w:val="00532172"/>
    <w:rsid w:val="005321FA"/>
    <w:rsid w:val="00532334"/>
    <w:rsid w:val="0053234C"/>
    <w:rsid w:val="005323F2"/>
    <w:rsid w:val="00532466"/>
    <w:rsid w:val="00532472"/>
    <w:rsid w:val="005324AF"/>
    <w:rsid w:val="00532636"/>
    <w:rsid w:val="00532647"/>
    <w:rsid w:val="00532779"/>
    <w:rsid w:val="005327AC"/>
    <w:rsid w:val="005327F6"/>
    <w:rsid w:val="005328B0"/>
    <w:rsid w:val="00532940"/>
    <w:rsid w:val="005329FF"/>
    <w:rsid w:val="00532D55"/>
    <w:rsid w:val="00532DA9"/>
    <w:rsid w:val="00532E15"/>
    <w:rsid w:val="00532EC1"/>
    <w:rsid w:val="0053311C"/>
    <w:rsid w:val="00533145"/>
    <w:rsid w:val="00533361"/>
    <w:rsid w:val="005333F0"/>
    <w:rsid w:val="00533417"/>
    <w:rsid w:val="00533597"/>
    <w:rsid w:val="00533623"/>
    <w:rsid w:val="0053362B"/>
    <w:rsid w:val="005336BD"/>
    <w:rsid w:val="00533725"/>
    <w:rsid w:val="00533727"/>
    <w:rsid w:val="00533754"/>
    <w:rsid w:val="00533823"/>
    <w:rsid w:val="0053383A"/>
    <w:rsid w:val="00533865"/>
    <w:rsid w:val="00533871"/>
    <w:rsid w:val="005338C0"/>
    <w:rsid w:val="00533926"/>
    <w:rsid w:val="00533A01"/>
    <w:rsid w:val="00533A51"/>
    <w:rsid w:val="00533B56"/>
    <w:rsid w:val="00533B6E"/>
    <w:rsid w:val="00533CCD"/>
    <w:rsid w:val="00533D05"/>
    <w:rsid w:val="00533E60"/>
    <w:rsid w:val="00533E8B"/>
    <w:rsid w:val="00533F89"/>
    <w:rsid w:val="00533FE3"/>
    <w:rsid w:val="0053402C"/>
    <w:rsid w:val="00534090"/>
    <w:rsid w:val="00534240"/>
    <w:rsid w:val="0053426A"/>
    <w:rsid w:val="00534403"/>
    <w:rsid w:val="005346B7"/>
    <w:rsid w:val="005346BF"/>
    <w:rsid w:val="0053472E"/>
    <w:rsid w:val="0053478E"/>
    <w:rsid w:val="005347B4"/>
    <w:rsid w:val="005347BE"/>
    <w:rsid w:val="0053487C"/>
    <w:rsid w:val="005348D6"/>
    <w:rsid w:val="005349CF"/>
    <w:rsid w:val="00534ABA"/>
    <w:rsid w:val="00534AC1"/>
    <w:rsid w:val="00534B80"/>
    <w:rsid w:val="00534B87"/>
    <w:rsid w:val="00534C3B"/>
    <w:rsid w:val="00534C42"/>
    <w:rsid w:val="00534C83"/>
    <w:rsid w:val="00534D32"/>
    <w:rsid w:val="00534D7F"/>
    <w:rsid w:val="00535037"/>
    <w:rsid w:val="00535088"/>
    <w:rsid w:val="00535098"/>
    <w:rsid w:val="00535127"/>
    <w:rsid w:val="005351E3"/>
    <w:rsid w:val="005352BE"/>
    <w:rsid w:val="0053531A"/>
    <w:rsid w:val="0053538D"/>
    <w:rsid w:val="00535578"/>
    <w:rsid w:val="005355FE"/>
    <w:rsid w:val="00535693"/>
    <w:rsid w:val="00535711"/>
    <w:rsid w:val="005357AD"/>
    <w:rsid w:val="005357F7"/>
    <w:rsid w:val="00535807"/>
    <w:rsid w:val="00535846"/>
    <w:rsid w:val="00535857"/>
    <w:rsid w:val="0053587D"/>
    <w:rsid w:val="005358E5"/>
    <w:rsid w:val="005359D3"/>
    <w:rsid w:val="00535BCE"/>
    <w:rsid w:val="00535C6D"/>
    <w:rsid w:val="00535D6D"/>
    <w:rsid w:val="00535E2C"/>
    <w:rsid w:val="00535EDF"/>
    <w:rsid w:val="00535EED"/>
    <w:rsid w:val="00535EF8"/>
    <w:rsid w:val="00535F3D"/>
    <w:rsid w:val="00535FFF"/>
    <w:rsid w:val="00536114"/>
    <w:rsid w:val="00536134"/>
    <w:rsid w:val="0053616F"/>
    <w:rsid w:val="0053618B"/>
    <w:rsid w:val="005361BF"/>
    <w:rsid w:val="0053632C"/>
    <w:rsid w:val="00536470"/>
    <w:rsid w:val="0053659F"/>
    <w:rsid w:val="005365E2"/>
    <w:rsid w:val="005365F5"/>
    <w:rsid w:val="00536638"/>
    <w:rsid w:val="0053672E"/>
    <w:rsid w:val="00536814"/>
    <w:rsid w:val="00536878"/>
    <w:rsid w:val="005368AD"/>
    <w:rsid w:val="00536972"/>
    <w:rsid w:val="005369BB"/>
    <w:rsid w:val="005369D4"/>
    <w:rsid w:val="00536A05"/>
    <w:rsid w:val="00536AD4"/>
    <w:rsid w:val="00536B40"/>
    <w:rsid w:val="00536B97"/>
    <w:rsid w:val="00536BCB"/>
    <w:rsid w:val="00536C05"/>
    <w:rsid w:val="00536C92"/>
    <w:rsid w:val="00536CA5"/>
    <w:rsid w:val="00536D3E"/>
    <w:rsid w:val="00536E66"/>
    <w:rsid w:val="00536EA0"/>
    <w:rsid w:val="0053700D"/>
    <w:rsid w:val="0053705E"/>
    <w:rsid w:val="005370BC"/>
    <w:rsid w:val="0053717A"/>
    <w:rsid w:val="005372A1"/>
    <w:rsid w:val="005372BC"/>
    <w:rsid w:val="00537320"/>
    <w:rsid w:val="0053736C"/>
    <w:rsid w:val="00537437"/>
    <w:rsid w:val="0053750A"/>
    <w:rsid w:val="0053752B"/>
    <w:rsid w:val="00537535"/>
    <w:rsid w:val="0053759F"/>
    <w:rsid w:val="00537651"/>
    <w:rsid w:val="00537682"/>
    <w:rsid w:val="00537688"/>
    <w:rsid w:val="005376A7"/>
    <w:rsid w:val="005376CD"/>
    <w:rsid w:val="0053786B"/>
    <w:rsid w:val="0053786F"/>
    <w:rsid w:val="005378A4"/>
    <w:rsid w:val="005378FE"/>
    <w:rsid w:val="00537A4C"/>
    <w:rsid w:val="00537AF5"/>
    <w:rsid w:val="00537B35"/>
    <w:rsid w:val="00537BC5"/>
    <w:rsid w:val="00537D59"/>
    <w:rsid w:val="00537DE7"/>
    <w:rsid w:val="00537DEE"/>
    <w:rsid w:val="00537EC4"/>
    <w:rsid w:val="00537F24"/>
    <w:rsid w:val="00537FE4"/>
    <w:rsid w:val="005400AB"/>
    <w:rsid w:val="0054025A"/>
    <w:rsid w:val="0054027D"/>
    <w:rsid w:val="0054029B"/>
    <w:rsid w:val="005402C8"/>
    <w:rsid w:val="005402ED"/>
    <w:rsid w:val="005403D2"/>
    <w:rsid w:val="00540471"/>
    <w:rsid w:val="0054051B"/>
    <w:rsid w:val="0054060D"/>
    <w:rsid w:val="0054064B"/>
    <w:rsid w:val="0054068E"/>
    <w:rsid w:val="005406FE"/>
    <w:rsid w:val="0054070F"/>
    <w:rsid w:val="00540715"/>
    <w:rsid w:val="0054073F"/>
    <w:rsid w:val="00540807"/>
    <w:rsid w:val="0054091A"/>
    <w:rsid w:val="0054099A"/>
    <w:rsid w:val="00540B3E"/>
    <w:rsid w:val="00540D87"/>
    <w:rsid w:val="00540E2B"/>
    <w:rsid w:val="00540E43"/>
    <w:rsid w:val="00540F94"/>
    <w:rsid w:val="00541043"/>
    <w:rsid w:val="0054106D"/>
    <w:rsid w:val="005410A2"/>
    <w:rsid w:val="005410A7"/>
    <w:rsid w:val="005410E3"/>
    <w:rsid w:val="0054111E"/>
    <w:rsid w:val="00541138"/>
    <w:rsid w:val="00541189"/>
    <w:rsid w:val="005411DE"/>
    <w:rsid w:val="00541222"/>
    <w:rsid w:val="00541268"/>
    <w:rsid w:val="00541277"/>
    <w:rsid w:val="00541287"/>
    <w:rsid w:val="00541298"/>
    <w:rsid w:val="00541364"/>
    <w:rsid w:val="00541502"/>
    <w:rsid w:val="00541554"/>
    <w:rsid w:val="00541681"/>
    <w:rsid w:val="005416FC"/>
    <w:rsid w:val="00541784"/>
    <w:rsid w:val="005417AE"/>
    <w:rsid w:val="005417ED"/>
    <w:rsid w:val="0054180A"/>
    <w:rsid w:val="0054196C"/>
    <w:rsid w:val="00541998"/>
    <w:rsid w:val="00541A39"/>
    <w:rsid w:val="00541A8D"/>
    <w:rsid w:val="00541AE1"/>
    <w:rsid w:val="00541AE7"/>
    <w:rsid w:val="00541BD3"/>
    <w:rsid w:val="00541D0B"/>
    <w:rsid w:val="00541D0E"/>
    <w:rsid w:val="00541D4D"/>
    <w:rsid w:val="00541DB5"/>
    <w:rsid w:val="00541DC1"/>
    <w:rsid w:val="00541DE1"/>
    <w:rsid w:val="00541E0D"/>
    <w:rsid w:val="00541FAC"/>
    <w:rsid w:val="005420EF"/>
    <w:rsid w:val="00542107"/>
    <w:rsid w:val="0054214F"/>
    <w:rsid w:val="005421F3"/>
    <w:rsid w:val="00542270"/>
    <w:rsid w:val="0054231B"/>
    <w:rsid w:val="00542367"/>
    <w:rsid w:val="00542431"/>
    <w:rsid w:val="005424DA"/>
    <w:rsid w:val="005425AF"/>
    <w:rsid w:val="00542612"/>
    <w:rsid w:val="00542651"/>
    <w:rsid w:val="0054266B"/>
    <w:rsid w:val="00542797"/>
    <w:rsid w:val="0054285B"/>
    <w:rsid w:val="0054298A"/>
    <w:rsid w:val="005429A8"/>
    <w:rsid w:val="00542A3D"/>
    <w:rsid w:val="00542ADA"/>
    <w:rsid w:val="00542ADF"/>
    <w:rsid w:val="00542C00"/>
    <w:rsid w:val="00542C5F"/>
    <w:rsid w:val="00542DE2"/>
    <w:rsid w:val="00542E01"/>
    <w:rsid w:val="00542EE4"/>
    <w:rsid w:val="00542F24"/>
    <w:rsid w:val="00542F33"/>
    <w:rsid w:val="00542F6F"/>
    <w:rsid w:val="00543010"/>
    <w:rsid w:val="0054302E"/>
    <w:rsid w:val="00543033"/>
    <w:rsid w:val="0054306D"/>
    <w:rsid w:val="00543075"/>
    <w:rsid w:val="005430A4"/>
    <w:rsid w:val="005430DA"/>
    <w:rsid w:val="0054314A"/>
    <w:rsid w:val="0054323A"/>
    <w:rsid w:val="0054326E"/>
    <w:rsid w:val="00543288"/>
    <w:rsid w:val="005432EF"/>
    <w:rsid w:val="005432F6"/>
    <w:rsid w:val="005434B8"/>
    <w:rsid w:val="00543551"/>
    <w:rsid w:val="00543563"/>
    <w:rsid w:val="005435C8"/>
    <w:rsid w:val="00543623"/>
    <w:rsid w:val="00543632"/>
    <w:rsid w:val="0054369E"/>
    <w:rsid w:val="00543769"/>
    <w:rsid w:val="005439DF"/>
    <w:rsid w:val="005439EE"/>
    <w:rsid w:val="00543C78"/>
    <w:rsid w:val="00543CD6"/>
    <w:rsid w:val="00543CEB"/>
    <w:rsid w:val="00543E03"/>
    <w:rsid w:val="00543EC1"/>
    <w:rsid w:val="00543F0A"/>
    <w:rsid w:val="00543FDC"/>
    <w:rsid w:val="00543FEB"/>
    <w:rsid w:val="0054408A"/>
    <w:rsid w:val="005440AB"/>
    <w:rsid w:val="00544160"/>
    <w:rsid w:val="005441F4"/>
    <w:rsid w:val="00544220"/>
    <w:rsid w:val="00544246"/>
    <w:rsid w:val="00544331"/>
    <w:rsid w:val="005443A4"/>
    <w:rsid w:val="005443C2"/>
    <w:rsid w:val="005443CC"/>
    <w:rsid w:val="0054447B"/>
    <w:rsid w:val="005444F5"/>
    <w:rsid w:val="0054452D"/>
    <w:rsid w:val="00544531"/>
    <w:rsid w:val="005447F6"/>
    <w:rsid w:val="00544826"/>
    <w:rsid w:val="00544838"/>
    <w:rsid w:val="005448D9"/>
    <w:rsid w:val="00544A38"/>
    <w:rsid w:val="00544A9C"/>
    <w:rsid w:val="00544AD6"/>
    <w:rsid w:val="00544BFA"/>
    <w:rsid w:val="00544C60"/>
    <w:rsid w:val="00544D55"/>
    <w:rsid w:val="00544DA0"/>
    <w:rsid w:val="00544E75"/>
    <w:rsid w:val="00544E7E"/>
    <w:rsid w:val="00544E98"/>
    <w:rsid w:val="00544EBB"/>
    <w:rsid w:val="00544F02"/>
    <w:rsid w:val="00544FDB"/>
    <w:rsid w:val="0054507C"/>
    <w:rsid w:val="005450A5"/>
    <w:rsid w:val="005450E3"/>
    <w:rsid w:val="00545304"/>
    <w:rsid w:val="00545365"/>
    <w:rsid w:val="00545379"/>
    <w:rsid w:val="00545387"/>
    <w:rsid w:val="005454BD"/>
    <w:rsid w:val="00545515"/>
    <w:rsid w:val="00545524"/>
    <w:rsid w:val="005455EB"/>
    <w:rsid w:val="00545678"/>
    <w:rsid w:val="005456BF"/>
    <w:rsid w:val="00545723"/>
    <w:rsid w:val="005457E4"/>
    <w:rsid w:val="00545835"/>
    <w:rsid w:val="0054587E"/>
    <w:rsid w:val="005458C7"/>
    <w:rsid w:val="00545955"/>
    <w:rsid w:val="00545956"/>
    <w:rsid w:val="00545A83"/>
    <w:rsid w:val="00545A86"/>
    <w:rsid w:val="00545B36"/>
    <w:rsid w:val="00545C61"/>
    <w:rsid w:val="00545D6F"/>
    <w:rsid w:val="00545DFD"/>
    <w:rsid w:val="00545EF7"/>
    <w:rsid w:val="00545F58"/>
    <w:rsid w:val="00545F7F"/>
    <w:rsid w:val="00546044"/>
    <w:rsid w:val="00546050"/>
    <w:rsid w:val="0054608A"/>
    <w:rsid w:val="005462A7"/>
    <w:rsid w:val="0054639A"/>
    <w:rsid w:val="005463C8"/>
    <w:rsid w:val="005463FF"/>
    <w:rsid w:val="00546623"/>
    <w:rsid w:val="0054676D"/>
    <w:rsid w:val="00546797"/>
    <w:rsid w:val="00546894"/>
    <w:rsid w:val="005468D3"/>
    <w:rsid w:val="005469C2"/>
    <w:rsid w:val="00546C49"/>
    <w:rsid w:val="00546C60"/>
    <w:rsid w:val="00546C69"/>
    <w:rsid w:val="00546CA8"/>
    <w:rsid w:val="00546CDB"/>
    <w:rsid w:val="00546E70"/>
    <w:rsid w:val="00546E87"/>
    <w:rsid w:val="00546F27"/>
    <w:rsid w:val="00546F53"/>
    <w:rsid w:val="00546FC9"/>
    <w:rsid w:val="00546FF0"/>
    <w:rsid w:val="00547124"/>
    <w:rsid w:val="00547135"/>
    <w:rsid w:val="0054718D"/>
    <w:rsid w:val="005471DC"/>
    <w:rsid w:val="0054720C"/>
    <w:rsid w:val="0054720D"/>
    <w:rsid w:val="0054721C"/>
    <w:rsid w:val="00547239"/>
    <w:rsid w:val="005472D3"/>
    <w:rsid w:val="00547317"/>
    <w:rsid w:val="00547609"/>
    <w:rsid w:val="0054764B"/>
    <w:rsid w:val="00547673"/>
    <w:rsid w:val="005476A8"/>
    <w:rsid w:val="0054773B"/>
    <w:rsid w:val="0054784A"/>
    <w:rsid w:val="00547854"/>
    <w:rsid w:val="005478BD"/>
    <w:rsid w:val="00547A4D"/>
    <w:rsid w:val="00547B09"/>
    <w:rsid w:val="00547B2C"/>
    <w:rsid w:val="00547B9B"/>
    <w:rsid w:val="00547E9D"/>
    <w:rsid w:val="00547EE3"/>
    <w:rsid w:val="00547FCB"/>
    <w:rsid w:val="0054C6A1"/>
    <w:rsid w:val="0055000F"/>
    <w:rsid w:val="0055006A"/>
    <w:rsid w:val="0055010B"/>
    <w:rsid w:val="005501E6"/>
    <w:rsid w:val="00550283"/>
    <w:rsid w:val="005502CC"/>
    <w:rsid w:val="005502D2"/>
    <w:rsid w:val="0055032E"/>
    <w:rsid w:val="005503A6"/>
    <w:rsid w:val="00550478"/>
    <w:rsid w:val="0055047A"/>
    <w:rsid w:val="005505BB"/>
    <w:rsid w:val="00550670"/>
    <w:rsid w:val="0055080F"/>
    <w:rsid w:val="00550820"/>
    <w:rsid w:val="0055085A"/>
    <w:rsid w:val="00550A47"/>
    <w:rsid w:val="00550BA9"/>
    <w:rsid w:val="00550BC3"/>
    <w:rsid w:val="00550C38"/>
    <w:rsid w:val="00550C4B"/>
    <w:rsid w:val="00550D23"/>
    <w:rsid w:val="00550D54"/>
    <w:rsid w:val="00550D59"/>
    <w:rsid w:val="00550D66"/>
    <w:rsid w:val="00550ED4"/>
    <w:rsid w:val="00550F15"/>
    <w:rsid w:val="00550F89"/>
    <w:rsid w:val="00550FB9"/>
    <w:rsid w:val="0055110D"/>
    <w:rsid w:val="0055110F"/>
    <w:rsid w:val="005512B5"/>
    <w:rsid w:val="005512F0"/>
    <w:rsid w:val="0055132C"/>
    <w:rsid w:val="00551377"/>
    <w:rsid w:val="005513FC"/>
    <w:rsid w:val="005516A1"/>
    <w:rsid w:val="005516A7"/>
    <w:rsid w:val="00551712"/>
    <w:rsid w:val="005517BA"/>
    <w:rsid w:val="005517E8"/>
    <w:rsid w:val="00551838"/>
    <w:rsid w:val="005518B4"/>
    <w:rsid w:val="005519FB"/>
    <w:rsid w:val="00551A12"/>
    <w:rsid w:val="00551A78"/>
    <w:rsid w:val="00551ACB"/>
    <w:rsid w:val="00551B9D"/>
    <w:rsid w:val="00551BAE"/>
    <w:rsid w:val="00551BC4"/>
    <w:rsid w:val="00551C9A"/>
    <w:rsid w:val="00551CE6"/>
    <w:rsid w:val="00551DC7"/>
    <w:rsid w:val="00551E6B"/>
    <w:rsid w:val="00551E74"/>
    <w:rsid w:val="00551F19"/>
    <w:rsid w:val="00551F49"/>
    <w:rsid w:val="00551F81"/>
    <w:rsid w:val="00551FB8"/>
    <w:rsid w:val="00551FC2"/>
    <w:rsid w:val="00551FFA"/>
    <w:rsid w:val="0055210F"/>
    <w:rsid w:val="00552198"/>
    <w:rsid w:val="005521BA"/>
    <w:rsid w:val="0055247C"/>
    <w:rsid w:val="00552489"/>
    <w:rsid w:val="0055249E"/>
    <w:rsid w:val="005524D5"/>
    <w:rsid w:val="005524E6"/>
    <w:rsid w:val="0055257C"/>
    <w:rsid w:val="00552736"/>
    <w:rsid w:val="0055294E"/>
    <w:rsid w:val="005529D5"/>
    <w:rsid w:val="005529E1"/>
    <w:rsid w:val="00552A12"/>
    <w:rsid w:val="00552A67"/>
    <w:rsid w:val="00552BD0"/>
    <w:rsid w:val="00552BD7"/>
    <w:rsid w:val="00552BF2"/>
    <w:rsid w:val="00552CD7"/>
    <w:rsid w:val="00552CE3"/>
    <w:rsid w:val="00552E33"/>
    <w:rsid w:val="00552F25"/>
    <w:rsid w:val="005530F2"/>
    <w:rsid w:val="00553129"/>
    <w:rsid w:val="005532B6"/>
    <w:rsid w:val="005533BE"/>
    <w:rsid w:val="005533DC"/>
    <w:rsid w:val="00553493"/>
    <w:rsid w:val="005534E4"/>
    <w:rsid w:val="0055353A"/>
    <w:rsid w:val="005535D2"/>
    <w:rsid w:val="00553787"/>
    <w:rsid w:val="005537E3"/>
    <w:rsid w:val="005537EE"/>
    <w:rsid w:val="005538A2"/>
    <w:rsid w:val="005538D0"/>
    <w:rsid w:val="00553A47"/>
    <w:rsid w:val="00553A7F"/>
    <w:rsid w:val="00553A98"/>
    <w:rsid w:val="00553AD1"/>
    <w:rsid w:val="00553B2A"/>
    <w:rsid w:val="00553C4D"/>
    <w:rsid w:val="00553D0B"/>
    <w:rsid w:val="00553D6A"/>
    <w:rsid w:val="00553D72"/>
    <w:rsid w:val="00553DF1"/>
    <w:rsid w:val="00553ED2"/>
    <w:rsid w:val="00553F71"/>
    <w:rsid w:val="00553F88"/>
    <w:rsid w:val="00554029"/>
    <w:rsid w:val="00554086"/>
    <w:rsid w:val="005541BB"/>
    <w:rsid w:val="005541CF"/>
    <w:rsid w:val="005541F1"/>
    <w:rsid w:val="0055420C"/>
    <w:rsid w:val="0055421A"/>
    <w:rsid w:val="005543A6"/>
    <w:rsid w:val="00554406"/>
    <w:rsid w:val="00554577"/>
    <w:rsid w:val="0055460F"/>
    <w:rsid w:val="00554617"/>
    <w:rsid w:val="00554629"/>
    <w:rsid w:val="0055476E"/>
    <w:rsid w:val="005547C5"/>
    <w:rsid w:val="005547E1"/>
    <w:rsid w:val="00554878"/>
    <w:rsid w:val="0055494E"/>
    <w:rsid w:val="0055498B"/>
    <w:rsid w:val="00554A59"/>
    <w:rsid w:val="00554A87"/>
    <w:rsid w:val="00554B30"/>
    <w:rsid w:val="00554B5B"/>
    <w:rsid w:val="00554B7F"/>
    <w:rsid w:val="00554D9A"/>
    <w:rsid w:val="00554DF0"/>
    <w:rsid w:val="00554E3B"/>
    <w:rsid w:val="00554E84"/>
    <w:rsid w:val="00554EC5"/>
    <w:rsid w:val="00554F03"/>
    <w:rsid w:val="00554F46"/>
    <w:rsid w:val="00554F6B"/>
    <w:rsid w:val="00554F7D"/>
    <w:rsid w:val="00554FCC"/>
    <w:rsid w:val="00554FFB"/>
    <w:rsid w:val="005550DA"/>
    <w:rsid w:val="00555123"/>
    <w:rsid w:val="00555160"/>
    <w:rsid w:val="0055527E"/>
    <w:rsid w:val="00555288"/>
    <w:rsid w:val="005554D7"/>
    <w:rsid w:val="0055551B"/>
    <w:rsid w:val="0055559D"/>
    <w:rsid w:val="00555634"/>
    <w:rsid w:val="005556AE"/>
    <w:rsid w:val="0055571F"/>
    <w:rsid w:val="00555745"/>
    <w:rsid w:val="00555759"/>
    <w:rsid w:val="005557B7"/>
    <w:rsid w:val="00555828"/>
    <w:rsid w:val="00555832"/>
    <w:rsid w:val="0055586B"/>
    <w:rsid w:val="005558EF"/>
    <w:rsid w:val="00555AAC"/>
    <w:rsid w:val="00555B8B"/>
    <w:rsid w:val="00555C06"/>
    <w:rsid w:val="00555C0D"/>
    <w:rsid w:val="00555D13"/>
    <w:rsid w:val="00555D28"/>
    <w:rsid w:val="00555DD7"/>
    <w:rsid w:val="00555E71"/>
    <w:rsid w:val="00555FEF"/>
    <w:rsid w:val="005560B1"/>
    <w:rsid w:val="00556147"/>
    <w:rsid w:val="00556373"/>
    <w:rsid w:val="0055645A"/>
    <w:rsid w:val="00556496"/>
    <w:rsid w:val="00556635"/>
    <w:rsid w:val="005566BE"/>
    <w:rsid w:val="00556760"/>
    <w:rsid w:val="0055679A"/>
    <w:rsid w:val="005568DE"/>
    <w:rsid w:val="005569FC"/>
    <w:rsid w:val="00556A5E"/>
    <w:rsid w:val="00556AE2"/>
    <w:rsid w:val="00556CA0"/>
    <w:rsid w:val="00556CD3"/>
    <w:rsid w:val="00556CE5"/>
    <w:rsid w:val="00556D11"/>
    <w:rsid w:val="00556DA0"/>
    <w:rsid w:val="00556E20"/>
    <w:rsid w:val="00556EAC"/>
    <w:rsid w:val="00556EEC"/>
    <w:rsid w:val="00556F9C"/>
    <w:rsid w:val="00556FB9"/>
    <w:rsid w:val="005570A9"/>
    <w:rsid w:val="0055718F"/>
    <w:rsid w:val="005571FC"/>
    <w:rsid w:val="00557241"/>
    <w:rsid w:val="0055725B"/>
    <w:rsid w:val="00557296"/>
    <w:rsid w:val="005573E0"/>
    <w:rsid w:val="005573F9"/>
    <w:rsid w:val="00557501"/>
    <w:rsid w:val="005576B2"/>
    <w:rsid w:val="005576D0"/>
    <w:rsid w:val="005577D6"/>
    <w:rsid w:val="0055783F"/>
    <w:rsid w:val="005578F2"/>
    <w:rsid w:val="005579D7"/>
    <w:rsid w:val="005579E4"/>
    <w:rsid w:val="00557A62"/>
    <w:rsid w:val="00557A81"/>
    <w:rsid w:val="00557ACB"/>
    <w:rsid w:val="00557B6B"/>
    <w:rsid w:val="00557BC5"/>
    <w:rsid w:val="00557C50"/>
    <w:rsid w:val="00557C7B"/>
    <w:rsid w:val="00557CFB"/>
    <w:rsid w:val="00557EFD"/>
    <w:rsid w:val="00557F23"/>
    <w:rsid w:val="00557F9D"/>
    <w:rsid w:val="00560024"/>
    <w:rsid w:val="00560042"/>
    <w:rsid w:val="00560119"/>
    <w:rsid w:val="0056014F"/>
    <w:rsid w:val="005601B9"/>
    <w:rsid w:val="005602CA"/>
    <w:rsid w:val="005602D3"/>
    <w:rsid w:val="00560333"/>
    <w:rsid w:val="00560355"/>
    <w:rsid w:val="0056035C"/>
    <w:rsid w:val="0056035E"/>
    <w:rsid w:val="005603BE"/>
    <w:rsid w:val="00560540"/>
    <w:rsid w:val="005606B6"/>
    <w:rsid w:val="00560721"/>
    <w:rsid w:val="005607E9"/>
    <w:rsid w:val="0056088E"/>
    <w:rsid w:val="005608D6"/>
    <w:rsid w:val="005608E8"/>
    <w:rsid w:val="005608F7"/>
    <w:rsid w:val="005608FB"/>
    <w:rsid w:val="005609FE"/>
    <w:rsid w:val="00560A89"/>
    <w:rsid w:val="00560AA6"/>
    <w:rsid w:val="00560AA9"/>
    <w:rsid w:val="00560AF0"/>
    <w:rsid w:val="00560C02"/>
    <w:rsid w:val="00560C1F"/>
    <w:rsid w:val="00560D4C"/>
    <w:rsid w:val="00560DAF"/>
    <w:rsid w:val="00560DD5"/>
    <w:rsid w:val="00560E17"/>
    <w:rsid w:val="00560F12"/>
    <w:rsid w:val="00560F19"/>
    <w:rsid w:val="00560F45"/>
    <w:rsid w:val="005610C8"/>
    <w:rsid w:val="005610DA"/>
    <w:rsid w:val="005611B7"/>
    <w:rsid w:val="005611FA"/>
    <w:rsid w:val="00561211"/>
    <w:rsid w:val="0056126D"/>
    <w:rsid w:val="00561277"/>
    <w:rsid w:val="0056152A"/>
    <w:rsid w:val="0056161B"/>
    <w:rsid w:val="00561703"/>
    <w:rsid w:val="005618C3"/>
    <w:rsid w:val="005618E6"/>
    <w:rsid w:val="005618ED"/>
    <w:rsid w:val="005618F5"/>
    <w:rsid w:val="005618FC"/>
    <w:rsid w:val="0056195F"/>
    <w:rsid w:val="00561996"/>
    <w:rsid w:val="005619F7"/>
    <w:rsid w:val="00561A17"/>
    <w:rsid w:val="00561AC0"/>
    <w:rsid w:val="00561BAB"/>
    <w:rsid w:val="00561CE7"/>
    <w:rsid w:val="00561D24"/>
    <w:rsid w:val="00561D3B"/>
    <w:rsid w:val="00561D5E"/>
    <w:rsid w:val="00561E6B"/>
    <w:rsid w:val="00561E8B"/>
    <w:rsid w:val="00561F42"/>
    <w:rsid w:val="00562138"/>
    <w:rsid w:val="005621D2"/>
    <w:rsid w:val="005621E0"/>
    <w:rsid w:val="0056229F"/>
    <w:rsid w:val="00562443"/>
    <w:rsid w:val="00562456"/>
    <w:rsid w:val="00562496"/>
    <w:rsid w:val="0056265C"/>
    <w:rsid w:val="00562745"/>
    <w:rsid w:val="0056275C"/>
    <w:rsid w:val="00562773"/>
    <w:rsid w:val="005627B8"/>
    <w:rsid w:val="00562803"/>
    <w:rsid w:val="0056298B"/>
    <w:rsid w:val="005629A5"/>
    <w:rsid w:val="00562A85"/>
    <w:rsid w:val="00562AC7"/>
    <w:rsid w:val="00562BA2"/>
    <w:rsid w:val="00562D41"/>
    <w:rsid w:val="00562D90"/>
    <w:rsid w:val="00562DD3"/>
    <w:rsid w:val="00562EDA"/>
    <w:rsid w:val="00562F5B"/>
    <w:rsid w:val="00562F6B"/>
    <w:rsid w:val="0056301A"/>
    <w:rsid w:val="00563026"/>
    <w:rsid w:val="00563176"/>
    <w:rsid w:val="005631F0"/>
    <w:rsid w:val="00563263"/>
    <w:rsid w:val="00563359"/>
    <w:rsid w:val="005633EE"/>
    <w:rsid w:val="005633EF"/>
    <w:rsid w:val="00563514"/>
    <w:rsid w:val="0056356C"/>
    <w:rsid w:val="00563577"/>
    <w:rsid w:val="00563585"/>
    <w:rsid w:val="005636AB"/>
    <w:rsid w:val="005636E0"/>
    <w:rsid w:val="005637CA"/>
    <w:rsid w:val="005637FB"/>
    <w:rsid w:val="00563873"/>
    <w:rsid w:val="005638EE"/>
    <w:rsid w:val="00563972"/>
    <w:rsid w:val="005639E0"/>
    <w:rsid w:val="00563A23"/>
    <w:rsid w:val="00563A5A"/>
    <w:rsid w:val="00563B02"/>
    <w:rsid w:val="00563C61"/>
    <w:rsid w:val="00563CC8"/>
    <w:rsid w:val="00563DCE"/>
    <w:rsid w:val="00563E05"/>
    <w:rsid w:val="00563E9A"/>
    <w:rsid w:val="00563ECB"/>
    <w:rsid w:val="00563F47"/>
    <w:rsid w:val="00564054"/>
    <w:rsid w:val="005640BB"/>
    <w:rsid w:val="005641AF"/>
    <w:rsid w:val="0056423F"/>
    <w:rsid w:val="005642DF"/>
    <w:rsid w:val="00564386"/>
    <w:rsid w:val="0056440F"/>
    <w:rsid w:val="00564451"/>
    <w:rsid w:val="00564511"/>
    <w:rsid w:val="00564724"/>
    <w:rsid w:val="0056472B"/>
    <w:rsid w:val="005647FF"/>
    <w:rsid w:val="00564818"/>
    <w:rsid w:val="005648EA"/>
    <w:rsid w:val="005649C8"/>
    <w:rsid w:val="00564B03"/>
    <w:rsid w:val="00564BD0"/>
    <w:rsid w:val="00564BE5"/>
    <w:rsid w:val="00564C23"/>
    <w:rsid w:val="00564CB4"/>
    <w:rsid w:val="00564E85"/>
    <w:rsid w:val="005650BC"/>
    <w:rsid w:val="0056515B"/>
    <w:rsid w:val="00565169"/>
    <w:rsid w:val="0056525D"/>
    <w:rsid w:val="00565332"/>
    <w:rsid w:val="00565381"/>
    <w:rsid w:val="00565406"/>
    <w:rsid w:val="00565422"/>
    <w:rsid w:val="00565424"/>
    <w:rsid w:val="00565456"/>
    <w:rsid w:val="0056550A"/>
    <w:rsid w:val="0056556E"/>
    <w:rsid w:val="00565570"/>
    <w:rsid w:val="005655B7"/>
    <w:rsid w:val="005655E2"/>
    <w:rsid w:val="005655E8"/>
    <w:rsid w:val="0056569B"/>
    <w:rsid w:val="005656AE"/>
    <w:rsid w:val="005656E4"/>
    <w:rsid w:val="005656EB"/>
    <w:rsid w:val="00565751"/>
    <w:rsid w:val="005657DD"/>
    <w:rsid w:val="005658BA"/>
    <w:rsid w:val="00565945"/>
    <w:rsid w:val="00565999"/>
    <w:rsid w:val="005659C3"/>
    <w:rsid w:val="005659FD"/>
    <w:rsid w:val="00565A0A"/>
    <w:rsid w:val="00565A9E"/>
    <w:rsid w:val="00565B01"/>
    <w:rsid w:val="00565B29"/>
    <w:rsid w:val="00565B9F"/>
    <w:rsid w:val="00565C55"/>
    <w:rsid w:val="00565C5D"/>
    <w:rsid w:val="00565D94"/>
    <w:rsid w:val="00565E69"/>
    <w:rsid w:val="00565E70"/>
    <w:rsid w:val="00565E79"/>
    <w:rsid w:val="00565EC6"/>
    <w:rsid w:val="00565F45"/>
    <w:rsid w:val="00565FD2"/>
    <w:rsid w:val="00566198"/>
    <w:rsid w:val="005661F2"/>
    <w:rsid w:val="00566242"/>
    <w:rsid w:val="00566245"/>
    <w:rsid w:val="00566284"/>
    <w:rsid w:val="005662F4"/>
    <w:rsid w:val="00566357"/>
    <w:rsid w:val="005663CA"/>
    <w:rsid w:val="00566432"/>
    <w:rsid w:val="0056643E"/>
    <w:rsid w:val="00566448"/>
    <w:rsid w:val="005664CC"/>
    <w:rsid w:val="00566583"/>
    <w:rsid w:val="005665C4"/>
    <w:rsid w:val="0056660E"/>
    <w:rsid w:val="0056664B"/>
    <w:rsid w:val="0056671F"/>
    <w:rsid w:val="00566747"/>
    <w:rsid w:val="00566751"/>
    <w:rsid w:val="005667AF"/>
    <w:rsid w:val="0056682D"/>
    <w:rsid w:val="0056684E"/>
    <w:rsid w:val="00566877"/>
    <w:rsid w:val="0056687B"/>
    <w:rsid w:val="0056688D"/>
    <w:rsid w:val="005668A2"/>
    <w:rsid w:val="00566ACC"/>
    <w:rsid w:val="00566B1B"/>
    <w:rsid w:val="00566B88"/>
    <w:rsid w:val="00566BD3"/>
    <w:rsid w:val="00566CE6"/>
    <w:rsid w:val="00566D0A"/>
    <w:rsid w:val="00566D2E"/>
    <w:rsid w:val="00566DC7"/>
    <w:rsid w:val="00566E22"/>
    <w:rsid w:val="00566E7C"/>
    <w:rsid w:val="00566E81"/>
    <w:rsid w:val="00566EBA"/>
    <w:rsid w:val="00566FA9"/>
    <w:rsid w:val="00566FD1"/>
    <w:rsid w:val="00567015"/>
    <w:rsid w:val="0056708D"/>
    <w:rsid w:val="0056714B"/>
    <w:rsid w:val="005671EF"/>
    <w:rsid w:val="0056724A"/>
    <w:rsid w:val="00567404"/>
    <w:rsid w:val="0056750E"/>
    <w:rsid w:val="0056753B"/>
    <w:rsid w:val="00567558"/>
    <w:rsid w:val="00567575"/>
    <w:rsid w:val="00567588"/>
    <w:rsid w:val="005675E0"/>
    <w:rsid w:val="005675F0"/>
    <w:rsid w:val="0056763F"/>
    <w:rsid w:val="005678E5"/>
    <w:rsid w:val="0056790C"/>
    <w:rsid w:val="00567992"/>
    <w:rsid w:val="00567B21"/>
    <w:rsid w:val="00567BE8"/>
    <w:rsid w:val="00567C3C"/>
    <w:rsid w:val="00567D93"/>
    <w:rsid w:val="00567E2D"/>
    <w:rsid w:val="00567EE2"/>
    <w:rsid w:val="00567EEB"/>
    <w:rsid w:val="00567F7B"/>
    <w:rsid w:val="00567FCD"/>
    <w:rsid w:val="00570080"/>
    <w:rsid w:val="00570099"/>
    <w:rsid w:val="005700C4"/>
    <w:rsid w:val="0057011D"/>
    <w:rsid w:val="005701CE"/>
    <w:rsid w:val="0057021E"/>
    <w:rsid w:val="005702F8"/>
    <w:rsid w:val="005702FE"/>
    <w:rsid w:val="00570323"/>
    <w:rsid w:val="0057034F"/>
    <w:rsid w:val="00570769"/>
    <w:rsid w:val="0057077C"/>
    <w:rsid w:val="005707FC"/>
    <w:rsid w:val="0057094D"/>
    <w:rsid w:val="00570A40"/>
    <w:rsid w:val="00570AF9"/>
    <w:rsid w:val="00570CAC"/>
    <w:rsid w:val="00570D12"/>
    <w:rsid w:val="00570D74"/>
    <w:rsid w:val="00570E23"/>
    <w:rsid w:val="00570E4B"/>
    <w:rsid w:val="00570F5A"/>
    <w:rsid w:val="00570FFD"/>
    <w:rsid w:val="00571085"/>
    <w:rsid w:val="005710B7"/>
    <w:rsid w:val="00571107"/>
    <w:rsid w:val="00571150"/>
    <w:rsid w:val="005711DD"/>
    <w:rsid w:val="00571231"/>
    <w:rsid w:val="00571282"/>
    <w:rsid w:val="005713D2"/>
    <w:rsid w:val="00571435"/>
    <w:rsid w:val="0057143A"/>
    <w:rsid w:val="00571471"/>
    <w:rsid w:val="005714AB"/>
    <w:rsid w:val="0057156A"/>
    <w:rsid w:val="00571767"/>
    <w:rsid w:val="005717C0"/>
    <w:rsid w:val="00571999"/>
    <w:rsid w:val="00571A2B"/>
    <w:rsid w:val="00571A6A"/>
    <w:rsid w:val="00571B3B"/>
    <w:rsid w:val="00571C2F"/>
    <w:rsid w:val="00571C63"/>
    <w:rsid w:val="00571C6A"/>
    <w:rsid w:val="00571CAD"/>
    <w:rsid w:val="00571CB1"/>
    <w:rsid w:val="00571D39"/>
    <w:rsid w:val="00571D67"/>
    <w:rsid w:val="00571D85"/>
    <w:rsid w:val="00571D95"/>
    <w:rsid w:val="00571DC7"/>
    <w:rsid w:val="00571DC8"/>
    <w:rsid w:val="00571E44"/>
    <w:rsid w:val="00571E55"/>
    <w:rsid w:val="00571E65"/>
    <w:rsid w:val="00571F59"/>
    <w:rsid w:val="0057212F"/>
    <w:rsid w:val="0057213E"/>
    <w:rsid w:val="005721BA"/>
    <w:rsid w:val="005721F8"/>
    <w:rsid w:val="0057225D"/>
    <w:rsid w:val="005722E1"/>
    <w:rsid w:val="00572357"/>
    <w:rsid w:val="00572408"/>
    <w:rsid w:val="005724B6"/>
    <w:rsid w:val="005724C0"/>
    <w:rsid w:val="005724F3"/>
    <w:rsid w:val="005725A4"/>
    <w:rsid w:val="005725D2"/>
    <w:rsid w:val="005726E5"/>
    <w:rsid w:val="00572704"/>
    <w:rsid w:val="00572747"/>
    <w:rsid w:val="005727DE"/>
    <w:rsid w:val="0057281B"/>
    <w:rsid w:val="00572833"/>
    <w:rsid w:val="005729B5"/>
    <w:rsid w:val="00572A44"/>
    <w:rsid w:val="00572A7E"/>
    <w:rsid w:val="00572B3A"/>
    <w:rsid w:val="00572BE8"/>
    <w:rsid w:val="00572C3D"/>
    <w:rsid w:val="00572DC8"/>
    <w:rsid w:val="00572DFC"/>
    <w:rsid w:val="0057302B"/>
    <w:rsid w:val="005730CF"/>
    <w:rsid w:val="0057314E"/>
    <w:rsid w:val="00573257"/>
    <w:rsid w:val="005732E3"/>
    <w:rsid w:val="00573395"/>
    <w:rsid w:val="005733C4"/>
    <w:rsid w:val="005734A6"/>
    <w:rsid w:val="0057364A"/>
    <w:rsid w:val="00573669"/>
    <w:rsid w:val="005736C6"/>
    <w:rsid w:val="00573718"/>
    <w:rsid w:val="00573A83"/>
    <w:rsid w:val="00573A96"/>
    <w:rsid w:val="00573AAE"/>
    <w:rsid w:val="00573B57"/>
    <w:rsid w:val="00573B82"/>
    <w:rsid w:val="00573BFA"/>
    <w:rsid w:val="00573C3B"/>
    <w:rsid w:val="00573E61"/>
    <w:rsid w:val="00573F80"/>
    <w:rsid w:val="00573F9A"/>
    <w:rsid w:val="0057411B"/>
    <w:rsid w:val="00574153"/>
    <w:rsid w:val="005741D4"/>
    <w:rsid w:val="0057423F"/>
    <w:rsid w:val="00574245"/>
    <w:rsid w:val="0057426C"/>
    <w:rsid w:val="0057426F"/>
    <w:rsid w:val="005742CC"/>
    <w:rsid w:val="00574376"/>
    <w:rsid w:val="005743A3"/>
    <w:rsid w:val="00574425"/>
    <w:rsid w:val="0057444E"/>
    <w:rsid w:val="0057450D"/>
    <w:rsid w:val="00574525"/>
    <w:rsid w:val="00574559"/>
    <w:rsid w:val="00574587"/>
    <w:rsid w:val="005745E4"/>
    <w:rsid w:val="0057470E"/>
    <w:rsid w:val="00574741"/>
    <w:rsid w:val="00574778"/>
    <w:rsid w:val="0057498F"/>
    <w:rsid w:val="005749D0"/>
    <w:rsid w:val="005749DC"/>
    <w:rsid w:val="00574B44"/>
    <w:rsid w:val="00574B73"/>
    <w:rsid w:val="00574C0C"/>
    <w:rsid w:val="00574D1E"/>
    <w:rsid w:val="00574DE9"/>
    <w:rsid w:val="00574E18"/>
    <w:rsid w:val="00575040"/>
    <w:rsid w:val="005750F8"/>
    <w:rsid w:val="0057535E"/>
    <w:rsid w:val="005753D7"/>
    <w:rsid w:val="0057541B"/>
    <w:rsid w:val="00575476"/>
    <w:rsid w:val="005754FD"/>
    <w:rsid w:val="0057553E"/>
    <w:rsid w:val="0057556B"/>
    <w:rsid w:val="00575574"/>
    <w:rsid w:val="005755B1"/>
    <w:rsid w:val="00575601"/>
    <w:rsid w:val="00575648"/>
    <w:rsid w:val="00575680"/>
    <w:rsid w:val="005757DB"/>
    <w:rsid w:val="00575808"/>
    <w:rsid w:val="005758B5"/>
    <w:rsid w:val="005758D2"/>
    <w:rsid w:val="005758D4"/>
    <w:rsid w:val="005758F4"/>
    <w:rsid w:val="00575A5F"/>
    <w:rsid w:val="00575ABF"/>
    <w:rsid w:val="00575B3E"/>
    <w:rsid w:val="00575BAF"/>
    <w:rsid w:val="00575C5B"/>
    <w:rsid w:val="00575C7B"/>
    <w:rsid w:val="00575C7D"/>
    <w:rsid w:val="00575CD6"/>
    <w:rsid w:val="00575D7E"/>
    <w:rsid w:val="00575DA0"/>
    <w:rsid w:val="00575DF4"/>
    <w:rsid w:val="00575DF9"/>
    <w:rsid w:val="00575DFA"/>
    <w:rsid w:val="00575F4E"/>
    <w:rsid w:val="00575F6D"/>
    <w:rsid w:val="00575FE3"/>
    <w:rsid w:val="005760A3"/>
    <w:rsid w:val="005760C7"/>
    <w:rsid w:val="0057623A"/>
    <w:rsid w:val="005762A6"/>
    <w:rsid w:val="0057630C"/>
    <w:rsid w:val="005763B2"/>
    <w:rsid w:val="005763BD"/>
    <w:rsid w:val="00576583"/>
    <w:rsid w:val="0057672E"/>
    <w:rsid w:val="0057677A"/>
    <w:rsid w:val="00576800"/>
    <w:rsid w:val="0057680E"/>
    <w:rsid w:val="00576933"/>
    <w:rsid w:val="00576A36"/>
    <w:rsid w:val="00576A56"/>
    <w:rsid w:val="00576BFB"/>
    <w:rsid w:val="00576CCA"/>
    <w:rsid w:val="00576CF5"/>
    <w:rsid w:val="00576D9E"/>
    <w:rsid w:val="00576EA0"/>
    <w:rsid w:val="00576EBD"/>
    <w:rsid w:val="00576EE7"/>
    <w:rsid w:val="00576F70"/>
    <w:rsid w:val="005770C0"/>
    <w:rsid w:val="00577176"/>
    <w:rsid w:val="005771CC"/>
    <w:rsid w:val="00577263"/>
    <w:rsid w:val="005773B6"/>
    <w:rsid w:val="005773E0"/>
    <w:rsid w:val="00577451"/>
    <w:rsid w:val="005774CC"/>
    <w:rsid w:val="00577522"/>
    <w:rsid w:val="0057758E"/>
    <w:rsid w:val="0057765D"/>
    <w:rsid w:val="005777FC"/>
    <w:rsid w:val="00577868"/>
    <w:rsid w:val="00577963"/>
    <w:rsid w:val="005779C3"/>
    <w:rsid w:val="005779FD"/>
    <w:rsid w:val="00577A75"/>
    <w:rsid w:val="00577AC0"/>
    <w:rsid w:val="00577BA8"/>
    <w:rsid w:val="00577BCB"/>
    <w:rsid w:val="00577C0B"/>
    <w:rsid w:val="00577C1F"/>
    <w:rsid w:val="00577D1B"/>
    <w:rsid w:val="00577D35"/>
    <w:rsid w:val="00577D84"/>
    <w:rsid w:val="00577D8C"/>
    <w:rsid w:val="00577EAB"/>
    <w:rsid w:val="00577FF2"/>
    <w:rsid w:val="00580029"/>
    <w:rsid w:val="00580096"/>
    <w:rsid w:val="00580194"/>
    <w:rsid w:val="00580298"/>
    <w:rsid w:val="005802ED"/>
    <w:rsid w:val="0058032F"/>
    <w:rsid w:val="00580360"/>
    <w:rsid w:val="0058039E"/>
    <w:rsid w:val="005803B6"/>
    <w:rsid w:val="005803E8"/>
    <w:rsid w:val="00580405"/>
    <w:rsid w:val="0058051C"/>
    <w:rsid w:val="00580525"/>
    <w:rsid w:val="00580558"/>
    <w:rsid w:val="0058060A"/>
    <w:rsid w:val="00580727"/>
    <w:rsid w:val="00580767"/>
    <w:rsid w:val="005807AF"/>
    <w:rsid w:val="005808EB"/>
    <w:rsid w:val="00580908"/>
    <w:rsid w:val="00580A5E"/>
    <w:rsid w:val="00580ABE"/>
    <w:rsid w:val="00580AC1"/>
    <w:rsid w:val="00580B3D"/>
    <w:rsid w:val="00580BB3"/>
    <w:rsid w:val="00580C04"/>
    <w:rsid w:val="00580CDA"/>
    <w:rsid w:val="00580D18"/>
    <w:rsid w:val="00580D35"/>
    <w:rsid w:val="00580D37"/>
    <w:rsid w:val="00580D57"/>
    <w:rsid w:val="00580D73"/>
    <w:rsid w:val="00580D8D"/>
    <w:rsid w:val="00580DEF"/>
    <w:rsid w:val="00580EBF"/>
    <w:rsid w:val="00580F15"/>
    <w:rsid w:val="00580F7C"/>
    <w:rsid w:val="0058102A"/>
    <w:rsid w:val="00581063"/>
    <w:rsid w:val="005810F5"/>
    <w:rsid w:val="0058110C"/>
    <w:rsid w:val="00581184"/>
    <w:rsid w:val="00581231"/>
    <w:rsid w:val="0058129F"/>
    <w:rsid w:val="00581354"/>
    <w:rsid w:val="00581364"/>
    <w:rsid w:val="005813FF"/>
    <w:rsid w:val="0058150B"/>
    <w:rsid w:val="00581595"/>
    <w:rsid w:val="005815B6"/>
    <w:rsid w:val="005816C5"/>
    <w:rsid w:val="005817FA"/>
    <w:rsid w:val="00581812"/>
    <w:rsid w:val="005818F6"/>
    <w:rsid w:val="0058193D"/>
    <w:rsid w:val="00581B07"/>
    <w:rsid w:val="00581B54"/>
    <w:rsid w:val="00581BAF"/>
    <w:rsid w:val="00581BE7"/>
    <w:rsid w:val="00581C13"/>
    <w:rsid w:val="00581C60"/>
    <w:rsid w:val="00581DE5"/>
    <w:rsid w:val="00581E3A"/>
    <w:rsid w:val="00581E51"/>
    <w:rsid w:val="00581E88"/>
    <w:rsid w:val="00581FA0"/>
    <w:rsid w:val="00582091"/>
    <w:rsid w:val="005820A3"/>
    <w:rsid w:val="00582145"/>
    <w:rsid w:val="0058222A"/>
    <w:rsid w:val="005822B7"/>
    <w:rsid w:val="005822DB"/>
    <w:rsid w:val="005822E6"/>
    <w:rsid w:val="0058236D"/>
    <w:rsid w:val="005824F1"/>
    <w:rsid w:val="00582502"/>
    <w:rsid w:val="00582564"/>
    <w:rsid w:val="0058257F"/>
    <w:rsid w:val="0058259C"/>
    <w:rsid w:val="005825A9"/>
    <w:rsid w:val="0058262A"/>
    <w:rsid w:val="00582679"/>
    <w:rsid w:val="00582682"/>
    <w:rsid w:val="0058277E"/>
    <w:rsid w:val="005827E0"/>
    <w:rsid w:val="005827F9"/>
    <w:rsid w:val="00582817"/>
    <w:rsid w:val="00582856"/>
    <w:rsid w:val="005828A1"/>
    <w:rsid w:val="00582914"/>
    <w:rsid w:val="00582A42"/>
    <w:rsid w:val="00582A85"/>
    <w:rsid w:val="00582B90"/>
    <w:rsid w:val="00582C70"/>
    <w:rsid w:val="00582CFE"/>
    <w:rsid w:val="00582E06"/>
    <w:rsid w:val="00582E63"/>
    <w:rsid w:val="00582F05"/>
    <w:rsid w:val="00582FBE"/>
    <w:rsid w:val="00583000"/>
    <w:rsid w:val="0058302A"/>
    <w:rsid w:val="0058304D"/>
    <w:rsid w:val="00583054"/>
    <w:rsid w:val="005830D4"/>
    <w:rsid w:val="005831A7"/>
    <w:rsid w:val="00583231"/>
    <w:rsid w:val="00583321"/>
    <w:rsid w:val="0058338D"/>
    <w:rsid w:val="0058341E"/>
    <w:rsid w:val="00583483"/>
    <w:rsid w:val="00583494"/>
    <w:rsid w:val="005834AD"/>
    <w:rsid w:val="005835EB"/>
    <w:rsid w:val="00583636"/>
    <w:rsid w:val="00583658"/>
    <w:rsid w:val="00583661"/>
    <w:rsid w:val="005837B1"/>
    <w:rsid w:val="0058381A"/>
    <w:rsid w:val="0058382E"/>
    <w:rsid w:val="005838C2"/>
    <w:rsid w:val="005838FF"/>
    <w:rsid w:val="00583A16"/>
    <w:rsid w:val="00583A66"/>
    <w:rsid w:val="00583AAC"/>
    <w:rsid w:val="00583B87"/>
    <w:rsid w:val="00583BC6"/>
    <w:rsid w:val="00583C0D"/>
    <w:rsid w:val="00583C29"/>
    <w:rsid w:val="00583C4E"/>
    <w:rsid w:val="00583D0A"/>
    <w:rsid w:val="00583D4A"/>
    <w:rsid w:val="00583EFD"/>
    <w:rsid w:val="00583FAB"/>
    <w:rsid w:val="00583FD6"/>
    <w:rsid w:val="00584039"/>
    <w:rsid w:val="005840B9"/>
    <w:rsid w:val="0058415A"/>
    <w:rsid w:val="0058417B"/>
    <w:rsid w:val="0058418C"/>
    <w:rsid w:val="00584383"/>
    <w:rsid w:val="005843E5"/>
    <w:rsid w:val="00584471"/>
    <w:rsid w:val="00584537"/>
    <w:rsid w:val="0058470E"/>
    <w:rsid w:val="00584734"/>
    <w:rsid w:val="00584B63"/>
    <w:rsid w:val="00584BDB"/>
    <w:rsid w:val="00584D90"/>
    <w:rsid w:val="00584DCB"/>
    <w:rsid w:val="00584DCD"/>
    <w:rsid w:val="00584E87"/>
    <w:rsid w:val="00584E9C"/>
    <w:rsid w:val="00584EA6"/>
    <w:rsid w:val="00584EE1"/>
    <w:rsid w:val="00584F3A"/>
    <w:rsid w:val="00584F41"/>
    <w:rsid w:val="00585082"/>
    <w:rsid w:val="0058517F"/>
    <w:rsid w:val="005852E1"/>
    <w:rsid w:val="005853AA"/>
    <w:rsid w:val="005853AB"/>
    <w:rsid w:val="005853E6"/>
    <w:rsid w:val="005854C1"/>
    <w:rsid w:val="005855FC"/>
    <w:rsid w:val="005856C2"/>
    <w:rsid w:val="00585714"/>
    <w:rsid w:val="00585748"/>
    <w:rsid w:val="00585962"/>
    <w:rsid w:val="00585999"/>
    <w:rsid w:val="005859C5"/>
    <w:rsid w:val="005859C9"/>
    <w:rsid w:val="00585A33"/>
    <w:rsid w:val="00585BDF"/>
    <w:rsid w:val="00585C58"/>
    <w:rsid w:val="00585C79"/>
    <w:rsid w:val="00585E60"/>
    <w:rsid w:val="00585F90"/>
    <w:rsid w:val="00585FB6"/>
    <w:rsid w:val="00585FB8"/>
    <w:rsid w:val="0058601A"/>
    <w:rsid w:val="00586096"/>
    <w:rsid w:val="00586144"/>
    <w:rsid w:val="005861BF"/>
    <w:rsid w:val="005861FB"/>
    <w:rsid w:val="0058628D"/>
    <w:rsid w:val="00586293"/>
    <w:rsid w:val="005862B7"/>
    <w:rsid w:val="005863A0"/>
    <w:rsid w:val="005863B4"/>
    <w:rsid w:val="00586468"/>
    <w:rsid w:val="005864E5"/>
    <w:rsid w:val="00586537"/>
    <w:rsid w:val="0058660C"/>
    <w:rsid w:val="00586692"/>
    <w:rsid w:val="005866AB"/>
    <w:rsid w:val="005867D7"/>
    <w:rsid w:val="00586822"/>
    <w:rsid w:val="0058684A"/>
    <w:rsid w:val="00586891"/>
    <w:rsid w:val="005868C2"/>
    <w:rsid w:val="005868DD"/>
    <w:rsid w:val="00586A00"/>
    <w:rsid w:val="00586AEF"/>
    <w:rsid w:val="00586B24"/>
    <w:rsid w:val="00586CED"/>
    <w:rsid w:val="00586CF0"/>
    <w:rsid w:val="00586D12"/>
    <w:rsid w:val="00586D69"/>
    <w:rsid w:val="00586D88"/>
    <w:rsid w:val="00586E41"/>
    <w:rsid w:val="00586EAE"/>
    <w:rsid w:val="00586F6D"/>
    <w:rsid w:val="005870FD"/>
    <w:rsid w:val="005871FA"/>
    <w:rsid w:val="005872C0"/>
    <w:rsid w:val="005872D9"/>
    <w:rsid w:val="00587357"/>
    <w:rsid w:val="005873F6"/>
    <w:rsid w:val="00587432"/>
    <w:rsid w:val="0058747D"/>
    <w:rsid w:val="005874DA"/>
    <w:rsid w:val="005874E4"/>
    <w:rsid w:val="00587515"/>
    <w:rsid w:val="005875AA"/>
    <w:rsid w:val="005875CE"/>
    <w:rsid w:val="0058764D"/>
    <w:rsid w:val="00587785"/>
    <w:rsid w:val="005877F6"/>
    <w:rsid w:val="00587808"/>
    <w:rsid w:val="0058781B"/>
    <w:rsid w:val="0058788D"/>
    <w:rsid w:val="00587990"/>
    <w:rsid w:val="00587AAD"/>
    <w:rsid w:val="00587B48"/>
    <w:rsid w:val="00587B80"/>
    <w:rsid w:val="00587BEA"/>
    <w:rsid w:val="00587C23"/>
    <w:rsid w:val="00587C7A"/>
    <w:rsid w:val="00587C9E"/>
    <w:rsid w:val="00587CA6"/>
    <w:rsid w:val="00587D10"/>
    <w:rsid w:val="00587D36"/>
    <w:rsid w:val="00587DCB"/>
    <w:rsid w:val="00587E29"/>
    <w:rsid w:val="00587E9D"/>
    <w:rsid w:val="00587EB8"/>
    <w:rsid w:val="00587EED"/>
    <w:rsid w:val="00587EEE"/>
    <w:rsid w:val="00587F4E"/>
    <w:rsid w:val="00587F9A"/>
    <w:rsid w:val="00587FE6"/>
    <w:rsid w:val="00590058"/>
    <w:rsid w:val="00590121"/>
    <w:rsid w:val="00590128"/>
    <w:rsid w:val="005901F6"/>
    <w:rsid w:val="00590229"/>
    <w:rsid w:val="005902A8"/>
    <w:rsid w:val="005902B0"/>
    <w:rsid w:val="005902D2"/>
    <w:rsid w:val="005902FD"/>
    <w:rsid w:val="005903F1"/>
    <w:rsid w:val="0059046B"/>
    <w:rsid w:val="0059046F"/>
    <w:rsid w:val="0059052A"/>
    <w:rsid w:val="0059056F"/>
    <w:rsid w:val="0059060F"/>
    <w:rsid w:val="0059065F"/>
    <w:rsid w:val="00590761"/>
    <w:rsid w:val="005907F0"/>
    <w:rsid w:val="0059090B"/>
    <w:rsid w:val="0059090C"/>
    <w:rsid w:val="00590A34"/>
    <w:rsid w:val="00590A4D"/>
    <w:rsid w:val="00590A87"/>
    <w:rsid w:val="00590B96"/>
    <w:rsid w:val="00590C16"/>
    <w:rsid w:val="00590C34"/>
    <w:rsid w:val="00590CD5"/>
    <w:rsid w:val="00590DB7"/>
    <w:rsid w:val="00590DBF"/>
    <w:rsid w:val="00590F55"/>
    <w:rsid w:val="00590FDD"/>
    <w:rsid w:val="00591108"/>
    <w:rsid w:val="005911EF"/>
    <w:rsid w:val="00591219"/>
    <w:rsid w:val="005912A9"/>
    <w:rsid w:val="005913CF"/>
    <w:rsid w:val="00591426"/>
    <w:rsid w:val="00591470"/>
    <w:rsid w:val="00591698"/>
    <w:rsid w:val="005916B2"/>
    <w:rsid w:val="00591734"/>
    <w:rsid w:val="005917AE"/>
    <w:rsid w:val="0059196C"/>
    <w:rsid w:val="00591A66"/>
    <w:rsid w:val="00591AB3"/>
    <w:rsid w:val="00591AFE"/>
    <w:rsid w:val="00591AFF"/>
    <w:rsid w:val="00591B39"/>
    <w:rsid w:val="00591CB0"/>
    <w:rsid w:val="00591DA4"/>
    <w:rsid w:val="00591DD0"/>
    <w:rsid w:val="00591E1E"/>
    <w:rsid w:val="00591E48"/>
    <w:rsid w:val="00591E64"/>
    <w:rsid w:val="00591F19"/>
    <w:rsid w:val="00591F5B"/>
    <w:rsid w:val="00591F9D"/>
    <w:rsid w:val="00591FF6"/>
    <w:rsid w:val="0059201C"/>
    <w:rsid w:val="00592124"/>
    <w:rsid w:val="0059217E"/>
    <w:rsid w:val="00592210"/>
    <w:rsid w:val="00592211"/>
    <w:rsid w:val="0059223B"/>
    <w:rsid w:val="005922E8"/>
    <w:rsid w:val="0059234F"/>
    <w:rsid w:val="00592437"/>
    <w:rsid w:val="0059250E"/>
    <w:rsid w:val="0059253C"/>
    <w:rsid w:val="0059260A"/>
    <w:rsid w:val="005926A9"/>
    <w:rsid w:val="00592756"/>
    <w:rsid w:val="00592975"/>
    <w:rsid w:val="005929E0"/>
    <w:rsid w:val="00592B59"/>
    <w:rsid w:val="00592B6A"/>
    <w:rsid w:val="00592C72"/>
    <w:rsid w:val="00592CC8"/>
    <w:rsid w:val="00592D98"/>
    <w:rsid w:val="00592DA4"/>
    <w:rsid w:val="00592E22"/>
    <w:rsid w:val="00592EAD"/>
    <w:rsid w:val="00592F11"/>
    <w:rsid w:val="00592FDE"/>
    <w:rsid w:val="00592FF2"/>
    <w:rsid w:val="0059307D"/>
    <w:rsid w:val="005930AB"/>
    <w:rsid w:val="00593182"/>
    <w:rsid w:val="005931BA"/>
    <w:rsid w:val="005932A3"/>
    <w:rsid w:val="005932BC"/>
    <w:rsid w:val="00593317"/>
    <w:rsid w:val="0059331E"/>
    <w:rsid w:val="00593439"/>
    <w:rsid w:val="0059346F"/>
    <w:rsid w:val="005934EC"/>
    <w:rsid w:val="005934F9"/>
    <w:rsid w:val="00593517"/>
    <w:rsid w:val="005935A4"/>
    <w:rsid w:val="005936E7"/>
    <w:rsid w:val="005936F3"/>
    <w:rsid w:val="005937F7"/>
    <w:rsid w:val="00593805"/>
    <w:rsid w:val="00593959"/>
    <w:rsid w:val="00593A4F"/>
    <w:rsid w:val="00593A95"/>
    <w:rsid w:val="00593A99"/>
    <w:rsid w:val="00593AE5"/>
    <w:rsid w:val="00593AE8"/>
    <w:rsid w:val="00593B87"/>
    <w:rsid w:val="00593B94"/>
    <w:rsid w:val="00593BA3"/>
    <w:rsid w:val="00593BDA"/>
    <w:rsid w:val="00593C1C"/>
    <w:rsid w:val="00593C2F"/>
    <w:rsid w:val="00593C43"/>
    <w:rsid w:val="00593CDE"/>
    <w:rsid w:val="00593D2D"/>
    <w:rsid w:val="00593D53"/>
    <w:rsid w:val="00593E94"/>
    <w:rsid w:val="00593ED3"/>
    <w:rsid w:val="00593F6E"/>
    <w:rsid w:val="00593F89"/>
    <w:rsid w:val="00593F8D"/>
    <w:rsid w:val="00593FBD"/>
    <w:rsid w:val="00594143"/>
    <w:rsid w:val="0059430E"/>
    <w:rsid w:val="005944EA"/>
    <w:rsid w:val="005944EC"/>
    <w:rsid w:val="00594543"/>
    <w:rsid w:val="0059456D"/>
    <w:rsid w:val="00594612"/>
    <w:rsid w:val="005948FB"/>
    <w:rsid w:val="00594A06"/>
    <w:rsid w:val="00594A0A"/>
    <w:rsid w:val="00594A96"/>
    <w:rsid w:val="00594A99"/>
    <w:rsid w:val="00594AB5"/>
    <w:rsid w:val="00594AC5"/>
    <w:rsid w:val="00594B7A"/>
    <w:rsid w:val="00594CF9"/>
    <w:rsid w:val="00594D64"/>
    <w:rsid w:val="00594D88"/>
    <w:rsid w:val="00594DA9"/>
    <w:rsid w:val="00594DB8"/>
    <w:rsid w:val="00594E01"/>
    <w:rsid w:val="00594E21"/>
    <w:rsid w:val="00594E92"/>
    <w:rsid w:val="00595231"/>
    <w:rsid w:val="0059528E"/>
    <w:rsid w:val="00595295"/>
    <w:rsid w:val="005952AC"/>
    <w:rsid w:val="00595344"/>
    <w:rsid w:val="005953BA"/>
    <w:rsid w:val="00595422"/>
    <w:rsid w:val="00595540"/>
    <w:rsid w:val="00595543"/>
    <w:rsid w:val="00595549"/>
    <w:rsid w:val="005955A9"/>
    <w:rsid w:val="005955D1"/>
    <w:rsid w:val="005955D3"/>
    <w:rsid w:val="00595605"/>
    <w:rsid w:val="00595713"/>
    <w:rsid w:val="005957EC"/>
    <w:rsid w:val="00595873"/>
    <w:rsid w:val="005958AE"/>
    <w:rsid w:val="005958E3"/>
    <w:rsid w:val="00595A59"/>
    <w:rsid w:val="00595BF3"/>
    <w:rsid w:val="00595C13"/>
    <w:rsid w:val="00595CDD"/>
    <w:rsid w:val="00595E83"/>
    <w:rsid w:val="00595EB0"/>
    <w:rsid w:val="00595F1D"/>
    <w:rsid w:val="00595F5A"/>
    <w:rsid w:val="00595FA5"/>
    <w:rsid w:val="00595FB0"/>
    <w:rsid w:val="005961DB"/>
    <w:rsid w:val="00596228"/>
    <w:rsid w:val="005963FE"/>
    <w:rsid w:val="00596499"/>
    <w:rsid w:val="005964BB"/>
    <w:rsid w:val="0059651C"/>
    <w:rsid w:val="0059663B"/>
    <w:rsid w:val="00596647"/>
    <w:rsid w:val="00596685"/>
    <w:rsid w:val="00596759"/>
    <w:rsid w:val="00596841"/>
    <w:rsid w:val="0059685B"/>
    <w:rsid w:val="00596899"/>
    <w:rsid w:val="005968CE"/>
    <w:rsid w:val="00596993"/>
    <w:rsid w:val="005969C7"/>
    <w:rsid w:val="00596A70"/>
    <w:rsid w:val="00596BD3"/>
    <w:rsid w:val="00596BE7"/>
    <w:rsid w:val="00596C1C"/>
    <w:rsid w:val="00596C3E"/>
    <w:rsid w:val="00596CD0"/>
    <w:rsid w:val="00596D25"/>
    <w:rsid w:val="00596D2A"/>
    <w:rsid w:val="00596D41"/>
    <w:rsid w:val="00596D77"/>
    <w:rsid w:val="00596D85"/>
    <w:rsid w:val="00596DB5"/>
    <w:rsid w:val="00596DF0"/>
    <w:rsid w:val="00596F2E"/>
    <w:rsid w:val="00596F9C"/>
    <w:rsid w:val="00596FBE"/>
    <w:rsid w:val="00597013"/>
    <w:rsid w:val="005970A6"/>
    <w:rsid w:val="00597139"/>
    <w:rsid w:val="0059717D"/>
    <w:rsid w:val="005971B7"/>
    <w:rsid w:val="005971CD"/>
    <w:rsid w:val="005972B2"/>
    <w:rsid w:val="00597330"/>
    <w:rsid w:val="00597335"/>
    <w:rsid w:val="00597355"/>
    <w:rsid w:val="005973ED"/>
    <w:rsid w:val="00597406"/>
    <w:rsid w:val="00597457"/>
    <w:rsid w:val="005974D3"/>
    <w:rsid w:val="005975F9"/>
    <w:rsid w:val="00597710"/>
    <w:rsid w:val="00597726"/>
    <w:rsid w:val="0059777B"/>
    <w:rsid w:val="005977DD"/>
    <w:rsid w:val="00597864"/>
    <w:rsid w:val="0059797C"/>
    <w:rsid w:val="00597A7B"/>
    <w:rsid w:val="00597C73"/>
    <w:rsid w:val="00597FFD"/>
    <w:rsid w:val="005A0062"/>
    <w:rsid w:val="005A018C"/>
    <w:rsid w:val="005A0215"/>
    <w:rsid w:val="005A02C4"/>
    <w:rsid w:val="005A0304"/>
    <w:rsid w:val="005A0429"/>
    <w:rsid w:val="005A04BD"/>
    <w:rsid w:val="005A05E4"/>
    <w:rsid w:val="005A067D"/>
    <w:rsid w:val="005A0703"/>
    <w:rsid w:val="005A074E"/>
    <w:rsid w:val="005A076D"/>
    <w:rsid w:val="005A0825"/>
    <w:rsid w:val="005A0878"/>
    <w:rsid w:val="005A08CE"/>
    <w:rsid w:val="005A08F4"/>
    <w:rsid w:val="005A0971"/>
    <w:rsid w:val="005A09CB"/>
    <w:rsid w:val="005A0A3F"/>
    <w:rsid w:val="005A0A68"/>
    <w:rsid w:val="005A0A89"/>
    <w:rsid w:val="005A0ADB"/>
    <w:rsid w:val="005A0B03"/>
    <w:rsid w:val="005A0B06"/>
    <w:rsid w:val="005A0B21"/>
    <w:rsid w:val="005A0B3C"/>
    <w:rsid w:val="005A0C6D"/>
    <w:rsid w:val="005A0C9B"/>
    <w:rsid w:val="005A0D98"/>
    <w:rsid w:val="005A0DE3"/>
    <w:rsid w:val="005A0E3A"/>
    <w:rsid w:val="005A0E83"/>
    <w:rsid w:val="005A0EA6"/>
    <w:rsid w:val="005A0ED8"/>
    <w:rsid w:val="005A0F9A"/>
    <w:rsid w:val="005A0FA0"/>
    <w:rsid w:val="005A0FC5"/>
    <w:rsid w:val="005A0FE6"/>
    <w:rsid w:val="005A0FE8"/>
    <w:rsid w:val="005A0FFE"/>
    <w:rsid w:val="005A10D8"/>
    <w:rsid w:val="005A1110"/>
    <w:rsid w:val="005A114F"/>
    <w:rsid w:val="005A11A2"/>
    <w:rsid w:val="005A11AF"/>
    <w:rsid w:val="005A11CA"/>
    <w:rsid w:val="005A129E"/>
    <w:rsid w:val="005A12FC"/>
    <w:rsid w:val="005A1370"/>
    <w:rsid w:val="005A1420"/>
    <w:rsid w:val="005A153E"/>
    <w:rsid w:val="005A1548"/>
    <w:rsid w:val="005A154E"/>
    <w:rsid w:val="005A1686"/>
    <w:rsid w:val="005A1747"/>
    <w:rsid w:val="005A17FD"/>
    <w:rsid w:val="005A1917"/>
    <w:rsid w:val="005A1973"/>
    <w:rsid w:val="005A19DE"/>
    <w:rsid w:val="005A1BF5"/>
    <w:rsid w:val="005A1CE3"/>
    <w:rsid w:val="005A1DA5"/>
    <w:rsid w:val="005A1E5F"/>
    <w:rsid w:val="005A1EAF"/>
    <w:rsid w:val="005A1EC2"/>
    <w:rsid w:val="005A1F49"/>
    <w:rsid w:val="005A1F89"/>
    <w:rsid w:val="005A211E"/>
    <w:rsid w:val="005A2166"/>
    <w:rsid w:val="005A221C"/>
    <w:rsid w:val="005A223D"/>
    <w:rsid w:val="005A2364"/>
    <w:rsid w:val="005A2480"/>
    <w:rsid w:val="005A254C"/>
    <w:rsid w:val="005A2558"/>
    <w:rsid w:val="005A256B"/>
    <w:rsid w:val="005A257F"/>
    <w:rsid w:val="005A260E"/>
    <w:rsid w:val="005A2651"/>
    <w:rsid w:val="005A26BF"/>
    <w:rsid w:val="005A281C"/>
    <w:rsid w:val="005A2989"/>
    <w:rsid w:val="005A29A7"/>
    <w:rsid w:val="005A2ACF"/>
    <w:rsid w:val="005A2B2C"/>
    <w:rsid w:val="005A2B68"/>
    <w:rsid w:val="005A2B9A"/>
    <w:rsid w:val="005A2BE1"/>
    <w:rsid w:val="005A2C37"/>
    <w:rsid w:val="005A2CE6"/>
    <w:rsid w:val="005A2D4E"/>
    <w:rsid w:val="005A2D6B"/>
    <w:rsid w:val="005A2DB5"/>
    <w:rsid w:val="005A2E57"/>
    <w:rsid w:val="005A2E82"/>
    <w:rsid w:val="005A2E89"/>
    <w:rsid w:val="005A2F03"/>
    <w:rsid w:val="005A2FAA"/>
    <w:rsid w:val="005A2FB1"/>
    <w:rsid w:val="005A3146"/>
    <w:rsid w:val="005A3252"/>
    <w:rsid w:val="005A3332"/>
    <w:rsid w:val="005A3359"/>
    <w:rsid w:val="005A33F7"/>
    <w:rsid w:val="005A3414"/>
    <w:rsid w:val="005A3491"/>
    <w:rsid w:val="005A3499"/>
    <w:rsid w:val="005A34AC"/>
    <w:rsid w:val="005A3575"/>
    <w:rsid w:val="005A35A2"/>
    <w:rsid w:val="005A361F"/>
    <w:rsid w:val="005A372F"/>
    <w:rsid w:val="005A373D"/>
    <w:rsid w:val="005A37F8"/>
    <w:rsid w:val="005A3805"/>
    <w:rsid w:val="005A3931"/>
    <w:rsid w:val="005A39F8"/>
    <w:rsid w:val="005A3A75"/>
    <w:rsid w:val="005A3ACB"/>
    <w:rsid w:val="005A3BA8"/>
    <w:rsid w:val="005A3BCD"/>
    <w:rsid w:val="005A3C4E"/>
    <w:rsid w:val="005A3C93"/>
    <w:rsid w:val="005A3CA1"/>
    <w:rsid w:val="005A3CF3"/>
    <w:rsid w:val="005A3F4F"/>
    <w:rsid w:val="005A3F59"/>
    <w:rsid w:val="005A40CF"/>
    <w:rsid w:val="005A411A"/>
    <w:rsid w:val="005A41CD"/>
    <w:rsid w:val="005A4293"/>
    <w:rsid w:val="005A42D9"/>
    <w:rsid w:val="005A4430"/>
    <w:rsid w:val="005A4473"/>
    <w:rsid w:val="005A4577"/>
    <w:rsid w:val="005A45DA"/>
    <w:rsid w:val="005A46D5"/>
    <w:rsid w:val="005A4733"/>
    <w:rsid w:val="005A4820"/>
    <w:rsid w:val="005A482A"/>
    <w:rsid w:val="005A485D"/>
    <w:rsid w:val="005A4882"/>
    <w:rsid w:val="005A4A51"/>
    <w:rsid w:val="005A4A52"/>
    <w:rsid w:val="005A4A90"/>
    <w:rsid w:val="005A4A98"/>
    <w:rsid w:val="005A4A9C"/>
    <w:rsid w:val="005A4ABA"/>
    <w:rsid w:val="005A4B2C"/>
    <w:rsid w:val="005A4BAE"/>
    <w:rsid w:val="005A4C90"/>
    <w:rsid w:val="005A4CEA"/>
    <w:rsid w:val="005A4DCF"/>
    <w:rsid w:val="005A4EA1"/>
    <w:rsid w:val="005A4F39"/>
    <w:rsid w:val="005A4F49"/>
    <w:rsid w:val="005A505B"/>
    <w:rsid w:val="005A505F"/>
    <w:rsid w:val="005A513C"/>
    <w:rsid w:val="005A51EB"/>
    <w:rsid w:val="005A5212"/>
    <w:rsid w:val="005A5271"/>
    <w:rsid w:val="005A5386"/>
    <w:rsid w:val="005A557D"/>
    <w:rsid w:val="005A5617"/>
    <w:rsid w:val="005A574D"/>
    <w:rsid w:val="005A57DD"/>
    <w:rsid w:val="005A57F7"/>
    <w:rsid w:val="005A580C"/>
    <w:rsid w:val="005A59EE"/>
    <w:rsid w:val="005A5A72"/>
    <w:rsid w:val="005A5AF8"/>
    <w:rsid w:val="005A5B5C"/>
    <w:rsid w:val="005A5BCB"/>
    <w:rsid w:val="005A5C19"/>
    <w:rsid w:val="005A5D98"/>
    <w:rsid w:val="005A5E4B"/>
    <w:rsid w:val="005A5E50"/>
    <w:rsid w:val="005A5F2A"/>
    <w:rsid w:val="005A60AB"/>
    <w:rsid w:val="005A60C9"/>
    <w:rsid w:val="005A60CA"/>
    <w:rsid w:val="005A6116"/>
    <w:rsid w:val="005A618B"/>
    <w:rsid w:val="005A6241"/>
    <w:rsid w:val="005A6270"/>
    <w:rsid w:val="005A6335"/>
    <w:rsid w:val="005A6381"/>
    <w:rsid w:val="005A63F1"/>
    <w:rsid w:val="005A640C"/>
    <w:rsid w:val="005A644E"/>
    <w:rsid w:val="005A6500"/>
    <w:rsid w:val="005A6537"/>
    <w:rsid w:val="005A668D"/>
    <w:rsid w:val="005A6735"/>
    <w:rsid w:val="005A6737"/>
    <w:rsid w:val="005A687C"/>
    <w:rsid w:val="005A6A21"/>
    <w:rsid w:val="005A6A90"/>
    <w:rsid w:val="005A6AE9"/>
    <w:rsid w:val="005A6B7F"/>
    <w:rsid w:val="005A6BE5"/>
    <w:rsid w:val="005A6C82"/>
    <w:rsid w:val="005A6CCD"/>
    <w:rsid w:val="005A6D2F"/>
    <w:rsid w:val="005A6D7E"/>
    <w:rsid w:val="005A6DAF"/>
    <w:rsid w:val="005A6E10"/>
    <w:rsid w:val="005A6E93"/>
    <w:rsid w:val="005A6EE6"/>
    <w:rsid w:val="005A6F6D"/>
    <w:rsid w:val="005A6FC0"/>
    <w:rsid w:val="005A6FCB"/>
    <w:rsid w:val="005A7014"/>
    <w:rsid w:val="005A707A"/>
    <w:rsid w:val="005A707B"/>
    <w:rsid w:val="005A71B8"/>
    <w:rsid w:val="005A71E6"/>
    <w:rsid w:val="005A7225"/>
    <w:rsid w:val="005A7227"/>
    <w:rsid w:val="005A7252"/>
    <w:rsid w:val="005A72EB"/>
    <w:rsid w:val="005A731C"/>
    <w:rsid w:val="005A7340"/>
    <w:rsid w:val="005A7539"/>
    <w:rsid w:val="005A75CE"/>
    <w:rsid w:val="005A7664"/>
    <w:rsid w:val="005A76BE"/>
    <w:rsid w:val="005A76DC"/>
    <w:rsid w:val="005A76F6"/>
    <w:rsid w:val="005A770B"/>
    <w:rsid w:val="005A77CD"/>
    <w:rsid w:val="005A78CD"/>
    <w:rsid w:val="005A7967"/>
    <w:rsid w:val="005A79BA"/>
    <w:rsid w:val="005A79CE"/>
    <w:rsid w:val="005A7A1F"/>
    <w:rsid w:val="005A7A27"/>
    <w:rsid w:val="005A7AAD"/>
    <w:rsid w:val="005A7C6E"/>
    <w:rsid w:val="005A7DF0"/>
    <w:rsid w:val="005A7E2A"/>
    <w:rsid w:val="005A7F93"/>
    <w:rsid w:val="005A7FDC"/>
    <w:rsid w:val="005B0118"/>
    <w:rsid w:val="005B01A4"/>
    <w:rsid w:val="005B01B1"/>
    <w:rsid w:val="005B01E1"/>
    <w:rsid w:val="005B02DD"/>
    <w:rsid w:val="005B0338"/>
    <w:rsid w:val="005B03A0"/>
    <w:rsid w:val="005B04AA"/>
    <w:rsid w:val="005B051A"/>
    <w:rsid w:val="005B0554"/>
    <w:rsid w:val="005B0566"/>
    <w:rsid w:val="005B05CF"/>
    <w:rsid w:val="005B0625"/>
    <w:rsid w:val="005B07EA"/>
    <w:rsid w:val="005B0970"/>
    <w:rsid w:val="005B098B"/>
    <w:rsid w:val="005B09E5"/>
    <w:rsid w:val="005B0AB2"/>
    <w:rsid w:val="005B0B20"/>
    <w:rsid w:val="005B0B5D"/>
    <w:rsid w:val="005B0B9A"/>
    <w:rsid w:val="005B0BD6"/>
    <w:rsid w:val="005B0CA5"/>
    <w:rsid w:val="005B0CBE"/>
    <w:rsid w:val="005B0CFD"/>
    <w:rsid w:val="005B0D57"/>
    <w:rsid w:val="005B0DD6"/>
    <w:rsid w:val="005B0EB7"/>
    <w:rsid w:val="005B0EFB"/>
    <w:rsid w:val="005B1042"/>
    <w:rsid w:val="005B1060"/>
    <w:rsid w:val="005B12B9"/>
    <w:rsid w:val="005B139F"/>
    <w:rsid w:val="005B147E"/>
    <w:rsid w:val="005B14D3"/>
    <w:rsid w:val="005B155A"/>
    <w:rsid w:val="005B15BF"/>
    <w:rsid w:val="005B165D"/>
    <w:rsid w:val="005B17C1"/>
    <w:rsid w:val="005B17DE"/>
    <w:rsid w:val="005B181F"/>
    <w:rsid w:val="005B18A4"/>
    <w:rsid w:val="005B1927"/>
    <w:rsid w:val="005B1946"/>
    <w:rsid w:val="005B19F0"/>
    <w:rsid w:val="005B1A19"/>
    <w:rsid w:val="005B1A52"/>
    <w:rsid w:val="005B1B3C"/>
    <w:rsid w:val="005B1BF1"/>
    <w:rsid w:val="005B1CB0"/>
    <w:rsid w:val="005B1CD9"/>
    <w:rsid w:val="005B1D34"/>
    <w:rsid w:val="005B1F67"/>
    <w:rsid w:val="005B1FBF"/>
    <w:rsid w:val="005B2040"/>
    <w:rsid w:val="005B20B3"/>
    <w:rsid w:val="005B21D7"/>
    <w:rsid w:val="005B2283"/>
    <w:rsid w:val="005B22AB"/>
    <w:rsid w:val="005B22CF"/>
    <w:rsid w:val="005B2349"/>
    <w:rsid w:val="005B24C1"/>
    <w:rsid w:val="005B24ED"/>
    <w:rsid w:val="005B24FD"/>
    <w:rsid w:val="005B2796"/>
    <w:rsid w:val="005B2798"/>
    <w:rsid w:val="005B27B2"/>
    <w:rsid w:val="005B28AE"/>
    <w:rsid w:val="005B2913"/>
    <w:rsid w:val="005B2931"/>
    <w:rsid w:val="005B293F"/>
    <w:rsid w:val="005B2A15"/>
    <w:rsid w:val="005B2AAC"/>
    <w:rsid w:val="005B2B94"/>
    <w:rsid w:val="005B2C61"/>
    <w:rsid w:val="005B2D22"/>
    <w:rsid w:val="005B2D5D"/>
    <w:rsid w:val="005B2D98"/>
    <w:rsid w:val="005B2E29"/>
    <w:rsid w:val="005B2E6C"/>
    <w:rsid w:val="005B2E97"/>
    <w:rsid w:val="005B3139"/>
    <w:rsid w:val="005B33E0"/>
    <w:rsid w:val="005B3538"/>
    <w:rsid w:val="005B3554"/>
    <w:rsid w:val="005B3618"/>
    <w:rsid w:val="005B368B"/>
    <w:rsid w:val="005B3691"/>
    <w:rsid w:val="005B3737"/>
    <w:rsid w:val="005B37EA"/>
    <w:rsid w:val="005B3855"/>
    <w:rsid w:val="005B3898"/>
    <w:rsid w:val="005B3A40"/>
    <w:rsid w:val="005B3A42"/>
    <w:rsid w:val="005B3BF3"/>
    <w:rsid w:val="005B3DBC"/>
    <w:rsid w:val="005B3DD1"/>
    <w:rsid w:val="005B3DF7"/>
    <w:rsid w:val="005B3E12"/>
    <w:rsid w:val="005B3E25"/>
    <w:rsid w:val="005B3E4E"/>
    <w:rsid w:val="005B3E74"/>
    <w:rsid w:val="005B3F2F"/>
    <w:rsid w:val="005B406E"/>
    <w:rsid w:val="005B40D5"/>
    <w:rsid w:val="005B4153"/>
    <w:rsid w:val="005B4178"/>
    <w:rsid w:val="005B4244"/>
    <w:rsid w:val="005B4264"/>
    <w:rsid w:val="005B428D"/>
    <w:rsid w:val="005B4307"/>
    <w:rsid w:val="005B4323"/>
    <w:rsid w:val="005B4388"/>
    <w:rsid w:val="005B4390"/>
    <w:rsid w:val="005B43A7"/>
    <w:rsid w:val="005B43CA"/>
    <w:rsid w:val="005B43DD"/>
    <w:rsid w:val="005B43FF"/>
    <w:rsid w:val="005B4445"/>
    <w:rsid w:val="005B44EE"/>
    <w:rsid w:val="005B44F3"/>
    <w:rsid w:val="005B465F"/>
    <w:rsid w:val="005B4681"/>
    <w:rsid w:val="005B46D8"/>
    <w:rsid w:val="005B4710"/>
    <w:rsid w:val="005B47D3"/>
    <w:rsid w:val="005B47EE"/>
    <w:rsid w:val="005B48A1"/>
    <w:rsid w:val="005B48F8"/>
    <w:rsid w:val="005B4AA6"/>
    <w:rsid w:val="005B4B8D"/>
    <w:rsid w:val="005B4B9F"/>
    <w:rsid w:val="005B4BED"/>
    <w:rsid w:val="005B4CB0"/>
    <w:rsid w:val="005B4D28"/>
    <w:rsid w:val="005B4F3A"/>
    <w:rsid w:val="005B4FF2"/>
    <w:rsid w:val="005B4FF5"/>
    <w:rsid w:val="005B512A"/>
    <w:rsid w:val="005B5142"/>
    <w:rsid w:val="005B51E6"/>
    <w:rsid w:val="005B5283"/>
    <w:rsid w:val="005B5338"/>
    <w:rsid w:val="005B5426"/>
    <w:rsid w:val="005B5467"/>
    <w:rsid w:val="005B54CD"/>
    <w:rsid w:val="005B5502"/>
    <w:rsid w:val="005B552C"/>
    <w:rsid w:val="005B5585"/>
    <w:rsid w:val="005B56BB"/>
    <w:rsid w:val="005B5762"/>
    <w:rsid w:val="005B5783"/>
    <w:rsid w:val="005B57A5"/>
    <w:rsid w:val="005B5867"/>
    <w:rsid w:val="005B587C"/>
    <w:rsid w:val="005B5908"/>
    <w:rsid w:val="005B5918"/>
    <w:rsid w:val="005B5949"/>
    <w:rsid w:val="005B59C2"/>
    <w:rsid w:val="005B5AC5"/>
    <w:rsid w:val="005B5C97"/>
    <w:rsid w:val="005B5D0E"/>
    <w:rsid w:val="005B5D40"/>
    <w:rsid w:val="005B5D56"/>
    <w:rsid w:val="005B5E30"/>
    <w:rsid w:val="005B5EFC"/>
    <w:rsid w:val="005B5F6A"/>
    <w:rsid w:val="005B5FFD"/>
    <w:rsid w:val="005B610B"/>
    <w:rsid w:val="005B624C"/>
    <w:rsid w:val="005B6382"/>
    <w:rsid w:val="005B63A7"/>
    <w:rsid w:val="005B63CF"/>
    <w:rsid w:val="005B63EA"/>
    <w:rsid w:val="005B6412"/>
    <w:rsid w:val="005B64C2"/>
    <w:rsid w:val="005B64F2"/>
    <w:rsid w:val="005B668C"/>
    <w:rsid w:val="005B6695"/>
    <w:rsid w:val="005B6698"/>
    <w:rsid w:val="005B67C8"/>
    <w:rsid w:val="005B6885"/>
    <w:rsid w:val="005B68A7"/>
    <w:rsid w:val="005B6913"/>
    <w:rsid w:val="005B6A1B"/>
    <w:rsid w:val="005B6AC3"/>
    <w:rsid w:val="005B6B4D"/>
    <w:rsid w:val="005B6C32"/>
    <w:rsid w:val="005B6C75"/>
    <w:rsid w:val="005B6CA8"/>
    <w:rsid w:val="005B6D34"/>
    <w:rsid w:val="005B6DD4"/>
    <w:rsid w:val="005B6EF0"/>
    <w:rsid w:val="005B6F05"/>
    <w:rsid w:val="005B710D"/>
    <w:rsid w:val="005B71B2"/>
    <w:rsid w:val="005B723E"/>
    <w:rsid w:val="005B72A4"/>
    <w:rsid w:val="005B72D4"/>
    <w:rsid w:val="005B7328"/>
    <w:rsid w:val="005B7495"/>
    <w:rsid w:val="005B749E"/>
    <w:rsid w:val="005B74FD"/>
    <w:rsid w:val="005B759D"/>
    <w:rsid w:val="005B767F"/>
    <w:rsid w:val="005B7759"/>
    <w:rsid w:val="005B77AC"/>
    <w:rsid w:val="005B77E6"/>
    <w:rsid w:val="005B7852"/>
    <w:rsid w:val="005B7926"/>
    <w:rsid w:val="005B7A5B"/>
    <w:rsid w:val="005B7A6C"/>
    <w:rsid w:val="005B7A72"/>
    <w:rsid w:val="005B7AD0"/>
    <w:rsid w:val="005B7B65"/>
    <w:rsid w:val="005B7B66"/>
    <w:rsid w:val="005B7BD7"/>
    <w:rsid w:val="005B7CA9"/>
    <w:rsid w:val="005B7D6A"/>
    <w:rsid w:val="005B7DB1"/>
    <w:rsid w:val="005B7DFB"/>
    <w:rsid w:val="005B7E57"/>
    <w:rsid w:val="005B7F04"/>
    <w:rsid w:val="005B7FAD"/>
    <w:rsid w:val="005C00F1"/>
    <w:rsid w:val="005C02BC"/>
    <w:rsid w:val="005C0301"/>
    <w:rsid w:val="005C0326"/>
    <w:rsid w:val="005C037B"/>
    <w:rsid w:val="005C0389"/>
    <w:rsid w:val="005C03AF"/>
    <w:rsid w:val="005C03C3"/>
    <w:rsid w:val="005C03C5"/>
    <w:rsid w:val="005C0450"/>
    <w:rsid w:val="005C055E"/>
    <w:rsid w:val="005C0581"/>
    <w:rsid w:val="005C060D"/>
    <w:rsid w:val="005C06BD"/>
    <w:rsid w:val="005C0830"/>
    <w:rsid w:val="005C0876"/>
    <w:rsid w:val="005C09A4"/>
    <w:rsid w:val="005C0C70"/>
    <w:rsid w:val="005C0C85"/>
    <w:rsid w:val="005C0D23"/>
    <w:rsid w:val="005C0F98"/>
    <w:rsid w:val="005C0FA1"/>
    <w:rsid w:val="005C0FC5"/>
    <w:rsid w:val="005C116B"/>
    <w:rsid w:val="005C129A"/>
    <w:rsid w:val="005C12DA"/>
    <w:rsid w:val="005C132D"/>
    <w:rsid w:val="005C1358"/>
    <w:rsid w:val="005C1397"/>
    <w:rsid w:val="005C152C"/>
    <w:rsid w:val="005C15DD"/>
    <w:rsid w:val="005C15F8"/>
    <w:rsid w:val="005C1615"/>
    <w:rsid w:val="005C1683"/>
    <w:rsid w:val="005C1697"/>
    <w:rsid w:val="005C16C7"/>
    <w:rsid w:val="005C17A0"/>
    <w:rsid w:val="005C17BA"/>
    <w:rsid w:val="005C19B2"/>
    <w:rsid w:val="005C19D9"/>
    <w:rsid w:val="005C1A60"/>
    <w:rsid w:val="005C1A7C"/>
    <w:rsid w:val="005C1A94"/>
    <w:rsid w:val="005C1B80"/>
    <w:rsid w:val="005C1BFB"/>
    <w:rsid w:val="005C1C96"/>
    <w:rsid w:val="005C1CBF"/>
    <w:rsid w:val="005C1D01"/>
    <w:rsid w:val="005C1D2B"/>
    <w:rsid w:val="005C1D98"/>
    <w:rsid w:val="005C1DA5"/>
    <w:rsid w:val="005C20F6"/>
    <w:rsid w:val="005C2116"/>
    <w:rsid w:val="005C213D"/>
    <w:rsid w:val="005C218D"/>
    <w:rsid w:val="005C2264"/>
    <w:rsid w:val="005C2294"/>
    <w:rsid w:val="005C22EA"/>
    <w:rsid w:val="005C2300"/>
    <w:rsid w:val="005C2383"/>
    <w:rsid w:val="005C23F6"/>
    <w:rsid w:val="005C2558"/>
    <w:rsid w:val="005C2559"/>
    <w:rsid w:val="005C25EA"/>
    <w:rsid w:val="005C2623"/>
    <w:rsid w:val="005C26B6"/>
    <w:rsid w:val="005C26E5"/>
    <w:rsid w:val="005C278F"/>
    <w:rsid w:val="005C27FD"/>
    <w:rsid w:val="005C2873"/>
    <w:rsid w:val="005C296C"/>
    <w:rsid w:val="005C2A1D"/>
    <w:rsid w:val="005C2A6F"/>
    <w:rsid w:val="005C2AC0"/>
    <w:rsid w:val="005C2B09"/>
    <w:rsid w:val="005C2B1F"/>
    <w:rsid w:val="005C2B90"/>
    <w:rsid w:val="005C2BDE"/>
    <w:rsid w:val="005C2C8D"/>
    <w:rsid w:val="005C2CAD"/>
    <w:rsid w:val="005C2D0A"/>
    <w:rsid w:val="005C2DBC"/>
    <w:rsid w:val="005C3000"/>
    <w:rsid w:val="005C3038"/>
    <w:rsid w:val="005C3083"/>
    <w:rsid w:val="005C3220"/>
    <w:rsid w:val="005C3284"/>
    <w:rsid w:val="005C32D0"/>
    <w:rsid w:val="005C3355"/>
    <w:rsid w:val="005C344A"/>
    <w:rsid w:val="005C3452"/>
    <w:rsid w:val="005C34FC"/>
    <w:rsid w:val="005C3571"/>
    <w:rsid w:val="005C363C"/>
    <w:rsid w:val="005C3658"/>
    <w:rsid w:val="005C365C"/>
    <w:rsid w:val="005C3729"/>
    <w:rsid w:val="005C3762"/>
    <w:rsid w:val="005C37B7"/>
    <w:rsid w:val="005C37BD"/>
    <w:rsid w:val="005C37DB"/>
    <w:rsid w:val="005C3834"/>
    <w:rsid w:val="005C386E"/>
    <w:rsid w:val="005C389A"/>
    <w:rsid w:val="005C38D4"/>
    <w:rsid w:val="005C3A7C"/>
    <w:rsid w:val="005C3A89"/>
    <w:rsid w:val="005C3A94"/>
    <w:rsid w:val="005C3B5C"/>
    <w:rsid w:val="005C3B61"/>
    <w:rsid w:val="005C3B70"/>
    <w:rsid w:val="005C3C7F"/>
    <w:rsid w:val="005C3C88"/>
    <w:rsid w:val="005C3CBE"/>
    <w:rsid w:val="005C3CC6"/>
    <w:rsid w:val="005C3CD2"/>
    <w:rsid w:val="005C3D55"/>
    <w:rsid w:val="005C3E8A"/>
    <w:rsid w:val="005C4083"/>
    <w:rsid w:val="005C40D7"/>
    <w:rsid w:val="005C4144"/>
    <w:rsid w:val="005C4340"/>
    <w:rsid w:val="005C43A3"/>
    <w:rsid w:val="005C43BA"/>
    <w:rsid w:val="005C4421"/>
    <w:rsid w:val="005C4496"/>
    <w:rsid w:val="005C45A2"/>
    <w:rsid w:val="005C462C"/>
    <w:rsid w:val="005C4657"/>
    <w:rsid w:val="005C46EA"/>
    <w:rsid w:val="005C4746"/>
    <w:rsid w:val="005C47A4"/>
    <w:rsid w:val="005C487D"/>
    <w:rsid w:val="005C4926"/>
    <w:rsid w:val="005C497B"/>
    <w:rsid w:val="005C4994"/>
    <w:rsid w:val="005C4B13"/>
    <w:rsid w:val="005C4B19"/>
    <w:rsid w:val="005C4B5A"/>
    <w:rsid w:val="005C4B97"/>
    <w:rsid w:val="005C4BCD"/>
    <w:rsid w:val="005C4BF2"/>
    <w:rsid w:val="005C4C70"/>
    <w:rsid w:val="005C4C77"/>
    <w:rsid w:val="005C4CDE"/>
    <w:rsid w:val="005C4D06"/>
    <w:rsid w:val="005C4E51"/>
    <w:rsid w:val="005C4E62"/>
    <w:rsid w:val="005C4F21"/>
    <w:rsid w:val="005C4F3B"/>
    <w:rsid w:val="005C4F93"/>
    <w:rsid w:val="005C503A"/>
    <w:rsid w:val="005C5052"/>
    <w:rsid w:val="005C50D4"/>
    <w:rsid w:val="005C50F0"/>
    <w:rsid w:val="005C5143"/>
    <w:rsid w:val="005C5219"/>
    <w:rsid w:val="005C521C"/>
    <w:rsid w:val="005C5355"/>
    <w:rsid w:val="005C5472"/>
    <w:rsid w:val="005C5487"/>
    <w:rsid w:val="005C5639"/>
    <w:rsid w:val="005C56C1"/>
    <w:rsid w:val="005C56E6"/>
    <w:rsid w:val="005C5742"/>
    <w:rsid w:val="005C575F"/>
    <w:rsid w:val="005C5782"/>
    <w:rsid w:val="005C57E8"/>
    <w:rsid w:val="005C5818"/>
    <w:rsid w:val="005C58EA"/>
    <w:rsid w:val="005C590B"/>
    <w:rsid w:val="005C592F"/>
    <w:rsid w:val="005C5D36"/>
    <w:rsid w:val="005C5E33"/>
    <w:rsid w:val="005C5EAF"/>
    <w:rsid w:val="005C5F34"/>
    <w:rsid w:val="005C5FB8"/>
    <w:rsid w:val="005C6055"/>
    <w:rsid w:val="005C6134"/>
    <w:rsid w:val="005C613B"/>
    <w:rsid w:val="005C6248"/>
    <w:rsid w:val="005C6289"/>
    <w:rsid w:val="005C629E"/>
    <w:rsid w:val="005C6471"/>
    <w:rsid w:val="005C64CE"/>
    <w:rsid w:val="005C65E2"/>
    <w:rsid w:val="005C6606"/>
    <w:rsid w:val="005C67C2"/>
    <w:rsid w:val="005C67ED"/>
    <w:rsid w:val="005C6808"/>
    <w:rsid w:val="005C6824"/>
    <w:rsid w:val="005C6A26"/>
    <w:rsid w:val="005C6ADA"/>
    <w:rsid w:val="005C6AF8"/>
    <w:rsid w:val="005C6B78"/>
    <w:rsid w:val="005C6BBB"/>
    <w:rsid w:val="005C6BEA"/>
    <w:rsid w:val="005C6C7F"/>
    <w:rsid w:val="005C6CC5"/>
    <w:rsid w:val="005C6E51"/>
    <w:rsid w:val="005C70D9"/>
    <w:rsid w:val="005C70DA"/>
    <w:rsid w:val="005C70F1"/>
    <w:rsid w:val="005C7109"/>
    <w:rsid w:val="005C71D1"/>
    <w:rsid w:val="005C71D8"/>
    <w:rsid w:val="005C71F5"/>
    <w:rsid w:val="005C726D"/>
    <w:rsid w:val="005C72C8"/>
    <w:rsid w:val="005C7464"/>
    <w:rsid w:val="005C74F0"/>
    <w:rsid w:val="005C758F"/>
    <w:rsid w:val="005C75A6"/>
    <w:rsid w:val="005C75CB"/>
    <w:rsid w:val="005C760E"/>
    <w:rsid w:val="005C7650"/>
    <w:rsid w:val="005C76AB"/>
    <w:rsid w:val="005C7762"/>
    <w:rsid w:val="005C7794"/>
    <w:rsid w:val="005C77E0"/>
    <w:rsid w:val="005C7846"/>
    <w:rsid w:val="005C7880"/>
    <w:rsid w:val="005C78B2"/>
    <w:rsid w:val="005C7901"/>
    <w:rsid w:val="005C79B1"/>
    <w:rsid w:val="005C79D7"/>
    <w:rsid w:val="005C7A14"/>
    <w:rsid w:val="005C7A6B"/>
    <w:rsid w:val="005C7B0C"/>
    <w:rsid w:val="005C7BAE"/>
    <w:rsid w:val="005C7BB3"/>
    <w:rsid w:val="005C7BD7"/>
    <w:rsid w:val="005C7C10"/>
    <w:rsid w:val="005C7C6E"/>
    <w:rsid w:val="005C7C78"/>
    <w:rsid w:val="005C7D3E"/>
    <w:rsid w:val="005C7D7E"/>
    <w:rsid w:val="005C7E9E"/>
    <w:rsid w:val="005C7F2A"/>
    <w:rsid w:val="005D00F2"/>
    <w:rsid w:val="005D0174"/>
    <w:rsid w:val="005D030C"/>
    <w:rsid w:val="005D038B"/>
    <w:rsid w:val="005D040A"/>
    <w:rsid w:val="005D0496"/>
    <w:rsid w:val="005D04B1"/>
    <w:rsid w:val="005D0565"/>
    <w:rsid w:val="005D05C2"/>
    <w:rsid w:val="005D06CB"/>
    <w:rsid w:val="005D0965"/>
    <w:rsid w:val="005D09B5"/>
    <w:rsid w:val="005D0A24"/>
    <w:rsid w:val="005D0A67"/>
    <w:rsid w:val="005D0A68"/>
    <w:rsid w:val="005D0AB1"/>
    <w:rsid w:val="005D0BAC"/>
    <w:rsid w:val="005D0CAC"/>
    <w:rsid w:val="005D0DA6"/>
    <w:rsid w:val="005D0E11"/>
    <w:rsid w:val="005D0E8D"/>
    <w:rsid w:val="005D0F87"/>
    <w:rsid w:val="005D117B"/>
    <w:rsid w:val="005D11B4"/>
    <w:rsid w:val="005D1208"/>
    <w:rsid w:val="005D121B"/>
    <w:rsid w:val="005D127D"/>
    <w:rsid w:val="005D129C"/>
    <w:rsid w:val="005D12BC"/>
    <w:rsid w:val="005D13ED"/>
    <w:rsid w:val="005D140B"/>
    <w:rsid w:val="005D1464"/>
    <w:rsid w:val="005D14C0"/>
    <w:rsid w:val="005D14CE"/>
    <w:rsid w:val="005D155C"/>
    <w:rsid w:val="005D156F"/>
    <w:rsid w:val="005D1575"/>
    <w:rsid w:val="005D15DB"/>
    <w:rsid w:val="005D15E6"/>
    <w:rsid w:val="005D1662"/>
    <w:rsid w:val="005D1789"/>
    <w:rsid w:val="005D1838"/>
    <w:rsid w:val="005D184D"/>
    <w:rsid w:val="005D1854"/>
    <w:rsid w:val="005D1884"/>
    <w:rsid w:val="005D18C9"/>
    <w:rsid w:val="005D18D8"/>
    <w:rsid w:val="005D18E0"/>
    <w:rsid w:val="005D1984"/>
    <w:rsid w:val="005D1B72"/>
    <w:rsid w:val="005D1BBF"/>
    <w:rsid w:val="005D1BE4"/>
    <w:rsid w:val="005D1C3F"/>
    <w:rsid w:val="005D1D15"/>
    <w:rsid w:val="005D1FAD"/>
    <w:rsid w:val="005D1FC7"/>
    <w:rsid w:val="005D205D"/>
    <w:rsid w:val="005D2096"/>
    <w:rsid w:val="005D2137"/>
    <w:rsid w:val="005D2170"/>
    <w:rsid w:val="005D21DE"/>
    <w:rsid w:val="005D22AF"/>
    <w:rsid w:val="005D2383"/>
    <w:rsid w:val="005D243B"/>
    <w:rsid w:val="005D2471"/>
    <w:rsid w:val="005D2478"/>
    <w:rsid w:val="005D24BB"/>
    <w:rsid w:val="005D25A3"/>
    <w:rsid w:val="005D2654"/>
    <w:rsid w:val="005D269D"/>
    <w:rsid w:val="005D2701"/>
    <w:rsid w:val="005D2779"/>
    <w:rsid w:val="005D27A4"/>
    <w:rsid w:val="005D27C0"/>
    <w:rsid w:val="005D28ED"/>
    <w:rsid w:val="005D2978"/>
    <w:rsid w:val="005D2B22"/>
    <w:rsid w:val="005D2C22"/>
    <w:rsid w:val="005D2C68"/>
    <w:rsid w:val="005D2CEC"/>
    <w:rsid w:val="005D2DBE"/>
    <w:rsid w:val="005D2DCF"/>
    <w:rsid w:val="005D2DD2"/>
    <w:rsid w:val="005D2E30"/>
    <w:rsid w:val="005D2E4D"/>
    <w:rsid w:val="005D2E9A"/>
    <w:rsid w:val="005D2EBF"/>
    <w:rsid w:val="005D2F0E"/>
    <w:rsid w:val="005D2F4A"/>
    <w:rsid w:val="005D3094"/>
    <w:rsid w:val="005D30BA"/>
    <w:rsid w:val="005D320D"/>
    <w:rsid w:val="005D321D"/>
    <w:rsid w:val="005D3242"/>
    <w:rsid w:val="005D324E"/>
    <w:rsid w:val="005D329C"/>
    <w:rsid w:val="005D3307"/>
    <w:rsid w:val="005D332C"/>
    <w:rsid w:val="005D3339"/>
    <w:rsid w:val="005D33CA"/>
    <w:rsid w:val="005D348E"/>
    <w:rsid w:val="005D34AB"/>
    <w:rsid w:val="005D351B"/>
    <w:rsid w:val="005D355E"/>
    <w:rsid w:val="005D3585"/>
    <w:rsid w:val="005D35BA"/>
    <w:rsid w:val="005D35C9"/>
    <w:rsid w:val="005D35CE"/>
    <w:rsid w:val="005D362D"/>
    <w:rsid w:val="005D3653"/>
    <w:rsid w:val="005D3805"/>
    <w:rsid w:val="005D3B26"/>
    <w:rsid w:val="005D3B39"/>
    <w:rsid w:val="005D3B41"/>
    <w:rsid w:val="005D3BC5"/>
    <w:rsid w:val="005D3BF0"/>
    <w:rsid w:val="005D3C04"/>
    <w:rsid w:val="005D3C1B"/>
    <w:rsid w:val="005D3C7E"/>
    <w:rsid w:val="005D3CFC"/>
    <w:rsid w:val="005D3DE7"/>
    <w:rsid w:val="005D3E2C"/>
    <w:rsid w:val="005D3F0D"/>
    <w:rsid w:val="005D3FD1"/>
    <w:rsid w:val="005D4076"/>
    <w:rsid w:val="005D4090"/>
    <w:rsid w:val="005D40FD"/>
    <w:rsid w:val="005D4117"/>
    <w:rsid w:val="005D4183"/>
    <w:rsid w:val="005D41E2"/>
    <w:rsid w:val="005D4201"/>
    <w:rsid w:val="005D437D"/>
    <w:rsid w:val="005D449A"/>
    <w:rsid w:val="005D45ED"/>
    <w:rsid w:val="005D4851"/>
    <w:rsid w:val="005D48AF"/>
    <w:rsid w:val="005D4902"/>
    <w:rsid w:val="005D4A12"/>
    <w:rsid w:val="005D4B34"/>
    <w:rsid w:val="005D4C8D"/>
    <w:rsid w:val="005D4D2C"/>
    <w:rsid w:val="005D4DCD"/>
    <w:rsid w:val="005D4E98"/>
    <w:rsid w:val="005D4EEA"/>
    <w:rsid w:val="005D50F1"/>
    <w:rsid w:val="005D5177"/>
    <w:rsid w:val="005D51D6"/>
    <w:rsid w:val="005D532D"/>
    <w:rsid w:val="005D537D"/>
    <w:rsid w:val="005D53CD"/>
    <w:rsid w:val="005D53D8"/>
    <w:rsid w:val="005D54DC"/>
    <w:rsid w:val="005D5637"/>
    <w:rsid w:val="005D56EB"/>
    <w:rsid w:val="005D588A"/>
    <w:rsid w:val="005D5A13"/>
    <w:rsid w:val="005D5A17"/>
    <w:rsid w:val="005D5A27"/>
    <w:rsid w:val="005D5AC7"/>
    <w:rsid w:val="005D5BBB"/>
    <w:rsid w:val="005D5C0B"/>
    <w:rsid w:val="005D5C25"/>
    <w:rsid w:val="005D5C80"/>
    <w:rsid w:val="005D5CB8"/>
    <w:rsid w:val="005D5CC1"/>
    <w:rsid w:val="005D5D43"/>
    <w:rsid w:val="005D5DDC"/>
    <w:rsid w:val="005D5DEA"/>
    <w:rsid w:val="005D5ECB"/>
    <w:rsid w:val="005D5EE5"/>
    <w:rsid w:val="005D5EF2"/>
    <w:rsid w:val="005D5F06"/>
    <w:rsid w:val="005D5F0D"/>
    <w:rsid w:val="005D6085"/>
    <w:rsid w:val="005D60CD"/>
    <w:rsid w:val="005D60E4"/>
    <w:rsid w:val="005D610C"/>
    <w:rsid w:val="005D6356"/>
    <w:rsid w:val="005D65FF"/>
    <w:rsid w:val="005D66A0"/>
    <w:rsid w:val="005D66A4"/>
    <w:rsid w:val="005D68FD"/>
    <w:rsid w:val="005D6901"/>
    <w:rsid w:val="005D6B41"/>
    <w:rsid w:val="005D6C1C"/>
    <w:rsid w:val="005D6CD0"/>
    <w:rsid w:val="005D6D24"/>
    <w:rsid w:val="005D6D35"/>
    <w:rsid w:val="005D6D7A"/>
    <w:rsid w:val="005D6E3F"/>
    <w:rsid w:val="005D6E9E"/>
    <w:rsid w:val="005D6F3B"/>
    <w:rsid w:val="005D7034"/>
    <w:rsid w:val="005D7087"/>
    <w:rsid w:val="005D712D"/>
    <w:rsid w:val="005D7170"/>
    <w:rsid w:val="005D719D"/>
    <w:rsid w:val="005D71B0"/>
    <w:rsid w:val="005D729C"/>
    <w:rsid w:val="005D72D2"/>
    <w:rsid w:val="005D7460"/>
    <w:rsid w:val="005D74E7"/>
    <w:rsid w:val="005D7526"/>
    <w:rsid w:val="005D75CE"/>
    <w:rsid w:val="005D76D8"/>
    <w:rsid w:val="005D7798"/>
    <w:rsid w:val="005D7808"/>
    <w:rsid w:val="005D7811"/>
    <w:rsid w:val="005D7A33"/>
    <w:rsid w:val="005D7A76"/>
    <w:rsid w:val="005D7B01"/>
    <w:rsid w:val="005D7C88"/>
    <w:rsid w:val="005D7D0C"/>
    <w:rsid w:val="005D7D9F"/>
    <w:rsid w:val="005D7DEC"/>
    <w:rsid w:val="005D7E80"/>
    <w:rsid w:val="005D7EF7"/>
    <w:rsid w:val="005D7F6B"/>
    <w:rsid w:val="005D7F71"/>
    <w:rsid w:val="005D7F7B"/>
    <w:rsid w:val="005D7FDC"/>
    <w:rsid w:val="005D7FF0"/>
    <w:rsid w:val="005E000B"/>
    <w:rsid w:val="005E0274"/>
    <w:rsid w:val="005E02D8"/>
    <w:rsid w:val="005E02E7"/>
    <w:rsid w:val="005E02FF"/>
    <w:rsid w:val="005E0313"/>
    <w:rsid w:val="005E031A"/>
    <w:rsid w:val="005E0369"/>
    <w:rsid w:val="005E0392"/>
    <w:rsid w:val="005E0456"/>
    <w:rsid w:val="005E0513"/>
    <w:rsid w:val="005E0628"/>
    <w:rsid w:val="005E07B1"/>
    <w:rsid w:val="005E07ED"/>
    <w:rsid w:val="005E083D"/>
    <w:rsid w:val="005E08D6"/>
    <w:rsid w:val="005E0A9E"/>
    <w:rsid w:val="005E0AAB"/>
    <w:rsid w:val="005E0B7F"/>
    <w:rsid w:val="005E0BBD"/>
    <w:rsid w:val="005E0C27"/>
    <w:rsid w:val="005E0D1F"/>
    <w:rsid w:val="005E0E3B"/>
    <w:rsid w:val="005E0E77"/>
    <w:rsid w:val="005E0FA7"/>
    <w:rsid w:val="005E10B6"/>
    <w:rsid w:val="005E10E6"/>
    <w:rsid w:val="005E11BE"/>
    <w:rsid w:val="005E1254"/>
    <w:rsid w:val="005E1283"/>
    <w:rsid w:val="005E131A"/>
    <w:rsid w:val="005E136F"/>
    <w:rsid w:val="005E1373"/>
    <w:rsid w:val="005E1427"/>
    <w:rsid w:val="005E1460"/>
    <w:rsid w:val="005E14C8"/>
    <w:rsid w:val="005E1514"/>
    <w:rsid w:val="005E158B"/>
    <w:rsid w:val="005E16B4"/>
    <w:rsid w:val="005E16BD"/>
    <w:rsid w:val="005E1720"/>
    <w:rsid w:val="005E1762"/>
    <w:rsid w:val="005E1813"/>
    <w:rsid w:val="005E18A5"/>
    <w:rsid w:val="005E1A81"/>
    <w:rsid w:val="005E1B3B"/>
    <w:rsid w:val="005E1B53"/>
    <w:rsid w:val="005E1BBB"/>
    <w:rsid w:val="005E1BF9"/>
    <w:rsid w:val="005E1CEF"/>
    <w:rsid w:val="005E1DBF"/>
    <w:rsid w:val="005E1DEB"/>
    <w:rsid w:val="005E1EBA"/>
    <w:rsid w:val="005E1ECD"/>
    <w:rsid w:val="005E1F13"/>
    <w:rsid w:val="005E1F18"/>
    <w:rsid w:val="005E1FB4"/>
    <w:rsid w:val="005E2048"/>
    <w:rsid w:val="005E2093"/>
    <w:rsid w:val="005E209C"/>
    <w:rsid w:val="005E20E4"/>
    <w:rsid w:val="005E22C4"/>
    <w:rsid w:val="005E22D6"/>
    <w:rsid w:val="005E2353"/>
    <w:rsid w:val="005E2396"/>
    <w:rsid w:val="005E2397"/>
    <w:rsid w:val="005E23AD"/>
    <w:rsid w:val="005E23B1"/>
    <w:rsid w:val="005E23CD"/>
    <w:rsid w:val="005E23E7"/>
    <w:rsid w:val="005E252B"/>
    <w:rsid w:val="005E25A5"/>
    <w:rsid w:val="005E2644"/>
    <w:rsid w:val="005E2721"/>
    <w:rsid w:val="005E272B"/>
    <w:rsid w:val="005E27F2"/>
    <w:rsid w:val="005E288A"/>
    <w:rsid w:val="005E28B5"/>
    <w:rsid w:val="005E2931"/>
    <w:rsid w:val="005E2973"/>
    <w:rsid w:val="005E2985"/>
    <w:rsid w:val="005E2A95"/>
    <w:rsid w:val="005E2ADB"/>
    <w:rsid w:val="005E2B09"/>
    <w:rsid w:val="005E2B6D"/>
    <w:rsid w:val="005E2B83"/>
    <w:rsid w:val="005E2C66"/>
    <w:rsid w:val="005E2C71"/>
    <w:rsid w:val="005E2DB7"/>
    <w:rsid w:val="005E2EF6"/>
    <w:rsid w:val="005E2F0A"/>
    <w:rsid w:val="005E2F9D"/>
    <w:rsid w:val="005E2FB3"/>
    <w:rsid w:val="005E3008"/>
    <w:rsid w:val="005E3166"/>
    <w:rsid w:val="005E31AD"/>
    <w:rsid w:val="005E3224"/>
    <w:rsid w:val="005E323C"/>
    <w:rsid w:val="005E3243"/>
    <w:rsid w:val="005E3283"/>
    <w:rsid w:val="005E32E4"/>
    <w:rsid w:val="005E32F2"/>
    <w:rsid w:val="005E3303"/>
    <w:rsid w:val="005E3403"/>
    <w:rsid w:val="005E3471"/>
    <w:rsid w:val="005E3561"/>
    <w:rsid w:val="005E3565"/>
    <w:rsid w:val="005E36F4"/>
    <w:rsid w:val="005E373A"/>
    <w:rsid w:val="005E381E"/>
    <w:rsid w:val="005E3873"/>
    <w:rsid w:val="005E38BA"/>
    <w:rsid w:val="005E3922"/>
    <w:rsid w:val="005E39D8"/>
    <w:rsid w:val="005E3A1C"/>
    <w:rsid w:val="005E3AB3"/>
    <w:rsid w:val="005E3BCD"/>
    <w:rsid w:val="005E3C35"/>
    <w:rsid w:val="005E3CB5"/>
    <w:rsid w:val="005E3CF0"/>
    <w:rsid w:val="005E3D59"/>
    <w:rsid w:val="005E3D83"/>
    <w:rsid w:val="005E3DD2"/>
    <w:rsid w:val="005E3E2E"/>
    <w:rsid w:val="005E3EE8"/>
    <w:rsid w:val="005E3F64"/>
    <w:rsid w:val="005E3F9F"/>
    <w:rsid w:val="005E4019"/>
    <w:rsid w:val="005E4046"/>
    <w:rsid w:val="005E41BB"/>
    <w:rsid w:val="005E4249"/>
    <w:rsid w:val="005E42F5"/>
    <w:rsid w:val="005E43AA"/>
    <w:rsid w:val="005E43E7"/>
    <w:rsid w:val="005E441D"/>
    <w:rsid w:val="005E443B"/>
    <w:rsid w:val="005E44BD"/>
    <w:rsid w:val="005E45DD"/>
    <w:rsid w:val="005E4877"/>
    <w:rsid w:val="005E48F1"/>
    <w:rsid w:val="005E4901"/>
    <w:rsid w:val="005E493C"/>
    <w:rsid w:val="005E49A1"/>
    <w:rsid w:val="005E4A87"/>
    <w:rsid w:val="005E4A90"/>
    <w:rsid w:val="005E4B16"/>
    <w:rsid w:val="005E4BAC"/>
    <w:rsid w:val="005E4BF1"/>
    <w:rsid w:val="005E4CF8"/>
    <w:rsid w:val="005E4D80"/>
    <w:rsid w:val="005E4DA5"/>
    <w:rsid w:val="005E4DE9"/>
    <w:rsid w:val="005E4E2A"/>
    <w:rsid w:val="005E4E5A"/>
    <w:rsid w:val="005E4FD0"/>
    <w:rsid w:val="005E4FF9"/>
    <w:rsid w:val="005E5001"/>
    <w:rsid w:val="005E5011"/>
    <w:rsid w:val="005E503E"/>
    <w:rsid w:val="005E5047"/>
    <w:rsid w:val="005E50EC"/>
    <w:rsid w:val="005E5174"/>
    <w:rsid w:val="005E5300"/>
    <w:rsid w:val="005E5646"/>
    <w:rsid w:val="005E5660"/>
    <w:rsid w:val="005E56BB"/>
    <w:rsid w:val="005E57AC"/>
    <w:rsid w:val="005E583D"/>
    <w:rsid w:val="005E5932"/>
    <w:rsid w:val="005E5935"/>
    <w:rsid w:val="005E598F"/>
    <w:rsid w:val="005E59C7"/>
    <w:rsid w:val="005E5ACF"/>
    <w:rsid w:val="005E5B2D"/>
    <w:rsid w:val="005E5B3A"/>
    <w:rsid w:val="005E5B50"/>
    <w:rsid w:val="005E5C2E"/>
    <w:rsid w:val="005E5CC6"/>
    <w:rsid w:val="005E5D77"/>
    <w:rsid w:val="005E5E7B"/>
    <w:rsid w:val="005E5F2A"/>
    <w:rsid w:val="005E5FCE"/>
    <w:rsid w:val="005E6023"/>
    <w:rsid w:val="005E6095"/>
    <w:rsid w:val="005E60E0"/>
    <w:rsid w:val="005E610E"/>
    <w:rsid w:val="005E6246"/>
    <w:rsid w:val="005E6290"/>
    <w:rsid w:val="005E62BF"/>
    <w:rsid w:val="005E636A"/>
    <w:rsid w:val="005E64C9"/>
    <w:rsid w:val="005E64FF"/>
    <w:rsid w:val="005E653B"/>
    <w:rsid w:val="005E65BF"/>
    <w:rsid w:val="005E6642"/>
    <w:rsid w:val="005E67EC"/>
    <w:rsid w:val="005E68BE"/>
    <w:rsid w:val="005E6A26"/>
    <w:rsid w:val="005E6A3F"/>
    <w:rsid w:val="005E6AE5"/>
    <w:rsid w:val="005E6BED"/>
    <w:rsid w:val="005E6C24"/>
    <w:rsid w:val="005E6DB8"/>
    <w:rsid w:val="005E6E9F"/>
    <w:rsid w:val="005E6F46"/>
    <w:rsid w:val="005E6FE2"/>
    <w:rsid w:val="005E7096"/>
    <w:rsid w:val="005E70ED"/>
    <w:rsid w:val="005E71BA"/>
    <w:rsid w:val="005E7228"/>
    <w:rsid w:val="005E7284"/>
    <w:rsid w:val="005E72D4"/>
    <w:rsid w:val="005E72DA"/>
    <w:rsid w:val="005E73B2"/>
    <w:rsid w:val="005E7401"/>
    <w:rsid w:val="005E741A"/>
    <w:rsid w:val="005E7483"/>
    <w:rsid w:val="005E7495"/>
    <w:rsid w:val="005E752C"/>
    <w:rsid w:val="005E7692"/>
    <w:rsid w:val="005E77D3"/>
    <w:rsid w:val="005E7822"/>
    <w:rsid w:val="005E78F7"/>
    <w:rsid w:val="005E7ACB"/>
    <w:rsid w:val="005E7B23"/>
    <w:rsid w:val="005E7B6A"/>
    <w:rsid w:val="005E7BAC"/>
    <w:rsid w:val="005E7D49"/>
    <w:rsid w:val="005E7E00"/>
    <w:rsid w:val="005E7E96"/>
    <w:rsid w:val="005E7FD2"/>
    <w:rsid w:val="005F0019"/>
    <w:rsid w:val="005F0107"/>
    <w:rsid w:val="005F0127"/>
    <w:rsid w:val="005F019D"/>
    <w:rsid w:val="005F0234"/>
    <w:rsid w:val="005F03B4"/>
    <w:rsid w:val="005F05A4"/>
    <w:rsid w:val="005F06CA"/>
    <w:rsid w:val="005F072C"/>
    <w:rsid w:val="005F0734"/>
    <w:rsid w:val="005F0793"/>
    <w:rsid w:val="005F0898"/>
    <w:rsid w:val="005F0910"/>
    <w:rsid w:val="005F0B5C"/>
    <w:rsid w:val="005F0BD7"/>
    <w:rsid w:val="005F0CF8"/>
    <w:rsid w:val="005F0D73"/>
    <w:rsid w:val="005F0DD5"/>
    <w:rsid w:val="005F0E12"/>
    <w:rsid w:val="005F0E5C"/>
    <w:rsid w:val="005F0F85"/>
    <w:rsid w:val="005F0FAF"/>
    <w:rsid w:val="005F102E"/>
    <w:rsid w:val="005F1090"/>
    <w:rsid w:val="005F10BE"/>
    <w:rsid w:val="005F115E"/>
    <w:rsid w:val="005F11C0"/>
    <w:rsid w:val="005F134E"/>
    <w:rsid w:val="005F1362"/>
    <w:rsid w:val="005F1365"/>
    <w:rsid w:val="005F1369"/>
    <w:rsid w:val="005F1573"/>
    <w:rsid w:val="005F1609"/>
    <w:rsid w:val="005F162A"/>
    <w:rsid w:val="005F16D9"/>
    <w:rsid w:val="005F17C8"/>
    <w:rsid w:val="005F1899"/>
    <w:rsid w:val="005F18B2"/>
    <w:rsid w:val="005F1BC7"/>
    <w:rsid w:val="005F1C57"/>
    <w:rsid w:val="005F1C9D"/>
    <w:rsid w:val="005F1CB0"/>
    <w:rsid w:val="005F1D14"/>
    <w:rsid w:val="005F1D1A"/>
    <w:rsid w:val="005F1DC5"/>
    <w:rsid w:val="005F1EE8"/>
    <w:rsid w:val="005F20BB"/>
    <w:rsid w:val="005F22A2"/>
    <w:rsid w:val="005F2412"/>
    <w:rsid w:val="005F2545"/>
    <w:rsid w:val="005F2580"/>
    <w:rsid w:val="005F25A4"/>
    <w:rsid w:val="005F277F"/>
    <w:rsid w:val="005F2792"/>
    <w:rsid w:val="005F27B9"/>
    <w:rsid w:val="005F27F9"/>
    <w:rsid w:val="005F291D"/>
    <w:rsid w:val="005F2939"/>
    <w:rsid w:val="005F294B"/>
    <w:rsid w:val="005F2976"/>
    <w:rsid w:val="005F29A3"/>
    <w:rsid w:val="005F2AB3"/>
    <w:rsid w:val="005F2B2E"/>
    <w:rsid w:val="005F2B59"/>
    <w:rsid w:val="005F2BF3"/>
    <w:rsid w:val="005F2C1F"/>
    <w:rsid w:val="005F2DD1"/>
    <w:rsid w:val="005F2DEC"/>
    <w:rsid w:val="005F2E44"/>
    <w:rsid w:val="005F2E6D"/>
    <w:rsid w:val="005F2E76"/>
    <w:rsid w:val="005F2E80"/>
    <w:rsid w:val="005F2F7C"/>
    <w:rsid w:val="005F2F87"/>
    <w:rsid w:val="005F303A"/>
    <w:rsid w:val="005F30A6"/>
    <w:rsid w:val="005F30C8"/>
    <w:rsid w:val="005F30D1"/>
    <w:rsid w:val="005F30F0"/>
    <w:rsid w:val="005F313B"/>
    <w:rsid w:val="005F323D"/>
    <w:rsid w:val="005F3391"/>
    <w:rsid w:val="005F33F8"/>
    <w:rsid w:val="005F3497"/>
    <w:rsid w:val="005F34FF"/>
    <w:rsid w:val="005F3542"/>
    <w:rsid w:val="005F3690"/>
    <w:rsid w:val="005F3696"/>
    <w:rsid w:val="005F36BF"/>
    <w:rsid w:val="005F36D1"/>
    <w:rsid w:val="005F374D"/>
    <w:rsid w:val="005F37AF"/>
    <w:rsid w:val="005F37BA"/>
    <w:rsid w:val="005F3801"/>
    <w:rsid w:val="005F386A"/>
    <w:rsid w:val="005F387E"/>
    <w:rsid w:val="005F3890"/>
    <w:rsid w:val="005F391F"/>
    <w:rsid w:val="005F3986"/>
    <w:rsid w:val="005F3A10"/>
    <w:rsid w:val="005F3A6D"/>
    <w:rsid w:val="005F3A8C"/>
    <w:rsid w:val="005F3A8E"/>
    <w:rsid w:val="005F3AC0"/>
    <w:rsid w:val="005F3BED"/>
    <w:rsid w:val="005F3C13"/>
    <w:rsid w:val="005F3C2C"/>
    <w:rsid w:val="005F3CCB"/>
    <w:rsid w:val="005F3CE3"/>
    <w:rsid w:val="005F3D17"/>
    <w:rsid w:val="005F3D6E"/>
    <w:rsid w:val="005F3DB1"/>
    <w:rsid w:val="005F3E47"/>
    <w:rsid w:val="005F3EDD"/>
    <w:rsid w:val="005F3F4B"/>
    <w:rsid w:val="005F3FA4"/>
    <w:rsid w:val="005F3FB2"/>
    <w:rsid w:val="005F41BC"/>
    <w:rsid w:val="005F4219"/>
    <w:rsid w:val="005F424D"/>
    <w:rsid w:val="005F4330"/>
    <w:rsid w:val="005F433F"/>
    <w:rsid w:val="005F43D0"/>
    <w:rsid w:val="005F45CB"/>
    <w:rsid w:val="005F45E0"/>
    <w:rsid w:val="005F4603"/>
    <w:rsid w:val="005F48AC"/>
    <w:rsid w:val="005F4A2B"/>
    <w:rsid w:val="005F4AA5"/>
    <w:rsid w:val="005F4AAF"/>
    <w:rsid w:val="005F4AC9"/>
    <w:rsid w:val="005F4B4C"/>
    <w:rsid w:val="005F4B5A"/>
    <w:rsid w:val="005F4C27"/>
    <w:rsid w:val="005F4C41"/>
    <w:rsid w:val="005F4C57"/>
    <w:rsid w:val="005F4CF8"/>
    <w:rsid w:val="005F4D8A"/>
    <w:rsid w:val="005F4DB0"/>
    <w:rsid w:val="005F4DC8"/>
    <w:rsid w:val="005F4E21"/>
    <w:rsid w:val="005F4EB1"/>
    <w:rsid w:val="005F4ED4"/>
    <w:rsid w:val="005F4F2C"/>
    <w:rsid w:val="005F4F83"/>
    <w:rsid w:val="005F4FEC"/>
    <w:rsid w:val="005F50FE"/>
    <w:rsid w:val="005F5150"/>
    <w:rsid w:val="005F516D"/>
    <w:rsid w:val="005F51FA"/>
    <w:rsid w:val="005F5304"/>
    <w:rsid w:val="005F537A"/>
    <w:rsid w:val="005F5426"/>
    <w:rsid w:val="005F549F"/>
    <w:rsid w:val="005F54E1"/>
    <w:rsid w:val="005F551B"/>
    <w:rsid w:val="005F5526"/>
    <w:rsid w:val="005F56A6"/>
    <w:rsid w:val="005F5711"/>
    <w:rsid w:val="005F5756"/>
    <w:rsid w:val="005F57B6"/>
    <w:rsid w:val="005F57BB"/>
    <w:rsid w:val="005F57D4"/>
    <w:rsid w:val="005F580D"/>
    <w:rsid w:val="005F58DF"/>
    <w:rsid w:val="005F5AD5"/>
    <w:rsid w:val="005F5D15"/>
    <w:rsid w:val="005F5D84"/>
    <w:rsid w:val="005F5DA0"/>
    <w:rsid w:val="005F5DFC"/>
    <w:rsid w:val="005F5F9C"/>
    <w:rsid w:val="005F6044"/>
    <w:rsid w:val="005F613F"/>
    <w:rsid w:val="005F61BC"/>
    <w:rsid w:val="005F622B"/>
    <w:rsid w:val="005F622E"/>
    <w:rsid w:val="005F624F"/>
    <w:rsid w:val="005F62D5"/>
    <w:rsid w:val="005F62FD"/>
    <w:rsid w:val="005F63A7"/>
    <w:rsid w:val="005F6417"/>
    <w:rsid w:val="005F643E"/>
    <w:rsid w:val="005F64EA"/>
    <w:rsid w:val="005F65C9"/>
    <w:rsid w:val="005F6681"/>
    <w:rsid w:val="005F6687"/>
    <w:rsid w:val="005F6690"/>
    <w:rsid w:val="005F669D"/>
    <w:rsid w:val="005F6774"/>
    <w:rsid w:val="005F68FC"/>
    <w:rsid w:val="005F69E0"/>
    <w:rsid w:val="005F6B5F"/>
    <w:rsid w:val="005F6BBC"/>
    <w:rsid w:val="005F6C05"/>
    <w:rsid w:val="005F6D0D"/>
    <w:rsid w:val="005F6D7B"/>
    <w:rsid w:val="005F6DCF"/>
    <w:rsid w:val="005F6DEB"/>
    <w:rsid w:val="005F6F18"/>
    <w:rsid w:val="005F6FA2"/>
    <w:rsid w:val="005F6FC7"/>
    <w:rsid w:val="005F6FEC"/>
    <w:rsid w:val="005F6FEF"/>
    <w:rsid w:val="005F71AD"/>
    <w:rsid w:val="005F72DC"/>
    <w:rsid w:val="005F72F3"/>
    <w:rsid w:val="005F7381"/>
    <w:rsid w:val="005F7398"/>
    <w:rsid w:val="005F75B7"/>
    <w:rsid w:val="005F75B9"/>
    <w:rsid w:val="005F76FD"/>
    <w:rsid w:val="005F7702"/>
    <w:rsid w:val="005F7794"/>
    <w:rsid w:val="005F77C7"/>
    <w:rsid w:val="005F781D"/>
    <w:rsid w:val="005F7920"/>
    <w:rsid w:val="005F793E"/>
    <w:rsid w:val="005F79AA"/>
    <w:rsid w:val="005F7A13"/>
    <w:rsid w:val="005F7A1A"/>
    <w:rsid w:val="005F7AD1"/>
    <w:rsid w:val="005F7ADC"/>
    <w:rsid w:val="005F7AFE"/>
    <w:rsid w:val="005F7B4F"/>
    <w:rsid w:val="005F7BAA"/>
    <w:rsid w:val="005F7BD4"/>
    <w:rsid w:val="005F7C6E"/>
    <w:rsid w:val="005F7CCD"/>
    <w:rsid w:val="005F7D47"/>
    <w:rsid w:val="005F7D61"/>
    <w:rsid w:val="005F7D92"/>
    <w:rsid w:val="005F7E5D"/>
    <w:rsid w:val="0060000D"/>
    <w:rsid w:val="006000CE"/>
    <w:rsid w:val="006000DD"/>
    <w:rsid w:val="0060016B"/>
    <w:rsid w:val="0060026C"/>
    <w:rsid w:val="0060029B"/>
    <w:rsid w:val="006002AD"/>
    <w:rsid w:val="0060031F"/>
    <w:rsid w:val="00600429"/>
    <w:rsid w:val="0060044B"/>
    <w:rsid w:val="00600469"/>
    <w:rsid w:val="006006BA"/>
    <w:rsid w:val="0060070F"/>
    <w:rsid w:val="00600765"/>
    <w:rsid w:val="0060088E"/>
    <w:rsid w:val="006008A2"/>
    <w:rsid w:val="006008AD"/>
    <w:rsid w:val="006008EB"/>
    <w:rsid w:val="006008EF"/>
    <w:rsid w:val="0060090E"/>
    <w:rsid w:val="006009F6"/>
    <w:rsid w:val="00600A09"/>
    <w:rsid w:val="00600AA1"/>
    <w:rsid w:val="00600AD7"/>
    <w:rsid w:val="00600AF4"/>
    <w:rsid w:val="00600B67"/>
    <w:rsid w:val="00600BBC"/>
    <w:rsid w:val="00600C40"/>
    <w:rsid w:val="00600C4D"/>
    <w:rsid w:val="00600C50"/>
    <w:rsid w:val="00600D7B"/>
    <w:rsid w:val="00600D9E"/>
    <w:rsid w:val="00600DD7"/>
    <w:rsid w:val="00600DE6"/>
    <w:rsid w:val="00600E15"/>
    <w:rsid w:val="00600EEE"/>
    <w:rsid w:val="00600F5D"/>
    <w:rsid w:val="00600FAA"/>
    <w:rsid w:val="00600FC9"/>
    <w:rsid w:val="0060115A"/>
    <w:rsid w:val="006011D8"/>
    <w:rsid w:val="0060122F"/>
    <w:rsid w:val="00601248"/>
    <w:rsid w:val="006012A9"/>
    <w:rsid w:val="00601375"/>
    <w:rsid w:val="0060139E"/>
    <w:rsid w:val="006013D7"/>
    <w:rsid w:val="00601401"/>
    <w:rsid w:val="0060145C"/>
    <w:rsid w:val="0060147D"/>
    <w:rsid w:val="006014DB"/>
    <w:rsid w:val="006014EE"/>
    <w:rsid w:val="00601564"/>
    <w:rsid w:val="00601587"/>
    <w:rsid w:val="00601594"/>
    <w:rsid w:val="006015BA"/>
    <w:rsid w:val="00601676"/>
    <w:rsid w:val="006017FB"/>
    <w:rsid w:val="00601876"/>
    <w:rsid w:val="0060187B"/>
    <w:rsid w:val="00601B19"/>
    <w:rsid w:val="00601BD8"/>
    <w:rsid w:val="00601C65"/>
    <w:rsid w:val="00601CE0"/>
    <w:rsid w:val="00601D21"/>
    <w:rsid w:val="00601E53"/>
    <w:rsid w:val="00601FDB"/>
    <w:rsid w:val="00602026"/>
    <w:rsid w:val="00602079"/>
    <w:rsid w:val="0060212C"/>
    <w:rsid w:val="0060216D"/>
    <w:rsid w:val="00602214"/>
    <w:rsid w:val="0060224E"/>
    <w:rsid w:val="006022E8"/>
    <w:rsid w:val="006022F3"/>
    <w:rsid w:val="006023F6"/>
    <w:rsid w:val="00602579"/>
    <w:rsid w:val="006025E4"/>
    <w:rsid w:val="00602651"/>
    <w:rsid w:val="006026F1"/>
    <w:rsid w:val="00602741"/>
    <w:rsid w:val="00602753"/>
    <w:rsid w:val="006027A6"/>
    <w:rsid w:val="00602807"/>
    <w:rsid w:val="006028FF"/>
    <w:rsid w:val="00602AB8"/>
    <w:rsid w:val="00602B64"/>
    <w:rsid w:val="00602B87"/>
    <w:rsid w:val="00602BA4"/>
    <w:rsid w:val="00602BD1"/>
    <w:rsid w:val="00602BE9"/>
    <w:rsid w:val="00602C6D"/>
    <w:rsid w:val="00602CFF"/>
    <w:rsid w:val="00602D0C"/>
    <w:rsid w:val="00602DA2"/>
    <w:rsid w:val="00602F56"/>
    <w:rsid w:val="00602FF4"/>
    <w:rsid w:val="00603004"/>
    <w:rsid w:val="0060301E"/>
    <w:rsid w:val="00603066"/>
    <w:rsid w:val="00603228"/>
    <w:rsid w:val="006032A4"/>
    <w:rsid w:val="00603315"/>
    <w:rsid w:val="00603422"/>
    <w:rsid w:val="006035B4"/>
    <w:rsid w:val="00603705"/>
    <w:rsid w:val="0060370B"/>
    <w:rsid w:val="00603774"/>
    <w:rsid w:val="00603777"/>
    <w:rsid w:val="0060384B"/>
    <w:rsid w:val="00603901"/>
    <w:rsid w:val="0060394C"/>
    <w:rsid w:val="00603A6B"/>
    <w:rsid w:val="00603BC2"/>
    <w:rsid w:val="00603BD7"/>
    <w:rsid w:val="00603C12"/>
    <w:rsid w:val="00603C33"/>
    <w:rsid w:val="00603CC6"/>
    <w:rsid w:val="00603CFE"/>
    <w:rsid w:val="00603DA7"/>
    <w:rsid w:val="00603E24"/>
    <w:rsid w:val="00603E36"/>
    <w:rsid w:val="00603EA7"/>
    <w:rsid w:val="00603FE9"/>
    <w:rsid w:val="00603FFC"/>
    <w:rsid w:val="006040BE"/>
    <w:rsid w:val="0060415E"/>
    <w:rsid w:val="00604205"/>
    <w:rsid w:val="0060423C"/>
    <w:rsid w:val="00604265"/>
    <w:rsid w:val="006043B5"/>
    <w:rsid w:val="006045C9"/>
    <w:rsid w:val="006047FE"/>
    <w:rsid w:val="006048DF"/>
    <w:rsid w:val="006048E3"/>
    <w:rsid w:val="006049AA"/>
    <w:rsid w:val="00604A39"/>
    <w:rsid w:val="00604ACD"/>
    <w:rsid w:val="00604AD8"/>
    <w:rsid w:val="00604B81"/>
    <w:rsid w:val="00604B9D"/>
    <w:rsid w:val="00604BF1"/>
    <w:rsid w:val="00604C15"/>
    <w:rsid w:val="00604D57"/>
    <w:rsid w:val="00604DC2"/>
    <w:rsid w:val="00604DD4"/>
    <w:rsid w:val="00604DE3"/>
    <w:rsid w:val="00604E8F"/>
    <w:rsid w:val="00604E9D"/>
    <w:rsid w:val="00604EA1"/>
    <w:rsid w:val="00604EA3"/>
    <w:rsid w:val="00604F85"/>
    <w:rsid w:val="00604FD1"/>
    <w:rsid w:val="0060506B"/>
    <w:rsid w:val="00605072"/>
    <w:rsid w:val="006050ED"/>
    <w:rsid w:val="00605147"/>
    <w:rsid w:val="00605187"/>
    <w:rsid w:val="006051D7"/>
    <w:rsid w:val="00605349"/>
    <w:rsid w:val="006053B6"/>
    <w:rsid w:val="006053C1"/>
    <w:rsid w:val="0060549B"/>
    <w:rsid w:val="006054D3"/>
    <w:rsid w:val="006054DA"/>
    <w:rsid w:val="00605504"/>
    <w:rsid w:val="00605564"/>
    <w:rsid w:val="0060557D"/>
    <w:rsid w:val="006056A8"/>
    <w:rsid w:val="0060574F"/>
    <w:rsid w:val="0060575F"/>
    <w:rsid w:val="00605774"/>
    <w:rsid w:val="00605862"/>
    <w:rsid w:val="00605865"/>
    <w:rsid w:val="006058E3"/>
    <w:rsid w:val="00605959"/>
    <w:rsid w:val="00605A12"/>
    <w:rsid w:val="00605AA5"/>
    <w:rsid w:val="00605AD1"/>
    <w:rsid w:val="00605AFE"/>
    <w:rsid w:val="00605BA3"/>
    <w:rsid w:val="00605BCE"/>
    <w:rsid w:val="00605C15"/>
    <w:rsid w:val="00605C1B"/>
    <w:rsid w:val="00605CB0"/>
    <w:rsid w:val="00605CB6"/>
    <w:rsid w:val="00605D1E"/>
    <w:rsid w:val="00605D35"/>
    <w:rsid w:val="00605D71"/>
    <w:rsid w:val="00605D9B"/>
    <w:rsid w:val="00605D9C"/>
    <w:rsid w:val="00605E7A"/>
    <w:rsid w:val="00605EB9"/>
    <w:rsid w:val="00605EF7"/>
    <w:rsid w:val="00605F65"/>
    <w:rsid w:val="00605FC6"/>
    <w:rsid w:val="00606052"/>
    <w:rsid w:val="0060608C"/>
    <w:rsid w:val="006060C4"/>
    <w:rsid w:val="0060636F"/>
    <w:rsid w:val="00606409"/>
    <w:rsid w:val="0060648D"/>
    <w:rsid w:val="00606492"/>
    <w:rsid w:val="006064B3"/>
    <w:rsid w:val="00606661"/>
    <w:rsid w:val="006066D3"/>
    <w:rsid w:val="0060672E"/>
    <w:rsid w:val="006067BF"/>
    <w:rsid w:val="0060689B"/>
    <w:rsid w:val="00606934"/>
    <w:rsid w:val="00606A6C"/>
    <w:rsid w:val="00606D0F"/>
    <w:rsid w:val="00606D28"/>
    <w:rsid w:val="00606D61"/>
    <w:rsid w:val="00606D84"/>
    <w:rsid w:val="00606DB8"/>
    <w:rsid w:val="00606DDB"/>
    <w:rsid w:val="00606E5C"/>
    <w:rsid w:val="00606E69"/>
    <w:rsid w:val="00606E7A"/>
    <w:rsid w:val="00606F32"/>
    <w:rsid w:val="00606F48"/>
    <w:rsid w:val="00606F7F"/>
    <w:rsid w:val="00606FCB"/>
    <w:rsid w:val="00606FF9"/>
    <w:rsid w:val="00607052"/>
    <w:rsid w:val="006070E4"/>
    <w:rsid w:val="00607143"/>
    <w:rsid w:val="00607158"/>
    <w:rsid w:val="00607188"/>
    <w:rsid w:val="00607197"/>
    <w:rsid w:val="006071DB"/>
    <w:rsid w:val="00607261"/>
    <w:rsid w:val="006072CE"/>
    <w:rsid w:val="0060740B"/>
    <w:rsid w:val="0060744F"/>
    <w:rsid w:val="006074B3"/>
    <w:rsid w:val="0060753B"/>
    <w:rsid w:val="00607570"/>
    <w:rsid w:val="0060758C"/>
    <w:rsid w:val="006075AA"/>
    <w:rsid w:val="0060761F"/>
    <w:rsid w:val="0060776A"/>
    <w:rsid w:val="00607773"/>
    <w:rsid w:val="0060780C"/>
    <w:rsid w:val="00607A10"/>
    <w:rsid w:val="00607A1A"/>
    <w:rsid w:val="00607AC0"/>
    <w:rsid w:val="00607AC8"/>
    <w:rsid w:val="00607B14"/>
    <w:rsid w:val="00607BB3"/>
    <w:rsid w:val="00607C13"/>
    <w:rsid w:val="00607C35"/>
    <w:rsid w:val="00607CB2"/>
    <w:rsid w:val="00607D38"/>
    <w:rsid w:val="00607DAE"/>
    <w:rsid w:val="00607FBE"/>
    <w:rsid w:val="00610068"/>
    <w:rsid w:val="00610090"/>
    <w:rsid w:val="006101B7"/>
    <w:rsid w:val="006101BD"/>
    <w:rsid w:val="0061021A"/>
    <w:rsid w:val="0061030E"/>
    <w:rsid w:val="00610420"/>
    <w:rsid w:val="00610427"/>
    <w:rsid w:val="00610445"/>
    <w:rsid w:val="0061044B"/>
    <w:rsid w:val="00610477"/>
    <w:rsid w:val="0061057E"/>
    <w:rsid w:val="006105EE"/>
    <w:rsid w:val="006106F3"/>
    <w:rsid w:val="006107B3"/>
    <w:rsid w:val="0061086A"/>
    <w:rsid w:val="00610910"/>
    <w:rsid w:val="00610B91"/>
    <w:rsid w:val="00610C44"/>
    <w:rsid w:val="00610C68"/>
    <w:rsid w:val="00610C85"/>
    <w:rsid w:val="00610D1F"/>
    <w:rsid w:val="00610D9F"/>
    <w:rsid w:val="00610DD5"/>
    <w:rsid w:val="00610DD8"/>
    <w:rsid w:val="00610DE5"/>
    <w:rsid w:val="00610E49"/>
    <w:rsid w:val="0061109E"/>
    <w:rsid w:val="006110E7"/>
    <w:rsid w:val="006110ED"/>
    <w:rsid w:val="00611108"/>
    <w:rsid w:val="006111AD"/>
    <w:rsid w:val="006111B4"/>
    <w:rsid w:val="0061130A"/>
    <w:rsid w:val="0061130F"/>
    <w:rsid w:val="006113A3"/>
    <w:rsid w:val="00611483"/>
    <w:rsid w:val="006114CF"/>
    <w:rsid w:val="00611535"/>
    <w:rsid w:val="0061154A"/>
    <w:rsid w:val="00611598"/>
    <w:rsid w:val="006116C8"/>
    <w:rsid w:val="00611742"/>
    <w:rsid w:val="00611777"/>
    <w:rsid w:val="00611780"/>
    <w:rsid w:val="006117D0"/>
    <w:rsid w:val="00611817"/>
    <w:rsid w:val="0061189F"/>
    <w:rsid w:val="006118D9"/>
    <w:rsid w:val="006119D5"/>
    <w:rsid w:val="00611A88"/>
    <w:rsid w:val="00611BBA"/>
    <w:rsid w:val="00611C80"/>
    <w:rsid w:val="00611C9E"/>
    <w:rsid w:val="00611E34"/>
    <w:rsid w:val="00611EE0"/>
    <w:rsid w:val="00611F6C"/>
    <w:rsid w:val="006120B8"/>
    <w:rsid w:val="006120DE"/>
    <w:rsid w:val="006120EA"/>
    <w:rsid w:val="00612197"/>
    <w:rsid w:val="0061219B"/>
    <w:rsid w:val="00612261"/>
    <w:rsid w:val="0061229F"/>
    <w:rsid w:val="00612314"/>
    <w:rsid w:val="00612356"/>
    <w:rsid w:val="00612474"/>
    <w:rsid w:val="00612617"/>
    <w:rsid w:val="00612689"/>
    <w:rsid w:val="006126CD"/>
    <w:rsid w:val="00612732"/>
    <w:rsid w:val="006127F5"/>
    <w:rsid w:val="00612881"/>
    <w:rsid w:val="006128A2"/>
    <w:rsid w:val="0061295E"/>
    <w:rsid w:val="0061299C"/>
    <w:rsid w:val="00612A82"/>
    <w:rsid w:val="00612BE6"/>
    <w:rsid w:val="00612C21"/>
    <w:rsid w:val="00612C40"/>
    <w:rsid w:val="00612C85"/>
    <w:rsid w:val="00612C9C"/>
    <w:rsid w:val="00612CAC"/>
    <w:rsid w:val="00612CEF"/>
    <w:rsid w:val="00612D05"/>
    <w:rsid w:val="00612D18"/>
    <w:rsid w:val="00612DFE"/>
    <w:rsid w:val="00612E8E"/>
    <w:rsid w:val="00612ED6"/>
    <w:rsid w:val="00612F3B"/>
    <w:rsid w:val="00612F3F"/>
    <w:rsid w:val="00612FC2"/>
    <w:rsid w:val="00613043"/>
    <w:rsid w:val="006130BE"/>
    <w:rsid w:val="0061314E"/>
    <w:rsid w:val="00613299"/>
    <w:rsid w:val="006132CF"/>
    <w:rsid w:val="006132DB"/>
    <w:rsid w:val="00613331"/>
    <w:rsid w:val="0061344C"/>
    <w:rsid w:val="006134D9"/>
    <w:rsid w:val="0061353C"/>
    <w:rsid w:val="00613553"/>
    <w:rsid w:val="006135A8"/>
    <w:rsid w:val="00613654"/>
    <w:rsid w:val="00613688"/>
    <w:rsid w:val="006137BE"/>
    <w:rsid w:val="00613894"/>
    <w:rsid w:val="00613896"/>
    <w:rsid w:val="006139BD"/>
    <w:rsid w:val="00613B09"/>
    <w:rsid w:val="00613B93"/>
    <w:rsid w:val="00613B9B"/>
    <w:rsid w:val="00613BAD"/>
    <w:rsid w:val="00613C9C"/>
    <w:rsid w:val="00613D1E"/>
    <w:rsid w:val="00613D24"/>
    <w:rsid w:val="00613D5C"/>
    <w:rsid w:val="00613D7E"/>
    <w:rsid w:val="00613E4E"/>
    <w:rsid w:val="00613E93"/>
    <w:rsid w:val="00613EC2"/>
    <w:rsid w:val="00613F63"/>
    <w:rsid w:val="00613FB6"/>
    <w:rsid w:val="00613FC2"/>
    <w:rsid w:val="00614009"/>
    <w:rsid w:val="0061402C"/>
    <w:rsid w:val="00614080"/>
    <w:rsid w:val="006140C6"/>
    <w:rsid w:val="00614134"/>
    <w:rsid w:val="00614171"/>
    <w:rsid w:val="006141DD"/>
    <w:rsid w:val="00614241"/>
    <w:rsid w:val="0061428D"/>
    <w:rsid w:val="00614483"/>
    <w:rsid w:val="006144E4"/>
    <w:rsid w:val="00614512"/>
    <w:rsid w:val="00614640"/>
    <w:rsid w:val="006146A3"/>
    <w:rsid w:val="00614774"/>
    <w:rsid w:val="0061477D"/>
    <w:rsid w:val="006147C1"/>
    <w:rsid w:val="006147D3"/>
    <w:rsid w:val="006147DC"/>
    <w:rsid w:val="006148AE"/>
    <w:rsid w:val="00614935"/>
    <w:rsid w:val="006149F5"/>
    <w:rsid w:val="00614A20"/>
    <w:rsid w:val="00614ABC"/>
    <w:rsid w:val="00614B45"/>
    <w:rsid w:val="00614B50"/>
    <w:rsid w:val="00614B55"/>
    <w:rsid w:val="00614C31"/>
    <w:rsid w:val="00614D2D"/>
    <w:rsid w:val="00614D94"/>
    <w:rsid w:val="00614DF1"/>
    <w:rsid w:val="00614E2E"/>
    <w:rsid w:val="00614FB4"/>
    <w:rsid w:val="00615086"/>
    <w:rsid w:val="0061508B"/>
    <w:rsid w:val="0061511E"/>
    <w:rsid w:val="0061518B"/>
    <w:rsid w:val="0061519C"/>
    <w:rsid w:val="006151EE"/>
    <w:rsid w:val="00615377"/>
    <w:rsid w:val="006153A3"/>
    <w:rsid w:val="006153C9"/>
    <w:rsid w:val="00615411"/>
    <w:rsid w:val="00615520"/>
    <w:rsid w:val="0061562D"/>
    <w:rsid w:val="0061566F"/>
    <w:rsid w:val="006156B4"/>
    <w:rsid w:val="00615782"/>
    <w:rsid w:val="00615820"/>
    <w:rsid w:val="0061587A"/>
    <w:rsid w:val="00615976"/>
    <w:rsid w:val="0061599E"/>
    <w:rsid w:val="006159DE"/>
    <w:rsid w:val="00615A96"/>
    <w:rsid w:val="00615AC7"/>
    <w:rsid w:val="00615B11"/>
    <w:rsid w:val="00615B51"/>
    <w:rsid w:val="00615B70"/>
    <w:rsid w:val="00615B8F"/>
    <w:rsid w:val="00615BA9"/>
    <w:rsid w:val="00615BBD"/>
    <w:rsid w:val="00615C10"/>
    <w:rsid w:val="00615C84"/>
    <w:rsid w:val="00615D0C"/>
    <w:rsid w:val="00615D0E"/>
    <w:rsid w:val="00615D17"/>
    <w:rsid w:val="00615D9E"/>
    <w:rsid w:val="00615DE6"/>
    <w:rsid w:val="00615E6B"/>
    <w:rsid w:val="00615E97"/>
    <w:rsid w:val="00615F58"/>
    <w:rsid w:val="00616201"/>
    <w:rsid w:val="0061623C"/>
    <w:rsid w:val="006162A5"/>
    <w:rsid w:val="006162E1"/>
    <w:rsid w:val="006162E6"/>
    <w:rsid w:val="00616321"/>
    <w:rsid w:val="006163B0"/>
    <w:rsid w:val="006163C9"/>
    <w:rsid w:val="0061649F"/>
    <w:rsid w:val="006164D1"/>
    <w:rsid w:val="00616524"/>
    <w:rsid w:val="00616536"/>
    <w:rsid w:val="00616719"/>
    <w:rsid w:val="006168D8"/>
    <w:rsid w:val="006168DB"/>
    <w:rsid w:val="0061691C"/>
    <w:rsid w:val="006169B1"/>
    <w:rsid w:val="006169C2"/>
    <w:rsid w:val="006169ED"/>
    <w:rsid w:val="00616A05"/>
    <w:rsid w:val="00616A24"/>
    <w:rsid w:val="00616A38"/>
    <w:rsid w:val="00616A48"/>
    <w:rsid w:val="00616A79"/>
    <w:rsid w:val="00616AA6"/>
    <w:rsid w:val="00616BEE"/>
    <w:rsid w:val="00616C54"/>
    <w:rsid w:val="00616C61"/>
    <w:rsid w:val="00616D16"/>
    <w:rsid w:val="00616D84"/>
    <w:rsid w:val="00616E7B"/>
    <w:rsid w:val="006170CF"/>
    <w:rsid w:val="006171A5"/>
    <w:rsid w:val="006171F9"/>
    <w:rsid w:val="00617259"/>
    <w:rsid w:val="00617285"/>
    <w:rsid w:val="00617296"/>
    <w:rsid w:val="0061736C"/>
    <w:rsid w:val="006173F7"/>
    <w:rsid w:val="0061746B"/>
    <w:rsid w:val="00617535"/>
    <w:rsid w:val="006175A8"/>
    <w:rsid w:val="0061768D"/>
    <w:rsid w:val="0061772C"/>
    <w:rsid w:val="00617822"/>
    <w:rsid w:val="0061782C"/>
    <w:rsid w:val="00617A0E"/>
    <w:rsid w:val="00617A60"/>
    <w:rsid w:val="00617B01"/>
    <w:rsid w:val="00617C37"/>
    <w:rsid w:val="00617D3F"/>
    <w:rsid w:val="00617D69"/>
    <w:rsid w:val="00617D71"/>
    <w:rsid w:val="00617D9D"/>
    <w:rsid w:val="00617E46"/>
    <w:rsid w:val="00617F3F"/>
    <w:rsid w:val="00617FB9"/>
    <w:rsid w:val="00617FFD"/>
    <w:rsid w:val="0062007C"/>
    <w:rsid w:val="006200CE"/>
    <w:rsid w:val="006200D7"/>
    <w:rsid w:val="00620120"/>
    <w:rsid w:val="006201A4"/>
    <w:rsid w:val="0062022C"/>
    <w:rsid w:val="00620309"/>
    <w:rsid w:val="0062032F"/>
    <w:rsid w:val="00620478"/>
    <w:rsid w:val="00620481"/>
    <w:rsid w:val="006204B2"/>
    <w:rsid w:val="00620552"/>
    <w:rsid w:val="00620696"/>
    <w:rsid w:val="006206B0"/>
    <w:rsid w:val="006206DB"/>
    <w:rsid w:val="00620831"/>
    <w:rsid w:val="00620898"/>
    <w:rsid w:val="00620921"/>
    <w:rsid w:val="006209A7"/>
    <w:rsid w:val="006209C4"/>
    <w:rsid w:val="00620A38"/>
    <w:rsid w:val="00620AEE"/>
    <w:rsid w:val="00620B5B"/>
    <w:rsid w:val="00620CA7"/>
    <w:rsid w:val="00620D4A"/>
    <w:rsid w:val="00620D6C"/>
    <w:rsid w:val="00620EDA"/>
    <w:rsid w:val="00620EFD"/>
    <w:rsid w:val="00620F1B"/>
    <w:rsid w:val="00621133"/>
    <w:rsid w:val="00621140"/>
    <w:rsid w:val="00621155"/>
    <w:rsid w:val="006211E9"/>
    <w:rsid w:val="00621294"/>
    <w:rsid w:val="0062152D"/>
    <w:rsid w:val="00621561"/>
    <w:rsid w:val="0062159D"/>
    <w:rsid w:val="00621654"/>
    <w:rsid w:val="00621680"/>
    <w:rsid w:val="006216BE"/>
    <w:rsid w:val="006216D3"/>
    <w:rsid w:val="00621714"/>
    <w:rsid w:val="006217F9"/>
    <w:rsid w:val="00621883"/>
    <w:rsid w:val="006219DD"/>
    <w:rsid w:val="006219E6"/>
    <w:rsid w:val="00621A4F"/>
    <w:rsid w:val="00621B2E"/>
    <w:rsid w:val="00621C20"/>
    <w:rsid w:val="00621CAA"/>
    <w:rsid w:val="00621D63"/>
    <w:rsid w:val="00621E37"/>
    <w:rsid w:val="00621EC5"/>
    <w:rsid w:val="00621F34"/>
    <w:rsid w:val="00621FE1"/>
    <w:rsid w:val="0062213E"/>
    <w:rsid w:val="0062229A"/>
    <w:rsid w:val="00622313"/>
    <w:rsid w:val="00622397"/>
    <w:rsid w:val="006223A1"/>
    <w:rsid w:val="006223E0"/>
    <w:rsid w:val="00622425"/>
    <w:rsid w:val="006224AC"/>
    <w:rsid w:val="006224D0"/>
    <w:rsid w:val="0062264D"/>
    <w:rsid w:val="0062264E"/>
    <w:rsid w:val="006226FE"/>
    <w:rsid w:val="006227D1"/>
    <w:rsid w:val="006227DC"/>
    <w:rsid w:val="00622820"/>
    <w:rsid w:val="00622838"/>
    <w:rsid w:val="00622846"/>
    <w:rsid w:val="0062299A"/>
    <w:rsid w:val="006229AE"/>
    <w:rsid w:val="006229EA"/>
    <w:rsid w:val="00622A04"/>
    <w:rsid w:val="00622A4D"/>
    <w:rsid w:val="00622AA7"/>
    <w:rsid w:val="00622B90"/>
    <w:rsid w:val="00622BAB"/>
    <w:rsid w:val="00622BCE"/>
    <w:rsid w:val="00622C37"/>
    <w:rsid w:val="00622C75"/>
    <w:rsid w:val="00622CBC"/>
    <w:rsid w:val="00622CC8"/>
    <w:rsid w:val="00622D5E"/>
    <w:rsid w:val="00622D90"/>
    <w:rsid w:val="00622E29"/>
    <w:rsid w:val="00622E4C"/>
    <w:rsid w:val="00622EF3"/>
    <w:rsid w:val="00622F12"/>
    <w:rsid w:val="00622F25"/>
    <w:rsid w:val="00622F88"/>
    <w:rsid w:val="00622FF5"/>
    <w:rsid w:val="00623024"/>
    <w:rsid w:val="00623035"/>
    <w:rsid w:val="006230F5"/>
    <w:rsid w:val="0062310D"/>
    <w:rsid w:val="00623112"/>
    <w:rsid w:val="00623265"/>
    <w:rsid w:val="0062332F"/>
    <w:rsid w:val="00623380"/>
    <w:rsid w:val="00623398"/>
    <w:rsid w:val="006233A5"/>
    <w:rsid w:val="0062340E"/>
    <w:rsid w:val="0062348D"/>
    <w:rsid w:val="00623514"/>
    <w:rsid w:val="0062353A"/>
    <w:rsid w:val="00623568"/>
    <w:rsid w:val="00623643"/>
    <w:rsid w:val="006236DB"/>
    <w:rsid w:val="006236E6"/>
    <w:rsid w:val="00623708"/>
    <w:rsid w:val="006238F9"/>
    <w:rsid w:val="00623935"/>
    <w:rsid w:val="0062397F"/>
    <w:rsid w:val="0062399A"/>
    <w:rsid w:val="00623A21"/>
    <w:rsid w:val="00623ABD"/>
    <w:rsid w:val="00623B4B"/>
    <w:rsid w:val="00623B98"/>
    <w:rsid w:val="00623CB7"/>
    <w:rsid w:val="00623D27"/>
    <w:rsid w:val="00623D9D"/>
    <w:rsid w:val="00623F44"/>
    <w:rsid w:val="00624018"/>
    <w:rsid w:val="006240AB"/>
    <w:rsid w:val="006240C4"/>
    <w:rsid w:val="006240F4"/>
    <w:rsid w:val="00624129"/>
    <w:rsid w:val="00624135"/>
    <w:rsid w:val="00624219"/>
    <w:rsid w:val="006242C6"/>
    <w:rsid w:val="00624503"/>
    <w:rsid w:val="00624577"/>
    <w:rsid w:val="00624611"/>
    <w:rsid w:val="00624689"/>
    <w:rsid w:val="00624732"/>
    <w:rsid w:val="00624857"/>
    <w:rsid w:val="00624A01"/>
    <w:rsid w:val="00624A92"/>
    <w:rsid w:val="00624AC7"/>
    <w:rsid w:val="00624AE3"/>
    <w:rsid w:val="00624B3D"/>
    <w:rsid w:val="00624B71"/>
    <w:rsid w:val="00624BC7"/>
    <w:rsid w:val="00624D88"/>
    <w:rsid w:val="00624D8F"/>
    <w:rsid w:val="00624E08"/>
    <w:rsid w:val="00624F21"/>
    <w:rsid w:val="00624F60"/>
    <w:rsid w:val="00624FAF"/>
    <w:rsid w:val="00624FB7"/>
    <w:rsid w:val="00624FC9"/>
    <w:rsid w:val="00624FDB"/>
    <w:rsid w:val="00625015"/>
    <w:rsid w:val="00625029"/>
    <w:rsid w:val="0062502D"/>
    <w:rsid w:val="00625063"/>
    <w:rsid w:val="00625087"/>
    <w:rsid w:val="00625115"/>
    <w:rsid w:val="0062516C"/>
    <w:rsid w:val="006251CC"/>
    <w:rsid w:val="006252A3"/>
    <w:rsid w:val="006252E5"/>
    <w:rsid w:val="00625304"/>
    <w:rsid w:val="00625394"/>
    <w:rsid w:val="00625417"/>
    <w:rsid w:val="0062541A"/>
    <w:rsid w:val="006254A4"/>
    <w:rsid w:val="00625501"/>
    <w:rsid w:val="0062581B"/>
    <w:rsid w:val="00625860"/>
    <w:rsid w:val="006258FA"/>
    <w:rsid w:val="00625997"/>
    <w:rsid w:val="006259EE"/>
    <w:rsid w:val="00625A0B"/>
    <w:rsid w:val="00625ACC"/>
    <w:rsid w:val="00625B1B"/>
    <w:rsid w:val="00625B33"/>
    <w:rsid w:val="00625B74"/>
    <w:rsid w:val="00625BAF"/>
    <w:rsid w:val="00625BBA"/>
    <w:rsid w:val="00625BE0"/>
    <w:rsid w:val="00625C4A"/>
    <w:rsid w:val="00625C8E"/>
    <w:rsid w:val="00625D1A"/>
    <w:rsid w:val="00625D71"/>
    <w:rsid w:val="00625FFC"/>
    <w:rsid w:val="00626025"/>
    <w:rsid w:val="006261DD"/>
    <w:rsid w:val="006261F4"/>
    <w:rsid w:val="0062624C"/>
    <w:rsid w:val="00626390"/>
    <w:rsid w:val="00626476"/>
    <w:rsid w:val="00626577"/>
    <w:rsid w:val="00626664"/>
    <w:rsid w:val="006266DC"/>
    <w:rsid w:val="0062672B"/>
    <w:rsid w:val="0062687C"/>
    <w:rsid w:val="006268A3"/>
    <w:rsid w:val="006268DC"/>
    <w:rsid w:val="006269D7"/>
    <w:rsid w:val="00626A1E"/>
    <w:rsid w:val="00626AA1"/>
    <w:rsid w:val="00626B59"/>
    <w:rsid w:val="00626C59"/>
    <w:rsid w:val="00626D91"/>
    <w:rsid w:val="00626E14"/>
    <w:rsid w:val="00626E39"/>
    <w:rsid w:val="00626FFB"/>
    <w:rsid w:val="0062708B"/>
    <w:rsid w:val="00627181"/>
    <w:rsid w:val="006271C3"/>
    <w:rsid w:val="0062722E"/>
    <w:rsid w:val="006273E8"/>
    <w:rsid w:val="006273FB"/>
    <w:rsid w:val="006274D8"/>
    <w:rsid w:val="00627609"/>
    <w:rsid w:val="00627731"/>
    <w:rsid w:val="00627766"/>
    <w:rsid w:val="006277EE"/>
    <w:rsid w:val="00627814"/>
    <w:rsid w:val="00627841"/>
    <w:rsid w:val="00627858"/>
    <w:rsid w:val="00627903"/>
    <w:rsid w:val="00627B08"/>
    <w:rsid w:val="00627B4E"/>
    <w:rsid w:val="00627BB7"/>
    <w:rsid w:val="00627BD7"/>
    <w:rsid w:val="00627BFF"/>
    <w:rsid w:val="00627C07"/>
    <w:rsid w:val="00627DCE"/>
    <w:rsid w:val="00627E56"/>
    <w:rsid w:val="00627FD3"/>
    <w:rsid w:val="006300E5"/>
    <w:rsid w:val="006301E6"/>
    <w:rsid w:val="006302D8"/>
    <w:rsid w:val="00630342"/>
    <w:rsid w:val="00630382"/>
    <w:rsid w:val="00630432"/>
    <w:rsid w:val="006304C1"/>
    <w:rsid w:val="006304E4"/>
    <w:rsid w:val="00630580"/>
    <w:rsid w:val="006305DC"/>
    <w:rsid w:val="006305E0"/>
    <w:rsid w:val="006305EB"/>
    <w:rsid w:val="00630629"/>
    <w:rsid w:val="006306AC"/>
    <w:rsid w:val="00630841"/>
    <w:rsid w:val="00630886"/>
    <w:rsid w:val="00630891"/>
    <w:rsid w:val="006308F3"/>
    <w:rsid w:val="006308FA"/>
    <w:rsid w:val="00630929"/>
    <w:rsid w:val="006309A7"/>
    <w:rsid w:val="00630B75"/>
    <w:rsid w:val="00630B7C"/>
    <w:rsid w:val="00630C04"/>
    <w:rsid w:val="00630C82"/>
    <w:rsid w:val="00630D36"/>
    <w:rsid w:val="00630D3A"/>
    <w:rsid w:val="00630DB7"/>
    <w:rsid w:val="00630DD4"/>
    <w:rsid w:val="00630DDD"/>
    <w:rsid w:val="00630E21"/>
    <w:rsid w:val="00630F62"/>
    <w:rsid w:val="00631014"/>
    <w:rsid w:val="00631057"/>
    <w:rsid w:val="006310EF"/>
    <w:rsid w:val="00631146"/>
    <w:rsid w:val="006314BA"/>
    <w:rsid w:val="00631510"/>
    <w:rsid w:val="00631557"/>
    <w:rsid w:val="0063158C"/>
    <w:rsid w:val="00631599"/>
    <w:rsid w:val="006315E0"/>
    <w:rsid w:val="0063164E"/>
    <w:rsid w:val="006317CA"/>
    <w:rsid w:val="006317F7"/>
    <w:rsid w:val="0063191D"/>
    <w:rsid w:val="00631947"/>
    <w:rsid w:val="00631A4F"/>
    <w:rsid w:val="00631A7B"/>
    <w:rsid w:val="00631B57"/>
    <w:rsid w:val="00631B5D"/>
    <w:rsid w:val="00631C3E"/>
    <w:rsid w:val="00631D1D"/>
    <w:rsid w:val="00631D78"/>
    <w:rsid w:val="00631D93"/>
    <w:rsid w:val="00631DD9"/>
    <w:rsid w:val="00631E23"/>
    <w:rsid w:val="00632073"/>
    <w:rsid w:val="006320A7"/>
    <w:rsid w:val="00632111"/>
    <w:rsid w:val="0063214A"/>
    <w:rsid w:val="00632161"/>
    <w:rsid w:val="006321AF"/>
    <w:rsid w:val="006321B3"/>
    <w:rsid w:val="0063221B"/>
    <w:rsid w:val="00632277"/>
    <w:rsid w:val="0063239E"/>
    <w:rsid w:val="00632444"/>
    <w:rsid w:val="00632531"/>
    <w:rsid w:val="00632535"/>
    <w:rsid w:val="006325E4"/>
    <w:rsid w:val="00632611"/>
    <w:rsid w:val="0063262B"/>
    <w:rsid w:val="00632640"/>
    <w:rsid w:val="0063264F"/>
    <w:rsid w:val="006327A9"/>
    <w:rsid w:val="0063283E"/>
    <w:rsid w:val="006328FB"/>
    <w:rsid w:val="00632B04"/>
    <w:rsid w:val="00632B5C"/>
    <w:rsid w:val="00632CEB"/>
    <w:rsid w:val="00632D4D"/>
    <w:rsid w:val="00632D5A"/>
    <w:rsid w:val="00632D86"/>
    <w:rsid w:val="00632D8A"/>
    <w:rsid w:val="00632DAC"/>
    <w:rsid w:val="00632E14"/>
    <w:rsid w:val="00632F99"/>
    <w:rsid w:val="00632FBD"/>
    <w:rsid w:val="00632FCB"/>
    <w:rsid w:val="006330D3"/>
    <w:rsid w:val="00633155"/>
    <w:rsid w:val="0063317A"/>
    <w:rsid w:val="006331B9"/>
    <w:rsid w:val="006331CA"/>
    <w:rsid w:val="006331CC"/>
    <w:rsid w:val="00633388"/>
    <w:rsid w:val="006333C9"/>
    <w:rsid w:val="00633424"/>
    <w:rsid w:val="00633488"/>
    <w:rsid w:val="0063350C"/>
    <w:rsid w:val="00633514"/>
    <w:rsid w:val="00633557"/>
    <w:rsid w:val="00633581"/>
    <w:rsid w:val="0063359D"/>
    <w:rsid w:val="00633636"/>
    <w:rsid w:val="00633691"/>
    <w:rsid w:val="006336A6"/>
    <w:rsid w:val="00633796"/>
    <w:rsid w:val="006337B5"/>
    <w:rsid w:val="006337E9"/>
    <w:rsid w:val="006338E1"/>
    <w:rsid w:val="006339AF"/>
    <w:rsid w:val="006339C7"/>
    <w:rsid w:val="00633A09"/>
    <w:rsid w:val="00633A16"/>
    <w:rsid w:val="00633BE0"/>
    <w:rsid w:val="00633BEB"/>
    <w:rsid w:val="00633C47"/>
    <w:rsid w:val="00633C79"/>
    <w:rsid w:val="00633C90"/>
    <w:rsid w:val="00633D52"/>
    <w:rsid w:val="00633DAA"/>
    <w:rsid w:val="00633DBD"/>
    <w:rsid w:val="00633E38"/>
    <w:rsid w:val="00633E66"/>
    <w:rsid w:val="00633EB1"/>
    <w:rsid w:val="00633EB3"/>
    <w:rsid w:val="00633EBC"/>
    <w:rsid w:val="00633F4F"/>
    <w:rsid w:val="00633FFD"/>
    <w:rsid w:val="00634120"/>
    <w:rsid w:val="00634126"/>
    <w:rsid w:val="0063412B"/>
    <w:rsid w:val="00634227"/>
    <w:rsid w:val="0063432C"/>
    <w:rsid w:val="006343C8"/>
    <w:rsid w:val="006344F7"/>
    <w:rsid w:val="006344F8"/>
    <w:rsid w:val="00634505"/>
    <w:rsid w:val="006345A1"/>
    <w:rsid w:val="006345BF"/>
    <w:rsid w:val="006345EC"/>
    <w:rsid w:val="00634634"/>
    <w:rsid w:val="006346C0"/>
    <w:rsid w:val="006347F7"/>
    <w:rsid w:val="006348F7"/>
    <w:rsid w:val="00634915"/>
    <w:rsid w:val="00634932"/>
    <w:rsid w:val="0063494E"/>
    <w:rsid w:val="006349FF"/>
    <w:rsid w:val="00634A5C"/>
    <w:rsid w:val="00634AEA"/>
    <w:rsid w:val="00634AF7"/>
    <w:rsid w:val="00634CFA"/>
    <w:rsid w:val="00634D58"/>
    <w:rsid w:val="00634DD1"/>
    <w:rsid w:val="00634E0E"/>
    <w:rsid w:val="00634FA2"/>
    <w:rsid w:val="0063504A"/>
    <w:rsid w:val="0063506D"/>
    <w:rsid w:val="006350A4"/>
    <w:rsid w:val="006350A8"/>
    <w:rsid w:val="006350B4"/>
    <w:rsid w:val="0063512D"/>
    <w:rsid w:val="00635156"/>
    <w:rsid w:val="006351A4"/>
    <w:rsid w:val="00635268"/>
    <w:rsid w:val="0063526A"/>
    <w:rsid w:val="00635277"/>
    <w:rsid w:val="0063527D"/>
    <w:rsid w:val="006352E2"/>
    <w:rsid w:val="00635376"/>
    <w:rsid w:val="006353AD"/>
    <w:rsid w:val="0063545C"/>
    <w:rsid w:val="00635482"/>
    <w:rsid w:val="006354A5"/>
    <w:rsid w:val="00635522"/>
    <w:rsid w:val="00635526"/>
    <w:rsid w:val="006355AF"/>
    <w:rsid w:val="00635741"/>
    <w:rsid w:val="00635779"/>
    <w:rsid w:val="0063583C"/>
    <w:rsid w:val="006358FB"/>
    <w:rsid w:val="00635941"/>
    <w:rsid w:val="00635A61"/>
    <w:rsid w:val="00635A72"/>
    <w:rsid w:val="00635AA4"/>
    <w:rsid w:val="00635AB9"/>
    <w:rsid w:val="00635ACC"/>
    <w:rsid w:val="00635AD4"/>
    <w:rsid w:val="00635AE2"/>
    <w:rsid w:val="00635B5D"/>
    <w:rsid w:val="00635BB4"/>
    <w:rsid w:val="00635C17"/>
    <w:rsid w:val="00635DEA"/>
    <w:rsid w:val="00635E1E"/>
    <w:rsid w:val="00635E46"/>
    <w:rsid w:val="00635F9B"/>
    <w:rsid w:val="00635FAC"/>
    <w:rsid w:val="00636138"/>
    <w:rsid w:val="006361EE"/>
    <w:rsid w:val="0063627F"/>
    <w:rsid w:val="00636280"/>
    <w:rsid w:val="00636281"/>
    <w:rsid w:val="006362DC"/>
    <w:rsid w:val="006362E3"/>
    <w:rsid w:val="006365F5"/>
    <w:rsid w:val="006366B5"/>
    <w:rsid w:val="0063670E"/>
    <w:rsid w:val="00636763"/>
    <w:rsid w:val="0063677C"/>
    <w:rsid w:val="00636783"/>
    <w:rsid w:val="00636798"/>
    <w:rsid w:val="006367FF"/>
    <w:rsid w:val="00636816"/>
    <w:rsid w:val="00636854"/>
    <w:rsid w:val="006368A3"/>
    <w:rsid w:val="006368F6"/>
    <w:rsid w:val="00636939"/>
    <w:rsid w:val="00636967"/>
    <w:rsid w:val="00636972"/>
    <w:rsid w:val="00636A20"/>
    <w:rsid w:val="00636A52"/>
    <w:rsid w:val="00636B69"/>
    <w:rsid w:val="00636BC2"/>
    <w:rsid w:val="00636C9B"/>
    <w:rsid w:val="00636CCE"/>
    <w:rsid w:val="00636CDA"/>
    <w:rsid w:val="00636CE3"/>
    <w:rsid w:val="00636D29"/>
    <w:rsid w:val="00636DB9"/>
    <w:rsid w:val="00636F24"/>
    <w:rsid w:val="00637086"/>
    <w:rsid w:val="006370CA"/>
    <w:rsid w:val="006370CF"/>
    <w:rsid w:val="00637160"/>
    <w:rsid w:val="00637175"/>
    <w:rsid w:val="006371D0"/>
    <w:rsid w:val="00637223"/>
    <w:rsid w:val="00637226"/>
    <w:rsid w:val="0063722F"/>
    <w:rsid w:val="00637296"/>
    <w:rsid w:val="006372B7"/>
    <w:rsid w:val="0063736F"/>
    <w:rsid w:val="00637383"/>
    <w:rsid w:val="00637553"/>
    <w:rsid w:val="006375E2"/>
    <w:rsid w:val="006376BE"/>
    <w:rsid w:val="00637731"/>
    <w:rsid w:val="0063774D"/>
    <w:rsid w:val="006377BF"/>
    <w:rsid w:val="006377F0"/>
    <w:rsid w:val="00637823"/>
    <w:rsid w:val="00637865"/>
    <w:rsid w:val="006378A9"/>
    <w:rsid w:val="006379DE"/>
    <w:rsid w:val="006379EB"/>
    <w:rsid w:val="00637B2A"/>
    <w:rsid w:val="00637B9C"/>
    <w:rsid w:val="00637CA5"/>
    <w:rsid w:val="00637D39"/>
    <w:rsid w:val="00637D7D"/>
    <w:rsid w:val="00637E12"/>
    <w:rsid w:val="0064019D"/>
    <w:rsid w:val="0064023D"/>
    <w:rsid w:val="00640290"/>
    <w:rsid w:val="00640400"/>
    <w:rsid w:val="0064043F"/>
    <w:rsid w:val="006404C3"/>
    <w:rsid w:val="006404D1"/>
    <w:rsid w:val="0064052A"/>
    <w:rsid w:val="00640541"/>
    <w:rsid w:val="00640624"/>
    <w:rsid w:val="00640656"/>
    <w:rsid w:val="00640758"/>
    <w:rsid w:val="0064075D"/>
    <w:rsid w:val="006407D0"/>
    <w:rsid w:val="00640822"/>
    <w:rsid w:val="0064090C"/>
    <w:rsid w:val="006409CE"/>
    <w:rsid w:val="006409D6"/>
    <w:rsid w:val="00640A0E"/>
    <w:rsid w:val="00640A1B"/>
    <w:rsid w:val="00640A71"/>
    <w:rsid w:val="00640B50"/>
    <w:rsid w:val="00640B6C"/>
    <w:rsid w:val="00640C1D"/>
    <w:rsid w:val="00640CB0"/>
    <w:rsid w:val="00640CC0"/>
    <w:rsid w:val="00640CC1"/>
    <w:rsid w:val="00640D27"/>
    <w:rsid w:val="00640E35"/>
    <w:rsid w:val="00640E3F"/>
    <w:rsid w:val="00640EEB"/>
    <w:rsid w:val="00640EFF"/>
    <w:rsid w:val="00640F40"/>
    <w:rsid w:val="00640F43"/>
    <w:rsid w:val="00641025"/>
    <w:rsid w:val="00641087"/>
    <w:rsid w:val="00641088"/>
    <w:rsid w:val="006410AD"/>
    <w:rsid w:val="00641169"/>
    <w:rsid w:val="0064125D"/>
    <w:rsid w:val="0064128C"/>
    <w:rsid w:val="006412CA"/>
    <w:rsid w:val="00641485"/>
    <w:rsid w:val="00641527"/>
    <w:rsid w:val="006415E4"/>
    <w:rsid w:val="006415E5"/>
    <w:rsid w:val="00641698"/>
    <w:rsid w:val="00641701"/>
    <w:rsid w:val="0064175E"/>
    <w:rsid w:val="0064178E"/>
    <w:rsid w:val="0064186E"/>
    <w:rsid w:val="00641870"/>
    <w:rsid w:val="00641885"/>
    <w:rsid w:val="006418A2"/>
    <w:rsid w:val="006418DB"/>
    <w:rsid w:val="0064191F"/>
    <w:rsid w:val="0064194F"/>
    <w:rsid w:val="00641A42"/>
    <w:rsid w:val="00641A5E"/>
    <w:rsid w:val="00641C20"/>
    <w:rsid w:val="00641C33"/>
    <w:rsid w:val="00641CED"/>
    <w:rsid w:val="00641ED0"/>
    <w:rsid w:val="00641EF6"/>
    <w:rsid w:val="00641F59"/>
    <w:rsid w:val="0064209C"/>
    <w:rsid w:val="006420DA"/>
    <w:rsid w:val="00642151"/>
    <w:rsid w:val="00642303"/>
    <w:rsid w:val="0064233B"/>
    <w:rsid w:val="0064235A"/>
    <w:rsid w:val="00642389"/>
    <w:rsid w:val="006423B5"/>
    <w:rsid w:val="00642421"/>
    <w:rsid w:val="00642488"/>
    <w:rsid w:val="0064252A"/>
    <w:rsid w:val="00642539"/>
    <w:rsid w:val="00642598"/>
    <w:rsid w:val="0064268D"/>
    <w:rsid w:val="006426D8"/>
    <w:rsid w:val="006426E2"/>
    <w:rsid w:val="006427C5"/>
    <w:rsid w:val="00642872"/>
    <w:rsid w:val="006428E4"/>
    <w:rsid w:val="006428FB"/>
    <w:rsid w:val="00642A0A"/>
    <w:rsid w:val="00642A0B"/>
    <w:rsid w:val="00642A33"/>
    <w:rsid w:val="00642A89"/>
    <w:rsid w:val="00642ADD"/>
    <w:rsid w:val="00642B27"/>
    <w:rsid w:val="00642BCF"/>
    <w:rsid w:val="00642BF0"/>
    <w:rsid w:val="00642C7F"/>
    <w:rsid w:val="00642CF0"/>
    <w:rsid w:val="00642D0B"/>
    <w:rsid w:val="00642DCC"/>
    <w:rsid w:val="00642DF3"/>
    <w:rsid w:val="00642E1F"/>
    <w:rsid w:val="00642EA8"/>
    <w:rsid w:val="00642EFC"/>
    <w:rsid w:val="00642F27"/>
    <w:rsid w:val="00643030"/>
    <w:rsid w:val="006430AE"/>
    <w:rsid w:val="00643105"/>
    <w:rsid w:val="006431E7"/>
    <w:rsid w:val="0064325B"/>
    <w:rsid w:val="006432CE"/>
    <w:rsid w:val="00643336"/>
    <w:rsid w:val="00643424"/>
    <w:rsid w:val="0064348E"/>
    <w:rsid w:val="0064366C"/>
    <w:rsid w:val="006436D0"/>
    <w:rsid w:val="006437D0"/>
    <w:rsid w:val="00643922"/>
    <w:rsid w:val="0064392D"/>
    <w:rsid w:val="00643953"/>
    <w:rsid w:val="006439D9"/>
    <w:rsid w:val="00643A1B"/>
    <w:rsid w:val="00643AC1"/>
    <w:rsid w:val="00643BD6"/>
    <w:rsid w:val="00643BF0"/>
    <w:rsid w:val="00643D16"/>
    <w:rsid w:val="00643D4E"/>
    <w:rsid w:val="00643D62"/>
    <w:rsid w:val="00643D8F"/>
    <w:rsid w:val="00643E5A"/>
    <w:rsid w:val="00643E61"/>
    <w:rsid w:val="00643EEF"/>
    <w:rsid w:val="00643F84"/>
    <w:rsid w:val="00643FEE"/>
    <w:rsid w:val="00644058"/>
    <w:rsid w:val="0064406E"/>
    <w:rsid w:val="00644072"/>
    <w:rsid w:val="00644125"/>
    <w:rsid w:val="006441E8"/>
    <w:rsid w:val="006441F0"/>
    <w:rsid w:val="00644224"/>
    <w:rsid w:val="00644377"/>
    <w:rsid w:val="006444DD"/>
    <w:rsid w:val="006446B0"/>
    <w:rsid w:val="00644746"/>
    <w:rsid w:val="00644756"/>
    <w:rsid w:val="00644786"/>
    <w:rsid w:val="006447DC"/>
    <w:rsid w:val="0064483E"/>
    <w:rsid w:val="00644885"/>
    <w:rsid w:val="006448B9"/>
    <w:rsid w:val="00644A03"/>
    <w:rsid w:val="00644A31"/>
    <w:rsid w:val="00644A4D"/>
    <w:rsid w:val="00644A5E"/>
    <w:rsid w:val="00644A6C"/>
    <w:rsid w:val="00644A73"/>
    <w:rsid w:val="00644AC0"/>
    <w:rsid w:val="00644C25"/>
    <w:rsid w:val="00644C46"/>
    <w:rsid w:val="00644C70"/>
    <w:rsid w:val="00644D69"/>
    <w:rsid w:val="00644D76"/>
    <w:rsid w:val="00644D99"/>
    <w:rsid w:val="00644DD9"/>
    <w:rsid w:val="00644E98"/>
    <w:rsid w:val="00644FFE"/>
    <w:rsid w:val="006451D0"/>
    <w:rsid w:val="00645251"/>
    <w:rsid w:val="0064527C"/>
    <w:rsid w:val="006452BF"/>
    <w:rsid w:val="00645430"/>
    <w:rsid w:val="00645590"/>
    <w:rsid w:val="006455A1"/>
    <w:rsid w:val="0064569A"/>
    <w:rsid w:val="006456CA"/>
    <w:rsid w:val="00645799"/>
    <w:rsid w:val="006457A8"/>
    <w:rsid w:val="00645802"/>
    <w:rsid w:val="0064589D"/>
    <w:rsid w:val="006459B2"/>
    <w:rsid w:val="00645A0B"/>
    <w:rsid w:val="00645A5A"/>
    <w:rsid w:val="00645A7D"/>
    <w:rsid w:val="00645A85"/>
    <w:rsid w:val="00645BE5"/>
    <w:rsid w:val="00645CFA"/>
    <w:rsid w:val="00645D15"/>
    <w:rsid w:val="00645DB7"/>
    <w:rsid w:val="00645EA0"/>
    <w:rsid w:val="00645EBD"/>
    <w:rsid w:val="00645F76"/>
    <w:rsid w:val="0064609A"/>
    <w:rsid w:val="006460FE"/>
    <w:rsid w:val="006461B2"/>
    <w:rsid w:val="006461BE"/>
    <w:rsid w:val="006461F7"/>
    <w:rsid w:val="0064643B"/>
    <w:rsid w:val="00646459"/>
    <w:rsid w:val="0064646D"/>
    <w:rsid w:val="00646470"/>
    <w:rsid w:val="0064651D"/>
    <w:rsid w:val="0064655D"/>
    <w:rsid w:val="0064656D"/>
    <w:rsid w:val="00646614"/>
    <w:rsid w:val="006466A0"/>
    <w:rsid w:val="0064682A"/>
    <w:rsid w:val="0064685E"/>
    <w:rsid w:val="0064685F"/>
    <w:rsid w:val="006468D1"/>
    <w:rsid w:val="006468EA"/>
    <w:rsid w:val="0064691B"/>
    <w:rsid w:val="006469C2"/>
    <w:rsid w:val="00646B5E"/>
    <w:rsid w:val="00646BB0"/>
    <w:rsid w:val="00646C40"/>
    <w:rsid w:val="00646C72"/>
    <w:rsid w:val="00646DC2"/>
    <w:rsid w:val="00646E26"/>
    <w:rsid w:val="00646EB0"/>
    <w:rsid w:val="00646F2E"/>
    <w:rsid w:val="0064700B"/>
    <w:rsid w:val="006470D7"/>
    <w:rsid w:val="006470DD"/>
    <w:rsid w:val="0064714D"/>
    <w:rsid w:val="0064727D"/>
    <w:rsid w:val="0064732F"/>
    <w:rsid w:val="00647378"/>
    <w:rsid w:val="006473C4"/>
    <w:rsid w:val="00647405"/>
    <w:rsid w:val="00647434"/>
    <w:rsid w:val="00647523"/>
    <w:rsid w:val="00647601"/>
    <w:rsid w:val="006476C4"/>
    <w:rsid w:val="006477DD"/>
    <w:rsid w:val="00647821"/>
    <w:rsid w:val="00647866"/>
    <w:rsid w:val="00647B05"/>
    <w:rsid w:val="00647B17"/>
    <w:rsid w:val="00647B32"/>
    <w:rsid w:val="00647B44"/>
    <w:rsid w:val="00647C24"/>
    <w:rsid w:val="00647C27"/>
    <w:rsid w:val="00647CC3"/>
    <w:rsid w:val="0064CCF8"/>
    <w:rsid w:val="0065012D"/>
    <w:rsid w:val="006501C7"/>
    <w:rsid w:val="00650220"/>
    <w:rsid w:val="0065037E"/>
    <w:rsid w:val="006503A9"/>
    <w:rsid w:val="00650421"/>
    <w:rsid w:val="0065047F"/>
    <w:rsid w:val="00650497"/>
    <w:rsid w:val="00650546"/>
    <w:rsid w:val="00650573"/>
    <w:rsid w:val="00650620"/>
    <w:rsid w:val="00650661"/>
    <w:rsid w:val="00650690"/>
    <w:rsid w:val="0065073A"/>
    <w:rsid w:val="00650761"/>
    <w:rsid w:val="00650797"/>
    <w:rsid w:val="006507A2"/>
    <w:rsid w:val="0065081C"/>
    <w:rsid w:val="00650872"/>
    <w:rsid w:val="00650882"/>
    <w:rsid w:val="006508E1"/>
    <w:rsid w:val="00650A07"/>
    <w:rsid w:val="00650CA6"/>
    <w:rsid w:val="00650CFA"/>
    <w:rsid w:val="00650CFC"/>
    <w:rsid w:val="00650DEF"/>
    <w:rsid w:val="00650F69"/>
    <w:rsid w:val="00650F8A"/>
    <w:rsid w:val="0065103A"/>
    <w:rsid w:val="0065105E"/>
    <w:rsid w:val="006510EB"/>
    <w:rsid w:val="006510EC"/>
    <w:rsid w:val="00651100"/>
    <w:rsid w:val="0065110E"/>
    <w:rsid w:val="006511C1"/>
    <w:rsid w:val="006511CC"/>
    <w:rsid w:val="006511E5"/>
    <w:rsid w:val="006513FB"/>
    <w:rsid w:val="00651574"/>
    <w:rsid w:val="0065159C"/>
    <w:rsid w:val="00651685"/>
    <w:rsid w:val="00651696"/>
    <w:rsid w:val="0065169E"/>
    <w:rsid w:val="0065169F"/>
    <w:rsid w:val="00651774"/>
    <w:rsid w:val="006517CA"/>
    <w:rsid w:val="00651890"/>
    <w:rsid w:val="006518EF"/>
    <w:rsid w:val="006519E6"/>
    <w:rsid w:val="00651A09"/>
    <w:rsid w:val="00651A4C"/>
    <w:rsid w:val="00651A92"/>
    <w:rsid w:val="00651B5B"/>
    <w:rsid w:val="00651BBF"/>
    <w:rsid w:val="00651C43"/>
    <w:rsid w:val="00651C95"/>
    <w:rsid w:val="00651CDE"/>
    <w:rsid w:val="00651D40"/>
    <w:rsid w:val="00651D57"/>
    <w:rsid w:val="00651D75"/>
    <w:rsid w:val="00651D80"/>
    <w:rsid w:val="00651D95"/>
    <w:rsid w:val="00651DBD"/>
    <w:rsid w:val="00651E5B"/>
    <w:rsid w:val="00651EA3"/>
    <w:rsid w:val="00651FB7"/>
    <w:rsid w:val="00651FBE"/>
    <w:rsid w:val="00652017"/>
    <w:rsid w:val="0065203C"/>
    <w:rsid w:val="00652077"/>
    <w:rsid w:val="00652119"/>
    <w:rsid w:val="006522C2"/>
    <w:rsid w:val="006522FC"/>
    <w:rsid w:val="00652326"/>
    <w:rsid w:val="00652363"/>
    <w:rsid w:val="00652445"/>
    <w:rsid w:val="0065249C"/>
    <w:rsid w:val="006524E6"/>
    <w:rsid w:val="00652575"/>
    <w:rsid w:val="0065257A"/>
    <w:rsid w:val="00652583"/>
    <w:rsid w:val="00652657"/>
    <w:rsid w:val="00652682"/>
    <w:rsid w:val="0065268B"/>
    <w:rsid w:val="006526EA"/>
    <w:rsid w:val="00652722"/>
    <w:rsid w:val="006527AF"/>
    <w:rsid w:val="00652829"/>
    <w:rsid w:val="006528C3"/>
    <w:rsid w:val="006528CE"/>
    <w:rsid w:val="00652907"/>
    <w:rsid w:val="00652AC3"/>
    <w:rsid w:val="00652C0D"/>
    <w:rsid w:val="00652C15"/>
    <w:rsid w:val="00652C88"/>
    <w:rsid w:val="00652D82"/>
    <w:rsid w:val="00652DEA"/>
    <w:rsid w:val="00652DF2"/>
    <w:rsid w:val="00652DFD"/>
    <w:rsid w:val="00652E06"/>
    <w:rsid w:val="00652F04"/>
    <w:rsid w:val="00652F91"/>
    <w:rsid w:val="00652FBB"/>
    <w:rsid w:val="00653039"/>
    <w:rsid w:val="00653059"/>
    <w:rsid w:val="00653065"/>
    <w:rsid w:val="00653107"/>
    <w:rsid w:val="006531B0"/>
    <w:rsid w:val="00653272"/>
    <w:rsid w:val="006532CA"/>
    <w:rsid w:val="006532F5"/>
    <w:rsid w:val="00653338"/>
    <w:rsid w:val="006533C9"/>
    <w:rsid w:val="006533F7"/>
    <w:rsid w:val="0065342F"/>
    <w:rsid w:val="006534A8"/>
    <w:rsid w:val="00653619"/>
    <w:rsid w:val="00653766"/>
    <w:rsid w:val="0065383E"/>
    <w:rsid w:val="0065386C"/>
    <w:rsid w:val="00653899"/>
    <w:rsid w:val="006538CA"/>
    <w:rsid w:val="00653905"/>
    <w:rsid w:val="00653A1E"/>
    <w:rsid w:val="00653A41"/>
    <w:rsid w:val="00653A8A"/>
    <w:rsid w:val="00653AEE"/>
    <w:rsid w:val="00653B35"/>
    <w:rsid w:val="00653B44"/>
    <w:rsid w:val="00653B5F"/>
    <w:rsid w:val="00653B8A"/>
    <w:rsid w:val="00653BBF"/>
    <w:rsid w:val="00653C34"/>
    <w:rsid w:val="00653CA9"/>
    <w:rsid w:val="00653D03"/>
    <w:rsid w:val="00653D8E"/>
    <w:rsid w:val="00653DD0"/>
    <w:rsid w:val="00653E30"/>
    <w:rsid w:val="00653E5F"/>
    <w:rsid w:val="00653E6D"/>
    <w:rsid w:val="00653F09"/>
    <w:rsid w:val="00653FC4"/>
    <w:rsid w:val="006540F5"/>
    <w:rsid w:val="00654130"/>
    <w:rsid w:val="006541E7"/>
    <w:rsid w:val="006541F6"/>
    <w:rsid w:val="00654291"/>
    <w:rsid w:val="0065432D"/>
    <w:rsid w:val="0065436C"/>
    <w:rsid w:val="006543A2"/>
    <w:rsid w:val="006543DF"/>
    <w:rsid w:val="0065442D"/>
    <w:rsid w:val="006544A8"/>
    <w:rsid w:val="006544BF"/>
    <w:rsid w:val="0065463A"/>
    <w:rsid w:val="0065469B"/>
    <w:rsid w:val="00654831"/>
    <w:rsid w:val="00654A3E"/>
    <w:rsid w:val="00654A41"/>
    <w:rsid w:val="00654AF7"/>
    <w:rsid w:val="00654B17"/>
    <w:rsid w:val="00654B3D"/>
    <w:rsid w:val="00654BB2"/>
    <w:rsid w:val="00654CF4"/>
    <w:rsid w:val="00654DA6"/>
    <w:rsid w:val="00654E5E"/>
    <w:rsid w:val="00654E60"/>
    <w:rsid w:val="00654EBE"/>
    <w:rsid w:val="00654F2E"/>
    <w:rsid w:val="00654F3D"/>
    <w:rsid w:val="00654F91"/>
    <w:rsid w:val="00655064"/>
    <w:rsid w:val="006550D9"/>
    <w:rsid w:val="00655162"/>
    <w:rsid w:val="00655274"/>
    <w:rsid w:val="006552B3"/>
    <w:rsid w:val="00655361"/>
    <w:rsid w:val="006553FD"/>
    <w:rsid w:val="0065545E"/>
    <w:rsid w:val="006554C5"/>
    <w:rsid w:val="006554EF"/>
    <w:rsid w:val="0065556F"/>
    <w:rsid w:val="0065564F"/>
    <w:rsid w:val="00655656"/>
    <w:rsid w:val="00655697"/>
    <w:rsid w:val="006556C6"/>
    <w:rsid w:val="006556D6"/>
    <w:rsid w:val="0065571F"/>
    <w:rsid w:val="0065579A"/>
    <w:rsid w:val="0065580B"/>
    <w:rsid w:val="00655851"/>
    <w:rsid w:val="006558DD"/>
    <w:rsid w:val="0065595D"/>
    <w:rsid w:val="0065596B"/>
    <w:rsid w:val="006559FA"/>
    <w:rsid w:val="00655A65"/>
    <w:rsid w:val="00655AD7"/>
    <w:rsid w:val="00655B4C"/>
    <w:rsid w:val="00655B4D"/>
    <w:rsid w:val="00655B51"/>
    <w:rsid w:val="00655BB1"/>
    <w:rsid w:val="00655BD2"/>
    <w:rsid w:val="00655BD7"/>
    <w:rsid w:val="00655BF2"/>
    <w:rsid w:val="00655C0D"/>
    <w:rsid w:val="00655C4E"/>
    <w:rsid w:val="00655C77"/>
    <w:rsid w:val="00655CB3"/>
    <w:rsid w:val="00655D6C"/>
    <w:rsid w:val="00655E35"/>
    <w:rsid w:val="00655EFF"/>
    <w:rsid w:val="00655F1E"/>
    <w:rsid w:val="00655F4C"/>
    <w:rsid w:val="00655F7C"/>
    <w:rsid w:val="00655FFE"/>
    <w:rsid w:val="0065607A"/>
    <w:rsid w:val="00656085"/>
    <w:rsid w:val="0065614C"/>
    <w:rsid w:val="00656253"/>
    <w:rsid w:val="0065627D"/>
    <w:rsid w:val="006562A2"/>
    <w:rsid w:val="00656449"/>
    <w:rsid w:val="006564ED"/>
    <w:rsid w:val="006566A8"/>
    <w:rsid w:val="00656799"/>
    <w:rsid w:val="006567D0"/>
    <w:rsid w:val="006567E3"/>
    <w:rsid w:val="00656939"/>
    <w:rsid w:val="00656954"/>
    <w:rsid w:val="00656A61"/>
    <w:rsid w:val="00656B5B"/>
    <w:rsid w:val="00656B77"/>
    <w:rsid w:val="00656BC5"/>
    <w:rsid w:val="00656D0A"/>
    <w:rsid w:val="00656D74"/>
    <w:rsid w:val="00656D95"/>
    <w:rsid w:val="00656E5C"/>
    <w:rsid w:val="00656E72"/>
    <w:rsid w:val="00656EEC"/>
    <w:rsid w:val="00656FC7"/>
    <w:rsid w:val="00657093"/>
    <w:rsid w:val="006570DD"/>
    <w:rsid w:val="0065710B"/>
    <w:rsid w:val="00657227"/>
    <w:rsid w:val="0065725B"/>
    <w:rsid w:val="006572DB"/>
    <w:rsid w:val="00657346"/>
    <w:rsid w:val="0065739C"/>
    <w:rsid w:val="006573AE"/>
    <w:rsid w:val="0065740D"/>
    <w:rsid w:val="0065742D"/>
    <w:rsid w:val="00657487"/>
    <w:rsid w:val="00657635"/>
    <w:rsid w:val="00657696"/>
    <w:rsid w:val="006576B4"/>
    <w:rsid w:val="00657731"/>
    <w:rsid w:val="0065779A"/>
    <w:rsid w:val="006577AD"/>
    <w:rsid w:val="006577FD"/>
    <w:rsid w:val="006578A1"/>
    <w:rsid w:val="006578AC"/>
    <w:rsid w:val="006578AE"/>
    <w:rsid w:val="006578CC"/>
    <w:rsid w:val="006579D1"/>
    <w:rsid w:val="006579D4"/>
    <w:rsid w:val="00657A3B"/>
    <w:rsid w:val="00657ABC"/>
    <w:rsid w:val="00657C0F"/>
    <w:rsid w:val="00657D48"/>
    <w:rsid w:val="00657DBE"/>
    <w:rsid w:val="00657E29"/>
    <w:rsid w:val="00657F29"/>
    <w:rsid w:val="00657F65"/>
    <w:rsid w:val="00657FF5"/>
    <w:rsid w:val="00660009"/>
    <w:rsid w:val="0066000B"/>
    <w:rsid w:val="0066005C"/>
    <w:rsid w:val="006600EC"/>
    <w:rsid w:val="00660165"/>
    <w:rsid w:val="006601E4"/>
    <w:rsid w:val="0066026D"/>
    <w:rsid w:val="0066026F"/>
    <w:rsid w:val="006603AD"/>
    <w:rsid w:val="00660664"/>
    <w:rsid w:val="00660789"/>
    <w:rsid w:val="006607B5"/>
    <w:rsid w:val="00660836"/>
    <w:rsid w:val="0066085A"/>
    <w:rsid w:val="006608A2"/>
    <w:rsid w:val="00660973"/>
    <w:rsid w:val="006609C7"/>
    <w:rsid w:val="00660A69"/>
    <w:rsid w:val="00660A6A"/>
    <w:rsid w:val="00660B90"/>
    <w:rsid w:val="00660C6A"/>
    <w:rsid w:val="00660CD2"/>
    <w:rsid w:val="00660CF5"/>
    <w:rsid w:val="00660DAF"/>
    <w:rsid w:val="00660E4D"/>
    <w:rsid w:val="00660F16"/>
    <w:rsid w:val="00660F93"/>
    <w:rsid w:val="00660FD2"/>
    <w:rsid w:val="0066103F"/>
    <w:rsid w:val="00661063"/>
    <w:rsid w:val="006610A0"/>
    <w:rsid w:val="006612EA"/>
    <w:rsid w:val="0066131F"/>
    <w:rsid w:val="0066137B"/>
    <w:rsid w:val="0066142F"/>
    <w:rsid w:val="0066169B"/>
    <w:rsid w:val="006616FE"/>
    <w:rsid w:val="00661746"/>
    <w:rsid w:val="0066174E"/>
    <w:rsid w:val="0066186A"/>
    <w:rsid w:val="006618EA"/>
    <w:rsid w:val="00661B74"/>
    <w:rsid w:val="00661BBB"/>
    <w:rsid w:val="00661C87"/>
    <w:rsid w:val="00661CB1"/>
    <w:rsid w:val="00661D6C"/>
    <w:rsid w:val="00661D9A"/>
    <w:rsid w:val="00661E14"/>
    <w:rsid w:val="00661E57"/>
    <w:rsid w:val="00661EF7"/>
    <w:rsid w:val="00662121"/>
    <w:rsid w:val="006621C0"/>
    <w:rsid w:val="006621F6"/>
    <w:rsid w:val="00662211"/>
    <w:rsid w:val="00662222"/>
    <w:rsid w:val="0066227E"/>
    <w:rsid w:val="006622B0"/>
    <w:rsid w:val="006622D6"/>
    <w:rsid w:val="006622EF"/>
    <w:rsid w:val="00662385"/>
    <w:rsid w:val="006623C1"/>
    <w:rsid w:val="006624B5"/>
    <w:rsid w:val="006626BC"/>
    <w:rsid w:val="00662731"/>
    <w:rsid w:val="006627F8"/>
    <w:rsid w:val="0066281E"/>
    <w:rsid w:val="00662863"/>
    <w:rsid w:val="006628E4"/>
    <w:rsid w:val="006629C2"/>
    <w:rsid w:val="006629DE"/>
    <w:rsid w:val="006629E4"/>
    <w:rsid w:val="00662BF8"/>
    <w:rsid w:val="00662BFC"/>
    <w:rsid w:val="00662C10"/>
    <w:rsid w:val="00662D58"/>
    <w:rsid w:val="00662F07"/>
    <w:rsid w:val="00662F69"/>
    <w:rsid w:val="00662F83"/>
    <w:rsid w:val="00662FD8"/>
    <w:rsid w:val="00663046"/>
    <w:rsid w:val="00663120"/>
    <w:rsid w:val="00663270"/>
    <w:rsid w:val="0066327E"/>
    <w:rsid w:val="006632EF"/>
    <w:rsid w:val="0066331D"/>
    <w:rsid w:val="00663341"/>
    <w:rsid w:val="006633DE"/>
    <w:rsid w:val="00663783"/>
    <w:rsid w:val="006637AD"/>
    <w:rsid w:val="00663906"/>
    <w:rsid w:val="00663969"/>
    <w:rsid w:val="00663A1E"/>
    <w:rsid w:val="00663A21"/>
    <w:rsid w:val="00663AD6"/>
    <w:rsid w:val="00663BB3"/>
    <w:rsid w:val="00663BEE"/>
    <w:rsid w:val="00663D5E"/>
    <w:rsid w:val="00663E0F"/>
    <w:rsid w:val="00663E47"/>
    <w:rsid w:val="00663E9D"/>
    <w:rsid w:val="00663EB2"/>
    <w:rsid w:val="00663F74"/>
    <w:rsid w:val="00663F85"/>
    <w:rsid w:val="00664028"/>
    <w:rsid w:val="006640BB"/>
    <w:rsid w:val="00664117"/>
    <w:rsid w:val="00664182"/>
    <w:rsid w:val="006641E2"/>
    <w:rsid w:val="0066421D"/>
    <w:rsid w:val="006643E6"/>
    <w:rsid w:val="00664415"/>
    <w:rsid w:val="006644A7"/>
    <w:rsid w:val="006644D8"/>
    <w:rsid w:val="006644F1"/>
    <w:rsid w:val="00664502"/>
    <w:rsid w:val="0066450A"/>
    <w:rsid w:val="00664518"/>
    <w:rsid w:val="00664534"/>
    <w:rsid w:val="006645BC"/>
    <w:rsid w:val="00664610"/>
    <w:rsid w:val="006646B7"/>
    <w:rsid w:val="00664746"/>
    <w:rsid w:val="006647C7"/>
    <w:rsid w:val="006648C9"/>
    <w:rsid w:val="00664BDE"/>
    <w:rsid w:val="00664BE1"/>
    <w:rsid w:val="00664C03"/>
    <w:rsid w:val="00664CEB"/>
    <w:rsid w:val="00664D30"/>
    <w:rsid w:val="00664D93"/>
    <w:rsid w:val="00664DC7"/>
    <w:rsid w:val="00664DD2"/>
    <w:rsid w:val="00664E41"/>
    <w:rsid w:val="00664EA4"/>
    <w:rsid w:val="00664EBD"/>
    <w:rsid w:val="00664EE7"/>
    <w:rsid w:val="00664EEF"/>
    <w:rsid w:val="00664F38"/>
    <w:rsid w:val="00664F4D"/>
    <w:rsid w:val="00664F55"/>
    <w:rsid w:val="00664F8C"/>
    <w:rsid w:val="0066505C"/>
    <w:rsid w:val="00665219"/>
    <w:rsid w:val="00665241"/>
    <w:rsid w:val="006652A5"/>
    <w:rsid w:val="00665341"/>
    <w:rsid w:val="00665358"/>
    <w:rsid w:val="00665413"/>
    <w:rsid w:val="0066546C"/>
    <w:rsid w:val="00665488"/>
    <w:rsid w:val="006654AF"/>
    <w:rsid w:val="00665602"/>
    <w:rsid w:val="0066565B"/>
    <w:rsid w:val="0066565C"/>
    <w:rsid w:val="00665692"/>
    <w:rsid w:val="0066572D"/>
    <w:rsid w:val="00665792"/>
    <w:rsid w:val="006657E9"/>
    <w:rsid w:val="006657EE"/>
    <w:rsid w:val="00665806"/>
    <w:rsid w:val="0066587A"/>
    <w:rsid w:val="00665909"/>
    <w:rsid w:val="00665911"/>
    <w:rsid w:val="0066593F"/>
    <w:rsid w:val="0066597B"/>
    <w:rsid w:val="00665A14"/>
    <w:rsid w:val="00665A2F"/>
    <w:rsid w:val="00665C44"/>
    <w:rsid w:val="00665E0E"/>
    <w:rsid w:val="00665EA5"/>
    <w:rsid w:val="00665EA9"/>
    <w:rsid w:val="00665FF8"/>
    <w:rsid w:val="006660A2"/>
    <w:rsid w:val="006660E1"/>
    <w:rsid w:val="00666284"/>
    <w:rsid w:val="00666290"/>
    <w:rsid w:val="006662E3"/>
    <w:rsid w:val="00666362"/>
    <w:rsid w:val="0066637C"/>
    <w:rsid w:val="006663C7"/>
    <w:rsid w:val="006664E4"/>
    <w:rsid w:val="006664E9"/>
    <w:rsid w:val="0066654D"/>
    <w:rsid w:val="00666550"/>
    <w:rsid w:val="00666636"/>
    <w:rsid w:val="00666721"/>
    <w:rsid w:val="00666753"/>
    <w:rsid w:val="006667F3"/>
    <w:rsid w:val="0066685C"/>
    <w:rsid w:val="006668D0"/>
    <w:rsid w:val="006669E3"/>
    <w:rsid w:val="00666A4E"/>
    <w:rsid w:val="00666ACB"/>
    <w:rsid w:val="00666B6A"/>
    <w:rsid w:val="00666CD6"/>
    <w:rsid w:val="00666E10"/>
    <w:rsid w:val="0066705B"/>
    <w:rsid w:val="00667084"/>
    <w:rsid w:val="00667135"/>
    <w:rsid w:val="0066713B"/>
    <w:rsid w:val="00667272"/>
    <w:rsid w:val="006674B3"/>
    <w:rsid w:val="006674DD"/>
    <w:rsid w:val="006677BC"/>
    <w:rsid w:val="006677E6"/>
    <w:rsid w:val="0066786E"/>
    <w:rsid w:val="00667ACD"/>
    <w:rsid w:val="00667AEA"/>
    <w:rsid w:val="00667B74"/>
    <w:rsid w:val="00667BAA"/>
    <w:rsid w:val="00667C18"/>
    <w:rsid w:val="00667DDE"/>
    <w:rsid w:val="00667DE5"/>
    <w:rsid w:val="00667E2A"/>
    <w:rsid w:val="00667ED4"/>
    <w:rsid w:val="00667EE7"/>
    <w:rsid w:val="00667F5C"/>
    <w:rsid w:val="00667F95"/>
    <w:rsid w:val="00667FF9"/>
    <w:rsid w:val="00670069"/>
    <w:rsid w:val="006701A7"/>
    <w:rsid w:val="00670287"/>
    <w:rsid w:val="00670288"/>
    <w:rsid w:val="006703A1"/>
    <w:rsid w:val="006703E5"/>
    <w:rsid w:val="006704FA"/>
    <w:rsid w:val="006705A3"/>
    <w:rsid w:val="00670624"/>
    <w:rsid w:val="00670687"/>
    <w:rsid w:val="0067068D"/>
    <w:rsid w:val="00670694"/>
    <w:rsid w:val="006706D0"/>
    <w:rsid w:val="0067078D"/>
    <w:rsid w:val="0067084A"/>
    <w:rsid w:val="00670897"/>
    <w:rsid w:val="006708CA"/>
    <w:rsid w:val="00670A9F"/>
    <w:rsid w:val="00670AA0"/>
    <w:rsid w:val="00670B5D"/>
    <w:rsid w:val="00670B7E"/>
    <w:rsid w:val="00670D0A"/>
    <w:rsid w:val="00670DC5"/>
    <w:rsid w:val="00670EEF"/>
    <w:rsid w:val="00670F6B"/>
    <w:rsid w:val="00670F95"/>
    <w:rsid w:val="00671092"/>
    <w:rsid w:val="00671098"/>
    <w:rsid w:val="006710AA"/>
    <w:rsid w:val="00671161"/>
    <w:rsid w:val="006711BC"/>
    <w:rsid w:val="00671257"/>
    <w:rsid w:val="006712CC"/>
    <w:rsid w:val="006713B6"/>
    <w:rsid w:val="006713DD"/>
    <w:rsid w:val="00671404"/>
    <w:rsid w:val="006714CF"/>
    <w:rsid w:val="00671652"/>
    <w:rsid w:val="00671758"/>
    <w:rsid w:val="0067175F"/>
    <w:rsid w:val="0067177F"/>
    <w:rsid w:val="006717C2"/>
    <w:rsid w:val="006717D8"/>
    <w:rsid w:val="00671858"/>
    <w:rsid w:val="00671889"/>
    <w:rsid w:val="0067189D"/>
    <w:rsid w:val="0067193A"/>
    <w:rsid w:val="0067198E"/>
    <w:rsid w:val="0067199B"/>
    <w:rsid w:val="00671A51"/>
    <w:rsid w:val="00671B42"/>
    <w:rsid w:val="00671D28"/>
    <w:rsid w:val="00671D8E"/>
    <w:rsid w:val="00671E4D"/>
    <w:rsid w:val="00671E73"/>
    <w:rsid w:val="00671F09"/>
    <w:rsid w:val="00671F35"/>
    <w:rsid w:val="00671FAA"/>
    <w:rsid w:val="0067202E"/>
    <w:rsid w:val="006720B5"/>
    <w:rsid w:val="0067212B"/>
    <w:rsid w:val="006721C3"/>
    <w:rsid w:val="006721E1"/>
    <w:rsid w:val="0067228C"/>
    <w:rsid w:val="006722AE"/>
    <w:rsid w:val="00672306"/>
    <w:rsid w:val="006723AE"/>
    <w:rsid w:val="006723E1"/>
    <w:rsid w:val="006724D2"/>
    <w:rsid w:val="0067255C"/>
    <w:rsid w:val="0067266B"/>
    <w:rsid w:val="00672690"/>
    <w:rsid w:val="00672740"/>
    <w:rsid w:val="00672756"/>
    <w:rsid w:val="0067279C"/>
    <w:rsid w:val="006727A3"/>
    <w:rsid w:val="006728DA"/>
    <w:rsid w:val="00672A2B"/>
    <w:rsid w:val="00672ABD"/>
    <w:rsid w:val="00672C54"/>
    <w:rsid w:val="00672CEE"/>
    <w:rsid w:val="00672D2C"/>
    <w:rsid w:val="00672DB4"/>
    <w:rsid w:val="00672EC9"/>
    <w:rsid w:val="00672F08"/>
    <w:rsid w:val="00672FCA"/>
    <w:rsid w:val="0067306F"/>
    <w:rsid w:val="006730DA"/>
    <w:rsid w:val="00673140"/>
    <w:rsid w:val="00673190"/>
    <w:rsid w:val="006731E6"/>
    <w:rsid w:val="00673279"/>
    <w:rsid w:val="00673296"/>
    <w:rsid w:val="0067332D"/>
    <w:rsid w:val="0067335E"/>
    <w:rsid w:val="00673432"/>
    <w:rsid w:val="006734D7"/>
    <w:rsid w:val="00673581"/>
    <w:rsid w:val="006735C8"/>
    <w:rsid w:val="00673647"/>
    <w:rsid w:val="006736CD"/>
    <w:rsid w:val="00673725"/>
    <w:rsid w:val="006737DC"/>
    <w:rsid w:val="006737EB"/>
    <w:rsid w:val="006737EE"/>
    <w:rsid w:val="0067387B"/>
    <w:rsid w:val="006738AF"/>
    <w:rsid w:val="006738BF"/>
    <w:rsid w:val="0067394A"/>
    <w:rsid w:val="0067394C"/>
    <w:rsid w:val="00673B3C"/>
    <w:rsid w:val="00673CF0"/>
    <w:rsid w:val="00673D14"/>
    <w:rsid w:val="00673D25"/>
    <w:rsid w:val="00673D8D"/>
    <w:rsid w:val="00673E03"/>
    <w:rsid w:val="00673E05"/>
    <w:rsid w:val="00673E4D"/>
    <w:rsid w:val="00673E6D"/>
    <w:rsid w:val="00673EB6"/>
    <w:rsid w:val="00673F41"/>
    <w:rsid w:val="00674058"/>
    <w:rsid w:val="006740A3"/>
    <w:rsid w:val="0067428F"/>
    <w:rsid w:val="00674349"/>
    <w:rsid w:val="006743B2"/>
    <w:rsid w:val="006743C3"/>
    <w:rsid w:val="006743D1"/>
    <w:rsid w:val="0067448F"/>
    <w:rsid w:val="00674588"/>
    <w:rsid w:val="006746F6"/>
    <w:rsid w:val="0067485B"/>
    <w:rsid w:val="00674867"/>
    <w:rsid w:val="006748C4"/>
    <w:rsid w:val="00674970"/>
    <w:rsid w:val="00674979"/>
    <w:rsid w:val="006749D1"/>
    <w:rsid w:val="00674A47"/>
    <w:rsid w:val="00674BB5"/>
    <w:rsid w:val="00674CC3"/>
    <w:rsid w:val="00674DDB"/>
    <w:rsid w:val="00674DEA"/>
    <w:rsid w:val="00674E2A"/>
    <w:rsid w:val="00674E5F"/>
    <w:rsid w:val="00674EF5"/>
    <w:rsid w:val="00674F4C"/>
    <w:rsid w:val="00674FB7"/>
    <w:rsid w:val="0067507A"/>
    <w:rsid w:val="00675154"/>
    <w:rsid w:val="0067518E"/>
    <w:rsid w:val="0067528E"/>
    <w:rsid w:val="006752A7"/>
    <w:rsid w:val="00675325"/>
    <w:rsid w:val="00675382"/>
    <w:rsid w:val="006753BA"/>
    <w:rsid w:val="0067546B"/>
    <w:rsid w:val="00675470"/>
    <w:rsid w:val="00675536"/>
    <w:rsid w:val="00675610"/>
    <w:rsid w:val="006756B5"/>
    <w:rsid w:val="006756C1"/>
    <w:rsid w:val="0067572E"/>
    <w:rsid w:val="006757EF"/>
    <w:rsid w:val="0067587C"/>
    <w:rsid w:val="00675966"/>
    <w:rsid w:val="006759CC"/>
    <w:rsid w:val="00675AEA"/>
    <w:rsid w:val="00675AF1"/>
    <w:rsid w:val="00675AFA"/>
    <w:rsid w:val="00675B8C"/>
    <w:rsid w:val="00675BB5"/>
    <w:rsid w:val="00675CEF"/>
    <w:rsid w:val="00675D20"/>
    <w:rsid w:val="00675D31"/>
    <w:rsid w:val="00675D44"/>
    <w:rsid w:val="00675DA5"/>
    <w:rsid w:val="00675DC9"/>
    <w:rsid w:val="00675EEA"/>
    <w:rsid w:val="00675EF3"/>
    <w:rsid w:val="00676015"/>
    <w:rsid w:val="00676061"/>
    <w:rsid w:val="00676085"/>
    <w:rsid w:val="006760B1"/>
    <w:rsid w:val="00676154"/>
    <w:rsid w:val="00676178"/>
    <w:rsid w:val="006761CB"/>
    <w:rsid w:val="00676232"/>
    <w:rsid w:val="0067635E"/>
    <w:rsid w:val="00676375"/>
    <w:rsid w:val="00676453"/>
    <w:rsid w:val="00676620"/>
    <w:rsid w:val="00676650"/>
    <w:rsid w:val="0067668D"/>
    <w:rsid w:val="006766AF"/>
    <w:rsid w:val="006766D1"/>
    <w:rsid w:val="00676701"/>
    <w:rsid w:val="00676747"/>
    <w:rsid w:val="00676825"/>
    <w:rsid w:val="006768E3"/>
    <w:rsid w:val="0067693B"/>
    <w:rsid w:val="00676A07"/>
    <w:rsid w:val="00676A17"/>
    <w:rsid w:val="00676A36"/>
    <w:rsid w:val="00676B19"/>
    <w:rsid w:val="00676B32"/>
    <w:rsid w:val="00676B80"/>
    <w:rsid w:val="00676CF6"/>
    <w:rsid w:val="00676E18"/>
    <w:rsid w:val="00676E29"/>
    <w:rsid w:val="00676F26"/>
    <w:rsid w:val="00676F80"/>
    <w:rsid w:val="00676FEA"/>
    <w:rsid w:val="00676FFD"/>
    <w:rsid w:val="0067701A"/>
    <w:rsid w:val="00677107"/>
    <w:rsid w:val="006771E5"/>
    <w:rsid w:val="0067733B"/>
    <w:rsid w:val="0067748D"/>
    <w:rsid w:val="00677654"/>
    <w:rsid w:val="006776A3"/>
    <w:rsid w:val="006776E5"/>
    <w:rsid w:val="0067770C"/>
    <w:rsid w:val="0067779F"/>
    <w:rsid w:val="0067787F"/>
    <w:rsid w:val="006778E1"/>
    <w:rsid w:val="0067792E"/>
    <w:rsid w:val="0067792F"/>
    <w:rsid w:val="00677944"/>
    <w:rsid w:val="006779CD"/>
    <w:rsid w:val="00677AF6"/>
    <w:rsid w:val="00677B01"/>
    <w:rsid w:val="00677D59"/>
    <w:rsid w:val="00677D77"/>
    <w:rsid w:val="00677EA6"/>
    <w:rsid w:val="00677F29"/>
    <w:rsid w:val="00677F6C"/>
    <w:rsid w:val="00677F99"/>
    <w:rsid w:val="00680057"/>
    <w:rsid w:val="0068012C"/>
    <w:rsid w:val="0068012F"/>
    <w:rsid w:val="00680182"/>
    <w:rsid w:val="006801D1"/>
    <w:rsid w:val="00680279"/>
    <w:rsid w:val="006802B3"/>
    <w:rsid w:val="006802FE"/>
    <w:rsid w:val="006803B6"/>
    <w:rsid w:val="00680482"/>
    <w:rsid w:val="00680564"/>
    <w:rsid w:val="00680572"/>
    <w:rsid w:val="006805C6"/>
    <w:rsid w:val="006806CB"/>
    <w:rsid w:val="00680770"/>
    <w:rsid w:val="00680857"/>
    <w:rsid w:val="0068086E"/>
    <w:rsid w:val="0068087E"/>
    <w:rsid w:val="006808DC"/>
    <w:rsid w:val="00680915"/>
    <w:rsid w:val="00680939"/>
    <w:rsid w:val="00680A7C"/>
    <w:rsid w:val="00680A99"/>
    <w:rsid w:val="00680AE2"/>
    <w:rsid w:val="00680C1C"/>
    <w:rsid w:val="00680D80"/>
    <w:rsid w:val="00680D8C"/>
    <w:rsid w:val="00680EB2"/>
    <w:rsid w:val="00680F9E"/>
    <w:rsid w:val="006810AB"/>
    <w:rsid w:val="006810BD"/>
    <w:rsid w:val="006810D7"/>
    <w:rsid w:val="006813D2"/>
    <w:rsid w:val="0068141F"/>
    <w:rsid w:val="00681566"/>
    <w:rsid w:val="006815AE"/>
    <w:rsid w:val="006815E5"/>
    <w:rsid w:val="0068162E"/>
    <w:rsid w:val="00681631"/>
    <w:rsid w:val="00681655"/>
    <w:rsid w:val="006816B6"/>
    <w:rsid w:val="006816C0"/>
    <w:rsid w:val="00681704"/>
    <w:rsid w:val="00681715"/>
    <w:rsid w:val="0068177C"/>
    <w:rsid w:val="006818F6"/>
    <w:rsid w:val="006818FC"/>
    <w:rsid w:val="00681905"/>
    <w:rsid w:val="00681977"/>
    <w:rsid w:val="0068198D"/>
    <w:rsid w:val="00681A53"/>
    <w:rsid w:val="00681B06"/>
    <w:rsid w:val="00681BA6"/>
    <w:rsid w:val="00681BFF"/>
    <w:rsid w:val="00681C34"/>
    <w:rsid w:val="00681C99"/>
    <w:rsid w:val="00681DE2"/>
    <w:rsid w:val="00681E06"/>
    <w:rsid w:val="00681E80"/>
    <w:rsid w:val="00681E9D"/>
    <w:rsid w:val="00681EEB"/>
    <w:rsid w:val="00681F7F"/>
    <w:rsid w:val="006820B3"/>
    <w:rsid w:val="006820EB"/>
    <w:rsid w:val="006820EC"/>
    <w:rsid w:val="00682128"/>
    <w:rsid w:val="0068220C"/>
    <w:rsid w:val="00682245"/>
    <w:rsid w:val="0068229C"/>
    <w:rsid w:val="00682364"/>
    <w:rsid w:val="006823C3"/>
    <w:rsid w:val="0068241B"/>
    <w:rsid w:val="006824BA"/>
    <w:rsid w:val="006826E2"/>
    <w:rsid w:val="00682766"/>
    <w:rsid w:val="0068281B"/>
    <w:rsid w:val="00682821"/>
    <w:rsid w:val="00682865"/>
    <w:rsid w:val="00682973"/>
    <w:rsid w:val="006829D3"/>
    <w:rsid w:val="00682A5F"/>
    <w:rsid w:val="00682AB1"/>
    <w:rsid w:val="00682B3C"/>
    <w:rsid w:val="00682B98"/>
    <w:rsid w:val="00682B99"/>
    <w:rsid w:val="00682BAD"/>
    <w:rsid w:val="00682CBD"/>
    <w:rsid w:val="00682CD5"/>
    <w:rsid w:val="00682D22"/>
    <w:rsid w:val="00682D42"/>
    <w:rsid w:val="00682D94"/>
    <w:rsid w:val="00682DC2"/>
    <w:rsid w:val="00682DC8"/>
    <w:rsid w:val="00682E1E"/>
    <w:rsid w:val="00682E72"/>
    <w:rsid w:val="00682E9F"/>
    <w:rsid w:val="00682EB3"/>
    <w:rsid w:val="00682F6A"/>
    <w:rsid w:val="00682FDA"/>
    <w:rsid w:val="00682FF3"/>
    <w:rsid w:val="0068303B"/>
    <w:rsid w:val="00683063"/>
    <w:rsid w:val="00683094"/>
    <w:rsid w:val="006830A0"/>
    <w:rsid w:val="006830B4"/>
    <w:rsid w:val="006830FE"/>
    <w:rsid w:val="00683252"/>
    <w:rsid w:val="00683258"/>
    <w:rsid w:val="0068332B"/>
    <w:rsid w:val="0068335D"/>
    <w:rsid w:val="006833C4"/>
    <w:rsid w:val="0068343A"/>
    <w:rsid w:val="00683477"/>
    <w:rsid w:val="006834D4"/>
    <w:rsid w:val="00683532"/>
    <w:rsid w:val="0068357C"/>
    <w:rsid w:val="00683662"/>
    <w:rsid w:val="006836F2"/>
    <w:rsid w:val="006837C6"/>
    <w:rsid w:val="006837D6"/>
    <w:rsid w:val="00683960"/>
    <w:rsid w:val="006839B0"/>
    <w:rsid w:val="006839FB"/>
    <w:rsid w:val="00683A24"/>
    <w:rsid w:val="00683A2C"/>
    <w:rsid w:val="00683AA1"/>
    <w:rsid w:val="00683B79"/>
    <w:rsid w:val="00683BB2"/>
    <w:rsid w:val="00683BB6"/>
    <w:rsid w:val="00683CC3"/>
    <w:rsid w:val="00683CDE"/>
    <w:rsid w:val="00683CFA"/>
    <w:rsid w:val="00683D8E"/>
    <w:rsid w:val="00683E66"/>
    <w:rsid w:val="00683E68"/>
    <w:rsid w:val="00683FA2"/>
    <w:rsid w:val="00684098"/>
    <w:rsid w:val="0068413D"/>
    <w:rsid w:val="00684148"/>
    <w:rsid w:val="0068416E"/>
    <w:rsid w:val="006841BE"/>
    <w:rsid w:val="006841D8"/>
    <w:rsid w:val="00684229"/>
    <w:rsid w:val="00684282"/>
    <w:rsid w:val="0068428E"/>
    <w:rsid w:val="00684309"/>
    <w:rsid w:val="00684317"/>
    <w:rsid w:val="00684365"/>
    <w:rsid w:val="006844BA"/>
    <w:rsid w:val="006844ED"/>
    <w:rsid w:val="0068452B"/>
    <w:rsid w:val="0068454E"/>
    <w:rsid w:val="00684599"/>
    <w:rsid w:val="006845A2"/>
    <w:rsid w:val="0068462A"/>
    <w:rsid w:val="00684665"/>
    <w:rsid w:val="00684678"/>
    <w:rsid w:val="0068468D"/>
    <w:rsid w:val="0068469A"/>
    <w:rsid w:val="00684741"/>
    <w:rsid w:val="00684759"/>
    <w:rsid w:val="006848B0"/>
    <w:rsid w:val="00684968"/>
    <w:rsid w:val="00684A1B"/>
    <w:rsid w:val="00684A3C"/>
    <w:rsid w:val="00684A85"/>
    <w:rsid w:val="00684B07"/>
    <w:rsid w:val="00684B28"/>
    <w:rsid w:val="00684BF8"/>
    <w:rsid w:val="00684D07"/>
    <w:rsid w:val="00684D36"/>
    <w:rsid w:val="00684D9B"/>
    <w:rsid w:val="00684DF5"/>
    <w:rsid w:val="00684E22"/>
    <w:rsid w:val="00684ED3"/>
    <w:rsid w:val="00684EDA"/>
    <w:rsid w:val="00684F67"/>
    <w:rsid w:val="00684FCA"/>
    <w:rsid w:val="00685087"/>
    <w:rsid w:val="00685097"/>
    <w:rsid w:val="006851F0"/>
    <w:rsid w:val="006852EC"/>
    <w:rsid w:val="0068536E"/>
    <w:rsid w:val="00685427"/>
    <w:rsid w:val="00685545"/>
    <w:rsid w:val="0068579F"/>
    <w:rsid w:val="006858AA"/>
    <w:rsid w:val="0068596D"/>
    <w:rsid w:val="006859C4"/>
    <w:rsid w:val="00685A2F"/>
    <w:rsid w:val="00685A88"/>
    <w:rsid w:val="00685ACA"/>
    <w:rsid w:val="00685B56"/>
    <w:rsid w:val="00685B6D"/>
    <w:rsid w:val="00685BCF"/>
    <w:rsid w:val="00685BE7"/>
    <w:rsid w:val="00685C37"/>
    <w:rsid w:val="00685CDC"/>
    <w:rsid w:val="00685E92"/>
    <w:rsid w:val="00685ED0"/>
    <w:rsid w:val="00685EEE"/>
    <w:rsid w:val="00685F1F"/>
    <w:rsid w:val="00685F40"/>
    <w:rsid w:val="00685F9F"/>
    <w:rsid w:val="00686000"/>
    <w:rsid w:val="00686007"/>
    <w:rsid w:val="00686049"/>
    <w:rsid w:val="0068615E"/>
    <w:rsid w:val="00686181"/>
    <w:rsid w:val="006861DD"/>
    <w:rsid w:val="00686261"/>
    <w:rsid w:val="00686338"/>
    <w:rsid w:val="0068669F"/>
    <w:rsid w:val="0068679B"/>
    <w:rsid w:val="0068685F"/>
    <w:rsid w:val="00686889"/>
    <w:rsid w:val="006868FF"/>
    <w:rsid w:val="00686921"/>
    <w:rsid w:val="00686927"/>
    <w:rsid w:val="00686981"/>
    <w:rsid w:val="006869C1"/>
    <w:rsid w:val="00686A34"/>
    <w:rsid w:val="00686AF7"/>
    <w:rsid w:val="00686C2D"/>
    <w:rsid w:val="00686C34"/>
    <w:rsid w:val="00686CF6"/>
    <w:rsid w:val="00686D8D"/>
    <w:rsid w:val="00686DAD"/>
    <w:rsid w:val="00686ED1"/>
    <w:rsid w:val="00686F36"/>
    <w:rsid w:val="00686F6F"/>
    <w:rsid w:val="00687112"/>
    <w:rsid w:val="0068713C"/>
    <w:rsid w:val="006871D0"/>
    <w:rsid w:val="006871FB"/>
    <w:rsid w:val="00687247"/>
    <w:rsid w:val="006872BB"/>
    <w:rsid w:val="0068734F"/>
    <w:rsid w:val="0068741C"/>
    <w:rsid w:val="0068751F"/>
    <w:rsid w:val="00687594"/>
    <w:rsid w:val="00687605"/>
    <w:rsid w:val="006876AE"/>
    <w:rsid w:val="0068770D"/>
    <w:rsid w:val="0068775C"/>
    <w:rsid w:val="00687790"/>
    <w:rsid w:val="00687887"/>
    <w:rsid w:val="006878D9"/>
    <w:rsid w:val="00687937"/>
    <w:rsid w:val="006879C8"/>
    <w:rsid w:val="00687A74"/>
    <w:rsid w:val="00687B08"/>
    <w:rsid w:val="00687B45"/>
    <w:rsid w:val="00687BEB"/>
    <w:rsid w:val="00687C03"/>
    <w:rsid w:val="00687CB3"/>
    <w:rsid w:val="00687EB3"/>
    <w:rsid w:val="00687EF2"/>
    <w:rsid w:val="00687F81"/>
    <w:rsid w:val="00687FC6"/>
    <w:rsid w:val="006900D1"/>
    <w:rsid w:val="006901E9"/>
    <w:rsid w:val="0069020C"/>
    <w:rsid w:val="00690297"/>
    <w:rsid w:val="006902E1"/>
    <w:rsid w:val="006902E5"/>
    <w:rsid w:val="006904AF"/>
    <w:rsid w:val="00690500"/>
    <w:rsid w:val="00690517"/>
    <w:rsid w:val="00690548"/>
    <w:rsid w:val="0069063B"/>
    <w:rsid w:val="006906DE"/>
    <w:rsid w:val="006906E0"/>
    <w:rsid w:val="00690780"/>
    <w:rsid w:val="006907DB"/>
    <w:rsid w:val="006907F1"/>
    <w:rsid w:val="00690825"/>
    <w:rsid w:val="00690925"/>
    <w:rsid w:val="00690935"/>
    <w:rsid w:val="006909CD"/>
    <w:rsid w:val="00690A0C"/>
    <w:rsid w:val="00690A47"/>
    <w:rsid w:val="00690A75"/>
    <w:rsid w:val="00690B38"/>
    <w:rsid w:val="00690BC5"/>
    <w:rsid w:val="00690BCA"/>
    <w:rsid w:val="00690BD0"/>
    <w:rsid w:val="00690BD6"/>
    <w:rsid w:val="00690C1F"/>
    <w:rsid w:val="00690D07"/>
    <w:rsid w:val="00690D8F"/>
    <w:rsid w:val="00690DFE"/>
    <w:rsid w:val="00690E05"/>
    <w:rsid w:val="00690E31"/>
    <w:rsid w:val="00690FAE"/>
    <w:rsid w:val="00690FB3"/>
    <w:rsid w:val="0069101F"/>
    <w:rsid w:val="006910A6"/>
    <w:rsid w:val="00691116"/>
    <w:rsid w:val="0069115A"/>
    <w:rsid w:val="0069117E"/>
    <w:rsid w:val="0069120A"/>
    <w:rsid w:val="0069126A"/>
    <w:rsid w:val="006912C7"/>
    <w:rsid w:val="006912F1"/>
    <w:rsid w:val="00691387"/>
    <w:rsid w:val="0069139B"/>
    <w:rsid w:val="006913BD"/>
    <w:rsid w:val="0069147D"/>
    <w:rsid w:val="006915E4"/>
    <w:rsid w:val="006915F2"/>
    <w:rsid w:val="0069164A"/>
    <w:rsid w:val="0069165C"/>
    <w:rsid w:val="006916D8"/>
    <w:rsid w:val="0069172F"/>
    <w:rsid w:val="006917A5"/>
    <w:rsid w:val="0069191A"/>
    <w:rsid w:val="0069193A"/>
    <w:rsid w:val="00691A05"/>
    <w:rsid w:val="00691A25"/>
    <w:rsid w:val="00691B09"/>
    <w:rsid w:val="00691B20"/>
    <w:rsid w:val="00691C55"/>
    <w:rsid w:val="00691D28"/>
    <w:rsid w:val="00691DFC"/>
    <w:rsid w:val="0069201A"/>
    <w:rsid w:val="006921EE"/>
    <w:rsid w:val="00692253"/>
    <w:rsid w:val="00692299"/>
    <w:rsid w:val="006922B0"/>
    <w:rsid w:val="006923F1"/>
    <w:rsid w:val="00692487"/>
    <w:rsid w:val="006924A5"/>
    <w:rsid w:val="006924C5"/>
    <w:rsid w:val="006924F6"/>
    <w:rsid w:val="00692721"/>
    <w:rsid w:val="006927A7"/>
    <w:rsid w:val="006927F2"/>
    <w:rsid w:val="00692826"/>
    <w:rsid w:val="00692885"/>
    <w:rsid w:val="006928AA"/>
    <w:rsid w:val="00692977"/>
    <w:rsid w:val="00692A5C"/>
    <w:rsid w:val="00692A87"/>
    <w:rsid w:val="00692CA6"/>
    <w:rsid w:val="00692D8C"/>
    <w:rsid w:val="00692E84"/>
    <w:rsid w:val="00692ED7"/>
    <w:rsid w:val="00692F4D"/>
    <w:rsid w:val="00692F5F"/>
    <w:rsid w:val="006931D0"/>
    <w:rsid w:val="006931E1"/>
    <w:rsid w:val="0069326A"/>
    <w:rsid w:val="0069339C"/>
    <w:rsid w:val="006934D0"/>
    <w:rsid w:val="0069370C"/>
    <w:rsid w:val="006938D0"/>
    <w:rsid w:val="006938DA"/>
    <w:rsid w:val="00693954"/>
    <w:rsid w:val="00693A06"/>
    <w:rsid w:val="00693A1D"/>
    <w:rsid w:val="00693C05"/>
    <w:rsid w:val="00693C65"/>
    <w:rsid w:val="00693C76"/>
    <w:rsid w:val="00693D7C"/>
    <w:rsid w:val="00693DE4"/>
    <w:rsid w:val="00693DEE"/>
    <w:rsid w:val="00693DEF"/>
    <w:rsid w:val="00694119"/>
    <w:rsid w:val="006941EA"/>
    <w:rsid w:val="006941FC"/>
    <w:rsid w:val="00694310"/>
    <w:rsid w:val="006943C9"/>
    <w:rsid w:val="0069443C"/>
    <w:rsid w:val="00694448"/>
    <w:rsid w:val="00694450"/>
    <w:rsid w:val="0069457A"/>
    <w:rsid w:val="006945A2"/>
    <w:rsid w:val="006946D1"/>
    <w:rsid w:val="00694700"/>
    <w:rsid w:val="006947CA"/>
    <w:rsid w:val="00694803"/>
    <w:rsid w:val="006948D2"/>
    <w:rsid w:val="00694B24"/>
    <w:rsid w:val="00694B75"/>
    <w:rsid w:val="00694BB9"/>
    <w:rsid w:val="00694CE8"/>
    <w:rsid w:val="00694DC8"/>
    <w:rsid w:val="00694E34"/>
    <w:rsid w:val="00694E4A"/>
    <w:rsid w:val="00694EEC"/>
    <w:rsid w:val="00694FB4"/>
    <w:rsid w:val="00694FB8"/>
    <w:rsid w:val="00694FF0"/>
    <w:rsid w:val="0069502B"/>
    <w:rsid w:val="0069504E"/>
    <w:rsid w:val="00695068"/>
    <w:rsid w:val="0069517C"/>
    <w:rsid w:val="006951C4"/>
    <w:rsid w:val="006951E1"/>
    <w:rsid w:val="0069521A"/>
    <w:rsid w:val="0069523B"/>
    <w:rsid w:val="00695297"/>
    <w:rsid w:val="006954C0"/>
    <w:rsid w:val="0069550C"/>
    <w:rsid w:val="006955B6"/>
    <w:rsid w:val="006955C6"/>
    <w:rsid w:val="006955F3"/>
    <w:rsid w:val="0069569E"/>
    <w:rsid w:val="006956C6"/>
    <w:rsid w:val="006957AC"/>
    <w:rsid w:val="006958AF"/>
    <w:rsid w:val="006958B0"/>
    <w:rsid w:val="006958F1"/>
    <w:rsid w:val="00695918"/>
    <w:rsid w:val="00695923"/>
    <w:rsid w:val="006959DF"/>
    <w:rsid w:val="00695A1E"/>
    <w:rsid w:val="00695A23"/>
    <w:rsid w:val="00695C20"/>
    <w:rsid w:val="00695C2C"/>
    <w:rsid w:val="00695C8A"/>
    <w:rsid w:val="00695C97"/>
    <w:rsid w:val="00695D18"/>
    <w:rsid w:val="00695D89"/>
    <w:rsid w:val="00695DD5"/>
    <w:rsid w:val="00695E09"/>
    <w:rsid w:val="00695E2D"/>
    <w:rsid w:val="00695EA0"/>
    <w:rsid w:val="00695EFD"/>
    <w:rsid w:val="00695FF9"/>
    <w:rsid w:val="00696021"/>
    <w:rsid w:val="006960AA"/>
    <w:rsid w:val="00696111"/>
    <w:rsid w:val="00696142"/>
    <w:rsid w:val="00696190"/>
    <w:rsid w:val="006961D1"/>
    <w:rsid w:val="00696332"/>
    <w:rsid w:val="00696374"/>
    <w:rsid w:val="00696390"/>
    <w:rsid w:val="00696398"/>
    <w:rsid w:val="006963E6"/>
    <w:rsid w:val="00696543"/>
    <w:rsid w:val="006965AF"/>
    <w:rsid w:val="006965EF"/>
    <w:rsid w:val="00696627"/>
    <w:rsid w:val="00696671"/>
    <w:rsid w:val="006966C7"/>
    <w:rsid w:val="00696727"/>
    <w:rsid w:val="00696847"/>
    <w:rsid w:val="006968AB"/>
    <w:rsid w:val="0069692F"/>
    <w:rsid w:val="00696935"/>
    <w:rsid w:val="00696938"/>
    <w:rsid w:val="00696A7F"/>
    <w:rsid w:val="00696B25"/>
    <w:rsid w:val="00696B45"/>
    <w:rsid w:val="00696B4A"/>
    <w:rsid w:val="00696B86"/>
    <w:rsid w:val="00696C68"/>
    <w:rsid w:val="00696DE5"/>
    <w:rsid w:val="00696E12"/>
    <w:rsid w:val="00696EE3"/>
    <w:rsid w:val="00697002"/>
    <w:rsid w:val="00697061"/>
    <w:rsid w:val="006970C9"/>
    <w:rsid w:val="006970D9"/>
    <w:rsid w:val="0069715D"/>
    <w:rsid w:val="0069719D"/>
    <w:rsid w:val="006971D5"/>
    <w:rsid w:val="00697268"/>
    <w:rsid w:val="0069731A"/>
    <w:rsid w:val="00697347"/>
    <w:rsid w:val="0069734B"/>
    <w:rsid w:val="00697392"/>
    <w:rsid w:val="006973E5"/>
    <w:rsid w:val="00697580"/>
    <w:rsid w:val="006975B3"/>
    <w:rsid w:val="00697664"/>
    <w:rsid w:val="00697681"/>
    <w:rsid w:val="0069770C"/>
    <w:rsid w:val="006977C3"/>
    <w:rsid w:val="0069781C"/>
    <w:rsid w:val="00697860"/>
    <w:rsid w:val="00697962"/>
    <w:rsid w:val="006979E9"/>
    <w:rsid w:val="00697A43"/>
    <w:rsid w:val="00697B72"/>
    <w:rsid w:val="00697C01"/>
    <w:rsid w:val="00697C5E"/>
    <w:rsid w:val="00697D57"/>
    <w:rsid w:val="00697D60"/>
    <w:rsid w:val="00697DB0"/>
    <w:rsid w:val="00697DDB"/>
    <w:rsid w:val="00697E1C"/>
    <w:rsid w:val="00697E39"/>
    <w:rsid w:val="00697E4B"/>
    <w:rsid w:val="00697EFB"/>
    <w:rsid w:val="00697FA3"/>
    <w:rsid w:val="006A006B"/>
    <w:rsid w:val="006A007D"/>
    <w:rsid w:val="006A018F"/>
    <w:rsid w:val="006A01AA"/>
    <w:rsid w:val="006A01D5"/>
    <w:rsid w:val="006A0322"/>
    <w:rsid w:val="006A03C5"/>
    <w:rsid w:val="006A0427"/>
    <w:rsid w:val="006A0479"/>
    <w:rsid w:val="006A04CA"/>
    <w:rsid w:val="006A051B"/>
    <w:rsid w:val="006A054E"/>
    <w:rsid w:val="006A064C"/>
    <w:rsid w:val="006A064D"/>
    <w:rsid w:val="006A06A1"/>
    <w:rsid w:val="006A0705"/>
    <w:rsid w:val="006A084E"/>
    <w:rsid w:val="006A08B8"/>
    <w:rsid w:val="006A08F2"/>
    <w:rsid w:val="006A0A34"/>
    <w:rsid w:val="006A0A3C"/>
    <w:rsid w:val="006A0AA9"/>
    <w:rsid w:val="006A0AFE"/>
    <w:rsid w:val="006A0B3A"/>
    <w:rsid w:val="006A0B4D"/>
    <w:rsid w:val="006A0B55"/>
    <w:rsid w:val="006A0B78"/>
    <w:rsid w:val="006A0F23"/>
    <w:rsid w:val="006A1003"/>
    <w:rsid w:val="006A100A"/>
    <w:rsid w:val="006A10F3"/>
    <w:rsid w:val="006A1145"/>
    <w:rsid w:val="006A1160"/>
    <w:rsid w:val="006A12B7"/>
    <w:rsid w:val="006A1508"/>
    <w:rsid w:val="006A151A"/>
    <w:rsid w:val="006A15B7"/>
    <w:rsid w:val="006A15F0"/>
    <w:rsid w:val="006A1654"/>
    <w:rsid w:val="006A1777"/>
    <w:rsid w:val="006A18C3"/>
    <w:rsid w:val="006A1945"/>
    <w:rsid w:val="006A1953"/>
    <w:rsid w:val="006A1A66"/>
    <w:rsid w:val="006A1B2D"/>
    <w:rsid w:val="006A1B30"/>
    <w:rsid w:val="006A1C57"/>
    <w:rsid w:val="006A1C69"/>
    <w:rsid w:val="006A1C9B"/>
    <w:rsid w:val="006A1CA3"/>
    <w:rsid w:val="006A1DD6"/>
    <w:rsid w:val="006A1E0C"/>
    <w:rsid w:val="006A1E25"/>
    <w:rsid w:val="006A1E62"/>
    <w:rsid w:val="006A1F14"/>
    <w:rsid w:val="006A1F23"/>
    <w:rsid w:val="006A1F99"/>
    <w:rsid w:val="006A1FA5"/>
    <w:rsid w:val="006A202A"/>
    <w:rsid w:val="006A21E8"/>
    <w:rsid w:val="006A2223"/>
    <w:rsid w:val="006A2233"/>
    <w:rsid w:val="006A2287"/>
    <w:rsid w:val="006A2354"/>
    <w:rsid w:val="006A235A"/>
    <w:rsid w:val="006A23EC"/>
    <w:rsid w:val="006A23F9"/>
    <w:rsid w:val="006A2407"/>
    <w:rsid w:val="006A24BF"/>
    <w:rsid w:val="006A24FF"/>
    <w:rsid w:val="006A25B7"/>
    <w:rsid w:val="006A280A"/>
    <w:rsid w:val="006A286E"/>
    <w:rsid w:val="006A2890"/>
    <w:rsid w:val="006A2928"/>
    <w:rsid w:val="006A295A"/>
    <w:rsid w:val="006A29DA"/>
    <w:rsid w:val="006A2A12"/>
    <w:rsid w:val="006A2AE7"/>
    <w:rsid w:val="006A2B10"/>
    <w:rsid w:val="006A2B83"/>
    <w:rsid w:val="006A2B87"/>
    <w:rsid w:val="006A2B94"/>
    <w:rsid w:val="006A2D2F"/>
    <w:rsid w:val="006A2E7F"/>
    <w:rsid w:val="006A2E9C"/>
    <w:rsid w:val="006A2EE3"/>
    <w:rsid w:val="006A2FEF"/>
    <w:rsid w:val="006A31A2"/>
    <w:rsid w:val="006A31CC"/>
    <w:rsid w:val="006A320F"/>
    <w:rsid w:val="006A32E6"/>
    <w:rsid w:val="006A3346"/>
    <w:rsid w:val="006A3369"/>
    <w:rsid w:val="006A33B2"/>
    <w:rsid w:val="006A33C8"/>
    <w:rsid w:val="006A34B7"/>
    <w:rsid w:val="006A35C2"/>
    <w:rsid w:val="006A35E0"/>
    <w:rsid w:val="006A36FB"/>
    <w:rsid w:val="006A3715"/>
    <w:rsid w:val="006A377F"/>
    <w:rsid w:val="006A384A"/>
    <w:rsid w:val="006A3856"/>
    <w:rsid w:val="006A3875"/>
    <w:rsid w:val="006A3880"/>
    <w:rsid w:val="006A389A"/>
    <w:rsid w:val="006A3964"/>
    <w:rsid w:val="006A3D40"/>
    <w:rsid w:val="006A3D47"/>
    <w:rsid w:val="006A3DFF"/>
    <w:rsid w:val="006A3E85"/>
    <w:rsid w:val="006A3FF4"/>
    <w:rsid w:val="006A4044"/>
    <w:rsid w:val="006A4101"/>
    <w:rsid w:val="006A4214"/>
    <w:rsid w:val="006A428B"/>
    <w:rsid w:val="006A42E0"/>
    <w:rsid w:val="006A4343"/>
    <w:rsid w:val="006A436F"/>
    <w:rsid w:val="006A44F6"/>
    <w:rsid w:val="006A4595"/>
    <w:rsid w:val="006A45D7"/>
    <w:rsid w:val="006A46A2"/>
    <w:rsid w:val="006A46F3"/>
    <w:rsid w:val="006A4767"/>
    <w:rsid w:val="006A477D"/>
    <w:rsid w:val="006A4AF0"/>
    <w:rsid w:val="006A4BE6"/>
    <w:rsid w:val="006A4D9F"/>
    <w:rsid w:val="006A4DC6"/>
    <w:rsid w:val="006A4F21"/>
    <w:rsid w:val="006A4F28"/>
    <w:rsid w:val="006A4F6B"/>
    <w:rsid w:val="006A4FE9"/>
    <w:rsid w:val="006A503A"/>
    <w:rsid w:val="006A50C8"/>
    <w:rsid w:val="006A50D5"/>
    <w:rsid w:val="006A5101"/>
    <w:rsid w:val="006A5115"/>
    <w:rsid w:val="006A5119"/>
    <w:rsid w:val="006A519C"/>
    <w:rsid w:val="006A51C2"/>
    <w:rsid w:val="006A520C"/>
    <w:rsid w:val="006A5223"/>
    <w:rsid w:val="006A5300"/>
    <w:rsid w:val="006A537B"/>
    <w:rsid w:val="006A53C6"/>
    <w:rsid w:val="006A53E3"/>
    <w:rsid w:val="006A54AB"/>
    <w:rsid w:val="006A5514"/>
    <w:rsid w:val="006A561D"/>
    <w:rsid w:val="006A56E1"/>
    <w:rsid w:val="006A5818"/>
    <w:rsid w:val="006A5838"/>
    <w:rsid w:val="006A585E"/>
    <w:rsid w:val="006A5A0C"/>
    <w:rsid w:val="006A5AB6"/>
    <w:rsid w:val="006A5B4F"/>
    <w:rsid w:val="006A5B66"/>
    <w:rsid w:val="006A5B85"/>
    <w:rsid w:val="006A5BA0"/>
    <w:rsid w:val="006A5BB1"/>
    <w:rsid w:val="006A5CE9"/>
    <w:rsid w:val="006A5D1B"/>
    <w:rsid w:val="006A5F88"/>
    <w:rsid w:val="006A5FEF"/>
    <w:rsid w:val="006A6132"/>
    <w:rsid w:val="006A6195"/>
    <w:rsid w:val="006A623E"/>
    <w:rsid w:val="006A627D"/>
    <w:rsid w:val="006A62C8"/>
    <w:rsid w:val="006A632E"/>
    <w:rsid w:val="006A6360"/>
    <w:rsid w:val="006A63AA"/>
    <w:rsid w:val="006A6452"/>
    <w:rsid w:val="006A6471"/>
    <w:rsid w:val="006A647B"/>
    <w:rsid w:val="006A6739"/>
    <w:rsid w:val="006A67DF"/>
    <w:rsid w:val="006A692E"/>
    <w:rsid w:val="006A6A27"/>
    <w:rsid w:val="006A6B87"/>
    <w:rsid w:val="006A6BB2"/>
    <w:rsid w:val="006A6D87"/>
    <w:rsid w:val="006A6ECB"/>
    <w:rsid w:val="006A6ED2"/>
    <w:rsid w:val="006A6FD4"/>
    <w:rsid w:val="006A6FF4"/>
    <w:rsid w:val="006A6FFF"/>
    <w:rsid w:val="006A70C9"/>
    <w:rsid w:val="006A70EE"/>
    <w:rsid w:val="006A727D"/>
    <w:rsid w:val="006A7292"/>
    <w:rsid w:val="006A72B8"/>
    <w:rsid w:val="006A72C1"/>
    <w:rsid w:val="006A73DF"/>
    <w:rsid w:val="006A7499"/>
    <w:rsid w:val="006A7597"/>
    <w:rsid w:val="006A760F"/>
    <w:rsid w:val="006A76B4"/>
    <w:rsid w:val="006A774E"/>
    <w:rsid w:val="006A7817"/>
    <w:rsid w:val="006A7841"/>
    <w:rsid w:val="006A787A"/>
    <w:rsid w:val="006A7890"/>
    <w:rsid w:val="006A78B9"/>
    <w:rsid w:val="006A78BD"/>
    <w:rsid w:val="006A78C0"/>
    <w:rsid w:val="006A78C7"/>
    <w:rsid w:val="006A7A89"/>
    <w:rsid w:val="006A7B6E"/>
    <w:rsid w:val="006A7BA9"/>
    <w:rsid w:val="006A7C1F"/>
    <w:rsid w:val="006A7C70"/>
    <w:rsid w:val="006A7CDC"/>
    <w:rsid w:val="006A7D95"/>
    <w:rsid w:val="006A7F82"/>
    <w:rsid w:val="006A7F9E"/>
    <w:rsid w:val="006A7FB7"/>
    <w:rsid w:val="006B000C"/>
    <w:rsid w:val="006B0059"/>
    <w:rsid w:val="006B00B5"/>
    <w:rsid w:val="006B00B6"/>
    <w:rsid w:val="006B024B"/>
    <w:rsid w:val="006B024F"/>
    <w:rsid w:val="006B027A"/>
    <w:rsid w:val="006B02A6"/>
    <w:rsid w:val="006B0410"/>
    <w:rsid w:val="006B0540"/>
    <w:rsid w:val="006B0678"/>
    <w:rsid w:val="006B074F"/>
    <w:rsid w:val="006B093E"/>
    <w:rsid w:val="006B0A14"/>
    <w:rsid w:val="006B0ABF"/>
    <w:rsid w:val="006B0AD9"/>
    <w:rsid w:val="006B0AFF"/>
    <w:rsid w:val="006B0B27"/>
    <w:rsid w:val="006B0B79"/>
    <w:rsid w:val="006B0B7C"/>
    <w:rsid w:val="006B0B8F"/>
    <w:rsid w:val="006B0C4E"/>
    <w:rsid w:val="006B0C51"/>
    <w:rsid w:val="006B0CB0"/>
    <w:rsid w:val="006B0CBE"/>
    <w:rsid w:val="006B0D07"/>
    <w:rsid w:val="006B0D33"/>
    <w:rsid w:val="006B0D34"/>
    <w:rsid w:val="006B0D45"/>
    <w:rsid w:val="006B0DCF"/>
    <w:rsid w:val="006B0DDF"/>
    <w:rsid w:val="006B0E36"/>
    <w:rsid w:val="006B0E5C"/>
    <w:rsid w:val="006B0E93"/>
    <w:rsid w:val="006B0F74"/>
    <w:rsid w:val="006B100C"/>
    <w:rsid w:val="006B1113"/>
    <w:rsid w:val="006B11A8"/>
    <w:rsid w:val="006B11E6"/>
    <w:rsid w:val="006B120D"/>
    <w:rsid w:val="006B1212"/>
    <w:rsid w:val="006B127B"/>
    <w:rsid w:val="006B12A9"/>
    <w:rsid w:val="006B12AF"/>
    <w:rsid w:val="006B12BB"/>
    <w:rsid w:val="006B138A"/>
    <w:rsid w:val="006B13C1"/>
    <w:rsid w:val="006B13F7"/>
    <w:rsid w:val="006B1423"/>
    <w:rsid w:val="006B1455"/>
    <w:rsid w:val="006B15B8"/>
    <w:rsid w:val="006B15ED"/>
    <w:rsid w:val="006B1623"/>
    <w:rsid w:val="006B1871"/>
    <w:rsid w:val="006B1897"/>
    <w:rsid w:val="006B18C0"/>
    <w:rsid w:val="006B19D7"/>
    <w:rsid w:val="006B1ABA"/>
    <w:rsid w:val="006B1B5A"/>
    <w:rsid w:val="006B1B7A"/>
    <w:rsid w:val="006B1B94"/>
    <w:rsid w:val="006B1B99"/>
    <w:rsid w:val="006B1CE2"/>
    <w:rsid w:val="006B1D14"/>
    <w:rsid w:val="006B1E71"/>
    <w:rsid w:val="006B1E81"/>
    <w:rsid w:val="006B1E8B"/>
    <w:rsid w:val="006B1F0A"/>
    <w:rsid w:val="006B1F3A"/>
    <w:rsid w:val="006B1FF1"/>
    <w:rsid w:val="006B1FFE"/>
    <w:rsid w:val="006B2060"/>
    <w:rsid w:val="006B209D"/>
    <w:rsid w:val="006B2172"/>
    <w:rsid w:val="006B2282"/>
    <w:rsid w:val="006B2432"/>
    <w:rsid w:val="006B243E"/>
    <w:rsid w:val="006B2516"/>
    <w:rsid w:val="006B257C"/>
    <w:rsid w:val="006B25E7"/>
    <w:rsid w:val="006B270E"/>
    <w:rsid w:val="006B27D9"/>
    <w:rsid w:val="006B27F0"/>
    <w:rsid w:val="006B2816"/>
    <w:rsid w:val="006B2866"/>
    <w:rsid w:val="006B28C9"/>
    <w:rsid w:val="006B29FD"/>
    <w:rsid w:val="006B2A34"/>
    <w:rsid w:val="006B2ACD"/>
    <w:rsid w:val="006B2CC7"/>
    <w:rsid w:val="006B2D81"/>
    <w:rsid w:val="006B2E2B"/>
    <w:rsid w:val="006B2E4E"/>
    <w:rsid w:val="006B2F5E"/>
    <w:rsid w:val="006B3018"/>
    <w:rsid w:val="006B3047"/>
    <w:rsid w:val="006B30A0"/>
    <w:rsid w:val="006B31D4"/>
    <w:rsid w:val="006B3206"/>
    <w:rsid w:val="006B320D"/>
    <w:rsid w:val="006B3285"/>
    <w:rsid w:val="006B334F"/>
    <w:rsid w:val="006B33EF"/>
    <w:rsid w:val="006B3465"/>
    <w:rsid w:val="006B34D3"/>
    <w:rsid w:val="006B351B"/>
    <w:rsid w:val="006B35CF"/>
    <w:rsid w:val="006B37B0"/>
    <w:rsid w:val="006B37BA"/>
    <w:rsid w:val="006B37ED"/>
    <w:rsid w:val="006B389F"/>
    <w:rsid w:val="006B3900"/>
    <w:rsid w:val="006B397B"/>
    <w:rsid w:val="006B3A19"/>
    <w:rsid w:val="006B3AAB"/>
    <w:rsid w:val="006B3AC5"/>
    <w:rsid w:val="006B3AF9"/>
    <w:rsid w:val="006B3B7E"/>
    <w:rsid w:val="006B3C43"/>
    <w:rsid w:val="006B3CEF"/>
    <w:rsid w:val="006B3DA5"/>
    <w:rsid w:val="006B3E74"/>
    <w:rsid w:val="006B3EF9"/>
    <w:rsid w:val="006B3F69"/>
    <w:rsid w:val="006B3FC6"/>
    <w:rsid w:val="006B401C"/>
    <w:rsid w:val="006B404E"/>
    <w:rsid w:val="006B40EC"/>
    <w:rsid w:val="006B40FE"/>
    <w:rsid w:val="006B4299"/>
    <w:rsid w:val="006B43AF"/>
    <w:rsid w:val="006B43C7"/>
    <w:rsid w:val="006B441B"/>
    <w:rsid w:val="006B44C5"/>
    <w:rsid w:val="006B463E"/>
    <w:rsid w:val="006B46A1"/>
    <w:rsid w:val="006B47A1"/>
    <w:rsid w:val="006B4800"/>
    <w:rsid w:val="006B4841"/>
    <w:rsid w:val="006B49CB"/>
    <w:rsid w:val="006B49D7"/>
    <w:rsid w:val="006B4A67"/>
    <w:rsid w:val="006B4C47"/>
    <w:rsid w:val="006B4C9D"/>
    <w:rsid w:val="006B4CA3"/>
    <w:rsid w:val="006B4CC4"/>
    <w:rsid w:val="006B4D20"/>
    <w:rsid w:val="006B4D77"/>
    <w:rsid w:val="006B4DBB"/>
    <w:rsid w:val="006B4EA9"/>
    <w:rsid w:val="006B4EAE"/>
    <w:rsid w:val="006B4ED9"/>
    <w:rsid w:val="006B5079"/>
    <w:rsid w:val="006B507A"/>
    <w:rsid w:val="006B50C6"/>
    <w:rsid w:val="006B5115"/>
    <w:rsid w:val="006B5293"/>
    <w:rsid w:val="006B5367"/>
    <w:rsid w:val="006B53CB"/>
    <w:rsid w:val="006B552D"/>
    <w:rsid w:val="006B555F"/>
    <w:rsid w:val="006B558F"/>
    <w:rsid w:val="006B5747"/>
    <w:rsid w:val="006B574F"/>
    <w:rsid w:val="006B5776"/>
    <w:rsid w:val="006B57F6"/>
    <w:rsid w:val="006B581A"/>
    <w:rsid w:val="006B583D"/>
    <w:rsid w:val="006B58BE"/>
    <w:rsid w:val="006B5904"/>
    <w:rsid w:val="006B595B"/>
    <w:rsid w:val="006B59EA"/>
    <w:rsid w:val="006B5A4A"/>
    <w:rsid w:val="006B5A70"/>
    <w:rsid w:val="006B5B59"/>
    <w:rsid w:val="006B5B78"/>
    <w:rsid w:val="006B5B88"/>
    <w:rsid w:val="006B5CA3"/>
    <w:rsid w:val="006B5D57"/>
    <w:rsid w:val="006B5D84"/>
    <w:rsid w:val="006B5E9B"/>
    <w:rsid w:val="006B5FAF"/>
    <w:rsid w:val="006B5FB3"/>
    <w:rsid w:val="006B5FF4"/>
    <w:rsid w:val="006B6030"/>
    <w:rsid w:val="006B6038"/>
    <w:rsid w:val="006B603D"/>
    <w:rsid w:val="006B60D9"/>
    <w:rsid w:val="006B6170"/>
    <w:rsid w:val="006B6242"/>
    <w:rsid w:val="006B62EB"/>
    <w:rsid w:val="006B640A"/>
    <w:rsid w:val="006B6450"/>
    <w:rsid w:val="006B64AE"/>
    <w:rsid w:val="006B64D6"/>
    <w:rsid w:val="006B6586"/>
    <w:rsid w:val="006B65CB"/>
    <w:rsid w:val="006B67F0"/>
    <w:rsid w:val="006B6865"/>
    <w:rsid w:val="006B68D9"/>
    <w:rsid w:val="006B68F7"/>
    <w:rsid w:val="006B6AED"/>
    <w:rsid w:val="006B6B4C"/>
    <w:rsid w:val="006B6B6A"/>
    <w:rsid w:val="006B6B8E"/>
    <w:rsid w:val="006B6C7C"/>
    <w:rsid w:val="006B6D7B"/>
    <w:rsid w:val="006B6DCD"/>
    <w:rsid w:val="006B6EA4"/>
    <w:rsid w:val="006B6F02"/>
    <w:rsid w:val="006B6F37"/>
    <w:rsid w:val="006B6F7A"/>
    <w:rsid w:val="006B706E"/>
    <w:rsid w:val="006B714F"/>
    <w:rsid w:val="006B71A3"/>
    <w:rsid w:val="006B7228"/>
    <w:rsid w:val="006B723F"/>
    <w:rsid w:val="006B725A"/>
    <w:rsid w:val="006B727F"/>
    <w:rsid w:val="006B735C"/>
    <w:rsid w:val="006B74CF"/>
    <w:rsid w:val="006B7531"/>
    <w:rsid w:val="006B757A"/>
    <w:rsid w:val="006B75EB"/>
    <w:rsid w:val="006B7609"/>
    <w:rsid w:val="006B7701"/>
    <w:rsid w:val="006B77BB"/>
    <w:rsid w:val="006B77D9"/>
    <w:rsid w:val="006B77E7"/>
    <w:rsid w:val="006B7840"/>
    <w:rsid w:val="006B78C2"/>
    <w:rsid w:val="006B7916"/>
    <w:rsid w:val="006B7A10"/>
    <w:rsid w:val="006B7B57"/>
    <w:rsid w:val="006B7B9E"/>
    <w:rsid w:val="006B7CA6"/>
    <w:rsid w:val="006B7CE4"/>
    <w:rsid w:val="006B7D6D"/>
    <w:rsid w:val="006B7EE3"/>
    <w:rsid w:val="006B7F0B"/>
    <w:rsid w:val="006B7F8F"/>
    <w:rsid w:val="006B7FC5"/>
    <w:rsid w:val="006B7FFD"/>
    <w:rsid w:val="006C006E"/>
    <w:rsid w:val="006C00CF"/>
    <w:rsid w:val="006C015C"/>
    <w:rsid w:val="006C01CC"/>
    <w:rsid w:val="006C034F"/>
    <w:rsid w:val="006C036D"/>
    <w:rsid w:val="006C04A5"/>
    <w:rsid w:val="006C055E"/>
    <w:rsid w:val="006C05A8"/>
    <w:rsid w:val="006C05B4"/>
    <w:rsid w:val="006C05D6"/>
    <w:rsid w:val="006C05F6"/>
    <w:rsid w:val="006C06FD"/>
    <w:rsid w:val="006C0732"/>
    <w:rsid w:val="006C0798"/>
    <w:rsid w:val="006C07B4"/>
    <w:rsid w:val="006C07F6"/>
    <w:rsid w:val="006C0807"/>
    <w:rsid w:val="006C083D"/>
    <w:rsid w:val="006C0844"/>
    <w:rsid w:val="006C0910"/>
    <w:rsid w:val="006C097F"/>
    <w:rsid w:val="006C0997"/>
    <w:rsid w:val="006C09E1"/>
    <w:rsid w:val="006C0A51"/>
    <w:rsid w:val="006C0A7B"/>
    <w:rsid w:val="006C0AB4"/>
    <w:rsid w:val="006C0C1A"/>
    <w:rsid w:val="006C0C7F"/>
    <w:rsid w:val="006C0C80"/>
    <w:rsid w:val="006C0D13"/>
    <w:rsid w:val="006C0F1D"/>
    <w:rsid w:val="006C107A"/>
    <w:rsid w:val="006C1085"/>
    <w:rsid w:val="006C10EC"/>
    <w:rsid w:val="006C1127"/>
    <w:rsid w:val="006C1139"/>
    <w:rsid w:val="006C11FD"/>
    <w:rsid w:val="006C1238"/>
    <w:rsid w:val="006C130A"/>
    <w:rsid w:val="006C131A"/>
    <w:rsid w:val="006C132E"/>
    <w:rsid w:val="006C1341"/>
    <w:rsid w:val="006C1344"/>
    <w:rsid w:val="006C1355"/>
    <w:rsid w:val="006C13BE"/>
    <w:rsid w:val="006C15FA"/>
    <w:rsid w:val="006C162B"/>
    <w:rsid w:val="006C16E4"/>
    <w:rsid w:val="006C181C"/>
    <w:rsid w:val="006C187F"/>
    <w:rsid w:val="006C1886"/>
    <w:rsid w:val="006C18BC"/>
    <w:rsid w:val="006C18DB"/>
    <w:rsid w:val="006C190B"/>
    <w:rsid w:val="006C1940"/>
    <w:rsid w:val="006C19BC"/>
    <w:rsid w:val="006C19D5"/>
    <w:rsid w:val="006C1B44"/>
    <w:rsid w:val="006C1B45"/>
    <w:rsid w:val="006C1C05"/>
    <w:rsid w:val="006C1CEA"/>
    <w:rsid w:val="006C1D6B"/>
    <w:rsid w:val="006C1D8D"/>
    <w:rsid w:val="006C1ED1"/>
    <w:rsid w:val="006C1EE5"/>
    <w:rsid w:val="006C1F68"/>
    <w:rsid w:val="006C1F77"/>
    <w:rsid w:val="006C1F9D"/>
    <w:rsid w:val="006C209F"/>
    <w:rsid w:val="006C20BF"/>
    <w:rsid w:val="006C2211"/>
    <w:rsid w:val="006C22E4"/>
    <w:rsid w:val="006C22E6"/>
    <w:rsid w:val="006C2368"/>
    <w:rsid w:val="006C2400"/>
    <w:rsid w:val="006C2433"/>
    <w:rsid w:val="006C2454"/>
    <w:rsid w:val="006C250D"/>
    <w:rsid w:val="006C2519"/>
    <w:rsid w:val="006C2523"/>
    <w:rsid w:val="006C2664"/>
    <w:rsid w:val="006C2781"/>
    <w:rsid w:val="006C28BE"/>
    <w:rsid w:val="006C2A74"/>
    <w:rsid w:val="006C2ACC"/>
    <w:rsid w:val="006C2B8D"/>
    <w:rsid w:val="006C2BAB"/>
    <w:rsid w:val="006C2D34"/>
    <w:rsid w:val="006C2D6F"/>
    <w:rsid w:val="006C2F28"/>
    <w:rsid w:val="006C2FB4"/>
    <w:rsid w:val="006C3031"/>
    <w:rsid w:val="006C3090"/>
    <w:rsid w:val="006C30CA"/>
    <w:rsid w:val="006C3105"/>
    <w:rsid w:val="006C329F"/>
    <w:rsid w:val="006C32FB"/>
    <w:rsid w:val="006C3305"/>
    <w:rsid w:val="006C3365"/>
    <w:rsid w:val="006C34F5"/>
    <w:rsid w:val="006C351F"/>
    <w:rsid w:val="006C3541"/>
    <w:rsid w:val="006C3584"/>
    <w:rsid w:val="006C3606"/>
    <w:rsid w:val="006C3607"/>
    <w:rsid w:val="006C38F5"/>
    <w:rsid w:val="006C3903"/>
    <w:rsid w:val="006C3990"/>
    <w:rsid w:val="006C39AF"/>
    <w:rsid w:val="006C39C3"/>
    <w:rsid w:val="006C3A0E"/>
    <w:rsid w:val="006C3A29"/>
    <w:rsid w:val="006C3ABA"/>
    <w:rsid w:val="006C3AD7"/>
    <w:rsid w:val="006C3AEC"/>
    <w:rsid w:val="006C3AEF"/>
    <w:rsid w:val="006C3C58"/>
    <w:rsid w:val="006C3D7C"/>
    <w:rsid w:val="006C3E46"/>
    <w:rsid w:val="006C3ED2"/>
    <w:rsid w:val="006C4028"/>
    <w:rsid w:val="006C402A"/>
    <w:rsid w:val="006C4056"/>
    <w:rsid w:val="006C4141"/>
    <w:rsid w:val="006C4146"/>
    <w:rsid w:val="006C4189"/>
    <w:rsid w:val="006C41AA"/>
    <w:rsid w:val="006C41AE"/>
    <w:rsid w:val="006C41C2"/>
    <w:rsid w:val="006C41F0"/>
    <w:rsid w:val="006C4233"/>
    <w:rsid w:val="006C4262"/>
    <w:rsid w:val="006C427F"/>
    <w:rsid w:val="006C4292"/>
    <w:rsid w:val="006C42E7"/>
    <w:rsid w:val="006C42F0"/>
    <w:rsid w:val="006C437A"/>
    <w:rsid w:val="006C4422"/>
    <w:rsid w:val="006C4568"/>
    <w:rsid w:val="006C45B3"/>
    <w:rsid w:val="006C4637"/>
    <w:rsid w:val="006C4673"/>
    <w:rsid w:val="006C47D5"/>
    <w:rsid w:val="006C4821"/>
    <w:rsid w:val="006C4835"/>
    <w:rsid w:val="006C48E8"/>
    <w:rsid w:val="006C4938"/>
    <w:rsid w:val="006C4A1A"/>
    <w:rsid w:val="006C4A21"/>
    <w:rsid w:val="006C4AC9"/>
    <w:rsid w:val="006C4B8C"/>
    <w:rsid w:val="006C4BB8"/>
    <w:rsid w:val="006C4C1C"/>
    <w:rsid w:val="006C4C2C"/>
    <w:rsid w:val="006C4C9E"/>
    <w:rsid w:val="006C4D08"/>
    <w:rsid w:val="006C4DD0"/>
    <w:rsid w:val="006C4DFD"/>
    <w:rsid w:val="006C4F12"/>
    <w:rsid w:val="006C4F68"/>
    <w:rsid w:val="006C4FB8"/>
    <w:rsid w:val="006C4FF4"/>
    <w:rsid w:val="006C5086"/>
    <w:rsid w:val="006C5242"/>
    <w:rsid w:val="006C5334"/>
    <w:rsid w:val="006C537B"/>
    <w:rsid w:val="006C53D4"/>
    <w:rsid w:val="006C5458"/>
    <w:rsid w:val="006C5474"/>
    <w:rsid w:val="006C5491"/>
    <w:rsid w:val="006C54CD"/>
    <w:rsid w:val="006C54FF"/>
    <w:rsid w:val="006C556F"/>
    <w:rsid w:val="006C5582"/>
    <w:rsid w:val="006C562F"/>
    <w:rsid w:val="006C56B7"/>
    <w:rsid w:val="006C56D7"/>
    <w:rsid w:val="006C573D"/>
    <w:rsid w:val="006C5745"/>
    <w:rsid w:val="006C5808"/>
    <w:rsid w:val="006C580C"/>
    <w:rsid w:val="006C596A"/>
    <w:rsid w:val="006C5972"/>
    <w:rsid w:val="006C5A65"/>
    <w:rsid w:val="006C5BF8"/>
    <w:rsid w:val="006C5CB7"/>
    <w:rsid w:val="006C5CCA"/>
    <w:rsid w:val="006C5D40"/>
    <w:rsid w:val="006C5DAB"/>
    <w:rsid w:val="006C5E2F"/>
    <w:rsid w:val="006C5E53"/>
    <w:rsid w:val="006C5E66"/>
    <w:rsid w:val="006C5FB7"/>
    <w:rsid w:val="006C5FDC"/>
    <w:rsid w:val="006C6116"/>
    <w:rsid w:val="006C625F"/>
    <w:rsid w:val="006C6270"/>
    <w:rsid w:val="006C62FA"/>
    <w:rsid w:val="006C64AF"/>
    <w:rsid w:val="006C655C"/>
    <w:rsid w:val="006C65C3"/>
    <w:rsid w:val="006C660C"/>
    <w:rsid w:val="006C6632"/>
    <w:rsid w:val="006C6638"/>
    <w:rsid w:val="006C6684"/>
    <w:rsid w:val="006C66F5"/>
    <w:rsid w:val="006C67BE"/>
    <w:rsid w:val="006C6841"/>
    <w:rsid w:val="006C6935"/>
    <w:rsid w:val="006C6967"/>
    <w:rsid w:val="006C69B9"/>
    <w:rsid w:val="006C69CD"/>
    <w:rsid w:val="006C6A00"/>
    <w:rsid w:val="006C6A63"/>
    <w:rsid w:val="006C6B2B"/>
    <w:rsid w:val="006C6B92"/>
    <w:rsid w:val="006C6BC8"/>
    <w:rsid w:val="006C6BCD"/>
    <w:rsid w:val="006C6BF3"/>
    <w:rsid w:val="006C6D34"/>
    <w:rsid w:val="006C6E64"/>
    <w:rsid w:val="006C6F7B"/>
    <w:rsid w:val="006C6F8D"/>
    <w:rsid w:val="006C7066"/>
    <w:rsid w:val="006C712A"/>
    <w:rsid w:val="006C7282"/>
    <w:rsid w:val="006C72F4"/>
    <w:rsid w:val="006C7305"/>
    <w:rsid w:val="006C733F"/>
    <w:rsid w:val="006C7349"/>
    <w:rsid w:val="006C7418"/>
    <w:rsid w:val="006C7556"/>
    <w:rsid w:val="006C7578"/>
    <w:rsid w:val="006C771C"/>
    <w:rsid w:val="006C7778"/>
    <w:rsid w:val="006C7895"/>
    <w:rsid w:val="006C78A6"/>
    <w:rsid w:val="006C78DE"/>
    <w:rsid w:val="006C7920"/>
    <w:rsid w:val="006C7958"/>
    <w:rsid w:val="006C796E"/>
    <w:rsid w:val="006C79AA"/>
    <w:rsid w:val="006C79E1"/>
    <w:rsid w:val="006C7A20"/>
    <w:rsid w:val="006C7AB2"/>
    <w:rsid w:val="006C7AB4"/>
    <w:rsid w:val="006C7B50"/>
    <w:rsid w:val="006C7B83"/>
    <w:rsid w:val="006C7C1E"/>
    <w:rsid w:val="006C7CE2"/>
    <w:rsid w:val="006C7D0A"/>
    <w:rsid w:val="006C7D26"/>
    <w:rsid w:val="006C7DB8"/>
    <w:rsid w:val="006C7DC9"/>
    <w:rsid w:val="006C7E3F"/>
    <w:rsid w:val="006C7F03"/>
    <w:rsid w:val="006C7FCF"/>
    <w:rsid w:val="006C7FE6"/>
    <w:rsid w:val="006D006B"/>
    <w:rsid w:val="006D009C"/>
    <w:rsid w:val="006D00C8"/>
    <w:rsid w:val="006D01DA"/>
    <w:rsid w:val="006D0294"/>
    <w:rsid w:val="006D038C"/>
    <w:rsid w:val="006D03C8"/>
    <w:rsid w:val="006D042B"/>
    <w:rsid w:val="006D0585"/>
    <w:rsid w:val="006D0631"/>
    <w:rsid w:val="006D0748"/>
    <w:rsid w:val="006D074A"/>
    <w:rsid w:val="006D076A"/>
    <w:rsid w:val="006D0773"/>
    <w:rsid w:val="006D079C"/>
    <w:rsid w:val="006D07B6"/>
    <w:rsid w:val="006D07CA"/>
    <w:rsid w:val="006D0829"/>
    <w:rsid w:val="006D0891"/>
    <w:rsid w:val="006D08C8"/>
    <w:rsid w:val="006D08CA"/>
    <w:rsid w:val="006D096D"/>
    <w:rsid w:val="006D09E0"/>
    <w:rsid w:val="006D0AE3"/>
    <w:rsid w:val="006D0B09"/>
    <w:rsid w:val="006D0B36"/>
    <w:rsid w:val="006D0C2C"/>
    <w:rsid w:val="006D0CC8"/>
    <w:rsid w:val="006D0D9A"/>
    <w:rsid w:val="006D0E56"/>
    <w:rsid w:val="006D0E99"/>
    <w:rsid w:val="006D1033"/>
    <w:rsid w:val="006D105C"/>
    <w:rsid w:val="006D10B7"/>
    <w:rsid w:val="006D11C9"/>
    <w:rsid w:val="006D1215"/>
    <w:rsid w:val="006D123B"/>
    <w:rsid w:val="006D125D"/>
    <w:rsid w:val="006D12A5"/>
    <w:rsid w:val="006D12B0"/>
    <w:rsid w:val="006D131B"/>
    <w:rsid w:val="006D13DF"/>
    <w:rsid w:val="006D14FB"/>
    <w:rsid w:val="006D1504"/>
    <w:rsid w:val="006D157C"/>
    <w:rsid w:val="006D1594"/>
    <w:rsid w:val="006D164E"/>
    <w:rsid w:val="006D1655"/>
    <w:rsid w:val="006D1662"/>
    <w:rsid w:val="006D1784"/>
    <w:rsid w:val="006D17B9"/>
    <w:rsid w:val="006D17C3"/>
    <w:rsid w:val="006D194E"/>
    <w:rsid w:val="006D19C0"/>
    <w:rsid w:val="006D19D5"/>
    <w:rsid w:val="006D1AAF"/>
    <w:rsid w:val="006D1ADF"/>
    <w:rsid w:val="006D1B12"/>
    <w:rsid w:val="006D1B34"/>
    <w:rsid w:val="006D1B4D"/>
    <w:rsid w:val="006D1CC2"/>
    <w:rsid w:val="006D1DB7"/>
    <w:rsid w:val="006D1FC7"/>
    <w:rsid w:val="006D2009"/>
    <w:rsid w:val="006D2027"/>
    <w:rsid w:val="006D20E6"/>
    <w:rsid w:val="006D211B"/>
    <w:rsid w:val="006D2185"/>
    <w:rsid w:val="006D2218"/>
    <w:rsid w:val="006D2254"/>
    <w:rsid w:val="006D22F6"/>
    <w:rsid w:val="006D2400"/>
    <w:rsid w:val="006D248C"/>
    <w:rsid w:val="006D24A6"/>
    <w:rsid w:val="006D251D"/>
    <w:rsid w:val="006D25AC"/>
    <w:rsid w:val="006D2805"/>
    <w:rsid w:val="006D2826"/>
    <w:rsid w:val="006D287B"/>
    <w:rsid w:val="006D287F"/>
    <w:rsid w:val="006D291D"/>
    <w:rsid w:val="006D2955"/>
    <w:rsid w:val="006D2978"/>
    <w:rsid w:val="006D2AD1"/>
    <w:rsid w:val="006D2BA2"/>
    <w:rsid w:val="006D2BD3"/>
    <w:rsid w:val="006D2C50"/>
    <w:rsid w:val="006D2D7C"/>
    <w:rsid w:val="006D2D83"/>
    <w:rsid w:val="006D2DB8"/>
    <w:rsid w:val="006D2DC0"/>
    <w:rsid w:val="006D2DEF"/>
    <w:rsid w:val="006D307C"/>
    <w:rsid w:val="006D3086"/>
    <w:rsid w:val="006D30E7"/>
    <w:rsid w:val="006D30F5"/>
    <w:rsid w:val="006D3100"/>
    <w:rsid w:val="006D3167"/>
    <w:rsid w:val="006D3195"/>
    <w:rsid w:val="006D31A6"/>
    <w:rsid w:val="006D31F5"/>
    <w:rsid w:val="006D3257"/>
    <w:rsid w:val="006D328E"/>
    <w:rsid w:val="006D33B7"/>
    <w:rsid w:val="006D33FB"/>
    <w:rsid w:val="006D348E"/>
    <w:rsid w:val="006D34B8"/>
    <w:rsid w:val="006D35EF"/>
    <w:rsid w:val="006D39B2"/>
    <w:rsid w:val="006D39C9"/>
    <w:rsid w:val="006D3AB2"/>
    <w:rsid w:val="006D3B1D"/>
    <w:rsid w:val="006D3B41"/>
    <w:rsid w:val="006D3B46"/>
    <w:rsid w:val="006D3B6A"/>
    <w:rsid w:val="006D3C03"/>
    <w:rsid w:val="006D3C67"/>
    <w:rsid w:val="006D3D06"/>
    <w:rsid w:val="006D3EB1"/>
    <w:rsid w:val="006D3EDB"/>
    <w:rsid w:val="006D4004"/>
    <w:rsid w:val="006D4005"/>
    <w:rsid w:val="006D403C"/>
    <w:rsid w:val="006D41D8"/>
    <w:rsid w:val="006D423F"/>
    <w:rsid w:val="006D428B"/>
    <w:rsid w:val="006D4319"/>
    <w:rsid w:val="006D4358"/>
    <w:rsid w:val="006D4415"/>
    <w:rsid w:val="006D443B"/>
    <w:rsid w:val="006D454C"/>
    <w:rsid w:val="006D4556"/>
    <w:rsid w:val="006D4591"/>
    <w:rsid w:val="006D4642"/>
    <w:rsid w:val="006D4678"/>
    <w:rsid w:val="006D46CA"/>
    <w:rsid w:val="006D472B"/>
    <w:rsid w:val="006D4797"/>
    <w:rsid w:val="006D486E"/>
    <w:rsid w:val="006D48E7"/>
    <w:rsid w:val="006D4947"/>
    <w:rsid w:val="006D496B"/>
    <w:rsid w:val="006D4AB3"/>
    <w:rsid w:val="006D4BBF"/>
    <w:rsid w:val="006D4BDE"/>
    <w:rsid w:val="006D4C4C"/>
    <w:rsid w:val="006D4EE6"/>
    <w:rsid w:val="006D4F96"/>
    <w:rsid w:val="006D4FCF"/>
    <w:rsid w:val="006D50F2"/>
    <w:rsid w:val="006D5197"/>
    <w:rsid w:val="006D51DA"/>
    <w:rsid w:val="006D520F"/>
    <w:rsid w:val="006D527A"/>
    <w:rsid w:val="006D527B"/>
    <w:rsid w:val="006D5355"/>
    <w:rsid w:val="006D5576"/>
    <w:rsid w:val="006D5578"/>
    <w:rsid w:val="006D5672"/>
    <w:rsid w:val="006D56D9"/>
    <w:rsid w:val="006D5710"/>
    <w:rsid w:val="006D5743"/>
    <w:rsid w:val="006D5756"/>
    <w:rsid w:val="006D57C0"/>
    <w:rsid w:val="006D57D0"/>
    <w:rsid w:val="006D587B"/>
    <w:rsid w:val="006D58A8"/>
    <w:rsid w:val="006D58D2"/>
    <w:rsid w:val="006D58E4"/>
    <w:rsid w:val="006D5A57"/>
    <w:rsid w:val="006D5ABD"/>
    <w:rsid w:val="006D5AC9"/>
    <w:rsid w:val="006D5BD9"/>
    <w:rsid w:val="006D5C04"/>
    <w:rsid w:val="006D5D52"/>
    <w:rsid w:val="006D5DE1"/>
    <w:rsid w:val="006D5E05"/>
    <w:rsid w:val="006D5E60"/>
    <w:rsid w:val="006D5E92"/>
    <w:rsid w:val="006D5F16"/>
    <w:rsid w:val="006D5F19"/>
    <w:rsid w:val="006D5FF3"/>
    <w:rsid w:val="006D6050"/>
    <w:rsid w:val="006D6108"/>
    <w:rsid w:val="006D6203"/>
    <w:rsid w:val="006D6204"/>
    <w:rsid w:val="006D6209"/>
    <w:rsid w:val="006D6241"/>
    <w:rsid w:val="006D6245"/>
    <w:rsid w:val="006D63AD"/>
    <w:rsid w:val="006D63C9"/>
    <w:rsid w:val="006D63DA"/>
    <w:rsid w:val="006D643D"/>
    <w:rsid w:val="006D647A"/>
    <w:rsid w:val="006D652D"/>
    <w:rsid w:val="006D6611"/>
    <w:rsid w:val="006D66BE"/>
    <w:rsid w:val="006D66D1"/>
    <w:rsid w:val="006D66EB"/>
    <w:rsid w:val="006D6730"/>
    <w:rsid w:val="006D6764"/>
    <w:rsid w:val="006D67D9"/>
    <w:rsid w:val="006D6949"/>
    <w:rsid w:val="006D6966"/>
    <w:rsid w:val="006D6A3F"/>
    <w:rsid w:val="006D6A5A"/>
    <w:rsid w:val="006D6BA2"/>
    <w:rsid w:val="006D6C93"/>
    <w:rsid w:val="006D6D63"/>
    <w:rsid w:val="006D6F6E"/>
    <w:rsid w:val="006D7039"/>
    <w:rsid w:val="006D7075"/>
    <w:rsid w:val="006D712A"/>
    <w:rsid w:val="006D71D4"/>
    <w:rsid w:val="006D7243"/>
    <w:rsid w:val="006D72C1"/>
    <w:rsid w:val="006D72FA"/>
    <w:rsid w:val="006D736E"/>
    <w:rsid w:val="006D7433"/>
    <w:rsid w:val="006D74C3"/>
    <w:rsid w:val="006D74D1"/>
    <w:rsid w:val="006D74DB"/>
    <w:rsid w:val="006D74E1"/>
    <w:rsid w:val="006D74F0"/>
    <w:rsid w:val="006D7526"/>
    <w:rsid w:val="006D7573"/>
    <w:rsid w:val="006D76D4"/>
    <w:rsid w:val="006D7775"/>
    <w:rsid w:val="006D77E4"/>
    <w:rsid w:val="006D7826"/>
    <w:rsid w:val="006D78B5"/>
    <w:rsid w:val="006D7949"/>
    <w:rsid w:val="006D7AD6"/>
    <w:rsid w:val="006D7AE8"/>
    <w:rsid w:val="006D7C5F"/>
    <w:rsid w:val="006D7C99"/>
    <w:rsid w:val="006D7CC7"/>
    <w:rsid w:val="006D7DB6"/>
    <w:rsid w:val="006D7E65"/>
    <w:rsid w:val="006D7E7C"/>
    <w:rsid w:val="006D7EFD"/>
    <w:rsid w:val="006D7F5A"/>
    <w:rsid w:val="006D7FA4"/>
    <w:rsid w:val="006E0014"/>
    <w:rsid w:val="006E0082"/>
    <w:rsid w:val="006E00E2"/>
    <w:rsid w:val="006E01C2"/>
    <w:rsid w:val="006E02E1"/>
    <w:rsid w:val="006E033C"/>
    <w:rsid w:val="006E0340"/>
    <w:rsid w:val="006E03E6"/>
    <w:rsid w:val="006E049B"/>
    <w:rsid w:val="006E04A4"/>
    <w:rsid w:val="006E06F9"/>
    <w:rsid w:val="006E07A9"/>
    <w:rsid w:val="006E07D2"/>
    <w:rsid w:val="006E083C"/>
    <w:rsid w:val="006E090E"/>
    <w:rsid w:val="006E0923"/>
    <w:rsid w:val="006E0A41"/>
    <w:rsid w:val="006E0A71"/>
    <w:rsid w:val="006E0A86"/>
    <w:rsid w:val="006E0AC8"/>
    <w:rsid w:val="006E0ACB"/>
    <w:rsid w:val="006E0AFE"/>
    <w:rsid w:val="006E0BDE"/>
    <w:rsid w:val="006E0C62"/>
    <w:rsid w:val="006E0C68"/>
    <w:rsid w:val="006E0CA0"/>
    <w:rsid w:val="006E0D4C"/>
    <w:rsid w:val="006E0D91"/>
    <w:rsid w:val="006E0DA9"/>
    <w:rsid w:val="006E0DC4"/>
    <w:rsid w:val="006E0DEB"/>
    <w:rsid w:val="006E0E81"/>
    <w:rsid w:val="006E0EA6"/>
    <w:rsid w:val="006E0F2F"/>
    <w:rsid w:val="006E0F79"/>
    <w:rsid w:val="006E0F8A"/>
    <w:rsid w:val="006E1009"/>
    <w:rsid w:val="006E1026"/>
    <w:rsid w:val="006E1029"/>
    <w:rsid w:val="006E106E"/>
    <w:rsid w:val="006E107F"/>
    <w:rsid w:val="006E1144"/>
    <w:rsid w:val="006E11A7"/>
    <w:rsid w:val="006E1238"/>
    <w:rsid w:val="006E1315"/>
    <w:rsid w:val="006E1359"/>
    <w:rsid w:val="006E139D"/>
    <w:rsid w:val="006E140F"/>
    <w:rsid w:val="006E141C"/>
    <w:rsid w:val="006E146B"/>
    <w:rsid w:val="006E147B"/>
    <w:rsid w:val="006E15CA"/>
    <w:rsid w:val="006E1654"/>
    <w:rsid w:val="006E165C"/>
    <w:rsid w:val="006E16E8"/>
    <w:rsid w:val="006E1706"/>
    <w:rsid w:val="006E180E"/>
    <w:rsid w:val="006E1956"/>
    <w:rsid w:val="006E1A37"/>
    <w:rsid w:val="006E1B56"/>
    <w:rsid w:val="006E1B7F"/>
    <w:rsid w:val="006E1BA5"/>
    <w:rsid w:val="006E1BB1"/>
    <w:rsid w:val="006E1BBE"/>
    <w:rsid w:val="006E1BD7"/>
    <w:rsid w:val="006E1C30"/>
    <w:rsid w:val="006E1C4F"/>
    <w:rsid w:val="006E1C9B"/>
    <w:rsid w:val="006E1D79"/>
    <w:rsid w:val="006E1DBD"/>
    <w:rsid w:val="006E1EB9"/>
    <w:rsid w:val="006E1F65"/>
    <w:rsid w:val="006E1F68"/>
    <w:rsid w:val="006E2080"/>
    <w:rsid w:val="006E2189"/>
    <w:rsid w:val="006E21D3"/>
    <w:rsid w:val="006E22CC"/>
    <w:rsid w:val="006E22D9"/>
    <w:rsid w:val="006E23AA"/>
    <w:rsid w:val="006E2408"/>
    <w:rsid w:val="006E241F"/>
    <w:rsid w:val="006E2463"/>
    <w:rsid w:val="006E2797"/>
    <w:rsid w:val="006E27B9"/>
    <w:rsid w:val="006E27E1"/>
    <w:rsid w:val="006E2833"/>
    <w:rsid w:val="006E288D"/>
    <w:rsid w:val="006E2938"/>
    <w:rsid w:val="006E2AC7"/>
    <w:rsid w:val="006E2B1D"/>
    <w:rsid w:val="006E2B53"/>
    <w:rsid w:val="006E2B9E"/>
    <w:rsid w:val="006E2BF7"/>
    <w:rsid w:val="006E2C2D"/>
    <w:rsid w:val="006E2CD9"/>
    <w:rsid w:val="006E2CF3"/>
    <w:rsid w:val="006E2D33"/>
    <w:rsid w:val="006E2E95"/>
    <w:rsid w:val="006E2F0E"/>
    <w:rsid w:val="006E2F70"/>
    <w:rsid w:val="006E2FB5"/>
    <w:rsid w:val="006E301E"/>
    <w:rsid w:val="006E30CA"/>
    <w:rsid w:val="006E313D"/>
    <w:rsid w:val="006E326C"/>
    <w:rsid w:val="006E3299"/>
    <w:rsid w:val="006E32DB"/>
    <w:rsid w:val="006E3551"/>
    <w:rsid w:val="006E3560"/>
    <w:rsid w:val="006E361F"/>
    <w:rsid w:val="006E378C"/>
    <w:rsid w:val="006E37E1"/>
    <w:rsid w:val="006E3851"/>
    <w:rsid w:val="006E3879"/>
    <w:rsid w:val="006E390F"/>
    <w:rsid w:val="006E3975"/>
    <w:rsid w:val="006E39C1"/>
    <w:rsid w:val="006E3A35"/>
    <w:rsid w:val="006E3B23"/>
    <w:rsid w:val="006E3BB3"/>
    <w:rsid w:val="006E3BF3"/>
    <w:rsid w:val="006E3CB2"/>
    <w:rsid w:val="006E3D0E"/>
    <w:rsid w:val="006E3DA8"/>
    <w:rsid w:val="006E3DD3"/>
    <w:rsid w:val="006E3E06"/>
    <w:rsid w:val="006E40C6"/>
    <w:rsid w:val="006E4173"/>
    <w:rsid w:val="006E4230"/>
    <w:rsid w:val="006E425D"/>
    <w:rsid w:val="006E4267"/>
    <w:rsid w:val="006E4374"/>
    <w:rsid w:val="006E43C7"/>
    <w:rsid w:val="006E43F7"/>
    <w:rsid w:val="006E4402"/>
    <w:rsid w:val="006E443F"/>
    <w:rsid w:val="006E444B"/>
    <w:rsid w:val="006E44C2"/>
    <w:rsid w:val="006E4659"/>
    <w:rsid w:val="006E46EA"/>
    <w:rsid w:val="006E475D"/>
    <w:rsid w:val="006E483B"/>
    <w:rsid w:val="006E4967"/>
    <w:rsid w:val="006E49C2"/>
    <w:rsid w:val="006E49CA"/>
    <w:rsid w:val="006E49D6"/>
    <w:rsid w:val="006E49D9"/>
    <w:rsid w:val="006E49DA"/>
    <w:rsid w:val="006E49EC"/>
    <w:rsid w:val="006E4AAB"/>
    <w:rsid w:val="006E4B10"/>
    <w:rsid w:val="006E4E3F"/>
    <w:rsid w:val="006E4E6C"/>
    <w:rsid w:val="006E4ED1"/>
    <w:rsid w:val="006E4F12"/>
    <w:rsid w:val="006E5013"/>
    <w:rsid w:val="006E51EF"/>
    <w:rsid w:val="006E5200"/>
    <w:rsid w:val="006E5405"/>
    <w:rsid w:val="006E54A1"/>
    <w:rsid w:val="006E54C6"/>
    <w:rsid w:val="006E55BB"/>
    <w:rsid w:val="006E5650"/>
    <w:rsid w:val="006E568C"/>
    <w:rsid w:val="006E5690"/>
    <w:rsid w:val="006E5761"/>
    <w:rsid w:val="006E5941"/>
    <w:rsid w:val="006E59AA"/>
    <w:rsid w:val="006E59C7"/>
    <w:rsid w:val="006E5A99"/>
    <w:rsid w:val="006E5A9A"/>
    <w:rsid w:val="006E5B78"/>
    <w:rsid w:val="006E5BC2"/>
    <w:rsid w:val="006E5C39"/>
    <w:rsid w:val="006E5C3D"/>
    <w:rsid w:val="006E5C54"/>
    <w:rsid w:val="006E5CA6"/>
    <w:rsid w:val="006E5D4A"/>
    <w:rsid w:val="006E5DA2"/>
    <w:rsid w:val="006E5DAA"/>
    <w:rsid w:val="006E5E16"/>
    <w:rsid w:val="006E5EE2"/>
    <w:rsid w:val="006E5EEE"/>
    <w:rsid w:val="006E607F"/>
    <w:rsid w:val="006E625F"/>
    <w:rsid w:val="006E6351"/>
    <w:rsid w:val="006E638B"/>
    <w:rsid w:val="006E63F8"/>
    <w:rsid w:val="006E6413"/>
    <w:rsid w:val="006E6447"/>
    <w:rsid w:val="006E64CB"/>
    <w:rsid w:val="006E64DD"/>
    <w:rsid w:val="006E6518"/>
    <w:rsid w:val="006E662E"/>
    <w:rsid w:val="006E6631"/>
    <w:rsid w:val="006E66D3"/>
    <w:rsid w:val="006E67F1"/>
    <w:rsid w:val="006E6829"/>
    <w:rsid w:val="006E68BB"/>
    <w:rsid w:val="006E68D5"/>
    <w:rsid w:val="006E692C"/>
    <w:rsid w:val="006E694C"/>
    <w:rsid w:val="006E6966"/>
    <w:rsid w:val="006E6983"/>
    <w:rsid w:val="006E698D"/>
    <w:rsid w:val="006E6AD7"/>
    <w:rsid w:val="006E6B22"/>
    <w:rsid w:val="006E6B63"/>
    <w:rsid w:val="006E6BBF"/>
    <w:rsid w:val="006E6C0C"/>
    <w:rsid w:val="006E6D02"/>
    <w:rsid w:val="006E6D9B"/>
    <w:rsid w:val="006E6DCA"/>
    <w:rsid w:val="006E6DDF"/>
    <w:rsid w:val="006E6EBB"/>
    <w:rsid w:val="006E6F2D"/>
    <w:rsid w:val="006E6F90"/>
    <w:rsid w:val="006E7006"/>
    <w:rsid w:val="006E70D2"/>
    <w:rsid w:val="006E7145"/>
    <w:rsid w:val="006E7155"/>
    <w:rsid w:val="006E7162"/>
    <w:rsid w:val="006E719A"/>
    <w:rsid w:val="006E72B4"/>
    <w:rsid w:val="006E7364"/>
    <w:rsid w:val="006E737B"/>
    <w:rsid w:val="006E7393"/>
    <w:rsid w:val="006E75AE"/>
    <w:rsid w:val="006E75D8"/>
    <w:rsid w:val="006E7668"/>
    <w:rsid w:val="006E7791"/>
    <w:rsid w:val="006E78A0"/>
    <w:rsid w:val="006E792D"/>
    <w:rsid w:val="006E79B6"/>
    <w:rsid w:val="006E79D9"/>
    <w:rsid w:val="006E7A05"/>
    <w:rsid w:val="006E7A36"/>
    <w:rsid w:val="006E7AD0"/>
    <w:rsid w:val="006E7AED"/>
    <w:rsid w:val="006E7BC8"/>
    <w:rsid w:val="006E7C04"/>
    <w:rsid w:val="006E7C2E"/>
    <w:rsid w:val="006E7C31"/>
    <w:rsid w:val="006E7CDD"/>
    <w:rsid w:val="006E7CEE"/>
    <w:rsid w:val="006E7E5F"/>
    <w:rsid w:val="006E7EFF"/>
    <w:rsid w:val="006E7FAB"/>
    <w:rsid w:val="006F00E7"/>
    <w:rsid w:val="006F0100"/>
    <w:rsid w:val="006F0101"/>
    <w:rsid w:val="006F01FF"/>
    <w:rsid w:val="006F021E"/>
    <w:rsid w:val="006F02AD"/>
    <w:rsid w:val="006F02B6"/>
    <w:rsid w:val="006F02CD"/>
    <w:rsid w:val="006F030E"/>
    <w:rsid w:val="006F031D"/>
    <w:rsid w:val="006F04A2"/>
    <w:rsid w:val="006F04B1"/>
    <w:rsid w:val="006F05CF"/>
    <w:rsid w:val="006F05DE"/>
    <w:rsid w:val="006F07AA"/>
    <w:rsid w:val="006F07D0"/>
    <w:rsid w:val="006F095F"/>
    <w:rsid w:val="006F0AEB"/>
    <w:rsid w:val="006F0C25"/>
    <w:rsid w:val="006F0C63"/>
    <w:rsid w:val="006F0D1B"/>
    <w:rsid w:val="006F0F6B"/>
    <w:rsid w:val="006F0F6E"/>
    <w:rsid w:val="006F0FBB"/>
    <w:rsid w:val="006F1006"/>
    <w:rsid w:val="006F1069"/>
    <w:rsid w:val="006F10BE"/>
    <w:rsid w:val="006F10F9"/>
    <w:rsid w:val="006F11B5"/>
    <w:rsid w:val="006F126C"/>
    <w:rsid w:val="006F131E"/>
    <w:rsid w:val="006F149D"/>
    <w:rsid w:val="006F14A3"/>
    <w:rsid w:val="006F1569"/>
    <w:rsid w:val="006F15B9"/>
    <w:rsid w:val="006F15E4"/>
    <w:rsid w:val="006F1807"/>
    <w:rsid w:val="006F182D"/>
    <w:rsid w:val="006F1838"/>
    <w:rsid w:val="006F1927"/>
    <w:rsid w:val="006F1969"/>
    <w:rsid w:val="006F19DC"/>
    <w:rsid w:val="006F19EE"/>
    <w:rsid w:val="006F1A61"/>
    <w:rsid w:val="006F1B22"/>
    <w:rsid w:val="006F1B39"/>
    <w:rsid w:val="006F1BA4"/>
    <w:rsid w:val="006F1C07"/>
    <w:rsid w:val="006F1C30"/>
    <w:rsid w:val="006F1CB2"/>
    <w:rsid w:val="006F1DE2"/>
    <w:rsid w:val="006F1ECC"/>
    <w:rsid w:val="006F1F65"/>
    <w:rsid w:val="006F21BC"/>
    <w:rsid w:val="006F21DC"/>
    <w:rsid w:val="006F2259"/>
    <w:rsid w:val="006F22E7"/>
    <w:rsid w:val="006F239F"/>
    <w:rsid w:val="006F23E1"/>
    <w:rsid w:val="006F244D"/>
    <w:rsid w:val="006F2595"/>
    <w:rsid w:val="006F25EE"/>
    <w:rsid w:val="006F2756"/>
    <w:rsid w:val="006F2783"/>
    <w:rsid w:val="006F2793"/>
    <w:rsid w:val="006F2A76"/>
    <w:rsid w:val="006F2BDE"/>
    <w:rsid w:val="006F2C15"/>
    <w:rsid w:val="006F2D7E"/>
    <w:rsid w:val="006F2E22"/>
    <w:rsid w:val="006F2ECE"/>
    <w:rsid w:val="006F2F0F"/>
    <w:rsid w:val="006F2F4F"/>
    <w:rsid w:val="006F2F77"/>
    <w:rsid w:val="006F2F7F"/>
    <w:rsid w:val="006F2F8F"/>
    <w:rsid w:val="006F2FDA"/>
    <w:rsid w:val="006F2FE5"/>
    <w:rsid w:val="006F3136"/>
    <w:rsid w:val="006F32BA"/>
    <w:rsid w:val="006F32CC"/>
    <w:rsid w:val="006F32E1"/>
    <w:rsid w:val="006F3335"/>
    <w:rsid w:val="006F335E"/>
    <w:rsid w:val="006F33D0"/>
    <w:rsid w:val="006F3400"/>
    <w:rsid w:val="006F343C"/>
    <w:rsid w:val="006F3460"/>
    <w:rsid w:val="006F34AD"/>
    <w:rsid w:val="006F34FE"/>
    <w:rsid w:val="006F3559"/>
    <w:rsid w:val="006F3566"/>
    <w:rsid w:val="006F3615"/>
    <w:rsid w:val="006F365B"/>
    <w:rsid w:val="006F3679"/>
    <w:rsid w:val="006F38A1"/>
    <w:rsid w:val="006F396F"/>
    <w:rsid w:val="006F3A08"/>
    <w:rsid w:val="006F3A1A"/>
    <w:rsid w:val="006F3AE0"/>
    <w:rsid w:val="006F3BB3"/>
    <w:rsid w:val="006F3BBE"/>
    <w:rsid w:val="006F3CAC"/>
    <w:rsid w:val="006F3CF6"/>
    <w:rsid w:val="006F3DB9"/>
    <w:rsid w:val="006F3DEE"/>
    <w:rsid w:val="006F3E36"/>
    <w:rsid w:val="006F3E8F"/>
    <w:rsid w:val="006F3E92"/>
    <w:rsid w:val="006F3FA3"/>
    <w:rsid w:val="006F400B"/>
    <w:rsid w:val="006F40C9"/>
    <w:rsid w:val="006F40FD"/>
    <w:rsid w:val="006F4276"/>
    <w:rsid w:val="006F4339"/>
    <w:rsid w:val="006F4347"/>
    <w:rsid w:val="006F4373"/>
    <w:rsid w:val="006F4513"/>
    <w:rsid w:val="006F4530"/>
    <w:rsid w:val="006F459F"/>
    <w:rsid w:val="006F45B2"/>
    <w:rsid w:val="006F461C"/>
    <w:rsid w:val="006F4655"/>
    <w:rsid w:val="006F4681"/>
    <w:rsid w:val="006F46B3"/>
    <w:rsid w:val="006F4774"/>
    <w:rsid w:val="006F4853"/>
    <w:rsid w:val="006F48BA"/>
    <w:rsid w:val="006F491B"/>
    <w:rsid w:val="006F49BD"/>
    <w:rsid w:val="006F4A2C"/>
    <w:rsid w:val="006F4A5F"/>
    <w:rsid w:val="006F4A81"/>
    <w:rsid w:val="006F4ACD"/>
    <w:rsid w:val="006F4AF9"/>
    <w:rsid w:val="006F4C5A"/>
    <w:rsid w:val="006F4D51"/>
    <w:rsid w:val="006F4DF9"/>
    <w:rsid w:val="006F4E22"/>
    <w:rsid w:val="006F4EC3"/>
    <w:rsid w:val="006F4F13"/>
    <w:rsid w:val="006F4F20"/>
    <w:rsid w:val="006F4FD1"/>
    <w:rsid w:val="006F4FD6"/>
    <w:rsid w:val="006F4FDE"/>
    <w:rsid w:val="006F5149"/>
    <w:rsid w:val="006F516D"/>
    <w:rsid w:val="006F525D"/>
    <w:rsid w:val="006F538B"/>
    <w:rsid w:val="006F54EB"/>
    <w:rsid w:val="006F54FC"/>
    <w:rsid w:val="006F563E"/>
    <w:rsid w:val="006F567D"/>
    <w:rsid w:val="006F56CD"/>
    <w:rsid w:val="006F5740"/>
    <w:rsid w:val="006F58CC"/>
    <w:rsid w:val="006F5925"/>
    <w:rsid w:val="006F5929"/>
    <w:rsid w:val="006F5A0A"/>
    <w:rsid w:val="006F5A61"/>
    <w:rsid w:val="006F5A6E"/>
    <w:rsid w:val="006F5B49"/>
    <w:rsid w:val="006F5BAE"/>
    <w:rsid w:val="006F5BDC"/>
    <w:rsid w:val="006F5C66"/>
    <w:rsid w:val="006F5CC1"/>
    <w:rsid w:val="006F5DAE"/>
    <w:rsid w:val="006F5DF2"/>
    <w:rsid w:val="006F5DF6"/>
    <w:rsid w:val="006F5F65"/>
    <w:rsid w:val="006F5F80"/>
    <w:rsid w:val="006F6022"/>
    <w:rsid w:val="006F6238"/>
    <w:rsid w:val="006F6338"/>
    <w:rsid w:val="006F6441"/>
    <w:rsid w:val="006F645B"/>
    <w:rsid w:val="006F659A"/>
    <w:rsid w:val="006F65E1"/>
    <w:rsid w:val="006F661D"/>
    <w:rsid w:val="006F6768"/>
    <w:rsid w:val="006F6770"/>
    <w:rsid w:val="006F677C"/>
    <w:rsid w:val="006F67A5"/>
    <w:rsid w:val="006F6938"/>
    <w:rsid w:val="006F6944"/>
    <w:rsid w:val="006F69B5"/>
    <w:rsid w:val="006F6B3F"/>
    <w:rsid w:val="006F6B47"/>
    <w:rsid w:val="006F6B7A"/>
    <w:rsid w:val="006F6B98"/>
    <w:rsid w:val="006F6C13"/>
    <w:rsid w:val="006F6CEA"/>
    <w:rsid w:val="006F6CEF"/>
    <w:rsid w:val="006F6CF4"/>
    <w:rsid w:val="006F6D54"/>
    <w:rsid w:val="006F6D93"/>
    <w:rsid w:val="006F6EA9"/>
    <w:rsid w:val="006F6F7A"/>
    <w:rsid w:val="006F7002"/>
    <w:rsid w:val="006F72CA"/>
    <w:rsid w:val="006F72F2"/>
    <w:rsid w:val="006F7316"/>
    <w:rsid w:val="006F737B"/>
    <w:rsid w:val="006F73BD"/>
    <w:rsid w:val="006F73E1"/>
    <w:rsid w:val="006F7595"/>
    <w:rsid w:val="006F75CF"/>
    <w:rsid w:val="006F75D3"/>
    <w:rsid w:val="006F762D"/>
    <w:rsid w:val="006F771D"/>
    <w:rsid w:val="006F78E6"/>
    <w:rsid w:val="006F7906"/>
    <w:rsid w:val="006F7A0D"/>
    <w:rsid w:val="006F7B8C"/>
    <w:rsid w:val="006F7CDC"/>
    <w:rsid w:val="006F7DF9"/>
    <w:rsid w:val="006F7E34"/>
    <w:rsid w:val="006F7EB6"/>
    <w:rsid w:val="006F7F19"/>
    <w:rsid w:val="006F7F3E"/>
    <w:rsid w:val="006F7FB9"/>
    <w:rsid w:val="0070008F"/>
    <w:rsid w:val="0070016D"/>
    <w:rsid w:val="00700181"/>
    <w:rsid w:val="007001F9"/>
    <w:rsid w:val="00700345"/>
    <w:rsid w:val="007003AC"/>
    <w:rsid w:val="007003D4"/>
    <w:rsid w:val="00700459"/>
    <w:rsid w:val="00700492"/>
    <w:rsid w:val="0070067C"/>
    <w:rsid w:val="007006CD"/>
    <w:rsid w:val="007007F9"/>
    <w:rsid w:val="007009D4"/>
    <w:rsid w:val="007009DE"/>
    <w:rsid w:val="00700A6D"/>
    <w:rsid w:val="00700B81"/>
    <w:rsid w:val="00700CAC"/>
    <w:rsid w:val="00700D89"/>
    <w:rsid w:val="00700E4B"/>
    <w:rsid w:val="00700E67"/>
    <w:rsid w:val="00700F34"/>
    <w:rsid w:val="00700F4C"/>
    <w:rsid w:val="00700F80"/>
    <w:rsid w:val="00700FB5"/>
    <w:rsid w:val="007010A6"/>
    <w:rsid w:val="00701195"/>
    <w:rsid w:val="007012F7"/>
    <w:rsid w:val="00701306"/>
    <w:rsid w:val="00701381"/>
    <w:rsid w:val="00701489"/>
    <w:rsid w:val="007014B5"/>
    <w:rsid w:val="007014CB"/>
    <w:rsid w:val="00701536"/>
    <w:rsid w:val="0070165F"/>
    <w:rsid w:val="0070167E"/>
    <w:rsid w:val="00701700"/>
    <w:rsid w:val="007018BC"/>
    <w:rsid w:val="007018D0"/>
    <w:rsid w:val="007019BC"/>
    <w:rsid w:val="00701A1E"/>
    <w:rsid w:val="00701B4F"/>
    <w:rsid w:val="00701B5E"/>
    <w:rsid w:val="00701B5F"/>
    <w:rsid w:val="00701B7B"/>
    <w:rsid w:val="00701B88"/>
    <w:rsid w:val="00701BF9"/>
    <w:rsid w:val="00701C0C"/>
    <w:rsid w:val="00701CAB"/>
    <w:rsid w:val="00701D20"/>
    <w:rsid w:val="00701D62"/>
    <w:rsid w:val="00701D6D"/>
    <w:rsid w:val="00701E1B"/>
    <w:rsid w:val="00701E69"/>
    <w:rsid w:val="00701ED9"/>
    <w:rsid w:val="00701FC9"/>
    <w:rsid w:val="00701FEA"/>
    <w:rsid w:val="0070210A"/>
    <w:rsid w:val="0070211D"/>
    <w:rsid w:val="0070211E"/>
    <w:rsid w:val="0070218A"/>
    <w:rsid w:val="007022FC"/>
    <w:rsid w:val="00702364"/>
    <w:rsid w:val="007023D2"/>
    <w:rsid w:val="007023E0"/>
    <w:rsid w:val="0070243F"/>
    <w:rsid w:val="0070245C"/>
    <w:rsid w:val="007024FC"/>
    <w:rsid w:val="007025BE"/>
    <w:rsid w:val="0070263F"/>
    <w:rsid w:val="00702796"/>
    <w:rsid w:val="0070282C"/>
    <w:rsid w:val="007029D4"/>
    <w:rsid w:val="00702A6F"/>
    <w:rsid w:val="00702A7A"/>
    <w:rsid w:val="00702B00"/>
    <w:rsid w:val="00702B95"/>
    <w:rsid w:val="00702C09"/>
    <w:rsid w:val="00702C43"/>
    <w:rsid w:val="00702C71"/>
    <w:rsid w:val="00702C8C"/>
    <w:rsid w:val="00702CBB"/>
    <w:rsid w:val="00702CF7"/>
    <w:rsid w:val="00702CFA"/>
    <w:rsid w:val="00702D2A"/>
    <w:rsid w:val="00702D42"/>
    <w:rsid w:val="00702DB4"/>
    <w:rsid w:val="00702E0F"/>
    <w:rsid w:val="00702E86"/>
    <w:rsid w:val="00702E91"/>
    <w:rsid w:val="00702EC0"/>
    <w:rsid w:val="00702ED0"/>
    <w:rsid w:val="00703016"/>
    <w:rsid w:val="00703034"/>
    <w:rsid w:val="0070312F"/>
    <w:rsid w:val="00703214"/>
    <w:rsid w:val="00703251"/>
    <w:rsid w:val="00703496"/>
    <w:rsid w:val="007034B1"/>
    <w:rsid w:val="007034C0"/>
    <w:rsid w:val="0070350E"/>
    <w:rsid w:val="00703518"/>
    <w:rsid w:val="00703572"/>
    <w:rsid w:val="00703636"/>
    <w:rsid w:val="007036F8"/>
    <w:rsid w:val="00703782"/>
    <w:rsid w:val="0070384F"/>
    <w:rsid w:val="007038C4"/>
    <w:rsid w:val="00703947"/>
    <w:rsid w:val="00703993"/>
    <w:rsid w:val="007039AD"/>
    <w:rsid w:val="00703A38"/>
    <w:rsid w:val="00703A50"/>
    <w:rsid w:val="00703AAD"/>
    <w:rsid w:val="00703B6A"/>
    <w:rsid w:val="00703C09"/>
    <w:rsid w:val="00703C40"/>
    <w:rsid w:val="00703CD9"/>
    <w:rsid w:val="00703DA1"/>
    <w:rsid w:val="00703E2E"/>
    <w:rsid w:val="00703ED0"/>
    <w:rsid w:val="00703EE3"/>
    <w:rsid w:val="00703F2F"/>
    <w:rsid w:val="00703F3A"/>
    <w:rsid w:val="00704048"/>
    <w:rsid w:val="0070412F"/>
    <w:rsid w:val="00704189"/>
    <w:rsid w:val="00704271"/>
    <w:rsid w:val="00704333"/>
    <w:rsid w:val="0070434A"/>
    <w:rsid w:val="007043BE"/>
    <w:rsid w:val="007043C5"/>
    <w:rsid w:val="007043E4"/>
    <w:rsid w:val="00704412"/>
    <w:rsid w:val="00704490"/>
    <w:rsid w:val="00704494"/>
    <w:rsid w:val="00704521"/>
    <w:rsid w:val="007045EB"/>
    <w:rsid w:val="0070466C"/>
    <w:rsid w:val="007046C8"/>
    <w:rsid w:val="0070470E"/>
    <w:rsid w:val="00704746"/>
    <w:rsid w:val="0070474B"/>
    <w:rsid w:val="007047B8"/>
    <w:rsid w:val="0070487F"/>
    <w:rsid w:val="0070488D"/>
    <w:rsid w:val="007048C4"/>
    <w:rsid w:val="00704989"/>
    <w:rsid w:val="00704A44"/>
    <w:rsid w:val="00704A56"/>
    <w:rsid w:val="00704A69"/>
    <w:rsid w:val="00704A98"/>
    <w:rsid w:val="00704AB3"/>
    <w:rsid w:val="00704B56"/>
    <w:rsid w:val="00704BDA"/>
    <w:rsid w:val="00704CC4"/>
    <w:rsid w:val="00704E6B"/>
    <w:rsid w:val="00704F33"/>
    <w:rsid w:val="00704F46"/>
    <w:rsid w:val="00705018"/>
    <w:rsid w:val="00705077"/>
    <w:rsid w:val="007050EF"/>
    <w:rsid w:val="00705143"/>
    <w:rsid w:val="007051A8"/>
    <w:rsid w:val="007051DB"/>
    <w:rsid w:val="00705232"/>
    <w:rsid w:val="00705273"/>
    <w:rsid w:val="00705282"/>
    <w:rsid w:val="00705295"/>
    <w:rsid w:val="007052DF"/>
    <w:rsid w:val="007052F5"/>
    <w:rsid w:val="00705345"/>
    <w:rsid w:val="00705374"/>
    <w:rsid w:val="007053D1"/>
    <w:rsid w:val="007054F0"/>
    <w:rsid w:val="007054F6"/>
    <w:rsid w:val="0070554A"/>
    <w:rsid w:val="007057BE"/>
    <w:rsid w:val="0070580C"/>
    <w:rsid w:val="00705864"/>
    <w:rsid w:val="007058CC"/>
    <w:rsid w:val="007058EF"/>
    <w:rsid w:val="007059DF"/>
    <w:rsid w:val="00705B44"/>
    <w:rsid w:val="00705BFA"/>
    <w:rsid w:val="00705C48"/>
    <w:rsid w:val="00705D21"/>
    <w:rsid w:val="00705E08"/>
    <w:rsid w:val="00705F04"/>
    <w:rsid w:val="0070602A"/>
    <w:rsid w:val="00706057"/>
    <w:rsid w:val="0070606C"/>
    <w:rsid w:val="007061C8"/>
    <w:rsid w:val="00706283"/>
    <w:rsid w:val="007062FE"/>
    <w:rsid w:val="00706321"/>
    <w:rsid w:val="0070638D"/>
    <w:rsid w:val="007064F6"/>
    <w:rsid w:val="00706784"/>
    <w:rsid w:val="0070678F"/>
    <w:rsid w:val="007067A1"/>
    <w:rsid w:val="007067B6"/>
    <w:rsid w:val="007067E1"/>
    <w:rsid w:val="00706818"/>
    <w:rsid w:val="007068C3"/>
    <w:rsid w:val="0070699C"/>
    <w:rsid w:val="00706A92"/>
    <w:rsid w:val="00706CBD"/>
    <w:rsid w:val="00706CD7"/>
    <w:rsid w:val="00706DBD"/>
    <w:rsid w:val="00706DBF"/>
    <w:rsid w:val="00706DF4"/>
    <w:rsid w:val="00706EA8"/>
    <w:rsid w:val="00706F07"/>
    <w:rsid w:val="00706FB9"/>
    <w:rsid w:val="0070704A"/>
    <w:rsid w:val="00707161"/>
    <w:rsid w:val="00707162"/>
    <w:rsid w:val="00707270"/>
    <w:rsid w:val="007072C6"/>
    <w:rsid w:val="00707346"/>
    <w:rsid w:val="007073AC"/>
    <w:rsid w:val="007073CF"/>
    <w:rsid w:val="007073E6"/>
    <w:rsid w:val="007074B0"/>
    <w:rsid w:val="00707615"/>
    <w:rsid w:val="007076CB"/>
    <w:rsid w:val="007076DE"/>
    <w:rsid w:val="00707749"/>
    <w:rsid w:val="00707963"/>
    <w:rsid w:val="007079C9"/>
    <w:rsid w:val="00707A59"/>
    <w:rsid w:val="00707C6C"/>
    <w:rsid w:val="00707D1C"/>
    <w:rsid w:val="00707D42"/>
    <w:rsid w:val="00707D65"/>
    <w:rsid w:val="00707D8C"/>
    <w:rsid w:val="00707D93"/>
    <w:rsid w:val="00707DCF"/>
    <w:rsid w:val="00707EAE"/>
    <w:rsid w:val="00707ECA"/>
    <w:rsid w:val="00707F10"/>
    <w:rsid w:val="00707FBE"/>
    <w:rsid w:val="00707FED"/>
    <w:rsid w:val="0071002B"/>
    <w:rsid w:val="007100CB"/>
    <w:rsid w:val="007100F6"/>
    <w:rsid w:val="007101A5"/>
    <w:rsid w:val="007101C6"/>
    <w:rsid w:val="007101FF"/>
    <w:rsid w:val="00710242"/>
    <w:rsid w:val="00710266"/>
    <w:rsid w:val="00710296"/>
    <w:rsid w:val="00710315"/>
    <w:rsid w:val="0071046B"/>
    <w:rsid w:val="0071049B"/>
    <w:rsid w:val="007104E5"/>
    <w:rsid w:val="007104EE"/>
    <w:rsid w:val="007104EF"/>
    <w:rsid w:val="0071051A"/>
    <w:rsid w:val="0071054F"/>
    <w:rsid w:val="0071057A"/>
    <w:rsid w:val="007105AE"/>
    <w:rsid w:val="0071060A"/>
    <w:rsid w:val="00710611"/>
    <w:rsid w:val="00710673"/>
    <w:rsid w:val="00710731"/>
    <w:rsid w:val="00710783"/>
    <w:rsid w:val="00710808"/>
    <w:rsid w:val="0071086F"/>
    <w:rsid w:val="007108A0"/>
    <w:rsid w:val="007108EE"/>
    <w:rsid w:val="00710968"/>
    <w:rsid w:val="007109A6"/>
    <w:rsid w:val="00710A1E"/>
    <w:rsid w:val="00710AC6"/>
    <w:rsid w:val="00710BD1"/>
    <w:rsid w:val="00710C13"/>
    <w:rsid w:val="00710C1D"/>
    <w:rsid w:val="00710CC4"/>
    <w:rsid w:val="00710CCE"/>
    <w:rsid w:val="00710CD7"/>
    <w:rsid w:val="00710CE3"/>
    <w:rsid w:val="00710CF6"/>
    <w:rsid w:val="00710D18"/>
    <w:rsid w:val="00710D74"/>
    <w:rsid w:val="00710D78"/>
    <w:rsid w:val="00710DFE"/>
    <w:rsid w:val="00710E4E"/>
    <w:rsid w:val="00710F73"/>
    <w:rsid w:val="00710FB0"/>
    <w:rsid w:val="00711072"/>
    <w:rsid w:val="007110A3"/>
    <w:rsid w:val="007110AB"/>
    <w:rsid w:val="007110AC"/>
    <w:rsid w:val="00711108"/>
    <w:rsid w:val="007111E7"/>
    <w:rsid w:val="00711213"/>
    <w:rsid w:val="007112A1"/>
    <w:rsid w:val="007113A9"/>
    <w:rsid w:val="00711451"/>
    <w:rsid w:val="00711515"/>
    <w:rsid w:val="00711529"/>
    <w:rsid w:val="007115D9"/>
    <w:rsid w:val="00711654"/>
    <w:rsid w:val="0071170A"/>
    <w:rsid w:val="00711732"/>
    <w:rsid w:val="0071178A"/>
    <w:rsid w:val="007117BC"/>
    <w:rsid w:val="0071186A"/>
    <w:rsid w:val="00711929"/>
    <w:rsid w:val="0071195B"/>
    <w:rsid w:val="00711996"/>
    <w:rsid w:val="00711A9B"/>
    <w:rsid w:val="00711AD4"/>
    <w:rsid w:val="00711B3B"/>
    <w:rsid w:val="00711BA3"/>
    <w:rsid w:val="00711BC0"/>
    <w:rsid w:val="00711BFC"/>
    <w:rsid w:val="00711C9D"/>
    <w:rsid w:val="00711CDE"/>
    <w:rsid w:val="00711D43"/>
    <w:rsid w:val="00711EA5"/>
    <w:rsid w:val="00711EB5"/>
    <w:rsid w:val="00711F0B"/>
    <w:rsid w:val="00712051"/>
    <w:rsid w:val="007120B7"/>
    <w:rsid w:val="00712177"/>
    <w:rsid w:val="007121D8"/>
    <w:rsid w:val="007122F7"/>
    <w:rsid w:val="007123B3"/>
    <w:rsid w:val="007123FB"/>
    <w:rsid w:val="007124A9"/>
    <w:rsid w:val="0071254B"/>
    <w:rsid w:val="007125A3"/>
    <w:rsid w:val="007125CF"/>
    <w:rsid w:val="007126B4"/>
    <w:rsid w:val="007127CA"/>
    <w:rsid w:val="0071282E"/>
    <w:rsid w:val="0071282F"/>
    <w:rsid w:val="00712866"/>
    <w:rsid w:val="007128C3"/>
    <w:rsid w:val="0071298F"/>
    <w:rsid w:val="00712A50"/>
    <w:rsid w:val="00712AFC"/>
    <w:rsid w:val="00712B14"/>
    <w:rsid w:val="00712B71"/>
    <w:rsid w:val="00712BB7"/>
    <w:rsid w:val="00712BD2"/>
    <w:rsid w:val="00712D50"/>
    <w:rsid w:val="00712E53"/>
    <w:rsid w:val="00712E55"/>
    <w:rsid w:val="00712E63"/>
    <w:rsid w:val="00712EDA"/>
    <w:rsid w:val="00712FF6"/>
    <w:rsid w:val="00713000"/>
    <w:rsid w:val="00713023"/>
    <w:rsid w:val="00713062"/>
    <w:rsid w:val="007130B9"/>
    <w:rsid w:val="00713222"/>
    <w:rsid w:val="0071322C"/>
    <w:rsid w:val="00713296"/>
    <w:rsid w:val="007132B2"/>
    <w:rsid w:val="007132B4"/>
    <w:rsid w:val="0071330B"/>
    <w:rsid w:val="0071341D"/>
    <w:rsid w:val="00713500"/>
    <w:rsid w:val="007135CB"/>
    <w:rsid w:val="0071363E"/>
    <w:rsid w:val="00713722"/>
    <w:rsid w:val="00713729"/>
    <w:rsid w:val="00713779"/>
    <w:rsid w:val="00713989"/>
    <w:rsid w:val="00713AFE"/>
    <w:rsid w:val="00713BAE"/>
    <w:rsid w:val="00713BF9"/>
    <w:rsid w:val="00713C77"/>
    <w:rsid w:val="00713C9C"/>
    <w:rsid w:val="00713D74"/>
    <w:rsid w:val="00713DCF"/>
    <w:rsid w:val="00713E4B"/>
    <w:rsid w:val="00713E9A"/>
    <w:rsid w:val="00713F64"/>
    <w:rsid w:val="00713F6D"/>
    <w:rsid w:val="00713FD8"/>
    <w:rsid w:val="00714004"/>
    <w:rsid w:val="0071406B"/>
    <w:rsid w:val="0071413D"/>
    <w:rsid w:val="00714349"/>
    <w:rsid w:val="00714368"/>
    <w:rsid w:val="00714438"/>
    <w:rsid w:val="0071444F"/>
    <w:rsid w:val="00714488"/>
    <w:rsid w:val="007144FA"/>
    <w:rsid w:val="00714543"/>
    <w:rsid w:val="00714562"/>
    <w:rsid w:val="0071458E"/>
    <w:rsid w:val="007145C9"/>
    <w:rsid w:val="00714631"/>
    <w:rsid w:val="00714648"/>
    <w:rsid w:val="00714677"/>
    <w:rsid w:val="0071468D"/>
    <w:rsid w:val="007147A9"/>
    <w:rsid w:val="007147F7"/>
    <w:rsid w:val="0071484A"/>
    <w:rsid w:val="007148AD"/>
    <w:rsid w:val="007148D5"/>
    <w:rsid w:val="00714A2A"/>
    <w:rsid w:val="00714B6E"/>
    <w:rsid w:val="00714B8B"/>
    <w:rsid w:val="00714BF4"/>
    <w:rsid w:val="00714C46"/>
    <w:rsid w:val="00714C57"/>
    <w:rsid w:val="00714C5D"/>
    <w:rsid w:val="00714CC2"/>
    <w:rsid w:val="00714D01"/>
    <w:rsid w:val="00714D32"/>
    <w:rsid w:val="00714DB2"/>
    <w:rsid w:val="00714DDF"/>
    <w:rsid w:val="00714E0B"/>
    <w:rsid w:val="00714E0C"/>
    <w:rsid w:val="00714E80"/>
    <w:rsid w:val="00714EAB"/>
    <w:rsid w:val="00714F42"/>
    <w:rsid w:val="00714F70"/>
    <w:rsid w:val="0071504F"/>
    <w:rsid w:val="007150C0"/>
    <w:rsid w:val="007150CD"/>
    <w:rsid w:val="0071512F"/>
    <w:rsid w:val="0071516F"/>
    <w:rsid w:val="00715472"/>
    <w:rsid w:val="007154DF"/>
    <w:rsid w:val="00715533"/>
    <w:rsid w:val="0071562D"/>
    <w:rsid w:val="007156B2"/>
    <w:rsid w:val="007156FC"/>
    <w:rsid w:val="0071577D"/>
    <w:rsid w:val="007158BA"/>
    <w:rsid w:val="00715A10"/>
    <w:rsid w:val="00715BB7"/>
    <w:rsid w:val="00715C9C"/>
    <w:rsid w:val="00715D0F"/>
    <w:rsid w:val="00715EA9"/>
    <w:rsid w:val="00715F34"/>
    <w:rsid w:val="00715F9A"/>
    <w:rsid w:val="00716096"/>
    <w:rsid w:val="00716202"/>
    <w:rsid w:val="0071620F"/>
    <w:rsid w:val="007163E5"/>
    <w:rsid w:val="00716487"/>
    <w:rsid w:val="0071658F"/>
    <w:rsid w:val="007165DB"/>
    <w:rsid w:val="00716616"/>
    <w:rsid w:val="007166A3"/>
    <w:rsid w:val="007166C0"/>
    <w:rsid w:val="0071679A"/>
    <w:rsid w:val="00716897"/>
    <w:rsid w:val="007168C4"/>
    <w:rsid w:val="007168CB"/>
    <w:rsid w:val="007168F8"/>
    <w:rsid w:val="00716933"/>
    <w:rsid w:val="007169AC"/>
    <w:rsid w:val="007169DD"/>
    <w:rsid w:val="00716A35"/>
    <w:rsid w:val="00716AC2"/>
    <w:rsid w:val="00716AE5"/>
    <w:rsid w:val="00716AE7"/>
    <w:rsid w:val="00716B58"/>
    <w:rsid w:val="00716BFD"/>
    <w:rsid w:val="00716C25"/>
    <w:rsid w:val="00716C3A"/>
    <w:rsid w:val="00716D57"/>
    <w:rsid w:val="00716E6E"/>
    <w:rsid w:val="00716E7A"/>
    <w:rsid w:val="00716F5C"/>
    <w:rsid w:val="00716FC9"/>
    <w:rsid w:val="00716FCF"/>
    <w:rsid w:val="00716FF2"/>
    <w:rsid w:val="00717037"/>
    <w:rsid w:val="00717038"/>
    <w:rsid w:val="00717044"/>
    <w:rsid w:val="007170C4"/>
    <w:rsid w:val="00717388"/>
    <w:rsid w:val="007173B1"/>
    <w:rsid w:val="00717523"/>
    <w:rsid w:val="007175B0"/>
    <w:rsid w:val="0071765D"/>
    <w:rsid w:val="00717664"/>
    <w:rsid w:val="00717679"/>
    <w:rsid w:val="00717712"/>
    <w:rsid w:val="0071773C"/>
    <w:rsid w:val="00717780"/>
    <w:rsid w:val="0071784A"/>
    <w:rsid w:val="00717970"/>
    <w:rsid w:val="00717973"/>
    <w:rsid w:val="00717ABB"/>
    <w:rsid w:val="00717B67"/>
    <w:rsid w:val="00717B7F"/>
    <w:rsid w:val="00717BB6"/>
    <w:rsid w:val="00717C21"/>
    <w:rsid w:val="00717D1D"/>
    <w:rsid w:val="00717D3F"/>
    <w:rsid w:val="00717DAC"/>
    <w:rsid w:val="00717DFB"/>
    <w:rsid w:val="00717E4F"/>
    <w:rsid w:val="00717EB2"/>
    <w:rsid w:val="00717ED2"/>
    <w:rsid w:val="00717F59"/>
    <w:rsid w:val="00717F79"/>
    <w:rsid w:val="007200BD"/>
    <w:rsid w:val="007200D0"/>
    <w:rsid w:val="0072010C"/>
    <w:rsid w:val="00720131"/>
    <w:rsid w:val="0072014D"/>
    <w:rsid w:val="00720233"/>
    <w:rsid w:val="00720339"/>
    <w:rsid w:val="00720487"/>
    <w:rsid w:val="007204AB"/>
    <w:rsid w:val="007205C3"/>
    <w:rsid w:val="00720669"/>
    <w:rsid w:val="007206A2"/>
    <w:rsid w:val="007206E1"/>
    <w:rsid w:val="007207E0"/>
    <w:rsid w:val="0072089E"/>
    <w:rsid w:val="00720901"/>
    <w:rsid w:val="0072092C"/>
    <w:rsid w:val="00720932"/>
    <w:rsid w:val="00720956"/>
    <w:rsid w:val="00720AE2"/>
    <w:rsid w:val="00720B38"/>
    <w:rsid w:val="00720BCE"/>
    <w:rsid w:val="00720CA7"/>
    <w:rsid w:val="00720D0D"/>
    <w:rsid w:val="00720D75"/>
    <w:rsid w:val="00720F8B"/>
    <w:rsid w:val="0072116A"/>
    <w:rsid w:val="007211B3"/>
    <w:rsid w:val="007211E7"/>
    <w:rsid w:val="007212A3"/>
    <w:rsid w:val="007212A6"/>
    <w:rsid w:val="007212BF"/>
    <w:rsid w:val="007212C7"/>
    <w:rsid w:val="007212D3"/>
    <w:rsid w:val="007212F8"/>
    <w:rsid w:val="007213BF"/>
    <w:rsid w:val="0072147B"/>
    <w:rsid w:val="007214E6"/>
    <w:rsid w:val="00721520"/>
    <w:rsid w:val="0072152B"/>
    <w:rsid w:val="007215AC"/>
    <w:rsid w:val="007217E7"/>
    <w:rsid w:val="0072181E"/>
    <w:rsid w:val="007218FB"/>
    <w:rsid w:val="00721940"/>
    <w:rsid w:val="00721969"/>
    <w:rsid w:val="007219B9"/>
    <w:rsid w:val="00721A65"/>
    <w:rsid w:val="00721A86"/>
    <w:rsid w:val="00721A87"/>
    <w:rsid w:val="00721AA3"/>
    <w:rsid w:val="00721B35"/>
    <w:rsid w:val="00721BE5"/>
    <w:rsid w:val="00721CAF"/>
    <w:rsid w:val="00721D43"/>
    <w:rsid w:val="00721DA2"/>
    <w:rsid w:val="00721DFE"/>
    <w:rsid w:val="00721E28"/>
    <w:rsid w:val="00721E40"/>
    <w:rsid w:val="00721EBC"/>
    <w:rsid w:val="00721F0A"/>
    <w:rsid w:val="00721F21"/>
    <w:rsid w:val="00721F50"/>
    <w:rsid w:val="00721FBA"/>
    <w:rsid w:val="007220B5"/>
    <w:rsid w:val="007221DE"/>
    <w:rsid w:val="00722230"/>
    <w:rsid w:val="00722256"/>
    <w:rsid w:val="00722267"/>
    <w:rsid w:val="00722382"/>
    <w:rsid w:val="00722496"/>
    <w:rsid w:val="007226BA"/>
    <w:rsid w:val="0072273A"/>
    <w:rsid w:val="007227C4"/>
    <w:rsid w:val="007227C6"/>
    <w:rsid w:val="00722830"/>
    <w:rsid w:val="0072285E"/>
    <w:rsid w:val="007228C1"/>
    <w:rsid w:val="00722991"/>
    <w:rsid w:val="007229BF"/>
    <w:rsid w:val="00722AEF"/>
    <w:rsid w:val="00722BC7"/>
    <w:rsid w:val="00722C62"/>
    <w:rsid w:val="00722D09"/>
    <w:rsid w:val="00722D13"/>
    <w:rsid w:val="00722DAD"/>
    <w:rsid w:val="007230CF"/>
    <w:rsid w:val="007230D5"/>
    <w:rsid w:val="007230F1"/>
    <w:rsid w:val="0072310F"/>
    <w:rsid w:val="007231C0"/>
    <w:rsid w:val="0072321F"/>
    <w:rsid w:val="00723236"/>
    <w:rsid w:val="00723295"/>
    <w:rsid w:val="007232A5"/>
    <w:rsid w:val="007232DB"/>
    <w:rsid w:val="00723305"/>
    <w:rsid w:val="00723344"/>
    <w:rsid w:val="00723345"/>
    <w:rsid w:val="0072337C"/>
    <w:rsid w:val="0072347F"/>
    <w:rsid w:val="007234B5"/>
    <w:rsid w:val="007235B1"/>
    <w:rsid w:val="00723609"/>
    <w:rsid w:val="007236AC"/>
    <w:rsid w:val="007236AD"/>
    <w:rsid w:val="00723711"/>
    <w:rsid w:val="0072373F"/>
    <w:rsid w:val="00723801"/>
    <w:rsid w:val="00723813"/>
    <w:rsid w:val="0072382B"/>
    <w:rsid w:val="007238E2"/>
    <w:rsid w:val="0072395C"/>
    <w:rsid w:val="0072395E"/>
    <w:rsid w:val="007239B4"/>
    <w:rsid w:val="007239C2"/>
    <w:rsid w:val="00723A44"/>
    <w:rsid w:val="00723A9D"/>
    <w:rsid w:val="00723B8E"/>
    <w:rsid w:val="00723C3F"/>
    <w:rsid w:val="00723C45"/>
    <w:rsid w:val="00723CAE"/>
    <w:rsid w:val="00723D81"/>
    <w:rsid w:val="00723DB7"/>
    <w:rsid w:val="00723DDD"/>
    <w:rsid w:val="00723F50"/>
    <w:rsid w:val="00723F55"/>
    <w:rsid w:val="00723FBC"/>
    <w:rsid w:val="0072407D"/>
    <w:rsid w:val="00724091"/>
    <w:rsid w:val="007240CB"/>
    <w:rsid w:val="0072414D"/>
    <w:rsid w:val="00724199"/>
    <w:rsid w:val="00724337"/>
    <w:rsid w:val="00724363"/>
    <w:rsid w:val="00724446"/>
    <w:rsid w:val="007244F0"/>
    <w:rsid w:val="00724567"/>
    <w:rsid w:val="00724573"/>
    <w:rsid w:val="00724584"/>
    <w:rsid w:val="00724602"/>
    <w:rsid w:val="00724642"/>
    <w:rsid w:val="0072469F"/>
    <w:rsid w:val="00724765"/>
    <w:rsid w:val="007247B3"/>
    <w:rsid w:val="007248E6"/>
    <w:rsid w:val="0072494E"/>
    <w:rsid w:val="0072495B"/>
    <w:rsid w:val="00724A36"/>
    <w:rsid w:val="00724A4C"/>
    <w:rsid w:val="00724AA1"/>
    <w:rsid w:val="00724AAB"/>
    <w:rsid w:val="00724B83"/>
    <w:rsid w:val="00724C25"/>
    <w:rsid w:val="00724C4D"/>
    <w:rsid w:val="00724C8A"/>
    <w:rsid w:val="00724D39"/>
    <w:rsid w:val="00724E71"/>
    <w:rsid w:val="00725071"/>
    <w:rsid w:val="007251BE"/>
    <w:rsid w:val="00725562"/>
    <w:rsid w:val="00725569"/>
    <w:rsid w:val="007255F8"/>
    <w:rsid w:val="00725638"/>
    <w:rsid w:val="0072568E"/>
    <w:rsid w:val="007256BD"/>
    <w:rsid w:val="007256CC"/>
    <w:rsid w:val="007256F6"/>
    <w:rsid w:val="00725708"/>
    <w:rsid w:val="00725743"/>
    <w:rsid w:val="007257E8"/>
    <w:rsid w:val="0072595D"/>
    <w:rsid w:val="0072597B"/>
    <w:rsid w:val="00725A19"/>
    <w:rsid w:val="00725A27"/>
    <w:rsid w:val="00725A3E"/>
    <w:rsid w:val="00725C0B"/>
    <w:rsid w:val="00725C4E"/>
    <w:rsid w:val="00725C97"/>
    <w:rsid w:val="00725CD1"/>
    <w:rsid w:val="00725E43"/>
    <w:rsid w:val="00725EBB"/>
    <w:rsid w:val="00725EE1"/>
    <w:rsid w:val="00725EEC"/>
    <w:rsid w:val="00725F18"/>
    <w:rsid w:val="00725F31"/>
    <w:rsid w:val="00725FA4"/>
    <w:rsid w:val="00725FE1"/>
    <w:rsid w:val="00726047"/>
    <w:rsid w:val="0072607B"/>
    <w:rsid w:val="00726138"/>
    <w:rsid w:val="0072618D"/>
    <w:rsid w:val="00726206"/>
    <w:rsid w:val="00726356"/>
    <w:rsid w:val="0072638D"/>
    <w:rsid w:val="007263E6"/>
    <w:rsid w:val="0072646F"/>
    <w:rsid w:val="007265EF"/>
    <w:rsid w:val="0072666D"/>
    <w:rsid w:val="0072677D"/>
    <w:rsid w:val="007267B0"/>
    <w:rsid w:val="007267C3"/>
    <w:rsid w:val="007267F3"/>
    <w:rsid w:val="00726826"/>
    <w:rsid w:val="0072682E"/>
    <w:rsid w:val="007268C7"/>
    <w:rsid w:val="0072691F"/>
    <w:rsid w:val="00726934"/>
    <w:rsid w:val="00726962"/>
    <w:rsid w:val="007269A4"/>
    <w:rsid w:val="00726A2D"/>
    <w:rsid w:val="00726AAB"/>
    <w:rsid w:val="00726AD6"/>
    <w:rsid w:val="00726BAF"/>
    <w:rsid w:val="00726BB9"/>
    <w:rsid w:val="00726C46"/>
    <w:rsid w:val="00726C91"/>
    <w:rsid w:val="00726D5C"/>
    <w:rsid w:val="00726E1B"/>
    <w:rsid w:val="00726F89"/>
    <w:rsid w:val="00726F96"/>
    <w:rsid w:val="00727011"/>
    <w:rsid w:val="00727077"/>
    <w:rsid w:val="0072708A"/>
    <w:rsid w:val="007271DA"/>
    <w:rsid w:val="00727213"/>
    <w:rsid w:val="0072728C"/>
    <w:rsid w:val="007272BE"/>
    <w:rsid w:val="0072735A"/>
    <w:rsid w:val="0072739D"/>
    <w:rsid w:val="007273E9"/>
    <w:rsid w:val="0072744B"/>
    <w:rsid w:val="007274FF"/>
    <w:rsid w:val="00727509"/>
    <w:rsid w:val="00727536"/>
    <w:rsid w:val="00727635"/>
    <w:rsid w:val="007276C2"/>
    <w:rsid w:val="0072776B"/>
    <w:rsid w:val="007277C8"/>
    <w:rsid w:val="00727851"/>
    <w:rsid w:val="00727893"/>
    <w:rsid w:val="007278EB"/>
    <w:rsid w:val="00727901"/>
    <w:rsid w:val="00727965"/>
    <w:rsid w:val="007279B0"/>
    <w:rsid w:val="00727A1D"/>
    <w:rsid w:val="00727AE7"/>
    <w:rsid w:val="00727B35"/>
    <w:rsid w:val="00727BFB"/>
    <w:rsid w:val="00727C2E"/>
    <w:rsid w:val="00727CD8"/>
    <w:rsid w:val="00727DCC"/>
    <w:rsid w:val="00727E2A"/>
    <w:rsid w:val="00727EFD"/>
    <w:rsid w:val="00727F58"/>
    <w:rsid w:val="00730014"/>
    <w:rsid w:val="007300DE"/>
    <w:rsid w:val="00730188"/>
    <w:rsid w:val="007301C1"/>
    <w:rsid w:val="00730225"/>
    <w:rsid w:val="00730279"/>
    <w:rsid w:val="0073027E"/>
    <w:rsid w:val="00730452"/>
    <w:rsid w:val="007304B5"/>
    <w:rsid w:val="007304DC"/>
    <w:rsid w:val="007304F0"/>
    <w:rsid w:val="0073053B"/>
    <w:rsid w:val="007305B1"/>
    <w:rsid w:val="0073060A"/>
    <w:rsid w:val="0073067D"/>
    <w:rsid w:val="00730771"/>
    <w:rsid w:val="00730854"/>
    <w:rsid w:val="00730B16"/>
    <w:rsid w:val="00730B46"/>
    <w:rsid w:val="00730B74"/>
    <w:rsid w:val="00730BCC"/>
    <w:rsid w:val="00730CC4"/>
    <w:rsid w:val="00730D06"/>
    <w:rsid w:val="00730DCF"/>
    <w:rsid w:val="00730E49"/>
    <w:rsid w:val="00730EA6"/>
    <w:rsid w:val="0073103C"/>
    <w:rsid w:val="00731066"/>
    <w:rsid w:val="007310BD"/>
    <w:rsid w:val="007311EB"/>
    <w:rsid w:val="007311F5"/>
    <w:rsid w:val="00731241"/>
    <w:rsid w:val="0073126F"/>
    <w:rsid w:val="007313C7"/>
    <w:rsid w:val="007313F9"/>
    <w:rsid w:val="0073142B"/>
    <w:rsid w:val="00731516"/>
    <w:rsid w:val="0073157B"/>
    <w:rsid w:val="00731612"/>
    <w:rsid w:val="00731615"/>
    <w:rsid w:val="00731677"/>
    <w:rsid w:val="00731712"/>
    <w:rsid w:val="00731741"/>
    <w:rsid w:val="007317C9"/>
    <w:rsid w:val="007317D4"/>
    <w:rsid w:val="00731811"/>
    <w:rsid w:val="0073184B"/>
    <w:rsid w:val="007318B3"/>
    <w:rsid w:val="007318FB"/>
    <w:rsid w:val="00731989"/>
    <w:rsid w:val="00731B1B"/>
    <w:rsid w:val="00731B2A"/>
    <w:rsid w:val="00731B7E"/>
    <w:rsid w:val="00731BAB"/>
    <w:rsid w:val="00731BBB"/>
    <w:rsid w:val="00731C15"/>
    <w:rsid w:val="00731CBE"/>
    <w:rsid w:val="00731D11"/>
    <w:rsid w:val="00731D9B"/>
    <w:rsid w:val="00731DE7"/>
    <w:rsid w:val="00731E80"/>
    <w:rsid w:val="00731ECD"/>
    <w:rsid w:val="00732045"/>
    <w:rsid w:val="0073206A"/>
    <w:rsid w:val="007320AC"/>
    <w:rsid w:val="007321C6"/>
    <w:rsid w:val="007321C8"/>
    <w:rsid w:val="007322A0"/>
    <w:rsid w:val="007324CE"/>
    <w:rsid w:val="00732527"/>
    <w:rsid w:val="00732534"/>
    <w:rsid w:val="0073262A"/>
    <w:rsid w:val="007326B2"/>
    <w:rsid w:val="00732738"/>
    <w:rsid w:val="007327BE"/>
    <w:rsid w:val="007327D4"/>
    <w:rsid w:val="007327E4"/>
    <w:rsid w:val="007328C7"/>
    <w:rsid w:val="00732962"/>
    <w:rsid w:val="00732964"/>
    <w:rsid w:val="00732A44"/>
    <w:rsid w:val="00732AA3"/>
    <w:rsid w:val="00732AC6"/>
    <w:rsid w:val="00732B79"/>
    <w:rsid w:val="00732BE1"/>
    <w:rsid w:val="00732C1A"/>
    <w:rsid w:val="00732CC3"/>
    <w:rsid w:val="00732D55"/>
    <w:rsid w:val="00732D5E"/>
    <w:rsid w:val="00732E08"/>
    <w:rsid w:val="00732ED7"/>
    <w:rsid w:val="00733044"/>
    <w:rsid w:val="007330AC"/>
    <w:rsid w:val="0073321F"/>
    <w:rsid w:val="00733267"/>
    <w:rsid w:val="0073327A"/>
    <w:rsid w:val="007332DD"/>
    <w:rsid w:val="0073330F"/>
    <w:rsid w:val="00733430"/>
    <w:rsid w:val="00733443"/>
    <w:rsid w:val="007334FE"/>
    <w:rsid w:val="00733633"/>
    <w:rsid w:val="00733754"/>
    <w:rsid w:val="0073377B"/>
    <w:rsid w:val="007337E1"/>
    <w:rsid w:val="007338BB"/>
    <w:rsid w:val="0073396B"/>
    <w:rsid w:val="007339DD"/>
    <w:rsid w:val="00733A03"/>
    <w:rsid w:val="00733A7B"/>
    <w:rsid w:val="00733AAA"/>
    <w:rsid w:val="00733C2B"/>
    <w:rsid w:val="00733CDC"/>
    <w:rsid w:val="00733FCA"/>
    <w:rsid w:val="0073405B"/>
    <w:rsid w:val="00734310"/>
    <w:rsid w:val="00734395"/>
    <w:rsid w:val="007344CD"/>
    <w:rsid w:val="00734500"/>
    <w:rsid w:val="007345A7"/>
    <w:rsid w:val="0073460F"/>
    <w:rsid w:val="00734812"/>
    <w:rsid w:val="00734985"/>
    <w:rsid w:val="007349EB"/>
    <w:rsid w:val="00734B28"/>
    <w:rsid w:val="00734B3C"/>
    <w:rsid w:val="00734B9A"/>
    <w:rsid w:val="00734C20"/>
    <w:rsid w:val="00734C9B"/>
    <w:rsid w:val="00734EE8"/>
    <w:rsid w:val="00734F58"/>
    <w:rsid w:val="00734F7B"/>
    <w:rsid w:val="00734F84"/>
    <w:rsid w:val="0073504C"/>
    <w:rsid w:val="0073508A"/>
    <w:rsid w:val="007350A5"/>
    <w:rsid w:val="007350E1"/>
    <w:rsid w:val="00735120"/>
    <w:rsid w:val="00735130"/>
    <w:rsid w:val="00735167"/>
    <w:rsid w:val="0073524D"/>
    <w:rsid w:val="007352B3"/>
    <w:rsid w:val="007352DF"/>
    <w:rsid w:val="00735395"/>
    <w:rsid w:val="00735430"/>
    <w:rsid w:val="0073543C"/>
    <w:rsid w:val="0073547A"/>
    <w:rsid w:val="007355CB"/>
    <w:rsid w:val="007355E0"/>
    <w:rsid w:val="00735679"/>
    <w:rsid w:val="00735695"/>
    <w:rsid w:val="007356D6"/>
    <w:rsid w:val="0073571B"/>
    <w:rsid w:val="007357E4"/>
    <w:rsid w:val="0073586B"/>
    <w:rsid w:val="007358BE"/>
    <w:rsid w:val="007358DA"/>
    <w:rsid w:val="00735A3A"/>
    <w:rsid w:val="00735AEF"/>
    <w:rsid w:val="00735B3E"/>
    <w:rsid w:val="00735B8F"/>
    <w:rsid w:val="00735C0B"/>
    <w:rsid w:val="00735CE3"/>
    <w:rsid w:val="00735DC7"/>
    <w:rsid w:val="00735FC0"/>
    <w:rsid w:val="007360B1"/>
    <w:rsid w:val="007360CB"/>
    <w:rsid w:val="00736117"/>
    <w:rsid w:val="0073619A"/>
    <w:rsid w:val="007361A0"/>
    <w:rsid w:val="00736229"/>
    <w:rsid w:val="007362A6"/>
    <w:rsid w:val="00736398"/>
    <w:rsid w:val="007363AE"/>
    <w:rsid w:val="007363EE"/>
    <w:rsid w:val="0073646B"/>
    <w:rsid w:val="007364D5"/>
    <w:rsid w:val="00736607"/>
    <w:rsid w:val="007366A9"/>
    <w:rsid w:val="00736753"/>
    <w:rsid w:val="007367FC"/>
    <w:rsid w:val="0073691E"/>
    <w:rsid w:val="00736996"/>
    <w:rsid w:val="00736AC5"/>
    <w:rsid w:val="00736AFB"/>
    <w:rsid w:val="00736BBD"/>
    <w:rsid w:val="00736BEB"/>
    <w:rsid w:val="00736BF8"/>
    <w:rsid w:val="00736CA5"/>
    <w:rsid w:val="00736CC4"/>
    <w:rsid w:val="00736D05"/>
    <w:rsid w:val="00736D1C"/>
    <w:rsid w:val="00736F13"/>
    <w:rsid w:val="00736F2B"/>
    <w:rsid w:val="00736F3B"/>
    <w:rsid w:val="00736FBB"/>
    <w:rsid w:val="00737161"/>
    <w:rsid w:val="007371E5"/>
    <w:rsid w:val="00737209"/>
    <w:rsid w:val="007372FE"/>
    <w:rsid w:val="0073732D"/>
    <w:rsid w:val="007373EF"/>
    <w:rsid w:val="0073742C"/>
    <w:rsid w:val="007374F4"/>
    <w:rsid w:val="00737519"/>
    <w:rsid w:val="0073753C"/>
    <w:rsid w:val="00737566"/>
    <w:rsid w:val="007375BB"/>
    <w:rsid w:val="007375C3"/>
    <w:rsid w:val="007375E6"/>
    <w:rsid w:val="00737604"/>
    <w:rsid w:val="0073785F"/>
    <w:rsid w:val="007378ED"/>
    <w:rsid w:val="00737948"/>
    <w:rsid w:val="007379AE"/>
    <w:rsid w:val="007379BB"/>
    <w:rsid w:val="007379CB"/>
    <w:rsid w:val="007379E4"/>
    <w:rsid w:val="00737A47"/>
    <w:rsid w:val="00737AF9"/>
    <w:rsid w:val="00737BAC"/>
    <w:rsid w:val="00737C61"/>
    <w:rsid w:val="00737DC0"/>
    <w:rsid w:val="00737DF2"/>
    <w:rsid w:val="00737E14"/>
    <w:rsid w:val="00737E43"/>
    <w:rsid w:val="00737E51"/>
    <w:rsid w:val="00737E6F"/>
    <w:rsid w:val="0074005D"/>
    <w:rsid w:val="00740081"/>
    <w:rsid w:val="00740095"/>
    <w:rsid w:val="0074011D"/>
    <w:rsid w:val="007401CF"/>
    <w:rsid w:val="00740278"/>
    <w:rsid w:val="0074030C"/>
    <w:rsid w:val="007404A5"/>
    <w:rsid w:val="0074051B"/>
    <w:rsid w:val="007405F6"/>
    <w:rsid w:val="007407E7"/>
    <w:rsid w:val="0074090B"/>
    <w:rsid w:val="0074090D"/>
    <w:rsid w:val="007409DD"/>
    <w:rsid w:val="00740A2A"/>
    <w:rsid w:val="00740AA3"/>
    <w:rsid w:val="00740B5A"/>
    <w:rsid w:val="00740B5B"/>
    <w:rsid w:val="00740BD0"/>
    <w:rsid w:val="00740C40"/>
    <w:rsid w:val="00740C63"/>
    <w:rsid w:val="00740CC3"/>
    <w:rsid w:val="00740EE9"/>
    <w:rsid w:val="00740FCE"/>
    <w:rsid w:val="0074102B"/>
    <w:rsid w:val="0074104A"/>
    <w:rsid w:val="0074109B"/>
    <w:rsid w:val="007411C1"/>
    <w:rsid w:val="007411CD"/>
    <w:rsid w:val="00741215"/>
    <w:rsid w:val="0074130D"/>
    <w:rsid w:val="007413BD"/>
    <w:rsid w:val="007413CE"/>
    <w:rsid w:val="00741451"/>
    <w:rsid w:val="0074156D"/>
    <w:rsid w:val="007415E7"/>
    <w:rsid w:val="00741647"/>
    <w:rsid w:val="0074166B"/>
    <w:rsid w:val="00741670"/>
    <w:rsid w:val="0074175E"/>
    <w:rsid w:val="007417F3"/>
    <w:rsid w:val="00741814"/>
    <w:rsid w:val="00741826"/>
    <w:rsid w:val="0074184D"/>
    <w:rsid w:val="00741BA2"/>
    <w:rsid w:val="00741BB2"/>
    <w:rsid w:val="00741BC9"/>
    <w:rsid w:val="00741C1B"/>
    <w:rsid w:val="00741CF4"/>
    <w:rsid w:val="00741D53"/>
    <w:rsid w:val="00741DCC"/>
    <w:rsid w:val="00741DD4"/>
    <w:rsid w:val="00741DD8"/>
    <w:rsid w:val="00741DE2"/>
    <w:rsid w:val="00741E2E"/>
    <w:rsid w:val="00741E86"/>
    <w:rsid w:val="00741F75"/>
    <w:rsid w:val="00742001"/>
    <w:rsid w:val="0074202A"/>
    <w:rsid w:val="00742057"/>
    <w:rsid w:val="007420A2"/>
    <w:rsid w:val="007421A1"/>
    <w:rsid w:val="0074222A"/>
    <w:rsid w:val="00742281"/>
    <w:rsid w:val="007422B0"/>
    <w:rsid w:val="007422D1"/>
    <w:rsid w:val="007422FD"/>
    <w:rsid w:val="007422FF"/>
    <w:rsid w:val="00742307"/>
    <w:rsid w:val="00742383"/>
    <w:rsid w:val="007423A3"/>
    <w:rsid w:val="007423FE"/>
    <w:rsid w:val="0074246A"/>
    <w:rsid w:val="0074247A"/>
    <w:rsid w:val="00742544"/>
    <w:rsid w:val="0074257A"/>
    <w:rsid w:val="00742607"/>
    <w:rsid w:val="007427BD"/>
    <w:rsid w:val="007427FE"/>
    <w:rsid w:val="007428CB"/>
    <w:rsid w:val="00742905"/>
    <w:rsid w:val="007429D1"/>
    <w:rsid w:val="00742A11"/>
    <w:rsid w:val="00742A39"/>
    <w:rsid w:val="00742A8F"/>
    <w:rsid w:val="00742AA1"/>
    <w:rsid w:val="00742AC3"/>
    <w:rsid w:val="00742AD9"/>
    <w:rsid w:val="00742B58"/>
    <w:rsid w:val="00742BE9"/>
    <w:rsid w:val="00742C51"/>
    <w:rsid w:val="00742D04"/>
    <w:rsid w:val="00742D7C"/>
    <w:rsid w:val="00742EA6"/>
    <w:rsid w:val="00742F4D"/>
    <w:rsid w:val="00743013"/>
    <w:rsid w:val="00743024"/>
    <w:rsid w:val="00743033"/>
    <w:rsid w:val="00743188"/>
    <w:rsid w:val="0074324D"/>
    <w:rsid w:val="00743288"/>
    <w:rsid w:val="00743351"/>
    <w:rsid w:val="007433C9"/>
    <w:rsid w:val="00743445"/>
    <w:rsid w:val="0074355A"/>
    <w:rsid w:val="007435E5"/>
    <w:rsid w:val="00743618"/>
    <w:rsid w:val="00743628"/>
    <w:rsid w:val="00743674"/>
    <w:rsid w:val="0074372B"/>
    <w:rsid w:val="00743775"/>
    <w:rsid w:val="0074398B"/>
    <w:rsid w:val="007439AE"/>
    <w:rsid w:val="00743A3A"/>
    <w:rsid w:val="00743A51"/>
    <w:rsid w:val="00743A5B"/>
    <w:rsid w:val="00743B12"/>
    <w:rsid w:val="00743B63"/>
    <w:rsid w:val="00743C9A"/>
    <w:rsid w:val="00743D79"/>
    <w:rsid w:val="00743DA5"/>
    <w:rsid w:val="00743EC2"/>
    <w:rsid w:val="00744021"/>
    <w:rsid w:val="0074405E"/>
    <w:rsid w:val="00744094"/>
    <w:rsid w:val="0074419B"/>
    <w:rsid w:val="007441F5"/>
    <w:rsid w:val="0074424A"/>
    <w:rsid w:val="00744365"/>
    <w:rsid w:val="00744426"/>
    <w:rsid w:val="00744459"/>
    <w:rsid w:val="00744474"/>
    <w:rsid w:val="00744480"/>
    <w:rsid w:val="00744482"/>
    <w:rsid w:val="007444AC"/>
    <w:rsid w:val="00744513"/>
    <w:rsid w:val="007445E7"/>
    <w:rsid w:val="00744767"/>
    <w:rsid w:val="00744804"/>
    <w:rsid w:val="00744935"/>
    <w:rsid w:val="007449D3"/>
    <w:rsid w:val="00744B1F"/>
    <w:rsid w:val="00744B20"/>
    <w:rsid w:val="00744B52"/>
    <w:rsid w:val="00744BFE"/>
    <w:rsid w:val="00744D13"/>
    <w:rsid w:val="00744D7A"/>
    <w:rsid w:val="00744FAA"/>
    <w:rsid w:val="0074503A"/>
    <w:rsid w:val="00745053"/>
    <w:rsid w:val="0074505D"/>
    <w:rsid w:val="00745111"/>
    <w:rsid w:val="0074511B"/>
    <w:rsid w:val="00745175"/>
    <w:rsid w:val="007452CF"/>
    <w:rsid w:val="007453B7"/>
    <w:rsid w:val="007453C0"/>
    <w:rsid w:val="007453EB"/>
    <w:rsid w:val="007453F0"/>
    <w:rsid w:val="00745448"/>
    <w:rsid w:val="00745493"/>
    <w:rsid w:val="007454E9"/>
    <w:rsid w:val="007455C7"/>
    <w:rsid w:val="007455DE"/>
    <w:rsid w:val="0074563D"/>
    <w:rsid w:val="00745663"/>
    <w:rsid w:val="007456D9"/>
    <w:rsid w:val="007456FD"/>
    <w:rsid w:val="00745749"/>
    <w:rsid w:val="00745752"/>
    <w:rsid w:val="0074582F"/>
    <w:rsid w:val="0074590C"/>
    <w:rsid w:val="00745912"/>
    <w:rsid w:val="00745A74"/>
    <w:rsid w:val="00745A84"/>
    <w:rsid w:val="00745B18"/>
    <w:rsid w:val="00745BD5"/>
    <w:rsid w:val="00745D0A"/>
    <w:rsid w:val="00745D1A"/>
    <w:rsid w:val="00745D3B"/>
    <w:rsid w:val="00745E01"/>
    <w:rsid w:val="00745F7D"/>
    <w:rsid w:val="00745FD7"/>
    <w:rsid w:val="007460E4"/>
    <w:rsid w:val="00746105"/>
    <w:rsid w:val="0074611B"/>
    <w:rsid w:val="00746232"/>
    <w:rsid w:val="0074644A"/>
    <w:rsid w:val="007464A2"/>
    <w:rsid w:val="007464E6"/>
    <w:rsid w:val="007465D2"/>
    <w:rsid w:val="00746614"/>
    <w:rsid w:val="00746663"/>
    <w:rsid w:val="0074666B"/>
    <w:rsid w:val="00746686"/>
    <w:rsid w:val="0074668A"/>
    <w:rsid w:val="007466C2"/>
    <w:rsid w:val="00746748"/>
    <w:rsid w:val="007467C1"/>
    <w:rsid w:val="0074685D"/>
    <w:rsid w:val="007468D6"/>
    <w:rsid w:val="00746900"/>
    <w:rsid w:val="00746918"/>
    <w:rsid w:val="0074693F"/>
    <w:rsid w:val="007469ED"/>
    <w:rsid w:val="00746A22"/>
    <w:rsid w:val="00746A44"/>
    <w:rsid w:val="00746AF5"/>
    <w:rsid w:val="00746B04"/>
    <w:rsid w:val="00746BFF"/>
    <w:rsid w:val="00746CAB"/>
    <w:rsid w:val="00746D4B"/>
    <w:rsid w:val="00746D78"/>
    <w:rsid w:val="00746D8E"/>
    <w:rsid w:val="00746EF3"/>
    <w:rsid w:val="00746F6D"/>
    <w:rsid w:val="00746F79"/>
    <w:rsid w:val="00746FC4"/>
    <w:rsid w:val="00746FD3"/>
    <w:rsid w:val="00746FFF"/>
    <w:rsid w:val="007470DA"/>
    <w:rsid w:val="0074713D"/>
    <w:rsid w:val="0074726E"/>
    <w:rsid w:val="007472DC"/>
    <w:rsid w:val="0074737C"/>
    <w:rsid w:val="007473E1"/>
    <w:rsid w:val="00747499"/>
    <w:rsid w:val="00747517"/>
    <w:rsid w:val="0074757F"/>
    <w:rsid w:val="00747669"/>
    <w:rsid w:val="007476E3"/>
    <w:rsid w:val="00747732"/>
    <w:rsid w:val="0074775D"/>
    <w:rsid w:val="007477E3"/>
    <w:rsid w:val="0074782A"/>
    <w:rsid w:val="0074784F"/>
    <w:rsid w:val="00747897"/>
    <w:rsid w:val="007478E6"/>
    <w:rsid w:val="00747959"/>
    <w:rsid w:val="0074797A"/>
    <w:rsid w:val="007479FE"/>
    <w:rsid w:val="00747ABD"/>
    <w:rsid w:val="00747AFE"/>
    <w:rsid w:val="00747B32"/>
    <w:rsid w:val="00747B4F"/>
    <w:rsid w:val="00747BB4"/>
    <w:rsid w:val="00747C82"/>
    <w:rsid w:val="00747D22"/>
    <w:rsid w:val="00747DB8"/>
    <w:rsid w:val="00747E2C"/>
    <w:rsid w:val="00747E47"/>
    <w:rsid w:val="00747E50"/>
    <w:rsid w:val="00747EDC"/>
    <w:rsid w:val="00747F3C"/>
    <w:rsid w:val="00747F6A"/>
    <w:rsid w:val="00747FC4"/>
    <w:rsid w:val="00747FED"/>
    <w:rsid w:val="00750004"/>
    <w:rsid w:val="0075003D"/>
    <w:rsid w:val="0075014E"/>
    <w:rsid w:val="00750192"/>
    <w:rsid w:val="007502A0"/>
    <w:rsid w:val="0075034B"/>
    <w:rsid w:val="0075037B"/>
    <w:rsid w:val="007504D0"/>
    <w:rsid w:val="007504E1"/>
    <w:rsid w:val="00750544"/>
    <w:rsid w:val="007505A4"/>
    <w:rsid w:val="007505BF"/>
    <w:rsid w:val="0075065F"/>
    <w:rsid w:val="007506DE"/>
    <w:rsid w:val="00750784"/>
    <w:rsid w:val="00750804"/>
    <w:rsid w:val="007508AC"/>
    <w:rsid w:val="007508ED"/>
    <w:rsid w:val="007509AB"/>
    <w:rsid w:val="00750AAC"/>
    <w:rsid w:val="00750ABC"/>
    <w:rsid w:val="00750B1D"/>
    <w:rsid w:val="00750CC7"/>
    <w:rsid w:val="00750DA5"/>
    <w:rsid w:val="00750DC4"/>
    <w:rsid w:val="00750E29"/>
    <w:rsid w:val="00750EBC"/>
    <w:rsid w:val="00750F95"/>
    <w:rsid w:val="0075100F"/>
    <w:rsid w:val="00751020"/>
    <w:rsid w:val="0075116C"/>
    <w:rsid w:val="00751183"/>
    <w:rsid w:val="007511E1"/>
    <w:rsid w:val="00751204"/>
    <w:rsid w:val="007512D7"/>
    <w:rsid w:val="00751425"/>
    <w:rsid w:val="00751427"/>
    <w:rsid w:val="007515BA"/>
    <w:rsid w:val="007515DF"/>
    <w:rsid w:val="0075166A"/>
    <w:rsid w:val="00751681"/>
    <w:rsid w:val="00751689"/>
    <w:rsid w:val="007517CD"/>
    <w:rsid w:val="00751832"/>
    <w:rsid w:val="0075195A"/>
    <w:rsid w:val="007519A5"/>
    <w:rsid w:val="007519E7"/>
    <w:rsid w:val="007519F0"/>
    <w:rsid w:val="00751AFB"/>
    <w:rsid w:val="00751CBA"/>
    <w:rsid w:val="00751DF3"/>
    <w:rsid w:val="00751F1B"/>
    <w:rsid w:val="00752103"/>
    <w:rsid w:val="00752225"/>
    <w:rsid w:val="007524AA"/>
    <w:rsid w:val="007524D6"/>
    <w:rsid w:val="0075251A"/>
    <w:rsid w:val="00752525"/>
    <w:rsid w:val="00752583"/>
    <w:rsid w:val="007525F8"/>
    <w:rsid w:val="0075266D"/>
    <w:rsid w:val="007527D9"/>
    <w:rsid w:val="007527DE"/>
    <w:rsid w:val="00752898"/>
    <w:rsid w:val="007528B8"/>
    <w:rsid w:val="00752AF2"/>
    <w:rsid w:val="00752BD7"/>
    <w:rsid w:val="00752C64"/>
    <w:rsid w:val="00752D45"/>
    <w:rsid w:val="00752D66"/>
    <w:rsid w:val="00752DBA"/>
    <w:rsid w:val="00752DE4"/>
    <w:rsid w:val="00752ECB"/>
    <w:rsid w:val="00752FF2"/>
    <w:rsid w:val="007530AD"/>
    <w:rsid w:val="00753149"/>
    <w:rsid w:val="0075315E"/>
    <w:rsid w:val="007531B3"/>
    <w:rsid w:val="007531C7"/>
    <w:rsid w:val="00753202"/>
    <w:rsid w:val="00753243"/>
    <w:rsid w:val="00753284"/>
    <w:rsid w:val="007532A1"/>
    <w:rsid w:val="007532E2"/>
    <w:rsid w:val="007532E5"/>
    <w:rsid w:val="007532F3"/>
    <w:rsid w:val="00753358"/>
    <w:rsid w:val="007533AE"/>
    <w:rsid w:val="007534BF"/>
    <w:rsid w:val="0075360F"/>
    <w:rsid w:val="00753636"/>
    <w:rsid w:val="00753663"/>
    <w:rsid w:val="00753695"/>
    <w:rsid w:val="007536B2"/>
    <w:rsid w:val="007536F9"/>
    <w:rsid w:val="00753744"/>
    <w:rsid w:val="00753778"/>
    <w:rsid w:val="007537FF"/>
    <w:rsid w:val="0075389F"/>
    <w:rsid w:val="00753988"/>
    <w:rsid w:val="007539D0"/>
    <w:rsid w:val="007539E1"/>
    <w:rsid w:val="00753A23"/>
    <w:rsid w:val="00753A4D"/>
    <w:rsid w:val="00753A81"/>
    <w:rsid w:val="00753A93"/>
    <w:rsid w:val="00753ABC"/>
    <w:rsid w:val="00753AD6"/>
    <w:rsid w:val="00753D4F"/>
    <w:rsid w:val="00753EBE"/>
    <w:rsid w:val="00753F16"/>
    <w:rsid w:val="00753F37"/>
    <w:rsid w:val="00753F5E"/>
    <w:rsid w:val="00754038"/>
    <w:rsid w:val="0075415E"/>
    <w:rsid w:val="007541C3"/>
    <w:rsid w:val="00754346"/>
    <w:rsid w:val="00754393"/>
    <w:rsid w:val="007544FB"/>
    <w:rsid w:val="00754517"/>
    <w:rsid w:val="00754528"/>
    <w:rsid w:val="00754588"/>
    <w:rsid w:val="0075459C"/>
    <w:rsid w:val="007545AB"/>
    <w:rsid w:val="007546DD"/>
    <w:rsid w:val="0075470E"/>
    <w:rsid w:val="0075474A"/>
    <w:rsid w:val="007547A5"/>
    <w:rsid w:val="00754811"/>
    <w:rsid w:val="00754945"/>
    <w:rsid w:val="00754A15"/>
    <w:rsid w:val="00754A86"/>
    <w:rsid w:val="00754AB1"/>
    <w:rsid w:val="00754ACE"/>
    <w:rsid w:val="00754BBA"/>
    <w:rsid w:val="00754C32"/>
    <w:rsid w:val="00754F37"/>
    <w:rsid w:val="00754F3C"/>
    <w:rsid w:val="00754FBD"/>
    <w:rsid w:val="00754FFF"/>
    <w:rsid w:val="007550FE"/>
    <w:rsid w:val="00755188"/>
    <w:rsid w:val="007551A1"/>
    <w:rsid w:val="007553FD"/>
    <w:rsid w:val="00755663"/>
    <w:rsid w:val="00755665"/>
    <w:rsid w:val="0075574D"/>
    <w:rsid w:val="00755823"/>
    <w:rsid w:val="007558F9"/>
    <w:rsid w:val="007558FC"/>
    <w:rsid w:val="0075598A"/>
    <w:rsid w:val="00755A0B"/>
    <w:rsid w:val="00755AA1"/>
    <w:rsid w:val="00755C05"/>
    <w:rsid w:val="00755C3A"/>
    <w:rsid w:val="00755C7C"/>
    <w:rsid w:val="00755CBC"/>
    <w:rsid w:val="00755D80"/>
    <w:rsid w:val="00755D86"/>
    <w:rsid w:val="00755E14"/>
    <w:rsid w:val="00755E55"/>
    <w:rsid w:val="00756095"/>
    <w:rsid w:val="007560B6"/>
    <w:rsid w:val="00756118"/>
    <w:rsid w:val="00756147"/>
    <w:rsid w:val="007562DA"/>
    <w:rsid w:val="0075631F"/>
    <w:rsid w:val="00756361"/>
    <w:rsid w:val="00756386"/>
    <w:rsid w:val="00756497"/>
    <w:rsid w:val="00756555"/>
    <w:rsid w:val="007565E6"/>
    <w:rsid w:val="00756603"/>
    <w:rsid w:val="0075661E"/>
    <w:rsid w:val="00756625"/>
    <w:rsid w:val="00756731"/>
    <w:rsid w:val="007567D5"/>
    <w:rsid w:val="0075688D"/>
    <w:rsid w:val="007569E5"/>
    <w:rsid w:val="00756A1D"/>
    <w:rsid w:val="00756B69"/>
    <w:rsid w:val="00756BD5"/>
    <w:rsid w:val="00756CDF"/>
    <w:rsid w:val="00756D24"/>
    <w:rsid w:val="00756DAB"/>
    <w:rsid w:val="00756E12"/>
    <w:rsid w:val="00756F26"/>
    <w:rsid w:val="00756FC3"/>
    <w:rsid w:val="0075706B"/>
    <w:rsid w:val="00757195"/>
    <w:rsid w:val="00757197"/>
    <w:rsid w:val="007571DB"/>
    <w:rsid w:val="00757249"/>
    <w:rsid w:val="007572A9"/>
    <w:rsid w:val="00757346"/>
    <w:rsid w:val="007573A2"/>
    <w:rsid w:val="007573D0"/>
    <w:rsid w:val="00757402"/>
    <w:rsid w:val="007574A5"/>
    <w:rsid w:val="007574B4"/>
    <w:rsid w:val="00757540"/>
    <w:rsid w:val="007575C0"/>
    <w:rsid w:val="00757606"/>
    <w:rsid w:val="00757662"/>
    <w:rsid w:val="007576CC"/>
    <w:rsid w:val="007576E6"/>
    <w:rsid w:val="00757754"/>
    <w:rsid w:val="00757760"/>
    <w:rsid w:val="00757788"/>
    <w:rsid w:val="0075785D"/>
    <w:rsid w:val="0075791F"/>
    <w:rsid w:val="00757933"/>
    <w:rsid w:val="007579C8"/>
    <w:rsid w:val="00757B8E"/>
    <w:rsid w:val="00757BAA"/>
    <w:rsid w:val="00757C04"/>
    <w:rsid w:val="00757C31"/>
    <w:rsid w:val="00757C76"/>
    <w:rsid w:val="00757CFE"/>
    <w:rsid w:val="00757D18"/>
    <w:rsid w:val="00757D2F"/>
    <w:rsid w:val="00757DA9"/>
    <w:rsid w:val="00757DFC"/>
    <w:rsid w:val="00757E1D"/>
    <w:rsid w:val="00757FA4"/>
    <w:rsid w:val="00757FB2"/>
    <w:rsid w:val="00760009"/>
    <w:rsid w:val="0076000E"/>
    <w:rsid w:val="007600A1"/>
    <w:rsid w:val="0076047F"/>
    <w:rsid w:val="0076050A"/>
    <w:rsid w:val="007605CB"/>
    <w:rsid w:val="00760708"/>
    <w:rsid w:val="00760731"/>
    <w:rsid w:val="007608BC"/>
    <w:rsid w:val="007608CA"/>
    <w:rsid w:val="00760908"/>
    <w:rsid w:val="00760976"/>
    <w:rsid w:val="00760A15"/>
    <w:rsid w:val="00760A7B"/>
    <w:rsid w:val="00760B2C"/>
    <w:rsid w:val="00760B88"/>
    <w:rsid w:val="00760C00"/>
    <w:rsid w:val="00760C41"/>
    <w:rsid w:val="00760D71"/>
    <w:rsid w:val="00760DAE"/>
    <w:rsid w:val="00760DBB"/>
    <w:rsid w:val="00760E5B"/>
    <w:rsid w:val="00760E90"/>
    <w:rsid w:val="00760E9D"/>
    <w:rsid w:val="00760EAE"/>
    <w:rsid w:val="00760F09"/>
    <w:rsid w:val="00760F17"/>
    <w:rsid w:val="0076107E"/>
    <w:rsid w:val="007610E9"/>
    <w:rsid w:val="00761103"/>
    <w:rsid w:val="00761122"/>
    <w:rsid w:val="007611F7"/>
    <w:rsid w:val="00761247"/>
    <w:rsid w:val="00761248"/>
    <w:rsid w:val="00761278"/>
    <w:rsid w:val="007612E9"/>
    <w:rsid w:val="00761368"/>
    <w:rsid w:val="007613F3"/>
    <w:rsid w:val="007615AA"/>
    <w:rsid w:val="007615FD"/>
    <w:rsid w:val="00761662"/>
    <w:rsid w:val="007616EC"/>
    <w:rsid w:val="00761728"/>
    <w:rsid w:val="00761735"/>
    <w:rsid w:val="007618E0"/>
    <w:rsid w:val="007618F5"/>
    <w:rsid w:val="0076196E"/>
    <w:rsid w:val="00761984"/>
    <w:rsid w:val="00761A5F"/>
    <w:rsid w:val="00761A70"/>
    <w:rsid w:val="00761A95"/>
    <w:rsid w:val="00761AB3"/>
    <w:rsid w:val="00761AB7"/>
    <w:rsid w:val="00761ACB"/>
    <w:rsid w:val="00761B49"/>
    <w:rsid w:val="00761B75"/>
    <w:rsid w:val="00761BF5"/>
    <w:rsid w:val="00761C6C"/>
    <w:rsid w:val="00761CDF"/>
    <w:rsid w:val="00761D92"/>
    <w:rsid w:val="00761E73"/>
    <w:rsid w:val="00761F0C"/>
    <w:rsid w:val="00761F9B"/>
    <w:rsid w:val="00762080"/>
    <w:rsid w:val="007620D7"/>
    <w:rsid w:val="0076211B"/>
    <w:rsid w:val="00762373"/>
    <w:rsid w:val="00762402"/>
    <w:rsid w:val="0076244A"/>
    <w:rsid w:val="00762452"/>
    <w:rsid w:val="0076248A"/>
    <w:rsid w:val="00762515"/>
    <w:rsid w:val="00762617"/>
    <w:rsid w:val="00762623"/>
    <w:rsid w:val="00762695"/>
    <w:rsid w:val="00762857"/>
    <w:rsid w:val="00762977"/>
    <w:rsid w:val="007629E5"/>
    <w:rsid w:val="00762B13"/>
    <w:rsid w:val="00762B22"/>
    <w:rsid w:val="00762B72"/>
    <w:rsid w:val="00762B94"/>
    <w:rsid w:val="00762C3B"/>
    <w:rsid w:val="00762CEC"/>
    <w:rsid w:val="00762D5F"/>
    <w:rsid w:val="00762E8D"/>
    <w:rsid w:val="00762EA0"/>
    <w:rsid w:val="00762EAE"/>
    <w:rsid w:val="00762EEF"/>
    <w:rsid w:val="00762F9F"/>
    <w:rsid w:val="007631CF"/>
    <w:rsid w:val="007631E5"/>
    <w:rsid w:val="0076320D"/>
    <w:rsid w:val="0076324C"/>
    <w:rsid w:val="007632BA"/>
    <w:rsid w:val="0076336C"/>
    <w:rsid w:val="007633C2"/>
    <w:rsid w:val="0076355C"/>
    <w:rsid w:val="007636E6"/>
    <w:rsid w:val="00763742"/>
    <w:rsid w:val="00763815"/>
    <w:rsid w:val="0076392E"/>
    <w:rsid w:val="007639BE"/>
    <w:rsid w:val="00763A9A"/>
    <w:rsid w:val="00763AA6"/>
    <w:rsid w:val="00763AAA"/>
    <w:rsid w:val="00763AAD"/>
    <w:rsid w:val="00763B8E"/>
    <w:rsid w:val="00763C3F"/>
    <w:rsid w:val="00763C51"/>
    <w:rsid w:val="00763CAE"/>
    <w:rsid w:val="00763CCB"/>
    <w:rsid w:val="00763E3A"/>
    <w:rsid w:val="00764026"/>
    <w:rsid w:val="0076406D"/>
    <w:rsid w:val="0076408F"/>
    <w:rsid w:val="007640CF"/>
    <w:rsid w:val="00764199"/>
    <w:rsid w:val="00764290"/>
    <w:rsid w:val="007642B4"/>
    <w:rsid w:val="00764333"/>
    <w:rsid w:val="00764461"/>
    <w:rsid w:val="0076450B"/>
    <w:rsid w:val="0076468A"/>
    <w:rsid w:val="0076486F"/>
    <w:rsid w:val="007648C0"/>
    <w:rsid w:val="007649BC"/>
    <w:rsid w:val="007649C4"/>
    <w:rsid w:val="00764A2A"/>
    <w:rsid w:val="00764A4D"/>
    <w:rsid w:val="00764A5C"/>
    <w:rsid w:val="00764A9C"/>
    <w:rsid w:val="00764AE6"/>
    <w:rsid w:val="00764BA7"/>
    <w:rsid w:val="00764BF5"/>
    <w:rsid w:val="00764C2A"/>
    <w:rsid w:val="00764C45"/>
    <w:rsid w:val="00764C94"/>
    <w:rsid w:val="00764C98"/>
    <w:rsid w:val="00764D03"/>
    <w:rsid w:val="00764D74"/>
    <w:rsid w:val="00764EC2"/>
    <w:rsid w:val="00764EC5"/>
    <w:rsid w:val="007650C4"/>
    <w:rsid w:val="00765130"/>
    <w:rsid w:val="0076519A"/>
    <w:rsid w:val="00765216"/>
    <w:rsid w:val="007652D0"/>
    <w:rsid w:val="00765336"/>
    <w:rsid w:val="007654FE"/>
    <w:rsid w:val="0076569B"/>
    <w:rsid w:val="00765752"/>
    <w:rsid w:val="00765762"/>
    <w:rsid w:val="00765773"/>
    <w:rsid w:val="00765925"/>
    <w:rsid w:val="00765989"/>
    <w:rsid w:val="00765A13"/>
    <w:rsid w:val="00765A4C"/>
    <w:rsid w:val="00765A7C"/>
    <w:rsid w:val="00765B06"/>
    <w:rsid w:val="00765C3A"/>
    <w:rsid w:val="00765C5B"/>
    <w:rsid w:val="00765CA4"/>
    <w:rsid w:val="00765CE9"/>
    <w:rsid w:val="00765D1E"/>
    <w:rsid w:val="00765D52"/>
    <w:rsid w:val="00765D76"/>
    <w:rsid w:val="00765D83"/>
    <w:rsid w:val="00765D86"/>
    <w:rsid w:val="00765EBD"/>
    <w:rsid w:val="00765ECA"/>
    <w:rsid w:val="00765F1D"/>
    <w:rsid w:val="00765FD9"/>
    <w:rsid w:val="0076603C"/>
    <w:rsid w:val="00766048"/>
    <w:rsid w:val="0076611B"/>
    <w:rsid w:val="00766277"/>
    <w:rsid w:val="00766390"/>
    <w:rsid w:val="007663D9"/>
    <w:rsid w:val="00766401"/>
    <w:rsid w:val="0076656A"/>
    <w:rsid w:val="00766614"/>
    <w:rsid w:val="0076663F"/>
    <w:rsid w:val="00766685"/>
    <w:rsid w:val="00766701"/>
    <w:rsid w:val="00766779"/>
    <w:rsid w:val="0076688E"/>
    <w:rsid w:val="007668EC"/>
    <w:rsid w:val="00766911"/>
    <w:rsid w:val="00766970"/>
    <w:rsid w:val="007669CC"/>
    <w:rsid w:val="007669D7"/>
    <w:rsid w:val="00766B06"/>
    <w:rsid w:val="00766BE2"/>
    <w:rsid w:val="00766CE7"/>
    <w:rsid w:val="00766D00"/>
    <w:rsid w:val="00766E49"/>
    <w:rsid w:val="00766EC1"/>
    <w:rsid w:val="00767044"/>
    <w:rsid w:val="00767157"/>
    <w:rsid w:val="007671BD"/>
    <w:rsid w:val="007671CC"/>
    <w:rsid w:val="00767300"/>
    <w:rsid w:val="00767328"/>
    <w:rsid w:val="0076735C"/>
    <w:rsid w:val="0076736E"/>
    <w:rsid w:val="007673E7"/>
    <w:rsid w:val="00767481"/>
    <w:rsid w:val="00767531"/>
    <w:rsid w:val="00767631"/>
    <w:rsid w:val="007676DF"/>
    <w:rsid w:val="00767793"/>
    <w:rsid w:val="00767806"/>
    <w:rsid w:val="0076796F"/>
    <w:rsid w:val="007679D8"/>
    <w:rsid w:val="00767B7C"/>
    <w:rsid w:val="00767BD7"/>
    <w:rsid w:val="00767C4C"/>
    <w:rsid w:val="00767C9F"/>
    <w:rsid w:val="00767D5A"/>
    <w:rsid w:val="00767D78"/>
    <w:rsid w:val="00767D8A"/>
    <w:rsid w:val="00767DA2"/>
    <w:rsid w:val="00767E37"/>
    <w:rsid w:val="00767FEA"/>
    <w:rsid w:val="007700F4"/>
    <w:rsid w:val="00770143"/>
    <w:rsid w:val="00770154"/>
    <w:rsid w:val="0077026C"/>
    <w:rsid w:val="00770273"/>
    <w:rsid w:val="007702DF"/>
    <w:rsid w:val="0077032E"/>
    <w:rsid w:val="00770384"/>
    <w:rsid w:val="0077046B"/>
    <w:rsid w:val="007704B9"/>
    <w:rsid w:val="0077053A"/>
    <w:rsid w:val="00770597"/>
    <w:rsid w:val="007705A1"/>
    <w:rsid w:val="007705D3"/>
    <w:rsid w:val="00770697"/>
    <w:rsid w:val="007706F7"/>
    <w:rsid w:val="00770803"/>
    <w:rsid w:val="00770891"/>
    <w:rsid w:val="0077089C"/>
    <w:rsid w:val="0077094B"/>
    <w:rsid w:val="00770952"/>
    <w:rsid w:val="00770A4B"/>
    <w:rsid w:val="00770A57"/>
    <w:rsid w:val="00770AC1"/>
    <w:rsid w:val="00770AD5"/>
    <w:rsid w:val="00770B2E"/>
    <w:rsid w:val="00770B51"/>
    <w:rsid w:val="00770B8D"/>
    <w:rsid w:val="00770C3D"/>
    <w:rsid w:val="00770C5A"/>
    <w:rsid w:val="00770CF0"/>
    <w:rsid w:val="00770D24"/>
    <w:rsid w:val="00770DB1"/>
    <w:rsid w:val="00770E00"/>
    <w:rsid w:val="00770EF6"/>
    <w:rsid w:val="00770F41"/>
    <w:rsid w:val="00770F94"/>
    <w:rsid w:val="00770F9C"/>
    <w:rsid w:val="00771013"/>
    <w:rsid w:val="00771063"/>
    <w:rsid w:val="00771109"/>
    <w:rsid w:val="007711D2"/>
    <w:rsid w:val="00771202"/>
    <w:rsid w:val="00771203"/>
    <w:rsid w:val="00771304"/>
    <w:rsid w:val="00771307"/>
    <w:rsid w:val="00771319"/>
    <w:rsid w:val="00771356"/>
    <w:rsid w:val="0077136A"/>
    <w:rsid w:val="00771390"/>
    <w:rsid w:val="007713E8"/>
    <w:rsid w:val="007713FD"/>
    <w:rsid w:val="0077144D"/>
    <w:rsid w:val="007714A3"/>
    <w:rsid w:val="0077157C"/>
    <w:rsid w:val="007716EA"/>
    <w:rsid w:val="0077177D"/>
    <w:rsid w:val="00771794"/>
    <w:rsid w:val="007717E1"/>
    <w:rsid w:val="007718B2"/>
    <w:rsid w:val="007718DB"/>
    <w:rsid w:val="0077192E"/>
    <w:rsid w:val="00771993"/>
    <w:rsid w:val="007719A8"/>
    <w:rsid w:val="00771A06"/>
    <w:rsid w:val="00771BAA"/>
    <w:rsid w:val="00771BDB"/>
    <w:rsid w:val="00771CCF"/>
    <w:rsid w:val="00771D6A"/>
    <w:rsid w:val="00771E23"/>
    <w:rsid w:val="00771E9A"/>
    <w:rsid w:val="00771EDF"/>
    <w:rsid w:val="00771F7D"/>
    <w:rsid w:val="00771FD4"/>
    <w:rsid w:val="00772196"/>
    <w:rsid w:val="0077236E"/>
    <w:rsid w:val="007724FD"/>
    <w:rsid w:val="0077251C"/>
    <w:rsid w:val="0077253D"/>
    <w:rsid w:val="00772662"/>
    <w:rsid w:val="00772686"/>
    <w:rsid w:val="007727C6"/>
    <w:rsid w:val="007727FB"/>
    <w:rsid w:val="00772867"/>
    <w:rsid w:val="00772887"/>
    <w:rsid w:val="007729C5"/>
    <w:rsid w:val="007729D9"/>
    <w:rsid w:val="00772A11"/>
    <w:rsid w:val="00772ABB"/>
    <w:rsid w:val="00772AFD"/>
    <w:rsid w:val="00772B36"/>
    <w:rsid w:val="00772B55"/>
    <w:rsid w:val="00772BB0"/>
    <w:rsid w:val="00772BE7"/>
    <w:rsid w:val="00772C1D"/>
    <w:rsid w:val="00772C23"/>
    <w:rsid w:val="00772C3E"/>
    <w:rsid w:val="00772D74"/>
    <w:rsid w:val="00772D9C"/>
    <w:rsid w:val="00772E44"/>
    <w:rsid w:val="00772E95"/>
    <w:rsid w:val="00773034"/>
    <w:rsid w:val="00773068"/>
    <w:rsid w:val="007731F2"/>
    <w:rsid w:val="0077321D"/>
    <w:rsid w:val="0077328E"/>
    <w:rsid w:val="0077338F"/>
    <w:rsid w:val="00773461"/>
    <w:rsid w:val="007734A7"/>
    <w:rsid w:val="0077360F"/>
    <w:rsid w:val="00773641"/>
    <w:rsid w:val="007736E8"/>
    <w:rsid w:val="0077374E"/>
    <w:rsid w:val="0077378E"/>
    <w:rsid w:val="007737E6"/>
    <w:rsid w:val="0077381F"/>
    <w:rsid w:val="00773856"/>
    <w:rsid w:val="007738A6"/>
    <w:rsid w:val="007738F1"/>
    <w:rsid w:val="00773919"/>
    <w:rsid w:val="00773925"/>
    <w:rsid w:val="007739D2"/>
    <w:rsid w:val="00773A16"/>
    <w:rsid w:val="00773B5F"/>
    <w:rsid w:val="00773B77"/>
    <w:rsid w:val="00773DD6"/>
    <w:rsid w:val="00773E21"/>
    <w:rsid w:val="00773E37"/>
    <w:rsid w:val="0077402F"/>
    <w:rsid w:val="00774030"/>
    <w:rsid w:val="00774072"/>
    <w:rsid w:val="0077412F"/>
    <w:rsid w:val="0077414C"/>
    <w:rsid w:val="00774252"/>
    <w:rsid w:val="00774386"/>
    <w:rsid w:val="00774390"/>
    <w:rsid w:val="0077444E"/>
    <w:rsid w:val="007744E2"/>
    <w:rsid w:val="00774549"/>
    <w:rsid w:val="0077464D"/>
    <w:rsid w:val="007746AE"/>
    <w:rsid w:val="0077478D"/>
    <w:rsid w:val="007747CB"/>
    <w:rsid w:val="007747D6"/>
    <w:rsid w:val="00774883"/>
    <w:rsid w:val="007748D3"/>
    <w:rsid w:val="007749DA"/>
    <w:rsid w:val="007749FD"/>
    <w:rsid w:val="00774A35"/>
    <w:rsid w:val="00774A81"/>
    <w:rsid w:val="00774A97"/>
    <w:rsid w:val="00774AB4"/>
    <w:rsid w:val="00774ACE"/>
    <w:rsid w:val="00774B64"/>
    <w:rsid w:val="00774B82"/>
    <w:rsid w:val="00774BC4"/>
    <w:rsid w:val="00774E1B"/>
    <w:rsid w:val="00775201"/>
    <w:rsid w:val="007752BD"/>
    <w:rsid w:val="0077530D"/>
    <w:rsid w:val="0077540D"/>
    <w:rsid w:val="007754E0"/>
    <w:rsid w:val="007754EF"/>
    <w:rsid w:val="00775521"/>
    <w:rsid w:val="00775526"/>
    <w:rsid w:val="00775586"/>
    <w:rsid w:val="007755B4"/>
    <w:rsid w:val="007755BD"/>
    <w:rsid w:val="007755C2"/>
    <w:rsid w:val="00775668"/>
    <w:rsid w:val="007756C6"/>
    <w:rsid w:val="00775708"/>
    <w:rsid w:val="0077572B"/>
    <w:rsid w:val="00775823"/>
    <w:rsid w:val="00775869"/>
    <w:rsid w:val="0077594E"/>
    <w:rsid w:val="007759E0"/>
    <w:rsid w:val="00775AC9"/>
    <w:rsid w:val="00775B3D"/>
    <w:rsid w:val="00775B68"/>
    <w:rsid w:val="00775B81"/>
    <w:rsid w:val="00775CC9"/>
    <w:rsid w:val="00775CCF"/>
    <w:rsid w:val="00775CDD"/>
    <w:rsid w:val="00775E71"/>
    <w:rsid w:val="00775F57"/>
    <w:rsid w:val="007760A5"/>
    <w:rsid w:val="007760EA"/>
    <w:rsid w:val="00776189"/>
    <w:rsid w:val="007761BB"/>
    <w:rsid w:val="00776323"/>
    <w:rsid w:val="0077636C"/>
    <w:rsid w:val="00776417"/>
    <w:rsid w:val="00776428"/>
    <w:rsid w:val="00776470"/>
    <w:rsid w:val="00776489"/>
    <w:rsid w:val="00776556"/>
    <w:rsid w:val="00776584"/>
    <w:rsid w:val="007765E8"/>
    <w:rsid w:val="007766B5"/>
    <w:rsid w:val="007766EF"/>
    <w:rsid w:val="007767F7"/>
    <w:rsid w:val="00776875"/>
    <w:rsid w:val="00776887"/>
    <w:rsid w:val="007768C4"/>
    <w:rsid w:val="007769C5"/>
    <w:rsid w:val="007769E8"/>
    <w:rsid w:val="007769E9"/>
    <w:rsid w:val="007769EF"/>
    <w:rsid w:val="00776ABD"/>
    <w:rsid w:val="00776B27"/>
    <w:rsid w:val="00776B6C"/>
    <w:rsid w:val="00776B72"/>
    <w:rsid w:val="00776B8B"/>
    <w:rsid w:val="00776D4F"/>
    <w:rsid w:val="00776DD3"/>
    <w:rsid w:val="00776DDC"/>
    <w:rsid w:val="00776DF4"/>
    <w:rsid w:val="00776EF6"/>
    <w:rsid w:val="007770F9"/>
    <w:rsid w:val="00777179"/>
    <w:rsid w:val="0077723B"/>
    <w:rsid w:val="007772C0"/>
    <w:rsid w:val="007772D1"/>
    <w:rsid w:val="00777307"/>
    <w:rsid w:val="00777320"/>
    <w:rsid w:val="00777392"/>
    <w:rsid w:val="007774B8"/>
    <w:rsid w:val="0077751F"/>
    <w:rsid w:val="00777535"/>
    <w:rsid w:val="007775D8"/>
    <w:rsid w:val="007776DF"/>
    <w:rsid w:val="00777805"/>
    <w:rsid w:val="007778B4"/>
    <w:rsid w:val="00777939"/>
    <w:rsid w:val="00777945"/>
    <w:rsid w:val="00777A96"/>
    <w:rsid w:val="00777B3A"/>
    <w:rsid w:val="00777BC7"/>
    <w:rsid w:val="00777C08"/>
    <w:rsid w:val="00777CF1"/>
    <w:rsid w:val="00777D31"/>
    <w:rsid w:val="00777D40"/>
    <w:rsid w:val="00777D83"/>
    <w:rsid w:val="00777E24"/>
    <w:rsid w:val="00777EA7"/>
    <w:rsid w:val="00777ED3"/>
    <w:rsid w:val="00777F48"/>
    <w:rsid w:val="00777F4E"/>
    <w:rsid w:val="00777F68"/>
    <w:rsid w:val="00780050"/>
    <w:rsid w:val="0078007A"/>
    <w:rsid w:val="007801A6"/>
    <w:rsid w:val="0078020D"/>
    <w:rsid w:val="00780318"/>
    <w:rsid w:val="007803A2"/>
    <w:rsid w:val="0078041A"/>
    <w:rsid w:val="00780432"/>
    <w:rsid w:val="00780465"/>
    <w:rsid w:val="0078065C"/>
    <w:rsid w:val="0078068D"/>
    <w:rsid w:val="007806B1"/>
    <w:rsid w:val="00780734"/>
    <w:rsid w:val="00780791"/>
    <w:rsid w:val="007809C9"/>
    <w:rsid w:val="00780A40"/>
    <w:rsid w:val="00780AF5"/>
    <w:rsid w:val="00780B32"/>
    <w:rsid w:val="00780B4E"/>
    <w:rsid w:val="00780B8D"/>
    <w:rsid w:val="00780B8E"/>
    <w:rsid w:val="00780BED"/>
    <w:rsid w:val="00780C56"/>
    <w:rsid w:val="00780EFE"/>
    <w:rsid w:val="00780F8D"/>
    <w:rsid w:val="00780FAD"/>
    <w:rsid w:val="00781115"/>
    <w:rsid w:val="00781169"/>
    <w:rsid w:val="007811B7"/>
    <w:rsid w:val="00781226"/>
    <w:rsid w:val="0078132D"/>
    <w:rsid w:val="007813ED"/>
    <w:rsid w:val="0078142B"/>
    <w:rsid w:val="00781500"/>
    <w:rsid w:val="00781521"/>
    <w:rsid w:val="00781578"/>
    <w:rsid w:val="007815AE"/>
    <w:rsid w:val="007815EF"/>
    <w:rsid w:val="00781649"/>
    <w:rsid w:val="007816D2"/>
    <w:rsid w:val="00781756"/>
    <w:rsid w:val="0078177D"/>
    <w:rsid w:val="00781787"/>
    <w:rsid w:val="007817A6"/>
    <w:rsid w:val="00781868"/>
    <w:rsid w:val="00781895"/>
    <w:rsid w:val="007818AE"/>
    <w:rsid w:val="0078191F"/>
    <w:rsid w:val="007819F7"/>
    <w:rsid w:val="00781A82"/>
    <w:rsid w:val="00781B1C"/>
    <w:rsid w:val="00781B60"/>
    <w:rsid w:val="00781BB2"/>
    <w:rsid w:val="00781C79"/>
    <w:rsid w:val="00781C93"/>
    <w:rsid w:val="00781CCC"/>
    <w:rsid w:val="00781E38"/>
    <w:rsid w:val="00781EF8"/>
    <w:rsid w:val="00781F33"/>
    <w:rsid w:val="00781F76"/>
    <w:rsid w:val="0078215A"/>
    <w:rsid w:val="007822C8"/>
    <w:rsid w:val="0078236C"/>
    <w:rsid w:val="0078237A"/>
    <w:rsid w:val="007823D6"/>
    <w:rsid w:val="007823F4"/>
    <w:rsid w:val="0078242C"/>
    <w:rsid w:val="00782467"/>
    <w:rsid w:val="007824C7"/>
    <w:rsid w:val="007824D6"/>
    <w:rsid w:val="00782543"/>
    <w:rsid w:val="0078254E"/>
    <w:rsid w:val="00782628"/>
    <w:rsid w:val="00782657"/>
    <w:rsid w:val="00782689"/>
    <w:rsid w:val="007826AB"/>
    <w:rsid w:val="00782790"/>
    <w:rsid w:val="007827BF"/>
    <w:rsid w:val="007827C1"/>
    <w:rsid w:val="007827E4"/>
    <w:rsid w:val="00782863"/>
    <w:rsid w:val="007828F4"/>
    <w:rsid w:val="0078298E"/>
    <w:rsid w:val="00782A25"/>
    <w:rsid w:val="00782B85"/>
    <w:rsid w:val="00782CE4"/>
    <w:rsid w:val="00782D1E"/>
    <w:rsid w:val="00782D93"/>
    <w:rsid w:val="00782EA1"/>
    <w:rsid w:val="00783058"/>
    <w:rsid w:val="0078309F"/>
    <w:rsid w:val="0078316E"/>
    <w:rsid w:val="0078317C"/>
    <w:rsid w:val="00783265"/>
    <w:rsid w:val="0078331E"/>
    <w:rsid w:val="0078332B"/>
    <w:rsid w:val="00783364"/>
    <w:rsid w:val="007833B9"/>
    <w:rsid w:val="007833CC"/>
    <w:rsid w:val="00783411"/>
    <w:rsid w:val="00783555"/>
    <w:rsid w:val="0078366D"/>
    <w:rsid w:val="007836A6"/>
    <w:rsid w:val="00783704"/>
    <w:rsid w:val="00783755"/>
    <w:rsid w:val="007837CC"/>
    <w:rsid w:val="00783888"/>
    <w:rsid w:val="007838B2"/>
    <w:rsid w:val="00783941"/>
    <w:rsid w:val="00783974"/>
    <w:rsid w:val="00783C23"/>
    <w:rsid w:val="00783CB0"/>
    <w:rsid w:val="00783CF8"/>
    <w:rsid w:val="00783D01"/>
    <w:rsid w:val="00783D92"/>
    <w:rsid w:val="00783DBF"/>
    <w:rsid w:val="00783E3A"/>
    <w:rsid w:val="00783E66"/>
    <w:rsid w:val="00783E7E"/>
    <w:rsid w:val="00783E85"/>
    <w:rsid w:val="007840DD"/>
    <w:rsid w:val="007840E2"/>
    <w:rsid w:val="007841B8"/>
    <w:rsid w:val="007841CC"/>
    <w:rsid w:val="007843E9"/>
    <w:rsid w:val="00784400"/>
    <w:rsid w:val="00784470"/>
    <w:rsid w:val="007844BE"/>
    <w:rsid w:val="00784567"/>
    <w:rsid w:val="00784594"/>
    <w:rsid w:val="007845A5"/>
    <w:rsid w:val="00784623"/>
    <w:rsid w:val="0078465C"/>
    <w:rsid w:val="00784701"/>
    <w:rsid w:val="00784717"/>
    <w:rsid w:val="0078475C"/>
    <w:rsid w:val="007847BC"/>
    <w:rsid w:val="007848C5"/>
    <w:rsid w:val="007848D7"/>
    <w:rsid w:val="007849A0"/>
    <w:rsid w:val="00784B5C"/>
    <w:rsid w:val="00784B8D"/>
    <w:rsid w:val="00784C92"/>
    <w:rsid w:val="00784D40"/>
    <w:rsid w:val="00784DDF"/>
    <w:rsid w:val="00784E5C"/>
    <w:rsid w:val="00784EC8"/>
    <w:rsid w:val="00784F5A"/>
    <w:rsid w:val="00784F61"/>
    <w:rsid w:val="00784FA1"/>
    <w:rsid w:val="00784FF6"/>
    <w:rsid w:val="007850AF"/>
    <w:rsid w:val="00785230"/>
    <w:rsid w:val="00785279"/>
    <w:rsid w:val="007853B2"/>
    <w:rsid w:val="007853E4"/>
    <w:rsid w:val="00785413"/>
    <w:rsid w:val="00785423"/>
    <w:rsid w:val="00785491"/>
    <w:rsid w:val="00785498"/>
    <w:rsid w:val="007854B9"/>
    <w:rsid w:val="0078553A"/>
    <w:rsid w:val="0078555E"/>
    <w:rsid w:val="00785564"/>
    <w:rsid w:val="007855F6"/>
    <w:rsid w:val="00785633"/>
    <w:rsid w:val="0078569F"/>
    <w:rsid w:val="00785802"/>
    <w:rsid w:val="00785803"/>
    <w:rsid w:val="00785809"/>
    <w:rsid w:val="00785815"/>
    <w:rsid w:val="00785859"/>
    <w:rsid w:val="007858AB"/>
    <w:rsid w:val="007858C0"/>
    <w:rsid w:val="00785919"/>
    <w:rsid w:val="00785984"/>
    <w:rsid w:val="00785AFD"/>
    <w:rsid w:val="00785B19"/>
    <w:rsid w:val="00785C19"/>
    <w:rsid w:val="00785C48"/>
    <w:rsid w:val="00785E9D"/>
    <w:rsid w:val="00785EB4"/>
    <w:rsid w:val="00785FB0"/>
    <w:rsid w:val="0078609A"/>
    <w:rsid w:val="00786103"/>
    <w:rsid w:val="007861B6"/>
    <w:rsid w:val="00786257"/>
    <w:rsid w:val="0078625C"/>
    <w:rsid w:val="00786280"/>
    <w:rsid w:val="007862F7"/>
    <w:rsid w:val="007862FC"/>
    <w:rsid w:val="007863F6"/>
    <w:rsid w:val="00786442"/>
    <w:rsid w:val="007865A1"/>
    <w:rsid w:val="0078667D"/>
    <w:rsid w:val="00786705"/>
    <w:rsid w:val="0078675B"/>
    <w:rsid w:val="007867A6"/>
    <w:rsid w:val="00786828"/>
    <w:rsid w:val="00786855"/>
    <w:rsid w:val="007868FD"/>
    <w:rsid w:val="00786919"/>
    <w:rsid w:val="00786950"/>
    <w:rsid w:val="00786A42"/>
    <w:rsid w:val="00786A8D"/>
    <w:rsid w:val="00786B72"/>
    <w:rsid w:val="00786BF2"/>
    <w:rsid w:val="00786C1A"/>
    <w:rsid w:val="00786EF7"/>
    <w:rsid w:val="00786F16"/>
    <w:rsid w:val="00786F85"/>
    <w:rsid w:val="00787061"/>
    <w:rsid w:val="007870A5"/>
    <w:rsid w:val="00787111"/>
    <w:rsid w:val="00787169"/>
    <w:rsid w:val="007871D8"/>
    <w:rsid w:val="007872C2"/>
    <w:rsid w:val="007872C5"/>
    <w:rsid w:val="0078731A"/>
    <w:rsid w:val="00787460"/>
    <w:rsid w:val="00787487"/>
    <w:rsid w:val="007874B5"/>
    <w:rsid w:val="007874C6"/>
    <w:rsid w:val="007874F0"/>
    <w:rsid w:val="007875A3"/>
    <w:rsid w:val="007875AC"/>
    <w:rsid w:val="0078765E"/>
    <w:rsid w:val="00787764"/>
    <w:rsid w:val="00787874"/>
    <w:rsid w:val="00787965"/>
    <w:rsid w:val="00787A2B"/>
    <w:rsid w:val="00787A30"/>
    <w:rsid w:val="00787A40"/>
    <w:rsid w:val="00787A75"/>
    <w:rsid w:val="00787A8B"/>
    <w:rsid w:val="00787ABC"/>
    <w:rsid w:val="00787B25"/>
    <w:rsid w:val="00787BE5"/>
    <w:rsid w:val="00787C68"/>
    <w:rsid w:val="00787D23"/>
    <w:rsid w:val="00787D36"/>
    <w:rsid w:val="00787E4C"/>
    <w:rsid w:val="00787E55"/>
    <w:rsid w:val="00787F5F"/>
    <w:rsid w:val="00787FF9"/>
    <w:rsid w:val="00790011"/>
    <w:rsid w:val="00790100"/>
    <w:rsid w:val="007901CD"/>
    <w:rsid w:val="007902C0"/>
    <w:rsid w:val="007902E8"/>
    <w:rsid w:val="007902FD"/>
    <w:rsid w:val="0079031A"/>
    <w:rsid w:val="00790340"/>
    <w:rsid w:val="0079036C"/>
    <w:rsid w:val="007903B3"/>
    <w:rsid w:val="007903E0"/>
    <w:rsid w:val="00790422"/>
    <w:rsid w:val="0079054A"/>
    <w:rsid w:val="0079058C"/>
    <w:rsid w:val="00790597"/>
    <w:rsid w:val="00790599"/>
    <w:rsid w:val="0079064D"/>
    <w:rsid w:val="00790669"/>
    <w:rsid w:val="0079066C"/>
    <w:rsid w:val="007906F0"/>
    <w:rsid w:val="007906F1"/>
    <w:rsid w:val="00790845"/>
    <w:rsid w:val="007908B8"/>
    <w:rsid w:val="0079097C"/>
    <w:rsid w:val="0079098E"/>
    <w:rsid w:val="007909F2"/>
    <w:rsid w:val="00790A01"/>
    <w:rsid w:val="00790A75"/>
    <w:rsid w:val="00790B6F"/>
    <w:rsid w:val="00790B9C"/>
    <w:rsid w:val="00790C31"/>
    <w:rsid w:val="00790C58"/>
    <w:rsid w:val="00790D9E"/>
    <w:rsid w:val="00790DAE"/>
    <w:rsid w:val="00790E02"/>
    <w:rsid w:val="00790E1C"/>
    <w:rsid w:val="00790EDA"/>
    <w:rsid w:val="00790EFC"/>
    <w:rsid w:val="00790FC9"/>
    <w:rsid w:val="0079108B"/>
    <w:rsid w:val="0079111B"/>
    <w:rsid w:val="007912D2"/>
    <w:rsid w:val="007912FB"/>
    <w:rsid w:val="00791349"/>
    <w:rsid w:val="0079144D"/>
    <w:rsid w:val="007914B0"/>
    <w:rsid w:val="00791624"/>
    <w:rsid w:val="007916EC"/>
    <w:rsid w:val="0079171E"/>
    <w:rsid w:val="007917BA"/>
    <w:rsid w:val="00791B2C"/>
    <w:rsid w:val="00791C55"/>
    <w:rsid w:val="00791CB9"/>
    <w:rsid w:val="00791D67"/>
    <w:rsid w:val="00791D7C"/>
    <w:rsid w:val="00791D85"/>
    <w:rsid w:val="00791DAF"/>
    <w:rsid w:val="00791DCA"/>
    <w:rsid w:val="00791E16"/>
    <w:rsid w:val="00791E26"/>
    <w:rsid w:val="00791F88"/>
    <w:rsid w:val="00792004"/>
    <w:rsid w:val="00792033"/>
    <w:rsid w:val="00792121"/>
    <w:rsid w:val="00792141"/>
    <w:rsid w:val="0079232E"/>
    <w:rsid w:val="0079233A"/>
    <w:rsid w:val="00792385"/>
    <w:rsid w:val="00792400"/>
    <w:rsid w:val="007924CA"/>
    <w:rsid w:val="007924E3"/>
    <w:rsid w:val="00792518"/>
    <w:rsid w:val="0079256F"/>
    <w:rsid w:val="00792729"/>
    <w:rsid w:val="0079277E"/>
    <w:rsid w:val="007927B9"/>
    <w:rsid w:val="00792834"/>
    <w:rsid w:val="00792874"/>
    <w:rsid w:val="007928FC"/>
    <w:rsid w:val="007929AC"/>
    <w:rsid w:val="00792B9E"/>
    <w:rsid w:val="00792BA0"/>
    <w:rsid w:val="00792C33"/>
    <w:rsid w:val="00792C7A"/>
    <w:rsid w:val="00792C9A"/>
    <w:rsid w:val="00792D91"/>
    <w:rsid w:val="00792DCD"/>
    <w:rsid w:val="00792E86"/>
    <w:rsid w:val="00792E96"/>
    <w:rsid w:val="00792EA8"/>
    <w:rsid w:val="00792EFC"/>
    <w:rsid w:val="00792F8C"/>
    <w:rsid w:val="00792FE4"/>
    <w:rsid w:val="0079301E"/>
    <w:rsid w:val="00793051"/>
    <w:rsid w:val="00793098"/>
    <w:rsid w:val="007930CD"/>
    <w:rsid w:val="007930D7"/>
    <w:rsid w:val="00793124"/>
    <w:rsid w:val="00793147"/>
    <w:rsid w:val="00793163"/>
    <w:rsid w:val="00793199"/>
    <w:rsid w:val="007931A5"/>
    <w:rsid w:val="007931F8"/>
    <w:rsid w:val="0079335A"/>
    <w:rsid w:val="00793525"/>
    <w:rsid w:val="0079355B"/>
    <w:rsid w:val="0079363E"/>
    <w:rsid w:val="0079367A"/>
    <w:rsid w:val="007936FC"/>
    <w:rsid w:val="0079373A"/>
    <w:rsid w:val="0079374B"/>
    <w:rsid w:val="00793813"/>
    <w:rsid w:val="0079389D"/>
    <w:rsid w:val="007938A0"/>
    <w:rsid w:val="007938BA"/>
    <w:rsid w:val="00793996"/>
    <w:rsid w:val="007939C3"/>
    <w:rsid w:val="00793A36"/>
    <w:rsid w:val="00793C11"/>
    <w:rsid w:val="00793D77"/>
    <w:rsid w:val="00793E15"/>
    <w:rsid w:val="00793E8A"/>
    <w:rsid w:val="00793EAA"/>
    <w:rsid w:val="007940AF"/>
    <w:rsid w:val="007940BD"/>
    <w:rsid w:val="00794124"/>
    <w:rsid w:val="0079413E"/>
    <w:rsid w:val="007941AE"/>
    <w:rsid w:val="00794352"/>
    <w:rsid w:val="0079442E"/>
    <w:rsid w:val="007944F9"/>
    <w:rsid w:val="00794517"/>
    <w:rsid w:val="00794559"/>
    <w:rsid w:val="0079455A"/>
    <w:rsid w:val="007945C5"/>
    <w:rsid w:val="00794711"/>
    <w:rsid w:val="0079471A"/>
    <w:rsid w:val="00794774"/>
    <w:rsid w:val="007948D2"/>
    <w:rsid w:val="00794992"/>
    <w:rsid w:val="007949AB"/>
    <w:rsid w:val="00794ABD"/>
    <w:rsid w:val="00794B26"/>
    <w:rsid w:val="00794B36"/>
    <w:rsid w:val="00794BE9"/>
    <w:rsid w:val="00794C04"/>
    <w:rsid w:val="00794C2C"/>
    <w:rsid w:val="00794C30"/>
    <w:rsid w:val="00794C89"/>
    <w:rsid w:val="00794CBF"/>
    <w:rsid w:val="00794D3D"/>
    <w:rsid w:val="00794DB7"/>
    <w:rsid w:val="00794DE3"/>
    <w:rsid w:val="00794E29"/>
    <w:rsid w:val="00794E3B"/>
    <w:rsid w:val="00794EE9"/>
    <w:rsid w:val="00794F1A"/>
    <w:rsid w:val="00794FF7"/>
    <w:rsid w:val="0079504E"/>
    <w:rsid w:val="0079505F"/>
    <w:rsid w:val="007950CC"/>
    <w:rsid w:val="00795115"/>
    <w:rsid w:val="00795172"/>
    <w:rsid w:val="0079517A"/>
    <w:rsid w:val="00795192"/>
    <w:rsid w:val="00795199"/>
    <w:rsid w:val="0079530B"/>
    <w:rsid w:val="00795365"/>
    <w:rsid w:val="00795367"/>
    <w:rsid w:val="0079558E"/>
    <w:rsid w:val="0079567E"/>
    <w:rsid w:val="007956DF"/>
    <w:rsid w:val="00795704"/>
    <w:rsid w:val="007957D5"/>
    <w:rsid w:val="00795907"/>
    <w:rsid w:val="00795A4D"/>
    <w:rsid w:val="00795B7E"/>
    <w:rsid w:val="00795BF7"/>
    <w:rsid w:val="00795BFC"/>
    <w:rsid w:val="00795C9D"/>
    <w:rsid w:val="00795CEB"/>
    <w:rsid w:val="00795D59"/>
    <w:rsid w:val="00795D5F"/>
    <w:rsid w:val="00795EAC"/>
    <w:rsid w:val="00795F33"/>
    <w:rsid w:val="00795FA7"/>
    <w:rsid w:val="007960FE"/>
    <w:rsid w:val="0079613C"/>
    <w:rsid w:val="007961D5"/>
    <w:rsid w:val="007961F4"/>
    <w:rsid w:val="007963FC"/>
    <w:rsid w:val="00796439"/>
    <w:rsid w:val="00796466"/>
    <w:rsid w:val="007964E4"/>
    <w:rsid w:val="00796626"/>
    <w:rsid w:val="007966F5"/>
    <w:rsid w:val="0079678E"/>
    <w:rsid w:val="0079681E"/>
    <w:rsid w:val="0079683C"/>
    <w:rsid w:val="007968C5"/>
    <w:rsid w:val="00796938"/>
    <w:rsid w:val="00796A10"/>
    <w:rsid w:val="00796A6F"/>
    <w:rsid w:val="00796B05"/>
    <w:rsid w:val="00796B6C"/>
    <w:rsid w:val="00796C5D"/>
    <w:rsid w:val="00796D60"/>
    <w:rsid w:val="00796E0F"/>
    <w:rsid w:val="00796E13"/>
    <w:rsid w:val="00796E50"/>
    <w:rsid w:val="00796E64"/>
    <w:rsid w:val="00796E84"/>
    <w:rsid w:val="00796F59"/>
    <w:rsid w:val="00796FB0"/>
    <w:rsid w:val="00797019"/>
    <w:rsid w:val="00797060"/>
    <w:rsid w:val="007970FB"/>
    <w:rsid w:val="0079717D"/>
    <w:rsid w:val="0079722E"/>
    <w:rsid w:val="00797247"/>
    <w:rsid w:val="00797258"/>
    <w:rsid w:val="0079730E"/>
    <w:rsid w:val="007973A5"/>
    <w:rsid w:val="00797434"/>
    <w:rsid w:val="00797492"/>
    <w:rsid w:val="00797514"/>
    <w:rsid w:val="007976D1"/>
    <w:rsid w:val="00797727"/>
    <w:rsid w:val="00797732"/>
    <w:rsid w:val="0079776A"/>
    <w:rsid w:val="0079778E"/>
    <w:rsid w:val="00797851"/>
    <w:rsid w:val="0079798D"/>
    <w:rsid w:val="007979B0"/>
    <w:rsid w:val="007979FF"/>
    <w:rsid w:val="00797A15"/>
    <w:rsid w:val="00797B06"/>
    <w:rsid w:val="00797B1C"/>
    <w:rsid w:val="00797B5D"/>
    <w:rsid w:val="00797B9C"/>
    <w:rsid w:val="00797BA6"/>
    <w:rsid w:val="00797C7E"/>
    <w:rsid w:val="00797DBA"/>
    <w:rsid w:val="00797E8B"/>
    <w:rsid w:val="007A0041"/>
    <w:rsid w:val="007A00EF"/>
    <w:rsid w:val="007A010F"/>
    <w:rsid w:val="007A0267"/>
    <w:rsid w:val="007A0271"/>
    <w:rsid w:val="007A02B5"/>
    <w:rsid w:val="007A0301"/>
    <w:rsid w:val="007A031A"/>
    <w:rsid w:val="007A033F"/>
    <w:rsid w:val="007A034A"/>
    <w:rsid w:val="007A035D"/>
    <w:rsid w:val="007A0483"/>
    <w:rsid w:val="007A04D9"/>
    <w:rsid w:val="007A0526"/>
    <w:rsid w:val="007A055B"/>
    <w:rsid w:val="007A05DE"/>
    <w:rsid w:val="007A06E7"/>
    <w:rsid w:val="007A0872"/>
    <w:rsid w:val="007A088C"/>
    <w:rsid w:val="007A08FB"/>
    <w:rsid w:val="007A096F"/>
    <w:rsid w:val="007A0C27"/>
    <w:rsid w:val="007A0D07"/>
    <w:rsid w:val="007A0D97"/>
    <w:rsid w:val="007A0DC4"/>
    <w:rsid w:val="007A0E08"/>
    <w:rsid w:val="007A0EE5"/>
    <w:rsid w:val="007A0F14"/>
    <w:rsid w:val="007A0F2C"/>
    <w:rsid w:val="007A0F79"/>
    <w:rsid w:val="007A1065"/>
    <w:rsid w:val="007A107B"/>
    <w:rsid w:val="007A11FD"/>
    <w:rsid w:val="007A12F1"/>
    <w:rsid w:val="007A13BF"/>
    <w:rsid w:val="007A13C0"/>
    <w:rsid w:val="007A13E8"/>
    <w:rsid w:val="007A13F9"/>
    <w:rsid w:val="007A140B"/>
    <w:rsid w:val="007A1528"/>
    <w:rsid w:val="007A1579"/>
    <w:rsid w:val="007A15A3"/>
    <w:rsid w:val="007A1657"/>
    <w:rsid w:val="007A16C8"/>
    <w:rsid w:val="007A1707"/>
    <w:rsid w:val="007A1816"/>
    <w:rsid w:val="007A1889"/>
    <w:rsid w:val="007A18D7"/>
    <w:rsid w:val="007A1A0A"/>
    <w:rsid w:val="007A1C04"/>
    <w:rsid w:val="007A1CE6"/>
    <w:rsid w:val="007A1D49"/>
    <w:rsid w:val="007A1D5A"/>
    <w:rsid w:val="007A1D86"/>
    <w:rsid w:val="007A1EB9"/>
    <w:rsid w:val="007A1ED4"/>
    <w:rsid w:val="007A1F1B"/>
    <w:rsid w:val="007A1F21"/>
    <w:rsid w:val="007A1FB8"/>
    <w:rsid w:val="007A1FE6"/>
    <w:rsid w:val="007A200C"/>
    <w:rsid w:val="007A212B"/>
    <w:rsid w:val="007A216C"/>
    <w:rsid w:val="007A21CF"/>
    <w:rsid w:val="007A2277"/>
    <w:rsid w:val="007A24AF"/>
    <w:rsid w:val="007A24D3"/>
    <w:rsid w:val="007A253E"/>
    <w:rsid w:val="007A2561"/>
    <w:rsid w:val="007A256C"/>
    <w:rsid w:val="007A258B"/>
    <w:rsid w:val="007A25F4"/>
    <w:rsid w:val="007A2621"/>
    <w:rsid w:val="007A266A"/>
    <w:rsid w:val="007A26D7"/>
    <w:rsid w:val="007A26E4"/>
    <w:rsid w:val="007A2781"/>
    <w:rsid w:val="007A2793"/>
    <w:rsid w:val="007A27C2"/>
    <w:rsid w:val="007A283D"/>
    <w:rsid w:val="007A2884"/>
    <w:rsid w:val="007A28A1"/>
    <w:rsid w:val="007A2928"/>
    <w:rsid w:val="007A2940"/>
    <w:rsid w:val="007A2968"/>
    <w:rsid w:val="007A2A0B"/>
    <w:rsid w:val="007A2A97"/>
    <w:rsid w:val="007A2AE2"/>
    <w:rsid w:val="007A2AF3"/>
    <w:rsid w:val="007A2B38"/>
    <w:rsid w:val="007A2B3D"/>
    <w:rsid w:val="007A2B57"/>
    <w:rsid w:val="007A2C6E"/>
    <w:rsid w:val="007A2C98"/>
    <w:rsid w:val="007A2CDC"/>
    <w:rsid w:val="007A2EFE"/>
    <w:rsid w:val="007A2F0D"/>
    <w:rsid w:val="007A2F32"/>
    <w:rsid w:val="007A2F38"/>
    <w:rsid w:val="007A2F7F"/>
    <w:rsid w:val="007A306B"/>
    <w:rsid w:val="007A30BB"/>
    <w:rsid w:val="007A315C"/>
    <w:rsid w:val="007A319C"/>
    <w:rsid w:val="007A320D"/>
    <w:rsid w:val="007A332C"/>
    <w:rsid w:val="007A33A7"/>
    <w:rsid w:val="007A33FB"/>
    <w:rsid w:val="007A3479"/>
    <w:rsid w:val="007A34E0"/>
    <w:rsid w:val="007A34F6"/>
    <w:rsid w:val="007A3522"/>
    <w:rsid w:val="007A3669"/>
    <w:rsid w:val="007A367A"/>
    <w:rsid w:val="007A3683"/>
    <w:rsid w:val="007A36BD"/>
    <w:rsid w:val="007A36C9"/>
    <w:rsid w:val="007A3715"/>
    <w:rsid w:val="007A371B"/>
    <w:rsid w:val="007A37E9"/>
    <w:rsid w:val="007A3818"/>
    <w:rsid w:val="007A3832"/>
    <w:rsid w:val="007A3883"/>
    <w:rsid w:val="007A38E7"/>
    <w:rsid w:val="007A390A"/>
    <w:rsid w:val="007A39A5"/>
    <w:rsid w:val="007A39A6"/>
    <w:rsid w:val="007A39C2"/>
    <w:rsid w:val="007A3A0F"/>
    <w:rsid w:val="007A3A25"/>
    <w:rsid w:val="007A3AA7"/>
    <w:rsid w:val="007A3ACC"/>
    <w:rsid w:val="007A3C29"/>
    <w:rsid w:val="007A3D2F"/>
    <w:rsid w:val="007A3DBE"/>
    <w:rsid w:val="007A3E60"/>
    <w:rsid w:val="007A3F00"/>
    <w:rsid w:val="007A3F56"/>
    <w:rsid w:val="007A3F6C"/>
    <w:rsid w:val="007A3FC9"/>
    <w:rsid w:val="007A4000"/>
    <w:rsid w:val="007A4009"/>
    <w:rsid w:val="007A4017"/>
    <w:rsid w:val="007A4040"/>
    <w:rsid w:val="007A407D"/>
    <w:rsid w:val="007A409C"/>
    <w:rsid w:val="007A419E"/>
    <w:rsid w:val="007A4280"/>
    <w:rsid w:val="007A42DA"/>
    <w:rsid w:val="007A4326"/>
    <w:rsid w:val="007A4386"/>
    <w:rsid w:val="007A43D1"/>
    <w:rsid w:val="007A43DA"/>
    <w:rsid w:val="007A4443"/>
    <w:rsid w:val="007A44D8"/>
    <w:rsid w:val="007A4593"/>
    <w:rsid w:val="007A4595"/>
    <w:rsid w:val="007A45B9"/>
    <w:rsid w:val="007A464F"/>
    <w:rsid w:val="007A482C"/>
    <w:rsid w:val="007A4836"/>
    <w:rsid w:val="007A4898"/>
    <w:rsid w:val="007A49B3"/>
    <w:rsid w:val="007A49F6"/>
    <w:rsid w:val="007A4A42"/>
    <w:rsid w:val="007A4B84"/>
    <w:rsid w:val="007A4C0C"/>
    <w:rsid w:val="007A4C7C"/>
    <w:rsid w:val="007A4D58"/>
    <w:rsid w:val="007A4E2A"/>
    <w:rsid w:val="007A4F71"/>
    <w:rsid w:val="007A4FC0"/>
    <w:rsid w:val="007A5024"/>
    <w:rsid w:val="007A5086"/>
    <w:rsid w:val="007A5091"/>
    <w:rsid w:val="007A5110"/>
    <w:rsid w:val="007A51E2"/>
    <w:rsid w:val="007A52CD"/>
    <w:rsid w:val="007A53D5"/>
    <w:rsid w:val="007A5401"/>
    <w:rsid w:val="007A5454"/>
    <w:rsid w:val="007A547B"/>
    <w:rsid w:val="007A54C1"/>
    <w:rsid w:val="007A54FE"/>
    <w:rsid w:val="007A5510"/>
    <w:rsid w:val="007A551A"/>
    <w:rsid w:val="007A5541"/>
    <w:rsid w:val="007A563E"/>
    <w:rsid w:val="007A5682"/>
    <w:rsid w:val="007A568D"/>
    <w:rsid w:val="007A56B9"/>
    <w:rsid w:val="007A5786"/>
    <w:rsid w:val="007A57C4"/>
    <w:rsid w:val="007A5919"/>
    <w:rsid w:val="007A5927"/>
    <w:rsid w:val="007A5950"/>
    <w:rsid w:val="007A5AE1"/>
    <w:rsid w:val="007A5B0B"/>
    <w:rsid w:val="007A5C7C"/>
    <w:rsid w:val="007A5CDC"/>
    <w:rsid w:val="007A5E02"/>
    <w:rsid w:val="007A5E30"/>
    <w:rsid w:val="007A5F64"/>
    <w:rsid w:val="007A5FB7"/>
    <w:rsid w:val="007A60D9"/>
    <w:rsid w:val="007A6196"/>
    <w:rsid w:val="007A61A6"/>
    <w:rsid w:val="007A6393"/>
    <w:rsid w:val="007A63D5"/>
    <w:rsid w:val="007A63E7"/>
    <w:rsid w:val="007A640A"/>
    <w:rsid w:val="007A644F"/>
    <w:rsid w:val="007A6520"/>
    <w:rsid w:val="007A6643"/>
    <w:rsid w:val="007A6693"/>
    <w:rsid w:val="007A66F8"/>
    <w:rsid w:val="007A6717"/>
    <w:rsid w:val="007A6780"/>
    <w:rsid w:val="007A679F"/>
    <w:rsid w:val="007A6805"/>
    <w:rsid w:val="007A6871"/>
    <w:rsid w:val="007A6897"/>
    <w:rsid w:val="007A689A"/>
    <w:rsid w:val="007A68EA"/>
    <w:rsid w:val="007A693E"/>
    <w:rsid w:val="007A69AE"/>
    <w:rsid w:val="007A6A2D"/>
    <w:rsid w:val="007A6AD9"/>
    <w:rsid w:val="007A6B46"/>
    <w:rsid w:val="007A6B7D"/>
    <w:rsid w:val="007A6CB4"/>
    <w:rsid w:val="007A6CDD"/>
    <w:rsid w:val="007A6E8E"/>
    <w:rsid w:val="007A6EA4"/>
    <w:rsid w:val="007A6EE3"/>
    <w:rsid w:val="007A6EF1"/>
    <w:rsid w:val="007A6EF3"/>
    <w:rsid w:val="007A6F23"/>
    <w:rsid w:val="007A6F43"/>
    <w:rsid w:val="007A6FAD"/>
    <w:rsid w:val="007A7025"/>
    <w:rsid w:val="007A713B"/>
    <w:rsid w:val="007A721D"/>
    <w:rsid w:val="007A7290"/>
    <w:rsid w:val="007A7326"/>
    <w:rsid w:val="007A7394"/>
    <w:rsid w:val="007A7461"/>
    <w:rsid w:val="007A753B"/>
    <w:rsid w:val="007A7629"/>
    <w:rsid w:val="007A7638"/>
    <w:rsid w:val="007A7677"/>
    <w:rsid w:val="007A76FC"/>
    <w:rsid w:val="007A76FE"/>
    <w:rsid w:val="007A77C0"/>
    <w:rsid w:val="007A785C"/>
    <w:rsid w:val="007A78B9"/>
    <w:rsid w:val="007A79E4"/>
    <w:rsid w:val="007A79FE"/>
    <w:rsid w:val="007A7A10"/>
    <w:rsid w:val="007A7A2C"/>
    <w:rsid w:val="007A7A4C"/>
    <w:rsid w:val="007A7A91"/>
    <w:rsid w:val="007A7AB0"/>
    <w:rsid w:val="007A7AE9"/>
    <w:rsid w:val="007A7B2B"/>
    <w:rsid w:val="007A7B40"/>
    <w:rsid w:val="007A7B62"/>
    <w:rsid w:val="007A7BD4"/>
    <w:rsid w:val="007A7E16"/>
    <w:rsid w:val="007A7E4C"/>
    <w:rsid w:val="007A7E63"/>
    <w:rsid w:val="007A7EA3"/>
    <w:rsid w:val="007A7F42"/>
    <w:rsid w:val="007A7F83"/>
    <w:rsid w:val="007A7FF8"/>
    <w:rsid w:val="007B00A2"/>
    <w:rsid w:val="007B00CB"/>
    <w:rsid w:val="007B0120"/>
    <w:rsid w:val="007B01F5"/>
    <w:rsid w:val="007B02D2"/>
    <w:rsid w:val="007B0300"/>
    <w:rsid w:val="007B031E"/>
    <w:rsid w:val="007B0327"/>
    <w:rsid w:val="007B0377"/>
    <w:rsid w:val="007B03BF"/>
    <w:rsid w:val="007B067A"/>
    <w:rsid w:val="007B06E2"/>
    <w:rsid w:val="007B0744"/>
    <w:rsid w:val="007B0772"/>
    <w:rsid w:val="007B07B4"/>
    <w:rsid w:val="007B080F"/>
    <w:rsid w:val="007B08D6"/>
    <w:rsid w:val="007B0A94"/>
    <w:rsid w:val="007B0B11"/>
    <w:rsid w:val="007B0F15"/>
    <w:rsid w:val="007B0F8D"/>
    <w:rsid w:val="007B1027"/>
    <w:rsid w:val="007B106E"/>
    <w:rsid w:val="007B1071"/>
    <w:rsid w:val="007B108E"/>
    <w:rsid w:val="007B10BA"/>
    <w:rsid w:val="007B10C8"/>
    <w:rsid w:val="007B110D"/>
    <w:rsid w:val="007B1124"/>
    <w:rsid w:val="007B125C"/>
    <w:rsid w:val="007B1290"/>
    <w:rsid w:val="007B1303"/>
    <w:rsid w:val="007B141E"/>
    <w:rsid w:val="007B1486"/>
    <w:rsid w:val="007B160C"/>
    <w:rsid w:val="007B1628"/>
    <w:rsid w:val="007B1691"/>
    <w:rsid w:val="007B16EC"/>
    <w:rsid w:val="007B16FD"/>
    <w:rsid w:val="007B174F"/>
    <w:rsid w:val="007B1782"/>
    <w:rsid w:val="007B17C1"/>
    <w:rsid w:val="007B1838"/>
    <w:rsid w:val="007B1863"/>
    <w:rsid w:val="007B18C1"/>
    <w:rsid w:val="007B1A23"/>
    <w:rsid w:val="007B1A5E"/>
    <w:rsid w:val="007B1A91"/>
    <w:rsid w:val="007B1AD3"/>
    <w:rsid w:val="007B1B6D"/>
    <w:rsid w:val="007B1BBB"/>
    <w:rsid w:val="007B1CAB"/>
    <w:rsid w:val="007B1CF9"/>
    <w:rsid w:val="007B1DF5"/>
    <w:rsid w:val="007B1DFE"/>
    <w:rsid w:val="007B1F30"/>
    <w:rsid w:val="007B1FA3"/>
    <w:rsid w:val="007B201D"/>
    <w:rsid w:val="007B205F"/>
    <w:rsid w:val="007B2061"/>
    <w:rsid w:val="007B2171"/>
    <w:rsid w:val="007B229D"/>
    <w:rsid w:val="007B22E0"/>
    <w:rsid w:val="007B22ED"/>
    <w:rsid w:val="007B2349"/>
    <w:rsid w:val="007B261C"/>
    <w:rsid w:val="007B2651"/>
    <w:rsid w:val="007B276D"/>
    <w:rsid w:val="007B27CD"/>
    <w:rsid w:val="007B2848"/>
    <w:rsid w:val="007B2885"/>
    <w:rsid w:val="007B288D"/>
    <w:rsid w:val="007B28CA"/>
    <w:rsid w:val="007B2924"/>
    <w:rsid w:val="007B29F5"/>
    <w:rsid w:val="007B2A7F"/>
    <w:rsid w:val="007B2AE6"/>
    <w:rsid w:val="007B2B17"/>
    <w:rsid w:val="007B2D21"/>
    <w:rsid w:val="007B2D35"/>
    <w:rsid w:val="007B2D48"/>
    <w:rsid w:val="007B2D97"/>
    <w:rsid w:val="007B2EB4"/>
    <w:rsid w:val="007B2F23"/>
    <w:rsid w:val="007B2F28"/>
    <w:rsid w:val="007B2F3C"/>
    <w:rsid w:val="007B3056"/>
    <w:rsid w:val="007B319B"/>
    <w:rsid w:val="007B3249"/>
    <w:rsid w:val="007B326C"/>
    <w:rsid w:val="007B32CE"/>
    <w:rsid w:val="007B32E9"/>
    <w:rsid w:val="007B33BC"/>
    <w:rsid w:val="007B33FD"/>
    <w:rsid w:val="007B340D"/>
    <w:rsid w:val="007B3421"/>
    <w:rsid w:val="007B34DD"/>
    <w:rsid w:val="007B353E"/>
    <w:rsid w:val="007B358D"/>
    <w:rsid w:val="007B3724"/>
    <w:rsid w:val="007B382F"/>
    <w:rsid w:val="007B387D"/>
    <w:rsid w:val="007B3904"/>
    <w:rsid w:val="007B393D"/>
    <w:rsid w:val="007B3A51"/>
    <w:rsid w:val="007B3AE8"/>
    <w:rsid w:val="007B3B45"/>
    <w:rsid w:val="007B3B6E"/>
    <w:rsid w:val="007B3BA1"/>
    <w:rsid w:val="007B3CB8"/>
    <w:rsid w:val="007B3D37"/>
    <w:rsid w:val="007B3D8B"/>
    <w:rsid w:val="007B3E2C"/>
    <w:rsid w:val="007B3E2F"/>
    <w:rsid w:val="007B3E41"/>
    <w:rsid w:val="007B3E51"/>
    <w:rsid w:val="007B3E6D"/>
    <w:rsid w:val="007B3ED5"/>
    <w:rsid w:val="007B4009"/>
    <w:rsid w:val="007B4011"/>
    <w:rsid w:val="007B4067"/>
    <w:rsid w:val="007B40FB"/>
    <w:rsid w:val="007B4113"/>
    <w:rsid w:val="007B4141"/>
    <w:rsid w:val="007B4170"/>
    <w:rsid w:val="007B4242"/>
    <w:rsid w:val="007B42CF"/>
    <w:rsid w:val="007B431A"/>
    <w:rsid w:val="007B4358"/>
    <w:rsid w:val="007B452C"/>
    <w:rsid w:val="007B46EE"/>
    <w:rsid w:val="007B47C5"/>
    <w:rsid w:val="007B488C"/>
    <w:rsid w:val="007B48BF"/>
    <w:rsid w:val="007B4942"/>
    <w:rsid w:val="007B497C"/>
    <w:rsid w:val="007B4A12"/>
    <w:rsid w:val="007B4A9E"/>
    <w:rsid w:val="007B4B02"/>
    <w:rsid w:val="007B4B5D"/>
    <w:rsid w:val="007B4B8B"/>
    <w:rsid w:val="007B4B8E"/>
    <w:rsid w:val="007B4C08"/>
    <w:rsid w:val="007B4C0D"/>
    <w:rsid w:val="007B4C84"/>
    <w:rsid w:val="007B4E72"/>
    <w:rsid w:val="007B4EA3"/>
    <w:rsid w:val="007B4EF6"/>
    <w:rsid w:val="007B4FEB"/>
    <w:rsid w:val="007B5055"/>
    <w:rsid w:val="007B50AC"/>
    <w:rsid w:val="007B50EF"/>
    <w:rsid w:val="007B510A"/>
    <w:rsid w:val="007B511D"/>
    <w:rsid w:val="007B5127"/>
    <w:rsid w:val="007B52EB"/>
    <w:rsid w:val="007B5319"/>
    <w:rsid w:val="007B5333"/>
    <w:rsid w:val="007B539B"/>
    <w:rsid w:val="007B53B1"/>
    <w:rsid w:val="007B5401"/>
    <w:rsid w:val="007B55EB"/>
    <w:rsid w:val="007B5A87"/>
    <w:rsid w:val="007B5AF7"/>
    <w:rsid w:val="007B5BD6"/>
    <w:rsid w:val="007B5CF5"/>
    <w:rsid w:val="007B5D68"/>
    <w:rsid w:val="007B5D9A"/>
    <w:rsid w:val="007B5DBB"/>
    <w:rsid w:val="007B5DBD"/>
    <w:rsid w:val="007B5ECF"/>
    <w:rsid w:val="007B5ED9"/>
    <w:rsid w:val="007B5F06"/>
    <w:rsid w:val="007B5F76"/>
    <w:rsid w:val="007B5FB4"/>
    <w:rsid w:val="007B5FB8"/>
    <w:rsid w:val="007B606C"/>
    <w:rsid w:val="007B60A6"/>
    <w:rsid w:val="007B6102"/>
    <w:rsid w:val="007B6193"/>
    <w:rsid w:val="007B61F8"/>
    <w:rsid w:val="007B63E9"/>
    <w:rsid w:val="007B649E"/>
    <w:rsid w:val="007B6591"/>
    <w:rsid w:val="007B65C7"/>
    <w:rsid w:val="007B65C9"/>
    <w:rsid w:val="007B6612"/>
    <w:rsid w:val="007B6687"/>
    <w:rsid w:val="007B66EA"/>
    <w:rsid w:val="007B671F"/>
    <w:rsid w:val="007B6763"/>
    <w:rsid w:val="007B6789"/>
    <w:rsid w:val="007B6A80"/>
    <w:rsid w:val="007B6B2B"/>
    <w:rsid w:val="007B6B2E"/>
    <w:rsid w:val="007B6B70"/>
    <w:rsid w:val="007B6C06"/>
    <w:rsid w:val="007B6CB3"/>
    <w:rsid w:val="007B6DF9"/>
    <w:rsid w:val="007B6EBE"/>
    <w:rsid w:val="007B700F"/>
    <w:rsid w:val="007B719A"/>
    <w:rsid w:val="007B71C8"/>
    <w:rsid w:val="007B72F5"/>
    <w:rsid w:val="007B72FB"/>
    <w:rsid w:val="007B730D"/>
    <w:rsid w:val="007B7326"/>
    <w:rsid w:val="007B732E"/>
    <w:rsid w:val="007B738B"/>
    <w:rsid w:val="007B73C2"/>
    <w:rsid w:val="007B742F"/>
    <w:rsid w:val="007B7556"/>
    <w:rsid w:val="007B76E2"/>
    <w:rsid w:val="007B775E"/>
    <w:rsid w:val="007B77D2"/>
    <w:rsid w:val="007B77E2"/>
    <w:rsid w:val="007B787B"/>
    <w:rsid w:val="007B787E"/>
    <w:rsid w:val="007B7949"/>
    <w:rsid w:val="007B796D"/>
    <w:rsid w:val="007B798E"/>
    <w:rsid w:val="007B79A7"/>
    <w:rsid w:val="007B7A49"/>
    <w:rsid w:val="007B7A69"/>
    <w:rsid w:val="007B7AC1"/>
    <w:rsid w:val="007B7B1C"/>
    <w:rsid w:val="007B7C43"/>
    <w:rsid w:val="007B7CD3"/>
    <w:rsid w:val="007B7CED"/>
    <w:rsid w:val="007B7D30"/>
    <w:rsid w:val="007B7D8D"/>
    <w:rsid w:val="007B7EA2"/>
    <w:rsid w:val="007B7ED2"/>
    <w:rsid w:val="007B7F64"/>
    <w:rsid w:val="007B7FB5"/>
    <w:rsid w:val="007C00C5"/>
    <w:rsid w:val="007C00E4"/>
    <w:rsid w:val="007C013E"/>
    <w:rsid w:val="007C020E"/>
    <w:rsid w:val="007C0274"/>
    <w:rsid w:val="007C0460"/>
    <w:rsid w:val="007C0464"/>
    <w:rsid w:val="007C048F"/>
    <w:rsid w:val="007C04FB"/>
    <w:rsid w:val="007C0597"/>
    <w:rsid w:val="007C0669"/>
    <w:rsid w:val="007C06D8"/>
    <w:rsid w:val="007C072C"/>
    <w:rsid w:val="007C073B"/>
    <w:rsid w:val="007C07E8"/>
    <w:rsid w:val="007C0825"/>
    <w:rsid w:val="007C0985"/>
    <w:rsid w:val="007C0A64"/>
    <w:rsid w:val="007C0A86"/>
    <w:rsid w:val="007C0AD5"/>
    <w:rsid w:val="007C0AD6"/>
    <w:rsid w:val="007C0B4F"/>
    <w:rsid w:val="007C0C53"/>
    <w:rsid w:val="007C0C69"/>
    <w:rsid w:val="007C0D3F"/>
    <w:rsid w:val="007C0DEE"/>
    <w:rsid w:val="007C0F13"/>
    <w:rsid w:val="007C0FA9"/>
    <w:rsid w:val="007C111D"/>
    <w:rsid w:val="007C116F"/>
    <w:rsid w:val="007C11A7"/>
    <w:rsid w:val="007C121C"/>
    <w:rsid w:val="007C1227"/>
    <w:rsid w:val="007C1330"/>
    <w:rsid w:val="007C133C"/>
    <w:rsid w:val="007C1352"/>
    <w:rsid w:val="007C13B1"/>
    <w:rsid w:val="007C1497"/>
    <w:rsid w:val="007C14A9"/>
    <w:rsid w:val="007C14C7"/>
    <w:rsid w:val="007C1522"/>
    <w:rsid w:val="007C15F2"/>
    <w:rsid w:val="007C15F3"/>
    <w:rsid w:val="007C16EC"/>
    <w:rsid w:val="007C1805"/>
    <w:rsid w:val="007C1857"/>
    <w:rsid w:val="007C18AC"/>
    <w:rsid w:val="007C191A"/>
    <w:rsid w:val="007C19B4"/>
    <w:rsid w:val="007C1A3A"/>
    <w:rsid w:val="007C1A6E"/>
    <w:rsid w:val="007C1AAA"/>
    <w:rsid w:val="007C1ADD"/>
    <w:rsid w:val="007C1B19"/>
    <w:rsid w:val="007C1C05"/>
    <w:rsid w:val="007C1EB6"/>
    <w:rsid w:val="007C1F77"/>
    <w:rsid w:val="007C1FF5"/>
    <w:rsid w:val="007C2127"/>
    <w:rsid w:val="007C2148"/>
    <w:rsid w:val="007C2199"/>
    <w:rsid w:val="007C21DD"/>
    <w:rsid w:val="007C21E6"/>
    <w:rsid w:val="007C22E7"/>
    <w:rsid w:val="007C2382"/>
    <w:rsid w:val="007C2413"/>
    <w:rsid w:val="007C245C"/>
    <w:rsid w:val="007C24B0"/>
    <w:rsid w:val="007C256A"/>
    <w:rsid w:val="007C259C"/>
    <w:rsid w:val="007C25AE"/>
    <w:rsid w:val="007C2703"/>
    <w:rsid w:val="007C27AD"/>
    <w:rsid w:val="007C28A9"/>
    <w:rsid w:val="007C28ED"/>
    <w:rsid w:val="007C2943"/>
    <w:rsid w:val="007C2951"/>
    <w:rsid w:val="007C295C"/>
    <w:rsid w:val="007C2B06"/>
    <w:rsid w:val="007C2B5A"/>
    <w:rsid w:val="007C2C36"/>
    <w:rsid w:val="007C2D09"/>
    <w:rsid w:val="007C2D98"/>
    <w:rsid w:val="007C2EA8"/>
    <w:rsid w:val="007C2EC3"/>
    <w:rsid w:val="007C2EEB"/>
    <w:rsid w:val="007C2EFF"/>
    <w:rsid w:val="007C2F6E"/>
    <w:rsid w:val="007C2F8C"/>
    <w:rsid w:val="007C2FA6"/>
    <w:rsid w:val="007C30BC"/>
    <w:rsid w:val="007C30BE"/>
    <w:rsid w:val="007C3152"/>
    <w:rsid w:val="007C3270"/>
    <w:rsid w:val="007C3275"/>
    <w:rsid w:val="007C333B"/>
    <w:rsid w:val="007C333E"/>
    <w:rsid w:val="007C338F"/>
    <w:rsid w:val="007C339C"/>
    <w:rsid w:val="007C33C1"/>
    <w:rsid w:val="007C3437"/>
    <w:rsid w:val="007C3472"/>
    <w:rsid w:val="007C349B"/>
    <w:rsid w:val="007C34DC"/>
    <w:rsid w:val="007C350F"/>
    <w:rsid w:val="007C363A"/>
    <w:rsid w:val="007C3643"/>
    <w:rsid w:val="007C36AE"/>
    <w:rsid w:val="007C3720"/>
    <w:rsid w:val="007C3750"/>
    <w:rsid w:val="007C3783"/>
    <w:rsid w:val="007C387D"/>
    <w:rsid w:val="007C3914"/>
    <w:rsid w:val="007C394D"/>
    <w:rsid w:val="007C3A5E"/>
    <w:rsid w:val="007C3A97"/>
    <w:rsid w:val="007C3AB7"/>
    <w:rsid w:val="007C3BBE"/>
    <w:rsid w:val="007C3CC5"/>
    <w:rsid w:val="007C3CEA"/>
    <w:rsid w:val="007C3D6B"/>
    <w:rsid w:val="007C3D92"/>
    <w:rsid w:val="007C3DB9"/>
    <w:rsid w:val="007C3DD1"/>
    <w:rsid w:val="007C3E98"/>
    <w:rsid w:val="007C3F6F"/>
    <w:rsid w:val="007C404D"/>
    <w:rsid w:val="007C41C5"/>
    <w:rsid w:val="007C41E2"/>
    <w:rsid w:val="007C420E"/>
    <w:rsid w:val="007C428C"/>
    <w:rsid w:val="007C43EB"/>
    <w:rsid w:val="007C4452"/>
    <w:rsid w:val="007C448D"/>
    <w:rsid w:val="007C4523"/>
    <w:rsid w:val="007C4595"/>
    <w:rsid w:val="007C45E7"/>
    <w:rsid w:val="007C4650"/>
    <w:rsid w:val="007C4825"/>
    <w:rsid w:val="007C484B"/>
    <w:rsid w:val="007C490C"/>
    <w:rsid w:val="007C490E"/>
    <w:rsid w:val="007C495A"/>
    <w:rsid w:val="007C4973"/>
    <w:rsid w:val="007C49DB"/>
    <w:rsid w:val="007C4AE1"/>
    <w:rsid w:val="007C4B7A"/>
    <w:rsid w:val="007C4BA9"/>
    <w:rsid w:val="007C4C8B"/>
    <w:rsid w:val="007C4C90"/>
    <w:rsid w:val="007C4D1A"/>
    <w:rsid w:val="007C4DAE"/>
    <w:rsid w:val="007C4E57"/>
    <w:rsid w:val="007C4EE6"/>
    <w:rsid w:val="007C4F98"/>
    <w:rsid w:val="007C5145"/>
    <w:rsid w:val="007C5179"/>
    <w:rsid w:val="007C526B"/>
    <w:rsid w:val="007C52E4"/>
    <w:rsid w:val="007C544D"/>
    <w:rsid w:val="007C54AC"/>
    <w:rsid w:val="007C5538"/>
    <w:rsid w:val="007C55E5"/>
    <w:rsid w:val="007C5699"/>
    <w:rsid w:val="007C5737"/>
    <w:rsid w:val="007C5759"/>
    <w:rsid w:val="007C58C5"/>
    <w:rsid w:val="007C5A8F"/>
    <w:rsid w:val="007C5ABE"/>
    <w:rsid w:val="007C5AEC"/>
    <w:rsid w:val="007C5B22"/>
    <w:rsid w:val="007C5B38"/>
    <w:rsid w:val="007C5BDA"/>
    <w:rsid w:val="007C5C0A"/>
    <w:rsid w:val="007C5C45"/>
    <w:rsid w:val="007C5E2C"/>
    <w:rsid w:val="007C5E94"/>
    <w:rsid w:val="007C5F4B"/>
    <w:rsid w:val="007C5F5D"/>
    <w:rsid w:val="007C5F5E"/>
    <w:rsid w:val="007C5F66"/>
    <w:rsid w:val="007C601E"/>
    <w:rsid w:val="007C605D"/>
    <w:rsid w:val="007C6215"/>
    <w:rsid w:val="007C6394"/>
    <w:rsid w:val="007C63B0"/>
    <w:rsid w:val="007C63FF"/>
    <w:rsid w:val="007C64F6"/>
    <w:rsid w:val="007C6545"/>
    <w:rsid w:val="007C65EB"/>
    <w:rsid w:val="007C662C"/>
    <w:rsid w:val="007C667D"/>
    <w:rsid w:val="007C66E3"/>
    <w:rsid w:val="007C6702"/>
    <w:rsid w:val="007C676F"/>
    <w:rsid w:val="007C6AD0"/>
    <w:rsid w:val="007C6C4A"/>
    <w:rsid w:val="007C6C61"/>
    <w:rsid w:val="007C6CB4"/>
    <w:rsid w:val="007C6E04"/>
    <w:rsid w:val="007C6E97"/>
    <w:rsid w:val="007C6EAF"/>
    <w:rsid w:val="007C6EB6"/>
    <w:rsid w:val="007C7036"/>
    <w:rsid w:val="007C708E"/>
    <w:rsid w:val="007C7093"/>
    <w:rsid w:val="007C7099"/>
    <w:rsid w:val="007C7107"/>
    <w:rsid w:val="007C712F"/>
    <w:rsid w:val="007C71F6"/>
    <w:rsid w:val="007C7234"/>
    <w:rsid w:val="007C7254"/>
    <w:rsid w:val="007C72D9"/>
    <w:rsid w:val="007C72F6"/>
    <w:rsid w:val="007C7402"/>
    <w:rsid w:val="007C7429"/>
    <w:rsid w:val="007C74BA"/>
    <w:rsid w:val="007C74C4"/>
    <w:rsid w:val="007C74DE"/>
    <w:rsid w:val="007C7542"/>
    <w:rsid w:val="007C7593"/>
    <w:rsid w:val="007C76CA"/>
    <w:rsid w:val="007C76CF"/>
    <w:rsid w:val="007C76D6"/>
    <w:rsid w:val="007C76E8"/>
    <w:rsid w:val="007C76F0"/>
    <w:rsid w:val="007C779E"/>
    <w:rsid w:val="007C77E2"/>
    <w:rsid w:val="007C7815"/>
    <w:rsid w:val="007C782C"/>
    <w:rsid w:val="007C785A"/>
    <w:rsid w:val="007C794E"/>
    <w:rsid w:val="007C795F"/>
    <w:rsid w:val="007C7AB7"/>
    <w:rsid w:val="007C7AE9"/>
    <w:rsid w:val="007C7AF2"/>
    <w:rsid w:val="007C7B64"/>
    <w:rsid w:val="007C7B7D"/>
    <w:rsid w:val="007C7B88"/>
    <w:rsid w:val="007C7D06"/>
    <w:rsid w:val="007C7D41"/>
    <w:rsid w:val="007C7DC3"/>
    <w:rsid w:val="007C7E70"/>
    <w:rsid w:val="007C7E7A"/>
    <w:rsid w:val="007C7EFF"/>
    <w:rsid w:val="007C7F71"/>
    <w:rsid w:val="007C7F75"/>
    <w:rsid w:val="007C7FDE"/>
    <w:rsid w:val="007C9949"/>
    <w:rsid w:val="007D00F8"/>
    <w:rsid w:val="007D00FE"/>
    <w:rsid w:val="007D0143"/>
    <w:rsid w:val="007D01D6"/>
    <w:rsid w:val="007D01E5"/>
    <w:rsid w:val="007D01E6"/>
    <w:rsid w:val="007D0231"/>
    <w:rsid w:val="007D0291"/>
    <w:rsid w:val="007D035E"/>
    <w:rsid w:val="007D0394"/>
    <w:rsid w:val="007D0396"/>
    <w:rsid w:val="007D0407"/>
    <w:rsid w:val="007D045F"/>
    <w:rsid w:val="007D04A8"/>
    <w:rsid w:val="007D05BC"/>
    <w:rsid w:val="007D05CB"/>
    <w:rsid w:val="007D063A"/>
    <w:rsid w:val="007D0644"/>
    <w:rsid w:val="007D0739"/>
    <w:rsid w:val="007D0754"/>
    <w:rsid w:val="007D07AB"/>
    <w:rsid w:val="007D07FF"/>
    <w:rsid w:val="007D0830"/>
    <w:rsid w:val="007D08F9"/>
    <w:rsid w:val="007D0923"/>
    <w:rsid w:val="007D09A5"/>
    <w:rsid w:val="007D0D10"/>
    <w:rsid w:val="007D0DBC"/>
    <w:rsid w:val="007D0E34"/>
    <w:rsid w:val="007D0E8D"/>
    <w:rsid w:val="007D0E8F"/>
    <w:rsid w:val="007D0F3F"/>
    <w:rsid w:val="007D0F85"/>
    <w:rsid w:val="007D1089"/>
    <w:rsid w:val="007D1146"/>
    <w:rsid w:val="007D1193"/>
    <w:rsid w:val="007D120F"/>
    <w:rsid w:val="007D122F"/>
    <w:rsid w:val="007D128E"/>
    <w:rsid w:val="007D1299"/>
    <w:rsid w:val="007D130B"/>
    <w:rsid w:val="007D1499"/>
    <w:rsid w:val="007D150A"/>
    <w:rsid w:val="007D15AB"/>
    <w:rsid w:val="007D15AF"/>
    <w:rsid w:val="007D15B1"/>
    <w:rsid w:val="007D15CD"/>
    <w:rsid w:val="007D1634"/>
    <w:rsid w:val="007D1648"/>
    <w:rsid w:val="007D164D"/>
    <w:rsid w:val="007D174E"/>
    <w:rsid w:val="007D1769"/>
    <w:rsid w:val="007D179B"/>
    <w:rsid w:val="007D17A0"/>
    <w:rsid w:val="007D17A9"/>
    <w:rsid w:val="007D17EC"/>
    <w:rsid w:val="007D1801"/>
    <w:rsid w:val="007D181C"/>
    <w:rsid w:val="007D1AA1"/>
    <w:rsid w:val="007D1B3C"/>
    <w:rsid w:val="007D1BC7"/>
    <w:rsid w:val="007D1BD2"/>
    <w:rsid w:val="007D1E2A"/>
    <w:rsid w:val="007D1EF5"/>
    <w:rsid w:val="007D1F5C"/>
    <w:rsid w:val="007D1FAD"/>
    <w:rsid w:val="007D1FE0"/>
    <w:rsid w:val="007D2008"/>
    <w:rsid w:val="007D2070"/>
    <w:rsid w:val="007D20BB"/>
    <w:rsid w:val="007D20EC"/>
    <w:rsid w:val="007D2168"/>
    <w:rsid w:val="007D220C"/>
    <w:rsid w:val="007D2244"/>
    <w:rsid w:val="007D22BE"/>
    <w:rsid w:val="007D2358"/>
    <w:rsid w:val="007D2475"/>
    <w:rsid w:val="007D24E0"/>
    <w:rsid w:val="007D24EC"/>
    <w:rsid w:val="007D24EE"/>
    <w:rsid w:val="007D2508"/>
    <w:rsid w:val="007D261E"/>
    <w:rsid w:val="007D26FA"/>
    <w:rsid w:val="007D270D"/>
    <w:rsid w:val="007D277E"/>
    <w:rsid w:val="007D278E"/>
    <w:rsid w:val="007D27CB"/>
    <w:rsid w:val="007D28E0"/>
    <w:rsid w:val="007D298A"/>
    <w:rsid w:val="007D29A9"/>
    <w:rsid w:val="007D2A33"/>
    <w:rsid w:val="007D2BA1"/>
    <w:rsid w:val="007D2BB3"/>
    <w:rsid w:val="007D2BBD"/>
    <w:rsid w:val="007D2C7F"/>
    <w:rsid w:val="007D2C9E"/>
    <w:rsid w:val="007D2CCD"/>
    <w:rsid w:val="007D2D2F"/>
    <w:rsid w:val="007D2E49"/>
    <w:rsid w:val="007D2F61"/>
    <w:rsid w:val="007D2F68"/>
    <w:rsid w:val="007D2F87"/>
    <w:rsid w:val="007D2FB5"/>
    <w:rsid w:val="007D3004"/>
    <w:rsid w:val="007D301D"/>
    <w:rsid w:val="007D301E"/>
    <w:rsid w:val="007D3364"/>
    <w:rsid w:val="007D33E0"/>
    <w:rsid w:val="007D35AF"/>
    <w:rsid w:val="007D3678"/>
    <w:rsid w:val="007D36E9"/>
    <w:rsid w:val="007D37C6"/>
    <w:rsid w:val="007D37E9"/>
    <w:rsid w:val="007D38B4"/>
    <w:rsid w:val="007D38BD"/>
    <w:rsid w:val="007D38CA"/>
    <w:rsid w:val="007D392D"/>
    <w:rsid w:val="007D3AE4"/>
    <w:rsid w:val="007D3C03"/>
    <w:rsid w:val="007D3C7B"/>
    <w:rsid w:val="007D3D0E"/>
    <w:rsid w:val="007D3D11"/>
    <w:rsid w:val="007D3D16"/>
    <w:rsid w:val="007D3D33"/>
    <w:rsid w:val="007D3DCE"/>
    <w:rsid w:val="007D3E02"/>
    <w:rsid w:val="007D3E35"/>
    <w:rsid w:val="007D3EA7"/>
    <w:rsid w:val="007D3FCA"/>
    <w:rsid w:val="007D4062"/>
    <w:rsid w:val="007D41C2"/>
    <w:rsid w:val="007D425C"/>
    <w:rsid w:val="007D42A2"/>
    <w:rsid w:val="007D435E"/>
    <w:rsid w:val="007D4393"/>
    <w:rsid w:val="007D442F"/>
    <w:rsid w:val="007D44A7"/>
    <w:rsid w:val="007D44FE"/>
    <w:rsid w:val="007D4526"/>
    <w:rsid w:val="007D456A"/>
    <w:rsid w:val="007D45B8"/>
    <w:rsid w:val="007D45C6"/>
    <w:rsid w:val="007D4601"/>
    <w:rsid w:val="007D4655"/>
    <w:rsid w:val="007D465A"/>
    <w:rsid w:val="007D466C"/>
    <w:rsid w:val="007D46CA"/>
    <w:rsid w:val="007D47B7"/>
    <w:rsid w:val="007D4815"/>
    <w:rsid w:val="007D482A"/>
    <w:rsid w:val="007D48C4"/>
    <w:rsid w:val="007D49E2"/>
    <w:rsid w:val="007D4A0C"/>
    <w:rsid w:val="007D4A82"/>
    <w:rsid w:val="007D4ABF"/>
    <w:rsid w:val="007D4D9B"/>
    <w:rsid w:val="007D4E6A"/>
    <w:rsid w:val="007D4E9B"/>
    <w:rsid w:val="007D4F02"/>
    <w:rsid w:val="007D4FB9"/>
    <w:rsid w:val="007D5204"/>
    <w:rsid w:val="007D5291"/>
    <w:rsid w:val="007D5389"/>
    <w:rsid w:val="007D538E"/>
    <w:rsid w:val="007D53E5"/>
    <w:rsid w:val="007D5425"/>
    <w:rsid w:val="007D545D"/>
    <w:rsid w:val="007D54D0"/>
    <w:rsid w:val="007D54EB"/>
    <w:rsid w:val="007D54FE"/>
    <w:rsid w:val="007D5501"/>
    <w:rsid w:val="007D5581"/>
    <w:rsid w:val="007D55DA"/>
    <w:rsid w:val="007D55FB"/>
    <w:rsid w:val="007D5807"/>
    <w:rsid w:val="007D5838"/>
    <w:rsid w:val="007D588D"/>
    <w:rsid w:val="007D58C4"/>
    <w:rsid w:val="007D590B"/>
    <w:rsid w:val="007D5933"/>
    <w:rsid w:val="007D59B6"/>
    <w:rsid w:val="007D5A18"/>
    <w:rsid w:val="007D5A1D"/>
    <w:rsid w:val="007D5A3F"/>
    <w:rsid w:val="007D5AA3"/>
    <w:rsid w:val="007D5AF0"/>
    <w:rsid w:val="007D5BB7"/>
    <w:rsid w:val="007D5C40"/>
    <w:rsid w:val="007D5CD2"/>
    <w:rsid w:val="007D5D0F"/>
    <w:rsid w:val="007D5DC0"/>
    <w:rsid w:val="007D5E27"/>
    <w:rsid w:val="007D5F26"/>
    <w:rsid w:val="007D5F2A"/>
    <w:rsid w:val="007D5FEA"/>
    <w:rsid w:val="007D604C"/>
    <w:rsid w:val="007D61CB"/>
    <w:rsid w:val="007D61F1"/>
    <w:rsid w:val="007D61FB"/>
    <w:rsid w:val="007D6267"/>
    <w:rsid w:val="007D62EB"/>
    <w:rsid w:val="007D648E"/>
    <w:rsid w:val="007D6496"/>
    <w:rsid w:val="007D64B2"/>
    <w:rsid w:val="007D6521"/>
    <w:rsid w:val="007D6554"/>
    <w:rsid w:val="007D6565"/>
    <w:rsid w:val="007D656B"/>
    <w:rsid w:val="007D6590"/>
    <w:rsid w:val="007D65EB"/>
    <w:rsid w:val="007D665F"/>
    <w:rsid w:val="007D667A"/>
    <w:rsid w:val="007D66D4"/>
    <w:rsid w:val="007D674C"/>
    <w:rsid w:val="007D6769"/>
    <w:rsid w:val="007D67E3"/>
    <w:rsid w:val="007D681B"/>
    <w:rsid w:val="007D68AB"/>
    <w:rsid w:val="007D694D"/>
    <w:rsid w:val="007D6980"/>
    <w:rsid w:val="007D69E4"/>
    <w:rsid w:val="007D69F1"/>
    <w:rsid w:val="007D6A27"/>
    <w:rsid w:val="007D6B3A"/>
    <w:rsid w:val="007D6B7B"/>
    <w:rsid w:val="007D6C07"/>
    <w:rsid w:val="007D6C23"/>
    <w:rsid w:val="007D6C34"/>
    <w:rsid w:val="007D6C45"/>
    <w:rsid w:val="007D6C58"/>
    <w:rsid w:val="007D6CDB"/>
    <w:rsid w:val="007D6CE7"/>
    <w:rsid w:val="007D6CF1"/>
    <w:rsid w:val="007D6DB7"/>
    <w:rsid w:val="007D6F03"/>
    <w:rsid w:val="007D6F98"/>
    <w:rsid w:val="007D6FD2"/>
    <w:rsid w:val="007D706B"/>
    <w:rsid w:val="007D70A1"/>
    <w:rsid w:val="007D7131"/>
    <w:rsid w:val="007D7164"/>
    <w:rsid w:val="007D716B"/>
    <w:rsid w:val="007D7174"/>
    <w:rsid w:val="007D718C"/>
    <w:rsid w:val="007D71C3"/>
    <w:rsid w:val="007D7203"/>
    <w:rsid w:val="007D723C"/>
    <w:rsid w:val="007D72F5"/>
    <w:rsid w:val="007D7371"/>
    <w:rsid w:val="007D73BE"/>
    <w:rsid w:val="007D73DA"/>
    <w:rsid w:val="007D75B9"/>
    <w:rsid w:val="007D75E4"/>
    <w:rsid w:val="007D7618"/>
    <w:rsid w:val="007D7756"/>
    <w:rsid w:val="007D7834"/>
    <w:rsid w:val="007D7837"/>
    <w:rsid w:val="007D784C"/>
    <w:rsid w:val="007D789D"/>
    <w:rsid w:val="007D7930"/>
    <w:rsid w:val="007D7A98"/>
    <w:rsid w:val="007D7BEC"/>
    <w:rsid w:val="007D7C71"/>
    <w:rsid w:val="007D7C94"/>
    <w:rsid w:val="007D7CE3"/>
    <w:rsid w:val="007D7CFC"/>
    <w:rsid w:val="007D7D77"/>
    <w:rsid w:val="007D7EAD"/>
    <w:rsid w:val="007D7EF2"/>
    <w:rsid w:val="007D7EF7"/>
    <w:rsid w:val="007D7F1D"/>
    <w:rsid w:val="007D7F54"/>
    <w:rsid w:val="007D7FD4"/>
    <w:rsid w:val="007D7FF2"/>
    <w:rsid w:val="007DEF97"/>
    <w:rsid w:val="007E0048"/>
    <w:rsid w:val="007E0056"/>
    <w:rsid w:val="007E00BF"/>
    <w:rsid w:val="007E00C9"/>
    <w:rsid w:val="007E0127"/>
    <w:rsid w:val="007E013C"/>
    <w:rsid w:val="007E027B"/>
    <w:rsid w:val="007E02EE"/>
    <w:rsid w:val="007E03D9"/>
    <w:rsid w:val="007E0482"/>
    <w:rsid w:val="007E051A"/>
    <w:rsid w:val="007E05EA"/>
    <w:rsid w:val="007E05EB"/>
    <w:rsid w:val="007E0616"/>
    <w:rsid w:val="007E0689"/>
    <w:rsid w:val="007E070D"/>
    <w:rsid w:val="007E0716"/>
    <w:rsid w:val="007E0798"/>
    <w:rsid w:val="007E07CF"/>
    <w:rsid w:val="007E0951"/>
    <w:rsid w:val="007E0AD4"/>
    <w:rsid w:val="007E0B75"/>
    <w:rsid w:val="007E0BFF"/>
    <w:rsid w:val="007E0C03"/>
    <w:rsid w:val="007E0C1E"/>
    <w:rsid w:val="007E0D19"/>
    <w:rsid w:val="007E1069"/>
    <w:rsid w:val="007E1078"/>
    <w:rsid w:val="007E10EE"/>
    <w:rsid w:val="007E1160"/>
    <w:rsid w:val="007E11CD"/>
    <w:rsid w:val="007E1279"/>
    <w:rsid w:val="007E1293"/>
    <w:rsid w:val="007E13E0"/>
    <w:rsid w:val="007E143A"/>
    <w:rsid w:val="007E15AB"/>
    <w:rsid w:val="007E15FB"/>
    <w:rsid w:val="007E1709"/>
    <w:rsid w:val="007E1772"/>
    <w:rsid w:val="007E1A71"/>
    <w:rsid w:val="007E1ABD"/>
    <w:rsid w:val="007E1AFC"/>
    <w:rsid w:val="007E1B4C"/>
    <w:rsid w:val="007E1B72"/>
    <w:rsid w:val="007E1B76"/>
    <w:rsid w:val="007E1D3E"/>
    <w:rsid w:val="007E1D5A"/>
    <w:rsid w:val="007E1D8B"/>
    <w:rsid w:val="007E1E31"/>
    <w:rsid w:val="007E1F40"/>
    <w:rsid w:val="007E1F65"/>
    <w:rsid w:val="007E1F99"/>
    <w:rsid w:val="007E2026"/>
    <w:rsid w:val="007E20F8"/>
    <w:rsid w:val="007E2198"/>
    <w:rsid w:val="007E21C1"/>
    <w:rsid w:val="007E2355"/>
    <w:rsid w:val="007E2405"/>
    <w:rsid w:val="007E245C"/>
    <w:rsid w:val="007E2471"/>
    <w:rsid w:val="007E2473"/>
    <w:rsid w:val="007E2474"/>
    <w:rsid w:val="007E24B2"/>
    <w:rsid w:val="007E2578"/>
    <w:rsid w:val="007E26A9"/>
    <w:rsid w:val="007E2700"/>
    <w:rsid w:val="007E2760"/>
    <w:rsid w:val="007E2804"/>
    <w:rsid w:val="007E280A"/>
    <w:rsid w:val="007E2857"/>
    <w:rsid w:val="007E2A78"/>
    <w:rsid w:val="007E2AD9"/>
    <w:rsid w:val="007E2B78"/>
    <w:rsid w:val="007E2BAB"/>
    <w:rsid w:val="007E2BD1"/>
    <w:rsid w:val="007E2C15"/>
    <w:rsid w:val="007E2D7D"/>
    <w:rsid w:val="007E2FB4"/>
    <w:rsid w:val="007E3095"/>
    <w:rsid w:val="007E3106"/>
    <w:rsid w:val="007E3235"/>
    <w:rsid w:val="007E3304"/>
    <w:rsid w:val="007E337E"/>
    <w:rsid w:val="007E33A3"/>
    <w:rsid w:val="007E3517"/>
    <w:rsid w:val="007E35C0"/>
    <w:rsid w:val="007E3625"/>
    <w:rsid w:val="007E3664"/>
    <w:rsid w:val="007E385F"/>
    <w:rsid w:val="007E3906"/>
    <w:rsid w:val="007E39C0"/>
    <w:rsid w:val="007E3A39"/>
    <w:rsid w:val="007E3B13"/>
    <w:rsid w:val="007E3B42"/>
    <w:rsid w:val="007E3CCB"/>
    <w:rsid w:val="007E3CE4"/>
    <w:rsid w:val="007E3E58"/>
    <w:rsid w:val="007E3EE3"/>
    <w:rsid w:val="007E4023"/>
    <w:rsid w:val="007E4055"/>
    <w:rsid w:val="007E407F"/>
    <w:rsid w:val="007E40B9"/>
    <w:rsid w:val="007E4105"/>
    <w:rsid w:val="007E4186"/>
    <w:rsid w:val="007E419B"/>
    <w:rsid w:val="007E41F0"/>
    <w:rsid w:val="007E423D"/>
    <w:rsid w:val="007E42CC"/>
    <w:rsid w:val="007E438C"/>
    <w:rsid w:val="007E4444"/>
    <w:rsid w:val="007E4495"/>
    <w:rsid w:val="007E44EB"/>
    <w:rsid w:val="007E456B"/>
    <w:rsid w:val="007E45D6"/>
    <w:rsid w:val="007E470C"/>
    <w:rsid w:val="007E4723"/>
    <w:rsid w:val="007E4836"/>
    <w:rsid w:val="007E48B7"/>
    <w:rsid w:val="007E4B7F"/>
    <w:rsid w:val="007E4BAA"/>
    <w:rsid w:val="007E4D0E"/>
    <w:rsid w:val="007E4D71"/>
    <w:rsid w:val="007E4D9E"/>
    <w:rsid w:val="007E4EBF"/>
    <w:rsid w:val="007E4F75"/>
    <w:rsid w:val="007E509D"/>
    <w:rsid w:val="007E50D3"/>
    <w:rsid w:val="007E516C"/>
    <w:rsid w:val="007E51D3"/>
    <w:rsid w:val="007E5239"/>
    <w:rsid w:val="007E5294"/>
    <w:rsid w:val="007E5351"/>
    <w:rsid w:val="007E5365"/>
    <w:rsid w:val="007E543D"/>
    <w:rsid w:val="007E5470"/>
    <w:rsid w:val="007E5567"/>
    <w:rsid w:val="007E5686"/>
    <w:rsid w:val="007E570F"/>
    <w:rsid w:val="007E5721"/>
    <w:rsid w:val="007E57DE"/>
    <w:rsid w:val="007E57F7"/>
    <w:rsid w:val="007E582F"/>
    <w:rsid w:val="007E5874"/>
    <w:rsid w:val="007E5880"/>
    <w:rsid w:val="007E5902"/>
    <w:rsid w:val="007E5921"/>
    <w:rsid w:val="007E5963"/>
    <w:rsid w:val="007E5980"/>
    <w:rsid w:val="007E59C4"/>
    <w:rsid w:val="007E5BB5"/>
    <w:rsid w:val="007E5D13"/>
    <w:rsid w:val="007E5D15"/>
    <w:rsid w:val="007E5D38"/>
    <w:rsid w:val="007E5D3E"/>
    <w:rsid w:val="007E5D97"/>
    <w:rsid w:val="007E5E3F"/>
    <w:rsid w:val="007E5E93"/>
    <w:rsid w:val="007E5F6C"/>
    <w:rsid w:val="007E62A3"/>
    <w:rsid w:val="007E640F"/>
    <w:rsid w:val="007E658C"/>
    <w:rsid w:val="007E65C0"/>
    <w:rsid w:val="007E6705"/>
    <w:rsid w:val="007E6719"/>
    <w:rsid w:val="007E67DE"/>
    <w:rsid w:val="007E685C"/>
    <w:rsid w:val="007E68D0"/>
    <w:rsid w:val="007E68ED"/>
    <w:rsid w:val="007E69A6"/>
    <w:rsid w:val="007E69B0"/>
    <w:rsid w:val="007E69ED"/>
    <w:rsid w:val="007E69F3"/>
    <w:rsid w:val="007E6A68"/>
    <w:rsid w:val="007E6AAD"/>
    <w:rsid w:val="007E6AD0"/>
    <w:rsid w:val="007E6BD1"/>
    <w:rsid w:val="007E6BE0"/>
    <w:rsid w:val="007E6C5D"/>
    <w:rsid w:val="007E6CFE"/>
    <w:rsid w:val="007E6D1A"/>
    <w:rsid w:val="007E6E2F"/>
    <w:rsid w:val="007E6E9D"/>
    <w:rsid w:val="007E6ED0"/>
    <w:rsid w:val="007E6F0C"/>
    <w:rsid w:val="007E6F5A"/>
    <w:rsid w:val="007E6F7E"/>
    <w:rsid w:val="007E6FA2"/>
    <w:rsid w:val="007E7030"/>
    <w:rsid w:val="007E708F"/>
    <w:rsid w:val="007E71B1"/>
    <w:rsid w:val="007E71F5"/>
    <w:rsid w:val="007E72EC"/>
    <w:rsid w:val="007E7313"/>
    <w:rsid w:val="007E73B9"/>
    <w:rsid w:val="007E73BE"/>
    <w:rsid w:val="007E73F6"/>
    <w:rsid w:val="007E740B"/>
    <w:rsid w:val="007E74A5"/>
    <w:rsid w:val="007E7642"/>
    <w:rsid w:val="007E76A4"/>
    <w:rsid w:val="007E76BC"/>
    <w:rsid w:val="007E76E6"/>
    <w:rsid w:val="007E785D"/>
    <w:rsid w:val="007E789D"/>
    <w:rsid w:val="007E7911"/>
    <w:rsid w:val="007E792A"/>
    <w:rsid w:val="007E7962"/>
    <w:rsid w:val="007E796E"/>
    <w:rsid w:val="007E79DA"/>
    <w:rsid w:val="007E7B23"/>
    <w:rsid w:val="007E7B2D"/>
    <w:rsid w:val="007E7BCD"/>
    <w:rsid w:val="007E7E98"/>
    <w:rsid w:val="007E7EA7"/>
    <w:rsid w:val="007F0049"/>
    <w:rsid w:val="007F00FC"/>
    <w:rsid w:val="007F0165"/>
    <w:rsid w:val="007F016E"/>
    <w:rsid w:val="007F0221"/>
    <w:rsid w:val="007F02E2"/>
    <w:rsid w:val="007F02F1"/>
    <w:rsid w:val="007F034B"/>
    <w:rsid w:val="007F034F"/>
    <w:rsid w:val="007F036B"/>
    <w:rsid w:val="007F0400"/>
    <w:rsid w:val="007F0535"/>
    <w:rsid w:val="007F0538"/>
    <w:rsid w:val="007F05CE"/>
    <w:rsid w:val="007F0615"/>
    <w:rsid w:val="007F064D"/>
    <w:rsid w:val="007F0682"/>
    <w:rsid w:val="007F07B9"/>
    <w:rsid w:val="007F0810"/>
    <w:rsid w:val="007F0814"/>
    <w:rsid w:val="007F0846"/>
    <w:rsid w:val="007F08CD"/>
    <w:rsid w:val="007F0928"/>
    <w:rsid w:val="007F09A7"/>
    <w:rsid w:val="007F0A0D"/>
    <w:rsid w:val="007F0A17"/>
    <w:rsid w:val="007F0A9D"/>
    <w:rsid w:val="007F0B01"/>
    <w:rsid w:val="007F0BD3"/>
    <w:rsid w:val="007F0BE5"/>
    <w:rsid w:val="007F0CE3"/>
    <w:rsid w:val="007F0D08"/>
    <w:rsid w:val="007F0D54"/>
    <w:rsid w:val="007F0E4F"/>
    <w:rsid w:val="007F0FFA"/>
    <w:rsid w:val="007F104F"/>
    <w:rsid w:val="007F1072"/>
    <w:rsid w:val="007F108C"/>
    <w:rsid w:val="007F121B"/>
    <w:rsid w:val="007F12BD"/>
    <w:rsid w:val="007F1390"/>
    <w:rsid w:val="007F13BF"/>
    <w:rsid w:val="007F145D"/>
    <w:rsid w:val="007F14A6"/>
    <w:rsid w:val="007F14D2"/>
    <w:rsid w:val="007F1529"/>
    <w:rsid w:val="007F15CE"/>
    <w:rsid w:val="007F161C"/>
    <w:rsid w:val="007F16A4"/>
    <w:rsid w:val="007F16C7"/>
    <w:rsid w:val="007F17B8"/>
    <w:rsid w:val="007F17DE"/>
    <w:rsid w:val="007F181D"/>
    <w:rsid w:val="007F187F"/>
    <w:rsid w:val="007F189D"/>
    <w:rsid w:val="007F18B5"/>
    <w:rsid w:val="007F1976"/>
    <w:rsid w:val="007F19D9"/>
    <w:rsid w:val="007F1BDA"/>
    <w:rsid w:val="007F1C16"/>
    <w:rsid w:val="007F1CA3"/>
    <w:rsid w:val="007F1D21"/>
    <w:rsid w:val="007F1DE7"/>
    <w:rsid w:val="007F1E65"/>
    <w:rsid w:val="007F1E7F"/>
    <w:rsid w:val="007F1E88"/>
    <w:rsid w:val="007F1EF6"/>
    <w:rsid w:val="007F1FB7"/>
    <w:rsid w:val="007F20CD"/>
    <w:rsid w:val="007F219C"/>
    <w:rsid w:val="007F23F9"/>
    <w:rsid w:val="007F248B"/>
    <w:rsid w:val="007F250B"/>
    <w:rsid w:val="007F2686"/>
    <w:rsid w:val="007F2687"/>
    <w:rsid w:val="007F274E"/>
    <w:rsid w:val="007F27EE"/>
    <w:rsid w:val="007F27EF"/>
    <w:rsid w:val="007F2863"/>
    <w:rsid w:val="007F28FD"/>
    <w:rsid w:val="007F29CF"/>
    <w:rsid w:val="007F2A0A"/>
    <w:rsid w:val="007F2A95"/>
    <w:rsid w:val="007F2AE9"/>
    <w:rsid w:val="007F2B2D"/>
    <w:rsid w:val="007F2B41"/>
    <w:rsid w:val="007F2B80"/>
    <w:rsid w:val="007F2C1D"/>
    <w:rsid w:val="007F2CD7"/>
    <w:rsid w:val="007F2CFB"/>
    <w:rsid w:val="007F2DF6"/>
    <w:rsid w:val="007F2E28"/>
    <w:rsid w:val="007F2EC1"/>
    <w:rsid w:val="007F2FF7"/>
    <w:rsid w:val="007F3025"/>
    <w:rsid w:val="007F3034"/>
    <w:rsid w:val="007F30BB"/>
    <w:rsid w:val="007F31E4"/>
    <w:rsid w:val="007F3239"/>
    <w:rsid w:val="007F32FF"/>
    <w:rsid w:val="007F3306"/>
    <w:rsid w:val="007F3309"/>
    <w:rsid w:val="007F330A"/>
    <w:rsid w:val="007F33CE"/>
    <w:rsid w:val="007F3568"/>
    <w:rsid w:val="007F35B3"/>
    <w:rsid w:val="007F3612"/>
    <w:rsid w:val="007F362C"/>
    <w:rsid w:val="007F3638"/>
    <w:rsid w:val="007F3651"/>
    <w:rsid w:val="007F3693"/>
    <w:rsid w:val="007F374F"/>
    <w:rsid w:val="007F3793"/>
    <w:rsid w:val="007F37E6"/>
    <w:rsid w:val="007F384A"/>
    <w:rsid w:val="007F3AE9"/>
    <w:rsid w:val="007F3B48"/>
    <w:rsid w:val="007F3B4D"/>
    <w:rsid w:val="007F3B51"/>
    <w:rsid w:val="007F3B5E"/>
    <w:rsid w:val="007F3BDC"/>
    <w:rsid w:val="007F3C24"/>
    <w:rsid w:val="007F3C2E"/>
    <w:rsid w:val="007F3CE6"/>
    <w:rsid w:val="007F3D19"/>
    <w:rsid w:val="007F3DA4"/>
    <w:rsid w:val="007F3E20"/>
    <w:rsid w:val="007F3E49"/>
    <w:rsid w:val="007F40D4"/>
    <w:rsid w:val="007F422D"/>
    <w:rsid w:val="007F4264"/>
    <w:rsid w:val="007F4324"/>
    <w:rsid w:val="007F4333"/>
    <w:rsid w:val="007F440B"/>
    <w:rsid w:val="007F4489"/>
    <w:rsid w:val="007F44D9"/>
    <w:rsid w:val="007F4601"/>
    <w:rsid w:val="007F466D"/>
    <w:rsid w:val="007F4686"/>
    <w:rsid w:val="007F469E"/>
    <w:rsid w:val="007F478E"/>
    <w:rsid w:val="007F483E"/>
    <w:rsid w:val="007F486B"/>
    <w:rsid w:val="007F4872"/>
    <w:rsid w:val="007F4909"/>
    <w:rsid w:val="007F49E6"/>
    <w:rsid w:val="007F4AC2"/>
    <w:rsid w:val="007F4AC9"/>
    <w:rsid w:val="007F4ACB"/>
    <w:rsid w:val="007F4B36"/>
    <w:rsid w:val="007F4B3B"/>
    <w:rsid w:val="007F4BB7"/>
    <w:rsid w:val="007F4BDF"/>
    <w:rsid w:val="007F4C66"/>
    <w:rsid w:val="007F4C70"/>
    <w:rsid w:val="007F4C75"/>
    <w:rsid w:val="007F4CD6"/>
    <w:rsid w:val="007F4D01"/>
    <w:rsid w:val="007F4DBA"/>
    <w:rsid w:val="007F4E79"/>
    <w:rsid w:val="007F4F73"/>
    <w:rsid w:val="007F4FE2"/>
    <w:rsid w:val="007F506C"/>
    <w:rsid w:val="007F509D"/>
    <w:rsid w:val="007F50BA"/>
    <w:rsid w:val="007F50E4"/>
    <w:rsid w:val="007F50FF"/>
    <w:rsid w:val="007F5157"/>
    <w:rsid w:val="007F518B"/>
    <w:rsid w:val="007F519C"/>
    <w:rsid w:val="007F5207"/>
    <w:rsid w:val="007F52D1"/>
    <w:rsid w:val="007F532B"/>
    <w:rsid w:val="007F534D"/>
    <w:rsid w:val="007F53EF"/>
    <w:rsid w:val="007F54A2"/>
    <w:rsid w:val="007F54FE"/>
    <w:rsid w:val="007F5535"/>
    <w:rsid w:val="007F5844"/>
    <w:rsid w:val="007F58E4"/>
    <w:rsid w:val="007F5941"/>
    <w:rsid w:val="007F594C"/>
    <w:rsid w:val="007F5A4E"/>
    <w:rsid w:val="007F5AFC"/>
    <w:rsid w:val="007F5D32"/>
    <w:rsid w:val="007F5EED"/>
    <w:rsid w:val="007F5F2D"/>
    <w:rsid w:val="007F5F90"/>
    <w:rsid w:val="007F5FB1"/>
    <w:rsid w:val="007F60C9"/>
    <w:rsid w:val="007F6104"/>
    <w:rsid w:val="007F6137"/>
    <w:rsid w:val="007F6166"/>
    <w:rsid w:val="007F61AF"/>
    <w:rsid w:val="007F61BA"/>
    <w:rsid w:val="007F61C0"/>
    <w:rsid w:val="007F62F5"/>
    <w:rsid w:val="007F6348"/>
    <w:rsid w:val="007F63D6"/>
    <w:rsid w:val="007F6570"/>
    <w:rsid w:val="007F6814"/>
    <w:rsid w:val="007F685E"/>
    <w:rsid w:val="007F6875"/>
    <w:rsid w:val="007F68CB"/>
    <w:rsid w:val="007F6A70"/>
    <w:rsid w:val="007F6A87"/>
    <w:rsid w:val="007F6BD4"/>
    <w:rsid w:val="007F6D35"/>
    <w:rsid w:val="007F6E19"/>
    <w:rsid w:val="007F6FAD"/>
    <w:rsid w:val="007F72DC"/>
    <w:rsid w:val="007F7340"/>
    <w:rsid w:val="007F7425"/>
    <w:rsid w:val="007F74C5"/>
    <w:rsid w:val="007F759E"/>
    <w:rsid w:val="007F75DA"/>
    <w:rsid w:val="007F765B"/>
    <w:rsid w:val="007F7698"/>
    <w:rsid w:val="007F77E5"/>
    <w:rsid w:val="007F7897"/>
    <w:rsid w:val="007F7937"/>
    <w:rsid w:val="007F795F"/>
    <w:rsid w:val="007F7A9E"/>
    <w:rsid w:val="007F7AA4"/>
    <w:rsid w:val="007F7AC9"/>
    <w:rsid w:val="007F7B5B"/>
    <w:rsid w:val="007F7CCA"/>
    <w:rsid w:val="007F7F70"/>
    <w:rsid w:val="007F7FB1"/>
    <w:rsid w:val="007F7FFC"/>
    <w:rsid w:val="00800002"/>
    <w:rsid w:val="0080003A"/>
    <w:rsid w:val="008000C5"/>
    <w:rsid w:val="00800148"/>
    <w:rsid w:val="00800166"/>
    <w:rsid w:val="0080017F"/>
    <w:rsid w:val="00800221"/>
    <w:rsid w:val="0080039D"/>
    <w:rsid w:val="00800460"/>
    <w:rsid w:val="00800477"/>
    <w:rsid w:val="008004A1"/>
    <w:rsid w:val="008004FA"/>
    <w:rsid w:val="00800575"/>
    <w:rsid w:val="008005D3"/>
    <w:rsid w:val="0080069C"/>
    <w:rsid w:val="008006F0"/>
    <w:rsid w:val="008006FD"/>
    <w:rsid w:val="00800730"/>
    <w:rsid w:val="00800848"/>
    <w:rsid w:val="0080088B"/>
    <w:rsid w:val="00800A8E"/>
    <w:rsid w:val="00800AFD"/>
    <w:rsid w:val="00800B48"/>
    <w:rsid w:val="00800C54"/>
    <w:rsid w:val="00800CB0"/>
    <w:rsid w:val="00800CEE"/>
    <w:rsid w:val="00800D3D"/>
    <w:rsid w:val="00800D43"/>
    <w:rsid w:val="00800D67"/>
    <w:rsid w:val="00800DA0"/>
    <w:rsid w:val="00800E32"/>
    <w:rsid w:val="00800EB4"/>
    <w:rsid w:val="00800EE3"/>
    <w:rsid w:val="00800EF3"/>
    <w:rsid w:val="00800F0C"/>
    <w:rsid w:val="00800F61"/>
    <w:rsid w:val="00801064"/>
    <w:rsid w:val="008010A7"/>
    <w:rsid w:val="0080116E"/>
    <w:rsid w:val="008012CE"/>
    <w:rsid w:val="00801337"/>
    <w:rsid w:val="00801384"/>
    <w:rsid w:val="008013BC"/>
    <w:rsid w:val="00801441"/>
    <w:rsid w:val="0080148D"/>
    <w:rsid w:val="00801549"/>
    <w:rsid w:val="00801552"/>
    <w:rsid w:val="00801554"/>
    <w:rsid w:val="0080156B"/>
    <w:rsid w:val="00801594"/>
    <w:rsid w:val="008016CB"/>
    <w:rsid w:val="0080172E"/>
    <w:rsid w:val="008018B3"/>
    <w:rsid w:val="00801923"/>
    <w:rsid w:val="00801A3A"/>
    <w:rsid w:val="00801A91"/>
    <w:rsid w:val="00801ADF"/>
    <w:rsid w:val="00801AFB"/>
    <w:rsid w:val="00801B0E"/>
    <w:rsid w:val="00801BDC"/>
    <w:rsid w:val="00801D69"/>
    <w:rsid w:val="00801D8E"/>
    <w:rsid w:val="00801DA2"/>
    <w:rsid w:val="00801DA4"/>
    <w:rsid w:val="00801E86"/>
    <w:rsid w:val="00801EAC"/>
    <w:rsid w:val="00801EEB"/>
    <w:rsid w:val="00801F53"/>
    <w:rsid w:val="00801F65"/>
    <w:rsid w:val="00801FA3"/>
    <w:rsid w:val="00801FB9"/>
    <w:rsid w:val="0080200B"/>
    <w:rsid w:val="00802073"/>
    <w:rsid w:val="008020AB"/>
    <w:rsid w:val="00802173"/>
    <w:rsid w:val="008021C2"/>
    <w:rsid w:val="008021D2"/>
    <w:rsid w:val="00802203"/>
    <w:rsid w:val="0080223D"/>
    <w:rsid w:val="00802290"/>
    <w:rsid w:val="008023B5"/>
    <w:rsid w:val="00802439"/>
    <w:rsid w:val="00802564"/>
    <w:rsid w:val="0080266A"/>
    <w:rsid w:val="00802677"/>
    <w:rsid w:val="00802757"/>
    <w:rsid w:val="00802786"/>
    <w:rsid w:val="008027E9"/>
    <w:rsid w:val="0080287B"/>
    <w:rsid w:val="008029AC"/>
    <w:rsid w:val="008029C9"/>
    <w:rsid w:val="00802B76"/>
    <w:rsid w:val="00802B99"/>
    <w:rsid w:val="00802BE2"/>
    <w:rsid w:val="00802C37"/>
    <w:rsid w:val="00802D4A"/>
    <w:rsid w:val="00802D71"/>
    <w:rsid w:val="00802D93"/>
    <w:rsid w:val="00802DE3"/>
    <w:rsid w:val="00802E6A"/>
    <w:rsid w:val="00802EC0"/>
    <w:rsid w:val="00802FD7"/>
    <w:rsid w:val="008030F3"/>
    <w:rsid w:val="00803165"/>
    <w:rsid w:val="00803269"/>
    <w:rsid w:val="0080329D"/>
    <w:rsid w:val="00803304"/>
    <w:rsid w:val="00803425"/>
    <w:rsid w:val="0080347E"/>
    <w:rsid w:val="0080348F"/>
    <w:rsid w:val="00803528"/>
    <w:rsid w:val="0080359E"/>
    <w:rsid w:val="008035A9"/>
    <w:rsid w:val="008035E5"/>
    <w:rsid w:val="00803641"/>
    <w:rsid w:val="00803690"/>
    <w:rsid w:val="00803725"/>
    <w:rsid w:val="00803761"/>
    <w:rsid w:val="008038C6"/>
    <w:rsid w:val="008038D5"/>
    <w:rsid w:val="00803942"/>
    <w:rsid w:val="0080399F"/>
    <w:rsid w:val="008039E7"/>
    <w:rsid w:val="00803B7D"/>
    <w:rsid w:val="00803B9B"/>
    <w:rsid w:val="00803C4F"/>
    <w:rsid w:val="00803CFF"/>
    <w:rsid w:val="00803D57"/>
    <w:rsid w:val="00803D7D"/>
    <w:rsid w:val="00803EEC"/>
    <w:rsid w:val="00803F41"/>
    <w:rsid w:val="00803F5F"/>
    <w:rsid w:val="00803F81"/>
    <w:rsid w:val="00803FCC"/>
    <w:rsid w:val="00804114"/>
    <w:rsid w:val="00804130"/>
    <w:rsid w:val="00804179"/>
    <w:rsid w:val="008041DF"/>
    <w:rsid w:val="008042C6"/>
    <w:rsid w:val="0080442C"/>
    <w:rsid w:val="00804486"/>
    <w:rsid w:val="00804503"/>
    <w:rsid w:val="00804540"/>
    <w:rsid w:val="00804634"/>
    <w:rsid w:val="00804674"/>
    <w:rsid w:val="008046DA"/>
    <w:rsid w:val="00804795"/>
    <w:rsid w:val="008047D5"/>
    <w:rsid w:val="008047E8"/>
    <w:rsid w:val="0080486A"/>
    <w:rsid w:val="0080491F"/>
    <w:rsid w:val="00804961"/>
    <w:rsid w:val="00804989"/>
    <w:rsid w:val="00804A81"/>
    <w:rsid w:val="00804AE5"/>
    <w:rsid w:val="00804AF8"/>
    <w:rsid w:val="00804BF7"/>
    <w:rsid w:val="00804D65"/>
    <w:rsid w:val="00804DD4"/>
    <w:rsid w:val="00804E7F"/>
    <w:rsid w:val="00804E87"/>
    <w:rsid w:val="00804E9B"/>
    <w:rsid w:val="00804F51"/>
    <w:rsid w:val="0080527D"/>
    <w:rsid w:val="008052F0"/>
    <w:rsid w:val="008052FF"/>
    <w:rsid w:val="00805302"/>
    <w:rsid w:val="0080531E"/>
    <w:rsid w:val="00805351"/>
    <w:rsid w:val="00805373"/>
    <w:rsid w:val="008054B0"/>
    <w:rsid w:val="00805599"/>
    <w:rsid w:val="008055B9"/>
    <w:rsid w:val="008055E5"/>
    <w:rsid w:val="0080561A"/>
    <w:rsid w:val="0080562C"/>
    <w:rsid w:val="0080564F"/>
    <w:rsid w:val="008056B0"/>
    <w:rsid w:val="00805713"/>
    <w:rsid w:val="0080577E"/>
    <w:rsid w:val="00805822"/>
    <w:rsid w:val="008059C9"/>
    <w:rsid w:val="00805A46"/>
    <w:rsid w:val="00805AD3"/>
    <w:rsid w:val="00805ADA"/>
    <w:rsid w:val="00805AE2"/>
    <w:rsid w:val="00805B70"/>
    <w:rsid w:val="00805C3D"/>
    <w:rsid w:val="00805CBE"/>
    <w:rsid w:val="008060B1"/>
    <w:rsid w:val="008060CC"/>
    <w:rsid w:val="008061B4"/>
    <w:rsid w:val="008062D2"/>
    <w:rsid w:val="008063A4"/>
    <w:rsid w:val="008063C6"/>
    <w:rsid w:val="008065D4"/>
    <w:rsid w:val="008065D9"/>
    <w:rsid w:val="008065EE"/>
    <w:rsid w:val="00806693"/>
    <w:rsid w:val="008066AA"/>
    <w:rsid w:val="008066B8"/>
    <w:rsid w:val="00806826"/>
    <w:rsid w:val="008068C9"/>
    <w:rsid w:val="00806923"/>
    <w:rsid w:val="00806945"/>
    <w:rsid w:val="00806974"/>
    <w:rsid w:val="0080697D"/>
    <w:rsid w:val="00806985"/>
    <w:rsid w:val="00806A12"/>
    <w:rsid w:val="00806A44"/>
    <w:rsid w:val="00806CDA"/>
    <w:rsid w:val="00806DCF"/>
    <w:rsid w:val="00806F1D"/>
    <w:rsid w:val="00806F40"/>
    <w:rsid w:val="00806FFC"/>
    <w:rsid w:val="008070A6"/>
    <w:rsid w:val="008071E1"/>
    <w:rsid w:val="008071F4"/>
    <w:rsid w:val="0080724C"/>
    <w:rsid w:val="00807301"/>
    <w:rsid w:val="0080731A"/>
    <w:rsid w:val="008073AB"/>
    <w:rsid w:val="0080745D"/>
    <w:rsid w:val="00807483"/>
    <w:rsid w:val="008074CC"/>
    <w:rsid w:val="008074D1"/>
    <w:rsid w:val="008075EF"/>
    <w:rsid w:val="0080763E"/>
    <w:rsid w:val="0080767B"/>
    <w:rsid w:val="0080770B"/>
    <w:rsid w:val="0080779E"/>
    <w:rsid w:val="008077ED"/>
    <w:rsid w:val="00807824"/>
    <w:rsid w:val="0080783A"/>
    <w:rsid w:val="0080784A"/>
    <w:rsid w:val="0080788A"/>
    <w:rsid w:val="008078EC"/>
    <w:rsid w:val="0080793E"/>
    <w:rsid w:val="00807A10"/>
    <w:rsid w:val="00807A22"/>
    <w:rsid w:val="00807A51"/>
    <w:rsid w:val="00807A86"/>
    <w:rsid w:val="00807B44"/>
    <w:rsid w:val="00807B6F"/>
    <w:rsid w:val="00807CC3"/>
    <w:rsid w:val="00807D14"/>
    <w:rsid w:val="00807D37"/>
    <w:rsid w:val="00807DC3"/>
    <w:rsid w:val="00807E93"/>
    <w:rsid w:val="00807F02"/>
    <w:rsid w:val="008100FA"/>
    <w:rsid w:val="0081010D"/>
    <w:rsid w:val="00810138"/>
    <w:rsid w:val="0081014A"/>
    <w:rsid w:val="00810172"/>
    <w:rsid w:val="00810281"/>
    <w:rsid w:val="008102DB"/>
    <w:rsid w:val="0081033E"/>
    <w:rsid w:val="00810368"/>
    <w:rsid w:val="008103F5"/>
    <w:rsid w:val="0081042E"/>
    <w:rsid w:val="0081046B"/>
    <w:rsid w:val="00810539"/>
    <w:rsid w:val="0081054D"/>
    <w:rsid w:val="008105D9"/>
    <w:rsid w:val="00810623"/>
    <w:rsid w:val="0081063B"/>
    <w:rsid w:val="0081068C"/>
    <w:rsid w:val="0081069A"/>
    <w:rsid w:val="00810762"/>
    <w:rsid w:val="008107FD"/>
    <w:rsid w:val="00810822"/>
    <w:rsid w:val="00810824"/>
    <w:rsid w:val="00810858"/>
    <w:rsid w:val="00810898"/>
    <w:rsid w:val="008108B6"/>
    <w:rsid w:val="008108BF"/>
    <w:rsid w:val="008108D4"/>
    <w:rsid w:val="00810935"/>
    <w:rsid w:val="00810951"/>
    <w:rsid w:val="00810986"/>
    <w:rsid w:val="008109B2"/>
    <w:rsid w:val="00810A67"/>
    <w:rsid w:val="00810A7F"/>
    <w:rsid w:val="00810B97"/>
    <w:rsid w:val="00810BB0"/>
    <w:rsid w:val="00810BBE"/>
    <w:rsid w:val="00810D82"/>
    <w:rsid w:val="00810D8E"/>
    <w:rsid w:val="00810DBD"/>
    <w:rsid w:val="00810DC4"/>
    <w:rsid w:val="00810DE7"/>
    <w:rsid w:val="00810EFF"/>
    <w:rsid w:val="00810F43"/>
    <w:rsid w:val="00810FB7"/>
    <w:rsid w:val="00810FD4"/>
    <w:rsid w:val="00811044"/>
    <w:rsid w:val="008110FD"/>
    <w:rsid w:val="00811145"/>
    <w:rsid w:val="008111A9"/>
    <w:rsid w:val="008111FA"/>
    <w:rsid w:val="008112AD"/>
    <w:rsid w:val="008112E0"/>
    <w:rsid w:val="0081130A"/>
    <w:rsid w:val="00811314"/>
    <w:rsid w:val="00811482"/>
    <w:rsid w:val="0081148E"/>
    <w:rsid w:val="008115B2"/>
    <w:rsid w:val="0081160A"/>
    <w:rsid w:val="0081161E"/>
    <w:rsid w:val="008116D1"/>
    <w:rsid w:val="008117A9"/>
    <w:rsid w:val="008117E1"/>
    <w:rsid w:val="0081183F"/>
    <w:rsid w:val="00811857"/>
    <w:rsid w:val="008118E7"/>
    <w:rsid w:val="00811A37"/>
    <w:rsid w:val="00811A39"/>
    <w:rsid w:val="00811AD3"/>
    <w:rsid w:val="00811B25"/>
    <w:rsid w:val="00811B51"/>
    <w:rsid w:val="00811C35"/>
    <w:rsid w:val="00811C8F"/>
    <w:rsid w:val="00811D09"/>
    <w:rsid w:val="00811DDD"/>
    <w:rsid w:val="00811E63"/>
    <w:rsid w:val="00811E6C"/>
    <w:rsid w:val="00811EB1"/>
    <w:rsid w:val="00811ED0"/>
    <w:rsid w:val="00811FE1"/>
    <w:rsid w:val="00811FFE"/>
    <w:rsid w:val="0081206A"/>
    <w:rsid w:val="008120A3"/>
    <w:rsid w:val="008120A9"/>
    <w:rsid w:val="008123A3"/>
    <w:rsid w:val="008125AA"/>
    <w:rsid w:val="008126BD"/>
    <w:rsid w:val="0081291B"/>
    <w:rsid w:val="00812A0D"/>
    <w:rsid w:val="00812A10"/>
    <w:rsid w:val="00812A26"/>
    <w:rsid w:val="00812B13"/>
    <w:rsid w:val="00812CC5"/>
    <w:rsid w:val="00812CFC"/>
    <w:rsid w:val="00812DF7"/>
    <w:rsid w:val="00812EB8"/>
    <w:rsid w:val="00812F02"/>
    <w:rsid w:val="00812F22"/>
    <w:rsid w:val="00812F32"/>
    <w:rsid w:val="00813015"/>
    <w:rsid w:val="00813083"/>
    <w:rsid w:val="00813169"/>
    <w:rsid w:val="0081320F"/>
    <w:rsid w:val="0081324E"/>
    <w:rsid w:val="00813457"/>
    <w:rsid w:val="00813553"/>
    <w:rsid w:val="00813622"/>
    <w:rsid w:val="00813971"/>
    <w:rsid w:val="0081397E"/>
    <w:rsid w:val="00813A14"/>
    <w:rsid w:val="00813A16"/>
    <w:rsid w:val="00813A97"/>
    <w:rsid w:val="00813ACD"/>
    <w:rsid w:val="00813C6B"/>
    <w:rsid w:val="00813D3B"/>
    <w:rsid w:val="00813D75"/>
    <w:rsid w:val="00813DCF"/>
    <w:rsid w:val="00813DFF"/>
    <w:rsid w:val="00813F74"/>
    <w:rsid w:val="00813FA7"/>
    <w:rsid w:val="00813FAB"/>
    <w:rsid w:val="0081418B"/>
    <w:rsid w:val="008141CF"/>
    <w:rsid w:val="008141F1"/>
    <w:rsid w:val="008142AC"/>
    <w:rsid w:val="008143D7"/>
    <w:rsid w:val="00814424"/>
    <w:rsid w:val="00814464"/>
    <w:rsid w:val="008144A9"/>
    <w:rsid w:val="008144E9"/>
    <w:rsid w:val="0081461D"/>
    <w:rsid w:val="00814760"/>
    <w:rsid w:val="0081478D"/>
    <w:rsid w:val="008147FC"/>
    <w:rsid w:val="0081482C"/>
    <w:rsid w:val="0081498C"/>
    <w:rsid w:val="0081499C"/>
    <w:rsid w:val="00814AE1"/>
    <w:rsid w:val="00814B21"/>
    <w:rsid w:val="00814B47"/>
    <w:rsid w:val="00814BA6"/>
    <w:rsid w:val="00814BD8"/>
    <w:rsid w:val="00814C03"/>
    <w:rsid w:val="00814D57"/>
    <w:rsid w:val="00814D5A"/>
    <w:rsid w:val="00814DBD"/>
    <w:rsid w:val="00814DC5"/>
    <w:rsid w:val="00814DEE"/>
    <w:rsid w:val="00814E75"/>
    <w:rsid w:val="00814E79"/>
    <w:rsid w:val="00814F2C"/>
    <w:rsid w:val="00814FCB"/>
    <w:rsid w:val="00814FE3"/>
    <w:rsid w:val="0081500F"/>
    <w:rsid w:val="008151BB"/>
    <w:rsid w:val="00815357"/>
    <w:rsid w:val="008153E6"/>
    <w:rsid w:val="00815465"/>
    <w:rsid w:val="008154CC"/>
    <w:rsid w:val="0081560D"/>
    <w:rsid w:val="00815774"/>
    <w:rsid w:val="008158A5"/>
    <w:rsid w:val="008159AE"/>
    <w:rsid w:val="008159FC"/>
    <w:rsid w:val="00815B37"/>
    <w:rsid w:val="00815CAF"/>
    <w:rsid w:val="00815CB5"/>
    <w:rsid w:val="00815D03"/>
    <w:rsid w:val="00815D31"/>
    <w:rsid w:val="00815D63"/>
    <w:rsid w:val="00815D86"/>
    <w:rsid w:val="00815D9F"/>
    <w:rsid w:val="00815DAC"/>
    <w:rsid w:val="00815E5C"/>
    <w:rsid w:val="0081601F"/>
    <w:rsid w:val="00816053"/>
    <w:rsid w:val="00816064"/>
    <w:rsid w:val="0081608B"/>
    <w:rsid w:val="0081636F"/>
    <w:rsid w:val="0081637C"/>
    <w:rsid w:val="0081637D"/>
    <w:rsid w:val="008163EC"/>
    <w:rsid w:val="008163FA"/>
    <w:rsid w:val="0081643D"/>
    <w:rsid w:val="00816442"/>
    <w:rsid w:val="00816486"/>
    <w:rsid w:val="008164BA"/>
    <w:rsid w:val="00816551"/>
    <w:rsid w:val="00816632"/>
    <w:rsid w:val="008166AB"/>
    <w:rsid w:val="008166E0"/>
    <w:rsid w:val="00816880"/>
    <w:rsid w:val="008168BF"/>
    <w:rsid w:val="008168E0"/>
    <w:rsid w:val="008169E8"/>
    <w:rsid w:val="008169F7"/>
    <w:rsid w:val="00816A7A"/>
    <w:rsid w:val="00816A98"/>
    <w:rsid w:val="00816B23"/>
    <w:rsid w:val="00816B3F"/>
    <w:rsid w:val="00816B81"/>
    <w:rsid w:val="00816BC8"/>
    <w:rsid w:val="00816C62"/>
    <w:rsid w:val="00816CB0"/>
    <w:rsid w:val="00816E37"/>
    <w:rsid w:val="00816E88"/>
    <w:rsid w:val="00816F22"/>
    <w:rsid w:val="008170BE"/>
    <w:rsid w:val="008171F3"/>
    <w:rsid w:val="008172EE"/>
    <w:rsid w:val="00817445"/>
    <w:rsid w:val="0081744B"/>
    <w:rsid w:val="0081744E"/>
    <w:rsid w:val="008174B2"/>
    <w:rsid w:val="008174F3"/>
    <w:rsid w:val="00817608"/>
    <w:rsid w:val="00817649"/>
    <w:rsid w:val="0081765E"/>
    <w:rsid w:val="00817779"/>
    <w:rsid w:val="0081777B"/>
    <w:rsid w:val="008177DD"/>
    <w:rsid w:val="008177E6"/>
    <w:rsid w:val="00817942"/>
    <w:rsid w:val="00817970"/>
    <w:rsid w:val="008179AA"/>
    <w:rsid w:val="008179CA"/>
    <w:rsid w:val="008179D9"/>
    <w:rsid w:val="008179F7"/>
    <w:rsid w:val="00817AB0"/>
    <w:rsid w:val="00817B1A"/>
    <w:rsid w:val="00817B60"/>
    <w:rsid w:val="00817BD9"/>
    <w:rsid w:val="00817C2C"/>
    <w:rsid w:val="00817CDC"/>
    <w:rsid w:val="00817CE3"/>
    <w:rsid w:val="00817CFF"/>
    <w:rsid w:val="00817D70"/>
    <w:rsid w:val="00817E50"/>
    <w:rsid w:val="00817F19"/>
    <w:rsid w:val="00817F76"/>
    <w:rsid w:val="0082000D"/>
    <w:rsid w:val="00820165"/>
    <w:rsid w:val="0082018A"/>
    <w:rsid w:val="00820197"/>
    <w:rsid w:val="008202CD"/>
    <w:rsid w:val="0082037E"/>
    <w:rsid w:val="008203C0"/>
    <w:rsid w:val="00820409"/>
    <w:rsid w:val="008204B6"/>
    <w:rsid w:val="0082054D"/>
    <w:rsid w:val="00820595"/>
    <w:rsid w:val="008205C5"/>
    <w:rsid w:val="0082068B"/>
    <w:rsid w:val="00820832"/>
    <w:rsid w:val="00820841"/>
    <w:rsid w:val="008208D3"/>
    <w:rsid w:val="00820939"/>
    <w:rsid w:val="00820AB8"/>
    <w:rsid w:val="00820C09"/>
    <w:rsid w:val="00820C9C"/>
    <w:rsid w:val="00820CCD"/>
    <w:rsid w:val="00820EBA"/>
    <w:rsid w:val="00820EE8"/>
    <w:rsid w:val="00820F55"/>
    <w:rsid w:val="00820FF4"/>
    <w:rsid w:val="0082100C"/>
    <w:rsid w:val="00821230"/>
    <w:rsid w:val="00821299"/>
    <w:rsid w:val="008212AE"/>
    <w:rsid w:val="008212ED"/>
    <w:rsid w:val="008212F1"/>
    <w:rsid w:val="0082133A"/>
    <w:rsid w:val="008213B4"/>
    <w:rsid w:val="0082141C"/>
    <w:rsid w:val="00821481"/>
    <w:rsid w:val="008214C8"/>
    <w:rsid w:val="00821572"/>
    <w:rsid w:val="00821611"/>
    <w:rsid w:val="00821704"/>
    <w:rsid w:val="00821779"/>
    <w:rsid w:val="0082181F"/>
    <w:rsid w:val="00821843"/>
    <w:rsid w:val="0082184E"/>
    <w:rsid w:val="00821A1F"/>
    <w:rsid w:val="00821A39"/>
    <w:rsid w:val="00821A5E"/>
    <w:rsid w:val="00821BAE"/>
    <w:rsid w:val="00821C45"/>
    <w:rsid w:val="00821D57"/>
    <w:rsid w:val="00821EB0"/>
    <w:rsid w:val="00821F3F"/>
    <w:rsid w:val="00821F95"/>
    <w:rsid w:val="00821FA7"/>
    <w:rsid w:val="00821FFB"/>
    <w:rsid w:val="008220E3"/>
    <w:rsid w:val="0082211A"/>
    <w:rsid w:val="00822160"/>
    <w:rsid w:val="00822202"/>
    <w:rsid w:val="00822310"/>
    <w:rsid w:val="00822332"/>
    <w:rsid w:val="008223A8"/>
    <w:rsid w:val="00822422"/>
    <w:rsid w:val="00822466"/>
    <w:rsid w:val="0082252D"/>
    <w:rsid w:val="00822597"/>
    <w:rsid w:val="00822637"/>
    <w:rsid w:val="0082266F"/>
    <w:rsid w:val="008226C0"/>
    <w:rsid w:val="00822718"/>
    <w:rsid w:val="00822779"/>
    <w:rsid w:val="00822BB3"/>
    <w:rsid w:val="00822C28"/>
    <w:rsid w:val="00822C4E"/>
    <w:rsid w:val="00822D15"/>
    <w:rsid w:val="00822D37"/>
    <w:rsid w:val="00822D63"/>
    <w:rsid w:val="00822DD2"/>
    <w:rsid w:val="00822DFF"/>
    <w:rsid w:val="00822E65"/>
    <w:rsid w:val="00822E6B"/>
    <w:rsid w:val="00822E86"/>
    <w:rsid w:val="00822E8C"/>
    <w:rsid w:val="00822F0F"/>
    <w:rsid w:val="00822F4C"/>
    <w:rsid w:val="00822FF2"/>
    <w:rsid w:val="0082302C"/>
    <w:rsid w:val="00823093"/>
    <w:rsid w:val="008233D8"/>
    <w:rsid w:val="008233FC"/>
    <w:rsid w:val="00823459"/>
    <w:rsid w:val="008234C9"/>
    <w:rsid w:val="00823576"/>
    <w:rsid w:val="0082360B"/>
    <w:rsid w:val="00823755"/>
    <w:rsid w:val="00823794"/>
    <w:rsid w:val="008237F4"/>
    <w:rsid w:val="0082383C"/>
    <w:rsid w:val="008239CF"/>
    <w:rsid w:val="00823AA7"/>
    <w:rsid w:val="00823C2E"/>
    <w:rsid w:val="00823CEC"/>
    <w:rsid w:val="00823CF7"/>
    <w:rsid w:val="00823DAC"/>
    <w:rsid w:val="00823E79"/>
    <w:rsid w:val="00823F52"/>
    <w:rsid w:val="00823F67"/>
    <w:rsid w:val="00823FC2"/>
    <w:rsid w:val="00824000"/>
    <w:rsid w:val="00824022"/>
    <w:rsid w:val="008240D2"/>
    <w:rsid w:val="008241A7"/>
    <w:rsid w:val="008241E7"/>
    <w:rsid w:val="00824265"/>
    <w:rsid w:val="008242E9"/>
    <w:rsid w:val="00824316"/>
    <w:rsid w:val="00824370"/>
    <w:rsid w:val="00824531"/>
    <w:rsid w:val="0082459D"/>
    <w:rsid w:val="00824626"/>
    <w:rsid w:val="00824635"/>
    <w:rsid w:val="008246C7"/>
    <w:rsid w:val="008247A9"/>
    <w:rsid w:val="0082483A"/>
    <w:rsid w:val="008248A0"/>
    <w:rsid w:val="00824A81"/>
    <w:rsid w:val="00824AE0"/>
    <w:rsid w:val="00824AFC"/>
    <w:rsid w:val="00824B08"/>
    <w:rsid w:val="00824B1F"/>
    <w:rsid w:val="00824B77"/>
    <w:rsid w:val="00824BFC"/>
    <w:rsid w:val="00824C8E"/>
    <w:rsid w:val="00824C9A"/>
    <w:rsid w:val="00824D3B"/>
    <w:rsid w:val="00824D70"/>
    <w:rsid w:val="00824DD9"/>
    <w:rsid w:val="00824E9E"/>
    <w:rsid w:val="00824EB1"/>
    <w:rsid w:val="00824F05"/>
    <w:rsid w:val="00824F87"/>
    <w:rsid w:val="00824F8E"/>
    <w:rsid w:val="00825050"/>
    <w:rsid w:val="00825082"/>
    <w:rsid w:val="00825093"/>
    <w:rsid w:val="0082509A"/>
    <w:rsid w:val="00825116"/>
    <w:rsid w:val="00825184"/>
    <w:rsid w:val="008251D4"/>
    <w:rsid w:val="008251F1"/>
    <w:rsid w:val="008252A4"/>
    <w:rsid w:val="008252AB"/>
    <w:rsid w:val="0082548E"/>
    <w:rsid w:val="008254DB"/>
    <w:rsid w:val="008254FC"/>
    <w:rsid w:val="0082561D"/>
    <w:rsid w:val="008257B8"/>
    <w:rsid w:val="008257D7"/>
    <w:rsid w:val="00825813"/>
    <w:rsid w:val="00825830"/>
    <w:rsid w:val="00825AB9"/>
    <w:rsid w:val="00825BC0"/>
    <w:rsid w:val="00825D20"/>
    <w:rsid w:val="00825DC5"/>
    <w:rsid w:val="00825EEA"/>
    <w:rsid w:val="00825F04"/>
    <w:rsid w:val="00825F3E"/>
    <w:rsid w:val="00825F58"/>
    <w:rsid w:val="00825FA0"/>
    <w:rsid w:val="00825FDC"/>
    <w:rsid w:val="00826005"/>
    <w:rsid w:val="008260E8"/>
    <w:rsid w:val="008260ED"/>
    <w:rsid w:val="00826196"/>
    <w:rsid w:val="008261F9"/>
    <w:rsid w:val="0082622B"/>
    <w:rsid w:val="008262CD"/>
    <w:rsid w:val="0082636C"/>
    <w:rsid w:val="008263F1"/>
    <w:rsid w:val="00826412"/>
    <w:rsid w:val="0082664F"/>
    <w:rsid w:val="00826685"/>
    <w:rsid w:val="0082682B"/>
    <w:rsid w:val="00826891"/>
    <w:rsid w:val="00826952"/>
    <w:rsid w:val="0082699D"/>
    <w:rsid w:val="00826A73"/>
    <w:rsid w:val="00826A7A"/>
    <w:rsid w:val="00826B95"/>
    <w:rsid w:val="00826BB3"/>
    <w:rsid w:val="00826CE2"/>
    <w:rsid w:val="00826D94"/>
    <w:rsid w:val="00826DCC"/>
    <w:rsid w:val="00826DD5"/>
    <w:rsid w:val="00826E40"/>
    <w:rsid w:val="00826E6B"/>
    <w:rsid w:val="00826E75"/>
    <w:rsid w:val="00826FD0"/>
    <w:rsid w:val="008270D7"/>
    <w:rsid w:val="00827174"/>
    <w:rsid w:val="0082718C"/>
    <w:rsid w:val="008271AE"/>
    <w:rsid w:val="008271ED"/>
    <w:rsid w:val="00827362"/>
    <w:rsid w:val="00827376"/>
    <w:rsid w:val="00827402"/>
    <w:rsid w:val="00827408"/>
    <w:rsid w:val="008275FD"/>
    <w:rsid w:val="00827703"/>
    <w:rsid w:val="008277A1"/>
    <w:rsid w:val="00827884"/>
    <w:rsid w:val="00827893"/>
    <w:rsid w:val="008279A8"/>
    <w:rsid w:val="00827ABE"/>
    <w:rsid w:val="00827B07"/>
    <w:rsid w:val="00827B40"/>
    <w:rsid w:val="00827B9A"/>
    <w:rsid w:val="00827BF1"/>
    <w:rsid w:val="00827C50"/>
    <w:rsid w:val="00827D09"/>
    <w:rsid w:val="00827D1B"/>
    <w:rsid w:val="00827D1F"/>
    <w:rsid w:val="00827E38"/>
    <w:rsid w:val="00827E9C"/>
    <w:rsid w:val="00827EDD"/>
    <w:rsid w:val="00827F1F"/>
    <w:rsid w:val="00827F72"/>
    <w:rsid w:val="008300A2"/>
    <w:rsid w:val="00830159"/>
    <w:rsid w:val="00830214"/>
    <w:rsid w:val="0083029D"/>
    <w:rsid w:val="008302A7"/>
    <w:rsid w:val="008302CC"/>
    <w:rsid w:val="00830345"/>
    <w:rsid w:val="0083034B"/>
    <w:rsid w:val="008304E6"/>
    <w:rsid w:val="008305AE"/>
    <w:rsid w:val="008306BC"/>
    <w:rsid w:val="00830731"/>
    <w:rsid w:val="00830779"/>
    <w:rsid w:val="008307F3"/>
    <w:rsid w:val="00830804"/>
    <w:rsid w:val="00830842"/>
    <w:rsid w:val="008308B5"/>
    <w:rsid w:val="00830A04"/>
    <w:rsid w:val="00830BA1"/>
    <w:rsid w:val="00830BDB"/>
    <w:rsid w:val="00830BE1"/>
    <w:rsid w:val="00830CEA"/>
    <w:rsid w:val="00830D6F"/>
    <w:rsid w:val="00830E01"/>
    <w:rsid w:val="00830EB2"/>
    <w:rsid w:val="00830EE9"/>
    <w:rsid w:val="00830EFB"/>
    <w:rsid w:val="00830F49"/>
    <w:rsid w:val="008310DF"/>
    <w:rsid w:val="008311AD"/>
    <w:rsid w:val="00831282"/>
    <w:rsid w:val="00831397"/>
    <w:rsid w:val="0083143B"/>
    <w:rsid w:val="00831473"/>
    <w:rsid w:val="00831510"/>
    <w:rsid w:val="00831522"/>
    <w:rsid w:val="00831569"/>
    <w:rsid w:val="008315BD"/>
    <w:rsid w:val="008315E5"/>
    <w:rsid w:val="00831652"/>
    <w:rsid w:val="008316FB"/>
    <w:rsid w:val="008316FE"/>
    <w:rsid w:val="008317C2"/>
    <w:rsid w:val="00831847"/>
    <w:rsid w:val="00831875"/>
    <w:rsid w:val="00831945"/>
    <w:rsid w:val="00831A67"/>
    <w:rsid w:val="00831AB3"/>
    <w:rsid w:val="00831AD1"/>
    <w:rsid w:val="00831BE6"/>
    <w:rsid w:val="00831BF2"/>
    <w:rsid w:val="00831C7D"/>
    <w:rsid w:val="00831D85"/>
    <w:rsid w:val="00831DDC"/>
    <w:rsid w:val="00831E11"/>
    <w:rsid w:val="00831E95"/>
    <w:rsid w:val="00831E96"/>
    <w:rsid w:val="00831E9B"/>
    <w:rsid w:val="00831ED9"/>
    <w:rsid w:val="00831F89"/>
    <w:rsid w:val="0083202E"/>
    <w:rsid w:val="00832040"/>
    <w:rsid w:val="008320A9"/>
    <w:rsid w:val="008320B5"/>
    <w:rsid w:val="0083210E"/>
    <w:rsid w:val="00832174"/>
    <w:rsid w:val="0083238B"/>
    <w:rsid w:val="008323B1"/>
    <w:rsid w:val="00832473"/>
    <w:rsid w:val="00832487"/>
    <w:rsid w:val="008324CA"/>
    <w:rsid w:val="00832536"/>
    <w:rsid w:val="008326C8"/>
    <w:rsid w:val="0083282B"/>
    <w:rsid w:val="008328F1"/>
    <w:rsid w:val="00832992"/>
    <w:rsid w:val="008329AA"/>
    <w:rsid w:val="008329D5"/>
    <w:rsid w:val="00832A02"/>
    <w:rsid w:val="00832A94"/>
    <w:rsid w:val="00832B58"/>
    <w:rsid w:val="00832B8A"/>
    <w:rsid w:val="00832CCB"/>
    <w:rsid w:val="00832D2E"/>
    <w:rsid w:val="00832E40"/>
    <w:rsid w:val="00832ED1"/>
    <w:rsid w:val="00832EDD"/>
    <w:rsid w:val="0083304F"/>
    <w:rsid w:val="00833067"/>
    <w:rsid w:val="00833121"/>
    <w:rsid w:val="0083344A"/>
    <w:rsid w:val="008334C9"/>
    <w:rsid w:val="0083353D"/>
    <w:rsid w:val="0083357E"/>
    <w:rsid w:val="00833714"/>
    <w:rsid w:val="00833728"/>
    <w:rsid w:val="008338B4"/>
    <w:rsid w:val="00833989"/>
    <w:rsid w:val="00833A1A"/>
    <w:rsid w:val="00833A32"/>
    <w:rsid w:val="00833AC3"/>
    <w:rsid w:val="00833B4F"/>
    <w:rsid w:val="00833BDA"/>
    <w:rsid w:val="00833D07"/>
    <w:rsid w:val="00833E53"/>
    <w:rsid w:val="00833E97"/>
    <w:rsid w:val="00833F5A"/>
    <w:rsid w:val="00834036"/>
    <w:rsid w:val="00834122"/>
    <w:rsid w:val="008341D5"/>
    <w:rsid w:val="0083424E"/>
    <w:rsid w:val="00834258"/>
    <w:rsid w:val="00834312"/>
    <w:rsid w:val="008344A8"/>
    <w:rsid w:val="00834515"/>
    <w:rsid w:val="00834526"/>
    <w:rsid w:val="00834527"/>
    <w:rsid w:val="0083454C"/>
    <w:rsid w:val="00834676"/>
    <w:rsid w:val="0083468D"/>
    <w:rsid w:val="008346B3"/>
    <w:rsid w:val="00834775"/>
    <w:rsid w:val="008347D9"/>
    <w:rsid w:val="00834817"/>
    <w:rsid w:val="0083487E"/>
    <w:rsid w:val="00834965"/>
    <w:rsid w:val="0083499D"/>
    <w:rsid w:val="008349BA"/>
    <w:rsid w:val="00834A71"/>
    <w:rsid w:val="00834AA7"/>
    <w:rsid w:val="00834CBC"/>
    <w:rsid w:val="00834CC8"/>
    <w:rsid w:val="00834CD1"/>
    <w:rsid w:val="00834D0A"/>
    <w:rsid w:val="00834D62"/>
    <w:rsid w:val="00834D95"/>
    <w:rsid w:val="00834D98"/>
    <w:rsid w:val="00834E32"/>
    <w:rsid w:val="00834E9A"/>
    <w:rsid w:val="00834F1C"/>
    <w:rsid w:val="00834FAB"/>
    <w:rsid w:val="00834FDC"/>
    <w:rsid w:val="0083509C"/>
    <w:rsid w:val="008350B2"/>
    <w:rsid w:val="008351B1"/>
    <w:rsid w:val="008351FC"/>
    <w:rsid w:val="00835272"/>
    <w:rsid w:val="008352C5"/>
    <w:rsid w:val="008352CD"/>
    <w:rsid w:val="00835333"/>
    <w:rsid w:val="00835566"/>
    <w:rsid w:val="0083562F"/>
    <w:rsid w:val="0083563C"/>
    <w:rsid w:val="00835695"/>
    <w:rsid w:val="0083579E"/>
    <w:rsid w:val="0083589E"/>
    <w:rsid w:val="008358A6"/>
    <w:rsid w:val="008358E1"/>
    <w:rsid w:val="00835906"/>
    <w:rsid w:val="00835932"/>
    <w:rsid w:val="0083594E"/>
    <w:rsid w:val="008359FB"/>
    <w:rsid w:val="00835A31"/>
    <w:rsid w:val="00835A50"/>
    <w:rsid w:val="00835A67"/>
    <w:rsid w:val="00835B36"/>
    <w:rsid w:val="00835B6B"/>
    <w:rsid w:val="00835C56"/>
    <w:rsid w:val="00835C96"/>
    <w:rsid w:val="00835D1E"/>
    <w:rsid w:val="00835E64"/>
    <w:rsid w:val="00835FDA"/>
    <w:rsid w:val="0083603F"/>
    <w:rsid w:val="008360B8"/>
    <w:rsid w:val="008360FC"/>
    <w:rsid w:val="0083619A"/>
    <w:rsid w:val="0083625D"/>
    <w:rsid w:val="00836470"/>
    <w:rsid w:val="0083647C"/>
    <w:rsid w:val="0083652F"/>
    <w:rsid w:val="00836765"/>
    <w:rsid w:val="008367D8"/>
    <w:rsid w:val="00836A18"/>
    <w:rsid w:val="00836AC1"/>
    <w:rsid w:val="00836AC4"/>
    <w:rsid w:val="00836B41"/>
    <w:rsid w:val="00836B9A"/>
    <w:rsid w:val="00836B9F"/>
    <w:rsid w:val="00836BA5"/>
    <w:rsid w:val="00836BD3"/>
    <w:rsid w:val="00836D18"/>
    <w:rsid w:val="00836D56"/>
    <w:rsid w:val="00836D88"/>
    <w:rsid w:val="00836E5F"/>
    <w:rsid w:val="00836E81"/>
    <w:rsid w:val="00836FBF"/>
    <w:rsid w:val="00836FC1"/>
    <w:rsid w:val="00836FC2"/>
    <w:rsid w:val="008370AB"/>
    <w:rsid w:val="0083715E"/>
    <w:rsid w:val="00837203"/>
    <w:rsid w:val="0083727D"/>
    <w:rsid w:val="008375F1"/>
    <w:rsid w:val="00837621"/>
    <w:rsid w:val="00837639"/>
    <w:rsid w:val="00837716"/>
    <w:rsid w:val="008377C1"/>
    <w:rsid w:val="008377D4"/>
    <w:rsid w:val="008377EA"/>
    <w:rsid w:val="00837846"/>
    <w:rsid w:val="008378E3"/>
    <w:rsid w:val="00837BC2"/>
    <w:rsid w:val="00837C0B"/>
    <w:rsid w:val="00837C2A"/>
    <w:rsid w:val="00837C90"/>
    <w:rsid w:val="00837CCD"/>
    <w:rsid w:val="00837CDC"/>
    <w:rsid w:val="00837DC6"/>
    <w:rsid w:val="00837E46"/>
    <w:rsid w:val="00837E58"/>
    <w:rsid w:val="00837EA6"/>
    <w:rsid w:val="00837EAC"/>
    <w:rsid w:val="00837EB1"/>
    <w:rsid w:val="00837EB2"/>
    <w:rsid w:val="00837FA5"/>
    <w:rsid w:val="00840078"/>
    <w:rsid w:val="008400FC"/>
    <w:rsid w:val="00840165"/>
    <w:rsid w:val="008401DC"/>
    <w:rsid w:val="008401E6"/>
    <w:rsid w:val="0084022D"/>
    <w:rsid w:val="00840262"/>
    <w:rsid w:val="00840263"/>
    <w:rsid w:val="00840323"/>
    <w:rsid w:val="00840363"/>
    <w:rsid w:val="0084040B"/>
    <w:rsid w:val="00840424"/>
    <w:rsid w:val="0084042B"/>
    <w:rsid w:val="00840480"/>
    <w:rsid w:val="00840581"/>
    <w:rsid w:val="00840636"/>
    <w:rsid w:val="0084074D"/>
    <w:rsid w:val="008407F7"/>
    <w:rsid w:val="008409A9"/>
    <w:rsid w:val="008409BB"/>
    <w:rsid w:val="008409FB"/>
    <w:rsid w:val="00840A53"/>
    <w:rsid w:val="00840A67"/>
    <w:rsid w:val="00840BCF"/>
    <w:rsid w:val="00840C43"/>
    <w:rsid w:val="00840C4C"/>
    <w:rsid w:val="00840CA8"/>
    <w:rsid w:val="00840CAA"/>
    <w:rsid w:val="00840CD5"/>
    <w:rsid w:val="00840D04"/>
    <w:rsid w:val="00840D0A"/>
    <w:rsid w:val="00840D5A"/>
    <w:rsid w:val="00840E8C"/>
    <w:rsid w:val="00840F38"/>
    <w:rsid w:val="00840F42"/>
    <w:rsid w:val="00841209"/>
    <w:rsid w:val="00841213"/>
    <w:rsid w:val="0084122E"/>
    <w:rsid w:val="00841330"/>
    <w:rsid w:val="00841423"/>
    <w:rsid w:val="00841447"/>
    <w:rsid w:val="008414CA"/>
    <w:rsid w:val="00841549"/>
    <w:rsid w:val="0084158D"/>
    <w:rsid w:val="008415C3"/>
    <w:rsid w:val="008415DC"/>
    <w:rsid w:val="008415EA"/>
    <w:rsid w:val="00841602"/>
    <w:rsid w:val="008416FD"/>
    <w:rsid w:val="008417B7"/>
    <w:rsid w:val="0084184A"/>
    <w:rsid w:val="00841857"/>
    <w:rsid w:val="0084192D"/>
    <w:rsid w:val="0084195D"/>
    <w:rsid w:val="008419F5"/>
    <w:rsid w:val="00841A39"/>
    <w:rsid w:val="00841B3C"/>
    <w:rsid w:val="00841D92"/>
    <w:rsid w:val="00841E8E"/>
    <w:rsid w:val="00841EBB"/>
    <w:rsid w:val="00842204"/>
    <w:rsid w:val="008422B9"/>
    <w:rsid w:val="008423F2"/>
    <w:rsid w:val="008424A3"/>
    <w:rsid w:val="0084250E"/>
    <w:rsid w:val="00842660"/>
    <w:rsid w:val="00842718"/>
    <w:rsid w:val="0084282A"/>
    <w:rsid w:val="00842A30"/>
    <w:rsid w:val="00842BD7"/>
    <w:rsid w:val="00842C2A"/>
    <w:rsid w:val="00842C2C"/>
    <w:rsid w:val="00842C8D"/>
    <w:rsid w:val="00842D9B"/>
    <w:rsid w:val="00842DC0"/>
    <w:rsid w:val="00842E6B"/>
    <w:rsid w:val="00842E89"/>
    <w:rsid w:val="00842F71"/>
    <w:rsid w:val="00842F85"/>
    <w:rsid w:val="00843069"/>
    <w:rsid w:val="008430A2"/>
    <w:rsid w:val="008430EB"/>
    <w:rsid w:val="00843179"/>
    <w:rsid w:val="008431D1"/>
    <w:rsid w:val="0084322F"/>
    <w:rsid w:val="0084336B"/>
    <w:rsid w:val="008433B0"/>
    <w:rsid w:val="00843488"/>
    <w:rsid w:val="00843526"/>
    <w:rsid w:val="008435E2"/>
    <w:rsid w:val="00843686"/>
    <w:rsid w:val="008436EC"/>
    <w:rsid w:val="00843790"/>
    <w:rsid w:val="008437B0"/>
    <w:rsid w:val="008437EE"/>
    <w:rsid w:val="0084386A"/>
    <w:rsid w:val="00843918"/>
    <w:rsid w:val="0084396A"/>
    <w:rsid w:val="00843979"/>
    <w:rsid w:val="008439FC"/>
    <w:rsid w:val="00843A29"/>
    <w:rsid w:val="00843A3F"/>
    <w:rsid w:val="00843AB1"/>
    <w:rsid w:val="00843AE0"/>
    <w:rsid w:val="00843B3B"/>
    <w:rsid w:val="00843B58"/>
    <w:rsid w:val="00843B8C"/>
    <w:rsid w:val="00843B95"/>
    <w:rsid w:val="00843C1A"/>
    <w:rsid w:val="00843C69"/>
    <w:rsid w:val="00843CC1"/>
    <w:rsid w:val="00843DD6"/>
    <w:rsid w:val="00843E0E"/>
    <w:rsid w:val="00843E95"/>
    <w:rsid w:val="00843F0C"/>
    <w:rsid w:val="00843F6C"/>
    <w:rsid w:val="00843FB6"/>
    <w:rsid w:val="00844175"/>
    <w:rsid w:val="0084419E"/>
    <w:rsid w:val="008441EC"/>
    <w:rsid w:val="00844253"/>
    <w:rsid w:val="00844267"/>
    <w:rsid w:val="0084426F"/>
    <w:rsid w:val="008442D8"/>
    <w:rsid w:val="008442EA"/>
    <w:rsid w:val="00844360"/>
    <w:rsid w:val="00844405"/>
    <w:rsid w:val="0084448D"/>
    <w:rsid w:val="008444A4"/>
    <w:rsid w:val="00844589"/>
    <w:rsid w:val="00844645"/>
    <w:rsid w:val="0084464E"/>
    <w:rsid w:val="00844664"/>
    <w:rsid w:val="0084466D"/>
    <w:rsid w:val="0084467E"/>
    <w:rsid w:val="00844794"/>
    <w:rsid w:val="008447AA"/>
    <w:rsid w:val="00844836"/>
    <w:rsid w:val="00844880"/>
    <w:rsid w:val="00844895"/>
    <w:rsid w:val="008448E2"/>
    <w:rsid w:val="00844981"/>
    <w:rsid w:val="0084499B"/>
    <w:rsid w:val="008449C4"/>
    <w:rsid w:val="00844A14"/>
    <w:rsid w:val="00844A2D"/>
    <w:rsid w:val="00844A7B"/>
    <w:rsid w:val="00844AA1"/>
    <w:rsid w:val="00844B5A"/>
    <w:rsid w:val="00844B9D"/>
    <w:rsid w:val="00844D46"/>
    <w:rsid w:val="00844E33"/>
    <w:rsid w:val="00844FE7"/>
    <w:rsid w:val="00845013"/>
    <w:rsid w:val="008450BA"/>
    <w:rsid w:val="0084518F"/>
    <w:rsid w:val="008451E3"/>
    <w:rsid w:val="0084522E"/>
    <w:rsid w:val="0084525E"/>
    <w:rsid w:val="008452DA"/>
    <w:rsid w:val="00845306"/>
    <w:rsid w:val="00845308"/>
    <w:rsid w:val="008453AC"/>
    <w:rsid w:val="0084543E"/>
    <w:rsid w:val="0084549D"/>
    <w:rsid w:val="008455BA"/>
    <w:rsid w:val="008455D2"/>
    <w:rsid w:val="00845607"/>
    <w:rsid w:val="00845708"/>
    <w:rsid w:val="00845780"/>
    <w:rsid w:val="00845781"/>
    <w:rsid w:val="0084578C"/>
    <w:rsid w:val="008457F0"/>
    <w:rsid w:val="00845862"/>
    <w:rsid w:val="008458AE"/>
    <w:rsid w:val="0084590F"/>
    <w:rsid w:val="0084595F"/>
    <w:rsid w:val="00845969"/>
    <w:rsid w:val="008459B9"/>
    <w:rsid w:val="00845B63"/>
    <w:rsid w:val="00845BB3"/>
    <w:rsid w:val="00845BD2"/>
    <w:rsid w:val="00845C53"/>
    <w:rsid w:val="00845DA6"/>
    <w:rsid w:val="00845E22"/>
    <w:rsid w:val="00845F37"/>
    <w:rsid w:val="00845FF5"/>
    <w:rsid w:val="00846001"/>
    <w:rsid w:val="008460BA"/>
    <w:rsid w:val="008460BE"/>
    <w:rsid w:val="0084615D"/>
    <w:rsid w:val="008461FE"/>
    <w:rsid w:val="00846248"/>
    <w:rsid w:val="008462AC"/>
    <w:rsid w:val="008462D8"/>
    <w:rsid w:val="008462FC"/>
    <w:rsid w:val="0084642A"/>
    <w:rsid w:val="00846495"/>
    <w:rsid w:val="008464CE"/>
    <w:rsid w:val="008464E2"/>
    <w:rsid w:val="008464FE"/>
    <w:rsid w:val="00846502"/>
    <w:rsid w:val="00846515"/>
    <w:rsid w:val="0084651F"/>
    <w:rsid w:val="008465C0"/>
    <w:rsid w:val="008465C4"/>
    <w:rsid w:val="0084666E"/>
    <w:rsid w:val="008466F7"/>
    <w:rsid w:val="00846710"/>
    <w:rsid w:val="00846877"/>
    <w:rsid w:val="00846958"/>
    <w:rsid w:val="008469DF"/>
    <w:rsid w:val="00846A4E"/>
    <w:rsid w:val="00846A82"/>
    <w:rsid w:val="00846BDD"/>
    <w:rsid w:val="00846C3B"/>
    <w:rsid w:val="00846C4B"/>
    <w:rsid w:val="00846C61"/>
    <w:rsid w:val="00846CA8"/>
    <w:rsid w:val="00846CB8"/>
    <w:rsid w:val="00846CCE"/>
    <w:rsid w:val="00846D59"/>
    <w:rsid w:val="00846E35"/>
    <w:rsid w:val="00846EA8"/>
    <w:rsid w:val="00846EE1"/>
    <w:rsid w:val="00846F90"/>
    <w:rsid w:val="00846F96"/>
    <w:rsid w:val="00846FCC"/>
    <w:rsid w:val="00846FF7"/>
    <w:rsid w:val="0084705F"/>
    <w:rsid w:val="00847159"/>
    <w:rsid w:val="008471BE"/>
    <w:rsid w:val="008471C2"/>
    <w:rsid w:val="008471EF"/>
    <w:rsid w:val="00847216"/>
    <w:rsid w:val="008472B1"/>
    <w:rsid w:val="008476D8"/>
    <w:rsid w:val="00847830"/>
    <w:rsid w:val="00847859"/>
    <w:rsid w:val="008478ED"/>
    <w:rsid w:val="008479D6"/>
    <w:rsid w:val="00847A7D"/>
    <w:rsid w:val="00847A86"/>
    <w:rsid w:val="00847BCC"/>
    <w:rsid w:val="00847C1B"/>
    <w:rsid w:val="00847C2D"/>
    <w:rsid w:val="00847C39"/>
    <w:rsid w:val="00847C9D"/>
    <w:rsid w:val="00847CB6"/>
    <w:rsid w:val="00847CB7"/>
    <w:rsid w:val="00847D2D"/>
    <w:rsid w:val="00847E14"/>
    <w:rsid w:val="00847E62"/>
    <w:rsid w:val="00847EFB"/>
    <w:rsid w:val="00847F0B"/>
    <w:rsid w:val="00847F5C"/>
    <w:rsid w:val="00847FD2"/>
    <w:rsid w:val="00850225"/>
    <w:rsid w:val="00850294"/>
    <w:rsid w:val="00850306"/>
    <w:rsid w:val="00850347"/>
    <w:rsid w:val="00850376"/>
    <w:rsid w:val="0085039D"/>
    <w:rsid w:val="00850407"/>
    <w:rsid w:val="00850837"/>
    <w:rsid w:val="00850855"/>
    <w:rsid w:val="008508AA"/>
    <w:rsid w:val="008508C7"/>
    <w:rsid w:val="008508C9"/>
    <w:rsid w:val="00850915"/>
    <w:rsid w:val="0085097B"/>
    <w:rsid w:val="00850A57"/>
    <w:rsid w:val="00850AF6"/>
    <w:rsid w:val="00850B21"/>
    <w:rsid w:val="00850B44"/>
    <w:rsid w:val="00850BCA"/>
    <w:rsid w:val="00850BD2"/>
    <w:rsid w:val="00850C9D"/>
    <w:rsid w:val="00850E1B"/>
    <w:rsid w:val="00850EE2"/>
    <w:rsid w:val="00850EEB"/>
    <w:rsid w:val="00850EED"/>
    <w:rsid w:val="00850EFB"/>
    <w:rsid w:val="00851016"/>
    <w:rsid w:val="00851033"/>
    <w:rsid w:val="0085103A"/>
    <w:rsid w:val="0085108D"/>
    <w:rsid w:val="0085109B"/>
    <w:rsid w:val="008510F6"/>
    <w:rsid w:val="008511B5"/>
    <w:rsid w:val="0085128A"/>
    <w:rsid w:val="00851412"/>
    <w:rsid w:val="00851491"/>
    <w:rsid w:val="0085153C"/>
    <w:rsid w:val="00851599"/>
    <w:rsid w:val="008515C5"/>
    <w:rsid w:val="0085162A"/>
    <w:rsid w:val="00851718"/>
    <w:rsid w:val="00851728"/>
    <w:rsid w:val="00851784"/>
    <w:rsid w:val="0085178B"/>
    <w:rsid w:val="008517EA"/>
    <w:rsid w:val="0085181C"/>
    <w:rsid w:val="008518CD"/>
    <w:rsid w:val="008519AE"/>
    <w:rsid w:val="00851A1A"/>
    <w:rsid w:val="00851A24"/>
    <w:rsid w:val="00851B15"/>
    <w:rsid w:val="00851B73"/>
    <w:rsid w:val="00851C86"/>
    <w:rsid w:val="00851C8A"/>
    <w:rsid w:val="00851D6B"/>
    <w:rsid w:val="00851DFF"/>
    <w:rsid w:val="00851F10"/>
    <w:rsid w:val="00851F65"/>
    <w:rsid w:val="00851FFE"/>
    <w:rsid w:val="008520BC"/>
    <w:rsid w:val="0085210F"/>
    <w:rsid w:val="008521C5"/>
    <w:rsid w:val="00852226"/>
    <w:rsid w:val="00852238"/>
    <w:rsid w:val="008522E2"/>
    <w:rsid w:val="008522FD"/>
    <w:rsid w:val="00852368"/>
    <w:rsid w:val="00852396"/>
    <w:rsid w:val="0085242A"/>
    <w:rsid w:val="00852487"/>
    <w:rsid w:val="008525CE"/>
    <w:rsid w:val="008525FC"/>
    <w:rsid w:val="0085261E"/>
    <w:rsid w:val="00852667"/>
    <w:rsid w:val="00852674"/>
    <w:rsid w:val="008526D0"/>
    <w:rsid w:val="00852752"/>
    <w:rsid w:val="008527D4"/>
    <w:rsid w:val="008527DC"/>
    <w:rsid w:val="008529B2"/>
    <w:rsid w:val="00852A55"/>
    <w:rsid w:val="00852B65"/>
    <w:rsid w:val="00852BFB"/>
    <w:rsid w:val="00852C1A"/>
    <w:rsid w:val="00852D66"/>
    <w:rsid w:val="00852DA9"/>
    <w:rsid w:val="00852E03"/>
    <w:rsid w:val="00852E2B"/>
    <w:rsid w:val="00852E98"/>
    <w:rsid w:val="00852F8C"/>
    <w:rsid w:val="00853084"/>
    <w:rsid w:val="008530E5"/>
    <w:rsid w:val="00853142"/>
    <w:rsid w:val="008531B5"/>
    <w:rsid w:val="00853293"/>
    <w:rsid w:val="00853392"/>
    <w:rsid w:val="00853462"/>
    <w:rsid w:val="0085346C"/>
    <w:rsid w:val="00853515"/>
    <w:rsid w:val="00853520"/>
    <w:rsid w:val="00853565"/>
    <w:rsid w:val="00853654"/>
    <w:rsid w:val="0085366E"/>
    <w:rsid w:val="008536A8"/>
    <w:rsid w:val="00853701"/>
    <w:rsid w:val="008537AC"/>
    <w:rsid w:val="00853833"/>
    <w:rsid w:val="00853886"/>
    <w:rsid w:val="008538B7"/>
    <w:rsid w:val="00853912"/>
    <w:rsid w:val="00853A0C"/>
    <w:rsid w:val="00853BAB"/>
    <w:rsid w:val="00853C2F"/>
    <w:rsid w:val="00853D01"/>
    <w:rsid w:val="00853ECD"/>
    <w:rsid w:val="00853ED2"/>
    <w:rsid w:val="00853F81"/>
    <w:rsid w:val="00853F86"/>
    <w:rsid w:val="00854068"/>
    <w:rsid w:val="008540A6"/>
    <w:rsid w:val="00854254"/>
    <w:rsid w:val="0085425B"/>
    <w:rsid w:val="008542B1"/>
    <w:rsid w:val="008543B3"/>
    <w:rsid w:val="00854415"/>
    <w:rsid w:val="00854420"/>
    <w:rsid w:val="00854481"/>
    <w:rsid w:val="008544E4"/>
    <w:rsid w:val="008545C4"/>
    <w:rsid w:val="008545E4"/>
    <w:rsid w:val="00854648"/>
    <w:rsid w:val="0085480D"/>
    <w:rsid w:val="0085480F"/>
    <w:rsid w:val="00854834"/>
    <w:rsid w:val="00854858"/>
    <w:rsid w:val="008548BC"/>
    <w:rsid w:val="008548FE"/>
    <w:rsid w:val="008549E4"/>
    <w:rsid w:val="00854AA7"/>
    <w:rsid w:val="00854AF2"/>
    <w:rsid w:val="00854B0B"/>
    <w:rsid w:val="00854CA7"/>
    <w:rsid w:val="00854E47"/>
    <w:rsid w:val="00854EF3"/>
    <w:rsid w:val="00854FA8"/>
    <w:rsid w:val="00854FCC"/>
    <w:rsid w:val="008550F4"/>
    <w:rsid w:val="008551B2"/>
    <w:rsid w:val="00855319"/>
    <w:rsid w:val="0085532E"/>
    <w:rsid w:val="008554E5"/>
    <w:rsid w:val="00855710"/>
    <w:rsid w:val="0085572D"/>
    <w:rsid w:val="00855737"/>
    <w:rsid w:val="0085578C"/>
    <w:rsid w:val="008557F5"/>
    <w:rsid w:val="0085593C"/>
    <w:rsid w:val="00855A41"/>
    <w:rsid w:val="00855AA1"/>
    <w:rsid w:val="00855AF3"/>
    <w:rsid w:val="00855BC9"/>
    <w:rsid w:val="00855BDE"/>
    <w:rsid w:val="00855BEA"/>
    <w:rsid w:val="00855BF8"/>
    <w:rsid w:val="00855C13"/>
    <w:rsid w:val="00855C16"/>
    <w:rsid w:val="00855DF3"/>
    <w:rsid w:val="00855E0A"/>
    <w:rsid w:val="00855EBF"/>
    <w:rsid w:val="00855EED"/>
    <w:rsid w:val="00855F5C"/>
    <w:rsid w:val="00855FDC"/>
    <w:rsid w:val="00855FF8"/>
    <w:rsid w:val="00856141"/>
    <w:rsid w:val="0085616B"/>
    <w:rsid w:val="008561D2"/>
    <w:rsid w:val="008561FE"/>
    <w:rsid w:val="00856286"/>
    <w:rsid w:val="008562EB"/>
    <w:rsid w:val="00856339"/>
    <w:rsid w:val="00856394"/>
    <w:rsid w:val="008563FD"/>
    <w:rsid w:val="008564F3"/>
    <w:rsid w:val="00856629"/>
    <w:rsid w:val="00856630"/>
    <w:rsid w:val="00856695"/>
    <w:rsid w:val="00856709"/>
    <w:rsid w:val="0085685C"/>
    <w:rsid w:val="00856882"/>
    <w:rsid w:val="0085689B"/>
    <w:rsid w:val="008568C5"/>
    <w:rsid w:val="008569B1"/>
    <w:rsid w:val="00856B8E"/>
    <w:rsid w:val="00856B90"/>
    <w:rsid w:val="00856BAC"/>
    <w:rsid w:val="00856BF6"/>
    <w:rsid w:val="00856C32"/>
    <w:rsid w:val="00856C40"/>
    <w:rsid w:val="00856C7C"/>
    <w:rsid w:val="00856CC0"/>
    <w:rsid w:val="00856CD0"/>
    <w:rsid w:val="00856CD8"/>
    <w:rsid w:val="00856D58"/>
    <w:rsid w:val="00856DBA"/>
    <w:rsid w:val="00856E50"/>
    <w:rsid w:val="00856F75"/>
    <w:rsid w:val="00856FA4"/>
    <w:rsid w:val="00856FBF"/>
    <w:rsid w:val="0085701A"/>
    <w:rsid w:val="0085705D"/>
    <w:rsid w:val="00857066"/>
    <w:rsid w:val="008570DC"/>
    <w:rsid w:val="008570EA"/>
    <w:rsid w:val="00857119"/>
    <w:rsid w:val="00857122"/>
    <w:rsid w:val="008571D9"/>
    <w:rsid w:val="00857254"/>
    <w:rsid w:val="00857366"/>
    <w:rsid w:val="008574A2"/>
    <w:rsid w:val="0085756C"/>
    <w:rsid w:val="00857591"/>
    <w:rsid w:val="0085766C"/>
    <w:rsid w:val="0085769D"/>
    <w:rsid w:val="00857856"/>
    <w:rsid w:val="00857887"/>
    <w:rsid w:val="0085795B"/>
    <w:rsid w:val="008579BE"/>
    <w:rsid w:val="00857A5D"/>
    <w:rsid w:val="00857AE9"/>
    <w:rsid w:val="00857B40"/>
    <w:rsid w:val="00857B5A"/>
    <w:rsid w:val="00857B68"/>
    <w:rsid w:val="00857B83"/>
    <w:rsid w:val="00857CA5"/>
    <w:rsid w:val="00857CE8"/>
    <w:rsid w:val="00857D01"/>
    <w:rsid w:val="00857D4A"/>
    <w:rsid w:val="00857D76"/>
    <w:rsid w:val="00857E88"/>
    <w:rsid w:val="00857EA3"/>
    <w:rsid w:val="00857EAE"/>
    <w:rsid w:val="00857F3C"/>
    <w:rsid w:val="00857F7A"/>
    <w:rsid w:val="00857FF0"/>
    <w:rsid w:val="00860188"/>
    <w:rsid w:val="008601C9"/>
    <w:rsid w:val="0086020A"/>
    <w:rsid w:val="0086025E"/>
    <w:rsid w:val="00860279"/>
    <w:rsid w:val="00860303"/>
    <w:rsid w:val="0086031D"/>
    <w:rsid w:val="008603AD"/>
    <w:rsid w:val="0086042B"/>
    <w:rsid w:val="00860480"/>
    <w:rsid w:val="0086052B"/>
    <w:rsid w:val="00860557"/>
    <w:rsid w:val="008605AA"/>
    <w:rsid w:val="008605AB"/>
    <w:rsid w:val="008605B9"/>
    <w:rsid w:val="008605E2"/>
    <w:rsid w:val="008606D9"/>
    <w:rsid w:val="00860730"/>
    <w:rsid w:val="008607A7"/>
    <w:rsid w:val="0086081D"/>
    <w:rsid w:val="0086098B"/>
    <w:rsid w:val="008609BC"/>
    <w:rsid w:val="008609D0"/>
    <w:rsid w:val="00860AC2"/>
    <w:rsid w:val="00860C35"/>
    <w:rsid w:val="00860C5C"/>
    <w:rsid w:val="00860CB9"/>
    <w:rsid w:val="00860CC7"/>
    <w:rsid w:val="00860CE3"/>
    <w:rsid w:val="00860D83"/>
    <w:rsid w:val="00860DD4"/>
    <w:rsid w:val="00860EA1"/>
    <w:rsid w:val="00860EAA"/>
    <w:rsid w:val="00860EF3"/>
    <w:rsid w:val="00860F1F"/>
    <w:rsid w:val="008610A1"/>
    <w:rsid w:val="008610CB"/>
    <w:rsid w:val="008611B2"/>
    <w:rsid w:val="00861200"/>
    <w:rsid w:val="00861247"/>
    <w:rsid w:val="00861258"/>
    <w:rsid w:val="008612DB"/>
    <w:rsid w:val="008612E4"/>
    <w:rsid w:val="00861370"/>
    <w:rsid w:val="0086159B"/>
    <w:rsid w:val="008615D9"/>
    <w:rsid w:val="00861749"/>
    <w:rsid w:val="0086176E"/>
    <w:rsid w:val="008617C9"/>
    <w:rsid w:val="008618F9"/>
    <w:rsid w:val="00861927"/>
    <w:rsid w:val="008619B6"/>
    <w:rsid w:val="00861A5F"/>
    <w:rsid w:val="00861AB8"/>
    <w:rsid w:val="00861AF6"/>
    <w:rsid w:val="00861B03"/>
    <w:rsid w:val="00861B0E"/>
    <w:rsid w:val="00861B57"/>
    <w:rsid w:val="00861C73"/>
    <w:rsid w:val="00861C9C"/>
    <w:rsid w:val="00861E1E"/>
    <w:rsid w:val="00861E2F"/>
    <w:rsid w:val="00861E72"/>
    <w:rsid w:val="00861EA5"/>
    <w:rsid w:val="00861EBE"/>
    <w:rsid w:val="00861EFA"/>
    <w:rsid w:val="00861F35"/>
    <w:rsid w:val="00861FD9"/>
    <w:rsid w:val="00862001"/>
    <w:rsid w:val="008620B5"/>
    <w:rsid w:val="0086216E"/>
    <w:rsid w:val="0086220F"/>
    <w:rsid w:val="00862231"/>
    <w:rsid w:val="008622D8"/>
    <w:rsid w:val="008623AE"/>
    <w:rsid w:val="008623D6"/>
    <w:rsid w:val="008624AC"/>
    <w:rsid w:val="008624C3"/>
    <w:rsid w:val="008624E3"/>
    <w:rsid w:val="00862620"/>
    <w:rsid w:val="0086268A"/>
    <w:rsid w:val="008626A7"/>
    <w:rsid w:val="008626C0"/>
    <w:rsid w:val="0086275B"/>
    <w:rsid w:val="00862790"/>
    <w:rsid w:val="0086279E"/>
    <w:rsid w:val="00862833"/>
    <w:rsid w:val="00862889"/>
    <w:rsid w:val="00862907"/>
    <w:rsid w:val="00862977"/>
    <w:rsid w:val="00862AC4"/>
    <w:rsid w:val="00862B87"/>
    <w:rsid w:val="00862BF5"/>
    <w:rsid w:val="00862C31"/>
    <w:rsid w:val="00862CA7"/>
    <w:rsid w:val="00862CD6"/>
    <w:rsid w:val="00862D64"/>
    <w:rsid w:val="00862D89"/>
    <w:rsid w:val="00862D95"/>
    <w:rsid w:val="00862E91"/>
    <w:rsid w:val="00862F5C"/>
    <w:rsid w:val="00863031"/>
    <w:rsid w:val="008630E3"/>
    <w:rsid w:val="008630F4"/>
    <w:rsid w:val="008631BF"/>
    <w:rsid w:val="00863266"/>
    <w:rsid w:val="008632FA"/>
    <w:rsid w:val="00863343"/>
    <w:rsid w:val="008633AC"/>
    <w:rsid w:val="008633D1"/>
    <w:rsid w:val="008633D5"/>
    <w:rsid w:val="0086342D"/>
    <w:rsid w:val="00863486"/>
    <w:rsid w:val="008634B3"/>
    <w:rsid w:val="008634E3"/>
    <w:rsid w:val="008635F4"/>
    <w:rsid w:val="0086378C"/>
    <w:rsid w:val="00863818"/>
    <w:rsid w:val="008638A0"/>
    <w:rsid w:val="00863942"/>
    <w:rsid w:val="00863A73"/>
    <w:rsid w:val="00863C71"/>
    <w:rsid w:val="00863CD7"/>
    <w:rsid w:val="00863D2B"/>
    <w:rsid w:val="00863D59"/>
    <w:rsid w:val="00863E70"/>
    <w:rsid w:val="00863F00"/>
    <w:rsid w:val="00864045"/>
    <w:rsid w:val="00864163"/>
    <w:rsid w:val="00864219"/>
    <w:rsid w:val="00864239"/>
    <w:rsid w:val="00864240"/>
    <w:rsid w:val="00864336"/>
    <w:rsid w:val="008643CC"/>
    <w:rsid w:val="0086443A"/>
    <w:rsid w:val="008645FF"/>
    <w:rsid w:val="00864627"/>
    <w:rsid w:val="00864635"/>
    <w:rsid w:val="00864678"/>
    <w:rsid w:val="008646A6"/>
    <w:rsid w:val="008646CE"/>
    <w:rsid w:val="008646EF"/>
    <w:rsid w:val="008646F6"/>
    <w:rsid w:val="0086496B"/>
    <w:rsid w:val="00864B03"/>
    <w:rsid w:val="00864B1B"/>
    <w:rsid w:val="00864BCF"/>
    <w:rsid w:val="00864C1A"/>
    <w:rsid w:val="00864C44"/>
    <w:rsid w:val="00864C86"/>
    <w:rsid w:val="00864C93"/>
    <w:rsid w:val="00864CA7"/>
    <w:rsid w:val="00864D0A"/>
    <w:rsid w:val="00864D55"/>
    <w:rsid w:val="00864E3A"/>
    <w:rsid w:val="00864F4D"/>
    <w:rsid w:val="00864FCB"/>
    <w:rsid w:val="00865024"/>
    <w:rsid w:val="008650C3"/>
    <w:rsid w:val="008650F6"/>
    <w:rsid w:val="008651A0"/>
    <w:rsid w:val="00865217"/>
    <w:rsid w:val="008652AB"/>
    <w:rsid w:val="008652D1"/>
    <w:rsid w:val="0086534E"/>
    <w:rsid w:val="00865361"/>
    <w:rsid w:val="00865431"/>
    <w:rsid w:val="0086550E"/>
    <w:rsid w:val="00865618"/>
    <w:rsid w:val="008656D4"/>
    <w:rsid w:val="00865876"/>
    <w:rsid w:val="00865886"/>
    <w:rsid w:val="008658AA"/>
    <w:rsid w:val="00865CA9"/>
    <w:rsid w:val="00865CBD"/>
    <w:rsid w:val="00865CD5"/>
    <w:rsid w:val="00865E07"/>
    <w:rsid w:val="00865E1A"/>
    <w:rsid w:val="00865E4C"/>
    <w:rsid w:val="00865EDD"/>
    <w:rsid w:val="00865EEB"/>
    <w:rsid w:val="00866050"/>
    <w:rsid w:val="00866202"/>
    <w:rsid w:val="008662A8"/>
    <w:rsid w:val="00866355"/>
    <w:rsid w:val="00866538"/>
    <w:rsid w:val="008665D0"/>
    <w:rsid w:val="0086663A"/>
    <w:rsid w:val="00866726"/>
    <w:rsid w:val="0086672B"/>
    <w:rsid w:val="008667AB"/>
    <w:rsid w:val="00866833"/>
    <w:rsid w:val="00866881"/>
    <w:rsid w:val="008668F7"/>
    <w:rsid w:val="00866AAF"/>
    <w:rsid w:val="00866BC8"/>
    <w:rsid w:val="00866C1C"/>
    <w:rsid w:val="00866C68"/>
    <w:rsid w:val="00866CE3"/>
    <w:rsid w:val="00866D99"/>
    <w:rsid w:val="00866DA3"/>
    <w:rsid w:val="00866DB2"/>
    <w:rsid w:val="00866E37"/>
    <w:rsid w:val="00866E5F"/>
    <w:rsid w:val="00866F14"/>
    <w:rsid w:val="00866F85"/>
    <w:rsid w:val="00866F9E"/>
    <w:rsid w:val="00867028"/>
    <w:rsid w:val="00867037"/>
    <w:rsid w:val="00867058"/>
    <w:rsid w:val="008670FB"/>
    <w:rsid w:val="00867127"/>
    <w:rsid w:val="008671C3"/>
    <w:rsid w:val="00867207"/>
    <w:rsid w:val="00867296"/>
    <w:rsid w:val="008672E2"/>
    <w:rsid w:val="0086739C"/>
    <w:rsid w:val="008673AF"/>
    <w:rsid w:val="00867401"/>
    <w:rsid w:val="00867512"/>
    <w:rsid w:val="00867536"/>
    <w:rsid w:val="00867546"/>
    <w:rsid w:val="008676C5"/>
    <w:rsid w:val="00867777"/>
    <w:rsid w:val="0086782F"/>
    <w:rsid w:val="0086784F"/>
    <w:rsid w:val="008678B1"/>
    <w:rsid w:val="0086793D"/>
    <w:rsid w:val="0086793E"/>
    <w:rsid w:val="00867A1D"/>
    <w:rsid w:val="00867A88"/>
    <w:rsid w:val="00867B1C"/>
    <w:rsid w:val="00867B54"/>
    <w:rsid w:val="00867BEE"/>
    <w:rsid w:val="00867D03"/>
    <w:rsid w:val="00867DD5"/>
    <w:rsid w:val="00867EC6"/>
    <w:rsid w:val="00867F10"/>
    <w:rsid w:val="00867F8E"/>
    <w:rsid w:val="00867FC2"/>
    <w:rsid w:val="00870071"/>
    <w:rsid w:val="00870077"/>
    <w:rsid w:val="0087021E"/>
    <w:rsid w:val="0087032C"/>
    <w:rsid w:val="00870338"/>
    <w:rsid w:val="008703FE"/>
    <w:rsid w:val="00870457"/>
    <w:rsid w:val="0087055F"/>
    <w:rsid w:val="008705B0"/>
    <w:rsid w:val="008706BD"/>
    <w:rsid w:val="008706E2"/>
    <w:rsid w:val="008707AC"/>
    <w:rsid w:val="00870860"/>
    <w:rsid w:val="00870861"/>
    <w:rsid w:val="008708F2"/>
    <w:rsid w:val="00870A6D"/>
    <w:rsid w:val="00870B78"/>
    <w:rsid w:val="00870BB4"/>
    <w:rsid w:val="00870BE6"/>
    <w:rsid w:val="00870C43"/>
    <w:rsid w:val="00870CF3"/>
    <w:rsid w:val="00870D4E"/>
    <w:rsid w:val="00870D86"/>
    <w:rsid w:val="00870DAE"/>
    <w:rsid w:val="00870DD9"/>
    <w:rsid w:val="00870DF1"/>
    <w:rsid w:val="00870E4E"/>
    <w:rsid w:val="00870F2C"/>
    <w:rsid w:val="008710FC"/>
    <w:rsid w:val="00871191"/>
    <w:rsid w:val="00871203"/>
    <w:rsid w:val="00871227"/>
    <w:rsid w:val="00871232"/>
    <w:rsid w:val="008712C0"/>
    <w:rsid w:val="00871319"/>
    <w:rsid w:val="008713D6"/>
    <w:rsid w:val="0087148C"/>
    <w:rsid w:val="008714CB"/>
    <w:rsid w:val="0087150D"/>
    <w:rsid w:val="008715C8"/>
    <w:rsid w:val="008715DC"/>
    <w:rsid w:val="00871643"/>
    <w:rsid w:val="0087164D"/>
    <w:rsid w:val="008716BE"/>
    <w:rsid w:val="00871774"/>
    <w:rsid w:val="00871879"/>
    <w:rsid w:val="008719B1"/>
    <w:rsid w:val="00871A93"/>
    <w:rsid w:val="00871ABC"/>
    <w:rsid w:val="00871AF2"/>
    <w:rsid w:val="00871D11"/>
    <w:rsid w:val="00871DAF"/>
    <w:rsid w:val="00871EDA"/>
    <w:rsid w:val="00871EFE"/>
    <w:rsid w:val="00871F7D"/>
    <w:rsid w:val="00872001"/>
    <w:rsid w:val="00872066"/>
    <w:rsid w:val="008720EE"/>
    <w:rsid w:val="0087218D"/>
    <w:rsid w:val="008721AF"/>
    <w:rsid w:val="008722B0"/>
    <w:rsid w:val="008722E4"/>
    <w:rsid w:val="00872311"/>
    <w:rsid w:val="00872432"/>
    <w:rsid w:val="00872448"/>
    <w:rsid w:val="008724E8"/>
    <w:rsid w:val="0087255E"/>
    <w:rsid w:val="00872614"/>
    <w:rsid w:val="00872616"/>
    <w:rsid w:val="00872635"/>
    <w:rsid w:val="0087266C"/>
    <w:rsid w:val="008726AF"/>
    <w:rsid w:val="008726B5"/>
    <w:rsid w:val="008726EC"/>
    <w:rsid w:val="00872707"/>
    <w:rsid w:val="008727FB"/>
    <w:rsid w:val="0087281D"/>
    <w:rsid w:val="0087291A"/>
    <w:rsid w:val="0087295D"/>
    <w:rsid w:val="0087299D"/>
    <w:rsid w:val="00872A9C"/>
    <w:rsid w:val="00872ADA"/>
    <w:rsid w:val="00872AF2"/>
    <w:rsid w:val="00872B8A"/>
    <w:rsid w:val="00872B9D"/>
    <w:rsid w:val="00872C5B"/>
    <w:rsid w:val="00872C80"/>
    <w:rsid w:val="00872CC1"/>
    <w:rsid w:val="00872CF5"/>
    <w:rsid w:val="00872D4F"/>
    <w:rsid w:val="00872E16"/>
    <w:rsid w:val="00872E5D"/>
    <w:rsid w:val="008730BC"/>
    <w:rsid w:val="00873272"/>
    <w:rsid w:val="008732D8"/>
    <w:rsid w:val="00873300"/>
    <w:rsid w:val="00873377"/>
    <w:rsid w:val="008733EC"/>
    <w:rsid w:val="00873409"/>
    <w:rsid w:val="00873498"/>
    <w:rsid w:val="008734A0"/>
    <w:rsid w:val="008734DB"/>
    <w:rsid w:val="0087355A"/>
    <w:rsid w:val="00873577"/>
    <w:rsid w:val="0087363F"/>
    <w:rsid w:val="00873A57"/>
    <w:rsid w:val="00873A7F"/>
    <w:rsid w:val="00873B77"/>
    <w:rsid w:val="00873B93"/>
    <w:rsid w:val="00873CB7"/>
    <w:rsid w:val="00873CDF"/>
    <w:rsid w:val="00873CF8"/>
    <w:rsid w:val="00873DF7"/>
    <w:rsid w:val="00873E0F"/>
    <w:rsid w:val="00873E60"/>
    <w:rsid w:val="00873E70"/>
    <w:rsid w:val="00873EC1"/>
    <w:rsid w:val="00873F99"/>
    <w:rsid w:val="00874024"/>
    <w:rsid w:val="00874039"/>
    <w:rsid w:val="0087409F"/>
    <w:rsid w:val="00874175"/>
    <w:rsid w:val="00874194"/>
    <w:rsid w:val="008741C6"/>
    <w:rsid w:val="0087421F"/>
    <w:rsid w:val="008742B7"/>
    <w:rsid w:val="00874560"/>
    <w:rsid w:val="008745D7"/>
    <w:rsid w:val="00874726"/>
    <w:rsid w:val="00874784"/>
    <w:rsid w:val="00874831"/>
    <w:rsid w:val="0087483A"/>
    <w:rsid w:val="008748B8"/>
    <w:rsid w:val="00874983"/>
    <w:rsid w:val="00874987"/>
    <w:rsid w:val="00874B08"/>
    <w:rsid w:val="00874C15"/>
    <w:rsid w:val="00874D58"/>
    <w:rsid w:val="00874D78"/>
    <w:rsid w:val="00874E77"/>
    <w:rsid w:val="00874EA5"/>
    <w:rsid w:val="00874EAF"/>
    <w:rsid w:val="00874F9C"/>
    <w:rsid w:val="00874FFD"/>
    <w:rsid w:val="00875001"/>
    <w:rsid w:val="00875023"/>
    <w:rsid w:val="008750D2"/>
    <w:rsid w:val="008751F4"/>
    <w:rsid w:val="00875203"/>
    <w:rsid w:val="00875275"/>
    <w:rsid w:val="0087529A"/>
    <w:rsid w:val="00875422"/>
    <w:rsid w:val="00875477"/>
    <w:rsid w:val="008754F9"/>
    <w:rsid w:val="008755E0"/>
    <w:rsid w:val="008755F6"/>
    <w:rsid w:val="0087576A"/>
    <w:rsid w:val="008757AE"/>
    <w:rsid w:val="008757EA"/>
    <w:rsid w:val="00875865"/>
    <w:rsid w:val="0087590A"/>
    <w:rsid w:val="00875911"/>
    <w:rsid w:val="0087591E"/>
    <w:rsid w:val="00875A25"/>
    <w:rsid w:val="00875A3B"/>
    <w:rsid w:val="00875AB5"/>
    <w:rsid w:val="00875B0A"/>
    <w:rsid w:val="00875B23"/>
    <w:rsid w:val="00875BA4"/>
    <w:rsid w:val="00875C2E"/>
    <w:rsid w:val="00875C4E"/>
    <w:rsid w:val="00875C87"/>
    <w:rsid w:val="00875C91"/>
    <w:rsid w:val="00875E0A"/>
    <w:rsid w:val="00875E3C"/>
    <w:rsid w:val="00875E64"/>
    <w:rsid w:val="00875F07"/>
    <w:rsid w:val="00875F0D"/>
    <w:rsid w:val="00875F85"/>
    <w:rsid w:val="00875FE2"/>
    <w:rsid w:val="0087601B"/>
    <w:rsid w:val="00876029"/>
    <w:rsid w:val="008760A0"/>
    <w:rsid w:val="008760A9"/>
    <w:rsid w:val="008760CB"/>
    <w:rsid w:val="008761D4"/>
    <w:rsid w:val="00876217"/>
    <w:rsid w:val="008762D3"/>
    <w:rsid w:val="00876348"/>
    <w:rsid w:val="008763EA"/>
    <w:rsid w:val="00876447"/>
    <w:rsid w:val="00876470"/>
    <w:rsid w:val="00876569"/>
    <w:rsid w:val="008765B5"/>
    <w:rsid w:val="00876614"/>
    <w:rsid w:val="0087666F"/>
    <w:rsid w:val="00876691"/>
    <w:rsid w:val="008766CF"/>
    <w:rsid w:val="008766F7"/>
    <w:rsid w:val="0087671C"/>
    <w:rsid w:val="0087674E"/>
    <w:rsid w:val="00876778"/>
    <w:rsid w:val="0087682D"/>
    <w:rsid w:val="00876948"/>
    <w:rsid w:val="008769AC"/>
    <w:rsid w:val="00876A18"/>
    <w:rsid w:val="00876C22"/>
    <w:rsid w:val="00876C6B"/>
    <w:rsid w:val="00876DC9"/>
    <w:rsid w:val="00876E01"/>
    <w:rsid w:val="00876F02"/>
    <w:rsid w:val="00876F29"/>
    <w:rsid w:val="00876F2B"/>
    <w:rsid w:val="008770AA"/>
    <w:rsid w:val="008770BA"/>
    <w:rsid w:val="008770C2"/>
    <w:rsid w:val="00877110"/>
    <w:rsid w:val="00877125"/>
    <w:rsid w:val="0087721A"/>
    <w:rsid w:val="00877344"/>
    <w:rsid w:val="008773D2"/>
    <w:rsid w:val="0087740D"/>
    <w:rsid w:val="0087748E"/>
    <w:rsid w:val="008774F3"/>
    <w:rsid w:val="00877525"/>
    <w:rsid w:val="008775F6"/>
    <w:rsid w:val="00877739"/>
    <w:rsid w:val="008777C2"/>
    <w:rsid w:val="00877817"/>
    <w:rsid w:val="0087781D"/>
    <w:rsid w:val="0087785B"/>
    <w:rsid w:val="0087789E"/>
    <w:rsid w:val="008778A6"/>
    <w:rsid w:val="008779C4"/>
    <w:rsid w:val="00877B33"/>
    <w:rsid w:val="00877B46"/>
    <w:rsid w:val="00877C44"/>
    <w:rsid w:val="00877C74"/>
    <w:rsid w:val="00877D50"/>
    <w:rsid w:val="00877E01"/>
    <w:rsid w:val="00877F1F"/>
    <w:rsid w:val="0088015C"/>
    <w:rsid w:val="00880197"/>
    <w:rsid w:val="008801FB"/>
    <w:rsid w:val="00880310"/>
    <w:rsid w:val="00880312"/>
    <w:rsid w:val="00880343"/>
    <w:rsid w:val="0088059F"/>
    <w:rsid w:val="0088065A"/>
    <w:rsid w:val="0088068B"/>
    <w:rsid w:val="008807B5"/>
    <w:rsid w:val="008807C5"/>
    <w:rsid w:val="008807F3"/>
    <w:rsid w:val="00880808"/>
    <w:rsid w:val="0088084C"/>
    <w:rsid w:val="008808F1"/>
    <w:rsid w:val="008808FA"/>
    <w:rsid w:val="00880902"/>
    <w:rsid w:val="00880918"/>
    <w:rsid w:val="00880A68"/>
    <w:rsid w:val="00880B34"/>
    <w:rsid w:val="00880CDC"/>
    <w:rsid w:val="00880D63"/>
    <w:rsid w:val="00880DAA"/>
    <w:rsid w:val="00880E32"/>
    <w:rsid w:val="00880E88"/>
    <w:rsid w:val="00880FAA"/>
    <w:rsid w:val="0088108C"/>
    <w:rsid w:val="008810D9"/>
    <w:rsid w:val="008812A6"/>
    <w:rsid w:val="008812FD"/>
    <w:rsid w:val="00881467"/>
    <w:rsid w:val="0088148C"/>
    <w:rsid w:val="00881511"/>
    <w:rsid w:val="00881538"/>
    <w:rsid w:val="0088166B"/>
    <w:rsid w:val="008816CD"/>
    <w:rsid w:val="0088179F"/>
    <w:rsid w:val="008817A8"/>
    <w:rsid w:val="008817D4"/>
    <w:rsid w:val="00881909"/>
    <w:rsid w:val="00881992"/>
    <w:rsid w:val="00881C4A"/>
    <w:rsid w:val="00881C71"/>
    <w:rsid w:val="00881CB5"/>
    <w:rsid w:val="00881D64"/>
    <w:rsid w:val="00881DF4"/>
    <w:rsid w:val="00881E88"/>
    <w:rsid w:val="00881F82"/>
    <w:rsid w:val="00881FEB"/>
    <w:rsid w:val="008820B5"/>
    <w:rsid w:val="008820CB"/>
    <w:rsid w:val="00882159"/>
    <w:rsid w:val="00882171"/>
    <w:rsid w:val="008821B1"/>
    <w:rsid w:val="008821D3"/>
    <w:rsid w:val="008822E0"/>
    <w:rsid w:val="00882448"/>
    <w:rsid w:val="008824A4"/>
    <w:rsid w:val="008826BB"/>
    <w:rsid w:val="008826C2"/>
    <w:rsid w:val="008826EF"/>
    <w:rsid w:val="00882884"/>
    <w:rsid w:val="008828C2"/>
    <w:rsid w:val="0088293E"/>
    <w:rsid w:val="008829A4"/>
    <w:rsid w:val="008829EE"/>
    <w:rsid w:val="00882A12"/>
    <w:rsid w:val="00882AE6"/>
    <w:rsid w:val="00882BBD"/>
    <w:rsid w:val="00882BDF"/>
    <w:rsid w:val="00882D14"/>
    <w:rsid w:val="00882E17"/>
    <w:rsid w:val="00882F0B"/>
    <w:rsid w:val="00882F1D"/>
    <w:rsid w:val="00882FE6"/>
    <w:rsid w:val="00882FF5"/>
    <w:rsid w:val="00883054"/>
    <w:rsid w:val="0088332B"/>
    <w:rsid w:val="00883350"/>
    <w:rsid w:val="00883380"/>
    <w:rsid w:val="008833D9"/>
    <w:rsid w:val="00883407"/>
    <w:rsid w:val="008834EA"/>
    <w:rsid w:val="008835E6"/>
    <w:rsid w:val="0088365A"/>
    <w:rsid w:val="008836C3"/>
    <w:rsid w:val="0088373E"/>
    <w:rsid w:val="00883750"/>
    <w:rsid w:val="008837C3"/>
    <w:rsid w:val="00883860"/>
    <w:rsid w:val="0088387C"/>
    <w:rsid w:val="008838EF"/>
    <w:rsid w:val="00883941"/>
    <w:rsid w:val="00883987"/>
    <w:rsid w:val="008839BD"/>
    <w:rsid w:val="00883A4D"/>
    <w:rsid w:val="00883A56"/>
    <w:rsid w:val="00883A83"/>
    <w:rsid w:val="00883A94"/>
    <w:rsid w:val="00883AF0"/>
    <w:rsid w:val="00883B21"/>
    <w:rsid w:val="00883BE7"/>
    <w:rsid w:val="00883F8F"/>
    <w:rsid w:val="00883FCC"/>
    <w:rsid w:val="0088403A"/>
    <w:rsid w:val="0088404B"/>
    <w:rsid w:val="00884235"/>
    <w:rsid w:val="00884294"/>
    <w:rsid w:val="00884297"/>
    <w:rsid w:val="0088433F"/>
    <w:rsid w:val="008843EA"/>
    <w:rsid w:val="008845C7"/>
    <w:rsid w:val="008846A8"/>
    <w:rsid w:val="00884713"/>
    <w:rsid w:val="0088475F"/>
    <w:rsid w:val="00884BBB"/>
    <w:rsid w:val="00884BF0"/>
    <w:rsid w:val="00884C16"/>
    <w:rsid w:val="00884C5A"/>
    <w:rsid w:val="00884C5C"/>
    <w:rsid w:val="00884C6B"/>
    <w:rsid w:val="00884CC4"/>
    <w:rsid w:val="00884D04"/>
    <w:rsid w:val="00884D23"/>
    <w:rsid w:val="00884D46"/>
    <w:rsid w:val="00884D64"/>
    <w:rsid w:val="00884D68"/>
    <w:rsid w:val="00884D6A"/>
    <w:rsid w:val="00884DAF"/>
    <w:rsid w:val="00884DF0"/>
    <w:rsid w:val="00884E11"/>
    <w:rsid w:val="00884E3B"/>
    <w:rsid w:val="00884E6C"/>
    <w:rsid w:val="00884F98"/>
    <w:rsid w:val="00884FDB"/>
    <w:rsid w:val="008851BE"/>
    <w:rsid w:val="0088520F"/>
    <w:rsid w:val="00885285"/>
    <w:rsid w:val="008852A6"/>
    <w:rsid w:val="00885377"/>
    <w:rsid w:val="008853B5"/>
    <w:rsid w:val="008853C3"/>
    <w:rsid w:val="0088547C"/>
    <w:rsid w:val="008854A5"/>
    <w:rsid w:val="0088568A"/>
    <w:rsid w:val="00885745"/>
    <w:rsid w:val="0088580E"/>
    <w:rsid w:val="0088591B"/>
    <w:rsid w:val="00885985"/>
    <w:rsid w:val="0088598A"/>
    <w:rsid w:val="00885A14"/>
    <w:rsid w:val="00885A63"/>
    <w:rsid w:val="00885AC5"/>
    <w:rsid w:val="00885BC8"/>
    <w:rsid w:val="00885BEC"/>
    <w:rsid w:val="00885BEF"/>
    <w:rsid w:val="00885C0F"/>
    <w:rsid w:val="00885C5A"/>
    <w:rsid w:val="00885CC7"/>
    <w:rsid w:val="00885E65"/>
    <w:rsid w:val="00885EA3"/>
    <w:rsid w:val="00885FD7"/>
    <w:rsid w:val="00885FE0"/>
    <w:rsid w:val="00886062"/>
    <w:rsid w:val="008860EE"/>
    <w:rsid w:val="008861E0"/>
    <w:rsid w:val="0088637C"/>
    <w:rsid w:val="00886413"/>
    <w:rsid w:val="008864C3"/>
    <w:rsid w:val="0088653E"/>
    <w:rsid w:val="008865D2"/>
    <w:rsid w:val="0088668D"/>
    <w:rsid w:val="00886699"/>
    <w:rsid w:val="00886731"/>
    <w:rsid w:val="008867DA"/>
    <w:rsid w:val="00886829"/>
    <w:rsid w:val="008868B5"/>
    <w:rsid w:val="008868DB"/>
    <w:rsid w:val="008869B0"/>
    <w:rsid w:val="00886AEE"/>
    <w:rsid w:val="00886C2D"/>
    <w:rsid w:val="00886C6C"/>
    <w:rsid w:val="00886CAF"/>
    <w:rsid w:val="00886D8C"/>
    <w:rsid w:val="00886E6E"/>
    <w:rsid w:val="00886EF1"/>
    <w:rsid w:val="00886F00"/>
    <w:rsid w:val="00886F7E"/>
    <w:rsid w:val="0088709A"/>
    <w:rsid w:val="008870EF"/>
    <w:rsid w:val="008871B6"/>
    <w:rsid w:val="008871CB"/>
    <w:rsid w:val="008871CF"/>
    <w:rsid w:val="008871E6"/>
    <w:rsid w:val="00887241"/>
    <w:rsid w:val="0088729D"/>
    <w:rsid w:val="008872A1"/>
    <w:rsid w:val="00887310"/>
    <w:rsid w:val="008873DB"/>
    <w:rsid w:val="008875AB"/>
    <w:rsid w:val="008875CD"/>
    <w:rsid w:val="008876C6"/>
    <w:rsid w:val="008876F1"/>
    <w:rsid w:val="00887812"/>
    <w:rsid w:val="00887830"/>
    <w:rsid w:val="00887845"/>
    <w:rsid w:val="008878DC"/>
    <w:rsid w:val="008878EC"/>
    <w:rsid w:val="00887AA3"/>
    <w:rsid w:val="00887BD6"/>
    <w:rsid w:val="00887CDB"/>
    <w:rsid w:val="00887DD8"/>
    <w:rsid w:val="00887E05"/>
    <w:rsid w:val="00887E27"/>
    <w:rsid w:val="00887E86"/>
    <w:rsid w:val="00887EDE"/>
    <w:rsid w:val="00887F0C"/>
    <w:rsid w:val="0089007F"/>
    <w:rsid w:val="008900C5"/>
    <w:rsid w:val="008900F6"/>
    <w:rsid w:val="008900FA"/>
    <w:rsid w:val="0089019C"/>
    <w:rsid w:val="008901D9"/>
    <w:rsid w:val="0089021D"/>
    <w:rsid w:val="00890231"/>
    <w:rsid w:val="0089024F"/>
    <w:rsid w:val="008902EB"/>
    <w:rsid w:val="00890304"/>
    <w:rsid w:val="0089035D"/>
    <w:rsid w:val="0089044F"/>
    <w:rsid w:val="008904C1"/>
    <w:rsid w:val="00890638"/>
    <w:rsid w:val="00890755"/>
    <w:rsid w:val="0089075A"/>
    <w:rsid w:val="00890771"/>
    <w:rsid w:val="008907AC"/>
    <w:rsid w:val="0089082A"/>
    <w:rsid w:val="008908B8"/>
    <w:rsid w:val="008908BA"/>
    <w:rsid w:val="00890A36"/>
    <w:rsid w:val="00890A96"/>
    <w:rsid w:val="00890B34"/>
    <w:rsid w:val="00890B91"/>
    <w:rsid w:val="00890CA7"/>
    <w:rsid w:val="00890CEE"/>
    <w:rsid w:val="00890D2B"/>
    <w:rsid w:val="00890D3A"/>
    <w:rsid w:val="00890E73"/>
    <w:rsid w:val="00891112"/>
    <w:rsid w:val="00891115"/>
    <w:rsid w:val="0089121A"/>
    <w:rsid w:val="0089122C"/>
    <w:rsid w:val="00891258"/>
    <w:rsid w:val="0089127F"/>
    <w:rsid w:val="008912B4"/>
    <w:rsid w:val="0089131B"/>
    <w:rsid w:val="008914DF"/>
    <w:rsid w:val="008914E5"/>
    <w:rsid w:val="0089156F"/>
    <w:rsid w:val="008915CF"/>
    <w:rsid w:val="008916AC"/>
    <w:rsid w:val="008916E7"/>
    <w:rsid w:val="008916FA"/>
    <w:rsid w:val="00891771"/>
    <w:rsid w:val="008917A8"/>
    <w:rsid w:val="00891866"/>
    <w:rsid w:val="0089191C"/>
    <w:rsid w:val="0089199F"/>
    <w:rsid w:val="00891A32"/>
    <w:rsid w:val="00891A50"/>
    <w:rsid w:val="00891AC6"/>
    <w:rsid w:val="00891BA4"/>
    <w:rsid w:val="00891C32"/>
    <w:rsid w:val="00891D24"/>
    <w:rsid w:val="00891D7F"/>
    <w:rsid w:val="00891DD3"/>
    <w:rsid w:val="00891E12"/>
    <w:rsid w:val="00891E43"/>
    <w:rsid w:val="00891E68"/>
    <w:rsid w:val="00891EBE"/>
    <w:rsid w:val="00891FA9"/>
    <w:rsid w:val="008920E3"/>
    <w:rsid w:val="00892222"/>
    <w:rsid w:val="00892265"/>
    <w:rsid w:val="00892275"/>
    <w:rsid w:val="008922A2"/>
    <w:rsid w:val="008922FD"/>
    <w:rsid w:val="00892312"/>
    <w:rsid w:val="0089233E"/>
    <w:rsid w:val="00892363"/>
    <w:rsid w:val="008923BD"/>
    <w:rsid w:val="008924B0"/>
    <w:rsid w:val="008924C4"/>
    <w:rsid w:val="00892596"/>
    <w:rsid w:val="00892680"/>
    <w:rsid w:val="008926BE"/>
    <w:rsid w:val="008926D1"/>
    <w:rsid w:val="00892715"/>
    <w:rsid w:val="008927A3"/>
    <w:rsid w:val="008927DD"/>
    <w:rsid w:val="00892836"/>
    <w:rsid w:val="00892854"/>
    <w:rsid w:val="0089298D"/>
    <w:rsid w:val="00892A57"/>
    <w:rsid w:val="00892B9A"/>
    <w:rsid w:val="00892CF8"/>
    <w:rsid w:val="00892D92"/>
    <w:rsid w:val="00892D93"/>
    <w:rsid w:val="00892E3F"/>
    <w:rsid w:val="00892EB4"/>
    <w:rsid w:val="00893074"/>
    <w:rsid w:val="0089315A"/>
    <w:rsid w:val="00893195"/>
    <w:rsid w:val="008931AB"/>
    <w:rsid w:val="008931BF"/>
    <w:rsid w:val="008931DB"/>
    <w:rsid w:val="008932AC"/>
    <w:rsid w:val="008932C4"/>
    <w:rsid w:val="0089330E"/>
    <w:rsid w:val="00893350"/>
    <w:rsid w:val="00893384"/>
    <w:rsid w:val="008933E3"/>
    <w:rsid w:val="0089340F"/>
    <w:rsid w:val="00893430"/>
    <w:rsid w:val="00893509"/>
    <w:rsid w:val="00893679"/>
    <w:rsid w:val="0089367D"/>
    <w:rsid w:val="0089371F"/>
    <w:rsid w:val="0089376E"/>
    <w:rsid w:val="00893772"/>
    <w:rsid w:val="00893857"/>
    <w:rsid w:val="00893892"/>
    <w:rsid w:val="0089390E"/>
    <w:rsid w:val="00893A8E"/>
    <w:rsid w:val="00893AA1"/>
    <w:rsid w:val="00893AB6"/>
    <w:rsid w:val="00893AC8"/>
    <w:rsid w:val="00893B05"/>
    <w:rsid w:val="00893B61"/>
    <w:rsid w:val="00893C9E"/>
    <w:rsid w:val="00893CC4"/>
    <w:rsid w:val="00893CD9"/>
    <w:rsid w:val="00893CEA"/>
    <w:rsid w:val="00893DF4"/>
    <w:rsid w:val="00893E27"/>
    <w:rsid w:val="00893F42"/>
    <w:rsid w:val="00893FBD"/>
    <w:rsid w:val="00894090"/>
    <w:rsid w:val="008940E6"/>
    <w:rsid w:val="008941D3"/>
    <w:rsid w:val="008941EB"/>
    <w:rsid w:val="008942F0"/>
    <w:rsid w:val="00894367"/>
    <w:rsid w:val="008943CC"/>
    <w:rsid w:val="00894451"/>
    <w:rsid w:val="0089447A"/>
    <w:rsid w:val="00894494"/>
    <w:rsid w:val="008944E9"/>
    <w:rsid w:val="00894507"/>
    <w:rsid w:val="00894563"/>
    <w:rsid w:val="00894598"/>
    <w:rsid w:val="008945F7"/>
    <w:rsid w:val="008945FB"/>
    <w:rsid w:val="00894634"/>
    <w:rsid w:val="0089463D"/>
    <w:rsid w:val="00894661"/>
    <w:rsid w:val="0089469D"/>
    <w:rsid w:val="0089479C"/>
    <w:rsid w:val="008947D2"/>
    <w:rsid w:val="008947E9"/>
    <w:rsid w:val="0089481A"/>
    <w:rsid w:val="00894820"/>
    <w:rsid w:val="00894887"/>
    <w:rsid w:val="008949EE"/>
    <w:rsid w:val="00894A14"/>
    <w:rsid w:val="00894D7F"/>
    <w:rsid w:val="00894E13"/>
    <w:rsid w:val="008950F2"/>
    <w:rsid w:val="008951F4"/>
    <w:rsid w:val="0089524F"/>
    <w:rsid w:val="0089529B"/>
    <w:rsid w:val="008952BC"/>
    <w:rsid w:val="008952FD"/>
    <w:rsid w:val="00895338"/>
    <w:rsid w:val="0089535B"/>
    <w:rsid w:val="00895377"/>
    <w:rsid w:val="008953C3"/>
    <w:rsid w:val="0089548B"/>
    <w:rsid w:val="0089550B"/>
    <w:rsid w:val="0089554F"/>
    <w:rsid w:val="008955CE"/>
    <w:rsid w:val="008955E6"/>
    <w:rsid w:val="00895657"/>
    <w:rsid w:val="008956ED"/>
    <w:rsid w:val="00895862"/>
    <w:rsid w:val="008958FD"/>
    <w:rsid w:val="008959D7"/>
    <w:rsid w:val="00895A7D"/>
    <w:rsid w:val="00895A81"/>
    <w:rsid w:val="00895AA7"/>
    <w:rsid w:val="00895AE2"/>
    <w:rsid w:val="00895AEC"/>
    <w:rsid w:val="00895B02"/>
    <w:rsid w:val="00895B24"/>
    <w:rsid w:val="00895B58"/>
    <w:rsid w:val="00895B5F"/>
    <w:rsid w:val="00895C10"/>
    <w:rsid w:val="00895D0A"/>
    <w:rsid w:val="00895DC1"/>
    <w:rsid w:val="00895E21"/>
    <w:rsid w:val="00895E35"/>
    <w:rsid w:val="0089601A"/>
    <w:rsid w:val="008961AA"/>
    <w:rsid w:val="00896202"/>
    <w:rsid w:val="008962E7"/>
    <w:rsid w:val="0089637C"/>
    <w:rsid w:val="008963E7"/>
    <w:rsid w:val="008964AB"/>
    <w:rsid w:val="008964C8"/>
    <w:rsid w:val="00896575"/>
    <w:rsid w:val="008965B7"/>
    <w:rsid w:val="00896712"/>
    <w:rsid w:val="00896870"/>
    <w:rsid w:val="0089693F"/>
    <w:rsid w:val="008969BD"/>
    <w:rsid w:val="008969C8"/>
    <w:rsid w:val="008969FF"/>
    <w:rsid w:val="00896A0C"/>
    <w:rsid w:val="00896A21"/>
    <w:rsid w:val="00896AC4"/>
    <w:rsid w:val="00896ACF"/>
    <w:rsid w:val="00896AE6"/>
    <w:rsid w:val="00896B20"/>
    <w:rsid w:val="00896B22"/>
    <w:rsid w:val="00896BDC"/>
    <w:rsid w:val="00896C0E"/>
    <w:rsid w:val="00896CA1"/>
    <w:rsid w:val="00896E1F"/>
    <w:rsid w:val="00896E9B"/>
    <w:rsid w:val="00896FD1"/>
    <w:rsid w:val="0089702F"/>
    <w:rsid w:val="00897125"/>
    <w:rsid w:val="0089720B"/>
    <w:rsid w:val="0089731F"/>
    <w:rsid w:val="00897327"/>
    <w:rsid w:val="00897359"/>
    <w:rsid w:val="0089739B"/>
    <w:rsid w:val="0089742C"/>
    <w:rsid w:val="008974E5"/>
    <w:rsid w:val="008975E1"/>
    <w:rsid w:val="00897720"/>
    <w:rsid w:val="0089777E"/>
    <w:rsid w:val="008977D9"/>
    <w:rsid w:val="00897892"/>
    <w:rsid w:val="0089796B"/>
    <w:rsid w:val="00897998"/>
    <w:rsid w:val="008979C3"/>
    <w:rsid w:val="00897A59"/>
    <w:rsid w:val="00897A70"/>
    <w:rsid w:val="00897AA2"/>
    <w:rsid w:val="00897BA9"/>
    <w:rsid w:val="00897BD8"/>
    <w:rsid w:val="00897BF5"/>
    <w:rsid w:val="00897C1F"/>
    <w:rsid w:val="00897C24"/>
    <w:rsid w:val="00897D5E"/>
    <w:rsid w:val="00897D71"/>
    <w:rsid w:val="00897DC3"/>
    <w:rsid w:val="00897E16"/>
    <w:rsid w:val="00897E50"/>
    <w:rsid w:val="00897EB6"/>
    <w:rsid w:val="00897EE1"/>
    <w:rsid w:val="00897F0C"/>
    <w:rsid w:val="00897F56"/>
    <w:rsid w:val="008A0013"/>
    <w:rsid w:val="008A00EA"/>
    <w:rsid w:val="008A0124"/>
    <w:rsid w:val="008A0157"/>
    <w:rsid w:val="008A0193"/>
    <w:rsid w:val="008A02B9"/>
    <w:rsid w:val="008A03A5"/>
    <w:rsid w:val="008A03AB"/>
    <w:rsid w:val="008A03BE"/>
    <w:rsid w:val="008A0426"/>
    <w:rsid w:val="008A0431"/>
    <w:rsid w:val="008A0440"/>
    <w:rsid w:val="008A054D"/>
    <w:rsid w:val="008A0556"/>
    <w:rsid w:val="008A0565"/>
    <w:rsid w:val="008A060A"/>
    <w:rsid w:val="008A069B"/>
    <w:rsid w:val="008A06D0"/>
    <w:rsid w:val="008A06E9"/>
    <w:rsid w:val="008A0719"/>
    <w:rsid w:val="008A07AE"/>
    <w:rsid w:val="008A088B"/>
    <w:rsid w:val="008A09FF"/>
    <w:rsid w:val="008A0A44"/>
    <w:rsid w:val="008A0A9D"/>
    <w:rsid w:val="008A0B13"/>
    <w:rsid w:val="008A0B17"/>
    <w:rsid w:val="008A0B62"/>
    <w:rsid w:val="008A0C87"/>
    <w:rsid w:val="008A0CC6"/>
    <w:rsid w:val="008A0CCF"/>
    <w:rsid w:val="008A0D47"/>
    <w:rsid w:val="008A0FB5"/>
    <w:rsid w:val="008A10AC"/>
    <w:rsid w:val="008A10EF"/>
    <w:rsid w:val="008A1105"/>
    <w:rsid w:val="008A11F5"/>
    <w:rsid w:val="008A120B"/>
    <w:rsid w:val="008A127E"/>
    <w:rsid w:val="008A12E4"/>
    <w:rsid w:val="008A130C"/>
    <w:rsid w:val="008A1317"/>
    <w:rsid w:val="008A138A"/>
    <w:rsid w:val="008A13BD"/>
    <w:rsid w:val="008A149F"/>
    <w:rsid w:val="008A1522"/>
    <w:rsid w:val="008A1596"/>
    <w:rsid w:val="008A15AC"/>
    <w:rsid w:val="008A15B2"/>
    <w:rsid w:val="008A1670"/>
    <w:rsid w:val="008A1702"/>
    <w:rsid w:val="008A1704"/>
    <w:rsid w:val="008A1733"/>
    <w:rsid w:val="008A1773"/>
    <w:rsid w:val="008A17AB"/>
    <w:rsid w:val="008A17CE"/>
    <w:rsid w:val="008A17D4"/>
    <w:rsid w:val="008A1966"/>
    <w:rsid w:val="008A1A06"/>
    <w:rsid w:val="008A1C39"/>
    <w:rsid w:val="008A1DB8"/>
    <w:rsid w:val="008A1EDF"/>
    <w:rsid w:val="008A1EE0"/>
    <w:rsid w:val="008A1FBA"/>
    <w:rsid w:val="008A1FE1"/>
    <w:rsid w:val="008A2057"/>
    <w:rsid w:val="008A207C"/>
    <w:rsid w:val="008A2099"/>
    <w:rsid w:val="008A21E0"/>
    <w:rsid w:val="008A2272"/>
    <w:rsid w:val="008A2281"/>
    <w:rsid w:val="008A22B5"/>
    <w:rsid w:val="008A22C2"/>
    <w:rsid w:val="008A22CD"/>
    <w:rsid w:val="008A249C"/>
    <w:rsid w:val="008A24A3"/>
    <w:rsid w:val="008A252C"/>
    <w:rsid w:val="008A255D"/>
    <w:rsid w:val="008A263D"/>
    <w:rsid w:val="008A2695"/>
    <w:rsid w:val="008A26CC"/>
    <w:rsid w:val="008A27F5"/>
    <w:rsid w:val="008A284A"/>
    <w:rsid w:val="008A28EC"/>
    <w:rsid w:val="008A28F5"/>
    <w:rsid w:val="008A2913"/>
    <w:rsid w:val="008A2994"/>
    <w:rsid w:val="008A29E6"/>
    <w:rsid w:val="008A2A74"/>
    <w:rsid w:val="008A2AA9"/>
    <w:rsid w:val="008A2AD8"/>
    <w:rsid w:val="008A2B91"/>
    <w:rsid w:val="008A2C59"/>
    <w:rsid w:val="008A2C85"/>
    <w:rsid w:val="008A2C9D"/>
    <w:rsid w:val="008A2DA3"/>
    <w:rsid w:val="008A2DBC"/>
    <w:rsid w:val="008A2DC9"/>
    <w:rsid w:val="008A2DCF"/>
    <w:rsid w:val="008A2E14"/>
    <w:rsid w:val="008A2EBA"/>
    <w:rsid w:val="008A2F0A"/>
    <w:rsid w:val="008A2F23"/>
    <w:rsid w:val="008A2FF1"/>
    <w:rsid w:val="008A300A"/>
    <w:rsid w:val="008A3143"/>
    <w:rsid w:val="008A31A7"/>
    <w:rsid w:val="008A3285"/>
    <w:rsid w:val="008A32A1"/>
    <w:rsid w:val="008A32AC"/>
    <w:rsid w:val="008A32D4"/>
    <w:rsid w:val="008A33C8"/>
    <w:rsid w:val="008A3471"/>
    <w:rsid w:val="008A3487"/>
    <w:rsid w:val="008A34C9"/>
    <w:rsid w:val="008A3670"/>
    <w:rsid w:val="008A367F"/>
    <w:rsid w:val="008A368F"/>
    <w:rsid w:val="008A3732"/>
    <w:rsid w:val="008A37AF"/>
    <w:rsid w:val="008A3960"/>
    <w:rsid w:val="008A39FA"/>
    <w:rsid w:val="008A3A39"/>
    <w:rsid w:val="008A3AB0"/>
    <w:rsid w:val="008A3B11"/>
    <w:rsid w:val="008A3BA9"/>
    <w:rsid w:val="008A3C45"/>
    <w:rsid w:val="008A3D62"/>
    <w:rsid w:val="008A3EBB"/>
    <w:rsid w:val="008A3FD7"/>
    <w:rsid w:val="008A400F"/>
    <w:rsid w:val="008A40B0"/>
    <w:rsid w:val="008A41DC"/>
    <w:rsid w:val="008A433A"/>
    <w:rsid w:val="008A4347"/>
    <w:rsid w:val="008A439C"/>
    <w:rsid w:val="008A43AA"/>
    <w:rsid w:val="008A43B0"/>
    <w:rsid w:val="008A445A"/>
    <w:rsid w:val="008A448D"/>
    <w:rsid w:val="008A4573"/>
    <w:rsid w:val="008A4653"/>
    <w:rsid w:val="008A467E"/>
    <w:rsid w:val="008A46FB"/>
    <w:rsid w:val="008A480B"/>
    <w:rsid w:val="008A48FF"/>
    <w:rsid w:val="008A4A18"/>
    <w:rsid w:val="008A4A55"/>
    <w:rsid w:val="008A4AA6"/>
    <w:rsid w:val="008A4B15"/>
    <w:rsid w:val="008A4BB1"/>
    <w:rsid w:val="008A4C62"/>
    <w:rsid w:val="008A4C64"/>
    <w:rsid w:val="008A4DA0"/>
    <w:rsid w:val="008A4DAB"/>
    <w:rsid w:val="008A4F95"/>
    <w:rsid w:val="008A4FDD"/>
    <w:rsid w:val="008A4FF9"/>
    <w:rsid w:val="008A502E"/>
    <w:rsid w:val="008A506F"/>
    <w:rsid w:val="008A508B"/>
    <w:rsid w:val="008A5165"/>
    <w:rsid w:val="008A5224"/>
    <w:rsid w:val="008A5270"/>
    <w:rsid w:val="008A528A"/>
    <w:rsid w:val="008A5298"/>
    <w:rsid w:val="008A52B6"/>
    <w:rsid w:val="008A5311"/>
    <w:rsid w:val="008A535A"/>
    <w:rsid w:val="008A544C"/>
    <w:rsid w:val="008A54D0"/>
    <w:rsid w:val="008A55B1"/>
    <w:rsid w:val="008A55E6"/>
    <w:rsid w:val="008A567A"/>
    <w:rsid w:val="008A56EB"/>
    <w:rsid w:val="008A5805"/>
    <w:rsid w:val="008A5856"/>
    <w:rsid w:val="008A5893"/>
    <w:rsid w:val="008A5A05"/>
    <w:rsid w:val="008A5C6B"/>
    <w:rsid w:val="008A5C79"/>
    <w:rsid w:val="008A5C97"/>
    <w:rsid w:val="008A5CD9"/>
    <w:rsid w:val="008A5D7F"/>
    <w:rsid w:val="008A5E60"/>
    <w:rsid w:val="008A5EF2"/>
    <w:rsid w:val="008A5FEB"/>
    <w:rsid w:val="008A60B3"/>
    <w:rsid w:val="008A60BB"/>
    <w:rsid w:val="008A6186"/>
    <w:rsid w:val="008A6225"/>
    <w:rsid w:val="008A626C"/>
    <w:rsid w:val="008A6278"/>
    <w:rsid w:val="008A6347"/>
    <w:rsid w:val="008A63DA"/>
    <w:rsid w:val="008A645B"/>
    <w:rsid w:val="008A64C2"/>
    <w:rsid w:val="008A6522"/>
    <w:rsid w:val="008A663B"/>
    <w:rsid w:val="008A6665"/>
    <w:rsid w:val="008A666F"/>
    <w:rsid w:val="008A66AC"/>
    <w:rsid w:val="008A67EC"/>
    <w:rsid w:val="008A68CA"/>
    <w:rsid w:val="008A693B"/>
    <w:rsid w:val="008A6A25"/>
    <w:rsid w:val="008A6A76"/>
    <w:rsid w:val="008A6B3F"/>
    <w:rsid w:val="008A6BF3"/>
    <w:rsid w:val="008A6BFF"/>
    <w:rsid w:val="008A6C1E"/>
    <w:rsid w:val="008A6C4A"/>
    <w:rsid w:val="008A6C9B"/>
    <w:rsid w:val="008A6CB7"/>
    <w:rsid w:val="008A6CCC"/>
    <w:rsid w:val="008A6D56"/>
    <w:rsid w:val="008A6DAF"/>
    <w:rsid w:val="008A6E15"/>
    <w:rsid w:val="008A6F0B"/>
    <w:rsid w:val="008A6F2E"/>
    <w:rsid w:val="008A6F65"/>
    <w:rsid w:val="008A6FD1"/>
    <w:rsid w:val="008A7011"/>
    <w:rsid w:val="008A7165"/>
    <w:rsid w:val="008A7197"/>
    <w:rsid w:val="008A7209"/>
    <w:rsid w:val="008A720F"/>
    <w:rsid w:val="008A740C"/>
    <w:rsid w:val="008A7462"/>
    <w:rsid w:val="008A746C"/>
    <w:rsid w:val="008A74F2"/>
    <w:rsid w:val="008A74FD"/>
    <w:rsid w:val="008A7711"/>
    <w:rsid w:val="008A778B"/>
    <w:rsid w:val="008A77B5"/>
    <w:rsid w:val="008A77EB"/>
    <w:rsid w:val="008A7821"/>
    <w:rsid w:val="008A78A5"/>
    <w:rsid w:val="008A78CE"/>
    <w:rsid w:val="008A792E"/>
    <w:rsid w:val="008A799A"/>
    <w:rsid w:val="008A7A03"/>
    <w:rsid w:val="008A7A34"/>
    <w:rsid w:val="008A7AA7"/>
    <w:rsid w:val="008A7C0D"/>
    <w:rsid w:val="008A7C72"/>
    <w:rsid w:val="008A7CF9"/>
    <w:rsid w:val="008A7D71"/>
    <w:rsid w:val="008A7E2A"/>
    <w:rsid w:val="008A7EB7"/>
    <w:rsid w:val="008A7EE6"/>
    <w:rsid w:val="008A7F7B"/>
    <w:rsid w:val="008B0015"/>
    <w:rsid w:val="008B0157"/>
    <w:rsid w:val="008B0195"/>
    <w:rsid w:val="008B01E7"/>
    <w:rsid w:val="008B02B1"/>
    <w:rsid w:val="008B035C"/>
    <w:rsid w:val="008B0379"/>
    <w:rsid w:val="008B039F"/>
    <w:rsid w:val="008B03C4"/>
    <w:rsid w:val="008B04DF"/>
    <w:rsid w:val="008B04F2"/>
    <w:rsid w:val="008B05BA"/>
    <w:rsid w:val="008B0712"/>
    <w:rsid w:val="008B07B0"/>
    <w:rsid w:val="008B07CA"/>
    <w:rsid w:val="008B084D"/>
    <w:rsid w:val="008B08C8"/>
    <w:rsid w:val="008B0935"/>
    <w:rsid w:val="008B0979"/>
    <w:rsid w:val="008B099C"/>
    <w:rsid w:val="008B0AB8"/>
    <w:rsid w:val="008B0BF4"/>
    <w:rsid w:val="008B0D0E"/>
    <w:rsid w:val="008B0D11"/>
    <w:rsid w:val="008B0DD6"/>
    <w:rsid w:val="008B0E69"/>
    <w:rsid w:val="008B0F4B"/>
    <w:rsid w:val="008B0FEB"/>
    <w:rsid w:val="008B1088"/>
    <w:rsid w:val="008B1127"/>
    <w:rsid w:val="008B1204"/>
    <w:rsid w:val="008B12BB"/>
    <w:rsid w:val="008B12E3"/>
    <w:rsid w:val="008B13DD"/>
    <w:rsid w:val="008B1411"/>
    <w:rsid w:val="008B150C"/>
    <w:rsid w:val="008B151B"/>
    <w:rsid w:val="008B15AD"/>
    <w:rsid w:val="008B164C"/>
    <w:rsid w:val="008B1700"/>
    <w:rsid w:val="008B1760"/>
    <w:rsid w:val="008B17A2"/>
    <w:rsid w:val="008B1854"/>
    <w:rsid w:val="008B18E3"/>
    <w:rsid w:val="008B1AFF"/>
    <w:rsid w:val="008B1BAD"/>
    <w:rsid w:val="008B1C08"/>
    <w:rsid w:val="008B1C20"/>
    <w:rsid w:val="008B1C8C"/>
    <w:rsid w:val="008B1D55"/>
    <w:rsid w:val="008B1DBD"/>
    <w:rsid w:val="008B1E5F"/>
    <w:rsid w:val="008B1E8E"/>
    <w:rsid w:val="008B1EC8"/>
    <w:rsid w:val="008B2023"/>
    <w:rsid w:val="008B2073"/>
    <w:rsid w:val="008B2149"/>
    <w:rsid w:val="008B2189"/>
    <w:rsid w:val="008B21DF"/>
    <w:rsid w:val="008B2489"/>
    <w:rsid w:val="008B24A6"/>
    <w:rsid w:val="008B24E9"/>
    <w:rsid w:val="008B25F2"/>
    <w:rsid w:val="008B2643"/>
    <w:rsid w:val="008B2660"/>
    <w:rsid w:val="008B266B"/>
    <w:rsid w:val="008B27A7"/>
    <w:rsid w:val="008B2838"/>
    <w:rsid w:val="008B28C3"/>
    <w:rsid w:val="008B299D"/>
    <w:rsid w:val="008B2AD1"/>
    <w:rsid w:val="008B2B93"/>
    <w:rsid w:val="008B2C01"/>
    <w:rsid w:val="008B2C1C"/>
    <w:rsid w:val="008B2CBD"/>
    <w:rsid w:val="008B2CCA"/>
    <w:rsid w:val="008B2DFD"/>
    <w:rsid w:val="008B2ECA"/>
    <w:rsid w:val="008B2EDC"/>
    <w:rsid w:val="008B2EE5"/>
    <w:rsid w:val="008B2F87"/>
    <w:rsid w:val="008B2FAE"/>
    <w:rsid w:val="008B3051"/>
    <w:rsid w:val="008B312E"/>
    <w:rsid w:val="008B317E"/>
    <w:rsid w:val="008B31AB"/>
    <w:rsid w:val="008B3254"/>
    <w:rsid w:val="008B326E"/>
    <w:rsid w:val="008B32A5"/>
    <w:rsid w:val="008B32B4"/>
    <w:rsid w:val="008B32C2"/>
    <w:rsid w:val="008B3317"/>
    <w:rsid w:val="008B3364"/>
    <w:rsid w:val="008B3392"/>
    <w:rsid w:val="008B3414"/>
    <w:rsid w:val="008B3542"/>
    <w:rsid w:val="008B367E"/>
    <w:rsid w:val="008B36E8"/>
    <w:rsid w:val="008B3747"/>
    <w:rsid w:val="008B3821"/>
    <w:rsid w:val="008B38AF"/>
    <w:rsid w:val="008B3923"/>
    <w:rsid w:val="008B3A1C"/>
    <w:rsid w:val="008B3AA0"/>
    <w:rsid w:val="008B3AAE"/>
    <w:rsid w:val="008B3DE5"/>
    <w:rsid w:val="008B3E4D"/>
    <w:rsid w:val="008B3EB8"/>
    <w:rsid w:val="008B3FB3"/>
    <w:rsid w:val="008B3FB4"/>
    <w:rsid w:val="008B3FBB"/>
    <w:rsid w:val="008B4072"/>
    <w:rsid w:val="008B414B"/>
    <w:rsid w:val="008B4159"/>
    <w:rsid w:val="008B428A"/>
    <w:rsid w:val="008B42FA"/>
    <w:rsid w:val="008B4320"/>
    <w:rsid w:val="008B43FF"/>
    <w:rsid w:val="008B44F3"/>
    <w:rsid w:val="008B450B"/>
    <w:rsid w:val="008B451A"/>
    <w:rsid w:val="008B456C"/>
    <w:rsid w:val="008B46D5"/>
    <w:rsid w:val="008B46DC"/>
    <w:rsid w:val="008B4779"/>
    <w:rsid w:val="008B47BC"/>
    <w:rsid w:val="008B48A9"/>
    <w:rsid w:val="008B493B"/>
    <w:rsid w:val="008B4A04"/>
    <w:rsid w:val="008B4A25"/>
    <w:rsid w:val="008B4A52"/>
    <w:rsid w:val="008B4AA0"/>
    <w:rsid w:val="008B4B87"/>
    <w:rsid w:val="008B4C34"/>
    <w:rsid w:val="008B4C3E"/>
    <w:rsid w:val="008B4C52"/>
    <w:rsid w:val="008B4CC6"/>
    <w:rsid w:val="008B4D0B"/>
    <w:rsid w:val="008B4E0E"/>
    <w:rsid w:val="008B4EA5"/>
    <w:rsid w:val="008B4F9E"/>
    <w:rsid w:val="008B4FB9"/>
    <w:rsid w:val="008B5094"/>
    <w:rsid w:val="008B509E"/>
    <w:rsid w:val="008B50EA"/>
    <w:rsid w:val="008B5116"/>
    <w:rsid w:val="008B5135"/>
    <w:rsid w:val="008B515A"/>
    <w:rsid w:val="008B5273"/>
    <w:rsid w:val="008B529B"/>
    <w:rsid w:val="008B52F7"/>
    <w:rsid w:val="008B534C"/>
    <w:rsid w:val="008B537B"/>
    <w:rsid w:val="008B5385"/>
    <w:rsid w:val="008B53D3"/>
    <w:rsid w:val="008B5438"/>
    <w:rsid w:val="008B548E"/>
    <w:rsid w:val="008B5542"/>
    <w:rsid w:val="008B5598"/>
    <w:rsid w:val="008B559F"/>
    <w:rsid w:val="008B5644"/>
    <w:rsid w:val="008B5715"/>
    <w:rsid w:val="008B5722"/>
    <w:rsid w:val="008B577B"/>
    <w:rsid w:val="008B578F"/>
    <w:rsid w:val="008B57CC"/>
    <w:rsid w:val="008B588B"/>
    <w:rsid w:val="008B5A2D"/>
    <w:rsid w:val="008B5A3F"/>
    <w:rsid w:val="008B5AE4"/>
    <w:rsid w:val="008B5B85"/>
    <w:rsid w:val="008B5BC2"/>
    <w:rsid w:val="008B5BD9"/>
    <w:rsid w:val="008B5C31"/>
    <w:rsid w:val="008B5CA8"/>
    <w:rsid w:val="008B5D31"/>
    <w:rsid w:val="008B5E66"/>
    <w:rsid w:val="008B5F2C"/>
    <w:rsid w:val="008B5F3D"/>
    <w:rsid w:val="008B602E"/>
    <w:rsid w:val="008B6078"/>
    <w:rsid w:val="008B60BB"/>
    <w:rsid w:val="008B60CD"/>
    <w:rsid w:val="008B616E"/>
    <w:rsid w:val="008B6375"/>
    <w:rsid w:val="008B637B"/>
    <w:rsid w:val="008B63A5"/>
    <w:rsid w:val="008B653D"/>
    <w:rsid w:val="008B6598"/>
    <w:rsid w:val="008B6678"/>
    <w:rsid w:val="008B66EB"/>
    <w:rsid w:val="008B6732"/>
    <w:rsid w:val="008B67F2"/>
    <w:rsid w:val="008B681B"/>
    <w:rsid w:val="008B6853"/>
    <w:rsid w:val="008B6876"/>
    <w:rsid w:val="008B68EC"/>
    <w:rsid w:val="008B6BC7"/>
    <w:rsid w:val="008B6C37"/>
    <w:rsid w:val="008B6CBB"/>
    <w:rsid w:val="008B6D05"/>
    <w:rsid w:val="008B6D34"/>
    <w:rsid w:val="008B6DB3"/>
    <w:rsid w:val="008B6DE0"/>
    <w:rsid w:val="008B6DE5"/>
    <w:rsid w:val="008B6DFF"/>
    <w:rsid w:val="008B6E4B"/>
    <w:rsid w:val="008B6F3C"/>
    <w:rsid w:val="008B711E"/>
    <w:rsid w:val="008B71E0"/>
    <w:rsid w:val="008B72CA"/>
    <w:rsid w:val="008B733E"/>
    <w:rsid w:val="008B7372"/>
    <w:rsid w:val="008B73B0"/>
    <w:rsid w:val="008B73C2"/>
    <w:rsid w:val="008B73C9"/>
    <w:rsid w:val="008B745A"/>
    <w:rsid w:val="008B74FD"/>
    <w:rsid w:val="008B752B"/>
    <w:rsid w:val="008B754D"/>
    <w:rsid w:val="008B755B"/>
    <w:rsid w:val="008B75CC"/>
    <w:rsid w:val="008B766F"/>
    <w:rsid w:val="008B76FF"/>
    <w:rsid w:val="008B78FC"/>
    <w:rsid w:val="008B7929"/>
    <w:rsid w:val="008B7A77"/>
    <w:rsid w:val="008B7C9F"/>
    <w:rsid w:val="008B7CD2"/>
    <w:rsid w:val="008B7D30"/>
    <w:rsid w:val="008B7D7C"/>
    <w:rsid w:val="008B7DCD"/>
    <w:rsid w:val="008B7EBC"/>
    <w:rsid w:val="008C0008"/>
    <w:rsid w:val="008C01D4"/>
    <w:rsid w:val="008C0247"/>
    <w:rsid w:val="008C026E"/>
    <w:rsid w:val="008C027C"/>
    <w:rsid w:val="008C0289"/>
    <w:rsid w:val="008C0302"/>
    <w:rsid w:val="008C0332"/>
    <w:rsid w:val="008C0370"/>
    <w:rsid w:val="008C0405"/>
    <w:rsid w:val="008C042F"/>
    <w:rsid w:val="008C04C8"/>
    <w:rsid w:val="008C057B"/>
    <w:rsid w:val="008C0601"/>
    <w:rsid w:val="008C0661"/>
    <w:rsid w:val="008C076E"/>
    <w:rsid w:val="008C0991"/>
    <w:rsid w:val="008C0A77"/>
    <w:rsid w:val="008C0BEA"/>
    <w:rsid w:val="008C0BFF"/>
    <w:rsid w:val="008C0C12"/>
    <w:rsid w:val="008C0CAC"/>
    <w:rsid w:val="008C0D3C"/>
    <w:rsid w:val="008C0D40"/>
    <w:rsid w:val="008C0D4A"/>
    <w:rsid w:val="008C0D5E"/>
    <w:rsid w:val="008C0D8B"/>
    <w:rsid w:val="008C0E2C"/>
    <w:rsid w:val="008C0ECE"/>
    <w:rsid w:val="008C0FB8"/>
    <w:rsid w:val="008C1075"/>
    <w:rsid w:val="008C1123"/>
    <w:rsid w:val="008C119F"/>
    <w:rsid w:val="008C11CA"/>
    <w:rsid w:val="008C11E4"/>
    <w:rsid w:val="008C1263"/>
    <w:rsid w:val="008C1270"/>
    <w:rsid w:val="008C133B"/>
    <w:rsid w:val="008C136E"/>
    <w:rsid w:val="008C1375"/>
    <w:rsid w:val="008C13AF"/>
    <w:rsid w:val="008C13B4"/>
    <w:rsid w:val="008C13CA"/>
    <w:rsid w:val="008C13DE"/>
    <w:rsid w:val="008C1420"/>
    <w:rsid w:val="008C1423"/>
    <w:rsid w:val="008C1425"/>
    <w:rsid w:val="008C1491"/>
    <w:rsid w:val="008C14D3"/>
    <w:rsid w:val="008C14FD"/>
    <w:rsid w:val="008C1526"/>
    <w:rsid w:val="008C152C"/>
    <w:rsid w:val="008C153C"/>
    <w:rsid w:val="008C1557"/>
    <w:rsid w:val="008C1686"/>
    <w:rsid w:val="008C178B"/>
    <w:rsid w:val="008C1832"/>
    <w:rsid w:val="008C1969"/>
    <w:rsid w:val="008C1AD3"/>
    <w:rsid w:val="008C1AFF"/>
    <w:rsid w:val="008C1B4D"/>
    <w:rsid w:val="008C1B8C"/>
    <w:rsid w:val="008C1DB2"/>
    <w:rsid w:val="008C1DBC"/>
    <w:rsid w:val="008C1DC5"/>
    <w:rsid w:val="008C1E9C"/>
    <w:rsid w:val="008C2069"/>
    <w:rsid w:val="008C207B"/>
    <w:rsid w:val="008C216C"/>
    <w:rsid w:val="008C21EB"/>
    <w:rsid w:val="008C2207"/>
    <w:rsid w:val="008C22F8"/>
    <w:rsid w:val="008C2306"/>
    <w:rsid w:val="008C238D"/>
    <w:rsid w:val="008C250F"/>
    <w:rsid w:val="008C2568"/>
    <w:rsid w:val="008C25EB"/>
    <w:rsid w:val="008C26CD"/>
    <w:rsid w:val="008C26D1"/>
    <w:rsid w:val="008C270D"/>
    <w:rsid w:val="008C27C4"/>
    <w:rsid w:val="008C27E4"/>
    <w:rsid w:val="008C285C"/>
    <w:rsid w:val="008C2B69"/>
    <w:rsid w:val="008C2B7F"/>
    <w:rsid w:val="008C2C7A"/>
    <w:rsid w:val="008C2CFE"/>
    <w:rsid w:val="008C2D40"/>
    <w:rsid w:val="008C2D89"/>
    <w:rsid w:val="008C2DEF"/>
    <w:rsid w:val="008C2E23"/>
    <w:rsid w:val="008C2E28"/>
    <w:rsid w:val="008C2E5A"/>
    <w:rsid w:val="008C2E79"/>
    <w:rsid w:val="008C2EDC"/>
    <w:rsid w:val="008C2EF9"/>
    <w:rsid w:val="008C2F01"/>
    <w:rsid w:val="008C2FA6"/>
    <w:rsid w:val="008C2FAD"/>
    <w:rsid w:val="008C3059"/>
    <w:rsid w:val="008C30EA"/>
    <w:rsid w:val="008C321E"/>
    <w:rsid w:val="008C32D2"/>
    <w:rsid w:val="008C3327"/>
    <w:rsid w:val="008C3363"/>
    <w:rsid w:val="008C3400"/>
    <w:rsid w:val="008C342B"/>
    <w:rsid w:val="008C349C"/>
    <w:rsid w:val="008C3529"/>
    <w:rsid w:val="008C354E"/>
    <w:rsid w:val="008C35A2"/>
    <w:rsid w:val="008C35A9"/>
    <w:rsid w:val="008C36AC"/>
    <w:rsid w:val="008C36DA"/>
    <w:rsid w:val="008C37BE"/>
    <w:rsid w:val="008C383E"/>
    <w:rsid w:val="008C38EA"/>
    <w:rsid w:val="008C3946"/>
    <w:rsid w:val="008C39DD"/>
    <w:rsid w:val="008C3A45"/>
    <w:rsid w:val="008C3A46"/>
    <w:rsid w:val="008C3ACD"/>
    <w:rsid w:val="008C3DFA"/>
    <w:rsid w:val="008C3E23"/>
    <w:rsid w:val="008C3E55"/>
    <w:rsid w:val="008C3E56"/>
    <w:rsid w:val="008C3E96"/>
    <w:rsid w:val="008C3EAE"/>
    <w:rsid w:val="008C3EE4"/>
    <w:rsid w:val="008C3F78"/>
    <w:rsid w:val="008C3F9D"/>
    <w:rsid w:val="008C3FA9"/>
    <w:rsid w:val="008C401E"/>
    <w:rsid w:val="008C4047"/>
    <w:rsid w:val="008C40AD"/>
    <w:rsid w:val="008C4129"/>
    <w:rsid w:val="008C4370"/>
    <w:rsid w:val="008C45A2"/>
    <w:rsid w:val="008C4635"/>
    <w:rsid w:val="008C46A7"/>
    <w:rsid w:val="008C46D1"/>
    <w:rsid w:val="008C4785"/>
    <w:rsid w:val="008C47EE"/>
    <w:rsid w:val="008C4830"/>
    <w:rsid w:val="008C4937"/>
    <w:rsid w:val="008C4953"/>
    <w:rsid w:val="008C49C3"/>
    <w:rsid w:val="008C4A60"/>
    <w:rsid w:val="008C4E44"/>
    <w:rsid w:val="008C4ED8"/>
    <w:rsid w:val="008C5011"/>
    <w:rsid w:val="008C5137"/>
    <w:rsid w:val="008C51C7"/>
    <w:rsid w:val="008C52A3"/>
    <w:rsid w:val="008C53A8"/>
    <w:rsid w:val="008C53E1"/>
    <w:rsid w:val="008C5492"/>
    <w:rsid w:val="008C54C0"/>
    <w:rsid w:val="008C5546"/>
    <w:rsid w:val="008C554D"/>
    <w:rsid w:val="008C55D4"/>
    <w:rsid w:val="008C561A"/>
    <w:rsid w:val="008C5628"/>
    <w:rsid w:val="008C56E0"/>
    <w:rsid w:val="008C5715"/>
    <w:rsid w:val="008C57A9"/>
    <w:rsid w:val="008C5806"/>
    <w:rsid w:val="008C58A0"/>
    <w:rsid w:val="008C58AA"/>
    <w:rsid w:val="008C58B3"/>
    <w:rsid w:val="008C58CE"/>
    <w:rsid w:val="008C5A45"/>
    <w:rsid w:val="008C5AF3"/>
    <w:rsid w:val="008C5B06"/>
    <w:rsid w:val="008C5B36"/>
    <w:rsid w:val="008C5C2E"/>
    <w:rsid w:val="008C5C32"/>
    <w:rsid w:val="008C5C36"/>
    <w:rsid w:val="008C5CA3"/>
    <w:rsid w:val="008C5CC6"/>
    <w:rsid w:val="008C5E5C"/>
    <w:rsid w:val="008C5E84"/>
    <w:rsid w:val="008C5F1E"/>
    <w:rsid w:val="008C6255"/>
    <w:rsid w:val="008C6289"/>
    <w:rsid w:val="008C62A8"/>
    <w:rsid w:val="008C62B0"/>
    <w:rsid w:val="008C6396"/>
    <w:rsid w:val="008C6405"/>
    <w:rsid w:val="008C6412"/>
    <w:rsid w:val="008C6435"/>
    <w:rsid w:val="008C643D"/>
    <w:rsid w:val="008C646D"/>
    <w:rsid w:val="008C6531"/>
    <w:rsid w:val="008C65E3"/>
    <w:rsid w:val="008C665E"/>
    <w:rsid w:val="008C669A"/>
    <w:rsid w:val="008C6711"/>
    <w:rsid w:val="008C684B"/>
    <w:rsid w:val="008C6868"/>
    <w:rsid w:val="008C688D"/>
    <w:rsid w:val="008C68A9"/>
    <w:rsid w:val="008C692F"/>
    <w:rsid w:val="008C6A1D"/>
    <w:rsid w:val="008C6A6E"/>
    <w:rsid w:val="008C6A71"/>
    <w:rsid w:val="008C6A8D"/>
    <w:rsid w:val="008C6ABD"/>
    <w:rsid w:val="008C6B11"/>
    <w:rsid w:val="008C6B4C"/>
    <w:rsid w:val="008C6BE9"/>
    <w:rsid w:val="008C6C6F"/>
    <w:rsid w:val="008C6D8F"/>
    <w:rsid w:val="008C6E04"/>
    <w:rsid w:val="008C6E08"/>
    <w:rsid w:val="008C6E0F"/>
    <w:rsid w:val="008C6E37"/>
    <w:rsid w:val="008C6E49"/>
    <w:rsid w:val="008C6F18"/>
    <w:rsid w:val="008C6F88"/>
    <w:rsid w:val="008C6FA4"/>
    <w:rsid w:val="008C708C"/>
    <w:rsid w:val="008C71FB"/>
    <w:rsid w:val="008C7210"/>
    <w:rsid w:val="008C7215"/>
    <w:rsid w:val="008C7243"/>
    <w:rsid w:val="008C726D"/>
    <w:rsid w:val="008C73B4"/>
    <w:rsid w:val="008C740B"/>
    <w:rsid w:val="008C767A"/>
    <w:rsid w:val="008C7685"/>
    <w:rsid w:val="008C776A"/>
    <w:rsid w:val="008C7776"/>
    <w:rsid w:val="008C77CA"/>
    <w:rsid w:val="008C78AD"/>
    <w:rsid w:val="008C7978"/>
    <w:rsid w:val="008C7AE1"/>
    <w:rsid w:val="008C7D72"/>
    <w:rsid w:val="008C7DCB"/>
    <w:rsid w:val="008C7E09"/>
    <w:rsid w:val="008C7E8B"/>
    <w:rsid w:val="008C7EA4"/>
    <w:rsid w:val="008C7F0F"/>
    <w:rsid w:val="008D0068"/>
    <w:rsid w:val="008D007A"/>
    <w:rsid w:val="008D0153"/>
    <w:rsid w:val="008D0166"/>
    <w:rsid w:val="008D01C0"/>
    <w:rsid w:val="008D0389"/>
    <w:rsid w:val="008D041C"/>
    <w:rsid w:val="008D0464"/>
    <w:rsid w:val="008D0484"/>
    <w:rsid w:val="008D0493"/>
    <w:rsid w:val="008D0541"/>
    <w:rsid w:val="008D071D"/>
    <w:rsid w:val="008D0792"/>
    <w:rsid w:val="008D07DE"/>
    <w:rsid w:val="008D0817"/>
    <w:rsid w:val="008D0831"/>
    <w:rsid w:val="008D086A"/>
    <w:rsid w:val="008D08AC"/>
    <w:rsid w:val="008D0925"/>
    <w:rsid w:val="008D0952"/>
    <w:rsid w:val="008D0ADE"/>
    <w:rsid w:val="008D0D89"/>
    <w:rsid w:val="008D0E40"/>
    <w:rsid w:val="008D0E7C"/>
    <w:rsid w:val="008D0EA4"/>
    <w:rsid w:val="008D0EFF"/>
    <w:rsid w:val="008D0F3A"/>
    <w:rsid w:val="008D0F7B"/>
    <w:rsid w:val="008D1035"/>
    <w:rsid w:val="008D1084"/>
    <w:rsid w:val="008D10FB"/>
    <w:rsid w:val="008D1189"/>
    <w:rsid w:val="008D119C"/>
    <w:rsid w:val="008D125A"/>
    <w:rsid w:val="008D127D"/>
    <w:rsid w:val="008D127E"/>
    <w:rsid w:val="008D12D0"/>
    <w:rsid w:val="008D12EF"/>
    <w:rsid w:val="008D140A"/>
    <w:rsid w:val="008D1430"/>
    <w:rsid w:val="008D1478"/>
    <w:rsid w:val="008D1533"/>
    <w:rsid w:val="008D1538"/>
    <w:rsid w:val="008D158B"/>
    <w:rsid w:val="008D1853"/>
    <w:rsid w:val="008D1881"/>
    <w:rsid w:val="008D18CE"/>
    <w:rsid w:val="008D19CD"/>
    <w:rsid w:val="008D1A16"/>
    <w:rsid w:val="008D1B53"/>
    <w:rsid w:val="008D1B70"/>
    <w:rsid w:val="008D1B71"/>
    <w:rsid w:val="008D1C46"/>
    <w:rsid w:val="008D1E67"/>
    <w:rsid w:val="008D1E7C"/>
    <w:rsid w:val="008D1E7F"/>
    <w:rsid w:val="008D1E8D"/>
    <w:rsid w:val="008D1F0E"/>
    <w:rsid w:val="008D1FC9"/>
    <w:rsid w:val="008D2037"/>
    <w:rsid w:val="008D20E5"/>
    <w:rsid w:val="008D210A"/>
    <w:rsid w:val="008D2166"/>
    <w:rsid w:val="008D2208"/>
    <w:rsid w:val="008D222D"/>
    <w:rsid w:val="008D2288"/>
    <w:rsid w:val="008D2367"/>
    <w:rsid w:val="008D2403"/>
    <w:rsid w:val="008D24CC"/>
    <w:rsid w:val="008D251C"/>
    <w:rsid w:val="008D2592"/>
    <w:rsid w:val="008D2612"/>
    <w:rsid w:val="008D264C"/>
    <w:rsid w:val="008D266F"/>
    <w:rsid w:val="008D26A4"/>
    <w:rsid w:val="008D26C8"/>
    <w:rsid w:val="008D270C"/>
    <w:rsid w:val="008D270D"/>
    <w:rsid w:val="008D2720"/>
    <w:rsid w:val="008D273E"/>
    <w:rsid w:val="008D2768"/>
    <w:rsid w:val="008D278F"/>
    <w:rsid w:val="008D2897"/>
    <w:rsid w:val="008D28AC"/>
    <w:rsid w:val="008D28F8"/>
    <w:rsid w:val="008D292B"/>
    <w:rsid w:val="008D2961"/>
    <w:rsid w:val="008D2A11"/>
    <w:rsid w:val="008D2AD5"/>
    <w:rsid w:val="008D2DE7"/>
    <w:rsid w:val="008D2EA3"/>
    <w:rsid w:val="008D3104"/>
    <w:rsid w:val="008D3108"/>
    <w:rsid w:val="008D3120"/>
    <w:rsid w:val="008D3162"/>
    <w:rsid w:val="008D316F"/>
    <w:rsid w:val="008D31BE"/>
    <w:rsid w:val="008D31E9"/>
    <w:rsid w:val="008D33CF"/>
    <w:rsid w:val="008D3467"/>
    <w:rsid w:val="008D365F"/>
    <w:rsid w:val="008D36C4"/>
    <w:rsid w:val="008D3712"/>
    <w:rsid w:val="008D3846"/>
    <w:rsid w:val="008D3859"/>
    <w:rsid w:val="008D38F1"/>
    <w:rsid w:val="008D3969"/>
    <w:rsid w:val="008D39A9"/>
    <w:rsid w:val="008D39BC"/>
    <w:rsid w:val="008D3A2C"/>
    <w:rsid w:val="008D3A50"/>
    <w:rsid w:val="008D3A74"/>
    <w:rsid w:val="008D3A88"/>
    <w:rsid w:val="008D3B7A"/>
    <w:rsid w:val="008D3C12"/>
    <w:rsid w:val="008D3DEB"/>
    <w:rsid w:val="008D3E29"/>
    <w:rsid w:val="008D3E8B"/>
    <w:rsid w:val="008D3ECB"/>
    <w:rsid w:val="008D3F5B"/>
    <w:rsid w:val="008D3F6F"/>
    <w:rsid w:val="008D4009"/>
    <w:rsid w:val="008D427A"/>
    <w:rsid w:val="008D42A0"/>
    <w:rsid w:val="008D42E8"/>
    <w:rsid w:val="008D4325"/>
    <w:rsid w:val="008D434B"/>
    <w:rsid w:val="008D443F"/>
    <w:rsid w:val="008D44B4"/>
    <w:rsid w:val="008D45FA"/>
    <w:rsid w:val="008D4616"/>
    <w:rsid w:val="008D466A"/>
    <w:rsid w:val="008D4698"/>
    <w:rsid w:val="008D4744"/>
    <w:rsid w:val="008D475E"/>
    <w:rsid w:val="008D4773"/>
    <w:rsid w:val="008D48BE"/>
    <w:rsid w:val="008D4974"/>
    <w:rsid w:val="008D49C0"/>
    <w:rsid w:val="008D49F6"/>
    <w:rsid w:val="008D4A6F"/>
    <w:rsid w:val="008D4A76"/>
    <w:rsid w:val="008D4CA9"/>
    <w:rsid w:val="008D4D2C"/>
    <w:rsid w:val="008D4DA7"/>
    <w:rsid w:val="008D4DD5"/>
    <w:rsid w:val="008D4E15"/>
    <w:rsid w:val="008D4E2E"/>
    <w:rsid w:val="008D4F26"/>
    <w:rsid w:val="008D4F83"/>
    <w:rsid w:val="008D4FEC"/>
    <w:rsid w:val="008D501C"/>
    <w:rsid w:val="008D5045"/>
    <w:rsid w:val="008D513F"/>
    <w:rsid w:val="008D5141"/>
    <w:rsid w:val="008D514E"/>
    <w:rsid w:val="008D5219"/>
    <w:rsid w:val="008D527C"/>
    <w:rsid w:val="008D531F"/>
    <w:rsid w:val="008D5407"/>
    <w:rsid w:val="008D5414"/>
    <w:rsid w:val="008D542C"/>
    <w:rsid w:val="008D546C"/>
    <w:rsid w:val="008D5504"/>
    <w:rsid w:val="008D55A8"/>
    <w:rsid w:val="008D55CA"/>
    <w:rsid w:val="008D5657"/>
    <w:rsid w:val="008D5663"/>
    <w:rsid w:val="008D567D"/>
    <w:rsid w:val="008D574F"/>
    <w:rsid w:val="008D577B"/>
    <w:rsid w:val="008D5790"/>
    <w:rsid w:val="008D57F8"/>
    <w:rsid w:val="008D5990"/>
    <w:rsid w:val="008D59DA"/>
    <w:rsid w:val="008D5A2B"/>
    <w:rsid w:val="008D5A59"/>
    <w:rsid w:val="008D5A95"/>
    <w:rsid w:val="008D5AFC"/>
    <w:rsid w:val="008D5B02"/>
    <w:rsid w:val="008D5B1F"/>
    <w:rsid w:val="008D5BD9"/>
    <w:rsid w:val="008D5C1B"/>
    <w:rsid w:val="008D5C62"/>
    <w:rsid w:val="008D5D0C"/>
    <w:rsid w:val="008D5EBD"/>
    <w:rsid w:val="008D5F61"/>
    <w:rsid w:val="008D5F63"/>
    <w:rsid w:val="008D6016"/>
    <w:rsid w:val="008D6061"/>
    <w:rsid w:val="008D60AC"/>
    <w:rsid w:val="008D6108"/>
    <w:rsid w:val="008D616E"/>
    <w:rsid w:val="008D61A8"/>
    <w:rsid w:val="008D6397"/>
    <w:rsid w:val="008D6420"/>
    <w:rsid w:val="008D64A9"/>
    <w:rsid w:val="008D64C6"/>
    <w:rsid w:val="008D65C2"/>
    <w:rsid w:val="008D66A6"/>
    <w:rsid w:val="008D6752"/>
    <w:rsid w:val="008D67BA"/>
    <w:rsid w:val="008D683A"/>
    <w:rsid w:val="008D686E"/>
    <w:rsid w:val="008D68A7"/>
    <w:rsid w:val="008D68C7"/>
    <w:rsid w:val="008D699D"/>
    <w:rsid w:val="008D69E7"/>
    <w:rsid w:val="008D6ACB"/>
    <w:rsid w:val="008D6C73"/>
    <w:rsid w:val="008D6C89"/>
    <w:rsid w:val="008D6E7D"/>
    <w:rsid w:val="008D6E8E"/>
    <w:rsid w:val="008D6F68"/>
    <w:rsid w:val="008D6FC1"/>
    <w:rsid w:val="008D7001"/>
    <w:rsid w:val="008D707A"/>
    <w:rsid w:val="008D720E"/>
    <w:rsid w:val="008D7232"/>
    <w:rsid w:val="008D723C"/>
    <w:rsid w:val="008D724F"/>
    <w:rsid w:val="008D73B5"/>
    <w:rsid w:val="008D73D1"/>
    <w:rsid w:val="008D73DD"/>
    <w:rsid w:val="008D7460"/>
    <w:rsid w:val="008D75AA"/>
    <w:rsid w:val="008D75E3"/>
    <w:rsid w:val="008D75EE"/>
    <w:rsid w:val="008D76A9"/>
    <w:rsid w:val="008D76C4"/>
    <w:rsid w:val="008D77BE"/>
    <w:rsid w:val="008D77D0"/>
    <w:rsid w:val="008D7875"/>
    <w:rsid w:val="008D79D1"/>
    <w:rsid w:val="008D79E5"/>
    <w:rsid w:val="008D7A0D"/>
    <w:rsid w:val="008D7A78"/>
    <w:rsid w:val="008D7C13"/>
    <w:rsid w:val="008D7D24"/>
    <w:rsid w:val="008D7D61"/>
    <w:rsid w:val="008D7E66"/>
    <w:rsid w:val="008D7EBB"/>
    <w:rsid w:val="008D7EF5"/>
    <w:rsid w:val="008D7F7C"/>
    <w:rsid w:val="008D7FBF"/>
    <w:rsid w:val="008E0056"/>
    <w:rsid w:val="008E005F"/>
    <w:rsid w:val="008E0065"/>
    <w:rsid w:val="008E0088"/>
    <w:rsid w:val="008E0140"/>
    <w:rsid w:val="008E0186"/>
    <w:rsid w:val="008E0252"/>
    <w:rsid w:val="008E02B0"/>
    <w:rsid w:val="008E02E6"/>
    <w:rsid w:val="008E0349"/>
    <w:rsid w:val="008E0355"/>
    <w:rsid w:val="008E03C9"/>
    <w:rsid w:val="008E03D9"/>
    <w:rsid w:val="008E050E"/>
    <w:rsid w:val="008E054F"/>
    <w:rsid w:val="008E056A"/>
    <w:rsid w:val="008E05C1"/>
    <w:rsid w:val="008E0622"/>
    <w:rsid w:val="008E0640"/>
    <w:rsid w:val="008E0688"/>
    <w:rsid w:val="008E0706"/>
    <w:rsid w:val="008E079F"/>
    <w:rsid w:val="008E081F"/>
    <w:rsid w:val="008E0825"/>
    <w:rsid w:val="008E0832"/>
    <w:rsid w:val="008E0896"/>
    <w:rsid w:val="008E0911"/>
    <w:rsid w:val="008E0939"/>
    <w:rsid w:val="008E095B"/>
    <w:rsid w:val="008E0968"/>
    <w:rsid w:val="008E0B8D"/>
    <w:rsid w:val="008E0BE1"/>
    <w:rsid w:val="008E0BEF"/>
    <w:rsid w:val="008E0C3B"/>
    <w:rsid w:val="008E0D35"/>
    <w:rsid w:val="008E0F4A"/>
    <w:rsid w:val="008E1159"/>
    <w:rsid w:val="008E122A"/>
    <w:rsid w:val="008E12B7"/>
    <w:rsid w:val="008E1358"/>
    <w:rsid w:val="008E1391"/>
    <w:rsid w:val="008E140B"/>
    <w:rsid w:val="008E1548"/>
    <w:rsid w:val="008E16D7"/>
    <w:rsid w:val="008E17EF"/>
    <w:rsid w:val="008E1851"/>
    <w:rsid w:val="008E18F9"/>
    <w:rsid w:val="008E1929"/>
    <w:rsid w:val="008E19AF"/>
    <w:rsid w:val="008E1A7C"/>
    <w:rsid w:val="008E1A91"/>
    <w:rsid w:val="008E1A9C"/>
    <w:rsid w:val="008E1AF3"/>
    <w:rsid w:val="008E1B1A"/>
    <w:rsid w:val="008E1B61"/>
    <w:rsid w:val="008E1BC0"/>
    <w:rsid w:val="008E1CCF"/>
    <w:rsid w:val="008E1CD0"/>
    <w:rsid w:val="008E1D48"/>
    <w:rsid w:val="008E1E6B"/>
    <w:rsid w:val="008E1EA7"/>
    <w:rsid w:val="008E1EA8"/>
    <w:rsid w:val="008E1EE7"/>
    <w:rsid w:val="008E1F53"/>
    <w:rsid w:val="008E201E"/>
    <w:rsid w:val="008E20B9"/>
    <w:rsid w:val="008E218C"/>
    <w:rsid w:val="008E2198"/>
    <w:rsid w:val="008E21C6"/>
    <w:rsid w:val="008E2231"/>
    <w:rsid w:val="008E23F4"/>
    <w:rsid w:val="008E2402"/>
    <w:rsid w:val="008E246B"/>
    <w:rsid w:val="008E24C0"/>
    <w:rsid w:val="008E24C6"/>
    <w:rsid w:val="008E253F"/>
    <w:rsid w:val="008E255B"/>
    <w:rsid w:val="008E25CA"/>
    <w:rsid w:val="008E2635"/>
    <w:rsid w:val="008E266D"/>
    <w:rsid w:val="008E276D"/>
    <w:rsid w:val="008E2770"/>
    <w:rsid w:val="008E27F8"/>
    <w:rsid w:val="008E2957"/>
    <w:rsid w:val="008E29B6"/>
    <w:rsid w:val="008E29BA"/>
    <w:rsid w:val="008E2B06"/>
    <w:rsid w:val="008E2B30"/>
    <w:rsid w:val="008E2B3D"/>
    <w:rsid w:val="008E2BEF"/>
    <w:rsid w:val="008E2CBC"/>
    <w:rsid w:val="008E2CD7"/>
    <w:rsid w:val="008E2D67"/>
    <w:rsid w:val="008E2D7A"/>
    <w:rsid w:val="008E2D9D"/>
    <w:rsid w:val="008E2E99"/>
    <w:rsid w:val="008E2F0C"/>
    <w:rsid w:val="008E2F16"/>
    <w:rsid w:val="008E3074"/>
    <w:rsid w:val="008E313A"/>
    <w:rsid w:val="008E318C"/>
    <w:rsid w:val="008E32E7"/>
    <w:rsid w:val="008E3452"/>
    <w:rsid w:val="008E34F2"/>
    <w:rsid w:val="008E351D"/>
    <w:rsid w:val="008E354A"/>
    <w:rsid w:val="008E35AD"/>
    <w:rsid w:val="008E3692"/>
    <w:rsid w:val="008E384A"/>
    <w:rsid w:val="008E389C"/>
    <w:rsid w:val="008E38A3"/>
    <w:rsid w:val="008E38B8"/>
    <w:rsid w:val="008E395D"/>
    <w:rsid w:val="008E3A63"/>
    <w:rsid w:val="008E3CC5"/>
    <w:rsid w:val="008E3D1F"/>
    <w:rsid w:val="008E3DD8"/>
    <w:rsid w:val="008E3E23"/>
    <w:rsid w:val="008E3ED3"/>
    <w:rsid w:val="008E3FBF"/>
    <w:rsid w:val="008E4085"/>
    <w:rsid w:val="008E414E"/>
    <w:rsid w:val="008E417D"/>
    <w:rsid w:val="008E41A5"/>
    <w:rsid w:val="008E4266"/>
    <w:rsid w:val="008E42C4"/>
    <w:rsid w:val="008E42CF"/>
    <w:rsid w:val="008E42F6"/>
    <w:rsid w:val="008E439E"/>
    <w:rsid w:val="008E4485"/>
    <w:rsid w:val="008E4542"/>
    <w:rsid w:val="008E46D3"/>
    <w:rsid w:val="008E46FD"/>
    <w:rsid w:val="008E472F"/>
    <w:rsid w:val="008E47D1"/>
    <w:rsid w:val="008E484B"/>
    <w:rsid w:val="008E4887"/>
    <w:rsid w:val="008E488D"/>
    <w:rsid w:val="008E48A8"/>
    <w:rsid w:val="008E48C5"/>
    <w:rsid w:val="008E490A"/>
    <w:rsid w:val="008E491B"/>
    <w:rsid w:val="008E4A1F"/>
    <w:rsid w:val="008E4A38"/>
    <w:rsid w:val="008E4A3E"/>
    <w:rsid w:val="008E4AEE"/>
    <w:rsid w:val="008E4AF0"/>
    <w:rsid w:val="008E4C4E"/>
    <w:rsid w:val="008E4CAC"/>
    <w:rsid w:val="008E4D2B"/>
    <w:rsid w:val="008E4F79"/>
    <w:rsid w:val="008E501F"/>
    <w:rsid w:val="008E5084"/>
    <w:rsid w:val="008E5139"/>
    <w:rsid w:val="008E52B5"/>
    <w:rsid w:val="008E543C"/>
    <w:rsid w:val="008E547B"/>
    <w:rsid w:val="008E54D5"/>
    <w:rsid w:val="008E5529"/>
    <w:rsid w:val="008E5601"/>
    <w:rsid w:val="008E560C"/>
    <w:rsid w:val="008E56EA"/>
    <w:rsid w:val="008E5771"/>
    <w:rsid w:val="008E57A7"/>
    <w:rsid w:val="008E57FE"/>
    <w:rsid w:val="008E5886"/>
    <w:rsid w:val="008E5935"/>
    <w:rsid w:val="008E5AED"/>
    <w:rsid w:val="008E5B25"/>
    <w:rsid w:val="008E5B31"/>
    <w:rsid w:val="008E5BAE"/>
    <w:rsid w:val="008E5C1B"/>
    <w:rsid w:val="008E5DB4"/>
    <w:rsid w:val="008E5DF8"/>
    <w:rsid w:val="008E5EFE"/>
    <w:rsid w:val="008E6150"/>
    <w:rsid w:val="008E6291"/>
    <w:rsid w:val="008E62EC"/>
    <w:rsid w:val="008E62FF"/>
    <w:rsid w:val="008E632F"/>
    <w:rsid w:val="008E63C1"/>
    <w:rsid w:val="008E649F"/>
    <w:rsid w:val="008E64E8"/>
    <w:rsid w:val="008E655E"/>
    <w:rsid w:val="008E65E3"/>
    <w:rsid w:val="008E6919"/>
    <w:rsid w:val="008E692E"/>
    <w:rsid w:val="008E696B"/>
    <w:rsid w:val="008E69B6"/>
    <w:rsid w:val="008E6A11"/>
    <w:rsid w:val="008E6B6D"/>
    <w:rsid w:val="008E6F7A"/>
    <w:rsid w:val="008E6FED"/>
    <w:rsid w:val="008E6FEF"/>
    <w:rsid w:val="008E7005"/>
    <w:rsid w:val="008E707A"/>
    <w:rsid w:val="008E70A4"/>
    <w:rsid w:val="008E7224"/>
    <w:rsid w:val="008E72D0"/>
    <w:rsid w:val="008E7474"/>
    <w:rsid w:val="008E74CF"/>
    <w:rsid w:val="008E751B"/>
    <w:rsid w:val="008E7621"/>
    <w:rsid w:val="008E7669"/>
    <w:rsid w:val="008E76BA"/>
    <w:rsid w:val="008E76DE"/>
    <w:rsid w:val="008E77D6"/>
    <w:rsid w:val="008E7873"/>
    <w:rsid w:val="008E78B0"/>
    <w:rsid w:val="008E78B1"/>
    <w:rsid w:val="008E79FF"/>
    <w:rsid w:val="008E7A4B"/>
    <w:rsid w:val="008E7C35"/>
    <w:rsid w:val="008E7D1A"/>
    <w:rsid w:val="008E7D2D"/>
    <w:rsid w:val="008E7D47"/>
    <w:rsid w:val="008E7D4B"/>
    <w:rsid w:val="008E7D6D"/>
    <w:rsid w:val="008E7EA8"/>
    <w:rsid w:val="008E7EAB"/>
    <w:rsid w:val="008E7EC3"/>
    <w:rsid w:val="008E7F75"/>
    <w:rsid w:val="008E7F81"/>
    <w:rsid w:val="008F0013"/>
    <w:rsid w:val="008F011D"/>
    <w:rsid w:val="008F0141"/>
    <w:rsid w:val="008F0153"/>
    <w:rsid w:val="008F018B"/>
    <w:rsid w:val="008F0250"/>
    <w:rsid w:val="008F02A6"/>
    <w:rsid w:val="008F0497"/>
    <w:rsid w:val="008F0555"/>
    <w:rsid w:val="008F0562"/>
    <w:rsid w:val="008F0565"/>
    <w:rsid w:val="008F05F1"/>
    <w:rsid w:val="008F066A"/>
    <w:rsid w:val="008F066C"/>
    <w:rsid w:val="008F069D"/>
    <w:rsid w:val="008F07D1"/>
    <w:rsid w:val="008F07EA"/>
    <w:rsid w:val="008F08B2"/>
    <w:rsid w:val="008F0932"/>
    <w:rsid w:val="008F095E"/>
    <w:rsid w:val="008F098A"/>
    <w:rsid w:val="008F0A74"/>
    <w:rsid w:val="008F0BED"/>
    <w:rsid w:val="008F0C21"/>
    <w:rsid w:val="008F0C50"/>
    <w:rsid w:val="008F0C7E"/>
    <w:rsid w:val="008F0D15"/>
    <w:rsid w:val="008F0E8C"/>
    <w:rsid w:val="008F0EB1"/>
    <w:rsid w:val="008F0EE7"/>
    <w:rsid w:val="008F0EFD"/>
    <w:rsid w:val="008F0FC2"/>
    <w:rsid w:val="008F1099"/>
    <w:rsid w:val="008F1159"/>
    <w:rsid w:val="008F1172"/>
    <w:rsid w:val="008F11A6"/>
    <w:rsid w:val="008F11F4"/>
    <w:rsid w:val="008F12B4"/>
    <w:rsid w:val="008F12E4"/>
    <w:rsid w:val="008F1325"/>
    <w:rsid w:val="008F136C"/>
    <w:rsid w:val="008F1393"/>
    <w:rsid w:val="008F13BD"/>
    <w:rsid w:val="008F13E2"/>
    <w:rsid w:val="008F13FB"/>
    <w:rsid w:val="008F14D8"/>
    <w:rsid w:val="008F14FB"/>
    <w:rsid w:val="008F1600"/>
    <w:rsid w:val="008F16C8"/>
    <w:rsid w:val="008F182D"/>
    <w:rsid w:val="008F187B"/>
    <w:rsid w:val="008F189F"/>
    <w:rsid w:val="008F18C6"/>
    <w:rsid w:val="008F18FD"/>
    <w:rsid w:val="008F1952"/>
    <w:rsid w:val="008F197F"/>
    <w:rsid w:val="008F1B01"/>
    <w:rsid w:val="008F1D4A"/>
    <w:rsid w:val="008F1E3D"/>
    <w:rsid w:val="008F1E6F"/>
    <w:rsid w:val="008F201C"/>
    <w:rsid w:val="008F2040"/>
    <w:rsid w:val="008F205A"/>
    <w:rsid w:val="008F20F5"/>
    <w:rsid w:val="008F2168"/>
    <w:rsid w:val="008F2208"/>
    <w:rsid w:val="008F228F"/>
    <w:rsid w:val="008F231E"/>
    <w:rsid w:val="008F240A"/>
    <w:rsid w:val="008F2463"/>
    <w:rsid w:val="008F248B"/>
    <w:rsid w:val="008F254D"/>
    <w:rsid w:val="008F254F"/>
    <w:rsid w:val="008F26D3"/>
    <w:rsid w:val="008F270A"/>
    <w:rsid w:val="008F2874"/>
    <w:rsid w:val="008F2897"/>
    <w:rsid w:val="008F28AD"/>
    <w:rsid w:val="008F28DC"/>
    <w:rsid w:val="008F29CE"/>
    <w:rsid w:val="008F2B04"/>
    <w:rsid w:val="008F2B9D"/>
    <w:rsid w:val="008F2CA8"/>
    <w:rsid w:val="008F2CC6"/>
    <w:rsid w:val="008F2E5A"/>
    <w:rsid w:val="008F2E8E"/>
    <w:rsid w:val="008F2F0D"/>
    <w:rsid w:val="008F3011"/>
    <w:rsid w:val="008F3034"/>
    <w:rsid w:val="008F3054"/>
    <w:rsid w:val="008F3055"/>
    <w:rsid w:val="008F30A4"/>
    <w:rsid w:val="008F30F2"/>
    <w:rsid w:val="008F310B"/>
    <w:rsid w:val="008F318A"/>
    <w:rsid w:val="008F3190"/>
    <w:rsid w:val="008F3213"/>
    <w:rsid w:val="008F322B"/>
    <w:rsid w:val="008F327C"/>
    <w:rsid w:val="008F33A5"/>
    <w:rsid w:val="008F34CB"/>
    <w:rsid w:val="008F3519"/>
    <w:rsid w:val="008F35B3"/>
    <w:rsid w:val="008F3617"/>
    <w:rsid w:val="008F36F0"/>
    <w:rsid w:val="008F372B"/>
    <w:rsid w:val="008F3795"/>
    <w:rsid w:val="008F3896"/>
    <w:rsid w:val="008F38E3"/>
    <w:rsid w:val="008F3972"/>
    <w:rsid w:val="008F3A05"/>
    <w:rsid w:val="008F3A52"/>
    <w:rsid w:val="008F3AD3"/>
    <w:rsid w:val="008F3B9B"/>
    <w:rsid w:val="008F3C37"/>
    <w:rsid w:val="008F3CA7"/>
    <w:rsid w:val="008F3CA9"/>
    <w:rsid w:val="008F3CD5"/>
    <w:rsid w:val="008F3DA4"/>
    <w:rsid w:val="008F3DAD"/>
    <w:rsid w:val="008F3DAF"/>
    <w:rsid w:val="008F3E64"/>
    <w:rsid w:val="008F3F94"/>
    <w:rsid w:val="008F3FB8"/>
    <w:rsid w:val="008F40B4"/>
    <w:rsid w:val="008F415D"/>
    <w:rsid w:val="008F41F7"/>
    <w:rsid w:val="008F4326"/>
    <w:rsid w:val="008F4329"/>
    <w:rsid w:val="008F433C"/>
    <w:rsid w:val="008F43D1"/>
    <w:rsid w:val="008F443F"/>
    <w:rsid w:val="008F4484"/>
    <w:rsid w:val="008F44ED"/>
    <w:rsid w:val="008F45B4"/>
    <w:rsid w:val="008F45DC"/>
    <w:rsid w:val="008F46D0"/>
    <w:rsid w:val="008F46FF"/>
    <w:rsid w:val="008F4715"/>
    <w:rsid w:val="008F4792"/>
    <w:rsid w:val="008F485B"/>
    <w:rsid w:val="008F48DA"/>
    <w:rsid w:val="008F496E"/>
    <w:rsid w:val="008F4AA7"/>
    <w:rsid w:val="008F4AD2"/>
    <w:rsid w:val="008F4B5C"/>
    <w:rsid w:val="008F4B80"/>
    <w:rsid w:val="008F4BB2"/>
    <w:rsid w:val="008F4BC0"/>
    <w:rsid w:val="008F4BE0"/>
    <w:rsid w:val="008F4C6E"/>
    <w:rsid w:val="008F4C7C"/>
    <w:rsid w:val="008F4DD8"/>
    <w:rsid w:val="008F4E8D"/>
    <w:rsid w:val="008F512D"/>
    <w:rsid w:val="008F518F"/>
    <w:rsid w:val="008F53CD"/>
    <w:rsid w:val="008F5415"/>
    <w:rsid w:val="008F5569"/>
    <w:rsid w:val="008F5586"/>
    <w:rsid w:val="008F5693"/>
    <w:rsid w:val="008F5711"/>
    <w:rsid w:val="008F5719"/>
    <w:rsid w:val="008F5725"/>
    <w:rsid w:val="008F5744"/>
    <w:rsid w:val="008F57E9"/>
    <w:rsid w:val="008F581B"/>
    <w:rsid w:val="008F5856"/>
    <w:rsid w:val="008F58A1"/>
    <w:rsid w:val="008F592E"/>
    <w:rsid w:val="008F593B"/>
    <w:rsid w:val="008F59B2"/>
    <w:rsid w:val="008F5BCE"/>
    <w:rsid w:val="008F5C1C"/>
    <w:rsid w:val="008F5C58"/>
    <w:rsid w:val="008F5C64"/>
    <w:rsid w:val="008F5D46"/>
    <w:rsid w:val="008F5DE5"/>
    <w:rsid w:val="008F5E42"/>
    <w:rsid w:val="008F5EBB"/>
    <w:rsid w:val="008F5EFE"/>
    <w:rsid w:val="008F5F69"/>
    <w:rsid w:val="008F5FA9"/>
    <w:rsid w:val="008F5FB4"/>
    <w:rsid w:val="008F600C"/>
    <w:rsid w:val="008F604E"/>
    <w:rsid w:val="008F60AF"/>
    <w:rsid w:val="008F60CB"/>
    <w:rsid w:val="008F62BF"/>
    <w:rsid w:val="008F6302"/>
    <w:rsid w:val="008F6381"/>
    <w:rsid w:val="008F63B1"/>
    <w:rsid w:val="008F642E"/>
    <w:rsid w:val="008F649F"/>
    <w:rsid w:val="008F6539"/>
    <w:rsid w:val="008F65C2"/>
    <w:rsid w:val="008F6682"/>
    <w:rsid w:val="008F66EE"/>
    <w:rsid w:val="008F6771"/>
    <w:rsid w:val="008F678A"/>
    <w:rsid w:val="008F68B6"/>
    <w:rsid w:val="008F695C"/>
    <w:rsid w:val="008F6973"/>
    <w:rsid w:val="008F6B6F"/>
    <w:rsid w:val="008F6C8C"/>
    <w:rsid w:val="008F6D07"/>
    <w:rsid w:val="008F6D12"/>
    <w:rsid w:val="008F6D41"/>
    <w:rsid w:val="008F6DD0"/>
    <w:rsid w:val="008F6E6A"/>
    <w:rsid w:val="008F6EC8"/>
    <w:rsid w:val="008F6EEC"/>
    <w:rsid w:val="008F6F5F"/>
    <w:rsid w:val="008F6FBB"/>
    <w:rsid w:val="008F7098"/>
    <w:rsid w:val="008F7190"/>
    <w:rsid w:val="008F7335"/>
    <w:rsid w:val="008F73CF"/>
    <w:rsid w:val="008F74D2"/>
    <w:rsid w:val="008F7614"/>
    <w:rsid w:val="008F763F"/>
    <w:rsid w:val="008F76CB"/>
    <w:rsid w:val="008F7721"/>
    <w:rsid w:val="008F7747"/>
    <w:rsid w:val="008F786A"/>
    <w:rsid w:val="008F797E"/>
    <w:rsid w:val="008F7A5E"/>
    <w:rsid w:val="008F7AA7"/>
    <w:rsid w:val="008F7B72"/>
    <w:rsid w:val="008F7D34"/>
    <w:rsid w:val="008F7DB4"/>
    <w:rsid w:val="008F7DE0"/>
    <w:rsid w:val="008F7E80"/>
    <w:rsid w:val="008F7ED6"/>
    <w:rsid w:val="008F7F00"/>
    <w:rsid w:val="008F7F16"/>
    <w:rsid w:val="008F7F6A"/>
    <w:rsid w:val="008F7FA0"/>
    <w:rsid w:val="009000B0"/>
    <w:rsid w:val="009000C3"/>
    <w:rsid w:val="009000DA"/>
    <w:rsid w:val="0090018B"/>
    <w:rsid w:val="009001BC"/>
    <w:rsid w:val="009001D8"/>
    <w:rsid w:val="00900453"/>
    <w:rsid w:val="0090047D"/>
    <w:rsid w:val="0090049B"/>
    <w:rsid w:val="009004EA"/>
    <w:rsid w:val="009004FE"/>
    <w:rsid w:val="00900598"/>
    <w:rsid w:val="009005A0"/>
    <w:rsid w:val="00900648"/>
    <w:rsid w:val="00900723"/>
    <w:rsid w:val="00900777"/>
    <w:rsid w:val="00900783"/>
    <w:rsid w:val="009007CF"/>
    <w:rsid w:val="0090082E"/>
    <w:rsid w:val="00900845"/>
    <w:rsid w:val="00900873"/>
    <w:rsid w:val="00900947"/>
    <w:rsid w:val="0090099D"/>
    <w:rsid w:val="009009BB"/>
    <w:rsid w:val="00900BB7"/>
    <w:rsid w:val="00900C64"/>
    <w:rsid w:val="00900D6B"/>
    <w:rsid w:val="00900DB4"/>
    <w:rsid w:val="00900EB4"/>
    <w:rsid w:val="00900EB8"/>
    <w:rsid w:val="00900FBA"/>
    <w:rsid w:val="0090107C"/>
    <w:rsid w:val="00901081"/>
    <w:rsid w:val="009010AB"/>
    <w:rsid w:val="009010C0"/>
    <w:rsid w:val="00901227"/>
    <w:rsid w:val="0090128C"/>
    <w:rsid w:val="00901296"/>
    <w:rsid w:val="009012C6"/>
    <w:rsid w:val="009012F0"/>
    <w:rsid w:val="0090146D"/>
    <w:rsid w:val="00901471"/>
    <w:rsid w:val="0090149D"/>
    <w:rsid w:val="009014C7"/>
    <w:rsid w:val="009014EB"/>
    <w:rsid w:val="0090153F"/>
    <w:rsid w:val="00901560"/>
    <w:rsid w:val="009015D6"/>
    <w:rsid w:val="00901641"/>
    <w:rsid w:val="0090168A"/>
    <w:rsid w:val="009016CE"/>
    <w:rsid w:val="0090175F"/>
    <w:rsid w:val="0090176D"/>
    <w:rsid w:val="009017DE"/>
    <w:rsid w:val="0090184F"/>
    <w:rsid w:val="0090185A"/>
    <w:rsid w:val="00901951"/>
    <w:rsid w:val="00901A7D"/>
    <w:rsid w:val="00901AAE"/>
    <w:rsid w:val="00901B5C"/>
    <w:rsid w:val="00901B5D"/>
    <w:rsid w:val="00901B94"/>
    <w:rsid w:val="00901BFC"/>
    <w:rsid w:val="00901C32"/>
    <w:rsid w:val="00901C69"/>
    <w:rsid w:val="00901CB1"/>
    <w:rsid w:val="00901CED"/>
    <w:rsid w:val="00901D03"/>
    <w:rsid w:val="00901D72"/>
    <w:rsid w:val="00901DB7"/>
    <w:rsid w:val="00901ECB"/>
    <w:rsid w:val="00901F4F"/>
    <w:rsid w:val="00901FD0"/>
    <w:rsid w:val="00902015"/>
    <w:rsid w:val="0090208E"/>
    <w:rsid w:val="009020A1"/>
    <w:rsid w:val="009020DC"/>
    <w:rsid w:val="0090214E"/>
    <w:rsid w:val="0090253A"/>
    <w:rsid w:val="00902567"/>
    <w:rsid w:val="009025BE"/>
    <w:rsid w:val="009025E3"/>
    <w:rsid w:val="00902620"/>
    <w:rsid w:val="00902622"/>
    <w:rsid w:val="0090269A"/>
    <w:rsid w:val="009026BA"/>
    <w:rsid w:val="00902760"/>
    <w:rsid w:val="00902892"/>
    <w:rsid w:val="00902BCB"/>
    <w:rsid w:val="00902D27"/>
    <w:rsid w:val="00902DB0"/>
    <w:rsid w:val="00902DF1"/>
    <w:rsid w:val="00902E5B"/>
    <w:rsid w:val="00902E6A"/>
    <w:rsid w:val="00902E80"/>
    <w:rsid w:val="00902E8A"/>
    <w:rsid w:val="00902EB3"/>
    <w:rsid w:val="00902EBD"/>
    <w:rsid w:val="00902F12"/>
    <w:rsid w:val="00902F39"/>
    <w:rsid w:val="009030F5"/>
    <w:rsid w:val="00903127"/>
    <w:rsid w:val="0090327F"/>
    <w:rsid w:val="00903414"/>
    <w:rsid w:val="00903458"/>
    <w:rsid w:val="009034B2"/>
    <w:rsid w:val="009035F5"/>
    <w:rsid w:val="0090361E"/>
    <w:rsid w:val="0090365C"/>
    <w:rsid w:val="009036E8"/>
    <w:rsid w:val="009036FF"/>
    <w:rsid w:val="00903753"/>
    <w:rsid w:val="0090376E"/>
    <w:rsid w:val="009037A5"/>
    <w:rsid w:val="009037B2"/>
    <w:rsid w:val="0090383E"/>
    <w:rsid w:val="00903844"/>
    <w:rsid w:val="00903928"/>
    <w:rsid w:val="009039A7"/>
    <w:rsid w:val="009039AC"/>
    <w:rsid w:val="009039D9"/>
    <w:rsid w:val="00903B38"/>
    <w:rsid w:val="00903C8F"/>
    <w:rsid w:val="00903CB4"/>
    <w:rsid w:val="00903CBE"/>
    <w:rsid w:val="00903D00"/>
    <w:rsid w:val="00903D41"/>
    <w:rsid w:val="00903D74"/>
    <w:rsid w:val="00903DA3"/>
    <w:rsid w:val="00903E9E"/>
    <w:rsid w:val="00903F29"/>
    <w:rsid w:val="00903FBD"/>
    <w:rsid w:val="00903FD9"/>
    <w:rsid w:val="00903FF0"/>
    <w:rsid w:val="0090414E"/>
    <w:rsid w:val="00904205"/>
    <w:rsid w:val="0090420D"/>
    <w:rsid w:val="0090421A"/>
    <w:rsid w:val="00904266"/>
    <w:rsid w:val="00904272"/>
    <w:rsid w:val="009042C2"/>
    <w:rsid w:val="009042DD"/>
    <w:rsid w:val="009043BA"/>
    <w:rsid w:val="00904590"/>
    <w:rsid w:val="009045C0"/>
    <w:rsid w:val="00904692"/>
    <w:rsid w:val="009046AE"/>
    <w:rsid w:val="009046BB"/>
    <w:rsid w:val="0090471D"/>
    <w:rsid w:val="00904723"/>
    <w:rsid w:val="00904879"/>
    <w:rsid w:val="009048AF"/>
    <w:rsid w:val="00904A0B"/>
    <w:rsid w:val="00904A40"/>
    <w:rsid w:val="00904A85"/>
    <w:rsid w:val="00904AFA"/>
    <w:rsid w:val="00904B2E"/>
    <w:rsid w:val="00904BCC"/>
    <w:rsid w:val="00904C01"/>
    <w:rsid w:val="00904CF5"/>
    <w:rsid w:val="00904D87"/>
    <w:rsid w:val="00904F13"/>
    <w:rsid w:val="0090501A"/>
    <w:rsid w:val="0090514D"/>
    <w:rsid w:val="0090521F"/>
    <w:rsid w:val="00905248"/>
    <w:rsid w:val="00905259"/>
    <w:rsid w:val="009053D0"/>
    <w:rsid w:val="009053F6"/>
    <w:rsid w:val="0090546C"/>
    <w:rsid w:val="009054B5"/>
    <w:rsid w:val="0090550E"/>
    <w:rsid w:val="0090556C"/>
    <w:rsid w:val="0090558D"/>
    <w:rsid w:val="00905601"/>
    <w:rsid w:val="00905633"/>
    <w:rsid w:val="0090574A"/>
    <w:rsid w:val="00905763"/>
    <w:rsid w:val="0090578E"/>
    <w:rsid w:val="009057F5"/>
    <w:rsid w:val="00905801"/>
    <w:rsid w:val="0090589D"/>
    <w:rsid w:val="00905A8F"/>
    <w:rsid w:val="00905AC0"/>
    <w:rsid w:val="00905AF2"/>
    <w:rsid w:val="00905BB4"/>
    <w:rsid w:val="00905BB5"/>
    <w:rsid w:val="00905BD5"/>
    <w:rsid w:val="00905C21"/>
    <w:rsid w:val="00905E29"/>
    <w:rsid w:val="00905E93"/>
    <w:rsid w:val="00905EAE"/>
    <w:rsid w:val="00905EEB"/>
    <w:rsid w:val="00905FCB"/>
    <w:rsid w:val="009060A4"/>
    <w:rsid w:val="009060C4"/>
    <w:rsid w:val="009060CA"/>
    <w:rsid w:val="0090619A"/>
    <w:rsid w:val="009061EA"/>
    <w:rsid w:val="00906284"/>
    <w:rsid w:val="00906304"/>
    <w:rsid w:val="00906333"/>
    <w:rsid w:val="00906394"/>
    <w:rsid w:val="009063F0"/>
    <w:rsid w:val="00906462"/>
    <w:rsid w:val="00906495"/>
    <w:rsid w:val="009064D1"/>
    <w:rsid w:val="0090663A"/>
    <w:rsid w:val="00906649"/>
    <w:rsid w:val="00906676"/>
    <w:rsid w:val="00906683"/>
    <w:rsid w:val="009066D8"/>
    <w:rsid w:val="00906796"/>
    <w:rsid w:val="009067A4"/>
    <w:rsid w:val="009067F1"/>
    <w:rsid w:val="00906879"/>
    <w:rsid w:val="00906945"/>
    <w:rsid w:val="00906998"/>
    <w:rsid w:val="0090699B"/>
    <w:rsid w:val="009069C5"/>
    <w:rsid w:val="00906B0F"/>
    <w:rsid w:val="00906B1F"/>
    <w:rsid w:val="00906B96"/>
    <w:rsid w:val="00906BEE"/>
    <w:rsid w:val="00906C42"/>
    <w:rsid w:val="00906C91"/>
    <w:rsid w:val="00906C95"/>
    <w:rsid w:val="00906D0A"/>
    <w:rsid w:val="00906D43"/>
    <w:rsid w:val="00906DD8"/>
    <w:rsid w:val="00906F47"/>
    <w:rsid w:val="00906F82"/>
    <w:rsid w:val="00906FD9"/>
    <w:rsid w:val="00907101"/>
    <w:rsid w:val="00907230"/>
    <w:rsid w:val="00907249"/>
    <w:rsid w:val="009072E5"/>
    <w:rsid w:val="00907308"/>
    <w:rsid w:val="009073AC"/>
    <w:rsid w:val="009073EA"/>
    <w:rsid w:val="0090746B"/>
    <w:rsid w:val="0090747B"/>
    <w:rsid w:val="009074C4"/>
    <w:rsid w:val="00907503"/>
    <w:rsid w:val="0090758C"/>
    <w:rsid w:val="009075D6"/>
    <w:rsid w:val="009075FB"/>
    <w:rsid w:val="00907624"/>
    <w:rsid w:val="0090763B"/>
    <w:rsid w:val="00907656"/>
    <w:rsid w:val="0090785A"/>
    <w:rsid w:val="00907897"/>
    <w:rsid w:val="009078DE"/>
    <w:rsid w:val="009079B2"/>
    <w:rsid w:val="00907A8F"/>
    <w:rsid w:val="00907AF8"/>
    <w:rsid w:val="00907BB0"/>
    <w:rsid w:val="00907DCC"/>
    <w:rsid w:val="00907DE9"/>
    <w:rsid w:val="00907DEC"/>
    <w:rsid w:val="00907E47"/>
    <w:rsid w:val="00907E86"/>
    <w:rsid w:val="00907E8B"/>
    <w:rsid w:val="00907EE3"/>
    <w:rsid w:val="00907F03"/>
    <w:rsid w:val="00907F6C"/>
    <w:rsid w:val="00910042"/>
    <w:rsid w:val="00910064"/>
    <w:rsid w:val="00910105"/>
    <w:rsid w:val="009101DB"/>
    <w:rsid w:val="009101FD"/>
    <w:rsid w:val="0091031F"/>
    <w:rsid w:val="009104FD"/>
    <w:rsid w:val="0091051C"/>
    <w:rsid w:val="00910575"/>
    <w:rsid w:val="009105B6"/>
    <w:rsid w:val="009105BD"/>
    <w:rsid w:val="009105F4"/>
    <w:rsid w:val="009106F7"/>
    <w:rsid w:val="00910707"/>
    <w:rsid w:val="00910786"/>
    <w:rsid w:val="009107DB"/>
    <w:rsid w:val="00910843"/>
    <w:rsid w:val="009108C4"/>
    <w:rsid w:val="00910957"/>
    <w:rsid w:val="0091095A"/>
    <w:rsid w:val="009109B9"/>
    <w:rsid w:val="009109CF"/>
    <w:rsid w:val="009109D8"/>
    <w:rsid w:val="00910A5F"/>
    <w:rsid w:val="00910A80"/>
    <w:rsid w:val="00910B4C"/>
    <w:rsid w:val="00910B75"/>
    <w:rsid w:val="00910B8F"/>
    <w:rsid w:val="00910B94"/>
    <w:rsid w:val="00910BD1"/>
    <w:rsid w:val="00910C48"/>
    <w:rsid w:val="00910C4F"/>
    <w:rsid w:val="00910C7A"/>
    <w:rsid w:val="00910D5F"/>
    <w:rsid w:val="00910E90"/>
    <w:rsid w:val="00911033"/>
    <w:rsid w:val="0091106E"/>
    <w:rsid w:val="009110FE"/>
    <w:rsid w:val="00911185"/>
    <w:rsid w:val="009111B8"/>
    <w:rsid w:val="00911208"/>
    <w:rsid w:val="009112B1"/>
    <w:rsid w:val="009112E0"/>
    <w:rsid w:val="00911318"/>
    <w:rsid w:val="009113D2"/>
    <w:rsid w:val="009113E5"/>
    <w:rsid w:val="00911435"/>
    <w:rsid w:val="009114A5"/>
    <w:rsid w:val="00911532"/>
    <w:rsid w:val="009115EF"/>
    <w:rsid w:val="009115F5"/>
    <w:rsid w:val="0091160A"/>
    <w:rsid w:val="009116DD"/>
    <w:rsid w:val="009117B0"/>
    <w:rsid w:val="00911868"/>
    <w:rsid w:val="009119D2"/>
    <w:rsid w:val="00911BB5"/>
    <w:rsid w:val="00911BE5"/>
    <w:rsid w:val="00911C14"/>
    <w:rsid w:val="00911C16"/>
    <w:rsid w:val="00911ED0"/>
    <w:rsid w:val="00911F54"/>
    <w:rsid w:val="009120BA"/>
    <w:rsid w:val="009120ED"/>
    <w:rsid w:val="0091217A"/>
    <w:rsid w:val="00912241"/>
    <w:rsid w:val="009122B6"/>
    <w:rsid w:val="00912302"/>
    <w:rsid w:val="00912346"/>
    <w:rsid w:val="0091236E"/>
    <w:rsid w:val="00912375"/>
    <w:rsid w:val="009123B6"/>
    <w:rsid w:val="009124B9"/>
    <w:rsid w:val="00912520"/>
    <w:rsid w:val="0091256B"/>
    <w:rsid w:val="0091257B"/>
    <w:rsid w:val="0091258A"/>
    <w:rsid w:val="009125E3"/>
    <w:rsid w:val="009127C8"/>
    <w:rsid w:val="00912882"/>
    <w:rsid w:val="0091290E"/>
    <w:rsid w:val="00912913"/>
    <w:rsid w:val="00912A35"/>
    <w:rsid w:val="00912A49"/>
    <w:rsid w:val="00912A6B"/>
    <w:rsid w:val="00912A93"/>
    <w:rsid w:val="00912C57"/>
    <w:rsid w:val="00912C73"/>
    <w:rsid w:val="00912D1C"/>
    <w:rsid w:val="00912D23"/>
    <w:rsid w:val="00912D3D"/>
    <w:rsid w:val="00912D5C"/>
    <w:rsid w:val="00912E0E"/>
    <w:rsid w:val="00912E42"/>
    <w:rsid w:val="00912EA6"/>
    <w:rsid w:val="00912EEF"/>
    <w:rsid w:val="00913019"/>
    <w:rsid w:val="0091311B"/>
    <w:rsid w:val="009131FB"/>
    <w:rsid w:val="00913285"/>
    <w:rsid w:val="009132D5"/>
    <w:rsid w:val="0091331F"/>
    <w:rsid w:val="00913380"/>
    <w:rsid w:val="00913525"/>
    <w:rsid w:val="00913544"/>
    <w:rsid w:val="00913545"/>
    <w:rsid w:val="00913645"/>
    <w:rsid w:val="009136C9"/>
    <w:rsid w:val="009136F6"/>
    <w:rsid w:val="009136F9"/>
    <w:rsid w:val="00913770"/>
    <w:rsid w:val="00913782"/>
    <w:rsid w:val="009137AF"/>
    <w:rsid w:val="009137FD"/>
    <w:rsid w:val="00913835"/>
    <w:rsid w:val="009138A0"/>
    <w:rsid w:val="009138CB"/>
    <w:rsid w:val="009138ED"/>
    <w:rsid w:val="00913A20"/>
    <w:rsid w:val="00913A7A"/>
    <w:rsid w:val="00913A91"/>
    <w:rsid w:val="00913AA0"/>
    <w:rsid w:val="00913AC9"/>
    <w:rsid w:val="00913C66"/>
    <w:rsid w:val="00913C6D"/>
    <w:rsid w:val="00913C72"/>
    <w:rsid w:val="00913CC0"/>
    <w:rsid w:val="00913CE4"/>
    <w:rsid w:val="00913D59"/>
    <w:rsid w:val="00913D73"/>
    <w:rsid w:val="00913E8D"/>
    <w:rsid w:val="00913EF1"/>
    <w:rsid w:val="00913F1E"/>
    <w:rsid w:val="00913FB2"/>
    <w:rsid w:val="009140C4"/>
    <w:rsid w:val="009140FB"/>
    <w:rsid w:val="0091415E"/>
    <w:rsid w:val="009141DC"/>
    <w:rsid w:val="00914212"/>
    <w:rsid w:val="00914262"/>
    <w:rsid w:val="00914275"/>
    <w:rsid w:val="009142C8"/>
    <w:rsid w:val="009142D4"/>
    <w:rsid w:val="00914328"/>
    <w:rsid w:val="00914336"/>
    <w:rsid w:val="00914380"/>
    <w:rsid w:val="00914440"/>
    <w:rsid w:val="009144A9"/>
    <w:rsid w:val="0091454E"/>
    <w:rsid w:val="009145D5"/>
    <w:rsid w:val="009145FF"/>
    <w:rsid w:val="00914600"/>
    <w:rsid w:val="0091468B"/>
    <w:rsid w:val="00914713"/>
    <w:rsid w:val="00914715"/>
    <w:rsid w:val="009148EF"/>
    <w:rsid w:val="00914937"/>
    <w:rsid w:val="00914984"/>
    <w:rsid w:val="00914AD1"/>
    <w:rsid w:val="00914B1F"/>
    <w:rsid w:val="00914B24"/>
    <w:rsid w:val="00914B74"/>
    <w:rsid w:val="00914B77"/>
    <w:rsid w:val="00914BD8"/>
    <w:rsid w:val="00914BF8"/>
    <w:rsid w:val="00914C2D"/>
    <w:rsid w:val="00914C9B"/>
    <w:rsid w:val="00914CDA"/>
    <w:rsid w:val="00914D6A"/>
    <w:rsid w:val="00914D7C"/>
    <w:rsid w:val="00914DCC"/>
    <w:rsid w:val="00914E12"/>
    <w:rsid w:val="00914E60"/>
    <w:rsid w:val="00914EA0"/>
    <w:rsid w:val="00914EC1"/>
    <w:rsid w:val="00914F27"/>
    <w:rsid w:val="00914F9F"/>
    <w:rsid w:val="00914FB4"/>
    <w:rsid w:val="00914FD5"/>
    <w:rsid w:val="0091500C"/>
    <w:rsid w:val="00915086"/>
    <w:rsid w:val="00915093"/>
    <w:rsid w:val="0091509D"/>
    <w:rsid w:val="00915190"/>
    <w:rsid w:val="009151B7"/>
    <w:rsid w:val="00915239"/>
    <w:rsid w:val="0091526F"/>
    <w:rsid w:val="00915287"/>
    <w:rsid w:val="0091529A"/>
    <w:rsid w:val="009152AD"/>
    <w:rsid w:val="0091535E"/>
    <w:rsid w:val="0091538C"/>
    <w:rsid w:val="009153D2"/>
    <w:rsid w:val="00915432"/>
    <w:rsid w:val="00915475"/>
    <w:rsid w:val="009154F5"/>
    <w:rsid w:val="00915540"/>
    <w:rsid w:val="0091556A"/>
    <w:rsid w:val="0091564E"/>
    <w:rsid w:val="00915720"/>
    <w:rsid w:val="00915760"/>
    <w:rsid w:val="009157C1"/>
    <w:rsid w:val="009157CC"/>
    <w:rsid w:val="00915986"/>
    <w:rsid w:val="0091598C"/>
    <w:rsid w:val="009159A3"/>
    <w:rsid w:val="00915A79"/>
    <w:rsid w:val="00915A8F"/>
    <w:rsid w:val="00915AAD"/>
    <w:rsid w:val="00915AD7"/>
    <w:rsid w:val="00915AF8"/>
    <w:rsid w:val="00915B0C"/>
    <w:rsid w:val="00915B32"/>
    <w:rsid w:val="00915B46"/>
    <w:rsid w:val="00915B6C"/>
    <w:rsid w:val="00915BB7"/>
    <w:rsid w:val="00915BED"/>
    <w:rsid w:val="00915C10"/>
    <w:rsid w:val="00915C7C"/>
    <w:rsid w:val="00915D45"/>
    <w:rsid w:val="00915D75"/>
    <w:rsid w:val="00915E23"/>
    <w:rsid w:val="00915E6B"/>
    <w:rsid w:val="00915EC9"/>
    <w:rsid w:val="00915FC2"/>
    <w:rsid w:val="00915FD5"/>
    <w:rsid w:val="00916054"/>
    <w:rsid w:val="00916073"/>
    <w:rsid w:val="00916074"/>
    <w:rsid w:val="0091608E"/>
    <w:rsid w:val="00916151"/>
    <w:rsid w:val="009161CF"/>
    <w:rsid w:val="00916256"/>
    <w:rsid w:val="00916286"/>
    <w:rsid w:val="0091629D"/>
    <w:rsid w:val="009162FD"/>
    <w:rsid w:val="00916373"/>
    <w:rsid w:val="009163EB"/>
    <w:rsid w:val="00916542"/>
    <w:rsid w:val="00916595"/>
    <w:rsid w:val="009165CD"/>
    <w:rsid w:val="00916619"/>
    <w:rsid w:val="0091668D"/>
    <w:rsid w:val="00916700"/>
    <w:rsid w:val="0091671D"/>
    <w:rsid w:val="00916726"/>
    <w:rsid w:val="00916823"/>
    <w:rsid w:val="00916836"/>
    <w:rsid w:val="00916841"/>
    <w:rsid w:val="009168C6"/>
    <w:rsid w:val="0091699B"/>
    <w:rsid w:val="009169DC"/>
    <w:rsid w:val="00916AE7"/>
    <w:rsid w:val="00916B7A"/>
    <w:rsid w:val="00916BD1"/>
    <w:rsid w:val="00916BE1"/>
    <w:rsid w:val="00916C47"/>
    <w:rsid w:val="00916C4D"/>
    <w:rsid w:val="00916C9F"/>
    <w:rsid w:val="00916DBB"/>
    <w:rsid w:val="00916EB1"/>
    <w:rsid w:val="00916EEB"/>
    <w:rsid w:val="00916F2B"/>
    <w:rsid w:val="00916FBF"/>
    <w:rsid w:val="00916FCC"/>
    <w:rsid w:val="00917002"/>
    <w:rsid w:val="0091708A"/>
    <w:rsid w:val="009170B8"/>
    <w:rsid w:val="009170F4"/>
    <w:rsid w:val="0091710C"/>
    <w:rsid w:val="00917168"/>
    <w:rsid w:val="00917169"/>
    <w:rsid w:val="009171AD"/>
    <w:rsid w:val="009172DB"/>
    <w:rsid w:val="009172FC"/>
    <w:rsid w:val="00917340"/>
    <w:rsid w:val="009173AD"/>
    <w:rsid w:val="00917519"/>
    <w:rsid w:val="0091754B"/>
    <w:rsid w:val="00917569"/>
    <w:rsid w:val="00917587"/>
    <w:rsid w:val="009175EA"/>
    <w:rsid w:val="0091761F"/>
    <w:rsid w:val="0091764B"/>
    <w:rsid w:val="009176A2"/>
    <w:rsid w:val="00917714"/>
    <w:rsid w:val="0091786B"/>
    <w:rsid w:val="00917914"/>
    <w:rsid w:val="0091797E"/>
    <w:rsid w:val="00917ACE"/>
    <w:rsid w:val="00917D3A"/>
    <w:rsid w:val="00917EBE"/>
    <w:rsid w:val="00917F81"/>
    <w:rsid w:val="00917FD0"/>
    <w:rsid w:val="00917FF2"/>
    <w:rsid w:val="009200C9"/>
    <w:rsid w:val="009200FD"/>
    <w:rsid w:val="0092016F"/>
    <w:rsid w:val="00920174"/>
    <w:rsid w:val="009201C5"/>
    <w:rsid w:val="00920223"/>
    <w:rsid w:val="009202A4"/>
    <w:rsid w:val="009202AB"/>
    <w:rsid w:val="00920337"/>
    <w:rsid w:val="0092033F"/>
    <w:rsid w:val="00920448"/>
    <w:rsid w:val="009204B5"/>
    <w:rsid w:val="00920563"/>
    <w:rsid w:val="009205FB"/>
    <w:rsid w:val="0092064F"/>
    <w:rsid w:val="0092071A"/>
    <w:rsid w:val="00920797"/>
    <w:rsid w:val="009207EC"/>
    <w:rsid w:val="009208A1"/>
    <w:rsid w:val="00920A1A"/>
    <w:rsid w:val="00920A5A"/>
    <w:rsid w:val="00920AB6"/>
    <w:rsid w:val="00920B10"/>
    <w:rsid w:val="00920B88"/>
    <w:rsid w:val="00920BB0"/>
    <w:rsid w:val="00920BFE"/>
    <w:rsid w:val="00920C71"/>
    <w:rsid w:val="00920D51"/>
    <w:rsid w:val="00920D67"/>
    <w:rsid w:val="00920D91"/>
    <w:rsid w:val="00920DF5"/>
    <w:rsid w:val="00920EB7"/>
    <w:rsid w:val="00920EEF"/>
    <w:rsid w:val="00920EFD"/>
    <w:rsid w:val="00920FFB"/>
    <w:rsid w:val="0092107A"/>
    <w:rsid w:val="009210C3"/>
    <w:rsid w:val="009210CF"/>
    <w:rsid w:val="009211F3"/>
    <w:rsid w:val="0092146C"/>
    <w:rsid w:val="00921532"/>
    <w:rsid w:val="00921579"/>
    <w:rsid w:val="00921642"/>
    <w:rsid w:val="009216AE"/>
    <w:rsid w:val="0092174B"/>
    <w:rsid w:val="0092176F"/>
    <w:rsid w:val="009217D0"/>
    <w:rsid w:val="00921826"/>
    <w:rsid w:val="00921850"/>
    <w:rsid w:val="00921913"/>
    <w:rsid w:val="00921921"/>
    <w:rsid w:val="009219D2"/>
    <w:rsid w:val="00921A0F"/>
    <w:rsid w:val="00921A17"/>
    <w:rsid w:val="00921A2C"/>
    <w:rsid w:val="00921A4E"/>
    <w:rsid w:val="00921B89"/>
    <w:rsid w:val="00921BBE"/>
    <w:rsid w:val="00921BEF"/>
    <w:rsid w:val="00921C96"/>
    <w:rsid w:val="00921D67"/>
    <w:rsid w:val="00921E37"/>
    <w:rsid w:val="009220E8"/>
    <w:rsid w:val="00922152"/>
    <w:rsid w:val="00922230"/>
    <w:rsid w:val="00922254"/>
    <w:rsid w:val="009222F7"/>
    <w:rsid w:val="00922330"/>
    <w:rsid w:val="0092233F"/>
    <w:rsid w:val="009223BB"/>
    <w:rsid w:val="009223E9"/>
    <w:rsid w:val="0092250A"/>
    <w:rsid w:val="00922511"/>
    <w:rsid w:val="0092251E"/>
    <w:rsid w:val="009225B1"/>
    <w:rsid w:val="009225EE"/>
    <w:rsid w:val="00922639"/>
    <w:rsid w:val="009226DB"/>
    <w:rsid w:val="00922729"/>
    <w:rsid w:val="00922772"/>
    <w:rsid w:val="009227A0"/>
    <w:rsid w:val="009227C2"/>
    <w:rsid w:val="009227D4"/>
    <w:rsid w:val="009227FE"/>
    <w:rsid w:val="00922811"/>
    <w:rsid w:val="00922819"/>
    <w:rsid w:val="009228DA"/>
    <w:rsid w:val="00922A91"/>
    <w:rsid w:val="00922B19"/>
    <w:rsid w:val="00922BF4"/>
    <w:rsid w:val="00922C31"/>
    <w:rsid w:val="00922C5E"/>
    <w:rsid w:val="00922CC0"/>
    <w:rsid w:val="00922E0C"/>
    <w:rsid w:val="00922F07"/>
    <w:rsid w:val="00922F8C"/>
    <w:rsid w:val="00922FEC"/>
    <w:rsid w:val="00923136"/>
    <w:rsid w:val="0092315F"/>
    <w:rsid w:val="00923181"/>
    <w:rsid w:val="0092320F"/>
    <w:rsid w:val="00923245"/>
    <w:rsid w:val="0092324E"/>
    <w:rsid w:val="0092330F"/>
    <w:rsid w:val="00923345"/>
    <w:rsid w:val="0092334A"/>
    <w:rsid w:val="00923360"/>
    <w:rsid w:val="0092341B"/>
    <w:rsid w:val="0092343C"/>
    <w:rsid w:val="00923463"/>
    <w:rsid w:val="00923466"/>
    <w:rsid w:val="009234ED"/>
    <w:rsid w:val="00923504"/>
    <w:rsid w:val="00923558"/>
    <w:rsid w:val="009235BD"/>
    <w:rsid w:val="009235E6"/>
    <w:rsid w:val="0092373A"/>
    <w:rsid w:val="00923761"/>
    <w:rsid w:val="0092376C"/>
    <w:rsid w:val="009237FA"/>
    <w:rsid w:val="00923998"/>
    <w:rsid w:val="00923A53"/>
    <w:rsid w:val="00923D83"/>
    <w:rsid w:val="00923DA4"/>
    <w:rsid w:val="00923E03"/>
    <w:rsid w:val="00923EB3"/>
    <w:rsid w:val="00923F0F"/>
    <w:rsid w:val="00923F32"/>
    <w:rsid w:val="00923FAE"/>
    <w:rsid w:val="00924050"/>
    <w:rsid w:val="0092416A"/>
    <w:rsid w:val="00924252"/>
    <w:rsid w:val="0092425A"/>
    <w:rsid w:val="009242D8"/>
    <w:rsid w:val="00924301"/>
    <w:rsid w:val="00924386"/>
    <w:rsid w:val="00924463"/>
    <w:rsid w:val="0092447A"/>
    <w:rsid w:val="00924488"/>
    <w:rsid w:val="009245B1"/>
    <w:rsid w:val="00924632"/>
    <w:rsid w:val="009246E0"/>
    <w:rsid w:val="009248B0"/>
    <w:rsid w:val="00924AA2"/>
    <w:rsid w:val="00924B63"/>
    <w:rsid w:val="00924BD3"/>
    <w:rsid w:val="00924CB4"/>
    <w:rsid w:val="00924D0B"/>
    <w:rsid w:val="00924D1E"/>
    <w:rsid w:val="00924E11"/>
    <w:rsid w:val="00924E1E"/>
    <w:rsid w:val="00924E7C"/>
    <w:rsid w:val="00924EAB"/>
    <w:rsid w:val="00924FAC"/>
    <w:rsid w:val="00925022"/>
    <w:rsid w:val="0092502D"/>
    <w:rsid w:val="0092504A"/>
    <w:rsid w:val="0092504F"/>
    <w:rsid w:val="00925108"/>
    <w:rsid w:val="00925132"/>
    <w:rsid w:val="0092514A"/>
    <w:rsid w:val="009251C2"/>
    <w:rsid w:val="00925238"/>
    <w:rsid w:val="009252B7"/>
    <w:rsid w:val="0092536C"/>
    <w:rsid w:val="009253A1"/>
    <w:rsid w:val="009253F6"/>
    <w:rsid w:val="00925478"/>
    <w:rsid w:val="009256B6"/>
    <w:rsid w:val="00925799"/>
    <w:rsid w:val="00925818"/>
    <w:rsid w:val="00925829"/>
    <w:rsid w:val="009258AC"/>
    <w:rsid w:val="0092596E"/>
    <w:rsid w:val="00925AC2"/>
    <w:rsid w:val="00925ACF"/>
    <w:rsid w:val="00925B0F"/>
    <w:rsid w:val="00925B50"/>
    <w:rsid w:val="00925B98"/>
    <w:rsid w:val="00925C4F"/>
    <w:rsid w:val="00925CBE"/>
    <w:rsid w:val="00925D6A"/>
    <w:rsid w:val="00925E23"/>
    <w:rsid w:val="00925E4F"/>
    <w:rsid w:val="00925ED7"/>
    <w:rsid w:val="00925FE4"/>
    <w:rsid w:val="00926135"/>
    <w:rsid w:val="00926147"/>
    <w:rsid w:val="0092615D"/>
    <w:rsid w:val="009261D9"/>
    <w:rsid w:val="00926276"/>
    <w:rsid w:val="00926386"/>
    <w:rsid w:val="0092644C"/>
    <w:rsid w:val="00926509"/>
    <w:rsid w:val="00926546"/>
    <w:rsid w:val="009265A1"/>
    <w:rsid w:val="009265D8"/>
    <w:rsid w:val="009266BE"/>
    <w:rsid w:val="009266C7"/>
    <w:rsid w:val="009267C3"/>
    <w:rsid w:val="00926801"/>
    <w:rsid w:val="0092680B"/>
    <w:rsid w:val="00926871"/>
    <w:rsid w:val="00926998"/>
    <w:rsid w:val="00926AC5"/>
    <w:rsid w:val="00926F13"/>
    <w:rsid w:val="00926F87"/>
    <w:rsid w:val="00926FC0"/>
    <w:rsid w:val="00926FCB"/>
    <w:rsid w:val="00927030"/>
    <w:rsid w:val="00927040"/>
    <w:rsid w:val="0092706C"/>
    <w:rsid w:val="0092708A"/>
    <w:rsid w:val="0092719C"/>
    <w:rsid w:val="009272C0"/>
    <w:rsid w:val="009272DB"/>
    <w:rsid w:val="009273F4"/>
    <w:rsid w:val="00927527"/>
    <w:rsid w:val="00927688"/>
    <w:rsid w:val="00927700"/>
    <w:rsid w:val="00927755"/>
    <w:rsid w:val="009277F8"/>
    <w:rsid w:val="00927833"/>
    <w:rsid w:val="009278FB"/>
    <w:rsid w:val="009278FD"/>
    <w:rsid w:val="00927AD3"/>
    <w:rsid w:val="00927BFD"/>
    <w:rsid w:val="00927C96"/>
    <w:rsid w:val="00927D36"/>
    <w:rsid w:val="00927D48"/>
    <w:rsid w:val="00927FDB"/>
    <w:rsid w:val="00927FFD"/>
    <w:rsid w:val="0092FC9B"/>
    <w:rsid w:val="009300CD"/>
    <w:rsid w:val="00930232"/>
    <w:rsid w:val="00930308"/>
    <w:rsid w:val="0093036E"/>
    <w:rsid w:val="009303B3"/>
    <w:rsid w:val="009303C2"/>
    <w:rsid w:val="00930435"/>
    <w:rsid w:val="0093053B"/>
    <w:rsid w:val="009305D6"/>
    <w:rsid w:val="009305EF"/>
    <w:rsid w:val="009306B3"/>
    <w:rsid w:val="00930713"/>
    <w:rsid w:val="00930734"/>
    <w:rsid w:val="00930759"/>
    <w:rsid w:val="00930788"/>
    <w:rsid w:val="009308A8"/>
    <w:rsid w:val="009308C3"/>
    <w:rsid w:val="0093096E"/>
    <w:rsid w:val="009309C1"/>
    <w:rsid w:val="00930A6A"/>
    <w:rsid w:val="00930A8A"/>
    <w:rsid w:val="00930AC3"/>
    <w:rsid w:val="00930B1C"/>
    <w:rsid w:val="00930C63"/>
    <w:rsid w:val="00930D69"/>
    <w:rsid w:val="00930DD1"/>
    <w:rsid w:val="00930E92"/>
    <w:rsid w:val="00930EE1"/>
    <w:rsid w:val="00930FBE"/>
    <w:rsid w:val="00930FE5"/>
    <w:rsid w:val="00930FF9"/>
    <w:rsid w:val="0093109C"/>
    <w:rsid w:val="00931104"/>
    <w:rsid w:val="00931224"/>
    <w:rsid w:val="00931225"/>
    <w:rsid w:val="00931283"/>
    <w:rsid w:val="009312F9"/>
    <w:rsid w:val="009313AE"/>
    <w:rsid w:val="009313B1"/>
    <w:rsid w:val="009313B4"/>
    <w:rsid w:val="00931453"/>
    <w:rsid w:val="00931468"/>
    <w:rsid w:val="009314BF"/>
    <w:rsid w:val="00931622"/>
    <w:rsid w:val="00931659"/>
    <w:rsid w:val="0093167D"/>
    <w:rsid w:val="00931726"/>
    <w:rsid w:val="0093175F"/>
    <w:rsid w:val="009318BF"/>
    <w:rsid w:val="009319B7"/>
    <w:rsid w:val="00931A57"/>
    <w:rsid w:val="00931B58"/>
    <w:rsid w:val="00931C55"/>
    <w:rsid w:val="00931C8F"/>
    <w:rsid w:val="00931D0E"/>
    <w:rsid w:val="00931E5F"/>
    <w:rsid w:val="00931EAB"/>
    <w:rsid w:val="00931EF7"/>
    <w:rsid w:val="00931F46"/>
    <w:rsid w:val="00931F52"/>
    <w:rsid w:val="009320DC"/>
    <w:rsid w:val="00932125"/>
    <w:rsid w:val="009322E0"/>
    <w:rsid w:val="009322F2"/>
    <w:rsid w:val="00932534"/>
    <w:rsid w:val="0093254F"/>
    <w:rsid w:val="00932552"/>
    <w:rsid w:val="009325A9"/>
    <w:rsid w:val="009325C6"/>
    <w:rsid w:val="00932654"/>
    <w:rsid w:val="009326DD"/>
    <w:rsid w:val="009326EF"/>
    <w:rsid w:val="00932877"/>
    <w:rsid w:val="009328D6"/>
    <w:rsid w:val="009329A7"/>
    <w:rsid w:val="00932A66"/>
    <w:rsid w:val="00932A6B"/>
    <w:rsid w:val="00932AE5"/>
    <w:rsid w:val="00932AF1"/>
    <w:rsid w:val="00932B69"/>
    <w:rsid w:val="00932B7A"/>
    <w:rsid w:val="00932CC4"/>
    <w:rsid w:val="00932D48"/>
    <w:rsid w:val="00932E58"/>
    <w:rsid w:val="00932EA3"/>
    <w:rsid w:val="00932ECD"/>
    <w:rsid w:val="00932EE6"/>
    <w:rsid w:val="00932F6F"/>
    <w:rsid w:val="00932F86"/>
    <w:rsid w:val="00932F92"/>
    <w:rsid w:val="00933087"/>
    <w:rsid w:val="009330FE"/>
    <w:rsid w:val="00933275"/>
    <w:rsid w:val="00933329"/>
    <w:rsid w:val="0093333A"/>
    <w:rsid w:val="009333D3"/>
    <w:rsid w:val="009333FF"/>
    <w:rsid w:val="00933423"/>
    <w:rsid w:val="00933449"/>
    <w:rsid w:val="009336F4"/>
    <w:rsid w:val="0093388D"/>
    <w:rsid w:val="009338DE"/>
    <w:rsid w:val="009338F3"/>
    <w:rsid w:val="00933900"/>
    <w:rsid w:val="0093399B"/>
    <w:rsid w:val="009339B6"/>
    <w:rsid w:val="009339BD"/>
    <w:rsid w:val="009339C1"/>
    <w:rsid w:val="009339CB"/>
    <w:rsid w:val="00933A79"/>
    <w:rsid w:val="00933A90"/>
    <w:rsid w:val="00933B4C"/>
    <w:rsid w:val="00933B85"/>
    <w:rsid w:val="00933B92"/>
    <w:rsid w:val="00933C86"/>
    <w:rsid w:val="00933CBF"/>
    <w:rsid w:val="00933D3C"/>
    <w:rsid w:val="00933DC4"/>
    <w:rsid w:val="00933FFB"/>
    <w:rsid w:val="009340E4"/>
    <w:rsid w:val="009340FE"/>
    <w:rsid w:val="009341B0"/>
    <w:rsid w:val="00934242"/>
    <w:rsid w:val="0093431B"/>
    <w:rsid w:val="00934335"/>
    <w:rsid w:val="00934434"/>
    <w:rsid w:val="00934473"/>
    <w:rsid w:val="00934646"/>
    <w:rsid w:val="00934659"/>
    <w:rsid w:val="009346D6"/>
    <w:rsid w:val="009346DC"/>
    <w:rsid w:val="00934743"/>
    <w:rsid w:val="009347B0"/>
    <w:rsid w:val="009347C8"/>
    <w:rsid w:val="0093487E"/>
    <w:rsid w:val="009348C4"/>
    <w:rsid w:val="009348CA"/>
    <w:rsid w:val="0093497D"/>
    <w:rsid w:val="00934985"/>
    <w:rsid w:val="00934AF9"/>
    <w:rsid w:val="00934B18"/>
    <w:rsid w:val="00934B86"/>
    <w:rsid w:val="00934BB6"/>
    <w:rsid w:val="00934D07"/>
    <w:rsid w:val="00934D26"/>
    <w:rsid w:val="00934E29"/>
    <w:rsid w:val="00934FFE"/>
    <w:rsid w:val="0093500D"/>
    <w:rsid w:val="00935054"/>
    <w:rsid w:val="0093509F"/>
    <w:rsid w:val="00935188"/>
    <w:rsid w:val="009351A6"/>
    <w:rsid w:val="009351C0"/>
    <w:rsid w:val="009351D7"/>
    <w:rsid w:val="00935208"/>
    <w:rsid w:val="0093533C"/>
    <w:rsid w:val="00935352"/>
    <w:rsid w:val="0093538B"/>
    <w:rsid w:val="009353CA"/>
    <w:rsid w:val="009353D8"/>
    <w:rsid w:val="00935407"/>
    <w:rsid w:val="009354D5"/>
    <w:rsid w:val="009355C6"/>
    <w:rsid w:val="00935630"/>
    <w:rsid w:val="009356E8"/>
    <w:rsid w:val="00935762"/>
    <w:rsid w:val="009357AD"/>
    <w:rsid w:val="009357CF"/>
    <w:rsid w:val="00935856"/>
    <w:rsid w:val="0093589F"/>
    <w:rsid w:val="009359CB"/>
    <w:rsid w:val="00935A6B"/>
    <w:rsid w:val="00935B01"/>
    <w:rsid w:val="00935BCC"/>
    <w:rsid w:val="00935DE5"/>
    <w:rsid w:val="00935E25"/>
    <w:rsid w:val="00935E44"/>
    <w:rsid w:val="00935EFA"/>
    <w:rsid w:val="00935FB5"/>
    <w:rsid w:val="009361A0"/>
    <w:rsid w:val="009361AD"/>
    <w:rsid w:val="00936239"/>
    <w:rsid w:val="009362DD"/>
    <w:rsid w:val="00936308"/>
    <w:rsid w:val="0093630B"/>
    <w:rsid w:val="00936405"/>
    <w:rsid w:val="00936426"/>
    <w:rsid w:val="0093646E"/>
    <w:rsid w:val="009364B4"/>
    <w:rsid w:val="0093655E"/>
    <w:rsid w:val="009365B7"/>
    <w:rsid w:val="009366D2"/>
    <w:rsid w:val="00936796"/>
    <w:rsid w:val="009367D4"/>
    <w:rsid w:val="009368A4"/>
    <w:rsid w:val="009368A8"/>
    <w:rsid w:val="009368F4"/>
    <w:rsid w:val="00936959"/>
    <w:rsid w:val="009369F6"/>
    <w:rsid w:val="00936A9A"/>
    <w:rsid w:val="00936B64"/>
    <w:rsid w:val="00936B7D"/>
    <w:rsid w:val="00936BD2"/>
    <w:rsid w:val="00936C4F"/>
    <w:rsid w:val="00936D58"/>
    <w:rsid w:val="00936D5F"/>
    <w:rsid w:val="00936DCC"/>
    <w:rsid w:val="00936DD0"/>
    <w:rsid w:val="00936F88"/>
    <w:rsid w:val="00936FBD"/>
    <w:rsid w:val="0093700B"/>
    <w:rsid w:val="009370C0"/>
    <w:rsid w:val="0093711A"/>
    <w:rsid w:val="00937164"/>
    <w:rsid w:val="0093720A"/>
    <w:rsid w:val="0093725D"/>
    <w:rsid w:val="00937317"/>
    <w:rsid w:val="00937335"/>
    <w:rsid w:val="009373EB"/>
    <w:rsid w:val="009374FB"/>
    <w:rsid w:val="009375AB"/>
    <w:rsid w:val="00937606"/>
    <w:rsid w:val="0093760E"/>
    <w:rsid w:val="00937678"/>
    <w:rsid w:val="00937681"/>
    <w:rsid w:val="0093768F"/>
    <w:rsid w:val="009376BB"/>
    <w:rsid w:val="009376E5"/>
    <w:rsid w:val="00937782"/>
    <w:rsid w:val="009377BD"/>
    <w:rsid w:val="009378C6"/>
    <w:rsid w:val="009378E3"/>
    <w:rsid w:val="009378FF"/>
    <w:rsid w:val="009379C0"/>
    <w:rsid w:val="009379C4"/>
    <w:rsid w:val="00937A42"/>
    <w:rsid w:val="00937BD2"/>
    <w:rsid w:val="00937C4C"/>
    <w:rsid w:val="00937C6A"/>
    <w:rsid w:val="00937C92"/>
    <w:rsid w:val="00937CD8"/>
    <w:rsid w:val="00937D86"/>
    <w:rsid w:val="00937ED3"/>
    <w:rsid w:val="00937F08"/>
    <w:rsid w:val="00937F10"/>
    <w:rsid w:val="00937F64"/>
    <w:rsid w:val="00937FC5"/>
    <w:rsid w:val="0094005B"/>
    <w:rsid w:val="00940171"/>
    <w:rsid w:val="00940281"/>
    <w:rsid w:val="009402F6"/>
    <w:rsid w:val="0094037B"/>
    <w:rsid w:val="0094041A"/>
    <w:rsid w:val="00940464"/>
    <w:rsid w:val="00940480"/>
    <w:rsid w:val="00940552"/>
    <w:rsid w:val="009405A4"/>
    <w:rsid w:val="0094062A"/>
    <w:rsid w:val="009406AC"/>
    <w:rsid w:val="009406F8"/>
    <w:rsid w:val="00940A10"/>
    <w:rsid w:val="00940A20"/>
    <w:rsid w:val="00940AAE"/>
    <w:rsid w:val="00940B24"/>
    <w:rsid w:val="00940C0D"/>
    <w:rsid w:val="00940C75"/>
    <w:rsid w:val="00940D32"/>
    <w:rsid w:val="00940DF7"/>
    <w:rsid w:val="00940E8D"/>
    <w:rsid w:val="00940ED3"/>
    <w:rsid w:val="00940ED6"/>
    <w:rsid w:val="00940F45"/>
    <w:rsid w:val="00940F74"/>
    <w:rsid w:val="00940FA1"/>
    <w:rsid w:val="00941087"/>
    <w:rsid w:val="00941191"/>
    <w:rsid w:val="009411BC"/>
    <w:rsid w:val="00941207"/>
    <w:rsid w:val="00941237"/>
    <w:rsid w:val="0094127C"/>
    <w:rsid w:val="009412B0"/>
    <w:rsid w:val="009412E8"/>
    <w:rsid w:val="009413C9"/>
    <w:rsid w:val="009413D0"/>
    <w:rsid w:val="009413DD"/>
    <w:rsid w:val="0094158F"/>
    <w:rsid w:val="009415B8"/>
    <w:rsid w:val="0094165C"/>
    <w:rsid w:val="0094178B"/>
    <w:rsid w:val="00941894"/>
    <w:rsid w:val="0094190D"/>
    <w:rsid w:val="0094191C"/>
    <w:rsid w:val="00941A36"/>
    <w:rsid w:val="00941AAC"/>
    <w:rsid w:val="00941AD1"/>
    <w:rsid w:val="00941C59"/>
    <w:rsid w:val="00941C5B"/>
    <w:rsid w:val="00941C7F"/>
    <w:rsid w:val="00941DFF"/>
    <w:rsid w:val="00941E83"/>
    <w:rsid w:val="00941F31"/>
    <w:rsid w:val="00941FBE"/>
    <w:rsid w:val="0094201C"/>
    <w:rsid w:val="00942265"/>
    <w:rsid w:val="009422EE"/>
    <w:rsid w:val="00942354"/>
    <w:rsid w:val="0094235D"/>
    <w:rsid w:val="009423F1"/>
    <w:rsid w:val="009425F0"/>
    <w:rsid w:val="009425FE"/>
    <w:rsid w:val="0094260D"/>
    <w:rsid w:val="00942681"/>
    <w:rsid w:val="00942683"/>
    <w:rsid w:val="00942781"/>
    <w:rsid w:val="009427D7"/>
    <w:rsid w:val="009427DF"/>
    <w:rsid w:val="009429BA"/>
    <w:rsid w:val="009429F3"/>
    <w:rsid w:val="00942A42"/>
    <w:rsid w:val="00942AED"/>
    <w:rsid w:val="00942B11"/>
    <w:rsid w:val="00942B95"/>
    <w:rsid w:val="00942C9E"/>
    <w:rsid w:val="00942F1E"/>
    <w:rsid w:val="00942F7D"/>
    <w:rsid w:val="0094301F"/>
    <w:rsid w:val="00943336"/>
    <w:rsid w:val="0094336D"/>
    <w:rsid w:val="009433B7"/>
    <w:rsid w:val="009433C5"/>
    <w:rsid w:val="00943450"/>
    <w:rsid w:val="0094345C"/>
    <w:rsid w:val="0094353F"/>
    <w:rsid w:val="00943548"/>
    <w:rsid w:val="0094355A"/>
    <w:rsid w:val="00943582"/>
    <w:rsid w:val="0094362D"/>
    <w:rsid w:val="0094363D"/>
    <w:rsid w:val="00943656"/>
    <w:rsid w:val="00943704"/>
    <w:rsid w:val="00943772"/>
    <w:rsid w:val="00943A32"/>
    <w:rsid w:val="00943A7E"/>
    <w:rsid w:val="00943AA3"/>
    <w:rsid w:val="00943AFA"/>
    <w:rsid w:val="00943B9D"/>
    <w:rsid w:val="00943CBE"/>
    <w:rsid w:val="00943D6B"/>
    <w:rsid w:val="00943DED"/>
    <w:rsid w:val="00943E04"/>
    <w:rsid w:val="00943E42"/>
    <w:rsid w:val="00943E5D"/>
    <w:rsid w:val="00943E66"/>
    <w:rsid w:val="00943E7F"/>
    <w:rsid w:val="00943E88"/>
    <w:rsid w:val="00943E9E"/>
    <w:rsid w:val="00943ED1"/>
    <w:rsid w:val="0094405F"/>
    <w:rsid w:val="0094406E"/>
    <w:rsid w:val="009440D4"/>
    <w:rsid w:val="009440FA"/>
    <w:rsid w:val="00944204"/>
    <w:rsid w:val="00944269"/>
    <w:rsid w:val="009442DF"/>
    <w:rsid w:val="00944331"/>
    <w:rsid w:val="00944415"/>
    <w:rsid w:val="0094441C"/>
    <w:rsid w:val="00944596"/>
    <w:rsid w:val="009445B9"/>
    <w:rsid w:val="009445D3"/>
    <w:rsid w:val="009445D9"/>
    <w:rsid w:val="00944638"/>
    <w:rsid w:val="00944680"/>
    <w:rsid w:val="00944728"/>
    <w:rsid w:val="009449B4"/>
    <w:rsid w:val="00944AE1"/>
    <w:rsid w:val="00944AF3"/>
    <w:rsid w:val="00944B93"/>
    <w:rsid w:val="00944CDB"/>
    <w:rsid w:val="00944D11"/>
    <w:rsid w:val="00944DD0"/>
    <w:rsid w:val="00944DF5"/>
    <w:rsid w:val="00944E4D"/>
    <w:rsid w:val="00944E91"/>
    <w:rsid w:val="00944F7F"/>
    <w:rsid w:val="00944FA3"/>
    <w:rsid w:val="00945124"/>
    <w:rsid w:val="0094513E"/>
    <w:rsid w:val="0094515F"/>
    <w:rsid w:val="0094517F"/>
    <w:rsid w:val="00945221"/>
    <w:rsid w:val="00945288"/>
    <w:rsid w:val="00945302"/>
    <w:rsid w:val="009453A2"/>
    <w:rsid w:val="009453E8"/>
    <w:rsid w:val="0094545F"/>
    <w:rsid w:val="009455DD"/>
    <w:rsid w:val="00945664"/>
    <w:rsid w:val="009456BE"/>
    <w:rsid w:val="009456E3"/>
    <w:rsid w:val="00945835"/>
    <w:rsid w:val="00945851"/>
    <w:rsid w:val="00945AD1"/>
    <w:rsid w:val="00945AF5"/>
    <w:rsid w:val="00945B16"/>
    <w:rsid w:val="00945B80"/>
    <w:rsid w:val="00945C6E"/>
    <w:rsid w:val="00945DED"/>
    <w:rsid w:val="00945F05"/>
    <w:rsid w:val="00945F1B"/>
    <w:rsid w:val="0094602A"/>
    <w:rsid w:val="0094604B"/>
    <w:rsid w:val="00946071"/>
    <w:rsid w:val="0094608F"/>
    <w:rsid w:val="0094612E"/>
    <w:rsid w:val="0094625A"/>
    <w:rsid w:val="009462F2"/>
    <w:rsid w:val="009463A8"/>
    <w:rsid w:val="00946401"/>
    <w:rsid w:val="0094642A"/>
    <w:rsid w:val="0094657E"/>
    <w:rsid w:val="009466AD"/>
    <w:rsid w:val="0094670A"/>
    <w:rsid w:val="00946741"/>
    <w:rsid w:val="0094675D"/>
    <w:rsid w:val="0094675E"/>
    <w:rsid w:val="00946A69"/>
    <w:rsid w:val="00946B51"/>
    <w:rsid w:val="00946D19"/>
    <w:rsid w:val="00946E0C"/>
    <w:rsid w:val="00946E7C"/>
    <w:rsid w:val="00946EAE"/>
    <w:rsid w:val="00946ECB"/>
    <w:rsid w:val="00946FDF"/>
    <w:rsid w:val="00947085"/>
    <w:rsid w:val="00947134"/>
    <w:rsid w:val="009471B2"/>
    <w:rsid w:val="009471F7"/>
    <w:rsid w:val="00947258"/>
    <w:rsid w:val="00947268"/>
    <w:rsid w:val="009472C2"/>
    <w:rsid w:val="009474CC"/>
    <w:rsid w:val="0094750E"/>
    <w:rsid w:val="00947562"/>
    <w:rsid w:val="0094758C"/>
    <w:rsid w:val="009475FE"/>
    <w:rsid w:val="00947697"/>
    <w:rsid w:val="009476C5"/>
    <w:rsid w:val="009476CE"/>
    <w:rsid w:val="0094782F"/>
    <w:rsid w:val="0094783C"/>
    <w:rsid w:val="0094786A"/>
    <w:rsid w:val="009478C9"/>
    <w:rsid w:val="0094796F"/>
    <w:rsid w:val="00947AF4"/>
    <w:rsid w:val="00947B7E"/>
    <w:rsid w:val="00947C94"/>
    <w:rsid w:val="00947C9C"/>
    <w:rsid w:val="00947CAD"/>
    <w:rsid w:val="00947DBC"/>
    <w:rsid w:val="00947DF0"/>
    <w:rsid w:val="00947E91"/>
    <w:rsid w:val="00947ED3"/>
    <w:rsid w:val="00950051"/>
    <w:rsid w:val="009500F2"/>
    <w:rsid w:val="00950199"/>
    <w:rsid w:val="00950216"/>
    <w:rsid w:val="00950320"/>
    <w:rsid w:val="009503A6"/>
    <w:rsid w:val="0095050F"/>
    <w:rsid w:val="00950665"/>
    <w:rsid w:val="0095068E"/>
    <w:rsid w:val="009506B7"/>
    <w:rsid w:val="009506D7"/>
    <w:rsid w:val="00950767"/>
    <w:rsid w:val="009507C8"/>
    <w:rsid w:val="009507E0"/>
    <w:rsid w:val="0095084E"/>
    <w:rsid w:val="00950866"/>
    <w:rsid w:val="00950890"/>
    <w:rsid w:val="009509AE"/>
    <w:rsid w:val="009509B4"/>
    <w:rsid w:val="00950A9F"/>
    <w:rsid w:val="00950AC2"/>
    <w:rsid w:val="00950B1D"/>
    <w:rsid w:val="00950B41"/>
    <w:rsid w:val="00950BD6"/>
    <w:rsid w:val="00950C7A"/>
    <w:rsid w:val="00950CE7"/>
    <w:rsid w:val="00950DEF"/>
    <w:rsid w:val="00950E15"/>
    <w:rsid w:val="00950EC4"/>
    <w:rsid w:val="00950ECF"/>
    <w:rsid w:val="00950F3E"/>
    <w:rsid w:val="00950F51"/>
    <w:rsid w:val="00950F88"/>
    <w:rsid w:val="00950FB1"/>
    <w:rsid w:val="00951019"/>
    <w:rsid w:val="009510DE"/>
    <w:rsid w:val="00951139"/>
    <w:rsid w:val="00951152"/>
    <w:rsid w:val="0095115E"/>
    <w:rsid w:val="0095118A"/>
    <w:rsid w:val="00951355"/>
    <w:rsid w:val="00951379"/>
    <w:rsid w:val="009513BD"/>
    <w:rsid w:val="00951484"/>
    <w:rsid w:val="009514D8"/>
    <w:rsid w:val="009514DC"/>
    <w:rsid w:val="009516A4"/>
    <w:rsid w:val="009516C7"/>
    <w:rsid w:val="0095176A"/>
    <w:rsid w:val="009517DE"/>
    <w:rsid w:val="009517F6"/>
    <w:rsid w:val="0095180E"/>
    <w:rsid w:val="009519F7"/>
    <w:rsid w:val="00951AA7"/>
    <w:rsid w:val="00951B54"/>
    <w:rsid w:val="00951C49"/>
    <w:rsid w:val="00951C5F"/>
    <w:rsid w:val="00951CC7"/>
    <w:rsid w:val="00951D9C"/>
    <w:rsid w:val="009520EA"/>
    <w:rsid w:val="00952245"/>
    <w:rsid w:val="0095228C"/>
    <w:rsid w:val="009522C1"/>
    <w:rsid w:val="009522E5"/>
    <w:rsid w:val="0095235E"/>
    <w:rsid w:val="00952423"/>
    <w:rsid w:val="00952468"/>
    <w:rsid w:val="009525D3"/>
    <w:rsid w:val="00952643"/>
    <w:rsid w:val="00952771"/>
    <w:rsid w:val="0095290C"/>
    <w:rsid w:val="009529BF"/>
    <w:rsid w:val="00952A17"/>
    <w:rsid w:val="00952AA8"/>
    <w:rsid w:val="00952ABC"/>
    <w:rsid w:val="00952AF1"/>
    <w:rsid w:val="00952AFE"/>
    <w:rsid w:val="00952B11"/>
    <w:rsid w:val="00952B25"/>
    <w:rsid w:val="00952CBF"/>
    <w:rsid w:val="00952CED"/>
    <w:rsid w:val="00952D3F"/>
    <w:rsid w:val="00952E0A"/>
    <w:rsid w:val="00952E31"/>
    <w:rsid w:val="00952E5C"/>
    <w:rsid w:val="00952E6B"/>
    <w:rsid w:val="00952E84"/>
    <w:rsid w:val="00952F7B"/>
    <w:rsid w:val="00952FDE"/>
    <w:rsid w:val="00953069"/>
    <w:rsid w:val="00953092"/>
    <w:rsid w:val="009530EA"/>
    <w:rsid w:val="009531D4"/>
    <w:rsid w:val="009531E3"/>
    <w:rsid w:val="0095324D"/>
    <w:rsid w:val="00953286"/>
    <w:rsid w:val="00953292"/>
    <w:rsid w:val="00953296"/>
    <w:rsid w:val="0095331E"/>
    <w:rsid w:val="00953342"/>
    <w:rsid w:val="009534B6"/>
    <w:rsid w:val="009534E6"/>
    <w:rsid w:val="00953577"/>
    <w:rsid w:val="009535D7"/>
    <w:rsid w:val="009535DD"/>
    <w:rsid w:val="00953826"/>
    <w:rsid w:val="00953833"/>
    <w:rsid w:val="009538EA"/>
    <w:rsid w:val="009539D5"/>
    <w:rsid w:val="00953A52"/>
    <w:rsid w:val="00953A96"/>
    <w:rsid w:val="00953B12"/>
    <w:rsid w:val="00953B82"/>
    <w:rsid w:val="00953C4A"/>
    <w:rsid w:val="00953CA5"/>
    <w:rsid w:val="00953CEA"/>
    <w:rsid w:val="00953D5A"/>
    <w:rsid w:val="00953E4B"/>
    <w:rsid w:val="00954082"/>
    <w:rsid w:val="00954286"/>
    <w:rsid w:val="009542B3"/>
    <w:rsid w:val="009542C9"/>
    <w:rsid w:val="00954343"/>
    <w:rsid w:val="00954358"/>
    <w:rsid w:val="00954443"/>
    <w:rsid w:val="0095450E"/>
    <w:rsid w:val="00954536"/>
    <w:rsid w:val="00954543"/>
    <w:rsid w:val="009545B3"/>
    <w:rsid w:val="009545DE"/>
    <w:rsid w:val="009546B3"/>
    <w:rsid w:val="0095470A"/>
    <w:rsid w:val="00954767"/>
    <w:rsid w:val="00954855"/>
    <w:rsid w:val="00954867"/>
    <w:rsid w:val="0095487A"/>
    <w:rsid w:val="0095489C"/>
    <w:rsid w:val="009548FB"/>
    <w:rsid w:val="0095491C"/>
    <w:rsid w:val="009549C9"/>
    <w:rsid w:val="00954A19"/>
    <w:rsid w:val="00954AAD"/>
    <w:rsid w:val="00954B1C"/>
    <w:rsid w:val="00954BBA"/>
    <w:rsid w:val="00954C77"/>
    <w:rsid w:val="00954CA6"/>
    <w:rsid w:val="00954CE6"/>
    <w:rsid w:val="00954D09"/>
    <w:rsid w:val="00954DD4"/>
    <w:rsid w:val="00954EB2"/>
    <w:rsid w:val="00954F7B"/>
    <w:rsid w:val="0095517D"/>
    <w:rsid w:val="009551A0"/>
    <w:rsid w:val="00955210"/>
    <w:rsid w:val="00955232"/>
    <w:rsid w:val="0095523D"/>
    <w:rsid w:val="0095538B"/>
    <w:rsid w:val="00955420"/>
    <w:rsid w:val="009554D1"/>
    <w:rsid w:val="00955562"/>
    <w:rsid w:val="00955622"/>
    <w:rsid w:val="0095565C"/>
    <w:rsid w:val="009556C4"/>
    <w:rsid w:val="009556EA"/>
    <w:rsid w:val="00955719"/>
    <w:rsid w:val="0095578A"/>
    <w:rsid w:val="00955837"/>
    <w:rsid w:val="009558C6"/>
    <w:rsid w:val="0095598C"/>
    <w:rsid w:val="00955A02"/>
    <w:rsid w:val="00955B8E"/>
    <w:rsid w:val="00955CBA"/>
    <w:rsid w:val="00955CEA"/>
    <w:rsid w:val="00955E19"/>
    <w:rsid w:val="00955F16"/>
    <w:rsid w:val="00956033"/>
    <w:rsid w:val="00956065"/>
    <w:rsid w:val="009560A6"/>
    <w:rsid w:val="009561B3"/>
    <w:rsid w:val="009561E0"/>
    <w:rsid w:val="009561FF"/>
    <w:rsid w:val="009563B4"/>
    <w:rsid w:val="009563C4"/>
    <w:rsid w:val="0095649A"/>
    <w:rsid w:val="009564CC"/>
    <w:rsid w:val="0095652A"/>
    <w:rsid w:val="00956576"/>
    <w:rsid w:val="009567BB"/>
    <w:rsid w:val="009567E5"/>
    <w:rsid w:val="009567FC"/>
    <w:rsid w:val="00956864"/>
    <w:rsid w:val="00956927"/>
    <w:rsid w:val="0095694A"/>
    <w:rsid w:val="009569B1"/>
    <w:rsid w:val="00956B9B"/>
    <w:rsid w:val="00956BB2"/>
    <w:rsid w:val="00956BBC"/>
    <w:rsid w:val="00956CBC"/>
    <w:rsid w:val="00956D14"/>
    <w:rsid w:val="00956E3F"/>
    <w:rsid w:val="00956F36"/>
    <w:rsid w:val="00956FC6"/>
    <w:rsid w:val="00957049"/>
    <w:rsid w:val="00957053"/>
    <w:rsid w:val="009570B5"/>
    <w:rsid w:val="009570D0"/>
    <w:rsid w:val="00957105"/>
    <w:rsid w:val="00957152"/>
    <w:rsid w:val="00957190"/>
    <w:rsid w:val="009571E8"/>
    <w:rsid w:val="009571F1"/>
    <w:rsid w:val="0095720A"/>
    <w:rsid w:val="00957272"/>
    <w:rsid w:val="0095729A"/>
    <w:rsid w:val="009572EF"/>
    <w:rsid w:val="00957336"/>
    <w:rsid w:val="00957339"/>
    <w:rsid w:val="00957436"/>
    <w:rsid w:val="00957556"/>
    <w:rsid w:val="0095765D"/>
    <w:rsid w:val="009576C0"/>
    <w:rsid w:val="009577DD"/>
    <w:rsid w:val="009578F0"/>
    <w:rsid w:val="009579BB"/>
    <w:rsid w:val="00957AEF"/>
    <w:rsid w:val="00957AF7"/>
    <w:rsid w:val="00957B12"/>
    <w:rsid w:val="00957B7E"/>
    <w:rsid w:val="00957CB7"/>
    <w:rsid w:val="00957CBB"/>
    <w:rsid w:val="00957D6E"/>
    <w:rsid w:val="00957E18"/>
    <w:rsid w:val="00957E24"/>
    <w:rsid w:val="00957E93"/>
    <w:rsid w:val="00957EBC"/>
    <w:rsid w:val="00957F50"/>
    <w:rsid w:val="00957F87"/>
    <w:rsid w:val="009600B0"/>
    <w:rsid w:val="009600E8"/>
    <w:rsid w:val="00960113"/>
    <w:rsid w:val="00960155"/>
    <w:rsid w:val="009604E5"/>
    <w:rsid w:val="009605CD"/>
    <w:rsid w:val="0096063C"/>
    <w:rsid w:val="00960672"/>
    <w:rsid w:val="00960698"/>
    <w:rsid w:val="0096073B"/>
    <w:rsid w:val="009607CA"/>
    <w:rsid w:val="0096090B"/>
    <w:rsid w:val="00960995"/>
    <w:rsid w:val="009609EB"/>
    <w:rsid w:val="00960AC0"/>
    <w:rsid w:val="00960ACA"/>
    <w:rsid w:val="00960ADC"/>
    <w:rsid w:val="00960C4F"/>
    <w:rsid w:val="00960CA2"/>
    <w:rsid w:val="00960CF6"/>
    <w:rsid w:val="00960D05"/>
    <w:rsid w:val="00960D9D"/>
    <w:rsid w:val="00960DAA"/>
    <w:rsid w:val="00960E13"/>
    <w:rsid w:val="00960ECD"/>
    <w:rsid w:val="00960F39"/>
    <w:rsid w:val="00960FB2"/>
    <w:rsid w:val="00960FB6"/>
    <w:rsid w:val="009610E8"/>
    <w:rsid w:val="00961107"/>
    <w:rsid w:val="00961113"/>
    <w:rsid w:val="0096121D"/>
    <w:rsid w:val="0096132B"/>
    <w:rsid w:val="00961335"/>
    <w:rsid w:val="00961368"/>
    <w:rsid w:val="00961377"/>
    <w:rsid w:val="00961475"/>
    <w:rsid w:val="009614A5"/>
    <w:rsid w:val="009614F0"/>
    <w:rsid w:val="009614F5"/>
    <w:rsid w:val="0096151E"/>
    <w:rsid w:val="009615C7"/>
    <w:rsid w:val="009615D5"/>
    <w:rsid w:val="009615FF"/>
    <w:rsid w:val="009616FF"/>
    <w:rsid w:val="00961764"/>
    <w:rsid w:val="009617C8"/>
    <w:rsid w:val="00961927"/>
    <w:rsid w:val="00961954"/>
    <w:rsid w:val="00961972"/>
    <w:rsid w:val="009619AC"/>
    <w:rsid w:val="00961A26"/>
    <w:rsid w:val="00961AA8"/>
    <w:rsid w:val="00961AB7"/>
    <w:rsid w:val="00961ABD"/>
    <w:rsid w:val="00961C3B"/>
    <w:rsid w:val="00961C48"/>
    <w:rsid w:val="00961CCF"/>
    <w:rsid w:val="00961E3E"/>
    <w:rsid w:val="00961E78"/>
    <w:rsid w:val="00961FC4"/>
    <w:rsid w:val="0096217C"/>
    <w:rsid w:val="009621D6"/>
    <w:rsid w:val="00962342"/>
    <w:rsid w:val="00962441"/>
    <w:rsid w:val="0096253B"/>
    <w:rsid w:val="00962587"/>
    <w:rsid w:val="0096262C"/>
    <w:rsid w:val="00962722"/>
    <w:rsid w:val="00962760"/>
    <w:rsid w:val="00962928"/>
    <w:rsid w:val="009629AA"/>
    <w:rsid w:val="00962A71"/>
    <w:rsid w:val="00962AD5"/>
    <w:rsid w:val="00962D00"/>
    <w:rsid w:val="00962D92"/>
    <w:rsid w:val="00962DD0"/>
    <w:rsid w:val="00963033"/>
    <w:rsid w:val="009630FD"/>
    <w:rsid w:val="00963139"/>
    <w:rsid w:val="0096315E"/>
    <w:rsid w:val="00963236"/>
    <w:rsid w:val="0096323A"/>
    <w:rsid w:val="00963277"/>
    <w:rsid w:val="0096333E"/>
    <w:rsid w:val="00963346"/>
    <w:rsid w:val="00963352"/>
    <w:rsid w:val="009633BF"/>
    <w:rsid w:val="009633CA"/>
    <w:rsid w:val="00963444"/>
    <w:rsid w:val="0096362B"/>
    <w:rsid w:val="00963792"/>
    <w:rsid w:val="009637A5"/>
    <w:rsid w:val="009637B3"/>
    <w:rsid w:val="00963854"/>
    <w:rsid w:val="009638D2"/>
    <w:rsid w:val="0096398C"/>
    <w:rsid w:val="009639CF"/>
    <w:rsid w:val="009639DE"/>
    <w:rsid w:val="009639F3"/>
    <w:rsid w:val="00963A23"/>
    <w:rsid w:val="00963B03"/>
    <w:rsid w:val="00963B68"/>
    <w:rsid w:val="00963BCC"/>
    <w:rsid w:val="00963BD4"/>
    <w:rsid w:val="00963CB3"/>
    <w:rsid w:val="00963D1E"/>
    <w:rsid w:val="00963D92"/>
    <w:rsid w:val="00963E22"/>
    <w:rsid w:val="00963EA4"/>
    <w:rsid w:val="00963F00"/>
    <w:rsid w:val="00963F1D"/>
    <w:rsid w:val="00963FC6"/>
    <w:rsid w:val="00963FF0"/>
    <w:rsid w:val="0096408F"/>
    <w:rsid w:val="009640B0"/>
    <w:rsid w:val="00964163"/>
    <w:rsid w:val="0096419A"/>
    <w:rsid w:val="0096420F"/>
    <w:rsid w:val="009642BC"/>
    <w:rsid w:val="009642CD"/>
    <w:rsid w:val="009643E6"/>
    <w:rsid w:val="00964460"/>
    <w:rsid w:val="0096449F"/>
    <w:rsid w:val="00964523"/>
    <w:rsid w:val="00964567"/>
    <w:rsid w:val="00964689"/>
    <w:rsid w:val="0096472F"/>
    <w:rsid w:val="00964747"/>
    <w:rsid w:val="00964771"/>
    <w:rsid w:val="00964799"/>
    <w:rsid w:val="009647B4"/>
    <w:rsid w:val="009647B6"/>
    <w:rsid w:val="0096490A"/>
    <w:rsid w:val="00964973"/>
    <w:rsid w:val="009649D1"/>
    <w:rsid w:val="00964B49"/>
    <w:rsid w:val="00964B53"/>
    <w:rsid w:val="00964B60"/>
    <w:rsid w:val="00964B64"/>
    <w:rsid w:val="00964B91"/>
    <w:rsid w:val="00964C3F"/>
    <w:rsid w:val="00964C63"/>
    <w:rsid w:val="00964C6C"/>
    <w:rsid w:val="00964CE1"/>
    <w:rsid w:val="00964D2C"/>
    <w:rsid w:val="00964DAF"/>
    <w:rsid w:val="00964DFD"/>
    <w:rsid w:val="00964E46"/>
    <w:rsid w:val="00964EE4"/>
    <w:rsid w:val="00964F69"/>
    <w:rsid w:val="0096503E"/>
    <w:rsid w:val="0096504F"/>
    <w:rsid w:val="009650E7"/>
    <w:rsid w:val="00965176"/>
    <w:rsid w:val="00965240"/>
    <w:rsid w:val="00965271"/>
    <w:rsid w:val="00965392"/>
    <w:rsid w:val="009653FA"/>
    <w:rsid w:val="0096545C"/>
    <w:rsid w:val="009654C9"/>
    <w:rsid w:val="00965627"/>
    <w:rsid w:val="009657F1"/>
    <w:rsid w:val="009657FF"/>
    <w:rsid w:val="00965847"/>
    <w:rsid w:val="0096587E"/>
    <w:rsid w:val="00965941"/>
    <w:rsid w:val="0096595A"/>
    <w:rsid w:val="0096599D"/>
    <w:rsid w:val="00965A3E"/>
    <w:rsid w:val="00965BE0"/>
    <w:rsid w:val="00965BE7"/>
    <w:rsid w:val="00965C46"/>
    <w:rsid w:val="00965C48"/>
    <w:rsid w:val="00965C7D"/>
    <w:rsid w:val="00965CF2"/>
    <w:rsid w:val="00965D92"/>
    <w:rsid w:val="00965DAC"/>
    <w:rsid w:val="00965E5D"/>
    <w:rsid w:val="00965F21"/>
    <w:rsid w:val="00965F74"/>
    <w:rsid w:val="00965F8B"/>
    <w:rsid w:val="00965FE2"/>
    <w:rsid w:val="0096600E"/>
    <w:rsid w:val="0096602E"/>
    <w:rsid w:val="009660FE"/>
    <w:rsid w:val="00966136"/>
    <w:rsid w:val="0096614D"/>
    <w:rsid w:val="009661B4"/>
    <w:rsid w:val="00966228"/>
    <w:rsid w:val="0096622B"/>
    <w:rsid w:val="009662C6"/>
    <w:rsid w:val="00966381"/>
    <w:rsid w:val="009663D4"/>
    <w:rsid w:val="009664AF"/>
    <w:rsid w:val="009664DF"/>
    <w:rsid w:val="009664F7"/>
    <w:rsid w:val="00966531"/>
    <w:rsid w:val="00966594"/>
    <w:rsid w:val="009665A9"/>
    <w:rsid w:val="009665BA"/>
    <w:rsid w:val="0096663D"/>
    <w:rsid w:val="00966687"/>
    <w:rsid w:val="009666A1"/>
    <w:rsid w:val="009666F1"/>
    <w:rsid w:val="00966736"/>
    <w:rsid w:val="0096675F"/>
    <w:rsid w:val="009667CC"/>
    <w:rsid w:val="00966837"/>
    <w:rsid w:val="009668A5"/>
    <w:rsid w:val="00966923"/>
    <w:rsid w:val="0096692E"/>
    <w:rsid w:val="00966989"/>
    <w:rsid w:val="009669A4"/>
    <w:rsid w:val="009669D5"/>
    <w:rsid w:val="00966B70"/>
    <w:rsid w:val="00966BF9"/>
    <w:rsid w:val="00966C31"/>
    <w:rsid w:val="00966C39"/>
    <w:rsid w:val="00966D5F"/>
    <w:rsid w:val="00966D9D"/>
    <w:rsid w:val="00966E4A"/>
    <w:rsid w:val="00966F66"/>
    <w:rsid w:val="00966F88"/>
    <w:rsid w:val="00967021"/>
    <w:rsid w:val="00967041"/>
    <w:rsid w:val="0096708F"/>
    <w:rsid w:val="00967141"/>
    <w:rsid w:val="00967171"/>
    <w:rsid w:val="009671BF"/>
    <w:rsid w:val="00967226"/>
    <w:rsid w:val="0096726A"/>
    <w:rsid w:val="009672BE"/>
    <w:rsid w:val="009672EA"/>
    <w:rsid w:val="009672EE"/>
    <w:rsid w:val="00967499"/>
    <w:rsid w:val="009676F1"/>
    <w:rsid w:val="00967700"/>
    <w:rsid w:val="0096772B"/>
    <w:rsid w:val="0096775C"/>
    <w:rsid w:val="009677E3"/>
    <w:rsid w:val="009678A8"/>
    <w:rsid w:val="009678BB"/>
    <w:rsid w:val="0096795F"/>
    <w:rsid w:val="00967A89"/>
    <w:rsid w:val="00967A97"/>
    <w:rsid w:val="00967B07"/>
    <w:rsid w:val="00967B28"/>
    <w:rsid w:val="00967C67"/>
    <w:rsid w:val="00967CB4"/>
    <w:rsid w:val="00967D9B"/>
    <w:rsid w:val="00967DCD"/>
    <w:rsid w:val="00967E2A"/>
    <w:rsid w:val="00967E8D"/>
    <w:rsid w:val="00967F00"/>
    <w:rsid w:val="00967F8B"/>
    <w:rsid w:val="00970054"/>
    <w:rsid w:val="009700C6"/>
    <w:rsid w:val="009700C9"/>
    <w:rsid w:val="00970122"/>
    <w:rsid w:val="0097021A"/>
    <w:rsid w:val="00970267"/>
    <w:rsid w:val="009702D9"/>
    <w:rsid w:val="00970340"/>
    <w:rsid w:val="0097034C"/>
    <w:rsid w:val="00970372"/>
    <w:rsid w:val="009704A9"/>
    <w:rsid w:val="00970537"/>
    <w:rsid w:val="00970654"/>
    <w:rsid w:val="0097067B"/>
    <w:rsid w:val="00970699"/>
    <w:rsid w:val="009706A0"/>
    <w:rsid w:val="009706B7"/>
    <w:rsid w:val="009706FF"/>
    <w:rsid w:val="00970703"/>
    <w:rsid w:val="00970774"/>
    <w:rsid w:val="009707B5"/>
    <w:rsid w:val="009707B9"/>
    <w:rsid w:val="009707EE"/>
    <w:rsid w:val="00970868"/>
    <w:rsid w:val="009708CA"/>
    <w:rsid w:val="00970918"/>
    <w:rsid w:val="0097099E"/>
    <w:rsid w:val="009709B1"/>
    <w:rsid w:val="009709D1"/>
    <w:rsid w:val="00970A35"/>
    <w:rsid w:val="00970A43"/>
    <w:rsid w:val="00970B16"/>
    <w:rsid w:val="00970BD4"/>
    <w:rsid w:val="00970CA9"/>
    <w:rsid w:val="00970D91"/>
    <w:rsid w:val="00970DC4"/>
    <w:rsid w:val="00970DEE"/>
    <w:rsid w:val="00970E0D"/>
    <w:rsid w:val="00970E4A"/>
    <w:rsid w:val="00970E92"/>
    <w:rsid w:val="00970EB7"/>
    <w:rsid w:val="00970EBA"/>
    <w:rsid w:val="00970F6B"/>
    <w:rsid w:val="00970F7B"/>
    <w:rsid w:val="00970FA5"/>
    <w:rsid w:val="009710D6"/>
    <w:rsid w:val="00971146"/>
    <w:rsid w:val="0097116A"/>
    <w:rsid w:val="0097118A"/>
    <w:rsid w:val="0097129B"/>
    <w:rsid w:val="0097136E"/>
    <w:rsid w:val="009713BA"/>
    <w:rsid w:val="0097140E"/>
    <w:rsid w:val="0097145F"/>
    <w:rsid w:val="009714AB"/>
    <w:rsid w:val="009714B1"/>
    <w:rsid w:val="009715BC"/>
    <w:rsid w:val="00971761"/>
    <w:rsid w:val="00971792"/>
    <w:rsid w:val="0097184A"/>
    <w:rsid w:val="0097185C"/>
    <w:rsid w:val="00971886"/>
    <w:rsid w:val="0097189F"/>
    <w:rsid w:val="00971A2E"/>
    <w:rsid w:val="00971AB9"/>
    <w:rsid w:val="00971ACD"/>
    <w:rsid w:val="00971B1D"/>
    <w:rsid w:val="00971B75"/>
    <w:rsid w:val="00971C67"/>
    <w:rsid w:val="00971C6F"/>
    <w:rsid w:val="00971C88"/>
    <w:rsid w:val="00971D07"/>
    <w:rsid w:val="00971D8C"/>
    <w:rsid w:val="00971DAC"/>
    <w:rsid w:val="00971DAE"/>
    <w:rsid w:val="00971DF1"/>
    <w:rsid w:val="00971E16"/>
    <w:rsid w:val="00971E2A"/>
    <w:rsid w:val="00971FA0"/>
    <w:rsid w:val="00971FA3"/>
    <w:rsid w:val="00972131"/>
    <w:rsid w:val="0097216F"/>
    <w:rsid w:val="00972499"/>
    <w:rsid w:val="009724BF"/>
    <w:rsid w:val="00972580"/>
    <w:rsid w:val="009725C5"/>
    <w:rsid w:val="009725DC"/>
    <w:rsid w:val="00972639"/>
    <w:rsid w:val="009727C6"/>
    <w:rsid w:val="00972818"/>
    <w:rsid w:val="00972836"/>
    <w:rsid w:val="009728EC"/>
    <w:rsid w:val="00972910"/>
    <w:rsid w:val="0097296C"/>
    <w:rsid w:val="009729B7"/>
    <w:rsid w:val="00972A01"/>
    <w:rsid w:val="00972A90"/>
    <w:rsid w:val="00972ADD"/>
    <w:rsid w:val="00972BAC"/>
    <w:rsid w:val="00972C3B"/>
    <w:rsid w:val="00972D2D"/>
    <w:rsid w:val="00972D77"/>
    <w:rsid w:val="00972DD2"/>
    <w:rsid w:val="00972E3A"/>
    <w:rsid w:val="00972EE7"/>
    <w:rsid w:val="00972F30"/>
    <w:rsid w:val="00972F46"/>
    <w:rsid w:val="00972F4F"/>
    <w:rsid w:val="00973002"/>
    <w:rsid w:val="0097300A"/>
    <w:rsid w:val="00973057"/>
    <w:rsid w:val="00973085"/>
    <w:rsid w:val="009730EB"/>
    <w:rsid w:val="009731D4"/>
    <w:rsid w:val="00973339"/>
    <w:rsid w:val="00973494"/>
    <w:rsid w:val="00973499"/>
    <w:rsid w:val="0097352D"/>
    <w:rsid w:val="00973552"/>
    <w:rsid w:val="009735B7"/>
    <w:rsid w:val="00973618"/>
    <w:rsid w:val="0097364F"/>
    <w:rsid w:val="0097368E"/>
    <w:rsid w:val="009736AC"/>
    <w:rsid w:val="0097371D"/>
    <w:rsid w:val="0097374E"/>
    <w:rsid w:val="009737B0"/>
    <w:rsid w:val="00973833"/>
    <w:rsid w:val="0097383B"/>
    <w:rsid w:val="00973902"/>
    <w:rsid w:val="009739EB"/>
    <w:rsid w:val="009739F3"/>
    <w:rsid w:val="00973A54"/>
    <w:rsid w:val="00973D55"/>
    <w:rsid w:val="00973D8A"/>
    <w:rsid w:val="00973D8F"/>
    <w:rsid w:val="00973E05"/>
    <w:rsid w:val="00973ECB"/>
    <w:rsid w:val="00973F83"/>
    <w:rsid w:val="00973FBC"/>
    <w:rsid w:val="00974059"/>
    <w:rsid w:val="009740C5"/>
    <w:rsid w:val="009740C6"/>
    <w:rsid w:val="00974249"/>
    <w:rsid w:val="0097440B"/>
    <w:rsid w:val="0097443B"/>
    <w:rsid w:val="00974445"/>
    <w:rsid w:val="0097447F"/>
    <w:rsid w:val="00974553"/>
    <w:rsid w:val="0097455E"/>
    <w:rsid w:val="009745C2"/>
    <w:rsid w:val="009745DA"/>
    <w:rsid w:val="009745E1"/>
    <w:rsid w:val="0097469B"/>
    <w:rsid w:val="009748CA"/>
    <w:rsid w:val="00974903"/>
    <w:rsid w:val="009749E5"/>
    <w:rsid w:val="00974A3E"/>
    <w:rsid w:val="00974A40"/>
    <w:rsid w:val="00974B97"/>
    <w:rsid w:val="00974BF6"/>
    <w:rsid w:val="00974BFD"/>
    <w:rsid w:val="00974C9A"/>
    <w:rsid w:val="00974D40"/>
    <w:rsid w:val="00974D50"/>
    <w:rsid w:val="00974D70"/>
    <w:rsid w:val="00974D75"/>
    <w:rsid w:val="00974E03"/>
    <w:rsid w:val="00974E6F"/>
    <w:rsid w:val="00974FFA"/>
    <w:rsid w:val="00975018"/>
    <w:rsid w:val="00975030"/>
    <w:rsid w:val="00975066"/>
    <w:rsid w:val="00975185"/>
    <w:rsid w:val="00975194"/>
    <w:rsid w:val="009751AF"/>
    <w:rsid w:val="009752DF"/>
    <w:rsid w:val="00975326"/>
    <w:rsid w:val="009753FB"/>
    <w:rsid w:val="00975506"/>
    <w:rsid w:val="009755E3"/>
    <w:rsid w:val="00975605"/>
    <w:rsid w:val="0097564D"/>
    <w:rsid w:val="0097574C"/>
    <w:rsid w:val="00975793"/>
    <w:rsid w:val="00975808"/>
    <w:rsid w:val="00975923"/>
    <w:rsid w:val="00975A5F"/>
    <w:rsid w:val="00975AC0"/>
    <w:rsid w:val="00975B00"/>
    <w:rsid w:val="00975B11"/>
    <w:rsid w:val="00975BC7"/>
    <w:rsid w:val="00975C24"/>
    <w:rsid w:val="00975C25"/>
    <w:rsid w:val="00975DEA"/>
    <w:rsid w:val="00975E03"/>
    <w:rsid w:val="00975EA9"/>
    <w:rsid w:val="00975ED8"/>
    <w:rsid w:val="00975EF9"/>
    <w:rsid w:val="00975EFC"/>
    <w:rsid w:val="00975F25"/>
    <w:rsid w:val="00975F2E"/>
    <w:rsid w:val="00975F9D"/>
    <w:rsid w:val="00975FFA"/>
    <w:rsid w:val="00975FFE"/>
    <w:rsid w:val="00976000"/>
    <w:rsid w:val="00976042"/>
    <w:rsid w:val="009760F7"/>
    <w:rsid w:val="00976265"/>
    <w:rsid w:val="0097641E"/>
    <w:rsid w:val="00976505"/>
    <w:rsid w:val="009765E7"/>
    <w:rsid w:val="00976699"/>
    <w:rsid w:val="009766AD"/>
    <w:rsid w:val="009766BF"/>
    <w:rsid w:val="009766FD"/>
    <w:rsid w:val="00976750"/>
    <w:rsid w:val="00976838"/>
    <w:rsid w:val="0097684B"/>
    <w:rsid w:val="009768C2"/>
    <w:rsid w:val="009769F8"/>
    <w:rsid w:val="00976AAA"/>
    <w:rsid w:val="00976B39"/>
    <w:rsid w:val="00976B6F"/>
    <w:rsid w:val="00976BBA"/>
    <w:rsid w:val="00976BFA"/>
    <w:rsid w:val="00976C90"/>
    <w:rsid w:val="00976D5E"/>
    <w:rsid w:val="009770A3"/>
    <w:rsid w:val="009770BA"/>
    <w:rsid w:val="009770D1"/>
    <w:rsid w:val="009770F1"/>
    <w:rsid w:val="00977273"/>
    <w:rsid w:val="0097730E"/>
    <w:rsid w:val="00977326"/>
    <w:rsid w:val="00977344"/>
    <w:rsid w:val="00977359"/>
    <w:rsid w:val="0097738B"/>
    <w:rsid w:val="009773BF"/>
    <w:rsid w:val="009773C0"/>
    <w:rsid w:val="00977546"/>
    <w:rsid w:val="009775BA"/>
    <w:rsid w:val="009775F5"/>
    <w:rsid w:val="0097766E"/>
    <w:rsid w:val="0097770E"/>
    <w:rsid w:val="00977848"/>
    <w:rsid w:val="00977865"/>
    <w:rsid w:val="00977993"/>
    <w:rsid w:val="009779ED"/>
    <w:rsid w:val="00977A54"/>
    <w:rsid w:val="00977A5E"/>
    <w:rsid w:val="00977A95"/>
    <w:rsid w:val="00977AA8"/>
    <w:rsid w:val="00977B67"/>
    <w:rsid w:val="00977BB5"/>
    <w:rsid w:val="00977C52"/>
    <w:rsid w:val="00977CDF"/>
    <w:rsid w:val="00977D19"/>
    <w:rsid w:val="00977ED5"/>
    <w:rsid w:val="00977F2D"/>
    <w:rsid w:val="00977F46"/>
    <w:rsid w:val="00977F62"/>
    <w:rsid w:val="009800F3"/>
    <w:rsid w:val="00980101"/>
    <w:rsid w:val="00980154"/>
    <w:rsid w:val="00980215"/>
    <w:rsid w:val="0098021D"/>
    <w:rsid w:val="00980225"/>
    <w:rsid w:val="00980270"/>
    <w:rsid w:val="00980293"/>
    <w:rsid w:val="009802FD"/>
    <w:rsid w:val="0098043F"/>
    <w:rsid w:val="009804BD"/>
    <w:rsid w:val="009804E7"/>
    <w:rsid w:val="00980559"/>
    <w:rsid w:val="0098055A"/>
    <w:rsid w:val="00980625"/>
    <w:rsid w:val="0098065D"/>
    <w:rsid w:val="00980721"/>
    <w:rsid w:val="00980728"/>
    <w:rsid w:val="00980893"/>
    <w:rsid w:val="009808FC"/>
    <w:rsid w:val="009809AA"/>
    <w:rsid w:val="00980A8F"/>
    <w:rsid w:val="00980BC0"/>
    <w:rsid w:val="00980BEA"/>
    <w:rsid w:val="00980C69"/>
    <w:rsid w:val="00980CEA"/>
    <w:rsid w:val="00980F84"/>
    <w:rsid w:val="0098102C"/>
    <w:rsid w:val="00981038"/>
    <w:rsid w:val="0098106E"/>
    <w:rsid w:val="009810BD"/>
    <w:rsid w:val="00981106"/>
    <w:rsid w:val="009812C1"/>
    <w:rsid w:val="00981319"/>
    <w:rsid w:val="00981344"/>
    <w:rsid w:val="00981445"/>
    <w:rsid w:val="00981511"/>
    <w:rsid w:val="009815AE"/>
    <w:rsid w:val="009816A5"/>
    <w:rsid w:val="009817F6"/>
    <w:rsid w:val="00981850"/>
    <w:rsid w:val="009818B6"/>
    <w:rsid w:val="009818C0"/>
    <w:rsid w:val="00981927"/>
    <w:rsid w:val="00981999"/>
    <w:rsid w:val="009819F5"/>
    <w:rsid w:val="00981A59"/>
    <w:rsid w:val="00981AE3"/>
    <w:rsid w:val="00981AFD"/>
    <w:rsid w:val="00981BA4"/>
    <w:rsid w:val="00981C2D"/>
    <w:rsid w:val="00981D1C"/>
    <w:rsid w:val="00981E1C"/>
    <w:rsid w:val="00981E86"/>
    <w:rsid w:val="00981EDD"/>
    <w:rsid w:val="00981FA6"/>
    <w:rsid w:val="00982058"/>
    <w:rsid w:val="00982118"/>
    <w:rsid w:val="00982126"/>
    <w:rsid w:val="009821AC"/>
    <w:rsid w:val="00982267"/>
    <w:rsid w:val="00982285"/>
    <w:rsid w:val="00982485"/>
    <w:rsid w:val="00982553"/>
    <w:rsid w:val="009825AC"/>
    <w:rsid w:val="009826D9"/>
    <w:rsid w:val="00982707"/>
    <w:rsid w:val="0098272B"/>
    <w:rsid w:val="009827A0"/>
    <w:rsid w:val="00982809"/>
    <w:rsid w:val="009828E1"/>
    <w:rsid w:val="009828E9"/>
    <w:rsid w:val="009829AB"/>
    <w:rsid w:val="00982A01"/>
    <w:rsid w:val="00982A08"/>
    <w:rsid w:val="00982AA9"/>
    <w:rsid w:val="00982C21"/>
    <w:rsid w:val="00982C62"/>
    <w:rsid w:val="00982C75"/>
    <w:rsid w:val="00982C91"/>
    <w:rsid w:val="00982CBE"/>
    <w:rsid w:val="00982CD2"/>
    <w:rsid w:val="00982CFA"/>
    <w:rsid w:val="00982F4B"/>
    <w:rsid w:val="00982F76"/>
    <w:rsid w:val="00982FA3"/>
    <w:rsid w:val="00982FD7"/>
    <w:rsid w:val="00983076"/>
    <w:rsid w:val="00983081"/>
    <w:rsid w:val="00983138"/>
    <w:rsid w:val="00983241"/>
    <w:rsid w:val="0098324E"/>
    <w:rsid w:val="0098331E"/>
    <w:rsid w:val="0098336D"/>
    <w:rsid w:val="009833A3"/>
    <w:rsid w:val="00983416"/>
    <w:rsid w:val="0098351B"/>
    <w:rsid w:val="00983565"/>
    <w:rsid w:val="0098358F"/>
    <w:rsid w:val="0098362C"/>
    <w:rsid w:val="00983717"/>
    <w:rsid w:val="00983885"/>
    <w:rsid w:val="009839E9"/>
    <w:rsid w:val="00983A82"/>
    <w:rsid w:val="00983C7B"/>
    <w:rsid w:val="00983C7C"/>
    <w:rsid w:val="00983D1B"/>
    <w:rsid w:val="00983D2A"/>
    <w:rsid w:val="00983D71"/>
    <w:rsid w:val="00983D74"/>
    <w:rsid w:val="00983DE1"/>
    <w:rsid w:val="00983DEE"/>
    <w:rsid w:val="00983E0D"/>
    <w:rsid w:val="00983FED"/>
    <w:rsid w:val="00984071"/>
    <w:rsid w:val="00984075"/>
    <w:rsid w:val="009840FD"/>
    <w:rsid w:val="009841C0"/>
    <w:rsid w:val="009841FC"/>
    <w:rsid w:val="009843D6"/>
    <w:rsid w:val="009843D8"/>
    <w:rsid w:val="009843EC"/>
    <w:rsid w:val="0098446A"/>
    <w:rsid w:val="009844D5"/>
    <w:rsid w:val="00984566"/>
    <w:rsid w:val="009846FE"/>
    <w:rsid w:val="00984701"/>
    <w:rsid w:val="00984702"/>
    <w:rsid w:val="00984707"/>
    <w:rsid w:val="00984847"/>
    <w:rsid w:val="00984855"/>
    <w:rsid w:val="00984881"/>
    <w:rsid w:val="00984910"/>
    <w:rsid w:val="00984922"/>
    <w:rsid w:val="009849F8"/>
    <w:rsid w:val="00984B71"/>
    <w:rsid w:val="00984BEC"/>
    <w:rsid w:val="00984D91"/>
    <w:rsid w:val="00984DFF"/>
    <w:rsid w:val="00984E53"/>
    <w:rsid w:val="00984E7F"/>
    <w:rsid w:val="00984ED4"/>
    <w:rsid w:val="00984F50"/>
    <w:rsid w:val="00985012"/>
    <w:rsid w:val="009850B8"/>
    <w:rsid w:val="009850CA"/>
    <w:rsid w:val="009850E7"/>
    <w:rsid w:val="00985164"/>
    <w:rsid w:val="009851C6"/>
    <w:rsid w:val="00985237"/>
    <w:rsid w:val="00985247"/>
    <w:rsid w:val="009852DB"/>
    <w:rsid w:val="00985354"/>
    <w:rsid w:val="0098548A"/>
    <w:rsid w:val="009855B8"/>
    <w:rsid w:val="009856E4"/>
    <w:rsid w:val="009857EE"/>
    <w:rsid w:val="009857FC"/>
    <w:rsid w:val="009857FE"/>
    <w:rsid w:val="009858B7"/>
    <w:rsid w:val="009858BA"/>
    <w:rsid w:val="009858FC"/>
    <w:rsid w:val="009859EC"/>
    <w:rsid w:val="00985A4A"/>
    <w:rsid w:val="00985A6C"/>
    <w:rsid w:val="00985B9B"/>
    <w:rsid w:val="00985B9C"/>
    <w:rsid w:val="00985BF1"/>
    <w:rsid w:val="00985CD8"/>
    <w:rsid w:val="00985D3A"/>
    <w:rsid w:val="00985DD3"/>
    <w:rsid w:val="00985EB8"/>
    <w:rsid w:val="00985ED4"/>
    <w:rsid w:val="00985EDA"/>
    <w:rsid w:val="00985F3F"/>
    <w:rsid w:val="00985FB3"/>
    <w:rsid w:val="00986016"/>
    <w:rsid w:val="0098605B"/>
    <w:rsid w:val="0098609E"/>
    <w:rsid w:val="00986249"/>
    <w:rsid w:val="00986391"/>
    <w:rsid w:val="009863D3"/>
    <w:rsid w:val="00986518"/>
    <w:rsid w:val="00986566"/>
    <w:rsid w:val="00986654"/>
    <w:rsid w:val="00986666"/>
    <w:rsid w:val="0098673C"/>
    <w:rsid w:val="0098676F"/>
    <w:rsid w:val="009867AA"/>
    <w:rsid w:val="009867BE"/>
    <w:rsid w:val="009868B4"/>
    <w:rsid w:val="009869B8"/>
    <w:rsid w:val="009869F2"/>
    <w:rsid w:val="00986B25"/>
    <w:rsid w:val="00986C34"/>
    <w:rsid w:val="00986CC1"/>
    <w:rsid w:val="00986CFD"/>
    <w:rsid w:val="00986D58"/>
    <w:rsid w:val="00986D5C"/>
    <w:rsid w:val="00986DCA"/>
    <w:rsid w:val="00986E0A"/>
    <w:rsid w:val="00986E9A"/>
    <w:rsid w:val="00986F4E"/>
    <w:rsid w:val="00987069"/>
    <w:rsid w:val="00987173"/>
    <w:rsid w:val="00987191"/>
    <w:rsid w:val="00987251"/>
    <w:rsid w:val="00987275"/>
    <w:rsid w:val="009872AD"/>
    <w:rsid w:val="009873DE"/>
    <w:rsid w:val="00987413"/>
    <w:rsid w:val="0098742A"/>
    <w:rsid w:val="00987498"/>
    <w:rsid w:val="009874A0"/>
    <w:rsid w:val="00987513"/>
    <w:rsid w:val="0098753D"/>
    <w:rsid w:val="009875EC"/>
    <w:rsid w:val="009875F2"/>
    <w:rsid w:val="00987645"/>
    <w:rsid w:val="0098765D"/>
    <w:rsid w:val="009876E8"/>
    <w:rsid w:val="00987716"/>
    <w:rsid w:val="0098778E"/>
    <w:rsid w:val="009877F2"/>
    <w:rsid w:val="009877FE"/>
    <w:rsid w:val="009879D3"/>
    <w:rsid w:val="00987A59"/>
    <w:rsid w:val="00987A5A"/>
    <w:rsid w:val="00987B6A"/>
    <w:rsid w:val="00987B72"/>
    <w:rsid w:val="00987C57"/>
    <w:rsid w:val="00987C5E"/>
    <w:rsid w:val="00987C84"/>
    <w:rsid w:val="00987CB4"/>
    <w:rsid w:val="00987DB5"/>
    <w:rsid w:val="00987DCD"/>
    <w:rsid w:val="00987EE8"/>
    <w:rsid w:val="00987EEE"/>
    <w:rsid w:val="0099002E"/>
    <w:rsid w:val="0099006F"/>
    <w:rsid w:val="009901FA"/>
    <w:rsid w:val="0099029D"/>
    <w:rsid w:val="00990395"/>
    <w:rsid w:val="00990435"/>
    <w:rsid w:val="0099046F"/>
    <w:rsid w:val="0099052E"/>
    <w:rsid w:val="00990636"/>
    <w:rsid w:val="00990697"/>
    <w:rsid w:val="00990762"/>
    <w:rsid w:val="009908CD"/>
    <w:rsid w:val="0099092D"/>
    <w:rsid w:val="0099097E"/>
    <w:rsid w:val="00990A5A"/>
    <w:rsid w:val="00990C01"/>
    <w:rsid w:val="00990C55"/>
    <w:rsid w:val="00990D6D"/>
    <w:rsid w:val="00990D7E"/>
    <w:rsid w:val="00990DE8"/>
    <w:rsid w:val="00990EA6"/>
    <w:rsid w:val="00990EC9"/>
    <w:rsid w:val="00990EF5"/>
    <w:rsid w:val="00990F03"/>
    <w:rsid w:val="00990F90"/>
    <w:rsid w:val="00990F9D"/>
    <w:rsid w:val="00990FB1"/>
    <w:rsid w:val="00990FD5"/>
    <w:rsid w:val="00990FF9"/>
    <w:rsid w:val="009910D2"/>
    <w:rsid w:val="009910ED"/>
    <w:rsid w:val="00991160"/>
    <w:rsid w:val="00991194"/>
    <w:rsid w:val="009912F6"/>
    <w:rsid w:val="00991315"/>
    <w:rsid w:val="00991386"/>
    <w:rsid w:val="009913E3"/>
    <w:rsid w:val="00991428"/>
    <w:rsid w:val="0099151F"/>
    <w:rsid w:val="009915A5"/>
    <w:rsid w:val="009916BA"/>
    <w:rsid w:val="009916C7"/>
    <w:rsid w:val="00991721"/>
    <w:rsid w:val="009917A2"/>
    <w:rsid w:val="009917C2"/>
    <w:rsid w:val="009917E5"/>
    <w:rsid w:val="0099180E"/>
    <w:rsid w:val="00991858"/>
    <w:rsid w:val="009918C6"/>
    <w:rsid w:val="0099196A"/>
    <w:rsid w:val="00991A57"/>
    <w:rsid w:val="00991BC6"/>
    <w:rsid w:val="00991BFE"/>
    <w:rsid w:val="00991C17"/>
    <w:rsid w:val="00991C1F"/>
    <w:rsid w:val="00991E23"/>
    <w:rsid w:val="00991EA3"/>
    <w:rsid w:val="00991F03"/>
    <w:rsid w:val="00991F06"/>
    <w:rsid w:val="00991F17"/>
    <w:rsid w:val="00992035"/>
    <w:rsid w:val="00992057"/>
    <w:rsid w:val="00992073"/>
    <w:rsid w:val="009920C9"/>
    <w:rsid w:val="00992113"/>
    <w:rsid w:val="0099213B"/>
    <w:rsid w:val="0099214D"/>
    <w:rsid w:val="00992166"/>
    <w:rsid w:val="009921BF"/>
    <w:rsid w:val="009921E6"/>
    <w:rsid w:val="009921FC"/>
    <w:rsid w:val="00992247"/>
    <w:rsid w:val="009922F0"/>
    <w:rsid w:val="00992345"/>
    <w:rsid w:val="009924D1"/>
    <w:rsid w:val="00992507"/>
    <w:rsid w:val="00992553"/>
    <w:rsid w:val="0099266C"/>
    <w:rsid w:val="0099272B"/>
    <w:rsid w:val="00992882"/>
    <w:rsid w:val="00992916"/>
    <w:rsid w:val="009929DF"/>
    <w:rsid w:val="00992A0E"/>
    <w:rsid w:val="00992A1E"/>
    <w:rsid w:val="00992A84"/>
    <w:rsid w:val="00992A94"/>
    <w:rsid w:val="00992AB6"/>
    <w:rsid w:val="00992B35"/>
    <w:rsid w:val="00992BBF"/>
    <w:rsid w:val="00992BED"/>
    <w:rsid w:val="00992C97"/>
    <w:rsid w:val="00992CB4"/>
    <w:rsid w:val="00992D59"/>
    <w:rsid w:val="00992DEF"/>
    <w:rsid w:val="00992E65"/>
    <w:rsid w:val="00992F44"/>
    <w:rsid w:val="00992F9E"/>
    <w:rsid w:val="00992FDC"/>
    <w:rsid w:val="00992FF0"/>
    <w:rsid w:val="0099302F"/>
    <w:rsid w:val="00993049"/>
    <w:rsid w:val="009931B8"/>
    <w:rsid w:val="009931DF"/>
    <w:rsid w:val="00993236"/>
    <w:rsid w:val="00993277"/>
    <w:rsid w:val="0099329B"/>
    <w:rsid w:val="009932F3"/>
    <w:rsid w:val="00993307"/>
    <w:rsid w:val="009933E7"/>
    <w:rsid w:val="009934E9"/>
    <w:rsid w:val="00993733"/>
    <w:rsid w:val="0099379E"/>
    <w:rsid w:val="009937C5"/>
    <w:rsid w:val="00993889"/>
    <w:rsid w:val="0099399E"/>
    <w:rsid w:val="00993A69"/>
    <w:rsid w:val="00993B44"/>
    <w:rsid w:val="00993BB4"/>
    <w:rsid w:val="00993BF3"/>
    <w:rsid w:val="00993C20"/>
    <w:rsid w:val="00993E1D"/>
    <w:rsid w:val="00993E24"/>
    <w:rsid w:val="00993EA0"/>
    <w:rsid w:val="00993ECE"/>
    <w:rsid w:val="00993EFC"/>
    <w:rsid w:val="00993F0B"/>
    <w:rsid w:val="00993F2B"/>
    <w:rsid w:val="00994087"/>
    <w:rsid w:val="0099413C"/>
    <w:rsid w:val="00994191"/>
    <w:rsid w:val="009941AB"/>
    <w:rsid w:val="009941EF"/>
    <w:rsid w:val="00994221"/>
    <w:rsid w:val="00994230"/>
    <w:rsid w:val="0099426D"/>
    <w:rsid w:val="0099426F"/>
    <w:rsid w:val="00994271"/>
    <w:rsid w:val="0099447C"/>
    <w:rsid w:val="009944B2"/>
    <w:rsid w:val="00994545"/>
    <w:rsid w:val="00994602"/>
    <w:rsid w:val="00994631"/>
    <w:rsid w:val="009946C1"/>
    <w:rsid w:val="009946D9"/>
    <w:rsid w:val="00994721"/>
    <w:rsid w:val="00994730"/>
    <w:rsid w:val="00994791"/>
    <w:rsid w:val="0099479E"/>
    <w:rsid w:val="009947B3"/>
    <w:rsid w:val="009947D4"/>
    <w:rsid w:val="0099481C"/>
    <w:rsid w:val="00994872"/>
    <w:rsid w:val="0099489C"/>
    <w:rsid w:val="009948DA"/>
    <w:rsid w:val="00994977"/>
    <w:rsid w:val="009949A4"/>
    <w:rsid w:val="00994AC9"/>
    <w:rsid w:val="00994ADD"/>
    <w:rsid w:val="00994B51"/>
    <w:rsid w:val="00994BE4"/>
    <w:rsid w:val="00994C75"/>
    <w:rsid w:val="00994C9E"/>
    <w:rsid w:val="00994D94"/>
    <w:rsid w:val="00994E09"/>
    <w:rsid w:val="00994E6A"/>
    <w:rsid w:val="00994EC5"/>
    <w:rsid w:val="00994F17"/>
    <w:rsid w:val="00994FDC"/>
    <w:rsid w:val="00994FDE"/>
    <w:rsid w:val="0099501E"/>
    <w:rsid w:val="0099508A"/>
    <w:rsid w:val="009950A2"/>
    <w:rsid w:val="009951D8"/>
    <w:rsid w:val="009951E5"/>
    <w:rsid w:val="00995210"/>
    <w:rsid w:val="009952A9"/>
    <w:rsid w:val="009952E4"/>
    <w:rsid w:val="00995355"/>
    <w:rsid w:val="0099552F"/>
    <w:rsid w:val="00995544"/>
    <w:rsid w:val="0099556D"/>
    <w:rsid w:val="00995588"/>
    <w:rsid w:val="009955B5"/>
    <w:rsid w:val="009955E9"/>
    <w:rsid w:val="0099563F"/>
    <w:rsid w:val="0099564F"/>
    <w:rsid w:val="00995654"/>
    <w:rsid w:val="00995660"/>
    <w:rsid w:val="009956A0"/>
    <w:rsid w:val="00995703"/>
    <w:rsid w:val="00995815"/>
    <w:rsid w:val="0099581A"/>
    <w:rsid w:val="0099586F"/>
    <w:rsid w:val="009959E2"/>
    <w:rsid w:val="00995B70"/>
    <w:rsid w:val="00995BE3"/>
    <w:rsid w:val="00995C24"/>
    <w:rsid w:val="00995D8E"/>
    <w:rsid w:val="00995EA3"/>
    <w:rsid w:val="00995EEB"/>
    <w:rsid w:val="00995FBB"/>
    <w:rsid w:val="00996004"/>
    <w:rsid w:val="00996015"/>
    <w:rsid w:val="009960E7"/>
    <w:rsid w:val="00996219"/>
    <w:rsid w:val="009962E6"/>
    <w:rsid w:val="00996313"/>
    <w:rsid w:val="009963A1"/>
    <w:rsid w:val="0099659E"/>
    <w:rsid w:val="009965C8"/>
    <w:rsid w:val="00996677"/>
    <w:rsid w:val="00996710"/>
    <w:rsid w:val="00996728"/>
    <w:rsid w:val="00996781"/>
    <w:rsid w:val="0099681E"/>
    <w:rsid w:val="009968CE"/>
    <w:rsid w:val="009968F7"/>
    <w:rsid w:val="009968F8"/>
    <w:rsid w:val="009969B7"/>
    <w:rsid w:val="009969DF"/>
    <w:rsid w:val="00996A2B"/>
    <w:rsid w:val="00996C88"/>
    <w:rsid w:val="00996CFA"/>
    <w:rsid w:val="00996D98"/>
    <w:rsid w:val="00996F7A"/>
    <w:rsid w:val="00997023"/>
    <w:rsid w:val="009970AD"/>
    <w:rsid w:val="0099719E"/>
    <w:rsid w:val="00997256"/>
    <w:rsid w:val="0099726D"/>
    <w:rsid w:val="0099735D"/>
    <w:rsid w:val="0099738A"/>
    <w:rsid w:val="0099739F"/>
    <w:rsid w:val="00997474"/>
    <w:rsid w:val="00997477"/>
    <w:rsid w:val="00997496"/>
    <w:rsid w:val="0099757F"/>
    <w:rsid w:val="00997624"/>
    <w:rsid w:val="009976AD"/>
    <w:rsid w:val="00997795"/>
    <w:rsid w:val="0099779B"/>
    <w:rsid w:val="009978D5"/>
    <w:rsid w:val="00997A58"/>
    <w:rsid w:val="00997B76"/>
    <w:rsid w:val="00997CDB"/>
    <w:rsid w:val="00997D06"/>
    <w:rsid w:val="00997D87"/>
    <w:rsid w:val="00997E43"/>
    <w:rsid w:val="00997EA3"/>
    <w:rsid w:val="00997ED7"/>
    <w:rsid w:val="00997F5D"/>
    <w:rsid w:val="00997F6B"/>
    <w:rsid w:val="00997F75"/>
    <w:rsid w:val="00997F8F"/>
    <w:rsid w:val="00997FFB"/>
    <w:rsid w:val="009A00B1"/>
    <w:rsid w:val="009A0131"/>
    <w:rsid w:val="009A0169"/>
    <w:rsid w:val="009A0260"/>
    <w:rsid w:val="009A0292"/>
    <w:rsid w:val="009A029A"/>
    <w:rsid w:val="009A02F6"/>
    <w:rsid w:val="009A034D"/>
    <w:rsid w:val="009A037D"/>
    <w:rsid w:val="009A03B7"/>
    <w:rsid w:val="009A03EC"/>
    <w:rsid w:val="009A0464"/>
    <w:rsid w:val="009A0592"/>
    <w:rsid w:val="009A05C9"/>
    <w:rsid w:val="009A05ED"/>
    <w:rsid w:val="009A05FD"/>
    <w:rsid w:val="009A062A"/>
    <w:rsid w:val="009A0634"/>
    <w:rsid w:val="009A0639"/>
    <w:rsid w:val="009A0715"/>
    <w:rsid w:val="009A07A7"/>
    <w:rsid w:val="009A07F7"/>
    <w:rsid w:val="009A08AC"/>
    <w:rsid w:val="009A0927"/>
    <w:rsid w:val="009A09D9"/>
    <w:rsid w:val="009A0B5A"/>
    <w:rsid w:val="009A0C7E"/>
    <w:rsid w:val="009A0CF8"/>
    <w:rsid w:val="009A0DB5"/>
    <w:rsid w:val="009A0E47"/>
    <w:rsid w:val="009A0ECA"/>
    <w:rsid w:val="009A0F5A"/>
    <w:rsid w:val="009A0FB2"/>
    <w:rsid w:val="009A1080"/>
    <w:rsid w:val="009A10B4"/>
    <w:rsid w:val="009A11F6"/>
    <w:rsid w:val="009A11FE"/>
    <w:rsid w:val="009A122D"/>
    <w:rsid w:val="009A13A1"/>
    <w:rsid w:val="009A13D2"/>
    <w:rsid w:val="009A141F"/>
    <w:rsid w:val="009A1481"/>
    <w:rsid w:val="009A1490"/>
    <w:rsid w:val="009A15FE"/>
    <w:rsid w:val="009A16C6"/>
    <w:rsid w:val="009A170A"/>
    <w:rsid w:val="009A1826"/>
    <w:rsid w:val="009A18B7"/>
    <w:rsid w:val="009A194F"/>
    <w:rsid w:val="009A1AD5"/>
    <w:rsid w:val="009A1B31"/>
    <w:rsid w:val="009A1B56"/>
    <w:rsid w:val="009A1C45"/>
    <w:rsid w:val="009A1C96"/>
    <w:rsid w:val="009A1DED"/>
    <w:rsid w:val="009A1E2B"/>
    <w:rsid w:val="009A1FB8"/>
    <w:rsid w:val="009A1FEA"/>
    <w:rsid w:val="009A2057"/>
    <w:rsid w:val="009A2060"/>
    <w:rsid w:val="009A2124"/>
    <w:rsid w:val="009A2136"/>
    <w:rsid w:val="009A22F0"/>
    <w:rsid w:val="009A231A"/>
    <w:rsid w:val="009A2345"/>
    <w:rsid w:val="009A235C"/>
    <w:rsid w:val="009A23B3"/>
    <w:rsid w:val="009A2438"/>
    <w:rsid w:val="009A2491"/>
    <w:rsid w:val="009A2630"/>
    <w:rsid w:val="009A2640"/>
    <w:rsid w:val="009A26D5"/>
    <w:rsid w:val="009A27B2"/>
    <w:rsid w:val="009A28EB"/>
    <w:rsid w:val="009A2991"/>
    <w:rsid w:val="009A29B8"/>
    <w:rsid w:val="009A2B8B"/>
    <w:rsid w:val="009A2C64"/>
    <w:rsid w:val="009A2D0D"/>
    <w:rsid w:val="009A2DA6"/>
    <w:rsid w:val="009A2DE5"/>
    <w:rsid w:val="009A2E47"/>
    <w:rsid w:val="009A2E64"/>
    <w:rsid w:val="009A2F84"/>
    <w:rsid w:val="009A307F"/>
    <w:rsid w:val="009A309B"/>
    <w:rsid w:val="009A30B4"/>
    <w:rsid w:val="009A30F7"/>
    <w:rsid w:val="009A3130"/>
    <w:rsid w:val="009A3146"/>
    <w:rsid w:val="009A3158"/>
    <w:rsid w:val="009A316B"/>
    <w:rsid w:val="009A32F2"/>
    <w:rsid w:val="009A3309"/>
    <w:rsid w:val="009A330A"/>
    <w:rsid w:val="009A333A"/>
    <w:rsid w:val="009A340E"/>
    <w:rsid w:val="009A35F6"/>
    <w:rsid w:val="009A3687"/>
    <w:rsid w:val="009A3691"/>
    <w:rsid w:val="009A36DE"/>
    <w:rsid w:val="009A36EE"/>
    <w:rsid w:val="009A36F5"/>
    <w:rsid w:val="009A37E7"/>
    <w:rsid w:val="009A37FD"/>
    <w:rsid w:val="009A384E"/>
    <w:rsid w:val="009A385E"/>
    <w:rsid w:val="009A3867"/>
    <w:rsid w:val="009A387F"/>
    <w:rsid w:val="009A38E5"/>
    <w:rsid w:val="009A396B"/>
    <w:rsid w:val="009A3978"/>
    <w:rsid w:val="009A39F4"/>
    <w:rsid w:val="009A39FB"/>
    <w:rsid w:val="009A3A40"/>
    <w:rsid w:val="009A3A59"/>
    <w:rsid w:val="009A3C39"/>
    <w:rsid w:val="009A3C4B"/>
    <w:rsid w:val="009A3C93"/>
    <w:rsid w:val="009A3D0A"/>
    <w:rsid w:val="009A3E24"/>
    <w:rsid w:val="009A3E68"/>
    <w:rsid w:val="009A3EFF"/>
    <w:rsid w:val="009A3F00"/>
    <w:rsid w:val="009A3FD0"/>
    <w:rsid w:val="009A3FF3"/>
    <w:rsid w:val="009A4070"/>
    <w:rsid w:val="009A40F4"/>
    <w:rsid w:val="009A414F"/>
    <w:rsid w:val="009A4170"/>
    <w:rsid w:val="009A41A8"/>
    <w:rsid w:val="009A427C"/>
    <w:rsid w:val="009A4357"/>
    <w:rsid w:val="009A4505"/>
    <w:rsid w:val="009A4571"/>
    <w:rsid w:val="009A45B3"/>
    <w:rsid w:val="009A45C3"/>
    <w:rsid w:val="009A4705"/>
    <w:rsid w:val="009A4828"/>
    <w:rsid w:val="009A4967"/>
    <w:rsid w:val="009A4B82"/>
    <w:rsid w:val="009A4BA7"/>
    <w:rsid w:val="009A4BB0"/>
    <w:rsid w:val="009A4CD3"/>
    <w:rsid w:val="009A4D70"/>
    <w:rsid w:val="009A4F59"/>
    <w:rsid w:val="009A4F7A"/>
    <w:rsid w:val="009A4F86"/>
    <w:rsid w:val="009A514F"/>
    <w:rsid w:val="009A51BE"/>
    <w:rsid w:val="009A51C7"/>
    <w:rsid w:val="009A52B7"/>
    <w:rsid w:val="009A5356"/>
    <w:rsid w:val="009A536E"/>
    <w:rsid w:val="009A538C"/>
    <w:rsid w:val="009A5397"/>
    <w:rsid w:val="009A5431"/>
    <w:rsid w:val="009A5464"/>
    <w:rsid w:val="009A54C3"/>
    <w:rsid w:val="009A554C"/>
    <w:rsid w:val="009A5579"/>
    <w:rsid w:val="009A55F8"/>
    <w:rsid w:val="009A55FB"/>
    <w:rsid w:val="009A5610"/>
    <w:rsid w:val="009A5721"/>
    <w:rsid w:val="009A573D"/>
    <w:rsid w:val="009A57D2"/>
    <w:rsid w:val="009A584B"/>
    <w:rsid w:val="009A58AF"/>
    <w:rsid w:val="009A58E9"/>
    <w:rsid w:val="009A59EC"/>
    <w:rsid w:val="009A5A6E"/>
    <w:rsid w:val="009A5C4C"/>
    <w:rsid w:val="009A5C56"/>
    <w:rsid w:val="009A5CA8"/>
    <w:rsid w:val="009A5D27"/>
    <w:rsid w:val="009A5D95"/>
    <w:rsid w:val="009A5DAF"/>
    <w:rsid w:val="009A5DC1"/>
    <w:rsid w:val="009A5E2B"/>
    <w:rsid w:val="009A5E3F"/>
    <w:rsid w:val="009A5F14"/>
    <w:rsid w:val="009A5FF9"/>
    <w:rsid w:val="009A601D"/>
    <w:rsid w:val="009A607F"/>
    <w:rsid w:val="009A6093"/>
    <w:rsid w:val="009A61B9"/>
    <w:rsid w:val="009A6310"/>
    <w:rsid w:val="009A6320"/>
    <w:rsid w:val="009A6365"/>
    <w:rsid w:val="009A637C"/>
    <w:rsid w:val="009A6388"/>
    <w:rsid w:val="009A6392"/>
    <w:rsid w:val="009A64A8"/>
    <w:rsid w:val="009A6550"/>
    <w:rsid w:val="009A6578"/>
    <w:rsid w:val="009A66C6"/>
    <w:rsid w:val="009A6862"/>
    <w:rsid w:val="009A68AA"/>
    <w:rsid w:val="009A692D"/>
    <w:rsid w:val="009A6A84"/>
    <w:rsid w:val="009A6AC0"/>
    <w:rsid w:val="009A6B68"/>
    <w:rsid w:val="009A6B83"/>
    <w:rsid w:val="009A6BC7"/>
    <w:rsid w:val="009A6D13"/>
    <w:rsid w:val="009A6DDF"/>
    <w:rsid w:val="009A6E49"/>
    <w:rsid w:val="009A6ED0"/>
    <w:rsid w:val="009A6F12"/>
    <w:rsid w:val="009A6F2E"/>
    <w:rsid w:val="009A6FC8"/>
    <w:rsid w:val="009A706A"/>
    <w:rsid w:val="009A70BA"/>
    <w:rsid w:val="009A70CB"/>
    <w:rsid w:val="009A70D0"/>
    <w:rsid w:val="009A7128"/>
    <w:rsid w:val="009A71AB"/>
    <w:rsid w:val="009A7213"/>
    <w:rsid w:val="009A7262"/>
    <w:rsid w:val="009A747D"/>
    <w:rsid w:val="009A7544"/>
    <w:rsid w:val="009A75E6"/>
    <w:rsid w:val="009A7605"/>
    <w:rsid w:val="009A76E3"/>
    <w:rsid w:val="009A7734"/>
    <w:rsid w:val="009A7742"/>
    <w:rsid w:val="009A7745"/>
    <w:rsid w:val="009A7748"/>
    <w:rsid w:val="009A77B8"/>
    <w:rsid w:val="009A77F0"/>
    <w:rsid w:val="009A7862"/>
    <w:rsid w:val="009A7872"/>
    <w:rsid w:val="009A7960"/>
    <w:rsid w:val="009A79E0"/>
    <w:rsid w:val="009A79EB"/>
    <w:rsid w:val="009A7A55"/>
    <w:rsid w:val="009A7B28"/>
    <w:rsid w:val="009A7BDF"/>
    <w:rsid w:val="009A7C3D"/>
    <w:rsid w:val="009A7C5D"/>
    <w:rsid w:val="009A7CDA"/>
    <w:rsid w:val="009A7E26"/>
    <w:rsid w:val="009A7E5A"/>
    <w:rsid w:val="009A7ECE"/>
    <w:rsid w:val="009A7FDB"/>
    <w:rsid w:val="009B00A8"/>
    <w:rsid w:val="009B0121"/>
    <w:rsid w:val="009B0156"/>
    <w:rsid w:val="009B0291"/>
    <w:rsid w:val="009B0295"/>
    <w:rsid w:val="009B02BE"/>
    <w:rsid w:val="009B0322"/>
    <w:rsid w:val="009B0324"/>
    <w:rsid w:val="009B036B"/>
    <w:rsid w:val="009B03D7"/>
    <w:rsid w:val="009B03F1"/>
    <w:rsid w:val="009B04F1"/>
    <w:rsid w:val="009B0533"/>
    <w:rsid w:val="009B05BA"/>
    <w:rsid w:val="009B05BB"/>
    <w:rsid w:val="009B067D"/>
    <w:rsid w:val="009B0720"/>
    <w:rsid w:val="009B0848"/>
    <w:rsid w:val="009B0952"/>
    <w:rsid w:val="009B0976"/>
    <w:rsid w:val="009B0A85"/>
    <w:rsid w:val="009B0B42"/>
    <w:rsid w:val="009B0BE5"/>
    <w:rsid w:val="009B0CF5"/>
    <w:rsid w:val="009B0D46"/>
    <w:rsid w:val="009B1067"/>
    <w:rsid w:val="009B10D1"/>
    <w:rsid w:val="009B10FA"/>
    <w:rsid w:val="009B1323"/>
    <w:rsid w:val="009B145C"/>
    <w:rsid w:val="009B154B"/>
    <w:rsid w:val="009B1625"/>
    <w:rsid w:val="009B1682"/>
    <w:rsid w:val="009B1767"/>
    <w:rsid w:val="009B1774"/>
    <w:rsid w:val="009B1807"/>
    <w:rsid w:val="009B184B"/>
    <w:rsid w:val="009B19B6"/>
    <w:rsid w:val="009B19FF"/>
    <w:rsid w:val="009B1A33"/>
    <w:rsid w:val="009B1AD0"/>
    <w:rsid w:val="009B1ADA"/>
    <w:rsid w:val="009B1B0E"/>
    <w:rsid w:val="009B1B8C"/>
    <w:rsid w:val="009B1C4F"/>
    <w:rsid w:val="009B1D47"/>
    <w:rsid w:val="009B1D59"/>
    <w:rsid w:val="009B1E3D"/>
    <w:rsid w:val="009B1E7F"/>
    <w:rsid w:val="009B1F6B"/>
    <w:rsid w:val="009B1FAF"/>
    <w:rsid w:val="009B1FF1"/>
    <w:rsid w:val="009B217F"/>
    <w:rsid w:val="009B2202"/>
    <w:rsid w:val="009B2271"/>
    <w:rsid w:val="009B2295"/>
    <w:rsid w:val="009B2316"/>
    <w:rsid w:val="009B23FC"/>
    <w:rsid w:val="009B247C"/>
    <w:rsid w:val="009B2596"/>
    <w:rsid w:val="009B25D2"/>
    <w:rsid w:val="009B2622"/>
    <w:rsid w:val="009B2649"/>
    <w:rsid w:val="009B265B"/>
    <w:rsid w:val="009B266E"/>
    <w:rsid w:val="009B26CB"/>
    <w:rsid w:val="009B2787"/>
    <w:rsid w:val="009B2789"/>
    <w:rsid w:val="009B2841"/>
    <w:rsid w:val="009B291E"/>
    <w:rsid w:val="009B295B"/>
    <w:rsid w:val="009B2A43"/>
    <w:rsid w:val="009B2AAD"/>
    <w:rsid w:val="009B2AC9"/>
    <w:rsid w:val="009B2B3B"/>
    <w:rsid w:val="009B2B6D"/>
    <w:rsid w:val="009B2B7B"/>
    <w:rsid w:val="009B2BB5"/>
    <w:rsid w:val="009B2C33"/>
    <w:rsid w:val="009B2CB3"/>
    <w:rsid w:val="009B2D72"/>
    <w:rsid w:val="009B2D77"/>
    <w:rsid w:val="009B2DF0"/>
    <w:rsid w:val="009B2E40"/>
    <w:rsid w:val="009B2E5E"/>
    <w:rsid w:val="009B2EF1"/>
    <w:rsid w:val="009B2F72"/>
    <w:rsid w:val="009B2FC0"/>
    <w:rsid w:val="009B2FE8"/>
    <w:rsid w:val="009B321E"/>
    <w:rsid w:val="009B3234"/>
    <w:rsid w:val="009B3279"/>
    <w:rsid w:val="009B33BF"/>
    <w:rsid w:val="009B33C5"/>
    <w:rsid w:val="009B33F8"/>
    <w:rsid w:val="009B3401"/>
    <w:rsid w:val="009B3403"/>
    <w:rsid w:val="009B348D"/>
    <w:rsid w:val="009B3525"/>
    <w:rsid w:val="009B3580"/>
    <w:rsid w:val="009B366C"/>
    <w:rsid w:val="009B36E2"/>
    <w:rsid w:val="009B3768"/>
    <w:rsid w:val="009B3807"/>
    <w:rsid w:val="009B38C6"/>
    <w:rsid w:val="009B3A1B"/>
    <w:rsid w:val="009B3AA6"/>
    <w:rsid w:val="009B3B0C"/>
    <w:rsid w:val="009B3B97"/>
    <w:rsid w:val="009B3BE8"/>
    <w:rsid w:val="009B3C3D"/>
    <w:rsid w:val="009B3E11"/>
    <w:rsid w:val="009B3E79"/>
    <w:rsid w:val="009B3EBF"/>
    <w:rsid w:val="009B3F01"/>
    <w:rsid w:val="009B4064"/>
    <w:rsid w:val="009B41D8"/>
    <w:rsid w:val="009B42B6"/>
    <w:rsid w:val="009B42CC"/>
    <w:rsid w:val="009B4310"/>
    <w:rsid w:val="009B4353"/>
    <w:rsid w:val="009B43D6"/>
    <w:rsid w:val="009B43EE"/>
    <w:rsid w:val="009B4422"/>
    <w:rsid w:val="009B44D2"/>
    <w:rsid w:val="009B4580"/>
    <w:rsid w:val="009B45A0"/>
    <w:rsid w:val="009B45B9"/>
    <w:rsid w:val="009B45F0"/>
    <w:rsid w:val="009B46D3"/>
    <w:rsid w:val="009B486E"/>
    <w:rsid w:val="009B48F6"/>
    <w:rsid w:val="009B48FE"/>
    <w:rsid w:val="009B4967"/>
    <w:rsid w:val="009B49FB"/>
    <w:rsid w:val="009B4A5F"/>
    <w:rsid w:val="009B4B37"/>
    <w:rsid w:val="009B4B72"/>
    <w:rsid w:val="009B4CA2"/>
    <w:rsid w:val="009B4CE1"/>
    <w:rsid w:val="009B4D75"/>
    <w:rsid w:val="009B4DBD"/>
    <w:rsid w:val="009B4E52"/>
    <w:rsid w:val="009B4EF5"/>
    <w:rsid w:val="009B505B"/>
    <w:rsid w:val="009B5081"/>
    <w:rsid w:val="009B509F"/>
    <w:rsid w:val="009B50EF"/>
    <w:rsid w:val="009B50FB"/>
    <w:rsid w:val="009B51EE"/>
    <w:rsid w:val="009B52FE"/>
    <w:rsid w:val="009B5329"/>
    <w:rsid w:val="009B5472"/>
    <w:rsid w:val="009B5476"/>
    <w:rsid w:val="009B54FB"/>
    <w:rsid w:val="009B5622"/>
    <w:rsid w:val="009B56F6"/>
    <w:rsid w:val="009B5850"/>
    <w:rsid w:val="009B586E"/>
    <w:rsid w:val="009B589E"/>
    <w:rsid w:val="009B58AE"/>
    <w:rsid w:val="009B58B1"/>
    <w:rsid w:val="009B5928"/>
    <w:rsid w:val="009B5973"/>
    <w:rsid w:val="009B5A5E"/>
    <w:rsid w:val="009B5A77"/>
    <w:rsid w:val="009B5A92"/>
    <w:rsid w:val="009B5B1F"/>
    <w:rsid w:val="009B5B34"/>
    <w:rsid w:val="009B5C27"/>
    <w:rsid w:val="009B5C6E"/>
    <w:rsid w:val="009B5DBC"/>
    <w:rsid w:val="009B5DCC"/>
    <w:rsid w:val="009B5E38"/>
    <w:rsid w:val="009B5E66"/>
    <w:rsid w:val="009B5ED4"/>
    <w:rsid w:val="009B5EEF"/>
    <w:rsid w:val="009B60D7"/>
    <w:rsid w:val="009B617B"/>
    <w:rsid w:val="009B6263"/>
    <w:rsid w:val="009B629D"/>
    <w:rsid w:val="009B650A"/>
    <w:rsid w:val="009B660A"/>
    <w:rsid w:val="009B6677"/>
    <w:rsid w:val="009B672C"/>
    <w:rsid w:val="009B6747"/>
    <w:rsid w:val="009B6756"/>
    <w:rsid w:val="009B6787"/>
    <w:rsid w:val="009B67EB"/>
    <w:rsid w:val="009B67FF"/>
    <w:rsid w:val="009B6828"/>
    <w:rsid w:val="009B683A"/>
    <w:rsid w:val="009B68D1"/>
    <w:rsid w:val="009B6933"/>
    <w:rsid w:val="009B6985"/>
    <w:rsid w:val="009B69B3"/>
    <w:rsid w:val="009B6A09"/>
    <w:rsid w:val="009B6A38"/>
    <w:rsid w:val="009B6A43"/>
    <w:rsid w:val="009B6A51"/>
    <w:rsid w:val="009B6A52"/>
    <w:rsid w:val="009B6A81"/>
    <w:rsid w:val="009B6A96"/>
    <w:rsid w:val="009B6AF0"/>
    <w:rsid w:val="009B6C56"/>
    <w:rsid w:val="009B6C5A"/>
    <w:rsid w:val="009B6CD4"/>
    <w:rsid w:val="009B6D28"/>
    <w:rsid w:val="009B6D92"/>
    <w:rsid w:val="009B6DA9"/>
    <w:rsid w:val="009B6DBA"/>
    <w:rsid w:val="009B6ECA"/>
    <w:rsid w:val="009B6F8B"/>
    <w:rsid w:val="009B7010"/>
    <w:rsid w:val="009B7011"/>
    <w:rsid w:val="009B7016"/>
    <w:rsid w:val="009B70DD"/>
    <w:rsid w:val="009B71E4"/>
    <w:rsid w:val="009B7274"/>
    <w:rsid w:val="009B72A7"/>
    <w:rsid w:val="009B7370"/>
    <w:rsid w:val="009B748E"/>
    <w:rsid w:val="009B75CC"/>
    <w:rsid w:val="009B773B"/>
    <w:rsid w:val="009B783C"/>
    <w:rsid w:val="009B79B9"/>
    <w:rsid w:val="009B7A38"/>
    <w:rsid w:val="009B7B08"/>
    <w:rsid w:val="009B7B4D"/>
    <w:rsid w:val="009B7C6E"/>
    <w:rsid w:val="009B7C74"/>
    <w:rsid w:val="009B7CD4"/>
    <w:rsid w:val="009B7D5C"/>
    <w:rsid w:val="009B7DB9"/>
    <w:rsid w:val="009B7E0A"/>
    <w:rsid w:val="009B7F59"/>
    <w:rsid w:val="009B7F73"/>
    <w:rsid w:val="009C0034"/>
    <w:rsid w:val="009C0036"/>
    <w:rsid w:val="009C0051"/>
    <w:rsid w:val="009C00A6"/>
    <w:rsid w:val="009C00EC"/>
    <w:rsid w:val="009C018F"/>
    <w:rsid w:val="009C01DB"/>
    <w:rsid w:val="009C0295"/>
    <w:rsid w:val="009C034A"/>
    <w:rsid w:val="009C03B0"/>
    <w:rsid w:val="009C04A0"/>
    <w:rsid w:val="009C04A6"/>
    <w:rsid w:val="009C04A9"/>
    <w:rsid w:val="009C04EE"/>
    <w:rsid w:val="009C0523"/>
    <w:rsid w:val="009C060F"/>
    <w:rsid w:val="009C06A7"/>
    <w:rsid w:val="009C087E"/>
    <w:rsid w:val="009C0954"/>
    <w:rsid w:val="009C0A54"/>
    <w:rsid w:val="009C0AA5"/>
    <w:rsid w:val="009C0AD5"/>
    <w:rsid w:val="009C0B1D"/>
    <w:rsid w:val="009C0B3B"/>
    <w:rsid w:val="009C0CD4"/>
    <w:rsid w:val="009C0CEC"/>
    <w:rsid w:val="009C0D34"/>
    <w:rsid w:val="009C0E12"/>
    <w:rsid w:val="009C0F01"/>
    <w:rsid w:val="009C0F57"/>
    <w:rsid w:val="009C109D"/>
    <w:rsid w:val="009C1214"/>
    <w:rsid w:val="009C1227"/>
    <w:rsid w:val="009C1339"/>
    <w:rsid w:val="009C1349"/>
    <w:rsid w:val="009C1481"/>
    <w:rsid w:val="009C148D"/>
    <w:rsid w:val="009C14AE"/>
    <w:rsid w:val="009C1556"/>
    <w:rsid w:val="009C159B"/>
    <w:rsid w:val="009C15E7"/>
    <w:rsid w:val="009C160A"/>
    <w:rsid w:val="009C1636"/>
    <w:rsid w:val="009C16D7"/>
    <w:rsid w:val="009C16DD"/>
    <w:rsid w:val="009C1703"/>
    <w:rsid w:val="009C1716"/>
    <w:rsid w:val="009C176D"/>
    <w:rsid w:val="009C178E"/>
    <w:rsid w:val="009C17C8"/>
    <w:rsid w:val="009C17CD"/>
    <w:rsid w:val="009C1868"/>
    <w:rsid w:val="009C18BD"/>
    <w:rsid w:val="009C193D"/>
    <w:rsid w:val="009C19B6"/>
    <w:rsid w:val="009C1A15"/>
    <w:rsid w:val="009C1A27"/>
    <w:rsid w:val="009C1C53"/>
    <w:rsid w:val="009C1CFD"/>
    <w:rsid w:val="009C1E0A"/>
    <w:rsid w:val="009C1E2E"/>
    <w:rsid w:val="009C1F83"/>
    <w:rsid w:val="009C1F84"/>
    <w:rsid w:val="009C2154"/>
    <w:rsid w:val="009C2170"/>
    <w:rsid w:val="009C2172"/>
    <w:rsid w:val="009C21B9"/>
    <w:rsid w:val="009C221B"/>
    <w:rsid w:val="009C22EA"/>
    <w:rsid w:val="009C2364"/>
    <w:rsid w:val="009C23FD"/>
    <w:rsid w:val="009C2430"/>
    <w:rsid w:val="009C2496"/>
    <w:rsid w:val="009C259E"/>
    <w:rsid w:val="009C25BC"/>
    <w:rsid w:val="009C2792"/>
    <w:rsid w:val="009C2847"/>
    <w:rsid w:val="009C296F"/>
    <w:rsid w:val="009C29E0"/>
    <w:rsid w:val="009C2AC1"/>
    <w:rsid w:val="009C2B5B"/>
    <w:rsid w:val="009C2B6C"/>
    <w:rsid w:val="009C2BDF"/>
    <w:rsid w:val="009C2BE5"/>
    <w:rsid w:val="009C2CD9"/>
    <w:rsid w:val="009C2D3D"/>
    <w:rsid w:val="009C2D58"/>
    <w:rsid w:val="009C2E01"/>
    <w:rsid w:val="009C2E0E"/>
    <w:rsid w:val="009C2EB6"/>
    <w:rsid w:val="009C2F1E"/>
    <w:rsid w:val="009C3005"/>
    <w:rsid w:val="009C308F"/>
    <w:rsid w:val="009C32C6"/>
    <w:rsid w:val="009C3345"/>
    <w:rsid w:val="009C33B2"/>
    <w:rsid w:val="009C34B6"/>
    <w:rsid w:val="009C352A"/>
    <w:rsid w:val="009C3667"/>
    <w:rsid w:val="009C3682"/>
    <w:rsid w:val="009C3710"/>
    <w:rsid w:val="009C372C"/>
    <w:rsid w:val="009C37B0"/>
    <w:rsid w:val="009C37D2"/>
    <w:rsid w:val="009C3811"/>
    <w:rsid w:val="009C385B"/>
    <w:rsid w:val="009C38A8"/>
    <w:rsid w:val="009C38B3"/>
    <w:rsid w:val="009C39C0"/>
    <w:rsid w:val="009C3AC9"/>
    <w:rsid w:val="009C3AD2"/>
    <w:rsid w:val="009C3B54"/>
    <w:rsid w:val="009C3CE4"/>
    <w:rsid w:val="009C3D1E"/>
    <w:rsid w:val="009C3DA8"/>
    <w:rsid w:val="009C3DFA"/>
    <w:rsid w:val="009C3E3C"/>
    <w:rsid w:val="009C3EB0"/>
    <w:rsid w:val="009C3EF7"/>
    <w:rsid w:val="009C3EF9"/>
    <w:rsid w:val="009C4248"/>
    <w:rsid w:val="009C426F"/>
    <w:rsid w:val="009C428E"/>
    <w:rsid w:val="009C4353"/>
    <w:rsid w:val="009C43B2"/>
    <w:rsid w:val="009C441F"/>
    <w:rsid w:val="009C449F"/>
    <w:rsid w:val="009C457C"/>
    <w:rsid w:val="009C46CA"/>
    <w:rsid w:val="009C4779"/>
    <w:rsid w:val="009C47E1"/>
    <w:rsid w:val="009C4872"/>
    <w:rsid w:val="009C48D4"/>
    <w:rsid w:val="009C4948"/>
    <w:rsid w:val="009C49C2"/>
    <w:rsid w:val="009C4A4D"/>
    <w:rsid w:val="009C4A8E"/>
    <w:rsid w:val="009C4ACB"/>
    <w:rsid w:val="009C4B98"/>
    <w:rsid w:val="009C4BB9"/>
    <w:rsid w:val="009C4C03"/>
    <w:rsid w:val="009C4C25"/>
    <w:rsid w:val="009C4C39"/>
    <w:rsid w:val="009C4D47"/>
    <w:rsid w:val="009C4DBD"/>
    <w:rsid w:val="009C4E2D"/>
    <w:rsid w:val="009C4E8F"/>
    <w:rsid w:val="009C4EBD"/>
    <w:rsid w:val="009C500C"/>
    <w:rsid w:val="009C500D"/>
    <w:rsid w:val="009C5029"/>
    <w:rsid w:val="009C5032"/>
    <w:rsid w:val="009C50F4"/>
    <w:rsid w:val="009C50F7"/>
    <w:rsid w:val="009C523D"/>
    <w:rsid w:val="009C52B3"/>
    <w:rsid w:val="009C5461"/>
    <w:rsid w:val="009C554E"/>
    <w:rsid w:val="009C5595"/>
    <w:rsid w:val="009C565C"/>
    <w:rsid w:val="009C56D1"/>
    <w:rsid w:val="009C5769"/>
    <w:rsid w:val="009C578C"/>
    <w:rsid w:val="009C5799"/>
    <w:rsid w:val="009C57B6"/>
    <w:rsid w:val="009C57E5"/>
    <w:rsid w:val="009C57FE"/>
    <w:rsid w:val="009C5804"/>
    <w:rsid w:val="009C585E"/>
    <w:rsid w:val="009C586D"/>
    <w:rsid w:val="009C596D"/>
    <w:rsid w:val="009C59A0"/>
    <w:rsid w:val="009C5A01"/>
    <w:rsid w:val="009C5A54"/>
    <w:rsid w:val="009C5B15"/>
    <w:rsid w:val="009C5B27"/>
    <w:rsid w:val="009C5B31"/>
    <w:rsid w:val="009C5B59"/>
    <w:rsid w:val="009C5BB1"/>
    <w:rsid w:val="009C5C91"/>
    <w:rsid w:val="009C5D3A"/>
    <w:rsid w:val="009C5D7A"/>
    <w:rsid w:val="009C5D95"/>
    <w:rsid w:val="009C5DC5"/>
    <w:rsid w:val="009C5FA4"/>
    <w:rsid w:val="009C5FE8"/>
    <w:rsid w:val="009C6010"/>
    <w:rsid w:val="009C6097"/>
    <w:rsid w:val="009C609C"/>
    <w:rsid w:val="009C60B6"/>
    <w:rsid w:val="009C6100"/>
    <w:rsid w:val="009C620C"/>
    <w:rsid w:val="009C62C0"/>
    <w:rsid w:val="009C62D5"/>
    <w:rsid w:val="009C6439"/>
    <w:rsid w:val="009C64D5"/>
    <w:rsid w:val="009C65BC"/>
    <w:rsid w:val="009C65DE"/>
    <w:rsid w:val="009C6638"/>
    <w:rsid w:val="009C6695"/>
    <w:rsid w:val="009C6748"/>
    <w:rsid w:val="009C674F"/>
    <w:rsid w:val="009C67EB"/>
    <w:rsid w:val="009C687B"/>
    <w:rsid w:val="009C687D"/>
    <w:rsid w:val="009C6899"/>
    <w:rsid w:val="009C6904"/>
    <w:rsid w:val="009C6926"/>
    <w:rsid w:val="009C694B"/>
    <w:rsid w:val="009C69BA"/>
    <w:rsid w:val="009C6A88"/>
    <w:rsid w:val="009C6BAA"/>
    <w:rsid w:val="009C6BF9"/>
    <w:rsid w:val="009C6C5D"/>
    <w:rsid w:val="009C6CD0"/>
    <w:rsid w:val="009C6CE9"/>
    <w:rsid w:val="009C6DDC"/>
    <w:rsid w:val="009C6E36"/>
    <w:rsid w:val="009C6E4B"/>
    <w:rsid w:val="009C6E99"/>
    <w:rsid w:val="009C6FD9"/>
    <w:rsid w:val="009C6FE8"/>
    <w:rsid w:val="009C6FEB"/>
    <w:rsid w:val="009C71D2"/>
    <w:rsid w:val="009C71FA"/>
    <w:rsid w:val="009C7278"/>
    <w:rsid w:val="009C728E"/>
    <w:rsid w:val="009C72D8"/>
    <w:rsid w:val="009C73A5"/>
    <w:rsid w:val="009C73BF"/>
    <w:rsid w:val="009C748C"/>
    <w:rsid w:val="009C75AF"/>
    <w:rsid w:val="009C765D"/>
    <w:rsid w:val="009C7660"/>
    <w:rsid w:val="009C773D"/>
    <w:rsid w:val="009C776F"/>
    <w:rsid w:val="009C7778"/>
    <w:rsid w:val="009C77DA"/>
    <w:rsid w:val="009C783C"/>
    <w:rsid w:val="009C7850"/>
    <w:rsid w:val="009C7858"/>
    <w:rsid w:val="009C78B0"/>
    <w:rsid w:val="009C795E"/>
    <w:rsid w:val="009C79FF"/>
    <w:rsid w:val="009C7A9B"/>
    <w:rsid w:val="009C7ADA"/>
    <w:rsid w:val="009C7B10"/>
    <w:rsid w:val="009C7B4B"/>
    <w:rsid w:val="009C7BCD"/>
    <w:rsid w:val="009C7C61"/>
    <w:rsid w:val="009C7C74"/>
    <w:rsid w:val="009C7CA8"/>
    <w:rsid w:val="009C7CCF"/>
    <w:rsid w:val="009C7E46"/>
    <w:rsid w:val="009C7E87"/>
    <w:rsid w:val="009C7EE1"/>
    <w:rsid w:val="009C7EEC"/>
    <w:rsid w:val="009C7EFE"/>
    <w:rsid w:val="009C7F7F"/>
    <w:rsid w:val="009D000A"/>
    <w:rsid w:val="009D0083"/>
    <w:rsid w:val="009D00B8"/>
    <w:rsid w:val="009D011E"/>
    <w:rsid w:val="009D012B"/>
    <w:rsid w:val="009D02F4"/>
    <w:rsid w:val="009D0396"/>
    <w:rsid w:val="009D0406"/>
    <w:rsid w:val="009D0450"/>
    <w:rsid w:val="009D045A"/>
    <w:rsid w:val="009D055E"/>
    <w:rsid w:val="009D05B0"/>
    <w:rsid w:val="009D05DB"/>
    <w:rsid w:val="009D0725"/>
    <w:rsid w:val="009D084E"/>
    <w:rsid w:val="009D08A4"/>
    <w:rsid w:val="009D08A5"/>
    <w:rsid w:val="009D08BD"/>
    <w:rsid w:val="009D098A"/>
    <w:rsid w:val="009D09A8"/>
    <w:rsid w:val="009D09FE"/>
    <w:rsid w:val="009D0B6D"/>
    <w:rsid w:val="009D0BCF"/>
    <w:rsid w:val="009D0C44"/>
    <w:rsid w:val="009D0C49"/>
    <w:rsid w:val="009D0CBF"/>
    <w:rsid w:val="009D0CE2"/>
    <w:rsid w:val="009D0D8E"/>
    <w:rsid w:val="009D0D90"/>
    <w:rsid w:val="009D0DA4"/>
    <w:rsid w:val="009D0DAF"/>
    <w:rsid w:val="009D0E29"/>
    <w:rsid w:val="009D0F1E"/>
    <w:rsid w:val="009D0FA9"/>
    <w:rsid w:val="009D10C8"/>
    <w:rsid w:val="009D10E4"/>
    <w:rsid w:val="009D10F7"/>
    <w:rsid w:val="009D1144"/>
    <w:rsid w:val="009D11D7"/>
    <w:rsid w:val="009D1291"/>
    <w:rsid w:val="009D135E"/>
    <w:rsid w:val="009D1376"/>
    <w:rsid w:val="009D13E4"/>
    <w:rsid w:val="009D13E8"/>
    <w:rsid w:val="009D146C"/>
    <w:rsid w:val="009D1595"/>
    <w:rsid w:val="009D15BD"/>
    <w:rsid w:val="009D15FC"/>
    <w:rsid w:val="009D15FE"/>
    <w:rsid w:val="009D160E"/>
    <w:rsid w:val="009D1664"/>
    <w:rsid w:val="009D1685"/>
    <w:rsid w:val="009D16BF"/>
    <w:rsid w:val="009D1747"/>
    <w:rsid w:val="009D1772"/>
    <w:rsid w:val="009D17C8"/>
    <w:rsid w:val="009D181D"/>
    <w:rsid w:val="009D1934"/>
    <w:rsid w:val="009D199B"/>
    <w:rsid w:val="009D1A11"/>
    <w:rsid w:val="009D1A65"/>
    <w:rsid w:val="009D1A86"/>
    <w:rsid w:val="009D1A9E"/>
    <w:rsid w:val="009D1B95"/>
    <w:rsid w:val="009D1BEF"/>
    <w:rsid w:val="009D1C54"/>
    <w:rsid w:val="009D1C5E"/>
    <w:rsid w:val="009D1CCB"/>
    <w:rsid w:val="009D1E12"/>
    <w:rsid w:val="009D1E4B"/>
    <w:rsid w:val="009D1E62"/>
    <w:rsid w:val="009D1F33"/>
    <w:rsid w:val="009D1FDD"/>
    <w:rsid w:val="009D2025"/>
    <w:rsid w:val="009D221A"/>
    <w:rsid w:val="009D2238"/>
    <w:rsid w:val="009D226D"/>
    <w:rsid w:val="009D2295"/>
    <w:rsid w:val="009D2312"/>
    <w:rsid w:val="009D2439"/>
    <w:rsid w:val="009D245D"/>
    <w:rsid w:val="009D249E"/>
    <w:rsid w:val="009D2627"/>
    <w:rsid w:val="009D2699"/>
    <w:rsid w:val="009D26C5"/>
    <w:rsid w:val="009D2770"/>
    <w:rsid w:val="009D27E0"/>
    <w:rsid w:val="009D287F"/>
    <w:rsid w:val="009D28CA"/>
    <w:rsid w:val="009D2949"/>
    <w:rsid w:val="009D298A"/>
    <w:rsid w:val="009D2A45"/>
    <w:rsid w:val="009D2AD4"/>
    <w:rsid w:val="009D2AE1"/>
    <w:rsid w:val="009D2B6E"/>
    <w:rsid w:val="009D2B76"/>
    <w:rsid w:val="009D2BA7"/>
    <w:rsid w:val="009D2BB8"/>
    <w:rsid w:val="009D2BE4"/>
    <w:rsid w:val="009D2CBF"/>
    <w:rsid w:val="009D2D9F"/>
    <w:rsid w:val="009D2DA9"/>
    <w:rsid w:val="009D2DAF"/>
    <w:rsid w:val="009D2DDB"/>
    <w:rsid w:val="009D2E40"/>
    <w:rsid w:val="009D2E93"/>
    <w:rsid w:val="009D2EA9"/>
    <w:rsid w:val="009D3038"/>
    <w:rsid w:val="009D312B"/>
    <w:rsid w:val="009D32B8"/>
    <w:rsid w:val="009D3353"/>
    <w:rsid w:val="009D338B"/>
    <w:rsid w:val="009D34C0"/>
    <w:rsid w:val="009D34E4"/>
    <w:rsid w:val="009D34F9"/>
    <w:rsid w:val="009D358A"/>
    <w:rsid w:val="009D35AC"/>
    <w:rsid w:val="009D35FB"/>
    <w:rsid w:val="009D3651"/>
    <w:rsid w:val="009D373B"/>
    <w:rsid w:val="009D3918"/>
    <w:rsid w:val="009D3936"/>
    <w:rsid w:val="009D397E"/>
    <w:rsid w:val="009D39EF"/>
    <w:rsid w:val="009D3BB4"/>
    <w:rsid w:val="009D3BE2"/>
    <w:rsid w:val="009D3CEC"/>
    <w:rsid w:val="009D3CFF"/>
    <w:rsid w:val="009D3DCD"/>
    <w:rsid w:val="009D3DD9"/>
    <w:rsid w:val="009D3E3A"/>
    <w:rsid w:val="009D3EE5"/>
    <w:rsid w:val="009D400A"/>
    <w:rsid w:val="009D4019"/>
    <w:rsid w:val="009D40A5"/>
    <w:rsid w:val="009D4155"/>
    <w:rsid w:val="009D41C1"/>
    <w:rsid w:val="009D4273"/>
    <w:rsid w:val="009D4302"/>
    <w:rsid w:val="009D4317"/>
    <w:rsid w:val="009D4318"/>
    <w:rsid w:val="009D43A2"/>
    <w:rsid w:val="009D43C4"/>
    <w:rsid w:val="009D43DB"/>
    <w:rsid w:val="009D44ED"/>
    <w:rsid w:val="009D4500"/>
    <w:rsid w:val="009D4557"/>
    <w:rsid w:val="009D459C"/>
    <w:rsid w:val="009D45FE"/>
    <w:rsid w:val="009D461E"/>
    <w:rsid w:val="009D4625"/>
    <w:rsid w:val="009D46A7"/>
    <w:rsid w:val="009D471C"/>
    <w:rsid w:val="009D473A"/>
    <w:rsid w:val="009D4863"/>
    <w:rsid w:val="009D48B3"/>
    <w:rsid w:val="009D48D5"/>
    <w:rsid w:val="009D492F"/>
    <w:rsid w:val="009D4A65"/>
    <w:rsid w:val="009D4B25"/>
    <w:rsid w:val="009D4B5E"/>
    <w:rsid w:val="009D4BBE"/>
    <w:rsid w:val="009D4D70"/>
    <w:rsid w:val="009D4E16"/>
    <w:rsid w:val="009D4F40"/>
    <w:rsid w:val="009D4F6D"/>
    <w:rsid w:val="009D505D"/>
    <w:rsid w:val="009D505F"/>
    <w:rsid w:val="009D5122"/>
    <w:rsid w:val="009D5178"/>
    <w:rsid w:val="009D51A3"/>
    <w:rsid w:val="009D5249"/>
    <w:rsid w:val="009D5253"/>
    <w:rsid w:val="009D53FA"/>
    <w:rsid w:val="009D567E"/>
    <w:rsid w:val="009D5685"/>
    <w:rsid w:val="009D5893"/>
    <w:rsid w:val="009D589C"/>
    <w:rsid w:val="009D59FF"/>
    <w:rsid w:val="009D5A5B"/>
    <w:rsid w:val="009D5A6A"/>
    <w:rsid w:val="009D5A75"/>
    <w:rsid w:val="009D5AA1"/>
    <w:rsid w:val="009D5C0A"/>
    <w:rsid w:val="009D5D04"/>
    <w:rsid w:val="009D5D40"/>
    <w:rsid w:val="009D5D91"/>
    <w:rsid w:val="009D5EFC"/>
    <w:rsid w:val="009D613D"/>
    <w:rsid w:val="009D6159"/>
    <w:rsid w:val="009D6294"/>
    <w:rsid w:val="009D6347"/>
    <w:rsid w:val="009D6393"/>
    <w:rsid w:val="009D651E"/>
    <w:rsid w:val="009D65D1"/>
    <w:rsid w:val="009D65EC"/>
    <w:rsid w:val="009D6620"/>
    <w:rsid w:val="009D67DF"/>
    <w:rsid w:val="009D68C3"/>
    <w:rsid w:val="009D696E"/>
    <w:rsid w:val="009D6A50"/>
    <w:rsid w:val="009D6B4D"/>
    <w:rsid w:val="009D6C54"/>
    <w:rsid w:val="009D6E94"/>
    <w:rsid w:val="009D6EA8"/>
    <w:rsid w:val="009D7073"/>
    <w:rsid w:val="009D710B"/>
    <w:rsid w:val="009D71C0"/>
    <w:rsid w:val="009D71F7"/>
    <w:rsid w:val="009D7295"/>
    <w:rsid w:val="009D72B0"/>
    <w:rsid w:val="009D742F"/>
    <w:rsid w:val="009D743C"/>
    <w:rsid w:val="009D747D"/>
    <w:rsid w:val="009D7490"/>
    <w:rsid w:val="009D74A1"/>
    <w:rsid w:val="009D74E8"/>
    <w:rsid w:val="009D766F"/>
    <w:rsid w:val="009D7681"/>
    <w:rsid w:val="009D76E9"/>
    <w:rsid w:val="009D77CE"/>
    <w:rsid w:val="009D7824"/>
    <w:rsid w:val="009D78D9"/>
    <w:rsid w:val="009D79A2"/>
    <w:rsid w:val="009D7AE5"/>
    <w:rsid w:val="009D7B33"/>
    <w:rsid w:val="009D7BF2"/>
    <w:rsid w:val="009D7C42"/>
    <w:rsid w:val="009D7C95"/>
    <w:rsid w:val="009D7CF8"/>
    <w:rsid w:val="009D7D24"/>
    <w:rsid w:val="009D7D28"/>
    <w:rsid w:val="009D7DE3"/>
    <w:rsid w:val="009D7DF8"/>
    <w:rsid w:val="009D7E5F"/>
    <w:rsid w:val="009D7E60"/>
    <w:rsid w:val="009D7EB8"/>
    <w:rsid w:val="009D7FC8"/>
    <w:rsid w:val="009D81AA"/>
    <w:rsid w:val="009E000E"/>
    <w:rsid w:val="009E004A"/>
    <w:rsid w:val="009E00EE"/>
    <w:rsid w:val="009E0196"/>
    <w:rsid w:val="009E0229"/>
    <w:rsid w:val="009E0269"/>
    <w:rsid w:val="009E02D9"/>
    <w:rsid w:val="009E02FC"/>
    <w:rsid w:val="009E0319"/>
    <w:rsid w:val="009E0382"/>
    <w:rsid w:val="009E0415"/>
    <w:rsid w:val="009E04EE"/>
    <w:rsid w:val="009E057C"/>
    <w:rsid w:val="009E066B"/>
    <w:rsid w:val="009E06B7"/>
    <w:rsid w:val="009E0712"/>
    <w:rsid w:val="009E080A"/>
    <w:rsid w:val="009E0866"/>
    <w:rsid w:val="009E095D"/>
    <w:rsid w:val="009E0977"/>
    <w:rsid w:val="009E0A24"/>
    <w:rsid w:val="009E0A93"/>
    <w:rsid w:val="009E0B0A"/>
    <w:rsid w:val="009E0B4A"/>
    <w:rsid w:val="009E0B4B"/>
    <w:rsid w:val="009E0B50"/>
    <w:rsid w:val="009E0B58"/>
    <w:rsid w:val="009E0CD0"/>
    <w:rsid w:val="009E0CD2"/>
    <w:rsid w:val="009E0D5B"/>
    <w:rsid w:val="009E0F7A"/>
    <w:rsid w:val="009E10BC"/>
    <w:rsid w:val="009E116F"/>
    <w:rsid w:val="009E1187"/>
    <w:rsid w:val="009E1192"/>
    <w:rsid w:val="009E11BE"/>
    <w:rsid w:val="009E11F7"/>
    <w:rsid w:val="009E1244"/>
    <w:rsid w:val="009E12D4"/>
    <w:rsid w:val="009E1341"/>
    <w:rsid w:val="009E1390"/>
    <w:rsid w:val="009E1394"/>
    <w:rsid w:val="009E1448"/>
    <w:rsid w:val="009E148D"/>
    <w:rsid w:val="009E150C"/>
    <w:rsid w:val="009E1515"/>
    <w:rsid w:val="009E152F"/>
    <w:rsid w:val="009E161B"/>
    <w:rsid w:val="009E163D"/>
    <w:rsid w:val="009E1708"/>
    <w:rsid w:val="009E177B"/>
    <w:rsid w:val="009E1918"/>
    <w:rsid w:val="009E1955"/>
    <w:rsid w:val="009E1978"/>
    <w:rsid w:val="009E19BE"/>
    <w:rsid w:val="009E1A33"/>
    <w:rsid w:val="009E1ADA"/>
    <w:rsid w:val="009E1B76"/>
    <w:rsid w:val="009E1CA2"/>
    <w:rsid w:val="009E1CFF"/>
    <w:rsid w:val="009E1D97"/>
    <w:rsid w:val="009E1EF6"/>
    <w:rsid w:val="009E1F45"/>
    <w:rsid w:val="009E1F54"/>
    <w:rsid w:val="009E1FD0"/>
    <w:rsid w:val="009E1FEE"/>
    <w:rsid w:val="009E2006"/>
    <w:rsid w:val="009E201F"/>
    <w:rsid w:val="009E210C"/>
    <w:rsid w:val="009E2169"/>
    <w:rsid w:val="009E21E2"/>
    <w:rsid w:val="009E21F6"/>
    <w:rsid w:val="009E2257"/>
    <w:rsid w:val="009E2333"/>
    <w:rsid w:val="009E2384"/>
    <w:rsid w:val="009E2396"/>
    <w:rsid w:val="009E23EA"/>
    <w:rsid w:val="009E240E"/>
    <w:rsid w:val="009E2436"/>
    <w:rsid w:val="009E2480"/>
    <w:rsid w:val="009E24A4"/>
    <w:rsid w:val="009E24D9"/>
    <w:rsid w:val="009E2638"/>
    <w:rsid w:val="009E26A0"/>
    <w:rsid w:val="009E27E3"/>
    <w:rsid w:val="009E2885"/>
    <w:rsid w:val="009E28BC"/>
    <w:rsid w:val="009E29AE"/>
    <w:rsid w:val="009E29CC"/>
    <w:rsid w:val="009E2A09"/>
    <w:rsid w:val="009E2A0C"/>
    <w:rsid w:val="009E2B87"/>
    <w:rsid w:val="009E2C95"/>
    <w:rsid w:val="009E2D24"/>
    <w:rsid w:val="009E2EA0"/>
    <w:rsid w:val="009E2EA2"/>
    <w:rsid w:val="009E2EA5"/>
    <w:rsid w:val="009E2EF9"/>
    <w:rsid w:val="009E2F7A"/>
    <w:rsid w:val="009E2F80"/>
    <w:rsid w:val="009E301E"/>
    <w:rsid w:val="009E303C"/>
    <w:rsid w:val="009E305F"/>
    <w:rsid w:val="009E3179"/>
    <w:rsid w:val="009E337B"/>
    <w:rsid w:val="009E33F0"/>
    <w:rsid w:val="009E3441"/>
    <w:rsid w:val="009E347B"/>
    <w:rsid w:val="009E34A1"/>
    <w:rsid w:val="009E34E9"/>
    <w:rsid w:val="009E35AD"/>
    <w:rsid w:val="009E363A"/>
    <w:rsid w:val="009E366B"/>
    <w:rsid w:val="009E36FF"/>
    <w:rsid w:val="009E3706"/>
    <w:rsid w:val="009E3707"/>
    <w:rsid w:val="009E3736"/>
    <w:rsid w:val="009E37D3"/>
    <w:rsid w:val="009E37E9"/>
    <w:rsid w:val="009E37FF"/>
    <w:rsid w:val="009E3824"/>
    <w:rsid w:val="009E3890"/>
    <w:rsid w:val="009E3998"/>
    <w:rsid w:val="009E3B09"/>
    <w:rsid w:val="009E3B22"/>
    <w:rsid w:val="009E3D12"/>
    <w:rsid w:val="009E3D62"/>
    <w:rsid w:val="009E3E28"/>
    <w:rsid w:val="009E3EB0"/>
    <w:rsid w:val="009E3F25"/>
    <w:rsid w:val="009E3F2B"/>
    <w:rsid w:val="009E40EF"/>
    <w:rsid w:val="009E4177"/>
    <w:rsid w:val="009E41BA"/>
    <w:rsid w:val="009E41DB"/>
    <w:rsid w:val="009E4207"/>
    <w:rsid w:val="009E422F"/>
    <w:rsid w:val="009E431F"/>
    <w:rsid w:val="009E43AD"/>
    <w:rsid w:val="009E4404"/>
    <w:rsid w:val="009E4467"/>
    <w:rsid w:val="009E4538"/>
    <w:rsid w:val="009E457D"/>
    <w:rsid w:val="009E45DF"/>
    <w:rsid w:val="009E4620"/>
    <w:rsid w:val="009E4687"/>
    <w:rsid w:val="009E46FD"/>
    <w:rsid w:val="009E471D"/>
    <w:rsid w:val="009E4781"/>
    <w:rsid w:val="009E478E"/>
    <w:rsid w:val="009E47DA"/>
    <w:rsid w:val="009E4861"/>
    <w:rsid w:val="009E490C"/>
    <w:rsid w:val="009E49EB"/>
    <w:rsid w:val="009E4A11"/>
    <w:rsid w:val="009E4BF4"/>
    <w:rsid w:val="009E4C48"/>
    <w:rsid w:val="009E4C86"/>
    <w:rsid w:val="009E4CA4"/>
    <w:rsid w:val="009E4CFB"/>
    <w:rsid w:val="009E4DBD"/>
    <w:rsid w:val="009E4DC5"/>
    <w:rsid w:val="009E4DE2"/>
    <w:rsid w:val="009E4DFF"/>
    <w:rsid w:val="009E4E62"/>
    <w:rsid w:val="009E4EED"/>
    <w:rsid w:val="009E4EF1"/>
    <w:rsid w:val="009E4F1E"/>
    <w:rsid w:val="009E4FAE"/>
    <w:rsid w:val="009E5028"/>
    <w:rsid w:val="009E50BB"/>
    <w:rsid w:val="009E50EF"/>
    <w:rsid w:val="009E50FB"/>
    <w:rsid w:val="009E5163"/>
    <w:rsid w:val="009E51C9"/>
    <w:rsid w:val="009E51F2"/>
    <w:rsid w:val="009E5280"/>
    <w:rsid w:val="009E5384"/>
    <w:rsid w:val="009E5386"/>
    <w:rsid w:val="009E557D"/>
    <w:rsid w:val="009E5604"/>
    <w:rsid w:val="009E561D"/>
    <w:rsid w:val="009E5644"/>
    <w:rsid w:val="009E5790"/>
    <w:rsid w:val="009E588A"/>
    <w:rsid w:val="009E5891"/>
    <w:rsid w:val="009E58E6"/>
    <w:rsid w:val="009E5B82"/>
    <w:rsid w:val="009E5BF9"/>
    <w:rsid w:val="009E5C05"/>
    <w:rsid w:val="009E5CD3"/>
    <w:rsid w:val="009E5CEA"/>
    <w:rsid w:val="009E5CF3"/>
    <w:rsid w:val="009E5D4F"/>
    <w:rsid w:val="009E5DD1"/>
    <w:rsid w:val="009E5E0A"/>
    <w:rsid w:val="009E5E2D"/>
    <w:rsid w:val="009E5E43"/>
    <w:rsid w:val="009E5E68"/>
    <w:rsid w:val="009E5F1E"/>
    <w:rsid w:val="009E5F47"/>
    <w:rsid w:val="009E5F4D"/>
    <w:rsid w:val="009E5F70"/>
    <w:rsid w:val="009E5FF4"/>
    <w:rsid w:val="009E60AD"/>
    <w:rsid w:val="009E61A8"/>
    <w:rsid w:val="009E61B9"/>
    <w:rsid w:val="009E6217"/>
    <w:rsid w:val="009E6392"/>
    <w:rsid w:val="009E6410"/>
    <w:rsid w:val="009E644D"/>
    <w:rsid w:val="009E6474"/>
    <w:rsid w:val="009E654C"/>
    <w:rsid w:val="009E65CE"/>
    <w:rsid w:val="009E663B"/>
    <w:rsid w:val="009E668F"/>
    <w:rsid w:val="009E66DD"/>
    <w:rsid w:val="009E6739"/>
    <w:rsid w:val="009E6764"/>
    <w:rsid w:val="009E67A3"/>
    <w:rsid w:val="009E68C8"/>
    <w:rsid w:val="009E68F1"/>
    <w:rsid w:val="009E68F4"/>
    <w:rsid w:val="009E6914"/>
    <w:rsid w:val="009E69B8"/>
    <w:rsid w:val="009E6AB5"/>
    <w:rsid w:val="009E6AE6"/>
    <w:rsid w:val="009E6C07"/>
    <w:rsid w:val="009E6CFE"/>
    <w:rsid w:val="009E6DAB"/>
    <w:rsid w:val="009E6E05"/>
    <w:rsid w:val="009E6EB2"/>
    <w:rsid w:val="009E6ED6"/>
    <w:rsid w:val="009E6F4B"/>
    <w:rsid w:val="009E6F86"/>
    <w:rsid w:val="009E703C"/>
    <w:rsid w:val="009E7079"/>
    <w:rsid w:val="009E7081"/>
    <w:rsid w:val="009E7098"/>
    <w:rsid w:val="009E7099"/>
    <w:rsid w:val="009E70F5"/>
    <w:rsid w:val="009E71D2"/>
    <w:rsid w:val="009E7219"/>
    <w:rsid w:val="009E7265"/>
    <w:rsid w:val="009E7395"/>
    <w:rsid w:val="009E73D5"/>
    <w:rsid w:val="009E7409"/>
    <w:rsid w:val="009E7448"/>
    <w:rsid w:val="009E7495"/>
    <w:rsid w:val="009E74D9"/>
    <w:rsid w:val="009E757D"/>
    <w:rsid w:val="009E75BC"/>
    <w:rsid w:val="009E7659"/>
    <w:rsid w:val="009E765E"/>
    <w:rsid w:val="009E76D3"/>
    <w:rsid w:val="009E7743"/>
    <w:rsid w:val="009E7898"/>
    <w:rsid w:val="009E7923"/>
    <w:rsid w:val="009E7A38"/>
    <w:rsid w:val="009E7AEA"/>
    <w:rsid w:val="009E7D4D"/>
    <w:rsid w:val="009E7E4C"/>
    <w:rsid w:val="009E7E71"/>
    <w:rsid w:val="009E7EB2"/>
    <w:rsid w:val="009E7FEE"/>
    <w:rsid w:val="009F002C"/>
    <w:rsid w:val="009F0123"/>
    <w:rsid w:val="009F025A"/>
    <w:rsid w:val="009F02A7"/>
    <w:rsid w:val="009F02F2"/>
    <w:rsid w:val="009F042F"/>
    <w:rsid w:val="009F0524"/>
    <w:rsid w:val="009F05A2"/>
    <w:rsid w:val="009F066F"/>
    <w:rsid w:val="009F0698"/>
    <w:rsid w:val="009F06A0"/>
    <w:rsid w:val="009F06AE"/>
    <w:rsid w:val="009F06E5"/>
    <w:rsid w:val="009F0719"/>
    <w:rsid w:val="009F0788"/>
    <w:rsid w:val="009F0816"/>
    <w:rsid w:val="009F083C"/>
    <w:rsid w:val="009F0873"/>
    <w:rsid w:val="009F08F5"/>
    <w:rsid w:val="009F0956"/>
    <w:rsid w:val="009F0978"/>
    <w:rsid w:val="009F097E"/>
    <w:rsid w:val="009F0987"/>
    <w:rsid w:val="009F099E"/>
    <w:rsid w:val="009F09FE"/>
    <w:rsid w:val="009F0A13"/>
    <w:rsid w:val="009F0B9E"/>
    <w:rsid w:val="009F0DF8"/>
    <w:rsid w:val="009F0E26"/>
    <w:rsid w:val="009F0EE5"/>
    <w:rsid w:val="009F0F0E"/>
    <w:rsid w:val="009F0F9D"/>
    <w:rsid w:val="009F0FA0"/>
    <w:rsid w:val="009F1099"/>
    <w:rsid w:val="009F10F7"/>
    <w:rsid w:val="009F11A6"/>
    <w:rsid w:val="009F1264"/>
    <w:rsid w:val="009F13FA"/>
    <w:rsid w:val="009F14AE"/>
    <w:rsid w:val="009F14B4"/>
    <w:rsid w:val="009F1564"/>
    <w:rsid w:val="009F1696"/>
    <w:rsid w:val="009F172F"/>
    <w:rsid w:val="009F180F"/>
    <w:rsid w:val="009F1852"/>
    <w:rsid w:val="009F1951"/>
    <w:rsid w:val="009F195D"/>
    <w:rsid w:val="009F1973"/>
    <w:rsid w:val="009F1A20"/>
    <w:rsid w:val="009F1AD3"/>
    <w:rsid w:val="009F1AD4"/>
    <w:rsid w:val="009F1B5D"/>
    <w:rsid w:val="009F1B88"/>
    <w:rsid w:val="009F1BDA"/>
    <w:rsid w:val="009F1C57"/>
    <w:rsid w:val="009F1C62"/>
    <w:rsid w:val="009F1DC2"/>
    <w:rsid w:val="009F1DDF"/>
    <w:rsid w:val="009F1DF3"/>
    <w:rsid w:val="009F1ECA"/>
    <w:rsid w:val="009F1F0E"/>
    <w:rsid w:val="009F206A"/>
    <w:rsid w:val="009F2073"/>
    <w:rsid w:val="009F22BB"/>
    <w:rsid w:val="009F230F"/>
    <w:rsid w:val="009F2373"/>
    <w:rsid w:val="009F240E"/>
    <w:rsid w:val="009F245B"/>
    <w:rsid w:val="009F2474"/>
    <w:rsid w:val="009F25E6"/>
    <w:rsid w:val="009F2618"/>
    <w:rsid w:val="009F267E"/>
    <w:rsid w:val="009F26EF"/>
    <w:rsid w:val="009F2703"/>
    <w:rsid w:val="009F270F"/>
    <w:rsid w:val="009F279D"/>
    <w:rsid w:val="009F27BC"/>
    <w:rsid w:val="009F27BF"/>
    <w:rsid w:val="009F27E4"/>
    <w:rsid w:val="009F2970"/>
    <w:rsid w:val="009F2BD9"/>
    <w:rsid w:val="009F2BE8"/>
    <w:rsid w:val="009F2CFB"/>
    <w:rsid w:val="009F2D30"/>
    <w:rsid w:val="009F2E09"/>
    <w:rsid w:val="009F2E33"/>
    <w:rsid w:val="009F2F09"/>
    <w:rsid w:val="009F2F83"/>
    <w:rsid w:val="009F300F"/>
    <w:rsid w:val="009F305B"/>
    <w:rsid w:val="009F3185"/>
    <w:rsid w:val="009F32AA"/>
    <w:rsid w:val="009F32C2"/>
    <w:rsid w:val="009F3371"/>
    <w:rsid w:val="009F374A"/>
    <w:rsid w:val="009F3773"/>
    <w:rsid w:val="009F3942"/>
    <w:rsid w:val="009F3967"/>
    <w:rsid w:val="009F39A7"/>
    <w:rsid w:val="009F39B0"/>
    <w:rsid w:val="009F3B54"/>
    <w:rsid w:val="009F3BD4"/>
    <w:rsid w:val="009F3C4A"/>
    <w:rsid w:val="009F3D9C"/>
    <w:rsid w:val="009F3DCE"/>
    <w:rsid w:val="009F3E18"/>
    <w:rsid w:val="009F3F5C"/>
    <w:rsid w:val="009F3F6D"/>
    <w:rsid w:val="009F4001"/>
    <w:rsid w:val="009F402F"/>
    <w:rsid w:val="009F40B7"/>
    <w:rsid w:val="009F411D"/>
    <w:rsid w:val="009F4188"/>
    <w:rsid w:val="009F4256"/>
    <w:rsid w:val="009F4302"/>
    <w:rsid w:val="009F4393"/>
    <w:rsid w:val="009F444E"/>
    <w:rsid w:val="009F445C"/>
    <w:rsid w:val="009F4485"/>
    <w:rsid w:val="009F44BF"/>
    <w:rsid w:val="009F44C6"/>
    <w:rsid w:val="009F4542"/>
    <w:rsid w:val="009F45A1"/>
    <w:rsid w:val="009F46EB"/>
    <w:rsid w:val="009F4747"/>
    <w:rsid w:val="009F474C"/>
    <w:rsid w:val="009F4910"/>
    <w:rsid w:val="009F4935"/>
    <w:rsid w:val="009F4A47"/>
    <w:rsid w:val="009F4A7A"/>
    <w:rsid w:val="009F4B2E"/>
    <w:rsid w:val="009F4BA0"/>
    <w:rsid w:val="009F4BE9"/>
    <w:rsid w:val="009F4BF9"/>
    <w:rsid w:val="009F4C0C"/>
    <w:rsid w:val="009F4CD3"/>
    <w:rsid w:val="009F4DC4"/>
    <w:rsid w:val="009F4E1A"/>
    <w:rsid w:val="009F4ECB"/>
    <w:rsid w:val="009F4EFD"/>
    <w:rsid w:val="009F5092"/>
    <w:rsid w:val="009F50F5"/>
    <w:rsid w:val="009F50F9"/>
    <w:rsid w:val="009F5176"/>
    <w:rsid w:val="009F51CE"/>
    <w:rsid w:val="009F530E"/>
    <w:rsid w:val="009F53E5"/>
    <w:rsid w:val="009F53F0"/>
    <w:rsid w:val="009F54B1"/>
    <w:rsid w:val="009F54BB"/>
    <w:rsid w:val="009F54DF"/>
    <w:rsid w:val="009F554B"/>
    <w:rsid w:val="009F555D"/>
    <w:rsid w:val="009F55C8"/>
    <w:rsid w:val="009F5667"/>
    <w:rsid w:val="009F5690"/>
    <w:rsid w:val="009F56EB"/>
    <w:rsid w:val="009F5785"/>
    <w:rsid w:val="009F5992"/>
    <w:rsid w:val="009F5999"/>
    <w:rsid w:val="009F59BC"/>
    <w:rsid w:val="009F59DD"/>
    <w:rsid w:val="009F5AD7"/>
    <w:rsid w:val="009F5AFF"/>
    <w:rsid w:val="009F5C30"/>
    <w:rsid w:val="009F5C83"/>
    <w:rsid w:val="009F5CDB"/>
    <w:rsid w:val="009F5D7C"/>
    <w:rsid w:val="009F5E0F"/>
    <w:rsid w:val="009F5EAA"/>
    <w:rsid w:val="009F6002"/>
    <w:rsid w:val="009F60C8"/>
    <w:rsid w:val="009F6185"/>
    <w:rsid w:val="009F623B"/>
    <w:rsid w:val="009F623D"/>
    <w:rsid w:val="009F6253"/>
    <w:rsid w:val="009F626A"/>
    <w:rsid w:val="009F62D3"/>
    <w:rsid w:val="009F62D4"/>
    <w:rsid w:val="009F62D6"/>
    <w:rsid w:val="009F6343"/>
    <w:rsid w:val="009F6348"/>
    <w:rsid w:val="009F63BF"/>
    <w:rsid w:val="009F63FE"/>
    <w:rsid w:val="009F6463"/>
    <w:rsid w:val="009F649C"/>
    <w:rsid w:val="009F6510"/>
    <w:rsid w:val="009F6542"/>
    <w:rsid w:val="009F65AB"/>
    <w:rsid w:val="009F6609"/>
    <w:rsid w:val="009F661C"/>
    <w:rsid w:val="009F6650"/>
    <w:rsid w:val="009F682B"/>
    <w:rsid w:val="009F68F7"/>
    <w:rsid w:val="009F6A08"/>
    <w:rsid w:val="009F6A45"/>
    <w:rsid w:val="009F6ABB"/>
    <w:rsid w:val="009F6C37"/>
    <w:rsid w:val="009F6EA7"/>
    <w:rsid w:val="009F6F4F"/>
    <w:rsid w:val="009F705E"/>
    <w:rsid w:val="009F719C"/>
    <w:rsid w:val="009F721C"/>
    <w:rsid w:val="009F7240"/>
    <w:rsid w:val="009F72AB"/>
    <w:rsid w:val="009F72BE"/>
    <w:rsid w:val="009F743E"/>
    <w:rsid w:val="009F74F1"/>
    <w:rsid w:val="009F7509"/>
    <w:rsid w:val="009F75F1"/>
    <w:rsid w:val="009F76BB"/>
    <w:rsid w:val="009F7774"/>
    <w:rsid w:val="009F77C0"/>
    <w:rsid w:val="009F7985"/>
    <w:rsid w:val="009F79FF"/>
    <w:rsid w:val="009F7A8C"/>
    <w:rsid w:val="009F7AC2"/>
    <w:rsid w:val="009F7AC6"/>
    <w:rsid w:val="009F7ACB"/>
    <w:rsid w:val="009F7AFD"/>
    <w:rsid w:val="009F7B40"/>
    <w:rsid w:val="009F7BD0"/>
    <w:rsid w:val="009F7C58"/>
    <w:rsid w:val="009F7C62"/>
    <w:rsid w:val="009F7C78"/>
    <w:rsid w:val="009F7E06"/>
    <w:rsid w:val="009F7E19"/>
    <w:rsid w:val="009F7EC2"/>
    <w:rsid w:val="009F7F54"/>
    <w:rsid w:val="00A0001D"/>
    <w:rsid w:val="00A00096"/>
    <w:rsid w:val="00A00112"/>
    <w:rsid w:val="00A0032D"/>
    <w:rsid w:val="00A00439"/>
    <w:rsid w:val="00A004CB"/>
    <w:rsid w:val="00A00545"/>
    <w:rsid w:val="00A00651"/>
    <w:rsid w:val="00A006C6"/>
    <w:rsid w:val="00A0080A"/>
    <w:rsid w:val="00A008B5"/>
    <w:rsid w:val="00A00A3B"/>
    <w:rsid w:val="00A00AB7"/>
    <w:rsid w:val="00A00B08"/>
    <w:rsid w:val="00A00B92"/>
    <w:rsid w:val="00A00BCD"/>
    <w:rsid w:val="00A00BF9"/>
    <w:rsid w:val="00A00C32"/>
    <w:rsid w:val="00A00C34"/>
    <w:rsid w:val="00A00C43"/>
    <w:rsid w:val="00A00C91"/>
    <w:rsid w:val="00A00CBF"/>
    <w:rsid w:val="00A00CCE"/>
    <w:rsid w:val="00A00E41"/>
    <w:rsid w:val="00A00E57"/>
    <w:rsid w:val="00A00E9A"/>
    <w:rsid w:val="00A00F97"/>
    <w:rsid w:val="00A00FE3"/>
    <w:rsid w:val="00A00FF8"/>
    <w:rsid w:val="00A01050"/>
    <w:rsid w:val="00A011A4"/>
    <w:rsid w:val="00A0127B"/>
    <w:rsid w:val="00A012EA"/>
    <w:rsid w:val="00A01346"/>
    <w:rsid w:val="00A01360"/>
    <w:rsid w:val="00A0136A"/>
    <w:rsid w:val="00A0138D"/>
    <w:rsid w:val="00A013A3"/>
    <w:rsid w:val="00A013ED"/>
    <w:rsid w:val="00A01420"/>
    <w:rsid w:val="00A01470"/>
    <w:rsid w:val="00A01494"/>
    <w:rsid w:val="00A015EB"/>
    <w:rsid w:val="00A01662"/>
    <w:rsid w:val="00A0173B"/>
    <w:rsid w:val="00A0177B"/>
    <w:rsid w:val="00A01796"/>
    <w:rsid w:val="00A017B4"/>
    <w:rsid w:val="00A01873"/>
    <w:rsid w:val="00A018D8"/>
    <w:rsid w:val="00A01950"/>
    <w:rsid w:val="00A0199B"/>
    <w:rsid w:val="00A01A4D"/>
    <w:rsid w:val="00A01BAE"/>
    <w:rsid w:val="00A01C53"/>
    <w:rsid w:val="00A01CA9"/>
    <w:rsid w:val="00A01CCE"/>
    <w:rsid w:val="00A01CD0"/>
    <w:rsid w:val="00A01D38"/>
    <w:rsid w:val="00A01D49"/>
    <w:rsid w:val="00A01D63"/>
    <w:rsid w:val="00A01E25"/>
    <w:rsid w:val="00A01E26"/>
    <w:rsid w:val="00A01F03"/>
    <w:rsid w:val="00A01FDC"/>
    <w:rsid w:val="00A0209A"/>
    <w:rsid w:val="00A0209D"/>
    <w:rsid w:val="00A020B8"/>
    <w:rsid w:val="00A020F3"/>
    <w:rsid w:val="00A0218B"/>
    <w:rsid w:val="00A02226"/>
    <w:rsid w:val="00A02279"/>
    <w:rsid w:val="00A0228A"/>
    <w:rsid w:val="00A0231B"/>
    <w:rsid w:val="00A023E8"/>
    <w:rsid w:val="00A02414"/>
    <w:rsid w:val="00A02448"/>
    <w:rsid w:val="00A02482"/>
    <w:rsid w:val="00A025B9"/>
    <w:rsid w:val="00A026FE"/>
    <w:rsid w:val="00A02726"/>
    <w:rsid w:val="00A02744"/>
    <w:rsid w:val="00A0276C"/>
    <w:rsid w:val="00A0287D"/>
    <w:rsid w:val="00A028B5"/>
    <w:rsid w:val="00A02977"/>
    <w:rsid w:val="00A029FC"/>
    <w:rsid w:val="00A02AAA"/>
    <w:rsid w:val="00A02AD3"/>
    <w:rsid w:val="00A02CDE"/>
    <w:rsid w:val="00A02D27"/>
    <w:rsid w:val="00A02D35"/>
    <w:rsid w:val="00A02D88"/>
    <w:rsid w:val="00A02D95"/>
    <w:rsid w:val="00A02DC8"/>
    <w:rsid w:val="00A02E1E"/>
    <w:rsid w:val="00A02F60"/>
    <w:rsid w:val="00A03058"/>
    <w:rsid w:val="00A032F4"/>
    <w:rsid w:val="00A033EC"/>
    <w:rsid w:val="00A033EE"/>
    <w:rsid w:val="00A03416"/>
    <w:rsid w:val="00A0346F"/>
    <w:rsid w:val="00A0355C"/>
    <w:rsid w:val="00A0359A"/>
    <w:rsid w:val="00A035AB"/>
    <w:rsid w:val="00A035D1"/>
    <w:rsid w:val="00A036EB"/>
    <w:rsid w:val="00A03713"/>
    <w:rsid w:val="00A03766"/>
    <w:rsid w:val="00A039CB"/>
    <w:rsid w:val="00A03A05"/>
    <w:rsid w:val="00A03A13"/>
    <w:rsid w:val="00A03AA8"/>
    <w:rsid w:val="00A03B3C"/>
    <w:rsid w:val="00A03C42"/>
    <w:rsid w:val="00A03C46"/>
    <w:rsid w:val="00A03D61"/>
    <w:rsid w:val="00A03DF6"/>
    <w:rsid w:val="00A04015"/>
    <w:rsid w:val="00A040CD"/>
    <w:rsid w:val="00A04128"/>
    <w:rsid w:val="00A041EB"/>
    <w:rsid w:val="00A04255"/>
    <w:rsid w:val="00A04429"/>
    <w:rsid w:val="00A044ED"/>
    <w:rsid w:val="00A04505"/>
    <w:rsid w:val="00A04863"/>
    <w:rsid w:val="00A0488F"/>
    <w:rsid w:val="00A0489C"/>
    <w:rsid w:val="00A048A3"/>
    <w:rsid w:val="00A04950"/>
    <w:rsid w:val="00A049B7"/>
    <w:rsid w:val="00A04AE0"/>
    <w:rsid w:val="00A04BC1"/>
    <w:rsid w:val="00A04BDF"/>
    <w:rsid w:val="00A04C36"/>
    <w:rsid w:val="00A04CE3"/>
    <w:rsid w:val="00A04CEB"/>
    <w:rsid w:val="00A04CF6"/>
    <w:rsid w:val="00A04D6B"/>
    <w:rsid w:val="00A04D8E"/>
    <w:rsid w:val="00A04EF1"/>
    <w:rsid w:val="00A04EF5"/>
    <w:rsid w:val="00A04F5B"/>
    <w:rsid w:val="00A04F81"/>
    <w:rsid w:val="00A04FDA"/>
    <w:rsid w:val="00A0510E"/>
    <w:rsid w:val="00A0513C"/>
    <w:rsid w:val="00A05283"/>
    <w:rsid w:val="00A0528E"/>
    <w:rsid w:val="00A05298"/>
    <w:rsid w:val="00A052AA"/>
    <w:rsid w:val="00A052AD"/>
    <w:rsid w:val="00A052C5"/>
    <w:rsid w:val="00A0531A"/>
    <w:rsid w:val="00A0531B"/>
    <w:rsid w:val="00A0538A"/>
    <w:rsid w:val="00A053BD"/>
    <w:rsid w:val="00A05488"/>
    <w:rsid w:val="00A056A1"/>
    <w:rsid w:val="00A056A8"/>
    <w:rsid w:val="00A0573B"/>
    <w:rsid w:val="00A05874"/>
    <w:rsid w:val="00A05875"/>
    <w:rsid w:val="00A058B5"/>
    <w:rsid w:val="00A05930"/>
    <w:rsid w:val="00A05961"/>
    <w:rsid w:val="00A05A95"/>
    <w:rsid w:val="00A05AC4"/>
    <w:rsid w:val="00A05B46"/>
    <w:rsid w:val="00A05BC9"/>
    <w:rsid w:val="00A05BDA"/>
    <w:rsid w:val="00A05CA3"/>
    <w:rsid w:val="00A05DAF"/>
    <w:rsid w:val="00A05E58"/>
    <w:rsid w:val="00A05E8D"/>
    <w:rsid w:val="00A05EA2"/>
    <w:rsid w:val="00A05EAF"/>
    <w:rsid w:val="00A05F91"/>
    <w:rsid w:val="00A06266"/>
    <w:rsid w:val="00A0629D"/>
    <w:rsid w:val="00A06408"/>
    <w:rsid w:val="00A06446"/>
    <w:rsid w:val="00A06493"/>
    <w:rsid w:val="00A06613"/>
    <w:rsid w:val="00A06697"/>
    <w:rsid w:val="00A06702"/>
    <w:rsid w:val="00A06724"/>
    <w:rsid w:val="00A0686A"/>
    <w:rsid w:val="00A069FC"/>
    <w:rsid w:val="00A06A16"/>
    <w:rsid w:val="00A06A7E"/>
    <w:rsid w:val="00A06B00"/>
    <w:rsid w:val="00A06B49"/>
    <w:rsid w:val="00A06B6D"/>
    <w:rsid w:val="00A06C40"/>
    <w:rsid w:val="00A06C5B"/>
    <w:rsid w:val="00A06CC0"/>
    <w:rsid w:val="00A06DD0"/>
    <w:rsid w:val="00A06E9A"/>
    <w:rsid w:val="00A070A8"/>
    <w:rsid w:val="00A0711E"/>
    <w:rsid w:val="00A07133"/>
    <w:rsid w:val="00A0717C"/>
    <w:rsid w:val="00A07191"/>
    <w:rsid w:val="00A07223"/>
    <w:rsid w:val="00A072A1"/>
    <w:rsid w:val="00A07304"/>
    <w:rsid w:val="00A0733A"/>
    <w:rsid w:val="00A074DE"/>
    <w:rsid w:val="00A07506"/>
    <w:rsid w:val="00A07542"/>
    <w:rsid w:val="00A07600"/>
    <w:rsid w:val="00A07640"/>
    <w:rsid w:val="00A076B2"/>
    <w:rsid w:val="00A07798"/>
    <w:rsid w:val="00A07839"/>
    <w:rsid w:val="00A078DF"/>
    <w:rsid w:val="00A0790C"/>
    <w:rsid w:val="00A0794B"/>
    <w:rsid w:val="00A0795F"/>
    <w:rsid w:val="00A079D4"/>
    <w:rsid w:val="00A07A87"/>
    <w:rsid w:val="00A07B6D"/>
    <w:rsid w:val="00A07BA4"/>
    <w:rsid w:val="00A07C7D"/>
    <w:rsid w:val="00A07CD4"/>
    <w:rsid w:val="00A07D2E"/>
    <w:rsid w:val="00A07D7C"/>
    <w:rsid w:val="00A07D81"/>
    <w:rsid w:val="00A07E16"/>
    <w:rsid w:val="00A07EA6"/>
    <w:rsid w:val="00A07EAD"/>
    <w:rsid w:val="00A07F87"/>
    <w:rsid w:val="00A10017"/>
    <w:rsid w:val="00A10040"/>
    <w:rsid w:val="00A1016F"/>
    <w:rsid w:val="00A10279"/>
    <w:rsid w:val="00A10294"/>
    <w:rsid w:val="00A10295"/>
    <w:rsid w:val="00A102CA"/>
    <w:rsid w:val="00A103E0"/>
    <w:rsid w:val="00A10558"/>
    <w:rsid w:val="00A10586"/>
    <w:rsid w:val="00A1060E"/>
    <w:rsid w:val="00A10627"/>
    <w:rsid w:val="00A107E4"/>
    <w:rsid w:val="00A1081A"/>
    <w:rsid w:val="00A10917"/>
    <w:rsid w:val="00A10918"/>
    <w:rsid w:val="00A109F6"/>
    <w:rsid w:val="00A10A48"/>
    <w:rsid w:val="00A10B86"/>
    <w:rsid w:val="00A10BE8"/>
    <w:rsid w:val="00A10C1C"/>
    <w:rsid w:val="00A10CC4"/>
    <w:rsid w:val="00A10CEE"/>
    <w:rsid w:val="00A10CFB"/>
    <w:rsid w:val="00A10D50"/>
    <w:rsid w:val="00A10D56"/>
    <w:rsid w:val="00A10D90"/>
    <w:rsid w:val="00A10E2A"/>
    <w:rsid w:val="00A10E39"/>
    <w:rsid w:val="00A10EE1"/>
    <w:rsid w:val="00A10F71"/>
    <w:rsid w:val="00A11069"/>
    <w:rsid w:val="00A110DA"/>
    <w:rsid w:val="00A11150"/>
    <w:rsid w:val="00A1116A"/>
    <w:rsid w:val="00A111B0"/>
    <w:rsid w:val="00A1127C"/>
    <w:rsid w:val="00A112E4"/>
    <w:rsid w:val="00A1132B"/>
    <w:rsid w:val="00A115AB"/>
    <w:rsid w:val="00A115B3"/>
    <w:rsid w:val="00A11621"/>
    <w:rsid w:val="00A11711"/>
    <w:rsid w:val="00A11794"/>
    <w:rsid w:val="00A1183D"/>
    <w:rsid w:val="00A1192F"/>
    <w:rsid w:val="00A11930"/>
    <w:rsid w:val="00A11997"/>
    <w:rsid w:val="00A11999"/>
    <w:rsid w:val="00A119FA"/>
    <w:rsid w:val="00A11ADD"/>
    <w:rsid w:val="00A11B3D"/>
    <w:rsid w:val="00A11B54"/>
    <w:rsid w:val="00A11CDC"/>
    <w:rsid w:val="00A11D4E"/>
    <w:rsid w:val="00A11D62"/>
    <w:rsid w:val="00A11D6C"/>
    <w:rsid w:val="00A11D8E"/>
    <w:rsid w:val="00A11E34"/>
    <w:rsid w:val="00A11EE6"/>
    <w:rsid w:val="00A11F5D"/>
    <w:rsid w:val="00A11F88"/>
    <w:rsid w:val="00A11FE5"/>
    <w:rsid w:val="00A12005"/>
    <w:rsid w:val="00A120E1"/>
    <w:rsid w:val="00A12168"/>
    <w:rsid w:val="00A12183"/>
    <w:rsid w:val="00A12265"/>
    <w:rsid w:val="00A12362"/>
    <w:rsid w:val="00A12380"/>
    <w:rsid w:val="00A1238C"/>
    <w:rsid w:val="00A123DC"/>
    <w:rsid w:val="00A1244A"/>
    <w:rsid w:val="00A124AE"/>
    <w:rsid w:val="00A12513"/>
    <w:rsid w:val="00A12562"/>
    <w:rsid w:val="00A12588"/>
    <w:rsid w:val="00A125B5"/>
    <w:rsid w:val="00A1262A"/>
    <w:rsid w:val="00A1263D"/>
    <w:rsid w:val="00A12664"/>
    <w:rsid w:val="00A126A7"/>
    <w:rsid w:val="00A1275B"/>
    <w:rsid w:val="00A128F4"/>
    <w:rsid w:val="00A1297B"/>
    <w:rsid w:val="00A12A11"/>
    <w:rsid w:val="00A12A43"/>
    <w:rsid w:val="00A12A72"/>
    <w:rsid w:val="00A12A74"/>
    <w:rsid w:val="00A12AA8"/>
    <w:rsid w:val="00A12AC6"/>
    <w:rsid w:val="00A12AF2"/>
    <w:rsid w:val="00A12BCF"/>
    <w:rsid w:val="00A12D0C"/>
    <w:rsid w:val="00A12D8A"/>
    <w:rsid w:val="00A12DB0"/>
    <w:rsid w:val="00A12E6C"/>
    <w:rsid w:val="00A12E97"/>
    <w:rsid w:val="00A12F0D"/>
    <w:rsid w:val="00A12F1F"/>
    <w:rsid w:val="00A12F68"/>
    <w:rsid w:val="00A1306E"/>
    <w:rsid w:val="00A130BE"/>
    <w:rsid w:val="00A13161"/>
    <w:rsid w:val="00A13274"/>
    <w:rsid w:val="00A132C6"/>
    <w:rsid w:val="00A1336B"/>
    <w:rsid w:val="00A13436"/>
    <w:rsid w:val="00A134CB"/>
    <w:rsid w:val="00A13592"/>
    <w:rsid w:val="00A13597"/>
    <w:rsid w:val="00A135DF"/>
    <w:rsid w:val="00A136D0"/>
    <w:rsid w:val="00A13743"/>
    <w:rsid w:val="00A13755"/>
    <w:rsid w:val="00A13804"/>
    <w:rsid w:val="00A13884"/>
    <w:rsid w:val="00A13953"/>
    <w:rsid w:val="00A139BF"/>
    <w:rsid w:val="00A139D6"/>
    <w:rsid w:val="00A13A13"/>
    <w:rsid w:val="00A13AEE"/>
    <w:rsid w:val="00A13B18"/>
    <w:rsid w:val="00A13BCA"/>
    <w:rsid w:val="00A13C8C"/>
    <w:rsid w:val="00A13D1A"/>
    <w:rsid w:val="00A13DF8"/>
    <w:rsid w:val="00A13E25"/>
    <w:rsid w:val="00A13E31"/>
    <w:rsid w:val="00A13EE8"/>
    <w:rsid w:val="00A13F97"/>
    <w:rsid w:val="00A14110"/>
    <w:rsid w:val="00A14184"/>
    <w:rsid w:val="00A14284"/>
    <w:rsid w:val="00A142F7"/>
    <w:rsid w:val="00A14368"/>
    <w:rsid w:val="00A14450"/>
    <w:rsid w:val="00A144D8"/>
    <w:rsid w:val="00A14512"/>
    <w:rsid w:val="00A145BC"/>
    <w:rsid w:val="00A145C5"/>
    <w:rsid w:val="00A145DE"/>
    <w:rsid w:val="00A1462B"/>
    <w:rsid w:val="00A14789"/>
    <w:rsid w:val="00A147C8"/>
    <w:rsid w:val="00A147E5"/>
    <w:rsid w:val="00A147FD"/>
    <w:rsid w:val="00A14840"/>
    <w:rsid w:val="00A149A1"/>
    <w:rsid w:val="00A14A32"/>
    <w:rsid w:val="00A14A41"/>
    <w:rsid w:val="00A14A93"/>
    <w:rsid w:val="00A14D49"/>
    <w:rsid w:val="00A14D6F"/>
    <w:rsid w:val="00A14D7F"/>
    <w:rsid w:val="00A14DAC"/>
    <w:rsid w:val="00A14DC2"/>
    <w:rsid w:val="00A14DD6"/>
    <w:rsid w:val="00A14DFF"/>
    <w:rsid w:val="00A14E5A"/>
    <w:rsid w:val="00A14F79"/>
    <w:rsid w:val="00A1508C"/>
    <w:rsid w:val="00A150F6"/>
    <w:rsid w:val="00A152AA"/>
    <w:rsid w:val="00A154FB"/>
    <w:rsid w:val="00A155AA"/>
    <w:rsid w:val="00A155CF"/>
    <w:rsid w:val="00A15618"/>
    <w:rsid w:val="00A1569E"/>
    <w:rsid w:val="00A15707"/>
    <w:rsid w:val="00A15730"/>
    <w:rsid w:val="00A15738"/>
    <w:rsid w:val="00A157BD"/>
    <w:rsid w:val="00A157BF"/>
    <w:rsid w:val="00A159B4"/>
    <w:rsid w:val="00A15D5E"/>
    <w:rsid w:val="00A15E29"/>
    <w:rsid w:val="00A15E30"/>
    <w:rsid w:val="00A15F61"/>
    <w:rsid w:val="00A15F93"/>
    <w:rsid w:val="00A16098"/>
    <w:rsid w:val="00A160B1"/>
    <w:rsid w:val="00A16118"/>
    <w:rsid w:val="00A1618E"/>
    <w:rsid w:val="00A161A7"/>
    <w:rsid w:val="00A161F8"/>
    <w:rsid w:val="00A1626C"/>
    <w:rsid w:val="00A16466"/>
    <w:rsid w:val="00A16539"/>
    <w:rsid w:val="00A16649"/>
    <w:rsid w:val="00A1674C"/>
    <w:rsid w:val="00A1675C"/>
    <w:rsid w:val="00A1677F"/>
    <w:rsid w:val="00A167BD"/>
    <w:rsid w:val="00A167FE"/>
    <w:rsid w:val="00A16854"/>
    <w:rsid w:val="00A16858"/>
    <w:rsid w:val="00A16881"/>
    <w:rsid w:val="00A1690B"/>
    <w:rsid w:val="00A1691F"/>
    <w:rsid w:val="00A16970"/>
    <w:rsid w:val="00A169C5"/>
    <w:rsid w:val="00A169FA"/>
    <w:rsid w:val="00A16A1F"/>
    <w:rsid w:val="00A16ACE"/>
    <w:rsid w:val="00A16B6C"/>
    <w:rsid w:val="00A16B8B"/>
    <w:rsid w:val="00A16C4F"/>
    <w:rsid w:val="00A16C99"/>
    <w:rsid w:val="00A16CD9"/>
    <w:rsid w:val="00A16DD8"/>
    <w:rsid w:val="00A16E83"/>
    <w:rsid w:val="00A16ECE"/>
    <w:rsid w:val="00A16EEC"/>
    <w:rsid w:val="00A16F41"/>
    <w:rsid w:val="00A16F79"/>
    <w:rsid w:val="00A16F9A"/>
    <w:rsid w:val="00A16FE1"/>
    <w:rsid w:val="00A1705D"/>
    <w:rsid w:val="00A1706A"/>
    <w:rsid w:val="00A17163"/>
    <w:rsid w:val="00A1716D"/>
    <w:rsid w:val="00A17192"/>
    <w:rsid w:val="00A171B4"/>
    <w:rsid w:val="00A171BB"/>
    <w:rsid w:val="00A171DD"/>
    <w:rsid w:val="00A171FF"/>
    <w:rsid w:val="00A1725D"/>
    <w:rsid w:val="00A1735D"/>
    <w:rsid w:val="00A173F4"/>
    <w:rsid w:val="00A17460"/>
    <w:rsid w:val="00A1748E"/>
    <w:rsid w:val="00A174A0"/>
    <w:rsid w:val="00A174B9"/>
    <w:rsid w:val="00A174C2"/>
    <w:rsid w:val="00A175CE"/>
    <w:rsid w:val="00A17600"/>
    <w:rsid w:val="00A1766A"/>
    <w:rsid w:val="00A176EA"/>
    <w:rsid w:val="00A1784A"/>
    <w:rsid w:val="00A1788B"/>
    <w:rsid w:val="00A17893"/>
    <w:rsid w:val="00A179A4"/>
    <w:rsid w:val="00A17A15"/>
    <w:rsid w:val="00A17B0B"/>
    <w:rsid w:val="00A17B17"/>
    <w:rsid w:val="00A17D2E"/>
    <w:rsid w:val="00A17D4C"/>
    <w:rsid w:val="00A17DC4"/>
    <w:rsid w:val="00A17EC5"/>
    <w:rsid w:val="00A17EEC"/>
    <w:rsid w:val="00A17F09"/>
    <w:rsid w:val="00A17F2E"/>
    <w:rsid w:val="00A20006"/>
    <w:rsid w:val="00A20036"/>
    <w:rsid w:val="00A20045"/>
    <w:rsid w:val="00A200F4"/>
    <w:rsid w:val="00A2014C"/>
    <w:rsid w:val="00A2018C"/>
    <w:rsid w:val="00A20200"/>
    <w:rsid w:val="00A2027E"/>
    <w:rsid w:val="00A20382"/>
    <w:rsid w:val="00A20385"/>
    <w:rsid w:val="00A203D3"/>
    <w:rsid w:val="00A204E1"/>
    <w:rsid w:val="00A204F1"/>
    <w:rsid w:val="00A205E7"/>
    <w:rsid w:val="00A205EA"/>
    <w:rsid w:val="00A2064F"/>
    <w:rsid w:val="00A206C9"/>
    <w:rsid w:val="00A206E8"/>
    <w:rsid w:val="00A2073F"/>
    <w:rsid w:val="00A2082C"/>
    <w:rsid w:val="00A2083A"/>
    <w:rsid w:val="00A208B0"/>
    <w:rsid w:val="00A2090B"/>
    <w:rsid w:val="00A2098C"/>
    <w:rsid w:val="00A20A54"/>
    <w:rsid w:val="00A20BB2"/>
    <w:rsid w:val="00A20C27"/>
    <w:rsid w:val="00A20C30"/>
    <w:rsid w:val="00A20C8E"/>
    <w:rsid w:val="00A20D61"/>
    <w:rsid w:val="00A20DDD"/>
    <w:rsid w:val="00A20DFA"/>
    <w:rsid w:val="00A20E7D"/>
    <w:rsid w:val="00A20EA4"/>
    <w:rsid w:val="00A20F00"/>
    <w:rsid w:val="00A20F18"/>
    <w:rsid w:val="00A20F2A"/>
    <w:rsid w:val="00A20F5C"/>
    <w:rsid w:val="00A2102F"/>
    <w:rsid w:val="00A21064"/>
    <w:rsid w:val="00A21105"/>
    <w:rsid w:val="00A211A6"/>
    <w:rsid w:val="00A211E7"/>
    <w:rsid w:val="00A21270"/>
    <w:rsid w:val="00A212C3"/>
    <w:rsid w:val="00A213A9"/>
    <w:rsid w:val="00A213AF"/>
    <w:rsid w:val="00A21458"/>
    <w:rsid w:val="00A2147F"/>
    <w:rsid w:val="00A21560"/>
    <w:rsid w:val="00A21574"/>
    <w:rsid w:val="00A2157A"/>
    <w:rsid w:val="00A21589"/>
    <w:rsid w:val="00A216BC"/>
    <w:rsid w:val="00A21769"/>
    <w:rsid w:val="00A217B0"/>
    <w:rsid w:val="00A217B9"/>
    <w:rsid w:val="00A21A5B"/>
    <w:rsid w:val="00A21C3E"/>
    <w:rsid w:val="00A21DBF"/>
    <w:rsid w:val="00A21E88"/>
    <w:rsid w:val="00A21F71"/>
    <w:rsid w:val="00A21FA1"/>
    <w:rsid w:val="00A21FE2"/>
    <w:rsid w:val="00A221BA"/>
    <w:rsid w:val="00A222A0"/>
    <w:rsid w:val="00A2234E"/>
    <w:rsid w:val="00A223B4"/>
    <w:rsid w:val="00A223BA"/>
    <w:rsid w:val="00A22513"/>
    <w:rsid w:val="00A226C6"/>
    <w:rsid w:val="00A227EB"/>
    <w:rsid w:val="00A22890"/>
    <w:rsid w:val="00A228AF"/>
    <w:rsid w:val="00A228C4"/>
    <w:rsid w:val="00A2295E"/>
    <w:rsid w:val="00A22A23"/>
    <w:rsid w:val="00A22A55"/>
    <w:rsid w:val="00A22B3F"/>
    <w:rsid w:val="00A22B60"/>
    <w:rsid w:val="00A22B8E"/>
    <w:rsid w:val="00A22BF1"/>
    <w:rsid w:val="00A22C10"/>
    <w:rsid w:val="00A22C47"/>
    <w:rsid w:val="00A22D1C"/>
    <w:rsid w:val="00A22D4B"/>
    <w:rsid w:val="00A22DCE"/>
    <w:rsid w:val="00A22E0B"/>
    <w:rsid w:val="00A22E49"/>
    <w:rsid w:val="00A22F12"/>
    <w:rsid w:val="00A22F35"/>
    <w:rsid w:val="00A22F92"/>
    <w:rsid w:val="00A23095"/>
    <w:rsid w:val="00A23128"/>
    <w:rsid w:val="00A2316F"/>
    <w:rsid w:val="00A231B1"/>
    <w:rsid w:val="00A23311"/>
    <w:rsid w:val="00A23384"/>
    <w:rsid w:val="00A2338A"/>
    <w:rsid w:val="00A233F0"/>
    <w:rsid w:val="00A233FB"/>
    <w:rsid w:val="00A2340B"/>
    <w:rsid w:val="00A2341D"/>
    <w:rsid w:val="00A2344F"/>
    <w:rsid w:val="00A234D1"/>
    <w:rsid w:val="00A2358B"/>
    <w:rsid w:val="00A235AD"/>
    <w:rsid w:val="00A236A1"/>
    <w:rsid w:val="00A236FC"/>
    <w:rsid w:val="00A23743"/>
    <w:rsid w:val="00A237A8"/>
    <w:rsid w:val="00A23809"/>
    <w:rsid w:val="00A238BF"/>
    <w:rsid w:val="00A23931"/>
    <w:rsid w:val="00A23933"/>
    <w:rsid w:val="00A23AAD"/>
    <w:rsid w:val="00A23BBD"/>
    <w:rsid w:val="00A23C02"/>
    <w:rsid w:val="00A23DAC"/>
    <w:rsid w:val="00A23EFF"/>
    <w:rsid w:val="00A23F91"/>
    <w:rsid w:val="00A23FB0"/>
    <w:rsid w:val="00A23FD3"/>
    <w:rsid w:val="00A23FD6"/>
    <w:rsid w:val="00A23FEC"/>
    <w:rsid w:val="00A24072"/>
    <w:rsid w:val="00A240BA"/>
    <w:rsid w:val="00A241BD"/>
    <w:rsid w:val="00A241E6"/>
    <w:rsid w:val="00A24208"/>
    <w:rsid w:val="00A242F8"/>
    <w:rsid w:val="00A2442F"/>
    <w:rsid w:val="00A2452D"/>
    <w:rsid w:val="00A24574"/>
    <w:rsid w:val="00A24704"/>
    <w:rsid w:val="00A24748"/>
    <w:rsid w:val="00A247A7"/>
    <w:rsid w:val="00A24803"/>
    <w:rsid w:val="00A24A65"/>
    <w:rsid w:val="00A24A74"/>
    <w:rsid w:val="00A24A99"/>
    <w:rsid w:val="00A24AD6"/>
    <w:rsid w:val="00A24C3D"/>
    <w:rsid w:val="00A24CBD"/>
    <w:rsid w:val="00A24D4B"/>
    <w:rsid w:val="00A24D72"/>
    <w:rsid w:val="00A24ECA"/>
    <w:rsid w:val="00A24EEE"/>
    <w:rsid w:val="00A2515E"/>
    <w:rsid w:val="00A25188"/>
    <w:rsid w:val="00A25317"/>
    <w:rsid w:val="00A25433"/>
    <w:rsid w:val="00A2543D"/>
    <w:rsid w:val="00A25633"/>
    <w:rsid w:val="00A256DF"/>
    <w:rsid w:val="00A25706"/>
    <w:rsid w:val="00A257B8"/>
    <w:rsid w:val="00A257D3"/>
    <w:rsid w:val="00A2592C"/>
    <w:rsid w:val="00A259E2"/>
    <w:rsid w:val="00A25A40"/>
    <w:rsid w:val="00A25A50"/>
    <w:rsid w:val="00A25AAC"/>
    <w:rsid w:val="00A25AB2"/>
    <w:rsid w:val="00A25ABA"/>
    <w:rsid w:val="00A25AC0"/>
    <w:rsid w:val="00A25BDC"/>
    <w:rsid w:val="00A25C55"/>
    <w:rsid w:val="00A25CB3"/>
    <w:rsid w:val="00A25CC1"/>
    <w:rsid w:val="00A25D17"/>
    <w:rsid w:val="00A25D84"/>
    <w:rsid w:val="00A25F95"/>
    <w:rsid w:val="00A25F96"/>
    <w:rsid w:val="00A26029"/>
    <w:rsid w:val="00A260F4"/>
    <w:rsid w:val="00A2611B"/>
    <w:rsid w:val="00A261F4"/>
    <w:rsid w:val="00A262E4"/>
    <w:rsid w:val="00A26488"/>
    <w:rsid w:val="00A26535"/>
    <w:rsid w:val="00A26606"/>
    <w:rsid w:val="00A266AD"/>
    <w:rsid w:val="00A266F1"/>
    <w:rsid w:val="00A26744"/>
    <w:rsid w:val="00A26833"/>
    <w:rsid w:val="00A268EA"/>
    <w:rsid w:val="00A26924"/>
    <w:rsid w:val="00A26938"/>
    <w:rsid w:val="00A26942"/>
    <w:rsid w:val="00A26968"/>
    <w:rsid w:val="00A26AB3"/>
    <w:rsid w:val="00A26ABB"/>
    <w:rsid w:val="00A26AE7"/>
    <w:rsid w:val="00A26B15"/>
    <w:rsid w:val="00A26B57"/>
    <w:rsid w:val="00A26BB7"/>
    <w:rsid w:val="00A26C29"/>
    <w:rsid w:val="00A26C54"/>
    <w:rsid w:val="00A26DF5"/>
    <w:rsid w:val="00A26E15"/>
    <w:rsid w:val="00A26E61"/>
    <w:rsid w:val="00A26E96"/>
    <w:rsid w:val="00A26F28"/>
    <w:rsid w:val="00A26F9E"/>
    <w:rsid w:val="00A26FF6"/>
    <w:rsid w:val="00A270AF"/>
    <w:rsid w:val="00A270D4"/>
    <w:rsid w:val="00A2713C"/>
    <w:rsid w:val="00A271EC"/>
    <w:rsid w:val="00A27293"/>
    <w:rsid w:val="00A272A3"/>
    <w:rsid w:val="00A272B6"/>
    <w:rsid w:val="00A272EF"/>
    <w:rsid w:val="00A27332"/>
    <w:rsid w:val="00A274F4"/>
    <w:rsid w:val="00A275CE"/>
    <w:rsid w:val="00A2769E"/>
    <w:rsid w:val="00A276D5"/>
    <w:rsid w:val="00A27715"/>
    <w:rsid w:val="00A27729"/>
    <w:rsid w:val="00A2774B"/>
    <w:rsid w:val="00A277CF"/>
    <w:rsid w:val="00A278D6"/>
    <w:rsid w:val="00A27909"/>
    <w:rsid w:val="00A2791B"/>
    <w:rsid w:val="00A2795C"/>
    <w:rsid w:val="00A2797B"/>
    <w:rsid w:val="00A27A37"/>
    <w:rsid w:val="00A27A92"/>
    <w:rsid w:val="00A27ADB"/>
    <w:rsid w:val="00A27B6B"/>
    <w:rsid w:val="00A27BA1"/>
    <w:rsid w:val="00A27C1A"/>
    <w:rsid w:val="00A27CD6"/>
    <w:rsid w:val="00A27E7E"/>
    <w:rsid w:val="00A27F67"/>
    <w:rsid w:val="00A30069"/>
    <w:rsid w:val="00A3007D"/>
    <w:rsid w:val="00A300CF"/>
    <w:rsid w:val="00A300F2"/>
    <w:rsid w:val="00A302D2"/>
    <w:rsid w:val="00A302ED"/>
    <w:rsid w:val="00A303B1"/>
    <w:rsid w:val="00A30427"/>
    <w:rsid w:val="00A30444"/>
    <w:rsid w:val="00A30611"/>
    <w:rsid w:val="00A30647"/>
    <w:rsid w:val="00A3076C"/>
    <w:rsid w:val="00A30784"/>
    <w:rsid w:val="00A3078D"/>
    <w:rsid w:val="00A30840"/>
    <w:rsid w:val="00A308BB"/>
    <w:rsid w:val="00A30929"/>
    <w:rsid w:val="00A309DD"/>
    <w:rsid w:val="00A30A8F"/>
    <w:rsid w:val="00A30AA8"/>
    <w:rsid w:val="00A30B2F"/>
    <w:rsid w:val="00A30B6D"/>
    <w:rsid w:val="00A30B6F"/>
    <w:rsid w:val="00A30BB0"/>
    <w:rsid w:val="00A30BC2"/>
    <w:rsid w:val="00A30CB8"/>
    <w:rsid w:val="00A30DAE"/>
    <w:rsid w:val="00A30E5E"/>
    <w:rsid w:val="00A30EE3"/>
    <w:rsid w:val="00A31096"/>
    <w:rsid w:val="00A31202"/>
    <w:rsid w:val="00A31231"/>
    <w:rsid w:val="00A31287"/>
    <w:rsid w:val="00A313D5"/>
    <w:rsid w:val="00A3142E"/>
    <w:rsid w:val="00A31434"/>
    <w:rsid w:val="00A31670"/>
    <w:rsid w:val="00A317BB"/>
    <w:rsid w:val="00A31801"/>
    <w:rsid w:val="00A318DF"/>
    <w:rsid w:val="00A3196B"/>
    <w:rsid w:val="00A31A3D"/>
    <w:rsid w:val="00A31A78"/>
    <w:rsid w:val="00A31AA2"/>
    <w:rsid w:val="00A31BDC"/>
    <w:rsid w:val="00A31CAD"/>
    <w:rsid w:val="00A31CE0"/>
    <w:rsid w:val="00A31D00"/>
    <w:rsid w:val="00A31D2F"/>
    <w:rsid w:val="00A31D77"/>
    <w:rsid w:val="00A31DE4"/>
    <w:rsid w:val="00A31E31"/>
    <w:rsid w:val="00A31E92"/>
    <w:rsid w:val="00A31F7A"/>
    <w:rsid w:val="00A31FA9"/>
    <w:rsid w:val="00A32072"/>
    <w:rsid w:val="00A32088"/>
    <w:rsid w:val="00A32178"/>
    <w:rsid w:val="00A321B6"/>
    <w:rsid w:val="00A32240"/>
    <w:rsid w:val="00A32266"/>
    <w:rsid w:val="00A32338"/>
    <w:rsid w:val="00A3241D"/>
    <w:rsid w:val="00A324DE"/>
    <w:rsid w:val="00A3253F"/>
    <w:rsid w:val="00A32647"/>
    <w:rsid w:val="00A3268E"/>
    <w:rsid w:val="00A32701"/>
    <w:rsid w:val="00A32747"/>
    <w:rsid w:val="00A327FA"/>
    <w:rsid w:val="00A3293C"/>
    <w:rsid w:val="00A329EC"/>
    <w:rsid w:val="00A32A74"/>
    <w:rsid w:val="00A32BB3"/>
    <w:rsid w:val="00A32BF6"/>
    <w:rsid w:val="00A32C04"/>
    <w:rsid w:val="00A32C3E"/>
    <w:rsid w:val="00A32D37"/>
    <w:rsid w:val="00A32F33"/>
    <w:rsid w:val="00A32F3F"/>
    <w:rsid w:val="00A32F60"/>
    <w:rsid w:val="00A33143"/>
    <w:rsid w:val="00A33148"/>
    <w:rsid w:val="00A33151"/>
    <w:rsid w:val="00A331A8"/>
    <w:rsid w:val="00A332A2"/>
    <w:rsid w:val="00A333BF"/>
    <w:rsid w:val="00A333C6"/>
    <w:rsid w:val="00A33469"/>
    <w:rsid w:val="00A3349F"/>
    <w:rsid w:val="00A3353E"/>
    <w:rsid w:val="00A3357E"/>
    <w:rsid w:val="00A336FB"/>
    <w:rsid w:val="00A33703"/>
    <w:rsid w:val="00A33787"/>
    <w:rsid w:val="00A33825"/>
    <w:rsid w:val="00A33891"/>
    <w:rsid w:val="00A33972"/>
    <w:rsid w:val="00A3398F"/>
    <w:rsid w:val="00A339A8"/>
    <w:rsid w:val="00A339D2"/>
    <w:rsid w:val="00A33A25"/>
    <w:rsid w:val="00A33C14"/>
    <w:rsid w:val="00A33C19"/>
    <w:rsid w:val="00A33C47"/>
    <w:rsid w:val="00A33C56"/>
    <w:rsid w:val="00A33D30"/>
    <w:rsid w:val="00A33D84"/>
    <w:rsid w:val="00A33D9E"/>
    <w:rsid w:val="00A33EAF"/>
    <w:rsid w:val="00A33EFF"/>
    <w:rsid w:val="00A33FAC"/>
    <w:rsid w:val="00A33FD6"/>
    <w:rsid w:val="00A34000"/>
    <w:rsid w:val="00A34045"/>
    <w:rsid w:val="00A34063"/>
    <w:rsid w:val="00A34097"/>
    <w:rsid w:val="00A34169"/>
    <w:rsid w:val="00A341A3"/>
    <w:rsid w:val="00A342E4"/>
    <w:rsid w:val="00A343B6"/>
    <w:rsid w:val="00A34446"/>
    <w:rsid w:val="00A34469"/>
    <w:rsid w:val="00A34493"/>
    <w:rsid w:val="00A344F7"/>
    <w:rsid w:val="00A345E2"/>
    <w:rsid w:val="00A34723"/>
    <w:rsid w:val="00A34972"/>
    <w:rsid w:val="00A34994"/>
    <w:rsid w:val="00A34998"/>
    <w:rsid w:val="00A349D9"/>
    <w:rsid w:val="00A34A9D"/>
    <w:rsid w:val="00A34AB6"/>
    <w:rsid w:val="00A34CD3"/>
    <w:rsid w:val="00A34CF4"/>
    <w:rsid w:val="00A34F16"/>
    <w:rsid w:val="00A34FCB"/>
    <w:rsid w:val="00A34FF5"/>
    <w:rsid w:val="00A3503A"/>
    <w:rsid w:val="00A350A2"/>
    <w:rsid w:val="00A3513D"/>
    <w:rsid w:val="00A35186"/>
    <w:rsid w:val="00A35369"/>
    <w:rsid w:val="00A35377"/>
    <w:rsid w:val="00A353C0"/>
    <w:rsid w:val="00A354BB"/>
    <w:rsid w:val="00A354E3"/>
    <w:rsid w:val="00A35541"/>
    <w:rsid w:val="00A35583"/>
    <w:rsid w:val="00A35592"/>
    <w:rsid w:val="00A35601"/>
    <w:rsid w:val="00A35640"/>
    <w:rsid w:val="00A3591A"/>
    <w:rsid w:val="00A35948"/>
    <w:rsid w:val="00A35A1C"/>
    <w:rsid w:val="00A35A29"/>
    <w:rsid w:val="00A35A6D"/>
    <w:rsid w:val="00A35B35"/>
    <w:rsid w:val="00A35B3E"/>
    <w:rsid w:val="00A35B42"/>
    <w:rsid w:val="00A35B47"/>
    <w:rsid w:val="00A35B67"/>
    <w:rsid w:val="00A35B6E"/>
    <w:rsid w:val="00A35BB7"/>
    <w:rsid w:val="00A35BE1"/>
    <w:rsid w:val="00A35C5A"/>
    <w:rsid w:val="00A35CB2"/>
    <w:rsid w:val="00A35D15"/>
    <w:rsid w:val="00A35E15"/>
    <w:rsid w:val="00A35EF0"/>
    <w:rsid w:val="00A35EF1"/>
    <w:rsid w:val="00A35F12"/>
    <w:rsid w:val="00A35F8C"/>
    <w:rsid w:val="00A35FA5"/>
    <w:rsid w:val="00A35FCA"/>
    <w:rsid w:val="00A3603D"/>
    <w:rsid w:val="00A36159"/>
    <w:rsid w:val="00A362E7"/>
    <w:rsid w:val="00A36314"/>
    <w:rsid w:val="00A36316"/>
    <w:rsid w:val="00A363AA"/>
    <w:rsid w:val="00A363E7"/>
    <w:rsid w:val="00A363EF"/>
    <w:rsid w:val="00A36495"/>
    <w:rsid w:val="00A36550"/>
    <w:rsid w:val="00A3669A"/>
    <w:rsid w:val="00A36702"/>
    <w:rsid w:val="00A36741"/>
    <w:rsid w:val="00A3676B"/>
    <w:rsid w:val="00A367CE"/>
    <w:rsid w:val="00A3684C"/>
    <w:rsid w:val="00A36873"/>
    <w:rsid w:val="00A3694E"/>
    <w:rsid w:val="00A3694F"/>
    <w:rsid w:val="00A36AEE"/>
    <w:rsid w:val="00A36B3F"/>
    <w:rsid w:val="00A36B82"/>
    <w:rsid w:val="00A36CC7"/>
    <w:rsid w:val="00A36CE7"/>
    <w:rsid w:val="00A36D2B"/>
    <w:rsid w:val="00A36DFE"/>
    <w:rsid w:val="00A36EC1"/>
    <w:rsid w:val="00A36F23"/>
    <w:rsid w:val="00A36F44"/>
    <w:rsid w:val="00A36FC9"/>
    <w:rsid w:val="00A370FD"/>
    <w:rsid w:val="00A37202"/>
    <w:rsid w:val="00A37298"/>
    <w:rsid w:val="00A373D3"/>
    <w:rsid w:val="00A373EC"/>
    <w:rsid w:val="00A37456"/>
    <w:rsid w:val="00A37534"/>
    <w:rsid w:val="00A37605"/>
    <w:rsid w:val="00A37620"/>
    <w:rsid w:val="00A37646"/>
    <w:rsid w:val="00A37707"/>
    <w:rsid w:val="00A3772A"/>
    <w:rsid w:val="00A37817"/>
    <w:rsid w:val="00A3798C"/>
    <w:rsid w:val="00A379E8"/>
    <w:rsid w:val="00A37A20"/>
    <w:rsid w:val="00A37BE1"/>
    <w:rsid w:val="00A37BF9"/>
    <w:rsid w:val="00A37CA3"/>
    <w:rsid w:val="00A37CC1"/>
    <w:rsid w:val="00A37DB2"/>
    <w:rsid w:val="00A37DD9"/>
    <w:rsid w:val="00A37E2B"/>
    <w:rsid w:val="00A37E80"/>
    <w:rsid w:val="00A37EA2"/>
    <w:rsid w:val="00A37ED3"/>
    <w:rsid w:val="00A37F69"/>
    <w:rsid w:val="00A4002D"/>
    <w:rsid w:val="00A40043"/>
    <w:rsid w:val="00A400C7"/>
    <w:rsid w:val="00A400D8"/>
    <w:rsid w:val="00A400EE"/>
    <w:rsid w:val="00A4030D"/>
    <w:rsid w:val="00A40374"/>
    <w:rsid w:val="00A403E4"/>
    <w:rsid w:val="00A40459"/>
    <w:rsid w:val="00A405F4"/>
    <w:rsid w:val="00A4060A"/>
    <w:rsid w:val="00A40731"/>
    <w:rsid w:val="00A4074F"/>
    <w:rsid w:val="00A40804"/>
    <w:rsid w:val="00A4086A"/>
    <w:rsid w:val="00A40A6C"/>
    <w:rsid w:val="00A40B17"/>
    <w:rsid w:val="00A40B31"/>
    <w:rsid w:val="00A40B7F"/>
    <w:rsid w:val="00A40C60"/>
    <w:rsid w:val="00A40D01"/>
    <w:rsid w:val="00A40D15"/>
    <w:rsid w:val="00A40D3C"/>
    <w:rsid w:val="00A40DB6"/>
    <w:rsid w:val="00A40E07"/>
    <w:rsid w:val="00A40ED7"/>
    <w:rsid w:val="00A40F74"/>
    <w:rsid w:val="00A40F83"/>
    <w:rsid w:val="00A40F9E"/>
    <w:rsid w:val="00A40FD5"/>
    <w:rsid w:val="00A410A4"/>
    <w:rsid w:val="00A410B3"/>
    <w:rsid w:val="00A410D1"/>
    <w:rsid w:val="00A41130"/>
    <w:rsid w:val="00A412BA"/>
    <w:rsid w:val="00A4135B"/>
    <w:rsid w:val="00A413F8"/>
    <w:rsid w:val="00A41403"/>
    <w:rsid w:val="00A41413"/>
    <w:rsid w:val="00A41416"/>
    <w:rsid w:val="00A41463"/>
    <w:rsid w:val="00A414D0"/>
    <w:rsid w:val="00A4161C"/>
    <w:rsid w:val="00A4168B"/>
    <w:rsid w:val="00A416BE"/>
    <w:rsid w:val="00A416CF"/>
    <w:rsid w:val="00A41753"/>
    <w:rsid w:val="00A417B0"/>
    <w:rsid w:val="00A41821"/>
    <w:rsid w:val="00A41865"/>
    <w:rsid w:val="00A41887"/>
    <w:rsid w:val="00A4188D"/>
    <w:rsid w:val="00A418C4"/>
    <w:rsid w:val="00A41984"/>
    <w:rsid w:val="00A41A32"/>
    <w:rsid w:val="00A41AB9"/>
    <w:rsid w:val="00A41D27"/>
    <w:rsid w:val="00A41DC9"/>
    <w:rsid w:val="00A41F04"/>
    <w:rsid w:val="00A41FE2"/>
    <w:rsid w:val="00A4200D"/>
    <w:rsid w:val="00A42026"/>
    <w:rsid w:val="00A42089"/>
    <w:rsid w:val="00A420B0"/>
    <w:rsid w:val="00A42204"/>
    <w:rsid w:val="00A42268"/>
    <w:rsid w:val="00A42287"/>
    <w:rsid w:val="00A422C5"/>
    <w:rsid w:val="00A422F9"/>
    <w:rsid w:val="00A42356"/>
    <w:rsid w:val="00A424BF"/>
    <w:rsid w:val="00A4250D"/>
    <w:rsid w:val="00A4258E"/>
    <w:rsid w:val="00A42590"/>
    <w:rsid w:val="00A4259B"/>
    <w:rsid w:val="00A425DB"/>
    <w:rsid w:val="00A425EE"/>
    <w:rsid w:val="00A425F6"/>
    <w:rsid w:val="00A42671"/>
    <w:rsid w:val="00A429D7"/>
    <w:rsid w:val="00A42A20"/>
    <w:rsid w:val="00A42A3D"/>
    <w:rsid w:val="00A42B46"/>
    <w:rsid w:val="00A42B89"/>
    <w:rsid w:val="00A42B94"/>
    <w:rsid w:val="00A42B95"/>
    <w:rsid w:val="00A42C08"/>
    <w:rsid w:val="00A42CCB"/>
    <w:rsid w:val="00A42D17"/>
    <w:rsid w:val="00A42D3A"/>
    <w:rsid w:val="00A42D8B"/>
    <w:rsid w:val="00A42F34"/>
    <w:rsid w:val="00A43008"/>
    <w:rsid w:val="00A4310E"/>
    <w:rsid w:val="00A4315F"/>
    <w:rsid w:val="00A43170"/>
    <w:rsid w:val="00A431AB"/>
    <w:rsid w:val="00A431CD"/>
    <w:rsid w:val="00A431EF"/>
    <w:rsid w:val="00A4325D"/>
    <w:rsid w:val="00A43285"/>
    <w:rsid w:val="00A432BC"/>
    <w:rsid w:val="00A432D1"/>
    <w:rsid w:val="00A433B1"/>
    <w:rsid w:val="00A433BA"/>
    <w:rsid w:val="00A433D7"/>
    <w:rsid w:val="00A43440"/>
    <w:rsid w:val="00A4346D"/>
    <w:rsid w:val="00A43493"/>
    <w:rsid w:val="00A434F2"/>
    <w:rsid w:val="00A43596"/>
    <w:rsid w:val="00A435B5"/>
    <w:rsid w:val="00A43631"/>
    <w:rsid w:val="00A436D6"/>
    <w:rsid w:val="00A436EB"/>
    <w:rsid w:val="00A43716"/>
    <w:rsid w:val="00A437B6"/>
    <w:rsid w:val="00A438FA"/>
    <w:rsid w:val="00A43929"/>
    <w:rsid w:val="00A43942"/>
    <w:rsid w:val="00A43965"/>
    <w:rsid w:val="00A4398A"/>
    <w:rsid w:val="00A43A96"/>
    <w:rsid w:val="00A43B9D"/>
    <w:rsid w:val="00A43BE3"/>
    <w:rsid w:val="00A43C76"/>
    <w:rsid w:val="00A43CA1"/>
    <w:rsid w:val="00A43CBD"/>
    <w:rsid w:val="00A43D16"/>
    <w:rsid w:val="00A43DC0"/>
    <w:rsid w:val="00A43FD3"/>
    <w:rsid w:val="00A44082"/>
    <w:rsid w:val="00A44089"/>
    <w:rsid w:val="00A44096"/>
    <w:rsid w:val="00A4409E"/>
    <w:rsid w:val="00A441C9"/>
    <w:rsid w:val="00A4425B"/>
    <w:rsid w:val="00A4429B"/>
    <w:rsid w:val="00A442C5"/>
    <w:rsid w:val="00A4432C"/>
    <w:rsid w:val="00A443B7"/>
    <w:rsid w:val="00A444A7"/>
    <w:rsid w:val="00A44541"/>
    <w:rsid w:val="00A4462E"/>
    <w:rsid w:val="00A44680"/>
    <w:rsid w:val="00A44712"/>
    <w:rsid w:val="00A4477F"/>
    <w:rsid w:val="00A4479B"/>
    <w:rsid w:val="00A447C9"/>
    <w:rsid w:val="00A44808"/>
    <w:rsid w:val="00A448B0"/>
    <w:rsid w:val="00A448C5"/>
    <w:rsid w:val="00A44972"/>
    <w:rsid w:val="00A449A5"/>
    <w:rsid w:val="00A449EE"/>
    <w:rsid w:val="00A44A7C"/>
    <w:rsid w:val="00A44AF5"/>
    <w:rsid w:val="00A44AFD"/>
    <w:rsid w:val="00A44B51"/>
    <w:rsid w:val="00A44B8B"/>
    <w:rsid w:val="00A44C9F"/>
    <w:rsid w:val="00A44CE3"/>
    <w:rsid w:val="00A44E93"/>
    <w:rsid w:val="00A44EDE"/>
    <w:rsid w:val="00A44FAC"/>
    <w:rsid w:val="00A44FDA"/>
    <w:rsid w:val="00A44FEE"/>
    <w:rsid w:val="00A45153"/>
    <w:rsid w:val="00A451A7"/>
    <w:rsid w:val="00A4528F"/>
    <w:rsid w:val="00A452B3"/>
    <w:rsid w:val="00A452B9"/>
    <w:rsid w:val="00A45336"/>
    <w:rsid w:val="00A4537D"/>
    <w:rsid w:val="00A45478"/>
    <w:rsid w:val="00A45483"/>
    <w:rsid w:val="00A454F5"/>
    <w:rsid w:val="00A455D6"/>
    <w:rsid w:val="00A45713"/>
    <w:rsid w:val="00A45793"/>
    <w:rsid w:val="00A45799"/>
    <w:rsid w:val="00A45803"/>
    <w:rsid w:val="00A45819"/>
    <w:rsid w:val="00A45932"/>
    <w:rsid w:val="00A45973"/>
    <w:rsid w:val="00A45983"/>
    <w:rsid w:val="00A459F3"/>
    <w:rsid w:val="00A45A15"/>
    <w:rsid w:val="00A45B08"/>
    <w:rsid w:val="00A45B3C"/>
    <w:rsid w:val="00A45BF2"/>
    <w:rsid w:val="00A45C41"/>
    <w:rsid w:val="00A45D04"/>
    <w:rsid w:val="00A45D0C"/>
    <w:rsid w:val="00A45D26"/>
    <w:rsid w:val="00A45E7B"/>
    <w:rsid w:val="00A45EC4"/>
    <w:rsid w:val="00A45F94"/>
    <w:rsid w:val="00A46039"/>
    <w:rsid w:val="00A46181"/>
    <w:rsid w:val="00A461ED"/>
    <w:rsid w:val="00A461F6"/>
    <w:rsid w:val="00A461FF"/>
    <w:rsid w:val="00A46586"/>
    <w:rsid w:val="00A46621"/>
    <w:rsid w:val="00A46652"/>
    <w:rsid w:val="00A4665F"/>
    <w:rsid w:val="00A4687D"/>
    <w:rsid w:val="00A469E1"/>
    <w:rsid w:val="00A46A49"/>
    <w:rsid w:val="00A46A97"/>
    <w:rsid w:val="00A46B0F"/>
    <w:rsid w:val="00A46B21"/>
    <w:rsid w:val="00A46B5B"/>
    <w:rsid w:val="00A46BEE"/>
    <w:rsid w:val="00A46D1F"/>
    <w:rsid w:val="00A46E0F"/>
    <w:rsid w:val="00A46E8C"/>
    <w:rsid w:val="00A46EAF"/>
    <w:rsid w:val="00A46EB1"/>
    <w:rsid w:val="00A46EC6"/>
    <w:rsid w:val="00A46ECB"/>
    <w:rsid w:val="00A46EFF"/>
    <w:rsid w:val="00A46F27"/>
    <w:rsid w:val="00A46F97"/>
    <w:rsid w:val="00A46FF1"/>
    <w:rsid w:val="00A47048"/>
    <w:rsid w:val="00A471F7"/>
    <w:rsid w:val="00A47212"/>
    <w:rsid w:val="00A4732B"/>
    <w:rsid w:val="00A47455"/>
    <w:rsid w:val="00A474EA"/>
    <w:rsid w:val="00A47524"/>
    <w:rsid w:val="00A4759C"/>
    <w:rsid w:val="00A476ED"/>
    <w:rsid w:val="00A477BA"/>
    <w:rsid w:val="00A479C2"/>
    <w:rsid w:val="00A47A76"/>
    <w:rsid w:val="00A47A7E"/>
    <w:rsid w:val="00A47BEC"/>
    <w:rsid w:val="00A47BF7"/>
    <w:rsid w:val="00A47C6C"/>
    <w:rsid w:val="00A47CED"/>
    <w:rsid w:val="00A47D29"/>
    <w:rsid w:val="00A47E72"/>
    <w:rsid w:val="00A4AE17"/>
    <w:rsid w:val="00A50078"/>
    <w:rsid w:val="00A50167"/>
    <w:rsid w:val="00A501B2"/>
    <w:rsid w:val="00A502BA"/>
    <w:rsid w:val="00A5034A"/>
    <w:rsid w:val="00A503E0"/>
    <w:rsid w:val="00A50469"/>
    <w:rsid w:val="00A5046F"/>
    <w:rsid w:val="00A504E8"/>
    <w:rsid w:val="00A505F1"/>
    <w:rsid w:val="00A50631"/>
    <w:rsid w:val="00A5063C"/>
    <w:rsid w:val="00A506FF"/>
    <w:rsid w:val="00A507DB"/>
    <w:rsid w:val="00A507FF"/>
    <w:rsid w:val="00A50858"/>
    <w:rsid w:val="00A508AB"/>
    <w:rsid w:val="00A5095B"/>
    <w:rsid w:val="00A50A08"/>
    <w:rsid w:val="00A50B89"/>
    <w:rsid w:val="00A50CFB"/>
    <w:rsid w:val="00A50DAC"/>
    <w:rsid w:val="00A50E55"/>
    <w:rsid w:val="00A50E5A"/>
    <w:rsid w:val="00A50FE6"/>
    <w:rsid w:val="00A50FFA"/>
    <w:rsid w:val="00A510A1"/>
    <w:rsid w:val="00A51150"/>
    <w:rsid w:val="00A51230"/>
    <w:rsid w:val="00A51241"/>
    <w:rsid w:val="00A512A4"/>
    <w:rsid w:val="00A512B4"/>
    <w:rsid w:val="00A51420"/>
    <w:rsid w:val="00A5146B"/>
    <w:rsid w:val="00A51476"/>
    <w:rsid w:val="00A51491"/>
    <w:rsid w:val="00A515D0"/>
    <w:rsid w:val="00A515E4"/>
    <w:rsid w:val="00A51606"/>
    <w:rsid w:val="00A51642"/>
    <w:rsid w:val="00A51723"/>
    <w:rsid w:val="00A51770"/>
    <w:rsid w:val="00A51875"/>
    <w:rsid w:val="00A5192C"/>
    <w:rsid w:val="00A51956"/>
    <w:rsid w:val="00A51B47"/>
    <w:rsid w:val="00A51CC6"/>
    <w:rsid w:val="00A51CFC"/>
    <w:rsid w:val="00A52093"/>
    <w:rsid w:val="00A520B1"/>
    <w:rsid w:val="00A520FD"/>
    <w:rsid w:val="00A52185"/>
    <w:rsid w:val="00A521F3"/>
    <w:rsid w:val="00A52251"/>
    <w:rsid w:val="00A52253"/>
    <w:rsid w:val="00A52376"/>
    <w:rsid w:val="00A524E9"/>
    <w:rsid w:val="00A524FB"/>
    <w:rsid w:val="00A5252A"/>
    <w:rsid w:val="00A5257A"/>
    <w:rsid w:val="00A52601"/>
    <w:rsid w:val="00A52653"/>
    <w:rsid w:val="00A526AF"/>
    <w:rsid w:val="00A52754"/>
    <w:rsid w:val="00A52763"/>
    <w:rsid w:val="00A528CF"/>
    <w:rsid w:val="00A528D6"/>
    <w:rsid w:val="00A52A0E"/>
    <w:rsid w:val="00A52A68"/>
    <w:rsid w:val="00A52AB8"/>
    <w:rsid w:val="00A52B48"/>
    <w:rsid w:val="00A52B74"/>
    <w:rsid w:val="00A52BB6"/>
    <w:rsid w:val="00A52C53"/>
    <w:rsid w:val="00A52CD1"/>
    <w:rsid w:val="00A52D15"/>
    <w:rsid w:val="00A52D29"/>
    <w:rsid w:val="00A52D92"/>
    <w:rsid w:val="00A52E4B"/>
    <w:rsid w:val="00A52E92"/>
    <w:rsid w:val="00A52F53"/>
    <w:rsid w:val="00A52FF2"/>
    <w:rsid w:val="00A53009"/>
    <w:rsid w:val="00A530F0"/>
    <w:rsid w:val="00A5320D"/>
    <w:rsid w:val="00A53380"/>
    <w:rsid w:val="00A53399"/>
    <w:rsid w:val="00A5343D"/>
    <w:rsid w:val="00A5350A"/>
    <w:rsid w:val="00A53545"/>
    <w:rsid w:val="00A535B7"/>
    <w:rsid w:val="00A537E8"/>
    <w:rsid w:val="00A5388C"/>
    <w:rsid w:val="00A5395B"/>
    <w:rsid w:val="00A53962"/>
    <w:rsid w:val="00A539D1"/>
    <w:rsid w:val="00A53A7B"/>
    <w:rsid w:val="00A53AC2"/>
    <w:rsid w:val="00A53BA9"/>
    <w:rsid w:val="00A53C65"/>
    <w:rsid w:val="00A53C70"/>
    <w:rsid w:val="00A53D46"/>
    <w:rsid w:val="00A53D7D"/>
    <w:rsid w:val="00A53DA3"/>
    <w:rsid w:val="00A53DDE"/>
    <w:rsid w:val="00A53E27"/>
    <w:rsid w:val="00A53E6E"/>
    <w:rsid w:val="00A5400E"/>
    <w:rsid w:val="00A54084"/>
    <w:rsid w:val="00A5409C"/>
    <w:rsid w:val="00A54197"/>
    <w:rsid w:val="00A541A4"/>
    <w:rsid w:val="00A54256"/>
    <w:rsid w:val="00A542BB"/>
    <w:rsid w:val="00A542C7"/>
    <w:rsid w:val="00A54343"/>
    <w:rsid w:val="00A54373"/>
    <w:rsid w:val="00A543CA"/>
    <w:rsid w:val="00A54419"/>
    <w:rsid w:val="00A54512"/>
    <w:rsid w:val="00A54533"/>
    <w:rsid w:val="00A54547"/>
    <w:rsid w:val="00A54579"/>
    <w:rsid w:val="00A5457E"/>
    <w:rsid w:val="00A545A8"/>
    <w:rsid w:val="00A54734"/>
    <w:rsid w:val="00A5473F"/>
    <w:rsid w:val="00A54765"/>
    <w:rsid w:val="00A547B3"/>
    <w:rsid w:val="00A547DF"/>
    <w:rsid w:val="00A5491E"/>
    <w:rsid w:val="00A54953"/>
    <w:rsid w:val="00A54A4E"/>
    <w:rsid w:val="00A54A58"/>
    <w:rsid w:val="00A54AB8"/>
    <w:rsid w:val="00A54ACA"/>
    <w:rsid w:val="00A54B12"/>
    <w:rsid w:val="00A54C30"/>
    <w:rsid w:val="00A54CCF"/>
    <w:rsid w:val="00A54D52"/>
    <w:rsid w:val="00A54D79"/>
    <w:rsid w:val="00A54DAE"/>
    <w:rsid w:val="00A54E09"/>
    <w:rsid w:val="00A54E96"/>
    <w:rsid w:val="00A54F62"/>
    <w:rsid w:val="00A54FAA"/>
    <w:rsid w:val="00A54FD2"/>
    <w:rsid w:val="00A54FD8"/>
    <w:rsid w:val="00A55022"/>
    <w:rsid w:val="00A55047"/>
    <w:rsid w:val="00A55097"/>
    <w:rsid w:val="00A550EE"/>
    <w:rsid w:val="00A55283"/>
    <w:rsid w:val="00A552CA"/>
    <w:rsid w:val="00A552CC"/>
    <w:rsid w:val="00A552F2"/>
    <w:rsid w:val="00A553B3"/>
    <w:rsid w:val="00A55423"/>
    <w:rsid w:val="00A5550E"/>
    <w:rsid w:val="00A55519"/>
    <w:rsid w:val="00A55524"/>
    <w:rsid w:val="00A55565"/>
    <w:rsid w:val="00A555BF"/>
    <w:rsid w:val="00A5561C"/>
    <w:rsid w:val="00A556BC"/>
    <w:rsid w:val="00A55735"/>
    <w:rsid w:val="00A55774"/>
    <w:rsid w:val="00A55775"/>
    <w:rsid w:val="00A557BB"/>
    <w:rsid w:val="00A557BD"/>
    <w:rsid w:val="00A55901"/>
    <w:rsid w:val="00A5591D"/>
    <w:rsid w:val="00A559EB"/>
    <w:rsid w:val="00A55B91"/>
    <w:rsid w:val="00A55BF0"/>
    <w:rsid w:val="00A55C23"/>
    <w:rsid w:val="00A55D9A"/>
    <w:rsid w:val="00A55E7E"/>
    <w:rsid w:val="00A55F3D"/>
    <w:rsid w:val="00A55F54"/>
    <w:rsid w:val="00A55F6B"/>
    <w:rsid w:val="00A55FAA"/>
    <w:rsid w:val="00A56091"/>
    <w:rsid w:val="00A56158"/>
    <w:rsid w:val="00A561C0"/>
    <w:rsid w:val="00A56214"/>
    <w:rsid w:val="00A56222"/>
    <w:rsid w:val="00A56309"/>
    <w:rsid w:val="00A5631F"/>
    <w:rsid w:val="00A5632E"/>
    <w:rsid w:val="00A5637B"/>
    <w:rsid w:val="00A56420"/>
    <w:rsid w:val="00A567EB"/>
    <w:rsid w:val="00A569C3"/>
    <w:rsid w:val="00A56A0D"/>
    <w:rsid w:val="00A56AA1"/>
    <w:rsid w:val="00A56AD9"/>
    <w:rsid w:val="00A56AED"/>
    <w:rsid w:val="00A56B89"/>
    <w:rsid w:val="00A56C3A"/>
    <w:rsid w:val="00A56D3B"/>
    <w:rsid w:val="00A56DB7"/>
    <w:rsid w:val="00A56F4C"/>
    <w:rsid w:val="00A56FFC"/>
    <w:rsid w:val="00A5702F"/>
    <w:rsid w:val="00A57031"/>
    <w:rsid w:val="00A57055"/>
    <w:rsid w:val="00A570CC"/>
    <w:rsid w:val="00A571EC"/>
    <w:rsid w:val="00A571EE"/>
    <w:rsid w:val="00A571FB"/>
    <w:rsid w:val="00A57311"/>
    <w:rsid w:val="00A57450"/>
    <w:rsid w:val="00A57479"/>
    <w:rsid w:val="00A574B0"/>
    <w:rsid w:val="00A574E6"/>
    <w:rsid w:val="00A57508"/>
    <w:rsid w:val="00A575C0"/>
    <w:rsid w:val="00A57690"/>
    <w:rsid w:val="00A577C8"/>
    <w:rsid w:val="00A577D9"/>
    <w:rsid w:val="00A57847"/>
    <w:rsid w:val="00A579A2"/>
    <w:rsid w:val="00A57A30"/>
    <w:rsid w:val="00A57ACA"/>
    <w:rsid w:val="00A57B53"/>
    <w:rsid w:val="00A57B93"/>
    <w:rsid w:val="00A57C08"/>
    <w:rsid w:val="00A57C4A"/>
    <w:rsid w:val="00A57C7D"/>
    <w:rsid w:val="00A57CA4"/>
    <w:rsid w:val="00A57CFB"/>
    <w:rsid w:val="00A57E5E"/>
    <w:rsid w:val="00A57ECC"/>
    <w:rsid w:val="00A57F08"/>
    <w:rsid w:val="00A57FA9"/>
    <w:rsid w:val="00A6005A"/>
    <w:rsid w:val="00A600D9"/>
    <w:rsid w:val="00A600E0"/>
    <w:rsid w:val="00A6012E"/>
    <w:rsid w:val="00A601E8"/>
    <w:rsid w:val="00A6020A"/>
    <w:rsid w:val="00A6026D"/>
    <w:rsid w:val="00A60302"/>
    <w:rsid w:val="00A603AF"/>
    <w:rsid w:val="00A60419"/>
    <w:rsid w:val="00A6042B"/>
    <w:rsid w:val="00A6043D"/>
    <w:rsid w:val="00A60440"/>
    <w:rsid w:val="00A604CD"/>
    <w:rsid w:val="00A60596"/>
    <w:rsid w:val="00A605B1"/>
    <w:rsid w:val="00A60608"/>
    <w:rsid w:val="00A60706"/>
    <w:rsid w:val="00A60787"/>
    <w:rsid w:val="00A6078C"/>
    <w:rsid w:val="00A607E3"/>
    <w:rsid w:val="00A607ED"/>
    <w:rsid w:val="00A60935"/>
    <w:rsid w:val="00A609B3"/>
    <w:rsid w:val="00A60A54"/>
    <w:rsid w:val="00A60A7B"/>
    <w:rsid w:val="00A60A9B"/>
    <w:rsid w:val="00A60B47"/>
    <w:rsid w:val="00A60C65"/>
    <w:rsid w:val="00A60CC8"/>
    <w:rsid w:val="00A60CF4"/>
    <w:rsid w:val="00A60DD1"/>
    <w:rsid w:val="00A60E91"/>
    <w:rsid w:val="00A60EFF"/>
    <w:rsid w:val="00A60FA2"/>
    <w:rsid w:val="00A61075"/>
    <w:rsid w:val="00A61127"/>
    <w:rsid w:val="00A6119E"/>
    <w:rsid w:val="00A611EE"/>
    <w:rsid w:val="00A611EF"/>
    <w:rsid w:val="00A612FC"/>
    <w:rsid w:val="00A6135F"/>
    <w:rsid w:val="00A6147B"/>
    <w:rsid w:val="00A614E8"/>
    <w:rsid w:val="00A61543"/>
    <w:rsid w:val="00A6164A"/>
    <w:rsid w:val="00A6171B"/>
    <w:rsid w:val="00A617B7"/>
    <w:rsid w:val="00A61869"/>
    <w:rsid w:val="00A61887"/>
    <w:rsid w:val="00A61919"/>
    <w:rsid w:val="00A6191A"/>
    <w:rsid w:val="00A61928"/>
    <w:rsid w:val="00A61949"/>
    <w:rsid w:val="00A619BE"/>
    <w:rsid w:val="00A61B40"/>
    <w:rsid w:val="00A61C99"/>
    <w:rsid w:val="00A61DCC"/>
    <w:rsid w:val="00A61E5A"/>
    <w:rsid w:val="00A61F3D"/>
    <w:rsid w:val="00A6204A"/>
    <w:rsid w:val="00A62194"/>
    <w:rsid w:val="00A621D4"/>
    <w:rsid w:val="00A6234E"/>
    <w:rsid w:val="00A62401"/>
    <w:rsid w:val="00A62512"/>
    <w:rsid w:val="00A625E0"/>
    <w:rsid w:val="00A6269C"/>
    <w:rsid w:val="00A626C0"/>
    <w:rsid w:val="00A626E9"/>
    <w:rsid w:val="00A62829"/>
    <w:rsid w:val="00A62AD1"/>
    <w:rsid w:val="00A62C05"/>
    <w:rsid w:val="00A62C8F"/>
    <w:rsid w:val="00A62D88"/>
    <w:rsid w:val="00A62D93"/>
    <w:rsid w:val="00A62DD2"/>
    <w:rsid w:val="00A62E98"/>
    <w:rsid w:val="00A62ED3"/>
    <w:rsid w:val="00A62F04"/>
    <w:rsid w:val="00A6307C"/>
    <w:rsid w:val="00A630D5"/>
    <w:rsid w:val="00A630FB"/>
    <w:rsid w:val="00A63181"/>
    <w:rsid w:val="00A631BF"/>
    <w:rsid w:val="00A63203"/>
    <w:rsid w:val="00A6324F"/>
    <w:rsid w:val="00A632B7"/>
    <w:rsid w:val="00A63349"/>
    <w:rsid w:val="00A634C0"/>
    <w:rsid w:val="00A635E2"/>
    <w:rsid w:val="00A6368B"/>
    <w:rsid w:val="00A6375A"/>
    <w:rsid w:val="00A637A0"/>
    <w:rsid w:val="00A6394A"/>
    <w:rsid w:val="00A63A81"/>
    <w:rsid w:val="00A63BE8"/>
    <w:rsid w:val="00A63BED"/>
    <w:rsid w:val="00A63C42"/>
    <w:rsid w:val="00A63C90"/>
    <w:rsid w:val="00A63D13"/>
    <w:rsid w:val="00A63D38"/>
    <w:rsid w:val="00A63D4A"/>
    <w:rsid w:val="00A63D5D"/>
    <w:rsid w:val="00A63E05"/>
    <w:rsid w:val="00A63E44"/>
    <w:rsid w:val="00A63ECD"/>
    <w:rsid w:val="00A63F4C"/>
    <w:rsid w:val="00A63FC6"/>
    <w:rsid w:val="00A64093"/>
    <w:rsid w:val="00A64094"/>
    <w:rsid w:val="00A640EB"/>
    <w:rsid w:val="00A64126"/>
    <w:rsid w:val="00A64241"/>
    <w:rsid w:val="00A6436E"/>
    <w:rsid w:val="00A64385"/>
    <w:rsid w:val="00A64423"/>
    <w:rsid w:val="00A645FC"/>
    <w:rsid w:val="00A645FD"/>
    <w:rsid w:val="00A6473D"/>
    <w:rsid w:val="00A64752"/>
    <w:rsid w:val="00A64815"/>
    <w:rsid w:val="00A648B9"/>
    <w:rsid w:val="00A64AE1"/>
    <w:rsid w:val="00A64B30"/>
    <w:rsid w:val="00A64B97"/>
    <w:rsid w:val="00A64C38"/>
    <w:rsid w:val="00A64C40"/>
    <w:rsid w:val="00A64CD1"/>
    <w:rsid w:val="00A64CF9"/>
    <w:rsid w:val="00A64D2F"/>
    <w:rsid w:val="00A64DFC"/>
    <w:rsid w:val="00A64E34"/>
    <w:rsid w:val="00A64E95"/>
    <w:rsid w:val="00A64EE1"/>
    <w:rsid w:val="00A65043"/>
    <w:rsid w:val="00A65085"/>
    <w:rsid w:val="00A650A0"/>
    <w:rsid w:val="00A6527D"/>
    <w:rsid w:val="00A652EC"/>
    <w:rsid w:val="00A654A4"/>
    <w:rsid w:val="00A655AD"/>
    <w:rsid w:val="00A655D1"/>
    <w:rsid w:val="00A65618"/>
    <w:rsid w:val="00A65677"/>
    <w:rsid w:val="00A65686"/>
    <w:rsid w:val="00A656C3"/>
    <w:rsid w:val="00A656D8"/>
    <w:rsid w:val="00A656FD"/>
    <w:rsid w:val="00A65781"/>
    <w:rsid w:val="00A6578B"/>
    <w:rsid w:val="00A657C0"/>
    <w:rsid w:val="00A65824"/>
    <w:rsid w:val="00A65829"/>
    <w:rsid w:val="00A65853"/>
    <w:rsid w:val="00A65854"/>
    <w:rsid w:val="00A659A1"/>
    <w:rsid w:val="00A659B8"/>
    <w:rsid w:val="00A65A0C"/>
    <w:rsid w:val="00A65A76"/>
    <w:rsid w:val="00A65AC2"/>
    <w:rsid w:val="00A65BCD"/>
    <w:rsid w:val="00A65BE1"/>
    <w:rsid w:val="00A65C16"/>
    <w:rsid w:val="00A65C3C"/>
    <w:rsid w:val="00A65CA8"/>
    <w:rsid w:val="00A65D14"/>
    <w:rsid w:val="00A65D69"/>
    <w:rsid w:val="00A65E4A"/>
    <w:rsid w:val="00A65EA1"/>
    <w:rsid w:val="00A65F04"/>
    <w:rsid w:val="00A65F10"/>
    <w:rsid w:val="00A65F11"/>
    <w:rsid w:val="00A65F92"/>
    <w:rsid w:val="00A65F9D"/>
    <w:rsid w:val="00A65FDA"/>
    <w:rsid w:val="00A660D9"/>
    <w:rsid w:val="00A66110"/>
    <w:rsid w:val="00A6612B"/>
    <w:rsid w:val="00A661D0"/>
    <w:rsid w:val="00A6620F"/>
    <w:rsid w:val="00A662B0"/>
    <w:rsid w:val="00A66333"/>
    <w:rsid w:val="00A6633B"/>
    <w:rsid w:val="00A66435"/>
    <w:rsid w:val="00A6643D"/>
    <w:rsid w:val="00A664E0"/>
    <w:rsid w:val="00A664EB"/>
    <w:rsid w:val="00A6650B"/>
    <w:rsid w:val="00A66513"/>
    <w:rsid w:val="00A6663F"/>
    <w:rsid w:val="00A666BE"/>
    <w:rsid w:val="00A667B1"/>
    <w:rsid w:val="00A667B8"/>
    <w:rsid w:val="00A667C7"/>
    <w:rsid w:val="00A66887"/>
    <w:rsid w:val="00A66992"/>
    <w:rsid w:val="00A66A9A"/>
    <w:rsid w:val="00A66AB3"/>
    <w:rsid w:val="00A66B08"/>
    <w:rsid w:val="00A66B2F"/>
    <w:rsid w:val="00A66C39"/>
    <w:rsid w:val="00A66C92"/>
    <w:rsid w:val="00A66D7F"/>
    <w:rsid w:val="00A66D8D"/>
    <w:rsid w:val="00A66D97"/>
    <w:rsid w:val="00A66DB3"/>
    <w:rsid w:val="00A66DF9"/>
    <w:rsid w:val="00A66E6D"/>
    <w:rsid w:val="00A66EA6"/>
    <w:rsid w:val="00A66F2B"/>
    <w:rsid w:val="00A66FE5"/>
    <w:rsid w:val="00A66FED"/>
    <w:rsid w:val="00A670E0"/>
    <w:rsid w:val="00A67110"/>
    <w:rsid w:val="00A671BB"/>
    <w:rsid w:val="00A6725C"/>
    <w:rsid w:val="00A67299"/>
    <w:rsid w:val="00A6732D"/>
    <w:rsid w:val="00A67341"/>
    <w:rsid w:val="00A6738E"/>
    <w:rsid w:val="00A673E9"/>
    <w:rsid w:val="00A673F0"/>
    <w:rsid w:val="00A67437"/>
    <w:rsid w:val="00A674B1"/>
    <w:rsid w:val="00A6760F"/>
    <w:rsid w:val="00A67618"/>
    <w:rsid w:val="00A67647"/>
    <w:rsid w:val="00A6764E"/>
    <w:rsid w:val="00A67678"/>
    <w:rsid w:val="00A6774E"/>
    <w:rsid w:val="00A67753"/>
    <w:rsid w:val="00A67845"/>
    <w:rsid w:val="00A6789B"/>
    <w:rsid w:val="00A678B8"/>
    <w:rsid w:val="00A67914"/>
    <w:rsid w:val="00A67A72"/>
    <w:rsid w:val="00A67C5B"/>
    <w:rsid w:val="00A67D11"/>
    <w:rsid w:val="00A67D68"/>
    <w:rsid w:val="00A67D7C"/>
    <w:rsid w:val="00A67DE7"/>
    <w:rsid w:val="00A67DF5"/>
    <w:rsid w:val="00A67E0E"/>
    <w:rsid w:val="00A67E4D"/>
    <w:rsid w:val="00A67F78"/>
    <w:rsid w:val="00A67FD1"/>
    <w:rsid w:val="00A70017"/>
    <w:rsid w:val="00A7006B"/>
    <w:rsid w:val="00A70259"/>
    <w:rsid w:val="00A703A3"/>
    <w:rsid w:val="00A703B2"/>
    <w:rsid w:val="00A703FE"/>
    <w:rsid w:val="00A70473"/>
    <w:rsid w:val="00A704C0"/>
    <w:rsid w:val="00A704E4"/>
    <w:rsid w:val="00A70634"/>
    <w:rsid w:val="00A70659"/>
    <w:rsid w:val="00A706CF"/>
    <w:rsid w:val="00A70756"/>
    <w:rsid w:val="00A707CB"/>
    <w:rsid w:val="00A70870"/>
    <w:rsid w:val="00A709DD"/>
    <w:rsid w:val="00A709FF"/>
    <w:rsid w:val="00A70A4A"/>
    <w:rsid w:val="00A70BB4"/>
    <w:rsid w:val="00A70D4B"/>
    <w:rsid w:val="00A70D71"/>
    <w:rsid w:val="00A70DD3"/>
    <w:rsid w:val="00A70E6D"/>
    <w:rsid w:val="00A70ED9"/>
    <w:rsid w:val="00A70F9B"/>
    <w:rsid w:val="00A71143"/>
    <w:rsid w:val="00A711C3"/>
    <w:rsid w:val="00A711D5"/>
    <w:rsid w:val="00A711F1"/>
    <w:rsid w:val="00A711F4"/>
    <w:rsid w:val="00A712AE"/>
    <w:rsid w:val="00A7136A"/>
    <w:rsid w:val="00A714E0"/>
    <w:rsid w:val="00A71520"/>
    <w:rsid w:val="00A715EE"/>
    <w:rsid w:val="00A716A9"/>
    <w:rsid w:val="00A717FF"/>
    <w:rsid w:val="00A71800"/>
    <w:rsid w:val="00A7191F"/>
    <w:rsid w:val="00A71941"/>
    <w:rsid w:val="00A719C9"/>
    <w:rsid w:val="00A71AAE"/>
    <w:rsid w:val="00A71AAF"/>
    <w:rsid w:val="00A71AD6"/>
    <w:rsid w:val="00A71B25"/>
    <w:rsid w:val="00A71BBB"/>
    <w:rsid w:val="00A71C0E"/>
    <w:rsid w:val="00A71C1F"/>
    <w:rsid w:val="00A71C44"/>
    <w:rsid w:val="00A71C45"/>
    <w:rsid w:val="00A71DA7"/>
    <w:rsid w:val="00A71DAC"/>
    <w:rsid w:val="00A71E73"/>
    <w:rsid w:val="00A71EC6"/>
    <w:rsid w:val="00A71EFC"/>
    <w:rsid w:val="00A71F6B"/>
    <w:rsid w:val="00A71F95"/>
    <w:rsid w:val="00A720C2"/>
    <w:rsid w:val="00A7211D"/>
    <w:rsid w:val="00A721D2"/>
    <w:rsid w:val="00A72256"/>
    <w:rsid w:val="00A72296"/>
    <w:rsid w:val="00A722FE"/>
    <w:rsid w:val="00A72305"/>
    <w:rsid w:val="00A72326"/>
    <w:rsid w:val="00A72385"/>
    <w:rsid w:val="00A723AB"/>
    <w:rsid w:val="00A723FD"/>
    <w:rsid w:val="00A725E2"/>
    <w:rsid w:val="00A72626"/>
    <w:rsid w:val="00A7270B"/>
    <w:rsid w:val="00A7270F"/>
    <w:rsid w:val="00A727FA"/>
    <w:rsid w:val="00A7293A"/>
    <w:rsid w:val="00A72963"/>
    <w:rsid w:val="00A72998"/>
    <w:rsid w:val="00A729D3"/>
    <w:rsid w:val="00A729F4"/>
    <w:rsid w:val="00A72A2D"/>
    <w:rsid w:val="00A72A7C"/>
    <w:rsid w:val="00A72B5F"/>
    <w:rsid w:val="00A72BA1"/>
    <w:rsid w:val="00A72C5F"/>
    <w:rsid w:val="00A72C6C"/>
    <w:rsid w:val="00A72C72"/>
    <w:rsid w:val="00A72D76"/>
    <w:rsid w:val="00A72DBE"/>
    <w:rsid w:val="00A72DF1"/>
    <w:rsid w:val="00A72ED6"/>
    <w:rsid w:val="00A73053"/>
    <w:rsid w:val="00A730AD"/>
    <w:rsid w:val="00A730EA"/>
    <w:rsid w:val="00A730F4"/>
    <w:rsid w:val="00A730FE"/>
    <w:rsid w:val="00A7317B"/>
    <w:rsid w:val="00A731DE"/>
    <w:rsid w:val="00A7323A"/>
    <w:rsid w:val="00A73250"/>
    <w:rsid w:val="00A732A8"/>
    <w:rsid w:val="00A732CC"/>
    <w:rsid w:val="00A73314"/>
    <w:rsid w:val="00A7335D"/>
    <w:rsid w:val="00A7338A"/>
    <w:rsid w:val="00A733DB"/>
    <w:rsid w:val="00A733F0"/>
    <w:rsid w:val="00A73462"/>
    <w:rsid w:val="00A73537"/>
    <w:rsid w:val="00A735B5"/>
    <w:rsid w:val="00A735EC"/>
    <w:rsid w:val="00A736D2"/>
    <w:rsid w:val="00A7370A"/>
    <w:rsid w:val="00A737FB"/>
    <w:rsid w:val="00A7388E"/>
    <w:rsid w:val="00A73934"/>
    <w:rsid w:val="00A739BC"/>
    <w:rsid w:val="00A73A3A"/>
    <w:rsid w:val="00A73A9D"/>
    <w:rsid w:val="00A73ABD"/>
    <w:rsid w:val="00A73AC7"/>
    <w:rsid w:val="00A73AD1"/>
    <w:rsid w:val="00A73AD2"/>
    <w:rsid w:val="00A73B92"/>
    <w:rsid w:val="00A73BAC"/>
    <w:rsid w:val="00A73BB8"/>
    <w:rsid w:val="00A73C27"/>
    <w:rsid w:val="00A73CCA"/>
    <w:rsid w:val="00A73CD3"/>
    <w:rsid w:val="00A73F39"/>
    <w:rsid w:val="00A73F42"/>
    <w:rsid w:val="00A73F4D"/>
    <w:rsid w:val="00A73F5A"/>
    <w:rsid w:val="00A740AC"/>
    <w:rsid w:val="00A74101"/>
    <w:rsid w:val="00A74123"/>
    <w:rsid w:val="00A74267"/>
    <w:rsid w:val="00A743CF"/>
    <w:rsid w:val="00A74435"/>
    <w:rsid w:val="00A74436"/>
    <w:rsid w:val="00A744EC"/>
    <w:rsid w:val="00A74544"/>
    <w:rsid w:val="00A74548"/>
    <w:rsid w:val="00A745D2"/>
    <w:rsid w:val="00A745F0"/>
    <w:rsid w:val="00A7466A"/>
    <w:rsid w:val="00A7479F"/>
    <w:rsid w:val="00A747AF"/>
    <w:rsid w:val="00A7480C"/>
    <w:rsid w:val="00A7486D"/>
    <w:rsid w:val="00A7487F"/>
    <w:rsid w:val="00A7488C"/>
    <w:rsid w:val="00A74A36"/>
    <w:rsid w:val="00A74ABC"/>
    <w:rsid w:val="00A74B23"/>
    <w:rsid w:val="00A74B5F"/>
    <w:rsid w:val="00A74BBD"/>
    <w:rsid w:val="00A74BDE"/>
    <w:rsid w:val="00A74CA6"/>
    <w:rsid w:val="00A74D1D"/>
    <w:rsid w:val="00A74D7D"/>
    <w:rsid w:val="00A74DAF"/>
    <w:rsid w:val="00A74DF0"/>
    <w:rsid w:val="00A74DF2"/>
    <w:rsid w:val="00A74E4D"/>
    <w:rsid w:val="00A74E59"/>
    <w:rsid w:val="00A74EE1"/>
    <w:rsid w:val="00A74EEC"/>
    <w:rsid w:val="00A74EFD"/>
    <w:rsid w:val="00A74F56"/>
    <w:rsid w:val="00A7510A"/>
    <w:rsid w:val="00A75129"/>
    <w:rsid w:val="00A7520E"/>
    <w:rsid w:val="00A752E1"/>
    <w:rsid w:val="00A752FA"/>
    <w:rsid w:val="00A753A2"/>
    <w:rsid w:val="00A753E9"/>
    <w:rsid w:val="00A75467"/>
    <w:rsid w:val="00A7546F"/>
    <w:rsid w:val="00A7547F"/>
    <w:rsid w:val="00A75483"/>
    <w:rsid w:val="00A754E9"/>
    <w:rsid w:val="00A75507"/>
    <w:rsid w:val="00A75513"/>
    <w:rsid w:val="00A7559C"/>
    <w:rsid w:val="00A755E3"/>
    <w:rsid w:val="00A75672"/>
    <w:rsid w:val="00A75701"/>
    <w:rsid w:val="00A75744"/>
    <w:rsid w:val="00A75765"/>
    <w:rsid w:val="00A75775"/>
    <w:rsid w:val="00A7588A"/>
    <w:rsid w:val="00A758A8"/>
    <w:rsid w:val="00A7592E"/>
    <w:rsid w:val="00A75942"/>
    <w:rsid w:val="00A75954"/>
    <w:rsid w:val="00A75A8C"/>
    <w:rsid w:val="00A75AA2"/>
    <w:rsid w:val="00A75AC0"/>
    <w:rsid w:val="00A75B32"/>
    <w:rsid w:val="00A75B39"/>
    <w:rsid w:val="00A75CFF"/>
    <w:rsid w:val="00A75D57"/>
    <w:rsid w:val="00A75DC5"/>
    <w:rsid w:val="00A75EBD"/>
    <w:rsid w:val="00A75EDF"/>
    <w:rsid w:val="00A75F3D"/>
    <w:rsid w:val="00A75F5C"/>
    <w:rsid w:val="00A75FD8"/>
    <w:rsid w:val="00A76017"/>
    <w:rsid w:val="00A760B3"/>
    <w:rsid w:val="00A760F5"/>
    <w:rsid w:val="00A7613B"/>
    <w:rsid w:val="00A761EC"/>
    <w:rsid w:val="00A761F1"/>
    <w:rsid w:val="00A76314"/>
    <w:rsid w:val="00A7634E"/>
    <w:rsid w:val="00A7639D"/>
    <w:rsid w:val="00A7646F"/>
    <w:rsid w:val="00A76589"/>
    <w:rsid w:val="00A765D5"/>
    <w:rsid w:val="00A7661F"/>
    <w:rsid w:val="00A766D9"/>
    <w:rsid w:val="00A767DA"/>
    <w:rsid w:val="00A768E8"/>
    <w:rsid w:val="00A76920"/>
    <w:rsid w:val="00A76A25"/>
    <w:rsid w:val="00A76AE5"/>
    <w:rsid w:val="00A76B12"/>
    <w:rsid w:val="00A76B41"/>
    <w:rsid w:val="00A76B5D"/>
    <w:rsid w:val="00A76BC5"/>
    <w:rsid w:val="00A76BE0"/>
    <w:rsid w:val="00A76BFC"/>
    <w:rsid w:val="00A76C1F"/>
    <w:rsid w:val="00A76C85"/>
    <w:rsid w:val="00A76CB3"/>
    <w:rsid w:val="00A76CF4"/>
    <w:rsid w:val="00A76D0D"/>
    <w:rsid w:val="00A76DC3"/>
    <w:rsid w:val="00A76E98"/>
    <w:rsid w:val="00A76EBA"/>
    <w:rsid w:val="00A76F61"/>
    <w:rsid w:val="00A76FFA"/>
    <w:rsid w:val="00A770F4"/>
    <w:rsid w:val="00A7715E"/>
    <w:rsid w:val="00A771FF"/>
    <w:rsid w:val="00A77228"/>
    <w:rsid w:val="00A77244"/>
    <w:rsid w:val="00A77261"/>
    <w:rsid w:val="00A772A9"/>
    <w:rsid w:val="00A773C5"/>
    <w:rsid w:val="00A773D1"/>
    <w:rsid w:val="00A7746F"/>
    <w:rsid w:val="00A7749F"/>
    <w:rsid w:val="00A774D1"/>
    <w:rsid w:val="00A774FE"/>
    <w:rsid w:val="00A77528"/>
    <w:rsid w:val="00A7755A"/>
    <w:rsid w:val="00A77562"/>
    <w:rsid w:val="00A775AC"/>
    <w:rsid w:val="00A775F6"/>
    <w:rsid w:val="00A77611"/>
    <w:rsid w:val="00A77613"/>
    <w:rsid w:val="00A77615"/>
    <w:rsid w:val="00A77692"/>
    <w:rsid w:val="00A778CA"/>
    <w:rsid w:val="00A779CD"/>
    <w:rsid w:val="00A77A54"/>
    <w:rsid w:val="00A77A6E"/>
    <w:rsid w:val="00A77BC4"/>
    <w:rsid w:val="00A77BF0"/>
    <w:rsid w:val="00A77C23"/>
    <w:rsid w:val="00A77C49"/>
    <w:rsid w:val="00A77C74"/>
    <w:rsid w:val="00A77D1C"/>
    <w:rsid w:val="00A77D41"/>
    <w:rsid w:val="00A77D58"/>
    <w:rsid w:val="00A77DA4"/>
    <w:rsid w:val="00A77DBB"/>
    <w:rsid w:val="00A77E7B"/>
    <w:rsid w:val="00A77E84"/>
    <w:rsid w:val="00A80030"/>
    <w:rsid w:val="00A8003F"/>
    <w:rsid w:val="00A80063"/>
    <w:rsid w:val="00A8024E"/>
    <w:rsid w:val="00A8027F"/>
    <w:rsid w:val="00A802CA"/>
    <w:rsid w:val="00A80324"/>
    <w:rsid w:val="00A80331"/>
    <w:rsid w:val="00A8037E"/>
    <w:rsid w:val="00A803FC"/>
    <w:rsid w:val="00A8054D"/>
    <w:rsid w:val="00A805CF"/>
    <w:rsid w:val="00A80678"/>
    <w:rsid w:val="00A806DD"/>
    <w:rsid w:val="00A8071A"/>
    <w:rsid w:val="00A8075A"/>
    <w:rsid w:val="00A80825"/>
    <w:rsid w:val="00A8088F"/>
    <w:rsid w:val="00A8095E"/>
    <w:rsid w:val="00A809B1"/>
    <w:rsid w:val="00A80A59"/>
    <w:rsid w:val="00A80A7A"/>
    <w:rsid w:val="00A80B54"/>
    <w:rsid w:val="00A80B63"/>
    <w:rsid w:val="00A80B90"/>
    <w:rsid w:val="00A80C79"/>
    <w:rsid w:val="00A80CC2"/>
    <w:rsid w:val="00A80CFA"/>
    <w:rsid w:val="00A80DA1"/>
    <w:rsid w:val="00A80DD9"/>
    <w:rsid w:val="00A80E0F"/>
    <w:rsid w:val="00A80ED2"/>
    <w:rsid w:val="00A80FCA"/>
    <w:rsid w:val="00A81030"/>
    <w:rsid w:val="00A811CA"/>
    <w:rsid w:val="00A8131D"/>
    <w:rsid w:val="00A81366"/>
    <w:rsid w:val="00A813B7"/>
    <w:rsid w:val="00A81472"/>
    <w:rsid w:val="00A814C9"/>
    <w:rsid w:val="00A814D1"/>
    <w:rsid w:val="00A815EA"/>
    <w:rsid w:val="00A81706"/>
    <w:rsid w:val="00A817CF"/>
    <w:rsid w:val="00A818BD"/>
    <w:rsid w:val="00A81929"/>
    <w:rsid w:val="00A81995"/>
    <w:rsid w:val="00A81A0C"/>
    <w:rsid w:val="00A81AB0"/>
    <w:rsid w:val="00A81AFE"/>
    <w:rsid w:val="00A81B31"/>
    <w:rsid w:val="00A81B43"/>
    <w:rsid w:val="00A81CBC"/>
    <w:rsid w:val="00A81CFD"/>
    <w:rsid w:val="00A81D3E"/>
    <w:rsid w:val="00A81D47"/>
    <w:rsid w:val="00A81D5F"/>
    <w:rsid w:val="00A81E1C"/>
    <w:rsid w:val="00A81EB6"/>
    <w:rsid w:val="00A81F0D"/>
    <w:rsid w:val="00A8216F"/>
    <w:rsid w:val="00A82241"/>
    <w:rsid w:val="00A822D0"/>
    <w:rsid w:val="00A82409"/>
    <w:rsid w:val="00A82506"/>
    <w:rsid w:val="00A82651"/>
    <w:rsid w:val="00A82676"/>
    <w:rsid w:val="00A8267C"/>
    <w:rsid w:val="00A82759"/>
    <w:rsid w:val="00A82770"/>
    <w:rsid w:val="00A8291A"/>
    <w:rsid w:val="00A829E1"/>
    <w:rsid w:val="00A82A76"/>
    <w:rsid w:val="00A82AED"/>
    <w:rsid w:val="00A82DB7"/>
    <w:rsid w:val="00A82DE1"/>
    <w:rsid w:val="00A82E01"/>
    <w:rsid w:val="00A82F76"/>
    <w:rsid w:val="00A83007"/>
    <w:rsid w:val="00A8306F"/>
    <w:rsid w:val="00A83136"/>
    <w:rsid w:val="00A83142"/>
    <w:rsid w:val="00A83166"/>
    <w:rsid w:val="00A83167"/>
    <w:rsid w:val="00A83203"/>
    <w:rsid w:val="00A8338B"/>
    <w:rsid w:val="00A833CC"/>
    <w:rsid w:val="00A83484"/>
    <w:rsid w:val="00A83497"/>
    <w:rsid w:val="00A834F2"/>
    <w:rsid w:val="00A83722"/>
    <w:rsid w:val="00A83749"/>
    <w:rsid w:val="00A837CE"/>
    <w:rsid w:val="00A837FB"/>
    <w:rsid w:val="00A83833"/>
    <w:rsid w:val="00A838AD"/>
    <w:rsid w:val="00A838B2"/>
    <w:rsid w:val="00A8390C"/>
    <w:rsid w:val="00A83A0D"/>
    <w:rsid w:val="00A83B40"/>
    <w:rsid w:val="00A83BE3"/>
    <w:rsid w:val="00A83C74"/>
    <w:rsid w:val="00A83CF8"/>
    <w:rsid w:val="00A83D72"/>
    <w:rsid w:val="00A83D7F"/>
    <w:rsid w:val="00A83DB5"/>
    <w:rsid w:val="00A83DD2"/>
    <w:rsid w:val="00A83E66"/>
    <w:rsid w:val="00A83EB2"/>
    <w:rsid w:val="00A83FBA"/>
    <w:rsid w:val="00A83FE2"/>
    <w:rsid w:val="00A8403C"/>
    <w:rsid w:val="00A84054"/>
    <w:rsid w:val="00A840E7"/>
    <w:rsid w:val="00A84115"/>
    <w:rsid w:val="00A84185"/>
    <w:rsid w:val="00A84249"/>
    <w:rsid w:val="00A84301"/>
    <w:rsid w:val="00A84327"/>
    <w:rsid w:val="00A84357"/>
    <w:rsid w:val="00A843E9"/>
    <w:rsid w:val="00A844A7"/>
    <w:rsid w:val="00A8460E"/>
    <w:rsid w:val="00A8461E"/>
    <w:rsid w:val="00A84636"/>
    <w:rsid w:val="00A846FE"/>
    <w:rsid w:val="00A8478A"/>
    <w:rsid w:val="00A847B8"/>
    <w:rsid w:val="00A84827"/>
    <w:rsid w:val="00A84875"/>
    <w:rsid w:val="00A8490B"/>
    <w:rsid w:val="00A84972"/>
    <w:rsid w:val="00A849E1"/>
    <w:rsid w:val="00A84BB5"/>
    <w:rsid w:val="00A84C92"/>
    <w:rsid w:val="00A84CD6"/>
    <w:rsid w:val="00A84CE0"/>
    <w:rsid w:val="00A84D06"/>
    <w:rsid w:val="00A84D3F"/>
    <w:rsid w:val="00A84DA4"/>
    <w:rsid w:val="00A84EFE"/>
    <w:rsid w:val="00A84FB5"/>
    <w:rsid w:val="00A84FE1"/>
    <w:rsid w:val="00A85080"/>
    <w:rsid w:val="00A85097"/>
    <w:rsid w:val="00A850EA"/>
    <w:rsid w:val="00A8516E"/>
    <w:rsid w:val="00A851A6"/>
    <w:rsid w:val="00A8520B"/>
    <w:rsid w:val="00A8522B"/>
    <w:rsid w:val="00A852B7"/>
    <w:rsid w:val="00A852F0"/>
    <w:rsid w:val="00A85367"/>
    <w:rsid w:val="00A85463"/>
    <w:rsid w:val="00A85521"/>
    <w:rsid w:val="00A85531"/>
    <w:rsid w:val="00A855C1"/>
    <w:rsid w:val="00A856BB"/>
    <w:rsid w:val="00A85849"/>
    <w:rsid w:val="00A85872"/>
    <w:rsid w:val="00A8594F"/>
    <w:rsid w:val="00A85995"/>
    <w:rsid w:val="00A85A67"/>
    <w:rsid w:val="00A85A8B"/>
    <w:rsid w:val="00A85B07"/>
    <w:rsid w:val="00A85C99"/>
    <w:rsid w:val="00A85E10"/>
    <w:rsid w:val="00A85EA7"/>
    <w:rsid w:val="00A85F27"/>
    <w:rsid w:val="00A85F3A"/>
    <w:rsid w:val="00A85F97"/>
    <w:rsid w:val="00A860A3"/>
    <w:rsid w:val="00A860F4"/>
    <w:rsid w:val="00A860F7"/>
    <w:rsid w:val="00A861D7"/>
    <w:rsid w:val="00A86223"/>
    <w:rsid w:val="00A862DA"/>
    <w:rsid w:val="00A862DD"/>
    <w:rsid w:val="00A86304"/>
    <w:rsid w:val="00A86331"/>
    <w:rsid w:val="00A86406"/>
    <w:rsid w:val="00A86518"/>
    <w:rsid w:val="00A86539"/>
    <w:rsid w:val="00A8656C"/>
    <w:rsid w:val="00A865A0"/>
    <w:rsid w:val="00A86600"/>
    <w:rsid w:val="00A86750"/>
    <w:rsid w:val="00A8679B"/>
    <w:rsid w:val="00A86853"/>
    <w:rsid w:val="00A86993"/>
    <w:rsid w:val="00A869BB"/>
    <w:rsid w:val="00A869E6"/>
    <w:rsid w:val="00A86B1E"/>
    <w:rsid w:val="00A86B75"/>
    <w:rsid w:val="00A86BAD"/>
    <w:rsid w:val="00A86C10"/>
    <w:rsid w:val="00A86C15"/>
    <w:rsid w:val="00A86C3F"/>
    <w:rsid w:val="00A86C5D"/>
    <w:rsid w:val="00A86C75"/>
    <w:rsid w:val="00A86CB0"/>
    <w:rsid w:val="00A86CEB"/>
    <w:rsid w:val="00A86D40"/>
    <w:rsid w:val="00A86D5E"/>
    <w:rsid w:val="00A86DAE"/>
    <w:rsid w:val="00A86DF9"/>
    <w:rsid w:val="00A86E75"/>
    <w:rsid w:val="00A86EC6"/>
    <w:rsid w:val="00A86ECA"/>
    <w:rsid w:val="00A86F06"/>
    <w:rsid w:val="00A86F0A"/>
    <w:rsid w:val="00A86F22"/>
    <w:rsid w:val="00A86F33"/>
    <w:rsid w:val="00A8703B"/>
    <w:rsid w:val="00A8708F"/>
    <w:rsid w:val="00A870A1"/>
    <w:rsid w:val="00A87137"/>
    <w:rsid w:val="00A87145"/>
    <w:rsid w:val="00A8718E"/>
    <w:rsid w:val="00A871A1"/>
    <w:rsid w:val="00A871F3"/>
    <w:rsid w:val="00A8723A"/>
    <w:rsid w:val="00A872CF"/>
    <w:rsid w:val="00A8736F"/>
    <w:rsid w:val="00A87392"/>
    <w:rsid w:val="00A87429"/>
    <w:rsid w:val="00A87458"/>
    <w:rsid w:val="00A87575"/>
    <w:rsid w:val="00A87580"/>
    <w:rsid w:val="00A8769C"/>
    <w:rsid w:val="00A876E8"/>
    <w:rsid w:val="00A8783B"/>
    <w:rsid w:val="00A8784B"/>
    <w:rsid w:val="00A878AB"/>
    <w:rsid w:val="00A879D4"/>
    <w:rsid w:val="00A87A2A"/>
    <w:rsid w:val="00A87CA5"/>
    <w:rsid w:val="00A87D68"/>
    <w:rsid w:val="00A87DAD"/>
    <w:rsid w:val="00A87E09"/>
    <w:rsid w:val="00A87E87"/>
    <w:rsid w:val="00A87EA3"/>
    <w:rsid w:val="00A87ED9"/>
    <w:rsid w:val="00A87F0A"/>
    <w:rsid w:val="00A87F24"/>
    <w:rsid w:val="00A87F30"/>
    <w:rsid w:val="00A87F88"/>
    <w:rsid w:val="00A87FB0"/>
    <w:rsid w:val="00A90194"/>
    <w:rsid w:val="00A902B4"/>
    <w:rsid w:val="00A902C2"/>
    <w:rsid w:val="00A902E1"/>
    <w:rsid w:val="00A902F6"/>
    <w:rsid w:val="00A90328"/>
    <w:rsid w:val="00A90392"/>
    <w:rsid w:val="00A903AA"/>
    <w:rsid w:val="00A905FF"/>
    <w:rsid w:val="00A9064E"/>
    <w:rsid w:val="00A9065F"/>
    <w:rsid w:val="00A906F7"/>
    <w:rsid w:val="00A906FB"/>
    <w:rsid w:val="00A9074E"/>
    <w:rsid w:val="00A9079A"/>
    <w:rsid w:val="00A90AC6"/>
    <w:rsid w:val="00A90ACB"/>
    <w:rsid w:val="00A90B07"/>
    <w:rsid w:val="00A90B0E"/>
    <w:rsid w:val="00A90C10"/>
    <w:rsid w:val="00A90CC4"/>
    <w:rsid w:val="00A90E8E"/>
    <w:rsid w:val="00A90F05"/>
    <w:rsid w:val="00A90F39"/>
    <w:rsid w:val="00A90F76"/>
    <w:rsid w:val="00A910EC"/>
    <w:rsid w:val="00A91106"/>
    <w:rsid w:val="00A91169"/>
    <w:rsid w:val="00A91189"/>
    <w:rsid w:val="00A911AA"/>
    <w:rsid w:val="00A91248"/>
    <w:rsid w:val="00A91294"/>
    <w:rsid w:val="00A912D9"/>
    <w:rsid w:val="00A913DB"/>
    <w:rsid w:val="00A913ED"/>
    <w:rsid w:val="00A91436"/>
    <w:rsid w:val="00A91458"/>
    <w:rsid w:val="00A914C1"/>
    <w:rsid w:val="00A914F8"/>
    <w:rsid w:val="00A915DF"/>
    <w:rsid w:val="00A91696"/>
    <w:rsid w:val="00A916B7"/>
    <w:rsid w:val="00A916D2"/>
    <w:rsid w:val="00A9173F"/>
    <w:rsid w:val="00A917A9"/>
    <w:rsid w:val="00A917BA"/>
    <w:rsid w:val="00A91983"/>
    <w:rsid w:val="00A919DD"/>
    <w:rsid w:val="00A91AA1"/>
    <w:rsid w:val="00A91B39"/>
    <w:rsid w:val="00A91C6C"/>
    <w:rsid w:val="00A91C8C"/>
    <w:rsid w:val="00A91D9C"/>
    <w:rsid w:val="00A91DA9"/>
    <w:rsid w:val="00A91DC5"/>
    <w:rsid w:val="00A91E53"/>
    <w:rsid w:val="00A91F0D"/>
    <w:rsid w:val="00A91F23"/>
    <w:rsid w:val="00A91F50"/>
    <w:rsid w:val="00A91FD4"/>
    <w:rsid w:val="00A921FB"/>
    <w:rsid w:val="00A9231E"/>
    <w:rsid w:val="00A9235A"/>
    <w:rsid w:val="00A9238A"/>
    <w:rsid w:val="00A923F3"/>
    <w:rsid w:val="00A92432"/>
    <w:rsid w:val="00A92442"/>
    <w:rsid w:val="00A9272A"/>
    <w:rsid w:val="00A9278C"/>
    <w:rsid w:val="00A9284B"/>
    <w:rsid w:val="00A9293C"/>
    <w:rsid w:val="00A92985"/>
    <w:rsid w:val="00A92991"/>
    <w:rsid w:val="00A92A55"/>
    <w:rsid w:val="00A92AB1"/>
    <w:rsid w:val="00A92AEE"/>
    <w:rsid w:val="00A92B1C"/>
    <w:rsid w:val="00A92B43"/>
    <w:rsid w:val="00A92C1B"/>
    <w:rsid w:val="00A92C31"/>
    <w:rsid w:val="00A92CBF"/>
    <w:rsid w:val="00A92CCC"/>
    <w:rsid w:val="00A92E02"/>
    <w:rsid w:val="00A92F00"/>
    <w:rsid w:val="00A92F2B"/>
    <w:rsid w:val="00A92F6E"/>
    <w:rsid w:val="00A92FF7"/>
    <w:rsid w:val="00A93069"/>
    <w:rsid w:val="00A93082"/>
    <w:rsid w:val="00A932BD"/>
    <w:rsid w:val="00A9331B"/>
    <w:rsid w:val="00A9350E"/>
    <w:rsid w:val="00A93573"/>
    <w:rsid w:val="00A935D1"/>
    <w:rsid w:val="00A93705"/>
    <w:rsid w:val="00A93785"/>
    <w:rsid w:val="00A937EE"/>
    <w:rsid w:val="00A93853"/>
    <w:rsid w:val="00A938C3"/>
    <w:rsid w:val="00A93A57"/>
    <w:rsid w:val="00A93A71"/>
    <w:rsid w:val="00A93A8B"/>
    <w:rsid w:val="00A93BD0"/>
    <w:rsid w:val="00A93CBF"/>
    <w:rsid w:val="00A93CC0"/>
    <w:rsid w:val="00A93D47"/>
    <w:rsid w:val="00A93DD8"/>
    <w:rsid w:val="00A93E04"/>
    <w:rsid w:val="00A93E6F"/>
    <w:rsid w:val="00A94026"/>
    <w:rsid w:val="00A94082"/>
    <w:rsid w:val="00A94128"/>
    <w:rsid w:val="00A94155"/>
    <w:rsid w:val="00A94171"/>
    <w:rsid w:val="00A94230"/>
    <w:rsid w:val="00A94233"/>
    <w:rsid w:val="00A94276"/>
    <w:rsid w:val="00A9428D"/>
    <w:rsid w:val="00A9430B"/>
    <w:rsid w:val="00A945A9"/>
    <w:rsid w:val="00A945B9"/>
    <w:rsid w:val="00A945CE"/>
    <w:rsid w:val="00A9468F"/>
    <w:rsid w:val="00A946C4"/>
    <w:rsid w:val="00A9471D"/>
    <w:rsid w:val="00A9480F"/>
    <w:rsid w:val="00A9495C"/>
    <w:rsid w:val="00A9495D"/>
    <w:rsid w:val="00A9498D"/>
    <w:rsid w:val="00A949AA"/>
    <w:rsid w:val="00A94A22"/>
    <w:rsid w:val="00A94B1E"/>
    <w:rsid w:val="00A94BA1"/>
    <w:rsid w:val="00A94C06"/>
    <w:rsid w:val="00A94C60"/>
    <w:rsid w:val="00A94C96"/>
    <w:rsid w:val="00A94CCC"/>
    <w:rsid w:val="00A94D00"/>
    <w:rsid w:val="00A94DB1"/>
    <w:rsid w:val="00A94E04"/>
    <w:rsid w:val="00A94E26"/>
    <w:rsid w:val="00A94E27"/>
    <w:rsid w:val="00A94E79"/>
    <w:rsid w:val="00A94F2F"/>
    <w:rsid w:val="00A94F7A"/>
    <w:rsid w:val="00A95084"/>
    <w:rsid w:val="00A9509C"/>
    <w:rsid w:val="00A9511A"/>
    <w:rsid w:val="00A9518A"/>
    <w:rsid w:val="00A95254"/>
    <w:rsid w:val="00A952AE"/>
    <w:rsid w:val="00A95335"/>
    <w:rsid w:val="00A953AE"/>
    <w:rsid w:val="00A95530"/>
    <w:rsid w:val="00A9566B"/>
    <w:rsid w:val="00A95773"/>
    <w:rsid w:val="00A957F2"/>
    <w:rsid w:val="00A95822"/>
    <w:rsid w:val="00A95868"/>
    <w:rsid w:val="00A95881"/>
    <w:rsid w:val="00A95921"/>
    <w:rsid w:val="00A959D2"/>
    <w:rsid w:val="00A95C29"/>
    <w:rsid w:val="00A95C49"/>
    <w:rsid w:val="00A95CF8"/>
    <w:rsid w:val="00A95D72"/>
    <w:rsid w:val="00A95F02"/>
    <w:rsid w:val="00A960DB"/>
    <w:rsid w:val="00A960E0"/>
    <w:rsid w:val="00A9614F"/>
    <w:rsid w:val="00A9624B"/>
    <w:rsid w:val="00A9630C"/>
    <w:rsid w:val="00A963B3"/>
    <w:rsid w:val="00A96469"/>
    <w:rsid w:val="00A9657F"/>
    <w:rsid w:val="00A965B7"/>
    <w:rsid w:val="00A96674"/>
    <w:rsid w:val="00A96887"/>
    <w:rsid w:val="00A96893"/>
    <w:rsid w:val="00A96907"/>
    <w:rsid w:val="00A96970"/>
    <w:rsid w:val="00A969D6"/>
    <w:rsid w:val="00A96A4D"/>
    <w:rsid w:val="00A96A8E"/>
    <w:rsid w:val="00A96AE4"/>
    <w:rsid w:val="00A96AE9"/>
    <w:rsid w:val="00A96AF5"/>
    <w:rsid w:val="00A96B40"/>
    <w:rsid w:val="00A96B50"/>
    <w:rsid w:val="00A96BFD"/>
    <w:rsid w:val="00A96C67"/>
    <w:rsid w:val="00A96D08"/>
    <w:rsid w:val="00A96DF1"/>
    <w:rsid w:val="00A96E1E"/>
    <w:rsid w:val="00A96EDC"/>
    <w:rsid w:val="00A96EDD"/>
    <w:rsid w:val="00A96F28"/>
    <w:rsid w:val="00A97079"/>
    <w:rsid w:val="00A970C4"/>
    <w:rsid w:val="00A972D9"/>
    <w:rsid w:val="00A97386"/>
    <w:rsid w:val="00A97558"/>
    <w:rsid w:val="00A97564"/>
    <w:rsid w:val="00A9763E"/>
    <w:rsid w:val="00A9769E"/>
    <w:rsid w:val="00A97711"/>
    <w:rsid w:val="00A97851"/>
    <w:rsid w:val="00A9787D"/>
    <w:rsid w:val="00A9797D"/>
    <w:rsid w:val="00A979D4"/>
    <w:rsid w:val="00A97B0E"/>
    <w:rsid w:val="00A97C3E"/>
    <w:rsid w:val="00A97C5C"/>
    <w:rsid w:val="00A97C63"/>
    <w:rsid w:val="00A97C67"/>
    <w:rsid w:val="00A97C92"/>
    <w:rsid w:val="00A97CA6"/>
    <w:rsid w:val="00A97D8E"/>
    <w:rsid w:val="00A97EF2"/>
    <w:rsid w:val="00A97FE2"/>
    <w:rsid w:val="00AA0014"/>
    <w:rsid w:val="00AA0141"/>
    <w:rsid w:val="00AA015F"/>
    <w:rsid w:val="00AA0177"/>
    <w:rsid w:val="00AA01F3"/>
    <w:rsid w:val="00AA02A8"/>
    <w:rsid w:val="00AA02C6"/>
    <w:rsid w:val="00AA0353"/>
    <w:rsid w:val="00AA0373"/>
    <w:rsid w:val="00AA03BF"/>
    <w:rsid w:val="00AA03C9"/>
    <w:rsid w:val="00AA040B"/>
    <w:rsid w:val="00AA046D"/>
    <w:rsid w:val="00AA0491"/>
    <w:rsid w:val="00AA04E7"/>
    <w:rsid w:val="00AA06A4"/>
    <w:rsid w:val="00AA08E9"/>
    <w:rsid w:val="00AA08F2"/>
    <w:rsid w:val="00AA0918"/>
    <w:rsid w:val="00AA0927"/>
    <w:rsid w:val="00AA0952"/>
    <w:rsid w:val="00AA09AA"/>
    <w:rsid w:val="00AA09EC"/>
    <w:rsid w:val="00AA09F2"/>
    <w:rsid w:val="00AA0A42"/>
    <w:rsid w:val="00AA0A4A"/>
    <w:rsid w:val="00AA0B45"/>
    <w:rsid w:val="00AA0B4B"/>
    <w:rsid w:val="00AA0B8A"/>
    <w:rsid w:val="00AA0C3A"/>
    <w:rsid w:val="00AA0CAC"/>
    <w:rsid w:val="00AA0D5E"/>
    <w:rsid w:val="00AA0E02"/>
    <w:rsid w:val="00AA0E1D"/>
    <w:rsid w:val="00AA0ECC"/>
    <w:rsid w:val="00AA0EE3"/>
    <w:rsid w:val="00AA0F12"/>
    <w:rsid w:val="00AA0F17"/>
    <w:rsid w:val="00AA0FB6"/>
    <w:rsid w:val="00AA0FC8"/>
    <w:rsid w:val="00AA100B"/>
    <w:rsid w:val="00AA1049"/>
    <w:rsid w:val="00AA1060"/>
    <w:rsid w:val="00AA1073"/>
    <w:rsid w:val="00AA118D"/>
    <w:rsid w:val="00AA11AB"/>
    <w:rsid w:val="00AA1262"/>
    <w:rsid w:val="00AA12C0"/>
    <w:rsid w:val="00AA1378"/>
    <w:rsid w:val="00AA13DD"/>
    <w:rsid w:val="00AA155D"/>
    <w:rsid w:val="00AA1607"/>
    <w:rsid w:val="00AA163A"/>
    <w:rsid w:val="00AA1723"/>
    <w:rsid w:val="00AA1780"/>
    <w:rsid w:val="00AA17CA"/>
    <w:rsid w:val="00AA17D6"/>
    <w:rsid w:val="00AA18B9"/>
    <w:rsid w:val="00AA190D"/>
    <w:rsid w:val="00AA195D"/>
    <w:rsid w:val="00AA1AE7"/>
    <w:rsid w:val="00AA1C12"/>
    <w:rsid w:val="00AA1F0C"/>
    <w:rsid w:val="00AA1F4D"/>
    <w:rsid w:val="00AA1F9D"/>
    <w:rsid w:val="00AA1FB0"/>
    <w:rsid w:val="00AA1FC1"/>
    <w:rsid w:val="00AA1FDD"/>
    <w:rsid w:val="00AA1FE0"/>
    <w:rsid w:val="00AA207D"/>
    <w:rsid w:val="00AA2095"/>
    <w:rsid w:val="00AA20D3"/>
    <w:rsid w:val="00AA21AB"/>
    <w:rsid w:val="00AA22AC"/>
    <w:rsid w:val="00AA22C3"/>
    <w:rsid w:val="00AA230D"/>
    <w:rsid w:val="00AA2436"/>
    <w:rsid w:val="00AA245B"/>
    <w:rsid w:val="00AA2488"/>
    <w:rsid w:val="00AA2543"/>
    <w:rsid w:val="00AA255F"/>
    <w:rsid w:val="00AA257B"/>
    <w:rsid w:val="00AA2599"/>
    <w:rsid w:val="00AA263F"/>
    <w:rsid w:val="00AA264B"/>
    <w:rsid w:val="00AA27A4"/>
    <w:rsid w:val="00AA27D4"/>
    <w:rsid w:val="00AA27FE"/>
    <w:rsid w:val="00AA2816"/>
    <w:rsid w:val="00AA2898"/>
    <w:rsid w:val="00AA289D"/>
    <w:rsid w:val="00AA28C4"/>
    <w:rsid w:val="00AA2969"/>
    <w:rsid w:val="00AA2998"/>
    <w:rsid w:val="00AA29D9"/>
    <w:rsid w:val="00AA2A08"/>
    <w:rsid w:val="00AA2A30"/>
    <w:rsid w:val="00AA2A32"/>
    <w:rsid w:val="00AA2A68"/>
    <w:rsid w:val="00AA2A75"/>
    <w:rsid w:val="00AA2BC0"/>
    <w:rsid w:val="00AA2BEE"/>
    <w:rsid w:val="00AA2BF5"/>
    <w:rsid w:val="00AA2BF9"/>
    <w:rsid w:val="00AA2C23"/>
    <w:rsid w:val="00AA2D1E"/>
    <w:rsid w:val="00AA2D6E"/>
    <w:rsid w:val="00AA2DA3"/>
    <w:rsid w:val="00AA2E7B"/>
    <w:rsid w:val="00AA2EA5"/>
    <w:rsid w:val="00AA2EB2"/>
    <w:rsid w:val="00AA2EB4"/>
    <w:rsid w:val="00AA3038"/>
    <w:rsid w:val="00AA30A2"/>
    <w:rsid w:val="00AA31AE"/>
    <w:rsid w:val="00AA321A"/>
    <w:rsid w:val="00AA329B"/>
    <w:rsid w:val="00AA32A0"/>
    <w:rsid w:val="00AA32A6"/>
    <w:rsid w:val="00AA32BA"/>
    <w:rsid w:val="00AA32E9"/>
    <w:rsid w:val="00AA3373"/>
    <w:rsid w:val="00AA345E"/>
    <w:rsid w:val="00AA34E8"/>
    <w:rsid w:val="00AA3752"/>
    <w:rsid w:val="00AA37BC"/>
    <w:rsid w:val="00AA37D3"/>
    <w:rsid w:val="00AA3854"/>
    <w:rsid w:val="00AA3BCC"/>
    <w:rsid w:val="00AA3D40"/>
    <w:rsid w:val="00AA3E63"/>
    <w:rsid w:val="00AA3EC2"/>
    <w:rsid w:val="00AA3FF3"/>
    <w:rsid w:val="00AA40DB"/>
    <w:rsid w:val="00AA40FD"/>
    <w:rsid w:val="00AA4273"/>
    <w:rsid w:val="00AA434B"/>
    <w:rsid w:val="00AA43DE"/>
    <w:rsid w:val="00AA43E6"/>
    <w:rsid w:val="00AA449F"/>
    <w:rsid w:val="00AA44AD"/>
    <w:rsid w:val="00AA44B3"/>
    <w:rsid w:val="00AA453A"/>
    <w:rsid w:val="00AA4584"/>
    <w:rsid w:val="00AA45A3"/>
    <w:rsid w:val="00AA45C1"/>
    <w:rsid w:val="00AA45CC"/>
    <w:rsid w:val="00AA465A"/>
    <w:rsid w:val="00AA4816"/>
    <w:rsid w:val="00AA4838"/>
    <w:rsid w:val="00AA487B"/>
    <w:rsid w:val="00AA487E"/>
    <w:rsid w:val="00AA48AA"/>
    <w:rsid w:val="00AA48BB"/>
    <w:rsid w:val="00AA4941"/>
    <w:rsid w:val="00AA4947"/>
    <w:rsid w:val="00AA49E9"/>
    <w:rsid w:val="00AA4A01"/>
    <w:rsid w:val="00AA4A33"/>
    <w:rsid w:val="00AA4AA8"/>
    <w:rsid w:val="00AA4C17"/>
    <w:rsid w:val="00AA4C36"/>
    <w:rsid w:val="00AA4DD0"/>
    <w:rsid w:val="00AA4E15"/>
    <w:rsid w:val="00AA4EC0"/>
    <w:rsid w:val="00AA502B"/>
    <w:rsid w:val="00AA5055"/>
    <w:rsid w:val="00AA50A8"/>
    <w:rsid w:val="00AA50AA"/>
    <w:rsid w:val="00AA50D9"/>
    <w:rsid w:val="00AA5106"/>
    <w:rsid w:val="00AA5170"/>
    <w:rsid w:val="00AA51A6"/>
    <w:rsid w:val="00AA5203"/>
    <w:rsid w:val="00AA524B"/>
    <w:rsid w:val="00AA528B"/>
    <w:rsid w:val="00AA52A4"/>
    <w:rsid w:val="00AA52EE"/>
    <w:rsid w:val="00AA542E"/>
    <w:rsid w:val="00AA5475"/>
    <w:rsid w:val="00AA5583"/>
    <w:rsid w:val="00AA5616"/>
    <w:rsid w:val="00AA56AB"/>
    <w:rsid w:val="00AA56D5"/>
    <w:rsid w:val="00AA577C"/>
    <w:rsid w:val="00AA5788"/>
    <w:rsid w:val="00AA57DE"/>
    <w:rsid w:val="00AA5808"/>
    <w:rsid w:val="00AA5876"/>
    <w:rsid w:val="00AA596A"/>
    <w:rsid w:val="00AA59F6"/>
    <w:rsid w:val="00AA5A94"/>
    <w:rsid w:val="00AA5AA2"/>
    <w:rsid w:val="00AA5AC8"/>
    <w:rsid w:val="00AA5AF9"/>
    <w:rsid w:val="00AA5B8B"/>
    <w:rsid w:val="00AA5BBA"/>
    <w:rsid w:val="00AA5C9D"/>
    <w:rsid w:val="00AA5D6C"/>
    <w:rsid w:val="00AA5DC8"/>
    <w:rsid w:val="00AA5E4C"/>
    <w:rsid w:val="00AA5EA4"/>
    <w:rsid w:val="00AA5EDC"/>
    <w:rsid w:val="00AA5F27"/>
    <w:rsid w:val="00AA6004"/>
    <w:rsid w:val="00AA6090"/>
    <w:rsid w:val="00AA617A"/>
    <w:rsid w:val="00AA61C7"/>
    <w:rsid w:val="00AA6294"/>
    <w:rsid w:val="00AA6499"/>
    <w:rsid w:val="00AA665F"/>
    <w:rsid w:val="00AA668C"/>
    <w:rsid w:val="00AA6721"/>
    <w:rsid w:val="00AA67CF"/>
    <w:rsid w:val="00AA67DB"/>
    <w:rsid w:val="00AA688F"/>
    <w:rsid w:val="00AA68C3"/>
    <w:rsid w:val="00AA6945"/>
    <w:rsid w:val="00AA6992"/>
    <w:rsid w:val="00AA69A9"/>
    <w:rsid w:val="00AA6A8A"/>
    <w:rsid w:val="00AA6B24"/>
    <w:rsid w:val="00AA6B3F"/>
    <w:rsid w:val="00AA6B9A"/>
    <w:rsid w:val="00AA6CAD"/>
    <w:rsid w:val="00AA6D7D"/>
    <w:rsid w:val="00AA6DD8"/>
    <w:rsid w:val="00AA6FA3"/>
    <w:rsid w:val="00AA7058"/>
    <w:rsid w:val="00AA70BB"/>
    <w:rsid w:val="00AA712A"/>
    <w:rsid w:val="00AA72BA"/>
    <w:rsid w:val="00AA73EA"/>
    <w:rsid w:val="00AA7413"/>
    <w:rsid w:val="00AA7479"/>
    <w:rsid w:val="00AA752F"/>
    <w:rsid w:val="00AA757C"/>
    <w:rsid w:val="00AA758D"/>
    <w:rsid w:val="00AA7620"/>
    <w:rsid w:val="00AA767C"/>
    <w:rsid w:val="00AA768B"/>
    <w:rsid w:val="00AA7734"/>
    <w:rsid w:val="00AA7756"/>
    <w:rsid w:val="00AA78FE"/>
    <w:rsid w:val="00AA791E"/>
    <w:rsid w:val="00AA7948"/>
    <w:rsid w:val="00AA7AD9"/>
    <w:rsid w:val="00AA7AEB"/>
    <w:rsid w:val="00AA7D34"/>
    <w:rsid w:val="00AA7D99"/>
    <w:rsid w:val="00AA7DAC"/>
    <w:rsid w:val="00AA7DAF"/>
    <w:rsid w:val="00AA7E10"/>
    <w:rsid w:val="00AA7F10"/>
    <w:rsid w:val="00AA7FB8"/>
    <w:rsid w:val="00AB0160"/>
    <w:rsid w:val="00AB0195"/>
    <w:rsid w:val="00AB01EB"/>
    <w:rsid w:val="00AB030B"/>
    <w:rsid w:val="00AB0388"/>
    <w:rsid w:val="00AB0391"/>
    <w:rsid w:val="00AB03CD"/>
    <w:rsid w:val="00AB0418"/>
    <w:rsid w:val="00AB04A8"/>
    <w:rsid w:val="00AB04BF"/>
    <w:rsid w:val="00AB04CD"/>
    <w:rsid w:val="00AB04F2"/>
    <w:rsid w:val="00AB05D5"/>
    <w:rsid w:val="00AB065D"/>
    <w:rsid w:val="00AB0663"/>
    <w:rsid w:val="00AB06C2"/>
    <w:rsid w:val="00AB072E"/>
    <w:rsid w:val="00AB07F3"/>
    <w:rsid w:val="00AB09A4"/>
    <w:rsid w:val="00AB0A51"/>
    <w:rsid w:val="00AB0B49"/>
    <w:rsid w:val="00AB0B4F"/>
    <w:rsid w:val="00AB0B75"/>
    <w:rsid w:val="00AB0BC7"/>
    <w:rsid w:val="00AB0CB3"/>
    <w:rsid w:val="00AB0D69"/>
    <w:rsid w:val="00AB0E0A"/>
    <w:rsid w:val="00AB0FD4"/>
    <w:rsid w:val="00AB10DA"/>
    <w:rsid w:val="00AB10F5"/>
    <w:rsid w:val="00AB10FA"/>
    <w:rsid w:val="00AB114C"/>
    <w:rsid w:val="00AB115B"/>
    <w:rsid w:val="00AB1185"/>
    <w:rsid w:val="00AB1273"/>
    <w:rsid w:val="00AB1328"/>
    <w:rsid w:val="00AB1371"/>
    <w:rsid w:val="00AB137E"/>
    <w:rsid w:val="00AB14E2"/>
    <w:rsid w:val="00AB14F8"/>
    <w:rsid w:val="00AB1511"/>
    <w:rsid w:val="00AB158A"/>
    <w:rsid w:val="00AB15D3"/>
    <w:rsid w:val="00AB162D"/>
    <w:rsid w:val="00AB162F"/>
    <w:rsid w:val="00AB1689"/>
    <w:rsid w:val="00AB168B"/>
    <w:rsid w:val="00AB1942"/>
    <w:rsid w:val="00AB1960"/>
    <w:rsid w:val="00AB19DD"/>
    <w:rsid w:val="00AB1A60"/>
    <w:rsid w:val="00AB1A71"/>
    <w:rsid w:val="00AB1AC7"/>
    <w:rsid w:val="00AB1B4C"/>
    <w:rsid w:val="00AB1BD2"/>
    <w:rsid w:val="00AB1BDC"/>
    <w:rsid w:val="00AB1C1A"/>
    <w:rsid w:val="00AB1C46"/>
    <w:rsid w:val="00AB1CF1"/>
    <w:rsid w:val="00AB1D9A"/>
    <w:rsid w:val="00AB1FAD"/>
    <w:rsid w:val="00AB1FBA"/>
    <w:rsid w:val="00AB1FCF"/>
    <w:rsid w:val="00AB2098"/>
    <w:rsid w:val="00AB20BA"/>
    <w:rsid w:val="00AB20D1"/>
    <w:rsid w:val="00AB2151"/>
    <w:rsid w:val="00AB2153"/>
    <w:rsid w:val="00AB21CF"/>
    <w:rsid w:val="00AB2244"/>
    <w:rsid w:val="00AB2289"/>
    <w:rsid w:val="00AB22D4"/>
    <w:rsid w:val="00AB23C2"/>
    <w:rsid w:val="00AB253C"/>
    <w:rsid w:val="00AB255A"/>
    <w:rsid w:val="00AB26F4"/>
    <w:rsid w:val="00AB2729"/>
    <w:rsid w:val="00AB27D3"/>
    <w:rsid w:val="00AB281E"/>
    <w:rsid w:val="00AB2861"/>
    <w:rsid w:val="00AB287D"/>
    <w:rsid w:val="00AB28BC"/>
    <w:rsid w:val="00AB28F4"/>
    <w:rsid w:val="00AB29AD"/>
    <w:rsid w:val="00AB2A73"/>
    <w:rsid w:val="00AB2AB7"/>
    <w:rsid w:val="00AB2AFB"/>
    <w:rsid w:val="00AB2B19"/>
    <w:rsid w:val="00AB2B63"/>
    <w:rsid w:val="00AB2C59"/>
    <w:rsid w:val="00AB2C7A"/>
    <w:rsid w:val="00AB2C8A"/>
    <w:rsid w:val="00AB2E1E"/>
    <w:rsid w:val="00AB2E82"/>
    <w:rsid w:val="00AB2EE8"/>
    <w:rsid w:val="00AB3076"/>
    <w:rsid w:val="00AB30B8"/>
    <w:rsid w:val="00AB30F8"/>
    <w:rsid w:val="00AB3102"/>
    <w:rsid w:val="00AB31C2"/>
    <w:rsid w:val="00AB3259"/>
    <w:rsid w:val="00AB32C6"/>
    <w:rsid w:val="00AB3350"/>
    <w:rsid w:val="00AB351B"/>
    <w:rsid w:val="00AB3553"/>
    <w:rsid w:val="00AB3561"/>
    <w:rsid w:val="00AB3616"/>
    <w:rsid w:val="00AB3617"/>
    <w:rsid w:val="00AB3672"/>
    <w:rsid w:val="00AB36C4"/>
    <w:rsid w:val="00AB36EF"/>
    <w:rsid w:val="00AB3763"/>
    <w:rsid w:val="00AB38F0"/>
    <w:rsid w:val="00AB3959"/>
    <w:rsid w:val="00AB3999"/>
    <w:rsid w:val="00AB39D6"/>
    <w:rsid w:val="00AB3A70"/>
    <w:rsid w:val="00AB3AC9"/>
    <w:rsid w:val="00AB3BB4"/>
    <w:rsid w:val="00AB3BC7"/>
    <w:rsid w:val="00AB3D31"/>
    <w:rsid w:val="00AB3EA7"/>
    <w:rsid w:val="00AB3EC4"/>
    <w:rsid w:val="00AB3EF2"/>
    <w:rsid w:val="00AB3F0E"/>
    <w:rsid w:val="00AB4084"/>
    <w:rsid w:val="00AB40B8"/>
    <w:rsid w:val="00AB40C8"/>
    <w:rsid w:val="00AB4164"/>
    <w:rsid w:val="00AB4227"/>
    <w:rsid w:val="00AB4235"/>
    <w:rsid w:val="00AB4277"/>
    <w:rsid w:val="00AB42B6"/>
    <w:rsid w:val="00AB42CE"/>
    <w:rsid w:val="00AB42D2"/>
    <w:rsid w:val="00AB4316"/>
    <w:rsid w:val="00AB43E1"/>
    <w:rsid w:val="00AB4571"/>
    <w:rsid w:val="00AB457F"/>
    <w:rsid w:val="00AB463E"/>
    <w:rsid w:val="00AB464B"/>
    <w:rsid w:val="00AB4728"/>
    <w:rsid w:val="00AB47B7"/>
    <w:rsid w:val="00AB47D6"/>
    <w:rsid w:val="00AB486E"/>
    <w:rsid w:val="00AB4965"/>
    <w:rsid w:val="00AB49C2"/>
    <w:rsid w:val="00AB49CC"/>
    <w:rsid w:val="00AB49E4"/>
    <w:rsid w:val="00AB4A41"/>
    <w:rsid w:val="00AB4B1A"/>
    <w:rsid w:val="00AB4CB2"/>
    <w:rsid w:val="00AB4CC8"/>
    <w:rsid w:val="00AB4D67"/>
    <w:rsid w:val="00AB4F1E"/>
    <w:rsid w:val="00AB4FC5"/>
    <w:rsid w:val="00AB502C"/>
    <w:rsid w:val="00AB5101"/>
    <w:rsid w:val="00AB513C"/>
    <w:rsid w:val="00AB520B"/>
    <w:rsid w:val="00AB5428"/>
    <w:rsid w:val="00AB545D"/>
    <w:rsid w:val="00AB54D7"/>
    <w:rsid w:val="00AB5597"/>
    <w:rsid w:val="00AB55ED"/>
    <w:rsid w:val="00AB577E"/>
    <w:rsid w:val="00AB57D3"/>
    <w:rsid w:val="00AB58CB"/>
    <w:rsid w:val="00AB5C40"/>
    <w:rsid w:val="00AB5C68"/>
    <w:rsid w:val="00AB5CA6"/>
    <w:rsid w:val="00AB5D3D"/>
    <w:rsid w:val="00AB5D57"/>
    <w:rsid w:val="00AB5DC8"/>
    <w:rsid w:val="00AB5DF1"/>
    <w:rsid w:val="00AB5E21"/>
    <w:rsid w:val="00AB6061"/>
    <w:rsid w:val="00AB606F"/>
    <w:rsid w:val="00AB62BA"/>
    <w:rsid w:val="00AB6301"/>
    <w:rsid w:val="00AB6399"/>
    <w:rsid w:val="00AB63C6"/>
    <w:rsid w:val="00AB6546"/>
    <w:rsid w:val="00AB6563"/>
    <w:rsid w:val="00AB657C"/>
    <w:rsid w:val="00AB6590"/>
    <w:rsid w:val="00AB65F4"/>
    <w:rsid w:val="00AB6704"/>
    <w:rsid w:val="00AB681F"/>
    <w:rsid w:val="00AB6857"/>
    <w:rsid w:val="00AB687D"/>
    <w:rsid w:val="00AB6886"/>
    <w:rsid w:val="00AB68F3"/>
    <w:rsid w:val="00AB693F"/>
    <w:rsid w:val="00AB6A28"/>
    <w:rsid w:val="00AB6AE4"/>
    <w:rsid w:val="00AB6B2E"/>
    <w:rsid w:val="00AB6C46"/>
    <w:rsid w:val="00AB6C6C"/>
    <w:rsid w:val="00AB6C9F"/>
    <w:rsid w:val="00AB6CCA"/>
    <w:rsid w:val="00AB6DC5"/>
    <w:rsid w:val="00AB6DFF"/>
    <w:rsid w:val="00AB6E00"/>
    <w:rsid w:val="00AB6F37"/>
    <w:rsid w:val="00AB6F5A"/>
    <w:rsid w:val="00AB70B1"/>
    <w:rsid w:val="00AB7148"/>
    <w:rsid w:val="00AB723E"/>
    <w:rsid w:val="00AB7291"/>
    <w:rsid w:val="00AB7295"/>
    <w:rsid w:val="00AB72F1"/>
    <w:rsid w:val="00AB7471"/>
    <w:rsid w:val="00AB7621"/>
    <w:rsid w:val="00AB762B"/>
    <w:rsid w:val="00AB769E"/>
    <w:rsid w:val="00AB7A12"/>
    <w:rsid w:val="00AB7A14"/>
    <w:rsid w:val="00AB7A7E"/>
    <w:rsid w:val="00AB7AB7"/>
    <w:rsid w:val="00AB7B0A"/>
    <w:rsid w:val="00AB7B74"/>
    <w:rsid w:val="00AB7C0B"/>
    <w:rsid w:val="00AB7D55"/>
    <w:rsid w:val="00AB7D77"/>
    <w:rsid w:val="00AB7E7E"/>
    <w:rsid w:val="00AB7EBA"/>
    <w:rsid w:val="00AB7EE6"/>
    <w:rsid w:val="00AB7F7F"/>
    <w:rsid w:val="00AC0059"/>
    <w:rsid w:val="00AC0082"/>
    <w:rsid w:val="00AC02F6"/>
    <w:rsid w:val="00AC0351"/>
    <w:rsid w:val="00AC039B"/>
    <w:rsid w:val="00AC049D"/>
    <w:rsid w:val="00AC04BB"/>
    <w:rsid w:val="00AC04D2"/>
    <w:rsid w:val="00AC050E"/>
    <w:rsid w:val="00AC0541"/>
    <w:rsid w:val="00AC05A6"/>
    <w:rsid w:val="00AC05F1"/>
    <w:rsid w:val="00AC0617"/>
    <w:rsid w:val="00AC0681"/>
    <w:rsid w:val="00AC072F"/>
    <w:rsid w:val="00AC0791"/>
    <w:rsid w:val="00AC083C"/>
    <w:rsid w:val="00AC084B"/>
    <w:rsid w:val="00AC08F2"/>
    <w:rsid w:val="00AC0984"/>
    <w:rsid w:val="00AC0B00"/>
    <w:rsid w:val="00AC0BF6"/>
    <w:rsid w:val="00AC0E39"/>
    <w:rsid w:val="00AC0EDA"/>
    <w:rsid w:val="00AC0FDD"/>
    <w:rsid w:val="00AC10CA"/>
    <w:rsid w:val="00AC120C"/>
    <w:rsid w:val="00AC1216"/>
    <w:rsid w:val="00AC1501"/>
    <w:rsid w:val="00AC154B"/>
    <w:rsid w:val="00AC1560"/>
    <w:rsid w:val="00AC15B8"/>
    <w:rsid w:val="00AC1652"/>
    <w:rsid w:val="00AC1889"/>
    <w:rsid w:val="00AC18A6"/>
    <w:rsid w:val="00AC1971"/>
    <w:rsid w:val="00AC19B4"/>
    <w:rsid w:val="00AC1A9A"/>
    <w:rsid w:val="00AC1B2E"/>
    <w:rsid w:val="00AC1B72"/>
    <w:rsid w:val="00AC1B79"/>
    <w:rsid w:val="00AC1BEB"/>
    <w:rsid w:val="00AC1E28"/>
    <w:rsid w:val="00AC1EDE"/>
    <w:rsid w:val="00AC1EF6"/>
    <w:rsid w:val="00AC1FD7"/>
    <w:rsid w:val="00AC206F"/>
    <w:rsid w:val="00AC207A"/>
    <w:rsid w:val="00AC207D"/>
    <w:rsid w:val="00AC2087"/>
    <w:rsid w:val="00AC20F5"/>
    <w:rsid w:val="00AC2132"/>
    <w:rsid w:val="00AC2143"/>
    <w:rsid w:val="00AC216D"/>
    <w:rsid w:val="00AC2172"/>
    <w:rsid w:val="00AC23A0"/>
    <w:rsid w:val="00AC23C0"/>
    <w:rsid w:val="00AC23D7"/>
    <w:rsid w:val="00AC24B1"/>
    <w:rsid w:val="00AC2563"/>
    <w:rsid w:val="00AC262B"/>
    <w:rsid w:val="00AC262E"/>
    <w:rsid w:val="00AC26D2"/>
    <w:rsid w:val="00AC26FE"/>
    <w:rsid w:val="00AC2892"/>
    <w:rsid w:val="00AC28A1"/>
    <w:rsid w:val="00AC2A0F"/>
    <w:rsid w:val="00AC2A5F"/>
    <w:rsid w:val="00AC2CF1"/>
    <w:rsid w:val="00AC2D35"/>
    <w:rsid w:val="00AC2D60"/>
    <w:rsid w:val="00AC2D7B"/>
    <w:rsid w:val="00AC2E60"/>
    <w:rsid w:val="00AC2E65"/>
    <w:rsid w:val="00AC3146"/>
    <w:rsid w:val="00AC319C"/>
    <w:rsid w:val="00AC31F5"/>
    <w:rsid w:val="00AC320C"/>
    <w:rsid w:val="00AC322B"/>
    <w:rsid w:val="00AC3260"/>
    <w:rsid w:val="00AC32A7"/>
    <w:rsid w:val="00AC32BD"/>
    <w:rsid w:val="00AC3344"/>
    <w:rsid w:val="00AC33F7"/>
    <w:rsid w:val="00AC3417"/>
    <w:rsid w:val="00AC3445"/>
    <w:rsid w:val="00AC344C"/>
    <w:rsid w:val="00AC350D"/>
    <w:rsid w:val="00AC3568"/>
    <w:rsid w:val="00AC3684"/>
    <w:rsid w:val="00AC370B"/>
    <w:rsid w:val="00AC3735"/>
    <w:rsid w:val="00AC3736"/>
    <w:rsid w:val="00AC3742"/>
    <w:rsid w:val="00AC3747"/>
    <w:rsid w:val="00AC375A"/>
    <w:rsid w:val="00AC3772"/>
    <w:rsid w:val="00AC37CA"/>
    <w:rsid w:val="00AC39E5"/>
    <w:rsid w:val="00AC39E6"/>
    <w:rsid w:val="00AC3B1D"/>
    <w:rsid w:val="00AC3BA2"/>
    <w:rsid w:val="00AC3BAB"/>
    <w:rsid w:val="00AC3BD1"/>
    <w:rsid w:val="00AC3BF8"/>
    <w:rsid w:val="00AC3C32"/>
    <w:rsid w:val="00AC3CF2"/>
    <w:rsid w:val="00AC3D8E"/>
    <w:rsid w:val="00AC3DF8"/>
    <w:rsid w:val="00AC3E6E"/>
    <w:rsid w:val="00AC3FD4"/>
    <w:rsid w:val="00AC4037"/>
    <w:rsid w:val="00AC4119"/>
    <w:rsid w:val="00AC4178"/>
    <w:rsid w:val="00AC426E"/>
    <w:rsid w:val="00AC43FC"/>
    <w:rsid w:val="00AC443A"/>
    <w:rsid w:val="00AC44D9"/>
    <w:rsid w:val="00AC458E"/>
    <w:rsid w:val="00AC4647"/>
    <w:rsid w:val="00AC469D"/>
    <w:rsid w:val="00AC46BD"/>
    <w:rsid w:val="00AC476C"/>
    <w:rsid w:val="00AC47EC"/>
    <w:rsid w:val="00AC4805"/>
    <w:rsid w:val="00AC4866"/>
    <w:rsid w:val="00AC496C"/>
    <w:rsid w:val="00AC4A2F"/>
    <w:rsid w:val="00AC4AC6"/>
    <w:rsid w:val="00AC4B4F"/>
    <w:rsid w:val="00AC4B83"/>
    <w:rsid w:val="00AC4B9C"/>
    <w:rsid w:val="00AC4BF6"/>
    <w:rsid w:val="00AC4C03"/>
    <w:rsid w:val="00AC4C65"/>
    <w:rsid w:val="00AC4C6A"/>
    <w:rsid w:val="00AC4D2E"/>
    <w:rsid w:val="00AC4D39"/>
    <w:rsid w:val="00AC4E51"/>
    <w:rsid w:val="00AC4E5D"/>
    <w:rsid w:val="00AC4EBE"/>
    <w:rsid w:val="00AC4ED0"/>
    <w:rsid w:val="00AC4EF4"/>
    <w:rsid w:val="00AC4FDB"/>
    <w:rsid w:val="00AC5058"/>
    <w:rsid w:val="00AC5071"/>
    <w:rsid w:val="00AC507D"/>
    <w:rsid w:val="00AC5129"/>
    <w:rsid w:val="00AC51DA"/>
    <w:rsid w:val="00AC5270"/>
    <w:rsid w:val="00AC52FC"/>
    <w:rsid w:val="00AC5348"/>
    <w:rsid w:val="00AC5378"/>
    <w:rsid w:val="00AC5464"/>
    <w:rsid w:val="00AC567E"/>
    <w:rsid w:val="00AC58A3"/>
    <w:rsid w:val="00AC58E9"/>
    <w:rsid w:val="00AC594E"/>
    <w:rsid w:val="00AC598F"/>
    <w:rsid w:val="00AC59A5"/>
    <w:rsid w:val="00AC59DB"/>
    <w:rsid w:val="00AC5A30"/>
    <w:rsid w:val="00AC5A31"/>
    <w:rsid w:val="00AC5A3B"/>
    <w:rsid w:val="00AC5B40"/>
    <w:rsid w:val="00AC5BF4"/>
    <w:rsid w:val="00AC5C19"/>
    <w:rsid w:val="00AC5C99"/>
    <w:rsid w:val="00AC5CD8"/>
    <w:rsid w:val="00AC5D2B"/>
    <w:rsid w:val="00AC5F1A"/>
    <w:rsid w:val="00AC601C"/>
    <w:rsid w:val="00AC6061"/>
    <w:rsid w:val="00AC60E4"/>
    <w:rsid w:val="00AC63EC"/>
    <w:rsid w:val="00AC649C"/>
    <w:rsid w:val="00AC64E4"/>
    <w:rsid w:val="00AC6630"/>
    <w:rsid w:val="00AC6714"/>
    <w:rsid w:val="00AC6756"/>
    <w:rsid w:val="00AC67E8"/>
    <w:rsid w:val="00AC6862"/>
    <w:rsid w:val="00AC68DE"/>
    <w:rsid w:val="00AC69CE"/>
    <w:rsid w:val="00AC6AFD"/>
    <w:rsid w:val="00AC6B3D"/>
    <w:rsid w:val="00AC6C32"/>
    <w:rsid w:val="00AC6C53"/>
    <w:rsid w:val="00AC6C65"/>
    <w:rsid w:val="00AC6CCF"/>
    <w:rsid w:val="00AC6CF4"/>
    <w:rsid w:val="00AC6CF6"/>
    <w:rsid w:val="00AC6D4A"/>
    <w:rsid w:val="00AC6D87"/>
    <w:rsid w:val="00AC6DD6"/>
    <w:rsid w:val="00AC6DD7"/>
    <w:rsid w:val="00AC6DF1"/>
    <w:rsid w:val="00AC6E85"/>
    <w:rsid w:val="00AC6EBE"/>
    <w:rsid w:val="00AC6FC1"/>
    <w:rsid w:val="00AC7008"/>
    <w:rsid w:val="00AC70BD"/>
    <w:rsid w:val="00AC71DA"/>
    <w:rsid w:val="00AC71FF"/>
    <w:rsid w:val="00AC721A"/>
    <w:rsid w:val="00AC7225"/>
    <w:rsid w:val="00AC7243"/>
    <w:rsid w:val="00AC7284"/>
    <w:rsid w:val="00AC7304"/>
    <w:rsid w:val="00AC7336"/>
    <w:rsid w:val="00AC7371"/>
    <w:rsid w:val="00AC7428"/>
    <w:rsid w:val="00AC7467"/>
    <w:rsid w:val="00AC749C"/>
    <w:rsid w:val="00AC7545"/>
    <w:rsid w:val="00AC756C"/>
    <w:rsid w:val="00AC75D6"/>
    <w:rsid w:val="00AC76B3"/>
    <w:rsid w:val="00AC7750"/>
    <w:rsid w:val="00AC77C3"/>
    <w:rsid w:val="00AC7888"/>
    <w:rsid w:val="00AC78D5"/>
    <w:rsid w:val="00AC7B72"/>
    <w:rsid w:val="00AC7B7A"/>
    <w:rsid w:val="00AC7C59"/>
    <w:rsid w:val="00AC7C90"/>
    <w:rsid w:val="00AC7CE6"/>
    <w:rsid w:val="00AC7E24"/>
    <w:rsid w:val="00AC7EAF"/>
    <w:rsid w:val="00AC7F1A"/>
    <w:rsid w:val="00AC7F9A"/>
    <w:rsid w:val="00AD003B"/>
    <w:rsid w:val="00AD00C1"/>
    <w:rsid w:val="00AD00CC"/>
    <w:rsid w:val="00AD00DB"/>
    <w:rsid w:val="00AD0154"/>
    <w:rsid w:val="00AD016C"/>
    <w:rsid w:val="00AD01B9"/>
    <w:rsid w:val="00AD0209"/>
    <w:rsid w:val="00AD029D"/>
    <w:rsid w:val="00AD029F"/>
    <w:rsid w:val="00AD0315"/>
    <w:rsid w:val="00AD0332"/>
    <w:rsid w:val="00AD03AB"/>
    <w:rsid w:val="00AD0543"/>
    <w:rsid w:val="00AD0551"/>
    <w:rsid w:val="00AD0598"/>
    <w:rsid w:val="00AD05B4"/>
    <w:rsid w:val="00AD072D"/>
    <w:rsid w:val="00AD0737"/>
    <w:rsid w:val="00AD075E"/>
    <w:rsid w:val="00AD0828"/>
    <w:rsid w:val="00AD0835"/>
    <w:rsid w:val="00AD0895"/>
    <w:rsid w:val="00AD0936"/>
    <w:rsid w:val="00AD093A"/>
    <w:rsid w:val="00AD0B13"/>
    <w:rsid w:val="00AD0B3C"/>
    <w:rsid w:val="00AD0B69"/>
    <w:rsid w:val="00AD0BB1"/>
    <w:rsid w:val="00AD0C80"/>
    <w:rsid w:val="00AD0D7E"/>
    <w:rsid w:val="00AD0DAA"/>
    <w:rsid w:val="00AD0DEE"/>
    <w:rsid w:val="00AD0E0E"/>
    <w:rsid w:val="00AD0E33"/>
    <w:rsid w:val="00AD0E35"/>
    <w:rsid w:val="00AD0E69"/>
    <w:rsid w:val="00AD0EC6"/>
    <w:rsid w:val="00AD103D"/>
    <w:rsid w:val="00AD108F"/>
    <w:rsid w:val="00AD113E"/>
    <w:rsid w:val="00AD11CC"/>
    <w:rsid w:val="00AD11CF"/>
    <w:rsid w:val="00AD1216"/>
    <w:rsid w:val="00AD128E"/>
    <w:rsid w:val="00AD1323"/>
    <w:rsid w:val="00AD1569"/>
    <w:rsid w:val="00AD1578"/>
    <w:rsid w:val="00AD159C"/>
    <w:rsid w:val="00AD168C"/>
    <w:rsid w:val="00AD16BE"/>
    <w:rsid w:val="00AD1728"/>
    <w:rsid w:val="00AD17DC"/>
    <w:rsid w:val="00AD17FA"/>
    <w:rsid w:val="00AD18A0"/>
    <w:rsid w:val="00AD18BD"/>
    <w:rsid w:val="00AD1999"/>
    <w:rsid w:val="00AD19B0"/>
    <w:rsid w:val="00AD19EC"/>
    <w:rsid w:val="00AD1B0E"/>
    <w:rsid w:val="00AD1B36"/>
    <w:rsid w:val="00AD1E4D"/>
    <w:rsid w:val="00AD20DC"/>
    <w:rsid w:val="00AD2301"/>
    <w:rsid w:val="00AD2376"/>
    <w:rsid w:val="00AD2682"/>
    <w:rsid w:val="00AD2717"/>
    <w:rsid w:val="00AD272F"/>
    <w:rsid w:val="00AD27EA"/>
    <w:rsid w:val="00AD2964"/>
    <w:rsid w:val="00AD29E8"/>
    <w:rsid w:val="00AD2AA5"/>
    <w:rsid w:val="00AD2B3D"/>
    <w:rsid w:val="00AD2B48"/>
    <w:rsid w:val="00AD2C21"/>
    <w:rsid w:val="00AD2C2E"/>
    <w:rsid w:val="00AD2CC0"/>
    <w:rsid w:val="00AD2CD1"/>
    <w:rsid w:val="00AD2D0B"/>
    <w:rsid w:val="00AD2D19"/>
    <w:rsid w:val="00AD2D72"/>
    <w:rsid w:val="00AD2D8A"/>
    <w:rsid w:val="00AD2DF2"/>
    <w:rsid w:val="00AD2EE5"/>
    <w:rsid w:val="00AD2F1C"/>
    <w:rsid w:val="00AD320E"/>
    <w:rsid w:val="00AD32A3"/>
    <w:rsid w:val="00AD33E3"/>
    <w:rsid w:val="00AD33F4"/>
    <w:rsid w:val="00AD3407"/>
    <w:rsid w:val="00AD341E"/>
    <w:rsid w:val="00AD3429"/>
    <w:rsid w:val="00AD35DB"/>
    <w:rsid w:val="00AD3691"/>
    <w:rsid w:val="00AD3779"/>
    <w:rsid w:val="00AD3960"/>
    <w:rsid w:val="00AD3981"/>
    <w:rsid w:val="00AD3BD8"/>
    <w:rsid w:val="00AD3C0F"/>
    <w:rsid w:val="00AD3CD9"/>
    <w:rsid w:val="00AD3DC4"/>
    <w:rsid w:val="00AD3F6A"/>
    <w:rsid w:val="00AD3FC3"/>
    <w:rsid w:val="00AD3FCA"/>
    <w:rsid w:val="00AD401F"/>
    <w:rsid w:val="00AD4026"/>
    <w:rsid w:val="00AD40BC"/>
    <w:rsid w:val="00AD40E8"/>
    <w:rsid w:val="00AD4105"/>
    <w:rsid w:val="00AD42B4"/>
    <w:rsid w:val="00AD4409"/>
    <w:rsid w:val="00AD44D7"/>
    <w:rsid w:val="00AD451E"/>
    <w:rsid w:val="00AD4753"/>
    <w:rsid w:val="00AD484D"/>
    <w:rsid w:val="00AD48D7"/>
    <w:rsid w:val="00AD496C"/>
    <w:rsid w:val="00AD49BB"/>
    <w:rsid w:val="00AD4AF1"/>
    <w:rsid w:val="00AD4DEB"/>
    <w:rsid w:val="00AD4E6D"/>
    <w:rsid w:val="00AD4EBC"/>
    <w:rsid w:val="00AD4F8D"/>
    <w:rsid w:val="00AD4FF1"/>
    <w:rsid w:val="00AD4FF4"/>
    <w:rsid w:val="00AD500C"/>
    <w:rsid w:val="00AD5034"/>
    <w:rsid w:val="00AD506C"/>
    <w:rsid w:val="00AD50DB"/>
    <w:rsid w:val="00AD50E0"/>
    <w:rsid w:val="00AD50F7"/>
    <w:rsid w:val="00AD51FF"/>
    <w:rsid w:val="00AD5234"/>
    <w:rsid w:val="00AD52AA"/>
    <w:rsid w:val="00AD531D"/>
    <w:rsid w:val="00AD534E"/>
    <w:rsid w:val="00AD5379"/>
    <w:rsid w:val="00AD5396"/>
    <w:rsid w:val="00AD53A0"/>
    <w:rsid w:val="00AD53B7"/>
    <w:rsid w:val="00AD5416"/>
    <w:rsid w:val="00AD5548"/>
    <w:rsid w:val="00AD5555"/>
    <w:rsid w:val="00AD55E2"/>
    <w:rsid w:val="00AD5656"/>
    <w:rsid w:val="00AD56D0"/>
    <w:rsid w:val="00AD572B"/>
    <w:rsid w:val="00AD572D"/>
    <w:rsid w:val="00AD5765"/>
    <w:rsid w:val="00AD5813"/>
    <w:rsid w:val="00AD581D"/>
    <w:rsid w:val="00AD58D8"/>
    <w:rsid w:val="00AD58ED"/>
    <w:rsid w:val="00AD592D"/>
    <w:rsid w:val="00AD593C"/>
    <w:rsid w:val="00AD5956"/>
    <w:rsid w:val="00AD59B8"/>
    <w:rsid w:val="00AD5AD8"/>
    <w:rsid w:val="00AD5AF1"/>
    <w:rsid w:val="00AD5AF4"/>
    <w:rsid w:val="00AD5B3D"/>
    <w:rsid w:val="00AD5BCA"/>
    <w:rsid w:val="00AD5CBA"/>
    <w:rsid w:val="00AD5CFD"/>
    <w:rsid w:val="00AD5DD0"/>
    <w:rsid w:val="00AD5F8D"/>
    <w:rsid w:val="00AD5FBD"/>
    <w:rsid w:val="00AD5FF7"/>
    <w:rsid w:val="00AD600C"/>
    <w:rsid w:val="00AD6049"/>
    <w:rsid w:val="00AD60D4"/>
    <w:rsid w:val="00AD61B9"/>
    <w:rsid w:val="00AD62B3"/>
    <w:rsid w:val="00AD63A4"/>
    <w:rsid w:val="00AD63A5"/>
    <w:rsid w:val="00AD63A6"/>
    <w:rsid w:val="00AD63D6"/>
    <w:rsid w:val="00AD63F1"/>
    <w:rsid w:val="00AD6671"/>
    <w:rsid w:val="00AD667B"/>
    <w:rsid w:val="00AD66E9"/>
    <w:rsid w:val="00AD675D"/>
    <w:rsid w:val="00AD67C2"/>
    <w:rsid w:val="00AD67E6"/>
    <w:rsid w:val="00AD68BA"/>
    <w:rsid w:val="00AD68D5"/>
    <w:rsid w:val="00AD68E2"/>
    <w:rsid w:val="00AD6A36"/>
    <w:rsid w:val="00AD6A38"/>
    <w:rsid w:val="00AD6A7D"/>
    <w:rsid w:val="00AD6A91"/>
    <w:rsid w:val="00AD6B17"/>
    <w:rsid w:val="00AD6B40"/>
    <w:rsid w:val="00AD6B5E"/>
    <w:rsid w:val="00AD6BC3"/>
    <w:rsid w:val="00AD6BDB"/>
    <w:rsid w:val="00AD6CC6"/>
    <w:rsid w:val="00AD6CD5"/>
    <w:rsid w:val="00AD6DD9"/>
    <w:rsid w:val="00AD6E43"/>
    <w:rsid w:val="00AD6E70"/>
    <w:rsid w:val="00AD6F1C"/>
    <w:rsid w:val="00AD6F65"/>
    <w:rsid w:val="00AD7056"/>
    <w:rsid w:val="00AD7084"/>
    <w:rsid w:val="00AD70AD"/>
    <w:rsid w:val="00AD70E3"/>
    <w:rsid w:val="00AD70FB"/>
    <w:rsid w:val="00AD717D"/>
    <w:rsid w:val="00AD7181"/>
    <w:rsid w:val="00AD718C"/>
    <w:rsid w:val="00AD7203"/>
    <w:rsid w:val="00AD72C0"/>
    <w:rsid w:val="00AD7311"/>
    <w:rsid w:val="00AD733B"/>
    <w:rsid w:val="00AD7344"/>
    <w:rsid w:val="00AD73C8"/>
    <w:rsid w:val="00AD74FE"/>
    <w:rsid w:val="00AD7542"/>
    <w:rsid w:val="00AD77CE"/>
    <w:rsid w:val="00AD77D2"/>
    <w:rsid w:val="00AD77F9"/>
    <w:rsid w:val="00AD79B9"/>
    <w:rsid w:val="00AD7A03"/>
    <w:rsid w:val="00AD7B0D"/>
    <w:rsid w:val="00AD7B1D"/>
    <w:rsid w:val="00AD7B30"/>
    <w:rsid w:val="00AD7C94"/>
    <w:rsid w:val="00AD7C9D"/>
    <w:rsid w:val="00AD7CA7"/>
    <w:rsid w:val="00AD7D70"/>
    <w:rsid w:val="00AD7D89"/>
    <w:rsid w:val="00AD7E84"/>
    <w:rsid w:val="00AD7EE9"/>
    <w:rsid w:val="00AD7F86"/>
    <w:rsid w:val="00AD7FEA"/>
    <w:rsid w:val="00AD7FF1"/>
    <w:rsid w:val="00AE0024"/>
    <w:rsid w:val="00AE003C"/>
    <w:rsid w:val="00AE0040"/>
    <w:rsid w:val="00AE0144"/>
    <w:rsid w:val="00AE01C6"/>
    <w:rsid w:val="00AE01F5"/>
    <w:rsid w:val="00AE03D2"/>
    <w:rsid w:val="00AE03D3"/>
    <w:rsid w:val="00AE0538"/>
    <w:rsid w:val="00AE05DF"/>
    <w:rsid w:val="00AE0619"/>
    <w:rsid w:val="00AE0678"/>
    <w:rsid w:val="00AE06C1"/>
    <w:rsid w:val="00AE06D7"/>
    <w:rsid w:val="00AE07CA"/>
    <w:rsid w:val="00AE07DF"/>
    <w:rsid w:val="00AE083A"/>
    <w:rsid w:val="00AE08B5"/>
    <w:rsid w:val="00AE08C8"/>
    <w:rsid w:val="00AE09E6"/>
    <w:rsid w:val="00AE0C1E"/>
    <w:rsid w:val="00AE0C64"/>
    <w:rsid w:val="00AE0D00"/>
    <w:rsid w:val="00AE0E0F"/>
    <w:rsid w:val="00AE0E4E"/>
    <w:rsid w:val="00AE0ECE"/>
    <w:rsid w:val="00AE0FA9"/>
    <w:rsid w:val="00AE0FCF"/>
    <w:rsid w:val="00AE113D"/>
    <w:rsid w:val="00AE114A"/>
    <w:rsid w:val="00AE121B"/>
    <w:rsid w:val="00AE13C5"/>
    <w:rsid w:val="00AE1432"/>
    <w:rsid w:val="00AE1531"/>
    <w:rsid w:val="00AE1617"/>
    <w:rsid w:val="00AE1682"/>
    <w:rsid w:val="00AE16E6"/>
    <w:rsid w:val="00AE173B"/>
    <w:rsid w:val="00AE1752"/>
    <w:rsid w:val="00AE17C0"/>
    <w:rsid w:val="00AE17E8"/>
    <w:rsid w:val="00AE184D"/>
    <w:rsid w:val="00AE1858"/>
    <w:rsid w:val="00AE18DD"/>
    <w:rsid w:val="00AE1912"/>
    <w:rsid w:val="00AE19B6"/>
    <w:rsid w:val="00AE1A95"/>
    <w:rsid w:val="00AE1AA5"/>
    <w:rsid w:val="00AE1C03"/>
    <w:rsid w:val="00AE1C08"/>
    <w:rsid w:val="00AE1C38"/>
    <w:rsid w:val="00AE1D18"/>
    <w:rsid w:val="00AE1DAE"/>
    <w:rsid w:val="00AE1DBF"/>
    <w:rsid w:val="00AE1DFC"/>
    <w:rsid w:val="00AE1E1C"/>
    <w:rsid w:val="00AE1E74"/>
    <w:rsid w:val="00AE1E91"/>
    <w:rsid w:val="00AE1EB1"/>
    <w:rsid w:val="00AE1F6A"/>
    <w:rsid w:val="00AE1F81"/>
    <w:rsid w:val="00AE1FE3"/>
    <w:rsid w:val="00AE2071"/>
    <w:rsid w:val="00AE21F0"/>
    <w:rsid w:val="00AE21F2"/>
    <w:rsid w:val="00AE222D"/>
    <w:rsid w:val="00AE23E3"/>
    <w:rsid w:val="00AE252E"/>
    <w:rsid w:val="00AE25B0"/>
    <w:rsid w:val="00AE2698"/>
    <w:rsid w:val="00AE26AA"/>
    <w:rsid w:val="00AE2893"/>
    <w:rsid w:val="00AE295F"/>
    <w:rsid w:val="00AE297D"/>
    <w:rsid w:val="00AE2A4A"/>
    <w:rsid w:val="00AE2B99"/>
    <w:rsid w:val="00AE2C2E"/>
    <w:rsid w:val="00AE2C3D"/>
    <w:rsid w:val="00AE2D07"/>
    <w:rsid w:val="00AE2D3B"/>
    <w:rsid w:val="00AE2DDA"/>
    <w:rsid w:val="00AE2DE4"/>
    <w:rsid w:val="00AE2E19"/>
    <w:rsid w:val="00AE2E82"/>
    <w:rsid w:val="00AE2F0E"/>
    <w:rsid w:val="00AE2F57"/>
    <w:rsid w:val="00AE2F65"/>
    <w:rsid w:val="00AE2FCF"/>
    <w:rsid w:val="00AE3080"/>
    <w:rsid w:val="00AE3135"/>
    <w:rsid w:val="00AE317E"/>
    <w:rsid w:val="00AE31C3"/>
    <w:rsid w:val="00AE3269"/>
    <w:rsid w:val="00AE3313"/>
    <w:rsid w:val="00AE331F"/>
    <w:rsid w:val="00AE332E"/>
    <w:rsid w:val="00AE3549"/>
    <w:rsid w:val="00AE3572"/>
    <w:rsid w:val="00AE35A5"/>
    <w:rsid w:val="00AE35E4"/>
    <w:rsid w:val="00AE3619"/>
    <w:rsid w:val="00AE375F"/>
    <w:rsid w:val="00AE37FB"/>
    <w:rsid w:val="00AE3818"/>
    <w:rsid w:val="00AE389F"/>
    <w:rsid w:val="00AE38AE"/>
    <w:rsid w:val="00AE38BD"/>
    <w:rsid w:val="00AE3AD7"/>
    <w:rsid w:val="00AE3BF9"/>
    <w:rsid w:val="00AE3D70"/>
    <w:rsid w:val="00AE3DA8"/>
    <w:rsid w:val="00AE3DCE"/>
    <w:rsid w:val="00AE4076"/>
    <w:rsid w:val="00AE4125"/>
    <w:rsid w:val="00AE415F"/>
    <w:rsid w:val="00AE438D"/>
    <w:rsid w:val="00AE442E"/>
    <w:rsid w:val="00AE4459"/>
    <w:rsid w:val="00AE45A9"/>
    <w:rsid w:val="00AE45BD"/>
    <w:rsid w:val="00AE461E"/>
    <w:rsid w:val="00AE461F"/>
    <w:rsid w:val="00AE46B5"/>
    <w:rsid w:val="00AE479D"/>
    <w:rsid w:val="00AE47C7"/>
    <w:rsid w:val="00AE47CB"/>
    <w:rsid w:val="00AE47D4"/>
    <w:rsid w:val="00AE47F6"/>
    <w:rsid w:val="00AE4817"/>
    <w:rsid w:val="00AE48CD"/>
    <w:rsid w:val="00AE4982"/>
    <w:rsid w:val="00AE49C0"/>
    <w:rsid w:val="00AE4A62"/>
    <w:rsid w:val="00AE4AFD"/>
    <w:rsid w:val="00AE4B44"/>
    <w:rsid w:val="00AE4B4F"/>
    <w:rsid w:val="00AE4BDA"/>
    <w:rsid w:val="00AE4C5E"/>
    <w:rsid w:val="00AE4D7D"/>
    <w:rsid w:val="00AE4D9F"/>
    <w:rsid w:val="00AE4DCC"/>
    <w:rsid w:val="00AE4E2A"/>
    <w:rsid w:val="00AE4E34"/>
    <w:rsid w:val="00AE4E91"/>
    <w:rsid w:val="00AE4ECF"/>
    <w:rsid w:val="00AE4F2B"/>
    <w:rsid w:val="00AE4F2F"/>
    <w:rsid w:val="00AE50E1"/>
    <w:rsid w:val="00AE5145"/>
    <w:rsid w:val="00AE51BD"/>
    <w:rsid w:val="00AE522C"/>
    <w:rsid w:val="00AE5231"/>
    <w:rsid w:val="00AE52AA"/>
    <w:rsid w:val="00AE52B7"/>
    <w:rsid w:val="00AE5327"/>
    <w:rsid w:val="00AE534C"/>
    <w:rsid w:val="00AE53D4"/>
    <w:rsid w:val="00AE546F"/>
    <w:rsid w:val="00AE54CE"/>
    <w:rsid w:val="00AE554C"/>
    <w:rsid w:val="00AE55D9"/>
    <w:rsid w:val="00AE55F8"/>
    <w:rsid w:val="00AE56B2"/>
    <w:rsid w:val="00AE579E"/>
    <w:rsid w:val="00AE57AE"/>
    <w:rsid w:val="00AE57D3"/>
    <w:rsid w:val="00AE591B"/>
    <w:rsid w:val="00AE5954"/>
    <w:rsid w:val="00AE5A01"/>
    <w:rsid w:val="00AE5A23"/>
    <w:rsid w:val="00AE5A31"/>
    <w:rsid w:val="00AE5A32"/>
    <w:rsid w:val="00AE5A72"/>
    <w:rsid w:val="00AE5B4A"/>
    <w:rsid w:val="00AE5B5B"/>
    <w:rsid w:val="00AE5BBF"/>
    <w:rsid w:val="00AE5BC6"/>
    <w:rsid w:val="00AE5C0E"/>
    <w:rsid w:val="00AE5CC1"/>
    <w:rsid w:val="00AE5CF7"/>
    <w:rsid w:val="00AE5CF9"/>
    <w:rsid w:val="00AE5DB6"/>
    <w:rsid w:val="00AE5DDD"/>
    <w:rsid w:val="00AE5DE7"/>
    <w:rsid w:val="00AE5DF8"/>
    <w:rsid w:val="00AE5EAB"/>
    <w:rsid w:val="00AE5F8C"/>
    <w:rsid w:val="00AE6428"/>
    <w:rsid w:val="00AE644D"/>
    <w:rsid w:val="00AE6456"/>
    <w:rsid w:val="00AE648D"/>
    <w:rsid w:val="00AE66DF"/>
    <w:rsid w:val="00AE672B"/>
    <w:rsid w:val="00AE69CD"/>
    <w:rsid w:val="00AE6A2A"/>
    <w:rsid w:val="00AE6A64"/>
    <w:rsid w:val="00AE6A74"/>
    <w:rsid w:val="00AE6B3F"/>
    <w:rsid w:val="00AE6C3C"/>
    <w:rsid w:val="00AE6C47"/>
    <w:rsid w:val="00AE6CA0"/>
    <w:rsid w:val="00AE6D2D"/>
    <w:rsid w:val="00AE6E2F"/>
    <w:rsid w:val="00AE6E72"/>
    <w:rsid w:val="00AE6EBC"/>
    <w:rsid w:val="00AE6F15"/>
    <w:rsid w:val="00AE7019"/>
    <w:rsid w:val="00AE702E"/>
    <w:rsid w:val="00AE709A"/>
    <w:rsid w:val="00AE7194"/>
    <w:rsid w:val="00AE7279"/>
    <w:rsid w:val="00AE7284"/>
    <w:rsid w:val="00AE730F"/>
    <w:rsid w:val="00AE73BE"/>
    <w:rsid w:val="00AE73E0"/>
    <w:rsid w:val="00AE74DF"/>
    <w:rsid w:val="00AE7650"/>
    <w:rsid w:val="00AE7699"/>
    <w:rsid w:val="00AE782D"/>
    <w:rsid w:val="00AE7963"/>
    <w:rsid w:val="00AE796F"/>
    <w:rsid w:val="00AE7AE3"/>
    <w:rsid w:val="00AE7B05"/>
    <w:rsid w:val="00AE7B77"/>
    <w:rsid w:val="00AE7BFA"/>
    <w:rsid w:val="00AE7C29"/>
    <w:rsid w:val="00AE7C7B"/>
    <w:rsid w:val="00AE7C87"/>
    <w:rsid w:val="00AE7D76"/>
    <w:rsid w:val="00AE7FB0"/>
    <w:rsid w:val="00AF0083"/>
    <w:rsid w:val="00AF0117"/>
    <w:rsid w:val="00AF0252"/>
    <w:rsid w:val="00AF0323"/>
    <w:rsid w:val="00AF0384"/>
    <w:rsid w:val="00AF03C0"/>
    <w:rsid w:val="00AF0402"/>
    <w:rsid w:val="00AF042F"/>
    <w:rsid w:val="00AF0430"/>
    <w:rsid w:val="00AF049B"/>
    <w:rsid w:val="00AF0660"/>
    <w:rsid w:val="00AF067F"/>
    <w:rsid w:val="00AF06F9"/>
    <w:rsid w:val="00AF0715"/>
    <w:rsid w:val="00AF089B"/>
    <w:rsid w:val="00AF0A37"/>
    <w:rsid w:val="00AF0A52"/>
    <w:rsid w:val="00AF0A7A"/>
    <w:rsid w:val="00AF0AF9"/>
    <w:rsid w:val="00AF0C23"/>
    <w:rsid w:val="00AF0CDC"/>
    <w:rsid w:val="00AF0D08"/>
    <w:rsid w:val="00AF0D65"/>
    <w:rsid w:val="00AF0E1A"/>
    <w:rsid w:val="00AF0E29"/>
    <w:rsid w:val="00AF0EA6"/>
    <w:rsid w:val="00AF0EB1"/>
    <w:rsid w:val="00AF0F83"/>
    <w:rsid w:val="00AF0FC7"/>
    <w:rsid w:val="00AF12BC"/>
    <w:rsid w:val="00AF12C4"/>
    <w:rsid w:val="00AF13B2"/>
    <w:rsid w:val="00AF13B6"/>
    <w:rsid w:val="00AF13FE"/>
    <w:rsid w:val="00AF143E"/>
    <w:rsid w:val="00AF1442"/>
    <w:rsid w:val="00AF14FF"/>
    <w:rsid w:val="00AF15C7"/>
    <w:rsid w:val="00AF161D"/>
    <w:rsid w:val="00AF166F"/>
    <w:rsid w:val="00AF1696"/>
    <w:rsid w:val="00AF17D8"/>
    <w:rsid w:val="00AF1855"/>
    <w:rsid w:val="00AF18F3"/>
    <w:rsid w:val="00AF19EA"/>
    <w:rsid w:val="00AF1A16"/>
    <w:rsid w:val="00AF1A35"/>
    <w:rsid w:val="00AF1A81"/>
    <w:rsid w:val="00AF1A98"/>
    <w:rsid w:val="00AF1AE2"/>
    <w:rsid w:val="00AF1AFF"/>
    <w:rsid w:val="00AF1B36"/>
    <w:rsid w:val="00AF1B49"/>
    <w:rsid w:val="00AF1B72"/>
    <w:rsid w:val="00AF1BC8"/>
    <w:rsid w:val="00AF1C03"/>
    <w:rsid w:val="00AF1C43"/>
    <w:rsid w:val="00AF1C49"/>
    <w:rsid w:val="00AF1CEF"/>
    <w:rsid w:val="00AF1D90"/>
    <w:rsid w:val="00AF1D9A"/>
    <w:rsid w:val="00AF1DAC"/>
    <w:rsid w:val="00AF1DCF"/>
    <w:rsid w:val="00AF1DE3"/>
    <w:rsid w:val="00AF1E35"/>
    <w:rsid w:val="00AF1FEB"/>
    <w:rsid w:val="00AF20B6"/>
    <w:rsid w:val="00AF217A"/>
    <w:rsid w:val="00AF2192"/>
    <w:rsid w:val="00AF21C4"/>
    <w:rsid w:val="00AF21D7"/>
    <w:rsid w:val="00AF2202"/>
    <w:rsid w:val="00AF2294"/>
    <w:rsid w:val="00AF2309"/>
    <w:rsid w:val="00AF2432"/>
    <w:rsid w:val="00AF2469"/>
    <w:rsid w:val="00AF2490"/>
    <w:rsid w:val="00AF2502"/>
    <w:rsid w:val="00AF252D"/>
    <w:rsid w:val="00AF254B"/>
    <w:rsid w:val="00AF25A8"/>
    <w:rsid w:val="00AF26A0"/>
    <w:rsid w:val="00AF274E"/>
    <w:rsid w:val="00AF27BB"/>
    <w:rsid w:val="00AF285C"/>
    <w:rsid w:val="00AF2890"/>
    <w:rsid w:val="00AF28B4"/>
    <w:rsid w:val="00AF28BB"/>
    <w:rsid w:val="00AF28C6"/>
    <w:rsid w:val="00AF29BF"/>
    <w:rsid w:val="00AF29D7"/>
    <w:rsid w:val="00AF2A29"/>
    <w:rsid w:val="00AF2A82"/>
    <w:rsid w:val="00AF2B5C"/>
    <w:rsid w:val="00AF2BAD"/>
    <w:rsid w:val="00AF2C15"/>
    <w:rsid w:val="00AF2C6F"/>
    <w:rsid w:val="00AF2DB3"/>
    <w:rsid w:val="00AF2E5D"/>
    <w:rsid w:val="00AF2E6A"/>
    <w:rsid w:val="00AF2EDB"/>
    <w:rsid w:val="00AF2F24"/>
    <w:rsid w:val="00AF3014"/>
    <w:rsid w:val="00AF30A4"/>
    <w:rsid w:val="00AF30A9"/>
    <w:rsid w:val="00AF30BC"/>
    <w:rsid w:val="00AF319C"/>
    <w:rsid w:val="00AF319D"/>
    <w:rsid w:val="00AF3211"/>
    <w:rsid w:val="00AF3215"/>
    <w:rsid w:val="00AF33A0"/>
    <w:rsid w:val="00AF34A3"/>
    <w:rsid w:val="00AF34E8"/>
    <w:rsid w:val="00AF371E"/>
    <w:rsid w:val="00AF373B"/>
    <w:rsid w:val="00AF37C3"/>
    <w:rsid w:val="00AF37FA"/>
    <w:rsid w:val="00AF3818"/>
    <w:rsid w:val="00AF383E"/>
    <w:rsid w:val="00AF3862"/>
    <w:rsid w:val="00AF38B9"/>
    <w:rsid w:val="00AF3924"/>
    <w:rsid w:val="00AF3942"/>
    <w:rsid w:val="00AF399F"/>
    <w:rsid w:val="00AF39AF"/>
    <w:rsid w:val="00AF39E4"/>
    <w:rsid w:val="00AF3A37"/>
    <w:rsid w:val="00AF3AA6"/>
    <w:rsid w:val="00AF3ACD"/>
    <w:rsid w:val="00AF3BA8"/>
    <w:rsid w:val="00AF3C13"/>
    <w:rsid w:val="00AF3C29"/>
    <w:rsid w:val="00AF3CF2"/>
    <w:rsid w:val="00AF3E3B"/>
    <w:rsid w:val="00AF3E5A"/>
    <w:rsid w:val="00AF3EA7"/>
    <w:rsid w:val="00AF3FB2"/>
    <w:rsid w:val="00AF406F"/>
    <w:rsid w:val="00AF40CE"/>
    <w:rsid w:val="00AF40E7"/>
    <w:rsid w:val="00AF4106"/>
    <w:rsid w:val="00AF4143"/>
    <w:rsid w:val="00AF417A"/>
    <w:rsid w:val="00AF41DB"/>
    <w:rsid w:val="00AF4335"/>
    <w:rsid w:val="00AF43B6"/>
    <w:rsid w:val="00AF44E2"/>
    <w:rsid w:val="00AF4503"/>
    <w:rsid w:val="00AF455A"/>
    <w:rsid w:val="00AF45BA"/>
    <w:rsid w:val="00AF4630"/>
    <w:rsid w:val="00AF46FE"/>
    <w:rsid w:val="00AF4719"/>
    <w:rsid w:val="00AF47BC"/>
    <w:rsid w:val="00AF47C2"/>
    <w:rsid w:val="00AF486F"/>
    <w:rsid w:val="00AF4A01"/>
    <w:rsid w:val="00AF4AF2"/>
    <w:rsid w:val="00AF4B2A"/>
    <w:rsid w:val="00AF4D1E"/>
    <w:rsid w:val="00AF4D59"/>
    <w:rsid w:val="00AF4D65"/>
    <w:rsid w:val="00AF4D6D"/>
    <w:rsid w:val="00AF4E29"/>
    <w:rsid w:val="00AF4E72"/>
    <w:rsid w:val="00AF4F3B"/>
    <w:rsid w:val="00AF4F60"/>
    <w:rsid w:val="00AF504C"/>
    <w:rsid w:val="00AF5053"/>
    <w:rsid w:val="00AF50B0"/>
    <w:rsid w:val="00AF50B3"/>
    <w:rsid w:val="00AF51D9"/>
    <w:rsid w:val="00AF51DD"/>
    <w:rsid w:val="00AF525E"/>
    <w:rsid w:val="00AF5265"/>
    <w:rsid w:val="00AF52EE"/>
    <w:rsid w:val="00AF5356"/>
    <w:rsid w:val="00AF53A7"/>
    <w:rsid w:val="00AF53CA"/>
    <w:rsid w:val="00AF53CB"/>
    <w:rsid w:val="00AF53F2"/>
    <w:rsid w:val="00AF547C"/>
    <w:rsid w:val="00AF548B"/>
    <w:rsid w:val="00AF54A9"/>
    <w:rsid w:val="00AF5537"/>
    <w:rsid w:val="00AF5541"/>
    <w:rsid w:val="00AF5569"/>
    <w:rsid w:val="00AF55E0"/>
    <w:rsid w:val="00AF563A"/>
    <w:rsid w:val="00AF5643"/>
    <w:rsid w:val="00AF5666"/>
    <w:rsid w:val="00AF56C9"/>
    <w:rsid w:val="00AF5755"/>
    <w:rsid w:val="00AF5781"/>
    <w:rsid w:val="00AF57FC"/>
    <w:rsid w:val="00AF5870"/>
    <w:rsid w:val="00AF58B1"/>
    <w:rsid w:val="00AF5921"/>
    <w:rsid w:val="00AF5940"/>
    <w:rsid w:val="00AF59E6"/>
    <w:rsid w:val="00AF5BB7"/>
    <w:rsid w:val="00AF5BC4"/>
    <w:rsid w:val="00AF5C03"/>
    <w:rsid w:val="00AF5C7E"/>
    <w:rsid w:val="00AF5DA0"/>
    <w:rsid w:val="00AF5DAE"/>
    <w:rsid w:val="00AF5DB0"/>
    <w:rsid w:val="00AF5E7A"/>
    <w:rsid w:val="00AF5F29"/>
    <w:rsid w:val="00AF6038"/>
    <w:rsid w:val="00AF6053"/>
    <w:rsid w:val="00AF60F2"/>
    <w:rsid w:val="00AF6111"/>
    <w:rsid w:val="00AF6249"/>
    <w:rsid w:val="00AF62BD"/>
    <w:rsid w:val="00AF62C4"/>
    <w:rsid w:val="00AF62F3"/>
    <w:rsid w:val="00AF6318"/>
    <w:rsid w:val="00AF6404"/>
    <w:rsid w:val="00AF64B8"/>
    <w:rsid w:val="00AF659B"/>
    <w:rsid w:val="00AF6619"/>
    <w:rsid w:val="00AF6691"/>
    <w:rsid w:val="00AF66F2"/>
    <w:rsid w:val="00AF6712"/>
    <w:rsid w:val="00AF67B9"/>
    <w:rsid w:val="00AF6887"/>
    <w:rsid w:val="00AF6894"/>
    <w:rsid w:val="00AF689C"/>
    <w:rsid w:val="00AF69A2"/>
    <w:rsid w:val="00AF6A27"/>
    <w:rsid w:val="00AF6A2E"/>
    <w:rsid w:val="00AF6A54"/>
    <w:rsid w:val="00AF6C7C"/>
    <w:rsid w:val="00AF6CFD"/>
    <w:rsid w:val="00AF6DBD"/>
    <w:rsid w:val="00AF6E45"/>
    <w:rsid w:val="00AF6EDA"/>
    <w:rsid w:val="00AF6F35"/>
    <w:rsid w:val="00AF6FC6"/>
    <w:rsid w:val="00AF7002"/>
    <w:rsid w:val="00AF704C"/>
    <w:rsid w:val="00AF7083"/>
    <w:rsid w:val="00AF7105"/>
    <w:rsid w:val="00AF7223"/>
    <w:rsid w:val="00AF729A"/>
    <w:rsid w:val="00AF72E9"/>
    <w:rsid w:val="00AF72F5"/>
    <w:rsid w:val="00AF74B2"/>
    <w:rsid w:val="00AF75A9"/>
    <w:rsid w:val="00AF75FE"/>
    <w:rsid w:val="00AF7628"/>
    <w:rsid w:val="00AF76F8"/>
    <w:rsid w:val="00AF7719"/>
    <w:rsid w:val="00AF77A3"/>
    <w:rsid w:val="00AF7801"/>
    <w:rsid w:val="00AF7833"/>
    <w:rsid w:val="00AF78A0"/>
    <w:rsid w:val="00AF78C7"/>
    <w:rsid w:val="00AF78E0"/>
    <w:rsid w:val="00AF790A"/>
    <w:rsid w:val="00AF7928"/>
    <w:rsid w:val="00AF7953"/>
    <w:rsid w:val="00AF7976"/>
    <w:rsid w:val="00AF7A22"/>
    <w:rsid w:val="00AF7AB4"/>
    <w:rsid w:val="00AF7CBC"/>
    <w:rsid w:val="00AF7D56"/>
    <w:rsid w:val="00AF7D67"/>
    <w:rsid w:val="00AF7DC1"/>
    <w:rsid w:val="00AF7E5F"/>
    <w:rsid w:val="00AF7EAC"/>
    <w:rsid w:val="00AF7EC4"/>
    <w:rsid w:val="00AF7ECD"/>
    <w:rsid w:val="00AF7EE6"/>
    <w:rsid w:val="00AF7EEA"/>
    <w:rsid w:val="00AF7F2A"/>
    <w:rsid w:val="00AF7FBE"/>
    <w:rsid w:val="00AF7FCD"/>
    <w:rsid w:val="00B0004F"/>
    <w:rsid w:val="00B000AE"/>
    <w:rsid w:val="00B000C0"/>
    <w:rsid w:val="00B00229"/>
    <w:rsid w:val="00B002B1"/>
    <w:rsid w:val="00B002DD"/>
    <w:rsid w:val="00B0033B"/>
    <w:rsid w:val="00B0033E"/>
    <w:rsid w:val="00B0040B"/>
    <w:rsid w:val="00B0048D"/>
    <w:rsid w:val="00B004BF"/>
    <w:rsid w:val="00B004C4"/>
    <w:rsid w:val="00B005BC"/>
    <w:rsid w:val="00B005F1"/>
    <w:rsid w:val="00B00631"/>
    <w:rsid w:val="00B0067C"/>
    <w:rsid w:val="00B006F1"/>
    <w:rsid w:val="00B00767"/>
    <w:rsid w:val="00B007CF"/>
    <w:rsid w:val="00B007DD"/>
    <w:rsid w:val="00B00809"/>
    <w:rsid w:val="00B00830"/>
    <w:rsid w:val="00B0088F"/>
    <w:rsid w:val="00B0095E"/>
    <w:rsid w:val="00B009CC"/>
    <w:rsid w:val="00B00A66"/>
    <w:rsid w:val="00B00A77"/>
    <w:rsid w:val="00B00AB5"/>
    <w:rsid w:val="00B00B0D"/>
    <w:rsid w:val="00B00B5A"/>
    <w:rsid w:val="00B00CC0"/>
    <w:rsid w:val="00B00D19"/>
    <w:rsid w:val="00B00D65"/>
    <w:rsid w:val="00B00DAD"/>
    <w:rsid w:val="00B00DB1"/>
    <w:rsid w:val="00B00DED"/>
    <w:rsid w:val="00B00DF3"/>
    <w:rsid w:val="00B00E45"/>
    <w:rsid w:val="00B00E86"/>
    <w:rsid w:val="00B00F5C"/>
    <w:rsid w:val="00B00FBE"/>
    <w:rsid w:val="00B00FDC"/>
    <w:rsid w:val="00B01124"/>
    <w:rsid w:val="00B0112B"/>
    <w:rsid w:val="00B011AA"/>
    <w:rsid w:val="00B011D8"/>
    <w:rsid w:val="00B01302"/>
    <w:rsid w:val="00B01406"/>
    <w:rsid w:val="00B0150F"/>
    <w:rsid w:val="00B0160B"/>
    <w:rsid w:val="00B01621"/>
    <w:rsid w:val="00B0167E"/>
    <w:rsid w:val="00B016F8"/>
    <w:rsid w:val="00B01745"/>
    <w:rsid w:val="00B017D3"/>
    <w:rsid w:val="00B017E9"/>
    <w:rsid w:val="00B0180D"/>
    <w:rsid w:val="00B0184B"/>
    <w:rsid w:val="00B0190C"/>
    <w:rsid w:val="00B01953"/>
    <w:rsid w:val="00B019A7"/>
    <w:rsid w:val="00B019C1"/>
    <w:rsid w:val="00B019C3"/>
    <w:rsid w:val="00B01A00"/>
    <w:rsid w:val="00B01A4E"/>
    <w:rsid w:val="00B01B24"/>
    <w:rsid w:val="00B01BE4"/>
    <w:rsid w:val="00B01C1F"/>
    <w:rsid w:val="00B01C28"/>
    <w:rsid w:val="00B01CC4"/>
    <w:rsid w:val="00B01D63"/>
    <w:rsid w:val="00B01D9C"/>
    <w:rsid w:val="00B01E3F"/>
    <w:rsid w:val="00B01F1A"/>
    <w:rsid w:val="00B01F38"/>
    <w:rsid w:val="00B02005"/>
    <w:rsid w:val="00B020CA"/>
    <w:rsid w:val="00B0210B"/>
    <w:rsid w:val="00B02151"/>
    <w:rsid w:val="00B0218F"/>
    <w:rsid w:val="00B0225C"/>
    <w:rsid w:val="00B02288"/>
    <w:rsid w:val="00B022A0"/>
    <w:rsid w:val="00B022B5"/>
    <w:rsid w:val="00B022E4"/>
    <w:rsid w:val="00B02361"/>
    <w:rsid w:val="00B02362"/>
    <w:rsid w:val="00B0236E"/>
    <w:rsid w:val="00B02418"/>
    <w:rsid w:val="00B024CF"/>
    <w:rsid w:val="00B02506"/>
    <w:rsid w:val="00B02691"/>
    <w:rsid w:val="00B02732"/>
    <w:rsid w:val="00B028AC"/>
    <w:rsid w:val="00B02915"/>
    <w:rsid w:val="00B0297F"/>
    <w:rsid w:val="00B02ACE"/>
    <w:rsid w:val="00B02ADC"/>
    <w:rsid w:val="00B02BFC"/>
    <w:rsid w:val="00B02C8B"/>
    <w:rsid w:val="00B02CDB"/>
    <w:rsid w:val="00B02D32"/>
    <w:rsid w:val="00B02D4F"/>
    <w:rsid w:val="00B02DBC"/>
    <w:rsid w:val="00B02EC7"/>
    <w:rsid w:val="00B02ED3"/>
    <w:rsid w:val="00B02F10"/>
    <w:rsid w:val="00B02F51"/>
    <w:rsid w:val="00B030ED"/>
    <w:rsid w:val="00B031CF"/>
    <w:rsid w:val="00B031FD"/>
    <w:rsid w:val="00B0325C"/>
    <w:rsid w:val="00B03357"/>
    <w:rsid w:val="00B03503"/>
    <w:rsid w:val="00B03596"/>
    <w:rsid w:val="00B0368E"/>
    <w:rsid w:val="00B03735"/>
    <w:rsid w:val="00B0377D"/>
    <w:rsid w:val="00B037A6"/>
    <w:rsid w:val="00B037BD"/>
    <w:rsid w:val="00B037DA"/>
    <w:rsid w:val="00B037FE"/>
    <w:rsid w:val="00B0384D"/>
    <w:rsid w:val="00B038C0"/>
    <w:rsid w:val="00B03911"/>
    <w:rsid w:val="00B03913"/>
    <w:rsid w:val="00B039D2"/>
    <w:rsid w:val="00B03A83"/>
    <w:rsid w:val="00B03AAA"/>
    <w:rsid w:val="00B03BC3"/>
    <w:rsid w:val="00B03BC6"/>
    <w:rsid w:val="00B03C4D"/>
    <w:rsid w:val="00B03C71"/>
    <w:rsid w:val="00B03C8A"/>
    <w:rsid w:val="00B03CD4"/>
    <w:rsid w:val="00B03D74"/>
    <w:rsid w:val="00B03DF5"/>
    <w:rsid w:val="00B03E1C"/>
    <w:rsid w:val="00B0409A"/>
    <w:rsid w:val="00B041A9"/>
    <w:rsid w:val="00B04315"/>
    <w:rsid w:val="00B04320"/>
    <w:rsid w:val="00B0443C"/>
    <w:rsid w:val="00B04661"/>
    <w:rsid w:val="00B0469D"/>
    <w:rsid w:val="00B04704"/>
    <w:rsid w:val="00B0473B"/>
    <w:rsid w:val="00B047F4"/>
    <w:rsid w:val="00B04801"/>
    <w:rsid w:val="00B04813"/>
    <w:rsid w:val="00B04820"/>
    <w:rsid w:val="00B04834"/>
    <w:rsid w:val="00B0489F"/>
    <w:rsid w:val="00B04B80"/>
    <w:rsid w:val="00B04CDD"/>
    <w:rsid w:val="00B04CEA"/>
    <w:rsid w:val="00B04D6D"/>
    <w:rsid w:val="00B04EA2"/>
    <w:rsid w:val="00B04EEE"/>
    <w:rsid w:val="00B04F61"/>
    <w:rsid w:val="00B04F6E"/>
    <w:rsid w:val="00B04F71"/>
    <w:rsid w:val="00B04F82"/>
    <w:rsid w:val="00B04FC3"/>
    <w:rsid w:val="00B04FC8"/>
    <w:rsid w:val="00B0506F"/>
    <w:rsid w:val="00B050F0"/>
    <w:rsid w:val="00B05108"/>
    <w:rsid w:val="00B05233"/>
    <w:rsid w:val="00B05274"/>
    <w:rsid w:val="00B05296"/>
    <w:rsid w:val="00B052FD"/>
    <w:rsid w:val="00B0530A"/>
    <w:rsid w:val="00B053E7"/>
    <w:rsid w:val="00B05413"/>
    <w:rsid w:val="00B054AC"/>
    <w:rsid w:val="00B0550C"/>
    <w:rsid w:val="00B05540"/>
    <w:rsid w:val="00B055EB"/>
    <w:rsid w:val="00B05600"/>
    <w:rsid w:val="00B05607"/>
    <w:rsid w:val="00B05722"/>
    <w:rsid w:val="00B057E6"/>
    <w:rsid w:val="00B057FF"/>
    <w:rsid w:val="00B0589D"/>
    <w:rsid w:val="00B059C5"/>
    <w:rsid w:val="00B05A08"/>
    <w:rsid w:val="00B05A62"/>
    <w:rsid w:val="00B05A9C"/>
    <w:rsid w:val="00B05BDA"/>
    <w:rsid w:val="00B05CC1"/>
    <w:rsid w:val="00B05E67"/>
    <w:rsid w:val="00B05F10"/>
    <w:rsid w:val="00B05F14"/>
    <w:rsid w:val="00B06046"/>
    <w:rsid w:val="00B06171"/>
    <w:rsid w:val="00B061BC"/>
    <w:rsid w:val="00B061FE"/>
    <w:rsid w:val="00B062E8"/>
    <w:rsid w:val="00B0632F"/>
    <w:rsid w:val="00B06341"/>
    <w:rsid w:val="00B063C6"/>
    <w:rsid w:val="00B063E9"/>
    <w:rsid w:val="00B0643D"/>
    <w:rsid w:val="00B0647F"/>
    <w:rsid w:val="00B0652A"/>
    <w:rsid w:val="00B06538"/>
    <w:rsid w:val="00B065B9"/>
    <w:rsid w:val="00B06722"/>
    <w:rsid w:val="00B06737"/>
    <w:rsid w:val="00B0674C"/>
    <w:rsid w:val="00B067E0"/>
    <w:rsid w:val="00B06B39"/>
    <w:rsid w:val="00B06B3F"/>
    <w:rsid w:val="00B06D77"/>
    <w:rsid w:val="00B06DD6"/>
    <w:rsid w:val="00B06EBF"/>
    <w:rsid w:val="00B06ED9"/>
    <w:rsid w:val="00B06EE6"/>
    <w:rsid w:val="00B06FAB"/>
    <w:rsid w:val="00B06FE7"/>
    <w:rsid w:val="00B070C4"/>
    <w:rsid w:val="00B07225"/>
    <w:rsid w:val="00B072FF"/>
    <w:rsid w:val="00B07320"/>
    <w:rsid w:val="00B0732B"/>
    <w:rsid w:val="00B0736C"/>
    <w:rsid w:val="00B0743E"/>
    <w:rsid w:val="00B07448"/>
    <w:rsid w:val="00B074A5"/>
    <w:rsid w:val="00B074C7"/>
    <w:rsid w:val="00B0755E"/>
    <w:rsid w:val="00B07631"/>
    <w:rsid w:val="00B07637"/>
    <w:rsid w:val="00B0763D"/>
    <w:rsid w:val="00B07644"/>
    <w:rsid w:val="00B076A1"/>
    <w:rsid w:val="00B07827"/>
    <w:rsid w:val="00B0784C"/>
    <w:rsid w:val="00B078CE"/>
    <w:rsid w:val="00B07905"/>
    <w:rsid w:val="00B0790F"/>
    <w:rsid w:val="00B07924"/>
    <w:rsid w:val="00B07946"/>
    <w:rsid w:val="00B07AB3"/>
    <w:rsid w:val="00B07B82"/>
    <w:rsid w:val="00B07CCF"/>
    <w:rsid w:val="00B07CE9"/>
    <w:rsid w:val="00B07EEC"/>
    <w:rsid w:val="00B07FD1"/>
    <w:rsid w:val="00B07FE2"/>
    <w:rsid w:val="00B10038"/>
    <w:rsid w:val="00B1008A"/>
    <w:rsid w:val="00B100AC"/>
    <w:rsid w:val="00B100BF"/>
    <w:rsid w:val="00B10141"/>
    <w:rsid w:val="00B1019E"/>
    <w:rsid w:val="00B101D1"/>
    <w:rsid w:val="00B101D5"/>
    <w:rsid w:val="00B101DC"/>
    <w:rsid w:val="00B101E4"/>
    <w:rsid w:val="00B1024E"/>
    <w:rsid w:val="00B10260"/>
    <w:rsid w:val="00B10268"/>
    <w:rsid w:val="00B1038F"/>
    <w:rsid w:val="00B103F4"/>
    <w:rsid w:val="00B104D6"/>
    <w:rsid w:val="00B10633"/>
    <w:rsid w:val="00B10634"/>
    <w:rsid w:val="00B10849"/>
    <w:rsid w:val="00B10977"/>
    <w:rsid w:val="00B109EF"/>
    <w:rsid w:val="00B10A10"/>
    <w:rsid w:val="00B10A54"/>
    <w:rsid w:val="00B10B08"/>
    <w:rsid w:val="00B10B20"/>
    <w:rsid w:val="00B10B61"/>
    <w:rsid w:val="00B10BC3"/>
    <w:rsid w:val="00B10DA4"/>
    <w:rsid w:val="00B10DBD"/>
    <w:rsid w:val="00B10E27"/>
    <w:rsid w:val="00B10E5D"/>
    <w:rsid w:val="00B10FC4"/>
    <w:rsid w:val="00B10FC6"/>
    <w:rsid w:val="00B11013"/>
    <w:rsid w:val="00B110C1"/>
    <w:rsid w:val="00B110E0"/>
    <w:rsid w:val="00B11124"/>
    <w:rsid w:val="00B11139"/>
    <w:rsid w:val="00B112A3"/>
    <w:rsid w:val="00B113D8"/>
    <w:rsid w:val="00B113DB"/>
    <w:rsid w:val="00B11425"/>
    <w:rsid w:val="00B1143A"/>
    <w:rsid w:val="00B11628"/>
    <w:rsid w:val="00B116B3"/>
    <w:rsid w:val="00B117B9"/>
    <w:rsid w:val="00B117BB"/>
    <w:rsid w:val="00B11813"/>
    <w:rsid w:val="00B11830"/>
    <w:rsid w:val="00B1186C"/>
    <w:rsid w:val="00B1198B"/>
    <w:rsid w:val="00B11A78"/>
    <w:rsid w:val="00B11A7F"/>
    <w:rsid w:val="00B11AA5"/>
    <w:rsid w:val="00B11ACB"/>
    <w:rsid w:val="00B11C5C"/>
    <w:rsid w:val="00B11C8C"/>
    <w:rsid w:val="00B11CD6"/>
    <w:rsid w:val="00B11CEB"/>
    <w:rsid w:val="00B11CFB"/>
    <w:rsid w:val="00B11E5D"/>
    <w:rsid w:val="00B11F03"/>
    <w:rsid w:val="00B11F95"/>
    <w:rsid w:val="00B11F96"/>
    <w:rsid w:val="00B11F9E"/>
    <w:rsid w:val="00B12111"/>
    <w:rsid w:val="00B12132"/>
    <w:rsid w:val="00B122AE"/>
    <w:rsid w:val="00B122C2"/>
    <w:rsid w:val="00B12300"/>
    <w:rsid w:val="00B12341"/>
    <w:rsid w:val="00B123F9"/>
    <w:rsid w:val="00B12454"/>
    <w:rsid w:val="00B124C9"/>
    <w:rsid w:val="00B124F0"/>
    <w:rsid w:val="00B125C7"/>
    <w:rsid w:val="00B12871"/>
    <w:rsid w:val="00B1299F"/>
    <w:rsid w:val="00B129C8"/>
    <w:rsid w:val="00B12A1A"/>
    <w:rsid w:val="00B12A39"/>
    <w:rsid w:val="00B12A5A"/>
    <w:rsid w:val="00B12AF7"/>
    <w:rsid w:val="00B12B9F"/>
    <w:rsid w:val="00B12BA7"/>
    <w:rsid w:val="00B12C0B"/>
    <w:rsid w:val="00B12C52"/>
    <w:rsid w:val="00B12E23"/>
    <w:rsid w:val="00B12E5C"/>
    <w:rsid w:val="00B12E90"/>
    <w:rsid w:val="00B12F11"/>
    <w:rsid w:val="00B12F87"/>
    <w:rsid w:val="00B12FF9"/>
    <w:rsid w:val="00B1313A"/>
    <w:rsid w:val="00B131AC"/>
    <w:rsid w:val="00B1351E"/>
    <w:rsid w:val="00B13555"/>
    <w:rsid w:val="00B1365F"/>
    <w:rsid w:val="00B136A4"/>
    <w:rsid w:val="00B13719"/>
    <w:rsid w:val="00B13739"/>
    <w:rsid w:val="00B1379C"/>
    <w:rsid w:val="00B137CD"/>
    <w:rsid w:val="00B137DF"/>
    <w:rsid w:val="00B1383B"/>
    <w:rsid w:val="00B13899"/>
    <w:rsid w:val="00B138CE"/>
    <w:rsid w:val="00B1393E"/>
    <w:rsid w:val="00B139C8"/>
    <w:rsid w:val="00B139F0"/>
    <w:rsid w:val="00B13B9A"/>
    <w:rsid w:val="00B13CC7"/>
    <w:rsid w:val="00B13D17"/>
    <w:rsid w:val="00B13D24"/>
    <w:rsid w:val="00B13E18"/>
    <w:rsid w:val="00B13E48"/>
    <w:rsid w:val="00B13ECC"/>
    <w:rsid w:val="00B13F2D"/>
    <w:rsid w:val="00B13FD0"/>
    <w:rsid w:val="00B1402E"/>
    <w:rsid w:val="00B14109"/>
    <w:rsid w:val="00B1419C"/>
    <w:rsid w:val="00B14228"/>
    <w:rsid w:val="00B1428A"/>
    <w:rsid w:val="00B1428B"/>
    <w:rsid w:val="00B1431C"/>
    <w:rsid w:val="00B1434B"/>
    <w:rsid w:val="00B14410"/>
    <w:rsid w:val="00B14664"/>
    <w:rsid w:val="00B1467A"/>
    <w:rsid w:val="00B14717"/>
    <w:rsid w:val="00B14773"/>
    <w:rsid w:val="00B147D5"/>
    <w:rsid w:val="00B1486D"/>
    <w:rsid w:val="00B14964"/>
    <w:rsid w:val="00B14970"/>
    <w:rsid w:val="00B149AC"/>
    <w:rsid w:val="00B149E4"/>
    <w:rsid w:val="00B14AD5"/>
    <w:rsid w:val="00B14B1E"/>
    <w:rsid w:val="00B14B7F"/>
    <w:rsid w:val="00B14CEB"/>
    <w:rsid w:val="00B14E88"/>
    <w:rsid w:val="00B14F4F"/>
    <w:rsid w:val="00B15005"/>
    <w:rsid w:val="00B15028"/>
    <w:rsid w:val="00B150D6"/>
    <w:rsid w:val="00B1518E"/>
    <w:rsid w:val="00B1522E"/>
    <w:rsid w:val="00B1523E"/>
    <w:rsid w:val="00B15273"/>
    <w:rsid w:val="00B1528B"/>
    <w:rsid w:val="00B152F9"/>
    <w:rsid w:val="00B1535B"/>
    <w:rsid w:val="00B15373"/>
    <w:rsid w:val="00B155AE"/>
    <w:rsid w:val="00B15629"/>
    <w:rsid w:val="00B15639"/>
    <w:rsid w:val="00B156C9"/>
    <w:rsid w:val="00B156DB"/>
    <w:rsid w:val="00B156DC"/>
    <w:rsid w:val="00B1592B"/>
    <w:rsid w:val="00B159C0"/>
    <w:rsid w:val="00B15A83"/>
    <w:rsid w:val="00B15ADC"/>
    <w:rsid w:val="00B15AE1"/>
    <w:rsid w:val="00B15B3F"/>
    <w:rsid w:val="00B15C13"/>
    <w:rsid w:val="00B15C63"/>
    <w:rsid w:val="00B15CAE"/>
    <w:rsid w:val="00B15CB7"/>
    <w:rsid w:val="00B15CCB"/>
    <w:rsid w:val="00B15D15"/>
    <w:rsid w:val="00B15D2C"/>
    <w:rsid w:val="00B15D37"/>
    <w:rsid w:val="00B15D70"/>
    <w:rsid w:val="00B15DC6"/>
    <w:rsid w:val="00B15E42"/>
    <w:rsid w:val="00B15EEE"/>
    <w:rsid w:val="00B15FBF"/>
    <w:rsid w:val="00B160A5"/>
    <w:rsid w:val="00B160EB"/>
    <w:rsid w:val="00B16114"/>
    <w:rsid w:val="00B16198"/>
    <w:rsid w:val="00B1626F"/>
    <w:rsid w:val="00B16307"/>
    <w:rsid w:val="00B1635D"/>
    <w:rsid w:val="00B1646C"/>
    <w:rsid w:val="00B166B1"/>
    <w:rsid w:val="00B166DD"/>
    <w:rsid w:val="00B1671D"/>
    <w:rsid w:val="00B1678F"/>
    <w:rsid w:val="00B167BC"/>
    <w:rsid w:val="00B16874"/>
    <w:rsid w:val="00B16930"/>
    <w:rsid w:val="00B16A2C"/>
    <w:rsid w:val="00B16B00"/>
    <w:rsid w:val="00B16B88"/>
    <w:rsid w:val="00B16B9B"/>
    <w:rsid w:val="00B16BB7"/>
    <w:rsid w:val="00B16BF3"/>
    <w:rsid w:val="00B16C23"/>
    <w:rsid w:val="00B16C3F"/>
    <w:rsid w:val="00B16C7D"/>
    <w:rsid w:val="00B16D6A"/>
    <w:rsid w:val="00B16DA6"/>
    <w:rsid w:val="00B16E61"/>
    <w:rsid w:val="00B16E66"/>
    <w:rsid w:val="00B16EDB"/>
    <w:rsid w:val="00B16FB6"/>
    <w:rsid w:val="00B16FC8"/>
    <w:rsid w:val="00B17022"/>
    <w:rsid w:val="00B17048"/>
    <w:rsid w:val="00B17099"/>
    <w:rsid w:val="00B17143"/>
    <w:rsid w:val="00B172D6"/>
    <w:rsid w:val="00B17343"/>
    <w:rsid w:val="00B173AA"/>
    <w:rsid w:val="00B173C4"/>
    <w:rsid w:val="00B17415"/>
    <w:rsid w:val="00B17606"/>
    <w:rsid w:val="00B1761D"/>
    <w:rsid w:val="00B17691"/>
    <w:rsid w:val="00B176A0"/>
    <w:rsid w:val="00B17752"/>
    <w:rsid w:val="00B177DF"/>
    <w:rsid w:val="00B177E0"/>
    <w:rsid w:val="00B1784C"/>
    <w:rsid w:val="00B178A4"/>
    <w:rsid w:val="00B17970"/>
    <w:rsid w:val="00B179DC"/>
    <w:rsid w:val="00B17AB7"/>
    <w:rsid w:val="00B17BDE"/>
    <w:rsid w:val="00B17C5C"/>
    <w:rsid w:val="00B17C9F"/>
    <w:rsid w:val="00B17DE8"/>
    <w:rsid w:val="00B17ECC"/>
    <w:rsid w:val="00B17F54"/>
    <w:rsid w:val="00B17F76"/>
    <w:rsid w:val="00B17FE4"/>
    <w:rsid w:val="00B17FEF"/>
    <w:rsid w:val="00B20012"/>
    <w:rsid w:val="00B2004B"/>
    <w:rsid w:val="00B2010E"/>
    <w:rsid w:val="00B20212"/>
    <w:rsid w:val="00B20214"/>
    <w:rsid w:val="00B20221"/>
    <w:rsid w:val="00B2025E"/>
    <w:rsid w:val="00B202B1"/>
    <w:rsid w:val="00B203E5"/>
    <w:rsid w:val="00B205B0"/>
    <w:rsid w:val="00B205C7"/>
    <w:rsid w:val="00B20636"/>
    <w:rsid w:val="00B20664"/>
    <w:rsid w:val="00B207EC"/>
    <w:rsid w:val="00B20917"/>
    <w:rsid w:val="00B209AE"/>
    <w:rsid w:val="00B20A36"/>
    <w:rsid w:val="00B20AE1"/>
    <w:rsid w:val="00B20C0D"/>
    <w:rsid w:val="00B20C8E"/>
    <w:rsid w:val="00B20CF2"/>
    <w:rsid w:val="00B20DB5"/>
    <w:rsid w:val="00B20DBF"/>
    <w:rsid w:val="00B20E6B"/>
    <w:rsid w:val="00B20F5D"/>
    <w:rsid w:val="00B2112E"/>
    <w:rsid w:val="00B2116D"/>
    <w:rsid w:val="00B2123D"/>
    <w:rsid w:val="00B212AE"/>
    <w:rsid w:val="00B2131B"/>
    <w:rsid w:val="00B2133A"/>
    <w:rsid w:val="00B21345"/>
    <w:rsid w:val="00B21475"/>
    <w:rsid w:val="00B214D0"/>
    <w:rsid w:val="00B2153C"/>
    <w:rsid w:val="00B215D0"/>
    <w:rsid w:val="00B21605"/>
    <w:rsid w:val="00B21671"/>
    <w:rsid w:val="00B21736"/>
    <w:rsid w:val="00B217CB"/>
    <w:rsid w:val="00B218B1"/>
    <w:rsid w:val="00B218BD"/>
    <w:rsid w:val="00B2192B"/>
    <w:rsid w:val="00B2194A"/>
    <w:rsid w:val="00B21A33"/>
    <w:rsid w:val="00B21A85"/>
    <w:rsid w:val="00B21AE7"/>
    <w:rsid w:val="00B21B49"/>
    <w:rsid w:val="00B21B50"/>
    <w:rsid w:val="00B21BD0"/>
    <w:rsid w:val="00B21C8A"/>
    <w:rsid w:val="00B21EA3"/>
    <w:rsid w:val="00B21ED6"/>
    <w:rsid w:val="00B21EE1"/>
    <w:rsid w:val="00B21F33"/>
    <w:rsid w:val="00B2201B"/>
    <w:rsid w:val="00B220A8"/>
    <w:rsid w:val="00B220AC"/>
    <w:rsid w:val="00B220C1"/>
    <w:rsid w:val="00B220D1"/>
    <w:rsid w:val="00B220E8"/>
    <w:rsid w:val="00B2217E"/>
    <w:rsid w:val="00B22329"/>
    <w:rsid w:val="00B223FC"/>
    <w:rsid w:val="00B22446"/>
    <w:rsid w:val="00B224AA"/>
    <w:rsid w:val="00B224BF"/>
    <w:rsid w:val="00B22519"/>
    <w:rsid w:val="00B2251C"/>
    <w:rsid w:val="00B22555"/>
    <w:rsid w:val="00B225B0"/>
    <w:rsid w:val="00B225E2"/>
    <w:rsid w:val="00B22716"/>
    <w:rsid w:val="00B227F4"/>
    <w:rsid w:val="00B2295D"/>
    <w:rsid w:val="00B22998"/>
    <w:rsid w:val="00B229FE"/>
    <w:rsid w:val="00B22A5B"/>
    <w:rsid w:val="00B22A92"/>
    <w:rsid w:val="00B22B40"/>
    <w:rsid w:val="00B22B7B"/>
    <w:rsid w:val="00B22C35"/>
    <w:rsid w:val="00B22CCB"/>
    <w:rsid w:val="00B22F22"/>
    <w:rsid w:val="00B22F60"/>
    <w:rsid w:val="00B23002"/>
    <w:rsid w:val="00B23025"/>
    <w:rsid w:val="00B2302B"/>
    <w:rsid w:val="00B230B3"/>
    <w:rsid w:val="00B23106"/>
    <w:rsid w:val="00B2310C"/>
    <w:rsid w:val="00B2311D"/>
    <w:rsid w:val="00B2319D"/>
    <w:rsid w:val="00B231DB"/>
    <w:rsid w:val="00B231FD"/>
    <w:rsid w:val="00B23250"/>
    <w:rsid w:val="00B232A0"/>
    <w:rsid w:val="00B2333D"/>
    <w:rsid w:val="00B23389"/>
    <w:rsid w:val="00B233FD"/>
    <w:rsid w:val="00B23441"/>
    <w:rsid w:val="00B234E8"/>
    <w:rsid w:val="00B2369B"/>
    <w:rsid w:val="00B23700"/>
    <w:rsid w:val="00B23762"/>
    <w:rsid w:val="00B23794"/>
    <w:rsid w:val="00B237B5"/>
    <w:rsid w:val="00B237E7"/>
    <w:rsid w:val="00B238B2"/>
    <w:rsid w:val="00B238F9"/>
    <w:rsid w:val="00B2391A"/>
    <w:rsid w:val="00B2398B"/>
    <w:rsid w:val="00B239BB"/>
    <w:rsid w:val="00B23AEE"/>
    <w:rsid w:val="00B23C39"/>
    <w:rsid w:val="00B23CD5"/>
    <w:rsid w:val="00B23D4F"/>
    <w:rsid w:val="00B23E68"/>
    <w:rsid w:val="00B23F52"/>
    <w:rsid w:val="00B240EC"/>
    <w:rsid w:val="00B24166"/>
    <w:rsid w:val="00B24242"/>
    <w:rsid w:val="00B24363"/>
    <w:rsid w:val="00B243F6"/>
    <w:rsid w:val="00B244CD"/>
    <w:rsid w:val="00B244EB"/>
    <w:rsid w:val="00B24554"/>
    <w:rsid w:val="00B2456E"/>
    <w:rsid w:val="00B246A7"/>
    <w:rsid w:val="00B24749"/>
    <w:rsid w:val="00B24779"/>
    <w:rsid w:val="00B248E7"/>
    <w:rsid w:val="00B24904"/>
    <w:rsid w:val="00B24979"/>
    <w:rsid w:val="00B24988"/>
    <w:rsid w:val="00B249AC"/>
    <w:rsid w:val="00B24A0C"/>
    <w:rsid w:val="00B24B3D"/>
    <w:rsid w:val="00B24BB8"/>
    <w:rsid w:val="00B24E60"/>
    <w:rsid w:val="00B24ECF"/>
    <w:rsid w:val="00B24F0D"/>
    <w:rsid w:val="00B24F5E"/>
    <w:rsid w:val="00B2500A"/>
    <w:rsid w:val="00B250A5"/>
    <w:rsid w:val="00B250E3"/>
    <w:rsid w:val="00B2511D"/>
    <w:rsid w:val="00B25167"/>
    <w:rsid w:val="00B25175"/>
    <w:rsid w:val="00B2528B"/>
    <w:rsid w:val="00B2539C"/>
    <w:rsid w:val="00B25651"/>
    <w:rsid w:val="00B25674"/>
    <w:rsid w:val="00B256B7"/>
    <w:rsid w:val="00B25713"/>
    <w:rsid w:val="00B257BF"/>
    <w:rsid w:val="00B257FA"/>
    <w:rsid w:val="00B25841"/>
    <w:rsid w:val="00B25A12"/>
    <w:rsid w:val="00B25B23"/>
    <w:rsid w:val="00B25C59"/>
    <w:rsid w:val="00B25C80"/>
    <w:rsid w:val="00B25D25"/>
    <w:rsid w:val="00B25F12"/>
    <w:rsid w:val="00B25FF4"/>
    <w:rsid w:val="00B260F1"/>
    <w:rsid w:val="00B26136"/>
    <w:rsid w:val="00B2616C"/>
    <w:rsid w:val="00B2620B"/>
    <w:rsid w:val="00B26221"/>
    <w:rsid w:val="00B26250"/>
    <w:rsid w:val="00B26284"/>
    <w:rsid w:val="00B26399"/>
    <w:rsid w:val="00B2645B"/>
    <w:rsid w:val="00B26525"/>
    <w:rsid w:val="00B26650"/>
    <w:rsid w:val="00B2665A"/>
    <w:rsid w:val="00B266A4"/>
    <w:rsid w:val="00B266CA"/>
    <w:rsid w:val="00B26705"/>
    <w:rsid w:val="00B26786"/>
    <w:rsid w:val="00B267B2"/>
    <w:rsid w:val="00B2682D"/>
    <w:rsid w:val="00B26845"/>
    <w:rsid w:val="00B2688A"/>
    <w:rsid w:val="00B268D8"/>
    <w:rsid w:val="00B2691F"/>
    <w:rsid w:val="00B26937"/>
    <w:rsid w:val="00B2694E"/>
    <w:rsid w:val="00B2695F"/>
    <w:rsid w:val="00B269E4"/>
    <w:rsid w:val="00B26AB5"/>
    <w:rsid w:val="00B26C42"/>
    <w:rsid w:val="00B26C83"/>
    <w:rsid w:val="00B26DF0"/>
    <w:rsid w:val="00B26EA4"/>
    <w:rsid w:val="00B270EF"/>
    <w:rsid w:val="00B2714B"/>
    <w:rsid w:val="00B271BF"/>
    <w:rsid w:val="00B271DE"/>
    <w:rsid w:val="00B27297"/>
    <w:rsid w:val="00B2734C"/>
    <w:rsid w:val="00B27387"/>
    <w:rsid w:val="00B2749C"/>
    <w:rsid w:val="00B274C8"/>
    <w:rsid w:val="00B27525"/>
    <w:rsid w:val="00B276EB"/>
    <w:rsid w:val="00B27769"/>
    <w:rsid w:val="00B27778"/>
    <w:rsid w:val="00B277E2"/>
    <w:rsid w:val="00B27912"/>
    <w:rsid w:val="00B2796D"/>
    <w:rsid w:val="00B279B2"/>
    <w:rsid w:val="00B279EB"/>
    <w:rsid w:val="00B279F5"/>
    <w:rsid w:val="00B279FB"/>
    <w:rsid w:val="00B27B41"/>
    <w:rsid w:val="00B27B81"/>
    <w:rsid w:val="00B27C53"/>
    <w:rsid w:val="00B27C55"/>
    <w:rsid w:val="00B27C59"/>
    <w:rsid w:val="00B27C88"/>
    <w:rsid w:val="00B27D45"/>
    <w:rsid w:val="00B27EC2"/>
    <w:rsid w:val="00B27EEC"/>
    <w:rsid w:val="00B2CD73"/>
    <w:rsid w:val="00B3013A"/>
    <w:rsid w:val="00B3017E"/>
    <w:rsid w:val="00B301E8"/>
    <w:rsid w:val="00B30234"/>
    <w:rsid w:val="00B30243"/>
    <w:rsid w:val="00B30264"/>
    <w:rsid w:val="00B3029C"/>
    <w:rsid w:val="00B302C4"/>
    <w:rsid w:val="00B30421"/>
    <w:rsid w:val="00B30427"/>
    <w:rsid w:val="00B3044A"/>
    <w:rsid w:val="00B30459"/>
    <w:rsid w:val="00B30464"/>
    <w:rsid w:val="00B306AB"/>
    <w:rsid w:val="00B30837"/>
    <w:rsid w:val="00B30A40"/>
    <w:rsid w:val="00B30A75"/>
    <w:rsid w:val="00B30B6B"/>
    <w:rsid w:val="00B30BC8"/>
    <w:rsid w:val="00B30C12"/>
    <w:rsid w:val="00B30CD5"/>
    <w:rsid w:val="00B30D90"/>
    <w:rsid w:val="00B30DBE"/>
    <w:rsid w:val="00B30DC8"/>
    <w:rsid w:val="00B30E41"/>
    <w:rsid w:val="00B30EFC"/>
    <w:rsid w:val="00B30F46"/>
    <w:rsid w:val="00B30F75"/>
    <w:rsid w:val="00B30F8E"/>
    <w:rsid w:val="00B310CA"/>
    <w:rsid w:val="00B31115"/>
    <w:rsid w:val="00B31286"/>
    <w:rsid w:val="00B31293"/>
    <w:rsid w:val="00B313D2"/>
    <w:rsid w:val="00B313F3"/>
    <w:rsid w:val="00B31464"/>
    <w:rsid w:val="00B3147B"/>
    <w:rsid w:val="00B3147F"/>
    <w:rsid w:val="00B315BB"/>
    <w:rsid w:val="00B315D0"/>
    <w:rsid w:val="00B316F6"/>
    <w:rsid w:val="00B3170F"/>
    <w:rsid w:val="00B3176E"/>
    <w:rsid w:val="00B318D8"/>
    <w:rsid w:val="00B31908"/>
    <w:rsid w:val="00B3196F"/>
    <w:rsid w:val="00B31977"/>
    <w:rsid w:val="00B31A5E"/>
    <w:rsid w:val="00B31B51"/>
    <w:rsid w:val="00B31D6F"/>
    <w:rsid w:val="00B31E11"/>
    <w:rsid w:val="00B31EEA"/>
    <w:rsid w:val="00B31FED"/>
    <w:rsid w:val="00B32015"/>
    <w:rsid w:val="00B320BC"/>
    <w:rsid w:val="00B320DE"/>
    <w:rsid w:val="00B3213E"/>
    <w:rsid w:val="00B32148"/>
    <w:rsid w:val="00B321D5"/>
    <w:rsid w:val="00B3220C"/>
    <w:rsid w:val="00B32251"/>
    <w:rsid w:val="00B32334"/>
    <w:rsid w:val="00B3235A"/>
    <w:rsid w:val="00B32435"/>
    <w:rsid w:val="00B32602"/>
    <w:rsid w:val="00B326DC"/>
    <w:rsid w:val="00B327CB"/>
    <w:rsid w:val="00B327CD"/>
    <w:rsid w:val="00B327EC"/>
    <w:rsid w:val="00B32898"/>
    <w:rsid w:val="00B32903"/>
    <w:rsid w:val="00B3294E"/>
    <w:rsid w:val="00B32A08"/>
    <w:rsid w:val="00B32AA1"/>
    <w:rsid w:val="00B32B03"/>
    <w:rsid w:val="00B32B31"/>
    <w:rsid w:val="00B32B6B"/>
    <w:rsid w:val="00B32C66"/>
    <w:rsid w:val="00B32D3F"/>
    <w:rsid w:val="00B32D7E"/>
    <w:rsid w:val="00B32E02"/>
    <w:rsid w:val="00B32E48"/>
    <w:rsid w:val="00B32E5D"/>
    <w:rsid w:val="00B32E6E"/>
    <w:rsid w:val="00B32F09"/>
    <w:rsid w:val="00B32F47"/>
    <w:rsid w:val="00B32F7B"/>
    <w:rsid w:val="00B32FFD"/>
    <w:rsid w:val="00B33125"/>
    <w:rsid w:val="00B3315B"/>
    <w:rsid w:val="00B3316D"/>
    <w:rsid w:val="00B331CD"/>
    <w:rsid w:val="00B33283"/>
    <w:rsid w:val="00B332A3"/>
    <w:rsid w:val="00B333FE"/>
    <w:rsid w:val="00B334A0"/>
    <w:rsid w:val="00B3356D"/>
    <w:rsid w:val="00B335E9"/>
    <w:rsid w:val="00B3360B"/>
    <w:rsid w:val="00B33683"/>
    <w:rsid w:val="00B336A2"/>
    <w:rsid w:val="00B336D5"/>
    <w:rsid w:val="00B336E3"/>
    <w:rsid w:val="00B3375B"/>
    <w:rsid w:val="00B3382B"/>
    <w:rsid w:val="00B338AD"/>
    <w:rsid w:val="00B33905"/>
    <w:rsid w:val="00B33976"/>
    <w:rsid w:val="00B33991"/>
    <w:rsid w:val="00B339DB"/>
    <w:rsid w:val="00B33A0E"/>
    <w:rsid w:val="00B33A76"/>
    <w:rsid w:val="00B33A79"/>
    <w:rsid w:val="00B33A7C"/>
    <w:rsid w:val="00B33AF9"/>
    <w:rsid w:val="00B33BA1"/>
    <w:rsid w:val="00B33C83"/>
    <w:rsid w:val="00B33CAA"/>
    <w:rsid w:val="00B33DCA"/>
    <w:rsid w:val="00B33F25"/>
    <w:rsid w:val="00B33F5E"/>
    <w:rsid w:val="00B33F89"/>
    <w:rsid w:val="00B340B5"/>
    <w:rsid w:val="00B340DA"/>
    <w:rsid w:val="00B341A2"/>
    <w:rsid w:val="00B341AD"/>
    <w:rsid w:val="00B341C5"/>
    <w:rsid w:val="00B341F7"/>
    <w:rsid w:val="00B34312"/>
    <w:rsid w:val="00B3434C"/>
    <w:rsid w:val="00B34487"/>
    <w:rsid w:val="00B344B9"/>
    <w:rsid w:val="00B344BC"/>
    <w:rsid w:val="00B34552"/>
    <w:rsid w:val="00B345A5"/>
    <w:rsid w:val="00B3461E"/>
    <w:rsid w:val="00B3474F"/>
    <w:rsid w:val="00B347AE"/>
    <w:rsid w:val="00B3488D"/>
    <w:rsid w:val="00B348A8"/>
    <w:rsid w:val="00B348BC"/>
    <w:rsid w:val="00B34932"/>
    <w:rsid w:val="00B34A67"/>
    <w:rsid w:val="00B34AC6"/>
    <w:rsid w:val="00B34B59"/>
    <w:rsid w:val="00B34B8E"/>
    <w:rsid w:val="00B34BA0"/>
    <w:rsid w:val="00B34BC1"/>
    <w:rsid w:val="00B34C07"/>
    <w:rsid w:val="00B34CF7"/>
    <w:rsid w:val="00B34E1C"/>
    <w:rsid w:val="00B34EBA"/>
    <w:rsid w:val="00B3507C"/>
    <w:rsid w:val="00B35094"/>
    <w:rsid w:val="00B350F0"/>
    <w:rsid w:val="00B35123"/>
    <w:rsid w:val="00B3519A"/>
    <w:rsid w:val="00B3520C"/>
    <w:rsid w:val="00B35218"/>
    <w:rsid w:val="00B352B8"/>
    <w:rsid w:val="00B35388"/>
    <w:rsid w:val="00B353DF"/>
    <w:rsid w:val="00B3546A"/>
    <w:rsid w:val="00B35493"/>
    <w:rsid w:val="00B35661"/>
    <w:rsid w:val="00B35676"/>
    <w:rsid w:val="00B356C2"/>
    <w:rsid w:val="00B356C3"/>
    <w:rsid w:val="00B357AC"/>
    <w:rsid w:val="00B35914"/>
    <w:rsid w:val="00B35967"/>
    <w:rsid w:val="00B35974"/>
    <w:rsid w:val="00B35992"/>
    <w:rsid w:val="00B35A5F"/>
    <w:rsid w:val="00B35B99"/>
    <w:rsid w:val="00B35C15"/>
    <w:rsid w:val="00B35C2F"/>
    <w:rsid w:val="00B35E31"/>
    <w:rsid w:val="00B35E4B"/>
    <w:rsid w:val="00B35E5B"/>
    <w:rsid w:val="00B35E6F"/>
    <w:rsid w:val="00B35F6C"/>
    <w:rsid w:val="00B35F88"/>
    <w:rsid w:val="00B35FCC"/>
    <w:rsid w:val="00B35FFE"/>
    <w:rsid w:val="00B36151"/>
    <w:rsid w:val="00B36216"/>
    <w:rsid w:val="00B36263"/>
    <w:rsid w:val="00B362A7"/>
    <w:rsid w:val="00B3631E"/>
    <w:rsid w:val="00B363EF"/>
    <w:rsid w:val="00B363F4"/>
    <w:rsid w:val="00B3645A"/>
    <w:rsid w:val="00B3647D"/>
    <w:rsid w:val="00B364C9"/>
    <w:rsid w:val="00B364DA"/>
    <w:rsid w:val="00B36518"/>
    <w:rsid w:val="00B3660D"/>
    <w:rsid w:val="00B36681"/>
    <w:rsid w:val="00B366C6"/>
    <w:rsid w:val="00B3671B"/>
    <w:rsid w:val="00B36939"/>
    <w:rsid w:val="00B36ACC"/>
    <w:rsid w:val="00B36B39"/>
    <w:rsid w:val="00B36B7F"/>
    <w:rsid w:val="00B36CFC"/>
    <w:rsid w:val="00B36E81"/>
    <w:rsid w:val="00B36FE8"/>
    <w:rsid w:val="00B37016"/>
    <w:rsid w:val="00B37129"/>
    <w:rsid w:val="00B37155"/>
    <w:rsid w:val="00B37360"/>
    <w:rsid w:val="00B37429"/>
    <w:rsid w:val="00B37534"/>
    <w:rsid w:val="00B37555"/>
    <w:rsid w:val="00B375C3"/>
    <w:rsid w:val="00B37620"/>
    <w:rsid w:val="00B376D6"/>
    <w:rsid w:val="00B37809"/>
    <w:rsid w:val="00B378CC"/>
    <w:rsid w:val="00B379BF"/>
    <w:rsid w:val="00B379C3"/>
    <w:rsid w:val="00B37A74"/>
    <w:rsid w:val="00B37B76"/>
    <w:rsid w:val="00B37BD3"/>
    <w:rsid w:val="00B37C31"/>
    <w:rsid w:val="00B37C3E"/>
    <w:rsid w:val="00B37D76"/>
    <w:rsid w:val="00B37E16"/>
    <w:rsid w:val="00B37E3D"/>
    <w:rsid w:val="00B37ED3"/>
    <w:rsid w:val="00B37F6E"/>
    <w:rsid w:val="00B37FE0"/>
    <w:rsid w:val="00B3BCF2"/>
    <w:rsid w:val="00B40002"/>
    <w:rsid w:val="00B40228"/>
    <w:rsid w:val="00B40307"/>
    <w:rsid w:val="00B40364"/>
    <w:rsid w:val="00B403B9"/>
    <w:rsid w:val="00B403F5"/>
    <w:rsid w:val="00B4042F"/>
    <w:rsid w:val="00B4044F"/>
    <w:rsid w:val="00B40549"/>
    <w:rsid w:val="00B40579"/>
    <w:rsid w:val="00B405B2"/>
    <w:rsid w:val="00B405E1"/>
    <w:rsid w:val="00B40642"/>
    <w:rsid w:val="00B40723"/>
    <w:rsid w:val="00B4074D"/>
    <w:rsid w:val="00B408DA"/>
    <w:rsid w:val="00B40C0F"/>
    <w:rsid w:val="00B40CF2"/>
    <w:rsid w:val="00B40D0F"/>
    <w:rsid w:val="00B40D53"/>
    <w:rsid w:val="00B40E8A"/>
    <w:rsid w:val="00B40F12"/>
    <w:rsid w:val="00B41110"/>
    <w:rsid w:val="00B4136D"/>
    <w:rsid w:val="00B413DD"/>
    <w:rsid w:val="00B41529"/>
    <w:rsid w:val="00B41615"/>
    <w:rsid w:val="00B416F6"/>
    <w:rsid w:val="00B41788"/>
    <w:rsid w:val="00B41790"/>
    <w:rsid w:val="00B417CB"/>
    <w:rsid w:val="00B417F3"/>
    <w:rsid w:val="00B4181C"/>
    <w:rsid w:val="00B418DC"/>
    <w:rsid w:val="00B419B0"/>
    <w:rsid w:val="00B41B1F"/>
    <w:rsid w:val="00B41C0C"/>
    <w:rsid w:val="00B41C53"/>
    <w:rsid w:val="00B41CAF"/>
    <w:rsid w:val="00B41D22"/>
    <w:rsid w:val="00B41EC0"/>
    <w:rsid w:val="00B41F7A"/>
    <w:rsid w:val="00B41FA1"/>
    <w:rsid w:val="00B41FD8"/>
    <w:rsid w:val="00B41FF9"/>
    <w:rsid w:val="00B420DF"/>
    <w:rsid w:val="00B42173"/>
    <w:rsid w:val="00B4232C"/>
    <w:rsid w:val="00B42379"/>
    <w:rsid w:val="00B4239C"/>
    <w:rsid w:val="00B423F0"/>
    <w:rsid w:val="00B4240A"/>
    <w:rsid w:val="00B42416"/>
    <w:rsid w:val="00B424E6"/>
    <w:rsid w:val="00B426C1"/>
    <w:rsid w:val="00B426E6"/>
    <w:rsid w:val="00B42761"/>
    <w:rsid w:val="00B42767"/>
    <w:rsid w:val="00B42783"/>
    <w:rsid w:val="00B4279E"/>
    <w:rsid w:val="00B427C7"/>
    <w:rsid w:val="00B42871"/>
    <w:rsid w:val="00B428AE"/>
    <w:rsid w:val="00B428AF"/>
    <w:rsid w:val="00B428B8"/>
    <w:rsid w:val="00B428E2"/>
    <w:rsid w:val="00B42904"/>
    <w:rsid w:val="00B42950"/>
    <w:rsid w:val="00B4297C"/>
    <w:rsid w:val="00B429A2"/>
    <w:rsid w:val="00B42A17"/>
    <w:rsid w:val="00B42A2C"/>
    <w:rsid w:val="00B42A5C"/>
    <w:rsid w:val="00B42A98"/>
    <w:rsid w:val="00B42B4E"/>
    <w:rsid w:val="00B42B59"/>
    <w:rsid w:val="00B42BD1"/>
    <w:rsid w:val="00B42C04"/>
    <w:rsid w:val="00B42C64"/>
    <w:rsid w:val="00B42CB3"/>
    <w:rsid w:val="00B42CDB"/>
    <w:rsid w:val="00B42CF6"/>
    <w:rsid w:val="00B42D6E"/>
    <w:rsid w:val="00B42D9A"/>
    <w:rsid w:val="00B42DD4"/>
    <w:rsid w:val="00B42E27"/>
    <w:rsid w:val="00B42E4F"/>
    <w:rsid w:val="00B42E89"/>
    <w:rsid w:val="00B42F2E"/>
    <w:rsid w:val="00B42FEF"/>
    <w:rsid w:val="00B4301C"/>
    <w:rsid w:val="00B4318A"/>
    <w:rsid w:val="00B43231"/>
    <w:rsid w:val="00B43287"/>
    <w:rsid w:val="00B4336B"/>
    <w:rsid w:val="00B43443"/>
    <w:rsid w:val="00B43495"/>
    <w:rsid w:val="00B434AF"/>
    <w:rsid w:val="00B43522"/>
    <w:rsid w:val="00B43650"/>
    <w:rsid w:val="00B43659"/>
    <w:rsid w:val="00B43676"/>
    <w:rsid w:val="00B43694"/>
    <w:rsid w:val="00B43835"/>
    <w:rsid w:val="00B43863"/>
    <w:rsid w:val="00B4388C"/>
    <w:rsid w:val="00B438DD"/>
    <w:rsid w:val="00B4396E"/>
    <w:rsid w:val="00B43992"/>
    <w:rsid w:val="00B439C9"/>
    <w:rsid w:val="00B439E4"/>
    <w:rsid w:val="00B43A00"/>
    <w:rsid w:val="00B43A2A"/>
    <w:rsid w:val="00B43AA0"/>
    <w:rsid w:val="00B43B66"/>
    <w:rsid w:val="00B43BC9"/>
    <w:rsid w:val="00B43C22"/>
    <w:rsid w:val="00B43C7C"/>
    <w:rsid w:val="00B43D22"/>
    <w:rsid w:val="00B43D51"/>
    <w:rsid w:val="00B43D81"/>
    <w:rsid w:val="00B43D91"/>
    <w:rsid w:val="00B43EC6"/>
    <w:rsid w:val="00B43F8B"/>
    <w:rsid w:val="00B44104"/>
    <w:rsid w:val="00B4412C"/>
    <w:rsid w:val="00B44184"/>
    <w:rsid w:val="00B441A1"/>
    <w:rsid w:val="00B4421F"/>
    <w:rsid w:val="00B44238"/>
    <w:rsid w:val="00B442AF"/>
    <w:rsid w:val="00B44351"/>
    <w:rsid w:val="00B444E0"/>
    <w:rsid w:val="00B446D5"/>
    <w:rsid w:val="00B44823"/>
    <w:rsid w:val="00B4488F"/>
    <w:rsid w:val="00B448AF"/>
    <w:rsid w:val="00B448E4"/>
    <w:rsid w:val="00B448EF"/>
    <w:rsid w:val="00B44A1D"/>
    <w:rsid w:val="00B44A6C"/>
    <w:rsid w:val="00B44B96"/>
    <w:rsid w:val="00B44C3D"/>
    <w:rsid w:val="00B44DCC"/>
    <w:rsid w:val="00B44DD7"/>
    <w:rsid w:val="00B44EC1"/>
    <w:rsid w:val="00B44EE8"/>
    <w:rsid w:val="00B44F57"/>
    <w:rsid w:val="00B452A7"/>
    <w:rsid w:val="00B453AE"/>
    <w:rsid w:val="00B4540F"/>
    <w:rsid w:val="00B454F2"/>
    <w:rsid w:val="00B45599"/>
    <w:rsid w:val="00B455B7"/>
    <w:rsid w:val="00B456C3"/>
    <w:rsid w:val="00B456E6"/>
    <w:rsid w:val="00B456F6"/>
    <w:rsid w:val="00B45719"/>
    <w:rsid w:val="00B45779"/>
    <w:rsid w:val="00B45868"/>
    <w:rsid w:val="00B4593B"/>
    <w:rsid w:val="00B459E3"/>
    <w:rsid w:val="00B45A7A"/>
    <w:rsid w:val="00B45A84"/>
    <w:rsid w:val="00B45AC3"/>
    <w:rsid w:val="00B45B71"/>
    <w:rsid w:val="00B45BC7"/>
    <w:rsid w:val="00B45C27"/>
    <w:rsid w:val="00B45CBF"/>
    <w:rsid w:val="00B45D2A"/>
    <w:rsid w:val="00B45DAA"/>
    <w:rsid w:val="00B45DC2"/>
    <w:rsid w:val="00B45E37"/>
    <w:rsid w:val="00B45ED5"/>
    <w:rsid w:val="00B45EF2"/>
    <w:rsid w:val="00B45FAE"/>
    <w:rsid w:val="00B46022"/>
    <w:rsid w:val="00B46081"/>
    <w:rsid w:val="00B46257"/>
    <w:rsid w:val="00B46274"/>
    <w:rsid w:val="00B46337"/>
    <w:rsid w:val="00B46380"/>
    <w:rsid w:val="00B463AE"/>
    <w:rsid w:val="00B46460"/>
    <w:rsid w:val="00B464B5"/>
    <w:rsid w:val="00B46554"/>
    <w:rsid w:val="00B4665E"/>
    <w:rsid w:val="00B46661"/>
    <w:rsid w:val="00B4682E"/>
    <w:rsid w:val="00B46846"/>
    <w:rsid w:val="00B46851"/>
    <w:rsid w:val="00B468B6"/>
    <w:rsid w:val="00B4692F"/>
    <w:rsid w:val="00B46963"/>
    <w:rsid w:val="00B46AA3"/>
    <w:rsid w:val="00B46B88"/>
    <w:rsid w:val="00B46B9B"/>
    <w:rsid w:val="00B46BF3"/>
    <w:rsid w:val="00B46D06"/>
    <w:rsid w:val="00B46D77"/>
    <w:rsid w:val="00B46D8A"/>
    <w:rsid w:val="00B46DD5"/>
    <w:rsid w:val="00B46DF9"/>
    <w:rsid w:val="00B46E22"/>
    <w:rsid w:val="00B46E79"/>
    <w:rsid w:val="00B46F42"/>
    <w:rsid w:val="00B46FE0"/>
    <w:rsid w:val="00B4706A"/>
    <w:rsid w:val="00B471C7"/>
    <w:rsid w:val="00B471FC"/>
    <w:rsid w:val="00B47278"/>
    <w:rsid w:val="00B473D1"/>
    <w:rsid w:val="00B4745C"/>
    <w:rsid w:val="00B47479"/>
    <w:rsid w:val="00B47493"/>
    <w:rsid w:val="00B474C8"/>
    <w:rsid w:val="00B474DF"/>
    <w:rsid w:val="00B47576"/>
    <w:rsid w:val="00B47615"/>
    <w:rsid w:val="00B47634"/>
    <w:rsid w:val="00B476C4"/>
    <w:rsid w:val="00B476EE"/>
    <w:rsid w:val="00B47708"/>
    <w:rsid w:val="00B47796"/>
    <w:rsid w:val="00B47915"/>
    <w:rsid w:val="00B479E1"/>
    <w:rsid w:val="00B47A62"/>
    <w:rsid w:val="00B47A76"/>
    <w:rsid w:val="00B47BA3"/>
    <w:rsid w:val="00B47D14"/>
    <w:rsid w:val="00B47DB8"/>
    <w:rsid w:val="00B47DFD"/>
    <w:rsid w:val="00B47E32"/>
    <w:rsid w:val="00B47E96"/>
    <w:rsid w:val="00B47E97"/>
    <w:rsid w:val="00B47E9A"/>
    <w:rsid w:val="00B47F21"/>
    <w:rsid w:val="00B5000B"/>
    <w:rsid w:val="00B50044"/>
    <w:rsid w:val="00B501DA"/>
    <w:rsid w:val="00B50355"/>
    <w:rsid w:val="00B50415"/>
    <w:rsid w:val="00B50425"/>
    <w:rsid w:val="00B5043F"/>
    <w:rsid w:val="00B50575"/>
    <w:rsid w:val="00B50702"/>
    <w:rsid w:val="00B507C8"/>
    <w:rsid w:val="00B507E8"/>
    <w:rsid w:val="00B50855"/>
    <w:rsid w:val="00B508A2"/>
    <w:rsid w:val="00B508EB"/>
    <w:rsid w:val="00B50994"/>
    <w:rsid w:val="00B509C9"/>
    <w:rsid w:val="00B50A02"/>
    <w:rsid w:val="00B50A1F"/>
    <w:rsid w:val="00B50B17"/>
    <w:rsid w:val="00B50C09"/>
    <w:rsid w:val="00B50C3D"/>
    <w:rsid w:val="00B50C47"/>
    <w:rsid w:val="00B50D78"/>
    <w:rsid w:val="00B50DD5"/>
    <w:rsid w:val="00B50E18"/>
    <w:rsid w:val="00B50E34"/>
    <w:rsid w:val="00B50E48"/>
    <w:rsid w:val="00B50E51"/>
    <w:rsid w:val="00B51076"/>
    <w:rsid w:val="00B5109C"/>
    <w:rsid w:val="00B51156"/>
    <w:rsid w:val="00B5122B"/>
    <w:rsid w:val="00B513A9"/>
    <w:rsid w:val="00B51560"/>
    <w:rsid w:val="00B51568"/>
    <w:rsid w:val="00B51610"/>
    <w:rsid w:val="00B51646"/>
    <w:rsid w:val="00B5167B"/>
    <w:rsid w:val="00B5169D"/>
    <w:rsid w:val="00B51736"/>
    <w:rsid w:val="00B51946"/>
    <w:rsid w:val="00B519BC"/>
    <w:rsid w:val="00B519F8"/>
    <w:rsid w:val="00B51A80"/>
    <w:rsid w:val="00B51AA8"/>
    <w:rsid w:val="00B51ADE"/>
    <w:rsid w:val="00B51B2B"/>
    <w:rsid w:val="00B51BB4"/>
    <w:rsid w:val="00B51CFD"/>
    <w:rsid w:val="00B51EDB"/>
    <w:rsid w:val="00B51F84"/>
    <w:rsid w:val="00B51FAC"/>
    <w:rsid w:val="00B52010"/>
    <w:rsid w:val="00B5208D"/>
    <w:rsid w:val="00B520D7"/>
    <w:rsid w:val="00B520E3"/>
    <w:rsid w:val="00B52144"/>
    <w:rsid w:val="00B52236"/>
    <w:rsid w:val="00B522AB"/>
    <w:rsid w:val="00B522BD"/>
    <w:rsid w:val="00B522DC"/>
    <w:rsid w:val="00B52336"/>
    <w:rsid w:val="00B52358"/>
    <w:rsid w:val="00B523A9"/>
    <w:rsid w:val="00B5282B"/>
    <w:rsid w:val="00B5292E"/>
    <w:rsid w:val="00B5299E"/>
    <w:rsid w:val="00B52A38"/>
    <w:rsid w:val="00B52A4B"/>
    <w:rsid w:val="00B52B02"/>
    <w:rsid w:val="00B52B6A"/>
    <w:rsid w:val="00B52B89"/>
    <w:rsid w:val="00B52C8C"/>
    <w:rsid w:val="00B52CB7"/>
    <w:rsid w:val="00B52CD6"/>
    <w:rsid w:val="00B52CFC"/>
    <w:rsid w:val="00B52D55"/>
    <w:rsid w:val="00B52EDA"/>
    <w:rsid w:val="00B52EFA"/>
    <w:rsid w:val="00B52F17"/>
    <w:rsid w:val="00B52FA7"/>
    <w:rsid w:val="00B52FC0"/>
    <w:rsid w:val="00B52FE1"/>
    <w:rsid w:val="00B52FE6"/>
    <w:rsid w:val="00B52FF2"/>
    <w:rsid w:val="00B53169"/>
    <w:rsid w:val="00B53185"/>
    <w:rsid w:val="00B531AB"/>
    <w:rsid w:val="00B531B1"/>
    <w:rsid w:val="00B531E9"/>
    <w:rsid w:val="00B53356"/>
    <w:rsid w:val="00B53429"/>
    <w:rsid w:val="00B5357F"/>
    <w:rsid w:val="00B535C9"/>
    <w:rsid w:val="00B53629"/>
    <w:rsid w:val="00B5364E"/>
    <w:rsid w:val="00B5368B"/>
    <w:rsid w:val="00B536D3"/>
    <w:rsid w:val="00B53733"/>
    <w:rsid w:val="00B5388C"/>
    <w:rsid w:val="00B53896"/>
    <w:rsid w:val="00B539C8"/>
    <w:rsid w:val="00B53C6A"/>
    <w:rsid w:val="00B53CCE"/>
    <w:rsid w:val="00B53DB0"/>
    <w:rsid w:val="00B53DD8"/>
    <w:rsid w:val="00B53DF9"/>
    <w:rsid w:val="00B53E3F"/>
    <w:rsid w:val="00B53E6D"/>
    <w:rsid w:val="00B53E8E"/>
    <w:rsid w:val="00B53EB6"/>
    <w:rsid w:val="00B54019"/>
    <w:rsid w:val="00B540E4"/>
    <w:rsid w:val="00B541D6"/>
    <w:rsid w:val="00B541E1"/>
    <w:rsid w:val="00B5442B"/>
    <w:rsid w:val="00B544AF"/>
    <w:rsid w:val="00B544CD"/>
    <w:rsid w:val="00B544EF"/>
    <w:rsid w:val="00B544F9"/>
    <w:rsid w:val="00B54573"/>
    <w:rsid w:val="00B545F8"/>
    <w:rsid w:val="00B5469E"/>
    <w:rsid w:val="00B54763"/>
    <w:rsid w:val="00B547D7"/>
    <w:rsid w:val="00B54818"/>
    <w:rsid w:val="00B54941"/>
    <w:rsid w:val="00B5498C"/>
    <w:rsid w:val="00B54AB1"/>
    <w:rsid w:val="00B54AE5"/>
    <w:rsid w:val="00B54CE0"/>
    <w:rsid w:val="00B54E35"/>
    <w:rsid w:val="00B54E56"/>
    <w:rsid w:val="00B54EC8"/>
    <w:rsid w:val="00B54F2D"/>
    <w:rsid w:val="00B54F84"/>
    <w:rsid w:val="00B5507D"/>
    <w:rsid w:val="00B55093"/>
    <w:rsid w:val="00B550A4"/>
    <w:rsid w:val="00B5513D"/>
    <w:rsid w:val="00B55159"/>
    <w:rsid w:val="00B55183"/>
    <w:rsid w:val="00B5518C"/>
    <w:rsid w:val="00B551C0"/>
    <w:rsid w:val="00B551D9"/>
    <w:rsid w:val="00B551FF"/>
    <w:rsid w:val="00B55309"/>
    <w:rsid w:val="00B5536C"/>
    <w:rsid w:val="00B5546A"/>
    <w:rsid w:val="00B55579"/>
    <w:rsid w:val="00B5559C"/>
    <w:rsid w:val="00B555CF"/>
    <w:rsid w:val="00B5568C"/>
    <w:rsid w:val="00B556B9"/>
    <w:rsid w:val="00B55755"/>
    <w:rsid w:val="00B5584C"/>
    <w:rsid w:val="00B55885"/>
    <w:rsid w:val="00B558AC"/>
    <w:rsid w:val="00B558CB"/>
    <w:rsid w:val="00B55A6C"/>
    <w:rsid w:val="00B55AD3"/>
    <w:rsid w:val="00B55AEC"/>
    <w:rsid w:val="00B55B1A"/>
    <w:rsid w:val="00B55BE0"/>
    <w:rsid w:val="00B55BF0"/>
    <w:rsid w:val="00B55BF7"/>
    <w:rsid w:val="00B55CAC"/>
    <w:rsid w:val="00B55CAF"/>
    <w:rsid w:val="00B55CBA"/>
    <w:rsid w:val="00B55CED"/>
    <w:rsid w:val="00B55D57"/>
    <w:rsid w:val="00B55DE4"/>
    <w:rsid w:val="00B55E88"/>
    <w:rsid w:val="00B55F80"/>
    <w:rsid w:val="00B56023"/>
    <w:rsid w:val="00B5607B"/>
    <w:rsid w:val="00B56126"/>
    <w:rsid w:val="00B561D2"/>
    <w:rsid w:val="00B5621C"/>
    <w:rsid w:val="00B562B5"/>
    <w:rsid w:val="00B56316"/>
    <w:rsid w:val="00B56330"/>
    <w:rsid w:val="00B5633B"/>
    <w:rsid w:val="00B563EA"/>
    <w:rsid w:val="00B56480"/>
    <w:rsid w:val="00B564DC"/>
    <w:rsid w:val="00B564EA"/>
    <w:rsid w:val="00B56501"/>
    <w:rsid w:val="00B5650D"/>
    <w:rsid w:val="00B5651F"/>
    <w:rsid w:val="00B56540"/>
    <w:rsid w:val="00B5657F"/>
    <w:rsid w:val="00B56596"/>
    <w:rsid w:val="00B565BA"/>
    <w:rsid w:val="00B565D6"/>
    <w:rsid w:val="00B565FF"/>
    <w:rsid w:val="00B56832"/>
    <w:rsid w:val="00B56849"/>
    <w:rsid w:val="00B56959"/>
    <w:rsid w:val="00B56998"/>
    <w:rsid w:val="00B569B3"/>
    <w:rsid w:val="00B569FB"/>
    <w:rsid w:val="00B569FF"/>
    <w:rsid w:val="00B56A9B"/>
    <w:rsid w:val="00B56B3C"/>
    <w:rsid w:val="00B56C4A"/>
    <w:rsid w:val="00B56CC1"/>
    <w:rsid w:val="00B56D9F"/>
    <w:rsid w:val="00B56E59"/>
    <w:rsid w:val="00B56EE2"/>
    <w:rsid w:val="00B56FC4"/>
    <w:rsid w:val="00B57003"/>
    <w:rsid w:val="00B570CD"/>
    <w:rsid w:val="00B57134"/>
    <w:rsid w:val="00B5713D"/>
    <w:rsid w:val="00B571E9"/>
    <w:rsid w:val="00B5727A"/>
    <w:rsid w:val="00B574A5"/>
    <w:rsid w:val="00B574C5"/>
    <w:rsid w:val="00B57502"/>
    <w:rsid w:val="00B57528"/>
    <w:rsid w:val="00B5752D"/>
    <w:rsid w:val="00B575D3"/>
    <w:rsid w:val="00B575F7"/>
    <w:rsid w:val="00B5764D"/>
    <w:rsid w:val="00B576A4"/>
    <w:rsid w:val="00B57707"/>
    <w:rsid w:val="00B57768"/>
    <w:rsid w:val="00B57782"/>
    <w:rsid w:val="00B5784A"/>
    <w:rsid w:val="00B57998"/>
    <w:rsid w:val="00B57B2F"/>
    <w:rsid w:val="00B57B30"/>
    <w:rsid w:val="00B57BAE"/>
    <w:rsid w:val="00B57BCE"/>
    <w:rsid w:val="00B57BD8"/>
    <w:rsid w:val="00B57BE6"/>
    <w:rsid w:val="00B57C25"/>
    <w:rsid w:val="00B57CD0"/>
    <w:rsid w:val="00B57D95"/>
    <w:rsid w:val="00B57DA6"/>
    <w:rsid w:val="00B57DA9"/>
    <w:rsid w:val="00B57DEF"/>
    <w:rsid w:val="00B57E60"/>
    <w:rsid w:val="00B57F7E"/>
    <w:rsid w:val="00B600CB"/>
    <w:rsid w:val="00B6013F"/>
    <w:rsid w:val="00B60177"/>
    <w:rsid w:val="00B601C9"/>
    <w:rsid w:val="00B60222"/>
    <w:rsid w:val="00B60224"/>
    <w:rsid w:val="00B6034D"/>
    <w:rsid w:val="00B604A6"/>
    <w:rsid w:val="00B604BF"/>
    <w:rsid w:val="00B604E4"/>
    <w:rsid w:val="00B60547"/>
    <w:rsid w:val="00B6062F"/>
    <w:rsid w:val="00B60639"/>
    <w:rsid w:val="00B6064E"/>
    <w:rsid w:val="00B60666"/>
    <w:rsid w:val="00B60798"/>
    <w:rsid w:val="00B607C3"/>
    <w:rsid w:val="00B607D7"/>
    <w:rsid w:val="00B607DD"/>
    <w:rsid w:val="00B6083A"/>
    <w:rsid w:val="00B6085F"/>
    <w:rsid w:val="00B60923"/>
    <w:rsid w:val="00B60C34"/>
    <w:rsid w:val="00B60C41"/>
    <w:rsid w:val="00B60CCD"/>
    <w:rsid w:val="00B60D9B"/>
    <w:rsid w:val="00B60E72"/>
    <w:rsid w:val="00B60FA8"/>
    <w:rsid w:val="00B61191"/>
    <w:rsid w:val="00B61328"/>
    <w:rsid w:val="00B613A5"/>
    <w:rsid w:val="00B613C1"/>
    <w:rsid w:val="00B61425"/>
    <w:rsid w:val="00B61498"/>
    <w:rsid w:val="00B614A2"/>
    <w:rsid w:val="00B614B3"/>
    <w:rsid w:val="00B6151C"/>
    <w:rsid w:val="00B6155D"/>
    <w:rsid w:val="00B61600"/>
    <w:rsid w:val="00B616B6"/>
    <w:rsid w:val="00B616C5"/>
    <w:rsid w:val="00B61813"/>
    <w:rsid w:val="00B6183A"/>
    <w:rsid w:val="00B61882"/>
    <w:rsid w:val="00B6197A"/>
    <w:rsid w:val="00B61A4A"/>
    <w:rsid w:val="00B61B43"/>
    <w:rsid w:val="00B61BA8"/>
    <w:rsid w:val="00B61CDC"/>
    <w:rsid w:val="00B61D47"/>
    <w:rsid w:val="00B61D5D"/>
    <w:rsid w:val="00B61D7D"/>
    <w:rsid w:val="00B61DE3"/>
    <w:rsid w:val="00B61ECD"/>
    <w:rsid w:val="00B62010"/>
    <w:rsid w:val="00B6207E"/>
    <w:rsid w:val="00B620A5"/>
    <w:rsid w:val="00B620CF"/>
    <w:rsid w:val="00B621C0"/>
    <w:rsid w:val="00B6225A"/>
    <w:rsid w:val="00B622A5"/>
    <w:rsid w:val="00B622B1"/>
    <w:rsid w:val="00B6235E"/>
    <w:rsid w:val="00B6244F"/>
    <w:rsid w:val="00B62457"/>
    <w:rsid w:val="00B62480"/>
    <w:rsid w:val="00B625CC"/>
    <w:rsid w:val="00B6267E"/>
    <w:rsid w:val="00B627C1"/>
    <w:rsid w:val="00B627FB"/>
    <w:rsid w:val="00B62805"/>
    <w:rsid w:val="00B62860"/>
    <w:rsid w:val="00B6288C"/>
    <w:rsid w:val="00B628E7"/>
    <w:rsid w:val="00B62929"/>
    <w:rsid w:val="00B6296B"/>
    <w:rsid w:val="00B62973"/>
    <w:rsid w:val="00B62997"/>
    <w:rsid w:val="00B62A68"/>
    <w:rsid w:val="00B62D06"/>
    <w:rsid w:val="00B62D3D"/>
    <w:rsid w:val="00B62D5D"/>
    <w:rsid w:val="00B62D98"/>
    <w:rsid w:val="00B62E8F"/>
    <w:rsid w:val="00B62E91"/>
    <w:rsid w:val="00B62F8D"/>
    <w:rsid w:val="00B62FA1"/>
    <w:rsid w:val="00B6300D"/>
    <w:rsid w:val="00B6308E"/>
    <w:rsid w:val="00B630CC"/>
    <w:rsid w:val="00B630D6"/>
    <w:rsid w:val="00B63261"/>
    <w:rsid w:val="00B63430"/>
    <w:rsid w:val="00B63489"/>
    <w:rsid w:val="00B634C9"/>
    <w:rsid w:val="00B634FF"/>
    <w:rsid w:val="00B6354E"/>
    <w:rsid w:val="00B6360A"/>
    <w:rsid w:val="00B63636"/>
    <w:rsid w:val="00B6363B"/>
    <w:rsid w:val="00B63650"/>
    <w:rsid w:val="00B63678"/>
    <w:rsid w:val="00B63684"/>
    <w:rsid w:val="00B63736"/>
    <w:rsid w:val="00B63784"/>
    <w:rsid w:val="00B6383F"/>
    <w:rsid w:val="00B63873"/>
    <w:rsid w:val="00B63880"/>
    <w:rsid w:val="00B639AD"/>
    <w:rsid w:val="00B63AA2"/>
    <w:rsid w:val="00B63AC9"/>
    <w:rsid w:val="00B63B27"/>
    <w:rsid w:val="00B63BD9"/>
    <w:rsid w:val="00B63BF9"/>
    <w:rsid w:val="00B63CAC"/>
    <w:rsid w:val="00B63CE4"/>
    <w:rsid w:val="00B63D58"/>
    <w:rsid w:val="00B63D5B"/>
    <w:rsid w:val="00B63DE9"/>
    <w:rsid w:val="00B63EBE"/>
    <w:rsid w:val="00B63F50"/>
    <w:rsid w:val="00B63FAB"/>
    <w:rsid w:val="00B6400D"/>
    <w:rsid w:val="00B640C6"/>
    <w:rsid w:val="00B6421C"/>
    <w:rsid w:val="00B64245"/>
    <w:rsid w:val="00B6428F"/>
    <w:rsid w:val="00B6434A"/>
    <w:rsid w:val="00B6434E"/>
    <w:rsid w:val="00B643CD"/>
    <w:rsid w:val="00B643EA"/>
    <w:rsid w:val="00B6448F"/>
    <w:rsid w:val="00B64511"/>
    <w:rsid w:val="00B6452C"/>
    <w:rsid w:val="00B646B7"/>
    <w:rsid w:val="00B64712"/>
    <w:rsid w:val="00B64718"/>
    <w:rsid w:val="00B64838"/>
    <w:rsid w:val="00B6485A"/>
    <w:rsid w:val="00B648A6"/>
    <w:rsid w:val="00B648D7"/>
    <w:rsid w:val="00B6492B"/>
    <w:rsid w:val="00B649F6"/>
    <w:rsid w:val="00B649F9"/>
    <w:rsid w:val="00B64AFA"/>
    <w:rsid w:val="00B64B9E"/>
    <w:rsid w:val="00B64BAF"/>
    <w:rsid w:val="00B64C49"/>
    <w:rsid w:val="00B64DAC"/>
    <w:rsid w:val="00B64E8A"/>
    <w:rsid w:val="00B64E90"/>
    <w:rsid w:val="00B64EDD"/>
    <w:rsid w:val="00B64EFD"/>
    <w:rsid w:val="00B64F8E"/>
    <w:rsid w:val="00B64FA2"/>
    <w:rsid w:val="00B64FEC"/>
    <w:rsid w:val="00B64FEE"/>
    <w:rsid w:val="00B64FF2"/>
    <w:rsid w:val="00B64FF6"/>
    <w:rsid w:val="00B65003"/>
    <w:rsid w:val="00B65059"/>
    <w:rsid w:val="00B65072"/>
    <w:rsid w:val="00B65128"/>
    <w:rsid w:val="00B65137"/>
    <w:rsid w:val="00B65156"/>
    <w:rsid w:val="00B6527F"/>
    <w:rsid w:val="00B65348"/>
    <w:rsid w:val="00B65359"/>
    <w:rsid w:val="00B653CE"/>
    <w:rsid w:val="00B6540D"/>
    <w:rsid w:val="00B65470"/>
    <w:rsid w:val="00B65588"/>
    <w:rsid w:val="00B655AC"/>
    <w:rsid w:val="00B6563E"/>
    <w:rsid w:val="00B656B3"/>
    <w:rsid w:val="00B657AD"/>
    <w:rsid w:val="00B65840"/>
    <w:rsid w:val="00B6589D"/>
    <w:rsid w:val="00B658D1"/>
    <w:rsid w:val="00B6594C"/>
    <w:rsid w:val="00B659B6"/>
    <w:rsid w:val="00B65A1F"/>
    <w:rsid w:val="00B65AB3"/>
    <w:rsid w:val="00B65B2A"/>
    <w:rsid w:val="00B65B5E"/>
    <w:rsid w:val="00B65B88"/>
    <w:rsid w:val="00B65C83"/>
    <w:rsid w:val="00B65C9D"/>
    <w:rsid w:val="00B65CA2"/>
    <w:rsid w:val="00B65D30"/>
    <w:rsid w:val="00B65DE1"/>
    <w:rsid w:val="00B65EF7"/>
    <w:rsid w:val="00B65FE3"/>
    <w:rsid w:val="00B6600E"/>
    <w:rsid w:val="00B6604C"/>
    <w:rsid w:val="00B66064"/>
    <w:rsid w:val="00B6613A"/>
    <w:rsid w:val="00B66182"/>
    <w:rsid w:val="00B6634F"/>
    <w:rsid w:val="00B66419"/>
    <w:rsid w:val="00B66451"/>
    <w:rsid w:val="00B664A2"/>
    <w:rsid w:val="00B6650B"/>
    <w:rsid w:val="00B66563"/>
    <w:rsid w:val="00B66750"/>
    <w:rsid w:val="00B6675C"/>
    <w:rsid w:val="00B667C8"/>
    <w:rsid w:val="00B667F8"/>
    <w:rsid w:val="00B66803"/>
    <w:rsid w:val="00B6682A"/>
    <w:rsid w:val="00B6689A"/>
    <w:rsid w:val="00B668A0"/>
    <w:rsid w:val="00B668BF"/>
    <w:rsid w:val="00B66941"/>
    <w:rsid w:val="00B66995"/>
    <w:rsid w:val="00B66A1B"/>
    <w:rsid w:val="00B66A7C"/>
    <w:rsid w:val="00B66AA2"/>
    <w:rsid w:val="00B66AF4"/>
    <w:rsid w:val="00B66B29"/>
    <w:rsid w:val="00B66C64"/>
    <w:rsid w:val="00B66DFC"/>
    <w:rsid w:val="00B66E1C"/>
    <w:rsid w:val="00B66E2E"/>
    <w:rsid w:val="00B66ED3"/>
    <w:rsid w:val="00B66F95"/>
    <w:rsid w:val="00B66F9D"/>
    <w:rsid w:val="00B67012"/>
    <w:rsid w:val="00B67040"/>
    <w:rsid w:val="00B6710B"/>
    <w:rsid w:val="00B671A1"/>
    <w:rsid w:val="00B67211"/>
    <w:rsid w:val="00B67238"/>
    <w:rsid w:val="00B672AD"/>
    <w:rsid w:val="00B672D5"/>
    <w:rsid w:val="00B672F4"/>
    <w:rsid w:val="00B672FA"/>
    <w:rsid w:val="00B67376"/>
    <w:rsid w:val="00B673EB"/>
    <w:rsid w:val="00B673EF"/>
    <w:rsid w:val="00B675A6"/>
    <w:rsid w:val="00B675BB"/>
    <w:rsid w:val="00B6760D"/>
    <w:rsid w:val="00B67618"/>
    <w:rsid w:val="00B6762E"/>
    <w:rsid w:val="00B67747"/>
    <w:rsid w:val="00B678A6"/>
    <w:rsid w:val="00B67943"/>
    <w:rsid w:val="00B6794D"/>
    <w:rsid w:val="00B67950"/>
    <w:rsid w:val="00B67A21"/>
    <w:rsid w:val="00B67A37"/>
    <w:rsid w:val="00B67A3A"/>
    <w:rsid w:val="00B67B22"/>
    <w:rsid w:val="00B67B49"/>
    <w:rsid w:val="00B67B55"/>
    <w:rsid w:val="00B67BC9"/>
    <w:rsid w:val="00B67BCC"/>
    <w:rsid w:val="00B67BDE"/>
    <w:rsid w:val="00B67C45"/>
    <w:rsid w:val="00B67C6C"/>
    <w:rsid w:val="00B67CB4"/>
    <w:rsid w:val="00B67CB7"/>
    <w:rsid w:val="00B67D21"/>
    <w:rsid w:val="00B67E01"/>
    <w:rsid w:val="00B67FF5"/>
    <w:rsid w:val="00B70092"/>
    <w:rsid w:val="00B70103"/>
    <w:rsid w:val="00B7014F"/>
    <w:rsid w:val="00B70180"/>
    <w:rsid w:val="00B70203"/>
    <w:rsid w:val="00B70331"/>
    <w:rsid w:val="00B70336"/>
    <w:rsid w:val="00B703AD"/>
    <w:rsid w:val="00B70438"/>
    <w:rsid w:val="00B704F8"/>
    <w:rsid w:val="00B70549"/>
    <w:rsid w:val="00B7066B"/>
    <w:rsid w:val="00B707BF"/>
    <w:rsid w:val="00B7080B"/>
    <w:rsid w:val="00B70A6B"/>
    <w:rsid w:val="00B70BC1"/>
    <w:rsid w:val="00B70C55"/>
    <w:rsid w:val="00B70C61"/>
    <w:rsid w:val="00B70D19"/>
    <w:rsid w:val="00B70DC7"/>
    <w:rsid w:val="00B70DCA"/>
    <w:rsid w:val="00B70E5A"/>
    <w:rsid w:val="00B70E73"/>
    <w:rsid w:val="00B70E9D"/>
    <w:rsid w:val="00B70F19"/>
    <w:rsid w:val="00B70F79"/>
    <w:rsid w:val="00B70FD8"/>
    <w:rsid w:val="00B70FE5"/>
    <w:rsid w:val="00B71010"/>
    <w:rsid w:val="00B7113E"/>
    <w:rsid w:val="00B71221"/>
    <w:rsid w:val="00B712A6"/>
    <w:rsid w:val="00B712B1"/>
    <w:rsid w:val="00B71314"/>
    <w:rsid w:val="00B7133D"/>
    <w:rsid w:val="00B7141F"/>
    <w:rsid w:val="00B71462"/>
    <w:rsid w:val="00B71487"/>
    <w:rsid w:val="00B714D2"/>
    <w:rsid w:val="00B71510"/>
    <w:rsid w:val="00B71513"/>
    <w:rsid w:val="00B7157F"/>
    <w:rsid w:val="00B715A7"/>
    <w:rsid w:val="00B71645"/>
    <w:rsid w:val="00B71675"/>
    <w:rsid w:val="00B71827"/>
    <w:rsid w:val="00B71839"/>
    <w:rsid w:val="00B7195C"/>
    <w:rsid w:val="00B7199D"/>
    <w:rsid w:val="00B719ED"/>
    <w:rsid w:val="00B71A14"/>
    <w:rsid w:val="00B71AD5"/>
    <w:rsid w:val="00B71B3D"/>
    <w:rsid w:val="00B71B47"/>
    <w:rsid w:val="00B71BD1"/>
    <w:rsid w:val="00B71C6D"/>
    <w:rsid w:val="00B71C7E"/>
    <w:rsid w:val="00B71C84"/>
    <w:rsid w:val="00B71CA6"/>
    <w:rsid w:val="00B71D2F"/>
    <w:rsid w:val="00B71F83"/>
    <w:rsid w:val="00B71F8A"/>
    <w:rsid w:val="00B71FF3"/>
    <w:rsid w:val="00B72053"/>
    <w:rsid w:val="00B720C9"/>
    <w:rsid w:val="00B7220D"/>
    <w:rsid w:val="00B72244"/>
    <w:rsid w:val="00B72271"/>
    <w:rsid w:val="00B72319"/>
    <w:rsid w:val="00B72323"/>
    <w:rsid w:val="00B7241D"/>
    <w:rsid w:val="00B72510"/>
    <w:rsid w:val="00B7254B"/>
    <w:rsid w:val="00B7265F"/>
    <w:rsid w:val="00B72753"/>
    <w:rsid w:val="00B72835"/>
    <w:rsid w:val="00B7295F"/>
    <w:rsid w:val="00B729AF"/>
    <w:rsid w:val="00B72ABA"/>
    <w:rsid w:val="00B72B08"/>
    <w:rsid w:val="00B72B09"/>
    <w:rsid w:val="00B72B0C"/>
    <w:rsid w:val="00B72B57"/>
    <w:rsid w:val="00B72CA1"/>
    <w:rsid w:val="00B72D68"/>
    <w:rsid w:val="00B72D9E"/>
    <w:rsid w:val="00B72E3A"/>
    <w:rsid w:val="00B72E58"/>
    <w:rsid w:val="00B730C3"/>
    <w:rsid w:val="00B730C8"/>
    <w:rsid w:val="00B7316F"/>
    <w:rsid w:val="00B731EF"/>
    <w:rsid w:val="00B732CE"/>
    <w:rsid w:val="00B7341F"/>
    <w:rsid w:val="00B73459"/>
    <w:rsid w:val="00B73476"/>
    <w:rsid w:val="00B7352B"/>
    <w:rsid w:val="00B7360D"/>
    <w:rsid w:val="00B7362F"/>
    <w:rsid w:val="00B73645"/>
    <w:rsid w:val="00B736B3"/>
    <w:rsid w:val="00B7377A"/>
    <w:rsid w:val="00B7379C"/>
    <w:rsid w:val="00B737B8"/>
    <w:rsid w:val="00B737C9"/>
    <w:rsid w:val="00B738A2"/>
    <w:rsid w:val="00B739DC"/>
    <w:rsid w:val="00B73A2C"/>
    <w:rsid w:val="00B73ABB"/>
    <w:rsid w:val="00B73AE0"/>
    <w:rsid w:val="00B73B31"/>
    <w:rsid w:val="00B73B8C"/>
    <w:rsid w:val="00B73BD7"/>
    <w:rsid w:val="00B73C20"/>
    <w:rsid w:val="00B73C91"/>
    <w:rsid w:val="00B73D2C"/>
    <w:rsid w:val="00B73D71"/>
    <w:rsid w:val="00B73DAD"/>
    <w:rsid w:val="00B73DF8"/>
    <w:rsid w:val="00B73E22"/>
    <w:rsid w:val="00B73E44"/>
    <w:rsid w:val="00B74143"/>
    <w:rsid w:val="00B741ED"/>
    <w:rsid w:val="00B74202"/>
    <w:rsid w:val="00B74210"/>
    <w:rsid w:val="00B742CF"/>
    <w:rsid w:val="00B744F3"/>
    <w:rsid w:val="00B745A3"/>
    <w:rsid w:val="00B74740"/>
    <w:rsid w:val="00B7481A"/>
    <w:rsid w:val="00B749B6"/>
    <w:rsid w:val="00B749DC"/>
    <w:rsid w:val="00B74C59"/>
    <w:rsid w:val="00B74C89"/>
    <w:rsid w:val="00B74E5B"/>
    <w:rsid w:val="00B74ED8"/>
    <w:rsid w:val="00B74EDE"/>
    <w:rsid w:val="00B74F32"/>
    <w:rsid w:val="00B74FB5"/>
    <w:rsid w:val="00B74FCD"/>
    <w:rsid w:val="00B74FE1"/>
    <w:rsid w:val="00B7509A"/>
    <w:rsid w:val="00B752B0"/>
    <w:rsid w:val="00B752F9"/>
    <w:rsid w:val="00B75366"/>
    <w:rsid w:val="00B75394"/>
    <w:rsid w:val="00B7539C"/>
    <w:rsid w:val="00B754BF"/>
    <w:rsid w:val="00B754D7"/>
    <w:rsid w:val="00B75543"/>
    <w:rsid w:val="00B755DB"/>
    <w:rsid w:val="00B7560B"/>
    <w:rsid w:val="00B7561A"/>
    <w:rsid w:val="00B7562F"/>
    <w:rsid w:val="00B7565F"/>
    <w:rsid w:val="00B7573F"/>
    <w:rsid w:val="00B7595F"/>
    <w:rsid w:val="00B759FB"/>
    <w:rsid w:val="00B75A2C"/>
    <w:rsid w:val="00B75ACE"/>
    <w:rsid w:val="00B75B37"/>
    <w:rsid w:val="00B75B45"/>
    <w:rsid w:val="00B75B47"/>
    <w:rsid w:val="00B75B98"/>
    <w:rsid w:val="00B75BE7"/>
    <w:rsid w:val="00B75C53"/>
    <w:rsid w:val="00B75D30"/>
    <w:rsid w:val="00B75D91"/>
    <w:rsid w:val="00B75DD7"/>
    <w:rsid w:val="00B75E3F"/>
    <w:rsid w:val="00B75FA1"/>
    <w:rsid w:val="00B76044"/>
    <w:rsid w:val="00B7613E"/>
    <w:rsid w:val="00B76163"/>
    <w:rsid w:val="00B761A4"/>
    <w:rsid w:val="00B7621D"/>
    <w:rsid w:val="00B76258"/>
    <w:rsid w:val="00B76261"/>
    <w:rsid w:val="00B76267"/>
    <w:rsid w:val="00B7627B"/>
    <w:rsid w:val="00B762DD"/>
    <w:rsid w:val="00B763CE"/>
    <w:rsid w:val="00B764EB"/>
    <w:rsid w:val="00B76633"/>
    <w:rsid w:val="00B76643"/>
    <w:rsid w:val="00B766C1"/>
    <w:rsid w:val="00B766DE"/>
    <w:rsid w:val="00B7677F"/>
    <w:rsid w:val="00B768BF"/>
    <w:rsid w:val="00B76942"/>
    <w:rsid w:val="00B76966"/>
    <w:rsid w:val="00B76A40"/>
    <w:rsid w:val="00B76A41"/>
    <w:rsid w:val="00B76AD1"/>
    <w:rsid w:val="00B76AFB"/>
    <w:rsid w:val="00B76B96"/>
    <w:rsid w:val="00B76C03"/>
    <w:rsid w:val="00B76C2A"/>
    <w:rsid w:val="00B76C3F"/>
    <w:rsid w:val="00B76CD6"/>
    <w:rsid w:val="00B76EE7"/>
    <w:rsid w:val="00B76EF1"/>
    <w:rsid w:val="00B76EF6"/>
    <w:rsid w:val="00B76EFB"/>
    <w:rsid w:val="00B7708C"/>
    <w:rsid w:val="00B77116"/>
    <w:rsid w:val="00B77129"/>
    <w:rsid w:val="00B77209"/>
    <w:rsid w:val="00B772CF"/>
    <w:rsid w:val="00B772EA"/>
    <w:rsid w:val="00B77315"/>
    <w:rsid w:val="00B77351"/>
    <w:rsid w:val="00B773D0"/>
    <w:rsid w:val="00B7756D"/>
    <w:rsid w:val="00B775A5"/>
    <w:rsid w:val="00B776A4"/>
    <w:rsid w:val="00B77711"/>
    <w:rsid w:val="00B7775E"/>
    <w:rsid w:val="00B777B9"/>
    <w:rsid w:val="00B77886"/>
    <w:rsid w:val="00B77891"/>
    <w:rsid w:val="00B77962"/>
    <w:rsid w:val="00B77964"/>
    <w:rsid w:val="00B779ED"/>
    <w:rsid w:val="00B77A5B"/>
    <w:rsid w:val="00B77AF3"/>
    <w:rsid w:val="00B77BBF"/>
    <w:rsid w:val="00B77BC4"/>
    <w:rsid w:val="00B77BE3"/>
    <w:rsid w:val="00B77C2D"/>
    <w:rsid w:val="00B77C37"/>
    <w:rsid w:val="00B77C63"/>
    <w:rsid w:val="00B77CF8"/>
    <w:rsid w:val="00B77EF3"/>
    <w:rsid w:val="00B77FBD"/>
    <w:rsid w:val="00B8007D"/>
    <w:rsid w:val="00B800B4"/>
    <w:rsid w:val="00B800E6"/>
    <w:rsid w:val="00B80151"/>
    <w:rsid w:val="00B8016F"/>
    <w:rsid w:val="00B801BB"/>
    <w:rsid w:val="00B802C2"/>
    <w:rsid w:val="00B802C9"/>
    <w:rsid w:val="00B802DF"/>
    <w:rsid w:val="00B802FC"/>
    <w:rsid w:val="00B80373"/>
    <w:rsid w:val="00B8038E"/>
    <w:rsid w:val="00B803DC"/>
    <w:rsid w:val="00B804AF"/>
    <w:rsid w:val="00B804B7"/>
    <w:rsid w:val="00B8051D"/>
    <w:rsid w:val="00B807A0"/>
    <w:rsid w:val="00B807BF"/>
    <w:rsid w:val="00B80899"/>
    <w:rsid w:val="00B808A6"/>
    <w:rsid w:val="00B8092F"/>
    <w:rsid w:val="00B809B1"/>
    <w:rsid w:val="00B809C4"/>
    <w:rsid w:val="00B809DF"/>
    <w:rsid w:val="00B80A00"/>
    <w:rsid w:val="00B80AC3"/>
    <w:rsid w:val="00B80BAC"/>
    <w:rsid w:val="00B80C1B"/>
    <w:rsid w:val="00B80CBC"/>
    <w:rsid w:val="00B80CDA"/>
    <w:rsid w:val="00B80CF6"/>
    <w:rsid w:val="00B80D68"/>
    <w:rsid w:val="00B80D74"/>
    <w:rsid w:val="00B80D94"/>
    <w:rsid w:val="00B80DE5"/>
    <w:rsid w:val="00B80F75"/>
    <w:rsid w:val="00B8100A"/>
    <w:rsid w:val="00B81047"/>
    <w:rsid w:val="00B81059"/>
    <w:rsid w:val="00B8109C"/>
    <w:rsid w:val="00B81130"/>
    <w:rsid w:val="00B81361"/>
    <w:rsid w:val="00B815C1"/>
    <w:rsid w:val="00B815C5"/>
    <w:rsid w:val="00B81654"/>
    <w:rsid w:val="00B816AA"/>
    <w:rsid w:val="00B816CA"/>
    <w:rsid w:val="00B8172A"/>
    <w:rsid w:val="00B8186E"/>
    <w:rsid w:val="00B81903"/>
    <w:rsid w:val="00B81950"/>
    <w:rsid w:val="00B81B86"/>
    <w:rsid w:val="00B81C08"/>
    <w:rsid w:val="00B81C54"/>
    <w:rsid w:val="00B81CA2"/>
    <w:rsid w:val="00B81CC2"/>
    <w:rsid w:val="00B81DCB"/>
    <w:rsid w:val="00B81E88"/>
    <w:rsid w:val="00B81F15"/>
    <w:rsid w:val="00B81F2B"/>
    <w:rsid w:val="00B81FD8"/>
    <w:rsid w:val="00B81FF7"/>
    <w:rsid w:val="00B8202D"/>
    <w:rsid w:val="00B820CB"/>
    <w:rsid w:val="00B82109"/>
    <w:rsid w:val="00B821AE"/>
    <w:rsid w:val="00B821EC"/>
    <w:rsid w:val="00B821FD"/>
    <w:rsid w:val="00B82213"/>
    <w:rsid w:val="00B82288"/>
    <w:rsid w:val="00B822F3"/>
    <w:rsid w:val="00B82365"/>
    <w:rsid w:val="00B82543"/>
    <w:rsid w:val="00B825B2"/>
    <w:rsid w:val="00B825B9"/>
    <w:rsid w:val="00B826A2"/>
    <w:rsid w:val="00B826AC"/>
    <w:rsid w:val="00B826E1"/>
    <w:rsid w:val="00B826E9"/>
    <w:rsid w:val="00B8271F"/>
    <w:rsid w:val="00B8272E"/>
    <w:rsid w:val="00B82746"/>
    <w:rsid w:val="00B8277C"/>
    <w:rsid w:val="00B828B5"/>
    <w:rsid w:val="00B828DA"/>
    <w:rsid w:val="00B82998"/>
    <w:rsid w:val="00B829C3"/>
    <w:rsid w:val="00B829CB"/>
    <w:rsid w:val="00B82A0F"/>
    <w:rsid w:val="00B82A4A"/>
    <w:rsid w:val="00B82BDF"/>
    <w:rsid w:val="00B82C11"/>
    <w:rsid w:val="00B82CC8"/>
    <w:rsid w:val="00B82D71"/>
    <w:rsid w:val="00B82D7B"/>
    <w:rsid w:val="00B82D86"/>
    <w:rsid w:val="00B82D94"/>
    <w:rsid w:val="00B82DAD"/>
    <w:rsid w:val="00B82DB8"/>
    <w:rsid w:val="00B82E01"/>
    <w:rsid w:val="00B82EAC"/>
    <w:rsid w:val="00B82F9F"/>
    <w:rsid w:val="00B82FF2"/>
    <w:rsid w:val="00B82FF6"/>
    <w:rsid w:val="00B83086"/>
    <w:rsid w:val="00B830DC"/>
    <w:rsid w:val="00B8310D"/>
    <w:rsid w:val="00B8318E"/>
    <w:rsid w:val="00B83246"/>
    <w:rsid w:val="00B83248"/>
    <w:rsid w:val="00B832C0"/>
    <w:rsid w:val="00B832C8"/>
    <w:rsid w:val="00B83302"/>
    <w:rsid w:val="00B83455"/>
    <w:rsid w:val="00B83460"/>
    <w:rsid w:val="00B834B0"/>
    <w:rsid w:val="00B834C5"/>
    <w:rsid w:val="00B8367E"/>
    <w:rsid w:val="00B836C6"/>
    <w:rsid w:val="00B837F6"/>
    <w:rsid w:val="00B838AE"/>
    <w:rsid w:val="00B839C8"/>
    <w:rsid w:val="00B83A97"/>
    <w:rsid w:val="00B83B44"/>
    <w:rsid w:val="00B83C49"/>
    <w:rsid w:val="00B83C5B"/>
    <w:rsid w:val="00B83C77"/>
    <w:rsid w:val="00B83D42"/>
    <w:rsid w:val="00B83D90"/>
    <w:rsid w:val="00B83DAE"/>
    <w:rsid w:val="00B83DC9"/>
    <w:rsid w:val="00B83E5A"/>
    <w:rsid w:val="00B83EC8"/>
    <w:rsid w:val="00B83F30"/>
    <w:rsid w:val="00B83FEB"/>
    <w:rsid w:val="00B83FF3"/>
    <w:rsid w:val="00B840E7"/>
    <w:rsid w:val="00B84114"/>
    <w:rsid w:val="00B84154"/>
    <w:rsid w:val="00B84179"/>
    <w:rsid w:val="00B842A5"/>
    <w:rsid w:val="00B842BD"/>
    <w:rsid w:val="00B842EA"/>
    <w:rsid w:val="00B842F4"/>
    <w:rsid w:val="00B84397"/>
    <w:rsid w:val="00B843EE"/>
    <w:rsid w:val="00B84478"/>
    <w:rsid w:val="00B844F6"/>
    <w:rsid w:val="00B84567"/>
    <w:rsid w:val="00B8457C"/>
    <w:rsid w:val="00B846F9"/>
    <w:rsid w:val="00B84866"/>
    <w:rsid w:val="00B848AE"/>
    <w:rsid w:val="00B84986"/>
    <w:rsid w:val="00B849B6"/>
    <w:rsid w:val="00B849C6"/>
    <w:rsid w:val="00B84B7C"/>
    <w:rsid w:val="00B84B93"/>
    <w:rsid w:val="00B84BBE"/>
    <w:rsid w:val="00B84C7C"/>
    <w:rsid w:val="00B84C83"/>
    <w:rsid w:val="00B84CD5"/>
    <w:rsid w:val="00B84D8B"/>
    <w:rsid w:val="00B84EFF"/>
    <w:rsid w:val="00B84FB1"/>
    <w:rsid w:val="00B84FB4"/>
    <w:rsid w:val="00B84FC4"/>
    <w:rsid w:val="00B850CA"/>
    <w:rsid w:val="00B85139"/>
    <w:rsid w:val="00B8516B"/>
    <w:rsid w:val="00B851AD"/>
    <w:rsid w:val="00B85242"/>
    <w:rsid w:val="00B85258"/>
    <w:rsid w:val="00B853C6"/>
    <w:rsid w:val="00B853FA"/>
    <w:rsid w:val="00B854A9"/>
    <w:rsid w:val="00B854C2"/>
    <w:rsid w:val="00B855B0"/>
    <w:rsid w:val="00B855B1"/>
    <w:rsid w:val="00B85655"/>
    <w:rsid w:val="00B85673"/>
    <w:rsid w:val="00B85765"/>
    <w:rsid w:val="00B857BF"/>
    <w:rsid w:val="00B85860"/>
    <w:rsid w:val="00B858DD"/>
    <w:rsid w:val="00B85928"/>
    <w:rsid w:val="00B85AEF"/>
    <w:rsid w:val="00B85BF2"/>
    <w:rsid w:val="00B85C34"/>
    <w:rsid w:val="00B85C8D"/>
    <w:rsid w:val="00B85C8F"/>
    <w:rsid w:val="00B85CBF"/>
    <w:rsid w:val="00B85CF8"/>
    <w:rsid w:val="00B85D27"/>
    <w:rsid w:val="00B85DCE"/>
    <w:rsid w:val="00B85E43"/>
    <w:rsid w:val="00B85EAE"/>
    <w:rsid w:val="00B85EFF"/>
    <w:rsid w:val="00B85F4C"/>
    <w:rsid w:val="00B86079"/>
    <w:rsid w:val="00B86166"/>
    <w:rsid w:val="00B861A3"/>
    <w:rsid w:val="00B861D6"/>
    <w:rsid w:val="00B862A4"/>
    <w:rsid w:val="00B8632C"/>
    <w:rsid w:val="00B864DB"/>
    <w:rsid w:val="00B864F8"/>
    <w:rsid w:val="00B8650C"/>
    <w:rsid w:val="00B86537"/>
    <w:rsid w:val="00B8659F"/>
    <w:rsid w:val="00B865AC"/>
    <w:rsid w:val="00B866F4"/>
    <w:rsid w:val="00B866FF"/>
    <w:rsid w:val="00B867BC"/>
    <w:rsid w:val="00B86817"/>
    <w:rsid w:val="00B8687F"/>
    <w:rsid w:val="00B868BE"/>
    <w:rsid w:val="00B86A5C"/>
    <w:rsid w:val="00B86A93"/>
    <w:rsid w:val="00B86C78"/>
    <w:rsid w:val="00B86D0E"/>
    <w:rsid w:val="00B86E5C"/>
    <w:rsid w:val="00B86E69"/>
    <w:rsid w:val="00B870D7"/>
    <w:rsid w:val="00B870E6"/>
    <w:rsid w:val="00B8711F"/>
    <w:rsid w:val="00B87240"/>
    <w:rsid w:val="00B872A9"/>
    <w:rsid w:val="00B872FB"/>
    <w:rsid w:val="00B8732C"/>
    <w:rsid w:val="00B8733C"/>
    <w:rsid w:val="00B8750A"/>
    <w:rsid w:val="00B8756E"/>
    <w:rsid w:val="00B875A4"/>
    <w:rsid w:val="00B8775A"/>
    <w:rsid w:val="00B87762"/>
    <w:rsid w:val="00B8778C"/>
    <w:rsid w:val="00B877F6"/>
    <w:rsid w:val="00B87864"/>
    <w:rsid w:val="00B878E2"/>
    <w:rsid w:val="00B879E4"/>
    <w:rsid w:val="00B87A38"/>
    <w:rsid w:val="00B87A74"/>
    <w:rsid w:val="00B87AB0"/>
    <w:rsid w:val="00B87ADE"/>
    <w:rsid w:val="00B87B6C"/>
    <w:rsid w:val="00B87C00"/>
    <w:rsid w:val="00B87C83"/>
    <w:rsid w:val="00B87CB1"/>
    <w:rsid w:val="00B87CD5"/>
    <w:rsid w:val="00B87D05"/>
    <w:rsid w:val="00B87D71"/>
    <w:rsid w:val="00B87DF9"/>
    <w:rsid w:val="00B87E03"/>
    <w:rsid w:val="00B87EDB"/>
    <w:rsid w:val="00B87F29"/>
    <w:rsid w:val="00B90018"/>
    <w:rsid w:val="00B900B2"/>
    <w:rsid w:val="00B900BC"/>
    <w:rsid w:val="00B9011E"/>
    <w:rsid w:val="00B9012E"/>
    <w:rsid w:val="00B9026C"/>
    <w:rsid w:val="00B903F9"/>
    <w:rsid w:val="00B90516"/>
    <w:rsid w:val="00B90595"/>
    <w:rsid w:val="00B905AD"/>
    <w:rsid w:val="00B905FE"/>
    <w:rsid w:val="00B906AD"/>
    <w:rsid w:val="00B906C3"/>
    <w:rsid w:val="00B90785"/>
    <w:rsid w:val="00B90834"/>
    <w:rsid w:val="00B908A3"/>
    <w:rsid w:val="00B9091C"/>
    <w:rsid w:val="00B909C8"/>
    <w:rsid w:val="00B90A17"/>
    <w:rsid w:val="00B90A2E"/>
    <w:rsid w:val="00B90A4D"/>
    <w:rsid w:val="00B90C51"/>
    <w:rsid w:val="00B90CB7"/>
    <w:rsid w:val="00B90DBD"/>
    <w:rsid w:val="00B90E61"/>
    <w:rsid w:val="00B90FE6"/>
    <w:rsid w:val="00B91027"/>
    <w:rsid w:val="00B910A9"/>
    <w:rsid w:val="00B9114F"/>
    <w:rsid w:val="00B9120A"/>
    <w:rsid w:val="00B91286"/>
    <w:rsid w:val="00B912F5"/>
    <w:rsid w:val="00B9133E"/>
    <w:rsid w:val="00B91359"/>
    <w:rsid w:val="00B914C4"/>
    <w:rsid w:val="00B914D3"/>
    <w:rsid w:val="00B915FF"/>
    <w:rsid w:val="00B91629"/>
    <w:rsid w:val="00B917A2"/>
    <w:rsid w:val="00B91900"/>
    <w:rsid w:val="00B91951"/>
    <w:rsid w:val="00B919AF"/>
    <w:rsid w:val="00B91A16"/>
    <w:rsid w:val="00B91A58"/>
    <w:rsid w:val="00B91AC0"/>
    <w:rsid w:val="00B91AF7"/>
    <w:rsid w:val="00B91B7B"/>
    <w:rsid w:val="00B91BE5"/>
    <w:rsid w:val="00B91C00"/>
    <w:rsid w:val="00B91E40"/>
    <w:rsid w:val="00B91E96"/>
    <w:rsid w:val="00B91EAD"/>
    <w:rsid w:val="00B91ED1"/>
    <w:rsid w:val="00B91FD8"/>
    <w:rsid w:val="00B920B9"/>
    <w:rsid w:val="00B92485"/>
    <w:rsid w:val="00B92528"/>
    <w:rsid w:val="00B92582"/>
    <w:rsid w:val="00B925AD"/>
    <w:rsid w:val="00B92633"/>
    <w:rsid w:val="00B9265E"/>
    <w:rsid w:val="00B926C8"/>
    <w:rsid w:val="00B927FF"/>
    <w:rsid w:val="00B9295E"/>
    <w:rsid w:val="00B929FC"/>
    <w:rsid w:val="00B92A3D"/>
    <w:rsid w:val="00B92A61"/>
    <w:rsid w:val="00B92A98"/>
    <w:rsid w:val="00B92AE8"/>
    <w:rsid w:val="00B92AF0"/>
    <w:rsid w:val="00B92B62"/>
    <w:rsid w:val="00B92BA1"/>
    <w:rsid w:val="00B92C3E"/>
    <w:rsid w:val="00B92D23"/>
    <w:rsid w:val="00B92D67"/>
    <w:rsid w:val="00B92DA7"/>
    <w:rsid w:val="00B92F62"/>
    <w:rsid w:val="00B92FAA"/>
    <w:rsid w:val="00B9309E"/>
    <w:rsid w:val="00B930A1"/>
    <w:rsid w:val="00B930D2"/>
    <w:rsid w:val="00B9313C"/>
    <w:rsid w:val="00B93159"/>
    <w:rsid w:val="00B9319B"/>
    <w:rsid w:val="00B93249"/>
    <w:rsid w:val="00B93302"/>
    <w:rsid w:val="00B9332E"/>
    <w:rsid w:val="00B93330"/>
    <w:rsid w:val="00B933BB"/>
    <w:rsid w:val="00B933FE"/>
    <w:rsid w:val="00B93515"/>
    <w:rsid w:val="00B935D5"/>
    <w:rsid w:val="00B935D8"/>
    <w:rsid w:val="00B9363E"/>
    <w:rsid w:val="00B9365D"/>
    <w:rsid w:val="00B9372E"/>
    <w:rsid w:val="00B937CD"/>
    <w:rsid w:val="00B9384B"/>
    <w:rsid w:val="00B938BC"/>
    <w:rsid w:val="00B93997"/>
    <w:rsid w:val="00B93A1D"/>
    <w:rsid w:val="00B93AAB"/>
    <w:rsid w:val="00B93ACA"/>
    <w:rsid w:val="00B93B21"/>
    <w:rsid w:val="00B93C3C"/>
    <w:rsid w:val="00B93C77"/>
    <w:rsid w:val="00B93C98"/>
    <w:rsid w:val="00B93CD3"/>
    <w:rsid w:val="00B93D7E"/>
    <w:rsid w:val="00B93D8B"/>
    <w:rsid w:val="00B93DBF"/>
    <w:rsid w:val="00B93DCD"/>
    <w:rsid w:val="00B93E2D"/>
    <w:rsid w:val="00B93E37"/>
    <w:rsid w:val="00B93EE0"/>
    <w:rsid w:val="00B93FB8"/>
    <w:rsid w:val="00B93FEE"/>
    <w:rsid w:val="00B9409E"/>
    <w:rsid w:val="00B94159"/>
    <w:rsid w:val="00B941CF"/>
    <w:rsid w:val="00B942DB"/>
    <w:rsid w:val="00B94340"/>
    <w:rsid w:val="00B9436B"/>
    <w:rsid w:val="00B943AB"/>
    <w:rsid w:val="00B943EC"/>
    <w:rsid w:val="00B94421"/>
    <w:rsid w:val="00B944C5"/>
    <w:rsid w:val="00B94603"/>
    <w:rsid w:val="00B9463C"/>
    <w:rsid w:val="00B94665"/>
    <w:rsid w:val="00B9477E"/>
    <w:rsid w:val="00B9491F"/>
    <w:rsid w:val="00B94A85"/>
    <w:rsid w:val="00B94C20"/>
    <w:rsid w:val="00B94C61"/>
    <w:rsid w:val="00B94C6A"/>
    <w:rsid w:val="00B94C6D"/>
    <w:rsid w:val="00B94D00"/>
    <w:rsid w:val="00B94D13"/>
    <w:rsid w:val="00B94E1E"/>
    <w:rsid w:val="00B94E38"/>
    <w:rsid w:val="00B94ECC"/>
    <w:rsid w:val="00B94EEA"/>
    <w:rsid w:val="00B94F3E"/>
    <w:rsid w:val="00B94F4C"/>
    <w:rsid w:val="00B95025"/>
    <w:rsid w:val="00B95027"/>
    <w:rsid w:val="00B950C9"/>
    <w:rsid w:val="00B9510C"/>
    <w:rsid w:val="00B951E2"/>
    <w:rsid w:val="00B951F0"/>
    <w:rsid w:val="00B95233"/>
    <w:rsid w:val="00B95240"/>
    <w:rsid w:val="00B95384"/>
    <w:rsid w:val="00B953E5"/>
    <w:rsid w:val="00B95415"/>
    <w:rsid w:val="00B95419"/>
    <w:rsid w:val="00B9542D"/>
    <w:rsid w:val="00B954F4"/>
    <w:rsid w:val="00B955D9"/>
    <w:rsid w:val="00B95649"/>
    <w:rsid w:val="00B956D3"/>
    <w:rsid w:val="00B956EC"/>
    <w:rsid w:val="00B95705"/>
    <w:rsid w:val="00B9575D"/>
    <w:rsid w:val="00B958F6"/>
    <w:rsid w:val="00B95922"/>
    <w:rsid w:val="00B95A29"/>
    <w:rsid w:val="00B95A5B"/>
    <w:rsid w:val="00B95A64"/>
    <w:rsid w:val="00B95AC8"/>
    <w:rsid w:val="00B95B55"/>
    <w:rsid w:val="00B95BA3"/>
    <w:rsid w:val="00B95D17"/>
    <w:rsid w:val="00B95DA0"/>
    <w:rsid w:val="00B95EDE"/>
    <w:rsid w:val="00B95F26"/>
    <w:rsid w:val="00B95F43"/>
    <w:rsid w:val="00B95FB4"/>
    <w:rsid w:val="00B960E3"/>
    <w:rsid w:val="00B9615B"/>
    <w:rsid w:val="00B962BD"/>
    <w:rsid w:val="00B962D7"/>
    <w:rsid w:val="00B9648C"/>
    <w:rsid w:val="00B9654B"/>
    <w:rsid w:val="00B96572"/>
    <w:rsid w:val="00B965E0"/>
    <w:rsid w:val="00B966D8"/>
    <w:rsid w:val="00B96719"/>
    <w:rsid w:val="00B96724"/>
    <w:rsid w:val="00B968FD"/>
    <w:rsid w:val="00B96911"/>
    <w:rsid w:val="00B9693E"/>
    <w:rsid w:val="00B969AB"/>
    <w:rsid w:val="00B96A8F"/>
    <w:rsid w:val="00B96B7A"/>
    <w:rsid w:val="00B96C6E"/>
    <w:rsid w:val="00B96CAC"/>
    <w:rsid w:val="00B96D3A"/>
    <w:rsid w:val="00B96D3F"/>
    <w:rsid w:val="00B96E42"/>
    <w:rsid w:val="00B96EA7"/>
    <w:rsid w:val="00B96EF0"/>
    <w:rsid w:val="00B96F5C"/>
    <w:rsid w:val="00B96F6F"/>
    <w:rsid w:val="00B96FAD"/>
    <w:rsid w:val="00B96FD8"/>
    <w:rsid w:val="00B9712E"/>
    <w:rsid w:val="00B9718E"/>
    <w:rsid w:val="00B97210"/>
    <w:rsid w:val="00B9723A"/>
    <w:rsid w:val="00B973B3"/>
    <w:rsid w:val="00B973D7"/>
    <w:rsid w:val="00B974F3"/>
    <w:rsid w:val="00B97586"/>
    <w:rsid w:val="00B97590"/>
    <w:rsid w:val="00B975CA"/>
    <w:rsid w:val="00B97603"/>
    <w:rsid w:val="00B9764B"/>
    <w:rsid w:val="00B97679"/>
    <w:rsid w:val="00B9767A"/>
    <w:rsid w:val="00B9767E"/>
    <w:rsid w:val="00B97682"/>
    <w:rsid w:val="00B976BB"/>
    <w:rsid w:val="00B97709"/>
    <w:rsid w:val="00B9792C"/>
    <w:rsid w:val="00B9795F"/>
    <w:rsid w:val="00B97980"/>
    <w:rsid w:val="00B979AB"/>
    <w:rsid w:val="00B979DA"/>
    <w:rsid w:val="00B979DF"/>
    <w:rsid w:val="00B97A01"/>
    <w:rsid w:val="00B97A25"/>
    <w:rsid w:val="00B97B6F"/>
    <w:rsid w:val="00B97BF2"/>
    <w:rsid w:val="00B97C86"/>
    <w:rsid w:val="00B97D0A"/>
    <w:rsid w:val="00B97D39"/>
    <w:rsid w:val="00B97DCA"/>
    <w:rsid w:val="00B97DF2"/>
    <w:rsid w:val="00B97E1A"/>
    <w:rsid w:val="00B97E4B"/>
    <w:rsid w:val="00B97E6F"/>
    <w:rsid w:val="00B97E88"/>
    <w:rsid w:val="00B97EBB"/>
    <w:rsid w:val="00BA0004"/>
    <w:rsid w:val="00BA016B"/>
    <w:rsid w:val="00BA01A7"/>
    <w:rsid w:val="00BA01D4"/>
    <w:rsid w:val="00BA01E8"/>
    <w:rsid w:val="00BA0224"/>
    <w:rsid w:val="00BA0287"/>
    <w:rsid w:val="00BA0291"/>
    <w:rsid w:val="00BA02FC"/>
    <w:rsid w:val="00BA0344"/>
    <w:rsid w:val="00BA03A8"/>
    <w:rsid w:val="00BA0435"/>
    <w:rsid w:val="00BA04BA"/>
    <w:rsid w:val="00BA04DB"/>
    <w:rsid w:val="00BA04DF"/>
    <w:rsid w:val="00BA05C8"/>
    <w:rsid w:val="00BA0681"/>
    <w:rsid w:val="00BA06ED"/>
    <w:rsid w:val="00BA07BB"/>
    <w:rsid w:val="00BA0836"/>
    <w:rsid w:val="00BA095D"/>
    <w:rsid w:val="00BA0995"/>
    <w:rsid w:val="00BA09AA"/>
    <w:rsid w:val="00BA09E2"/>
    <w:rsid w:val="00BA0AD5"/>
    <w:rsid w:val="00BA0ADC"/>
    <w:rsid w:val="00BA0B1B"/>
    <w:rsid w:val="00BA0B5A"/>
    <w:rsid w:val="00BA0B70"/>
    <w:rsid w:val="00BA0BEC"/>
    <w:rsid w:val="00BA0C4B"/>
    <w:rsid w:val="00BA0C72"/>
    <w:rsid w:val="00BA0CA0"/>
    <w:rsid w:val="00BA0D1C"/>
    <w:rsid w:val="00BA0D37"/>
    <w:rsid w:val="00BA0D8B"/>
    <w:rsid w:val="00BA0D8C"/>
    <w:rsid w:val="00BA0DC6"/>
    <w:rsid w:val="00BA0E0A"/>
    <w:rsid w:val="00BA0E3C"/>
    <w:rsid w:val="00BA0F9C"/>
    <w:rsid w:val="00BA10B8"/>
    <w:rsid w:val="00BA10E9"/>
    <w:rsid w:val="00BA1158"/>
    <w:rsid w:val="00BA1219"/>
    <w:rsid w:val="00BA1224"/>
    <w:rsid w:val="00BA123C"/>
    <w:rsid w:val="00BA13E6"/>
    <w:rsid w:val="00BA1436"/>
    <w:rsid w:val="00BA143D"/>
    <w:rsid w:val="00BA14B0"/>
    <w:rsid w:val="00BA14C0"/>
    <w:rsid w:val="00BA1514"/>
    <w:rsid w:val="00BA15BF"/>
    <w:rsid w:val="00BA165F"/>
    <w:rsid w:val="00BA166B"/>
    <w:rsid w:val="00BA1840"/>
    <w:rsid w:val="00BA18F3"/>
    <w:rsid w:val="00BA192F"/>
    <w:rsid w:val="00BA19C2"/>
    <w:rsid w:val="00BA19FF"/>
    <w:rsid w:val="00BA1A46"/>
    <w:rsid w:val="00BA1AFF"/>
    <w:rsid w:val="00BA1B99"/>
    <w:rsid w:val="00BA1C14"/>
    <w:rsid w:val="00BA1C2E"/>
    <w:rsid w:val="00BA1C85"/>
    <w:rsid w:val="00BA1D19"/>
    <w:rsid w:val="00BA1E18"/>
    <w:rsid w:val="00BA1EBD"/>
    <w:rsid w:val="00BA1F03"/>
    <w:rsid w:val="00BA1F14"/>
    <w:rsid w:val="00BA1F68"/>
    <w:rsid w:val="00BA1F74"/>
    <w:rsid w:val="00BA1FC5"/>
    <w:rsid w:val="00BA1FDB"/>
    <w:rsid w:val="00BA1FE7"/>
    <w:rsid w:val="00BA208C"/>
    <w:rsid w:val="00BA209D"/>
    <w:rsid w:val="00BA2139"/>
    <w:rsid w:val="00BA2170"/>
    <w:rsid w:val="00BA21B2"/>
    <w:rsid w:val="00BA22DC"/>
    <w:rsid w:val="00BA22E2"/>
    <w:rsid w:val="00BA23A8"/>
    <w:rsid w:val="00BA252D"/>
    <w:rsid w:val="00BA25A1"/>
    <w:rsid w:val="00BA26C8"/>
    <w:rsid w:val="00BA26FE"/>
    <w:rsid w:val="00BA27A2"/>
    <w:rsid w:val="00BA27DC"/>
    <w:rsid w:val="00BA28FA"/>
    <w:rsid w:val="00BA293F"/>
    <w:rsid w:val="00BA2953"/>
    <w:rsid w:val="00BA295B"/>
    <w:rsid w:val="00BA2975"/>
    <w:rsid w:val="00BA29AE"/>
    <w:rsid w:val="00BA2B0B"/>
    <w:rsid w:val="00BA2B0D"/>
    <w:rsid w:val="00BA2B1D"/>
    <w:rsid w:val="00BA2B5F"/>
    <w:rsid w:val="00BA2C40"/>
    <w:rsid w:val="00BA2CA7"/>
    <w:rsid w:val="00BA2EBB"/>
    <w:rsid w:val="00BA2F20"/>
    <w:rsid w:val="00BA2F23"/>
    <w:rsid w:val="00BA2FBB"/>
    <w:rsid w:val="00BA2FC4"/>
    <w:rsid w:val="00BA3005"/>
    <w:rsid w:val="00BA304A"/>
    <w:rsid w:val="00BA30BB"/>
    <w:rsid w:val="00BA30C5"/>
    <w:rsid w:val="00BA326C"/>
    <w:rsid w:val="00BA32C9"/>
    <w:rsid w:val="00BA32F7"/>
    <w:rsid w:val="00BA335E"/>
    <w:rsid w:val="00BA336A"/>
    <w:rsid w:val="00BA336F"/>
    <w:rsid w:val="00BA339A"/>
    <w:rsid w:val="00BA3479"/>
    <w:rsid w:val="00BA34B5"/>
    <w:rsid w:val="00BA3605"/>
    <w:rsid w:val="00BA3620"/>
    <w:rsid w:val="00BA36C7"/>
    <w:rsid w:val="00BA3720"/>
    <w:rsid w:val="00BA3726"/>
    <w:rsid w:val="00BA3736"/>
    <w:rsid w:val="00BA38E1"/>
    <w:rsid w:val="00BA3910"/>
    <w:rsid w:val="00BA39EF"/>
    <w:rsid w:val="00BA3A2A"/>
    <w:rsid w:val="00BA3A48"/>
    <w:rsid w:val="00BA3AD9"/>
    <w:rsid w:val="00BA3C2B"/>
    <w:rsid w:val="00BA3C41"/>
    <w:rsid w:val="00BA3D14"/>
    <w:rsid w:val="00BA3D63"/>
    <w:rsid w:val="00BA3D8E"/>
    <w:rsid w:val="00BA3EC5"/>
    <w:rsid w:val="00BA3F27"/>
    <w:rsid w:val="00BA3F2A"/>
    <w:rsid w:val="00BA3F7F"/>
    <w:rsid w:val="00BA4049"/>
    <w:rsid w:val="00BA40B6"/>
    <w:rsid w:val="00BA40FF"/>
    <w:rsid w:val="00BA435A"/>
    <w:rsid w:val="00BA4367"/>
    <w:rsid w:val="00BA43E1"/>
    <w:rsid w:val="00BA44C0"/>
    <w:rsid w:val="00BA4503"/>
    <w:rsid w:val="00BA460D"/>
    <w:rsid w:val="00BA461D"/>
    <w:rsid w:val="00BA46FB"/>
    <w:rsid w:val="00BA470F"/>
    <w:rsid w:val="00BA479A"/>
    <w:rsid w:val="00BA487A"/>
    <w:rsid w:val="00BA48AC"/>
    <w:rsid w:val="00BA4932"/>
    <w:rsid w:val="00BA4A66"/>
    <w:rsid w:val="00BA4AC7"/>
    <w:rsid w:val="00BA4B38"/>
    <w:rsid w:val="00BA4BD4"/>
    <w:rsid w:val="00BA4C68"/>
    <w:rsid w:val="00BA4D27"/>
    <w:rsid w:val="00BA4D7F"/>
    <w:rsid w:val="00BA4FBE"/>
    <w:rsid w:val="00BA4FD6"/>
    <w:rsid w:val="00BA5024"/>
    <w:rsid w:val="00BA502D"/>
    <w:rsid w:val="00BA517F"/>
    <w:rsid w:val="00BA5217"/>
    <w:rsid w:val="00BA52BA"/>
    <w:rsid w:val="00BA52DE"/>
    <w:rsid w:val="00BA5447"/>
    <w:rsid w:val="00BA5489"/>
    <w:rsid w:val="00BA548B"/>
    <w:rsid w:val="00BA54BA"/>
    <w:rsid w:val="00BA54E6"/>
    <w:rsid w:val="00BA554F"/>
    <w:rsid w:val="00BA55FE"/>
    <w:rsid w:val="00BA5603"/>
    <w:rsid w:val="00BA56D9"/>
    <w:rsid w:val="00BA576A"/>
    <w:rsid w:val="00BA57A5"/>
    <w:rsid w:val="00BA5801"/>
    <w:rsid w:val="00BA58AD"/>
    <w:rsid w:val="00BA591A"/>
    <w:rsid w:val="00BA599D"/>
    <w:rsid w:val="00BA5A4C"/>
    <w:rsid w:val="00BA5B16"/>
    <w:rsid w:val="00BA5C71"/>
    <w:rsid w:val="00BA5E15"/>
    <w:rsid w:val="00BA5E42"/>
    <w:rsid w:val="00BA5EA6"/>
    <w:rsid w:val="00BA5ED8"/>
    <w:rsid w:val="00BA5FF5"/>
    <w:rsid w:val="00BA6194"/>
    <w:rsid w:val="00BA61E4"/>
    <w:rsid w:val="00BA6254"/>
    <w:rsid w:val="00BA62C5"/>
    <w:rsid w:val="00BA64E1"/>
    <w:rsid w:val="00BA6523"/>
    <w:rsid w:val="00BA660B"/>
    <w:rsid w:val="00BA670C"/>
    <w:rsid w:val="00BA6747"/>
    <w:rsid w:val="00BA67C3"/>
    <w:rsid w:val="00BA67FB"/>
    <w:rsid w:val="00BA68C2"/>
    <w:rsid w:val="00BA68F5"/>
    <w:rsid w:val="00BA690E"/>
    <w:rsid w:val="00BA6962"/>
    <w:rsid w:val="00BA6964"/>
    <w:rsid w:val="00BA69DD"/>
    <w:rsid w:val="00BA69FD"/>
    <w:rsid w:val="00BA6A65"/>
    <w:rsid w:val="00BA6AAD"/>
    <w:rsid w:val="00BA6B6A"/>
    <w:rsid w:val="00BA6C6F"/>
    <w:rsid w:val="00BA6CC4"/>
    <w:rsid w:val="00BA6CC8"/>
    <w:rsid w:val="00BA6D3F"/>
    <w:rsid w:val="00BA6D53"/>
    <w:rsid w:val="00BA6E16"/>
    <w:rsid w:val="00BA6E26"/>
    <w:rsid w:val="00BA6F69"/>
    <w:rsid w:val="00BA709C"/>
    <w:rsid w:val="00BA70E0"/>
    <w:rsid w:val="00BA715B"/>
    <w:rsid w:val="00BA7202"/>
    <w:rsid w:val="00BA7271"/>
    <w:rsid w:val="00BA72B7"/>
    <w:rsid w:val="00BA731E"/>
    <w:rsid w:val="00BA74A3"/>
    <w:rsid w:val="00BA74A6"/>
    <w:rsid w:val="00BA767F"/>
    <w:rsid w:val="00BA76C3"/>
    <w:rsid w:val="00BA77A4"/>
    <w:rsid w:val="00BA77B9"/>
    <w:rsid w:val="00BA77C5"/>
    <w:rsid w:val="00BA7802"/>
    <w:rsid w:val="00BA7B2B"/>
    <w:rsid w:val="00BA7B5A"/>
    <w:rsid w:val="00BA7B63"/>
    <w:rsid w:val="00BA7B79"/>
    <w:rsid w:val="00BA7C62"/>
    <w:rsid w:val="00BA7C71"/>
    <w:rsid w:val="00BA7CAD"/>
    <w:rsid w:val="00BA7D56"/>
    <w:rsid w:val="00BA7DCB"/>
    <w:rsid w:val="00BA7DD7"/>
    <w:rsid w:val="00BA7E06"/>
    <w:rsid w:val="00BA7E14"/>
    <w:rsid w:val="00BA7E66"/>
    <w:rsid w:val="00BA7ED6"/>
    <w:rsid w:val="00BA7EEE"/>
    <w:rsid w:val="00BA7F19"/>
    <w:rsid w:val="00BB0045"/>
    <w:rsid w:val="00BB0146"/>
    <w:rsid w:val="00BB01D8"/>
    <w:rsid w:val="00BB0200"/>
    <w:rsid w:val="00BB0219"/>
    <w:rsid w:val="00BB0220"/>
    <w:rsid w:val="00BB024A"/>
    <w:rsid w:val="00BB0252"/>
    <w:rsid w:val="00BB02AE"/>
    <w:rsid w:val="00BB0370"/>
    <w:rsid w:val="00BB0391"/>
    <w:rsid w:val="00BB03DE"/>
    <w:rsid w:val="00BB048C"/>
    <w:rsid w:val="00BB05F0"/>
    <w:rsid w:val="00BB0610"/>
    <w:rsid w:val="00BB067E"/>
    <w:rsid w:val="00BB06D2"/>
    <w:rsid w:val="00BB06EC"/>
    <w:rsid w:val="00BB076E"/>
    <w:rsid w:val="00BB0772"/>
    <w:rsid w:val="00BB07CA"/>
    <w:rsid w:val="00BB0803"/>
    <w:rsid w:val="00BB080D"/>
    <w:rsid w:val="00BB0865"/>
    <w:rsid w:val="00BB08BF"/>
    <w:rsid w:val="00BB0905"/>
    <w:rsid w:val="00BB0916"/>
    <w:rsid w:val="00BB0973"/>
    <w:rsid w:val="00BB0982"/>
    <w:rsid w:val="00BB09F6"/>
    <w:rsid w:val="00BB0A08"/>
    <w:rsid w:val="00BB0A35"/>
    <w:rsid w:val="00BB0A74"/>
    <w:rsid w:val="00BB0AF0"/>
    <w:rsid w:val="00BB0AF7"/>
    <w:rsid w:val="00BB0BA0"/>
    <w:rsid w:val="00BB0BBE"/>
    <w:rsid w:val="00BB0C6A"/>
    <w:rsid w:val="00BB0C73"/>
    <w:rsid w:val="00BB0D04"/>
    <w:rsid w:val="00BB0E89"/>
    <w:rsid w:val="00BB0F63"/>
    <w:rsid w:val="00BB0FC4"/>
    <w:rsid w:val="00BB10D4"/>
    <w:rsid w:val="00BB117A"/>
    <w:rsid w:val="00BB11A2"/>
    <w:rsid w:val="00BB12A0"/>
    <w:rsid w:val="00BB1361"/>
    <w:rsid w:val="00BB13D8"/>
    <w:rsid w:val="00BB14B6"/>
    <w:rsid w:val="00BB151D"/>
    <w:rsid w:val="00BB1592"/>
    <w:rsid w:val="00BB16AF"/>
    <w:rsid w:val="00BB16D6"/>
    <w:rsid w:val="00BB16FD"/>
    <w:rsid w:val="00BB1702"/>
    <w:rsid w:val="00BB174D"/>
    <w:rsid w:val="00BB176E"/>
    <w:rsid w:val="00BB17B9"/>
    <w:rsid w:val="00BB1887"/>
    <w:rsid w:val="00BB18F8"/>
    <w:rsid w:val="00BB1935"/>
    <w:rsid w:val="00BB1997"/>
    <w:rsid w:val="00BB19CA"/>
    <w:rsid w:val="00BB1A4A"/>
    <w:rsid w:val="00BB1B68"/>
    <w:rsid w:val="00BB1C71"/>
    <w:rsid w:val="00BB1D1D"/>
    <w:rsid w:val="00BB1EA8"/>
    <w:rsid w:val="00BB1F77"/>
    <w:rsid w:val="00BB1F98"/>
    <w:rsid w:val="00BB1FD2"/>
    <w:rsid w:val="00BB2008"/>
    <w:rsid w:val="00BB21D7"/>
    <w:rsid w:val="00BB2416"/>
    <w:rsid w:val="00BB241D"/>
    <w:rsid w:val="00BB256D"/>
    <w:rsid w:val="00BB2588"/>
    <w:rsid w:val="00BB2686"/>
    <w:rsid w:val="00BB26B8"/>
    <w:rsid w:val="00BB26CE"/>
    <w:rsid w:val="00BB274C"/>
    <w:rsid w:val="00BB27A8"/>
    <w:rsid w:val="00BB2853"/>
    <w:rsid w:val="00BB2876"/>
    <w:rsid w:val="00BB292E"/>
    <w:rsid w:val="00BB294B"/>
    <w:rsid w:val="00BB294D"/>
    <w:rsid w:val="00BB296C"/>
    <w:rsid w:val="00BB29DF"/>
    <w:rsid w:val="00BB2A07"/>
    <w:rsid w:val="00BB2A7A"/>
    <w:rsid w:val="00BB2BC4"/>
    <w:rsid w:val="00BB2C9F"/>
    <w:rsid w:val="00BB2CFC"/>
    <w:rsid w:val="00BB2DF4"/>
    <w:rsid w:val="00BB2E61"/>
    <w:rsid w:val="00BB2E78"/>
    <w:rsid w:val="00BB2F48"/>
    <w:rsid w:val="00BB2F51"/>
    <w:rsid w:val="00BB2F53"/>
    <w:rsid w:val="00BB312C"/>
    <w:rsid w:val="00BB3151"/>
    <w:rsid w:val="00BB31D8"/>
    <w:rsid w:val="00BB3208"/>
    <w:rsid w:val="00BB3233"/>
    <w:rsid w:val="00BB323D"/>
    <w:rsid w:val="00BB3250"/>
    <w:rsid w:val="00BB32A4"/>
    <w:rsid w:val="00BB33FC"/>
    <w:rsid w:val="00BB349E"/>
    <w:rsid w:val="00BB34DC"/>
    <w:rsid w:val="00BB35D0"/>
    <w:rsid w:val="00BB365C"/>
    <w:rsid w:val="00BB36F9"/>
    <w:rsid w:val="00BB37EF"/>
    <w:rsid w:val="00BB3845"/>
    <w:rsid w:val="00BB3866"/>
    <w:rsid w:val="00BB38F8"/>
    <w:rsid w:val="00BB3A4C"/>
    <w:rsid w:val="00BB3A6C"/>
    <w:rsid w:val="00BB3A93"/>
    <w:rsid w:val="00BB3ABC"/>
    <w:rsid w:val="00BB3AC4"/>
    <w:rsid w:val="00BB3B0A"/>
    <w:rsid w:val="00BB3B0C"/>
    <w:rsid w:val="00BB3B32"/>
    <w:rsid w:val="00BB3B4A"/>
    <w:rsid w:val="00BB3BCA"/>
    <w:rsid w:val="00BB3BFF"/>
    <w:rsid w:val="00BB3C23"/>
    <w:rsid w:val="00BB3C39"/>
    <w:rsid w:val="00BB3C83"/>
    <w:rsid w:val="00BB3CEE"/>
    <w:rsid w:val="00BB3CFC"/>
    <w:rsid w:val="00BB3D01"/>
    <w:rsid w:val="00BB3D2A"/>
    <w:rsid w:val="00BB3DAA"/>
    <w:rsid w:val="00BB3EDD"/>
    <w:rsid w:val="00BB4093"/>
    <w:rsid w:val="00BB40E0"/>
    <w:rsid w:val="00BB4109"/>
    <w:rsid w:val="00BB4142"/>
    <w:rsid w:val="00BB4297"/>
    <w:rsid w:val="00BB4302"/>
    <w:rsid w:val="00BB43B5"/>
    <w:rsid w:val="00BB441C"/>
    <w:rsid w:val="00BB4479"/>
    <w:rsid w:val="00BB457C"/>
    <w:rsid w:val="00BB4846"/>
    <w:rsid w:val="00BB4999"/>
    <w:rsid w:val="00BB49E8"/>
    <w:rsid w:val="00BB4B28"/>
    <w:rsid w:val="00BB4BCD"/>
    <w:rsid w:val="00BB4CC9"/>
    <w:rsid w:val="00BB4D0A"/>
    <w:rsid w:val="00BB4DE0"/>
    <w:rsid w:val="00BB4ED5"/>
    <w:rsid w:val="00BB4EED"/>
    <w:rsid w:val="00BB4FAC"/>
    <w:rsid w:val="00BB505B"/>
    <w:rsid w:val="00BB50BF"/>
    <w:rsid w:val="00BB5282"/>
    <w:rsid w:val="00BB532B"/>
    <w:rsid w:val="00BB5346"/>
    <w:rsid w:val="00BB53D6"/>
    <w:rsid w:val="00BB544B"/>
    <w:rsid w:val="00BB5472"/>
    <w:rsid w:val="00BB54B0"/>
    <w:rsid w:val="00BB54F1"/>
    <w:rsid w:val="00BB555A"/>
    <w:rsid w:val="00BB5610"/>
    <w:rsid w:val="00BB564B"/>
    <w:rsid w:val="00BB56C7"/>
    <w:rsid w:val="00BB56EE"/>
    <w:rsid w:val="00BB56F3"/>
    <w:rsid w:val="00BB5707"/>
    <w:rsid w:val="00BB5775"/>
    <w:rsid w:val="00BB591C"/>
    <w:rsid w:val="00BB5965"/>
    <w:rsid w:val="00BB59D3"/>
    <w:rsid w:val="00BB59F7"/>
    <w:rsid w:val="00BB5A15"/>
    <w:rsid w:val="00BB5A83"/>
    <w:rsid w:val="00BB5B62"/>
    <w:rsid w:val="00BB5B8F"/>
    <w:rsid w:val="00BB5C0E"/>
    <w:rsid w:val="00BB5C86"/>
    <w:rsid w:val="00BB5C87"/>
    <w:rsid w:val="00BB5C9E"/>
    <w:rsid w:val="00BB5D71"/>
    <w:rsid w:val="00BB5E15"/>
    <w:rsid w:val="00BB5EBD"/>
    <w:rsid w:val="00BB5F12"/>
    <w:rsid w:val="00BB5F1D"/>
    <w:rsid w:val="00BB5F2F"/>
    <w:rsid w:val="00BB5F74"/>
    <w:rsid w:val="00BB6037"/>
    <w:rsid w:val="00BB6129"/>
    <w:rsid w:val="00BB6140"/>
    <w:rsid w:val="00BB6144"/>
    <w:rsid w:val="00BB61E9"/>
    <w:rsid w:val="00BB6252"/>
    <w:rsid w:val="00BB6398"/>
    <w:rsid w:val="00BB63CF"/>
    <w:rsid w:val="00BB63EA"/>
    <w:rsid w:val="00BB643F"/>
    <w:rsid w:val="00BB6443"/>
    <w:rsid w:val="00BB6474"/>
    <w:rsid w:val="00BB6502"/>
    <w:rsid w:val="00BB667A"/>
    <w:rsid w:val="00BB66C2"/>
    <w:rsid w:val="00BB6736"/>
    <w:rsid w:val="00BB6805"/>
    <w:rsid w:val="00BB696E"/>
    <w:rsid w:val="00BB6A79"/>
    <w:rsid w:val="00BB6B85"/>
    <w:rsid w:val="00BB6BCD"/>
    <w:rsid w:val="00BB6BF4"/>
    <w:rsid w:val="00BB6D87"/>
    <w:rsid w:val="00BB6D92"/>
    <w:rsid w:val="00BB6F1D"/>
    <w:rsid w:val="00BB6F2A"/>
    <w:rsid w:val="00BB6F46"/>
    <w:rsid w:val="00BB6FFE"/>
    <w:rsid w:val="00BB7042"/>
    <w:rsid w:val="00BB7083"/>
    <w:rsid w:val="00BB70F9"/>
    <w:rsid w:val="00BB7173"/>
    <w:rsid w:val="00BB71A0"/>
    <w:rsid w:val="00BB71B0"/>
    <w:rsid w:val="00BB71FF"/>
    <w:rsid w:val="00BB7237"/>
    <w:rsid w:val="00BB72F2"/>
    <w:rsid w:val="00BB7564"/>
    <w:rsid w:val="00BB75CD"/>
    <w:rsid w:val="00BB75E8"/>
    <w:rsid w:val="00BB7725"/>
    <w:rsid w:val="00BB773E"/>
    <w:rsid w:val="00BB774E"/>
    <w:rsid w:val="00BB7763"/>
    <w:rsid w:val="00BB7886"/>
    <w:rsid w:val="00BB78C7"/>
    <w:rsid w:val="00BB797A"/>
    <w:rsid w:val="00BB79C4"/>
    <w:rsid w:val="00BB7C56"/>
    <w:rsid w:val="00BB7C70"/>
    <w:rsid w:val="00BB7C9B"/>
    <w:rsid w:val="00BB7D4B"/>
    <w:rsid w:val="00BB7DE7"/>
    <w:rsid w:val="00BB7E26"/>
    <w:rsid w:val="00BB7E5C"/>
    <w:rsid w:val="00BB7EA6"/>
    <w:rsid w:val="00BB7F42"/>
    <w:rsid w:val="00BB7FA5"/>
    <w:rsid w:val="00BB7FAE"/>
    <w:rsid w:val="00BC0005"/>
    <w:rsid w:val="00BC0113"/>
    <w:rsid w:val="00BC0274"/>
    <w:rsid w:val="00BC0319"/>
    <w:rsid w:val="00BC0340"/>
    <w:rsid w:val="00BC03AE"/>
    <w:rsid w:val="00BC0497"/>
    <w:rsid w:val="00BC04B0"/>
    <w:rsid w:val="00BC04EC"/>
    <w:rsid w:val="00BC050E"/>
    <w:rsid w:val="00BC05BB"/>
    <w:rsid w:val="00BC05E2"/>
    <w:rsid w:val="00BC0746"/>
    <w:rsid w:val="00BC076B"/>
    <w:rsid w:val="00BC0784"/>
    <w:rsid w:val="00BC081B"/>
    <w:rsid w:val="00BC098A"/>
    <w:rsid w:val="00BC0A19"/>
    <w:rsid w:val="00BC0A65"/>
    <w:rsid w:val="00BC0B18"/>
    <w:rsid w:val="00BC0BE2"/>
    <w:rsid w:val="00BC0C24"/>
    <w:rsid w:val="00BC0D3D"/>
    <w:rsid w:val="00BC0D76"/>
    <w:rsid w:val="00BC0E14"/>
    <w:rsid w:val="00BC0E40"/>
    <w:rsid w:val="00BC0E67"/>
    <w:rsid w:val="00BC0EC0"/>
    <w:rsid w:val="00BC0EF3"/>
    <w:rsid w:val="00BC0F48"/>
    <w:rsid w:val="00BC0F6A"/>
    <w:rsid w:val="00BC10D5"/>
    <w:rsid w:val="00BC10DA"/>
    <w:rsid w:val="00BC1126"/>
    <w:rsid w:val="00BC1155"/>
    <w:rsid w:val="00BC1165"/>
    <w:rsid w:val="00BC11B4"/>
    <w:rsid w:val="00BC11E2"/>
    <w:rsid w:val="00BC124C"/>
    <w:rsid w:val="00BC1290"/>
    <w:rsid w:val="00BC12D4"/>
    <w:rsid w:val="00BC1332"/>
    <w:rsid w:val="00BC146F"/>
    <w:rsid w:val="00BC14B3"/>
    <w:rsid w:val="00BC14BB"/>
    <w:rsid w:val="00BC14E3"/>
    <w:rsid w:val="00BC1527"/>
    <w:rsid w:val="00BC1767"/>
    <w:rsid w:val="00BC17BB"/>
    <w:rsid w:val="00BC1829"/>
    <w:rsid w:val="00BC183A"/>
    <w:rsid w:val="00BC187C"/>
    <w:rsid w:val="00BC1A7F"/>
    <w:rsid w:val="00BC1A8B"/>
    <w:rsid w:val="00BC1A91"/>
    <w:rsid w:val="00BC1ACC"/>
    <w:rsid w:val="00BC1B05"/>
    <w:rsid w:val="00BC1B37"/>
    <w:rsid w:val="00BC1C33"/>
    <w:rsid w:val="00BC1C43"/>
    <w:rsid w:val="00BC1C58"/>
    <w:rsid w:val="00BC1D89"/>
    <w:rsid w:val="00BC1D8F"/>
    <w:rsid w:val="00BC1DD1"/>
    <w:rsid w:val="00BC1E0F"/>
    <w:rsid w:val="00BC1EE0"/>
    <w:rsid w:val="00BC1F7F"/>
    <w:rsid w:val="00BC2030"/>
    <w:rsid w:val="00BC208F"/>
    <w:rsid w:val="00BC20A9"/>
    <w:rsid w:val="00BC2306"/>
    <w:rsid w:val="00BC2330"/>
    <w:rsid w:val="00BC2396"/>
    <w:rsid w:val="00BC23BC"/>
    <w:rsid w:val="00BC23C0"/>
    <w:rsid w:val="00BC243B"/>
    <w:rsid w:val="00BC2651"/>
    <w:rsid w:val="00BC2663"/>
    <w:rsid w:val="00BC26BD"/>
    <w:rsid w:val="00BC27CE"/>
    <w:rsid w:val="00BC27F3"/>
    <w:rsid w:val="00BC287B"/>
    <w:rsid w:val="00BC291E"/>
    <w:rsid w:val="00BC2934"/>
    <w:rsid w:val="00BC2AD0"/>
    <w:rsid w:val="00BC2B37"/>
    <w:rsid w:val="00BC2B43"/>
    <w:rsid w:val="00BC2B50"/>
    <w:rsid w:val="00BC2B59"/>
    <w:rsid w:val="00BC2B7B"/>
    <w:rsid w:val="00BC2CF3"/>
    <w:rsid w:val="00BC2D61"/>
    <w:rsid w:val="00BC2F31"/>
    <w:rsid w:val="00BC2F4F"/>
    <w:rsid w:val="00BC2F57"/>
    <w:rsid w:val="00BC2FEA"/>
    <w:rsid w:val="00BC311D"/>
    <w:rsid w:val="00BC31E3"/>
    <w:rsid w:val="00BC320F"/>
    <w:rsid w:val="00BC32B8"/>
    <w:rsid w:val="00BC32C3"/>
    <w:rsid w:val="00BC3371"/>
    <w:rsid w:val="00BC33FD"/>
    <w:rsid w:val="00BC342E"/>
    <w:rsid w:val="00BC3523"/>
    <w:rsid w:val="00BC3555"/>
    <w:rsid w:val="00BC3588"/>
    <w:rsid w:val="00BC36AA"/>
    <w:rsid w:val="00BC3700"/>
    <w:rsid w:val="00BC3758"/>
    <w:rsid w:val="00BC38B3"/>
    <w:rsid w:val="00BC38D5"/>
    <w:rsid w:val="00BC38EA"/>
    <w:rsid w:val="00BC3B30"/>
    <w:rsid w:val="00BC3B9F"/>
    <w:rsid w:val="00BC3BB4"/>
    <w:rsid w:val="00BC3D0E"/>
    <w:rsid w:val="00BC3D54"/>
    <w:rsid w:val="00BC3E59"/>
    <w:rsid w:val="00BC3EB8"/>
    <w:rsid w:val="00BC4021"/>
    <w:rsid w:val="00BC4036"/>
    <w:rsid w:val="00BC410D"/>
    <w:rsid w:val="00BC41A0"/>
    <w:rsid w:val="00BC41B3"/>
    <w:rsid w:val="00BC4244"/>
    <w:rsid w:val="00BC426A"/>
    <w:rsid w:val="00BC4345"/>
    <w:rsid w:val="00BC453F"/>
    <w:rsid w:val="00BC45A5"/>
    <w:rsid w:val="00BC462F"/>
    <w:rsid w:val="00BC4810"/>
    <w:rsid w:val="00BC487C"/>
    <w:rsid w:val="00BC4894"/>
    <w:rsid w:val="00BC4948"/>
    <w:rsid w:val="00BC4967"/>
    <w:rsid w:val="00BC4A66"/>
    <w:rsid w:val="00BC4A86"/>
    <w:rsid w:val="00BC4A88"/>
    <w:rsid w:val="00BC4C39"/>
    <w:rsid w:val="00BC4C52"/>
    <w:rsid w:val="00BC4CBD"/>
    <w:rsid w:val="00BC4CCE"/>
    <w:rsid w:val="00BC4D7E"/>
    <w:rsid w:val="00BC4E72"/>
    <w:rsid w:val="00BC4F05"/>
    <w:rsid w:val="00BC4F0A"/>
    <w:rsid w:val="00BC4F31"/>
    <w:rsid w:val="00BC4F33"/>
    <w:rsid w:val="00BC4FF5"/>
    <w:rsid w:val="00BC500A"/>
    <w:rsid w:val="00BC5019"/>
    <w:rsid w:val="00BC5061"/>
    <w:rsid w:val="00BC5064"/>
    <w:rsid w:val="00BC509F"/>
    <w:rsid w:val="00BC5157"/>
    <w:rsid w:val="00BC51C4"/>
    <w:rsid w:val="00BC51D2"/>
    <w:rsid w:val="00BC5212"/>
    <w:rsid w:val="00BC536C"/>
    <w:rsid w:val="00BC5378"/>
    <w:rsid w:val="00BC53BB"/>
    <w:rsid w:val="00BC544A"/>
    <w:rsid w:val="00BC5569"/>
    <w:rsid w:val="00BC5574"/>
    <w:rsid w:val="00BC5659"/>
    <w:rsid w:val="00BC565C"/>
    <w:rsid w:val="00BC565D"/>
    <w:rsid w:val="00BC5739"/>
    <w:rsid w:val="00BC57F9"/>
    <w:rsid w:val="00BC59E4"/>
    <w:rsid w:val="00BC5A0E"/>
    <w:rsid w:val="00BC5A25"/>
    <w:rsid w:val="00BC5A2A"/>
    <w:rsid w:val="00BC5B69"/>
    <w:rsid w:val="00BC5D0F"/>
    <w:rsid w:val="00BC5E08"/>
    <w:rsid w:val="00BC5EBC"/>
    <w:rsid w:val="00BC5F61"/>
    <w:rsid w:val="00BC5F72"/>
    <w:rsid w:val="00BC5FFE"/>
    <w:rsid w:val="00BC6084"/>
    <w:rsid w:val="00BC60B8"/>
    <w:rsid w:val="00BC61AB"/>
    <w:rsid w:val="00BC61D0"/>
    <w:rsid w:val="00BC61FF"/>
    <w:rsid w:val="00BC63B9"/>
    <w:rsid w:val="00BC6470"/>
    <w:rsid w:val="00BC64BE"/>
    <w:rsid w:val="00BC6570"/>
    <w:rsid w:val="00BC65B3"/>
    <w:rsid w:val="00BC6698"/>
    <w:rsid w:val="00BC66AD"/>
    <w:rsid w:val="00BC66E0"/>
    <w:rsid w:val="00BC6872"/>
    <w:rsid w:val="00BC6ABC"/>
    <w:rsid w:val="00BC6B21"/>
    <w:rsid w:val="00BC6B8C"/>
    <w:rsid w:val="00BC6B97"/>
    <w:rsid w:val="00BC6B9D"/>
    <w:rsid w:val="00BC6B9F"/>
    <w:rsid w:val="00BC6BF9"/>
    <w:rsid w:val="00BC6C2B"/>
    <w:rsid w:val="00BC6CC2"/>
    <w:rsid w:val="00BC6D40"/>
    <w:rsid w:val="00BC6D53"/>
    <w:rsid w:val="00BC6DDA"/>
    <w:rsid w:val="00BC6E70"/>
    <w:rsid w:val="00BC6ECB"/>
    <w:rsid w:val="00BC7155"/>
    <w:rsid w:val="00BC7201"/>
    <w:rsid w:val="00BC7233"/>
    <w:rsid w:val="00BC7387"/>
    <w:rsid w:val="00BC741D"/>
    <w:rsid w:val="00BC7445"/>
    <w:rsid w:val="00BC7467"/>
    <w:rsid w:val="00BC7515"/>
    <w:rsid w:val="00BC7528"/>
    <w:rsid w:val="00BC754E"/>
    <w:rsid w:val="00BC7550"/>
    <w:rsid w:val="00BC75BE"/>
    <w:rsid w:val="00BC7714"/>
    <w:rsid w:val="00BC7716"/>
    <w:rsid w:val="00BC771E"/>
    <w:rsid w:val="00BC7739"/>
    <w:rsid w:val="00BC7767"/>
    <w:rsid w:val="00BC77E2"/>
    <w:rsid w:val="00BC78CC"/>
    <w:rsid w:val="00BC7BA7"/>
    <w:rsid w:val="00BC7D09"/>
    <w:rsid w:val="00BC7DF2"/>
    <w:rsid w:val="00BC7E17"/>
    <w:rsid w:val="00BC7E47"/>
    <w:rsid w:val="00BC7F68"/>
    <w:rsid w:val="00BC7F86"/>
    <w:rsid w:val="00BD0159"/>
    <w:rsid w:val="00BD01BC"/>
    <w:rsid w:val="00BD02E0"/>
    <w:rsid w:val="00BD0308"/>
    <w:rsid w:val="00BD034F"/>
    <w:rsid w:val="00BD03EF"/>
    <w:rsid w:val="00BD055A"/>
    <w:rsid w:val="00BD05B8"/>
    <w:rsid w:val="00BD0611"/>
    <w:rsid w:val="00BD064B"/>
    <w:rsid w:val="00BD066A"/>
    <w:rsid w:val="00BD067D"/>
    <w:rsid w:val="00BD0743"/>
    <w:rsid w:val="00BD0763"/>
    <w:rsid w:val="00BD0792"/>
    <w:rsid w:val="00BD08A2"/>
    <w:rsid w:val="00BD08AD"/>
    <w:rsid w:val="00BD090A"/>
    <w:rsid w:val="00BD0959"/>
    <w:rsid w:val="00BD09AD"/>
    <w:rsid w:val="00BD09EB"/>
    <w:rsid w:val="00BD0A26"/>
    <w:rsid w:val="00BD0A5B"/>
    <w:rsid w:val="00BD0B72"/>
    <w:rsid w:val="00BD0C4B"/>
    <w:rsid w:val="00BD0C5A"/>
    <w:rsid w:val="00BD0D37"/>
    <w:rsid w:val="00BD0D4B"/>
    <w:rsid w:val="00BD0DBF"/>
    <w:rsid w:val="00BD0E64"/>
    <w:rsid w:val="00BD0F16"/>
    <w:rsid w:val="00BD0F37"/>
    <w:rsid w:val="00BD104F"/>
    <w:rsid w:val="00BD1099"/>
    <w:rsid w:val="00BD10EB"/>
    <w:rsid w:val="00BD1131"/>
    <w:rsid w:val="00BD1174"/>
    <w:rsid w:val="00BD119C"/>
    <w:rsid w:val="00BD1280"/>
    <w:rsid w:val="00BD128D"/>
    <w:rsid w:val="00BD1359"/>
    <w:rsid w:val="00BD13A1"/>
    <w:rsid w:val="00BD13AA"/>
    <w:rsid w:val="00BD13D4"/>
    <w:rsid w:val="00BD1496"/>
    <w:rsid w:val="00BD14E7"/>
    <w:rsid w:val="00BD1526"/>
    <w:rsid w:val="00BD152A"/>
    <w:rsid w:val="00BD15C1"/>
    <w:rsid w:val="00BD15C4"/>
    <w:rsid w:val="00BD167C"/>
    <w:rsid w:val="00BD1794"/>
    <w:rsid w:val="00BD17A1"/>
    <w:rsid w:val="00BD17F9"/>
    <w:rsid w:val="00BD1818"/>
    <w:rsid w:val="00BD18BE"/>
    <w:rsid w:val="00BD1905"/>
    <w:rsid w:val="00BD195C"/>
    <w:rsid w:val="00BD1A20"/>
    <w:rsid w:val="00BD1C89"/>
    <w:rsid w:val="00BD1CF7"/>
    <w:rsid w:val="00BD1D2B"/>
    <w:rsid w:val="00BD1D76"/>
    <w:rsid w:val="00BD1DA4"/>
    <w:rsid w:val="00BD1E26"/>
    <w:rsid w:val="00BD1E6C"/>
    <w:rsid w:val="00BD1EBC"/>
    <w:rsid w:val="00BD1FCA"/>
    <w:rsid w:val="00BD2015"/>
    <w:rsid w:val="00BD207F"/>
    <w:rsid w:val="00BD21D8"/>
    <w:rsid w:val="00BD21FE"/>
    <w:rsid w:val="00BD224C"/>
    <w:rsid w:val="00BD22AC"/>
    <w:rsid w:val="00BD23AF"/>
    <w:rsid w:val="00BD24AB"/>
    <w:rsid w:val="00BD25E1"/>
    <w:rsid w:val="00BD25F3"/>
    <w:rsid w:val="00BD2668"/>
    <w:rsid w:val="00BD269D"/>
    <w:rsid w:val="00BD26AD"/>
    <w:rsid w:val="00BD27F6"/>
    <w:rsid w:val="00BD2842"/>
    <w:rsid w:val="00BD284D"/>
    <w:rsid w:val="00BD2867"/>
    <w:rsid w:val="00BD286E"/>
    <w:rsid w:val="00BD28D5"/>
    <w:rsid w:val="00BD2A49"/>
    <w:rsid w:val="00BD2AA5"/>
    <w:rsid w:val="00BD2AB6"/>
    <w:rsid w:val="00BD2AF5"/>
    <w:rsid w:val="00BD2B6C"/>
    <w:rsid w:val="00BD2D24"/>
    <w:rsid w:val="00BD2D4F"/>
    <w:rsid w:val="00BD2DCF"/>
    <w:rsid w:val="00BD2E00"/>
    <w:rsid w:val="00BD2E13"/>
    <w:rsid w:val="00BD2E84"/>
    <w:rsid w:val="00BD2EA2"/>
    <w:rsid w:val="00BD2ECC"/>
    <w:rsid w:val="00BD2F05"/>
    <w:rsid w:val="00BD2F2C"/>
    <w:rsid w:val="00BD2FB6"/>
    <w:rsid w:val="00BD3021"/>
    <w:rsid w:val="00BD304C"/>
    <w:rsid w:val="00BD3183"/>
    <w:rsid w:val="00BD323E"/>
    <w:rsid w:val="00BD32F4"/>
    <w:rsid w:val="00BD3589"/>
    <w:rsid w:val="00BD35B5"/>
    <w:rsid w:val="00BD3614"/>
    <w:rsid w:val="00BD3645"/>
    <w:rsid w:val="00BD36B5"/>
    <w:rsid w:val="00BD3839"/>
    <w:rsid w:val="00BD3924"/>
    <w:rsid w:val="00BD392B"/>
    <w:rsid w:val="00BD3A08"/>
    <w:rsid w:val="00BD3A6D"/>
    <w:rsid w:val="00BD3B49"/>
    <w:rsid w:val="00BD3CC3"/>
    <w:rsid w:val="00BD3DF9"/>
    <w:rsid w:val="00BD3EAF"/>
    <w:rsid w:val="00BD3EC6"/>
    <w:rsid w:val="00BD3EEA"/>
    <w:rsid w:val="00BD3F01"/>
    <w:rsid w:val="00BD3F07"/>
    <w:rsid w:val="00BD422F"/>
    <w:rsid w:val="00BD42D0"/>
    <w:rsid w:val="00BD43DA"/>
    <w:rsid w:val="00BD450F"/>
    <w:rsid w:val="00BD4512"/>
    <w:rsid w:val="00BD452D"/>
    <w:rsid w:val="00BD45CF"/>
    <w:rsid w:val="00BD4624"/>
    <w:rsid w:val="00BD4637"/>
    <w:rsid w:val="00BD4678"/>
    <w:rsid w:val="00BD4A41"/>
    <w:rsid w:val="00BD4A91"/>
    <w:rsid w:val="00BD4AD9"/>
    <w:rsid w:val="00BD4BF9"/>
    <w:rsid w:val="00BD4C00"/>
    <w:rsid w:val="00BD4D69"/>
    <w:rsid w:val="00BD4DC9"/>
    <w:rsid w:val="00BD4E5E"/>
    <w:rsid w:val="00BD4ED0"/>
    <w:rsid w:val="00BD4EFF"/>
    <w:rsid w:val="00BD4F91"/>
    <w:rsid w:val="00BD4FE5"/>
    <w:rsid w:val="00BD4FFD"/>
    <w:rsid w:val="00BD50BE"/>
    <w:rsid w:val="00BD5199"/>
    <w:rsid w:val="00BD5223"/>
    <w:rsid w:val="00BD52AA"/>
    <w:rsid w:val="00BD5332"/>
    <w:rsid w:val="00BD5353"/>
    <w:rsid w:val="00BD536B"/>
    <w:rsid w:val="00BD5519"/>
    <w:rsid w:val="00BD55C8"/>
    <w:rsid w:val="00BD55CF"/>
    <w:rsid w:val="00BD564B"/>
    <w:rsid w:val="00BD57AC"/>
    <w:rsid w:val="00BD581E"/>
    <w:rsid w:val="00BD5853"/>
    <w:rsid w:val="00BD58F2"/>
    <w:rsid w:val="00BD5926"/>
    <w:rsid w:val="00BD5967"/>
    <w:rsid w:val="00BD59F9"/>
    <w:rsid w:val="00BD5A4D"/>
    <w:rsid w:val="00BD5A74"/>
    <w:rsid w:val="00BD5B07"/>
    <w:rsid w:val="00BD5B1E"/>
    <w:rsid w:val="00BD5B22"/>
    <w:rsid w:val="00BD5B6C"/>
    <w:rsid w:val="00BD5BEB"/>
    <w:rsid w:val="00BD5BF5"/>
    <w:rsid w:val="00BD5CBB"/>
    <w:rsid w:val="00BD5EC7"/>
    <w:rsid w:val="00BD5FC7"/>
    <w:rsid w:val="00BD603B"/>
    <w:rsid w:val="00BD607B"/>
    <w:rsid w:val="00BD6101"/>
    <w:rsid w:val="00BD613C"/>
    <w:rsid w:val="00BD6209"/>
    <w:rsid w:val="00BD6227"/>
    <w:rsid w:val="00BD632B"/>
    <w:rsid w:val="00BD63B0"/>
    <w:rsid w:val="00BD63D6"/>
    <w:rsid w:val="00BD6468"/>
    <w:rsid w:val="00BD646B"/>
    <w:rsid w:val="00BD6548"/>
    <w:rsid w:val="00BD6587"/>
    <w:rsid w:val="00BD663F"/>
    <w:rsid w:val="00BD6689"/>
    <w:rsid w:val="00BD66E1"/>
    <w:rsid w:val="00BD67A3"/>
    <w:rsid w:val="00BD67FF"/>
    <w:rsid w:val="00BD6812"/>
    <w:rsid w:val="00BD6864"/>
    <w:rsid w:val="00BD6974"/>
    <w:rsid w:val="00BD69D4"/>
    <w:rsid w:val="00BD69F3"/>
    <w:rsid w:val="00BD6AED"/>
    <w:rsid w:val="00BD6BAB"/>
    <w:rsid w:val="00BD6C50"/>
    <w:rsid w:val="00BD6E0F"/>
    <w:rsid w:val="00BD6E72"/>
    <w:rsid w:val="00BD6F5E"/>
    <w:rsid w:val="00BD6F94"/>
    <w:rsid w:val="00BD7053"/>
    <w:rsid w:val="00BD707F"/>
    <w:rsid w:val="00BD708E"/>
    <w:rsid w:val="00BD70D3"/>
    <w:rsid w:val="00BD714A"/>
    <w:rsid w:val="00BD7183"/>
    <w:rsid w:val="00BD71A0"/>
    <w:rsid w:val="00BD7259"/>
    <w:rsid w:val="00BD733D"/>
    <w:rsid w:val="00BD750B"/>
    <w:rsid w:val="00BD755A"/>
    <w:rsid w:val="00BD75AF"/>
    <w:rsid w:val="00BD7606"/>
    <w:rsid w:val="00BD7653"/>
    <w:rsid w:val="00BD765E"/>
    <w:rsid w:val="00BD775F"/>
    <w:rsid w:val="00BD7780"/>
    <w:rsid w:val="00BD78A6"/>
    <w:rsid w:val="00BD7A5E"/>
    <w:rsid w:val="00BD7AC2"/>
    <w:rsid w:val="00BD7B94"/>
    <w:rsid w:val="00BD7BA8"/>
    <w:rsid w:val="00BD7C71"/>
    <w:rsid w:val="00BD7D09"/>
    <w:rsid w:val="00BD7ED6"/>
    <w:rsid w:val="00BD7EF6"/>
    <w:rsid w:val="00BE00AE"/>
    <w:rsid w:val="00BE00FF"/>
    <w:rsid w:val="00BE0154"/>
    <w:rsid w:val="00BE017E"/>
    <w:rsid w:val="00BE01F6"/>
    <w:rsid w:val="00BE026D"/>
    <w:rsid w:val="00BE037E"/>
    <w:rsid w:val="00BE053E"/>
    <w:rsid w:val="00BE0674"/>
    <w:rsid w:val="00BE068B"/>
    <w:rsid w:val="00BE06B8"/>
    <w:rsid w:val="00BE070C"/>
    <w:rsid w:val="00BE07C6"/>
    <w:rsid w:val="00BE07E8"/>
    <w:rsid w:val="00BE0830"/>
    <w:rsid w:val="00BE0843"/>
    <w:rsid w:val="00BE0846"/>
    <w:rsid w:val="00BE08A5"/>
    <w:rsid w:val="00BE08A7"/>
    <w:rsid w:val="00BE0999"/>
    <w:rsid w:val="00BE09B5"/>
    <w:rsid w:val="00BE09C1"/>
    <w:rsid w:val="00BE09F2"/>
    <w:rsid w:val="00BE0A04"/>
    <w:rsid w:val="00BE0A3B"/>
    <w:rsid w:val="00BE0AD1"/>
    <w:rsid w:val="00BE0BAD"/>
    <w:rsid w:val="00BE0C29"/>
    <w:rsid w:val="00BE0CA3"/>
    <w:rsid w:val="00BE0CD7"/>
    <w:rsid w:val="00BE0D3A"/>
    <w:rsid w:val="00BE0D5F"/>
    <w:rsid w:val="00BE0DE5"/>
    <w:rsid w:val="00BE0E67"/>
    <w:rsid w:val="00BE0E69"/>
    <w:rsid w:val="00BE0E6E"/>
    <w:rsid w:val="00BE0EA0"/>
    <w:rsid w:val="00BE0EB0"/>
    <w:rsid w:val="00BE0F4C"/>
    <w:rsid w:val="00BE0F59"/>
    <w:rsid w:val="00BE1061"/>
    <w:rsid w:val="00BE1105"/>
    <w:rsid w:val="00BE1122"/>
    <w:rsid w:val="00BE1192"/>
    <w:rsid w:val="00BE11C6"/>
    <w:rsid w:val="00BE11F6"/>
    <w:rsid w:val="00BE12B8"/>
    <w:rsid w:val="00BE1321"/>
    <w:rsid w:val="00BE1362"/>
    <w:rsid w:val="00BE140B"/>
    <w:rsid w:val="00BE14B6"/>
    <w:rsid w:val="00BE14C0"/>
    <w:rsid w:val="00BE1606"/>
    <w:rsid w:val="00BE167B"/>
    <w:rsid w:val="00BE1682"/>
    <w:rsid w:val="00BE1852"/>
    <w:rsid w:val="00BE1866"/>
    <w:rsid w:val="00BE18C1"/>
    <w:rsid w:val="00BE19DD"/>
    <w:rsid w:val="00BE1ABD"/>
    <w:rsid w:val="00BE1BA3"/>
    <w:rsid w:val="00BE1D81"/>
    <w:rsid w:val="00BE1E8D"/>
    <w:rsid w:val="00BE1F9D"/>
    <w:rsid w:val="00BE214E"/>
    <w:rsid w:val="00BE2160"/>
    <w:rsid w:val="00BE21A4"/>
    <w:rsid w:val="00BE21E6"/>
    <w:rsid w:val="00BE22DD"/>
    <w:rsid w:val="00BE24E1"/>
    <w:rsid w:val="00BE24E5"/>
    <w:rsid w:val="00BE2538"/>
    <w:rsid w:val="00BE255B"/>
    <w:rsid w:val="00BE2565"/>
    <w:rsid w:val="00BE25CE"/>
    <w:rsid w:val="00BE263F"/>
    <w:rsid w:val="00BE2678"/>
    <w:rsid w:val="00BE285E"/>
    <w:rsid w:val="00BE2865"/>
    <w:rsid w:val="00BE2893"/>
    <w:rsid w:val="00BE2898"/>
    <w:rsid w:val="00BE28E6"/>
    <w:rsid w:val="00BE290E"/>
    <w:rsid w:val="00BE29CB"/>
    <w:rsid w:val="00BE29E7"/>
    <w:rsid w:val="00BE2B55"/>
    <w:rsid w:val="00BE2BA4"/>
    <w:rsid w:val="00BE2C15"/>
    <w:rsid w:val="00BE2CB6"/>
    <w:rsid w:val="00BE2DC6"/>
    <w:rsid w:val="00BE2E42"/>
    <w:rsid w:val="00BE2EB4"/>
    <w:rsid w:val="00BE2EE2"/>
    <w:rsid w:val="00BE2F5A"/>
    <w:rsid w:val="00BE2FAC"/>
    <w:rsid w:val="00BE2FFA"/>
    <w:rsid w:val="00BE304E"/>
    <w:rsid w:val="00BE30C9"/>
    <w:rsid w:val="00BE310F"/>
    <w:rsid w:val="00BE313C"/>
    <w:rsid w:val="00BE3199"/>
    <w:rsid w:val="00BE31DF"/>
    <w:rsid w:val="00BE3200"/>
    <w:rsid w:val="00BE32F1"/>
    <w:rsid w:val="00BE3437"/>
    <w:rsid w:val="00BE34E8"/>
    <w:rsid w:val="00BE35B8"/>
    <w:rsid w:val="00BE35D7"/>
    <w:rsid w:val="00BE3661"/>
    <w:rsid w:val="00BE3692"/>
    <w:rsid w:val="00BE373B"/>
    <w:rsid w:val="00BE37AC"/>
    <w:rsid w:val="00BE37D3"/>
    <w:rsid w:val="00BE385F"/>
    <w:rsid w:val="00BE39A9"/>
    <w:rsid w:val="00BE3A5E"/>
    <w:rsid w:val="00BE3A89"/>
    <w:rsid w:val="00BE3B00"/>
    <w:rsid w:val="00BE3BD1"/>
    <w:rsid w:val="00BE3C54"/>
    <w:rsid w:val="00BE3D93"/>
    <w:rsid w:val="00BE3DC2"/>
    <w:rsid w:val="00BE3EC5"/>
    <w:rsid w:val="00BE3F93"/>
    <w:rsid w:val="00BE3FE9"/>
    <w:rsid w:val="00BE410B"/>
    <w:rsid w:val="00BE4141"/>
    <w:rsid w:val="00BE41A6"/>
    <w:rsid w:val="00BE41BC"/>
    <w:rsid w:val="00BE4219"/>
    <w:rsid w:val="00BE4548"/>
    <w:rsid w:val="00BE4594"/>
    <w:rsid w:val="00BE45BE"/>
    <w:rsid w:val="00BE465D"/>
    <w:rsid w:val="00BE4854"/>
    <w:rsid w:val="00BE48E0"/>
    <w:rsid w:val="00BE4901"/>
    <w:rsid w:val="00BE495C"/>
    <w:rsid w:val="00BE4995"/>
    <w:rsid w:val="00BE49DE"/>
    <w:rsid w:val="00BE4A25"/>
    <w:rsid w:val="00BE4A44"/>
    <w:rsid w:val="00BE4AB1"/>
    <w:rsid w:val="00BE4B6A"/>
    <w:rsid w:val="00BE4CA8"/>
    <w:rsid w:val="00BE4CEE"/>
    <w:rsid w:val="00BE4D09"/>
    <w:rsid w:val="00BE4F33"/>
    <w:rsid w:val="00BE4F4B"/>
    <w:rsid w:val="00BE4F6F"/>
    <w:rsid w:val="00BE5064"/>
    <w:rsid w:val="00BE50F0"/>
    <w:rsid w:val="00BE5143"/>
    <w:rsid w:val="00BE5178"/>
    <w:rsid w:val="00BE51A8"/>
    <w:rsid w:val="00BE522A"/>
    <w:rsid w:val="00BE5244"/>
    <w:rsid w:val="00BE529C"/>
    <w:rsid w:val="00BE5457"/>
    <w:rsid w:val="00BE5487"/>
    <w:rsid w:val="00BE551D"/>
    <w:rsid w:val="00BE551F"/>
    <w:rsid w:val="00BE55A1"/>
    <w:rsid w:val="00BE57B5"/>
    <w:rsid w:val="00BE57D4"/>
    <w:rsid w:val="00BE5814"/>
    <w:rsid w:val="00BE5969"/>
    <w:rsid w:val="00BE5ADF"/>
    <w:rsid w:val="00BE5B81"/>
    <w:rsid w:val="00BE5B99"/>
    <w:rsid w:val="00BE5BBE"/>
    <w:rsid w:val="00BE5D56"/>
    <w:rsid w:val="00BE5DAE"/>
    <w:rsid w:val="00BE5EDB"/>
    <w:rsid w:val="00BE5EE9"/>
    <w:rsid w:val="00BE5F14"/>
    <w:rsid w:val="00BE5F56"/>
    <w:rsid w:val="00BE5F5D"/>
    <w:rsid w:val="00BE60DB"/>
    <w:rsid w:val="00BE6194"/>
    <w:rsid w:val="00BE61F1"/>
    <w:rsid w:val="00BE632A"/>
    <w:rsid w:val="00BE63BB"/>
    <w:rsid w:val="00BE63CE"/>
    <w:rsid w:val="00BE646C"/>
    <w:rsid w:val="00BE6501"/>
    <w:rsid w:val="00BE6545"/>
    <w:rsid w:val="00BE6549"/>
    <w:rsid w:val="00BE66B9"/>
    <w:rsid w:val="00BE66DD"/>
    <w:rsid w:val="00BE6738"/>
    <w:rsid w:val="00BE67F6"/>
    <w:rsid w:val="00BE6856"/>
    <w:rsid w:val="00BE6878"/>
    <w:rsid w:val="00BE68A0"/>
    <w:rsid w:val="00BE6A2A"/>
    <w:rsid w:val="00BE6B36"/>
    <w:rsid w:val="00BE6B63"/>
    <w:rsid w:val="00BE6B9B"/>
    <w:rsid w:val="00BE6CA6"/>
    <w:rsid w:val="00BE6D79"/>
    <w:rsid w:val="00BE6F40"/>
    <w:rsid w:val="00BE6FA5"/>
    <w:rsid w:val="00BE6FAB"/>
    <w:rsid w:val="00BE6FE0"/>
    <w:rsid w:val="00BE6FE6"/>
    <w:rsid w:val="00BE7014"/>
    <w:rsid w:val="00BE702C"/>
    <w:rsid w:val="00BE706C"/>
    <w:rsid w:val="00BE7081"/>
    <w:rsid w:val="00BE70A6"/>
    <w:rsid w:val="00BE711B"/>
    <w:rsid w:val="00BE7146"/>
    <w:rsid w:val="00BE7148"/>
    <w:rsid w:val="00BE7166"/>
    <w:rsid w:val="00BE71BC"/>
    <w:rsid w:val="00BE7205"/>
    <w:rsid w:val="00BE725C"/>
    <w:rsid w:val="00BE7315"/>
    <w:rsid w:val="00BE74EF"/>
    <w:rsid w:val="00BE7510"/>
    <w:rsid w:val="00BE756F"/>
    <w:rsid w:val="00BE7576"/>
    <w:rsid w:val="00BE75D6"/>
    <w:rsid w:val="00BE75DA"/>
    <w:rsid w:val="00BE76E2"/>
    <w:rsid w:val="00BE7720"/>
    <w:rsid w:val="00BE790C"/>
    <w:rsid w:val="00BE7923"/>
    <w:rsid w:val="00BE7953"/>
    <w:rsid w:val="00BE7A7C"/>
    <w:rsid w:val="00BE7A83"/>
    <w:rsid w:val="00BE7B80"/>
    <w:rsid w:val="00BE7C04"/>
    <w:rsid w:val="00BE7D03"/>
    <w:rsid w:val="00BE7D9F"/>
    <w:rsid w:val="00BE7E80"/>
    <w:rsid w:val="00BE7E85"/>
    <w:rsid w:val="00BE7E9C"/>
    <w:rsid w:val="00BE7EBB"/>
    <w:rsid w:val="00BE7FA8"/>
    <w:rsid w:val="00BE7FBC"/>
    <w:rsid w:val="00BF012C"/>
    <w:rsid w:val="00BF01D3"/>
    <w:rsid w:val="00BF01F7"/>
    <w:rsid w:val="00BF01FD"/>
    <w:rsid w:val="00BF0362"/>
    <w:rsid w:val="00BF04CA"/>
    <w:rsid w:val="00BF04DC"/>
    <w:rsid w:val="00BF052F"/>
    <w:rsid w:val="00BF0559"/>
    <w:rsid w:val="00BF0599"/>
    <w:rsid w:val="00BF05A0"/>
    <w:rsid w:val="00BF075F"/>
    <w:rsid w:val="00BF077D"/>
    <w:rsid w:val="00BF079E"/>
    <w:rsid w:val="00BF0870"/>
    <w:rsid w:val="00BF0A44"/>
    <w:rsid w:val="00BF0AD3"/>
    <w:rsid w:val="00BF0B02"/>
    <w:rsid w:val="00BF0B7D"/>
    <w:rsid w:val="00BF0CD6"/>
    <w:rsid w:val="00BF0CEC"/>
    <w:rsid w:val="00BF0CF7"/>
    <w:rsid w:val="00BF0E47"/>
    <w:rsid w:val="00BF0EC1"/>
    <w:rsid w:val="00BF0F5F"/>
    <w:rsid w:val="00BF1020"/>
    <w:rsid w:val="00BF10DC"/>
    <w:rsid w:val="00BF10E3"/>
    <w:rsid w:val="00BF1122"/>
    <w:rsid w:val="00BF123D"/>
    <w:rsid w:val="00BF1256"/>
    <w:rsid w:val="00BF12C8"/>
    <w:rsid w:val="00BF1369"/>
    <w:rsid w:val="00BF13A6"/>
    <w:rsid w:val="00BF15A3"/>
    <w:rsid w:val="00BF15C9"/>
    <w:rsid w:val="00BF1624"/>
    <w:rsid w:val="00BF1677"/>
    <w:rsid w:val="00BF16EA"/>
    <w:rsid w:val="00BF1794"/>
    <w:rsid w:val="00BF17CE"/>
    <w:rsid w:val="00BF1822"/>
    <w:rsid w:val="00BF1893"/>
    <w:rsid w:val="00BF18E2"/>
    <w:rsid w:val="00BF19D5"/>
    <w:rsid w:val="00BF1A44"/>
    <w:rsid w:val="00BF1A5C"/>
    <w:rsid w:val="00BF1BB0"/>
    <w:rsid w:val="00BF1D67"/>
    <w:rsid w:val="00BF1DA3"/>
    <w:rsid w:val="00BF1DD0"/>
    <w:rsid w:val="00BF1E0F"/>
    <w:rsid w:val="00BF1EDF"/>
    <w:rsid w:val="00BF20B4"/>
    <w:rsid w:val="00BF215F"/>
    <w:rsid w:val="00BF21D9"/>
    <w:rsid w:val="00BF229E"/>
    <w:rsid w:val="00BF2336"/>
    <w:rsid w:val="00BF2400"/>
    <w:rsid w:val="00BF2427"/>
    <w:rsid w:val="00BF24FC"/>
    <w:rsid w:val="00BF2633"/>
    <w:rsid w:val="00BF2679"/>
    <w:rsid w:val="00BF27B8"/>
    <w:rsid w:val="00BF296A"/>
    <w:rsid w:val="00BF29AD"/>
    <w:rsid w:val="00BF29E7"/>
    <w:rsid w:val="00BF2A3C"/>
    <w:rsid w:val="00BF2AB7"/>
    <w:rsid w:val="00BF2AD2"/>
    <w:rsid w:val="00BF2AD9"/>
    <w:rsid w:val="00BF2B1D"/>
    <w:rsid w:val="00BF2B40"/>
    <w:rsid w:val="00BF2B7F"/>
    <w:rsid w:val="00BF2C93"/>
    <w:rsid w:val="00BF2CEB"/>
    <w:rsid w:val="00BF2EA0"/>
    <w:rsid w:val="00BF2EBE"/>
    <w:rsid w:val="00BF2F00"/>
    <w:rsid w:val="00BF2F47"/>
    <w:rsid w:val="00BF2F50"/>
    <w:rsid w:val="00BF2FBA"/>
    <w:rsid w:val="00BF309E"/>
    <w:rsid w:val="00BF30FA"/>
    <w:rsid w:val="00BF31F0"/>
    <w:rsid w:val="00BF326B"/>
    <w:rsid w:val="00BF3281"/>
    <w:rsid w:val="00BF33FA"/>
    <w:rsid w:val="00BF3427"/>
    <w:rsid w:val="00BF344C"/>
    <w:rsid w:val="00BF35CB"/>
    <w:rsid w:val="00BF35F0"/>
    <w:rsid w:val="00BF3694"/>
    <w:rsid w:val="00BF37AD"/>
    <w:rsid w:val="00BF37B0"/>
    <w:rsid w:val="00BF37F2"/>
    <w:rsid w:val="00BF3821"/>
    <w:rsid w:val="00BF3845"/>
    <w:rsid w:val="00BF387F"/>
    <w:rsid w:val="00BF38FA"/>
    <w:rsid w:val="00BF3974"/>
    <w:rsid w:val="00BF3AAF"/>
    <w:rsid w:val="00BF3B1E"/>
    <w:rsid w:val="00BF3BD2"/>
    <w:rsid w:val="00BF3C24"/>
    <w:rsid w:val="00BF3C30"/>
    <w:rsid w:val="00BF3CE5"/>
    <w:rsid w:val="00BF3EB3"/>
    <w:rsid w:val="00BF3F1B"/>
    <w:rsid w:val="00BF3FA2"/>
    <w:rsid w:val="00BF40A3"/>
    <w:rsid w:val="00BF40A8"/>
    <w:rsid w:val="00BF40BC"/>
    <w:rsid w:val="00BF428D"/>
    <w:rsid w:val="00BF43C6"/>
    <w:rsid w:val="00BF4426"/>
    <w:rsid w:val="00BF4460"/>
    <w:rsid w:val="00BF4471"/>
    <w:rsid w:val="00BF447D"/>
    <w:rsid w:val="00BF4484"/>
    <w:rsid w:val="00BF44C0"/>
    <w:rsid w:val="00BF4540"/>
    <w:rsid w:val="00BF4562"/>
    <w:rsid w:val="00BF45B7"/>
    <w:rsid w:val="00BF4607"/>
    <w:rsid w:val="00BF46C0"/>
    <w:rsid w:val="00BF46EB"/>
    <w:rsid w:val="00BF47B8"/>
    <w:rsid w:val="00BF4874"/>
    <w:rsid w:val="00BF4891"/>
    <w:rsid w:val="00BF48C3"/>
    <w:rsid w:val="00BF48EE"/>
    <w:rsid w:val="00BF49B9"/>
    <w:rsid w:val="00BF4A15"/>
    <w:rsid w:val="00BF4B78"/>
    <w:rsid w:val="00BF4B95"/>
    <w:rsid w:val="00BF4BF4"/>
    <w:rsid w:val="00BF4D39"/>
    <w:rsid w:val="00BF4D3D"/>
    <w:rsid w:val="00BF4F13"/>
    <w:rsid w:val="00BF4F35"/>
    <w:rsid w:val="00BF4FEB"/>
    <w:rsid w:val="00BF504E"/>
    <w:rsid w:val="00BF5063"/>
    <w:rsid w:val="00BF50A8"/>
    <w:rsid w:val="00BF5337"/>
    <w:rsid w:val="00BF5448"/>
    <w:rsid w:val="00BF5500"/>
    <w:rsid w:val="00BF5553"/>
    <w:rsid w:val="00BF5673"/>
    <w:rsid w:val="00BF56CA"/>
    <w:rsid w:val="00BF56EE"/>
    <w:rsid w:val="00BF5773"/>
    <w:rsid w:val="00BF585A"/>
    <w:rsid w:val="00BF586E"/>
    <w:rsid w:val="00BF58A1"/>
    <w:rsid w:val="00BF59C5"/>
    <w:rsid w:val="00BF5A65"/>
    <w:rsid w:val="00BF5B8C"/>
    <w:rsid w:val="00BF5BBA"/>
    <w:rsid w:val="00BF5BF2"/>
    <w:rsid w:val="00BF5C3B"/>
    <w:rsid w:val="00BF5C68"/>
    <w:rsid w:val="00BF5C84"/>
    <w:rsid w:val="00BF5D31"/>
    <w:rsid w:val="00BF5D7B"/>
    <w:rsid w:val="00BF5DE8"/>
    <w:rsid w:val="00BF5FBF"/>
    <w:rsid w:val="00BF6094"/>
    <w:rsid w:val="00BF60BD"/>
    <w:rsid w:val="00BF6120"/>
    <w:rsid w:val="00BF61F3"/>
    <w:rsid w:val="00BF61F6"/>
    <w:rsid w:val="00BF6312"/>
    <w:rsid w:val="00BF6343"/>
    <w:rsid w:val="00BF6410"/>
    <w:rsid w:val="00BF650F"/>
    <w:rsid w:val="00BF6664"/>
    <w:rsid w:val="00BF66B7"/>
    <w:rsid w:val="00BF66EB"/>
    <w:rsid w:val="00BF6777"/>
    <w:rsid w:val="00BF6870"/>
    <w:rsid w:val="00BF68F9"/>
    <w:rsid w:val="00BF69E6"/>
    <w:rsid w:val="00BF6A68"/>
    <w:rsid w:val="00BF6AA2"/>
    <w:rsid w:val="00BF6BE3"/>
    <w:rsid w:val="00BF6D2D"/>
    <w:rsid w:val="00BF6D4D"/>
    <w:rsid w:val="00BF6D84"/>
    <w:rsid w:val="00BF6E0B"/>
    <w:rsid w:val="00BF6EB7"/>
    <w:rsid w:val="00BF6FE0"/>
    <w:rsid w:val="00BF703E"/>
    <w:rsid w:val="00BF713D"/>
    <w:rsid w:val="00BF7152"/>
    <w:rsid w:val="00BF7213"/>
    <w:rsid w:val="00BF7373"/>
    <w:rsid w:val="00BF7376"/>
    <w:rsid w:val="00BF7387"/>
    <w:rsid w:val="00BF73F0"/>
    <w:rsid w:val="00BF7575"/>
    <w:rsid w:val="00BF75B1"/>
    <w:rsid w:val="00BF75C9"/>
    <w:rsid w:val="00BF7737"/>
    <w:rsid w:val="00BF7779"/>
    <w:rsid w:val="00BF7821"/>
    <w:rsid w:val="00BF7858"/>
    <w:rsid w:val="00BF797E"/>
    <w:rsid w:val="00BF79C7"/>
    <w:rsid w:val="00BF7B2C"/>
    <w:rsid w:val="00BF7B51"/>
    <w:rsid w:val="00BF7B6D"/>
    <w:rsid w:val="00BF7BD3"/>
    <w:rsid w:val="00BF7BE1"/>
    <w:rsid w:val="00BF7C2F"/>
    <w:rsid w:val="00BF7C41"/>
    <w:rsid w:val="00BF7C4E"/>
    <w:rsid w:val="00BF7D19"/>
    <w:rsid w:val="00BF7DF8"/>
    <w:rsid w:val="00BF7E91"/>
    <w:rsid w:val="00BF7F7C"/>
    <w:rsid w:val="00BF7F86"/>
    <w:rsid w:val="00BF7F8B"/>
    <w:rsid w:val="00C0002E"/>
    <w:rsid w:val="00C0017C"/>
    <w:rsid w:val="00C002DF"/>
    <w:rsid w:val="00C00352"/>
    <w:rsid w:val="00C0038C"/>
    <w:rsid w:val="00C0038D"/>
    <w:rsid w:val="00C0046B"/>
    <w:rsid w:val="00C004F4"/>
    <w:rsid w:val="00C0055D"/>
    <w:rsid w:val="00C0063F"/>
    <w:rsid w:val="00C0064C"/>
    <w:rsid w:val="00C00650"/>
    <w:rsid w:val="00C00694"/>
    <w:rsid w:val="00C006A3"/>
    <w:rsid w:val="00C006F4"/>
    <w:rsid w:val="00C0074C"/>
    <w:rsid w:val="00C00787"/>
    <w:rsid w:val="00C007CE"/>
    <w:rsid w:val="00C00810"/>
    <w:rsid w:val="00C00834"/>
    <w:rsid w:val="00C008EE"/>
    <w:rsid w:val="00C00908"/>
    <w:rsid w:val="00C00964"/>
    <w:rsid w:val="00C009D7"/>
    <w:rsid w:val="00C00A22"/>
    <w:rsid w:val="00C00AB5"/>
    <w:rsid w:val="00C00C80"/>
    <w:rsid w:val="00C00CE5"/>
    <w:rsid w:val="00C00E51"/>
    <w:rsid w:val="00C00EDB"/>
    <w:rsid w:val="00C00F18"/>
    <w:rsid w:val="00C00F92"/>
    <w:rsid w:val="00C01050"/>
    <w:rsid w:val="00C01239"/>
    <w:rsid w:val="00C012B0"/>
    <w:rsid w:val="00C012E0"/>
    <w:rsid w:val="00C0131B"/>
    <w:rsid w:val="00C01440"/>
    <w:rsid w:val="00C014A4"/>
    <w:rsid w:val="00C01502"/>
    <w:rsid w:val="00C0157D"/>
    <w:rsid w:val="00C01682"/>
    <w:rsid w:val="00C01754"/>
    <w:rsid w:val="00C017F9"/>
    <w:rsid w:val="00C0186F"/>
    <w:rsid w:val="00C01971"/>
    <w:rsid w:val="00C01A40"/>
    <w:rsid w:val="00C01A4A"/>
    <w:rsid w:val="00C01AFA"/>
    <w:rsid w:val="00C01B65"/>
    <w:rsid w:val="00C01BD7"/>
    <w:rsid w:val="00C01D39"/>
    <w:rsid w:val="00C01DB5"/>
    <w:rsid w:val="00C01E16"/>
    <w:rsid w:val="00C01EFA"/>
    <w:rsid w:val="00C01FA6"/>
    <w:rsid w:val="00C01FB4"/>
    <w:rsid w:val="00C0200C"/>
    <w:rsid w:val="00C02037"/>
    <w:rsid w:val="00C02048"/>
    <w:rsid w:val="00C02054"/>
    <w:rsid w:val="00C020A8"/>
    <w:rsid w:val="00C02134"/>
    <w:rsid w:val="00C0214B"/>
    <w:rsid w:val="00C0216C"/>
    <w:rsid w:val="00C0216E"/>
    <w:rsid w:val="00C02288"/>
    <w:rsid w:val="00C02530"/>
    <w:rsid w:val="00C02538"/>
    <w:rsid w:val="00C025F3"/>
    <w:rsid w:val="00C0261C"/>
    <w:rsid w:val="00C0261E"/>
    <w:rsid w:val="00C02985"/>
    <w:rsid w:val="00C02B2A"/>
    <w:rsid w:val="00C02B8A"/>
    <w:rsid w:val="00C02BAD"/>
    <w:rsid w:val="00C02BC3"/>
    <w:rsid w:val="00C02E51"/>
    <w:rsid w:val="00C02FDE"/>
    <w:rsid w:val="00C03082"/>
    <w:rsid w:val="00C030A3"/>
    <w:rsid w:val="00C030CF"/>
    <w:rsid w:val="00C0316F"/>
    <w:rsid w:val="00C0327E"/>
    <w:rsid w:val="00C032B0"/>
    <w:rsid w:val="00C03339"/>
    <w:rsid w:val="00C03449"/>
    <w:rsid w:val="00C034A4"/>
    <w:rsid w:val="00C035F2"/>
    <w:rsid w:val="00C03623"/>
    <w:rsid w:val="00C03670"/>
    <w:rsid w:val="00C0375B"/>
    <w:rsid w:val="00C0376F"/>
    <w:rsid w:val="00C0377A"/>
    <w:rsid w:val="00C0379C"/>
    <w:rsid w:val="00C037A9"/>
    <w:rsid w:val="00C037C6"/>
    <w:rsid w:val="00C03831"/>
    <w:rsid w:val="00C038B1"/>
    <w:rsid w:val="00C0392A"/>
    <w:rsid w:val="00C03930"/>
    <w:rsid w:val="00C039DD"/>
    <w:rsid w:val="00C03A66"/>
    <w:rsid w:val="00C03A7C"/>
    <w:rsid w:val="00C03B3E"/>
    <w:rsid w:val="00C03B82"/>
    <w:rsid w:val="00C03CAB"/>
    <w:rsid w:val="00C03DAA"/>
    <w:rsid w:val="00C03DD0"/>
    <w:rsid w:val="00C03DDE"/>
    <w:rsid w:val="00C03E2D"/>
    <w:rsid w:val="00C03E6C"/>
    <w:rsid w:val="00C03EE2"/>
    <w:rsid w:val="00C0400F"/>
    <w:rsid w:val="00C040A6"/>
    <w:rsid w:val="00C040B8"/>
    <w:rsid w:val="00C04155"/>
    <w:rsid w:val="00C04308"/>
    <w:rsid w:val="00C043B1"/>
    <w:rsid w:val="00C043C4"/>
    <w:rsid w:val="00C043CF"/>
    <w:rsid w:val="00C04445"/>
    <w:rsid w:val="00C0445C"/>
    <w:rsid w:val="00C04461"/>
    <w:rsid w:val="00C045F1"/>
    <w:rsid w:val="00C04613"/>
    <w:rsid w:val="00C04614"/>
    <w:rsid w:val="00C04669"/>
    <w:rsid w:val="00C04705"/>
    <w:rsid w:val="00C04713"/>
    <w:rsid w:val="00C0475C"/>
    <w:rsid w:val="00C047AC"/>
    <w:rsid w:val="00C047EE"/>
    <w:rsid w:val="00C0489C"/>
    <w:rsid w:val="00C048A8"/>
    <w:rsid w:val="00C04937"/>
    <w:rsid w:val="00C04A7F"/>
    <w:rsid w:val="00C04B83"/>
    <w:rsid w:val="00C04E2B"/>
    <w:rsid w:val="00C04F93"/>
    <w:rsid w:val="00C05011"/>
    <w:rsid w:val="00C05056"/>
    <w:rsid w:val="00C05127"/>
    <w:rsid w:val="00C051AA"/>
    <w:rsid w:val="00C0521C"/>
    <w:rsid w:val="00C0524C"/>
    <w:rsid w:val="00C05255"/>
    <w:rsid w:val="00C052A9"/>
    <w:rsid w:val="00C053D5"/>
    <w:rsid w:val="00C0541C"/>
    <w:rsid w:val="00C055B1"/>
    <w:rsid w:val="00C055FC"/>
    <w:rsid w:val="00C0562C"/>
    <w:rsid w:val="00C05774"/>
    <w:rsid w:val="00C057A7"/>
    <w:rsid w:val="00C057C2"/>
    <w:rsid w:val="00C05865"/>
    <w:rsid w:val="00C05908"/>
    <w:rsid w:val="00C0590E"/>
    <w:rsid w:val="00C0593F"/>
    <w:rsid w:val="00C0594B"/>
    <w:rsid w:val="00C059BD"/>
    <w:rsid w:val="00C05A01"/>
    <w:rsid w:val="00C05AFB"/>
    <w:rsid w:val="00C05B0D"/>
    <w:rsid w:val="00C05BBE"/>
    <w:rsid w:val="00C05C19"/>
    <w:rsid w:val="00C05C46"/>
    <w:rsid w:val="00C05C76"/>
    <w:rsid w:val="00C05C99"/>
    <w:rsid w:val="00C05E3E"/>
    <w:rsid w:val="00C05E81"/>
    <w:rsid w:val="00C05F1A"/>
    <w:rsid w:val="00C05FC7"/>
    <w:rsid w:val="00C0601D"/>
    <w:rsid w:val="00C060A0"/>
    <w:rsid w:val="00C060C5"/>
    <w:rsid w:val="00C060E1"/>
    <w:rsid w:val="00C06128"/>
    <w:rsid w:val="00C06252"/>
    <w:rsid w:val="00C062B7"/>
    <w:rsid w:val="00C062C4"/>
    <w:rsid w:val="00C06300"/>
    <w:rsid w:val="00C064AC"/>
    <w:rsid w:val="00C0659F"/>
    <w:rsid w:val="00C065E5"/>
    <w:rsid w:val="00C06606"/>
    <w:rsid w:val="00C0663F"/>
    <w:rsid w:val="00C06706"/>
    <w:rsid w:val="00C06735"/>
    <w:rsid w:val="00C06811"/>
    <w:rsid w:val="00C069DC"/>
    <w:rsid w:val="00C06B12"/>
    <w:rsid w:val="00C06B2B"/>
    <w:rsid w:val="00C06BC6"/>
    <w:rsid w:val="00C06C68"/>
    <w:rsid w:val="00C06CFB"/>
    <w:rsid w:val="00C06DA5"/>
    <w:rsid w:val="00C06DD1"/>
    <w:rsid w:val="00C06F84"/>
    <w:rsid w:val="00C07014"/>
    <w:rsid w:val="00C0701B"/>
    <w:rsid w:val="00C070BD"/>
    <w:rsid w:val="00C070C8"/>
    <w:rsid w:val="00C070D0"/>
    <w:rsid w:val="00C07187"/>
    <w:rsid w:val="00C071FB"/>
    <w:rsid w:val="00C07201"/>
    <w:rsid w:val="00C073CF"/>
    <w:rsid w:val="00C07447"/>
    <w:rsid w:val="00C07504"/>
    <w:rsid w:val="00C0755D"/>
    <w:rsid w:val="00C07590"/>
    <w:rsid w:val="00C075C9"/>
    <w:rsid w:val="00C0763F"/>
    <w:rsid w:val="00C07642"/>
    <w:rsid w:val="00C07660"/>
    <w:rsid w:val="00C07661"/>
    <w:rsid w:val="00C07667"/>
    <w:rsid w:val="00C0766F"/>
    <w:rsid w:val="00C076D0"/>
    <w:rsid w:val="00C076F6"/>
    <w:rsid w:val="00C077EC"/>
    <w:rsid w:val="00C077FE"/>
    <w:rsid w:val="00C07934"/>
    <w:rsid w:val="00C07936"/>
    <w:rsid w:val="00C079D3"/>
    <w:rsid w:val="00C07A0E"/>
    <w:rsid w:val="00C07B61"/>
    <w:rsid w:val="00C07BB2"/>
    <w:rsid w:val="00C07BCE"/>
    <w:rsid w:val="00C07BF9"/>
    <w:rsid w:val="00C07CC3"/>
    <w:rsid w:val="00C07CE7"/>
    <w:rsid w:val="00C07D07"/>
    <w:rsid w:val="00C07DF3"/>
    <w:rsid w:val="00C07EE2"/>
    <w:rsid w:val="00C07FAD"/>
    <w:rsid w:val="00C07FBD"/>
    <w:rsid w:val="00C10018"/>
    <w:rsid w:val="00C1008D"/>
    <w:rsid w:val="00C1015E"/>
    <w:rsid w:val="00C10171"/>
    <w:rsid w:val="00C10173"/>
    <w:rsid w:val="00C1017E"/>
    <w:rsid w:val="00C101B2"/>
    <w:rsid w:val="00C10290"/>
    <w:rsid w:val="00C102A7"/>
    <w:rsid w:val="00C102B2"/>
    <w:rsid w:val="00C10318"/>
    <w:rsid w:val="00C103CD"/>
    <w:rsid w:val="00C103F4"/>
    <w:rsid w:val="00C10402"/>
    <w:rsid w:val="00C10436"/>
    <w:rsid w:val="00C104A6"/>
    <w:rsid w:val="00C1055A"/>
    <w:rsid w:val="00C1066D"/>
    <w:rsid w:val="00C106C4"/>
    <w:rsid w:val="00C10802"/>
    <w:rsid w:val="00C10869"/>
    <w:rsid w:val="00C1091A"/>
    <w:rsid w:val="00C10952"/>
    <w:rsid w:val="00C1096B"/>
    <w:rsid w:val="00C10A2A"/>
    <w:rsid w:val="00C10B77"/>
    <w:rsid w:val="00C10B96"/>
    <w:rsid w:val="00C10C3B"/>
    <w:rsid w:val="00C10D0A"/>
    <w:rsid w:val="00C10DEB"/>
    <w:rsid w:val="00C10E15"/>
    <w:rsid w:val="00C10EC9"/>
    <w:rsid w:val="00C10F5A"/>
    <w:rsid w:val="00C11007"/>
    <w:rsid w:val="00C11038"/>
    <w:rsid w:val="00C1113F"/>
    <w:rsid w:val="00C11178"/>
    <w:rsid w:val="00C111EA"/>
    <w:rsid w:val="00C11248"/>
    <w:rsid w:val="00C11259"/>
    <w:rsid w:val="00C1125E"/>
    <w:rsid w:val="00C11278"/>
    <w:rsid w:val="00C112F6"/>
    <w:rsid w:val="00C112F8"/>
    <w:rsid w:val="00C11391"/>
    <w:rsid w:val="00C113E9"/>
    <w:rsid w:val="00C11497"/>
    <w:rsid w:val="00C114A4"/>
    <w:rsid w:val="00C11646"/>
    <w:rsid w:val="00C116CA"/>
    <w:rsid w:val="00C117D9"/>
    <w:rsid w:val="00C117FF"/>
    <w:rsid w:val="00C118DB"/>
    <w:rsid w:val="00C118FF"/>
    <w:rsid w:val="00C119AD"/>
    <w:rsid w:val="00C11B37"/>
    <w:rsid w:val="00C11B41"/>
    <w:rsid w:val="00C11BA3"/>
    <w:rsid w:val="00C11BD8"/>
    <w:rsid w:val="00C11C42"/>
    <w:rsid w:val="00C11D04"/>
    <w:rsid w:val="00C11D4D"/>
    <w:rsid w:val="00C11D8D"/>
    <w:rsid w:val="00C11DD9"/>
    <w:rsid w:val="00C11E6A"/>
    <w:rsid w:val="00C11E84"/>
    <w:rsid w:val="00C11E85"/>
    <w:rsid w:val="00C11F1D"/>
    <w:rsid w:val="00C12077"/>
    <w:rsid w:val="00C12092"/>
    <w:rsid w:val="00C1209D"/>
    <w:rsid w:val="00C120BD"/>
    <w:rsid w:val="00C120EC"/>
    <w:rsid w:val="00C12150"/>
    <w:rsid w:val="00C1218D"/>
    <w:rsid w:val="00C1219E"/>
    <w:rsid w:val="00C121F4"/>
    <w:rsid w:val="00C1228D"/>
    <w:rsid w:val="00C1228F"/>
    <w:rsid w:val="00C12297"/>
    <w:rsid w:val="00C1233A"/>
    <w:rsid w:val="00C12371"/>
    <w:rsid w:val="00C12402"/>
    <w:rsid w:val="00C12539"/>
    <w:rsid w:val="00C12555"/>
    <w:rsid w:val="00C125C1"/>
    <w:rsid w:val="00C125EB"/>
    <w:rsid w:val="00C126A0"/>
    <w:rsid w:val="00C126D4"/>
    <w:rsid w:val="00C1275F"/>
    <w:rsid w:val="00C127A1"/>
    <w:rsid w:val="00C127BA"/>
    <w:rsid w:val="00C127E4"/>
    <w:rsid w:val="00C127F5"/>
    <w:rsid w:val="00C1286E"/>
    <w:rsid w:val="00C128C8"/>
    <w:rsid w:val="00C12921"/>
    <w:rsid w:val="00C12984"/>
    <w:rsid w:val="00C12AF1"/>
    <w:rsid w:val="00C12C58"/>
    <w:rsid w:val="00C12C76"/>
    <w:rsid w:val="00C12CB7"/>
    <w:rsid w:val="00C12DDA"/>
    <w:rsid w:val="00C12DFD"/>
    <w:rsid w:val="00C12E90"/>
    <w:rsid w:val="00C12E93"/>
    <w:rsid w:val="00C12E9F"/>
    <w:rsid w:val="00C12F07"/>
    <w:rsid w:val="00C12FC7"/>
    <w:rsid w:val="00C13050"/>
    <w:rsid w:val="00C130BD"/>
    <w:rsid w:val="00C1310D"/>
    <w:rsid w:val="00C13145"/>
    <w:rsid w:val="00C131AF"/>
    <w:rsid w:val="00C1324D"/>
    <w:rsid w:val="00C13270"/>
    <w:rsid w:val="00C1328E"/>
    <w:rsid w:val="00C132D9"/>
    <w:rsid w:val="00C132DF"/>
    <w:rsid w:val="00C13325"/>
    <w:rsid w:val="00C1333C"/>
    <w:rsid w:val="00C1337F"/>
    <w:rsid w:val="00C13463"/>
    <w:rsid w:val="00C1346D"/>
    <w:rsid w:val="00C134A2"/>
    <w:rsid w:val="00C1351C"/>
    <w:rsid w:val="00C13574"/>
    <w:rsid w:val="00C1357A"/>
    <w:rsid w:val="00C13612"/>
    <w:rsid w:val="00C13792"/>
    <w:rsid w:val="00C137D4"/>
    <w:rsid w:val="00C1385D"/>
    <w:rsid w:val="00C138A3"/>
    <w:rsid w:val="00C13973"/>
    <w:rsid w:val="00C139B4"/>
    <w:rsid w:val="00C139DB"/>
    <w:rsid w:val="00C13A60"/>
    <w:rsid w:val="00C13A85"/>
    <w:rsid w:val="00C13BCC"/>
    <w:rsid w:val="00C13BCF"/>
    <w:rsid w:val="00C13E4D"/>
    <w:rsid w:val="00C13EE1"/>
    <w:rsid w:val="00C13F14"/>
    <w:rsid w:val="00C13F34"/>
    <w:rsid w:val="00C13FED"/>
    <w:rsid w:val="00C140A7"/>
    <w:rsid w:val="00C14147"/>
    <w:rsid w:val="00C1430B"/>
    <w:rsid w:val="00C1433B"/>
    <w:rsid w:val="00C14358"/>
    <w:rsid w:val="00C144E7"/>
    <w:rsid w:val="00C1464F"/>
    <w:rsid w:val="00C14727"/>
    <w:rsid w:val="00C14745"/>
    <w:rsid w:val="00C1479F"/>
    <w:rsid w:val="00C147B8"/>
    <w:rsid w:val="00C1496F"/>
    <w:rsid w:val="00C1498C"/>
    <w:rsid w:val="00C14A03"/>
    <w:rsid w:val="00C14B4D"/>
    <w:rsid w:val="00C14BEE"/>
    <w:rsid w:val="00C14C36"/>
    <w:rsid w:val="00C14CC1"/>
    <w:rsid w:val="00C14CD0"/>
    <w:rsid w:val="00C14D1F"/>
    <w:rsid w:val="00C14DA7"/>
    <w:rsid w:val="00C14DC3"/>
    <w:rsid w:val="00C14E1A"/>
    <w:rsid w:val="00C14E7D"/>
    <w:rsid w:val="00C14FD2"/>
    <w:rsid w:val="00C14FFD"/>
    <w:rsid w:val="00C15059"/>
    <w:rsid w:val="00C15088"/>
    <w:rsid w:val="00C151FC"/>
    <w:rsid w:val="00C1520E"/>
    <w:rsid w:val="00C153A4"/>
    <w:rsid w:val="00C15451"/>
    <w:rsid w:val="00C154D6"/>
    <w:rsid w:val="00C15540"/>
    <w:rsid w:val="00C155C8"/>
    <w:rsid w:val="00C15722"/>
    <w:rsid w:val="00C15795"/>
    <w:rsid w:val="00C15867"/>
    <w:rsid w:val="00C159A4"/>
    <w:rsid w:val="00C159B4"/>
    <w:rsid w:val="00C15A64"/>
    <w:rsid w:val="00C15A8A"/>
    <w:rsid w:val="00C15AED"/>
    <w:rsid w:val="00C15B55"/>
    <w:rsid w:val="00C15BC9"/>
    <w:rsid w:val="00C15C3A"/>
    <w:rsid w:val="00C15C43"/>
    <w:rsid w:val="00C15C82"/>
    <w:rsid w:val="00C15CA0"/>
    <w:rsid w:val="00C15DA6"/>
    <w:rsid w:val="00C15DB7"/>
    <w:rsid w:val="00C15E3F"/>
    <w:rsid w:val="00C15EE8"/>
    <w:rsid w:val="00C15EE9"/>
    <w:rsid w:val="00C15FEF"/>
    <w:rsid w:val="00C16289"/>
    <w:rsid w:val="00C163B1"/>
    <w:rsid w:val="00C1645A"/>
    <w:rsid w:val="00C16493"/>
    <w:rsid w:val="00C164D1"/>
    <w:rsid w:val="00C165FE"/>
    <w:rsid w:val="00C166EB"/>
    <w:rsid w:val="00C16742"/>
    <w:rsid w:val="00C16779"/>
    <w:rsid w:val="00C16834"/>
    <w:rsid w:val="00C16854"/>
    <w:rsid w:val="00C16897"/>
    <w:rsid w:val="00C1689D"/>
    <w:rsid w:val="00C1690B"/>
    <w:rsid w:val="00C16A46"/>
    <w:rsid w:val="00C16ABE"/>
    <w:rsid w:val="00C16B12"/>
    <w:rsid w:val="00C16BC7"/>
    <w:rsid w:val="00C16C52"/>
    <w:rsid w:val="00C16C60"/>
    <w:rsid w:val="00C16D25"/>
    <w:rsid w:val="00C16D35"/>
    <w:rsid w:val="00C16D56"/>
    <w:rsid w:val="00C16DD0"/>
    <w:rsid w:val="00C16E91"/>
    <w:rsid w:val="00C16ECC"/>
    <w:rsid w:val="00C170F5"/>
    <w:rsid w:val="00C171A1"/>
    <w:rsid w:val="00C171CF"/>
    <w:rsid w:val="00C172B9"/>
    <w:rsid w:val="00C17425"/>
    <w:rsid w:val="00C1744E"/>
    <w:rsid w:val="00C17485"/>
    <w:rsid w:val="00C1759F"/>
    <w:rsid w:val="00C1762E"/>
    <w:rsid w:val="00C176A2"/>
    <w:rsid w:val="00C176E5"/>
    <w:rsid w:val="00C176F7"/>
    <w:rsid w:val="00C17773"/>
    <w:rsid w:val="00C17824"/>
    <w:rsid w:val="00C17841"/>
    <w:rsid w:val="00C1788D"/>
    <w:rsid w:val="00C179EB"/>
    <w:rsid w:val="00C17A3A"/>
    <w:rsid w:val="00C17A7E"/>
    <w:rsid w:val="00C17BD4"/>
    <w:rsid w:val="00C17C09"/>
    <w:rsid w:val="00C17C22"/>
    <w:rsid w:val="00C17C91"/>
    <w:rsid w:val="00C17CA4"/>
    <w:rsid w:val="00C17D59"/>
    <w:rsid w:val="00C17DD4"/>
    <w:rsid w:val="00C17F4F"/>
    <w:rsid w:val="00C17FF5"/>
    <w:rsid w:val="00C200C9"/>
    <w:rsid w:val="00C200E2"/>
    <w:rsid w:val="00C20136"/>
    <w:rsid w:val="00C2017C"/>
    <w:rsid w:val="00C20183"/>
    <w:rsid w:val="00C2030C"/>
    <w:rsid w:val="00C20346"/>
    <w:rsid w:val="00C20360"/>
    <w:rsid w:val="00C20366"/>
    <w:rsid w:val="00C20376"/>
    <w:rsid w:val="00C2038C"/>
    <w:rsid w:val="00C20416"/>
    <w:rsid w:val="00C2050B"/>
    <w:rsid w:val="00C2068E"/>
    <w:rsid w:val="00C20770"/>
    <w:rsid w:val="00C2084A"/>
    <w:rsid w:val="00C2085A"/>
    <w:rsid w:val="00C208FC"/>
    <w:rsid w:val="00C209F0"/>
    <w:rsid w:val="00C20A05"/>
    <w:rsid w:val="00C20AB7"/>
    <w:rsid w:val="00C20AC1"/>
    <w:rsid w:val="00C20AED"/>
    <w:rsid w:val="00C20C1F"/>
    <w:rsid w:val="00C20C8E"/>
    <w:rsid w:val="00C20CB5"/>
    <w:rsid w:val="00C20CCD"/>
    <w:rsid w:val="00C20D6F"/>
    <w:rsid w:val="00C20D93"/>
    <w:rsid w:val="00C20D98"/>
    <w:rsid w:val="00C20DCE"/>
    <w:rsid w:val="00C20DD3"/>
    <w:rsid w:val="00C20DFA"/>
    <w:rsid w:val="00C20EB3"/>
    <w:rsid w:val="00C20EB5"/>
    <w:rsid w:val="00C20F4F"/>
    <w:rsid w:val="00C20F7D"/>
    <w:rsid w:val="00C20FDB"/>
    <w:rsid w:val="00C20FF8"/>
    <w:rsid w:val="00C21041"/>
    <w:rsid w:val="00C21116"/>
    <w:rsid w:val="00C2112F"/>
    <w:rsid w:val="00C211EE"/>
    <w:rsid w:val="00C21205"/>
    <w:rsid w:val="00C21297"/>
    <w:rsid w:val="00C212FA"/>
    <w:rsid w:val="00C21466"/>
    <w:rsid w:val="00C214FC"/>
    <w:rsid w:val="00C2150D"/>
    <w:rsid w:val="00C2157C"/>
    <w:rsid w:val="00C215B7"/>
    <w:rsid w:val="00C21607"/>
    <w:rsid w:val="00C2164A"/>
    <w:rsid w:val="00C21707"/>
    <w:rsid w:val="00C21794"/>
    <w:rsid w:val="00C2179D"/>
    <w:rsid w:val="00C217BD"/>
    <w:rsid w:val="00C21810"/>
    <w:rsid w:val="00C21835"/>
    <w:rsid w:val="00C218C4"/>
    <w:rsid w:val="00C21A3B"/>
    <w:rsid w:val="00C21A6B"/>
    <w:rsid w:val="00C21B63"/>
    <w:rsid w:val="00C21B8B"/>
    <w:rsid w:val="00C21CD7"/>
    <w:rsid w:val="00C21D8E"/>
    <w:rsid w:val="00C21D94"/>
    <w:rsid w:val="00C21DA6"/>
    <w:rsid w:val="00C21DB3"/>
    <w:rsid w:val="00C21F0C"/>
    <w:rsid w:val="00C21F17"/>
    <w:rsid w:val="00C21F41"/>
    <w:rsid w:val="00C22018"/>
    <w:rsid w:val="00C22020"/>
    <w:rsid w:val="00C2207E"/>
    <w:rsid w:val="00C2208D"/>
    <w:rsid w:val="00C220A1"/>
    <w:rsid w:val="00C22292"/>
    <w:rsid w:val="00C222CE"/>
    <w:rsid w:val="00C2233B"/>
    <w:rsid w:val="00C22353"/>
    <w:rsid w:val="00C224F3"/>
    <w:rsid w:val="00C22525"/>
    <w:rsid w:val="00C225BC"/>
    <w:rsid w:val="00C2265B"/>
    <w:rsid w:val="00C2268C"/>
    <w:rsid w:val="00C226E8"/>
    <w:rsid w:val="00C227F9"/>
    <w:rsid w:val="00C228E7"/>
    <w:rsid w:val="00C229A1"/>
    <w:rsid w:val="00C229F2"/>
    <w:rsid w:val="00C22A0E"/>
    <w:rsid w:val="00C22A4C"/>
    <w:rsid w:val="00C22A7B"/>
    <w:rsid w:val="00C22AA8"/>
    <w:rsid w:val="00C22B01"/>
    <w:rsid w:val="00C22B19"/>
    <w:rsid w:val="00C22B42"/>
    <w:rsid w:val="00C22B66"/>
    <w:rsid w:val="00C22B73"/>
    <w:rsid w:val="00C22B87"/>
    <w:rsid w:val="00C22B9B"/>
    <w:rsid w:val="00C22C3F"/>
    <w:rsid w:val="00C22CC9"/>
    <w:rsid w:val="00C22D0B"/>
    <w:rsid w:val="00C22D4F"/>
    <w:rsid w:val="00C22D54"/>
    <w:rsid w:val="00C22E08"/>
    <w:rsid w:val="00C22E68"/>
    <w:rsid w:val="00C22F9C"/>
    <w:rsid w:val="00C2315C"/>
    <w:rsid w:val="00C231E2"/>
    <w:rsid w:val="00C231E4"/>
    <w:rsid w:val="00C234AE"/>
    <w:rsid w:val="00C237B1"/>
    <w:rsid w:val="00C23872"/>
    <w:rsid w:val="00C238D1"/>
    <w:rsid w:val="00C23A31"/>
    <w:rsid w:val="00C23B9D"/>
    <w:rsid w:val="00C23CDA"/>
    <w:rsid w:val="00C23D75"/>
    <w:rsid w:val="00C23D7C"/>
    <w:rsid w:val="00C23DAD"/>
    <w:rsid w:val="00C23DBB"/>
    <w:rsid w:val="00C23E00"/>
    <w:rsid w:val="00C23E0C"/>
    <w:rsid w:val="00C23EB0"/>
    <w:rsid w:val="00C23FE1"/>
    <w:rsid w:val="00C24032"/>
    <w:rsid w:val="00C24090"/>
    <w:rsid w:val="00C240B0"/>
    <w:rsid w:val="00C240F3"/>
    <w:rsid w:val="00C2410D"/>
    <w:rsid w:val="00C2413F"/>
    <w:rsid w:val="00C24147"/>
    <w:rsid w:val="00C241A8"/>
    <w:rsid w:val="00C241E4"/>
    <w:rsid w:val="00C242AC"/>
    <w:rsid w:val="00C24347"/>
    <w:rsid w:val="00C2443C"/>
    <w:rsid w:val="00C24445"/>
    <w:rsid w:val="00C24491"/>
    <w:rsid w:val="00C24519"/>
    <w:rsid w:val="00C2457F"/>
    <w:rsid w:val="00C245E7"/>
    <w:rsid w:val="00C24752"/>
    <w:rsid w:val="00C24831"/>
    <w:rsid w:val="00C248CF"/>
    <w:rsid w:val="00C24907"/>
    <w:rsid w:val="00C2492C"/>
    <w:rsid w:val="00C2493F"/>
    <w:rsid w:val="00C24961"/>
    <w:rsid w:val="00C2498C"/>
    <w:rsid w:val="00C24A82"/>
    <w:rsid w:val="00C24A8A"/>
    <w:rsid w:val="00C24AAB"/>
    <w:rsid w:val="00C24B69"/>
    <w:rsid w:val="00C24BAF"/>
    <w:rsid w:val="00C24BCD"/>
    <w:rsid w:val="00C24BCE"/>
    <w:rsid w:val="00C24D77"/>
    <w:rsid w:val="00C24D7E"/>
    <w:rsid w:val="00C24D96"/>
    <w:rsid w:val="00C24E3B"/>
    <w:rsid w:val="00C24E83"/>
    <w:rsid w:val="00C24EA9"/>
    <w:rsid w:val="00C24ED6"/>
    <w:rsid w:val="00C24EE0"/>
    <w:rsid w:val="00C24F96"/>
    <w:rsid w:val="00C250AA"/>
    <w:rsid w:val="00C25190"/>
    <w:rsid w:val="00C251B6"/>
    <w:rsid w:val="00C25349"/>
    <w:rsid w:val="00C254D5"/>
    <w:rsid w:val="00C2562C"/>
    <w:rsid w:val="00C256A5"/>
    <w:rsid w:val="00C257FA"/>
    <w:rsid w:val="00C25910"/>
    <w:rsid w:val="00C25993"/>
    <w:rsid w:val="00C25999"/>
    <w:rsid w:val="00C259F0"/>
    <w:rsid w:val="00C25BC4"/>
    <w:rsid w:val="00C25E00"/>
    <w:rsid w:val="00C25F03"/>
    <w:rsid w:val="00C25F19"/>
    <w:rsid w:val="00C25F3B"/>
    <w:rsid w:val="00C25F8B"/>
    <w:rsid w:val="00C25FCF"/>
    <w:rsid w:val="00C26059"/>
    <w:rsid w:val="00C26072"/>
    <w:rsid w:val="00C260C9"/>
    <w:rsid w:val="00C26121"/>
    <w:rsid w:val="00C2616E"/>
    <w:rsid w:val="00C2617C"/>
    <w:rsid w:val="00C261B5"/>
    <w:rsid w:val="00C261D7"/>
    <w:rsid w:val="00C26240"/>
    <w:rsid w:val="00C26254"/>
    <w:rsid w:val="00C26285"/>
    <w:rsid w:val="00C26304"/>
    <w:rsid w:val="00C26325"/>
    <w:rsid w:val="00C264D0"/>
    <w:rsid w:val="00C265BF"/>
    <w:rsid w:val="00C265C0"/>
    <w:rsid w:val="00C26633"/>
    <w:rsid w:val="00C266BF"/>
    <w:rsid w:val="00C26768"/>
    <w:rsid w:val="00C267A1"/>
    <w:rsid w:val="00C267DC"/>
    <w:rsid w:val="00C26808"/>
    <w:rsid w:val="00C26839"/>
    <w:rsid w:val="00C268A1"/>
    <w:rsid w:val="00C268A4"/>
    <w:rsid w:val="00C268EA"/>
    <w:rsid w:val="00C269ED"/>
    <w:rsid w:val="00C269FF"/>
    <w:rsid w:val="00C26B94"/>
    <w:rsid w:val="00C26B9E"/>
    <w:rsid w:val="00C26BCE"/>
    <w:rsid w:val="00C26BEE"/>
    <w:rsid w:val="00C26C17"/>
    <w:rsid w:val="00C26CE9"/>
    <w:rsid w:val="00C26D5F"/>
    <w:rsid w:val="00C26DBA"/>
    <w:rsid w:val="00C26E02"/>
    <w:rsid w:val="00C26E0E"/>
    <w:rsid w:val="00C26EB2"/>
    <w:rsid w:val="00C26FA2"/>
    <w:rsid w:val="00C26FA9"/>
    <w:rsid w:val="00C26FB7"/>
    <w:rsid w:val="00C27022"/>
    <w:rsid w:val="00C2708D"/>
    <w:rsid w:val="00C27166"/>
    <w:rsid w:val="00C27205"/>
    <w:rsid w:val="00C27255"/>
    <w:rsid w:val="00C272DE"/>
    <w:rsid w:val="00C272EF"/>
    <w:rsid w:val="00C27316"/>
    <w:rsid w:val="00C27324"/>
    <w:rsid w:val="00C2732B"/>
    <w:rsid w:val="00C27350"/>
    <w:rsid w:val="00C27411"/>
    <w:rsid w:val="00C27532"/>
    <w:rsid w:val="00C2753F"/>
    <w:rsid w:val="00C2756B"/>
    <w:rsid w:val="00C27691"/>
    <w:rsid w:val="00C276A8"/>
    <w:rsid w:val="00C27708"/>
    <w:rsid w:val="00C277AF"/>
    <w:rsid w:val="00C27975"/>
    <w:rsid w:val="00C27A26"/>
    <w:rsid w:val="00C27B38"/>
    <w:rsid w:val="00C27C0F"/>
    <w:rsid w:val="00C27C38"/>
    <w:rsid w:val="00C27C7A"/>
    <w:rsid w:val="00C27CC5"/>
    <w:rsid w:val="00C27D98"/>
    <w:rsid w:val="00C27DF3"/>
    <w:rsid w:val="00C27E6A"/>
    <w:rsid w:val="00C27E74"/>
    <w:rsid w:val="00C27F11"/>
    <w:rsid w:val="00C27F6A"/>
    <w:rsid w:val="00C30003"/>
    <w:rsid w:val="00C300BC"/>
    <w:rsid w:val="00C3011D"/>
    <w:rsid w:val="00C3016B"/>
    <w:rsid w:val="00C301B9"/>
    <w:rsid w:val="00C3021C"/>
    <w:rsid w:val="00C30227"/>
    <w:rsid w:val="00C303F4"/>
    <w:rsid w:val="00C30417"/>
    <w:rsid w:val="00C3045F"/>
    <w:rsid w:val="00C3049F"/>
    <w:rsid w:val="00C304BD"/>
    <w:rsid w:val="00C30571"/>
    <w:rsid w:val="00C30586"/>
    <w:rsid w:val="00C305D8"/>
    <w:rsid w:val="00C305F3"/>
    <w:rsid w:val="00C30636"/>
    <w:rsid w:val="00C306B3"/>
    <w:rsid w:val="00C30796"/>
    <w:rsid w:val="00C30839"/>
    <w:rsid w:val="00C308B4"/>
    <w:rsid w:val="00C30950"/>
    <w:rsid w:val="00C30999"/>
    <w:rsid w:val="00C30AAB"/>
    <w:rsid w:val="00C30AB8"/>
    <w:rsid w:val="00C30ADB"/>
    <w:rsid w:val="00C30B34"/>
    <w:rsid w:val="00C30BCD"/>
    <w:rsid w:val="00C30BE0"/>
    <w:rsid w:val="00C30CB2"/>
    <w:rsid w:val="00C30D3A"/>
    <w:rsid w:val="00C30DED"/>
    <w:rsid w:val="00C30E8C"/>
    <w:rsid w:val="00C30F6D"/>
    <w:rsid w:val="00C310BB"/>
    <w:rsid w:val="00C311D3"/>
    <w:rsid w:val="00C311DD"/>
    <w:rsid w:val="00C3124D"/>
    <w:rsid w:val="00C3126D"/>
    <w:rsid w:val="00C3138F"/>
    <w:rsid w:val="00C3139E"/>
    <w:rsid w:val="00C31415"/>
    <w:rsid w:val="00C314F4"/>
    <w:rsid w:val="00C31520"/>
    <w:rsid w:val="00C315A0"/>
    <w:rsid w:val="00C31652"/>
    <w:rsid w:val="00C316C2"/>
    <w:rsid w:val="00C316DB"/>
    <w:rsid w:val="00C31713"/>
    <w:rsid w:val="00C317E4"/>
    <w:rsid w:val="00C318F7"/>
    <w:rsid w:val="00C31976"/>
    <w:rsid w:val="00C31982"/>
    <w:rsid w:val="00C319D2"/>
    <w:rsid w:val="00C31BA8"/>
    <w:rsid w:val="00C31BCA"/>
    <w:rsid w:val="00C31CE9"/>
    <w:rsid w:val="00C31D13"/>
    <w:rsid w:val="00C31D3F"/>
    <w:rsid w:val="00C31D9F"/>
    <w:rsid w:val="00C31E37"/>
    <w:rsid w:val="00C31E4D"/>
    <w:rsid w:val="00C31E7F"/>
    <w:rsid w:val="00C31F71"/>
    <w:rsid w:val="00C31F85"/>
    <w:rsid w:val="00C31FD6"/>
    <w:rsid w:val="00C3215E"/>
    <w:rsid w:val="00C3217D"/>
    <w:rsid w:val="00C321A0"/>
    <w:rsid w:val="00C32426"/>
    <w:rsid w:val="00C324F7"/>
    <w:rsid w:val="00C3250C"/>
    <w:rsid w:val="00C32534"/>
    <w:rsid w:val="00C32580"/>
    <w:rsid w:val="00C325E6"/>
    <w:rsid w:val="00C32613"/>
    <w:rsid w:val="00C32695"/>
    <w:rsid w:val="00C326C5"/>
    <w:rsid w:val="00C326EE"/>
    <w:rsid w:val="00C327C3"/>
    <w:rsid w:val="00C327E0"/>
    <w:rsid w:val="00C32888"/>
    <w:rsid w:val="00C328CF"/>
    <w:rsid w:val="00C328E6"/>
    <w:rsid w:val="00C32930"/>
    <w:rsid w:val="00C32951"/>
    <w:rsid w:val="00C329D6"/>
    <w:rsid w:val="00C32A47"/>
    <w:rsid w:val="00C32B3B"/>
    <w:rsid w:val="00C32B4C"/>
    <w:rsid w:val="00C32C02"/>
    <w:rsid w:val="00C32CA6"/>
    <w:rsid w:val="00C32E19"/>
    <w:rsid w:val="00C32E23"/>
    <w:rsid w:val="00C32FBF"/>
    <w:rsid w:val="00C33014"/>
    <w:rsid w:val="00C33161"/>
    <w:rsid w:val="00C33235"/>
    <w:rsid w:val="00C33285"/>
    <w:rsid w:val="00C33352"/>
    <w:rsid w:val="00C33398"/>
    <w:rsid w:val="00C3341A"/>
    <w:rsid w:val="00C3341D"/>
    <w:rsid w:val="00C33504"/>
    <w:rsid w:val="00C3354B"/>
    <w:rsid w:val="00C335B0"/>
    <w:rsid w:val="00C33677"/>
    <w:rsid w:val="00C336FE"/>
    <w:rsid w:val="00C3374E"/>
    <w:rsid w:val="00C3375C"/>
    <w:rsid w:val="00C33941"/>
    <w:rsid w:val="00C33CC5"/>
    <w:rsid w:val="00C33CEE"/>
    <w:rsid w:val="00C33E0A"/>
    <w:rsid w:val="00C33E83"/>
    <w:rsid w:val="00C33EE6"/>
    <w:rsid w:val="00C34006"/>
    <w:rsid w:val="00C34039"/>
    <w:rsid w:val="00C340E4"/>
    <w:rsid w:val="00C34137"/>
    <w:rsid w:val="00C3417F"/>
    <w:rsid w:val="00C341A1"/>
    <w:rsid w:val="00C341E1"/>
    <w:rsid w:val="00C34253"/>
    <w:rsid w:val="00C34287"/>
    <w:rsid w:val="00C34436"/>
    <w:rsid w:val="00C344C3"/>
    <w:rsid w:val="00C34506"/>
    <w:rsid w:val="00C3457E"/>
    <w:rsid w:val="00C345EB"/>
    <w:rsid w:val="00C34669"/>
    <w:rsid w:val="00C34675"/>
    <w:rsid w:val="00C346E4"/>
    <w:rsid w:val="00C3476B"/>
    <w:rsid w:val="00C347C3"/>
    <w:rsid w:val="00C34937"/>
    <w:rsid w:val="00C34955"/>
    <w:rsid w:val="00C3499E"/>
    <w:rsid w:val="00C34B13"/>
    <w:rsid w:val="00C34C76"/>
    <w:rsid w:val="00C34C86"/>
    <w:rsid w:val="00C34CA1"/>
    <w:rsid w:val="00C34DB9"/>
    <w:rsid w:val="00C34DD9"/>
    <w:rsid w:val="00C34DEB"/>
    <w:rsid w:val="00C34E8C"/>
    <w:rsid w:val="00C34F6C"/>
    <w:rsid w:val="00C34F8C"/>
    <w:rsid w:val="00C34FEE"/>
    <w:rsid w:val="00C35029"/>
    <w:rsid w:val="00C35135"/>
    <w:rsid w:val="00C35171"/>
    <w:rsid w:val="00C35240"/>
    <w:rsid w:val="00C3524B"/>
    <w:rsid w:val="00C352AA"/>
    <w:rsid w:val="00C35339"/>
    <w:rsid w:val="00C35345"/>
    <w:rsid w:val="00C35440"/>
    <w:rsid w:val="00C35499"/>
    <w:rsid w:val="00C355A1"/>
    <w:rsid w:val="00C355A2"/>
    <w:rsid w:val="00C3568D"/>
    <w:rsid w:val="00C356CB"/>
    <w:rsid w:val="00C3570B"/>
    <w:rsid w:val="00C3571F"/>
    <w:rsid w:val="00C35821"/>
    <w:rsid w:val="00C35A75"/>
    <w:rsid w:val="00C35AA8"/>
    <w:rsid w:val="00C35AD9"/>
    <w:rsid w:val="00C35B52"/>
    <w:rsid w:val="00C35BBA"/>
    <w:rsid w:val="00C35C11"/>
    <w:rsid w:val="00C35C29"/>
    <w:rsid w:val="00C35D4A"/>
    <w:rsid w:val="00C35D55"/>
    <w:rsid w:val="00C35D88"/>
    <w:rsid w:val="00C35D89"/>
    <w:rsid w:val="00C35EE4"/>
    <w:rsid w:val="00C36159"/>
    <w:rsid w:val="00C36259"/>
    <w:rsid w:val="00C3629B"/>
    <w:rsid w:val="00C362FC"/>
    <w:rsid w:val="00C36307"/>
    <w:rsid w:val="00C36342"/>
    <w:rsid w:val="00C36446"/>
    <w:rsid w:val="00C36791"/>
    <w:rsid w:val="00C367BB"/>
    <w:rsid w:val="00C368B3"/>
    <w:rsid w:val="00C36957"/>
    <w:rsid w:val="00C369AB"/>
    <w:rsid w:val="00C369FA"/>
    <w:rsid w:val="00C36A20"/>
    <w:rsid w:val="00C36BD8"/>
    <w:rsid w:val="00C36C52"/>
    <w:rsid w:val="00C36C5B"/>
    <w:rsid w:val="00C36CD8"/>
    <w:rsid w:val="00C36CFF"/>
    <w:rsid w:val="00C36D1E"/>
    <w:rsid w:val="00C36D3B"/>
    <w:rsid w:val="00C36D65"/>
    <w:rsid w:val="00C36EF8"/>
    <w:rsid w:val="00C36F07"/>
    <w:rsid w:val="00C36FBD"/>
    <w:rsid w:val="00C37018"/>
    <w:rsid w:val="00C37094"/>
    <w:rsid w:val="00C371AD"/>
    <w:rsid w:val="00C37214"/>
    <w:rsid w:val="00C372AD"/>
    <w:rsid w:val="00C372D5"/>
    <w:rsid w:val="00C372E8"/>
    <w:rsid w:val="00C37338"/>
    <w:rsid w:val="00C37348"/>
    <w:rsid w:val="00C37394"/>
    <w:rsid w:val="00C373BC"/>
    <w:rsid w:val="00C373C9"/>
    <w:rsid w:val="00C3747A"/>
    <w:rsid w:val="00C3749D"/>
    <w:rsid w:val="00C375DE"/>
    <w:rsid w:val="00C376B7"/>
    <w:rsid w:val="00C37708"/>
    <w:rsid w:val="00C377B7"/>
    <w:rsid w:val="00C378EA"/>
    <w:rsid w:val="00C37944"/>
    <w:rsid w:val="00C37A11"/>
    <w:rsid w:val="00C37A26"/>
    <w:rsid w:val="00C37A59"/>
    <w:rsid w:val="00C37BE9"/>
    <w:rsid w:val="00C37C52"/>
    <w:rsid w:val="00C37D0C"/>
    <w:rsid w:val="00C37D61"/>
    <w:rsid w:val="00C37D7B"/>
    <w:rsid w:val="00C37E48"/>
    <w:rsid w:val="00C37EA5"/>
    <w:rsid w:val="00C37EE2"/>
    <w:rsid w:val="00C37EED"/>
    <w:rsid w:val="00C37F93"/>
    <w:rsid w:val="00C4000F"/>
    <w:rsid w:val="00C400A1"/>
    <w:rsid w:val="00C400CC"/>
    <w:rsid w:val="00C400DA"/>
    <w:rsid w:val="00C4013A"/>
    <w:rsid w:val="00C40204"/>
    <w:rsid w:val="00C4022A"/>
    <w:rsid w:val="00C4028E"/>
    <w:rsid w:val="00C40318"/>
    <w:rsid w:val="00C405A1"/>
    <w:rsid w:val="00C4064D"/>
    <w:rsid w:val="00C40898"/>
    <w:rsid w:val="00C409DC"/>
    <w:rsid w:val="00C409FE"/>
    <w:rsid w:val="00C40A57"/>
    <w:rsid w:val="00C40AF2"/>
    <w:rsid w:val="00C40B1B"/>
    <w:rsid w:val="00C40D21"/>
    <w:rsid w:val="00C40DB2"/>
    <w:rsid w:val="00C40E50"/>
    <w:rsid w:val="00C40E7D"/>
    <w:rsid w:val="00C40E88"/>
    <w:rsid w:val="00C40F87"/>
    <w:rsid w:val="00C40FA3"/>
    <w:rsid w:val="00C41009"/>
    <w:rsid w:val="00C410D7"/>
    <w:rsid w:val="00C412D2"/>
    <w:rsid w:val="00C412E4"/>
    <w:rsid w:val="00C41343"/>
    <w:rsid w:val="00C4136E"/>
    <w:rsid w:val="00C414A0"/>
    <w:rsid w:val="00C414C1"/>
    <w:rsid w:val="00C4163F"/>
    <w:rsid w:val="00C41648"/>
    <w:rsid w:val="00C41670"/>
    <w:rsid w:val="00C416A3"/>
    <w:rsid w:val="00C4172E"/>
    <w:rsid w:val="00C41785"/>
    <w:rsid w:val="00C417A3"/>
    <w:rsid w:val="00C41CB8"/>
    <w:rsid w:val="00C41CC1"/>
    <w:rsid w:val="00C41D06"/>
    <w:rsid w:val="00C41F99"/>
    <w:rsid w:val="00C41FC1"/>
    <w:rsid w:val="00C420CA"/>
    <w:rsid w:val="00C42128"/>
    <w:rsid w:val="00C42234"/>
    <w:rsid w:val="00C42242"/>
    <w:rsid w:val="00C42273"/>
    <w:rsid w:val="00C42369"/>
    <w:rsid w:val="00C4241A"/>
    <w:rsid w:val="00C4247A"/>
    <w:rsid w:val="00C4257E"/>
    <w:rsid w:val="00C425A3"/>
    <w:rsid w:val="00C425A8"/>
    <w:rsid w:val="00C429C6"/>
    <w:rsid w:val="00C42A26"/>
    <w:rsid w:val="00C42A62"/>
    <w:rsid w:val="00C42B4C"/>
    <w:rsid w:val="00C42BD2"/>
    <w:rsid w:val="00C42C57"/>
    <w:rsid w:val="00C42CD3"/>
    <w:rsid w:val="00C42DB2"/>
    <w:rsid w:val="00C42DCA"/>
    <w:rsid w:val="00C42DEE"/>
    <w:rsid w:val="00C42EB2"/>
    <w:rsid w:val="00C42EE4"/>
    <w:rsid w:val="00C42F76"/>
    <w:rsid w:val="00C43042"/>
    <w:rsid w:val="00C43117"/>
    <w:rsid w:val="00C43164"/>
    <w:rsid w:val="00C431A0"/>
    <w:rsid w:val="00C4326C"/>
    <w:rsid w:val="00C433A9"/>
    <w:rsid w:val="00C433FF"/>
    <w:rsid w:val="00C4341B"/>
    <w:rsid w:val="00C434B8"/>
    <w:rsid w:val="00C434C2"/>
    <w:rsid w:val="00C4355E"/>
    <w:rsid w:val="00C4363C"/>
    <w:rsid w:val="00C436CD"/>
    <w:rsid w:val="00C436F6"/>
    <w:rsid w:val="00C437AD"/>
    <w:rsid w:val="00C4381A"/>
    <w:rsid w:val="00C4381E"/>
    <w:rsid w:val="00C4389F"/>
    <w:rsid w:val="00C43910"/>
    <w:rsid w:val="00C43939"/>
    <w:rsid w:val="00C43940"/>
    <w:rsid w:val="00C4395F"/>
    <w:rsid w:val="00C4397D"/>
    <w:rsid w:val="00C439D4"/>
    <w:rsid w:val="00C439F1"/>
    <w:rsid w:val="00C43A61"/>
    <w:rsid w:val="00C43B1F"/>
    <w:rsid w:val="00C43B5F"/>
    <w:rsid w:val="00C43B9A"/>
    <w:rsid w:val="00C43BED"/>
    <w:rsid w:val="00C43C2D"/>
    <w:rsid w:val="00C43C55"/>
    <w:rsid w:val="00C43CA7"/>
    <w:rsid w:val="00C43CCE"/>
    <w:rsid w:val="00C43D23"/>
    <w:rsid w:val="00C43DE5"/>
    <w:rsid w:val="00C43E69"/>
    <w:rsid w:val="00C43ECE"/>
    <w:rsid w:val="00C43FE4"/>
    <w:rsid w:val="00C440C9"/>
    <w:rsid w:val="00C440E7"/>
    <w:rsid w:val="00C44137"/>
    <w:rsid w:val="00C441FA"/>
    <w:rsid w:val="00C44309"/>
    <w:rsid w:val="00C44313"/>
    <w:rsid w:val="00C44335"/>
    <w:rsid w:val="00C44342"/>
    <w:rsid w:val="00C44344"/>
    <w:rsid w:val="00C4434A"/>
    <w:rsid w:val="00C44437"/>
    <w:rsid w:val="00C4446F"/>
    <w:rsid w:val="00C44694"/>
    <w:rsid w:val="00C4472B"/>
    <w:rsid w:val="00C44744"/>
    <w:rsid w:val="00C447AA"/>
    <w:rsid w:val="00C4483A"/>
    <w:rsid w:val="00C4486A"/>
    <w:rsid w:val="00C4489B"/>
    <w:rsid w:val="00C449F1"/>
    <w:rsid w:val="00C44A8E"/>
    <w:rsid w:val="00C44D89"/>
    <w:rsid w:val="00C44E87"/>
    <w:rsid w:val="00C4501D"/>
    <w:rsid w:val="00C4506F"/>
    <w:rsid w:val="00C45160"/>
    <w:rsid w:val="00C45175"/>
    <w:rsid w:val="00C451A0"/>
    <w:rsid w:val="00C451E6"/>
    <w:rsid w:val="00C451F7"/>
    <w:rsid w:val="00C4523D"/>
    <w:rsid w:val="00C4528A"/>
    <w:rsid w:val="00C453A6"/>
    <w:rsid w:val="00C45440"/>
    <w:rsid w:val="00C45495"/>
    <w:rsid w:val="00C45671"/>
    <w:rsid w:val="00C45716"/>
    <w:rsid w:val="00C45742"/>
    <w:rsid w:val="00C457AB"/>
    <w:rsid w:val="00C457C1"/>
    <w:rsid w:val="00C457D1"/>
    <w:rsid w:val="00C4588C"/>
    <w:rsid w:val="00C458AF"/>
    <w:rsid w:val="00C459B3"/>
    <w:rsid w:val="00C459D7"/>
    <w:rsid w:val="00C459D9"/>
    <w:rsid w:val="00C45A37"/>
    <w:rsid w:val="00C45A65"/>
    <w:rsid w:val="00C45A67"/>
    <w:rsid w:val="00C45B96"/>
    <w:rsid w:val="00C45BB4"/>
    <w:rsid w:val="00C45CE8"/>
    <w:rsid w:val="00C45D04"/>
    <w:rsid w:val="00C45DAC"/>
    <w:rsid w:val="00C45EEE"/>
    <w:rsid w:val="00C45F15"/>
    <w:rsid w:val="00C45F53"/>
    <w:rsid w:val="00C45F9B"/>
    <w:rsid w:val="00C4602F"/>
    <w:rsid w:val="00C46100"/>
    <w:rsid w:val="00C46172"/>
    <w:rsid w:val="00C461F8"/>
    <w:rsid w:val="00C4625A"/>
    <w:rsid w:val="00C46335"/>
    <w:rsid w:val="00C4637E"/>
    <w:rsid w:val="00C4642C"/>
    <w:rsid w:val="00C4647C"/>
    <w:rsid w:val="00C464BA"/>
    <w:rsid w:val="00C464E6"/>
    <w:rsid w:val="00C464F5"/>
    <w:rsid w:val="00C46625"/>
    <w:rsid w:val="00C46755"/>
    <w:rsid w:val="00C467D4"/>
    <w:rsid w:val="00C46840"/>
    <w:rsid w:val="00C4685A"/>
    <w:rsid w:val="00C46870"/>
    <w:rsid w:val="00C4688D"/>
    <w:rsid w:val="00C46966"/>
    <w:rsid w:val="00C46AA5"/>
    <w:rsid w:val="00C46B28"/>
    <w:rsid w:val="00C46C80"/>
    <w:rsid w:val="00C46CAE"/>
    <w:rsid w:val="00C46CCC"/>
    <w:rsid w:val="00C46D4D"/>
    <w:rsid w:val="00C46EA7"/>
    <w:rsid w:val="00C46EF0"/>
    <w:rsid w:val="00C46FD5"/>
    <w:rsid w:val="00C470A4"/>
    <w:rsid w:val="00C470B7"/>
    <w:rsid w:val="00C47263"/>
    <w:rsid w:val="00C4728E"/>
    <w:rsid w:val="00C4729B"/>
    <w:rsid w:val="00C472CE"/>
    <w:rsid w:val="00C47399"/>
    <w:rsid w:val="00C4739D"/>
    <w:rsid w:val="00C47545"/>
    <w:rsid w:val="00C4754E"/>
    <w:rsid w:val="00C47593"/>
    <w:rsid w:val="00C4765C"/>
    <w:rsid w:val="00C476A1"/>
    <w:rsid w:val="00C47860"/>
    <w:rsid w:val="00C47B89"/>
    <w:rsid w:val="00C47BAB"/>
    <w:rsid w:val="00C47BFA"/>
    <w:rsid w:val="00C47C05"/>
    <w:rsid w:val="00C47C0E"/>
    <w:rsid w:val="00C47E3E"/>
    <w:rsid w:val="00C47ECA"/>
    <w:rsid w:val="00C47F9A"/>
    <w:rsid w:val="00C47FAB"/>
    <w:rsid w:val="00C47FEC"/>
    <w:rsid w:val="00C47FEF"/>
    <w:rsid w:val="00C50003"/>
    <w:rsid w:val="00C5004D"/>
    <w:rsid w:val="00C50076"/>
    <w:rsid w:val="00C500AE"/>
    <w:rsid w:val="00C5010E"/>
    <w:rsid w:val="00C5014C"/>
    <w:rsid w:val="00C5025C"/>
    <w:rsid w:val="00C50362"/>
    <w:rsid w:val="00C503ED"/>
    <w:rsid w:val="00C5042E"/>
    <w:rsid w:val="00C5044B"/>
    <w:rsid w:val="00C50476"/>
    <w:rsid w:val="00C5056C"/>
    <w:rsid w:val="00C50672"/>
    <w:rsid w:val="00C506BD"/>
    <w:rsid w:val="00C50721"/>
    <w:rsid w:val="00C50841"/>
    <w:rsid w:val="00C5086D"/>
    <w:rsid w:val="00C5089E"/>
    <w:rsid w:val="00C50A46"/>
    <w:rsid w:val="00C50B4F"/>
    <w:rsid w:val="00C50C4C"/>
    <w:rsid w:val="00C50D75"/>
    <w:rsid w:val="00C50E55"/>
    <w:rsid w:val="00C50E89"/>
    <w:rsid w:val="00C50E96"/>
    <w:rsid w:val="00C50ED4"/>
    <w:rsid w:val="00C50ED6"/>
    <w:rsid w:val="00C50F11"/>
    <w:rsid w:val="00C50FBD"/>
    <w:rsid w:val="00C50FE0"/>
    <w:rsid w:val="00C510E8"/>
    <w:rsid w:val="00C51152"/>
    <w:rsid w:val="00C511C1"/>
    <w:rsid w:val="00C5127C"/>
    <w:rsid w:val="00C513AB"/>
    <w:rsid w:val="00C51403"/>
    <w:rsid w:val="00C5141C"/>
    <w:rsid w:val="00C51426"/>
    <w:rsid w:val="00C51496"/>
    <w:rsid w:val="00C514AC"/>
    <w:rsid w:val="00C51619"/>
    <w:rsid w:val="00C51622"/>
    <w:rsid w:val="00C51776"/>
    <w:rsid w:val="00C517A7"/>
    <w:rsid w:val="00C517DB"/>
    <w:rsid w:val="00C518B6"/>
    <w:rsid w:val="00C5190A"/>
    <w:rsid w:val="00C51984"/>
    <w:rsid w:val="00C5199A"/>
    <w:rsid w:val="00C519E2"/>
    <w:rsid w:val="00C51AA3"/>
    <w:rsid w:val="00C51AED"/>
    <w:rsid w:val="00C51B55"/>
    <w:rsid w:val="00C51BC1"/>
    <w:rsid w:val="00C51CE7"/>
    <w:rsid w:val="00C51CEB"/>
    <w:rsid w:val="00C51D83"/>
    <w:rsid w:val="00C51E1E"/>
    <w:rsid w:val="00C51EB3"/>
    <w:rsid w:val="00C51FB3"/>
    <w:rsid w:val="00C5203E"/>
    <w:rsid w:val="00C5204F"/>
    <w:rsid w:val="00C52129"/>
    <w:rsid w:val="00C5212B"/>
    <w:rsid w:val="00C5218D"/>
    <w:rsid w:val="00C52231"/>
    <w:rsid w:val="00C5223C"/>
    <w:rsid w:val="00C52248"/>
    <w:rsid w:val="00C522A9"/>
    <w:rsid w:val="00C52317"/>
    <w:rsid w:val="00C52321"/>
    <w:rsid w:val="00C52376"/>
    <w:rsid w:val="00C52396"/>
    <w:rsid w:val="00C523CA"/>
    <w:rsid w:val="00C52417"/>
    <w:rsid w:val="00C5244C"/>
    <w:rsid w:val="00C524B4"/>
    <w:rsid w:val="00C5252C"/>
    <w:rsid w:val="00C52595"/>
    <w:rsid w:val="00C5259A"/>
    <w:rsid w:val="00C525C7"/>
    <w:rsid w:val="00C526B4"/>
    <w:rsid w:val="00C5282A"/>
    <w:rsid w:val="00C5285C"/>
    <w:rsid w:val="00C52899"/>
    <w:rsid w:val="00C52A35"/>
    <w:rsid w:val="00C52AFE"/>
    <w:rsid w:val="00C52B53"/>
    <w:rsid w:val="00C52D53"/>
    <w:rsid w:val="00C52D80"/>
    <w:rsid w:val="00C52E19"/>
    <w:rsid w:val="00C52E86"/>
    <w:rsid w:val="00C52EA7"/>
    <w:rsid w:val="00C52F46"/>
    <w:rsid w:val="00C52F4A"/>
    <w:rsid w:val="00C52FB2"/>
    <w:rsid w:val="00C52FF5"/>
    <w:rsid w:val="00C530FA"/>
    <w:rsid w:val="00C530FE"/>
    <w:rsid w:val="00C53153"/>
    <w:rsid w:val="00C53159"/>
    <w:rsid w:val="00C531CE"/>
    <w:rsid w:val="00C53211"/>
    <w:rsid w:val="00C53213"/>
    <w:rsid w:val="00C53248"/>
    <w:rsid w:val="00C532D3"/>
    <w:rsid w:val="00C53339"/>
    <w:rsid w:val="00C5342B"/>
    <w:rsid w:val="00C534AB"/>
    <w:rsid w:val="00C53586"/>
    <w:rsid w:val="00C53619"/>
    <w:rsid w:val="00C5361E"/>
    <w:rsid w:val="00C5371A"/>
    <w:rsid w:val="00C53778"/>
    <w:rsid w:val="00C537C3"/>
    <w:rsid w:val="00C537EB"/>
    <w:rsid w:val="00C5380C"/>
    <w:rsid w:val="00C53843"/>
    <w:rsid w:val="00C538A1"/>
    <w:rsid w:val="00C538F7"/>
    <w:rsid w:val="00C53917"/>
    <w:rsid w:val="00C539F1"/>
    <w:rsid w:val="00C53A09"/>
    <w:rsid w:val="00C53BA5"/>
    <w:rsid w:val="00C53BB6"/>
    <w:rsid w:val="00C53D63"/>
    <w:rsid w:val="00C53D79"/>
    <w:rsid w:val="00C53D80"/>
    <w:rsid w:val="00C53D8C"/>
    <w:rsid w:val="00C53DAA"/>
    <w:rsid w:val="00C53DBC"/>
    <w:rsid w:val="00C53DBD"/>
    <w:rsid w:val="00C53E2F"/>
    <w:rsid w:val="00C53ED3"/>
    <w:rsid w:val="00C53EF4"/>
    <w:rsid w:val="00C53EFD"/>
    <w:rsid w:val="00C53F17"/>
    <w:rsid w:val="00C53F4B"/>
    <w:rsid w:val="00C53F87"/>
    <w:rsid w:val="00C54007"/>
    <w:rsid w:val="00C54084"/>
    <w:rsid w:val="00C540C5"/>
    <w:rsid w:val="00C540D2"/>
    <w:rsid w:val="00C54104"/>
    <w:rsid w:val="00C541DE"/>
    <w:rsid w:val="00C54298"/>
    <w:rsid w:val="00C542B8"/>
    <w:rsid w:val="00C54355"/>
    <w:rsid w:val="00C543A8"/>
    <w:rsid w:val="00C5443F"/>
    <w:rsid w:val="00C54448"/>
    <w:rsid w:val="00C54474"/>
    <w:rsid w:val="00C544EC"/>
    <w:rsid w:val="00C54565"/>
    <w:rsid w:val="00C54574"/>
    <w:rsid w:val="00C5463D"/>
    <w:rsid w:val="00C546A9"/>
    <w:rsid w:val="00C5472E"/>
    <w:rsid w:val="00C5476E"/>
    <w:rsid w:val="00C54893"/>
    <w:rsid w:val="00C5493E"/>
    <w:rsid w:val="00C54957"/>
    <w:rsid w:val="00C54A5B"/>
    <w:rsid w:val="00C54AEC"/>
    <w:rsid w:val="00C54B41"/>
    <w:rsid w:val="00C54BD7"/>
    <w:rsid w:val="00C54BE9"/>
    <w:rsid w:val="00C54C11"/>
    <w:rsid w:val="00C54C29"/>
    <w:rsid w:val="00C54C67"/>
    <w:rsid w:val="00C54D05"/>
    <w:rsid w:val="00C54E65"/>
    <w:rsid w:val="00C54E9B"/>
    <w:rsid w:val="00C54F52"/>
    <w:rsid w:val="00C55002"/>
    <w:rsid w:val="00C55064"/>
    <w:rsid w:val="00C5512D"/>
    <w:rsid w:val="00C551AD"/>
    <w:rsid w:val="00C55233"/>
    <w:rsid w:val="00C552E0"/>
    <w:rsid w:val="00C553CA"/>
    <w:rsid w:val="00C55483"/>
    <w:rsid w:val="00C5550C"/>
    <w:rsid w:val="00C55542"/>
    <w:rsid w:val="00C55598"/>
    <w:rsid w:val="00C55628"/>
    <w:rsid w:val="00C556D0"/>
    <w:rsid w:val="00C55730"/>
    <w:rsid w:val="00C55744"/>
    <w:rsid w:val="00C55799"/>
    <w:rsid w:val="00C557F4"/>
    <w:rsid w:val="00C55827"/>
    <w:rsid w:val="00C55A8E"/>
    <w:rsid w:val="00C55AC3"/>
    <w:rsid w:val="00C55AED"/>
    <w:rsid w:val="00C55B18"/>
    <w:rsid w:val="00C55B55"/>
    <w:rsid w:val="00C55B88"/>
    <w:rsid w:val="00C55C2C"/>
    <w:rsid w:val="00C55C7A"/>
    <w:rsid w:val="00C55CC5"/>
    <w:rsid w:val="00C55CFB"/>
    <w:rsid w:val="00C55D4B"/>
    <w:rsid w:val="00C55D94"/>
    <w:rsid w:val="00C55D9E"/>
    <w:rsid w:val="00C55DB9"/>
    <w:rsid w:val="00C55DFC"/>
    <w:rsid w:val="00C55E11"/>
    <w:rsid w:val="00C55E23"/>
    <w:rsid w:val="00C55EF1"/>
    <w:rsid w:val="00C55F00"/>
    <w:rsid w:val="00C55FE2"/>
    <w:rsid w:val="00C55FE9"/>
    <w:rsid w:val="00C56040"/>
    <w:rsid w:val="00C56167"/>
    <w:rsid w:val="00C56185"/>
    <w:rsid w:val="00C56209"/>
    <w:rsid w:val="00C56247"/>
    <w:rsid w:val="00C5631A"/>
    <w:rsid w:val="00C56324"/>
    <w:rsid w:val="00C56343"/>
    <w:rsid w:val="00C5653B"/>
    <w:rsid w:val="00C565A3"/>
    <w:rsid w:val="00C56644"/>
    <w:rsid w:val="00C56713"/>
    <w:rsid w:val="00C567DF"/>
    <w:rsid w:val="00C5681D"/>
    <w:rsid w:val="00C5686B"/>
    <w:rsid w:val="00C5689F"/>
    <w:rsid w:val="00C56944"/>
    <w:rsid w:val="00C56A33"/>
    <w:rsid w:val="00C56AB4"/>
    <w:rsid w:val="00C56AC0"/>
    <w:rsid w:val="00C56B56"/>
    <w:rsid w:val="00C56DA9"/>
    <w:rsid w:val="00C56EED"/>
    <w:rsid w:val="00C56F86"/>
    <w:rsid w:val="00C57040"/>
    <w:rsid w:val="00C57088"/>
    <w:rsid w:val="00C571E9"/>
    <w:rsid w:val="00C572B7"/>
    <w:rsid w:val="00C57364"/>
    <w:rsid w:val="00C574F1"/>
    <w:rsid w:val="00C57530"/>
    <w:rsid w:val="00C575AE"/>
    <w:rsid w:val="00C575B3"/>
    <w:rsid w:val="00C575B5"/>
    <w:rsid w:val="00C576D2"/>
    <w:rsid w:val="00C576F5"/>
    <w:rsid w:val="00C577B8"/>
    <w:rsid w:val="00C577F7"/>
    <w:rsid w:val="00C578CA"/>
    <w:rsid w:val="00C578EC"/>
    <w:rsid w:val="00C57900"/>
    <w:rsid w:val="00C57A15"/>
    <w:rsid w:val="00C57AAE"/>
    <w:rsid w:val="00C57AC6"/>
    <w:rsid w:val="00C57F7A"/>
    <w:rsid w:val="00C60047"/>
    <w:rsid w:val="00C60152"/>
    <w:rsid w:val="00C601AF"/>
    <w:rsid w:val="00C60364"/>
    <w:rsid w:val="00C60424"/>
    <w:rsid w:val="00C60450"/>
    <w:rsid w:val="00C604A9"/>
    <w:rsid w:val="00C605A5"/>
    <w:rsid w:val="00C605FC"/>
    <w:rsid w:val="00C605FF"/>
    <w:rsid w:val="00C60667"/>
    <w:rsid w:val="00C6066B"/>
    <w:rsid w:val="00C6069B"/>
    <w:rsid w:val="00C606CF"/>
    <w:rsid w:val="00C60935"/>
    <w:rsid w:val="00C60A05"/>
    <w:rsid w:val="00C60A89"/>
    <w:rsid w:val="00C60B39"/>
    <w:rsid w:val="00C60BEF"/>
    <w:rsid w:val="00C60C04"/>
    <w:rsid w:val="00C60C41"/>
    <w:rsid w:val="00C60CB7"/>
    <w:rsid w:val="00C60D44"/>
    <w:rsid w:val="00C60DB4"/>
    <w:rsid w:val="00C60DBE"/>
    <w:rsid w:val="00C60F84"/>
    <w:rsid w:val="00C610FF"/>
    <w:rsid w:val="00C611DB"/>
    <w:rsid w:val="00C61270"/>
    <w:rsid w:val="00C61410"/>
    <w:rsid w:val="00C61441"/>
    <w:rsid w:val="00C61475"/>
    <w:rsid w:val="00C6149B"/>
    <w:rsid w:val="00C61509"/>
    <w:rsid w:val="00C6154B"/>
    <w:rsid w:val="00C61558"/>
    <w:rsid w:val="00C6162C"/>
    <w:rsid w:val="00C61654"/>
    <w:rsid w:val="00C6167A"/>
    <w:rsid w:val="00C61773"/>
    <w:rsid w:val="00C619F3"/>
    <w:rsid w:val="00C61A52"/>
    <w:rsid w:val="00C61A58"/>
    <w:rsid w:val="00C61AA1"/>
    <w:rsid w:val="00C61AB9"/>
    <w:rsid w:val="00C61B45"/>
    <w:rsid w:val="00C61B75"/>
    <w:rsid w:val="00C61B90"/>
    <w:rsid w:val="00C61CE0"/>
    <w:rsid w:val="00C61D46"/>
    <w:rsid w:val="00C61D8E"/>
    <w:rsid w:val="00C61E18"/>
    <w:rsid w:val="00C61F7B"/>
    <w:rsid w:val="00C61F84"/>
    <w:rsid w:val="00C61F89"/>
    <w:rsid w:val="00C62059"/>
    <w:rsid w:val="00C620A2"/>
    <w:rsid w:val="00C62168"/>
    <w:rsid w:val="00C621EC"/>
    <w:rsid w:val="00C621F3"/>
    <w:rsid w:val="00C62254"/>
    <w:rsid w:val="00C62255"/>
    <w:rsid w:val="00C6229B"/>
    <w:rsid w:val="00C62457"/>
    <w:rsid w:val="00C62555"/>
    <w:rsid w:val="00C62909"/>
    <w:rsid w:val="00C62964"/>
    <w:rsid w:val="00C62A3B"/>
    <w:rsid w:val="00C62B28"/>
    <w:rsid w:val="00C62B3A"/>
    <w:rsid w:val="00C62B3B"/>
    <w:rsid w:val="00C62B75"/>
    <w:rsid w:val="00C62C41"/>
    <w:rsid w:val="00C62C43"/>
    <w:rsid w:val="00C62C79"/>
    <w:rsid w:val="00C62CA7"/>
    <w:rsid w:val="00C62CFE"/>
    <w:rsid w:val="00C62E21"/>
    <w:rsid w:val="00C62F10"/>
    <w:rsid w:val="00C62F9C"/>
    <w:rsid w:val="00C62FF7"/>
    <w:rsid w:val="00C630F6"/>
    <w:rsid w:val="00C6310D"/>
    <w:rsid w:val="00C63135"/>
    <w:rsid w:val="00C6318A"/>
    <w:rsid w:val="00C63241"/>
    <w:rsid w:val="00C632B4"/>
    <w:rsid w:val="00C63312"/>
    <w:rsid w:val="00C63322"/>
    <w:rsid w:val="00C63369"/>
    <w:rsid w:val="00C633CA"/>
    <w:rsid w:val="00C6343C"/>
    <w:rsid w:val="00C635B4"/>
    <w:rsid w:val="00C63607"/>
    <w:rsid w:val="00C63609"/>
    <w:rsid w:val="00C6361B"/>
    <w:rsid w:val="00C6362A"/>
    <w:rsid w:val="00C6369D"/>
    <w:rsid w:val="00C63739"/>
    <w:rsid w:val="00C637DC"/>
    <w:rsid w:val="00C6383C"/>
    <w:rsid w:val="00C63876"/>
    <w:rsid w:val="00C63909"/>
    <w:rsid w:val="00C6397D"/>
    <w:rsid w:val="00C639CD"/>
    <w:rsid w:val="00C63A4A"/>
    <w:rsid w:val="00C63A66"/>
    <w:rsid w:val="00C63C93"/>
    <w:rsid w:val="00C63C98"/>
    <w:rsid w:val="00C63D2C"/>
    <w:rsid w:val="00C63D58"/>
    <w:rsid w:val="00C63D85"/>
    <w:rsid w:val="00C63E5C"/>
    <w:rsid w:val="00C63E70"/>
    <w:rsid w:val="00C63EE8"/>
    <w:rsid w:val="00C64168"/>
    <w:rsid w:val="00C641CE"/>
    <w:rsid w:val="00C6432E"/>
    <w:rsid w:val="00C643C2"/>
    <w:rsid w:val="00C64554"/>
    <w:rsid w:val="00C6458F"/>
    <w:rsid w:val="00C645E4"/>
    <w:rsid w:val="00C6467A"/>
    <w:rsid w:val="00C64715"/>
    <w:rsid w:val="00C64764"/>
    <w:rsid w:val="00C64874"/>
    <w:rsid w:val="00C64880"/>
    <w:rsid w:val="00C64885"/>
    <w:rsid w:val="00C6488D"/>
    <w:rsid w:val="00C64992"/>
    <w:rsid w:val="00C64A19"/>
    <w:rsid w:val="00C64C07"/>
    <w:rsid w:val="00C64CA8"/>
    <w:rsid w:val="00C64CCC"/>
    <w:rsid w:val="00C64D32"/>
    <w:rsid w:val="00C64D55"/>
    <w:rsid w:val="00C64DC2"/>
    <w:rsid w:val="00C64F98"/>
    <w:rsid w:val="00C64FB1"/>
    <w:rsid w:val="00C650AC"/>
    <w:rsid w:val="00C6512B"/>
    <w:rsid w:val="00C6517F"/>
    <w:rsid w:val="00C651C0"/>
    <w:rsid w:val="00C6529F"/>
    <w:rsid w:val="00C6536C"/>
    <w:rsid w:val="00C6536D"/>
    <w:rsid w:val="00C653D3"/>
    <w:rsid w:val="00C653E8"/>
    <w:rsid w:val="00C65439"/>
    <w:rsid w:val="00C6545B"/>
    <w:rsid w:val="00C654C0"/>
    <w:rsid w:val="00C65575"/>
    <w:rsid w:val="00C6558E"/>
    <w:rsid w:val="00C655E0"/>
    <w:rsid w:val="00C65718"/>
    <w:rsid w:val="00C65730"/>
    <w:rsid w:val="00C6582C"/>
    <w:rsid w:val="00C658E4"/>
    <w:rsid w:val="00C658E9"/>
    <w:rsid w:val="00C65930"/>
    <w:rsid w:val="00C659A1"/>
    <w:rsid w:val="00C65BDC"/>
    <w:rsid w:val="00C65C08"/>
    <w:rsid w:val="00C65C11"/>
    <w:rsid w:val="00C65C3D"/>
    <w:rsid w:val="00C65C81"/>
    <w:rsid w:val="00C65D54"/>
    <w:rsid w:val="00C65DAD"/>
    <w:rsid w:val="00C65E03"/>
    <w:rsid w:val="00C65E90"/>
    <w:rsid w:val="00C65F16"/>
    <w:rsid w:val="00C65F63"/>
    <w:rsid w:val="00C65F66"/>
    <w:rsid w:val="00C66082"/>
    <w:rsid w:val="00C66083"/>
    <w:rsid w:val="00C66084"/>
    <w:rsid w:val="00C6613E"/>
    <w:rsid w:val="00C66153"/>
    <w:rsid w:val="00C661A1"/>
    <w:rsid w:val="00C6628C"/>
    <w:rsid w:val="00C662BE"/>
    <w:rsid w:val="00C663C7"/>
    <w:rsid w:val="00C66490"/>
    <w:rsid w:val="00C664A7"/>
    <w:rsid w:val="00C664BB"/>
    <w:rsid w:val="00C66564"/>
    <w:rsid w:val="00C6659B"/>
    <w:rsid w:val="00C66647"/>
    <w:rsid w:val="00C66653"/>
    <w:rsid w:val="00C66659"/>
    <w:rsid w:val="00C6669D"/>
    <w:rsid w:val="00C666A9"/>
    <w:rsid w:val="00C66772"/>
    <w:rsid w:val="00C66774"/>
    <w:rsid w:val="00C667E2"/>
    <w:rsid w:val="00C66827"/>
    <w:rsid w:val="00C66855"/>
    <w:rsid w:val="00C668DD"/>
    <w:rsid w:val="00C669AC"/>
    <w:rsid w:val="00C66A26"/>
    <w:rsid w:val="00C66BA7"/>
    <w:rsid w:val="00C66BE0"/>
    <w:rsid w:val="00C66C25"/>
    <w:rsid w:val="00C66C91"/>
    <w:rsid w:val="00C66CF5"/>
    <w:rsid w:val="00C66CF9"/>
    <w:rsid w:val="00C66D2B"/>
    <w:rsid w:val="00C66D72"/>
    <w:rsid w:val="00C66D9F"/>
    <w:rsid w:val="00C66E04"/>
    <w:rsid w:val="00C66EB7"/>
    <w:rsid w:val="00C66FA3"/>
    <w:rsid w:val="00C66FB6"/>
    <w:rsid w:val="00C67070"/>
    <w:rsid w:val="00C670EB"/>
    <w:rsid w:val="00C67122"/>
    <w:rsid w:val="00C6721A"/>
    <w:rsid w:val="00C67268"/>
    <w:rsid w:val="00C67431"/>
    <w:rsid w:val="00C67445"/>
    <w:rsid w:val="00C67539"/>
    <w:rsid w:val="00C67580"/>
    <w:rsid w:val="00C67591"/>
    <w:rsid w:val="00C675A2"/>
    <w:rsid w:val="00C67688"/>
    <w:rsid w:val="00C6769F"/>
    <w:rsid w:val="00C67733"/>
    <w:rsid w:val="00C677CF"/>
    <w:rsid w:val="00C6781C"/>
    <w:rsid w:val="00C6785C"/>
    <w:rsid w:val="00C67860"/>
    <w:rsid w:val="00C67924"/>
    <w:rsid w:val="00C67A6C"/>
    <w:rsid w:val="00C67AC9"/>
    <w:rsid w:val="00C67B0B"/>
    <w:rsid w:val="00C67C5C"/>
    <w:rsid w:val="00C67C7C"/>
    <w:rsid w:val="00C67CB5"/>
    <w:rsid w:val="00C67D41"/>
    <w:rsid w:val="00C67E48"/>
    <w:rsid w:val="00C67EA1"/>
    <w:rsid w:val="00C7000B"/>
    <w:rsid w:val="00C70237"/>
    <w:rsid w:val="00C70260"/>
    <w:rsid w:val="00C7033B"/>
    <w:rsid w:val="00C70355"/>
    <w:rsid w:val="00C703AE"/>
    <w:rsid w:val="00C703C6"/>
    <w:rsid w:val="00C703EF"/>
    <w:rsid w:val="00C70469"/>
    <w:rsid w:val="00C704C6"/>
    <w:rsid w:val="00C704D4"/>
    <w:rsid w:val="00C7051B"/>
    <w:rsid w:val="00C705D2"/>
    <w:rsid w:val="00C7066D"/>
    <w:rsid w:val="00C7066E"/>
    <w:rsid w:val="00C706A2"/>
    <w:rsid w:val="00C706A3"/>
    <w:rsid w:val="00C706EA"/>
    <w:rsid w:val="00C707B6"/>
    <w:rsid w:val="00C707FB"/>
    <w:rsid w:val="00C7083C"/>
    <w:rsid w:val="00C708F0"/>
    <w:rsid w:val="00C70975"/>
    <w:rsid w:val="00C70A0C"/>
    <w:rsid w:val="00C70AEE"/>
    <w:rsid w:val="00C70B6C"/>
    <w:rsid w:val="00C70BEF"/>
    <w:rsid w:val="00C70C6B"/>
    <w:rsid w:val="00C70D8E"/>
    <w:rsid w:val="00C70E7E"/>
    <w:rsid w:val="00C70EB2"/>
    <w:rsid w:val="00C70ECD"/>
    <w:rsid w:val="00C70EE1"/>
    <w:rsid w:val="00C70EEB"/>
    <w:rsid w:val="00C70F99"/>
    <w:rsid w:val="00C70F9D"/>
    <w:rsid w:val="00C71096"/>
    <w:rsid w:val="00C710EA"/>
    <w:rsid w:val="00C71121"/>
    <w:rsid w:val="00C711C7"/>
    <w:rsid w:val="00C711E9"/>
    <w:rsid w:val="00C711F2"/>
    <w:rsid w:val="00C712A6"/>
    <w:rsid w:val="00C712B3"/>
    <w:rsid w:val="00C71358"/>
    <w:rsid w:val="00C71360"/>
    <w:rsid w:val="00C713B5"/>
    <w:rsid w:val="00C71556"/>
    <w:rsid w:val="00C7159B"/>
    <w:rsid w:val="00C715D7"/>
    <w:rsid w:val="00C715DE"/>
    <w:rsid w:val="00C71622"/>
    <w:rsid w:val="00C71630"/>
    <w:rsid w:val="00C71635"/>
    <w:rsid w:val="00C71694"/>
    <w:rsid w:val="00C7178D"/>
    <w:rsid w:val="00C71862"/>
    <w:rsid w:val="00C7195F"/>
    <w:rsid w:val="00C719A5"/>
    <w:rsid w:val="00C71A33"/>
    <w:rsid w:val="00C71B05"/>
    <w:rsid w:val="00C71B4F"/>
    <w:rsid w:val="00C71BED"/>
    <w:rsid w:val="00C71D15"/>
    <w:rsid w:val="00C71DC0"/>
    <w:rsid w:val="00C71F8D"/>
    <w:rsid w:val="00C71F99"/>
    <w:rsid w:val="00C71FA0"/>
    <w:rsid w:val="00C7200E"/>
    <w:rsid w:val="00C72013"/>
    <w:rsid w:val="00C72067"/>
    <w:rsid w:val="00C7208E"/>
    <w:rsid w:val="00C720A8"/>
    <w:rsid w:val="00C720F2"/>
    <w:rsid w:val="00C72161"/>
    <w:rsid w:val="00C72192"/>
    <w:rsid w:val="00C721B8"/>
    <w:rsid w:val="00C721E0"/>
    <w:rsid w:val="00C7234D"/>
    <w:rsid w:val="00C723C3"/>
    <w:rsid w:val="00C7244E"/>
    <w:rsid w:val="00C72550"/>
    <w:rsid w:val="00C7259D"/>
    <w:rsid w:val="00C726C9"/>
    <w:rsid w:val="00C726D9"/>
    <w:rsid w:val="00C72801"/>
    <w:rsid w:val="00C72882"/>
    <w:rsid w:val="00C72906"/>
    <w:rsid w:val="00C7293C"/>
    <w:rsid w:val="00C72A1D"/>
    <w:rsid w:val="00C72A31"/>
    <w:rsid w:val="00C72A69"/>
    <w:rsid w:val="00C72A93"/>
    <w:rsid w:val="00C72A9B"/>
    <w:rsid w:val="00C72BB9"/>
    <w:rsid w:val="00C72BF3"/>
    <w:rsid w:val="00C72C0A"/>
    <w:rsid w:val="00C72C8A"/>
    <w:rsid w:val="00C72CE7"/>
    <w:rsid w:val="00C72D0B"/>
    <w:rsid w:val="00C72D3C"/>
    <w:rsid w:val="00C72D71"/>
    <w:rsid w:val="00C72F3F"/>
    <w:rsid w:val="00C7303E"/>
    <w:rsid w:val="00C73098"/>
    <w:rsid w:val="00C730B5"/>
    <w:rsid w:val="00C73194"/>
    <w:rsid w:val="00C731C3"/>
    <w:rsid w:val="00C73210"/>
    <w:rsid w:val="00C73246"/>
    <w:rsid w:val="00C7324E"/>
    <w:rsid w:val="00C73253"/>
    <w:rsid w:val="00C73293"/>
    <w:rsid w:val="00C732A8"/>
    <w:rsid w:val="00C733EA"/>
    <w:rsid w:val="00C733F5"/>
    <w:rsid w:val="00C73569"/>
    <w:rsid w:val="00C735A0"/>
    <w:rsid w:val="00C73856"/>
    <w:rsid w:val="00C7389C"/>
    <w:rsid w:val="00C738CD"/>
    <w:rsid w:val="00C73981"/>
    <w:rsid w:val="00C73982"/>
    <w:rsid w:val="00C73A43"/>
    <w:rsid w:val="00C73BD3"/>
    <w:rsid w:val="00C73C66"/>
    <w:rsid w:val="00C73E23"/>
    <w:rsid w:val="00C73E43"/>
    <w:rsid w:val="00C73E67"/>
    <w:rsid w:val="00C73E77"/>
    <w:rsid w:val="00C73F1F"/>
    <w:rsid w:val="00C73F58"/>
    <w:rsid w:val="00C73FAD"/>
    <w:rsid w:val="00C740DF"/>
    <w:rsid w:val="00C7426D"/>
    <w:rsid w:val="00C743F7"/>
    <w:rsid w:val="00C74428"/>
    <w:rsid w:val="00C7448B"/>
    <w:rsid w:val="00C7451F"/>
    <w:rsid w:val="00C745E3"/>
    <w:rsid w:val="00C746A6"/>
    <w:rsid w:val="00C746D4"/>
    <w:rsid w:val="00C74712"/>
    <w:rsid w:val="00C748B0"/>
    <w:rsid w:val="00C74ACE"/>
    <w:rsid w:val="00C74AE1"/>
    <w:rsid w:val="00C74BA3"/>
    <w:rsid w:val="00C74BA8"/>
    <w:rsid w:val="00C74BC7"/>
    <w:rsid w:val="00C74C9F"/>
    <w:rsid w:val="00C74CB7"/>
    <w:rsid w:val="00C74CCB"/>
    <w:rsid w:val="00C74D8C"/>
    <w:rsid w:val="00C74DDD"/>
    <w:rsid w:val="00C74DFF"/>
    <w:rsid w:val="00C74E20"/>
    <w:rsid w:val="00C74EE8"/>
    <w:rsid w:val="00C74FB5"/>
    <w:rsid w:val="00C74FB6"/>
    <w:rsid w:val="00C7505A"/>
    <w:rsid w:val="00C7505B"/>
    <w:rsid w:val="00C750DB"/>
    <w:rsid w:val="00C751EF"/>
    <w:rsid w:val="00C7531F"/>
    <w:rsid w:val="00C75368"/>
    <w:rsid w:val="00C75374"/>
    <w:rsid w:val="00C7558C"/>
    <w:rsid w:val="00C7567A"/>
    <w:rsid w:val="00C7567C"/>
    <w:rsid w:val="00C756C7"/>
    <w:rsid w:val="00C756E8"/>
    <w:rsid w:val="00C757B8"/>
    <w:rsid w:val="00C7581E"/>
    <w:rsid w:val="00C75881"/>
    <w:rsid w:val="00C7588B"/>
    <w:rsid w:val="00C7593F"/>
    <w:rsid w:val="00C7597F"/>
    <w:rsid w:val="00C75A0F"/>
    <w:rsid w:val="00C75AD4"/>
    <w:rsid w:val="00C75AE8"/>
    <w:rsid w:val="00C75B97"/>
    <w:rsid w:val="00C75C28"/>
    <w:rsid w:val="00C75C2B"/>
    <w:rsid w:val="00C75CB6"/>
    <w:rsid w:val="00C75CBD"/>
    <w:rsid w:val="00C75DBE"/>
    <w:rsid w:val="00C75E49"/>
    <w:rsid w:val="00C75E97"/>
    <w:rsid w:val="00C75EC1"/>
    <w:rsid w:val="00C75F1C"/>
    <w:rsid w:val="00C75F4C"/>
    <w:rsid w:val="00C75F51"/>
    <w:rsid w:val="00C75F7E"/>
    <w:rsid w:val="00C75FC7"/>
    <w:rsid w:val="00C7601C"/>
    <w:rsid w:val="00C7605A"/>
    <w:rsid w:val="00C7608F"/>
    <w:rsid w:val="00C7615D"/>
    <w:rsid w:val="00C7635F"/>
    <w:rsid w:val="00C76368"/>
    <w:rsid w:val="00C76385"/>
    <w:rsid w:val="00C763B4"/>
    <w:rsid w:val="00C76434"/>
    <w:rsid w:val="00C764B2"/>
    <w:rsid w:val="00C764C6"/>
    <w:rsid w:val="00C7652B"/>
    <w:rsid w:val="00C765A1"/>
    <w:rsid w:val="00C765E8"/>
    <w:rsid w:val="00C766B1"/>
    <w:rsid w:val="00C76714"/>
    <w:rsid w:val="00C7683C"/>
    <w:rsid w:val="00C7689E"/>
    <w:rsid w:val="00C76906"/>
    <w:rsid w:val="00C7693B"/>
    <w:rsid w:val="00C76985"/>
    <w:rsid w:val="00C769BF"/>
    <w:rsid w:val="00C76AF8"/>
    <w:rsid w:val="00C76B4A"/>
    <w:rsid w:val="00C76B5C"/>
    <w:rsid w:val="00C76B7C"/>
    <w:rsid w:val="00C76BA9"/>
    <w:rsid w:val="00C76BDA"/>
    <w:rsid w:val="00C76C56"/>
    <w:rsid w:val="00C76C82"/>
    <w:rsid w:val="00C76CC7"/>
    <w:rsid w:val="00C76E5C"/>
    <w:rsid w:val="00C76E7C"/>
    <w:rsid w:val="00C76F0F"/>
    <w:rsid w:val="00C76F81"/>
    <w:rsid w:val="00C77092"/>
    <w:rsid w:val="00C770C7"/>
    <w:rsid w:val="00C77156"/>
    <w:rsid w:val="00C771C3"/>
    <w:rsid w:val="00C77266"/>
    <w:rsid w:val="00C77283"/>
    <w:rsid w:val="00C77294"/>
    <w:rsid w:val="00C772F7"/>
    <w:rsid w:val="00C77484"/>
    <w:rsid w:val="00C775DC"/>
    <w:rsid w:val="00C7762D"/>
    <w:rsid w:val="00C776A4"/>
    <w:rsid w:val="00C776CF"/>
    <w:rsid w:val="00C77756"/>
    <w:rsid w:val="00C7775C"/>
    <w:rsid w:val="00C77849"/>
    <w:rsid w:val="00C778D9"/>
    <w:rsid w:val="00C779B4"/>
    <w:rsid w:val="00C779FC"/>
    <w:rsid w:val="00C77A8A"/>
    <w:rsid w:val="00C77B2A"/>
    <w:rsid w:val="00C77BDA"/>
    <w:rsid w:val="00C77CA5"/>
    <w:rsid w:val="00C77D15"/>
    <w:rsid w:val="00C77D42"/>
    <w:rsid w:val="00C77F29"/>
    <w:rsid w:val="00C80076"/>
    <w:rsid w:val="00C80081"/>
    <w:rsid w:val="00C800DD"/>
    <w:rsid w:val="00C800FD"/>
    <w:rsid w:val="00C80142"/>
    <w:rsid w:val="00C8019C"/>
    <w:rsid w:val="00C80202"/>
    <w:rsid w:val="00C80219"/>
    <w:rsid w:val="00C80226"/>
    <w:rsid w:val="00C80232"/>
    <w:rsid w:val="00C80282"/>
    <w:rsid w:val="00C8028F"/>
    <w:rsid w:val="00C8030A"/>
    <w:rsid w:val="00C80322"/>
    <w:rsid w:val="00C804BE"/>
    <w:rsid w:val="00C805B1"/>
    <w:rsid w:val="00C807C4"/>
    <w:rsid w:val="00C8083D"/>
    <w:rsid w:val="00C808B2"/>
    <w:rsid w:val="00C808E3"/>
    <w:rsid w:val="00C80920"/>
    <w:rsid w:val="00C809D5"/>
    <w:rsid w:val="00C80A5C"/>
    <w:rsid w:val="00C80A90"/>
    <w:rsid w:val="00C80B03"/>
    <w:rsid w:val="00C80C7E"/>
    <w:rsid w:val="00C80C88"/>
    <w:rsid w:val="00C80E29"/>
    <w:rsid w:val="00C80F05"/>
    <w:rsid w:val="00C81127"/>
    <w:rsid w:val="00C81132"/>
    <w:rsid w:val="00C81140"/>
    <w:rsid w:val="00C8117E"/>
    <w:rsid w:val="00C81194"/>
    <w:rsid w:val="00C8123D"/>
    <w:rsid w:val="00C81387"/>
    <w:rsid w:val="00C813A4"/>
    <w:rsid w:val="00C814FD"/>
    <w:rsid w:val="00C8158E"/>
    <w:rsid w:val="00C815C6"/>
    <w:rsid w:val="00C8160A"/>
    <w:rsid w:val="00C81639"/>
    <w:rsid w:val="00C816BC"/>
    <w:rsid w:val="00C81731"/>
    <w:rsid w:val="00C8186A"/>
    <w:rsid w:val="00C81893"/>
    <w:rsid w:val="00C819EA"/>
    <w:rsid w:val="00C81A2F"/>
    <w:rsid w:val="00C81A3A"/>
    <w:rsid w:val="00C81ACF"/>
    <w:rsid w:val="00C81AD7"/>
    <w:rsid w:val="00C81B22"/>
    <w:rsid w:val="00C81B9B"/>
    <w:rsid w:val="00C81BD4"/>
    <w:rsid w:val="00C81C36"/>
    <w:rsid w:val="00C81C46"/>
    <w:rsid w:val="00C81CFB"/>
    <w:rsid w:val="00C81DF7"/>
    <w:rsid w:val="00C81E4B"/>
    <w:rsid w:val="00C81E64"/>
    <w:rsid w:val="00C81E8A"/>
    <w:rsid w:val="00C81F20"/>
    <w:rsid w:val="00C82012"/>
    <w:rsid w:val="00C82202"/>
    <w:rsid w:val="00C822C1"/>
    <w:rsid w:val="00C822E9"/>
    <w:rsid w:val="00C82302"/>
    <w:rsid w:val="00C82331"/>
    <w:rsid w:val="00C8238F"/>
    <w:rsid w:val="00C8243F"/>
    <w:rsid w:val="00C8244D"/>
    <w:rsid w:val="00C824C3"/>
    <w:rsid w:val="00C8254B"/>
    <w:rsid w:val="00C825CF"/>
    <w:rsid w:val="00C825DF"/>
    <w:rsid w:val="00C82748"/>
    <w:rsid w:val="00C8278D"/>
    <w:rsid w:val="00C827CD"/>
    <w:rsid w:val="00C8289B"/>
    <w:rsid w:val="00C82942"/>
    <w:rsid w:val="00C8295C"/>
    <w:rsid w:val="00C82990"/>
    <w:rsid w:val="00C82A13"/>
    <w:rsid w:val="00C82AAB"/>
    <w:rsid w:val="00C82AD3"/>
    <w:rsid w:val="00C82AF4"/>
    <w:rsid w:val="00C82B1D"/>
    <w:rsid w:val="00C82C19"/>
    <w:rsid w:val="00C82C8D"/>
    <w:rsid w:val="00C82CA6"/>
    <w:rsid w:val="00C82CC5"/>
    <w:rsid w:val="00C82D05"/>
    <w:rsid w:val="00C82D23"/>
    <w:rsid w:val="00C82D54"/>
    <w:rsid w:val="00C82F3B"/>
    <w:rsid w:val="00C82FA4"/>
    <w:rsid w:val="00C82FF4"/>
    <w:rsid w:val="00C83005"/>
    <w:rsid w:val="00C8301A"/>
    <w:rsid w:val="00C83026"/>
    <w:rsid w:val="00C83094"/>
    <w:rsid w:val="00C83120"/>
    <w:rsid w:val="00C83183"/>
    <w:rsid w:val="00C83257"/>
    <w:rsid w:val="00C833EA"/>
    <w:rsid w:val="00C83483"/>
    <w:rsid w:val="00C8354C"/>
    <w:rsid w:val="00C83564"/>
    <w:rsid w:val="00C835CD"/>
    <w:rsid w:val="00C835ED"/>
    <w:rsid w:val="00C8369A"/>
    <w:rsid w:val="00C837A0"/>
    <w:rsid w:val="00C837A1"/>
    <w:rsid w:val="00C837C4"/>
    <w:rsid w:val="00C837DE"/>
    <w:rsid w:val="00C837F3"/>
    <w:rsid w:val="00C837FA"/>
    <w:rsid w:val="00C83829"/>
    <w:rsid w:val="00C83929"/>
    <w:rsid w:val="00C839F9"/>
    <w:rsid w:val="00C83A56"/>
    <w:rsid w:val="00C83AC7"/>
    <w:rsid w:val="00C83B69"/>
    <w:rsid w:val="00C83BB0"/>
    <w:rsid w:val="00C83C29"/>
    <w:rsid w:val="00C83D12"/>
    <w:rsid w:val="00C83E3F"/>
    <w:rsid w:val="00C83EA5"/>
    <w:rsid w:val="00C83EAF"/>
    <w:rsid w:val="00C83EDD"/>
    <w:rsid w:val="00C83EEA"/>
    <w:rsid w:val="00C83F7E"/>
    <w:rsid w:val="00C83FAB"/>
    <w:rsid w:val="00C84032"/>
    <w:rsid w:val="00C84044"/>
    <w:rsid w:val="00C8406B"/>
    <w:rsid w:val="00C841C2"/>
    <w:rsid w:val="00C841FA"/>
    <w:rsid w:val="00C84204"/>
    <w:rsid w:val="00C84209"/>
    <w:rsid w:val="00C84279"/>
    <w:rsid w:val="00C842DF"/>
    <w:rsid w:val="00C84376"/>
    <w:rsid w:val="00C8439B"/>
    <w:rsid w:val="00C843D9"/>
    <w:rsid w:val="00C8454C"/>
    <w:rsid w:val="00C846A4"/>
    <w:rsid w:val="00C84834"/>
    <w:rsid w:val="00C84875"/>
    <w:rsid w:val="00C84AAC"/>
    <w:rsid w:val="00C84BF1"/>
    <w:rsid w:val="00C84C31"/>
    <w:rsid w:val="00C84CA2"/>
    <w:rsid w:val="00C84DBB"/>
    <w:rsid w:val="00C84FF6"/>
    <w:rsid w:val="00C852E7"/>
    <w:rsid w:val="00C853B7"/>
    <w:rsid w:val="00C85468"/>
    <w:rsid w:val="00C8549F"/>
    <w:rsid w:val="00C854D7"/>
    <w:rsid w:val="00C8552F"/>
    <w:rsid w:val="00C85554"/>
    <w:rsid w:val="00C855A8"/>
    <w:rsid w:val="00C85642"/>
    <w:rsid w:val="00C85767"/>
    <w:rsid w:val="00C8584A"/>
    <w:rsid w:val="00C8594D"/>
    <w:rsid w:val="00C859F1"/>
    <w:rsid w:val="00C85A2D"/>
    <w:rsid w:val="00C85A36"/>
    <w:rsid w:val="00C85A88"/>
    <w:rsid w:val="00C85B46"/>
    <w:rsid w:val="00C85B62"/>
    <w:rsid w:val="00C85BED"/>
    <w:rsid w:val="00C85BF5"/>
    <w:rsid w:val="00C85C6C"/>
    <w:rsid w:val="00C85C86"/>
    <w:rsid w:val="00C85CB0"/>
    <w:rsid w:val="00C85CB7"/>
    <w:rsid w:val="00C85CD1"/>
    <w:rsid w:val="00C85D62"/>
    <w:rsid w:val="00C85E93"/>
    <w:rsid w:val="00C85EA4"/>
    <w:rsid w:val="00C85F01"/>
    <w:rsid w:val="00C85F27"/>
    <w:rsid w:val="00C85F28"/>
    <w:rsid w:val="00C8601D"/>
    <w:rsid w:val="00C8608E"/>
    <w:rsid w:val="00C860F1"/>
    <w:rsid w:val="00C86108"/>
    <w:rsid w:val="00C86145"/>
    <w:rsid w:val="00C861E9"/>
    <w:rsid w:val="00C86251"/>
    <w:rsid w:val="00C862DF"/>
    <w:rsid w:val="00C86414"/>
    <w:rsid w:val="00C8645F"/>
    <w:rsid w:val="00C8648C"/>
    <w:rsid w:val="00C8649A"/>
    <w:rsid w:val="00C86554"/>
    <w:rsid w:val="00C865C0"/>
    <w:rsid w:val="00C8683E"/>
    <w:rsid w:val="00C8689C"/>
    <w:rsid w:val="00C868F0"/>
    <w:rsid w:val="00C8698F"/>
    <w:rsid w:val="00C869DE"/>
    <w:rsid w:val="00C86A6C"/>
    <w:rsid w:val="00C86BCE"/>
    <w:rsid w:val="00C86BD4"/>
    <w:rsid w:val="00C86C56"/>
    <w:rsid w:val="00C86CE7"/>
    <w:rsid w:val="00C86D31"/>
    <w:rsid w:val="00C86E17"/>
    <w:rsid w:val="00C86E28"/>
    <w:rsid w:val="00C86EE6"/>
    <w:rsid w:val="00C86FD6"/>
    <w:rsid w:val="00C87040"/>
    <w:rsid w:val="00C870B3"/>
    <w:rsid w:val="00C8710E"/>
    <w:rsid w:val="00C8711B"/>
    <w:rsid w:val="00C87153"/>
    <w:rsid w:val="00C87205"/>
    <w:rsid w:val="00C87358"/>
    <w:rsid w:val="00C876C5"/>
    <w:rsid w:val="00C8773E"/>
    <w:rsid w:val="00C87795"/>
    <w:rsid w:val="00C877CB"/>
    <w:rsid w:val="00C87AE2"/>
    <w:rsid w:val="00C87AFD"/>
    <w:rsid w:val="00C87BD3"/>
    <w:rsid w:val="00C87C4B"/>
    <w:rsid w:val="00C87C85"/>
    <w:rsid w:val="00C87C97"/>
    <w:rsid w:val="00C87D15"/>
    <w:rsid w:val="00C87DD7"/>
    <w:rsid w:val="00C87E08"/>
    <w:rsid w:val="00C87E8E"/>
    <w:rsid w:val="00C87E94"/>
    <w:rsid w:val="00C87F21"/>
    <w:rsid w:val="00C87F47"/>
    <w:rsid w:val="00C87F69"/>
    <w:rsid w:val="00C87FD8"/>
    <w:rsid w:val="00C9013E"/>
    <w:rsid w:val="00C901FB"/>
    <w:rsid w:val="00C90236"/>
    <w:rsid w:val="00C90273"/>
    <w:rsid w:val="00C90290"/>
    <w:rsid w:val="00C903B9"/>
    <w:rsid w:val="00C9056C"/>
    <w:rsid w:val="00C905E2"/>
    <w:rsid w:val="00C905FE"/>
    <w:rsid w:val="00C90601"/>
    <w:rsid w:val="00C906EF"/>
    <w:rsid w:val="00C90720"/>
    <w:rsid w:val="00C90748"/>
    <w:rsid w:val="00C90776"/>
    <w:rsid w:val="00C907E2"/>
    <w:rsid w:val="00C9080E"/>
    <w:rsid w:val="00C9086F"/>
    <w:rsid w:val="00C9092B"/>
    <w:rsid w:val="00C90972"/>
    <w:rsid w:val="00C909BD"/>
    <w:rsid w:val="00C90AAD"/>
    <w:rsid w:val="00C90AB9"/>
    <w:rsid w:val="00C90B93"/>
    <w:rsid w:val="00C90BB2"/>
    <w:rsid w:val="00C90C14"/>
    <w:rsid w:val="00C90D16"/>
    <w:rsid w:val="00C90D87"/>
    <w:rsid w:val="00C90D95"/>
    <w:rsid w:val="00C90ED4"/>
    <w:rsid w:val="00C90F36"/>
    <w:rsid w:val="00C90F3E"/>
    <w:rsid w:val="00C90FD8"/>
    <w:rsid w:val="00C90FEB"/>
    <w:rsid w:val="00C91021"/>
    <w:rsid w:val="00C91024"/>
    <w:rsid w:val="00C9107D"/>
    <w:rsid w:val="00C910FB"/>
    <w:rsid w:val="00C9116A"/>
    <w:rsid w:val="00C911AB"/>
    <w:rsid w:val="00C91204"/>
    <w:rsid w:val="00C912A0"/>
    <w:rsid w:val="00C9131B"/>
    <w:rsid w:val="00C913A0"/>
    <w:rsid w:val="00C913BC"/>
    <w:rsid w:val="00C9140E"/>
    <w:rsid w:val="00C9148F"/>
    <w:rsid w:val="00C91494"/>
    <w:rsid w:val="00C914B6"/>
    <w:rsid w:val="00C914E7"/>
    <w:rsid w:val="00C9166C"/>
    <w:rsid w:val="00C916D7"/>
    <w:rsid w:val="00C916E8"/>
    <w:rsid w:val="00C917DF"/>
    <w:rsid w:val="00C91895"/>
    <w:rsid w:val="00C9196F"/>
    <w:rsid w:val="00C91A93"/>
    <w:rsid w:val="00C91B35"/>
    <w:rsid w:val="00C91C03"/>
    <w:rsid w:val="00C91CF6"/>
    <w:rsid w:val="00C91E52"/>
    <w:rsid w:val="00C91EB9"/>
    <w:rsid w:val="00C91EBB"/>
    <w:rsid w:val="00C91EDF"/>
    <w:rsid w:val="00C91F12"/>
    <w:rsid w:val="00C91FEA"/>
    <w:rsid w:val="00C91FFF"/>
    <w:rsid w:val="00C9201D"/>
    <w:rsid w:val="00C92219"/>
    <w:rsid w:val="00C92253"/>
    <w:rsid w:val="00C9229C"/>
    <w:rsid w:val="00C92458"/>
    <w:rsid w:val="00C92466"/>
    <w:rsid w:val="00C92482"/>
    <w:rsid w:val="00C924EA"/>
    <w:rsid w:val="00C9251E"/>
    <w:rsid w:val="00C925B5"/>
    <w:rsid w:val="00C925C5"/>
    <w:rsid w:val="00C9265D"/>
    <w:rsid w:val="00C92771"/>
    <w:rsid w:val="00C92772"/>
    <w:rsid w:val="00C927BD"/>
    <w:rsid w:val="00C927C3"/>
    <w:rsid w:val="00C927E6"/>
    <w:rsid w:val="00C92824"/>
    <w:rsid w:val="00C92887"/>
    <w:rsid w:val="00C92896"/>
    <w:rsid w:val="00C92A5F"/>
    <w:rsid w:val="00C92A9D"/>
    <w:rsid w:val="00C92B97"/>
    <w:rsid w:val="00C92BB0"/>
    <w:rsid w:val="00C92C42"/>
    <w:rsid w:val="00C92CEA"/>
    <w:rsid w:val="00C92DE2"/>
    <w:rsid w:val="00C92EB7"/>
    <w:rsid w:val="00C92EBB"/>
    <w:rsid w:val="00C92EC2"/>
    <w:rsid w:val="00C930C9"/>
    <w:rsid w:val="00C9310F"/>
    <w:rsid w:val="00C931B6"/>
    <w:rsid w:val="00C931D8"/>
    <w:rsid w:val="00C9332F"/>
    <w:rsid w:val="00C93373"/>
    <w:rsid w:val="00C933C0"/>
    <w:rsid w:val="00C934B2"/>
    <w:rsid w:val="00C9357E"/>
    <w:rsid w:val="00C935D5"/>
    <w:rsid w:val="00C93652"/>
    <w:rsid w:val="00C9368F"/>
    <w:rsid w:val="00C936BB"/>
    <w:rsid w:val="00C936D1"/>
    <w:rsid w:val="00C93741"/>
    <w:rsid w:val="00C937BA"/>
    <w:rsid w:val="00C9385C"/>
    <w:rsid w:val="00C93906"/>
    <w:rsid w:val="00C93912"/>
    <w:rsid w:val="00C93A47"/>
    <w:rsid w:val="00C93A4C"/>
    <w:rsid w:val="00C93ACE"/>
    <w:rsid w:val="00C93B0C"/>
    <w:rsid w:val="00C93B30"/>
    <w:rsid w:val="00C93C40"/>
    <w:rsid w:val="00C93CBA"/>
    <w:rsid w:val="00C93CCF"/>
    <w:rsid w:val="00C93CEA"/>
    <w:rsid w:val="00C93DF6"/>
    <w:rsid w:val="00C93E13"/>
    <w:rsid w:val="00C93E4A"/>
    <w:rsid w:val="00C93EA4"/>
    <w:rsid w:val="00C93ED1"/>
    <w:rsid w:val="00C93F55"/>
    <w:rsid w:val="00C93FB7"/>
    <w:rsid w:val="00C9412B"/>
    <w:rsid w:val="00C941A3"/>
    <w:rsid w:val="00C94260"/>
    <w:rsid w:val="00C9426B"/>
    <w:rsid w:val="00C94352"/>
    <w:rsid w:val="00C944EB"/>
    <w:rsid w:val="00C9453E"/>
    <w:rsid w:val="00C94631"/>
    <w:rsid w:val="00C9469F"/>
    <w:rsid w:val="00C94734"/>
    <w:rsid w:val="00C94794"/>
    <w:rsid w:val="00C94869"/>
    <w:rsid w:val="00C949E6"/>
    <w:rsid w:val="00C949FC"/>
    <w:rsid w:val="00C94A73"/>
    <w:rsid w:val="00C94A9F"/>
    <w:rsid w:val="00C94AA6"/>
    <w:rsid w:val="00C94B8D"/>
    <w:rsid w:val="00C94BD5"/>
    <w:rsid w:val="00C94CB6"/>
    <w:rsid w:val="00C94D04"/>
    <w:rsid w:val="00C94D17"/>
    <w:rsid w:val="00C94DBD"/>
    <w:rsid w:val="00C94DF0"/>
    <w:rsid w:val="00C94E37"/>
    <w:rsid w:val="00C94E46"/>
    <w:rsid w:val="00C94E90"/>
    <w:rsid w:val="00C94F2F"/>
    <w:rsid w:val="00C94F72"/>
    <w:rsid w:val="00C95016"/>
    <w:rsid w:val="00C95040"/>
    <w:rsid w:val="00C950DB"/>
    <w:rsid w:val="00C950FE"/>
    <w:rsid w:val="00C95127"/>
    <w:rsid w:val="00C95175"/>
    <w:rsid w:val="00C95246"/>
    <w:rsid w:val="00C9534F"/>
    <w:rsid w:val="00C95354"/>
    <w:rsid w:val="00C953A5"/>
    <w:rsid w:val="00C953B3"/>
    <w:rsid w:val="00C95411"/>
    <w:rsid w:val="00C9549F"/>
    <w:rsid w:val="00C95778"/>
    <w:rsid w:val="00C9577F"/>
    <w:rsid w:val="00C957B6"/>
    <w:rsid w:val="00C95A29"/>
    <w:rsid w:val="00C95A6F"/>
    <w:rsid w:val="00C95B8F"/>
    <w:rsid w:val="00C95BA0"/>
    <w:rsid w:val="00C95C05"/>
    <w:rsid w:val="00C95CD1"/>
    <w:rsid w:val="00C95CE3"/>
    <w:rsid w:val="00C95CE7"/>
    <w:rsid w:val="00C95D2C"/>
    <w:rsid w:val="00C95D46"/>
    <w:rsid w:val="00C95D8C"/>
    <w:rsid w:val="00C95D94"/>
    <w:rsid w:val="00C95D9C"/>
    <w:rsid w:val="00C95E8F"/>
    <w:rsid w:val="00C95E96"/>
    <w:rsid w:val="00C95F9B"/>
    <w:rsid w:val="00C95FCE"/>
    <w:rsid w:val="00C960CF"/>
    <w:rsid w:val="00C9613C"/>
    <w:rsid w:val="00C96159"/>
    <w:rsid w:val="00C96176"/>
    <w:rsid w:val="00C9626F"/>
    <w:rsid w:val="00C962AD"/>
    <w:rsid w:val="00C962DB"/>
    <w:rsid w:val="00C96324"/>
    <w:rsid w:val="00C9633A"/>
    <w:rsid w:val="00C9639E"/>
    <w:rsid w:val="00C963A4"/>
    <w:rsid w:val="00C963D8"/>
    <w:rsid w:val="00C964B6"/>
    <w:rsid w:val="00C9656C"/>
    <w:rsid w:val="00C96617"/>
    <w:rsid w:val="00C96672"/>
    <w:rsid w:val="00C96678"/>
    <w:rsid w:val="00C966B9"/>
    <w:rsid w:val="00C96714"/>
    <w:rsid w:val="00C96772"/>
    <w:rsid w:val="00C967AD"/>
    <w:rsid w:val="00C967BC"/>
    <w:rsid w:val="00C96865"/>
    <w:rsid w:val="00C968DA"/>
    <w:rsid w:val="00C96904"/>
    <w:rsid w:val="00C969C0"/>
    <w:rsid w:val="00C969CC"/>
    <w:rsid w:val="00C969E4"/>
    <w:rsid w:val="00C96BC5"/>
    <w:rsid w:val="00C96C6C"/>
    <w:rsid w:val="00C96CF5"/>
    <w:rsid w:val="00C96CFA"/>
    <w:rsid w:val="00C96DBA"/>
    <w:rsid w:val="00C96DE9"/>
    <w:rsid w:val="00C96E5A"/>
    <w:rsid w:val="00C96EB5"/>
    <w:rsid w:val="00C96F3B"/>
    <w:rsid w:val="00C96FB0"/>
    <w:rsid w:val="00C971C6"/>
    <w:rsid w:val="00C97247"/>
    <w:rsid w:val="00C97330"/>
    <w:rsid w:val="00C97393"/>
    <w:rsid w:val="00C9741D"/>
    <w:rsid w:val="00C975A9"/>
    <w:rsid w:val="00C97747"/>
    <w:rsid w:val="00C977DA"/>
    <w:rsid w:val="00C977E9"/>
    <w:rsid w:val="00C978E8"/>
    <w:rsid w:val="00C97C17"/>
    <w:rsid w:val="00C97C56"/>
    <w:rsid w:val="00C97D12"/>
    <w:rsid w:val="00C97E37"/>
    <w:rsid w:val="00C97E3B"/>
    <w:rsid w:val="00C97F1E"/>
    <w:rsid w:val="00C97F95"/>
    <w:rsid w:val="00CA00B3"/>
    <w:rsid w:val="00CA01C5"/>
    <w:rsid w:val="00CA01F2"/>
    <w:rsid w:val="00CA0257"/>
    <w:rsid w:val="00CA03A9"/>
    <w:rsid w:val="00CA03CF"/>
    <w:rsid w:val="00CA0437"/>
    <w:rsid w:val="00CA0483"/>
    <w:rsid w:val="00CA068B"/>
    <w:rsid w:val="00CA0698"/>
    <w:rsid w:val="00CA071C"/>
    <w:rsid w:val="00CA08C8"/>
    <w:rsid w:val="00CA0917"/>
    <w:rsid w:val="00CA0A96"/>
    <w:rsid w:val="00CA0AB0"/>
    <w:rsid w:val="00CA0B53"/>
    <w:rsid w:val="00CA0C24"/>
    <w:rsid w:val="00CA0E21"/>
    <w:rsid w:val="00CA102B"/>
    <w:rsid w:val="00CA12B8"/>
    <w:rsid w:val="00CA12C1"/>
    <w:rsid w:val="00CA149A"/>
    <w:rsid w:val="00CA14F1"/>
    <w:rsid w:val="00CA153C"/>
    <w:rsid w:val="00CA1552"/>
    <w:rsid w:val="00CA15A4"/>
    <w:rsid w:val="00CA16DD"/>
    <w:rsid w:val="00CA1709"/>
    <w:rsid w:val="00CA17C1"/>
    <w:rsid w:val="00CA1811"/>
    <w:rsid w:val="00CA186C"/>
    <w:rsid w:val="00CA1953"/>
    <w:rsid w:val="00CA1B64"/>
    <w:rsid w:val="00CA1BC6"/>
    <w:rsid w:val="00CA1C27"/>
    <w:rsid w:val="00CA1C60"/>
    <w:rsid w:val="00CA1C80"/>
    <w:rsid w:val="00CA1CDA"/>
    <w:rsid w:val="00CA1D54"/>
    <w:rsid w:val="00CA1DE7"/>
    <w:rsid w:val="00CA1E8D"/>
    <w:rsid w:val="00CA1E9D"/>
    <w:rsid w:val="00CA1EBD"/>
    <w:rsid w:val="00CA1EC5"/>
    <w:rsid w:val="00CA1F6C"/>
    <w:rsid w:val="00CA20F0"/>
    <w:rsid w:val="00CA2273"/>
    <w:rsid w:val="00CA2396"/>
    <w:rsid w:val="00CA2399"/>
    <w:rsid w:val="00CA2438"/>
    <w:rsid w:val="00CA2463"/>
    <w:rsid w:val="00CA2531"/>
    <w:rsid w:val="00CA254A"/>
    <w:rsid w:val="00CA25E9"/>
    <w:rsid w:val="00CA2637"/>
    <w:rsid w:val="00CA2643"/>
    <w:rsid w:val="00CA270D"/>
    <w:rsid w:val="00CA2711"/>
    <w:rsid w:val="00CA273A"/>
    <w:rsid w:val="00CA281C"/>
    <w:rsid w:val="00CA283D"/>
    <w:rsid w:val="00CA28B0"/>
    <w:rsid w:val="00CA29D1"/>
    <w:rsid w:val="00CA29EC"/>
    <w:rsid w:val="00CA2BEE"/>
    <w:rsid w:val="00CA2CD9"/>
    <w:rsid w:val="00CA2D9D"/>
    <w:rsid w:val="00CA2DD6"/>
    <w:rsid w:val="00CA2E53"/>
    <w:rsid w:val="00CA2E7F"/>
    <w:rsid w:val="00CA2E83"/>
    <w:rsid w:val="00CA2E8F"/>
    <w:rsid w:val="00CA2EC1"/>
    <w:rsid w:val="00CA2F94"/>
    <w:rsid w:val="00CA2FA2"/>
    <w:rsid w:val="00CA2FBE"/>
    <w:rsid w:val="00CA2FEA"/>
    <w:rsid w:val="00CA30CE"/>
    <w:rsid w:val="00CA315E"/>
    <w:rsid w:val="00CA31FE"/>
    <w:rsid w:val="00CA31FF"/>
    <w:rsid w:val="00CA3247"/>
    <w:rsid w:val="00CA3250"/>
    <w:rsid w:val="00CA325E"/>
    <w:rsid w:val="00CA32F2"/>
    <w:rsid w:val="00CA32FC"/>
    <w:rsid w:val="00CA3340"/>
    <w:rsid w:val="00CA341B"/>
    <w:rsid w:val="00CA3497"/>
    <w:rsid w:val="00CA35EE"/>
    <w:rsid w:val="00CA3615"/>
    <w:rsid w:val="00CA363A"/>
    <w:rsid w:val="00CA36A1"/>
    <w:rsid w:val="00CA3752"/>
    <w:rsid w:val="00CA377C"/>
    <w:rsid w:val="00CA38DC"/>
    <w:rsid w:val="00CA38DE"/>
    <w:rsid w:val="00CA38EA"/>
    <w:rsid w:val="00CA3905"/>
    <w:rsid w:val="00CA3920"/>
    <w:rsid w:val="00CA3999"/>
    <w:rsid w:val="00CA39C0"/>
    <w:rsid w:val="00CA3A94"/>
    <w:rsid w:val="00CA3AD9"/>
    <w:rsid w:val="00CA3AF6"/>
    <w:rsid w:val="00CA3B0F"/>
    <w:rsid w:val="00CA3C85"/>
    <w:rsid w:val="00CA3D05"/>
    <w:rsid w:val="00CA3D58"/>
    <w:rsid w:val="00CA3E01"/>
    <w:rsid w:val="00CA3EB3"/>
    <w:rsid w:val="00CA3F14"/>
    <w:rsid w:val="00CA3F76"/>
    <w:rsid w:val="00CA4171"/>
    <w:rsid w:val="00CA4197"/>
    <w:rsid w:val="00CA4214"/>
    <w:rsid w:val="00CA42F2"/>
    <w:rsid w:val="00CA4354"/>
    <w:rsid w:val="00CA4368"/>
    <w:rsid w:val="00CA43B6"/>
    <w:rsid w:val="00CA4483"/>
    <w:rsid w:val="00CA4553"/>
    <w:rsid w:val="00CA4595"/>
    <w:rsid w:val="00CA466A"/>
    <w:rsid w:val="00CA478B"/>
    <w:rsid w:val="00CA4842"/>
    <w:rsid w:val="00CA487D"/>
    <w:rsid w:val="00CA4982"/>
    <w:rsid w:val="00CA4993"/>
    <w:rsid w:val="00CA4A2B"/>
    <w:rsid w:val="00CA4A92"/>
    <w:rsid w:val="00CA4B3F"/>
    <w:rsid w:val="00CA4B6B"/>
    <w:rsid w:val="00CA4B71"/>
    <w:rsid w:val="00CA4B76"/>
    <w:rsid w:val="00CA4E2B"/>
    <w:rsid w:val="00CA4EB3"/>
    <w:rsid w:val="00CA5014"/>
    <w:rsid w:val="00CA5039"/>
    <w:rsid w:val="00CA51B1"/>
    <w:rsid w:val="00CA51B2"/>
    <w:rsid w:val="00CA51ED"/>
    <w:rsid w:val="00CA5231"/>
    <w:rsid w:val="00CA52B8"/>
    <w:rsid w:val="00CA52CE"/>
    <w:rsid w:val="00CA52FB"/>
    <w:rsid w:val="00CA5386"/>
    <w:rsid w:val="00CA53D1"/>
    <w:rsid w:val="00CA54F4"/>
    <w:rsid w:val="00CA5511"/>
    <w:rsid w:val="00CA55F4"/>
    <w:rsid w:val="00CA5605"/>
    <w:rsid w:val="00CA5650"/>
    <w:rsid w:val="00CA567C"/>
    <w:rsid w:val="00CA56AD"/>
    <w:rsid w:val="00CA56C6"/>
    <w:rsid w:val="00CA5725"/>
    <w:rsid w:val="00CA594F"/>
    <w:rsid w:val="00CA5A22"/>
    <w:rsid w:val="00CA5AD3"/>
    <w:rsid w:val="00CA5B52"/>
    <w:rsid w:val="00CA5B83"/>
    <w:rsid w:val="00CA5B8D"/>
    <w:rsid w:val="00CA5BDA"/>
    <w:rsid w:val="00CA5BFB"/>
    <w:rsid w:val="00CA5C80"/>
    <w:rsid w:val="00CA5E68"/>
    <w:rsid w:val="00CA5F58"/>
    <w:rsid w:val="00CA605A"/>
    <w:rsid w:val="00CA625A"/>
    <w:rsid w:val="00CA6260"/>
    <w:rsid w:val="00CA62DA"/>
    <w:rsid w:val="00CA62DD"/>
    <w:rsid w:val="00CA63C9"/>
    <w:rsid w:val="00CA650B"/>
    <w:rsid w:val="00CA65EC"/>
    <w:rsid w:val="00CA66D1"/>
    <w:rsid w:val="00CA676A"/>
    <w:rsid w:val="00CA67DC"/>
    <w:rsid w:val="00CA6800"/>
    <w:rsid w:val="00CA6813"/>
    <w:rsid w:val="00CA6872"/>
    <w:rsid w:val="00CA6917"/>
    <w:rsid w:val="00CA692C"/>
    <w:rsid w:val="00CA6988"/>
    <w:rsid w:val="00CA69BA"/>
    <w:rsid w:val="00CA6A9E"/>
    <w:rsid w:val="00CA6AB5"/>
    <w:rsid w:val="00CA6B17"/>
    <w:rsid w:val="00CA6B42"/>
    <w:rsid w:val="00CA6B64"/>
    <w:rsid w:val="00CA6BA7"/>
    <w:rsid w:val="00CA6C1D"/>
    <w:rsid w:val="00CA6C28"/>
    <w:rsid w:val="00CA6D01"/>
    <w:rsid w:val="00CA6D06"/>
    <w:rsid w:val="00CA6D26"/>
    <w:rsid w:val="00CA6E57"/>
    <w:rsid w:val="00CA6EEC"/>
    <w:rsid w:val="00CA6F90"/>
    <w:rsid w:val="00CA7051"/>
    <w:rsid w:val="00CA7069"/>
    <w:rsid w:val="00CA7080"/>
    <w:rsid w:val="00CA714A"/>
    <w:rsid w:val="00CA726B"/>
    <w:rsid w:val="00CA72A4"/>
    <w:rsid w:val="00CA72F0"/>
    <w:rsid w:val="00CA73EC"/>
    <w:rsid w:val="00CA73F8"/>
    <w:rsid w:val="00CA7493"/>
    <w:rsid w:val="00CA7507"/>
    <w:rsid w:val="00CA7597"/>
    <w:rsid w:val="00CA7602"/>
    <w:rsid w:val="00CA76B6"/>
    <w:rsid w:val="00CA76F1"/>
    <w:rsid w:val="00CA778C"/>
    <w:rsid w:val="00CA789B"/>
    <w:rsid w:val="00CA790D"/>
    <w:rsid w:val="00CA7976"/>
    <w:rsid w:val="00CA79BB"/>
    <w:rsid w:val="00CA7A55"/>
    <w:rsid w:val="00CA7B71"/>
    <w:rsid w:val="00CA7B7F"/>
    <w:rsid w:val="00CA7BD0"/>
    <w:rsid w:val="00CA7C15"/>
    <w:rsid w:val="00CA7C71"/>
    <w:rsid w:val="00CA7C82"/>
    <w:rsid w:val="00CA7C91"/>
    <w:rsid w:val="00CA7D56"/>
    <w:rsid w:val="00CA7D7A"/>
    <w:rsid w:val="00CA7DAB"/>
    <w:rsid w:val="00CA7DE6"/>
    <w:rsid w:val="00CA7E16"/>
    <w:rsid w:val="00CA7E58"/>
    <w:rsid w:val="00CA7F06"/>
    <w:rsid w:val="00CA7FE6"/>
    <w:rsid w:val="00CB005C"/>
    <w:rsid w:val="00CB0087"/>
    <w:rsid w:val="00CB024C"/>
    <w:rsid w:val="00CB02BA"/>
    <w:rsid w:val="00CB02CC"/>
    <w:rsid w:val="00CB031B"/>
    <w:rsid w:val="00CB0339"/>
    <w:rsid w:val="00CB035B"/>
    <w:rsid w:val="00CB04E1"/>
    <w:rsid w:val="00CB0667"/>
    <w:rsid w:val="00CB0684"/>
    <w:rsid w:val="00CB06C7"/>
    <w:rsid w:val="00CB06EE"/>
    <w:rsid w:val="00CB085D"/>
    <w:rsid w:val="00CB0924"/>
    <w:rsid w:val="00CB0967"/>
    <w:rsid w:val="00CB09EB"/>
    <w:rsid w:val="00CB0A10"/>
    <w:rsid w:val="00CB0A7F"/>
    <w:rsid w:val="00CB0AEB"/>
    <w:rsid w:val="00CB0C4C"/>
    <w:rsid w:val="00CB0C68"/>
    <w:rsid w:val="00CB0D70"/>
    <w:rsid w:val="00CB0E13"/>
    <w:rsid w:val="00CB0EC7"/>
    <w:rsid w:val="00CB0F57"/>
    <w:rsid w:val="00CB0FA4"/>
    <w:rsid w:val="00CB0FB9"/>
    <w:rsid w:val="00CB0FC5"/>
    <w:rsid w:val="00CB0FDE"/>
    <w:rsid w:val="00CB110E"/>
    <w:rsid w:val="00CB114D"/>
    <w:rsid w:val="00CB11F8"/>
    <w:rsid w:val="00CB123A"/>
    <w:rsid w:val="00CB12B7"/>
    <w:rsid w:val="00CB14B5"/>
    <w:rsid w:val="00CB14B9"/>
    <w:rsid w:val="00CB1528"/>
    <w:rsid w:val="00CB1572"/>
    <w:rsid w:val="00CB15CF"/>
    <w:rsid w:val="00CB1619"/>
    <w:rsid w:val="00CB1682"/>
    <w:rsid w:val="00CB16FE"/>
    <w:rsid w:val="00CB17D0"/>
    <w:rsid w:val="00CB17D4"/>
    <w:rsid w:val="00CB17DD"/>
    <w:rsid w:val="00CB17F1"/>
    <w:rsid w:val="00CB180A"/>
    <w:rsid w:val="00CB184B"/>
    <w:rsid w:val="00CB185B"/>
    <w:rsid w:val="00CB1863"/>
    <w:rsid w:val="00CB19BB"/>
    <w:rsid w:val="00CB1A60"/>
    <w:rsid w:val="00CB1A67"/>
    <w:rsid w:val="00CB1ABD"/>
    <w:rsid w:val="00CB1B17"/>
    <w:rsid w:val="00CB1B53"/>
    <w:rsid w:val="00CB1B54"/>
    <w:rsid w:val="00CB1BE6"/>
    <w:rsid w:val="00CB1CE6"/>
    <w:rsid w:val="00CB1D6A"/>
    <w:rsid w:val="00CB1DE1"/>
    <w:rsid w:val="00CB1E59"/>
    <w:rsid w:val="00CB1EBC"/>
    <w:rsid w:val="00CB1F59"/>
    <w:rsid w:val="00CB1F63"/>
    <w:rsid w:val="00CB1FE9"/>
    <w:rsid w:val="00CB202B"/>
    <w:rsid w:val="00CB2113"/>
    <w:rsid w:val="00CB2128"/>
    <w:rsid w:val="00CB225B"/>
    <w:rsid w:val="00CB227C"/>
    <w:rsid w:val="00CB2321"/>
    <w:rsid w:val="00CB23B7"/>
    <w:rsid w:val="00CB24CF"/>
    <w:rsid w:val="00CB25A7"/>
    <w:rsid w:val="00CB2630"/>
    <w:rsid w:val="00CB286C"/>
    <w:rsid w:val="00CB28C2"/>
    <w:rsid w:val="00CB28D4"/>
    <w:rsid w:val="00CB28DD"/>
    <w:rsid w:val="00CB2917"/>
    <w:rsid w:val="00CB2952"/>
    <w:rsid w:val="00CB2A11"/>
    <w:rsid w:val="00CB2A4D"/>
    <w:rsid w:val="00CB2B0E"/>
    <w:rsid w:val="00CB2B36"/>
    <w:rsid w:val="00CB2D26"/>
    <w:rsid w:val="00CB2EDA"/>
    <w:rsid w:val="00CB2EF5"/>
    <w:rsid w:val="00CB2F70"/>
    <w:rsid w:val="00CB2FBA"/>
    <w:rsid w:val="00CB2FE4"/>
    <w:rsid w:val="00CB303C"/>
    <w:rsid w:val="00CB30E5"/>
    <w:rsid w:val="00CB318C"/>
    <w:rsid w:val="00CB33E4"/>
    <w:rsid w:val="00CB343D"/>
    <w:rsid w:val="00CB347D"/>
    <w:rsid w:val="00CB34A7"/>
    <w:rsid w:val="00CB34E1"/>
    <w:rsid w:val="00CB3547"/>
    <w:rsid w:val="00CB3560"/>
    <w:rsid w:val="00CB35D3"/>
    <w:rsid w:val="00CB364D"/>
    <w:rsid w:val="00CB3676"/>
    <w:rsid w:val="00CB3706"/>
    <w:rsid w:val="00CB3710"/>
    <w:rsid w:val="00CB3730"/>
    <w:rsid w:val="00CB3738"/>
    <w:rsid w:val="00CB376C"/>
    <w:rsid w:val="00CB3780"/>
    <w:rsid w:val="00CB3855"/>
    <w:rsid w:val="00CB385C"/>
    <w:rsid w:val="00CB3875"/>
    <w:rsid w:val="00CB39BB"/>
    <w:rsid w:val="00CB3AD1"/>
    <w:rsid w:val="00CB3D3A"/>
    <w:rsid w:val="00CB3D83"/>
    <w:rsid w:val="00CB3E48"/>
    <w:rsid w:val="00CB3EA3"/>
    <w:rsid w:val="00CB40A3"/>
    <w:rsid w:val="00CB414A"/>
    <w:rsid w:val="00CB4212"/>
    <w:rsid w:val="00CB4230"/>
    <w:rsid w:val="00CB423C"/>
    <w:rsid w:val="00CB423D"/>
    <w:rsid w:val="00CB4259"/>
    <w:rsid w:val="00CB431B"/>
    <w:rsid w:val="00CB4387"/>
    <w:rsid w:val="00CB43E6"/>
    <w:rsid w:val="00CB441E"/>
    <w:rsid w:val="00CB4450"/>
    <w:rsid w:val="00CB44DF"/>
    <w:rsid w:val="00CB453A"/>
    <w:rsid w:val="00CB46CD"/>
    <w:rsid w:val="00CB46ED"/>
    <w:rsid w:val="00CB4712"/>
    <w:rsid w:val="00CB4745"/>
    <w:rsid w:val="00CB477B"/>
    <w:rsid w:val="00CB47EC"/>
    <w:rsid w:val="00CB47FC"/>
    <w:rsid w:val="00CB483B"/>
    <w:rsid w:val="00CB48B4"/>
    <w:rsid w:val="00CB4923"/>
    <w:rsid w:val="00CB495E"/>
    <w:rsid w:val="00CB4A39"/>
    <w:rsid w:val="00CB4A5F"/>
    <w:rsid w:val="00CB4A77"/>
    <w:rsid w:val="00CB4AD4"/>
    <w:rsid w:val="00CB4B71"/>
    <w:rsid w:val="00CB4BFF"/>
    <w:rsid w:val="00CB4C16"/>
    <w:rsid w:val="00CB4C42"/>
    <w:rsid w:val="00CB4CEA"/>
    <w:rsid w:val="00CB4DCB"/>
    <w:rsid w:val="00CB4EA5"/>
    <w:rsid w:val="00CB4F60"/>
    <w:rsid w:val="00CB5020"/>
    <w:rsid w:val="00CB5205"/>
    <w:rsid w:val="00CB52AF"/>
    <w:rsid w:val="00CB52C9"/>
    <w:rsid w:val="00CB53AB"/>
    <w:rsid w:val="00CB557F"/>
    <w:rsid w:val="00CB55FD"/>
    <w:rsid w:val="00CB563C"/>
    <w:rsid w:val="00CB566D"/>
    <w:rsid w:val="00CB5675"/>
    <w:rsid w:val="00CB56BC"/>
    <w:rsid w:val="00CB56E5"/>
    <w:rsid w:val="00CB56FD"/>
    <w:rsid w:val="00CB572E"/>
    <w:rsid w:val="00CB572F"/>
    <w:rsid w:val="00CB592B"/>
    <w:rsid w:val="00CB5963"/>
    <w:rsid w:val="00CB596F"/>
    <w:rsid w:val="00CB5979"/>
    <w:rsid w:val="00CB597B"/>
    <w:rsid w:val="00CB5A5A"/>
    <w:rsid w:val="00CB5A8D"/>
    <w:rsid w:val="00CB5A92"/>
    <w:rsid w:val="00CB5B70"/>
    <w:rsid w:val="00CB5B77"/>
    <w:rsid w:val="00CB5BA8"/>
    <w:rsid w:val="00CB5C5F"/>
    <w:rsid w:val="00CB5CA0"/>
    <w:rsid w:val="00CB5CE4"/>
    <w:rsid w:val="00CB5D03"/>
    <w:rsid w:val="00CB5D5A"/>
    <w:rsid w:val="00CB5EA4"/>
    <w:rsid w:val="00CB600E"/>
    <w:rsid w:val="00CB61CA"/>
    <w:rsid w:val="00CB61FF"/>
    <w:rsid w:val="00CB6225"/>
    <w:rsid w:val="00CB6229"/>
    <w:rsid w:val="00CB627D"/>
    <w:rsid w:val="00CB64B3"/>
    <w:rsid w:val="00CB65B8"/>
    <w:rsid w:val="00CB6610"/>
    <w:rsid w:val="00CB669D"/>
    <w:rsid w:val="00CB67BD"/>
    <w:rsid w:val="00CB67D4"/>
    <w:rsid w:val="00CB67DE"/>
    <w:rsid w:val="00CB67E4"/>
    <w:rsid w:val="00CB67EA"/>
    <w:rsid w:val="00CB67FD"/>
    <w:rsid w:val="00CB6855"/>
    <w:rsid w:val="00CB68A0"/>
    <w:rsid w:val="00CB6958"/>
    <w:rsid w:val="00CB6A3D"/>
    <w:rsid w:val="00CB6A42"/>
    <w:rsid w:val="00CB6CDF"/>
    <w:rsid w:val="00CB6E89"/>
    <w:rsid w:val="00CB6EFA"/>
    <w:rsid w:val="00CB6F10"/>
    <w:rsid w:val="00CB6FAB"/>
    <w:rsid w:val="00CB6FB5"/>
    <w:rsid w:val="00CB7074"/>
    <w:rsid w:val="00CB7196"/>
    <w:rsid w:val="00CB71AC"/>
    <w:rsid w:val="00CB71AE"/>
    <w:rsid w:val="00CB7202"/>
    <w:rsid w:val="00CB7264"/>
    <w:rsid w:val="00CB7284"/>
    <w:rsid w:val="00CB72A6"/>
    <w:rsid w:val="00CB730F"/>
    <w:rsid w:val="00CB73BA"/>
    <w:rsid w:val="00CB741E"/>
    <w:rsid w:val="00CB74D8"/>
    <w:rsid w:val="00CB74E9"/>
    <w:rsid w:val="00CB7513"/>
    <w:rsid w:val="00CB757F"/>
    <w:rsid w:val="00CB761C"/>
    <w:rsid w:val="00CB76B5"/>
    <w:rsid w:val="00CB779B"/>
    <w:rsid w:val="00CB7894"/>
    <w:rsid w:val="00CB78EC"/>
    <w:rsid w:val="00CB795C"/>
    <w:rsid w:val="00CB7A26"/>
    <w:rsid w:val="00CB7AD6"/>
    <w:rsid w:val="00CB7BAA"/>
    <w:rsid w:val="00CB7C61"/>
    <w:rsid w:val="00CB7D07"/>
    <w:rsid w:val="00CB7DE8"/>
    <w:rsid w:val="00CB7E14"/>
    <w:rsid w:val="00CB7FCB"/>
    <w:rsid w:val="00CB7FD3"/>
    <w:rsid w:val="00CC00A2"/>
    <w:rsid w:val="00CC0148"/>
    <w:rsid w:val="00CC029E"/>
    <w:rsid w:val="00CC02FA"/>
    <w:rsid w:val="00CC0310"/>
    <w:rsid w:val="00CC03FC"/>
    <w:rsid w:val="00CC0495"/>
    <w:rsid w:val="00CC0544"/>
    <w:rsid w:val="00CC0552"/>
    <w:rsid w:val="00CC0581"/>
    <w:rsid w:val="00CC0588"/>
    <w:rsid w:val="00CC0599"/>
    <w:rsid w:val="00CC05A4"/>
    <w:rsid w:val="00CC065F"/>
    <w:rsid w:val="00CC094E"/>
    <w:rsid w:val="00CC0A81"/>
    <w:rsid w:val="00CC0AA2"/>
    <w:rsid w:val="00CC0B2F"/>
    <w:rsid w:val="00CC0B75"/>
    <w:rsid w:val="00CC0CC2"/>
    <w:rsid w:val="00CC0D5A"/>
    <w:rsid w:val="00CC0D60"/>
    <w:rsid w:val="00CC0D69"/>
    <w:rsid w:val="00CC0E12"/>
    <w:rsid w:val="00CC0E51"/>
    <w:rsid w:val="00CC0F5E"/>
    <w:rsid w:val="00CC10AD"/>
    <w:rsid w:val="00CC10C8"/>
    <w:rsid w:val="00CC110F"/>
    <w:rsid w:val="00CC11B8"/>
    <w:rsid w:val="00CC1232"/>
    <w:rsid w:val="00CC143F"/>
    <w:rsid w:val="00CC14C3"/>
    <w:rsid w:val="00CC14F8"/>
    <w:rsid w:val="00CC14FB"/>
    <w:rsid w:val="00CC15A1"/>
    <w:rsid w:val="00CC1636"/>
    <w:rsid w:val="00CC1665"/>
    <w:rsid w:val="00CC16C1"/>
    <w:rsid w:val="00CC16CA"/>
    <w:rsid w:val="00CC17DE"/>
    <w:rsid w:val="00CC184D"/>
    <w:rsid w:val="00CC1899"/>
    <w:rsid w:val="00CC18F8"/>
    <w:rsid w:val="00CC1930"/>
    <w:rsid w:val="00CC1954"/>
    <w:rsid w:val="00CC195B"/>
    <w:rsid w:val="00CC1997"/>
    <w:rsid w:val="00CC1AD3"/>
    <w:rsid w:val="00CC1AE3"/>
    <w:rsid w:val="00CC1AF9"/>
    <w:rsid w:val="00CC1C21"/>
    <w:rsid w:val="00CC1C46"/>
    <w:rsid w:val="00CC1CF4"/>
    <w:rsid w:val="00CC1E1A"/>
    <w:rsid w:val="00CC1FAA"/>
    <w:rsid w:val="00CC1FD3"/>
    <w:rsid w:val="00CC2068"/>
    <w:rsid w:val="00CC2093"/>
    <w:rsid w:val="00CC20E0"/>
    <w:rsid w:val="00CC2104"/>
    <w:rsid w:val="00CC2112"/>
    <w:rsid w:val="00CC2131"/>
    <w:rsid w:val="00CC2199"/>
    <w:rsid w:val="00CC21DF"/>
    <w:rsid w:val="00CC21EF"/>
    <w:rsid w:val="00CC2274"/>
    <w:rsid w:val="00CC229C"/>
    <w:rsid w:val="00CC234F"/>
    <w:rsid w:val="00CC2381"/>
    <w:rsid w:val="00CC23BC"/>
    <w:rsid w:val="00CC2401"/>
    <w:rsid w:val="00CC256B"/>
    <w:rsid w:val="00CC2587"/>
    <w:rsid w:val="00CC25A2"/>
    <w:rsid w:val="00CC25ED"/>
    <w:rsid w:val="00CC2612"/>
    <w:rsid w:val="00CC2712"/>
    <w:rsid w:val="00CC27E7"/>
    <w:rsid w:val="00CC2818"/>
    <w:rsid w:val="00CC2839"/>
    <w:rsid w:val="00CC2939"/>
    <w:rsid w:val="00CC2A44"/>
    <w:rsid w:val="00CC2A61"/>
    <w:rsid w:val="00CC2A7C"/>
    <w:rsid w:val="00CC2C7C"/>
    <w:rsid w:val="00CC2D9A"/>
    <w:rsid w:val="00CC2F56"/>
    <w:rsid w:val="00CC2F7A"/>
    <w:rsid w:val="00CC2FAC"/>
    <w:rsid w:val="00CC2FBA"/>
    <w:rsid w:val="00CC3129"/>
    <w:rsid w:val="00CC315D"/>
    <w:rsid w:val="00CC3182"/>
    <w:rsid w:val="00CC3212"/>
    <w:rsid w:val="00CC33CF"/>
    <w:rsid w:val="00CC33D4"/>
    <w:rsid w:val="00CC3405"/>
    <w:rsid w:val="00CC3425"/>
    <w:rsid w:val="00CC3427"/>
    <w:rsid w:val="00CC343E"/>
    <w:rsid w:val="00CC353E"/>
    <w:rsid w:val="00CC355D"/>
    <w:rsid w:val="00CC35E4"/>
    <w:rsid w:val="00CC36DB"/>
    <w:rsid w:val="00CC3711"/>
    <w:rsid w:val="00CC3841"/>
    <w:rsid w:val="00CC395C"/>
    <w:rsid w:val="00CC3A50"/>
    <w:rsid w:val="00CC3A5D"/>
    <w:rsid w:val="00CC3A70"/>
    <w:rsid w:val="00CC3B4A"/>
    <w:rsid w:val="00CC3B93"/>
    <w:rsid w:val="00CC3CEF"/>
    <w:rsid w:val="00CC3D7A"/>
    <w:rsid w:val="00CC3EA2"/>
    <w:rsid w:val="00CC3F49"/>
    <w:rsid w:val="00CC4033"/>
    <w:rsid w:val="00CC40B8"/>
    <w:rsid w:val="00CC4186"/>
    <w:rsid w:val="00CC42DD"/>
    <w:rsid w:val="00CC42F3"/>
    <w:rsid w:val="00CC4335"/>
    <w:rsid w:val="00CC434A"/>
    <w:rsid w:val="00CC4422"/>
    <w:rsid w:val="00CC4475"/>
    <w:rsid w:val="00CC451A"/>
    <w:rsid w:val="00CC464C"/>
    <w:rsid w:val="00CC479F"/>
    <w:rsid w:val="00CC47AC"/>
    <w:rsid w:val="00CC49D7"/>
    <w:rsid w:val="00CC4A24"/>
    <w:rsid w:val="00CC4A9F"/>
    <w:rsid w:val="00CC4B7D"/>
    <w:rsid w:val="00CC4C7F"/>
    <w:rsid w:val="00CC4DEA"/>
    <w:rsid w:val="00CC4E11"/>
    <w:rsid w:val="00CC4EBB"/>
    <w:rsid w:val="00CC4EDD"/>
    <w:rsid w:val="00CC4F42"/>
    <w:rsid w:val="00CC4FCC"/>
    <w:rsid w:val="00CC500D"/>
    <w:rsid w:val="00CC522C"/>
    <w:rsid w:val="00CC53C9"/>
    <w:rsid w:val="00CC5444"/>
    <w:rsid w:val="00CC5631"/>
    <w:rsid w:val="00CC5713"/>
    <w:rsid w:val="00CC57D1"/>
    <w:rsid w:val="00CC585E"/>
    <w:rsid w:val="00CC5898"/>
    <w:rsid w:val="00CC58F5"/>
    <w:rsid w:val="00CC5935"/>
    <w:rsid w:val="00CC5999"/>
    <w:rsid w:val="00CC5A7E"/>
    <w:rsid w:val="00CC5A97"/>
    <w:rsid w:val="00CC5AE4"/>
    <w:rsid w:val="00CC5BE6"/>
    <w:rsid w:val="00CC5D0E"/>
    <w:rsid w:val="00CC5D23"/>
    <w:rsid w:val="00CC5DC3"/>
    <w:rsid w:val="00CC5ECA"/>
    <w:rsid w:val="00CC5EE0"/>
    <w:rsid w:val="00CC5F86"/>
    <w:rsid w:val="00CC5FAB"/>
    <w:rsid w:val="00CC605E"/>
    <w:rsid w:val="00CC60C8"/>
    <w:rsid w:val="00CC6121"/>
    <w:rsid w:val="00CC6262"/>
    <w:rsid w:val="00CC62A6"/>
    <w:rsid w:val="00CC6304"/>
    <w:rsid w:val="00CC646D"/>
    <w:rsid w:val="00CC647C"/>
    <w:rsid w:val="00CC6535"/>
    <w:rsid w:val="00CC655D"/>
    <w:rsid w:val="00CC65DE"/>
    <w:rsid w:val="00CC6633"/>
    <w:rsid w:val="00CC6761"/>
    <w:rsid w:val="00CC676C"/>
    <w:rsid w:val="00CC684A"/>
    <w:rsid w:val="00CC68D1"/>
    <w:rsid w:val="00CC6A1E"/>
    <w:rsid w:val="00CC6A56"/>
    <w:rsid w:val="00CC6A68"/>
    <w:rsid w:val="00CC6AFF"/>
    <w:rsid w:val="00CC6BFC"/>
    <w:rsid w:val="00CC6C5E"/>
    <w:rsid w:val="00CC6C95"/>
    <w:rsid w:val="00CC6CBE"/>
    <w:rsid w:val="00CC6CF6"/>
    <w:rsid w:val="00CC6D54"/>
    <w:rsid w:val="00CC6D62"/>
    <w:rsid w:val="00CC6E37"/>
    <w:rsid w:val="00CC6E99"/>
    <w:rsid w:val="00CC6F9C"/>
    <w:rsid w:val="00CC6FE9"/>
    <w:rsid w:val="00CC70FF"/>
    <w:rsid w:val="00CC71A9"/>
    <w:rsid w:val="00CC71EE"/>
    <w:rsid w:val="00CC720E"/>
    <w:rsid w:val="00CC7291"/>
    <w:rsid w:val="00CC73B4"/>
    <w:rsid w:val="00CC7450"/>
    <w:rsid w:val="00CC745B"/>
    <w:rsid w:val="00CC74CD"/>
    <w:rsid w:val="00CC74FF"/>
    <w:rsid w:val="00CC75FC"/>
    <w:rsid w:val="00CC779A"/>
    <w:rsid w:val="00CC7857"/>
    <w:rsid w:val="00CC793C"/>
    <w:rsid w:val="00CC799F"/>
    <w:rsid w:val="00CC7A04"/>
    <w:rsid w:val="00CC7A11"/>
    <w:rsid w:val="00CC7A51"/>
    <w:rsid w:val="00CC7A5F"/>
    <w:rsid w:val="00CC7BF7"/>
    <w:rsid w:val="00CC7C0D"/>
    <w:rsid w:val="00CC7C11"/>
    <w:rsid w:val="00CC7C12"/>
    <w:rsid w:val="00CC7C76"/>
    <w:rsid w:val="00CC7CB1"/>
    <w:rsid w:val="00CC7CBD"/>
    <w:rsid w:val="00CC7CD4"/>
    <w:rsid w:val="00CC7DC5"/>
    <w:rsid w:val="00CC7F8B"/>
    <w:rsid w:val="00CC7F9F"/>
    <w:rsid w:val="00CD00B7"/>
    <w:rsid w:val="00CD00FA"/>
    <w:rsid w:val="00CD0110"/>
    <w:rsid w:val="00CD0294"/>
    <w:rsid w:val="00CD0296"/>
    <w:rsid w:val="00CD0311"/>
    <w:rsid w:val="00CD04A8"/>
    <w:rsid w:val="00CD04C6"/>
    <w:rsid w:val="00CD051B"/>
    <w:rsid w:val="00CD063B"/>
    <w:rsid w:val="00CD06B4"/>
    <w:rsid w:val="00CD06F0"/>
    <w:rsid w:val="00CD076C"/>
    <w:rsid w:val="00CD080D"/>
    <w:rsid w:val="00CD088D"/>
    <w:rsid w:val="00CD08F1"/>
    <w:rsid w:val="00CD092A"/>
    <w:rsid w:val="00CD0B0C"/>
    <w:rsid w:val="00CD0B97"/>
    <w:rsid w:val="00CD0BAA"/>
    <w:rsid w:val="00CD0C0E"/>
    <w:rsid w:val="00CD0D48"/>
    <w:rsid w:val="00CD0E58"/>
    <w:rsid w:val="00CD0E66"/>
    <w:rsid w:val="00CD1023"/>
    <w:rsid w:val="00CD1065"/>
    <w:rsid w:val="00CD1078"/>
    <w:rsid w:val="00CD10C6"/>
    <w:rsid w:val="00CD115A"/>
    <w:rsid w:val="00CD1168"/>
    <w:rsid w:val="00CD11D5"/>
    <w:rsid w:val="00CD1273"/>
    <w:rsid w:val="00CD12BD"/>
    <w:rsid w:val="00CD12CF"/>
    <w:rsid w:val="00CD137C"/>
    <w:rsid w:val="00CD14E3"/>
    <w:rsid w:val="00CD15E8"/>
    <w:rsid w:val="00CD1673"/>
    <w:rsid w:val="00CD16C7"/>
    <w:rsid w:val="00CD1702"/>
    <w:rsid w:val="00CD1885"/>
    <w:rsid w:val="00CD18FB"/>
    <w:rsid w:val="00CD190E"/>
    <w:rsid w:val="00CD19D3"/>
    <w:rsid w:val="00CD19F8"/>
    <w:rsid w:val="00CD1B1F"/>
    <w:rsid w:val="00CD1B62"/>
    <w:rsid w:val="00CD1B96"/>
    <w:rsid w:val="00CD1BF0"/>
    <w:rsid w:val="00CD1D8E"/>
    <w:rsid w:val="00CD1DB1"/>
    <w:rsid w:val="00CD1E0D"/>
    <w:rsid w:val="00CD1E16"/>
    <w:rsid w:val="00CD1EE6"/>
    <w:rsid w:val="00CD1FC2"/>
    <w:rsid w:val="00CD208E"/>
    <w:rsid w:val="00CD2125"/>
    <w:rsid w:val="00CD2189"/>
    <w:rsid w:val="00CD21A3"/>
    <w:rsid w:val="00CD22B5"/>
    <w:rsid w:val="00CD22F4"/>
    <w:rsid w:val="00CD2355"/>
    <w:rsid w:val="00CD2458"/>
    <w:rsid w:val="00CD24D4"/>
    <w:rsid w:val="00CD254E"/>
    <w:rsid w:val="00CD2559"/>
    <w:rsid w:val="00CD25D8"/>
    <w:rsid w:val="00CD25E1"/>
    <w:rsid w:val="00CD26BD"/>
    <w:rsid w:val="00CD27EE"/>
    <w:rsid w:val="00CD2812"/>
    <w:rsid w:val="00CD2989"/>
    <w:rsid w:val="00CD2A20"/>
    <w:rsid w:val="00CD2A4D"/>
    <w:rsid w:val="00CD2AA9"/>
    <w:rsid w:val="00CD2B2B"/>
    <w:rsid w:val="00CD2B76"/>
    <w:rsid w:val="00CD2BEE"/>
    <w:rsid w:val="00CD2BEF"/>
    <w:rsid w:val="00CD2C0F"/>
    <w:rsid w:val="00CD2C41"/>
    <w:rsid w:val="00CD2D13"/>
    <w:rsid w:val="00CD2D2A"/>
    <w:rsid w:val="00CD2D71"/>
    <w:rsid w:val="00CD2E57"/>
    <w:rsid w:val="00CD2F2F"/>
    <w:rsid w:val="00CD2FF9"/>
    <w:rsid w:val="00CD3155"/>
    <w:rsid w:val="00CD3278"/>
    <w:rsid w:val="00CD32FA"/>
    <w:rsid w:val="00CD339C"/>
    <w:rsid w:val="00CD33B2"/>
    <w:rsid w:val="00CD33E7"/>
    <w:rsid w:val="00CD3405"/>
    <w:rsid w:val="00CD3585"/>
    <w:rsid w:val="00CD361D"/>
    <w:rsid w:val="00CD367C"/>
    <w:rsid w:val="00CD36F4"/>
    <w:rsid w:val="00CD3809"/>
    <w:rsid w:val="00CD386A"/>
    <w:rsid w:val="00CD3940"/>
    <w:rsid w:val="00CD3950"/>
    <w:rsid w:val="00CD3987"/>
    <w:rsid w:val="00CD3BF8"/>
    <w:rsid w:val="00CD3C55"/>
    <w:rsid w:val="00CD3D61"/>
    <w:rsid w:val="00CD3DB7"/>
    <w:rsid w:val="00CD3E0B"/>
    <w:rsid w:val="00CD3E26"/>
    <w:rsid w:val="00CD3E30"/>
    <w:rsid w:val="00CD3E99"/>
    <w:rsid w:val="00CD3EC2"/>
    <w:rsid w:val="00CD3F16"/>
    <w:rsid w:val="00CD3FA6"/>
    <w:rsid w:val="00CD3FED"/>
    <w:rsid w:val="00CD400C"/>
    <w:rsid w:val="00CD408B"/>
    <w:rsid w:val="00CD4125"/>
    <w:rsid w:val="00CD418B"/>
    <w:rsid w:val="00CD4231"/>
    <w:rsid w:val="00CD4276"/>
    <w:rsid w:val="00CD42B6"/>
    <w:rsid w:val="00CD438D"/>
    <w:rsid w:val="00CD445B"/>
    <w:rsid w:val="00CD4462"/>
    <w:rsid w:val="00CD44CE"/>
    <w:rsid w:val="00CD4517"/>
    <w:rsid w:val="00CD453E"/>
    <w:rsid w:val="00CD454A"/>
    <w:rsid w:val="00CD45AD"/>
    <w:rsid w:val="00CD45F3"/>
    <w:rsid w:val="00CD4736"/>
    <w:rsid w:val="00CD4757"/>
    <w:rsid w:val="00CD4792"/>
    <w:rsid w:val="00CD483D"/>
    <w:rsid w:val="00CD4876"/>
    <w:rsid w:val="00CD48AD"/>
    <w:rsid w:val="00CD49C4"/>
    <w:rsid w:val="00CD49FB"/>
    <w:rsid w:val="00CD4B55"/>
    <w:rsid w:val="00CD4B98"/>
    <w:rsid w:val="00CD4C4A"/>
    <w:rsid w:val="00CD4D4E"/>
    <w:rsid w:val="00CD4DA2"/>
    <w:rsid w:val="00CD4DBB"/>
    <w:rsid w:val="00CD4E03"/>
    <w:rsid w:val="00CD4E34"/>
    <w:rsid w:val="00CD4E3C"/>
    <w:rsid w:val="00CD4F54"/>
    <w:rsid w:val="00CD4F99"/>
    <w:rsid w:val="00CD4FFE"/>
    <w:rsid w:val="00CD5016"/>
    <w:rsid w:val="00CD50BC"/>
    <w:rsid w:val="00CD50C2"/>
    <w:rsid w:val="00CD50FA"/>
    <w:rsid w:val="00CD519A"/>
    <w:rsid w:val="00CD51A7"/>
    <w:rsid w:val="00CD5276"/>
    <w:rsid w:val="00CD529B"/>
    <w:rsid w:val="00CD529E"/>
    <w:rsid w:val="00CD52C0"/>
    <w:rsid w:val="00CD5349"/>
    <w:rsid w:val="00CD53AC"/>
    <w:rsid w:val="00CD5454"/>
    <w:rsid w:val="00CD54B0"/>
    <w:rsid w:val="00CD55F0"/>
    <w:rsid w:val="00CD5665"/>
    <w:rsid w:val="00CD56F2"/>
    <w:rsid w:val="00CD570F"/>
    <w:rsid w:val="00CD574C"/>
    <w:rsid w:val="00CD5770"/>
    <w:rsid w:val="00CD57FA"/>
    <w:rsid w:val="00CD593C"/>
    <w:rsid w:val="00CD5963"/>
    <w:rsid w:val="00CD5A03"/>
    <w:rsid w:val="00CD5A6E"/>
    <w:rsid w:val="00CD5A71"/>
    <w:rsid w:val="00CD5A9B"/>
    <w:rsid w:val="00CD5AEF"/>
    <w:rsid w:val="00CD5C92"/>
    <w:rsid w:val="00CD5DBC"/>
    <w:rsid w:val="00CD5E4E"/>
    <w:rsid w:val="00CD5FC0"/>
    <w:rsid w:val="00CD60AB"/>
    <w:rsid w:val="00CD61A7"/>
    <w:rsid w:val="00CD6250"/>
    <w:rsid w:val="00CD6375"/>
    <w:rsid w:val="00CD6477"/>
    <w:rsid w:val="00CD64B8"/>
    <w:rsid w:val="00CD64D9"/>
    <w:rsid w:val="00CD64DB"/>
    <w:rsid w:val="00CD6621"/>
    <w:rsid w:val="00CD6754"/>
    <w:rsid w:val="00CD685A"/>
    <w:rsid w:val="00CD686F"/>
    <w:rsid w:val="00CD687B"/>
    <w:rsid w:val="00CD6955"/>
    <w:rsid w:val="00CD6A36"/>
    <w:rsid w:val="00CD6A9E"/>
    <w:rsid w:val="00CD6C91"/>
    <w:rsid w:val="00CD6D30"/>
    <w:rsid w:val="00CD6D60"/>
    <w:rsid w:val="00CD6D6F"/>
    <w:rsid w:val="00CD6E4E"/>
    <w:rsid w:val="00CD6F0A"/>
    <w:rsid w:val="00CD6F28"/>
    <w:rsid w:val="00CD6F34"/>
    <w:rsid w:val="00CD6F47"/>
    <w:rsid w:val="00CD7041"/>
    <w:rsid w:val="00CD7086"/>
    <w:rsid w:val="00CD711F"/>
    <w:rsid w:val="00CD71F5"/>
    <w:rsid w:val="00CD7369"/>
    <w:rsid w:val="00CD742A"/>
    <w:rsid w:val="00CD744E"/>
    <w:rsid w:val="00CD745A"/>
    <w:rsid w:val="00CD7464"/>
    <w:rsid w:val="00CD7498"/>
    <w:rsid w:val="00CD74A7"/>
    <w:rsid w:val="00CD753E"/>
    <w:rsid w:val="00CD7551"/>
    <w:rsid w:val="00CD757C"/>
    <w:rsid w:val="00CD758B"/>
    <w:rsid w:val="00CD75BC"/>
    <w:rsid w:val="00CD7698"/>
    <w:rsid w:val="00CD77E1"/>
    <w:rsid w:val="00CD7896"/>
    <w:rsid w:val="00CD78B6"/>
    <w:rsid w:val="00CD78BC"/>
    <w:rsid w:val="00CD79B2"/>
    <w:rsid w:val="00CD79BA"/>
    <w:rsid w:val="00CD7A06"/>
    <w:rsid w:val="00CD7A4F"/>
    <w:rsid w:val="00CD7BF3"/>
    <w:rsid w:val="00CD7C29"/>
    <w:rsid w:val="00CD7CB7"/>
    <w:rsid w:val="00CD7D6D"/>
    <w:rsid w:val="00CD7D92"/>
    <w:rsid w:val="00CD7DA1"/>
    <w:rsid w:val="00CD7DD3"/>
    <w:rsid w:val="00CD7DEE"/>
    <w:rsid w:val="00CD7FD7"/>
    <w:rsid w:val="00CE000E"/>
    <w:rsid w:val="00CE014E"/>
    <w:rsid w:val="00CE019A"/>
    <w:rsid w:val="00CE028E"/>
    <w:rsid w:val="00CE02E5"/>
    <w:rsid w:val="00CE02F8"/>
    <w:rsid w:val="00CE0302"/>
    <w:rsid w:val="00CE032D"/>
    <w:rsid w:val="00CE041C"/>
    <w:rsid w:val="00CE049D"/>
    <w:rsid w:val="00CE0545"/>
    <w:rsid w:val="00CE0587"/>
    <w:rsid w:val="00CE05F3"/>
    <w:rsid w:val="00CE061B"/>
    <w:rsid w:val="00CE06D4"/>
    <w:rsid w:val="00CE0750"/>
    <w:rsid w:val="00CE077C"/>
    <w:rsid w:val="00CE0897"/>
    <w:rsid w:val="00CE0906"/>
    <w:rsid w:val="00CE096B"/>
    <w:rsid w:val="00CE0982"/>
    <w:rsid w:val="00CE09CA"/>
    <w:rsid w:val="00CE0C2F"/>
    <w:rsid w:val="00CE0D1B"/>
    <w:rsid w:val="00CE0D2F"/>
    <w:rsid w:val="00CE0E1D"/>
    <w:rsid w:val="00CE0E29"/>
    <w:rsid w:val="00CE0E52"/>
    <w:rsid w:val="00CE0E9B"/>
    <w:rsid w:val="00CE0EA7"/>
    <w:rsid w:val="00CE0F75"/>
    <w:rsid w:val="00CE1135"/>
    <w:rsid w:val="00CE11E3"/>
    <w:rsid w:val="00CE12B4"/>
    <w:rsid w:val="00CE134D"/>
    <w:rsid w:val="00CE13AD"/>
    <w:rsid w:val="00CE13C3"/>
    <w:rsid w:val="00CE1496"/>
    <w:rsid w:val="00CE157C"/>
    <w:rsid w:val="00CE1589"/>
    <w:rsid w:val="00CE15A9"/>
    <w:rsid w:val="00CE16D6"/>
    <w:rsid w:val="00CE16EB"/>
    <w:rsid w:val="00CE17D7"/>
    <w:rsid w:val="00CE17F5"/>
    <w:rsid w:val="00CE183B"/>
    <w:rsid w:val="00CE1871"/>
    <w:rsid w:val="00CE18B5"/>
    <w:rsid w:val="00CE18CB"/>
    <w:rsid w:val="00CE18E6"/>
    <w:rsid w:val="00CE19D4"/>
    <w:rsid w:val="00CE1AF6"/>
    <w:rsid w:val="00CE1B44"/>
    <w:rsid w:val="00CE1C26"/>
    <w:rsid w:val="00CE1CA5"/>
    <w:rsid w:val="00CE1DAE"/>
    <w:rsid w:val="00CE1DB2"/>
    <w:rsid w:val="00CE1DE2"/>
    <w:rsid w:val="00CE1FD0"/>
    <w:rsid w:val="00CE2068"/>
    <w:rsid w:val="00CE20E0"/>
    <w:rsid w:val="00CE20F1"/>
    <w:rsid w:val="00CE2157"/>
    <w:rsid w:val="00CE219F"/>
    <w:rsid w:val="00CE220E"/>
    <w:rsid w:val="00CE222D"/>
    <w:rsid w:val="00CE2298"/>
    <w:rsid w:val="00CE22A4"/>
    <w:rsid w:val="00CE22B2"/>
    <w:rsid w:val="00CE230B"/>
    <w:rsid w:val="00CE2370"/>
    <w:rsid w:val="00CE23AE"/>
    <w:rsid w:val="00CE23C3"/>
    <w:rsid w:val="00CE250D"/>
    <w:rsid w:val="00CE2558"/>
    <w:rsid w:val="00CE2590"/>
    <w:rsid w:val="00CE25EB"/>
    <w:rsid w:val="00CE2621"/>
    <w:rsid w:val="00CE2641"/>
    <w:rsid w:val="00CE267B"/>
    <w:rsid w:val="00CE26B0"/>
    <w:rsid w:val="00CE2835"/>
    <w:rsid w:val="00CE2925"/>
    <w:rsid w:val="00CE2B0C"/>
    <w:rsid w:val="00CE2B68"/>
    <w:rsid w:val="00CE2C3B"/>
    <w:rsid w:val="00CE2C6B"/>
    <w:rsid w:val="00CE2C8D"/>
    <w:rsid w:val="00CE2D23"/>
    <w:rsid w:val="00CE2D34"/>
    <w:rsid w:val="00CE2DB5"/>
    <w:rsid w:val="00CE2EE2"/>
    <w:rsid w:val="00CE3031"/>
    <w:rsid w:val="00CE3044"/>
    <w:rsid w:val="00CE3064"/>
    <w:rsid w:val="00CE30AA"/>
    <w:rsid w:val="00CE3345"/>
    <w:rsid w:val="00CE3399"/>
    <w:rsid w:val="00CE3421"/>
    <w:rsid w:val="00CE3483"/>
    <w:rsid w:val="00CE35B1"/>
    <w:rsid w:val="00CE35C5"/>
    <w:rsid w:val="00CE3635"/>
    <w:rsid w:val="00CE3749"/>
    <w:rsid w:val="00CE3750"/>
    <w:rsid w:val="00CE3754"/>
    <w:rsid w:val="00CE376E"/>
    <w:rsid w:val="00CE37EE"/>
    <w:rsid w:val="00CE3805"/>
    <w:rsid w:val="00CE380A"/>
    <w:rsid w:val="00CE3845"/>
    <w:rsid w:val="00CE3864"/>
    <w:rsid w:val="00CE38BD"/>
    <w:rsid w:val="00CE38DE"/>
    <w:rsid w:val="00CE3957"/>
    <w:rsid w:val="00CE39CA"/>
    <w:rsid w:val="00CE39E4"/>
    <w:rsid w:val="00CE39E7"/>
    <w:rsid w:val="00CE3A59"/>
    <w:rsid w:val="00CE3AB5"/>
    <w:rsid w:val="00CE3B20"/>
    <w:rsid w:val="00CE3B42"/>
    <w:rsid w:val="00CE3B91"/>
    <w:rsid w:val="00CE3BFC"/>
    <w:rsid w:val="00CE3CB7"/>
    <w:rsid w:val="00CE3CDE"/>
    <w:rsid w:val="00CE3E30"/>
    <w:rsid w:val="00CE3EB4"/>
    <w:rsid w:val="00CE4160"/>
    <w:rsid w:val="00CE4178"/>
    <w:rsid w:val="00CE419F"/>
    <w:rsid w:val="00CE4231"/>
    <w:rsid w:val="00CE4282"/>
    <w:rsid w:val="00CE437D"/>
    <w:rsid w:val="00CE4399"/>
    <w:rsid w:val="00CE43F4"/>
    <w:rsid w:val="00CE443A"/>
    <w:rsid w:val="00CE44A1"/>
    <w:rsid w:val="00CE45A9"/>
    <w:rsid w:val="00CE45BD"/>
    <w:rsid w:val="00CE45CA"/>
    <w:rsid w:val="00CE4627"/>
    <w:rsid w:val="00CE46F3"/>
    <w:rsid w:val="00CE47E1"/>
    <w:rsid w:val="00CE4848"/>
    <w:rsid w:val="00CE48CD"/>
    <w:rsid w:val="00CE4976"/>
    <w:rsid w:val="00CE49B1"/>
    <w:rsid w:val="00CE4A75"/>
    <w:rsid w:val="00CE4AC7"/>
    <w:rsid w:val="00CE4AD0"/>
    <w:rsid w:val="00CE4B1C"/>
    <w:rsid w:val="00CE4BE7"/>
    <w:rsid w:val="00CE4C75"/>
    <w:rsid w:val="00CE4CA0"/>
    <w:rsid w:val="00CE4CD8"/>
    <w:rsid w:val="00CE4EB1"/>
    <w:rsid w:val="00CE4EDA"/>
    <w:rsid w:val="00CE502F"/>
    <w:rsid w:val="00CE5238"/>
    <w:rsid w:val="00CE5303"/>
    <w:rsid w:val="00CE5308"/>
    <w:rsid w:val="00CE5310"/>
    <w:rsid w:val="00CE5319"/>
    <w:rsid w:val="00CE533C"/>
    <w:rsid w:val="00CE538B"/>
    <w:rsid w:val="00CE541A"/>
    <w:rsid w:val="00CE5486"/>
    <w:rsid w:val="00CE54E1"/>
    <w:rsid w:val="00CE5598"/>
    <w:rsid w:val="00CE55B6"/>
    <w:rsid w:val="00CE55D4"/>
    <w:rsid w:val="00CE5617"/>
    <w:rsid w:val="00CE5638"/>
    <w:rsid w:val="00CE566A"/>
    <w:rsid w:val="00CE5758"/>
    <w:rsid w:val="00CE57E3"/>
    <w:rsid w:val="00CE581C"/>
    <w:rsid w:val="00CE5856"/>
    <w:rsid w:val="00CE58C8"/>
    <w:rsid w:val="00CE58FC"/>
    <w:rsid w:val="00CE5936"/>
    <w:rsid w:val="00CE5946"/>
    <w:rsid w:val="00CE5A02"/>
    <w:rsid w:val="00CE5A35"/>
    <w:rsid w:val="00CE5A80"/>
    <w:rsid w:val="00CE5AB9"/>
    <w:rsid w:val="00CE5AE2"/>
    <w:rsid w:val="00CE5B0D"/>
    <w:rsid w:val="00CE5B87"/>
    <w:rsid w:val="00CE5BDE"/>
    <w:rsid w:val="00CE5C89"/>
    <w:rsid w:val="00CE5CC3"/>
    <w:rsid w:val="00CE5CFF"/>
    <w:rsid w:val="00CE5DCF"/>
    <w:rsid w:val="00CE5E36"/>
    <w:rsid w:val="00CE5E56"/>
    <w:rsid w:val="00CE5E7A"/>
    <w:rsid w:val="00CE5FE6"/>
    <w:rsid w:val="00CE6081"/>
    <w:rsid w:val="00CE6143"/>
    <w:rsid w:val="00CE61CB"/>
    <w:rsid w:val="00CE61CC"/>
    <w:rsid w:val="00CE620D"/>
    <w:rsid w:val="00CE6274"/>
    <w:rsid w:val="00CE6361"/>
    <w:rsid w:val="00CE63FB"/>
    <w:rsid w:val="00CE64CF"/>
    <w:rsid w:val="00CE6736"/>
    <w:rsid w:val="00CE68C7"/>
    <w:rsid w:val="00CE6994"/>
    <w:rsid w:val="00CE6A6D"/>
    <w:rsid w:val="00CE6A78"/>
    <w:rsid w:val="00CE6B46"/>
    <w:rsid w:val="00CE6C7B"/>
    <w:rsid w:val="00CE6D12"/>
    <w:rsid w:val="00CE6D9A"/>
    <w:rsid w:val="00CE6DAB"/>
    <w:rsid w:val="00CE6DE7"/>
    <w:rsid w:val="00CE6DF4"/>
    <w:rsid w:val="00CE6EA2"/>
    <w:rsid w:val="00CE6ECD"/>
    <w:rsid w:val="00CE6FA5"/>
    <w:rsid w:val="00CE7055"/>
    <w:rsid w:val="00CE7211"/>
    <w:rsid w:val="00CE728E"/>
    <w:rsid w:val="00CE7448"/>
    <w:rsid w:val="00CE7537"/>
    <w:rsid w:val="00CE7549"/>
    <w:rsid w:val="00CE75C9"/>
    <w:rsid w:val="00CE75E3"/>
    <w:rsid w:val="00CE764F"/>
    <w:rsid w:val="00CE76B9"/>
    <w:rsid w:val="00CE76E7"/>
    <w:rsid w:val="00CE774C"/>
    <w:rsid w:val="00CE7787"/>
    <w:rsid w:val="00CE77E7"/>
    <w:rsid w:val="00CE77E9"/>
    <w:rsid w:val="00CE7973"/>
    <w:rsid w:val="00CE79D5"/>
    <w:rsid w:val="00CE7BCC"/>
    <w:rsid w:val="00CE7C4E"/>
    <w:rsid w:val="00CE7FE9"/>
    <w:rsid w:val="00CF012E"/>
    <w:rsid w:val="00CF015F"/>
    <w:rsid w:val="00CF01A6"/>
    <w:rsid w:val="00CF01AC"/>
    <w:rsid w:val="00CF01B0"/>
    <w:rsid w:val="00CF0225"/>
    <w:rsid w:val="00CF024F"/>
    <w:rsid w:val="00CF03A7"/>
    <w:rsid w:val="00CF0440"/>
    <w:rsid w:val="00CF0468"/>
    <w:rsid w:val="00CF04D4"/>
    <w:rsid w:val="00CF04EB"/>
    <w:rsid w:val="00CF0549"/>
    <w:rsid w:val="00CF054D"/>
    <w:rsid w:val="00CF059E"/>
    <w:rsid w:val="00CF05A2"/>
    <w:rsid w:val="00CF05F7"/>
    <w:rsid w:val="00CF0608"/>
    <w:rsid w:val="00CF062E"/>
    <w:rsid w:val="00CF06B6"/>
    <w:rsid w:val="00CF0744"/>
    <w:rsid w:val="00CF0791"/>
    <w:rsid w:val="00CF07BB"/>
    <w:rsid w:val="00CF085E"/>
    <w:rsid w:val="00CF0AB0"/>
    <w:rsid w:val="00CF0B4C"/>
    <w:rsid w:val="00CF0C49"/>
    <w:rsid w:val="00CF0C5C"/>
    <w:rsid w:val="00CF0C78"/>
    <w:rsid w:val="00CF0C7B"/>
    <w:rsid w:val="00CF0C9F"/>
    <w:rsid w:val="00CF0D76"/>
    <w:rsid w:val="00CF0DCC"/>
    <w:rsid w:val="00CF0F00"/>
    <w:rsid w:val="00CF103C"/>
    <w:rsid w:val="00CF1040"/>
    <w:rsid w:val="00CF107C"/>
    <w:rsid w:val="00CF109A"/>
    <w:rsid w:val="00CF1123"/>
    <w:rsid w:val="00CF117F"/>
    <w:rsid w:val="00CF11E2"/>
    <w:rsid w:val="00CF130B"/>
    <w:rsid w:val="00CF13EE"/>
    <w:rsid w:val="00CF1421"/>
    <w:rsid w:val="00CF1424"/>
    <w:rsid w:val="00CF1549"/>
    <w:rsid w:val="00CF1566"/>
    <w:rsid w:val="00CF15BC"/>
    <w:rsid w:val="00CF162A"/>
    <w:rsid w:val="00CF1672"/>
    <w:rsid w:val="00CF1680"/>
    <w:rsid w:val="00CF1738"/>
    <w:rsid w:val="00CF187C"/>
    <w:rsid w:val="00CF1915"/>
    <w:rsid w:val="00CF194E"/>
    <w:rsid w:val="00CF19CB"/>
    <w:rsid w:val="00CF1A95"/>
    <w:rsid w:val="00CF1BD7"/>
    <w:rsid w:val="00CF1BFC"/>
    <w:rsid w:val="00CF1D83"/>
    <w:rsid w:val="00CF1DE7"/>
    <w:rsid w:val="00CF1E57"/>
    <w:rsid w:val="00CF1E8B"/>
    <w:rsid w:val="00CF1F04"/>
    <w:rsid w:val="00CF1F40"/>
    <w:rsid w:val="00CF1F44"/>
    <w:rsid w:val="00CF1F5F"/>
    <w:rsid w:val="00CF203C"/>
    <w:rsid w:val="00CF2066"/>
    <w:rsid w:val="00CF20B7"/>
    <w:rsid w:val="00CF20D2"/>
    <w:rsid w:val="00CF211F"/>
    <w:rsid w:val="00CF2141"/>
    <w:rsid w:val="00CF21A5"/>
    <w:rsid w:val="00CF2228"/>
    <w:rsid w:val="00CF22E0"/>
    <w:rsid w:val="00CF238C"/>
    <w:rsid w:val="00CF23CD"/>
    <w:rsid w:val="00CF2403"/>
    <w:rsid w:val="00CF240F"/>
    <w:rsid w:val="00CF241D"/>
    <w:rsid w:val="00CF246A"/>
    <w:rsid w:val="00CF2472"/>
    <w:rsid w:val="00CF2518"/>
    <w:rsid w:val="00CF2617"/>
    <w:rsid w:val="00CF2681"/>
    <w:rsid w:val="00CF2782"/>
    <w:rsid w:val="00CF2787"/>
    <w:rsid w:val="00CF27EA"/>
    <w:rsid w:val="00CF2846"/>
    <w:rsid w:val="00CF2873"/>
    <w:rsid w:val="00CF288A"/>
    <w:rsid w:val="00CF28C4"/>
    <w:rsid w:val="00CF2915"/>
    <w:rsid w:val="00CF29EF"/>
    <w:rsid w:val="00CF2AEA"/>
    <w:rsid w:val="00CF2C14"/>
    <w:rsid w:val="00CF2C4E"/>
    <w:rsid w:val="00CF2D77"/>
    <w:rsid w:val="00CF2DC7"/>
    <w:rsid w:val="00CF2DDE"/>
    <w:rsid w:val="00CF2E7B"/>
    <w:rsid w:val="00CF2EFB"/>
    <w:rsid w:val="00CF2F88"/>
    <w:rsid w:val="00CF2FBD"/>
    <w:rsid w:val="00CF2FC2"/>
    <w:rsid w:val="00CF306D"/>
    <w:rsid w:val="00CF3124"/>
    <w:rsid w:val="00CF3139"/>
    <w:rsid w:val="00CF3421"/>
    <w:rsid w:val="00CF344A"/>
    <w:rsid w:val="00CF3456"/>
    <w:rsid w:val="00CF358D"/>
    <w:rsid w:val="00CF3659"/>
    <w:rsid w:val="00CF37D3"/>
    <w:rsid w:val="00CF3911"/>
    <w:rsid w:val="00CF3933"/>
    <w:rsid w:val="00CF39A0"/>
    <w:rsid w:val="00CF3A51"/>
    <w:rsid w:val="00CF3ACA"/>
    <w:rsid w:val="00CF3AE5"/>
    <w:rsid w:val="00CF3B0D"/>
    <w:rsid w:val="00CF3C93"/>
    <w:rsid w:val="00CF3CD2"/>
    <w:rsid w:val="00CF3D1C"/>
    <w:rsid w:val="00CF3DD1"/>
    <w:rsid w:val="00CF3DF8"/>
    <w:rsid w:val="00CF3DFB"/>
    <w:rsid w:val="00CF3E07"/>
    <w:rsid w:val="00CF3E26"/>
    <w:rsid w:val="00CF3E45"/>
    <w:rsid w:val="00CF3EB4"/>
    <w:rsid w:val="00CF3F0A"/>
    <w:rsid w:val="00CF3F73"/>
    <w:rsid w:val="00CF3FA7"/>
    <w:rsid w:val="00CF3FE6"/>
    <w:rsid w:val="00CF4053"/>
    <w:rsid w:val="00CF4127"/>
    <w:rsid w:val="00CF41EE"/>
    <w:rsid w:val="00CF424F"/>
    <w:rsid w:val="00CF4365"/>
    <w:rsid w:val="00CF43CD"/>
    <w:rsid w:val="00CF44CE"/>
    <w:rsid w:val="00CF4541"/>
    <w:rsid w:val="00CF4558"/>
    <w:rsid w:val="00CF4599"/>
    <w:rsid w:val="00CF4713"/>
    <w:rsid w:val="00CF478E"/>
    <w:rsid w:val="00CF4816"/>
    <w:rsid w:val="00CF4840"/>
    <w:rsid w:val="00CF48BB"/>
    <w:rsid w:val="00CF49B2"/>
    <w:rsid w:val="00CF4A33"/>
    <w:rsid w:val="00CF4AB7"/>
    <w:rsid w:val="00CF4B12"/>
    <w:rsid w:val="00CF4B5A"/>
    <w:rsid w:val="00CF4C15"/>
    <w:rsid w:val="00CF4CA1"/>
    <w:rsid w:val="00CF4CBF"/>
    <w:rsid w:val="00CF4CEF"/>
    <w:rsid w:val="00CF4DD3"/>
    <w:rsid w:val="00CF4F3C"/>
    <w:rsid w:val="00CF50A2"/>
    <w:rsid w:val="00CF50FB"/>
    <w:rsid w:val="00CF5109"/>
    <w:rsid w:val="00CF517A"/>
    <w:rsid w:val="00CF5292"/>
    <w:rsid w:val="00CF52D9"/>
    <w:rsid w:val="00CF532B"/>
    <w:rsid w:val="00CF5364"/>
    <w:rsid w:val="00CF5396"/>
    <w:rsid w:val="00CF54C2"/>
    <w:rsid w:val="00CF5527"/>
    <w:rsid w:val="00CF552D"/>
    <w:rsid w:val="00CF5741"/>
    <w:rsid w:val="00CF57C2"/>
    <w:rsid w:val="00CF58FE"/>
    <w:rsid w:val="00CF5959"/>
    <w:rsid w:val="00CF59C8"/>
    <w:rsid w:val="00CF5A2F"/>
    <w:rsid w:val="00CF5B83"/>
    <w:rsid w:val="00CF5C50"/>
    <w:rsid w:val="00CF5C7F"/>
    <w:rsid w:val="00CF5D3D"/>
    <w:rsid w:val="00CF5D65"/>
    <w:rsid w:val="00CF5E66"/>
    <w:rsid w:val="00CF5E6C"/>
    <w:rsid w:val="00CF5EBE"/>
    <w:rsid w:val="00CF5F06"/>
    <w:rsid w:val="00CF5FE1"/>
    <w:rsid w:val="00CF6037"/>
    <w:rsid w:val="00CF614F"/>
    <w:rsid w:val="00CF636B"/>
    <w:rsid w:val="00CF63D4"/>
    <w:rsid w:val="00CF63F6"/>
    <w:rsid w:val="00CF6535"/>
    <w:rsid w:val="00CF6546"/>
    <w:rsid w:val="00CF6590"/>
    <w:rsid w:val="00CF6596"/>
    <w:rsid w:val="00CF667A"/>
    <w:rsid w:val="00CF6694"/>
    <w:rsid w:val="00CF66CD"/>
    <w:rsid w:val="00CF6877"/>
    <w:rsid w:val="00CF6880"/>
    <w:rsid w:val="00CF69F5"/>
    <w:rsid w:val="00CF6B22"/>
    <w:rsid w:val="00CF6D37"/>
    <w:rsid w:val="00CF6D57"/>
    <w:rsid w:val="00CF6D7A"/>
    <w:rsid w:val="00CF6D8B"/>
    <w:rsid w:val="00CF6E78"/>
    <w:rsid w:val="00CF6EFC"/>
    <w:rsid w:val="00CF6FA2"/>
    <w:rsid w:val="00CF7051"/>
    <w:rsid w:val="00CF720C"/>
    <w:rsid w:val="00CF7349"/>
    <w:rsid w:val="00CF73FA"/>
    <w:rsid w:val="00CF7494"/>
    <w:rsid w:val="00CF770B"/>
    <w:rsid w:val="00CF783B"/>
    <w:rsid w:val="00CF786C"/>
    <w:rsid w:val="00CF78DC"/>
    <w:rsid w:val="00CF7A13"/>
    <w:rsid w:val="00CF7A54"/>
    <w:rsid w:val="00CF7BF4"/>
    <w:rsid w:val="00CF7CC6"/>
    <w:rsid w:val="00CF7D76"/>
    <w:rsid w:val="00CF7D97"/>
    <w:rsid w:val="00CF7E95"/>
    <w:rsid w:val="00CF7EEC"/>
    <w:rsid w:val="00CF7F19"/>
    <w:rsid w:val="00CF7F86"/>
    <w:rsid w:val="00CF7FCC"/>
    <w:rsid w:val="00D00055"/>
    <w:rsid w:val="00D0005A"/>
    <w:rsid w:val="00D001C2"/>
    <w:rsid w:val="00D001DA"/>
    <w:rsid w:val="00D0020A"/>
    <w:rsid w:val="00D002F3"/>
    <w:rsid w:val="00D00306"/>
    <w:rsid w:val="00D0033D"/>
    <w:rsid w:val="00D003B9"/>
    <w:rsid w:val="00D004C6"/>
    <w:rsid w:val="00D004E2"/>
    <w:rsid w:val="00D0055E"/>
    <w:rsid w:val="00D00598"/>
    <w:rsid w:val="00D0069D"/>
    <w:rsid w:val="00D00779"/>
    <w:rsid w:val="00D008F5"/>
    <w:rsid w:val="00D00993"/>
    <w:rsid w:val="00D009A0"/>
    <w:rsid w:val="00D009A2"/>
    <w:rsid w:val="00D009D8"/>
    <w:rsid w:val="00D00A2F"/>
    <w:rsid w:val="00D00A7E"/>
    <w:rsid w:val="00D00BF7"/>
    <w:rsid w:val="00D00BFE"/>
    <w:rsid w:val="00D00C5E"/>
    <w:rsid w:val="00D00CFB"/>
    <w:rsid w:val="00D00D92"/>
    <w:rsid w:val="00D00E4E"/>
    <w:rsid w:val="00D00FFA"/>
    <w:rsid w:val="00D010F6"/>
    <w:rsid w:val="00D0110D"/>
    <w:rsid w:val="00D0111D"/>
    <w:rsid w:val="00D01143"/>
    <w:rsid w:val="00D01163"/>
    <w:rsid w:val="00D01294"/>
    <w:rsid w:val="00D012E1"/>
    <w:rsid w:val="00D012ED"/>
    <w:rsid w:val="00D012FA"/>
    <w:rsid w:val="00D01318"/>
    <w:rsid w:val="00D01347"/>
    <w:rsid w:val="00D01421"/>
    <w:rsid w:val="00D01551"/>
    <w:rsid w:val="00D01644"/>
    <w:rsid w:val="00D01665"/>
    <w:rsid w:val="00D016A6"/>
    <w:rsid w:val="00D0174E"/>
    <w:rsid w:val="00D0175A"/>
    <w:rsid w:val="00D0190D"/>
    <w:rsid w:val="00D01927"/>
    <w:rsid w:val="00D01A11"/>
    <w:rsid w:val="00D01A18"/>
    <w:rsid w:val="00D01B54"/>
    <w:rsid w:val="00D01C48"/>
    <w:rsid w:val="00D01CA3"/>
    <w:rsid w:val="00D01D05"/>
    <w:rsid w:val="00D01D06"/>
    <w:rsid w:val="00D01D1E"/>
    <w:rsid w:val="00D01D77"/>
    <w:rsid w:val="00D01DB2"/>
    <w:rsid w:val="00D01E5E"/>
    <w:rsid w:val="00D01E65"/>
    <w:rsid w:val="00D01E8E"/>
    <w:rsid w:val="00D01E9E"/>
    <w:rsid w:val="00D01F18"/>
    <w:rsid w:val="00D01FDB"/>
    <w:rsid w:val="00D02001"/>
    <w:rsid w:val="00D0202B"/>
    <w:rsid w:val="00D021A4"/>
    <w:rsid w:val="00D0231E"/>
    <w:rsid w:val="00D02361"/>
    <w:rsid w:val="00D02475"/>
    <w:rsid w:val="00D02580"/>
    <w:rsid w:val="00D02647"/>
    <w:rsid w:val="00D02792"/>
    <w:rsid w:val="00D027C6"/>
    <w:rsid w:val="00D028BC"/>
    <w:rsid w:val="00D02983"/>
    <w:rsid w:val="00D02A5F"/>
    <w:rsid w:val="00D02AA4"/>
    <w:rsid w:val="00D02BD8"/>
    <w:rsid w:val="00D02D52"/>
    <w:rsid w:val="00D02EA5"/>
    <w:rsid w:val="00D02EBB"/>
    <w:rsid w:val="00D030B3"/>
    <w:rsid w:val="00D030C6"/>
    <w:rsid w:val="00D03111"/>
    <w:rsid w:val="00D03161"/>
    <w:rsid w:val="00D031CF"/>
    <w:rsid w:val="00D03253"/>
    <w:rsid w:val="00D03270"/>
    <w:rsid w:val="00D03346"/>
    <w:rsid w:val="00D033E9"/>
    <w:rsid w:val="00D03400"/>
    <w:rsid w:val="00D03413"/>
    <w:rsid w:val="00D034A6"/>
    <w:rsid w:val="00D034CE"/>
    <w:rsid w:val="00D035EA"/>
    <w:rsid w:val="00D03643"/>
    <w:rsid w:val="00D0365D"/>
    <w:rsid w:val="00D03736"/>
    <w:rsid w:val="00D038B1"/>
    <w:rsid w:val="00D038C1"/>
    <w:rsid w:val="00D038E0"/>
    <w:rsid w:val="00D0393F"/>
    <w:rsid w:val="00D0397D"/>
    <w:rsid w:val="00D03A28"/>
    <w:rsid w:val="00D03AA0"/>
    <w:rsid w:val="00D03AF2"/>
    <w:rsid w:val="00D03B88"/>
    <w:rsid w:val="00D03BC8"/>
    <w:rsid w:val="00D03BE8"/>
    <w:rsid w:val="00D03BF7"/>
    <w:rsid w:val="00D03C29"/>
    <w:rsid w:val="00D03DCD"/>
    <w:rsid w:val="00D03E31"/>
    <w:rsid w:val="00D03F1E"/>
    <w:rsid w:val="00D03FAF"/>
    <w:rsid w:val="00D04031"/>
    <w:rsid w:val="00D04065"/>
    <w:rsid w:val="00D04090"/>
    <w:rsid w:val="00D040B4"/>
    <w:rsid w:val="00D0428E"/>
    <w:rsid w:val="00D042D2"/>
    <w:rsid w:val="00D042DC"/>
    <w:rsid w:val="00D043BD"/>
    <w:rsid w:val="00D043FF"/>
    <w:rsid w:val="00D04426"/>
    <w:rsid w:val="00D04471"/>
    <w:rsid w:val="00D04550"/>
    <w:rsid w:val="00D0457B"/>
    <w:rsid w:val="00D045A6"/>
    <w:rsid w:val="00D0465E"/>
    <w:rsid w:val="00D04795"/>
    <w:rsid w:val="00D0482F"/>
    <w:rsid w:val="00D048C0"/>
    <w:rsid w:val="00D0499E"/>
    <w:rsid w:val="00D04A33"/>
    <w:rsid w:val="00D04A94"/>
    <w:rsid w:val="00D04B2D"/>
    <w:rsid w:val="00D04B7F"/>
    <w:rsid w:val="00D04BB3"/>
    <w:rsid w:val="00D04BCE"/>
    <w:rsid w:val="00D04CBD"/>
    <w:rsid w:val="00D04D14"/>
    <w:rsid w:val="00D04E6E"/>
    <w:rsid w:val="00D051CF"/>
    <w:rsid w:val="00D051EB"/>
    <w:rsid w:val="00D051FF"/>
    <w:rsid w:val="00D0524D"/>
    <w:rsid w:val="00D05362"/>
    <w:rsid w:val="00D053B4"/>
    <w:rsid w:val="00D05472"/>
    <w:rsid w:val="00D05538"/>
    <w:rsid w:val="00D055BA"/>
    <w:rsid w:val="00D055CF"/>
    <w:rsid w:val="00D05601"/>
    <w:rsid w:val="00D05673"/>
    <w:rsid w:val="00D0569C"/>
    <w:rsid w:val="00D05892"/>
    <w:rsid w:val="00D058B8"/>
    <w:rsid w:val="00D058F0"/>
    <w:rsid w:val="00D05A55"/>
    <w:rsid w:val="00D05A70"/>
    <w:rsid w:val="00D05B08"/>
    <w:rsid w:val="00D05B3A"/>
    <w:rsid w:val="00D05B3F"/>
    <w:rsid w:val="00D05B8C"/>
    <w:rsid w:val="00D05C4B"/>
    <w:rsid w:val="00D05D22"/>
    <w:rsid w:val="00D05E13"/>
    <w:rsid w:val="00D05E55"/>
    <w:rsid w:val="00D05FEF"/>
    <w:rsid w:val="00D060AE"/>
    <w:rsid w:val="00D060DC"/>
    <w:rsid w:val="00D06174"/>
    <w:rsid w:val="00D0628B"/>
    <w:rsid w:val="00D0632C"/>
    <w:rsid w:val="00D0637E"/>
    <w:rsid w:val="00D063A1"/>
    <w:rsid w:val="00D063AB"/>
    <w:rsid w:val="00D063DE"/>
    <w:rsid w:val="00D06451"/>
    <w:rsid w:val="00D06486"/>
    <w:rsid w:val="00D064CD"/>
    <w:rsid w:val="00D06538"/>
    <w:rsid w:val="00D0654F"/>
    <w:rsid w:val="00D06634"/>
    <w:rsid w:val="00D06699"/>
    <w:rsid w:val="00D0669D"/>
    <w:rsid w:val="00D067B3"/>
    <w:rsid w:val="00D067B7"/>
    <w:rsid w:val="00D06824"/>
    <w:rsid w:val="00D0696A"/>
    <w:rsid w:val="00D06A20"/>
    <w:rsid w:val="00D06A4F"/>
    <w:rsid w:val="00D06A70"/>
    <w:rsid w:val="00D06BEE"/>
    <w:rsid w:val="00D06C03"/>
    <w:rsid w:val="00D06D0B"/>
    <w:rsid w:val="00D06FCB"/>
    <w:rsid w:val="00D07053"/>
    <w:rsid w:val="00D07097"/>
    <w:rsid w:val="00D070A7"/>
    <w:rsid w:val="00D072AA"/>
    <w:rsid w:val="00D0733A"/>
    <w:rsid w:val="00D0747A"/>
    <w:rsid w:val="00D07480"/>
    <w:rsid w:val="00D074C7"/>
    <w:rsid w:val="00D0750E"/>
    <w:rsid w:val="00D07759"/>
    <w:rsid w:val="00D07795"/>
    <w:rsid w:val="00D07803"/>
    <w:rsid w:val="00D07860"/>
    <w:rsid w:val="00D0786E"/>
    <w:rsid w:val="00D07898"/>
    <w:rsid w:val="00D078D4"/>
    <w:rsid w:val="00D07AF1"/>
    <w:rsid w:val="00D07BC6"/>
    <w:rsid w:val="00D07CBE"/>
    <w:rsid w:val="00D07F15"/>
    <w:rsid w:val="00D07F3F"/>
    <w:rsid w:val="00D1002D"/>
    <w:rsid w:val="00D100E7"/>
    <w:rsid w:val="00D100EA"/>
    <w:rsid w:val="00D1014B"/>
    <w:rsid w:val="00D10203"/>
    <w:rsid w:val="00D102E6"/>
    <w:rsid w:val="00D10322"/>
    <w:rsid w:val="00D1035E"/>
    <w:rsid w:val="00D1037A"/>
    <w:rsid w:val="00D104EA"/>
    <w:rsid w:val="00D104EB"/>
    <w:rsid w:val="00D10579"/>
    <w:rsid w:val="00D10595"/>
    <w:rsid w:val="00D105E0"/>
    <w:rsid w:val="00D10629"/>
    <w:rsid w:val="00D10673"/>
    <w:rsid w:val="00D10687"/>
    <w:rsid w:val="00D10704"/>
    <w:rsid w:val="00D1073A"/>
    <w:rsid w:val="00D10800"/>
    <w:rsid w:val="00D10932"/>
    <w:rsid w:val="00D109A8"/>
    <w:rsid w:val="00D109EF"/>
    <w:rsid w:val="00D10A3F"/>
    <w:rsid w:val="00D10AFB"/>
    <w:rsid w:val="00D10C0A"/>
    <w:rsid w:val="00D10C81"/>
    <w:rsid w:val="00D10CFA"/>
    <w:rsid w:val="00D10D09"/>
    <w:rsid w:val="00D10D1B"/>
    <w:rsid w:val="00D10DAB"/>
    <w:rsid w:val="00D10EA5"/>
    <w:rsid w:val="00D10EC8"/>
    <w:rsid w:val="00D10F40"/>
    <w:rsid w:val="00D10FE6"/>
    <w:rsid w:val="00D11036"/>
    <w:rsid w:val="00D11057"/>
    <w:rsid w:val="00D11085"/>
    <w:rsid w:val="00D11105"/>
    <w:rsid w:val="00D1115C"/>
    <w:rsid w:val="00D112BF"/>
    <w:rsid w:val="00D11373"/>
    <w:rsid w:val="00D114F6"/>
    <w:rsid w:val="00D11589"/>
    <w:rsid w:val="00D1160D"/>
    <w:rsid w:val="00D1163E"/>
    <w:rsid w:val="00D116BC"/>
    <w:rsid w:val="00D116E1"/>
    <w:rsid w:val="00D1170A"/>
    <w:rsid w:val="00D11933"/>
    <w:rsid w:val="00D11963"/>
    <w:rsid w:val="00D11977"/>
    <w:rsid w:val="00D11A71"/>
    <w:rsid w:val="00D11AC2"/>
    <w:rsid w:val="00D11AC9"/>
    <w:rsid w:val="00D11B72"/>
    <w:rsid w:val="00D11BDA"/>
    <w:rsid w:val="00D11C8B"/>
    <w:rsid w:val="00D11D68"/>
    <w:rsid w:val="00D11D84"/>
    <w:rsid w:val="00D11E65"/>
    <w:rsid w:val="00D11F1D"/>
    <w:rsid w:val="00D11FE0"/>
    <w:rsid w:val="00D1200A"/>
    <w:rsid w:val="00D1206B"/>
    <w:rsid w:val="00D12072"/>
    <w:rsid w:val="00D1207E"/>
    <w:rsid w:val="00D1209B"/>
    <w:rsid w:val="00D120FF"/>
    <w:rsid w:val="00D12128"/>
    <w:rsid w:val="00D1216B"/>
    <w:rsid w:val="00D12209"/>
    <w:rsid w:val="00D1229D"/>
    <w:rsid w:val="00D12362"/>
    <w:rsid w:val="00D1247C"/>
    <w:rsid w:val="00D12484"/>
    <w:rsid w:val="00D12590"/>
    <w:rsid w:val="00D12600"/>
    <w:rsid w:val="00D1268A"/>
    <w:rsid w:val="00D127F1"/>
    <w:rsid w:val="00D1283B"/>
    <w:rsid w:val="00D128F0"/>
    <w:rsid w:val="00D12A4F"/>
    <w:rsid w:val="00D12ABF"/>
    <w:rsid w:val="00D12BA1"/>
    <w:rsid w:val="00D12BFB"/>
    <w:rsid w:val="00D12C2E"/>
    <w:rsid w:val="00D12DC2"/>
    <w:rsid w:val="00D12E6A"/>
    <w:rsid w:val="00D12E7F"/>
    <w:rsid w:val="00D12E97"/>
    <w:rsid w:val="00D12F30"/>
    <w:rsid w:val="00D13011"/>
    <w:rsid w:val="00D13068"/>
    <w:rsid w:val="00D130C5"/>
    <w:rsid w:val="00D131FD"/>
    <w:rsid w:val="00D13311"/>
    <w:rsid w:val="00D13348"/>
    <w:rsid w:val="00D13449"/>
    <w:rsid w:val="00D13471"/>
    <w:rsid w:val="00D1347E"/>
    <w:rsid w:val="00D1353B"/>
    <w:rsid w:val="00D13576"/>
    <w:rsid w:val="00D1376D"/>
    <w:rsid w:val="00D137A3"/>
    <w:rsid w:val="00D137CE"/>
    <w:rsid w:val="00D1387C"/>
    <w:rsid w:val="00D13A8A"/>
    <w:rsid w:val="00D13B35"/>
    <w:rsid w:val="00D13BA2"/>
    <w:rsid w:val="00D13BC6"/>
    <w:rsid w:val="00D13CCA"/>
    <w:rsid w:val="00D13D16"/>
    <w:rsid w:val="00D13D2C"/>
    <w:rsid w:val="00D13D7C"/>
    <w:rsid w:val="00D13DCF"/>
    <w:rsid w:val="00D13DD6"/>
    <w:rsid w:val="00D13DE3"/>
    <w:rsid w:val="00D13DF1"/>
    <w:rsid w:val="00D13DF3"/>
    <w:rsid w:val="00D13EE5"/>
    <w:rsid w:val="00D13F71"/>
    <w:rsid w:val="00D13F85"/>
    <w:rsid w:val="00D14007"/>
    <w:rsid w:val="00D140D7"/>
    <w:rsid w:val="00D140F0"/>
    <w:rsid w:val="00D1413F"/>
    <w:rsid w:val="00D14248"/>
    <w:rsid w:val="00D1425D"/>
    <w:rsid w:val="00D142A9"/>
    <w:rsid w:val="00D142C3"/>
    <w:rsid w:val="00D14313"/>
    <w:rsid w:val="00D143F7"/>
    <w:rsid w:val="00D14444"/>
    <w:rsid w:val="00D14481"/>
    <w:rsid w:val="00D144BD"/>
    <w:rsid w:val="00D14571"/>
    <w:rsid w:val="00D14654"/>
    <w:rsid w:val="00D146EB"/>
    <w:rsid w:val="00D14747"/>
    <w:rsid w:val="00D1488A"/>
    <w:rsid w:val="00D148D6"/>
    <w:rsid w:val="00D14944"/>
    <w:rsid w:val="00D14A83"/>
    <w:rsid w:val="00D14AA3"/>
    <w:rsid w:val="00D14AFC"/>
    <w:rsid w:val="00D14B44"/>
    <w:rsid w:val="00D14C15"/>
    <w:rsid w:val="00D14CB8"/>
    <w:rsid w:val="00D14D68"/>
    <w:rsid w:val="00D14DB9"/>
    <w:rsid w:val="00D14DEE"/>
    <w:rsid w:val="00D14FFD"/>
    <w:rsid w:val="00D15014"/>
    <w:rsid w:val="00D15029"/>
    <w:rsid w:val="00D150B3"/>
    <w:rsid w:val="00D150CA"/>
    <w:rsid w:val="00D150F2"/>
    <w:rsid w:val="00D1512D"/>
    <w:rsid w:val="00D15165"/>
    <w:rsid w:val="00D151A0"/>
    <w:rsid w:val="00D15247"/>
    <w:rsid w:val="00D1524D"/>
    <w:rsid w:val="00D15279"/>
    <w:rsid w:val="00D153B6"/>
    <w:rsid w:val="00D153BD"/>
    <w:rsid w:val="00D153C6"/>
    <w:rsid w:val="00D15408"/>
    <w:rsid w:val="00D15426"/>
    <w:rsid w:val="00D154B8"/>
    <w:rsid w:val="00D155A3"/>
    <w:rsid w:val="00D155AD"/>
    <w:rsid w:val="00D156F3"/>
    <w:rsid w:val="00D15850"/>
    <w:rsid w:val="00D15909"/>
    <w:rsid w:val="00D15911"/>
    <w:rsid w:val="00D15AC4"/>
    <w:rsid w:val="00D15AD2"/>
    <w:rsid w:val="00D15B47"/>
    <w:rsid w:val="00D15B83"/>
    <w:rsid w:val="00D15B87"/>
    <w:rsid w:val="00D15BE0"/>
    <w:rsid w:val="00D15BEE"/>
    <w:rsid w:val="00D15CB3"/>
    <w:rsid w:val="00D15CCD"/>
    <w:rsid w:val="00D15CFB"/>
    <w:rsid w:val="00D15D37"/>
    <w:rsid w:val="00D15EC1"/>
    <w:rsid w:val="00D15ED8"/>
    <w:rsid w:val="00D15EFC"/>
    <w:rsid w:val="00D15F51"/>
    <w:rsid w:val="00D1614F"/>
    <w:rsid w:val="00D1620E"/>
    <w:rsid w:val="00D1621E"/>
    <w:rsid w:val="00D1628B"/>
    <w:rsid w:val="00D162C6"/>
    <w:rsid w:val="00D1631C"/>
    <w:rsid w:val="00D1633B"/>
    <w:rsid w:val="00D1634A"/>
    <w:rsid w:val="00D163B2"/>
    <w:rsid w:val="00D1643B"/>
    <w:rsid w:val="00D16465"/>
    <w:rsid w:val="00D16476"/>
    <w:rsid w:val="00D1647A"/>
    <w:rsid w:val="00D16495"/>
    <w:rsid w:val="00D164B9"/>
    <w:rsid w:val="00D16538"/>
    <w:rsid w:val="00D165BF"/>
    <w:rsid w:val="00D165F1"/>
    <w:rsid w:val="00D1664E"/>
    <w:rsid w:val="00D16680"/>
    <w:rsid w:val="00D166B3"/>
    <w:rsid w:val="00D166C7"/>
    <w:rsid w:val="00D166CE"/>
    <w:rsid w:val="00D16802"/>
    <w:rsid w:val="00D16852"/>
    <w:rsid w:val="00D168D4"/>
    <w:rsid w:val="00D168D5"/>
    <w:rsid w:val="00D168E5"/>
    <w:rsid w:val="00D168F5"/>
    <w:rsid w:val="00D16934"/>
    <w:rsid w:val="00D16940"/>
    <w:rsid w:val="00D16956"/>
    <w:rsid w:val="00D16B12"/>
    <w:rsid w:val="00D16B68"/>
    <w:rsid w:val="00D16B9F"/>
    <w:rsid w:val="00D16C08"/>
    <w:rsid w:val="00D16C1B"/>
    <w:rsid w:val="00D16C65"/>
    <w:rsid w:val="00D16CB5"/>
    <w:rsid w:val="00D16E21"/>
    <w:rsid w:val="00D16E41"/>
    <w:rsid w:val="00D16ED5"/>
    <w:rsid w:val="00D16F06"/>
    <w:rsid w:val="00D16F54"/>
    <w:rsid w:val="00D16FDD"/>
    <w:rsid w:val="00D17030"/>
    <w:rsid w:val="00D17038"/>
    <w:rsid w:val="00D17051"/>
    <w:rsid w:val="00D17072"/>
    <w:rsid w:val="00D17128"/>
    <w:rsid w:val="00D1716B"/>
    <w:rsid w:val="00D172A8"/>
    <w:rsid w:val="00D17303"/>
    <w:rsid w:val="00D1735F"/>
    <w:rsid w:val="00D17452"/>
    <w:rsid w:val="00D174EE"/>
    <w:rsid w:val="00D17500"/>
    <w:rsid w:val="00D175B4"/>
    <w:rsid w:val="00D17676"/>
    <w:rsid w:val="00D177BA"/>
    <w:rsid w:val="00D17800"/>
    <w:rsid w:val="00D17A4E"/>
    <w:rsid w:val="00D17AB4"/>
    <w:rsid w:val="00D17B15"/>
    <w:rsid w:val="00D17B61"/>
    <w:rsid w:val="00D17B66"/>
    <w:rsid w:val="00D17BAD"/>
    <w:rsid w:val="00D17C08"/>
    <w:rsid w:val="00D17C88"/>
    <w:rsid w:val="00D17CBD"/>
    <w:rsid w:val="00D17DE0"/>
    <w:rsid w:val="00D17EC6"/>
    <w:rsid w:val="00D17F62"/>
    <w:rsid w:val="00D17F7B"/>
    <w:rsid w:val="00D17FD0"/>
    <w:rsid w:val="00D20040"/>
    <w:rsid w:val="00D2006F"/>
    <w:rsid w:val="00D200A4"/>
    <w:rsid w:val="00D20145"/>
    <w:rsid w:val="00D20170"/>
    <w:rsid w:val="00D20172"/>
    <w:rsid w:val="00D202B1"/>
    <w:rsid w:val="00D2034B"/>
    <w:rsid w:val="00D2036C"/>
    <w:rsid w:val="00D20427"/>
    <w:rsid w:val="00D2044C"/>
    <w:rsid w:val="00D20635"/>
    <w:rsid w:val="00D20662"/>
    <w:rsid w:val="00D2066B"/>
    <w:rsid w:val="00D20730"/>
    <w:rsid w:val="00D208AE"/>
    <w:rsid w:val="00D208F1"/>
    <w:rsid w:val="00D20987"/>
    <w:rsid w:val="00D209A6"/>
    <w:rsid w:val="00D20AC1"/>
    <w:rsid w:val="00D20ACD"/>
    <w:rsid w:val="00D20B38"/>
    <w:rsid w:val="00D20C92"/>
    <w:rsid w:val="00D20CFD"/>
    <w:rsid w:val="00D20D83"/>
    <w:rsid w:val="00D2104A"/>
    <w:rsid w:val="00D210E3"/>
    <w:rsid w:val="00D21200"/>
    <w:rsid w:val="00D21259"/>
    <w:rsid w:val="00D21271"/>
    <w:rsid w:val="00D21291"/>
    <w:rsid w:val="00D21295"/>
    <w:rsid w:val="00D21311"/>
    <w:rsid w:val="00D21341"/>
    <w:rsid w:val="00D213A3"/>
    <w:rsid w:val="00D214A6"/>
    <w:rsid w:val="00D2156F"/>
    <w:rsid w:val="00D215B5"/>
    <w:rsid w:val="00D215BC"/>
    <w:rsid w:val="00D215CA"/>
    <w:rsid w:val="00D2162E"/>
    <w:rsid w:val="00D21677"/>
    <w:rsid w:val="00D216CE"/>
    <w:rsid w:val="00D216D2"/>
    <w:rsid w:val="00D216ED"/>
    <w:rsid w:val="00D216F5"/>
    <w:rsid w:val="00D21753"/>
    <w:rsid w:val="00D2179E"/>
    <w:rsid w:val="00D218D0"/>
    <w:rsid w:val="00D2196A"/>
    <w:rsid w:val="00D21A06"/>
    <w:rsid w:val="00D21AEC"/>
    <w:rsid w:val="00D21C54"/>
    <w:rsid w:val="00D21C8A"/>
    <w:rsid w:val="00D21D70"/>
    <w:rsid w:val="00D21EFC"/>
    <w:rsid w:val="00D21FAB"/>
    <w:rsid w:val="00D2206C"/>
    <w:rsid w:val="00D220A6"/>
    <w:rsid w:val="00D220F9"/>
    <w:rsid w:val="00D2213C"/>
    <w:rsid w:val="00D2218B"/>
    <w:rsid w:val="00D22193"/>
    <w:rsid w:val="00D221A3"/>
    <w:rsid w:val="00D222DE"/>
    <w:rsid w:val="00D22378"/>
    <w:rsid w:val="00D223E4"/>
    <w:rsid w:val="00D22466"/>
    <w:rsid w:val="00D224E5"/>
    <w:rsid w:val="00D22682"/>
    <w:rsid w:val="00D226CC"/>
    <w:rsid w:val="00D22887"/>
    <w:rsid w:val="00D228AD"/>
    <w:rsid w:val="00D22904"/>
    <w:rsid w:val="00D2297E"/>
    <w:rsid w:val="00D229CE"/>
    <w:rsid w:val="00D22A61"/>
    <w:rsid w:val="00D22A77"/>
    <w:rsid w:val="00D22A9B"/>
    <w:rsid w:val="00D22AA6"/>
    <w:rsid w:val="00D22AB4"/>
    <w:rsid w:val="00D22B1A"/>
    <w:rsid w:val="00D22B34"/>
    <w:rsid w:val="00D22B90"/>
    <w:rsid w:val="00D22BFA"/>
    <w:rsid w:val="00D22C4B"/>
    <w:rsid w:val="00D22CD6"/>
    <w:rsid w:val="00D22DAD"/>
    <w:rsid w:val="00D22DE5"/>
    <w:rsid w:val="00D22E4E"/>
    <w:rsid w:val="00D22E7C"/>
    <w:rsid w:val="00D22EF1"/>
    <w:rsid w:val="00D22F86"/>
    <w:rsid w:val="00D22F89"/>
    <w:rsid w:val="00D2301E"/>
    <w:rsid w:val="00D2303A"/>
    <w:rsid w:val="00D2304C"/>
    <w:rsid w:val="00D2307F"/>
    <w:rsid w:val="00D23142"/>
    <w:rsid w:val="00D23282"/>
    <w:rsid w:val="00D232D3"/>
    <w:rsid w:val="00D23330"/>
    <w:rsid w:val="00D233BD"/>
    <w:rsid w:val="00D233D5"/>
    <w:rsid w:val="00D233D7"/>
    <w:rsid w:val="00D23432"/>
    <w:rsid w:val="00D23481"/>
    <w:rsid w:val="00D2348F"/>
    <w:rsid w:val="00D234CB"/>
    <w:rsid w:val="00D23509"/>
    <w:rsid w:val="00D2355E"/>
    <w:rsid w:val="00D235D6"/>
    <w:rsid w:val="00D23652"/>
    <w:rsid w:val="00D236CE"/>
    <w:rsid w:val="00D2373D"/>
    <w:rsid w:val="00D23815"/>
    <w:rsid w:val="00D238F9"/>
    <w:rsid w:val="00D23962"/>
    <w:rsid w:val="00D23A51"/>
    <w:rsid w:val="00D23A88"/>
    <w:rsid w:val="00D23A8D"/>
    <w:rsid w:val="00D23ADC"/>
    <w:rsid w:val="00D23B25"/>
    <w:rsid w:val="00D23C1D"/>
    <w:rsid w:val="00D23C50"/>
    <w:rsid w:val="00D23CBB"/>
    <w:rsid w:val="00D23D76"/>
    <w:rsid w:val="00D23E19"/>
    <w:rsid w:val="00D23F38"/>
    <w:rsid w:val="00D240F0"/>
    <w:rsid w:val="00D24111"/>
    <w:rsid w:val="00D2417B"/>
    <w:rsid w:val="00D24180"/>
    <w:rsid w:val="00D2419A"/>
    <w:rsid w:val="00D241A5"/>
    <w:rsid w:val="00D2426E"/>
    <w:rsid w:val="00D243C0"/>
    <w:rsid w:val="00D24437"/>
    <w:rsid w:val="00D2444C"/>
    <w:rsid w:val="00D244A3"/>
    <w:rsid w:val="00D24596"/>
    <w:rsid w:val="00D245DF"/>
    <w:rsid w:val="00D24626"/>
    <w:rsid w:val="00D246B5"/>
    <w:rsid w:val="00D24717"/>
    <w:rsid w:val="00D247A5"/>
    <w:rsid w:val="00D2485E"/>
    <w:rsid w:val="00D248E3"/>
    <w:rsid w:val="00D24A04"/>
    <w:rsid w:val="00D24A29"/>
    <w:rsid w:val="00D24A6A"/>
    <w:rsid w:val="00D24B23"/>
    <w:rsid w:val="00D24BC8"/>
    <w:rsid w:val="00D24D59"/>
    <w:rsid w:val="00D24DF1"/>
    <w:rsid w:val="00D24E23"/>
    <w:rsid w:val="00D24EB6"/>
    <w:rsid w:val="00D24EBA"/>
    <w:rsid w:val="00D24EF6"/>
    <w:rsid w:val="00D24F71"/>
    <w:rsid w:val="00D24F77"/>
    <w:rsid w:val="00D24FF7"/>
    <w:rsid w:val="00D25012"/>
    <w:rsid w:val="00D25030"/>
    <w:rsid w:val="00D25056"/>
    <w:rsid w:val="00D250AD"/>
    <w:rsid w:val="00D250EA"/>
    <w:rsid w:val="00D251BF"/>
    <w:rsid w:val="00D251CE"/>
    <w:rsid w:val="00D2528F"/>
    <w:rsid w:val="00D252A6"/>
    <w:rsid w:val="00D25321"/>
    <w:rsid w:val="00D2535C"/>
    <w:rsid w:val="00D2544A"/>
    <w:rsid w:val="00D25538"/>
    <w:rsid w:val="00D25607"/>
    <w:rsid w:val="00D2568F"/>
    <w:rsid w:val="00D256CA"/>
    <w:rsid w:val="00D256D2"/>
    <w:rsid w:val="00D25806"/>
    <w:rsid w:val="00D2587F"/>
    <w:rsid w:val="00D258B1"/>
    <w:rsid w:val="00D25947"/>
    <w:rsid w:val="00D2596D"/>
    <w:rsid w:val="00D25A5A"/>
    <w:rsid w:val="00D25AA5"/>
    <w:rsid w:val="00D25B6F"/>
    <w:rsid w:val="00D25B8C"/>
    <w:rsid w:val="00D25C94"/>
    <w:rsid w:val="00D25CF5"/>
    <w:rsid w:val="00D25E9D"/>
    <w:rsid w:val="00D25EA4"/>
    <w:rsid w:val="00D25F1C"/>
    <w:rsid w:val="00D25F29"/>
    <w:rsid w:val="00D25F46"/>
    <w:rsid w:val="00D25FDA"/>
    <w:rsid w:val="00D261D1"/>
    <w:rsid w:val="00D26240"/>
    <w:rsid w:val="00D262C0"/>
    <w:rsid w:val="00D262F5"/>
    <w:rsid w:val="00D263C7"/>
    <w:rsid w:val="00D26437"/>
    <w:rsid w:val="00D265F6"/>
    <w:rsid w:val="00D26695"/>
    <w:rsid w:val="00D266CF"/>
    <w:rsid w:val="00D2676A"/>
    <w:rsid w:val="00D26885"/>
    <w:rsid w:val="00D26935"/>
    <w:rsid w:val="00D2697D"/>
    <w:rsid w:val="00D269A6"/>
    <w:rsid w:val="00D26A18"/>
    <w:rsid w:val="00D26A8F"/>
    <w:rsid w:val="00D26ABB"/>
    <w:rsid w:val="00D26B1C"/>
    <w:rsid w:val="00D26BB7"/>
    <w:rsid w:val="00D26C8E"/>
    <w:rsid w:val="00D26CEE"/>
    <w:rsid w:val="00D26CFA"/>
    <w:rsid w:val="00D26D42"/>
    <w:rsid w:val="00D26D96"/>
    <w:rsid w:val="00D26DE6"/>
    <w:rsid w:val="00D26EE7"/>
    <w:rsid w:val="00D26F40"/>
    <w:rsid w:val="00D26F5B"/>
    <w:rsid w:val="00D26FA8"/>
    <w:rsid w:val="00D26FB5"/>
    <w:rsid w:val="00D27002"/>
    <w:rsid w:val="00D270A3"/>
    <w:rsid w:val="00D2715A"/>
    <w:rsid w:val="00D27175"/>
    <w:rsid w:val="00D271EF"/>
    <w:rsid w:val="00D271F7"/>
    <w:rsid w:val="00D27252"/>
    <w:rsid w:val="00D2725A"/>
    <w:rsid w:val="00D272DF"/>
    <w:rsid w:val="00D273BF"/>
    <w:rsid w:val="00D273E7"/>
    <w:rsid w:val="00D2740B"/>
    <w:rsid w:val="00D27598"/>
    <w:rsid w:val="00D2770F"/>
    <w:rsid w:val="00D27762"/>
    <w:rsid w:val="00D277AB"/>
    <w:rsid w:val="00D27834"/>
    <w:rsid w:val="00D27837"/>
    <w:rsid w:val="00D2786D"/>
    <w:rsid w:val="00D2788E"/>
    <w:rsid w:val="00D2790C"/>
    <w:rsid w:val="00D27915"/>
    <w:rsid w:val="00D27AEC"/>
    <w:rsid w:val="00D27B2C"/>
    <w:rsid w:val="00D27C0B"/>
    <w:rsid w:val="00D27C9F"/>
    <w:rsid w:val="00D27D0A"/>
    <w:rsid w:val="00D27F07"/>
    <w:rsid w:val="00D27F21"/>
    <w:rsid w:val="00D27F52"/>
    <w:rsid w:val="00D27FF9"/>
    <w:rsid w:val="00D28CC9"/>
    <w:rsid w:val="00D30095"/>
    <w:rsid w:val="00D300BA"/>
    <w:rsid w:val="00D30279"/>
    <w:rsid w:val="00D302CE"/>
    <w:rsid w:val="00D302FA"/>
    <w:rsid w:val="00D303A0"/>
    <w:rsid w:val="00D303A3"/>
    <w:rsid w:val="00D303AC"/>
    <w:rsid w:val="00D3045C"/>
    <w:rsid w:val="00D30541"/>
    <w:rsid w:val="00D3066D"/>
    <w:rsid w:val="00D30689"/>
    <w:rsid w:val="00D30718"/>
    <w:rsid w:val="00D30775"/>
    <w:rsid w:val="00D3079A"/>
    <w:rsid w:val="00D307DF"/>
    <w:rsid w:val="00D30834"/>
    <w:rsid w:val="00D3084C"/>
    <w:rsid w:val="00D30902"/>
    <w:rsid w:val="00D309C1"/>
    <w:rsid w:val="00D30AB1"/>
    <w:rsid w:val="00D30AE4"/>
    <w:rsid w:val="00D30B05"/>
    <w:rsid w:val="00D30BDD"/>
    <w:rsid w:val="00D30C3F"/>
    <w:rsid w:val="00D30DCD"/>
    <w:rsid w:val="00D30E52"/>
    <w:rsid w:val="00D30EA1"/>
    <w:rsid w:val="00D30EE6"/>
    <w:rsid w:val="00D30F2B"/>
    <w:rsid w:val="00D30FBE"/>
    <w:rsid w:val="00D310E6"/>
    <w:rsid w:val="00D311A4"/>
    <w:rsid w:val="00D31220"/>
    <w:rsid w:val="00D312E5"/>
    <w:rsid w:val="00D3134C"/>
    <w:rsid w:val="00D31422"/>
    <w:rsid w:val="00D314D4"/>
    <w:rsid w:val="00D314E2"/>
    <w:rsid w:val="00D31514"/>
    <w:rsid w:val="00D3156E"/>
    <w:rsid w:val="00D31576"/>
    <w:rsid w:val="00D315BB"/>
    <w:rsid w:val="00D315BE"/>
    <w:rsid w:val="00D315C2"/>
    <w:rsid w:val="00D31611"/>
    <w:rsid w:val="00D31692"/>
    <w:rsid w:val="00D316D5"/>
    <w:rsid w:val="00D31741"/>
    <w:rsid w:val="00D31754"/>
    <w:rsid w:val="00D317AC"/>
    <w:rsid w:val="00D317C8"/>
    <w:rsid w:val="00D317FB"/>
    <w:rsid w:val="00D31848"/>
    <w:rsid w:val="00D31969"/>
    <w:rsid w:val="00D319FB"/>
    <w:rsid w:val="00D31AFD"/>
    <w:rsid w:val="00D31B22"/>
    <w:rsid w:val="00D31B6E"/>
    <w:rsid w:val="00D31C3F"/>
    <w:rsid w:val="00D31C4F"/>
    <w:rsid w:val="00D31C82"/>
    <w:rsid w:val="00D31CD5"/>
    <w:rsid w:val="00D31D29"/>
    <w:rsid w:val="00D31E3E"/>
    <w:rsid w:val="00D31E47"/>
    <w:rsid w:val="00D31E53"/>
    <w:rsid w:val="00D31E9F"/>
    <w:rsid w:val="00D31EC4"/>
    <w:rsid w:val="00D31EEF"/>
    <w:rsid w:val="00D31F2F"/>
    <w:rsid w:val="00D31F50"/>
    <w:rsid w:val="00D31F84"/>
    <w:rsid w:val="00D31FCA"/>
    <w:rsid w:val="00D31FE3"/>
    <w:rsid w:val="00D322A1"/>
    <w:rsid w:val="00D322CF"/>
    <w:rsid w:val="00D322FB"/>
    <w:rsid w:val="00D3239C"/>
    <w:rsid w:val="00D323A6"/>
    <w:rsid w:val="00D323DC"/>
    <w:rsid w:val="00D32475"/>
    <w:rsid w:val="00D32520"/>
    <w:rsid w:val="00D3254B"/>
    <w:rsid w:val="00D3254D"/>
    <w:rsid w:val="00D32553"/>
    <w:rsid w:val="00D3258B"/>
    <w:rsid w:val="00D3258E"/>
    <w:rsid w:val="00D3264E"/>
    <w:rsid w:val="00D327A6"/>
    <w:rsid w:val="00D32826"/>
    <w:rsid w:val="00D32861"/>
    <w:rsid w:val="00D32962"/>
    <w:rsid w:val="00D32982"/>
    <w:rsid w:val="00D329B6"/>
    <w:rsid w:val="00D32A27"/>
    <w:rsid w:val="00D32A4E"/>
    <w:rsid w:val="00D32A7D"/>
    <w:rsid w:val="00D32ACE"/>
    <w:rsid w:val="00D32AE0"/>
    <w:rsid w:val="00D32B9D"/>
    <w:rsid w:val="00D32BC8"/>
    <w:rsid w:val="00D32C17"/>
    <w:rsid w:val="00D32C72"/>
    <w:rsid w:val="00D32D02"/>
    <w:rsid w:val="00D32DF7"/>
    <w:rsid w:val="00D32EF4"/>
    <w:rsid w:val="00D32F74"/>
    <w:rsid w:val="00D3304A"/>
    <w:rsid w:val="00D330B7"/>
    <w:rsid w:val="00D330F5"/>
    <w:rsid w:val="00D331AA"/>
    <w:rsid w:val="00D3322E"/>
    <w:rsid w:val="00D33252"/>
    <w:rsid w:val="00D33438"/>
    <w:rsid w:val="00D33487"/>
    <w:rsid w:val="00D334D9"/>
    <w:rsid w:val="00D334E9"/>
    <w:rsid w:val="00D33518"/>
    <w:rsid w:val="00D335CC"/>
    <w:rsid w:val="00D33646"/>
    <w:rsid w:val="00D336D0"/>
    <w:rsid w:val="00D338ED"/>
    <w:rsid w:val="00D33945"/>
    <w:rsid w:val="00D33988"/>
    <w:rsid w:val="00D339F4"/>
    <w:rsid w:val="00D33A50"/>
    <w:rsid w:val="00D33CAE"/>
    <w:rsid w:val="00D33D26"/>
    <w:rsid w:val="00D33E14"/>
    <w:rsid w:val="00D33E2F"/>
    <w:rsid w:val="00D33F28"/>
    <w:rsid w:val="00D33F4F"/>
    <w:rsid w:val="00D33F81"/>
    <w:rsid w:val="00D33FAD"/>
    <w:rsid w:val="00D34046"/>
    <w:rsid w:val="00D340EB"/>
    <w:rsid w:val="00D340F1"/>
    <w:rsid w:val="00D3413C"/>
    <w:rsid w:val="00D3416B"/>
    <w:rsid w:val="00D341E7"/>
    <w:rsid w:val="00D34200"/>
    <w:rsid w:val="00D342C0"/>
    <w:rsid w:val="00D3430A"/>
    <w:rsid w:val="00D34384"/>
    <w:rsid w:val="00D344F7"/>
    <w:rsid w:val="00D34567"/>
    <w:rsid w:val="00D34593"/>
    <w:rsid w:val="00D345D9"/>
    <w:rsid w:val="00D346AA"/>
    <w:rsid w:val="00D346AE"/>
    <w:rsid w:val="00D346E0"/>
    <w:rsid w:val="00D3476B"/>
    <w:rsid w:val="00D347AA"/>
    <w:rsid w:val="00D347E1"/>
    <w:rsid w:val="00D3481D"/>
    <w:rsid w:val="00D34850"/>
    <w:rsid w:val="00D349C4"/>
    <w:rsid w:val="00D34A22"/>
    <w:rsid w:val="00D34B34"/>
    <w:rsid w:val="00D34B37"/>
    <w:rsid w:val="00D34B8D"/>
    <w:rsid w:val="00D34C40"/>
    <w:rsid w:val="00D34E1A"/>
    <w:rsid w:val="00D34F0C"/>
    <w:rsid w:val="00D35060"/>
    <w:rsid w:val="00D350A0"/>
    <w:rsid w:val="00D350F3"/>
    <w:rsid w:val="00D351DC"/>
    <w:rsid w:val="00D35225"/>
    <w:rsid w:val="00D352F9"/>
    <w:rsid w:val="00D3533D"/>
    <w:rsid w:val="00D35377"/>
    <w:rsid w:val="00D353D6"/>
    <w:rsid w:val="00D35486"/>
    <w:rsid w:val="00D35575"/>
    <w:rsid w:val="00D35720"/>
    <w:rsid w:val="00D35760"/>
    <w:rsid w:val="00D357A1"/>
    <w:rsid w:val="00D357C5"/>
    <w:rsid w:val="00D35964"/>
    <w:rsid w:val="00D359EC"/>
    <w:rsid w:val="00D35A1A"/>
    <w:rsid w:val="00D35A36"/>
    <w:rsid w:val="00D35AAD"/>
    <w:rsid w:val="00D35AC3"/>
    <w:rsid w:val="00D35AF3"/>
    <w:rsid w:val="00D35B39"/>
    <w:rsid w:val="00D35B5F"/>
    <w:rsid w:val="00D35CEA"/>
    <w:rsid w:val="00D35D18"/>
    <w:rsid w:val="00D35D25"/>
    <w:rsid w:val="00D35E80"/>
    <w:rsid w:val="00D35EE0"/>
    <w:rsid w:val="00D35F5F"/>
    <w:rsid w:val="00D35F6E"/>
    <w:rsid w:val="00D35F83"/>
    <w:rsid w:val="00D36105"/>
    <w:rsid w:val="00D36149"/>
    <w:rsid w:val="00D361A3"/>
    <w:rsid w:val="00D361C5"/>
    <w:rsid w:val="00D361F9"/>
    <w:rsid w:val="00D36209"/>
    <w:rsid w:val="00D3642A"/>
    <w:rsid w:val="00D364F9"/>
    <w:rsid w:val="00D36631"/>
    <w:rsid w:val="00D3663A"/>
    <w:rsid w:val="00D3673D"/>
    <w:rsid w:val="00D36770"/>
    <w:rsid w:val="00D36854"/>
    <w:rsid w:val="00D36998"/>
    <w:rsid w:val="00D369D4"/>
    <w:rsid w:val="00D369E2"/>
    <w:rsid w:val="00D36A81"/>
    <w:rsid w:val="00D36AD7"/>
    <w:rsid w:val="00D36E2F"/>
    <w:rsid w:val="00D36EA7"/>
    <w:rsid w:val="00D36F0C"/>
    <w:rsid w:val="00D36F1D"/>
    <w:rsid w:val="00D37016"/>
    <w:rsid w:val="00D37074"/>
    <w:rsid w:val="00D371C6"/>
    <w:rsid w:val="00D371F3"/>
    <w:rsid w:val="00D37267"/>
    <w:rsid w:val="00D37344"/>
    <w:rsid w:val="00D3737E"/>
    <w:rsid w:val="00D373E9"/>
    <w:rsid w:val="00D37423"/>
    <w:rsid w:val="00D374FE"/>
    <w:rsid w:val="00D37532"/>
    <w:rsid w:val="00D375B3"/>
    <w:rsid w:val="00D375EB"/>
    <w:rsid w:val="00D3767B"/>
    <w:rsid w:val="00D377F1"/>
    <w:rsid w:val="00D377F9"/>
    <w:rsid w:val="00D378BF"/>
    <w:rsid w:val="00D3795E"/>
    <w:rsid w:val="00D379DA"/>
    <w:rsid w:val="00D37A27"/>
    <w:rsid w:val="00D37B0E"/>
    <w:rsid w:val="00D37B14"/>
    <w:rsid w:val="00D37BF8"/>
    <w:rsid w:val="00D37C13"/>
    <w:rsid w:val="00D37C33"/>
    <w:rsid w:val="00D37C61"/>
    <w:rsid w:val="00D37CF9"/>
    <w:rsid w:val="00D37D61"/>
    <w:rsid w:val="00D37E44"/>
    <w:rsid w:val="00D37E69"/>
    <w:rsid w:val="00D37F2E"/>
    <w:rsid w:val="00D37F72"/>
    <w:rsid w:val="00D4000F"/>
    <w:rsid w:val="00D400EC"/>
    <w:rsid w:val="00D4011D"/>
    <w:rsid w:val="00D40128"/>
    <w:rsid w:val="00D4017C"/>
    <w:rsid w:val="00D401B1"/>
    <w:rsid w:val="00D401BA"/>
    <w:rsid w:val="00D40216"/>
    <w:rsid w:val="00D40299"/>
    <w:rsid w:val="00D402FC"/>
    <w:rsid w:val="00D40379"/>
    <w:rsid w:val="00D403C5"/>
    <w:rsid w:val="00D403FF"/>
    <w:rsid w:val="00D404C4"/>
    <w:rsid w:val="00D40516"/>
    <w:rsid w:val="00D405EF"/>
    <w:rsid w:val="00D406AC"/>
    <w:rsid w:val="00D407B3"/>
    <w:rsid w:val="00D40811"/>
    <w:rsid w:val="00D40A7B"/>
    <w:rsid w:val="00D40B2D"/>
    <w:rsid w:val="00D40CE9"/>
    <w:rsid w:val="00D40DEA"/>
    <w:rsid w:val="00D40E17"/>
    <w:rsid w:val="00D40E18"/>
    <w:rsid w:val="00D40E88"/>
    <w:rsid w:val="00D40E92"/>
    <w:rsid w:val="00D40F33"/>
    <w:rsid w:val="00D40F61"/>
    <w:rsid w:val="00D40F9B"/>
    <w:rsid w:val="00D41074"/>
    <w:rsid w:val="00D410EF"/>
    <w:rsid w:val="00D41234"/>
    <w:rsid w:val="00D412C2"/>
    <w:rsid w:val="00D412E8"/>
    <w:rsid w:val="00D412F7"/>
    <w:rsid w:val="00D41361"/>
    <w:rsid w:val="00D413A3"/>
    <w:rsid w:val="00D4140F"/>
    <w:rsid w:val="00D41461"/>
    <w:rsid w:val="00D414D0"/>
    <w:rsid w:val="00D41524"/>
    <w:rsid w:val="00D41562"/>
    <w:rsid w:val="00D41592"/>
    <w:rsid w:val="00D41653"/>
    <w:rsid w:val="00D4170F"/>
    <w:rsid w:val="00D41745"/>
    <w:rsid w:val="00D41760"/>
    <w:rsid w:val="00D417CA"/>
    <w:rsid w:val="00D417D2"/>
    <w:rsid w:val="00D4191C"/>
    <w:rsid w:val="00D419B6"/>
    <w:rsid w:val="00D419F8"/>
    <w:rsid w:val="00D41A16"/>
    <w:rsid w:val="00D41A1C"/>
    <w:rsid w:val="00D41ABC"/>
    <w:rsid w:val="00D41BC8"/>
    <w:rsid w:val="00D41C44"/>
    <w:rsid w:val="00D41C45"/>
    <w:rsid w:val="00D41C8B"/>
    <w:rsid w:val="00D41CC3"/>
    <w:rsid w:val="00D41CE2"/>
    <w:rsid w:val="00D41D18"/>
    <w:rsid w:val="00D41D1E"/>
    <w:rsid w:val="00D41D9B"/>
    <w:rsid w:val="00D41E3E"/>
    <w:rsid w:val="00D41F09"/>
    <w:rsid w:val="00D41F85"/>
    <w:rsid w:val="00D4206B"/>
    <w:rsid w:val="00D42115"/>
    <w:rsid w:val="00D42192"/>
    <w:rsid w:val="00D42197"/>
    <w:rsid w:val="00D421A4"/>
    <w:rsid w:val="00D421BF"/>
    <w:rsid w:val="00D421FE"/>
    <w:rsid w:val="00D42287"/>
    <w:rsid w:val="00D422BA"/>
    <w:rsid w:val="00D4248D"/>
    <w:rsid w:val="00D425A0"/>
    <w:rsid w:val="00D42663"/>
    <w:rsid w:val="00D42738"/>
    <w:rsid w:val="00D4280E"/>
    <w:rsid w:val="00D42856"/>
    <w:rsid w:val="00D428D3"/>
    <w:rsid w:val="00D42A2B"/>
    <w:rsid w:val="00D42AC4"/>
    <w:rsid w:val="00D42ADC"/>
    <w:rsid w:val="00D42D23"/>
    <w:rsid w:val="00D42D3B"/>
    <w:rsid w:val="00D42D7B"/>
    <w:rsid w:val="00D42D8E"/>
    <w:rsid w:val="00D42E46"/>
    <w:rsid w:val="00D42E93"/>
    <w:rsid w:val="00D42EFD"/>
    <w:rsid w:val="00D42F28"/>
    <w:rsid w:val="00D42F2F"/>
    <w:rsid w:val="00D42FE5"/>
    <w:rsid w:val="00D43290"/>
    <w:rsid w:val="00D43336"/>
    <w:rsid w:val="00D43375"/>
    <w:rsid w:val="00D433D9"/>
    <w:rsid w:val="00D433EB"/>
    <w:rsid w:val="00D435D6"/>
    <w:rsid w:val="00D435F6"/>
    <w:rsid w:val="00D436E5"/>
    <w:rsid w:val="00D43713"/>
    <w:rsid w:val="00D43760"/>
    <w:rsid w:val="00D437E3"/>
    <w:rsid w:val="00D43826"/>
    <w:rsid w:val="00D438A8"/>
    <w:rsid w:val="00D438E0"/>
    <w:rsid w:val="00D4396D"/>
    <w:rsid w:val="00D43B66"/>
    <w:rsid w:val="00D43B7D"/>
    <w:rsid w:val="00D43BEE"/>
    <w:rsid w:val="00D43BF9"/>
    <w:rsid w:val="00D43C12"/>
    <w:rsid w:val="00D43D35"/>
    <w:rsid w:val="00D43D45"/>
    <w:rsid w:val="00D43D5E"/>
    <w:rsid w:val="00D43D76"/>
    <w:rsid w:val="00D43E36"/>
    <w:rsid w:val="00D43E3F"/>
    <w:rsid w:val="00D43E8E"/>
    <w:rsid w:val="00D43EFC"/>
    <w:rsid w:val="00D43F36"/>
    <w:rsid w:val="00D43F39"/>
    <w:rsid w:val="00D43F5D"/>
    <w:rsid w:val="00D4405C"/>
    <w:rsid w:val="00D440CF"/>
    <w:rsid w:val="00D4423C"/>
    <w:rsid w:val="00D4427D"/>
    <w:rsid w:val="00D442F2"/>
    <w:rsid w:val="00D4432B"/>
    <w:rsid w:val="00D44341"/>
    <w:rsid w:val="00D4449D"/>
    <w:rsid w:val="00D444F1"/>
    <w:rsid w:val="00D44535"/>
    <w:rsid w:val="00D44575"/>
    <w:rsid w:val="00D445DA"/>
    <w:rsid w:val="00D446D2"/>
    <w:rsid w:val="00D44711"/>
    <w:rsid w:val="00D4471E"/>
    <w:rsid w:val="00D44793"/>
    <w:rsid w:val="00D447A0"/>
    <w:rsid w:val="00D44909"/>
    <w:rsid w:val="00D4494E"/>
    <w:rsid w:val="00D44955"/>
    <w:rsid w:val="00D449FB"/>
    <w:rsid w:val="00D44B61"/>
    <w:rsid w:val="00D44BBD"/>
    <w:rsid w:val="00D44C24"/>
    <w:rsid w:val="00D44CCF"/>
    <w:rsid w:val="00D44D79"/>
    <w:rsid w:val="00D44D7C"/>
    <w:rsid w:val="00D44E2D"/>
    <w:rsid w:val="00D44F4B"/>
    <w:rsid w:val="00D44F76"/>
    <w:rsid w:val="00D45032"/>
    <w:rsid w:val="00D45038"/>
    <w:rsid w:val="00D45130"/>
    <w:rsid w:val="00D45149"/>
    <w:rsid w:val="00D451BB"/>
    <w:rsid w:val="00D4526A"/>
    <w:rsid w:val="00D453C5"/>
    <w:rsid w:val="00D454C8"/>
    <w:rsid w:val="00D457D1"/>
    <w:rsid w:val="00D45819"/>
    <w:rsid w:val="00D45832"/>
    <w:rsid w:val="00D458AA"/>
    <w:rsid w:val="00D45913"/>
    <w:rsid w:val="00D45954"/>
    <w:rsid w:val="00D45A68"/>
    <w:rsid w:val="00D45AC6"/>
    <w:rsid w:val="00D45B07"/>
    <w:rsid w:val="00D45B86"/>
    <w:rsid w:val="00D45C2D"/>
    <w:rsid w:val="00D45C44"/>
    <w:rsid w:val="00D45CA5"/>
    <w:rsid w:val="00D45CB5"/>
    <w:rsid w:val="00D45CDB"/>
    <w:rsid w:val="00D45D48"/>
    <w:rsid w:val="00D45E22"/>
    <w:rsid w:val="00D45E25"/>
    <w:rsid w:val="00D45EB1"/>
    <w:rsid w:val="00D45FD1"/>
    <w:rsid w:val="00D460F3"/>
    <w:rsid w:val="00D46156"/>
    <w:rsid w:val="00D4621E"/>
    <w:rsid w:val="00D4622E"/>
    <w:rsid w:val="00D46249"/>
    <w:rsid w:val="00D46338"/>
    <w:rsid w:val="00D46384"/>
    <w:rsid w:val="00D46385"/>
    <w:rsid w:val="00D46403"/>
    <w:rsid w:val="00D46448"/>
    <w:rsid w:val="00D4646F"/>
    <w:rsid w:val="00D46577"/>
    <w:rsid w:val="00D466EA"/>
    <w:rsid w:val="00D46803"/>
    <w:rsid w:val="00D4681B"/>
    <w:rsid w:val="00D46863"/>
    <w:rsid w:val="00D469C7"/>
    <w:rsid w:val="00D46ADC"/>
    <w:rsid w:val="00D46BA2"/>
    <w:rsid w:val="00D46C19"/>
    <w:rsid w:val="00D46CB9"/>
    <w:rsid w:val="00D46D0E"/>
    <w:rsid w:val="00D46D25"/>
    <w:rsid w:val="00D46D8C"/>
    <w:rsid w:val="00D46E23"/>
    <w:rsid w:val="00D46EBA"/>
    <w:rsid w:val="00D46FA8"/>
    <w:rsid w:val="00D4705E"/>
    <w:rsid w:val="00D470AD"/>
    <w:rsid w:val="00D470DA"/>
    <w:rsid w:val="00D47190"/>
    <w:rsid w:val="00D47234"/>
    <w:rsid w:val="00D47252"/>
    <w:rsid w:val="00D47281"/>
    <w:rsid w:val="00D4730E"/>
    <w:rsid w:val="00D473E3"/>
    <w:rsid w:val="00D473F6"/>
    <w:rsid w:val="00D47475"/>
    <w:rsid w:val="00D474A0"/>
    <w:rsid w:val="00D474AA"/>
    <w:rsid w:val="00D4753B"/>
    <w:rsid w:val="00D47581"/>
    <w:rsid w:val="00D4758F"/>
    <w:rsid w:val="00D475A4"/>
    <w:rsid w:val="00D47605"/>
    <w:rsid w:val="00D476CE"/>
    <w:rsid w:val="00D477B6"/>
    <w:rsid w:val="00D477FE"/>
    <w:rsid w:val="00D478B7"/>
    <w:rsid w:val="00D479D8"/>
    <w:rsid w:val="00D47AE0"/>
    <w:rsid w:val="00D47B2E"/>
    <w:rsid w:val="00D47B8F"/>
    <w:rsid w:val="00D47C03"/>
    <w:rsid w:val="00D47CED"/>
    <w:rsid w:val="00D47D02"/>
    <w:rsid w:val="00D47DB6"/>
    <w:rsid w:val="00D47F93"/>
    <w:rsid w:val="00D47FC2"/>
    <w:rsid w:val="00D47FEF"/>
    <w:rsid w:val="00D47FFE"/>
    <w:rsid w:val="00D50184"/>
    <w:rsid w:val="00D501A8"/>
    <w:rsid w:val="00D50295"/>
    <w:rsid w:val="00D5046B"/>
    <w:rsid w:val="00D5048D"/>
    <w:rsid w:val="00D504B3"/>
    <w:rsid w:val="00D505E4"/>
    <w:rsid w:val="00D505E7"/>
    <w:rsid w:val="00D5069A"/>
    <w:rsid w:val="00D506A9"/>
    <w:rsid w:val="00D506C2"/>
    <w:rsid w:val="00D506E2"/>
    <w:rsid w:val="00D5074D"/>
    <w:rsid w:val="00D507A6"/>
    <w:rsid w:val="00D507E0"/>
    <w:rsid w:val="00D507EA"/>
    <w:rsid w:val="00D507FF"/>
    <w:rsid w:val="00D508E6"/>
    <w:rsid w:val="00D50A1A"/>
    <w:rsid w:val="00D50AAA"/>
    <w:rsid w:val="00D50B07"/>
    <w:rsid w:val="00D50BA8"/>
    <w:rsid w:val="00D50CA9"/>
    <w:rsid w:val="00D50E43"/>
    <w:rsid w:val="00D50EE7"/>
    <w:rsid w:val="00D51080"/>
    <w:rsid w:val="00D5112E"/>
    <w:rsid w:val="00D5114E"/>
    <w:rsid w:val="00D512F5"/>
    <w:rsid w:val="00D51349"/>
    <w:rsid w:val="00D51392"/>
    <w:rsid w:val="00D513A6"/>
    <w:rsid w:val="00D513F5"/>
    <w:rsid w:val="00D51469"/>
    <w:rsid w:val="00D5146C"/>
    <w:rsid w:val="00D51477"/>
    <w:rsid w:val="00D51507"/>
    <w:rsid w:val="00D51580"/>
    <w:rsid w:val="00D515B0"/>
    <w:rsid w:val="00D515C9"/>
    <w:rsid w:val="00D515D3"/>
    <w:rsid w:val="00D5176F"/>
    <w:rsid w:val="00D517A0"/>
    <w:rsid w:val="00D5182A"/>
    <w:rsid w:val="00D51849"/>
    <w:rsid w:val="00D5188F"/>
    <w:rsid w:val="00D51928"/>
    <w:rsid w:val="00D519DF"/>
    <w:rsid w:val="00D51A21"/>
    <w:rsid w:val="00D51A5F"/>
    <w:rsid w:val="00D51A90"/>
    <w:rsid w:val="00D51AA7"/>
    <w:rsid w:val="00D51B53"/>
    <w:rsid w:val="00D51BBD"/>
    <w:rsid w:val="00D51BC5"/>
    <w:rsid w:val="00D51C1E"/>
    <w:rsid w:val="00D51C8D"/>
    <w:rsid w:val="00D51CDC"/>
    <w:rsid w:val="00D51DB1"/>
    <w:rsid w:val="00D51DF2"/>
    <w:rsid w:val="00D51E8C"/>
    <w:rsid w:val="00D51EB1"/>
    <w:rsid w:val="00D51EC0"/>
    <w:rsid w:val="00D51EFA"/>
    <w:rsid w:val="00D51F33"/>
    <w:rsid w:val="00D51F4F"/>
    <w:rsid w:val="00D51F97"/>
    <w:rsid w:val="00D52044"/>
    <w:rsid w:val="00D52081"/>
    <w:rsid w:val="00D52090"/>
    <w:rsid w:val="00D520E5"/>
    <w:rsid w:val="00D52102"/>
    <w:rsid w:val="00D52216"/>
    <w:rsid w:val="00D5225E"/>
    <w:rsid w:val="00D522D2"/>
    <w:rsid w:val="00D52347"/>
    <w:rsid w:val="00D523A7"/>
    <w:rsid w:val="00D52427"/>
    <w:rsid w:val="00D52515"/>
    <w:rsid w:val="00D5251B"/>
    <w:rsid w:val="00D5254D"/>
    <w:rsid w:val="00D5255C"/>
    <w:rsid w:val="00D52679"/>
    <w:rsid w:val="00D52823"/>
    <w:rsid w:val="00D52847"/>
    <w:rsid w:val="00D528B5"/>
    <w:rsid w:val="00D5292C"/>
    <w:rsid w:val="00D52977"/>
    <w:rsid w:val="00D5297B"/>
    <w:rsid w:val="00D5297D"/>
    <w:rsid w:val="00D52A3D"/>
    <w:rsid w:val="00D52A91"/>
    <w:rsid w:val="00D52AF5"/>
    <w:rsid w:val="00D52B45"/>
    <w:rsid w:val="00D52E21"/>
    <w:rsid w:val="00D52EEC"/>
    <w:rsid w:val="00D53064"/>
    <w:rsid w:val="00D5306D"/>
    <w:rsid w:val="00D530EB"/>
    <w:rsid w:val="00D531B8"/>
    <w:rsid w:val="00D53273"/>
    <w:rsid w:val="00D53393"/>
    <w:rsid w:val="00D533E3"/>
    <w:rsid w:val="00D533FE"/>
    <w:rsid w:val="00D535B6"/>
    <w:rsid w:val="00D5368F"/>
    <w:rsid w:val="00D536A5"/>
    <w:rsid w:val="00D536AF"/>
    <w:rsid w:val="00D53753"/>
    <w:rsid w:val="00D53812"/>
    <w:rsid w:val="00D5382F"/>
    <w:rsid w:val="00D5384A"/>
    <w:rsid w:val="00D5384E"/>
    <w:rsid w:val="00D5386C"/>
    <w:rsid w:val="00D538C1"/>
    <w:rsid w:val="00D53916"/>
    <w:rsid w:val="00D53942"/>
    <w:rsid w:val="00D53957"/>
    <w:rsid w:val="00D53A7C"/>
    <w:rsid w:val="00D53ABE"/>
    <w:rsid w:val="00D53B47"/>
    <w:rsid w:val="00D53D57"/>
    <w:rsid w:val="00D53D74"/>
    <w:rsid w:val="00D53D9C"/>
    <w:rsid w:val="00D53E0A"/>
    <w:rsid w:val="00D53F82"/>
    <w:rsid w:val="00D53FDC"/>
    <w:rsid w:val="00D5400E"/>
    <w:rsid w:val="00D5403F"/>
    <w:rsid w:val="00D54089"/>
    <w:rsid w:val="00D541A9"/>
    <w:rsid w:val="00D54208"/>
    <w:rsid w:val="00D54214"/>
    <w:rsid w:val="00D5422D"/>
    <w:rsid w:val="00D5423F"/>
    <w:rsid w:val="00D54293"/>
    <w:rsid w:val="00D542DD"/>
    <w:rsid w:val="00D54308"/>
    <w:rsid w:val="00D54309"/>
    <w:rsid w:val="00D54422"/>
    <w:rsid w:val="00D5443B"/>
    <w:rsid w:val="00D54582"/>
    <w:rsid w:val="00D5462B"/>
    <w:rsid w:val="00D5464A"/>
    <w:rsid w:val="00D5466D"/>
    <w:rsid w:val="00D54674"/>
    <w:rsid w:val="00D54699"/>
    <w:rsid w:val="00D54752"/>
    <w:rsid w:val="00D54888"/>
    <w:rsid w:val="00D548A0"/>
    <w:rsid w:val="00D548B1"/>
    <w:rsid w:val="00D549C5"/>
    <w:rsid w:val="00D549D1"/>
    <w:rsid w:val="00D54A72"/>
    <w:rsid w:val="00D54A7D"/>
    <w:rsid w:val="00D54BB6"/>
    <w:rsid w:val="00D54C04"/>
    <w:rsid w:val="00D54C80"/>
    <w:rsid w:val="00D54D63"/>
    <w:rsid w:val="00D54D69"/>
    <w:rsid w:val="00D54E49"/>
    <w:rsid w:val="00D54EE7"/>
    <w:rsid w:val="00D55031"/>
    <w:rsid w:val="00D55145"/>
    <w:rsid w:val="00D551A8"/>
    <w:rsid w:val="00D551AD"/>
    <w:rsid w:val="00D551E4"/>
    <w:rsid w:val="00D5522F"/>
    <w:rsid w:val="00D55235"/>
    <w:rsid w:val="00D55307"/>
    <w:rsid w:val="00D55389"/>
    <w:rsid w:val="00D5539D"/>
    <w:rsid w:val="00D553CF"/>
    <w:rsid w:val="00D554EA"/>
    <w:rsid w:val="00D55511"/>
    <w:rsid w:val="00D55539"/>
    <w:rsid w:val="00D55648"/>
    <w:rsid w:val="00D556F1"/>
    <w:rsid w:val="00D55799"/>
    <w:rsid w:val="00D557AD"/>
    <w:rsid w:val="00D557BF"/>
    <w:rsid w:val="00D55978"/>
    <w:rsid w:val="00D55B5F"/>
    <w:rsid w:val="00D55B89"/>
    <w:rsid w:val="00D55B8B"/>
    <w:rsid w:val="00D55BBB"/>
    <w:rsid w:val="00D55C69"/>
    <w:rsid w:val="00D55CC9"/>
    <w:rsid w:val="00D55D04"/>
    <w:rsid w:val="00D55D59"/>
    <w:rsid w:val="00D55D61"/>
    <w:rsid w:val="00D55D78"/>
    <w:rsid w:val="00D55FC9"/>
    <w:rsid w:val="00D5606B"/>
    <w:rsid w:val="00D560B7"/>
    <w:rsid w:val="00D5614E"/>
    <w:rsid w:val="00D5647B"/>
    <w:rsid w:val="00D564C6"/>
    <w:rsid w:val="00D56548"/>
    <w:rsid w:val="00D565B3"/>
    <w:rsid w:val="00D565CD"/>
    <w:rsid w:val="00D565F4"/>
    <w:rsid w:val="00D5668F"/>
    <w:rsid w:val="00D5677A"/>
    <w:rsid w:val="00D56785"/>
    <w:rsid w:val="00D567D1"/>
    <w:rsid w:val="00D568DC"/>
    <w:rsid w:val="00D5698A"/>
    <w:rsid w:val="00D569C7"/>
    <w:rsid w:val="00D569F5"/>
    <w:rsid w:val="00D56A18"/>
    <w:rsid w:val="00D56AF6"/>
    <w:rsid w:val="00D56B89"/>
    <w:rsid w:val="00D56B8B"/>
    <w:rsid w:val="00D56B8C"/>
    <w:rsid w:val="00D56BBD"/>
    <w:rsid w:val="00D56DA6"/>
    <w:rsid w:val="00D56DFB"/>
    <w:rsid w:val="00D56E11"/>
    <w:rsid w:val="00D56F4B"/>
    <w:rsid w:val="00D56FE2"/>
    <w:rsid w:val="00D570DA"/>
    <w:rsid w:val="00D57145"/>
    <w:rsid w:val="00D5714B"/>
    <w:rsid w:val="00D5728E"/>
    <w:rsid w:val="00D57293"/>
    <w:rsid w:val="00D572B2"/>
    <w:rsid w:val="00D5740F"/>
    <w:rsid w:val="00D574E2"/>
    <w:rsid w:val="00D57558"/>
    <w:rsid w:val="00D575BB"/>
    <w:rsid w:val="00D575BF"/>
    <w:rsid w:val="00D575DE"/>
    <w:rsid w:val="00D57731"/>
    <w:rsid w:val="00D57784"/>
    <w:rsid w:val="00D57818"/>
    <w:rsid w:val="00D5785A"/>
    <w:rsid w:val="00D5787C"/>
    <w:rsid w:val="00D578A4"/>
    <w:rsid w:val="00D57A0F"/>
    <w:rsid w:val="00D57AE5"/>
    <w:rsid w:val="00D57C20"/>
    <w:rsid w:val="00D57CD1"/>
    <w:rsid w:val="00D57CD3"/>
    <w:rsid w:val="00D57E3A"/>
    <w:rsid w:val="00D57E94"/>
    <w:rsid w:val="00D57EE0"/>
    <w:rsid w:val="00D57F12"/>
    <w:rsid w:val="00D57F3F"/>
    <w:rsid w:val="00D57F53"/>
    <w:rsid w:val="00D6001F"/>
    <w:rsid w:val="00D60108"/>
    <w:rsid w:val="00D602CC"/>
    <w:rsid w:val="00D602DF"/>
    <w:rsid w:val="00D60359"/>
    <w:rsid w:val="00D60366"/>
    <w:rsid w:val="00D603EA"/>
    <w:rsid w:val="00D60407"/>
    <w:rsid w:val="00D60444"/>
    <w:rsid w:val="00D60480"/>
    <w:rsid w:val="00D604B4"/>
    <w:rsid w:val="00D60518"/>
    <w:rsid w:val="00D605E8"/>
    <w:rsid w:val="00D60697"/>
    <w:rsid w:val="00D606AE"/>
    <w:rsid w:val="00D6074A"/>
    <w:rsid w:val="00D6076B"/>
    <w:rsid w:val="00D60871"/>
    <w:rsid w:val="00D60976"/>
    <w:rsid w:val="00D60981"/>
    <w:rsid w:val="00D60AA4"/>
    <w:rsid w:val="00D60ADF"/>
    <w:rsid w:val="00D60AF7"/>
    <w:rsid w:val="00D60C6C"/>
    <w:rsid w:val="00D60C71"/>
    <w:rsid w:val="00D60CAB"/>
    <w:rsid w:val="00D60D8B"/>
    <w:rsid w:val="00D60DB9"/>
    <w:rsid w:val="00D60DC7"/>
    <w:rsid w:val="00D60EA9"/>
    <w:rsid w:val="00D60F1F"/>
    <w:rsid w:val="00D6102B"/>
    <w:rsid w:val="00D610DE"/>
    <w:rsid w:val="00D610E1"/>
    <w:rsid w:val="00D610FD"/>
    <w:rsid w:val="00D61128"/>
    <w:rsid w:val="00D61161"/>
    <w:rsid w:val="00D6118D"/>
    <w:rsid w:val="00D61232"/>
    <w:rsid w:val="00D612AF"/>
    <w:rsid w:val="00D61300"/>
    <w:rsid w:val="00D61302"/>
    <w:rsid w:val="00D6137C"/>
    <w:rsid w:val="00D6144B"/>
    <w:rsid w:val="00D61540"/>
    <w:rsid w:val="00D615E5"/>
    <w:rsid w:val="00D61723"/>
    <w:rsid w:val="00D6174B"/>
    <w:rsid w:val="00D61779"/>
    <w:rsid w:val="00D617E6"/>
    <w:rsid w:val="00D6189B"/>
    <w:rsid w:val="00D619D5"/>
    <w:rsid w:val="00D619F3"/>
    <w:rsid w:val="00D61A45"/>
    <w:rsid w:val="00D61A67"/>
    <w:rsid w:val="00D61A8C"/>
    <w:rsid w:val="00D61AAF"/>
    <w:rsid w:val="00D61B5E"/>
    <w:rsid w:val="00D61CDA"/>
    <w:rsid w:val="00D61D07"/>
    <w:rsid w:val="00D61DAB"/>
    <w:rsid w:val="00D61EFB"/>
    <w:rsid w:val="00D62005"/>
    <w:rsid w:val="00D62049"/>
    <w:rsid w:val="00D6210C"/>
    <w:rsid w:val="00D62170"/>
    <w:rsid w:val="00D62216"/>
    <w:rsid w:val="00D622E6"/>
    <w:rsid w:val="00D62389"/>
    <w:rsid w:val="00D62630"/>
    <w:rsid w:val="00D626B7"/>
    <w:rsid w:val="00D626D1"/>
    <w:rsid w:val="00D6279A"/>
    <w:rsid w:val="00D6286F"/>
    <w:rsid w:val="00D62892"/>
    <w:rsid w:val="00D628D3"/>
    <w:rsid w:val="00D6292C"/>
    <w:rsid w:val="00D6293B"/>
    <w:rsid w:val="00D62957"/>
    <w:rsid w:val="00D62A30"/>
    <w:rsid w:val="00D62A5B"/>
    <w:rsid w:val="00D62A66"/>
    <w:rsid w:val="00D62A8C"/>
    <w:rsid w:val="00D62B0C"/>
    <w:rsid w:val="00D62B11"/>
    <w:rsid w:val="00D62B3A"/>
    <w:rsid w:val="00D62B43"/>
    <w:rsid w:val="00D62C8F"/>
    <w:rsid w:val="00D62D1A"/>
    <w:rsid w:val="00D62D39"/>
    <w:rsid w:val="00D62E53"/>
    <w:rsid w:val="00D62ECD"/>
    <w:rsid w:val="00D62F70"/>
    <w:rsid w:val="00D62FBC"/>
    <w:rsid w:val="00D630BB"/>
    <w:rsid w:val="00D63133"/>
    <w:rsid w:val="00D6321A"/>
    <w:rsid w:val="00D6326F"/>
    <w:rsid w:val="00D6328A"/>
    <w:rsid w:val="00D632C3"/>
    <w:rsid w:val="00D63350"/>
    <w:rsid w:val="00D63351"/>
    <w:rsid w:val="00D633E3"/>
    <w:rsid w:val="00D63470"/>
    <w:rsid w:val="00D634B5"/>
    <w:rsid w:val="00D6355B"/>
    <w:rsid w:val="00D6362D"/>
    <w:rsid w:val="00D63685"/>
    <w:rsid w:val="00D636B1"/>
    <w:rsid w:val="00D63748"/>
    <w:rsid w:val="00D637A6"/>
    <w:rsid w:val="00D6384B"/>
    <w:rsid w:val="00D6388E"/>
    <w:rsid w:val="00D638A7"/>
    <w:rsid w:val="00D638F5"/>
    <w:rsid w:val="00D63980"/>
    <w:rsid w:val="00D639C1"/>
    <w:rsid w:val="00D639F0"/>
    <w:rsid w:val="00D63A52"/>
    <w:rsid w:val="00D63AC0"/>
    <w:rsid w:val="00D63B8D"/>
    <w:rsid w:val="00D63C1B"/>
    <w:rsid w:val="00D63C24"/>
    <w:rsid w:val="00D63CAE"/>
    <w:rsid w:val="00D63D76"/>
    <w:rsid w:val="00D63E72"/>
    <w:rsid w:val="00D63E7B"/>
    <w:rsid w:val="00D63EB3"/>
    <w:rsid w:val="00D64046"/>
    <w:rsid w:val="00D6409F"/>
    <w:rsid w:val="00D640D6"/>
    <w:rsid w:val="00D64155"/>
    <w:rsid w:val="00D6421F"/>
    <w:rsid w:val="00D64223"/>
    <w:rsid w:val="00D64240"/>
    <w:rsid w:val="00D6430A"/>
    <w:rsid w:val="00D64366"/>
    <w:rsid w:val="00D64526"/>
    <w:rsid w:val="00D64699"/>
    <w:rsid w:val="00D6470A"/>
    <w:rsid w:val="00D64715"/>
    <w:rsid w:val="00D6477C"/>
    <w:rsid w:val="00D647A6"/>
    <w:rsid w:val="00D647C6"/>
    <w:rsid w:val="00D6480E"/>
    <w:rsid w:val="00D64820"/>
    <w:rsid w:val="00D6482C"/>
    <w:rsid w:val="00D6483A"/>
    <w:rsid w:val="00D649A5"/>
    <w:rsid w:val="00D649E3"/>
    <w:rsid w:val="00D64AA3"/>
    <w:rsid w:val="00D64AF1"/>
    <w:rsid w:val="00D64B62"/>
    <w:rsid w:val="00D64BC1"/>
    <w:rsid w:val="00D64BFF"/>
    <w:rsid w:val="00D64DE1"/>
    <w:rsid w:val="00D64DFE"/>
    <w:rsid w:val="00D64E3F"/>
    <w:rsid w:val="00D64EEF"/>
    <w:rsid w:val="00D64F3C"/>
    <w:rsid w:val="00D64F54"/>
    <w:rsid w:val="00D64F96"/>
    <w:rsid w:val="00D65002"/>
    <w:rsid w:val="00D6503A"/>
    <w:rsid w:val="00D65073"/>
    <w:rsid w:val="00D65082"/>
    <w:rsid w:val="00D65085"/>
    <w:rsid w:val="00D651A7"/>
    <w:rsid w:val="00D651CE"/>
    <w:rsid w:val="00D651EC"/>
    <w:rsid w:val="00D653D0"/>
    <w:rsid w:val="00D65507"/>
    <w:rsid w:val="00D6554F"/>
    <w:rsid w:val="00D65582"/>
    <w:rsid w:val="00D65595"/>
    <w:rsid w:val="00D65625"/>
    <w:rsid w:val="00D6563F"/>
    <w:rsid w:val="00D65662"/>
    <w:rsid w:val="00D65701"/>
    <w:rsid w:val="00D6573D"/>
    <w:rsid w:val="00D657AC"/>
    <w:rsid w:val="00D65814"/>
    <w:rsid w:val="00D6593D"/>
    <w:rsid w:val="00D659B4"/>
    <w:rsid w:val="00D659DB"/>
    <w:rsid w:val="00D65B46"/>
    <w:rsid w:val="00D65B64"/>
    <w:rsid w:val="00D65BCB"/>
    <w:rsid w:val="00D65BD2"/>
    <w:rsid w:val="00D65C05"/>
    <w:rsid w:val="00D65D9A"/>
    <w:rsid w:val="00D65DC9"/>
    <w:rsid w:val="00D65DDB"/>
    <w:rsid w:val="00D65E8F"/>
    <w:rsid w:val="00D65EE8"/>
    <w:rsid w:val="00D66037"/>
    <w:rsid w:val="00D662B8"/>
    <w:rsid w:val="00D66402"/>
    <w:rsid w:val="00D66473"/>
    <w:rsid w:val="00D665A3"/>
    <w:rsid w:val="00D66600"/>
    <w:rsid w:val="00D666B8"/>
    <w:rsid w:val="00D6683E"/>
    <w:rsid w:val="00D6687D"/>
    <w:rsid w:val="00D6692A"/>
    <w:rsid w:val="00D66A82"/>
    <w:rsid w:val="00D66ADF"/>
    <w:rsid w:val="00D66B10"/>
    <w:rsid w:val="00D66CC1"/>
    <w:rsid w:val="00D66DD1"/>
    <w:rsid w:val="00D66E55"/>
    <w:rsid w:val="00D66FCA"/>
    <w:rsid w:val="00D67006"/>
    <w:rsid w:val="00D67088"/>
    <w:rsid w:val="00D670BD"/>
    <w:rsid w:val="00D67108"/>
    <w:rsid w:val="00D673F4"/>
    <w:rsid w:val="00D674A1"/>
    <w:rsid w:val="00D674E9"/>
    <w:rsid w:val="00D67514"/>
    <w:rsid w:val="00D675D2"/>
    <w:rsid w:val="00D6783F"/>
    <w:rsid w:val="00D67882"/>
    <w:rsid w:val="00D6788D"/>
    <w:rsid w:val="00D678B1"/>
    <w:rsid w:val="00D678CC"/>
    <w:rsid w:val="00D6799A"/>
    <w:rsid w:val="00D679A2"/>
    <w:rsid w:val="00D67B67"/>
    <w:rsid w:val="00D67CDB"/>
    <w:rsid w:val="00D67D43"/>
    <w:rsid w:val="00D67D4D"/>
    <w:rsid w:val="00D67DC9"/>
    <w:rsid w:val="00D67E50"/>
    <w:rsid w:val="00D67EDF"/>
    <w:rsid w:val="00D67F14"/>
    <w:rsid w:val="00D7006F"/>
    <w:rsid w:val="00D7009C"/>
    <w:rsid w:val="00D700E8"/>
    <w:rsid w:val="00D700F4"/>
    <w:rsid w:val="00D7010A"/>
    <w:rsid w:val="00D7032F"/>
    <w:rsid w:val="00D7041E"/>
    <w:rsid w:val="00D7048C"/>
    <w:rsid w:val="00D705A4"/>
    <w:rsid w:val="00D7067A"/>
    <w:rsid w:val="00D7067D"/>
    <w:rsid w:val="00D7076F"/>
    <w:rsid w:val="00D70A16"/>
    <w:rsid w:val="00D70DF1"/>
    <w:rsid w:val="00D70E1A"/>
    <w:rsid w:val="00D70F17"/>
    <w:rsid w:val="00D70FAA"/>
    <w:rsid w:val="00D71018"/>
    <w:rsid w:val="00D71098"/>
    <w:rsid w:val="00D710C6"/>
    <w:rsid w:val="00D71155"/>
    <w:rsid w:val="00D71199"/>
    <w:rsid w:val="00D7119D"/>
    <w:rsid w:val="00D711A8"/>
    <w:rsid w:val="00D7129D"/>
    <w:rsid w:val="00D712DA"/>
    <w:rsid w:val="00D71455"/>
    <w:rsid w:val="00D71489"/>
    <w:rsid w:val="00D714D9"/>
    <w:rsid w:val="00D714EB"/>
    <w:rsid w:val="00D7153F"/>
    <w:rsid w:val="00D7163E"/>
    <w:rsid w:val="00D7169D"/>
    <w:rsid w:val="00D716CA"/>
    <w:rsid w:val="00D716E4"/>
    <w:rsid w:val="00D71808"/>
    <w:rsid w:val="00D718E5"/>
    <w:rsid w:val="00D7193E"/>
    <w:rsid w:val="00D719E3"/>
    <w:rsid w:val="00D719EF"/>
    <w:rsid w:val="00D71B01"/>
    <w:rsid w:val="00D71BAE"/>
    <w:rsid w:val="00D71BBC"/>
    <w:rsid w:val="00D71BF0"/>
    <w:rsid w:val="00D71E53"/>
    <w:rsid w:val="00D71E73"/>
    <w:rsid w:val="00D71EC4"/>
    <w:rsid w:val="00D71F08"/>
    <w:rsid w:val="00D71FA0"/>
    <w:rsid w:val="00D71FF4"/>
    <w:rsid w:val="00D7203A"/>
    <w:rsid w:val="00D72171"/>
    <w:rsid w:val="00D72172"/>
    <w:rsid w:val="00D72194"/>
    <w:rsid w:val="00D721B4"/>
    <w:rsid w:val="00D721D2"/>
    <w:rsid w:val="00D72211"/>
    <w:rsid w:val="00D72247"/>
    <w:rsid w:val="00D722F2"/>
    <w:rsid w:val="00D72327"/>
    <w:rsid w:val="00D72489"/>
    <w:rsid w:val="00D724ED"/>
    <w:rsid w:val="00D725E8"/>
    <w:rsid w:val="00D725F7"/>
    <w:rsid w:val="00D726EB"/>
    <w:rsid w:val="00D726F1"/>
    <w:rsid w:val="00D7270F"/>
    <w:rsid w:val="00D72719"/>
    <w:rsid w:val="00D727E0"/>
    <w:rsid w:val="00D72810"/>
    <w:rsid w:val="00D72929"/>
    <w:rsid w:val="00D72938"/>
    <w:rsid w:val="00D7293C"/>
    <w:rsid w:val="00D72942"/>
    <w:rsid w:val="00D72963"/>
    <w:rsid w:val="00D7296A"/>
    <w:rsid w:val="00D72A0C"/>
    <w:rsid w:val="00D72A5E"/>
    <w:rsid w:val="00D72AAD"/>
    <w:rsid w:val="00D72AC6"/>
    <w:rsid w:val="00D72B80"/>
    <w:rsid w:val="00D72B87"/>
    <w:rsid w:val="00D72BDB"/>
    <w:rsid w:val="00D72BE9"/>
    <w:rsid w:val="00D72C11"/>
    <w:rsid w:val="00D72C72"/>
    <w:rsid w:val="00D72C92"/>
    <w:rsid w:val="00D72D58"/>
    <w:rsid w:val="00D72D7E"/>
    <w:rsid w:val="00D72DA8"/>
    <w:rsid w:val="00D72E28"/>
    <w:rsid w:val="00D72E57"/>
    <w:rsid w:val="00D72FC5"/>
    <w:rsid w:val="00D7301F"/>
    <w:rsid w:val="00D73117"/>
    <w:rsid w:val="00D732BB"/>
    <w:rsid w:val="00D732C1"/>
    <w:rsid w:val="00D732F8"/>
    <w:rsid w:val="00D73306"/>
    <w:rsid w:val="00D733C8"/>
    <w:rsid w:val="00D73412"/>
    <w:rsid w:val="00D73606"/>
    <w:rsid w:val="00D7361F"/>
    <w:rsid w:val="00D73630"/>
    <w:rsid w:val="00D73715"/>
    <w:rsid w:val="00D7372B"/>
    <w:rsid w:val="00D7391A"/>
    <w:rsid w:val="00D7393C"/>
    <w:rsid w:val="00D739B6"/>
    <w:rsid w:val="00D739DE"/>
    <w:rsid w:val="00D73A29"/>
    <w:rsid w:val="00D73A7A"/>
    <w:rsid w:val="00D73B05"/>
    <w:rsid w:val="00D73B85"/>
    <w:rsid w:val="00D73BF0"/>
    <w:rsid w:val="00D73CA6"/>
    <w:rsid w:val="00D73CD1"/>
    <w:rsid w:val="00D73D0C"/>
    <w:rsid w:val="00D73D53"/>
    <w:rsid w:val="00D73E33"/>
    <w:rsid w:val="00D73E35"/>
    <w:rsid w:val="00D73E4E"/>
    <w:rsid w:val="00D74061"/>
    <w:rsid w:val="00D74122"/>
    <w:rsid w:val="00D7412A"/>
    <w:rsid w:val="00D7413C"/>
    <w:rsid w:val="00D74160"/>
    <w:rsid w:val="00D7422B"/>
    <w:rsid w:val="00D7427E"/>
    <w:rsid w:val="00D74288"/>
    <w:rsid w:val="00D742FE"/>
    <w:rsid w:val="00D74313"/>
    <w:rsid w:val="00D74344"/>
    <w:rsid w:val="00D7441B"/>
    <w:rsid w:val="00D744B1"/>
    <w:rsid w:val="00D744F5"/>
    <w:rsid w:val="00D74508"/>
    <w:rsid w:val="00D7450F"/>
    <w:rsid w:val="00D74664"/>
    <w:rsid w:val="00D746CE"/>
    <w:rsid w:val="00D747C3"/>
    <w:rsid w:val="00D74871"/>
    <w:rsid w:val="00D7487B"/>
    <w:rsid w:val="00D74898"/>
    <w:rsid w:val="00D749DF"/>
    <w:rsid w:val="00D74AF4"/>
    <w:rsid w:val="00D74B51"/>
    <w:rsid w:val="00D74B7B"/>
    <w:rsid w:val="00D74BC3"/>
    <w:rsid w:val="00D74BEF"/>
    <w:rsid w:val="00D74C95"/>
    <w:rsid w:val="00D74CDB"/>
    <w:rsid w:val="00D74DDC"/>
    <w:rsid w:val="00D74F39"/>
    <w:rsid w:val="00D74FC9"/>
    <w:rsid w:val="00D75087"/>
    <w:rsid w:val="00D75091"/>
    <w:rsid w:val="00D750A8"/>
    <w:rsid w:val="00D750D5"/>
    <w:rsid w:val="00D75110"/>
    <w:rsid w:val="00D7513E"/>
    <w:rsid w:val="00D75218"/>
    <w:rsid w:val="00D75301"/>
    <w:rsid w:val="00D75494"/>
    <w:rsid w:val="00D75570"/>
    <w:rsid w:val="00D755D2"/>
    <w:rsid w:val="00D75625"/>
    <w:rsid w:val="00D75655"/>
    <w:rsid w:val="00D7571F"/>
    <w:rsid w:val="00D75837"/>
    <w:rsid w:val="00D758B8"/>
    <w:rsid w:val="00D75A09"/>
    <w:rsid w:val="00D75A14"/>
    <w:rsid w:val="00D75A56"/>
    <w:rsid w:val="00D75B30"/>
    <w:rsid w:val="00D75B60"/>
    <w:rsid w:val="00D75B79"/>
    <w:rsid w:val="00D75C43"/>
    <w:rsid w:val="00D75D22"/>
    <w:rsid w:val="00D75D9C"/>
    <w:rsid w:val="00D75DA5"/>
    <w:rsid w:val="00D75DE9"/>
    <w:rsid w:val="00D75E60"/>
    <w:rsid w:val="00D75E7F"/>
    <w:rsid w:val="00D75F14"/>
    <w:rsid w:val="00D75F28"/>
    <w:rsid w:val="00D75F42"/>
    <w:rsid w:val="00D75FE3"/>
    <w:rsid w:val="00D76014"/>
    <w:rsid w:val="00D7606B"/>
    <w:rsid w:val="00D760E7"/>
    <w:rsid w:val="00D76204"/>
    <w:rsid w:val="00D762EF"/>
    <w:rsid w:val="00D76331"/>
    <w:rsid w:val="00D763D3"/>
    <w:rsid w:val="00D763F9"/>
    <w:rsid w:val="00D76441"/>
    <w:rsid w:val="00D76634"/>
    <w:rsid w:val="00D766A7"/>
    <w:rsid w:val="00D766C1"/>
    <w:rsid w:val="00D76708"/>
    <w:rsid w:val="00D7687A"/>
    <w:rsid w:val="00D768E2"/>
    <w:rsid w:val="00D768E7"/>
    <w:rsid w:val="00D76916"/>
    <w:rsid w:val="00D7691F"/>
    <w:rsid w:val="00D76A44"/>
    <w:rsid w:val="00D76A53"/>
    <w:rsid w:val="00D76BC0"/>
    <w:rsid w:val="00D76C58"/>
    <w:rsid w:val="00D76CF2"/>
    <w:rsid w:val="00D76CF5"/>
    <w:rsid w:val="00D76D18"/>
    <w:rsid w:val="00D76D56"/>
    <w:rsid w:val="00D76E46"/>
    <w:rsid w:val="00D76E7C"/>
    <w:rsid w:val="00D77033"/>
    <w:rsid w:val="00D7703D"/>
    <w:rsid w:val="00D770A6"/>
    <w:rsid w:val="00D770A9"/>
    <w:rsid w:val="00D770D3"/>
    <w:rsid w:val="00D770EF"/>
    <w:rsid w:val="00D77199"/>
    <w:rsid w:val="00D7725C"/>
    <w:rsid w:val="00D772FC"/>
    <w:rsid w:val="00D77354"/>
    <w:rsid w:val="00D7742A"/>
    <w:rsid w:val="00D7743C"/>
    <w:rsid w:val="00D77448"/>
    <w:rsid w:val="00D775B9"/>
    <w:rsid w:val="00D77847"/>
    <w:rsid w:val="00D7791C"/>
    <w:rsid w:val="00D77AB8"/>
    <w:rsid w:val="00D77AD2"/>
    <w:rsid w:val="00D77AF6"/>
    <w:rsid w:val="00D77B11"/>
    <w:rsid w:val="00D77C3A"/>
    <w:rsid w:val="00D77C97"/>
    <w:rsid w:val="00D77DB1"/>
    <w:rsid w:val="00D77DD8"/>
    <w:rsid w:val="00D77F07"/>
    <w:rsid w:val="00D77F2D"/>
    <w:rsid w:val="00D77F36"/>
    <w:rsid w:val="00D77F5B"/>
    <w:rsid w:val="00D80170"/>
    <w:rsid w:val="00D8035C"/>
    <w:rsid w:val="00D8050A"/>
    <w:rsid w:val="00D805AE"/>
    <w:rsid w:val="00D805B5"/>
    <w:rsid w:val="00D80699"/>
    <w:rsid w:val="00D806D9"/>
    <w:rsid w:val="00D8072E"/>
    <w:rsid w:val="00D807E8"/>
    <w:rsid w:val="00D808B1"/>
    <w:rsid w:val="00D80977"/>
    <w:rsid w:val="00D80A38"/>
    <w:rsid w:val="00D80ABC"/>
    <w:rsid w:val="00D80B29"/>
    <w:rsid w:val="00D80B40"/>
    <w:rsid w:val="00D80BAD"/>
    <w:rsid w:val="00D80C4A"/>
    <w:rsid w:val="00D80C9A"/>
    <w:rsid w:val="00D80D53"/>
    <w:rsid w:val="00D80FD0"/>
    <w:rsid w:val="00D810A1"/>
    <w:rsid w:val="00D81179"/>
    <w:rsid w:val="00D81192"/>
    <w:rsid w:val="00D81249"/>
    <w:rsid w:val="00D8124A"/>
    <w:rsid w:val="00D8124F"/>
    <w:rsid w:val="00D81276"/>
    <w:rsid w:val="00D81475"/>
    <w:rsid w:val="00D814D5"/>
    <w:rsid w:val="00D81503"/>
    <w:rsid w:val="00D8152A"/>
    <w:rsid w:val="00D8155B"/>
    <w:rsid w:val="00D815B4"/>
    <w:rsid w:val="00D8163C"/>
    <w:rsid w:val="00D81684"/>
    <w:rsid w:val="00D816EF"/>
    <w:rsid w:val="00D817D9"/>
    <w:rsid w:val="00D81936"/>
    <w:rsid w:val="00D819D7"/>
    <w:rsid w:val="00D81A51"/>
    <w:rsid w:val="00D81B9D"/>
    <w:rsid w:val="00D81D0F"/>
    <w:rsid w:val="00D81DD9"/>
    <w:rsid w:val="00D81DE1"/>
    <w:rsid w:val="00D81DF0"/>
    <w:rsid w:val="00D81DFD"/>
    <w:rsid w:val="00D81E79"/>
    <w:rsid w:val="00D81EEF"/>
    <w:rsid w:val="00D81FD6"/>
    <w:rsid w:val="00D82051"/>
    <w:rsid w:val="00D820DB"/>
    <w:rsid w:val="00D82135"/>
    <w:rsid w:val="00D821F2"/>
    <w:rsid w:val="00D82348"/>
    <w:rsid w:val="00D8247F"/>
    <w:rsid w:val="00D82586"/>
    <w:rsid w:val="00D825A5"/>
    <w:rsid w:val="00D825B7"/>
    <w:rsid w:val="00D825EB"/>
    <w:rsid w:val="00D825EF"/>
    <w:rsid w:val="00D82601"/>
    <w:rsid w:val="00D82649"/>
    <w:rsid w:val="00D827C8"/>
    <w:rsid w:val="00D827FD"/>
    <w:rsid w:val="00D8290E"/>
    <w:rsid w:val="00D82920"/>
    <w:rsid w:val="00D829B1"/>
    <w:rsid w:val="00D829F2"/>
    <w:rsid w:val="00D82AB9"/>
    <w:rsid w:val="00D82AC0"/>
    <w:rsid w:val="00D82AD1"/>
    <w:rsid w:val="00D82B69"/>
    <w:rsid w:val="00D82BF5"/>
    <w:rsid w:val="00D82C26"/>
    <w:rsid w:val="00D82E6E"/>
    <w:rsid w:val="00D82EC4"/>
    <w:rsid w:val="00D82EFF"/>
    <w:rsid w:val="00D82F36"/>
    <w:rsid w:val="00D82FB0"/>
    <w:rsid w:val="00D83040"/>
    <w:rsid w:val="00D8311B"/>
    <w:rsid w:val="00D8321A"/>
    <w:rsid w:val="00D8321B"/>
    <w:rsid w:val="00D8323B"/>
    <w:rsid w:val="00D83360"/>
    <w:rsid w:val="00D83361"/>
    <w:rsid w:val="00D8337A"/>
    <w:rsid w:val="00D83489"/>
    <w:rsid w:val="00D834EF"/>
    <w:rsid w:val="00D83504"/>
    <w:rsid w:val="00D835B4"/>
    <w:rsid w:val="00D8367E"/>
    <w:rsid w:val="00D8368F"/>
    <w:rsid w:val="00D8374F"/>
    <w:rsid w:val="00D83866"/>
    <w:rsid w:val="00D838AC"/>
    <w:rsid w:val="00D838E6"/>
    <w:rsid w:val="00D8391B"/>
    <w:rsid w:val="00D83A05"/>
    <w:rsid w:val="00D83A9D"/>
    <w:rsid w:val="00D83B60"/>
    <w:rsid w:val="00D83BE3"/>
    <w:rsid w:val="00D83D0D"/>
    <w:rsid w:val="00D83D13"/>
    <w:rsid w:val="00D83F4C"/>
    <w:rsid w:val="00D8402C"/>
    <w:rsid w:val="00D840C6"/>
    <w:rsid w:val="00D840D7"/>
    <w:rsid w:val="00D84196"/>
    <w:rsid w:val="00D841AC"/>
    <w:rsid w:val="00D841E1"/>
    <w:rsid w:val="00D841F8"/>
    <w:rsid w:val="00D842C7"/>
    <w:rsid w:val="00D84398"/>
    <w:rsid w:val="00D8444D"/>
    <w:rsid w:val="00D844C4"/>
    <w:rsid w:val="00D844ED"/>
    <w:rsid w:val="00D84659"/>
    <w:rsid w:val="00D846E9"/>
    <w:rsid w:val="00D847AF"/>
    <w:rsid w:val="00D84843"/>
    <w:rsid w:val="00D84AD2"/>
    <w:rsid w:val="00D84B8D"/>
    <w:rsid w:val="00D84D0E"/>
    <w:rsid w:val="00D84E20"/>
    <w:rsid w:val="00D84F2F"/>
    <w:rsid w:val="00D84FC3"/>
    <w:rsid w:val="00D84FC6"/>
    <w:rsid w:val="00D85116"/>
    <w:rsid w:val="00D8513A"/>
    <w:rsid w:val="00D851DC"/>
    <w:rsid w:val="00D851F1"/>
    <w:rsid w:val="00D85242"/>
    <w:rsid w:val="00D85280"/>
    <w:rsid w:val="00D85291"/>
    <w:rsid w:val="00D853C6"/>
    <w:rsid w:val="00D85406"/>
    <w:rsid w:val="00D85466"/>
    <w:rsid w:val="00D8553C"/>
    <w:rsid w:val="00D8553E"/>
    <w:rsid w:val="00D8560C"/>
    <w:rsid w:val="00D85661"/>
    <w:rsid w:val="00D85695"/>
    <w:rsid w:val="00D8573B"/>
    <w:rsid w:val="00D857CF"/>
    <w:rsid w:val="00D85848"/>
    <w:rsid w:val="00D85854"/>
    <w:rsid w:val="00D85872"/>
    <w:rsid w:val="00D8589C"/>
    <w:rsid w:val="00D8589D"/>
    <w:rsid w:val="00D858CC"/>
    <w:rsid w:val="00D858F8"/>
    <w:rsid w:val="00D85977"/>
    <w:rsid w:val="00D85985"/>
    <w:rsid w:val="00D859C6"/>
    <w:rsid w:val="00D85A3C"/>
    <w:rsid w:val="00D85A50"/>
    <w:rsid w:val="00D85A81"/>
    <w:rsid w:val="00D85AEA"/>
    <w:rsid w:val="00D85B37"/>
    <w:rsid w:val="00D85B5D"/>
    <w:rsid w:val="00D85B67"/>
    <w:rsid w:val="00D85D1D"/>
    <w:rsid w:val="00D85E99"/>
    <w:rsid w:val="00D85F24"/>
    <w:rsid w:val="00D85F45"/>
    <w:rsid w:val="00D860A4"/>
    <w:rsid w:val="00D861F6"/>
    <w:rsid w:val="00D862CD"/>
    <w:rsid w:val="00D862DD"/>
    <w:rsid w:val="00D86306"/>
    <w:rsid w:val="00D86380"/>
    <w:rsid w:val="00D863AC"/>
    <w:rsid w:val="00D863CF"/>
    <w:rsid w:val="00D86439"/>
    <w:rsid w:val="00D86466"/>
    <w:rsid w:val="00D8646B"/>
    <w:rsid w:val="00D86548"/>
    <w:rsid w:val="00D865A9"/>
    <w:rsid w:val="00D8665F"/>
    <w:rsid w:val="00D8666A"/>
    <w:rsid w:val="00D86720"/>
    <w:rsid w:val="00D86771"/>
    <w:rsid w:val="00D8679C"/>
    <w:rsid w:val="00D86834"/>
    <w:rsid w:val="00D868DB"/>
    <w:rsid w:val="00D86954"/>
    <w:rsid w:val="00D86984"/>
    <w:rsid w:val="00D86A15"/>
    <w:rsid w:val="00D86A4F"/>
    <w:rsid w:val="00D86B6D"/>
    <w:rsid w:val="00D86EDF"/>
    <w:rsid w:val="00D86EEA"/>
    <w:rsid w:val="00D86F2D"/>
    <w:rsid w:val="00D86F37"/>
    <w:rsid w:val="00D86F41"/>
    <w:rsid w:val="00D86F44"/>
    <w:rsid w:val="00D86FA8"/>
    <w:rsid w:val="00D870E8"/>
    <w:rsid w:val="00D87145"/>
    <w:rsid w:val="00D872B2"/>
    <w:rsid w:val="00D8734E"/>
    <w:rsid w:val="00D873B9"/>
    <w:rsid w:val="00D87423"/>
    <w:rsid w:val="00D8744D"/>
    <w:rsid w:val="00D87452"/>
    <w:rsid w:val="00D8747F"/>
    <w:rsid w:val="00D87485"/>
    <w:rsid w:val="00D87556"/>
    <w:rsid w:val="00D87580"/>
    <w:rsid w:val="00D875C5"/>
    <w:rsid w:val="00D87762"/>
    <w:rsid w:val="00D8785C"/>
    <w:rsid w:val="00D8786B"/>
    <w:rsid w:val="00D878EA"/>
    <w:rsid w:val="00D879A6"/>
    <w:rsid w:val="00D879F2"/>
    <w:rsid w:val="00D87B9E"/>
    <w:rsid w:val="00D87C13"/>
    <w:rsid w:val="00D87C61"/>
    <w:rsid w:val="00D87D76"/>
    <w:rsid w:val="00D87D9E"/>
    <w:rsid w:val="00D87DFB"/>
    <w:rsid w:val="00D87E2C"/>
    <w:rsid w:val="00D87E65"/>
    <w:rsid w:val="00D87F22"/>
    <w:rsid w:val="00D87F2A"/>
    <w:rsid w:val="00D87F87"/>
    <w:rsid w:val="00D87FC4"/>
    <w:rsid w:val="00D87FD4"/>
    <w:rsid w:val="00D87FDB"/>
    <w:rsid w:val="00D90026"/>
    <w:rsid w:val="00D9009F"/>
    <w:rsid w:val="00D900BC"/>
    <w:rsid w:val="00D900EB"/>
    <w:rsid w:val="00D90103"/>
    <w:rsid w:val="00D90122"/>
    <w:rsid w:val="00D9012D"/>
    <w:rsid w:val="00D9020A"/>
    <w:rsid w:val="00D9022F"/>
    <w:rsid w:val="00D90273"/>
    <w:rsid w:val="00D9027B"/>
    <w:rsid w:val="00D902B1"/>
    <w:rsid w:val="00D90373"/>
    <w:rsid w:val="00D9037B"/>
    <w:rsid w:val="00D9039F"/>
    <w:rsid w:val="00D903DD"/>
    <w:rsid w:val="00D903FF"/>
    <w:rsid w:val="00D9043A"/>
    <w:rsid w:val="00D9048C"/>
    <w:rsid w:val="00D90622"/>
    <w:rsid w:val="00D906A5"/>
    <w:rsid w:val="00D907CB"/>
    <w:rsid w:val="00D907FA"/>
    <w:rsid w:val="00D9083A"/>
    <w:rsid w:val="00D908D7"/>
    <w:rsid w:val="00D90923"/>
    <w:rsid w:val="00D90942"/>
    <w:rsid w:val="00D90950"/>
    <w:rsid w:val="00D90994"/>
    <w:rsid w:val="00D90A3C"/>
    <w:rsid w:val="00D90A5D"/>
    <w:rsid w:val="00D90A8B"/>
    <w:rsid w:val="00D90BEB"/>
    <w:rsid w:val="00D90BF3"/>
    <w:rsid w:val="00D90BF6"/>
    <w:rsid w:val="00D90C40"/>
    <w:rsid w:val="00D90D79"/>
    <w:rsid w:val="00D90E1E"/>
    <w:rsid w:val="00D90E79"/>
    <w:rsid w:val="00D90E95"/>
    <w:rsid w:val="00D90F8B"/>
    <w:rsid w:val="00D91066"/>
    <w:rsid w:val="00D9111B"/>
    <w:rsid w:val="00D9126A"/>
    <w:rsid w:val="00D9127D"/>
    <w:rsid w:val="00D9137B"/>
    <w:rsid w:val="00D91389"/>
    <w:rsid w:val="00D913BF"/>
    <w:rsid w:val="00D913E4"/>
    <w:rsid w:val="00D91644"/>
    <w:rsid w:val="00D9166A"/>
    <w:rsid w:val="00D919E4"/>
    <w:rsid w:val="00D91BF2"/>
    <w:rsid w:val="00D91C16"/>
    <w:rsid w:val="00D91C6C"/>
    <w:rsid w:val="00D91CDE"/>
    <w:rsid w:val="00D91D1F"/>
    <w:rsid w:val="00D91D98"/>
    <w:rsid w:val="00D91E0D"/>
    <w:rsid w:val="00D91EA4"/>
    <w:rsid w:val="00D91EFB"/>
    <w:rsid w:val="00D91F73"/>
    <w:rsid w:val="00D91FA8"/>
    <w:rsid w:val="00D91FB7"/>
    <w:rsid w:val="00D91FF4"/>
    <w:rsid w:val="00D920BF"/>
    <w:rsid w:val="00D920DB"/>
    <w:rsid w:val="00D9213B"/>
    <w:rsid w:val="00D9213C"/>
    <w:rsid w:val="00D92149"/>
    <w:rsid w:val="00D922D4"/>
    <w:rsid w:val="00D92335"/>
    <w:rsid w:val="00D923B6"/>
    <w:rsid w:val="00D9245C"/>
    <w:rsid w:val="00D924CC"/>
    <w:rsid w:val="00D92500"/>
    <w:rsid w:val="00D9251B"/>
    <w:rsid w:val="00D925A3"/>
    <w:rsid w:val="00D925AC"/>
    <w:rsid w:val="00D925C3"/>
    <w:rsid w:val="00D9295C"/>
    <w:rsid w:val="00D9299F"/>
    <w:rsid w:val="00D92A3D"/>
    <w:rsid w:val="00D92CDF"/>
    <w:rsid w:val="00D92CFE"/>
    <w:rsid w:val="00D92D3C"/>
    <w:rsid w:val="00D92DF2"/>
    <w:rsid w:val="00D92E2D"/>
    <w:rsid w:val="00D92E35"/>
    <w:rsid w:val="00D92E81"/>
    <w:rsid w:val="00D92EC0"/>
    <w:rsid w:val="00D92EE3"/>
    <w:rsid w:val="00D92F6B"/>
    <w:rsid w:val="00D9312E"/>
    <w:rsid w:val="00D9319A"/>
    <w:rsid w:val="00D931F5"/>
    <w:rsid w:val="00D93286"/>
    <w:rsid w:val="00D932CC"/>
    <w:rsid w:val="00D932E0"/>
    <w:rsid w:val="00D93360"/>
    <w:rsid w:val="00D934BE"/>
    <w:rsid w:val="00D934E5"/>
    <w:rsid w:val="00D93741"/>
    <w:rsid w:val="00D9374F"/>
    <w:rsid w:val="00D9383B"/>
    <w:rsid w:val="00D93861"/>
    <w:rsid w:val="00D9393C"/>
    <w:rsid w:val="00D939E0"/>
    <w:rsid w:val="00D93A55"/>
    <w:rsid w:val="00D93A69"/>
    <w:rsid w:val="00D93AF2"/>
    <w:rsid w:val="00D93AFC"/>
    <w:rsid w:val="00D93B0E"/>
    <w:rsid w:val="00D93C07"/>
    <w:rsid w:val="00D93C1C"/>
    <w:rsid w:val="00D93C57"/>
    <w:rsid w:val="00D93D6C"/>
    <w:rsid w:val="00D93E1A"/>
    <w:rsid w:val="00D93F48"/>
    <w:rsid w:val="00D93F8F"/>
    <w:rsid w:val="00D94001"/>
    <w:rsid w:val="00D94026"/>
    <w:rsid w:val="00D9407D"/>
    <w:rsid w:val="00D9409B"/>
    <w:rsid w:val="00D940AC"/>
    <w:rsid w:val="00D940BA"/>
    <w:rsid w:val="00D940E7"/>
    <w:rsid w:val="00D94120"/>
    <w:rsid w:val="00D9412A"/>
    <w:rsid w:val="00D94150"/>
    <w:rsid w:val="00D94296"/>
    <w:rsid w:val="00D94312"/>
    <w:rsid w:val="00D9432F"/>
    <w:rsid w:val="00D94362"/>
    <w:rsid w:val="00D9441A"/>
    <w:rsid w:val="00D944C5"/>
    <w:rsid w:val="00D9455D"/>
    <w:rsid w:val="00D945C6"/>
    <w:rsid w:val="00D94680"/>
    <w:rsid w:val="00D946C8"/>
    <w:rsid w:val="00D94755"/>
    <w:rsid w:val="00D94898"/>
    <w:rsid w:val="00D948A8"/>
    <w:rsid w:val="00D948F0"/>
    <w:rsid w:val="00D949C6"/>
    <w:rsid w:val="00D94A68"/>
    <w:rsid w:val="00D94B40"/>
    <w:rsid w:val="00D94BB9"/>
    <w:rsid w:val="00D94C43"/>
    <w:rsid w:val="00D94DAF"/>
    <w:rsid w:val="00D94DCA"/>
    <w:rsid w:val="00D94E7A"/>
    <w:rsid w:val="00D94E85"/>
    <w:rsid w:val="00D94F77"/>
    <w:rsid w:val="00D94F82"/>
    <w:rsid w:val="00D94FE8"/>
    <w:rsid w:val="00D951DD"/>
    <w:rsid w:val="00D951F4"/>
    <w:rsid w:val="00D951F6"/>
    <w:rsid w:val="00D9525C"/>
    <w:rsid w:val="00D9529F"/>
    <w:rsid w:val="00D952ED"/>
    <w:rsid w:val="00D9535C"/>
    <w:rsid w:val="00D95385"/>
    <w:rsid w:val="00D9538B"/>
    <w:rsid w:val="00D95469"/>
    <w:rsid w:val="00D954C9"/>
    <w:rsid w:val="00D95504"/>
    <w:rsid w:val="00D955DF"/>
    <w:rsid w:val="00D95602"/>
    <w:rsid w:val="00D9561B"/>
    <w:rsid w:val="00D95650"/>
    <w:rsid w:val="00D9567C"/>
    <w:rsid w:val="00D95711"/>
    <w:rsid w:val="00D95724"/>
    <w:rsid w:val="00D95744"/>
    <w:rsid w:val="00D95751"/>
    <w:rsid w:val="00D957A1"/>
    <w:rsid w:val="00D957BA"/>
    <w:rsid w:val="00D957FA"/>
    <w:rsid w:val="00D95835"/>
    <w:rsid w:val="00D95966"/>
    <w:rsid w:val="00D95AC2"/>
    <w:rsid w:val="00D95AC4"/>
    <w:rsid w:val="00D95B18"/>
    <w:rsid w:val="00D95BA7"/>
    <w:rsid w:val="00D95BC2"/>
    <w:rsid w:val="00D95BCE"/>
    <w:rsid w:val="00D95C25"/>
    <w:rsid w:val="00D95CED"/>
    <w:rsid w:val="00D95D3D"/>
    <w:rsid w:val="00D95D3F"/>
    <w:rsid w:val="00D95D74"/>
    <w:rsid w:val="00D95D85"/>
    <w:rsid w:val="00D95F27"/>
    <w:rsid w:val="00D95F31"/>
    <w:rsid w:val="00D95FAB"/>
    <w:rsid w:val="00D95FF9"/>
    <w:rsid w:val="00D960C5"/>
    <w:rsid w:val="00D96142"/>
    <w:rsid w:val="00D9615B"/>
    <w:rsid w:val="00D961A6"/>
    <w:rsid w:val="00D961DF"/>
    <w:rsid w:val="00D962A3"/>
    <w:rsid w:val="00D96462"/>
    <w:rsid w:val="00D96480"/>
    <w:rsid w:val="00D964E1"/>
    <w:rsid w:val="00D964E8"/>
    <w:rsid w:val="00D96510"/>
    <w:rsid w:val="00D9663C"/>
    <w:rsid w:val="00D9664C"/>
    <w:rsid w:val="00D96661"/>
    <w:rsid w:val="00D96688"/>
    <w:rsid w:val="00D96697"/>
    <w:rsid w:val="00D966ED"/>
    <w:rsid w:val="00D96742"/>
    <w:rsid w:val="00D967F4"/>
    <w:rsid w:val="00D96839"/>
    <w:rsid w:val="00D96A38"/>
    <w:rsid w:val="00D96AA0"/>
    <w:rsid w:val="00D96B05"/>
    <w:rsid w:val="00D96B7D"/>
    <w:rsid w:val="00D96BC1"/>
    <w:rsid w:val="00D96C65"/>
    <w:rsid w:val="00D96C87"/>
    <w:rsid w:val="00D96CF8"/>
    <w:rsid w:val="00D96E90"/>
    <w:rsid w:val="00D96F06"/>
    <w:rsid w:val="00D9705F"/>
    <w:rsid w:val="00D971CB"/>
    <w:rsid w:val="00D9731D"/>
    <w:rsid w:val="00D97343"/>
    <w:rsid w:val="00D97404"/>
    <w:rsid w:val="00D97416"/>
    <w:rsid w:val="00D975A3"/>
    <w:rsid w:val="00D975C7"/>
    <w:rsid w:val="00D97615"/>
    <w:rsid w:val="00D9762D"/>
    <w:rsid w:val="00D976D8"/>
    <w:rsid w:val="00D976DE"/>
    <w:rsid w:val="00D976FF"/>
    <w:rsid w:val="00D97865"/>
    <w:rsid w:val="00D979BE"/>
    <w:rsid w:val="00D979D0"/>
    <w:rsid w:val="00D97A2C"/>
    <w:rsid w:val="00D97A3B"/>
    <w:rsid w:val="00D97AB0"/>
    <w:rsid w:val="00D97B64"/>
    <w:rsid w:val="00D97B92"/>
    <w:rsid w:val="00D97C3C"/>
    <w:rsid w:val="00D97C89"/>
    <w:rsid w:val="00D97E3F"/>
    <w:rsid w:val="00D97FC9"/>
    <w:rsid w:val="00D97FDB"/>
    <w:rsid w:val="00D9A683"/>
    <w:rsid w:val="00DA014E"/>
    <w:rsid w:val="00DA0230"/>
    <w:rsid w:val="00DA02CA"/>
    <w:rsid w:val="00DA0446"/>
    <w:rsid w:val="00DA0447"/>
    <w:rsid w:val="00DA06FC"/>
    <w:rsid w:val="00DA0786"/>
    <w:rsid w:val="00DA0788"/>
    <w:rsid w:val="00DA078F"/>
    <w:rsid w:val="00DA07FE"/>
    <w:rsid w:val="00DA080E"/>
    <w:rsid w:val="00DA084C"/>
    <w:rsid w:val="00DA08CA"/>
    <w:rsid w:val="00DA08EC"/>
    <w:rsid w:val="00DA0931"/>
    <w:rsid w:val="00DA0940"/>
    <w:rsid w:val="00DA0A0F"/>
    <w:rsid w:val="00DA0A67"/>
    <w:rsid w:val="00DA0AE2"/>
    <w:rsid w:val="00DA0B08"/>
    <w:rsid w:val="00DA0B5F"/>
    <w:rsid w:val="00DA0BB5"/>
    <w:rsid w:val="00DA0BEA"/>
    <w:rsid w:val="00DA0BEC"/>
    <w:rsid w:val="00DA0C12"/>
    <w:rsid w:val="00DA0C3D"/>
    <w:rsid w:val="00DA0C47"/>
    <w:rsid w:val="00DA0C57"/>
    <w:rsid w:val="00DA0D12"/>
    <w:rsid w:val="00DA0D8D"/>
    <w:rsid w:val="00DA0F37"/>
    <w:rsid w:val="00DA0FA0"/>
    <w:rsid w:val="00DA101A"/>
    <w:rsid w:val="00DA1045"/>
    <w:rsid w:val="00DA10CB"/>
    <w:rsid w:val="00DA11A6"/>
    <w:rsid w:val="00DA11E0"/>
    <w:rsid w:val="00DA11FF"/>
    <w:rsid w:val="00DA122C"/>
    <w:rsid w:val="00DA127A"/>
    <w:rsid w:val="00DA13A3"/>
    <w:rsid w:val="00DA150E"/>
    <w:rsid w:val="00DA15C2"/>
    <w:rsid w:val="00DA165A"/>
    <w:rsid w:val="00DA166C"/>
    <w:rsid w:val="00DA1750"/>
    <w:rsid w:val="00DA1756"/>
    <w:rsid w:val="00DA17B9"/>
    <w:rsid w:val="00DA17EB"/>
    <w:rsid w:val="00DA1824"/>
    <w:rsid w:val="00DA1849"/>
    <w:rsid w:val="00DA1A35"/>
    <w:rsid w:val="00DA1A4F"/>
    <w:rsid w:val="00DA1B60"/>
    <w:rsid w:val="00DA1B6D"/>
    <w:rsid w:val="00DA1E4C"/>
    <w:rsid w:val="00DA1F7A"/>
    <w:rsid w:val="00DA2176"/>
    <w:rsid w:val="00DA21B3"/>
    <w:rsid w:val="00DA21E2"/>
    <w:rsid w:val="00DA2258"/>
    <w:rsid w:val="00DA2299"/>
    <w:rsid w:val="00DA2371"/>
    <w:rsid w:val="00DA245E"/>
    <w:rsid w:val="00DA247A"/>
    <w:rsid w:val="00DA257C"/>
    <w:rsid w:val="00DA26C8"/>
    <w:rsid w:val="00DA27C7"/>
    <w:rsid w:val="00DA27F9"/>
    <w:rsid w:val="00DA288C"/>
    <w:rsid w:val="00DA28E7"/>
    <w:rsid w:val="00DA2A73"/>
    <w:rsid w:val="00DA2A98"/>
    <w:rsid w:val="00DA2B42"/>
    <w:rsid w:val="00DA2B45"/>
    <w:rsid w:val="00DA2C3C"/>
    <w:rsid w:val="00DA2CDE"/>
    <w:rsid w:val="00DA2DAF"/>
    <w:rsid w:val="00DA2DE3"/>
    <w:rsid w:val="00DA2E37"/>
    <w:rsid w:val="00DA2E9C"/>
    <w:rsid w:val="00DA2FD5"/>
    <w:rsid w:val="00DA3024"/>
    <w:rsid w:val="00DA3028"/>
    <w:rsid w:val="00DA3104"/>
    <w:rsid w:val="00DA312C"/>
    <w:rsid w:val="00DA315E"/>
    <w:rsid w:val="00DA31B2"/>
    <w:rsid w:val="00DA31B6"/>
    <w:rsid w:val="00DA3265"/>
    <w:rsid w:val="00DA3285"/>
    <w:rsid w:val="00DA32BF"/>
    <w:rsid w:val="00DA32C2"/>
    <w:rsid w:val="00DA3368"/>
    <w:rsid w:val="00DA3458"/>
    <w:rsid w:val="00DA34AF"/>
    <w:rsid w:val="00DA382D"/>
    <w:rsid w:val="00DA3832"/>
    <w:rsid w:val="00DA38D7"/>
    <w:rsid w:val="00DA39BE"/>
    <w:rsid w:val="00DA3AE6"/>
    <w:rsid w:val="00DA3AEB"/>
    <w:rsid w:val="00DA3AFF"/>
    <w:rsid w:val="00DA3B63"/>
    <w:rsid w:val="00DA3B85"/>
    <w:rsid w:val="00DA3CE9"/>
    <w:rsid w:val="00DA3D84"/>
    <w:rsid w:val="00DA3D9F"/>
    <w:rsid w:val="00DA3DD8"/>
    <w:rsid w:val="00DA3DE9"/>
    <w:rsid w:val="00DA3E59"/>
    <w:rsid w:val="00DA3EF4"/>
    <w:rsid w:val="00DA3F82"/>
    <w:rsid w:val="00DA3FBC"/>
    <w:rsid w:val="00DA41B9"/>
    <w:rsid w:val="00DA4398"/>
    <w:rsid w:val="00DA43C9"/>
    <w:rsid w:val="00DA44B1"/>
    <w:rsid w:val="00DA44FA"/>
    <w:rsid w:val="00DA46B4"/>
    <w:rsid w:val="00DA4780"/>
    <w:rsid w:val="00DA481B"/>
    <w:rsid w:val="00DA4838"/>
    <w:rsid w:val="00DA48B4"/>
    <w:rsid w:val="00DA493A"/>
    <w:rsid w:val="00DA4989"/>
    <w:rsid w:val="00DA49AC"/>
    <w:rsid w:val="00DA49B8"/>
    <w:rsid w:val="00DA49BD"/>
    <w:rsid w:val="00DA4A29"/>
    <w:rsid w:val="00DA4BB3"/>
    <w:rsid w:val="00DA4C02"/>
    <w:rsid w:val="00DA4CD4"/>
    <w:rsid w:val="00DA4DA7"/>
    <w:rsid w:val="00DA4EAB"/>
    <w:rsid w:val="00DA5041"/>
    <w:rsid w:val="00DA50EA"/>
    <w:rsid w:val="00DA5157"/>
    <w:rsid w:val="00DA51CC"/>
    <w:rsid w:val="00DA5252"/>
    <w:rsid w:val="00DA5267"/>
    <w:rsid w:val="00DA530C"/>
    <w:rsid w:val="00DA53E9"/>
    <w:rsid w:val="00DA540D"/>
    <w:rsid w:val="00DA549F"/>
    <w:rsid w:val="00DA551C"/>
    <w:rsid w:val="00DA55FB"/>
    <w:rsid w:val="00DA5705"/>
    <w:rsid w:val="00DA5721"/>
    <w:rsid w:val="00DA5783"/>
    <w:rsid w:val="00DA5786"/>
    <w:rsid w:val="00DA58BD"/>
    <w:rsid w:val="00DA593A"/>
    <w:rsid w:val="00DA5979"/>
    <w:rsid w:val="00DA5A60"/>
    <w:rsid w:val="00DA5A86"/>
    <w:rsid w:val="00DA5C38"/>
    <w:rsid w:val="00DA5C43"/>
    <w:rsid w:val="00DA5D8E"/>
    <w:rsid w:val="00DA5E55"/>
    <w:rsid w:val="00DA5E89"/>
    <w:rsid w:val="00DA5EA6"/>
    <w:rsid w:val="00DA5F09"/>
    <w:rsid w:val="00DA5F4B"/>
    <w:rsid w:val="00DA60C7"/>
    <w:rsid w:val="00DA6173"/>
    <w:rsid w:val="00DA61B8"/>
    <w:rsid w:val="00DA623F"/>
    <w:rsid w:val="00DA625F"/>
    <w:rsid w:val="00DA63DE"/>
    <w:rsid w:val="00DA6427"/>
    <w:rsid w:val="00DA642B"/>
    <w:rsid w:val="00DA64C9"/>
    <w:rsid w:val="00DA64DC"/>
    <w:rsid w:val="00DA652D"/>
    <w:rsid w:val="00DA65C4"/>
    <w:rsid w:val="00DA6831"/>
    <w:rsid w:val="00DA68D3"/>
    <w:rsid w:val="00DA697D"/>
    <w:rsid w:val="00DA6A29"/>
    <w:rsid w:val="00DA6AA8"/>
    <w:rsid w:val="00DA6AAC"/>
    <w:rsid w:val="00DA6AF8"/>
    <w:rsid w:val="00DA6B25"/>
    <w:rsid w:val="00DA6BB8"/>
    <w:rsid w:val="00DA6C63"/>
    <w:rsid w:val="00DA6C68"/>
    <w:rsid w:val="00DA6CD1"/>
    <w:rsid w:val="00DA6D2A"/>
    <w:rsid w:val="00DA6E42"/>
    <w:rsid w:val="00DA6F1D"/>
    <w:rsid w:val="00DA6FA8"/>
    <w:rsid w:val="00DA7052"/>
    <w:rsid w:val="00DA70C0"/>
    <w:rsid w:val="00DA70D2"/>
    <w:rsid w:val="00DA7164"/>
    <w:rsid w:val="00DA72CF"/>
    <w:rsid w:val="00DA7329"/>
    <w:rsid w:val="00DA7338"/>
    <w:rsid w:val="00DA7382"/>
    <w:rsid w:val="00DA73F0"/>
    <w:rsid w:val="00DA7402"/>
    <w:rsid w:val="00DA741C"/>
    <w:rsid w:val="00DA743A"/>
    <w:rsid w:val="00DA746B"/>
    <w:rsid w:val="00DA7477"/>
    <w:rsid w:val="00DA74D1"/>
    <w:rsid w:val="00DA7573"/>
    <w:rsid w:val="00DA75F9"/>
    <w:rsid w:val="00DA76E5"/>
    <w:rsid w:val="00DA7716"/>
    <w:rsid w:val="00DA785F"/>
    <w:rsid w:val="00DA7940"/>
    <w:rsid w:val="00DA79EF"/>
    <w:rsid w:val="00DA79F2"/>
    <w:rsid w:val="00DA7A7A"/>
    <w:rsid w:val="00DA7BC3"/>
    <w:rsid w:val="00DA7BD4"/>
    <w:rsid w:val="00DA7C5B"/>
    <w:rsid w:val="00DA7D03"/>
    <w:rsid w:val="00DA7DDF"/>
    <w:rsid w:val="00DA7E13"/>
    <w:rsid w:val="00DA7EC3"/>
    <w:rsid w:val="00DA7FD4"/>
    <w:rsid w:val="00DB0009"/>
    <w:rsid w:val="00DB0191"/>
    <w:rsid w:val="00DB0243"/>
    <w:rsid w:val="00DB02BE"/>
    <w:rsid w:val="00DB0359"/>
    <w:rsid w:val="00DB0564"/>
    <w:rsid w:val="00DB05E3"/>
    <w:rsid w:val="00DB06AB"/>
    <w:rsid w:val="00DB094E"/>
    <w:rsid w:val="00DB09D1"/>
    <w:rsid w:val="00DB0A0A"/>
    <w:rsid w:val="00DB0A18"/>
    <w:rsid w:val="00DB0A4C"/>
    <w:rsid w:val="00DB0A69"/>
    <w:rsid w:val="00DB0B69"/>
    <w:rsid w:val="00DB0BA0"/>
    <w:rsid w:val="00DB0D28"/>
    <w:rsid w:val="00DB0D29"/>
    <w:rsid w:val="00DB0DB5"/>
    <w:rsid w:val="00DB0E78"/>
    <w:rsid w:val="00DB0E93"/>
    <w:rsid w:val="00DB0EF6"/>
    <w:rsid w:val="00DB0F08"/>
    <w:rsid w:val="00DB0F74"/>
    <w:rsid w:val="00DB0F8A"/>
    <w:rsid w:val="00DB107E"/>
    <w:rsid w:val="00DB10D0"/>
    <w:rsid w:val="00DB111D"/>
    <w:rsid w:val="00DB115C"/>
    <w:rsid w:val="00DB12A9"/>
    <w:rsid w:val="00DB12C8"/>
    <w:rsid w:val="00DB1315"/>
    <w:rsid w:val="00DB134C"/>
    <w:rsid w:val="00DB1357"/>
    <w:rsid w:val="00DB136E"/>
    <w:rsid w:val="00DB1476"/>
    <w:rsid w:val="00DB14A4"/>
    <w:rsid w:val="00DB17D0"/>
    <w:rsid w:val="00DB187D"/>
    <w:rsid w:val="00DB198A"/>
    <w:rsid w:val="00DB19DE"/>
    <w:rsid w:val="00DB1C1F"/>
    <w:rsid w:val="00DB1D0D"/>
    <w:rsid w:val="00DB1D68"/>
    <w:rsid w:val="00DB1E59"/>
    <w:rsid w:val="00DB1E60"/>
    <w:rsid w:val="00DB1F72"/>
    <w:rsid w:val="00DB1FDC"/>
    <w:rsid w:val="00DB20AD"/>
    <w:rsid w:val="00DB2104"/>
    <w:rsid w:val="00DB2139"/>
    <w:rsid w:val="00DB2200"/>
    <w:rsid w:val="00DB225D"/>
    <w:rsid w:val="00DB22B6"/>
    <w:rsid w:val="00DB23AE"/>
    <w:rsid w:val="00DB23E5"/>
    <w:rsid w:val="00DB2436"/>
    <w:rsid w:val="00DB2467"/>
    <w:rsid w:val="00DB2481"/>
    <w:rsid w:val="00DB24C5"/>
    <w:rsid w:val="00DB2558"/>
    <w:rsid w:val="00DB25BF"/>
    <w:rsid w:val="00DB2620"/>
    <w:rsid w:val="00DB2631"/>
    <w:rsid w:val="00DB26A8"/>
    <w:rsid w:val="00DB26B9"/>
    <w:rsid w:val="00DB2714"/>
    <w:rsid w:val="00DB2743"/>
    <w:rsid w:val="00DB27CF"/>
    <w:rsid w:val="00DB29F6"/>
    <w:rsid w:val="00DB2B0A"/>
    <w:rsid w:val="00DB2BDB"/>
    <w:rsid w:val="00DB2C00"/>
    <w:rsid w:val="00DB2C1A"/>
    <w:rsid w:val="00DB2C3D"/>
    <w:rsid w:val="00DB2ECC"/>
    <w:rsid w:val="00DB2FC2"/>
    <w:rsid w:val="00DB30DB"/>
    <w:rsid w:val="00DB3105"/>
    <w:rsid w:val="00DB3107"/>
    <w:rsid w:val="00DB3197"/>
    <w:rsid w:val="00DB31F9"/>
    <w:rsid w:val="00DB322B"/>
    <w:rsid w:val="00DB324C"/>
    <w:rsid w:val="00DB3316"/>
    <w:rsid w:val="00DB34A6"/>
    <w:rsid w:val="00DB34C2"/>
    <w:rsid w:val="00DB34D4"/>
    <w:rsid w:val="00DB34D8"/>
    <w:rsid w:val="00DB352F"/>
    <w:rsid w:val="00DB363E"/>
    <w:rsid w:val="00DB36CF"/>
    <w:rsid w:val="00DB3782"/>
    <w:rsid w:val="00DB3788"/>
    <w:rsid w:val="00DB3794"/>
    <w:rsid w:val="00DB37DC"/>
    <w:rsid w:val="00DB388D"/>
    <w:rsid w:val="00DB38CB"/>
    <w:rsid w:val="00DB3907"/>
    <w:rsid w:val="00DB3915"/>
    <w:rsid w:val="00DB391F"/>
    <w:rsid w:val="00DB39EB"/>
    <w:rsid w:val="00DB3AE2"/>
    <w:rsid w:val="00DB3BC7"/>
    <w:rsid w:val="00DB3C60"/>
    <w:rsid w:val="00DB3CF9"/>
    <w:rsid w:val="00DB3D82"/>
    <w:rsid w:val="00DB3E2A"/>
    <w:rsid w:val="00DB3E39"/>
    <w:rsid w:val="00DB3EED"/>
    <w:rsid w:val="00DB3FD3"/>
    <w:rsid w:val="00DB40B2"/>
    <w:rsid w:val="00DB40B5"/>
    <w:rsid w:val="00DB40F7"/>
    <w:rsid w:val="00DB41A1"/>
    <w:rsid w:val="00DB42C1"/>
    <w:rsid w:val="00DB42CF"/>
    <w:rsid w:val="00DB434B"/>
    <w:rsid w:val="00DB43B7"/>
    <w:rsid w:val="00DB4436"/>
    <w:rsid w:val="00DB44D9"/>
    <w:rsid w:val="00DB46C5"/>
    <w:rsid w:val="00DB4783"/>
    <w:rsid w:val="00DB47C7"/>
    <w:rsid w:val="00DB47DA"/>
    <w:rsid w:val="00DB4839"/>
    <w:rsid w:val="00DB4893"/>
    <w:rsid w:val="00DB4948"/>
    <w:rsid w:val="00DB498A"/>
    <w:rsid w:val="00DB4A35"/>
    <w:rsid w:val="00DB4A51"/>
    <w:rsid w:val="00DB4A64"/>
    <w:rsid w:val="00DB4B74"/>
    <w:rsid w:val="00DB4C6C"/>
    <w:rsid w:val="00DB4CB5"/>
    <w:rsid w:val="00DB4CC0"/>
    <w:rsid w:val="00DB4CC4"/>
    <w:rsid w:val="00DB4D50"/>
    <w:rsid w:val="00DB4DB2"/>
    <w:rsid w:val="00DB4ED4"/>
    <w:rsid w:val="00DB4F02"/>
    <w:rsid w:val="00DB4F22"/>
    <w:rsid w:val="00DB4F46"/>
    <w:rsid w:val="00DB4F88"/>
    <w:rsid w:val="00DB4FFF"/>
    <w:rsid w:val="00DB51E2"/>
    <w:rsid w:val="00DB5329"/>
    <w:rsid w:val="00DB5434"/>
    <w:rsid w:val="00DB54C4"/>
    <w:rsid w:val="00DB5591"/>
    <w:rsid w:val="00DB55DC"/>
    <w:rsid w:val="00DB5705"/>
    <w:rsid w:val="00DB5954"/>
    <w:rsid w:val="00DB5967"/>
    <w:rsid w:val="00DB5A4E"/>
    <w:rsid w:val="00DB5ACA"/>
    <w:rsid w:val="00DB5B40"/>
    <w:rsid w:val="00DB5B68"/>
    <w:rsid w:val="00DB5CCA"/>
    <w:rsid w:val="00DB5CE0"/>
    <w:rsid w:val="00DB5CE3"/>
    <w:rsid w:val="00DB5D1B"/>
    <w:rsid w:val="00DB5E02"/>
    <w:rsid w:val="00DB5E17"/>
    <w:rsid w:val="00DB5E40"/>
    <w:rsid w:val="00DB5E4F"/>
    <w:rsid w:val="00DB5E5A"/>
    <w:rsid w:val="00DB5F2A"/>
    <w:rsid w:val="00DB5F84"/>
    <w:rsid w:val="00DB5F94"/>
    <w:rsid w:val="00DB60E4"/>
    <w:rsid w:val="00DB6292"/>
    <w:rsid w:val="00DB6298"/>
    <w:rsid w:val="00DB62A4"/>
    <w:rsid w:val="00DB62D2"/>
    <w:rsid w:val="00DB63C8"/>
    <w:rsid w:val="00DB640C"/>
    <w:rsid w:val="00DB6528"/>
    <w:rsid w:val="00DB65DA"/>
    <w:rsid w:val="00DB662D"/>
    <w:rsid w:val="00DB663B"/>
    <w:rsid w:val="00DB6643"/>
    <w:rsid w:val="00DB6674"/>
    <w:rsid w:val="00DB66C4"/>
    <w:rsid w:val="00DB670C"/>
    <w:rsid w:val="00DB674E"/>
    <w:rsid w:val="00DB6793"/>
    <w:rsid w:val="00DB6876"/>
    <w:rsid w:val="00DB688F"/>
    <w:rsid w:val="00DB689D"/>
    <w:rsid w:val="00DB6943"/>
    <w:rsid w:val="00DB69C7"/>
    <w:rsid w:val="00DB69D9"/>
    <w:rsid w:val="00DB6A57"/>
    <w:rsid w:val="00DB6AC2"/>
    <w:rsid w:val="00DB6AD7"/>
    <w:rsid w:val="00DB6B13"/>
    <w:rsid w:val="00DB6C08"/>
    <w:rsid w:val="00DB6C0F"/>
    <w:rsid w:val="00DB6C78"/>
    <w:rsid w:val="00DB6F37"/>
    <w:rsid w:val="00DB6F45"/>
    <w:rsid w:val="00DB6FB2"/>
    <w:rsid w:val="00DB6FE1"/>
    <w:rsid w:val="00DB706E"/>
    <w:rsid w:val="00DB70EE"/>
    <w:rsid w:val="00DB71DE"/>
    <w:rsid w:val="00DB72B7"/>
    <w:rsid w:val="00DB7315"/>
    <w:rsid w:val="00DB73E0"/>
    <w:rsid w:val="00DB74DD"/>
    <w:rsid w:val="00DB74ED"/>
    <w:rsid w:val="00DB7533"/>
    <w:rsid w:val="00DB7546"/>
    <w:rsid w:val="00DB75B6"/>
    <w:rsid w:val="00DB75D3"/>
    <w:rsid w:val="00DB75F0"/>
    <w:rsid w:val="00DB75FF"/>
    <w:rsid w:val="00DB76BE"/>
    <w:rsid w:val="00DB76EB"/>
    <w:rsid w:val="00DB77ED"/>
    <w:rsid w:val="00DB78C6"/>
    <w:rsid w:val="00DB7929"/>
    <w:rsid w:val="00DB79C8"/>
    <w:rsid w:val="00DB7A52"/>
    <w:rsid w:val="00DB7B76"/>
    <w:rsid w:val="00DB7B93"/>
    <w:rsid w:val="00DB7BE9"/>
    <w:rsid w:val="00DB7C49"/>
    <w:rsid w:val="00DB7C4F"/>
    <w:rsid w:val="00DB7D12"/>
    <w:rsid w:val="00DB7E02"/>
    <w:rsid w:val="00DB7EAD"/>
    <w:rsid w:val="00DC005D"/>
    <w:rsid w:val="00DC016A"/>
    <w:rsid w:val="00DC0195"/>
    <w:rsid w:val="00DC01C8"/>
    <w:rsid w:val="00DC01FB"/>
    <w:rsid w:val="00DC020D"/>
    <w:rsid w:val="00DC036C"/>
    <w:rsid w:val="00DC03F8"/>
    <w:rsid w:val="00DC0585"/>
    <w:rsid w:val="00DC0624"/>
    <w:rsid w:val="00DC07CB"/>
    <w:rsid w:val="00DC07E0"/>
    <w:rsid w:val="00DC07E5"/>
    <w:rsid w:val="00DC0882"/>
    <w:rsid w:val="00DC08EE"/>
    <w:rsid w:val="00DC093F"/>
    <w:rsid w:val="00DC094F"/>
    <w:rsid w:val="00DC0AD9"/>
    <w:rsid w:val="00DC0C13"/>
    <w:rsid w:val="00DC0C65"/>
    <w:rsid w:val="00DC0D46"/>
    <w:rsid w:val="00DC0D87"/>
    <w:rsid w:val="00DC0DB1"/>
    <w:rsid w:val="00DC0E5B"/>
    <w:rsid w:val="00DC0F9C"/>
    <w:rsid w:val="00DC0FC3"/>
    <w:rsid w:val="00DC102A"/>
    <w:rsid w:val="00DC10B4"/>
    <w:rsid w:val="00DC10F5"/>
    <w:rsid w:val="00DC1109"/>
    <w:rsid w:val="00DC1131"/>
    <w:rsid w:val="00DC1159"/>
    <w:rsid w:val="00DC1338"/>
    <w:rsid w:val="00DC1397"/>
    <w:rsid w:val="00DC1443"/>
    <w:rsid w:val="00DC1483"/>
    <w:rsid w:val="00DC1537"/>
    <w:rsid w:val="00DC1613"/>
    <w:rsid w:val="00DC162A"/>
    <w:rsid w:val="00DC166C"/>
    <w:rsid w:val="00DC16EC"/>
    <w:rsid w:val="00DC1773"/>
    <w:rsid w:val="00DC17BB"/>
    <w:rsid w:val="00DC1819"/>
    <w:rsid w:val="00DC199A"/>
    <w:rsid w:val="00DC1A58"/>
    <w:rsid w:val="00DC1AC0"/>
    <w:rsid w:val="00DC1AC5"/>
    <w:rsid w:val="00DC1BDD"/>
    <w:rsid w:val="00DC1BEB"/>
    <w:rsid w:val="00DC1CDD"/>
    <w:rsid w:val="00DC1D1A"/>
    <w:rsid w:val="00DC1D2B"/>
    <w:rsid w:val="00DC1D4D"/>
    <w:rsid w:val="00DC1D8E"/>
    <w:rsid w:val="00DC1D9F"/>
    <w:rsid w:val="00DC1E1B"/>
    <w:rsid w:val="00DC1E1E"/>
    <w:rsid w:val="00DC1F61"/>
    <w:rsid w:val="00DC1F6F"/>
    <w:rsid w:val="00DC20C3"/>
    <w:rsid w:val="00DC215C"/>
    <w:rsid w:val="00DC2165"/>
    <w:rsid w:val="00DC227A"/>
    <w:rsid w:val="00DC2283"/>
    <w:rsid w:val="00DC2360"/>
    <w:rsid w:val="00DC2500"/>
    <w:rsid w:val="00DC2501"/>
    <w:rsid w:val="00DC250C"/>
    <w:rsid w:val="00DC251C"/>
    <w:rsid w:val="00DC25CA"/>
    <w:rsid w:val="00DC25DA"/>
    <w:rsid w:val="00DC2610"/>
    <w:rsid w:val="00DC26E4"/>
    <w:rsid w:val="00DC26FF"/>
    <w:rsid w:val="00DC27D7"/>
    <w:rsid w:val="00DC27E7"/>
    <w:rsid w:val="00DC287C"/>
    <w:rsid w:val="00DC2891"/>
    <w:rsid w:val="00DC2929"/>
    <w:rsid w:val="00DC2938"/>
    <w:rsid w:val="00DC2991"/>
    <w:rsid w:val="00DC2A10"/>
    <w:rsid w:val="00DC2AD0"/>
    <w:rsid w:val="00DC2AFC"/>
    <w:rsid w:val="00DC2B67"/>
    <w:rsid w:val="00DC2BAE"/>
    <w:rsid w:val="00DC2BCF"/>
    <w:rsid w:val="00DC2CDB"/>
    <w:rsid w:val="00DC2CEE"/>
    <w:rsid w:val="00DC2D82"/>
    <w:rsid w:val="00DC2E27"/>
    <w:rsid w:val="00DC2F06"/>
    <w:rsid w:val="00DC3052"/>
    <w:rsid w:val="00DC3183"/>
    <w:rsid w:val="00DC319C"/>
    <w:rsid w:val="00DC31D4"/>
    <w:rsid w:val="00DC31F4"/>
    <w:rsid w:val="00DC3250"/>
    <w:rsid w:val="00DC3257"/>
    <w:rsid w:val="00DC3279"/>
    <w:rsid w:val="00DC32C2"/>
    <w:rsid w:val="00DC3359"/>
    <w:rsid w:val="00DC3372"/>
    <w:rsid w:val="00DC3422"/>
    <w:rsid w:val="00DC3433"/>
    <w:rsid w:val="00DC34D0"/>
    <w:rsid w:val="00DC34E6"/>
    <w:rsid w:val="00DC3568"/>
    <w:rsid w:val="00DC3618"/>
    <w:rsid w:val="00DC36AF"/>
    <w:rsid w:val="00DC372B"/>
    <w:rsid w:val="00DC37C4"/>
    <w:rsid w:val="00DC3882"/>
    <w:rsid w:val="00DC38AE"/>
    <w:rsid w:val="00DC391E"/>
    <w:rsid w:val="00DC397C"/>
    <w:rsid w:val="00DC39C2"/>
    <w:rsid w:val="00DC3A85"/>
    <w:rsid w:val="00DC3BA8"/>
    <w:rsid w:val="00DC3BB8"/>
    <w:rsid w:val="00DC3BF1"/>
    <w:rsid w:val="00DC3C33"/>
    <w:rsid w:val="00DC3C9C"/>
    <w:rsid w:val="00DC3E16"/>
    <w:rsid w:val="00DC3E40"/>
    <w:rsid w:val="00DC3F04"/>
    <w:rsid w:val="00DC3F59"/>
    <w:rsid w:val="00DC3FA7"/>
    <w:rsid w:val="00DC3FFE"/>
    <w:rsid w:val="00DC4078"/>
    <w:rsid w:val="00DC40EA"/>
    <w:rsid w:val="00DC43D9"/>
    <w:rsid w:val="00DC43EA"/>
    <w:rsid w:val="00DC44E4"/>
    <w:rsid w:val="00DC4539"/>
    <w:rsid w:val="00DC455F"/>
    <w:rsid w:val="00DC45C4"/>
    <w:rsid w:val="00DC45D9"/>
    <w:rsid w:val="00DC4630"/>
    <w:rsid w:val="00DC4693"/>
    <w:rsid w:val="00DC469A"/>
    <w:rsid w:val="00DC4701"/>
    <w:rsid w:val="00DC47BC"/>
    <w:rsid w:val="00DC492F"/>
    <w:rsid w:val="00DC4A0F"/>
    <w:rsid w:val="00DC4A67"/>
    <w:rsid w:val="00DC4AD0"/>
    <w:rsid w:val="00DC4B3E"/>
    <w:rsid w:val="00DC4BD8"/>
    <w:rsid w:val="00DC4C2A"/>
    <w:rsid w:val="00DC4D1D"/>
    <w:rsid w:val="00DC4D87"/>
    <w:rsid w:val="00DC4DB1"/>
    <w:rsid w:val="00DC4E55"/>
    <w:rsid w:val="00DC4FD8"/>
    <w:rsid w:val="00DC4FEF"/>
    <w:rsid w:val="00DC5021"/>
    <w:rsid w:val="00DC5027"/>
    <w:rsid w:val="00DC50CE"/>
    <w:rsid w:val="00DC51AA"/>
    <w:rsid w:val="00DC53C1"/>
    <w:rsid w:val="00DC54C1"/>
    <w:rsid w:val="00DC54EB"/>
    <w:rsid w:val="00DC551E"/>
    <w:rsid w:val="00DC55B8"/>
    <w:rsid w:val="00DC5600"/>
    <w:rsid w:val="00DC5638"/>
    <w:rsid w:val="00DC5678"/>
    <w:rsid w:val="00DC5684"/>
    <w:rsid w:val="00DC579C"/>
    <w:rsid w:val="00DC580A"/>
    <w:rsid w:val="00DC587A"/>
    <w:rsid w:val="00DC58AA"/>
    <w:rsid w:val="00DC5919"/>
    <w:rsid w:val="00DC5962"/>
    <w:rsid w:val="00DC5A7F"/>
    <w:rsid w:val="00DC5A9B"/>
    <w:rsid w:val="00DC5B50"/>
    <w:rsid w:val="00DC5BBD"/>
    <w:rsid w:val="00DC5BD1"/>
    <w:rsid w:val="00DC5E3B"/>
    <w:rsid w:val="00DC5E6B"/>
    <w:rsid w:val="00DC5EEF"/>
    <w:rsid w:val="00DC5F19"/>
    <w:rsid w:val="00DC6102"/>
    <w:rsid w:val="00DC612D"/>
    <w:rsid w:val="00DC6180"/>
    <w:rsid w:val="00DC61AF"/>
    <w:rsid w:val="00DC61EA"/>
    <w:rsid w:val="00DC6259"/>
    <w:rsid w:val="00DC62D6"/>
    <w:rsid w:val="00DC631F"/>
    <w:rsid w:val="00DC6475"/>
    <w:rsid w:val="00DC64C1"/>
    <w:rsid w:val="00DC659B"/>
    <w:rsid w:val="00DC66BC"/>
    <w:rsid w:val="00DC672F"/>
    <w:rsid w:val="00DC68FB"/>
    <w:rsid w:val="00DC690C"/>
    <w:rsid w:val="00DC6989"/>
    <w:rsid w:val="00DC6993"/>
    <w:rsid w:val="00DC69F8"/>
    <w:rsid w:val="00DC6B01"/>
    <w:rsid w:val="00DC6B53"/>
    <w:rsid w:val="00DC6BAE"/>
    <w:rsid w:val="00DC6C22"/>
    <w:rsid w:val="00DC6C81"/>
    <w:rsid w:val="00DC6D0A"/>
    <w:rsid w:val="00DC6E0F"/>
    <w:rsid w:val="00DC6F97"/>
    <w:rsid w:val="00DC70A9"/>
    <w:rsid w:val="00DC7132"/>
    <w:rsid w:val="00DC7174"/>
    <w:rsid w:val="00DC71BF"/>
    <w:rsid w:val="00DC727F"/>
    <w:rsid w:val="00DC72BE"/>
    <w:rsid w:val="00DC7376"/>
    <w:rsid w:val="00DC73A5"/>
    <w:rsid w:val="00DC73E6"/>
    <w:rsid w:val="00DC74B6"/>
    <w:rsid w:val="00DC74D0"/>
    <w:rsid w:val="00DC74D6"/>
    <w:rsid w:val="00DC74D7"/>
    <w:rsid w:val="00DC757F"/>
    <w:rsid w:val="00DC7591"/>
    <w:rsid w:val="00DC75F4"/>
    <w:rsid w:val="00DC764E"/>
    <w:rsid w:val="00DC775C"/>
    <w:rsid w:val="00DC778A"/>
    <w:rsid w:val="00DC7845"/>
    <w:rsid w:val="00DC7878"/>
    <w:rsid w:val="00DC787C"/>
    <w:rsid w:val="00DC78E2"/>
    <w:rsid w:val="00DC794A"/>
    <w:rsid w:val="00DC7961"/>
    <w:rsid w:val="00DC7B1F"/>
    <w:rsid w:val="00DC7B80"/>
    <w:rsid w:val="00DC7BEA"/>
    <w:rsid w:val="00DC7C44"/>
    <w:rsid w:val="00DC7D66"/>
    <w:rsid w:val="00DC7D8C"/>
    <w:rsid w:val="00DC7DE5"/>
    <w:rsid w:val="00DC7DE7"/>
    <w:rsid w:val="00DC7E1C"/>
    <w:rsid w:val="00DC7E5D"/>
    <w:rsid w:val="00DC7E78"/>
    <w:rsid w:val="00DC7ED6"/>
    <w:rsid w:val="00DC7F2B"/>
    <w:rsid w:val="00DC7F59"/>
    <w:rsid w:val="00DC7FE9"/>
    <w:rsid w:val="00DD007C"/>
    <w:rsid w:val="00DD0132"/>
    <w:rsid w:val="00DD016F"/>
    <w:rsid w:val="00DD0193"/>
    <w:rsid w:val="00DD01B3"/>
    <w:rsid w:val="00DD0206"/>
    <w:rsid w:val="00DD0255"/>
    <w:rsid w:val="00DD0300"/>
    <w:rsid w:val="00DD0385"/>
    <w:rsid w:val="00DD0388"/>
    <w:rsid w:val="00DD0417"/>
    <w:rsid w:val="00DD0493"/>
    <w:rsid w:val="00DD04CF"/>
    <w:rsid w:val="00DD054B"/>
    <w:rsid w:val="00DD0695"/>
    <w:rsid w:val="00DD07D0"/>
    <w:rsid w:val="00DD085A"/>
    <w:rsid w:val="00DD0924"/>
    <w:rsid w:val="00DD0A3E"/>
    <w:rsid w:val="00DD0ABB"/>
    <w:rsid w:val="00DD0BBB"/>
    <w:rsid w:val="00DD0CBF"/>
    <w:rsid w:val="00DD0D6F"/>
    <w:rsid w:val="00DD0D78"/>
    <w:rsid w:val="00DD0D9E"/>
    <w:rsid w:val="00DD0E1A"/>
    <w:rsid w:val="00DD0FB5"/>
    <w:rsid w:val="00DD1071"/>
    <w:rsid w:val="00DD10C1"/>
    <w:rsid w:val="00DD10E5"/>
    <w:rsid w:val="00DD10E6"/>
    <w:rsid w:val="00DD1208"/>
    <w:rsid w:val="00DD122F"/>
    <w:rsid w:val="00DD12FD"/>
    <w:rsid w:val="00DD1390"/>
    <w:rsid w:val="00DD1400"/>
    <w:rsid w:val="00DD1424"/>
    <w:rsid w:val="00DD14EA"/>
    <w:rsid w:val="00DD1576"/>
    <w:rsid w:val="00DD1751"/>
    <w:rsid w:val="00DD1793"/>
    <w:rsid w:val="00DD1811"/>
    <w:rsid w:val="00DD186B"/>
    <w:rsid w:val="00DD1887"/>
    <w:rsid w:val="00DD1896"/>
    <w:rsid w:val="00DD1958"/>
    <w:rsid w:val="00DD1A7B"/>
    <w:rsid w:val="00DD1AE2"/>
    <w:rsid w:val="00DD1C8F"/>
    <w:rsid w:val="00DD1CDF"/>
    <w:rsid w:val="00DD1D6A"/>
    <w:rsid w:val="00DD1D8F"/>
    <w:rsid w:val="00DD1EC5"/>
    <w:rsid w:val="00DD1ED5"/>
    <w:rsid w:val="00DD1F94"/>
    <w:rsid w:val="00DD2091"/>
    <w:rsid w:val="00DD20D1"/>
    <w:rsid w:val="00DD2148"/>
    <w:rsid w:val="00DD22A0"/>
    <w:rsid w:val="00DD22C7"/>
    <w:rsid w:val="00DD2371"/>
    <w:rsid w:val="00DD23E8"/>
    <w:rsid w:val="00DD23F5"/>
    <w:rsid w:val="00DD242A"/>
    <w:rsid w:val="00DD2431"/>
    <w:rsid w:val="00DD24BC"/>
    <w:rsid w:val="00DD24CE"/>
    <w:rsid w:val="00DD2530"/>
    <w:rsid w:val="00DD253E"/>
    <w:rsid w:val="00DD2556"/>
    <w:rsid w:val="00DD2566"/>
    <w:rsid w:val="00DD25CB"/>
    <w:rsid w:val="00DD25D3"/>
    <w:rsid w:val="00DD2643"/>
    <w:rsid w:val="00DD265C"/>
    <w:rsid w:val="00DD26DB"/>
    <w:rsid w:val="00DD27BF"/>
    <w:rsid w:val="00DD27C4"/>
    <w:rsid w:val="00DD2835"/>
    <w:rsid w:val="00DD2893"/>
    <w:rsid w:val="00DD2A8A"/>
    <w:rsid w:val="00DD2A9A"/>
    <w:rsid w:val="00DD2ADF"/>
    <w:rsid w:val="00DD2B0B"/>
    <w:rsid w:val="00DD2B20"/>
    <w:rsid w:val="00DD2B6B"/>
    <w:rsid w:val="00DD2C10"/>
    <w:rsid w:val="00DD2DD6"/>
    <w:rsid w:val="00DD2E17"/>
    <w:rsid w:val="00DD2E85"/>
    <w:rsid w:val="00DD2ECC"/>
    <w:rsid w:val="00DD2F59"/>
    <w:rsid w:val="00DD2FEC"/>
    <w:rsid w:val="00DD3031"/>
    <w:rsid w:val="00DD3045"/>
    <w:rsid w:val="00DD3072"/>
    <w:rsid w:val="00DD3129"/>
    <w:rsid w:val="00DD3146"/>
    <w:rsid w:val="00DD3225"/>
    <w:rsid w:val="00DD33CD"/>
    <w:rsid w:val="00DD34E3"/>
    <w:rsid w:val="00DD3527"/>
    <w:rsid w:val="00DD35B9"/>
    <w:rsid w:val="00DD36FF"/>
    <w:rsid w:val="00DD3732"/>
    <w:rsid w:val="00DD3752"/>
    <w:rsid w:val="00DD37B4"/>
    <w:rsid w:val="00DD388F"/>
    <w:rsid w:val="00DD3978"/>
    <w:rsid w:val="00DD3992"/>
    <w:rsid w:val="00DD39F8"/>
    <w:rsid w:val="00DD3A04"/>
    <w:rsid w:val="00DD3B43"/>
    <w:rsid w:val="00DD3BD5"/>
    <w:rsid w:val="00DD3C4D"/>
    <w:rsid w:val="00DD3CB9"/>
    <w:rsid w:val="00DD3CEC"/>
    <w:rsid w:val="00DD3D64"/>
    <w:rsid w:val="00DD3EA7"/>
    <w:rsid w:val="00DD4018"/>
    <w:rsid w:val="00DD4028"/>
    <w:rsid w:val="00DD41E6"/>
    <w:rsid w:val="00DD4226"/>
    <w:rsid w:val="00DD4376"/>
    <w:rsid w:val="00DD43C2"/>
    <w:rsid w:val="00DD43C4"/>
    <w:rsid w:val="00DD4418"/>
    <w:rsid w:val="00DD442F"/>
    <w:rsid w:val="00DD44B4"/>
    <w:rsid w:val="00DD4548"/>
    <w:rsid w:val="00DD459B"/>
    <w:rsid w:val="00DD467A"/>
    <w:rsid w:val="00DD46F7"/>
    <w:rsid w:val="00DD4717"/>
    <w:rsid w:val="00DD4733"/>
    <w:rsid w:val="00DD484E"/>
    <w:rsid w:val="00DD485E"/>
    <w:rsid w:val="00DD48A8"/>
    <w:rsid w:val="00DD491F"/>
    <w:rsid w:val="00DD4973"/>
    <w:rsid w:val="00DD49B1"/>
    <w:rsid w:val="00DD4A24"/>
    <w:rsid w:val="00DD4B7C"/>
    <w:rsid w:val="00DD4DE0"/>
    <w:rsid w:val="00DD4E6C"/>
    <w:rsid w:val="00DD4E70"/>
    <w:rsid w:val="00DD4F32"/>
    <w:rsid w:val="00DD4F66"/>
    <w:rsid w:val="00DD4F74"/>
    <w:rsid w:val="00DD4FE2"/>
    <w:rsid w:val="00DD505C"/>
    <w:rsid w:val="00DD5076"/>
    <w:rsid w:val="00DD518A"/>
    <w:rsid w:val="00DD51D3"/>
    <w:rsid w:val="00DD52DC"/>
    <w:rsid w:val="00DD531F"/>
    <w:rsid w:val="00DD538D"/>
    <w:rsid w:val="00DD53B5"/>
    <w:rsid w:val="00DD53D9"/>
    <w:rsid w:val="00DD542A"/>
    <w:rsid w:val="00DD54CC"/>
    <w:rsid w:val="00DD5510"/>
    <w:rsid w:val="00DD556B"/>
    <w:rsid w:val="00DD556C"/>
    <w:rsid w:val="00DD55C6"/>
    <w:rsid w:val="00DD5650"/>
    <w:rsid w:val="00DD5705"/>
    <w:rsid w:val="00DD5737"/>
    <w:rsid w:val="00DD574E"/>
    <w:rsid w:val="00DD574F"/>
    <w:rsid w:val="00DD57FD"/>
    <w:rsid w:val="00DD5871"/>
    <w:rsid w:val="00DD589B"/>
    <w:rsid w:val="00DD58DF"/>
    <w:rsid w:val="00DD5B83"/>
    <w:rsid w:val="00DD5BF4"/>
    <w:rsid w:val="00DD5DE8"/>
    <w:rsid w:val="00DD5E4B"/>
    <w:rsid w:val="00DD5E81"/>
    <w:rsid w:val="00DD5FAC"/>
    <w:rsid w:val="00DD5FF4"/>
    <w:rsid w:val="00DD6006"/>
    <w:rsid w:val="00DD606B"/>
    <w:rsid w:val="00DD60F2"/>
    <w:rsid w:val="00DD6163"/>
    <w:rsid w:val="00DD620B"/>
    <w:rsid w:val="00DD6235"/>
    <w:rsid w:val="00DD6246"/>
    <w:rsid w:val="00DD62ED"/>
    <w:rsid w:val="00DD6398"/>
    <w:rsid w:val="00DD63AA"/>
    <w:rsid w:val="00DD63C3"/>
    <w:rsid w:val="00DD63CD"/>
    <w:rsid w:val="00DD6421"/>
    <w:rsid w:val="00DD6612"/>
    <w:rsid w:val="00DD6749"/>
    <w:rsid w:val="00DD67F5"/>
    <w:rsid w:val="00DD698D"/>
    <w:rsid w:val="00DD69F1"/>
    <w:rsid w:val="00DD6AF1"/>
    <w:rsid w:val="00DD6B17"/>
    <w:rsid w:val="00DD6B34"/>
    <w:rsid w:val="00DD6BB1"/>
    <w:rsid w:val="00DD6C46"/>
    <w:rsid w:val="00DD6C7A"/>
    <w:rsid w:val="00DD6CDB"/>
    <w:rsid w:val="00DD6F44"/>
    <w:rsid w:val="00DD6F56"/>
    <w:rsid w:val="00DD6F95"/>
    <w:rsid w:val="00DD6F9B"/>
    <w:rsid w:val="00DD7089"/>
    <w:rsid w:val="00DD713C"/>
    <w:rsid w:val="00DD717B"/>
    <w:rsid w:val="00DD71CC"/>
    <w:rsid w:val="00DD721C"/>
    <w:rsid w:val="00DD732A"/>
    <w:rsid w:val="00DD7386"/>
    <w:rsid w:val="00DD7414"/>
    <w:rsid w:val="00DD743D"/>
    <w:rsid w:val="00DD75BD"/>
    <w:rsid w:val="00DD75C5"/>
    <w:rsid w:val="00DD7603"/>
    <w:rsid w:val="00DD7703"/>
    <w:rsid w:val="00DD770D"/>
    <w:rsid w:val="00DD778D"/>
    <w:rsid w:val="00DD7794"/>
    <w:rsid w:val="00DD7815"/>
    <w:rsid w:val="00DD7823"/>
    <w:rsid w:val="00DD78F4"/>
    <w:rsid w:val="00DD79D7"/>
    <w:rsid w:val="00DD7A22"/>
    <w:rsid w:val="00DD7B0A"/>
    <w:rsid w:val="00DD7B16"/>
    <w:rsid w:val="00DD7B43"/>
    <w:rsid w:val="00DD7BB1"/>
    <w:rsid w:val="00DD7CCA"/>
    <w:rsid w:val="00DD7D8C"/>
    <w:rsid w:val="00DD7DC9"/>
    <w:rsid w:val="00DD7E83"/>
    <w:rsid w:val="00DD7EA9"/>
    <w:rsid w:val="00DD7F52"/>
    <w:rsid w:val="00DE005A"/>
    <w:rsid w:val="00DE007A"/>
    <w:rsid w:val="00DE0181"/>
    <w:rsid w:val="00DE0278"/>
    <w:rsid w:val="00DE0462"/>
    <w:rsid w:val="00DE0468"/>
    <w:rsid w:val="00DE060D"/>
    <w:rsid w:val="00DE0613"/>
    <w:rsid w:val="00DE06E1"/>
    <w:rsid w:val="00DE06FA"/>
    <w:rsid w:val="00DE082B"/>
    <w:rsid w:val="00DE0830"/>
    <w:rsid w:val="00DE089C"/>
    <w:rsid w:val="00DE093C"/>
    <w:rsid w:val="00DE0973"/>
    <w:rsid w:val="00DE0A4D"/>
    <w:rsid w:val="00DE0B2A"/>
    <w:rsid w:val="00DE0B5D"/>
    <w:rsid w:val="00DE0B68"/>
    <w:rsid w:val="00DE0B99"/>
    <w:rsid w:val="00DE0BDE"/>
    <w:rsid w:val="00DE1018"/>
    <w:rsid w:val="00DE10CF"/>
    <w:rsid w:val="00DE10E2"/>
    <w:rsid w:val="00DE11E1"/>
    <w:rsid w:val="00DE124A"/>
    <w:rsid w:val="00DE1270"/>
    <w:rsid w:val="00DE132A"/>
    <w:rsid w:val="00DE13BC"/>
    <w:rsid w:val="00DE1478"/>
    <w:rsid w:val="00DE150E"/>
    <w:rsid w:val="00DE1576"/>
    <w:rsid w:val="00DE1601"/>
    <w:rsid w:val="00DE1629"/>
    <w:rsid w:val="00DE17B0"/>
    <w:rsid w:val="00DE17B6"/>
    <w:rsid w:val="00DE1835"/>
    <w:rsid w:val="00DE189A"/>
    <w:rsid w:val="00DE18AD"/>
    <w:rsid w:val="00DE19BA"/>
    <w:rsid w:val="00DE19C2"/>
    <w:rsid w:val="00DE1A45"/>
    <w:rsid w:val="00DE1A9A"/>
    <w:rsid w:val="00DE1BDC"/>
    <w:rsid w:val="00DE1C53"/>
    <w:rsid w:val="00DE1CA2"/>
    <w:rsid w:val="00DE1D73"/>
    <w:rsid w:val="00DE1E1E"/>
    <w:rsid w:val="00DE1ED6"/>
    <w:rsid w:val="00DE1F3E"/>
    <w:rsid w:val="00DE1FB0"/>
    <w:rsid w:val="00DE206F"/>
    <w:rsid w:val="00DE20BB"/>
    <w:rsid w:val="00DE2168"/>
    <w:rsid w:val="00DE217C"/>
    <w:rsid w:val="00DE2193"/>
    <w:rsid w:val="00DE2194"/>
    <w:rsid w:val="00DE21E1"/>
    <w:rsid w:val="00DE2207"/>
    <w:rsid w:val="00DE2222"/>
    <w:rsid w:val="00DE223E"/>
    <w:rsid w:val="00DE225E"/>
    <w:rsid w:val="00DE238C"/>
    <w:rsid w:val="00DE24AB"/>
    <w:rsid w:val="00DE2586"/>
    <w:rsid w:val="00DE259F"/>
    <w:rsid w:val="00DE25A6"/>
    <w:rsid w:val="00DE2601"/>
    <w:rsid w:val="00DE2697"/>
    <w:rsid w:val="00DE26B0"/>
    <w:rsid w:val="00DE2701"/>
    <w:rsid w:val="00DE284D"/>
    <w:rsid w:val="00DE2893"/>
    <w:rsid w:val="00DE289E"/>
    <w:rsid w:val="00DE29F8"/>
    <w:rsid w:val="00DE2A43"/>
    <w:rsid w:val="00DE2B17"/>
    <w:rsid w:val="00DE2B39"/>
    <w:rsid w:val="00DE2B6D"/>
    <w:rsid w:val="00DE2BC6"/>
    <w:rsid w:val="00DE2CED"/>
    <w:rsid w:val="00DE2D33"/>
    <w:rsid w:val="00DE2D35"/>
    <w:rsid w:val="00DE2D49"/>
    <w:rsid w:val="00DE2E84"/>
    <w:rsid w:val="00DE2EB6"/>
    <w:rsid w:val="00DE2F42"/>
    <w:rsid w:val="00DE3004"/>
    <w:rsid w:val="00DE3017"/>
    <w:rsid w:val="00DE30C6"/>
    <w:rsid w:val="00DE31B3"/>
    <w:rsid w:val="00DE31B9"/>
    <w:rsid w:val="00DE31D7"/>
    <w:rsid w:val="00DE31D8"/>
    <w:rsid w:val="00DE3234"/>
    <w:rsid w:val="00DE323E"/>
    <w:rsid w:val="00DE3254"/>
    <w:rsid w:val="00DE326A"/>
    <w:rsid w:val="00DE3275"/>
    <w:rsid w:val="00DE340B"/>
    <w:rsid w:val="00DE3469"/>
    <w:rsid w:val="00DE34EB"/>
    <w:rsid w:val="00DE3592"/>
    <w:rsid w:val="00DE35F3"/>
    <w:rsid w:val="00DE364D"/>
    <w:rsid w:val="00DE36B2"/>
    <w:rsid w:val="00DE36D0"/>
    <w:rsid w:val="00DE3757"/>
    <w:rsid w:val="00DE37C0"/>
    <w:rsid w:val="00DE38D0"/>
    <w:rsid w:val="00DE38EF"/>
    <w:rsid w:val="00DE3A3C"/>
    <w:rsid w:val="00DE3ADC"/>
    <w:rsid w:val="00DE3B22"/>
    <w:rsid w:val="00DE3B44"/>
    <w:rsid w:val="00DE3BFC"/>
    <w:rsid w:val="00DE3C04"/>
    <w:rsid w:val="00DE3C0D"/>
    <w:rsid w:val="00DE3C56"/>
    <w:rsid w:val="00DE3CAD"/>
    <w:rsid w:val="00DE3E78"/>
    <w:rsid w:val="00DE3EE9"/>
    <w:rsid w:val="00DE3F55"/>
    <w:rsid w:val="00DE4020"/>
    <w:rsid w:val="00DE41F8"/>
    <w:rsid w:val="00DE41FA"/>
    <w:rsid w:val="00DE4272"/>
    <w:rsid w:val="00DE42F3"/>
    <w:rsid w:val="00DE42F4"/>
    <w:rsid w:val="00DE42FF"/>
    <w:rsid w:val="00DE4363"/>
    <w:rsid w:val="00DE4380"/>
    <w:rsid w:val="00DE4387"/>
    <w:rsid w:val="00DE43ED"/>
    <w:rsid w:val="00DE448E"/>
    <w:rsid w:val="00DE44CE"/>
    <w:rsid w:val="00DE4634"/>
    <w:rsid w:val="00DE4811"/>
    <w:rsid w:val="00DE4877"/>
    <w:rsid w:val="00DE48EC"/>
    <w:rsid w:val="00DE48F7"/>
    <w:rsid w:val="00DE4918"/>
    <w:rsid w:val="00DE4934"/>
    <w:rsid w:val="00DE4A7B"/>
    <w:rsid w:val="00DE4A95"/>
    <w:rsid w:val="00DE4B15"/>
    <w:rsid w:val="00DE4B81"/>
    <w:rsid w:val="00DE4B9D"/>
    <w:rsid w:val="00DE4BB8"/>
    <w:rsid w:val="00DE4C44"/>
    <w:rsid w:val="00DE4C49"/>
    <w:rsid w:val="00DE4C5F"/>
    <w:rsid w:val="00DE4C63"/>
    <w:rsid w:val="00DE4E77"/>
    <w:rsid w:val="00DE4E94"/>
    <w:rsid w:val="00DE50A6"/>
    <w:rsid w:val="00DE50EA"/>
    <w:rsid w:val="00DE5167"/>
    <w:rsid w:val="00DE517F"/>
    <w:rsid w:val="00DE51A4"/>
    <w:rsid w:val="00DE51EF"/>
    <w:rsid w:val="00DE5271"/>
    <w:rsid w:val="00DE528C"/>
    <w:rsid w:val="00DE52D6"/>
    <w:rsid w:val="00DE5304"/>
    <w:rsid w:val="00DE5320"/>
    <w:rsid w:val="00DE5333"/>
    <w:rsid w:val="00DE545C"/>
    <w:rsid w:val="00DE550A"/>
    <w:rsid w:val="00DE5609"/>
    <w:rsid w:val="00DE564E"/>
    <w:rsid w:val="00DE56A3"/>
    <w:rsid w:val="00DE56D1"/>
    <w:rsid w:val="00DE5713"/>
    <w:rsid w:val="00DE5725"/>
    <w:rsid w:val="00DE5820"/>
    <w:rsid w:val="00DE59F8"/>
    <w:rsid w:val="00DE5A3B"/>
    <w:rsid w:val="00DE5ABE"/>
    <w:rsid w:val="00DE5BBD"/>
    <w:rsid w:val="00DE5C4F"/>
    <w:rsid w:val="00DE5C5E"/>
    <w:rsid w:val="00DE5C9F"/>
    <w:rsid w:val="00DE5CBC"/>
    <w:rsid w:val="00DE5D40"/>
    <w:rsid w:val="00DE5DB0"/>
    <w:rsid w:val="00DE5DEC"/>
    <w:rsid w:val="00DE5F23"/>
    <w:rsid w:val="00DE5F45"/>
    <w:rsid w:val="00DE6091"/>
    <w:rsid w:val="00DE61CB"/>
    <w:rsid w:val="00DE61D4"/>
    <w:rsid w:val="00DE61FA"/>
    <w:rsid w:val="00DE6207"/>
    <w:rsid w:val="00DE6253"/>
    <w:rsid w:val="00DE62AE"/>
    <w:rsid w:val="00DE62B7"/>
    <w:rsid w:val="00DE62F9"/>
    <w:rsid w:val="00DE6351"/>
    <w:rsid w:val="00DE6360"/>
    <w:rsid w:val="00DE63A5"/>
    <w:rsid w:val="00DE6416"/>
    <w:rsid w:val="00DE6476"/>
    <w:rsid w:val="00DE6622"/>
    <w:rsid w:val="00DE6685"/>
    <w:rsid w:val="00DE668A"/>
    <w:rsid w:val="00DE6724"/>
    <w:rsid w:val="00DE67B2"/>
    <w:rsid w:val="00DE67B7"/>
    <w:rsid w:val="00DE67E9"/>
    <w:rsid w:val="00DE6812"/>
    <w:rsid w:val="00DE6901"/>
    <w:rsid w:val="00DE6995"/>
    <w:rsid w:val="00DE69A4"/>
    <w:rsid w:val="00DE6A45"/>
    <w:rsid w:val="00DE6AA9"/>
    <w:rsid w:val="00DE6B7E"/>
    <w:rsid w:val="00DE6BA6"/>
    <w:rsid w:val="00DE6BBC"/>
    <w:rsid w:val="00DE6CB7"/>
    <w:rsid w:val="00DE6D6E"/>
    <w:rsid w:val="00DE6DAC"/>
    <w:rsid w:val="00DE6DEA"/>
    <w:rsid w:val="00DE6EA1"/>
    <w:rsid w:val="00DE6F4B"/>
    <w:rsid w:val="00DE6F9D"/>
    <w:rsid w:val="00DE6FBE"/>
    <w:rsid w:val="00DE7031"/>
    <w:rsid w:val="00DE7068"/>
    <w:rsid w:val="00DE70D3"/>
    <w:rsid w:val="00DE7103"/>
    <w:rsid w:val="00DE71F2"/>
    <w:rsid w:val="00DE7322"/>
    <w:rsid w:val="00DE734E"/>
    <w:rsid w:val="00DE7398"/>
    <w:rsid w:val="00DE743A"/>
    <w:rsid w:val="00DE7441"/>
    <w:rsid w:val="00DE7487"/>
    <w:rsid w:val="00DE752C"/>
    <w:rsid w:val="00DE7635"/>
    <w:rsid w:val="00DE76B9"/>
    <w:rsid w:val="00DE7775"/>
    <w:rsid w:val="00DE7887"/>
    <w:rsid w:val="00DE7956"/>
    <w:rsid w:val="00DE7A45"/>
    <w:rsid w:val="00DE7AA8"/>
    <w:rsid w:val="00DE7AF4"/>
    <w:rsid w:val="00DE7B00"/>
    <w:rsid w:val="00DE7BF8"/>
    <w:rsid w:val="00DE7C3C"/>
    <w:rsid w:val="00DE7C56"/>
    <w:rsid w:val="00DE7CCA"/>
    <w:rsid w:val="00DE7D59"/>
    <w:rsid w:val="00DE7DB1"/>
    <w:rsid w:val="00DE7F49"/>
    <w:rsid w:val="00DE7F8A"/>
    <w:rsid w:val="00DE7FC0"/>
    <w:rsid w:val="00DE7FE3"/>
    <w:rsid w:val="00DF011D"/>
    <w:rsid w:val="00DF0274"/>
    <w:rsid w:val="00DF0277"/>
    <w:rsid w:val="00DF02EE"/>
    <w:rsid w:val="00DF0335"/>
    <w:rsid w:val="00DF03F5"/>
    <w:rsid w:val="00DF04BB"/>
    <w:rsid w:val="00DF04EC"/>
    <w:rsid w:val="00DF0534"/>
    <w:rsid w:val="00DF0535"/>
    <w:rsid w:val="00DF0562"/>
    <w:rsid w:val="00DF05EC"/>
    <w:rsid w:val="00DF0695"/>
    <w:rsid w:val="00DF0791"/>
    <w:rsid w:val="00DF082D"/>
    <w:rsid w:val="00DF0831"/>
    <w:rsid w:val="00DF08C1"/>
    <w:rsid w:val="00DF096D"/>
    <w:rsid w:val="00DF09CF"/>
    <w:rsid w:val="00DF09D0"/>
    <w:rsid w:val="00DF0A50"/>
    <w:rsid w:val="00DF0A78"/>
    <w:rsid w:val="00DF0AF8"/>
    <w:rsid w:val="00DF0B58"/>
    <w:rsid w:val="00DF0B5D"/>
    <w:rsid w:val="00DF0DC3"/>
    <w:rsid w:val="00DF0E11"/>
    <w:rsid w:val="00DF0EC7"/>
    <w:rsid w:val="00DF0FD9"/>
    <w:rsid w:val="00DF0FE1"/>
    <w:rsid w:val="00DF1043"/>
    <w:rsid w:val="00DF1110"/>
    <w:rsid w:val="00DF1254"/>
    <w:rsid w:val="00DF142E"/>
    <w:rsid w:val="00DF1443"/>
    <w:rsid w:val="00DF1470"/>
    <w:rsid w:val="00DF14F9"/>
    <w:rsid w:val="00DF1619"/>
    <w:rsid w:val="00DF171B"/>
    <w:rsid w:val="00DF17CE"/>
    <w:rsid w:val="00DF18E6"/>
    <w:rsid w:val="00DF1910"/>
    <w:rsid w:val="00DF1A5D"/>
    <w:rsid w:val="00DF1BC0"/>
    <w:rsid w:val="00DF1BEF"/>
    <w:rsid w:val="00DF1C1F"/>
    <w:rsid w:val="00DF1C2D"/>
    <w:rsid w:val="00DF1C57"/>
    <w:rsid w:val="00DF1C91"/>
    <w:rsid w:val="00DF1CA9"/>
    <w:rsid w:val="00DF1E14"/>
    <w:rsid w:val="00DF1E39"/>
    <w:rsid w:val="00DF1E49"/>
    <w:rsid w:val="00DF1E77"/>
    <w:rsid w:val="00DF1EF5"/>
    <w:rsid w:val="00DF1F0F"/>
    <w:rsid w:val="00DF1F10"/>
    <w:rsid w:val="00DF1FAE"/>
    <w:rsid w:val="00DF2059"/>
    <w:rsid w:val="00DF211F"/>
    <w:rsid w:val="00DF2136"/>
    <w:rsid w:val="00DF2157"/>
    <w:rsid w:val="00DF2172"/>
    <w:rsid w:val="00DF21BB"/>
    <w:rsid w:val="00DF21D8"/>
    <w:rsid w:val="00DF2284"/>
    <w:rsid w:val="00DF2297"/>
    <w:rsid w:val="00DF22D4"/>
    <w:rsid w:val="00DF233B"/>
    <w:rsid w:val="00DF236F"/>
    <w:rsid w:val="00DF240C"/>
    <w:rsid w:val="00DF257C"/>
    <w:rsid w:val="00DF25E3"/>
    <w:rsid w:val="00DF2731"/>
    <w:rsid w:val="00DF2750"/>
    <w:rsid w:val="00DF27F2"/>
    <w:rsid w:val="00DF280E"/>
    <w:rsid w:val="00DF28E6"/>
    <w:rsid w:val="00DF2912"/>
    <w:rsid w:val="00DF2961"/>
    <w:rsid w:val="00DF2AAE"/>
    <w:rsid w:val="00DF2AD9"/>
    <w:rsid w:val="00DF2C6B"/>
    <w:rsid w:val="00DF2C92"/>
    <w:rsid w:val="00DF2CA9"/>
    <w:rsid w:val="00DF2CB0"/>
    <w:rsid w:val="00DF2DA8"/>
    <w:rsid w:val="00DF2E4D"/>
    <w:rsid w:val="00DF2ED4"/>
    <w:rsid w:val="00DF3007"/>
    <w:rsid w:val="00DF3275"/>
    <w:rsid w:val="00DF32BE"/>
    <w:rsid w:val="00DF330D"/>
    <w:rsid w:val="00DF339E"/>
    <w:rsid w:val="00DF33C5"/>
    <w:rsid w:val="00DF348B"/>
    <w:rsid w:val="00DF349D"/>
    <w:rsid w:val="00DF351C"/>
    <w:rsid w:val="00DF361C"/>
    <w:rsid w:val="00DF3680"/>
    <w:rsid w:val="00DF3683"/>
    <w:rsid w:val="00DF37B4"/>
    <w:rsid w:val="00DF3922"/>
    <w:rsid w:val="00DF393F"/>
    <w:rsid w:val="00DF3A5F"/>
    <w:rsid w:val="00DF3A73"/>
    <w:rsid w:val="00DF3A75"/>
    <w:rsid w:val="00DF3B9B"/>
    <w:rsid w:val="00DF3BFA"/>
    <w:rsid w:val="00DF3C54"/>
    <w:rsid w:val="00DF3D8B"/>
    <w:rsid w:val="00DF3E2E"/>
    <w:rsid w:val="00DF3EF9"/>
    <w:rsid w:val="00DF3F3B"/>
    <w:rsid w:val="00DF3F9F"/>
    <w:rsid w:val="00DF410D"/>
    <w:rsid w:val="00DF4157"/>
    <w:rsid w:val="00DF41CA"/>
    <w:rsid w:val="00DF425F"/>
    <w:rsid w:val="00DF42B0"/>
    <w:rsid w:val="00DF4355"/>
    <w:rsid w:val="00DF442F"/>
    <w:rsid w:val="00DF44F2"/>
    <w:rsid w:val="00DF4510"/>
    <w:rsid w:val="00DF452A"/>
    <w:rsid w:val="00DF4546"/>
    <w:rsid w:val="00DF456F"/>
    <w:rsid w:val="00DF45FB"/>
    <w:rsid w:val="00DF46C5"/>
    <w:rsid w:val="00DF4716"/>
    <w:rsid w:val="00DF4786"/>
    <w:rsid w:val="00DF47E4"/>
    <w:rsid w:val="00DF488F"/>
    <w:rsid w:val="00DF4973"/>
    <w:rsid w:val="00DF4977"/>
    <w:rsid w:val="00DF498C"/>
    <w:rsid w:val="00DF49D9"/>
    <w:rsid w:val="00DF4A30"/>
    <w:rsid w:val="00DF4A3B"/>
    <w:rsid w:val="00DF4A9E"/>
    <w:rsid w:val="00DF4B1E"/>
    <w:rsid w:val="00DF4B7E"/>
    <w:rsid w:val="00DF4BE5"/>
    <w:rsid w:val="00DF4C61"/>
    <w:rsid w:val="00DF4C70"/>
    <w:rsid w:val="00DF4C85"/>
    <w:rsid w:val="00DF4CF6"/>
    <w:rsid w:val="00DF4D96"/>
    <w:rsid w:val="00DF4E06"/>
    <w:rsid w:val="00DF4E1C"/>
    <w:rsid w:val="00DF4F88"/>
    <w:rsid w:val="00DF4FE5"/>
    <w:rsid w:val="00DF503A"/>
    <w:rsid w:val="00DF5098"/>
    <w:rsid w:val="00DF5122"/>
    <w:rsid w:val="00DF51E6"/>
    <w:rsid w:val="00DF51EA"/>
    <w:rsid w:val="00DF527B"/>
    <w:rsid w:val="00DF5288"/>
    <w:rsid w:val="00DF52B7"/>
    <w:rsid w:val="00DF52F2"/>
    <w:rsid w:val="00DF5340"/>
    <w:rsid w:val="00DF53A0"/>
    <w:rsid w:val="00DF54BE"/>
    <w:rsid w:val="00DF54D0"/>
    <w:rsid w:val="00DF54D8"/>
    <w:rsid w:val="00DF5507"/>
    <w:rsid w:val="00DF5565"/>
    <w:rsid w:val="00DF560C"/>
    <w:rsid w:val="00DF5635"/>
    <w:rsid w:val="00DF573D"/>
    <w:rsid w:val="00DF57B9"/>
    <w:rsid w:val="00DF57BE"/>
    <w:rsid w:val="00DF57C4"/>
    <w:rsid w:val="00DF580C"/>
    <w:rsid w:val="00DF588B"/>
    <w:rsid w:val="00DF5A2F"/>
    <w:rsid w:val="00DF5B54"/>
    <w:rsid w:val="00DF5C06"/>
    <w:rsid w:val="00DF5C1A"/>
    <w:rsid w:val="00DF5C80"/>
    <w:rsid w:val="00DF5CA0"/>
    <w:rsid w:val="00DF5F09"/>
    <w:rsid w:val="00DF5F45"/>
    <w:rsid w:val="00DF6094"/>
    <w:rsid w:val="00DF60E5"/>
    <w:rsid w:val="00DF61DD"/>
    <w:rsid w:val="00DF624D"/>
    <w:rsid w:val="00DF6309"/>
    <w:rsid w:val="00DF63E0"/>
    <w:rsid w:val="00DF648F"/>
    <w:rsid w:val="00DF6504"/>
    <w:rsid w:val="00DF6576"/>
    <w:rsid w:val="00DF65AF"/>
    <w:rsid w:val="00DF6623"/>
    <w:rsid w:val="00DF667E"/>
    <w:rsid w:val="00DF66DE"/>
    <w:rsid w:val="00DF67F1"/>
    <w:rsid w:val="00DF67FC"/>
    <w:rsid w:val="00DF6B08"/>
    <w:rsid w:val="00DF6B41"/>
    <w:rsid w:val="00DF6BCB"/>
    <w:rsid w:val="00DF6C25"/>
    <w:rsid w:val="00DF6C7B"/>
    <w:rsid w:val="00DF6CBA"/>
    <w:rsid w:val="00DF6CC8"/>
    <w:rsid w:val="00DF6D45"/>
    <w:rsid w:val="00DF6E4E"/>
    <w:rsid w:val="00DF6E87"/>
    <w:rsid w:val="00DF7042"/>
    <w:rsid w:val="00DF7203"/>
    <w:rsid w:val="00DF7223"/>
    <w:rsid w:val="00DF72BC"/>
    <w:rsid w:val="00DF72C6"/>
    <w:rsid w:val="00DF739B"/>
    <w:rsid w:val="00DF73A3"/>
    <w:rsid w:val="00DF75B4"/>
    <w:rsid w:val="00DF7634"/>
    <w:rsid w:val="00DF76EA"/>
    <w:rsid w:val="00DF77BF"/>
    <w:rsid w:val="00DF788C"/>
    <w:rsid w:val="00DF78AA"/>
    <w:rsid w:val="00DF78FD"/>
    <w:rsid w:val="00DF791C"/>
    <w:rsid w:val="00DF795E"/>
    <w:rsid w:val="00DF7985"/>
    <w:rsid w:val="00DF7A0E"/>
    <w:rsid w:val="00DF7A2C"/>
    <w:rsid w:val="00DF7ADD"/>
    <w:rsid w:val="00DF7B42"/>
    <w:rsid w:val="00DF7BA5"/>
    <w:rsid w:val="00DF7BF8"/>
    <w:rsid w:val="00DF7CB1"/>
    <w:rsid w:val="00DF7CD7"/>
    <w:rsid w:val="00DF7DAA"/>
    <w:rsid w:val="00DF7E27"/>
    <w:rsid w:val="00DF7E8C"/>
    <w:rsid w:val="00DF7EFE"/>
    <w:rsid w:val="00DF7F00"/>
    <w:rsid w:val="00DF7FB6"/>
    <w:rsid w:val="00E0005A"/>
    <w:rsid w:val="00E0008D"/>
    <w:rsid w:val="00E00109"/>
    <w:rsid w:val="00E00121"/>
    <w:rsid w:val="00E002A8"/>
    <w:rsid w:val="00E00314"/>
    <w:rsid w:val="00E0044D"/>
    <w:rsid w:val="00E00452"/>
    <w:rsid w:val="00E0045A"/>
    <w:rsid w:val="00E00562"/>
    <w:rsid w:val="00E0062F"/>
    <w:rsid w:val="00E0076F"/>
    <w:rsid w:val="00E0077F"/>
    <w:rsid w:val="00E008F9"/>
    <w:rsid w:val="00E00985"/>
    <w:rsid w:val="00E00AAC"/>
    <w:rsid w:val="00E00AC7"/>
    <w:rsid w:val="00E00C0D"/>
    <w:rsid w:val="00E00D57"/>
    <w:rsid w:val="00E00E15"/>
    <w:rsid w:val="00E00E32"/>
    <w:rsid w:val="00E00E9D"/>
    <w:rsid w:val="00E00ED7"/>
    <w:rsid w:val="00E00F63"/>
    <w:rsid w:val="00E00F99"/>
    <w:rsid w:val="00E00F9B"/>
    <w:rsid w:val="00E00FBE"/>
    <w:rsid w:val="00E0103E"/>
    <w:rsid w:val="00E01040"/>
    <w:rsid w:val="00E01063"/>
    <w:rsid w:val="00E010BA"/>
    <w:rsid w:val="00E0111F"/>
    <w:rsid w:val="00E01133"/>
    <w:rsid w:val="00E01148"/>
    <w:rsid w:val="00E01160"/>
    <w:rsid w:val="00E01210"/>
    <w:rsid w:val="00E0122D"/>
    <w:rsid w:val="00E0123A"/>
    <w:rsid w:val="00E01327"/>
    <w:rsid w:val="00E0150C"/>
    <w:rsid w:val="00E01655"/>
    <w:rsid w:val="00E016AE"/>
    <w:rsid w:val="00E01727"/>
    <w:rsid w:val="00E0186B"/>
    <w:rsid w:val="00E01967"/>
    <w:rsid w:val="00E01988"/>
    <w:rsid w:val="00E0199A"/>
    <w:rsid w:val="00E019DF"/>
    <w:rsid w:val="00E01B54"/>
    <w:rsid w:val="00E01CB0"/>
    <w:rsid w:val="00E01D50"/>
    <w:rsid w:val="00E01E7F"/>
    <w:rsid w:val="00E02077"/>
    <w:rsid w:val="00E020F4"/>
    <w:rsid w:val="00E022F7"/>
    <w:rsid w:val="00E02664"/>
    <w:rsid w:val="00E026A9"/>
    <w:rsid w:val="00E02779"/>
    <w:rsid w:val="00E02785"/>
    <w:rsid w:val="00E02795"/>
    <w:rsid w:val="00E0282B"/>
    <w:rsid w:val="00E0284B"/>
    <w:rsid w:val="00E02871"/>
    <w:rsid w:val="00E028FE"/>
    <w:rsid w:val="00E02918"/>
    <w:rsid w:val="00E02922"/>
    <w:rsid w:val="00E02996"/>
    <w:rsid w:val="00E02A34"/>
    <w:rsid w:val="00E02A3F"/>
    <w:rsid w:val="00E02ACD"/>
    <w:rsid w:val="00E02B0E"/>
    <w:rsid w:val="00E02B14"/>
    <w:rsid w:val="00E02B97"/>
    <w:rsid w:val="00E02C14"/>
    <w:rsid w:val="00E02C4D"/>
    <w:rsid w:val="00E02D02"/>
    <w:rsid w:val="00E02D10"/>
    <w:rsid w:val="00E02D2A"/>
    <w:rsid w:val="00E02E85"/>
    <w:rsid w:val="00E02EC6"/>
    <w:rsid w:val="00E02F50"/>
    <w:rsid w:val="00E03068"/>
    <w:rsid w:val="00E031A5"/>
    <w:rsid w:val="00E0320C"/>
    <w:rsid w:val="00E0324F"/>
    <w:rsid w:val="00E032A1"/>
    <w:rsid w:val="00E032B9"/>
    <w:rsid w:val="00E03407"/>
    <w:rsid w:val="00E0341B"/>
    <w:rsid w:val="00E0346A"/>
    <w:rsid w:val="00E0348F"/>
    <w:rsid w:val="00E035A6"/>
    <w:rsid w:val="00E036BD"/>
    <w:rsid w:val="00E037DE"/>
    <w:rsid w:val="00E037ED"/>
    <w:rsid w:val="00E038D7"/>
    <w:rsid w:val="00E038F4"/>
    <w:rsid w:val="00E038F5"/>
    <w:rsid w:val="00E039E9"/>
    <w:rsid w:val="00E03B89"/>
    <w:rsid w:val="00E03BFA"/>
    <w:rsid w:val="00E03C5F"/>
    <w:rsid w:val="00E03CB4"/>
    <w:rsid w:val="00E03D31"/>
    <w:rsid w:val="00E03D67"/>
    <w:rsid w:val="00E03F31"/>
    <w:rsid w:val="00E04022"/>
    <w:rsid w:val="00E040AF"/>
    <w:rsid w:val="00E040C0"/>
    <w:rsid w:val="00E040D6"/>
    <w:rsid w:val="00E04132"/>
    <w:rsid w:val="00E04153"/>
    <w:rsid w:val="00E0417B"/>
    <w:rsid w:val="00E04232"/>
    <w:rsid w:val="00E0424F"/>
    <w:rsid w:val="00E04277"/>
    <w:rsid w:val="00E04404"/>
    <w:rsid w:val="00E04510"/>
    <w:rsid w:val="00E045AC"/>
    <w:rsid w:val="00E045FA"/>
    <w:rsid w:val="00E04661"/>
    <w:rsid w:val="00E046F1"/>
    <w:rsid w:val="00E046FC"/>
    <w:rsid w:val="00E04784"/>
    <w:rsid w:val="00E048BD"/>
    <w:rsid w:val="00E0497A"/>
    <w:rsid w:val="00E049A6"/>
    <w:rsid w:val="00E049EE"/>
    <w:rsid w:val="00E049F8"/>
    <w:rsid w:val="00E04A80"/>
    <w:rsid w:val="00E04A9A"/>
    <w:rsid w:val="00E04ACF"/>
    <w:rsid w:val="00E04B14"/>
    <w:rsid w:val="00E04C8E"/>
    <w:rsid w:val="00E04CD1"/>
    <w:rsid w:val="00E04D33"/>
    <w:rsid w:val="00E04D5A"/>
    <w:rsid w:val="00E04DE3"/>
    <w:rsid w:val="00E04EF1"/>
    <w:rsid w:val="00E04F28"/>
    <w:rsid w:val="00E04F5C"/>
    <w:rsid w:val="00E04F81"/>
    <w:rsid w:val="00E04FBF"/>
    <w:rsid w:val="00E0503A"/>
    <w:rsid w:val="00E05062"/>
    <w:rsid w:val="00E050A0"/>
    <w:rsid w:val="00E05218"/>
    <w:rsid w:val="00E053C3"/>
    <w:rsid w:val="00E05436"/>
    <w:rsid w:val="00E054D4"/>
    <w:rsid w:val="00E05569"/>
    <w:rsid w:val="00E05585"/>
    <w:rsid w:val="00E05597"/>
    <w:rsid w:val="00E056AD"/>
    <w:rsid w:val="00E056D0"/>
    <w:rsid w:val="00E057B8"/>
    <w:rsid w:val="00E057D1"/>
    <w:rsid w:val="00E05830"/>
    <w:rsid w:val="00E05969"/>
    <w:rsid w:val="00E05980"/>
    <w:rsid w:val="00E05A6C"/>
    <w:rsid w:val="00E05BB2"/>
    <w:rsid w:val="00E05C13"/>
    <w:rsid w:val="00E05C23"/>
    <w:rsid w:val="00E05C75"/>
    <w:rsid w:val="00E05CA8"/>
    <w:rsid w:val="00E05EF8"/>
    <w:rsid w:val="00E05F59"/>
    <w:rsid w:val="00E05F61"/>
    <w:rsid w:val="00E05F96"/>
    <w:rsid w:val="00E05FA8"/>
    <w:rsid w:val="00E061CB"/>
    <w:rsid w:val="00E06217"/>
    <w:rsid w:val="00E06256"/>
    <w:rsid w:val="00E062C2"/>
    <w:rsid w:val="00E062E7"/>
    <w:rsid w:val="00E06325"/>
    <w:rsid w:val="00E0632A"/>
    <w:rsid w:val="00E06456"/>
    <w:rsid w:val="00E06535"/>
    <w:rsid w:val="00E0655D"/>
    <w:rsid w:val="00E0658B"/>
    <w:rsid w:val="00E065F5"/>
    <w:rsid w:val="00E066CA"/>
    <w:rsid w:val="00E066DD"/>
    <w:rsid w:val="00E067B8"/>
    <w:rsid w:val="00E0680F"/>
    <w:rsid w:val="00E06821"/>
    <w:rsid w:val="00E06823"/>
    <w:rsid w:val="00E0689E"/>
    <w:rsid w:val="00E068AA"/>
    <w:rsid w:val="00E068CA"/>
    <w:rsid w:val="00E06913"/>
    <w:rsid w:val="00E069ED"/>
    <w:rsid w:val="00E06A63"/>
    <w:rsid w:val="00E06ABE"/>
    <w:rsid w:val="00E06C0F"/>
    <w:rsid w:val="00E06C35"/>
    <w:rsid w:val="00E06C53"/>
    <w:rsid w:val="00E06CC2"/>
    <w:rsid w:val="00E06D50"/>
    <w:rsid w:val="00E06D59"/>
    <w:rsid w:val="00E06DC2"/>
    <w:rsid w:val="00E06DD7"/>
    <w:rsid w:val="00E06DDC"/>
    <w:rsid w:val="00E06DF2"/>
    <w:rsid w:val="00E06EB8"/>
    <w:rsid w:val="00E07126"/>
    <w:rsid w:val="00E072DA"/>
    <w:rsid w:val="00E0733F"/>
    <w:rsid w:val="00E073B5"/>
    <w:rsid w:val="00E07440"/>
    <w:rsid w:val="00E0748E"/>
    <w:rsid w:val="00E0749D"/>
    <w:rsid w:val="00E074A7"/>
    <w:rsid w:val="00E074BC"/>
    <w:rsid w:val="00E074FE"/>
    <w:rsid w:val="00E0752C"/>
    <w:rsid w:val="00E0754D"/>
    <w:rsid w:val="00E0755A"/>
    <w:rsid w:val="00E07641"/>
    <w:rsid w:val="00E0765E"/>
    <w:rsid w:val="00E07693"/>
    <w:rsid w:val="00E076F5"/>
    <w:rsid w:val="00E07734"/>
    <w:rsid w:val="00E0773C"/>
    <w:rsid w:val="00E07870"/>
    <w:rsid w:val="00E078AA"/>
    <w:rsid w:val="00E079CC"/>
    <w:rsid w:val="00E079FC"/>
    <w:rsid w:val="00E07AD9"/>
    <w:rsid w:val="00E07B3F"/>
    <w:rsid w:val="00E07B42"/>
    <w:rsid w:val="00E07C70"/>
    <w:rsid w:val="00E07DD3"/>
    <w:rsid w:val="00E07E7D"/>
    <w:rsid w:val="00E07F5E"/>
    <w:rsid w:val="00E07FD0"/>
    <w:rsid w:val="00E1007E"/>
    <w:rsid w:val="00E100AC"/>
    <w:rsid w:val="00E1013D"/>
    <w:rsid w:val="00E101BE"/>
    <w:rsid w:val="00E101D3"/>
    <w:rsid w:val="00E1024A"/>
    <w:rsid w:val="00E10313"/>
    <w:rsid w:val="00E1031B"/>
    <w:rsid w:val="00E1032F"/>
    <w:rsid w:val="00E10470"/>
    <w:rsid w:val="00E10480"/>
    <w:rsid w:val="00E10575"/>
    <w:rsid w:val="00E1058E"/>
    <w:rsid w:val="00E1068F"/>
    <w:rsid w:val="00E10790"/>
    <w:rsid w:val="00E107B9"/>
    <w:rsid w:val="00E108B8"/>
    <w:rsid w:val="00E10A1B"/>
    <w:rsid w:val="00E10A53"/>
    <w:rsid w:val="00E10B17"/>
    <w:rsid w:val="00E10B67"/>
    <w:rsid w:val="00E10C98"/>
    <w:rsid w:val="00E10CAE"/>
    <w:rsid w:val="00E10D2E"/>
    <w:rsid w:val="00E10D5A"/>
    <w:rsid w:val="00E10D76"/>
    <w:rsid w:val="00E10DAF"/>
    <w:rsid w:val="00E10DD7"/>
    <w:rsid w:val="00E10E05"/>
    <w:rsid w:val="00E10E47"/>
    <w:rsid w:val="00E10EE8"/>
    <w:rsid w:val="00E10EF4"/>
    <w:rsid w:val="00E10FB8"/>
    <w:rsid w:val="00E11089"/>
    <w:rsid w:val="00E110E1"/>
    <w:rsid w:val="00E110E6"/>
    <w:rsid w:val="00E11175"/>
    <w:rsid w:val="00E111C8"/>
    <w:rsid w:val="00E11371"/>
    <w:rsid w:val="00E113F1"/>
    <w:rsid w:val="00E113FD"/>
    <w:rsid w:val="00E1146C"/>
    <w:rsid w:val="00E11532"/>
    <w:rsid w:val="00E11551"/>
    <w:rsid w:val="00E11714"/>
    <w:rsid w:val="00E11724"/>
    <w:rsid w:val="00E11752"/>
    <w:rsid w:val="00E11771"/>
    <w:rsid w:val="00E11A4C"/>
    <w:rsid w:val="00E11BA1"/>
    <w:rsid w:val="00E11C8A"/>
    <w:rsid w:val="00E11C92"/>
    <w:rsid w:val="00E11CE6"/>
    <w:rsid w:val="00E11D25"/>
    <w:rsid w:val="00E11DE4"/>
    <w:rsid w:val="00E11E3E"/>
    <w:rsid w:val="00E11E7F"/>
    <w:rsid w:val="00E11EAB"/>
    <w:rsid w:val="00E12001"/>
    <w:rsid w:val="00E12111"/>
    <w:rsid w:val="00E12120"/>
    <w:rsid w:val="00E12153"/>
    <w:rsid w:val="00E12171"/>
    <w:rsid w:val="00E122EB"/>
    <w:rsid w:val="00E1233C"/>
    <w:rsid w:val="00E12349"/>
    <w:rsid w:val="00E1239E"/>
    <w:rsid w:val="00E124D0"/>
    <w:rsid w:val="00E12503"/>
    <w:rsid w:val="00E125ED"/>
    <w:rsid w:val="00E126C4"/>
    <w:rsid w:val="00E12742"/>
    <w:rsid w:val="00E12788"/>
    <w:rsid w:val="00E1278B"/>
    <w:rsid w:val="00E127B2"/>
    <w:rsid w:val="00E128A7"/>
    <w:rsid w:val="00E128F8"/>
    <w:rsid w:val="00E1291B"/>
    <w:rsid w:val="00E12939"/>
    <w:rsid w:val="00E12972"/>
    <w:rsid w:val="00E12AB9"/>
    <w:rsid w:val="00E12B67"/>
    <w:rsid w:val="00E12BE6"/>
    <w:rsid w:val="00E12C0B"/>
    <w:rsid w:val="00E12C7A"/>
    <w:rsid w:val="00E12D26"/>
    <w:rsid w:val="00E12DCA"/>
    <w:rsid w:val="00E12EF7"/>
    <w:rsid w:val="00E12F30"/>
    <w:rsid w:val="00E12F98"/>
    <w:rsid w:val="00E12FA9"/>
    <w:rsid w:val="00E13071"/>
    <w:rsid w:val="00E13117"/>
    <w:rsid w:val="00E1330C"/>
    <w:rsid w:val="00E13354"/>
    <w:rsid w:val="00E1338D"/>
    <w:rsid w:val="00E134B1"/>
    <w:rsid w:val="00E135F6"/>
    <w:rsid w:val="00E135F7"/>
    <w:rsid w:val="00E13624"/>
    <w:rsid w:val="00E13628"/>
    <w:rsid w:val="00E13664"/>
    <w:rsid w:val="00E13669"/>
    <w:rsid w:val="00E13803"/>
    <w:rsid w:val="00E1384F"/>
    <w:rsid w:val="00E13970"/>
    <w:rsid w:val="00E139C4"/>
    <w:rsid w:val="00E139D7"/>
    <w:rsid w:val="00E13BB1"/>
    <w:rsid w:val="00E13BE8"/>
    <w:rsid w:val="00E13CAE"/>
    <w:rsid w:val="00E13CB8"/>
    <w:rsid w:val="00E13D1D"/>
    <w:rsid w:val="00E13DF8"/>
    <w:rsid w:val="00E13E2E"/>
    <w:rsid w:val="00E13F40"/>
    <w:rsid w:val="00E140F7"/>
    <w:rsid w:val="00E141D3"/>
    <w:rsid w:val="00E1422C"/>
    <w:rsid w:val="00E14260"/>
    <w:rsid w:val="00E142DC"/>
    <w:rsid w:val="00E14328"/>
    <w:rsid w:val="00E14345"/>
    <w:rsid w:val="00E14516"/>
    <w:rsid w:val="00E1456A"/>
    <w:rsid w:val="00E14606"/>
    <w:rsid w:val="00E14638"/>
    <w:rsid w:val="00E14719"/>
    <w:rsid w:val="00E14744"/>
    <w:rsid w:val="00E147FA"/>
    <w:rsid w:val="00E14864"/>
    <w:rsid w:val="00E1487A"/>
    <w:rsid w:val="00E1490D"/>
    <w:rsid w:val="00E14941"/>
    <w:rsid w:val="00E14964"/>
    <w:rsid w:val="00E149B3"/>
    <w:rsid w:val="00E14B58"/>
    <w:rsid w:val="00E14B80"/>
    <w:rsid w:val="00E14BD5"/>
    <w:rsid w:val="00E14C42"/>
    <w:rsid w:val="00E14C6F"/>
    <w:rsid w:val="00E14DC3"/>
    <w:rsid w:val="00E14DE0"/>
    <w:rsid w:val="00E14EFF"/>
    <w:rsid w:val="00E14F1F"/>
    <w:rsid w:val="00E14F5A"/>
    <w:rsid w:val="00E1500A"/>
    <w:rsid w:val="00E15014"/>
    <w:rsid w:val="00E1506A"/>
    <w:rsid w:val="00E150B0"/>
    <w:rsid w:val="00E150F1"/>
    <w:rsid w:val="00E1510F"/>
    <w:rsid w:val="00E1515C"/>
    <w:rsid w:val="00E151B5"/>
    <w:rsid w:val="00E151F4"/>
    <w:rsid w:val="00E15220"/>
    <w:rsid w:val="00E1526B"/>
    <w:rsid w:val="00E1534B"/>
    <w:rsid w:val="00E1537F"/>
    <w:rsid w:val="00E1539C"/>
    <w:rsid w:val="00E153C2"/>
    <w:rsid w:val="00E15408"/>
    <w:rsid w:val="00E15581"/>
    <w:rsid w:val="00E15604"/>
    <w:rsid w:val="00E1560F"/>
    <w:rsid w:val="00E156A4"/>
    <w:rsid w:val="00E15725"/>
    <w:rsid w:val="00E15743"/>
    <w:rsid w:val="00E15806"/>
    <w:rsid w:val="00E1584A"/>
    <w:rsid w:val="00E15866"/>
    <w:rsid w:val="00E15879"/>
    <w:rsid w:val="00E15906"/>
    <w:rsid w:val="00E15944"/>
    <w:rsid w:val="00E15AB7"/>
    <w:rsid w:val="00E15ADF"/>
    <w:rsid w:val="00E15BA8"/>
    <w:rsid w:val="00E15BF6"/>
    <w:rsid w:val="00E15C52"/>
    <w:rsid w:val="00E15C8D"/>
    <w:rsid w:val="00E15D05"/>
    <w:rsid w:val="00E15EDA"/>
    <w:rsid w:val="00E15EF5"/>
    <w:rsid w:val="00E15F0B"/>
    <w:rsid w:val="00E15F1F"/>
    <w:rsid w:val="00E15F6A"/>
    <w:rsid w:val="00E15F8E"/>
    <w:rsid w:val="00E16047"/>
    <w:rsid w:val="00E160E8"/>
    <w:rsid w:val="00E16199"/>
    <w:rsid w:val="00E16281"/>
    <w:rsid w:val="00E162D9"/>
    <w:rsid w:val="00E16311"/>
    <w:rsid w:val="00E1636E"/>
    <w:rsid w:val="00E163ED"/>
    <w:rsid w:val="00E1645C"/>
    <w:rsid w:val="00E16475"/>
    <w:rsid w:val="00E1647D"/>
    <w:rsid w:val="00E1647E"/>
    <w:rsid w:val="00E164CF"/>
    <w:rsid w:val="00E164DC"/>
    <w:rsid w:val="00E16589"/>
    <w:rsid w:val="00E165A7"/>
    <w:rsid w:val="00E165D0"/>
    <w:rsid w:val="00E16680"/>
    <w:rsid w:val="00E166A1"/>
    <w:rsid w:val="00E166E3"/>
    <w:rsid w:val="00E166E4"/>
    <w:rsid w:val="00E16728"/>
    <w:rsid w:val="00E16760"/>
    <w:rsid w:val="00E16765"/>
    <w:rsid w:val="00E16786"/>
    <w:rsid w:val="00E167CC"/>
    <w:rsid w:val="00E167F4"/>
    <w:rsid w:val="00E168FC"/>
    <w:rsid w:val="00E16948"/>
    <w:rsid w:val="00E16AC7"/>
    <w:rsid w:val="00E16ACD"/>
    <w:rsid w:val="00E16B8C"/>
    <w:rsid w:val="00E16B8D"/>
    <w:rsid w:val="00E16B8E"/>
    <w:rsid w:val="00E16BBB"/>
    <w:rsid w:val="00E16CFB"/>
    <w:rsid w:val="00E16D7A"/>
    <w:rsid w:val="00E16EC0"/>
    <w:rsid w:val="00E16FB5"/>
    <w:rsid w:val="00E16FE1"/>
    <w:rsid w:val="00E17010"/>
    <w:rsid w:val="00E17022"/>
    <w:rsid w:val="00E1702C"/>
    <w:rsid w:val="00E17114"/>
    <w:rsid w:val="00E17188"/>
    <w:rsid w:val="00E171F8"/>
    <w:rsid w:val="00E17231"/>
    <w:rsid w:val="00E172F0"/>
    <w:rsid w:val="00E172F2"/>
    <w:rsid w:val="00E173A8"/>
    <w:rsid w:val="00E17432"/>
    <w:rsid w:val="00E17451"/>
    <w:rsid w:val="00E17486"/>
    <w:rsid w:val="00E174B3"/>
    <w:rsid w:val="00E174B4"/>
    <w:rsid w:val="00E174F4"/>
    <w:rsid w:val="00E17539"/>
    <w:rsid w:val="00E1756A"/>
    <w:rsid w:val="00E179A3"/>
    <w:rsid w:val="00E179EA"/>
    <w:rsid w:val="00E17B8E"/>
    <w:rsid w:val="00E17BAC"/>
    <w:rsid w:val="00E17BE5"/>
    <w:rsid w:val="00E17C19"/>
    <w:rsid w:val="00E17C5A"/>
    <w:rsid w:val="00E17C5F"/>
    <w:rsid w:val="00E17CAB"/>
    <w:rsid w:val="00E17CDC"/>
    <w:rsid w:val="00E17D21"/>
    <w:rsid w:val="00E17D34"/>
    <w:rsid w:val="00E17EAB"/>
    <w:rsid w:val="00E2003E"/>
    <w:rsid w:val="00E2006D"/>
    <w:rsid w:val="00E200EA"/>
    <w:rsid w:val="00E2013C"/>
    <w:rsid w:val="00E20148"/>
    <w:rsid w:val="00E20177"/>
    <w:rsid w:val="00E20214"/>
    <w:rsid w:val="00E202C2"/>
    <w:rsid w:val="00E202E2"/>
    <w:rsid w:val="00E20350"/>
    <w:rsid w:val="00E203D8"/>
    <w:rsid w:val="00E20423"/>
    <w:rsid w:val="00E2044B"/>
    <w:rsid w:val="00E2055A"/>
    <w:rsid w:val="00E205E4"/>
    <w:rsid w:val="00E20627"/>
    <w:rsid w:val="00E20631"/>
    <w:rsid w:val="00E20677"/>
    <w:rsid w:val="00E20693"/>
    <w:rsid w:val="00E20710"/>
    <w:rsid w:val="00E20716"/>
    <w:rsid w:val="00E2081F"/>
    <w:rsid w:val="00E20974"/>
    <w:rsid w:val="00E209FC"/>
    <w:rsid w:val="00E20AD5"/>
    <w:rsid w:val="00E20BA5"/>
    <w:rsid w:val="00E20BFB"/>
    <w:rsid w:val="00E20C3B"/>
    <w:rsid w:val="00E20CC5"/>
    <w:rsid w:val="00E20CE2"/>
    <w:rsid w:val="00E20D83"/>
    <w:rsid w:val="00E20DB7"/>
    <w:rsid w:val="00E20E66"/>
    <w:rsid w:val="00E20ECC"/>
    <w:rsid w:val="00E21058"/>
    <w:rsid w:val="00E211BA"/>
    <w:rsid w:val="00E2120B"/>
    <w:rsid w:val="00E21243"/>
    <w:rsid w:val="00E2135F"/>
    <w:rsid w:val="00E21418"/>
    <w:rsid w:val="00E214D0"/>
    <w:rsid w:val="00E21509"/>
    <w:rsid w:val="00E21589"/>
    <w:rsid w:val="00E215E8"/>
    <w:rsid w:val="00E21652"/>
    <w:rsid w:val="00E21670"/>
    <w:rsid w:val="00E21685"/>
    <w:rsid w:val="00E2169B"/>
    <w:rsid w:val="00E216DD"/>
    <w:rsid w:val="00E2174B"/>
    <w:rsid w:val="00E21774"/>
    <w:rsid w:val="00E218C4"/>
    <w:rsid w:val="00E2190E"/>
    <w:rsid w:val="00E219DB"/>
    <w:rsid w:val="00E21A3D"/>
    <w:rsid w:val="00E21ACA"/>
    <w:rsid w:val="00E21B10"/>
    <w:rsid w:val="00E21C97"/>
    <w:rsid w:val="00E21CD4"/>
    <w:rsid w:val="00E21D07"/>
    <w:rsid w:val="00E21D4D"/>
    <w:rsid w:val="00E21F25"/>
    <w:rsid w:val="00E22026"/>
    <w:rsid w:val="00E2204E"/>
    <w:rsid w:val="00E220FC"/>
    <w:rsid w:val="00E2210D"/>
    <w:rsid w:val="00E2216B"/>
    <w:rsid w:val="00E22188"/>
    <w:rsid w:val="00E2225D"/>
    <w:rsid w:val="00E2231F"/>
    <w:rsid w:val="00E223B3"/>
    <w:rsid w:val="00E2240B"/>
    <w:rsid w:val="00E22508"/>
    <w:rsid w:val="00E226E7"/>
    <w:rsid w:val="00E2286A"/>
    <w:rsid w:val="00E22882"/>
    <w:rsid w:val="00E229EB"/>
    <w:rsid w:val="00E22A84"/>
    <w:rsid w:val="00E22ACC"/>
    <w:rsid w:val="00E22B80"/>
    <w:rsid w:val="00E22C0E"/>
    <w:rsid w:val="00E22C6D"/>
    <w:rsid w:val="00E22C9B"/>
    <w:rsid w:val="00E22CCC"/>
    <w:rsid w:val="00E22CFF"/>
    <w:rsid w:val="00E22D7B"/>
    <w:rsid w:val="00E22F06"/>
    <w:rsid w:val="00E22F44"/>
    <w:rsid w:val="00E23063"/>
    <w:rsid w:val="00E230ED"/>
    <w:rsid w:val="00E23100"/>
    <w:rsid w:val="00E231CD"/>
    <w:rsid w:val="00E231E1"/>
    <w:rsid w:val="00E23211"/>
    <w:rsid w:val="00E2323B"/>
    <w:rsid w:val="00E232DD"/>
    <w:rsid w:val="00E23341"/>
    <w:rsid w:val="00E233BF"/>
    <w:rsid w:val="00E233EF"/>
    <w:rsid w:val="00E23404"/>
    <w:rsid w:val="00E23449"/>
    <w:rsid w:val="00E23641"/>
    <w:rsid w:val="00E23666"/>
    <w:rsid w:val="00E23806"/>
    <w:rsid w:val="00E23888"/>
    <w:rsid w:val="00E239DB"/>
    <w:rsid w:val="00E23A72"/>
    <w:rsid w:val="00E23B96"/>
    <w:rsid w:val="00E23B9C"/>
    <w:rsid w:val="00E23C9E"/>
    <w:rsid w:val="00E23CA7"/>
    <w:rsid w:val="00E23CE3"/>
    <w:rsid w:val="00E23CF7"/>
    <w:rsid w:val="00E23D4A"/>
    <w:rsid w:val="00E23E76"/>
    <w:rsid w:val="00E23F1E"/>
    <w:rsid w:val="00E24090"/>
    <w:rsid w:val="00E240C0"/>
    <w:rsid w:val="00E242D4"/>
    <w:rsid w:val="00E243B9"/>
    <w:rsid w:val="00E2441D"/>
    <w:rsid w:val="00E24499"/>
    <w:rsid w:val="00E24542"/>
    <w:rsid w:val="00E246B1"/>
    <w:rsid w:val="00E247FA"/>
    <w:rsid w:val="00E24879"/>
    <w:rsid w:val="00E248D2"/>
    <w:rsid w:val="00E2490B"/>
    <w:rsid w:val="00E2496B"/>
    <w:rsid w:val="00E249AE"/>
    <w:rsid w:val="00E249CB"/>
    <w:rsid w:val="00E249DB"/>
    <w:rsid w:val="00E24B3C"/>
    <w:rsid w:val="00E24C0F"/>
    <w:rsid w:val="00E24C50"/>
    <w:rsid w:val="00E24D6B"/>
    <w:rsid w:val="00E24D78"/>
    <w:rsid w:val="00E24D7A"/>
    <w:rsid w:val="00E24DF8"/>
    <w:rsid w:val="00E24ED6"/>
    <w:rsid w:val="00E25016"/>
    <w:rsid w:val="00E2520E"/>
    <w:rsid w:val="00E25384"/>
    <w:rsid w:val="00E2538E"/>
    <w:rsid w:val="00E253A3"/>
    <w:rsid w:val="00E253C2"/>
    <w:rsid w:val="00E253D4"/>
    <w:rsid w:val="00E253F6"/>
    <w:rsid w:val="00E25402"/>
    <w:rsid w:val="00E254D5"/>
    <w:rsid w:val="00E254E3"/>
    <w:rsid w:val="00E25601"/>
    <w:rsid w:val="00E25610"/>
    <w:rsid w:val="00E256A4"/>
    <w:rsid w:val="00E2571A"/>
    <w:rsid w:val="00E257EC"/>
    <w:rsid w:val="00E25868"/>
    <w:rsid w:val="00E258FC"/>
    <w:rsid w:val="00E25942"/>
    <w:rsid w:val="00E25978"/>
    <w:rsid w:val="00E259B0"/>
    <w:rsid w:val="00E25A40"/>
    <w:rsid w:val="00E25AE6"/>
    <w:rsid w:val="00E25AF8"/>
    <w:rsid w:val="00E25B6F"/>
    <w:rsid w:val="00E25BD6"/>
    <w:rsid w:val="00E25C96"/>
    <w:rsid w:val="00E25E01"/>
    <w:rsid w:val="00E25E43"/>
    <w:rsid w:val="00E25EC2"/>
    <w:rsid w:val="00E25ED7"/>
    <w:rsid w:val="00E25F4A"/>
    <w:rsid w:val="00E25FED"/>
    <w:rsid w:val="00E2601E"/>
    <w:rsid w:val="00E26024"/>
    <w:rsid w:val="00E2607A"/>
    <w:rsid w:val="00E260E9"/>
    <w:rsid w:val="00E261CC"/>
    <w:rsid w:val="00E26282"/>
    <w:rsid w:val="00E26430"/>
    <w:rsid w:val="00E2654F"/>
    <w:rsid w:val="00E265A3"/>
    <w:rsid w:val="00E26740"/>
    <w:rsid w:val="00E26742"/>
    <w:rsid w:val="00E26877"/>
    <w:rsid w:val="00E26916"/>
    <w:rsid w:val="00E26974"/>
    <w:rsid w:val="00E26AEC"/>
    <w:rsid w:val="00E26B5F"/>
    <w:rsid w:val="00E26BCD"/>
    <w:rsid w:val="00E26C0E"/>
    <w:rsid w:val="00E26C9F"/>
    <w:rsid w:val="00E26DAE"/>
    <w:rsid w:val="00E26FFC"/>
    <w:rsid w:val="00E27005"/>
    <w:rsid w:val="00E2714F"/>
    <w:rsid w:val="00E271AB"/>
    <w:rsid w:val="00E2721B"/>
    <w:rsid w:val="00E2727A"/>
    <w:rsid w:val="00E273AB"/>
    <w:rsid w:val="00E273ED"/>
    <w:rsid w:val="00E273FA"/>
    <w:rsid w:val="00E27491"/>
    <w:rsid w:val="00E27528"/>
    <w:rsid w:val="00E2756A"/>
    <w:rsid w:val="00E27573"/>
    <w:rsid w:val="00E2757B"/>
    <w:rsid w:val="00E27643"/>
    <w:rsid w:val="00E27742"/>
    <w:rsid w:val="00E27751"/>
    <w:rsid w:val="00E27766"/>
    <w:rsid w:val="00E2776E"/>
    <w:rsid w:val="00E27793"/>
    <w:rsid w:val="00E278A8"/>
    <w:rsid w:val="00E2792D"/>
    <w:rsid w:val="00E27958"/>
    <w:rsid w:val="00E27A4D"/>
    <w:rsid w:val="00E27B54"/>
    <w:rsid w:val="00E27BE8"/>
    <w:rsid w:val="00E27CBB"/>
    <w:rsid w:val="00E27D13"/>
    <w:rsid w:val="00E27D45"/>
    <w:rsid w:val="00E27D51"/>
    <w:rsid w:val="00E27D90"/>
    <w:rsid w:val="00E27DDA"/>
    <w:rsid w:val="00E27F25"/>
    <w:rsid w:val="00E27F6F"/>
    <w:rsid w:val="00E300CB"/>
    <w:rsid w:val="00E30179"/>
    <w:rsid w:val="00E301AD"/>
    <w:rsid w:val="00E3022D"/>
    <w:rsid w:val="00E30236"/>
    <w:rsid w:val="00E302CF"/>
    <w:rsid w:val="00E302FA"/>
    <w:rsid w:val="00E3033E"/>
    <w:rsid w:val="00E3041D"/>
    <w:rsid w:val="00E304BD"/>
    <w:rsid w:val="00E3054A"/>
    <w:rsid w:val="00E3054F"/>
    <w:rsid w:val="00E305BF"/>
    <w:rsid w:val="00E3062F"/>
    <w:rsid w:val="00E306A0"/>
    <w:rsid w:val="00E306C9"/>
    <w:rsid w:val="00E306E4"/>
    <w:rsid w:val="00E30828"/>
    <w:rsid w:val="00E30952"/>
    <w:rsid w:val="00E3099E"/>
    <w:rsid w:val="00E309BB"/>
    <w:rsid w:val="00E309FA"/>
    <w:rsid w:val="00E30A27"/>
    <w:rsid w:val="00E30A32"/>
    <w:rsid w:val="00E30A3B"/>
    <w:rsid w:val="00E30B13"/>
    <w:rsid w:val="00E30B2F"/>
    <w:rsid w:val="00E30B37"/>
    <w:rsid w:val="00E30BC4"/>
    <w:rsid w:val="00E30C9A"/>
    <w:rsid w:val="00E30D1B"/>
    <w:rsid w:val="00E30E44"/>
    <w:rsid w:val="00E30F62"/>
    <w:rsid w:val="00E30F82"/>
    <w:rsid w:val="00E30F8C"/>
    <w:rsid w:val="00E31043"/>
    <w:rsid w:val="00E31050"/>
    <w:rsid w:val="00E31082"/>
    <w:rsid w:val="00E3109C"/>
    <w:rsid w:val="00E310B4"/>
    <w:rsid w:val="00E3116E"/>
    <w:rsid w:val="00E311D1"/>
    <w:rsid w:val="00E3122E"/>
    <w:rsid w:val="00E31279"/>
    <w:rsid w:val="00E31306"/>
    <w:rsid w:val="00E31405"/>
    <w:rsid w:val="00E31416"/>
    <w:rsid w:val="00E31542"/>
    <w:rsid w:val="00E31577"/>
    <w:rsid w:val="00E315B6"/>
    <w:rsid w:val="00E31749"/>
    <w:rsid w:val="00E317C1"/>
    <w:rsid w:val="00E31899"/>
    <w:rsid w:val="00E318EC"/>
    <w:rsid w:val="00E31A24"/>
    <w:rsid w:val="00E31B54"/>
    <w:rsid w:val="00E31B5C"/>
    <w:rsid w:val="00E31B9D"/>
    <w:rsid w:val="00E31C1B"/>
    <w:rsid w:val="00E31C2D"/>
    <w:rsid w:val="00E31C7D"/>
    <w:rsid w:val="00E31C87"/>
    <w:rsid w:val="00E31C9C"/>
    <w:rsid w:val="00E31CED"/>
    <w:rsid w:val="00E31DC3"/>
    <w:rsid w:val="00E31ED3"/>
    <w:rsid w:val="00E31F11"/>
    <w:rsid w:val="00E31FA5"/>
    <w:rsid w:val="00E32135"/>
    <w:rsid w:val="00E321EB"/>
    <w:rsid w:val="00E32292"/>
    <w:rsid w:val="00E323F7"/>
    <w:rsid w:val="00E32432"/>
    <w:rsid w:val="00E324DF"/>
    <w:rsid w:val="00E326C1"/>
    <w:rsid w:val="00E326D0"/>
    <w:rsid w:val="00E32755"/>
    <w:rsid w:val="00E328A8"/>
    <w:rsid w:val="00E328CB"/>
    <w:rsid w:val="00E3291B"/>
    <w:rsid w:val="00E329D4"/>
    <w:rsid w:val="00E32A5A"/>
    <w:rsid w:val="00E32A60"/>
    <w:rsid w:val="00E32A6E"/>
    <w:rsid w:val="00E32C2F"/>
    <w:rsid w:val="00E32E7D"/>
    <w:rsid w:val="00E32E88"/>
    <w:rsid w:val="00E32FDC"/>
    <w:rsid w:val="00E32FFF"/>
    <w:rsid w:val="00E330B1"/>
    <w:rsid w:val="00E33146"/>
    <w:rsid w:val="00E33174"/>
    <w:rsid w:val="00E33237"/>
    <w:rsid w:val="00E33346"/>
    <w:rsid w:val="00E33389"/>
    <w:rsid w:val="00E333B5"/>
    <w:rsid w:val="00E334AF"/>
    <w:rsid w:val="00E33568"/>
    <w:rsid w:val="00E3358B"/>
    <w:rsid w:val="00E3360F"/>
    <w:rsid w:val="00E3368E"/>
    <w:rsid w:val="00E3374A"/>
    <w:rsid w:val="00E3378C"/>
    <w:rsid w:val="00E33793"/>
    <w:rsid w:val="00E3380E"/>
    <w:rsid w:val="00E33818"/>
    <w:rsid w:val="00E33875"/>
    <w:rsid w:val="00E33886"/>
    <w:rsid w:val="00E338B6"/>
    <w:rsid w:val="00E338FA"/>
    <w:rsid w:val="00E33ABF"/>
    <w:rsid w:val="00E33B1E"/>
    <w:rsid w:val="00E33BF4"/>
    <w:rsid w:val="00E33D07"/>
    <w:rsid w:val="00E33D52"/>
    <w:rsid w:val="00E33EB7"/>
    <w:rsid w:val="00E33EBD"/>
    <w:rsid w:val="00E33EFF"/>
    <w:rsid w:val="00E33F5E"/>
    <w:rsid w:val="00E34034"/>
    <w:rsid w:val="00E3407F"/>
    <w:rsid w:val="00E3410A"/>
    <w:rsid w:val="00E34145"/>
    <w:rsid w:val="00E341FB"/>
    <w:rsid w:val="00E3422F"/>
    <w:rsid w:val="00E3423B"/>
    <w:rsid w:val="00E34266"/>
    <w:rsid w:val="00E34277"/>
    <w:rsid w:val="00E34296"/>
    <w:rsid w:val="00E343F3"/>
    <w:rsid w:val="00E34440"/>
    <w:rsid w:val="00E3455A"/>
    <w:rsid w:val="00E3475A"/>
    <w:rsid w:val="00E347C7"/>
    <w:rsid w:val="00E347D5"/>
    <w:rsid w:val="00E34864"/>
    <w:rsid w:val="00E348E1"/>
    <w:rsid w:val="00E348FB"/>
    <w:rsid w:val="00E348FC"/>
    <w:rsid w:val="00E3494C"/>
    <w:rsid w:val="00E34A47"/>
    <w:rsid w:val="00E34A77"/>
    <w:rsid w:val="00E34ABF"/>
    <w:rsid w:val="00E34BD4"/>
    <w:rsid w:val="00E34C50"/>
    <w:rsid w:val="00E34C62"/>
    <w:rsid w:val="00E34CE9"/>
    <w:rsid w:val="00E34DD6"/>
    <w:rsid w:val="00E34DEE"/>
    <w:rsid w:val="00E34E5D"/>
    <w:rsid w:val="00E34EBB"/>
    <w:rsid w:val="00E34FDE"/>
    <w:rsid w:val="00E34FFC"/>
    <w:rsid w:val="00E3529F"/>
    <w:rsid w:val="00E352BE"/>
    <w:rsid w:val="00E3549B"/>
    <w:rsid w:val="00E3551B"/>
    <w:rsid w:val="00E35634"/>
    <w:rsid w:val="00E3568F"/>
    <w:rsid w:val="00E356AE"/>
    <w:rsid w:val="00E35719"/>
    <w:rsid w:val="00E357BA"/>
    <w:rsid w:val="00E359CA"/>
    <w:rsid w:val="00E359F4"/>
    <w:rsid w:val="00E35A35"/>
    <w:rsid w:val="00E35A4D"/>
    <w:rsid w:val="00E35AC7"/>
    <w:rsid w:val="00E35B68"/>
    <w:rsid w:val="00E35CEA"/>
    <w:rsid w:val="00E35DA3"/>
    <w:rsid w:val="00E35E9C"/>
    <w:rsid w:val="00E35EB1"/>
    <w:rsid w:val="00E35EFF"/>
    <w:rsid w:val="00E35FB8"/>
    <w:rsid w:val="00E36079"/>
    <w:rsid w:val="00E36186"/>
    <w:rsid w:val="00E361F6"/>
    <w:rsid w:val="00E3621B"/>
    <w:rsid w:val="00E3626F"/>
    <w:rsid w:val="00E3627A"/>
    <w:rsid w:val="00E3637B"/>
    <w:rsid w:val="00E363CC"/>
    <w:rsid w:val="00E363F7"/>
    <w:rsid w:val="00E3644D"/>
    <w:rsid w:val="00E36487"/>
    <w:rsid w:val="00E36489"/>
    <w:rsid w:val="00E364D1"/>
    <w:rsid w:val="00E3657E"/>
    <w:rsid w:val="00E36593"/>
    <w:rsid w:val="00E3669B"/>
    <w:rsid w:val="00E366BE"/>
    <w:rsid w:val="00E36842"/>
    <w:rsid w:val="00E368D2"/>
    <w:rsid w:val="00E3693C"/>
    <w:rsid w:val="00E36943"/>
    <w:rsid w:val="00E3696A"/>
    <w:rsid w:val="00E369CD"/>
    <w:rsid w:val="00E36A7A"/>
    <w:rsid w:val="00E36AA3"/>
    <w:rsid w:val="00E36B8F"/>
    <w:rsid w:val="00E36BAF"/>
    <w:rsid w:val="00E36BCA"/>
    <w:rsid w:val="00E36C11"/>
    <w:rsid w:val="00E36CD7"/>
    <w:rsid w:val="00E36D2B"/>
    <w:rsid w:val="00E36E56"/>
    <w:rsid w:val="00E36EB1"/>
    <w:rsid w:val="00E36EB6"/>
    <w:rsid w:val="00E36F08"/>
    <w:rsid w:val="00E36F43"/>
    <w:rsid w:val="00E36FFF"/>
    <w:rsid w:val="00E3701F"/>
    <w:rsid w:val="00E370CC"/>
    <w:rsid w:val="00E370EF"/>
    <w:rsid w:val="00E371C7"/>
    <w:rsid w:val="00E371F1"/>
    <w:rsid w:val="00E37221"/>
    <w:rsid w:val="00E3722B"/>
    <w:rsid w:val="00E372A9"/>
    <w:rsid w:val="00E373DF"/>
    <w:rsid w:val="00E37438"/>
    <w:rsid w:val="00E37508"/>
    <w:rsid w:val="00E37635"/>
    <w:rsid w:val="00E37658"/>
    <w:rsid w:val="00E37680"/>
    <w:rsid w:val="00E3777D"/>
    <w:rsid w:val="00E3788A"/>
    <w:rsid w:val="00E37894"/>
    <w:rsid w:val="00E3792E"/>
    <w:rsid w:val="00E37A33"/>
    <w:rsid w:val="00E37A7B"/>
    <w:rsid w:val="00E37BF2"/>
    <w:rsid w:val="00E37C36"/>
    <w:rsid w:val="00E37D66"/>
    <w:rsid w:val="00E37E53"/>
    <w:rsid w:val="00E37F0C"/>
    <w:rsid w:val="00E37F9D"/>
    <w:rsid w:val="00E40042"/>
    <w:rsid w:val="00E4012F"/>
    <w:rsid w:val="00E401AE"/>
    <w:rsid w:val="00E40287"/>
    <w:rsid w:val="00E403EB"/>
    <w:rsid w:val="00E40471"/>
    <w:rsid w:val="00E40593"/>
    <w:rsid w:val="00E4061A"/>
    <w:rsid w:val="00E4065F"/>
    <w:rsid w:val="00E40729"/>
    <w:rsid w:val="00E40822"/>
    <w:rsid w:val="00E40A4E"/>
    <w:rsid w:val="00E40ADF"/>
    <w:rsid w:val="00E40B25"/>
    <w:rsid w:val="00E40B6D"/>
    <w:rsid w:val="00E40BDC"/>
    <w:rsid w:val="00E40C5A"/>
    <w:rsid w:val="00E40CE5"/>
    <w:rsid w:val="00E40D00"/>
    <w:rsid w:val="00E40D16"/>
    <w:rsid w:val="00E40E12"/>
    <w:rsid w:val="00E40E74"/>
    <w:rsid w:val="00E40E8C"/>
    <w:rsid w:val="00E40EB8"/>
    <w:rsid w:val="00E40ED5"/>
    <w:rsid w:val="00E40F20"/>
    <w:rsid w:val="00E40FAB"/>
    <w:rsid w:val="00E41023"/>
    <w:rsid w:val="00E41064"/>
    <w:rsid w:val="00E41149"/>
    <w:rsid w:val="00E4116E"/>
    <w:rsid w:val="00E4118E"/>
    <w:rsid w:val="00E4123F"/>
    <w:rsid w:val="00E41348"/>
    <w:rsid w:val="00E413CA"/>
    <w:rsid w:val="00E414BF"/>
    <w:rsid w:val="00E41536"/>
    <w:rsid w:val="00E41595"/>
    <w:rsid w:val="00E415DB"/>
    <w:rsid w:val="00E41622"/>
    <w:rsid w:val="00E416A7"/>
    <w:rsid w:val="00E416B0"/>
    <w:rsid w:val="00E416DD"/>
    <w:rsid w:val="00E416E6"/>
    <w:rsid w:val="00E4176D"/>
    <w:rsid w:val="00E41798"/>
    <w:rsid w:val="00E41815"/>
    <w:rsid w:val="00E41836"/>
    <w:rsid w:val="00E418E3"/>
    <w:rsid w:val="00E41942"/>
    <w:rsid w:val="00E41A18"/>
    <w:rsid w:val="00E41B33"/>
    <w:rsid w:val="00E41B3A"/>
    <w:rsid w:val="00E41B51"/>
    <w:rsid w:val="00E41B74"/>
    <w:rsid w:val="00E41BCE"/>
    <w:rsid w:val="00E41C3B"/>
    <w:rsid w:val="00E41D5B"/>
    <w:rsid w:val="00E41D8B"/>
    <w:rsid w:val="00E41F40"/>
    <w:rsid w:val="00E41FEC"/>
    <w:rsid w:val="00E42085"/>
    <w:rsid w:val="00E4209B"/>
    <w:rsid w:val="00E420D7"/>
    <w:rsid w:val="00E4211A"/>
    <w:rsid w:val="00E42259"/>
    <w:rsid w:val="00E4227C"/>
    <w:rsid w:val="00E42299"/>
    <w:rsid w:val="00E422A5"/>
    <w:rsid w:val="00E422C4"/>
    <w:rsid w:val="00E42326"/>
    <w:rsid w:val="00E423B6"/>
    <w:rsid w:val="00E423D8"/>
    <w:rsid w:val="00E423DE"/>
    <w:rsid w:val="00E42402"/>
    <w:rsid w:val="00E425E6"/>
    <w:rsid w:val="00E42607"/>
    <w:rsid w:val="00E427FF"/>
    <w:rsid w:val="00E42859"/>
    <w:rsid w:val="00E42898"/>
    <w:rsid w:val="00E42A1A"/>
    <w:rsid w:val="00E42A8F"/>
    <w:rsid w:val="00E42B29"/>
    <w:rsid w:val="00E42B54"/>
    <w:rsid w:val="00E42B7D"/>
    <w:rsid w:val="00E42C3C"/>
    <w:rsid w:val="00E42DE4"/>
    <w:rsid w:val="00E42E7E"/>
    <w:rsid w:val="00E42EE8"/>
    <w:rsid w:val="00E42F07"/>
    <w:rsid w:val="00E43053"/>
    <w:rsid w:val="00E430D1"/>
    <w:rsid w:val="00E431A5"/>
    <w:rsid w:val="00E4323A"/>
    <w:rsid w:val="00E4327E"/>
    <w:rsid w:val="00E432A9"/>
    <w:rsid w:val="00E432AD"/>
    <w:rsid w:val="00E432F3"/>
    <w:rsid w:val="00E4340F"/>
    <w:rsid w:val="00E4354C"/>
    <w:rsid w:val="00E43553"/>
    <w:rsid w:val="00E4361B"/>
    <w:rsid w:val="00E43704"/>
    <w:rsid w:val="00E4370F"/>
    <w:rsid w:val="00E438B0"/>
    <w:rsid w:val="00E43955"/>
    <w:rsid w:val="00E43AA9"/>
    <w:rsid w:val="00E43AF0"/>
    <w:rsid w:val="00E43B49"/>
    <w:rsid w:val="00E43C5D"/>
    <w:rsid w:val="00E43C70"/>
    <w:rsid w:val="00E43C72"/>
    <w:rsid w:val="00E43CDD"/>
    <w:rsid w:val="00E43CF6"/>
    <w:rsid w:val="00E43D99"/>
    <w:rsid w:val="00E43E3A"/>
    <w:rsid w:val="00E43EB4"/>
    <w:rsid w:val="00E43EF6"/>
    <w:rsid w:val="00E44086"/>
    <w:rsid w:val="00E440C8"/>
    <w:rsid w:val="00E44117"/>
    <w:rsid w:val="00E44165"/>
    <w:rsid w:val="00E44182"/>
    <w:rsid w:val="00E441B7"/>
    <w:rsid w:val="00E44209"/>
    <w:rsid w:val="00E4441D"/>
    <w:rsid w:val="00E4457D"/>
    <w:rsid w:val="00E446A4"/>
    <w:rsid w:val="00E446E7"/>
    <w:rsid w:val="00E44745"/>
    <w:rsid w:val="00E447EA"/>
    <w:rsid w:val="00E44841"/>
    <w:rsid w:val="00E4495C"/>
    <w:rsid w:val="00E44995"/>
    <w:rsid w:val="00E4499D"/>
    <w:rsid w:val="00E449C7"/>
    <w:rsid w:val="00E44AB9"/>
    <w:rsid w:val="00E44B3E"/>
    <w:rsid w:val="00E44BDB"/>
    <w:rsid w:val="00E44C26"/>
    <w:rsid w:val="00E44C4E"/>
    <w:rsid w:val="00E44CA4"/>
    <w:rsid w:val="00E44DD5"/>
    <w:rsid w:val="00E45123"/>
    <w:rsid w:val="00E4518E"/>
    <w:rsid w:val="00E45195"/>
    <w:rsid w:val="00E4519F"/>
    <w:rsid w:val="00E45217"/>
    <w:rsid w:val="00E452E9"/>
    <w:rsid w:val="00E452F6"/>
    <w:rsid w:val="00E452FC"/>
    <w:rsid w:val="00E4533E"/>
    <w:rsid w:val="00E453AB"/>
    <w:rsid w:val="00E453FD"/>
    <w:rsid w:val="00E45468"/>
    <w:rsid w:val="00E4552B"/>
    <w:rsid w:val="00E455E2"/>
    <w:rsid w:val="00E456A5"/>
    <w:rsid w:val="00E456F3"/>
    <w:rsid w:val="00E45755"/>
    <w:rsid w:val="00E4580F"/>
    <w:rsid w:val="00E45942"/>
    <w:rsid w:val="00E45A15"/>
    <w:rsid w:val="00E45A9F"/>
    <w:rsid w:val="00E45AB3"/>
    <w:rsid w:val="00E45AE1"/>
    <w:rsid w:val="00E45B43"/>
    <w:rsid w:val="00E45B6E"/>
    <w:rsid w:val="00E45C18"/>
    <w:rsid w:val="00E45D96"/>
    <w:rsid w:val="00E45DF9"/>
    <w:rsid w:val="00E45EC6"/>
    <w:rsid w:val="00E45F3F"/>
    <w:rsid w:val="00E45FC5"/>
    <w:rsid w:val="00E46036"/>
    <w:rsid w:val="00E46042"/>
    <w:rsid w:val="00E460E3"/>
    <w:rsid w:val="00E46186"/>
    <w:rsid w:val="00E46222"/>
    <w:rsid w:val="00E462E6"/>
    <w:rsid w:val="00E462FE"/>
    <w:rsid w:val="00E46312"/>
    <w:rsid w:val="00E46386"/>
    <w:rsid w:val="00E463A0"/>
    <w:rsid w:val="00E463C3"/>
    <w:rsid w:val="00E463C5"/>
    <w:rsid w:val="00E465CE"/>
    <w:rsid w:val="00E46652"/>
    <w:rsid w:val="00E466B5"/>
    <w:rsid w:val="00E46850"/>
    <w:rsid w:val="00E46A5E"/>
    <w:rsid w:val="00E46A7B"/>
    <w:rsid w:val="00E46AC2"/>
    <w:rsid w:val="00E46AED"/>
    <w:rsid w:val="00E46C18"/>
    <w:rsid w:val="00E46C5D"/>
    <w:rsid w:val="00E46DF7"/>
    <w:rsid w:val="00E46E21"/>
    <w:rsid w:val="00E46E56"/>
    <w:rsid w:val="00E46ECA"/>
    <w:rsid w:val="00E46F10"/>
    <w:rsid w:val="00E46F20"/>
    <w:rsid w:val="00E46F69"/>
    <w:rsid w:val="00E46FE3"/>
    <w:rsid w:val="00E47007"/>
    <w:rsid w:val="00E47096"/>
    <w:rsid w:val="00E470B7"/>
    <w:rsid w:val="00E47261"/>
    <w:rsid w:val="00E4737D"/>
    <w:rsid w:val="00E47399"/>
    <w:rsid w:val="00E4739B"/>
    <w:rsid w:val="00E473CE"/>
    <w:rsid w:val="00E47501"/>
    <w:rsid w:val="00E4766B"/>
    <w:rsid w:val="00E4774F"/>
    <w:rsid w:val="00E47839"/>
    <w:rsid w:val="00E478CF"/>
    <w:rsid w:val="00E478FD"/>
    <w:rsid w:val="00E47948"/>
    <w:rsid w:val="00E47949"/>
    <w:rsid w:val="00E47983"/>
    <w:rsid w:val="00E479E7"/>
    <w:rsid w:val="00E47A37"/>
    <w:rsid w:val="00E47B86"/>
    <w:rsid w:val="00E47C23"/>
    <w:rsid w:val="00E47D85"/>
    <w:rsid w:val="00E47D9D"/>
    <w:rsid w:val="00E47DC0"/>
    <w:rsid w:val="00E47E2D"/>
    <w:rsid w:val="00E47E5F"/>
    <w:rsid w:val="00E47EC0"/>
    <w:rsid w:val="00E47EF3"/>
    <w:rsid w:val="00E47F66"/>
    <w:rsid w:val="00E50187"/>
    <w:rsid w:val="00E5020F"/>
    <w:rsid w:val="00E50243"/>
    <w:rsid w:val="00E5027D"/>
    <w:rsid w:val="00E50334"/>
    <w:rsid w:val="00E505E5"/>
    <w:rsid w:val="00E506BA"/>
    <w:rsid w:val="00E50723"/>
    <w:rsid w:val="00E50755"/>
    <w:rsid w:val="00E507CF"/>
    <w:rsid w:val="00E5081E"/>
    <w:rsid w:val="00E508B5"/>
    <w:rsid w:val="00E508CA"/>
    <w:rsid w:val="00E508D1"/>
    <w:rsid w:val="00E509BC"/>
    <w:rsid w:val="00E509C5"/>
    <w:rsid w:val="00E509DF"/>
    <w:rsid w:val="00E50ADB"/>
    <w:rsid w:val="00E50B85"/>
    <w:rsid w:val="00E50BA7"/>
    <w:rsid w:val="00E50BAA"/>
    <w:rsid w:val="00E50C12"/>
    <w:rsid w:val="00E50C1A"/>
    <w:rsid w:val="00E50C8B"/>
    <w:rsid w:val="00E50D0B"/>
    <w:rsid w:val="00E50E8A"/>
    <w:rsid w:val="00E50EA6"/>
    <w:rsid w:val="00E50EC9"/>
    <w:rsid w:val="00E50FEF"/>
    <w:rsid w:val="00E5100B"/>
    <w:rsid w:val="00E51119"/>
    <w:rsid w:val="00E51264"/>
    <w:rsid w:val="00E512A3"/>
    <w:rsid w:val="00E5135B"/>
    <w:rsid w:val="00E5141B"/>
    <w:rsid w:val="00E5144D"/>
    <w:rsid w:val="00E51489"/>
    <w:rsid w:val="00E51521"/>
    <w:rsid w:val="00E51528"/>
    <w:rsid w:val="00E51582"/>
    <w:rsid w:val="00E515A6"/>
    <w:rsid w:val="00E516D1"/>
    <w:rsid w:val="00E516E0"/>
    <w:rsid w:val="00E51715"/>
    <w:rsid w:val="00E51764"/>
    <w:rsid w:val="00E517B5"/>
    <w:rsid w:val="00E517D2"/>
    <w:rsid w:val="00E51817"/>
    <w:rsid w:val="00E5187D"/>
    <w:rsid w:val="00E518BD"/>
    <w:rsid w:val="00E5198C"/>
    <w:rsid w:val="00E519DE"/>
    <w:rsid w:val="00E519EC"/>
    <w:rsid w:val="00E51A73"/>
    <w:rsid w:val="00E51A7C"/>
    <w:rsid w:val="00E51B28"/>
    <w:rsid w:val="00E51B34"/>
    <w:rsid w:val="00E51BD8"/>
    <w:rsid w:val="00E51C17"/>
    <w:rsid w:val="00E51C75"/>
    <w:rsid w:val="00E51C79"/>
    <w:rsid w:val="00E51CC9"/>
    <w:rsid w:val="00E51CDE"/>
    <w:rsid w:val="00E51CE5"/>
    <w:rsid w:val="00E51CF9"/>
    <w:rsid w:val="00E51DCA"/>
    <w:rsid w:val="00E51DCB"/>
    <w:rsid w:val="00E51DE0"/>
    <w:rsid w:val="00E51E20"/>
    <w:rsid w:val="00E51F06"/>
    <w:rsid w:val="00E51F40"/>
    <w:rsid w:val="00E51F4F"/>
    <w:rsid w:val="00E51FF2"/>
    <w:rsid w:val="00E520F0"/>
    <w:rsid w:val="00E5210B"/>
    <w:rsid w:val="00E52175"/>
    <w:rsid w:val="00E52176"/>
    <w:rsid w:val="00E521D4"/>
    <w:rsid w:val="00E5223A"/>
    <w:rsid w:val="00E522F4"/>
    <w:rsid w:val="00E52316"/>
    <w:rsid w:val="00E523DF"/>
    <w:rsid w:val="00E524E0"/>
    <w:rsid w:val="00E5261D"/>
    <w:rsid w:val="00E52667"/>
    <w:rsid w:val="00E52792"/>
    <w:rsid w:val="00E527B1"/>
    <w:rsid w:val="00E52836"/>
    <w:rsid w:val="00E5289E"/>
    <w:rsid w:val="00E529D1"/>
    <w:rsid w:val="00E52A1C"/>
    <w:rsid w:val="00E52AA8"/>
    <w:rsid w:val="00E52B18"/>
    <w:rsid w:val="00E52BA2"/>
    <w:rsid w:val="00E52C4D"/>
    <w:rsid w:val="00E52CD5"/>
    <w:rsid w:val="00E52D4B"/>
    <w:rsid w:val="00E52DAC"/>
    <w:rsid w:val="00E52DF7"/>
    <w:rsid w:val="00E52E47"/>
    <w:rsid w:val="00E52E7A"/>
    <w:rsid w:val="00E52E8B"/>
    <w:rsid w:val="00E52E92"/>
    <w:rsid w:val="00E52E9A"/>
    <w:rsid w:val="00E52ED2"/>
    <w:rsid w:val="00E52EFA"/>
    <w:rsid w:val="00E52F8F"/>
    <w:rsid w:val="00E52F97"/>
    <w:rsid w:val="00E52FDE"/>
    <w:rsid w:val="00E5309D"/>
    <w:rsid w:val="00E5329E"/>
    <w:rsid w:val="00E5332B"/>
    <w:rsid w:val="00E53381"/>
    <w:rsid w:val="00E533F4"/>
    <w:rsid w:val="00E534B9"/>
    <w:rsid w:val="00E534CA"/>
    <w:rsid w:val="00E53542"/>
    <w:rsid w:val="00E535EB"/>
    <w:rsid w:val="00E53631"/>
    <w:rsid w:val="00E5367E"/>
    <w:rsid w:val="00E53766"/>
    <w:rsid w:val="00E537E8"/>
    <w:rsid w:val="00E53832"/>
    <w:rsid w:val="00E5388F"/>
    <w:rsid w:val="00E539C3"/>
    <w:rsid w:val="00E539D5"/>
    <w:rsid w:val="00E53A3A"/>
    <w:rsid w:val="00E53AC2"/>
    <w:rsid w:val="00E53B6F"/>
    <w:rsid w:val="00E53BC8"/>
    <w:rsid w:val="00E53CF5"/>
    <w:rsid w:val="00E53D10"/>
    <w:rsid w:val="00E53D6D"/>
    <w:rsid w:val="00E53D75"/>
    <w:rsid w:val="00E53D7D"/>
    <w:rsid w:val="00E53DD2"/>
    <w:rsid w:val="00E53E24"/>
    <w:rsid w:val="00E53FCC"/>
    <w:rsid w:val="00E54032"/>
    <w:rsid w:val="00E540C5"/>
    <w:rsid w:val="00E54178"/>
    <w:rsid w:val="00E54212"/>
    <w:rsid w:val="00E54239"/>
    <w:rsid w:val="00E54272"/>
    <w:rsid w:val="00E54299"/>
    <w:rsid w:val="00E542BC"/>
    <w:rsid w:val="00E54419"/>
    <w:rsid w:val="00E54475"/>
    <w:rsid w:val="00E5447C"/>
    <w:rsid w:val="00E544A9"/>
    <w:rsid w:val="00E544C6"/>
    <w:rsid w:val="00E54521"/>
    <w:rsid w:val="00E545FE"/>
    <w:rsid w:val="00E54617"/>
    <w:rsid w:val="00E5463A"/>
    <w:rsid w:val="00E54663"/>
    <w:rsid w:val="00E54670"/>
    <w:rsid w:val="00E546D3"/>
    <w:rsid w:val="00E546D5"/>
    <w:rsid w:val="00E5472E"/>
    <w:rsid w:val="00E54786"/>
    <w:rsid w:val="00E547C6"/>
    <w:rsid w:val="00E54830"/>
    <w:rsid w:val="00E5484B"/>
    <w:rsid w:val="00E54911"/>
    <w:rsid w:val="00E5491A"/>
    <w:rsid w:val="00E5495A"/>
    <w:rsid w:val="00E54971"/>
    <w:rsid w:val="00E54978"/>
    <w:rsid w:val="00E54A11"/>
    <w:rsid w:val="00E54A2F"/>
    <w:rsid w:val="00E54AFC"/>
    <w:rsid w:val="00E54D31"/>
    <w:rsid w:val="00E54D86"/>
    <w:rsid w:val="00E54E66"/>
    <w:rsid w:val="00E54E76"/>
    <w:rsid w:val="00E54EC1"/>
    <w:rsid w:val="00E54EF6"/>
    <w:rsid w:val="00E54FB8"/>
    <w:rsid w:val="00E55044"/>
    <w:rsid w:val="00E5504D"/>
    <w:rsid w:val="00E550B6"/>
    <w:rsid w:val="00E550E3"/>
    <w:rsid w:val="00E55164"/>
    <w:rsid w:val="00E5518E"/>
    <w:rsid w:val="00E552C5"/>
    <w:rsid w:val="00E5545F"/>
    <w:rsid w:val="00E554A9"/>
    <w:rsid w:val="00E554B9"/>
    <w:rsid w:val="00E554D3"/>
    <w:rsid w:val="00E554DC"/>
    <w:rsid w:val="00E5555D"/>
    <w:rsid w:val="00E5560B"/>
    <w:rsid w:val="00E556D3"/>
    <w:rsid w:val="00E556DC"/>
    <w:rsid w:val="00E5575C"/>
    <w:rsid w:val="00E5578B"/>
    <w:rsid w:val="00E559C0"/>
    <w:rsid w:val="00E559F5"/>
    <w:rsid w:val="00E55A17"/>
    <w:rsid w:val="00E55A3C"/>
    <w:rsid w:val="00E55A7A"/>
    <w:rsid w:val="00E55A8A"/>
    <w:rsid w:val="00E55D3C"/>
    <w:rsid w:val="00E55F46"/>
    <w:rsid w:val="00E55FA0"/>
    <w:rsid w:val="00E56023"/>
    <w:rsid w:val="00E56035"/>
    <w:rsid w:val="00E56083"/>
    <w:rsid w:val="00E56087"/>
    <w:rsid w:val="00E560A1"/>
    <w:rsid w:val="00E561F9"/>
    <w:rsid w:val="00E562CE"/>
    <w:rsid w:val="00E5643D"/>
    <w:rsid w:val="00E56461"/>
    <w:rsid w:val="00E564CC"/>
    <w:rsid w:val="00E565C2"/>
    <w:rsid w:val="00E565FE"/>
    <w:rsid w:val="00E566A4"/>
    <w:rsid w:val="00E567CB"/>
    <w:rsid w:val="00E567F0"/>
    <w:rsid w:val="00E56801"/>
    <w:rsid w:val="00E56855"/>
    <w:rsid w:val="00E5690A"/>
    <w:rsid w:val="00E56911"/>
    <w:rsid w:val="00E5692B"/>
    <w:rsid w:val="00E56953"/>
    <w:rsid w:val="00E569D0"/>
    <w:rsid w:val="00E569F3"/>
    <w:rsid w:val="00E56A1E"/>
    <w:rsid w:val="00E56AFC"/>
    <w:rsid w:val="00E56B19"/>
    <w:rsid w:val="00E56B73"/>
    <w:rsid w:val="00E56BDD"/>
    <w:rsid w:val="00E56C14"/>
    <w:rsid w:val="00E56D6E"/>
    <w:rsid w:val="00E56E46"/>
    <w:rsid w:val="00E56F7B"/>
    <w:rsid w:val="00E56F7F"/>
    <w:rsid w:val="00E56FEF"/>
    <w:rsid w:val="00E5709D"/>
    <w:rsid w:val="00E570EB"/>
    <w:rsid w:val="00E57183"/>
    <w:rsid w:val="00E57237"/>
    <w:rsid w:val="00E5727F"/>
    <w:rsid w:val="00E57357"/>
    <w:rsid w:val="00E573D6"/>
    <w:rsid w:val="00E57460"/>
    <w:rsid w:val="00E575C8"/>
    <w:rsid w:val="00E575C9"/>
    <w:rsid w:val="00E57631"/>
    <w:rsid w:val="00E577CF"/>
    <w:rsid w:val="00E577D9"/>
    <w:rsid w:val="00E577F9"/>
    <w:rsid w:val="00E5780E"/>
    <w:rsid w:val="00E578B2"/>
    <w:rsid w:val="00E57A1F"/>
    <w:rsid w:val="00E57C13"/>
    <w:rsid w:val="00E57E0F"/>
    <w:rsid w:val="00E57E73"/>
    <w:rsid w:val="00E57E75"/>
    <w:rsid w:val="00E57EA8"/>
    <w:rsid w:val="00E57F71"/>
    <w:rsid w:val="00E57FB5"/>
    <w:rsid w:val="00E57FC3"/>
    <w:rsid w:val="00E5C21A"/>
    <w:rsid w:val="00E600E3"/>
    <w:rsid w:val="00E60112"/>
    <w:rsid w:val="00E6011C"/>
    <w:rsid w:val="00E602C2"/>
    <w:rsid w:val="00E60319"/>
    <w:rsid w:val="00E6035D"/>
    <w:rsid w:val="00E60360"/>
    <w:rsid w:val="00E6041A"/>
    <w:rsid w:val="00E606F6"/>
    <w:rsid w:val="00E606FE"/>
    <w:rsid w:val="00E60706"/>
    <w:rsid w:val="00E6072C"/>
    <w:rsid w:val="00E60918"/>
    <w:rsid w:val="00E60A55"/>
    <w:rsid w:val="00E60AE3"/>
    <w:rsid w:val="00E60AEA"/>
    <w:rsid w:val="00E60B28"/>
    <w:rsid w:val="00E60B77"/>
    <w:rsid w:val="00E60CFA"/>
    <w:rsid w:val="00E60D0C"/>
    <w:rsid w:val="00E60DAB"/>
    <w:rsid w:val="00E60DC3"/>
    <w:rsid w:val="00E60E53"/>
    <w:rsid w:val="00E60EE9"/>
    <w:rsid w:val="00E60F14"/>
    <w:rsid w:val="00E611EF"/>
    <w:rsid w:val="00E61264"/>
    <w:rsid w:val="00E6132E"/>
    <w:rsid w:val="00E61384"/>
    <w:rsid w:val="00E6148E"/>
    <w:rsid w:val="00E61560"/>
    <w:rsid w:val="00E61561"/>
    <w:rsid w:val="00E61594"/>
    <w:rsid w:val="00E6168C"/>
    <w:rsid w:val="00E616BE"/>
    <w:rsid w:val="00E616BF"/>
    <w:rsid w:val="00E616F9"/>
    <w:rsid w:val="00E6184D"/>
    <w:rsid w:val="00E618FA"/>
    <w:rsid w:val="00E61A72"/>
    <w:rsid w:val="00E61A8D"/>
    <w:rsid w:val="00E61B23"/>
    <w:rsid w:val="00E61C81"/>
    <w:rsid w:val="00E61D79"/>
    <w:rsid w:val="00E61DF8"/>
    <w:rsid w:val="00E61E82"/>
    <w:rsid w:val="00E61EBB"/>
    <w:rsid w:val="00E61ED0"/>
    <w:rsid w:val="00E61F5F"/>
    <w:rsid w:val="00E61F89"/>
    <w:rsid w:val="00E61FEA"/>
    <w:rsid w:val="00E61FF8"/>
    <w:rsid w:val="00E61FFB"/>
    <w:rsid w:val="00E6201B"/>
    <w:rsid w:val="00E620A3"/>
    <w:rsid w:val="00E6213E"/>
    <w:rsid w:val="00E621FF"/>
    <w:rsid w:val="00E62209"/>
    <w:rsid w:val="00E622EB"/>
    <w:rsid w:val="00E622F4"/>
    <w:rsid w:val="00E62303"/>
    <w:rsid w:val="00E62358"/>
    <w:rsid w:val="00E624B5"/>
    <w:rsid w:val="00E625BE"/>
    <w:rsid w:val="00E62601"/>
    <w:rsid w:val="00E627A4"/>
    <w:rsid w:val="00E627B3"/>
    <w:rsid w:val="00E62821"/>
    <w:rsid w:val="00E6284B"/>
    <w:rsid w:val="00E62876"/>
    <w:rsid w:val="00E62878"/>
    <w:rsid w:val="00E628A1"/>
    <w:rsid w:val="00E628ED"/>
    <w:rsid w:val="00E629CA"/>
    <w:rsid w:val="00E62A62"/>
    <w:rsid w:val="00E62B30"/>
    <w:rsid w:val="00E62B5D"/>
    <w:rsid w:val="00E62B87"/>
    <w:rsid w:val="00E62C2C"/>
    <w:rsid w:val="00E62C68"/>
    <w:rsid w:val="00E62CD3"/>
    <w:rsid w:val="00E62D07"/>
    <w:rsid w:val="00E62DF6"/>
    <w:rsid w:val="00E62E92"/>
    <w:rsid w:val="00E62EE8"/>
    <w:rsid w:val="00E631E1"/>
    <w:rsid w:val="00E63267"/>
    <w:rsid w:val="00E6326C"/>
    <w:rsid w:val="00E6331C"/>
    <w:rsid w:val="00E63358"/>
    <w:rsid w:val="00E634D2"/>
    <w:rsid w:val="00E636A4"/>
    <w:rsid w:val="00E636B4"/>
    <w:rsid w:val="00E636F9"/>
    <w:rsid w:val="00E6379A"/>
    <w:rsid w:val="00E63842"/>
    <w:rsid w:val="00E63885"/>
    <w:rsid w:val="00E638BD"/>
    <w:rsid w:val="00E639A7"/>
    <w:rsid w:val="00E639D6"/>
    <w:rsid w:val="00E63A22"/>
    <w:rsid w:val="00E63A45"/>
    <w:rsid w:val="00E63ABB"/>
    <w:rsid w:val="00E63B2A"/>
    <w:rsid w:val="00E63B8F"/>
    <w:rsid w:val="00E63CAE"/>
    <w:rsid w:val="00E63CC8"/>
    <w:rsid w:val="00E63CD2"/>
    <w:rsid w:val="00E63D8F"/>
    <w:rsid w:val="00E63DED"/>
    <w:rsid w:val="00E63E26"/>
    <w:rsid w:val="00E63E27"/>
    <w:rsid w:val="00E63E66"/>
    <w:rsid w:val="00E63E87"/>
    <w:rsid w:val="00E63F13"/>
    <w:rsid w:val="00E63F2F"/>
    <w:rsid w:val="00E63FD9"/>
    <w:rsid w:val="00E640AD"/>
    <w:rsid w:val="00E64134"/>
    <w:rsid w:val="00E641A7"/>
    <w:rsid w:val="00E641DC"/>
    <w:rsid w:val="00E64319"/>
    <w:rsid w:val="00E643EE"/>
    <w:rsid w:val="00E6459E"/>
    <w:rsid w:val="00E6460F"/>
    <w:rsid w:val="00E64631"/>
    <w:rsid w:val="00E646B5"/>
    <w:rsid w:val="00E646C5"/>
    <w:rsid w:val="00E6489A"/>
    <w:rsid w:val="00E649DE"/>
    <w:rsid w:val="00E649E0"/>
    <w:rsid w:val="00E64A18"/>
    <w:rsid w:val="00E64A23"/>
    <w:rsid w:val="00E64A59"/>
    <w:rsid w:val="00E64B24"/>
    <w:rsid w:val="00E64B62"/>
    <w:rsid w:val="00E64C52"/>
    <w:rsid w:val="00E64C5D"/>
    <w:rsid w:val="00E64CC4"/>
    <w:rsid w:val="00E64D53"/>
    <w:rsid w:val="00E64E43"/>
    <w:rsid w:val="00E64ED8"/>
    <w:rsid w:val="00E64EE4"/>
    <w:rsid w:val="00E64EF7"/>
    <w:rsid w:val="00E64F05"/>
    <w:rsid w:val="00E64F53"/>
    <w:rsid w:val="00E64F8D"/>
    <w:rsid w:val="00E64FD1"/>
    <w:rsid w:val="00E65025"/>
    <w:rsid w:val="00E6506E"/>
    <w:rsid w:val="00E6508A"/>
    <w:rsid w:val="00E651FF"/>
    <w:rsid w:val="00E65202"/>
    <w:rsid w:val="00E65239"/>
    <w:rsid w:val="00E6538E"/>
    <w:rsid w:val="00E65427"/>
    <w:rsid w:val="00E6543F"/>
    <w:rsid w:val="00E6545C"/>
    <w:rsid w:val="00E65525"/>
    <w:rsid w:val="00E6552F"/>
    <w:rsid w:val="00E655D2"/>
    <w:rsid w:val="00E65628"/>
    <w:rsid w:val="00E65650"/>
    <w:rsid w:val="00E656C9"/>
    <w:rsid w:val="00E6570F"/>
    <w:rsid w:val="00E65756"/>
    <w:rsid w:val="00E6583E"/>
    <w:rsid w:val="00E65901"/>
    <w:rsid w:val="00E65953"/>
    <w:rsid w:val="00E6598E"/>
    <w:rsid w:val="00E6599F"/>
    <w:rsid w:val="00E65AA0"/>
    <w:rsid w:val="00E65AC0"/>
    <w:rsid w:val="00E65B99"/>
    <w:rsid w:val="00E65E5D"/>
    <w:rsid w:val="00E65EB4"/>
    <w:rsid w:val="00E65EEF"/>
    <w:rsid w:val="00E65FC5"/>
    <w:rsid w:val="00E65FF1"/>
    <w:rsid w:val="00E66007"/>
    <w:rsid w:val="00E66018"/>
    <w:rsid w:val="00E6604E"/>
    <w:rsid w:val="00E66085"/>
    <w:rsid w:val="00E6609A"/>
    <w:rsid w:val="00E661C0"/>
    <w:rsid w:val="00E6621C"/>
    <w:rsid w:val="00E6639D"/>
    <w:rsid w:val="00E663B7"/>
    <w:rsid w:val="00E663F5"/>
    <w:rsid w:val="00E6644E"/>
    <w:rsid w:val="00E66495"/>
    <w:rsid w:val="00E664BC"/>
    <w:rsid w:val="00E66534"/>
    <w:rsid w:val="00E665CF"/>
    <w:rsid w:val="00E66632"/>
    <w:rsid w:val="00E666F8"/>
    <w:rsid w:val="00E66828"/>
    <w:rsid w:val="00E668AC"/>
    <w:rsid w:val="00E6693B"/>
    <w:rsid w:val="00E669DD"/>
    <w:rsid w:val="00E66A5F"/>
    <w:rsid w:val="00E66A86"/>
    <w:rsid w:val="00E66AC1"/>
    <w:rsid w:val="00E66BAD"/>
    <w:rsid w:val="00E66CB7"/>
    <w:rsid w:val="00E66D7D"/>
    <w:rsid w:val="00E66DCE"/>
    <w:rsid w:val="00E66DD9"/>
    <w:rsid w:val="00E66DDC"/>
    <w:rsid w:val="00E66E64"/>
    <w:rsid w:val="00E66E68"/>
    <w:rsid w:val="00E66E8A"/>
    <w:rsid w:val="00E66E97"/>
    <w:rsid w:val="00E66EC7"/>
    <w:rsid w:val="00E66F1B"/>
    <w:rsid w:val="00E66F55"/>
    <w:rsid w:val="00E66F61"/>
    <w:rsid w:val="00E66FA6"/>
    <w:rsid w:val="00E6719E"/>
    <w:rsid w:val="00E671B4"/>
    <w:rsid w:val="00E672BB"/>
    <w:rsid w:val="00E673BE"/>
    <w:rsid w:val="00E673D3"/>
    <w:rsid w:val="00E673FE"/>
    <w:rsid w:val="00E67499"/>
    <w:rsid w:val="00E674D4"/>
    <w:rsid w:val="00E675DB"/>
    <w:rsid w:val="00E675EF"/>
    <w:rsid w:val="00E67721"/>
    <w:rsid w:val="00E677A8"/>
    <w:rsid w:val="00E67807"/>
    <w:rsid w:val="00E67895"/>
    <w:rsid w:val="00E67904"/>
    <w:rsid w:val="00E679DA"/>
    <w:rsid w:val="00E679EF"/>
    <w:rsid w:val="00E67A55"/>
    <w:rsid w:val="00E67AB6"/>
    <w:rsid w:val="00E67BFC"/>
    <w:rsid w:val="00E67DC3"/>
    <w:rsid w:val="00E67DD6"/>
    <w:rsid w:val="00E67E27"/>
    <w:rsid w:val="00E67E2B"/>
    <w:rsid w:val="00E67E9C"/>
    <w:rsid w:val="00E67EAF"/>
    <w:rsid w:val="00E67F53"/>
    <w:rsid w:val="00E67F98"/>
    <w:rsid w:val="00E67FEB"/>
    <w:rsid w:val="00E67FF5"/>
    <w:rsid w:val="00E67FFA"/>
    <w:rsid w:val="00E70016"/>
    <w:rsid w:val="00E700B2"/>
    <w:rsid w:val="00E700BF"/>
    <w:rsid w:val="00E70258"/>
    <w:rsid w:val="00E70283"/>
    <w:rsid w:val="00E702C9"/>
    <w:rsid w:val="00E7039F"/>
    <w:rsid w:val="00E703CF"/>
    <w:rsid w:val="00E70535"/>
    <w:rsid w:val="00E70681"/>
    <w:rsid w:val="00E706F2"/>
    <w:rsid w:val="00E707CB"/>
    <w:rsid w:val="00E70BC3"/>
    <w:rsid w:val="00E70BD6"/>
    <w:rsid w:val="00E70C86"/>
    <w:rsid w:val="00E70D82"/>
    <w:rsid w:val="00E70DAB"/>
    <w:rsid w:val="00E70DD6"/>
    <w:rsid w:val="00E70F1C"/>
    <w:rsid w:val="00E70F28"/>
    <w:rsid w:val="00E70FA0"/>
    <w:rsid w:val="00E710A9"/>
    <w:rsid w:val="00E711D2"/>
    <w:rsid w:val="00E711D4"/>
    <w:rsid w:val="00E7129E"/>
    <w:rsid w:val="00E71305"/>
    <w:rsid w:val="00E713F9"/>
    <w:rsid w:val="00E71415"/>
    <w:rsid w:val="00E7141C"/>
    <w:rsid w:val="00E71440"/>
    <w:rsid w:val="00E714F3"/>
    <w:rsid w:val="00E716E4"/>
    <w:rsid w:val="00E71718"/>
    <w:rsid w:val="00E7178D"/>
    <w:rsid w:val="00E71863"/>
    <w:rsid w:val="00E7186A"/>
    <w:rsid w:val="00E718BA"/>
    <w:rsid w:val="00E718EA"/>
    <w:rsid w:val="00E71965"/>
    <w:rsid w:val="00E719CD"/>
    <w:rsid w:val="00E71A59"/>
    <w:rsid w:val="00E71A75"/>
    <w:rsid w:val="00E71AE5"/>
    <w:rsid w:val="00E71B0D"/>
    <w:rsid w:val="00E71B78"/>
    <w:rsid w:val="00E71C26"/>
    <w:rsid w:val="00E71D61"/>
    <w:rsid w:val="00E71D6A"/>
    <w:rsid w:val="00E71E60"/>
    <w:rsid w:val="00E71F46"/>
    <w:rsid w:val="00E71F59"/>
    <w:rsid w:val="00E7200E"/>
    <w:rsid w:val="00E7201D"/>
    <w:rsid w:val="00E72031"/>
    <w:rsid w:val="00E7203D"/>
    <w:rsid w:val="00E720F3"/>
    <w:rsid w:val="00E72173"/>
    <w:rsid w:val="00E721A2"/>
    <w:rsid w:val="00E72232"/>
    <w:rsid w:val="00E72295"/>
    <w:rsid w:val="00E72382"/>
    <w:rsid w:val="00E72383"/>
    <w:rsid w:val="00E723E1"/>
    <w:rsid w:val="00E7248A"/>
    <w:rsid w:val="00E724A9"/>
    <w:rsid w:val="00E724D2"/>
    <w:rsid w:val="00E72522"/>
    <w:rsid w:val="00E72674"/>
    <w:rsid w:val="00E726DC"/>
    <w:rsid w:val="00E726FD"/>
    <w:rsid w:val="00E72791"/>
    <w:rsid w:val="00E727B4"/>
    <w:rsid w:val="00E727E6"/>
    <w:rsid w:val="00E729EA"/>
    <w:rsid w:val="00E72AE1"/>
    <w:rsid w:val="00E72B1D"/>
    <w:rsid w:val="00E72B76"/>
    <w:rsid w:val="00E72BDE"/>
    <w:rsid w:val="00E72BE6"/>
    <w:rsid w:val="00E72CD1"/>
    <w:rsid w:val="00E72D9F"/>
    <w:rsid w:val="00E72DAE"/>
    <w:rsid w:val="00E72DDB"/>
    <w:rsid w:val="00E72E7A"/>
    <w:rsid w:val="00E72F20"/>
    <w:rsid w:val="00E72F72"/>
    <w:rsid w:val="00E73028"/>
    <w:rsid w:val="00E730EB"/>
    <w:rsid w:val="00E731AD"/>
    <w:rsid w:val="00E731AE"/>
    <w:rsid w:val="00E73267"/>
    <w:rsid w:val="00E732FD"/>
    <w:rsid w:val="00E7350E"/>
    <w:rsid w:val="00E7353F"/>
    <w:rsid w:val="00E73583"/>
    <w:rsid w:val="00E73613"/>
    <w:rsid w:val="00E73640"/>
    <w:rsid w:val="00E7368C"/>
    <w:rsid w:val="00E736DD"/>
    <w:rsid w:val="00E736FF"/>
    <w:rsid w:val="00E737C2"/>
    <w:rsid w:val="00E7383F"/>
    <w:rsid w:val="00E73982"/>
    <w:rsid w:val="00E73A3D"/>
    <w:rsid w:val="00E73A87"/>
    <w:rsid w:val="00E73C27"/>
    <w:rsid w:val="00E73C41"/>
    <w:rsid w:val="00E73DB6"/>
    <w:rsid w:val="00E73DC9"/>
    <w:rsid w:val="00E73EF8"/>
    <w:rsid w:val="00E73F12"/>
    <w:rsid w:val="00E73FF8"/>
    <w:rsid w:val="00E74017"/>
    <w:rsid w:val="00E7401B"/>
    <w:rsid w:val="00E7408A"/>
    <w:rsid w:val="00E740D4"/>
    <w:rsid w:val="00E740F2"/>
    <w:rsid w:val="00E7412A"/>
    <w:rsid w:val="00E7428B"/>
    <w:rsid w:val="00E742B3"/>
    <w:rsid w:val="00E74326"/>
    <w:rsid w:val="00E74366"/>
    <w:rsid w:val="00E744DB"/>
    <w:rsid w:val="00E7450D"/>
    <w:rsid w:val="00E74524"/>
    <w:rsid w:val="00E746F1"/>
    <w:rsid w:val="00E747DA"/>
    <w:rsid w:val="00E74807"/>
    <w:rsid w:val="00E74933"/>
    <w:rsid w:val="00E74982"/>
    <w:rsid w:val="00E74B49"/>
    <w:rsid w:val="00E74BC1"/>
    <w:rsid w:val="00E74C35"/>
    <w:rsid w:val="00E74C8B"/>
    <w:rsid w:val="00E74CA8"/>
    <w:rsid w:val="00E74CC6"/>
    <w:rsid w:val="00E74CD1"/>
    <w:rsid w:val="00E74CD3"/>
    <w:rsid w:val="00E74EDC"/>
    <w:rsid w:val="00E7502A"/>
    <w:rsid w:val="00E7506C"/>
    <w:rsid w:val="00E75187"/>
    <w:rsid w:val="00E751AA"/>
    <w:rsid w:val="00E751AD"/>
    <w:rsid w:val="00E7521F"/>
    <w:rsid w:val="00E75227"/>
    <w:rsid w:val="00E75234"/>
    <w:rsid w:val="00E752D4"/>
    <w:rsid w:val="00E752F1"/>
    <w:rsid w:val="00E75385"/>
    <w:rsid w:val="00E7544E"/>
    <w:rsid w:val="00E7563B"/>
    <w:rsid w:val="00E756E8"/>
    <w:rsid w:val="00E75737"/>
    <w:rsid w:val="00E7584C"/>
    <w:rsid w:val="00E75875"/>
    <w:rsid w:val="00E75886"/>
    <w:rsid w:val="00E75933"/>
    <w:rsid w:val="00E759D2"/>
    <w:rsid w:val="00E75A5F"/>
    <w:rsid w:val="00E75A8A"/>
    <w:rsid w:val="00E75B23"/>
    <w:rsid w:val="00E75B9F"/>
    <w:rsid w:val="00E75BA7"/>
    <w:rsid w:val="00E75C0B"/>
    <w:rsid w:val="00E75C71"/>
    <w:rsid w:val="00E75C78"/>
    <w:rsid w:val="00E75CB8"/>
    <w:rsid w:val="00E75D4E"/>
    <w:rsid w:val="00E75D5B"/>
    <w:rsid w:val="00E75D6E"/>
    <w:rsid w:val="00E75DC2"/>
    <w:rsid w:val="00E75E06"/>
    <w:rsid w:val="00E75E7F"/>
    <w:rsid w:val="00E75EEC"/>
    <w:rsid w:val="00E75F5D"/>
    <w:rsid w:val="00E76007"/>
    <w:rsid w:val="00E7613D"/>
    <w:rsid w:val="00E76181"/>
    <w:rsid w:val="00E76321"/>
    <w:rsid w:val="00E7638C"/>
    <w:rsid w:val="00E763A5"/>
    <w:rsid w:val="00E764F5"/>
    <w:rsid w:val="00E76562"/>
    <w:rsid w:val="00E765B7"/>
    <w:rsid w:val="00E7665C"/>
    <w:rsid w:val="00E76718"/>
    <w:rsid w:val="00E76750"/>
    <w:rsid w:val="00E76765"/>
    <w:rsid w:val="00E767BE"/>
    <w:rsid w:val="00E76814"/>
    <w:rsid w:val="00E76873"/>
    <w:rsid w:val="00E76893"/>
    <w:rsid w:val="00E76932"/>
    <w:rsid w:val="00E769CA"/>
    <w:rsid w:val="00E76A5A"/>
    <w:rsid w:val="00E76AC8"/>
    <w:rsid w:val="00E76B7C"/>
    <w:rsid w:val="00E76B85"/>
    <w:rsid w:val="00E76DAC"/>
    <w:rsid w:val="00E76DCB"/>
    <w:rsid w:val="00E76E70"/>
    <w:rsid w:val="00E76E8D"/>
    <w:rsid w:val="00E76EB7"/>
    <w:rsid w:val="00E770F2"/>
    <w:rsid w:val="00E77169"/>
    <w:rsid w:val="00E771C5"/>
    <w:rsid w:val="00E77223"/>
    <w:rsid w:val="00E7727A"/>
    <w:rsid w:val="00E772D2"/>
    <w:rsid w:val="00E772D5"/>
    <w:rsid w:val="00E772DC"/>
    <w:rsid w:val="00E7736F"/>
    <w:rsid w:val="00E7740F"/>
    <w:rsid w:val="00E77489"/>
    <w:rsid w:val="00E774B5"/>
    <w:rsid w:val="00E775F0"/>
    <w:rsid w:val="00E77633"/>
    <w:rsid w:val="00E77649"/>
    <w:rsid w:val="00E777CE"/>
    <w:rsid w:val="00E77849"/>
    <w:rsid w:val="00E7792A"/>
    <w:rsid w:val="00E779BB"/>
    <w:rsid w:val="00E77A05"/>
    <w:rsid w:val="00E77A9F"/>
    <w:rsid w:val="00E77AA1"/>
    <w:rsid w:val="00E77AD9"/>
    <w:rsid w:val="00E77BE7"/>
    <w:rsid w:val="00E77C27"/>
    <w:rsid w:val="00E77C7C"/>
    <w:rsid w:val="00E77D29"/>
    <w:rsid w:val="00E77D3B"/>
    <w:rsid w:val="00E77DCC"/>
    <w:rsid w:val="00E77DDD"/>
    <w:rsid w:val="00E77DDF"/>
    <w:rsid w:val="00E77E00"/>
    <w:rsid w:val="00E77EA6"/>
    <w:rsid w:val="00E77EAC"/>
    <w:rsid w:val="00E77F6E"/>
    <w:rsid w:val="00E80079"/>
    <w:rsid w:val="00E80223"/>
    <w:rsid w:val="00E802A8"/>
    <w:rsid w:val="00E8037D"/>
    <w:rsid w:val="00E8038F"/>
    <w:rsid w:val="00E80475"/>
    <w:rsid w:val="00E8053E"/>
    <w:rsid w:val="00E806D8"/>
    <w:rsid w:val="00E806DA"/>
    <w:rsid w:val="00E80733"/>
    <w:rsid w:val="00E807C2"/>
    <w:rsid w:val="00E8081E"/>
    <w:rsid w:val="00E8086C"/>
    <w:rsid w:val="00E808C3"/>
    <w:rsid w:val="00E80917"/>
    <w:rsid w:val="00E80982"/>
    <w:rsid w:val="00E80AAD"/>
    <w:rsid w:val="00E80AF6"/>
    <w:rsid w:val="00E80B0A"/>
    <w:rsid w:val="00E80B3B"/>
    <w:rsid w:val="00E80B5F"/>
    <w:rsid w:val="00E80D02"/>
    <w:rsid w:val="00E80D09"/>
    <w:rsid w:val="00E80D1A"/>
    <w:rsid w:val="00E80E00"/>
    <w:rsid w:val="00E80E88"/>
    <w:rsid w:val="00E80F52"/>
    <w:rsid w:val="00E80F5A"/>
    <w:rsid w:val="00E80F5E"/>
    <w:rsid w:val="00E80FE5"/>
    <w:rsid w:val="00E81069"/>
    <w:rsid w:val="00E810CA"/>
    <w:rsid w:val="00E810CB"/>
    <w:rsid w:val="00E81148"/>
    <w:rsid w:val="00E811BA"/>
    <w:rsid w:val="00E8121E"/>
    <w:rsid w:val="00E8124F"/>
    <w:rsid w:val="00E812CC"/>
    <w:rsid w:val="00E8131F"/>
    <w:rsid w:val="00E81339"/>
    <w:rsid w:val="00E8135F"/>
    <w:rsid w:val="00E813B8"/>
    <w:rsid w:val="00E814CE"/>
    <w:rsid w:val="00E81556"/>
    <w:rsid w:val="00E81583"/>
    <w:rsid w:val="00E815DC"/>
    <w:rsid w:val="00E81615"/>
    <w:rsid w:val="00E81636"/>
    <w:rsid w:val="00E81645"/>
    <w:rsid w:val="00E816F5"/>
    <w:rsid w:val="00E816FE"/>
    <w:rsid w:val="00E8179B"/>
    <w:rsid w:val="00E817AD"/>
    <w:rsid w:val="00E817B7"/>
    <w:rsid w:val="00E817EF"/>
    <w:rsid w:val="00E8184F"/>
    <w:rsid w:val="00E81942"/>
    <w:rsid w:val="00E819F4"/>
    <w:rsid w:val="00E81B0F"/>
    <w:rsid w:val="00E81B90"/>
    <w:rsid w:val="00E81CE6"/>
    <w:rsid w:val="00E81D17"/>
    <w:rsid w:val="00E81D48"/>
    <w:rsid w:val="00E81D93"/>
    <w:rsid w:val="00E81EC5"/>
    <w:rsid w:val="00E81F7F"/>
    <w:rsid w:val="00E820F9"/>
    <w:rsid w:val="00E8217C"/>
    <w:rsid w:val="00E82194"/>
    <w:rsid w:val="00E821A7"/>
    <w:rsid w:val="00E821DF"/>
    <w:rsid w:val="00E82213"/>
    <w:rsid w:val="00E82299"/>
    <w:rsid w:val="00E822BD"/>
    <w:rsid w:val="00E82420"/>
    <w:rsid w:val="00E82589"/>
    <w:rsid w:val="00E825CD"/>
    <w:rsid w:val="00E8263C"/>
    <w:rsid w:val="00E8269F"/>
    <w:rsid w:val="00E82709"/>
    <w:rsid w:val="00E82732"/>
    <w:rsid w:val="00E82741"/>
    <w:rsid w:val="00E82768"/>
    <w:rsid w:val="00E82895"/>
    <w:rsid w:val="00E828D5"/>
    <w:rsid w:val="00E82ACE"/>
    <w:rsid w:val="00E82C06"/>
    <w:rsid w:val="00E82C08"/>
    <w:rsid w:val="00E82D58"/>
    <w:rsid w:val="00E82D81"/>
    <w:rsid w:val="00E82DB2"/>
    <w:rsid w:val="00E82E26"/>
    <w:rsid w:val="00E83092"/>
    <w:rsid w:val="00E83156"/>
    <w:rsid w:val="00E83259"/>
    <w:rsid w:val="00E83292"/>
    <w:rsid w:val="00E832D8"/>
    <w:rsid w:val="00E8330B"/>
    <w:rsid w:val="00E8343F"/>
    <w:rsid w:val="00E83440"/>
    <w:rsid w:val="00E83544"/>
    <w:rsid w:val="00E83716"/>
    <w:rsid w:val="00E83726"/>
    <w:rsid w:val="00E8380F"/>
    <w:rsid w:val="00E83899"/>
    <w:rsid w:val="00E838DD"/>
    <w:rsid w:val="00E83944"/>
    <w:rsid w:val="00E839BE"/>
    <w:rsid w:val="00E83A95"/>
    <w:rsid w:val="00E83B68"/>
    <w:rsid w:val="00E83BB4"/>
    <w:rsid w:val="00E83BD7"/>
    <w:rsid w:val="00E83BFC"/>
    <w:rsid w:val="00E83C10"/>
    <w:rsid w:val="00E83CAC"/>
    <w:rsid w:val="00E83DD5"/>
    <w:rsid w:val="00E83DF6"/>
    <w:rsid w:val="00E83F94"/>
    <w:rsid w:val="00E83FA8"/>
    <w:rsid w:val="00E83FAB"/>
    <w:rsid w:val="00E83FB2"/>
    <w:rsid w:val="00E840C9"/>
    <w:rsid w:val="00E840E2"/>
    <w:rsid w:val="00E8415B"/>
    <w:rsid w:val="00E84170"/>
    <w:rsid w:val="00E841E1"/>
    <w:rsid w:val="00E8425A"/>
    <w:rsid w:val="00E84266"/>
    <w:rsid w:val="00E84372"/>
    <w:rsid w:val="00E84467"/>
    <w:rsid w:val="00E845B0"/>
    <w:rsid w:val="00E845B9"/>
    <w:rsid w:val="00E845E9"/>
    <w:rsid w:val="00E84616"/>
    <w:rsid w:val="00E846BD"/>
    <w:rsid w:val="00E8471E"/>
    <w:rsid w:val="00E84868"/>
    <w:rsid w:val="00E84875"/>
    <w:rsid w:val="00E84987"/>
    <w:rsid w:val="00E84A13"/>
    <w:rsid w:val="00E84AA6"/>
    <w:rsid w:val="00E84B03"/>
    <w:rsid w:val="00E84BC3"/>
    <w:rsid w:val="00E84C0E"/>
    <w:rsid w:val="00E84C7C"/>
    <w:rsid w:val="00E84C89"/>
    <w:rsid w:val="00E84D02"/>
    <w:rsid w:val="00E84D09"/>
    <w:rsid w:val="00E84DD1"/>
    <w:rsid w:val="00E84E74"/>
    <w:rsid w:val="00E84EB7"/>
    <w:rsid w:val="00E84F1F"/>
    <w:rsid w:val="00E850AB"/>
    <w:rsid w:val="00E8513C"/>
    <w:rsid w:val="00E85297"/>
    <w:rsid w:val="00E854CF"/>
    <w:rsid w:val="00E85519"/>
    <w:rsid w:val="00E85597"/>
    <w:rsid w:val="00E8560B"/>
    <w:rsid w:val="00E856E3"/>
    <w:rsid w:val="00E856EA"/>
    <w:rsid w:val="00E85788"/>
    <w:rsid w:val="00E8586D"/>
    <w:rsid w:val="00E85872"/>
    <w:rsid w:val="00E85873"/>
    <w:rsid w:val="00E8588F"/>
    <w:rsid w:val="00E858BC"/>
    <w:rsid w:val="00E85901"/>
    <w:rsid w:val="00E85989"/>
    <w:rsid w:val="00E859E7"/>
    <w:rsid w:val="00E859F8"/>
    <w:rsid w:val="00E85A15"/>
    <w:rsid w:val="00E85A70"/>
    <w:rsid w:val="00E85A96"/>
    <w:rsid w:val="00E85B27"/>
    <w:rsid w:val="00E85C0D"/>
    <w:rsid w:val="00E85D84"/>
    <w:rsid w:val="00E85D8D"/>
    <w:rsid w:val="00E85D91"/>
    <w:rsid w:val="00E85DCC"/>
    <w:rsid w:val="00E85DEE"/>
    <w:rsid w:val="00E85E56"/>
    <w:rsid w:val="00E85F10"/>
    <w:rsid w:val="00E85F1B"/>
    <w:rsid w:val="00E85F61"/>
    <w:rsid w:val="00E85FF5"/>
    <w:rsid w:val="00E8602D"/>
    <w:rsid w:val="00E86083"/>
    <w:rsid w:val="00E860DD"/>
    <w:rsid w:val="00E861CE"/>
    <w:rsid w:val="00E8633D"/>
    <w:rsid w:val="00E86425"/>
    <w:rsid w:val="00E86491"/>
    <w:rsid w:val="00E86630"/>
    <w:rsid w:val="00E86669"/>
    <w:rsid w:val="00E86692"/>
    <w:rsid w:val="00E86704"/>
    <w:rsid w:val="00E8682E"/>
    <w:rsid w:val="00E8686F"/>
    <w:rsid w:val="00E868A7"/>
    <w:rsid w:val="00E868FE"/>
    <w:rsid w:val="00E869F3"/>
    <w:rsid w:val="00E86C23"/>
    <w:rsid w:val="00E86C47"/>
    <w:rsid w:val="00E86CAF"/>
    <w:rsid w:val="00E86CCE"/>
    <w:rsid w:val="00E86D02"/>
    <w:rsid w:val="00E86D49"/>
    <w:rsid w:val="00E86E68"/>
    <w:rsid w:val="00E86F0B"/>
    <w:rsid w:val="00E86F0E"/>
    <w:rsid w:val="00E87097"/>
    <w:rsid w:val="00E870A2"/>
    <w:rsid w:val="00E8713D"/>
    <w:rsid w:val="00E87191"/>
    <w:rsid w:val="00E87271"/>
    <w:rsid w:val="00E87281"/>
    <w:rsid w:val="00E872C4"/>
    <w:rsid w:val="00E87356"/>
    <w:rsid w:val="00E87406"/>
    <w:rsid w:val="00E8740C"/>
    <w:rsid w:val="00E874DC"/>
    <w:rsid w:val="00E874F6"/>
    <w:rsid w:val="00E87506"/>
    <w:rsid w:val="00E87724"/>
    <w:rsid w:val="00E877D4"/>
    <w:rsid w:val="00E878AD"/>
    <w:rsid w:val="00E8798B"/>
    <w:rsid w:val="00E87993"/>
    <w:rsid w:val="00E87B6D"/>
    <w:rsid w:val="00E87CC3"/>
    <w:rsid w:val="00E87DAB"/>
    <w:rsid w:val="00E87EB4"/>
    <w:rsid w:val="00E87EBD"/>
    <w:rsid w:val="00E90006"/>
    <w:rsid w:val="00E90009"/>
    <w:rsid w:val="00E901B2"/>
    <w:rsid w:val="00E90215"/>
    <w:rsid w:val="00E90329"/>
    <w:rsid w:val="00E90462"/>
    <w:rsid w:val="00E90477"/>
    <w:rsid w:val="00E9048F"/>
    <w:rsid w:val="00E90585"/>
    <w:rsid w:val="00E90681"/>
    <w:rsid w:val="00E9068F"/>
    <w:rsid w:val="00E906FE"/>
    <w:rsid w:val="00E90704"/>
    <w:rsid w:val="00E9084E"/>
    <w:rsid w:val="00E9098C"/>
    <w:rsid w:val="00E90AC7"/>
    <w:rsid w:val="00E90B74"/>
    <w:rsid w:val="00E90B8C"/>
    <w:rsid w:val="00E90BB7"/>
    <w:rsid w:val="00E90CDE"/>
    <w:rsid w:val="00E90CFB"/>
    <w:rsid w:val="00E90D16"/>
    <w:rsid w:val="00E90D1E"/>
    <w:rsid w:val="00E90E0A"/>
    <w:rsid w:val="00E90E29"/>
    <w:rsid w:val="00E90F0E"/>
    <w:rsid w:val="00E90FBC"/>
    <w:rsid w:val="00E91011"/>
    <w:rsid w:val="00E9102B"/>
    <w:rsid w:val="00E910B6"/>
    <w:rsid w:val="00E910D5"/>
    <w:rsid w:val="00E910EB"/>
    <w:rsid w:val="00E910F9"/>
    <w:rsid w:val="00E9127A"/>
    <w:rsid w:val="00E91300"/>
    <w:rsid w:val="00E9130B"/>
    <w:rsid w:val="00E9133C"/>
    <w:rsid w:val="00E9137B"/>
    <w:rsid w:val="00E913E0"/>
    <w:rsid w:val="00E913F9"/>
    <w:rsid w:val="00E91470"/>
    <w:rsid w:val="00E914B5"/>
    <w:rsid w:val="00E91538"/>
    <w:rsid w:val="00E91589"/>
    <w:rsid w:val="00E9161A"/>
    <w:rsid w:val="00E917B7"/>
    <w:rsid w:val="00E9185D"/>
    <w:rsid w:val="00E918A7"/>
    <w:rsid w:val="00E918C9"/>
    <w:rsid w:val="00E918ED"/>
    <w:rsid w:val="00E91959"/>
    <w:rsid w:val="00E91A92"/>
    <w:rsid w:val="00E91AAB"/>
    <w:rsid w:val="00E91B32"/>
    <w:rsid w:val="00E91C72"/>
    <w:rsid w:val="00E91CFB"/>
    <w:rsid w:val="00E91D2A"/>
    <w:rsid w:val="00E91D7D"/>
    <w:rsid w:val="00E91E2A"/>
    <w:rsid w:val="00E91E84"/>
    <w:rsid w:val="00E91F43"/>
    <w:rsid w:val="00E91F58"/>
    <w:rsid w:val="00E91F9E"/>
    <w:rsid w:val="00E91FD0"/>
    <w:rsid w:val="00E91FFB"/>
    <w:rsid w:val="00E92053"/>
    <w:rsid w:val="00E920A1"/>
    <w:rsid w:val="00E920FA"/>
    <w:rsid w:val="00E92108"/>
    <w:rsid w:val="00E922BB"/>
    <w:rsid w:val="00E922C4"/>
    <w:rsid w:val="00E9233D"/>
    <w:rsid w:val="00E924A0"/>
    <w:rsid w:val="00E924C7"/>
    <w:rsid w:val="00E92639"/>
    <w:rsid w:val="00E926D4"/>
    <w:rsid w:val="00E92844"/>
    <w:rsid w:val="00E92876"/>
    <w:rsid w:val="00E928CC"/>
    <w:rsid w:val="00E9294B"/>
    <w:rsid w:val="00E92981"/>
    <w:rsid w:val="00E92A32"/>
    <w:rsid w:val="00E92A58"/>
    <w:rsid w:val="00E92AFE"/>
    <w:rsid w:val="00E92B0C"/>
    <w:rsid w:val="00E92C93"/>
    <w:rsid w:val="00E92CA0"/>
    <w:rsid w:val="00E92D2F"/>
    <w:rsid w:val="00E92D43"/>
    <w:rsid w:val="00E92D99"/>
    <w:rsid w:val="00E92DB3"/>
    <w:rsid w:val="00E92EAF"/>
    <w:rsid w:val="00E92EC4"/>
    <w:rsid w:val="00E92EEB"/>
    <w:rsid w:val="00E92F21"/>
    <w:rsid w:val="00E92FA4"/>
    <w:rsid w:val="00E9304B"/>
    <w:rsid w:val="00E931AF"/>
    <w:rsid w:val="00E9328C"/>
    <w:rsid w:val="00E9330C"/>
    <w:rsid w:val="00E93357"/>
    <w:rsid w:val="00E933E4"/>
    <w:rsid w:val="00E933ED"/>
    <w:rsid w:val="00E93430"/>
    <w:rsid w:val="00E93555"/>
    <w:rsid w:val="00E9356F"/>
    <w:rsid w:val="00E93598"/>
    <w:rsid w:val="00E935C6"/>
    <w:rsid w:val="00E9368A"/>
    <w:rsid w:val="00E936BD"/>
    <w:rsid w:val="00E9370E"/>
    <w:rsid w:val="00E93752"/>
    <w:rsid w:val="00E93810"/>
    <w:rsid w:val="00E93854"/>
    <w:rsid w:val="00E93886"/>
    <w:rsid w:val="00E938AA"/>
    <w:rsid w:val="00E93919"/>
    <w:rsid w:val="00E9394C"/>
    <w:rsid w:val="00E939DE"/>
    <w:rsid w:val="00E939F6"/>
    <w:rsid w:val="00E93A3D"/>
    <w:rsid w:val="00E93A74"/>
    <w:rsid w:val="00E93A9E"/>
    <w:rsid w:val="00E93B4A"/>
    <w:rsid w:val="00E93B5E"/>
    <w:rsid w:val="00E93B77"/>
    <w:rsid w:val="00E93B8B"/>
    <w:rsid w:val="00E93E3F"/>
    <w:rsid w:val="00E93EAC"/>
    <w:rsid w:val="00E93FC7"/>
    <w:rsid w:val="00E94012"/>
    <w:rsid w:val="00E94026"/>
    <w:rsid w:val="00E940A0"/>
    <w:rsid w:val="00E941B5"/>
    <w:rsid w:val="00E941FC"/>
    <w:rsid w:val="00E9423D"/>
    <w:rsid w:val="00E9424F"/>
    <w:rsid w:val="00E942BA"/>
    <w:rsid w:val="00E942D1"/>
    <w:rsid w:val="00E943AE"/>
    <w:rsid w:val="00E943F1"/>
    <w:rsid w:val="00E94445"/>
    <w:rsid w:val="00E94467"/>
    <w:rsid w:val="00E944D8"/>
    <w:rsid w:val="00E944F4"/>
    <w:rsid w:val="00E94529"/>
    <w:rsid w:val="00E9469E"/>
    <w:rsid w:val="00E9471A"/>
    <w:rsid w:val="00E947B0"/>
    <w:rsid w:val="00E94848"/>
    <w:rsid w:val="00E949EF"/>
    <w:rsid w:val="00E94B06"/>
    <w:rsid w:val="00E94B88"/>
    <w:rsid w:val="00E94EB2"/>
    <w:rsid w:val="00E95099"/>
    <w:rsid w:val="00E950C0"/>
    <w:rsid w:val="00E950C3"/>
    <w:rsid w:val="00E952DC"/>
    <w:rsid w:val="00E95304"/>
    <w:rsid w:val="00E95384"/>
    <w:rsid w:val="00E953D1"/>
    <w:rsid w:val="00E953EB"/>
    <w:rsid w:val="00E95449"/>
    <w:rsid w:val="00E9553E"/>
    <w:rsid w:val="00E95541"/>
    <w:rsid w:val="00E955E2"/>
    <w:rsid w:val="00E9560D"/>
    <w:rsid w:val="00E95688"/>
    <w:rsid w:val="00E956C0"/>
    <w:rsid w:val="00E956C8"/>
    <w:rsid w:val="00E95798"/>
    <w:rsid w:val="00E958B9"/>
    <w:rsid w:val="00E958BC"/>
    <w:rsid w:val="00E95940"/>
    <w:rsid w:val="00E959BD"/>
    <w:rsid w:val="00E959CA"/>
    <w:rsid w:val="00E95ABC"/>
    <w:rsid w:val="00E95AC6"/>
    <w:rsid w:val="00E95AD2"/>
    <w:rsid w:val="00E95AD6"/>
    <w:rsid w:val="00E95B43"/>
    <w:rsid w:val="00E95B67"/>
    <w:rsid w:val="00E95B97"/>
    <w:rsid w:val="00E95D16"/>
    <w:rsid w:val="00E95D19"/>
    <w:rsid w:val="00E95D82"/>
    <w:rsid w:val="00E95ED2"/>
    <w:rsid w:val="00E95F21"/>
    <w:rsid w:val="00E95F29"/>
    <w:rsid w:val="00E95F3C"/>
    <w:rsid w:val="00E95F45"/>
    <w:rsid w:val="00E95FB5"/>
    <w:rsid w:val="00E96000"/>
    <w:rsid w:val="00E96048"/>
    <w:rsid w:val="00E960E5"/>
    <w:rsid w:val="00E961BF"/>
    <w:rsid w:val="00E96267"/>
    <w:rsid w:val="00E96273"/>
    <w:rsid w:val="00E9631E"/>
    <w:rsid w:val="00E96374"/>
    <w:rsid w:val="00E9644D"/>
    <w:rsid w:val="00E9648E"/>
    <w:rsid w:val="00E96583"/>
    <w:rsid w:val="00E96621"/>
    <w:rsid w:val="00E9663E"/>
    <w:rsid w:val="00E96646"/>
    <w:rsid w:val="00E966E8"/>
    <w:rsid w:val="00E9678B"/>
    <w:rsid w:val="00E96826"/>
    <w:rsid w:val="00E968A3"/>
    <w:rsid w:val="00E969F5"/>
    <w:rsid w:val="00E96A64"/>
    <w:rsid w:val="00E96A68"/>
    <w:rsid w:val="00E96A89"/>
    <w:rsid w:val="00E96AE7"/>
    <w:rsid w:val="00E96B0E"/>
    <w:rsid w:val="00E96BA9"/>
    <w:rsid w:val="00E96BAD"/>
    <w:rsid w:val="00E96C64"/>
    <w:rsid w:val="00E96C69"/>
    <w:rsid w:val="00E96D2C"/>
    <w:rsid w:val="00E96D7C"/>
    <w:rsid w:val="00E96DA4"/>
    <w:rsid w:val="00E96DD0"/>
    <w:rsid w:val="00E96E97"/>
    <w:rsid w:val="00E97025"/>
    <w:rsid w:val="00E9719F"/>
    <w:rsid w:val="00E97277"/>
    <w:rsid w:val="00E972A4"/>
    <w:rsid w:val="00E9733E"/>
    <w:rsid w:val="00E9737F"/>
    <w:rsid w:val="00E973B5"/>
    <w:rsid w:val="00E973CF"/>
    <w:rsid w:val="00E9745F"/>
    <w:rsid w:val="00E97530"/>
    <w:rsid w:val="00E97592"/>
    <w:rsid w:val="00E9764C"/>
    <w:rsid w:val="00E9765A"/>
    <w:rsid w:val="00E97664"/>
    <w:rsid w:val="00E97706"/>
    <w:rsid w:val="00E97710"/>
    <w:rsid w:val="00E9771B"/>
    <w:rsid w:val="00E9779A"/>
    <w:rsid w:val="00E9782A"/>
    <w:rsid w:val="00E978E4"/>
    <w:rsid w:val="00E978F3"/>
    <w:rsid w:val="00E97926"/>
    <w:rsid w:val="00E9799C"/>
    <w:rsid w:val="00E979F1"/>
    <w:rsid w:val="00E97A8B"/>
    <w:rsid w:val="00E97AEB"/>
    <w:rsid w:val="00E97B5E"/>
    <w:rsid w:val="00E97C26"/>
    <w:rsid w:val="00E97CCC"/>
    <w:rsid w:val="00E97D49"/>
    <w:rsid w:val="00E97F29"/>
    <w:rsid w:val="00E97F7E"/>
    <w:rsid w:val="00E97FB2"/>
    <w:rsid w:val="00EA00D2"/>
    <w:rsid w:val="00EA016B"/>
    <w:rsid w:val="00EA01CC"/>
    <w:rsid w:val="00EA0200"/>
    <w:rsid w:val="00EA0251"/>
    <w:rsid w:val="00EA03DE"/>
    <w:rsid w:val="00EA043C"/>
    <w:rsid w:val="00EA05EE"/>
    <w:rsid w:val="00EA0604"/>
    <w:rsid w:val="00EA061F"/>
    <w:rsid w:val="00EA06B6"/>
    <w:rsid w:val="00EA073F"/>
    <w:rsid w:val="00EA0742"/>
    <w:rsid w:val="00EA0836"/>
    <w:rsid w:val="00EA0954"/>
    <w:rsid w:val="00EA0CE5"/>
    <w:rsid w:val="00EA0CEA"/>
    <w:rsid w:val="00EA0E4F"/>
    <w:rsid w:val="00EA0F0E"/>
    <w:rsid w:val="00EA1065"/>
    <w:rsid w:val="00EA10A6"/>
    <w:rsid w:val="00EA10C9"/>
    <w:rsid w:val="00EA10F4"/>
    <w:rsid w:val="00EA1151"/>
    <w:rsid w:val="00EA1270"/>
    <w:rsid w:val="00EA1366"/>
    <w:rsid w:val="00EA1434"/>
    <w:rsid w:val="00EA1494"/>
    <w:rsid w:val="00EA14B7"/>
    <w:rsid w:val="00EA1545"/>
    <w:rsid w:val="00EA16D9"/>
    <w:rsid w:val="00EA17AE"/>
    <w:rsid w:val="00EA1813"/>
    <w:rsid w:val="00EA1911"/>
    <w:rsid w:val="00EA19CA"/>
    <w:rsid w:val="00EA1A47"/>
    <w:rsid w:val="00EA1A73"/>
    <w:rsid w:val="00EA1B88"/>
    <w:rsid w:val="00EA1EBB"/>
    <w:rsid w:val="00EA1EDC"/>
    <w:rsid w:val="00EA1F01"/>
    <w:rsid w:val="00EA1F34"/>
    <w:rsid w:val="00EA2005"/>
    <w:rsid w:val="00EA20A1"/>
    <w:rsid w:val="00EA20A4"/>
    <w:rsid w:val="00EA20A5"/>
    <w:rsid w:val="00EA2166"/>
    <w:rsid w:val="00EA217E"/>
    <w:rsid w:val="00EA21EC"/>
    <w:rsid w:val="00EA2284"/>
    <w:rsid w:val="00EA2426"/>
    <w:rsid w:val="00EA2552"/>
    <w:rsid w:val="00EA2569"/>
    <w:rsid w:val="00EA25FB"/>
    <w:rsid w:val="00EA2611"/>
    <w:rsid w:val="00EA2615"/>
    <w:rsid w:val="00EA2690"/>
    <w:rsid w:val="00EA27B2"/>
    <w:rsid w:val="00EA27D7"/>
    <w:rsid w:val="00EA2805"/>
    <w:rsid w:val="00EA2818"/>
    <w:rsid w:val="00EA28DE"/>
    <w:rsid w:val="00EA28EB"/>
    <w:rsid w:val="00EA2AD9"/>
    <w:rsid w:val="00EA2C7B"/>
    <w:rsid w:val="00EA2C8B"/>
    <w:rsid w:val="00EA2CB6"/>
    <w:rsid w:val="00EA2EAD"/>
    <w:rsid w:val="00EA2F4A"/>
    <w:rsid w:val="00EA2F99"/>
    <w:rsid w:val="00EA2FDF"/>
    <w:rsid w:val="00EA2FEA"/>
    <w:rsid w:val="00EA3034"/>
    <w:rsid w:val="00EA3085"/>
    <w:rsid w:val="00EA30CF"/>
    <w:rsid w:val="00EA3106"/>
    <w:rsid w:val="00EA3143"/>
    <w:rsid w:val="00EA3161"/>
    <w:rsid w:val="00EA3221"/>
    <w:rsid w:val="00EA3273"/>
    <w:rsid w:val="00EA3289"/>
    <w:rsid w:val="00EA3290"/>
    <w:rsid w:val="00EA3481"/>
    <w:rsid w:val="00EA359C"/>
    <w:rsid w:val="00EA3643"/>
    <w:rsid w:val="00EA3711"/>
    <w:rsid w:val="00EA3730"/>
    <w:rsid w:val="00EA3734"/>
    <w:rsid w:val="00EA374C"/>
    <w:rsid w:val="00EA3853"/>
    <w:rsid w:val="00EA38FF"/>
    <w:rsid w:val="00EA3905"/>
    <w:rsid w:val="00EA3908"/>
    <w:rsid w:val="00EA39A7"/>
    <w:rsid w:val="00EA39CA"/>
    <w:rsid w:val="00EA3A96"/>
    <w:rsid w:val="00EA3ACB"/>
    <w:rsid w:val="00EA3B5D"/>
    <w:rsid w:val="00EA3C3E"/>
    <w:rsid w:val="00EA3D21"/>
    <w:rsid w:val="00EA3D6A"/>
    <w:rsid w:val="00EA3DBD"/>
    <w:rsid w:val="00EA3E88"/>
    <w:rsid w:val="00EA3EBA"/>
    <w:rsid w:val="00EA3ED6"/>
    <w:rsid w:val="00EA3ED9"/>
    <w:rsid w:val="00EA3EE6"/>
    <w:rsid w:val="00EA3F30"/>
    <w:rsid w:val="00EA3F70"/>
    <w:rsid w:val="00EA408F"/>
    <w:rsid w:val="00EA4090"/>
    <w:rsid w:val="00EA40B5"/>
    <w:rsid w:val="00EA40DB"/>
    <w:rsid w:val="00EA40DC"/>
    <w:rsid w:val="00EA42FF"/>
    <w:rsid w:val="00EA43E6"/>
    <w:rsid w:val="00EA4411"/>
    <w:rsid w:val="00EA44AA"/>
    <w:rsid w:val="00EA454A"/>
    <w:rsid w:val="00EA4571"/>
    <w:rsid w:val="00EA45B7"/>
    <w:rsid w:val="00EA4694"/>
    <w:rsid w:val="00EA46D0"/>
    <w:rsid w:val="00EA4771"/>
    <w:rsid w:val="00EA48D3"/>
    <w:rsid w:val="00EA48EC"/>
    <w:rsid w:val="00EA4915"/>
    <w:rsid w:val="00EA4984"/>
    <w:rsid w:val="00EA4A74"/>
    <w:rsid w:val="00EA4A86"/>
    <w:rsid w:val="00EA4CD9"/>
    <w:rsid w:val="00EA4D12"/>
    <w:rsid w:val="00EA4D7D"/>
    <w:rsid w:val="00EA4DB2"/>
    <w:rsid w:val="00EA4E4F"/>
    <w:rsid w:val="00EA4E6E"/>
    <w:rsid w:val="00EA4ECB"/>
    <w:rsid w:val="00EA4EF6"/>
    <w:rsid w:val="00EA4F4A"/>
    <w:rsid w:val="00EA4F68"/>
    <w:rsid w:val="00EA4F92"/>
    <w:rsid w:val="00EA4FE7"/>
    <w:rsid w:val="00EA5189"/>
    <w:rsid w:val="00EA5247"/>
    <w:rsid w:val="00EA5276"/>
    <w:rsid w:val="00EA527E"/>
    <w:rsid w:val="00EA52A9"/>
    <w:rsid w:val="00EA53A3"/>
    <w:rsid w:val="00EA53A6"/>
    <w:rsid w:val="00EA544B"/>
    <w:rsid w:val="00EA545F"/>
    <w:rsid w:val="00EA546B"/>
    <w:rsid w:val="00EA5505"/>
    <w:rsid w:val="00EA553F"/>
    <w:rsid w:val="00EA55EB"/>
    <w:rsid w:val="00EA562A"/>
    <w:rsid w:val="00EA5637"/>
    <w:rsid w:val="00EA56D8"/>
    <w:rsid w:val="00EA5704"/>
    <w:rsid w:val="00EA577A"/>
    <w:rsid w:val="00EA57C5"/>
    <w:rsid w:val="00EA57E8"/>
    <w:rsid w:val="00EA5882"/>
    <w:rsid w:val="00EA58AC"/>
    <w:rsid w:val="00EA5988"/>
    <w:rsid w:val="00EA5AA8"/>
    <w:rsid w:val="00EA5B6B"/>
    <w:rsid w:val="00EA5B76"/>
    <w:rsid w:val="00EA5BE7"/>
    <w:rsid w:val="00EA5C31"/>
    <w:rsid w:val="00EA5C3A"/>
    <w:rsid w:val="00EA5C3F"/>
    <w:rsid w:val="00EA5C9F"/>
    <w:rsid w:val="00EA5D6F"/>
    <w:rsid w:val="00EA5D7E"/>
    <w:rsid w:val="00EA5DB3"/>
    <w:rsid w:val="00EA5DDA"/>
    <w:rsid w:val="00EA5E04"/>
    <w:rsid w:val="00EA5E21"/>
    <w:rsid w:val="00EA5F31"/>
    <w:rsid w:val="00EA5F74"/>
    <w:rsid w:val="00EA5F92"/>
    <w:rsid w:val="00EA5FB1"/>
    <w:rsid w:val="00EA605C"/>
    <w:rsid w:val="00EA6086"/>
    <w:rsid w:val="00EA61BE"/>
    <w:rsid w:val="00EA6224"/>
    <w:rsid w:val="00EA6239"/>
    <w:rsid w:val="00EA62CA"/>
    <w:rsid w:val="00EA631D"/>
    <w:rsid w:val="00EA6351"/>
    <w:rsid w:val="00EA63CA"/>
    <w:rsid w:val="00EA6462"/>
    <w:rsid w:val="00EA64B4"/>
    <w:rsid w:val="00EA64CC"/>
    <w:rsid w:val="00EA659E"/>
    <w:rsid w:val="00EA65C8"/>
    <w:rsid w:val="00EA65F1"/>
    <w:rsid w:val="00EA662D"/>
    <w:rsid w:val="00EA6645"/>
    <w:rsid w:val="00EA6665"/>
    <w:rsid w:val="00EA66A6"/>
    <w:rsid w:val="00EA66FA"/>
    <w:rsid w:val="00EA6700"/>
    <w:rsid w:val="00EA670D"/>
    <w:rsid w:val="00EA67D0"/>
    <w:rsid w:val="00EA6935"/>
    <w:rsid w:val="00EA6967"/>
    <w:rsid w:val="00EA697F"/>
    <w:rsid w:val="00EA69CC"/>
    <w:rsid w:val="00EA69E5"/>
    <w:rsid w:val="00EA69EF"/>
    <w:rsid w:val="00EA6A8E"/>
    <w:rsid w:val="00EA6B20"/>
    <w:rsid w:val="00EA6C1C"/>
    <w:rsid w:val="00EA6D90"/>
    <w:rsid w:val="00EA6DE7"/>
    <w:rsid w:val="00EA6E95"/>
    <w:rsid w:val="00EA6EBC"/>
    <w:rsid w:val="00EA6F44"/>
    <w:rsid w:val="00EA6F62"/>
    <w:rsid w:val="00EA7007"/>
    <w:rsid w:val="00EA70B4"/>
    <w:rsid w:val="00EA70EF"/>
    <w:rsid w:val="00EA722F"/>
    <w:rsid w:val="00EA724B"/>
    <w:rsid w:val="00EA726A"/>
    <w:rsid w:val="00EA728A"/>
    <w:rsid w:val="00EA72B2"/>
    <w:rsid w:val="00EA7347"/>
    <w:rsid w:val="00EA73CA"/>
    <w:rsid w:val="00EA73FF"/>
    <w:rsid w:val="00EA743F"/>
    <w:rsid w:val="00EA7445"/>
    <w:rsid w:val="00EA74C2"/>
    <w:rsid w:val="00EA75BD"/>
    <w:rsid w:val="00EA75E2"/>
    <w:rsid w:val="00EA7613"/>
    <w:rsid w:val="00EA77DB"/>
    <w:rsid w:val="00EA78EF"/>
    <w:rsid w:val="00EA7921"/>
    <w:rsid w:val="00EA793B"/>
    <w:rsid w:val="00EA7980"/>
    <w:rsid w:val="00EA79A5"/>
    <w:rsid w:val="00EA79A9"/>
    <w:rsid w:val="00EA7A65"/>
    <w:rsid w:val="00EA7A7E"/>
    <w:rsid w:val="00EA7B54"/>
    <w:rsid w:val="00EA7BD9"/>
    <w:rsid w:val="00EA7D96"/>
    <w:rsid w:val="00EA7D9A"/>
    <w:rsid w:val="00EA7E4B"/>
    <w:rsid w:val="00EB0030"/>
    <w:rsid w:val="00EB0100"/>
    <w:rsid w:val="00EB011E"/>
    <w:rsid w:val="00EB0131"/>
    <w:rsid w:val="00EB0155"/>
    <w:rsid w:val="00EB0199"/>
    <w:rsid w:val="00EB02FC"/>
    <w:rsid w:val="00EB03E3"/>
    <w:rsid w:val="00EB0448"/>
    <w:rsid w:val="00EB04BA"/>
    <w:rsid w:val="00EB05DA"/>
    <w:rsid w:val="00EB0661"/>
    <w:rsid w:val="00EB0722"/>
    <w:rsid w:val="00EB087F"/>
    <w:rsid w:val="00EB08E9"/>
    <w:rsid w:val="00EB0926"/>
    <w:rsid w:val="00EB09D4"/>
    <w:rsid w:val="00EB0A57"/>
    <w:rsid w:val="00EB0A98"/>
    <w:rsid w:val="00EB0B95"/>
    <w:rsid w:val="00EB0BDE"/>
    <w:rsid w:val="00EB0CAB"/>
    <w:rsid w:val="00EB0D35"/>
    <w:rsid w:val="00EB0E1A"/>
    <w:rsid w:val="00EB0EC9"/>
    <w:rsid w:val="00EB0F0A"/>
    <w:rsid w:val="00EB0F84"/>
    <w:rsid w:val="00EB0FA7"/>
    <w:rsid w:val="00EB0FB9"/>
    <w:rsid w:val="00EB0FE2"/>
    <w:rsid w:val="00EB1031"/>
    <w:rsid w:val="00EB1056"/>
    <w:rsid w:val="00EB1147"/>
    <w:rsid w:val="00EB11B3"/>
    <w:rsid w:val="00EB1260"/>
    <w:rsid w:val="00EB127A"/>
    <w:rsid w:val="00EB1357"/>
    <w:rsid w:val="00EB13A6"/>
    <w:rsid w:val="00EB13DB"/>
    <w:rsid w:val="00EB1594"/>
    <w:rsid w:val="00EB1644"/>
    <w:rsid w:val="00EB16C9"/>
    <w:rsid w:val="00EB1720"/>
    <w:rsid w:val="00EB1751"/>
    <w:rsid w:val="00EB1832"/>
    <w:rsid w:val="00EB18F9"/>
    <w:rsid w:val="00EB190F"/>
    <w:rsid w:val="00EB19F6"/>
    <w:rsid w:val="00EB1A57"/>
    <w:rsid w:val="00EB1C2D"/>
    <w:rsid w:val="00EB1C3D"/>
    <w:rsid w:val="00EB1CAF"/>
    <w:rsid w:val="00EB1CE0"/>
    <w:rsid w:val="00EB1D04"/>
    <w:rsid w:val="00EB1D35"/>
    <w:rsid w:val="00EB1EA2"/>
    <w:rsid w:val="00EB1EC7"/>
    <w:rsid w:val="00EB1FE6"/>
    <w:rsid w:val="00EB2005"/>
    <w:rsid w:val="00EB21FF"/>
    <w:rsid w:val="00EB2336"/>
    <w:rsid w:val="00EB234A"/>
    <w:rsid w:val="00EB235B"/>
    <w:rsid w:val="00EB2559"/>
    <w:rsid w:val="00EB2632"/>
    <w:rsid w:val="00EB26A8"/>
    <w:rsid w:val="00EB2757"/>
    <w:rsid w:val="00EB2896"/>
    <w:rsid w:val="00EB289E"/>
    <w:rsid w:val="00EB28E8"/>
    <w:rsid w:val="00EB2953"/>
    <w:rsid w:val="00EB29A0"/>
    <w:rsid w:val="00EB29F6"/>
    <w:rsid w:val="00EB2A57"/>
    <w:rsid w:val="00EB2B4E"/>
    <w:rsid w:val="00EB2BAF"/>
    <w:rsid w:val="00EB2BE0"/>
    <w:rsid w:val="00EB2BF0"/>
    <w:rsid w:val="00EB2C1B"/>
    <w:rsid w:val="00EB2E6E"/>
    <w:rsid w:val="00EB2EC2"/>
    <w:rsid w:val="00EB2F2E"/>
    <w:rsid w:val="00EB2FEB"/>
    <w:rsid w:val="00EB30BB"/>
    <w:rsid w:val="00EB30F1"/>
    <w:rsid w:val="00EB3163"/>
    <w:rsid w:val="00EB31A3"/>
    <w:rsid w:val="00EB3205"/>
    <w:rsid w:val="00EB325B"/>
    <w:rsid w:val="00EB32A2"/>
    <w:rsid w:val="00EB3323"/>
    <w:rsid w:val="00EB337B"/>
    <w:rsid w:val="00EB3382"/>
    <w:rsid w:val="00EB33AB"/>
    <w:rsid w:val="00EB344A"/>
    <w:rsid w:val="00EB35BD"/>
    <w:rsid w:val="00EB35DC"/>
    <w:rsid w:val="00EB3663"/>
    <w:rsid w:val="00EB3685"/>
    <w:rsid w:val="00EB36DB"/>
    <w:rsid w:val="00EB37CF"/>
    <w:rsid w:val="00EB3831"/>
    <w:rsid w:val="00EB383B"/>
    <w:rsid w:val="00EB3848"/>
    <w:rsid w:val="00EB3BA3"/>
    <w:rsid w:val="00EB3C60"/>
    <w:rsid w:val="00EB3D89"/>
    <w:rsid w:val="00EB3E22"/>
    <w:rsid w:val="00EB3E47"/>
    <w:rsid w:val="00EB3E83"/>
    <w:rsid w:val="00EB3ED4"/>
    <w:rsid w:val="00EB404F"/>
    <w:rsid w:val="00EB4064"/>
    <w:rsid w:val="00EB406D"/>
    <w:rsid w:val="00EB40CC"/>
    <w:rsid w:val="00EB427C"/>
    <w:rsid w:val="00EB42AE"/>
    <w:rsid w:val="00EB42E7"/>
    <w:rsid w:val="00EB439C"/>
    <w:rsid w:val="00EB45C4"/>
    <w:rsid w:val="00EB4650"/>
    <w:rsid w:val="00EB467B"/>
    <w:rsid w:val="00EB469F"/>
    <w:rsid w:val="00EB46E4"/>
    <w:rsid w:val="00EB46E5"/>
    <w:rsid w:val="00EB471A"/>
    <w:rsid w:val="00EB478B"/>
    <w:rsid w:val="00EB47A3"/>
    <w:rsid w:val="00EB48BF"/>
    <w:rsid w:val="00EB4922"/>
    <w:rsid w:val="00EB4A21"/>
    <w:rsid w:val="00EB4A6F"/>
    <w:rsid w:val="00EB4A71"/>
    <w:rsid w:val="00EB4ACD"/>
    <w:rsid w:val="00EB4B03"/>
    <w:rsid w:val="00EB4C12"/>
    <w:rsid w:val="00EB4C17"/>
    <w:rsid w:val="00EB4CDC"/>
    <w:rsid w:val="00EB4CF7"/>
    <w:rsid w:val="00EB4D7D"/>
    <w:rsid w:val="00EB4D95"/>
    <w:rsid w:val="00EB4ECE"/>
    <w:rsid w:val="00EB4F1A"/>
    <w:rsid w:val="00EB5004"/>
    <w:rsid w:val="00EB505B"/>
    <w:rsid w:val="00EB51E3"/>
    <w:rsid w:val="00EB5270"/>
    <w:rsid w:val="00EB531A"/>
    <w:rsid w:val="00EB533A"/>
    <w:rsid w:val="00EB5491"/>
    <w:rsid w:val="00EB54C5"/>
    <w:rsid w:val="00EB55B3"/>
    <w:rsid w:val="00EB55B9"/>
    <w:rsid w:val="00EB55F4"/>
    <w:rsid w:val="00EB5601"/>
    <w:rsid w:val="00EB5631"/>
    <w:rsid w:val="00EB567E"/>
    <w:rsid w:val="00EB56B7"/>
    <w:rsid w:val="00EB57D2"/>
    <w:rsid w:val="00EB58CD"/>
    <w:rsid w:val="00EB591F"/>
    <w:rsid w:val="00EB59FD"/>
    <w:rsid w:val="00EB5A1E"/>
    <w:rsid w:val="00EB5A4C"/>
    <w:rsid w:val="00EB5A9B"/>
    <w:rsid w:val="00EB5B34"/>
    <w:rsid w:val="00EB5B48"/>
    <w:rsid w:val="00EB5B53"/>
    <w:rsid w:val="00EB5C01"/>
    <w:rsid w:val="00EB5C60"/>
    <w:rsid w:val="00EB5C68"/>
    <w:rsid w:val="00EB5C89"/>
    <w:rsid w:val="00EB5CD7"/>
    <w:rsid w:val="00EB5CF6"/>
    <w:rsid w:val="00EB5D36"/>
    <w:rsid w:val="00EB5D8C"/>
    <w:rsid w:val="00EB5D9B"/>
    <w:rsid w:val="00EB5E3D"/>
    <w:rsid w:val="00EB5E59"/>
    <w:rsid w:val="00EB5EE5"/>
    <w:rsid w:val="00EB609A"/>
    <w:rsid w:val="00EB609D"/>
    <w:rsid w:val="00EB60B2"/>
    <w:rsid w:val="00EB60F3"/>
    <w:rsid w:val="00EB610F"/>
    <w:rsid w:val="00EB6115"/>
    <w:rsid w:val="00EB628B"/>
    <w:rsid w:val="00EB62A9"/>
    <w:rsid w:val="00EB63D3"/>
    <w:rsid w:val="00EB64BD"/>
    <w:rsid w:val="00EB64D9"/>
    <w:rsid w:val="00EB6531"/>
    <w:rsid w:val="00EB6535"/>
    <w:rsid w:val="00EB6563"/>
    <w:rsid w:val="00EB65A1"/>
    <w:rsid w:val="00EB660C"/>
    <w:rsid w:val="00EB6798"/>
    <w:rsid w:val="00EB67A1"/>
    <w:rsid w:val="00EB681A"/>
    <w:rsid w:val="00EB693B"/>
    <w:rsid w:val="00EB6AC2"/>
    <w:rsid w:val="00EB6ACF"/>
    <w:rsid w:val="00EB6AF3"/>
    <w:rsid w:val="00EB6B2F"/>
    <w:rsid w:val="00EB6B3C"/>
    <w:rsid w:val="00EB6B43"/>
    <w:rsid w:val="00EB6BF4"/>
    <w:rsid w:val="00EB6CA2"/>
    <w:rsid w:val="00EB6D4F"/>
    <w:rsid w:val="00EB6D8A"/>
    <w:rsid w:val="00EB6DE9"/>
    <w:rsid w:val="00EB6E47"/>
    <w:rsid w:val="00EB6E8D"/>
    <w:rsid w:val="00EB6F0B"/>
    <w:rsid w:val="00EB6FB4"/>
    <w:rsid w:val="00EB6FC3"/>
    <w:rsid w:val="00EB70A9"/>
    <w:rsid w:val="00EB7266"/>
    <w:rsid w:val="00EB7338"/>
    <w:rsid w:val="00EB73B8"/>
    <w:rsid w:val="00EB73E6"/>
    <w:rsid w:val="00EB74A9"/>
    <w:rsid w:val="00EB76C5"/>
    <w:rsid w:val="00EB76D9"/>
    <w:rsid w:val="00EB778C"/>
    <w:rsid w:val="00EB77BD"/>
    <w:rsid w:val="00EB77EA"/>
    <w:rsid w:val="00EB7816"/>
    <w:rsid w:val="00EB78BB"/>
    <w:rsid w:val="00EB7908"/>
    <w:rsid w:val="00EB79EE"/>
    <w:rsid w:val="00EB79FE"/>
    <w:rsid w:val="00EB7ACA"/>
    <w:rsid w:val="00EB7B14"/>
    <w:rsid w:val="00EB7B60"/>
    <w:rsid w:val="00EB7BA9"/>
    <w:rsid w:val="00EB7CD3"/>
    <w:rsid w:val="00EB7D0C"/>
    <w:rsid w:val="00EB7D4D"/>
    <w:rsid w:val="00EB7D75"/>
    <w:rsid w:val="00EB7DA5"/>
    <w:rsid w:val="00EB7EB0"/>
    <w:rsid w:val="00EB7F7A"/>
    <w:rsid w:val="00EB7FD5"/>
    <w:rsid w:val="00EC00ED"/>
    <w:rsid w:val="00EC0116"/>
    <w:rsid w:val="00EC01DE"/>
    <w:rsid w:val="00EC02F5"/>
    <w:rsid w:val="00EC031E"/>
    <w:rsid w:val="00EC0366"/>
    <w:rsid w:val="00EC03A4"/>
    <w:rsid w:val="00EC0472"/>
    <w:rsid w:val="00EC04AC"/>
    <w:rsid w:val="00EC061F"/>
    <w:rsid w:val="00EC06D0"/>
    <w:rsid w:val="00EC0714"/>
    <w:rsid w:val="00EC087B"/>
    <w:rsid w:val="00EC08F3"/>
    <w:rsid w:val="00EC0900"/>
    <w:rsid w:val="00EC091B"/>
    <w:rsid w:val="00EC09BB"/>
    <w:rsid w:val="00EC0A5B"/>
    <w:rsid w:val="00EC0A73"/>
    <w:rsid w:val="00EC0B20"/>
    <w:rsid w:val="00EC0B7D"/>
    <w:rsid w:val="00EC0BC0"/>
    <w:rsid w:val="00EC0C12"/>
    <w:rsid w:val="00EC0C1A"/>
    <w:rsid w:val="00EC0C62"/>
    <w:rsid w:val="00EC0CFD"/>
    <w:rsid w:val="00EC0DA9"/>
    <w:rsid w:val="00EC0E99"/>
    <w:rsid w:val="00EC0EE7"/>
    <w:rsid w:val="00EC0F0D"/>
    <w:rsid w:val="00EC104A"/>
    <w:rsid w:val="00EC1140"/>
    <w:rsid w:val="00EC1161"/>
    <w:rsid w:val="00EC118C"/>
    <w:rsid w:val="00EC1230"/>
    <w:rsid w:val="00EC1260"/>
    <w:rsid w:val="00EC12BB"/>
    <w:rsid w:val="00EC12C7"/>
    <w:rsid w:val="00EC1398"/>
    <w:rsid w:val="00EC13A0"/>
    <w:rsid w:val="00EC13DA"/>
    <w:rsid w:val="00EC14CB"/>
    <w:rsid w:val="00EC153A"/>
    <w:rsid w:val="00EC1551"/>
    <w:rsid w:val="00EC16A6"/>
    <w:rsid w:val="00EC16F3"/>
    <w:rsid w:val="00EC1718"/>
    <w:rsid w:val="00EC188D"/>
    <w:rsid w:val="00EC1946"/>
    <w:rsid w:val="00EC19F0"/>
    <w:rsid w:val="00EC1A22"/>
    <w:rsid w:val="00EC1A32"/>
    <w:rsid w:val="00EC1BB8"/>
    <w:rsid w:val="00EC1C3A"/>
    <w:rsid w:val="00EC1C72"/>
    <w:rsid w:val="00EC1D4F"/>
    <w:rsid w:val="00EC1DA3"/>
    <w:rsid w:val="00EC1E18"/>
    <w:rsid w:val="00EC1E19"/>
    <w:rsid w:val="00EC1E64"/>
    <w:rsid w:val="00EC1E79"/>
    <w:rsid w:val="00EC1EA0"/>
    <w:rsid w:val="00EC1EF6"/>
    <w:rsid w:val="00EC1F51"/>
    <w:rsid w:val="00EC208F"/>
    <w:rsid w:val="00EC214E"/>
    <w:rsid w:val="00EC2156"/>
    <w:rsid w:val="00EC224A"/>
    <w:rsid w:val="00EC2388"/>
    <w:rsid w:val="00EC2551"/>
    <w:rsid w:val="00EC25B2"/>
    <w:rsid w:val="00EC25F0"/>
    <w:rsid w:val="00EC2618"/>
    <w:rsid w:val="00EC26E2"/>
    <w:rsid w:val="00EC2713"/>
    <w:rsid w:val="00EC2725"/>
    <w:rsid w:val="00EC27A0"/>
    <w:rsid w:val="00EC27B1"/>
    <w:rsid w:val="00EC2815"/>
    <w:rsid w:val="00EC28C7"/>
    <w:rsid w:val="00EC2AA5"/>
    <w:rsid w:val="00EC2B1D"/>
    <w:rsid w:val="00EC2B37"/>
    <w:rsid w:val="00EC2BD6"/>
    <w:rsid w:val="00EC2C6A"/>
    <w:rsid w:val="00EC2C72"/>
    <w:rsid w:val="00EC2C7E"/>
    <w:rsid w:val="00EC2C82"/>
    <w:rsid w:val="00EC2D8B"/>
    <w:rsid w:val="00EC2E06"/>
    <w:rsid w:val="00EC2EB1"/>
    <w:rsid w:val="00EC2FF6"/>
    <w:rsid w:val="00EC3033"/>
    <w:rsid w:val="00EC303D"/>
    <w:rsid w:val="00EC30E2"/>
    <w:rsid w:val="00EC31AC"/>
    <w:rsid w:val="00EC325B"/>
    <w:rsid w:val="00EC3264"/>
    <w:rsid w:val="00EC32BC"/>
    <w:rsid w:val="00EC33DE"/>
    <w:rsid w:val="00EC3425"/>
    <w:rsid w:val="00EC355D"/>
    <w:rsid w:val="00EC385A"/>
    <w:rsid w:val="00EC3899"/>
    <w:rsid w:val="00EC38A7"/>
    <w:rsid w:val="00EC38AB"/>
    <w:rsid w:val="00EC390B"/>
    <w:rsid w:val="00EC390C"/>
    <w:rsid w:val="00EC3982"/>
    <w:rsid w:val="00EC3985"/>
    <w:rsid w:val="00EC3A04"/>
    <w:rsid w:val="00EC3A3E"/>
    <w:rsid w:val="00EC3A6A"/>
    <w:rsid w:val="00EC3BC5"/>
    <w:rsid w:val="00EC3CAD"/>
    <w:rsid w:val="00EC3D1B"/>
    <w:rsid w:val="00EC3E78"/>
    <w:rsid w:val="00EC3E9D"/>
    <w:rsid w:val="00EC3FFC"/>
    <w:rsid w:val="00EC3FFF"/>
    <w:rsid w:val="00EC407B"/>
    <w:rsid w:val="00EC40BC"/>
    <w:rsid w:val="00EC4104"/>
    <w:rsid w:val="00EC4233"/>
    <w:rsid w:val="00EC440B"/>
    <w:rsid w:val="00EC442D"/>
    <w:rsid w:val="00EC4483"/>
    <w:rsid w:val="00EC4501"/>
    <w:rsid w:val="00EC4544"/>
    <w:rsid w:val="00EC45DC"/>
    <w:rsid w:val="00EC4625"/>
    <w:rsid w:val="00EC4647"/>
    <w:rsid w:val="00EC47A1"/>
    <w:rsid w:val="00EC47B2"/>
    <w:rsid w:val="00EC47E2"/>
    <w:rsid w:val="00EC4832"/>
    <w:rsid w:val="00EC48CD"/>
    <w:rsid w:val="00EC4A7B"/>
    <w:rsid w:val="00EC4A83"/>
    <w:rsid w:val="00EC4A85"/>
    <w:rsid w:val="00EC4A87"/>
    <w:rsid w:val="00EC4B94"/>
    <w:rsid w:val="00EC4C9E"/>
    <w:rsid w:val="00EC4D07"/>
    <w:rsid w:val="00EC4D23"/>
    <w:rsid w:val="00EC4D3D"/>
    <w:rsid w:val="00EC4D78"/>
    <w:rsid w:val="00EC4DA0"/>
    <w:rsid w:val="00EC4E61"/>
    <w:rsid w:val="00EC4ED4"/>
    <w:rsid w:val="00EC4EFE"/>
    <w:rsid w:val="00EC4F81"/>
    <w:rsid w:val="00EC5026"/>
    <w:rsid w:val="00EC508A"/>
    <w:rsid w:val="00EC509F"/>
    <w:rsid w:val="00EC5108"/>
    <w:rsid w:val="00EC51A2"/>
    <w:rsid w:val="00EC5200"/>
    <w:rsid w:val="00EC52B9"/>
    <w:rsid w:val="00EC52F1"/>
    <w:rsid w:val="00EC535B"/>
    <w:rsid w:val="00EC53DF"/>
    <w:rsid w:val="00EC54AC"/>
    <w:rsid w:val="00EC5565"/>
    <w:rsid w:val="00EC556F"/>
    <w:rsid w:val="00EC55C8"/>
    <w:rsid w:val="00EC56D5"/>
    <w:rsid w:val="00EC576E"/>
    <w:rsid w:val="00EC579A"/>
    <w:rsid w:val="00EC57B2"/>
    <w:rsid w:val="00EC57B7"/>
    <w:rsid w:val="00EC5865"/>
    <w:rsid w:val="00EC58D7"/>
    <w:rsid w:val="00EC58F4"/>
    <w:rsid w:val="00EC5908"/>
    <w:rsid w:val="00EC59C5"/>
    <w:rsid w:val="00EC59E5"/>
    <w:rsid w:val="00EC59F1"/>
    <w:rsid w:val="00EC5A2A"/>
    <w:rsid w:val="00EC5A42"/>
    <w:rsid w:val="00EC5A5D"/>
    <w:rsid w:val="00EC5A6B"/>
    <w:rsid w:val="00EC5C21"/>
    <w:rsid w:val="00EC5C2F"/>
    <w:rsid w:val="00EC5CFD"/>
    <w:rsid w:val="00EC5D14"/>
    <w:rsid w:val="00EC5DCF"/>
    <w:rsid w:val="00EC5E20"/>
    <w:rsid w:val="00EC5E4F"/>
    <w:rsid w:val="00EC5E89"/>
    <w:rsid w:val="00EC5F57"/>
    <w:rsid w:val="00EC603C"/>
    <w:rsid w:val="00EC60D4"/>
    <w:rsid w:val="00EC627E"/>
    <w:rsid w:val="00EC62FB"/>
    <w:rsid w:val="00EC6314"/>
    <w:rsid w:val="00EC63BA"/>
    <w:rsid w:val="00EC6478"/>
    <w:rsid w:val="00EC650B"/>
    <w:rsid w:val="00EC66EB"/>
    <w:rsid w:val="00EC672C"/>
    <w:rsid w:val="00EC6979"/>
    <w:rsid w:val="00EC69A1"/>
    <w:rsid w:val="00EC69C9"/>
    <w:rsid w:val="00EC6C28"/>
    <w:rsid w:val="00EC6D34"/>
    <w:rsid w:val="00EC6D83"/>
    <w:rsid w:val="00EC6E28"/>
    <w:rsid w:val="00EC6EDD"/>
    <w:rsid w:val="00EC7076"/>
    <w:rsid w:val="00EC70E1"/>
    <w:rsid w:val="00EC7171"/>
    <w:rsid w:val="00EC7385"/>
    <w:rsid w:val="00EC73AB"/>
    <w:rsid w:val="00EC741E"/>
    <w:rsid w:val="00EC7444"/>
    <w:rsid w:val="00EC74CA"/>
    <w:rsid w:val="00EC7501"/>
    <w:rsid w:val="00EC7512"/>
    <w:rsid w:val="00EC75B7"/>
    <w:rsid w:val="00EC7667"/>
    <w:rsid w:val="00EC7715"/>
    <w:rsid w:val="00EC778A"/>
    <w:rsid w:val="00EC77C2"/>
    <w:rsid w:val="00EC7808"/>
    <w:rsid w:val="00EC795D"/>
    <w:rsid w:val="00EC79D8"/>
    <w:rsid w:val="00EC7A13"/>
    <w:rsid w:val="00EC7AB4"/>
    <w:rsid w:val="00EC7B79"/>
    <w:rsid w:val="00EC7B80"/>
    <w:rsid w:val="00EC7BE2"/>
    <w:rsid w:val="00EC7BFA"/>
    <w:rsid w:val="00EC7CFE"/>
    <w:rsid w:val="00EC7D2F"/>
    <w:rsid w:val="00EC7E37"/>
    <w:rsid w:val="00EC7E8A"/>
    <w:rsid w:val="00EC7E8E"/>
    <w:rsid w:val="00EC7EA2"/>
    <w:rsid w:val="00EC7F33"/>
    <w:rsid w:val="00EC7FB9"/>
    <w:rsid w:val="00EC7FEE"/>
    <w:rsid w:val="00ED025C"/>
    <w:rsid w:val="00ED026A"/>
    <w:rsid w:val="00ED02D5"/>
    <w:rsid w:val="00ED0391"/>
    <w:rsid w:val="00ED042E"/>
    <w:rsid w:val="00ED0439"/>
    <w:rsid w:val="00ED04FA"/>
    <w:rsid w:val="00ED0518"/>
    <w:rsid w:val="00ED0534"/>
    <w:rsid w:val="00ED0555"/>
    <w:rsid w:val="00ED05EF"/>
    <w:rsid w:val="00ED0651"/>
    <w:rsid w:val="00ED067E"/>
    <w:rsid w:val="00ED06A4"/>
    <w:rsid w:val="00ED06AF"/>
    <w:rsid w:val="00ED07EB"/>
    <w:rsid w:val="00ED0886"/>
    <w:rsid w:val="00ED0990"/>
    <w:rsid w:val="00ED09E0"/>
    <w:rsid w:val="00ED0B08"/>
    <w:rsid w:val="00ED0B24"/>
    <w:rsid w:val="00ED0B2C"/>
    <w:rsid w:val="00ED0B76"/>
    <w:rsid w:val="00ED0C69"/>
    <w:rsid w:val="00ED0CFA"/>
    <w:rsid w:val="00ED0E7D"/>
    <w:rsid w:val="00ED10BA"/>
    <w:rsid w:val="00ED113B"/>
    <w:rsid w:val="00ED1176"/>
    <w:rsid w:val="00ED11BC"/>
    <w:rsid w:val="00ED11BD"/>
    <w:rsid w:val="00ED1213"/>
    <w:rsid w:val="00ED122F"/>
    <w:rsid w:val="00ED1259"/>
    <w:rsid w:val="00ED1295"/>
    <w:rsid w:val="00ED13AA"/>
    <w:rsid w:val="00ED1436"/>
    <w:rsid w:val="00ED1462"/>
    <w:rsid w:val="00ED14E0"/>
    <w:rsid w:val="00ED1557"/>
    <w:rsid w:val="00ED1583"/>
    <w:rsid w:val="00ED1608"/>
    <w:rsid w:val="00ED1652"/>
    <w:rsid w:val="00ED16AF"/>
    <w:rsid w:val="00ED16B8"/>
    <w:rsid w:val="00ED16C9"/>
    <w:rsid w:val="00ED1739"/>
    <w:rsid w:val="00ED1742"/>
    <w:rsid w:val="00ED175A"/>
    <w:rsid w:val="00ED175E"/>
    <w:rsid w:val="00ED1793"/>
    <w:rsid w:val="00ED17A5"/>
    <w:rsid w:val="00ED1870"/>
    <w:rsid w:val="00ED1962"/>
    <w:rsid w:val="00ED19BC"/>
    <w:rsid w:val="00ED1A69"/>
    <w:rsid w:val="00ED1BD5"/>
    <w:rsid w:val="00ED1C29"/>
    <w:rsid w:val="00ED1C37"/>
    <w:rsid w:val="00ED1C54"/>
    <w:rsid w:val="00ED1C70"/>
    <w:rsid w:val="00ED1CE0"/>
    <w:rsid w:val="00ED1EC6"/>
    <w:rsid w:val="00ED1F6D"/>
    <w:rsid w:val="00ED1F85"/>
    <w:rsid w:val="00ED204C"/>
    <w:rsid w:val="00ED20BE"/>
    <w:rsid w:val="00ED20E8"/>
    <w:rsid w:val="00ED222A"/>
    <w:rsid w:val="00ED228A"/>
    <w:rsid w:val="00ED236C"/>
    <w:rsid w:val="00ED23B3"/>
    <w:rsid w:val="00ED2421"/>
    <w:rsid w:val="00ED2482"/>
    <w:rsid w:val="00ED251F"/>
    <w:rsid w:val="00ED264F"/>
    <w:rsid w:val="00ED2725"/>
    <w:rsid w:val="00ED272E"/>
    <w:rsid w:val="00ED2779"/>
    <w:rsid w:val="00ED28CB"/>
    <w:rsid w:val="00ED28DD"/>
    <w:rsid w:val="00ED29CB"/>
    <w:rsid w:val="00ED2A6A"/>
    <w:rsid w:val="00ED2A97"/>
    <w:rsid w:val="00ED2B0B"/>
    <w:rsid w:val="00ED2BD2"/>
    <w:rsid w:val="00ED2D15"/>
    <w:rsid w:val="00ED2DA2"/>
    <w:rsid w:val="00ED2E0E"/>
    <w:rsid w:val="00ED2E2A"/>
    <w:rsid w:val="00ED2EAD"/>
    <w:rsid w:val="00ED2EE5"/>
    <w:rsid w:val="00ED2FA6"/>
    <w:rsid w:val="00ED3040"/>
    <w:rsid w:val="00ED3186"/>
    <w:rsid w:val="00ED31FB"/>
    <w:rsid w:val="00ED3228"/>
    <w:rsid w:val="00ED33AC"/>
    <w:rsid w:val="00ED33E6"/>
    <w:rsid w:val="00ED33F0"/>
    <w:rsid w:val="00ED3449"/>
    <w:rsid w:val="00ED34D1"/>
    <w:rsid w:val="00ED3505"/>
    <w:rsid w:val="00ED3540"/>
    <w:rsid w:val="00ED356C"/>
    <w:rsid w:val="00ED3573"/>
    <w:rsid w:val="00ED367F"/>
    <w:rsid w:val="00ED36C7"/>
    <w:rsid w:val="00ED396E"/>
    <w:rsid w:val="00ED39B1"/>
    <w:rsid w:val="00ED39B9"/>
    <w:rsid w:val="00ED3A34"/>
    <w:rsid w:val="00ED3B4C"/>
    <w:rsid w:val="00ED3C26"/>
    <w:rsid w:val="00ED3C52"/>
    <w:rsid w:val="00ED3CBC"/>
    <w:rsid w:val="00ED3CC4"/>
    <w:rsid w:val="00ED3CEC"/>
    <w:rsid w:val="00ED3CFC"/>
    <w:rsid w:val="00ED3DD2"/>
    <w:rsid w:val="00ED3E05"/>
    <w:rsid w:val="00ED3EB0"/>
    <w:rsid w:val="00ED3F1D"/>
    <w:rsid w:val="00ED3FDB"/>
    <w:rsid w:val="00ED4147"/>
    <w:rsid w:val="00ED4206"/>
    <w:rsid w:val="00ED421A"/>
    <w:rsid w:val="00ED42C1"/>
    <w:rsid w:val="00ED4359"/>
    <w:rsid w:val="00ED450F"/>
    <w:rsid w:val="00ED4525"/>
    <w:rsid w:val="00ED45BB"/>
    <w:rsid w:val="00ED45CF"/>
    <w:rsid w:val="00ED4658"/>
    <w:rsid w:val="00ED46EE"/>
    <w:rsid w:val="00ED47A2"/>
    <w:rsid w:val="00ED47A7"/>
    <w:rsid w:val="00ED47B5"/>
    <w:rsid w:val="00ED4833"/>
    <w:rsid w:val="00ED4859"/>
    <w:rsid w:val="00ED48D4"/>
    <w:rsid w:val="00ED498A"/>
    <w:rsid w:val="00ED4A6A"/>
    <w:rsid w:val="00ED4AA7"/>
    <w:rsid w:val="00ED4B0E"/>
    <w:rsid w:val="00ED4D64"/>
    <w:rsid w:val="00ED4DAD"/>
    <w:rsid w:val="00ED4F48"/>
    <w:rsid w:val="00ED4F4B"/>
    <w:rsid w:val="00ED500A"/>
    <w:rsid w:val="00ED5033"/>
    <w:rsid w:val="00ED50C1"/>
    <w:rsid w:val="00ED5146"/>
    <w:rsid w:val="00ED51C5"/>
    <w:rsid w:val="00ED5360"/>
    <w:rsid w:val="00ED54E4"/>
    <w:rsid w:val="00ED54F4"/>
    <w:rsid w:val="00ED5500"/>
    <w:rsid w:val="00ED5513"/>
    <w:rsid w:val="00ED55A5"/>
    <w:rsid w:val="00ED56BF"/>
    <w:rsid w:val="00ED5750"/>
    <w:rsid w:val="00ED57FC"/>
    <w:rsid w:val="00ED58A2"/>
    <w:rsid w:val="00ED58C3"/>
    <w:rsid w:val="00ED58E5"/>
    <w:rsid w:val="00ED5992"/>
    <w:rsid w:val="00ED59C2"/>
    <w:rsid w:val="00ED59F8"/>
    <w:rsid w:val="00ED5AA9"/>
    <w:rsid w:val="00ED5AB5"/>
    <w:rsid w:val="00ED5B2A"/>
    <w:rsid w:val="00ED5C71"/>
    <w:rsid w:val="00ED5CF3"/>
    <w:rsid w:val="00ED5D34"/>
    <w:rsid w:val="00ED5D46"/>
    <w:rsid w:val="00ED5E61"/>
    <w:rsid w:val="00ED5EEE"/>
    <w:rsid w:val="00ED5F70"/>
    <w:rsid w:val="00ED6023"/>
    <w:rsid w:val="00ED6129"/>
    <w:rsid w:val="00ED61B3"/>
    <w:rsid w:val="00ED6221"/>
    <w:rsid w:val="00ED625A"/>
    <w:rsid w:val="00ED6270"/>
    <w:rsid w:val="00ED6422"/>
    <w:rsid w:val="00ED6431"/>
    <w:rsid w:val="00ED655E"/>
    <w:rsid w:val="00ED656D"/>
    <w:rsid w:val="00ED65A6"/>
    <w:rsid w:val="00ED65E6"/>
    <w:rsid w:val="00ED6622"/>
    <w:rsid w:val="00ED667C"/>
    <w:rsid w:val="00ED67AC"/>
    <w:rsid w:val="00ED68A7"/>
    <w:rsid w:val="00ED68FD"/>
    <w:rsid w:val="00ED69F9"/>
    <w:rsid w:val="00ED6ABF"/>
    <w:rsid w:val="00ED6D40"/>
    <w:rsid w:val="00ED6E23"/>
    <w:rsid w:val="00ED6E81"/>
    <w:rsid w:val="00ED6FDF"/>
    <w:rsid w:val="00ED7163"/>
    <w:rsid w:val="00ED7208"/>
    <w:rsid w:val="00ED7221"/>
    <w:rsid w:val="00ED72F2"/>
    <w:rsid w:val="00ED7355"/>
    <w:rsid w:val="00ED7369"/>
    <w:rsid w:val="00ED7468"/>
    <w:rsid w:val="00ED75C8"/>
    <w:rsid w:val="00ED75CB"/>
    <w:rsid w:val="00ED75DB"/>
    <w:rsid w:val="00ED75E3"/>
    <w:rsid w:val="00ED7621"/>
    <w:rsid w:val="00ED7666"/>
    <w:rsid w:val="00ED7677"/>
    <w:rsid w:val="00ED76F9"/>
    <w:rsid w:val="00ED776B"/>
    <w:rsid w:val="00ED77D1"/>
    <w:rsid w:val="00ED77F2"/>
    <w:rsid w:val="00ED7917"/>
    <w:rsid w:val="00ED7966"/>
    <w:rsid w:val="00ED7A01"/>
    <w:rsid w:val="00ED7A38"/>
    <w:rsid w:val="00ED7A58"/>
    <w:rsid w:val="00ED7A63"/>
    <w:rsid w:val="00ED7AA1"/>
    <w:rsid w:val="00ED7AE0"/>
    <w:rsid w:val="00ED7AF8"/>
    <w:rsid w:val="00ED7B37"/>
    <w:rsid w:val="00ED7B90"/>
    <w:rsid w:val="00ED7BD6"/>
    <w:rsid w:val="00ED7CB5"/>
    <w:rsid w:val="00ED7D3D"/>
    <w:rsid w:val="00ED7D57"/>
    <w:rsid w:val="00ED7D73"/>
    <w:rsid w:val="00ED7DF3"/>
    <w:rsid w:val="00ED7E0C"/>
    <w:rsid w:val="00ED7E1C"/>
    <w:rsid w:val="00ED7E1E"/>
    <w:rsid w:val="00ED7ECE"/>
    <w:rsid w:val="00ED7F00"/>
    <w:rsid w:val="00ED7F31"/>
    <w:rsid w:val="00ED7F3F"/>
    <w:rsid w:val="00ED7F5F"/>
    <w:rsid w:val="00ED7F6D"/>
    <w:rsid w:val="00EE0037"/>
    <w:rsid w:val="00EE004D"/>
    <w:rsid w:val="00EE0104"/>
    <w:rsid w:val="00EE01CC"/>
    <w:rsid w:val="00EE0240"/>
    <w:rsid w:val="00EE02A8"/>
    <w:rsid w:val="00EE02C6"/>
    <w:rsid w:val="00EE02E0"/>
    <w:rsid w:val="00EE0380"/>
    <w:rsid w:val="00EE03A3"/>
    <w:rsid w:val="00EE040B"/>
    <w:rsid w:val="00EE04EE"/>
    <w:rsid w:val="00EE0512"/>
    <w:rsid w:val="00EE0743"/>
    <w:rsid w:val="00EE075E"/>
    <w:rsid w:val="00EE07A5"/>
    <w:rsid w:val="00EE09A9"/>
    <w:rsid w:val="00EE0A01"/>
    <w:rsid w:val="00EE0A9A"/>
    <w:rsid w:val="00EE0AA9"/>
    <w:rsid w:val="00EE0AFA"/>
    <w:rsid w:val="00EE0B08"/>
    <w:rsid w:val="00EE0C6C"/>
    <w:rsid w:val="00EE0CD5"/>
    <w:rsid w:val="00EE0D74"/>
    <w:rsid w:val="00EE0DE3"/>
    <w:rsid w:val="00EE0E46"/>
    <w:rsid w:val="00EE0E5E"/>
    <w:rsid w:val="00EE0F0A"/>
    <w:rsid w:val="00EE0F4A"/>
    <w:rsid w:val="00EE1069"/>
    <w:rsid w:val="00EE106F"/>
    <w:rsid w:val="00EE109F"/>
    <w:rsid w:val="00EE1119"/>
    <w:rsid w:val="00EE1232"/>
    <w:rsid w:val="00EE137C"/>
    <w:rsid w:val="00EE13A0"/>
    <w:rsid w:val="00EE13D8"/>
    <w:rsid w:val="00EE147E"/>
    <w:rsid w:val="00EE14F0"/>
    <w:rsid w:val="00EE174F"/>
    <w:rsid w:val="00EE1760"/>
    <w:rsid w:val="00EE1799"/>
    <w:rsid w:val="00EE17FE"/>
    <w:rsid w:val="00EE1819"/>
    <w:rsid w:val="00EE183B"/>
    <w:rsid w:val="00EE1892"/>
    <w:rsid w:val="00EE18C2"/>
    <w:rsid w:val="00EE1993"/>
    <w:rsid w:val="00EE1AC6"/>
    <w:rsid w:val="00EE1AE6"/>
    <w:rsid w:val="00EE1B75"/>
    <w:rsid w:val="00EE1CF3"/>
    <w:rsid w:val="00EE1D85"/>
    <w:rsid w:val="00EE1E14"/>
    <w:rsid w:val="00EE1E56"/>
    <w:rsid w:val="00EE1EF4"/>
    <w:rsid w:val="00EE2091"/>
    <w:rsid w:val="00EE20BA"/>
    <w:rsid w:val="00EE20DA"/>
    <w:rsid w:val="00EE20EA"/>
    <w:rsid w:val="00EE21A2"/>
    <w:rsid w:val="00EE2235"/>
    <w:rsid w:val="00EE223B"/>
    <w:rsid w:val="00EE2474"/>
    <w:rsid w:val="00EE24A0"/>
    <w:rsid w:val="00EE252B"/>
    <w:rsid w:val="00EE2545"/>
    <w:rsid w:val="00EE25AD"/>
    <w:rsid w:val="00EE2639"/>
    <w:rsid w:val="00EE281A"/>
    <w:rsid w:val="00EE2843"/>
    <w:rsid w:val="00EE287D"/>
    <w:rsid w:val="00EE291C"/>
    <w:rsid w:val="00EE299D"/>
    <w:rsid w:val="00EE29C7"/>
    <w:rsid w:val="00EE29D8"/>
    <w:rsid w:val="00EE2A43"/>
    <w:rsid w:val="00EE2A65"/>
    <w:rsid w:val="00EE2A87"/>
    <w:rsid w:val="00EE2AAC"/>
    <w:rsid w:val="00EE2B2F"/>
    <w:rsid w:val="00EE2B96"/>
    <w:rsid w:val="00EE2B98"/>
    <w:rsid w:val="00EE2CBD"/>
    <w:rsid w:val="00EE2D5E"/>
    <w:rsid w:val="00EE2DD0"/>
    <w:rsid w:val="00EE2DF2"/>
    <w:rsid w:val="00EE2EB9"/>
    <w:rsid w:val="00EE2F1D"/>
    <w:rsid w:val="00EE3089"/>
    <w:rsid w:val="00EE3248"/>
    <w:rsid w:val="00EE3464"/>
    <w:rsid w:val="00EE352B"/>
    <w:rsid w:val="00EE3648"/>
    <w:rsid w:val="00EE36AC"/>
    <w:rsid w:val="00EE3721"/>
    <w:rsid w:val="00EE3736"/>
    <w:rsid w:val="00EE378B"/>
    <w:rsid w:val="00EE388E"/>
    <w:rsid w:val="00EE39A4"/>
    <w:rsid w:val="00EE39FF"/>
    <w:rsid w:val="00EE3A15"/>
    <w:rsid w:val="00EE3AB8"/>
    <w:rsid w:val="00EE3B32"/>
    <w:rsid w:val="00EE3BD3"/>
    <w:rsid w:val="00EE3CBA"/>
    <w:rsid w:val="00EE3CE7"/>
    <w:rsid w:val="00EE3CEB"/>
    <w:rsid w:val="00EE3CFF"/>
    <w:rsid w:val="00EE3DDE"/>
    <w:rsid w:val="00EE3E27"/>
    <w:rsid w:val="00EE3F1D"/>
    <w:rsid w:val="00EE3F39"/>
    <w:rsid w:val="00EE4035"/>
    <w:rsid w:val="00EE40ED"/>
    <w:rsid w:val="00EE414C"/>
    <w:rsid w:val="00EE43A9"/>
    <w:rsid w:val="00EE43D3"/>
    <w:rsid w:val="00EE442A"/>
    <w:rsid w:val="00EE447D"/>
    <w:rsid w:val="00EE44FE"/>
    <w:rsid w:val="00EE452C"/>
    <w:rsid w:val="00EE4571"/>
    <w:rsid w:val="00EE467E"/>
    <w:rsid w:val="00EE469B"/>
    <w:rsid w:val="00EE46B3"/>
    <w:rsid w:val="00EE4756"/>
    <w:rsid w:val="00EE4801"/>
    <w:rsid w:val="00EE4867"/>
    <w:rsid w:val="00EE487E"/>
    <w:rsid w:val="00EE488B"/>
    <w:rsid w:val="00EE4908"/>
    <w:rsid w:val="00EE491C"/>
    <w:rsid w:val="00EE4938"/>
    <w:rsid w:val="00EE49B4"/>
    <w:rsid w:val="00EE4A20"/>
    <w:rsid w:val="00EE4A4D"/>
    <w:rsid w:val="00EE4AA2"/>
    <w:rsid w:val="00EE4B43"/>
    <w:rsid w:val="00EE4B90"/>
    <w:rsid w:val="00EE4BF2"/>
    <w:rsid w:val="00EE4C32"/>
    <w:rsid w:val="00EE4C61"/>
    <w:rsid w:val="00EE4D47"/>
    <w:rsid w:val="00EE4E5F"/>
    <w:rsid w:val="00EE4E78"/>
    <w:rsid w:val="00EE4EDC"/>
    <w:rsid w:val="00EE4EEA"/>
    <w:rsid w:val="00EE502B"/>
    <w:rsid w:val="00EE502C"/>
    <w:rsid w:val="00EE50F8"/>
    <w:rsid w:val="00EE5168"/>
    <w:rsid w:val="00EE51DD"/>
    <w:rsid w:val="00EE528E"/>
    <w:rsid w:val="00EE52BA"/>
    <w:rsid w:val="00EE5396"/>
    <w:rsid w:val="00EE5398"/>
    <w:rsid w:val="00EE5406"/>
    <w:rsid w:val="00EE544B"/>
    <w:rsid w:val="00EE54EF"/>
    <w:rsid w:val="00EE583E"/>
    <w:rsid w:val="00EE58FF"/>
    <w:rsid w:val="00EE59E5"/>
    <w:rsid w:val="00EE5A2F"/>
    <w:rsid w:val="00EE5A3B"/>
    <w:rsid w:val="00EE5A44"/>
    <w:rsid w:val="00EE5B40"/>
    <w:rsid w:val="00EE5B83"/>
    <w:rsid w:val="00EE5D74"/>
    <w:rsid w:val="00EE5D8E"/>
    <w:rsid w:val="00EE5EF3"/>
    <w:rsid w:val="00EE5EF8"/>
    <w:rsid w:val="00EE5F72"/>
    <w:rsid w:val="00EE5FE6"/>
    <w:rsid w:val="00EE604B"/>
    <w:rsid w:val="00EE60AD"/>
    <w:rsid w:val="00EE6190"/>
    <w:rsid w:val="00EE61E7"/>
    <w:rsid w:val="00EE6202"/>
    <w:rsid w:val="00EE627C"/>
    <w:rsid w:val="00EE6355"/>
    <w:rsid w:val="00EE6364"/>
    <w:rsid w:val="00EE644B"/>
    <w:rsid w:val="00EE64EB"/>
    <w:rsid w:val="00EE6526"/>
    <w:rsid w:val="00EE6624"/>
    <w:rsid w:val="00EE6698"/>
    <w:rsid w:val="00EE66A4"/>
    <w:rsid w:val="00EE66A7"/>
    <w:rsid w:val="00EE66FE"/>
    <w:rsid w:val="00EE6803"/>
    <w:rsid w:val="00EE68E6"/>
    <w:rsid w:val="00EE6943"/>
    <w:rsid w:val="00EE6964"/>
    <w:rsid w:val="00EE6A1D"/>
    <w:rsid w:val="00EE6A25"/>
    <w:rsid w:val="00EE6AD0"/>
    <w:rsid w:val="00EE6B4E"/>
    <w:rsid w:val="00EE6B74"/>
    <w:rsid w:val="00EE6BE7"/>
    <w:rsid w:val="00EE6C56"/>
    <w:rsid w:val="00EE6C61"/>
    <w:rsid w:val="00EE6CFB"/>
    <w:rsid w:val="00EE6D18"/>
    <w:rsid w:val="00EE6DA0"/>
    <w:rsid w:val="00EE6E56"/>
    <w:rsid w:val="00EE6E5A"/>
    <w:rsid w:val="00EE6E7B"/>
    <w:rsid w:val="00EE6E87"/>
    <w:rsid w:val="00EE6EFE"/>
    <w:rsid w:val="00EE6F09"/>
    <w:rsid w:val="00EE6F9F"/>
    <w:rsid w:val="00EE704E"/>
    <w:rsid w:val="00EE70D8"/>
    <w:rsid w:val="00EE70E5"/>
    <w:rsid w:val="00EE70F6"/>
    <w:rsid w:val="00EE7107"/>
    <w:rsid w:val="00EE7156"/>
    <w:rsid w:val="00EE71C1"/>
    <w:rsid w:val="00EE7295"/>
    <w:rsid w:val="00EE72F3"/>
    <w:rsid w:val="00EE75CC"/>
    <w:rsid w:val="00EE763D"/>
    <w:rsid w:val="00EE76D6"/>
    <w:rsid w:val="00EE76E4"/>
    <w:rsid w:val="00EE778A"/>
    <w:rsid w:val="00EE78FA"/>
    <w:rsid w:val="00EE796B"/>
    <w:rsid w:val="00EE7AFA"/>
    <w:rsid w:val="00EE7BBD"/>
    <w:rsid w:val="00EE7BC4"/>
    <w:rsid w:val="00EE7BCD"/>
    <w:rsid w:val="00EE7CC4"/>
    <w:rsid w:val="00EE7D4B"/>
    <w:rsid w:val="00EE7D7D"/>
    <w:rsid w:val="00EE7D9D"/>
    <w:rsid w:val="00EE7DB8"/>
    <w:rsid w:val="00EE7DFF"/>
    <w:rsid w:val="00EE7E3F"/>
    <w:rsid w:val="00EE7E7A"/>
    <w:rsid w:val="00EE7EC1"/>
    <w:rsid w:val="00EE7FE3"/>
    <w:rsid w:val="00EF0061"/>
    <w:rsid w:val="00EF033A"/>
    <w:rsid w:val="00EF0351"/>
    <w:rsid w:val="00EF03CB"/>
    <w:rsid w:val="00EF03E5"/>
    <w:rsid w:val="00EF04C4"/>
    <w:rsid w:val="00EF0526"/>
    <w:rsid w:val="00EF0576"/>
    <w:rsid w:val="00EF05E6"/>
    <w:rsid w:val="00EF061D"/>
    <w:rsid w:val="00EF0642"/>
    <w:rsid w:val="00EF071C"/>
    <w:rsid w:val="00EF0868"/>
    <w:rsid w:val="00EF0903"/>
    <w:rsid w:val="00EF095D"/>
    <w:rsid w:val="00EF09D4"/>
    <w:rsid w:val="00EF0AA1"/>
    <w:rsid w:val="00EF0B48"/>
    <w:rsid w:val="00EF0BC6"/>
    <w:rsid w:val="00EF0C62"/>
    <w:rsid w:val="00EF0CF2"/>
    <w:rsid w:val="00EF0D7E"/>
    <w:rsid w:val="00EF0E44"/>
    <w:rsid w:val="00EF1036"/>
    <w:rsid w:val="00EF10BA"/>
    <w:rsid w:val="00EF1219"/>
    <w:rsid w:val="00EF1230"/>
    <w:rsid w:val="00EF12DF"/>
    <w:rsid w:val="00EF12E1"/>
    <w:rsid w:val="00EF12E8"/>
    <w:rsid w:val="00EF1380"/>
    <w:rsid w:val="00EF13C9"/>
    <w:rsid w:val="00EF1516"/>
    <w:rsid w:val="00EF151B"/>
    <w:rsid w:val="00EF1569"/>
    <w:rsid w:val="00EF166D"/>
    <w:rsid w:val="00EF167D"/>
    <w:rsid w:val="00EF18E0"/>
    <w:rsid w:val="00EF194E"/>
    <w:rsid w:val="00EF1A04"/>
    <w:rsid w:val="00EF1B4B"/>
    <w:rsid w:val="00EF1C2A"/>
    <w:rsid w:val="00EF1C2D"/>
    <w:rsid w:val="00EF1C41"/>
    <w:rsid w:val="00EF1C5B"/>
    <w:rsid w:val="00EF1CF7"/>
    <w:rsid w:val="00EF1E15"/>
    <w:rsid w:val="00EF1E46"/>
    <w:rsid w:val="00EF1FE3"/>
    <w:rsid w:val="00EF215B"/>
    <w:rsid w:val="00EF2175"/>
    <w:rsid w:val="00EF2176"/>
    <w:rsid w:val="00EF223B"/>
    <w:rsid w:val="00EF226E"/>
    <w:rsid w:val="00EF2286"/>
    <w:rsid w:val="00EF2317"/>
    <w:rsid w:val="00EF23DB"/>
    <w:rsid w:val="00EF23E9"/>
    <w:rsid w:val="00EF246C"/>
    <w:rsid w:val="00EF2482"/>
    <w:rsid w:val="00EF2594"/>
    <w:rsid w:val="00EF26D8"/>
    <w:rsid w:val="00EF2701"/>
    <w:rsid w:val="00EF27E4"/>
    <w:rsid w:val="00EF2811"/>
    <w:rsid w:val="00EF284E"/>
    <w:rsid w:val="00EF2937"/>
    <w:rsid w:val="00EF29DE"/>
    <w:rsid w:val="00EF2A02"/>
    <w:rsid w:val="00EF2D5C"/>
    <w:rsid w:val="00EF2DCD"/>
    <w:rsid w:val="00EF2DE0"/>
    <w:rsid w:val="00EF2E74"/>
    <w:rsid w:val="00EF2E8B"/>
    <w:rsid w:val="00EF2EA6"/>
    <w:rsid w:val="00EF2F9F"/>
    <w:rsid w:val="00EF302F"/>
    <w:rsid w:val="00EF304A"/>
    <w:rsid w:val="00EF30BC"/>
    <w:rsid w:val="00EF3154"/>
    <w:rsid w:val="00EF3216"/>
    <w:rsid w:val="00EF322D"/>
    <w:rsid w:val="00EF3253"/>
    <w:rsid w:val="00EF3268"/>
    <w:rsid w:val="00EF3406"/>
    <w:rsid w:val="00EF347A"/>
    <w:rsid w:val="00EF350A"/>
    <w:rsid w:val="00EF3540"/>
    <w:rsid w:val="00EF35CD"/>
    <w:rsid w:val="00EF35D5"/>
    <w:rsid w:val="00EF3619"/>
    <w:rsid w:val="00EF363F"/>
    <w:rsid w:val="00EF368F"/>
    <w:rsid w:val="00EF36F8"/>
    <w:rsid w:val="00EF372D"/>
    <w:rsid w:val="00EF376F"/>
    <w:rsid w:val="00EF388E"/>
    <w:rsid w:val="00EF3978"/>
    <w:rsid w:val="00EF399E"/>
    <w:rsid w:val="00EF3A68"/>
    <w:rsid w:val="00EF3A86"/>
    <w:rsid w:val="00EF3AAC"/>
    <w:rsid w:val="00EF3BB2"/>
    <w:rsid w:val="00EF3BD0"/>
    <w:rsid w:val="00EF3C29"/>
    <w:rsid w:val="00EF3CD3"/>
    <w:rsid w:val="00EF3D19"/>
    <w:rsid w:val="00EF3D22"/>
    <w:rsid w:val="00EF3ECE"/>
    <w:rsid w:val="00EF3F6C"/>
    <w:rsid w:val="00EF406B"/>
    <w:rsid w:val="00EF40A6"/>
    <w:rsid w:val="00EF416A"/>
    <w:rsid w:val="00EF4234"/>
    <w:rsid w:val="00EF4244"/>
    <w:rsid w:val="00EF42E9"/>
    <w:rsid w:val="00EF42F8"/>
    <w:rsid w:val="00EF44A8"/>
    <w:rsid w:val="00EF44BC"/>
    <w:rsid w:val="00EF44E0"/>
    <w:rsid w:val="00EF4506"/>
    <w:rsid w:val="00EF461F"/>
    <w:rsid w:val="00EF46AA"/>
    <w:rsid w:val="00EF4716"/>
    <w:rsid w:val="00EF479F"/>
    <w:rsid w:val="00EF4809"/>
    <w:rsid w:val="00EF481B"/>
    <w:rsid w:val="00EF487E"/>
    <w:rsid w:val="00EF49EA"/>
    <w:rsid w:val="00EF4A37"/>
    <w:rsid w:val="00EF4A76"/>
    <w:rsid w:val="00EF4C70"/>
    <w:rsid w:val="00EF4C82"/>
    <w:rsid w:val="00EF4D12"/>
    <w:rsid w:val="00EF4D34"/>
    <w:rsid w:val="00EF4D42"/>
    <w:rsid w:val="00EF4D74"/>
    <w:rsid w:val="00EF4EEC"/>
    <w:rsid w:val="00EF4F54"/>
    <w:rsid w:val="00EF4FD1"/>
    <w:rsid w:val="00EF51E5"/>
    <w:rsid w:val="00EF5318"/>
    <w:rsid w:val="00EF535A"/>
    <w:rsid w:val="00EF538C"/>
    <w:rsid w:val="00EF5427"/>
    <w:rsid w:val="00EF5428"/>
    <w:rsid w:val="00EF546C"/>
    <w:rsid w:val="00EF553F"/>
    <w:rsid w:val="00EF55BA"/>
    <w:rsid w:val="00EF56E2"/>
    <w:rsid w:val="00EF56EC"/>
    <w:rsid w:val="00EF5728"/>
    <w:rsid w:val="00EF5758"/>
    <w:rsid w:val="00EF5822"/>
    <w:rsid w:val="00EF5932"/>
    <w:rsid w:val="00EF59DD"/>
    <w:rsid w:val="00EF5A70"/>
    <w:rsid w:val="00EF5BA4"/>
    <w:rsid w:val="00EF5BC2"/>
    <w:rsid w:val="00EF5CE3"/>
    <w:rsid w:val="00EF5D0A"/>
    <w:rsid w:val="00EF5D8B"/>
    <w:rsid w:val="00EF5F39"/>
    <w:rsid w:val="00EF5F4F"/>
    <w:rsid w:val="00EF5F93"/>
    <w:rsid w:val="00EF6189"/>
    <w:rsid w:val="00EF61B8"/>
    <w:rsid w:val="00EF625D"/>
    <w:rsid w:val="00EF64EE"/>
    <w:rsid w:val="00EF6520"/>
    <w:rsid w:val="00EF65C0"/>
    <w:rsid w:val="00EF65D9"/>
    <w:rsid w:val="00EF65E6"/>
    <w:rsid w:val="00EF667B"/>
    <w:rsid w:val="00EF66C2"/>
    <w:rsid w:val="00EF67DF"/>
    <w:rsid w:val="00EF6952"/>
    <w:rsid w:val="00EF697F"/>
    <w:rsid w:val="00EF6980"/>
    <w:rsid w:val="00EF69C9"/>
    <w:rsid w:val="00EF69F2"/>
    <w:rsid w:val="00EF6A1C"/>
    <w:rsid w:val="00EF6A68"/>
    <w:rsid w:val="00EF6AF3"/>
    <w:rsid w:val="00EF6B5B"/>
    <w:rsid w:val="00EF6B73"/>
    <w:rsid w:val="00EF6BCC"/>
    <w:rsid w:val="00EF6CBC"/>
    <w:rsid w:val="00EF6D64"/>
    <w:rsid w:val="00EF6D72"/>
    <w:rsid w:val="00EF6E10"/>
    <w:rsid w:val="00EF6E53"/>
    <w:rsid w:val="00EF6E6C"/>
    <w:rsid w:val="00EF6EA4"/>
    <w:rsid w:val="00EF6EAE"/>
    <w:rsid w:val="00EF6EB7"/>
    <w:rsid w:val="00EF6F3A"/>
    <w:rsid w:val="00EF6FA4"/>
    <w:rsid w:val="00EF6FEB"/>
    <w:rsid w:val="00EF708A"/>
    <w:rsid w:val="00EF70AB"/>
    <w:rsid w:val="00EF70CC"/>
    <w:rsid w:val="00EF7270"/>
    <w:rsid w:val="00EF72C3"/>
    <w:rsid w:val="00EF7325"/>
    <w:rsid w:val="00EF73A6"/>
    <w:rsid w:val="00EF73D3"/>
    <w:rsid w:val="00EF73F5"/>
    <w:rsid w:val="00EF7416"/>
    <w:rsid w:val="00EF765B"/>
    <w:rsid w:val="00EF7775"/>
    <w:rsid w:val="00EF7923"/>
    <w:rsid w:val="00EF793F"/>
    <w:rsid w:val="00EF79CE"/>
    <w:rsid w:val="00EF79F5"/>
    <w:rsid w:val="00EF7A93"/>
    <w:rsid w:val="00EF7B0E"/>
    <w:rsid w:val="00EF7B14"/>
    <w:rsid w:val="00EF7CB1"/>
    <w:rsid w:val="00EF7D62"/>
    <w:rsid w:val="00EF7DF2"/>
    <w:rsid w:val="00EF7E0A"/>
    <w:rsid w:val="00F00007"/>
    <w:rsid w:val="00F000BC"/>
    <w:rsid w:val="00F0013C"/>
    <w:rsid w:val="00F00152"/>
    <w:rsid w:val="00F0017C"/>
    <w:rsid w:val="00F00240"/>
    <w:rsid w:val="00F00352"/>
    <w:rsid w:val="00F003AB"/>
    <w:rsid w:val="00F003F9"/>
    <w:rsid w:val="00F00466"/>
    <w:rsid w:val="00F0059C"/>
    <w:rsid w:val="00F005B2"/>
    <w:rsid w:val="00F00604"/>
    <w:rsid w:val="00F00611"/>
    <w:rsid w:val="00F00658"/>
    <w:rsid w:val="00F00694"/>
    <w:rsid w:val="00F006EF"/>
    <w:rsid w:val="00F007BB"/>
    <w:rsid w:val="00F00816"/>
    <w:rsid w:val="00F008ED"/>
    <w:rsid w:val="00F009AC"/>
    <w:rsid w:val="00F00A5D"/>
    <w:rsid w:val="00F00B1B"/>
    <w:rsid w:val="00F00BDF"/>
    <w:rsid w:val="00F00BFD"/>
    <w:rsid w:val="00F00C4B"/>
    <w:rsid w:val="00F00C64"/>
    <w:rsid w:val="00F00CFA"/>
    <w:rsid w:val="00F00D3B"/>
    <w:rsid w:val="00F00E37"/>
    <w:rsid w:val="00F00E56"/>
    <w:rsid w:val="00F00EA4"/>
    <w:rsid w:val="00F00FA3"/>
    <w:rsid w:val="00F010EE"/>
    <w:rsid w:val="00F011C1"/>
    <w:rsid w:val="00F0124A"/>
    <w:rsid w:val="00F01306"/>
    <w:rsid w:val="00F0135C"/>
    <w:rsid w:val="00F01383"/>
    <w:rsid w:val="00F01449"/>
    <w:rsid w:val="00F0151B"/>
    <w:rsid w:val="00F015FB"/>
    <w:rsid w:val="00F015FC"/>
    <w:rsid w:val="00F0167D"/>
    <w:rsid w:val="00F016C7"/>
    <w:rsid w:val="00F016E2"/>
    <w:rsid w:val="00F016EF"/>
    <w:rsid w:val="00F01725"/>
    <w:rsid w:val="00F0177A"/>
    <w:rsid w:val="00F01899"/>
    <w:rsid w:val="00F018B6"/>
    <w:rsid w:val="00F01943"/>
    <w:rsid w:val="00F019A0"/>
    <w:rsid w:val="00F019D5"/>
    <w:rsid w:val="00F01A56"/>
    <w:rsid w:val="00F01AA0"/>
    <w:rsid w:val="00F01AD9"/>
    <w:rsid w:val="00F01C10"/>
    <w:rsid w:val="00F01CA2"/>
    <w:rsid w:val="00F01E1D"/>
    <w:rsid w:val="00F01E9C"/>
    <w:rsid w:val="00F02234"/>
    <w:rsid w:val="00F0225E"/>
    <w:rsid w:val="00F023FB"/>
    <w:rsid w:val="00F023FC"/>
    <w:rsid w:val="00F02500"/>
    <w:rsid w:val="00F02550"/>
    <w:rsid w:val="00F0259F"/>
    <w:rsid w:val="00F027F3"/>
    <w:rsid w:val="00F0283F"/>
    <w:rsid w:val="00F02858"/>
    <w:rsid w:val="00F028A1"/>
    <w:rsid w:val="00F028EE"/>
    <w:rsid w:val="00F028F3"/>
    <w:rsid w:val="00F0292E"/>
    <w:rsid w:val="00F02A3D"/>
    <w:rsid w:val="00F02AE1"/>
    <w:rsid w:val="00F02BE3"/>
    <w:rsid w:val="00F02BFA"/>
    <w:rsid w:val="00F02C14"/>
    <w:rsid w:val="00F02CAB"/>
    <w:rsid w:val="00F02CCC"/>
    <w:rsid w:val="00F02DD6"/>
    <w:rsid w:val="00F02EB2"/>
    <w:rsid w:val="00F02EB9"/>
    <w:rsid w:val="00F02EFA"/>
    <w:rsid w:val="00F02F6D"/>
    <w:rsid w:val="00F03213"/>
    <w:rsid w:val="00F0325C"/>
    <w:rsid w:val="00F032DE"/>
    <w:rsid w:val="00F032E2"/>
    <w:rsid w:val="00F0331E"/>
    <w:rsid w:val="00F033A4"/>
    <w:rsid w:val="00F034DA"/>
    <w:rsid w:val="00F0355B"/>
    <w:rsid w:val="00F03578"/>
    <w:rsid w:val="00F035B4"/>
    <w:rsid w:val="00F0370B"/>
    <w:rsid w:val="00F03713"/>
    <w:rsid w:val="00F037E3"/>
    <w:rsid w:val="00F03866"/>
    <w:rsid w:val="00F0386B"/>
    <w:rsid w:val="00F03972"/>
    <w:rsid w:val="00F039BE"/>
    <w:rsid w:val="00F03A79"/>
    <w:rsid w:val="00F03AF0"/>
    <w:rsid w:val="00F03C3A"/>
    <w:rsid w:val="00F03C52"/>
    <w:rsid w:val="00F03CA8"/>
    <w:rsid w:val="00F03CCC"/>
    <w:rsid w:val="00F03D36"/>
    <w:rsid w:val="00F03F0A"/>
    <w:rsid w:val="00F03FB0"/>
    <w:rsid w:val="00F03FF2"/>
    <w:rsid w:val="00F04028"/>
    <w:rsid w:val="00F04050"/>
    <w:rsid w:val="00F04155"/>
    <w:rsid w:val="00F042B4"/>
    <w:rsid w:val="00F043A0"/>
    <w:rsid w:val="00F043E7"/>
    <w:rsid w:val="00F0441E"/>
    <w:rsid w:val="00F04430"/>
    <w:rsid w:val="00F045C7"/>
    <w:rsid w:val="00F045F5"/>
    <w:rsid w:val="00F04651"/>
    <w:rsid w:val="00F04772"/>
    <w:rsid w:val="00F0478C"/>
    <w:rsid w:val="00F047C2"/>
    <w:rsid w:val="00F048BB"/>
    <w:rsid w:val="00F0495B"/>
    <w:rsid w:val="00F04A32"/>
    <w:rsid w:val="00F04A3C"/>
    <w:rsid w:val="00F04A9D"/>
    <w:rsid w:val="00F04AE7"/>
    <w:rsid w:val="00F04AEB"/>
    <w:rsid w:val="00F04B80"/>
    <w:rsid w:val="00F04B97"/>
    <w:rsid w:val="00F04C19"/>
    <w:rsid w:val="00F04C2E"/>
    <w:rsid w:val="00F04C5D"/>
    <w:rsid w:val="00F04D36"/>
    <w:rsid w:val="00F04EF2"/>
    <w:rsid w:val="00F04F2B"/>
    <w:rsid w:val="00F04F3A"/>
    <w:rsid w:val="00F04F88"/>
    <w:rsid w:val="00F04F9E"/>
    <w:rsid w:val="00F04FF3"/>
    <w:rsid w:val="00F05050"/>
    <w:rsid w:val="00F050B8"/>
    <w:rsid w:val="00F050C8"/>
    <w:rsid w:val="00F05169"/>
    <w:rsid w:val="00F051E0"/>
    <w:rsid w:val="00F0521B"/>
    <w:rsid w:val="00F05228"/>
    <w:rsid w:val="00F05242"/>
    <w:rsid w:val="00F05308"/>
    <w:rsid w:val="00F0535B"/>
    <w:rsid w:val="00F053DC"/>
    <w:rsid w:val="00F05569"/>
    <w:rsid w:val="00F05671"/>
    <w:rsid w:val="00F056B5"/>
    <w:rsid w:val="00F056D2"/>
    <w:rsid w:val="00F056F5"/>
    <w:rsid w:val="00F05810"/>
    <w:rsid w:val="00F058A0"/>
    <w:rsid w:val="00F058CC"/>
    <w:rsid w:val="00F058D6"/>
    <w:rsid w:val="00F0596C"/>
    <w:rsid w:val="00F059C0"/>
    <w:rsid w:val="00F05A41"/>
    <w:rsid w:val="00F05AE8"/>
    <w:rsid w:val="00F05B49"/>
    <w:rsid w:val="00F05B6C"/>
    <w:rsid w:val="00F05C79"/>
    <w:rsid w:val="00F05CE3"/>
    <w:rsid w:val="00F05D34"/>
    <w:rsid w:val="00F05D44"/>
    <w:rsid w:val="00F05E03"/>
    <w:rsid w:val="00F05F37"/>
    <w:rsid w:val="00F06090"/>
    <w:rsid w:val="00F061F2"/>
    <w:rsid w:val="00F06373"/>
    <w:rsid w:val="00F06417"/>
    <w:rsid w:val="00F0644D"/>
    <w:rsid w:val="00F065D4"/>
    <w:rsid w:val="00F0660C"/>
    <w:rsid w:val="00F06634"/>
    <w:rsid w:val="00F06771"/>
    <w:rsid w:val="00F06798"/>
    <w:rsid w:val="00F067F1"/>
    <w:rsid w:val="00F06878"/>
    <w:rsid w:val="00F069A0"/>
    <w:rsid w:val="00F069AE"/>
    <w:rsid w:val="00F069CF"/>
    <w:rsid w:val="00F069E4"/>
    <w:rsid w:val="00F06A08"/>
    <w:rsid w:val="00F06A47"/>
    <w:rsid w:val="00F06A9B"/>
    <w:rsid w:val="00F06B2C"/>
    <w:rsid w:val="00F06B6C"/>
    <w:rsid w:val="00F06B95"/>
    <w:rsid w:val="00F06BA2"/>
    <w:rsid w:val="00F06BE7"/>
    <w:rsid w:val="00F06C9F"/>
    <w:rsid w:val="00F06D8F"/>
    <w:rsid w:val="00F06DA8"/>
    <w:rsid w:val="00F06E07"/>
    <w:rsid w:val="00F06EC4"/>
    <w:rsid w:val="00F06F4B"/>
    <w:rsid w:val="00F06FDC"/>
    <w:rsid w:val="00F070E3"/>
    <w:rsid w:val="00F07100"/>
    <w:rsid w:val="00F0717F"/>
    <w:rsid w:val="00F07184"/>
    <w:rsid w:val="00F071A4"/>
    <w:rsid w:val="00F07209"/>
    <w:rsid w:val="00F0721D"/>
    <w:rsid w:val="00F072B1"/>
    <w:rsid w:val="00F07371"/>
    <w:rsid w:val="00F07386"/>
    <w:rsid w:val="00F0747A"/>
    <w:rsid w:val="00F074E6"/>
    <w:rsid w:val="00F07519"/>
    <w:rsid w:val="00F07574"/>
    <w:rsid w:val="00F07581"/>
    <w:rsid w:val="00F07612"/>
    <w:rsid w:val="00F07638"/>
    <w:rsid w:val="00F07674"/>
    <w:rsid w:val="00F0767E"/>
    <w:rsid w:val="00F076F2"/>
    <w:rsid w:val="00F077E5"/>
    <w:rsid w:val="00F07849"/>
    <w:rsid w:val="00F07882"/>
    <w:rsid w:val="00F07883"/>
    <w:rsid w:val="00F07985"/>
    <w:rsid w:val="00F07993"/>
    <w:rsid w:val="00F07A55"/>
    <w:rsid w:val="00F07A5C"/>
    <w:rsid w:val="00F07A83"/>
    <w:rsid w:val="00F07AD1"/>
    <w:rsid w:val="00F07B8A"/>
    <w:rsid w:val="00F07BEE"/>
    <w:rsid w:val="00F07C07"/>
    <w:rsid w:val="00F07C62"/>
    <w:rsid w:val="00F07CBD"/>
    <w:rsid w:val="00F07CC4"/>
    <w:rsid w:val="00F07D46"/>
    <w:rsid w:val="00F07DF6"/>
    <w:rsid w:val="00F07ED9"/>
    <w:rsid w:val="00F07EE1"/>
    <w:rsid w:val="00F07F48"/>
    <w:rsid w:val="00F07F61"/>
    <w:rsid w:val="00F07F68"/>
    <w:rsid w:val="00F07FA7"/>
    <w:rsid w:val="00F100D1"/>
    <w:rsid w:val="00F10177"/>
    <w:rsid w:val="00F101C4"/>
    <w:rsid w:val="00F101CE"/>
    <w:rsid w:val="00F10204"/>
    <w:rsid w:val="00F102AA"/>
    <w:rsid w:val="00F10304"/>
    <w:rsid w:val="00F1033C"/>
    <w:rsid w:val="00F10364"/>
    <w:rsid w:val="00F10397"/>
    <w:rsid w:val="00F103A0"/>
    <w:rsid w:val="00F1041F"/>
    <w:rsid w:val="00F10465"/>
    <w:rsid w:val="00F104A2"/>
    <w:rsid w:val="00F104C1"/>
    <w:rsid w:val="00F1055F"/>
    <w:rsid w:val="00F105D4"/>
    <w:rsid w:val="00F10602"/>
    <w:rsid w:val="00F1060D"/>
    <w:rsid w:val="00F106C0"/>
    <w:rsid w:val="00F106CA"/>
    <w:rsid w:val="00F10714"/>
    <w:rsid w:val="00F107D2"/>
    <w:rsid w:val="00F107DA"/>
    <w:rsid w:val="00F1083F"/>
    <w:rsid w:val="00F10907"/>
    <w:rsid w:val="00F10A3C"/>
    <w:rsid w:val="00F10B92"/>
    <w:rsid w:val="00F10BA1"/>
    <w:rsid w:val="00F10C16"/>
    <w:rsid w:val="00F10C48"/>
    <w:rsid w:val="00F10C7E"/>
    <w:rsid w:val="00F10CB7"/>
    <w:rsid w:val="00F10D83"/>
    <w:rsid w:val="00F10DC0"/>
    <w:rsid w:val="00F10E3E"/>
    <w:rsid w:val="00F10E56"/>
    <w:rsid w:val="00F10EF8"/>
    <w:rsid w:val="00F10F84"/>
    <w:rsid w:val="00F11053"/>
    <w:rsid w:val="00F110E5"/>
    <w:rsid w:val="00F11150"/>
    <w:rsid w:val="00F11156"/>
    <w:rsid w:val="00F1153A"/>
    <w:rsid w:val="00F115DF"/>
    <w:rsid w:val="00F1163E"/>
    <w:rsid w:val="00F116D4"/>
    <w:rsid w:val="00F1174B"/>
    <w:rsid w:val="00F11856"/>
    <w:rsid w:val="00F118A7"/>
    <w:rsid w:val="00F118B2"/>
    <w:rsid w:val="00F1195F"/>
    <w:rsid w:val="00F1196A"/>
    <w:rsid w:val="00F1196B"/>
    <w:rsid w:val="00F1199B"/>
    <w:rsid w:val="00F119C5"/>
    <w:rsid w:val="00F11A6A"/>
    <w:rsid w:val="00F11AAB"/>
    <w:rsid w:val="00F11B92"/>
    <w:rsid w:val="00F11BE8"/>
    <w:rsid w:val="00F11C99"/>
    <w:rsid w:val="00F11CC8"/>
    <w:rsid w:val="00F11CE8"/>
    <w:rsid w:val="00F11D95"/>
    <w:rsid w:val="00F11F91"/>
    <w:rsid w:val="00F12057"/>
    <w:rsid w:val="00F1206E"/>
    <w:rsid w:val="00F12071"/>
    <w:rsid w:val="00F1216A"/>
    <w:rsid w:val="00F122E8"/>
    <w:rsid w:val="00F12352"/>
    <w:rsid w:val="00F1235E"/>
    <w:rsid w:val="00F1237A"/>
    <w:rsid w:val="00F123C8"/>
    <w:rsid w:val="00F1242B"/>
    <w:rsid w:val="00F1248E"/>
    <w:rsid w:val="00F124B6"/>
    <w:rsid w:val="00F125D4"/>
    <w:rsid w:val="00F1265C"/>
    <w:rsid w:val="00F126BD"/>
    <w:rsid w:val="00F12711"/>
    <w:rsid w:val="00F12750"/>
    <w:rsid w:val="00F127AA"/>
    <w:rsid w:val="00F12A06"/>
    <w:rsid w:val="00F12A9C"/>
    <w:rsid w:val="00F12ADC"/>
    <w:rsid w:val="00F12B47"/>
    <w:rsid w:val="00F12C29"/>
    <w:rsid w:val="00F12C67"/>
    <w:rsid w:val="00F12C81"/>
    <w:rsid w:val="00F12CF2"/>
    <w:rsid w:val="00F12CF4"/>
    <w:rsid w:val="00F12D25"/>
    <w:rsid w:val="00F12DD3"/>
    <w:rsid w:val="00F12E1A"/>
    <w:rsid w:val="00F12E55"/>
    <w:rsid w:val="00F12FAF"/>
    <w:rsid w:val="00F1304A"/>
    <w:rsid w:val="00F13060"/>
    <w:rsid w:val="00F130F0"/>
    <w:rsid w:val="00F13152"/>
    <w:rsid w:val="00F1317A"/>
    <w:rsid w:val="00F13201"/>
    <w:rsid w:val="00F13232"/>
    <w:rsid w:val="00F13240"/>
    <w:rsid w:val="00F13259"/>
    <w:rsid w:val="00F13308"/>
    <w:rsid w:val="00F1332F"/>
    <w:rsid w:val="00F13369"/>
    <w:rsid w:val="00F133B1"/>
    <w:rsid w:val="00F13433"/>
    <w:rsid w:val="00F13467"/>
    <w:rsid w:val="00F1346B"/>
    <w:rsid w:val="00F134A6"/>
    <w:rsid w:val="00F134FC"/>
    <w:rsid w:val="00F1350E"/>
    <w:rsid w:val="00F13637"/>
    <w:rsid w:val="00F136B7"/>
    <w:rsid w:val="00F13777"/>
    <w:rsid w:val="00F1378B"/>
    <w:rsid w:val="00F137AC"/>
    <w:rsid w:val="00F137BE"/>
    <w:rsid w:val="00F137CC"/>
    <w:rsid w:val="00F13863"/>
    <w:rsid w:val="00F13967"/>
    <w:rsid w:val="00F139A3"/>
    <w:rsid w:val="00F13A1A"/>
    <w:rsid w:val="00F13AD3"/>
    <w:rsid w:val="00F13B79"/>
    <w:rsid w:val="00F13BFE"/>
    <w:rsid w:val="00F13CBE"/>
    <w:rsid w:val="00F13D28"/>
    <w:rsid w:val="00F13EDD"/>
    <w:rsid w:val="00F13EF6"/>
    <w:rsid w:val="00F13F08"/>
    <w:rsid w:val="00F13FEA"/>
    <w:rsid w:val="00F14009"/>
    <w:rsid w:val="00F140C0"/>
    <w:rsid w:val="00F14227"/>
    <w:rsid w:val="00F14271"/>
    <w:rsid w:val="00F14287"/>
    <w:rsid w:val="00F142C9"/>
    <w:rsid w:val="00F14329"/>
    <w:rsid w:val="00F1433F"/>
    <w:rsid w:val="00F143D3"/>
    <w:rsid w:val="00F14419"/>
    <w:rsid w:val="00F14429"/>
    <w:rsid w:val="00F144D3"/>
    <w:rsid w:val="00F144E7"/>
    <w:rsid w:val="00F14673"/>
    <w:rsid w:val="00F1470E"/>
    <w:rsid w:val="00F14736"/>
    <w:rsid w:val="00F14744"/>
    <w:rsid w:val="00F14766"/>
    <w:rsid w:val="00F147A5"/>
    <w:rsid w:val="00F147FA"/>
    <w:rsid w:val="00F14A25"/>
    <w:rsid w:val="00F14AA7"/>
    <w:rsid w:val="00F14AFD"/>
    <w:rsid w:val="00F14C25"/>
    <w:rsid w:val="00F14CB5"/>
    <w:rsid w:val="00F14D7D"/>
    <w:rsid w:val="00F14DC3"/>
    <w:rsid w:val="00F14E02"/>
    <w:rsid w:val="00F14E52"/>
    <w:rsid w:val="00F14EAF"/>
    <w:rsid w:val="00F14ECC"/>
    <w:rsid w:val="00F1505B"/>
    <w:rsid w:val="00F150EA"/>
    <w:rsid w:val="00F15281"/>
    <w:rsid w:val="00F152C8"/>
    <w:rsid w:val="00F1535B"/>
    <w:rsid w:val="00F153A3"/>
    <w:rsid w:val="00F15415"/>
    <w:rsid w:val="00F1543C"/>
    <w:rsid w:val="00F154DC"/>
    <w:rsid w:val="00F15524"/>
    <w:rsid w:val="00F15561"/>
    <w:rsid w:val="00F156C8"/>
    <w:rsid w:val="00F1583C"/>
    <w:rsid w:val="00F15878"/>
    <w:rsid w:val="00F15884"/>
    <w:rsid w:val="00F158FE"/>
    <w:rsid w:val="00F159C1"/>
    <w:rsid w:val="00F15A28"/>
    <w:rsid w:val="00F15A32"/>
    <w:rsid w:val="00F15B3A"/>
    <w:rsid w:val="00F15B8E"/>
    <w:rsid w:val="00F15CB8"/>
    <w:rsid w:val="00F15D07"/>
    <w:rsid w:val="00F15D2B"/>
    <w:rsid w:val="00F15DAD"/>
    <w:rsid w:val="00F15DB1"/>
    <w:rsid w:val="00F15DC7"/>
    <w:rsid w:val="00F15DD4"/>
    <w:rsid w:val="00F15E65"/>
    <w:rsid w:val="00F15EE7"/>
    <w:rsid w:val="00F15FF5"/>
    <w:rsid w:val="00F16075"/>
    <w:rsid w:val="00F1612C"/>
    <w:rsid w:val="00F16134"/>
    <w:rsid w:val="00F16223"/>
    <w:rsid w:val="00F16343"/>
    <w:rsid w:val="00F163E9"/>
    <w:rsid w:val="00F165E5"/>
    <w:rsid w:val="00F16665"/>
    <w:rsid w:val="00F16679"/>
    <w:rsid w:val="00F1667C"/>
    <w:rsid w:val="00F166FE"/>
    <w:rsid w:val="00F1670E"/>
    <w:rsid w:val="00F1686C"/>
    <w:rsid w:val="00F1687E"/>
    <w:rsid w:val="00F1698F"/>
    <w:rsid w:val="00F169F6"/>
    <w:rsid w:val="00F16A40"/>
    <w:rsid w:val="00F16AAA"/>
    <w:rsid w:val="00F16B03"/>
    <w:rsid w:val="00F16BA8"/>
    <w:rsid w:val="00F16CBD"/>
    <w:rsid w:val="00F16D8D"/>
    <w:rsid w:val="00F16E1E"/>
    <w:rsid w:val="00F16FB0"/>
    <w:rsid w:val="00F16FFD"/>
    <w:rsid w:val="00F17001"/>
    <w:rsid w:val="00F170D3"/>
    <w:rsid w:val="00F170F5"/>
    <w:rsid w:val="00F17230"/>
    <w:rsid w:val="00F1733B"/>
    <w:rsid w:val="00F1739D"/>
    <w:rsid w:val="00F1745E"/>
    <w:rsid w:val="00F17474"/>
    <w:rsid w:val="00F1748A"/>
    <w:rsid w:val="00F174FC"/>
    <w:rsid w:val="00F17535"/>
    <w:rsid w:val="00F176BD"/>
    <w:rsid w:val="00F1774E"/>
    <w:rsid w:val="00F1779D"/>
    <w:rsid w:val="00F177B3"/>
    <w:rsid w:val="00F177C1"/>
    <w:rsid w:val="00F177DA"/>
    <w:rsid w:val="00F17924"/>
    <w:rsid w:val="00F17980"/>
    <w:rsid w:val="00F17A0C"/>
    <w:rsid w:val="00F17A21"/>
    <w:rsid w:val="00F17A84"/>
    <w:rsid w:val="00F17AE4"/>
    <w:rsid w:val="00F17B01"/>
    <w:rsid w:val="00F17B12"/>
    <w:rsid w:val="00F17BCA"/>
    <w:rsid w:val="00F17CF7"/>
    <w:rsid w:val="00F17CFB"/>
    <w:rsid w:val="00F17DFE"/>
    <w:rsid w:val="00F17E2C"/>
    <w:rsid w:val="00F17EE5"/>
    <w:rsid w:val="00F17F64"/>
    <w:rsid w:val="00F2007F"/>
    <w:rsid w:val="00F200A6"/>
    <w:rsid w:val="00F200C8"/>
    <w:rsid w:val="00F20196"/>
    <w:rsid w:val="00F201CC"/>
    <w:rsid w:val="00F202C2"/>
    <w:rsid w:val="00F20303"/>
    <w:rsid w:val="00F20322"/>
    <w:rsid w:val="00F20390"/>
    <w:rsid w:val="00F2039B"/>
    <w:rsid w:val="00F20428"/>
    <w:rsid w:val="00F20487"/>
    <w:rsid w:val="00F204BF"/>
    <w:rsid w:val="00F204DB"/>
    <w:rsid w:val="00F20555"/>
    <w:rsid w:val="00F20599"/>
    <w:rsid w:val="00F20704"/>
    <w:rsid w:val="00F2070C"/>
    <w:rsid w:val="00F20819"/>
    <w:rsid w:val="00F20907"/>
    <w:rsid w:val="00F20959"/>
    <w:rsid w:val="00F20967"/>
    <w:rsid w:val="00F209DB"/>
    <w:rsid w:val="00F20AC6"/>
    <w:rsid w:val="00F20BEB"/>
    <w:rsid w:val="00F20D4A"/>
    <w:rsid w:val="00F20E8C"/>
    <w:rsid w:val="00F20F65"/>
    <w:rsid w:val="00F21033"/>
    <w:rsid w:val="00F2106A"/>
    <w:rsid w:val="00F2106D"/>
    <w:rsid w:val="00F2115F"/>
    <w:rsid w:val="00F211C6"/>
    <w:rsid w:val="00F21218"/>
    <w:rsid w:val="00F2129A"/>
    <w:rsid w:val="00F2129E"/>
    <w:rsid w:val="00F21309"/>
    <w:rsid w:val="00F21329"/>
    <w:rsid w:val="00F213FB"/>
    <w:rsid w:val="00F21454"/>
    <w:rsid w:val="00F21476"/>
    <w:rsid w:val="00F21486"/>
    <w:rsid w:val="00F214C5"/>
    <w:rsid w:val="00F214D3"/>
    <w:rsid w:val="00F214E2"/>
    <w:rsid w:val="00F21585"/>
    <w:rsid w:val="00F2165B"/>
    <w:rsid w:val="00F217C5"/>
    <w:rsid w:val="00F218D0"/>
    <w:rsid w:val="00F21968"/>
    <w:rsid w:val="00F219B3"/>
    <w:rsid w:val="00F219CD"/>
    <w:rsid w:val="00F219D2"/>
    <w:rsid w:val="00F21AFC"/>
    <w:rsid w:val="00F21B01"/>
    <w:rsid w:val="00F21C56"/>
    <w:rsid w:val="00F21D42"/>
    <w:rsid w:val="00F21DDA"/>
    <w:rsid w:val="00F21E46"/>
    <w:rsid w:val="00F21F5D"/>
    <w:rsid w:val="00F21F84"/>
    <w:rsid w:val="00F21F86"/>
    <w:rsid w:val="00F22087"/>
    <w:rsid w:val="00F22215"/>
    <w:rsid w:val="00F22333"/>
    <w:rsid w:val="00F22337"/>
    <w:rsid w:val="00F223E3"/>
    <w:rsid w:val="00F22453"/>
    <w:rsid w:val="00F22457"/>
    <w:rsid w:val="00F2249E"/>
    <w:rsid w:val="00F22513"/>
    <w:rsid w:val="00F22564"/>
    <w:rsid w:val="00F2259C"/>
    <w:rsid w:val="00F225DD"/>
    <w:rsid w:val="00F226D7"/>
    <w:rsid w:val="00F22709"/>
    <w:rsid w:val="00F2271F"/>
    <w:rsid w:val="00F22725"/>
    <w:rsid w:val="00F2272D"/>
    <w:rsid w:val="00F2277B"/>
    <w:rsid w:val="00F22839"/>
    <w:rsid w:val="00F22859"/>
    <w:rsid w:val="00F2285D"/>
    <w:rsid w:val="00F228E7"/>
    <w:rsid w:val="00F22997"/>
    <w:rsid w:val="00F229FB"/>
    <w:rsid w:val="00F22A3D"/>
    <w:rsid w:val="00F22A71"/>
    <w:rsid w:val="00F22B0A"/>
    <w:rsid w:val="00F22B4D"/>
    <w:rsid w:val="00F22B64"/>
    <w:rsid w:val="00F22B79"/>
    <w:rsid w:val="00F22BE8"/>
    <w:rsid w:val="00F22C37"/>
    <w:rsid w:val="00F22C41"/>
    <w:rsid w:val="00F22D65"/>
    <w:rsid w:val="00F22EE6"/>
    <w:rsid w:val="00F22F2E"/>
    <w:rsid w:val="00F22F45"/>
    <w:rsid w:val="00F22F87"/>
    <w:rsid w:val="00F23023"/>
    <w:rsid w:val="00F230BF"/>
    <w:rsid w:val="00F23157"/>
    <w:rsid w:val="00F23175"/>
    <w:rsid w:val="00F231D2"/>
    <w:rsid w:val="00F23250"/>
    <w:rsid w:val="00F23266"/>
    <w:rsid w:val="00F232DA"/>
    <w:rsid w:val="00F233C0"/>
    <w:rsid w:val="00F233D2"/>
    <w:rsid w:val="00F23409"/>
    <w:rsid w:val="00F23436"/>
    <w:rsid w:val="00F23474"/>
    <w:rsid w:val="00F23509"/>
    <w:rsid w:val="00F2370B"/>
    <w:rsid w:val="00F2372B"/>
    <w:rsid w:val="00F237A5"/>
    <w:rsid w:val="00F237BA"/>
    <w:rsid w:val="00F2381C"/>
    <w:rsid w:val="00F23886"/>
    <w:rsid w:val="00F238E3"/>
    <w:rsid w:val="00F238E9"/>
    <w:rsid w:val="00F23978"/>
    <w:rsid w:val="00F239B5"/>
    <w:rsid w:val="00F23A1B"/>
    <w:rsid w:val="00F23A2F"/>
    <w:rsid w:val="00F23A3F"/>
    <w:rsid w:val="00F23BFC"/>
    <w:rsid w:val="00F23C33"/>
    <w:rsid w:val="00F23C51"/>
    <w:rsid w:val="00F23D99"/>
    <w:rsid w:val="00F23DA8"/>
    <w:rsid w:val="00F23FB0"/>
    <w:rsid w:val="00F24099"/>
    <w:rsid w:val="00F240C9"/>
    <w:rsid w:val="00F24277"/>
    <w:rsid w:val="00F24371"/>
    <w:rsid w:val="00F243E4"/>
    <w:rsid w:val="00F243F4"/>
    <w:rsid w:val="00F244CD"/>
    <w:rsid w:val="00F2450F"/>
    <w:rsid w:val="00F24574"/>
    <w:rsid w:val="00F24579"/>
    <w:rsid w:val="00F24604"/>
    <w:rsid w:val="00F24645"/>
    <w:rsid w:val="00F246C3"/>
    <w:rsid w:val="00F2477C"/>
    <w:rsid w:val="00F2480A"/>
    <w:rsid w:val="00F24836"/>
    <w:rsid w:val="00F24891"/>
    <w:rsid w:val="00F248B9"/>
    <w:rsid w:val="00F248EF"/>
    <w:rsid w:val="00F24B9F"/>
    <w:rsid w:val="00F24BA6"/>
    <w:rsid w:val="00F24CA6"/>
    <w:rsid w:val="00F24E5E"/>
    <w:rsid w:val="00F24E7D"/>
    <w:rsid w:val="00F25022"/>
    <w:rsid w:val="00F250A5"/>
    <w:rsid w:val="00F250E4"/>
    <w:rsid w:val="00F250E9"/>
    <w:rsid w:val="00F2518D"/>
    <w:rsid w:val="00F251B9"/>
    <w:rsid w:val="00F251F5"/>
    <w:rsid w:val="00F251FC"/>
    <w:rsid w:val="00F253A2"/>
    <w:rsid w:val="00F254CB"/>
    <w:rsid w:val="00F256AE"/>
    <w:rsid w:val="00F2570A"/>
    <w:rsid w:val="00F25773"/>
    <w:rsid w:val="00F257FA"/>
    <w:rsid w:val="00F25812"/>
    <w:rsid w:val="00F258F0"/>
    <w:rsid w:val="00F2593B"/>
    <w:rsid w:val="00F2598C"/>
    <w:rsid w:val="00F259C7"/>
    <w:rsid w:val="00F259CD"/>
    <w:rsid w:val="00F25A42"/>
    <w:rsid w:val="00F25A70"/>
    <w:rsid w:val="00F25AFE"/>
    <w:rsid w:val="00F25B12"/>
    <w:rsid w:val="00F25BB7"/>
    <w:rsid w:val="00F25C8A"/>
    <w:rsid w:val="00F25DCC"/>
    <w:rsid w:val="00F25E2F"/>
    <w:rsid w:val="00F25EE8"/>
    <w:rsid w:val="00F26004"/>
    <w:rsid w:val="00F2605D"/>
    <w:rsid w:val="00F26075"/>
    <w:rsid w:val="00F26080"/>
    <w:rsid w:val="00F2612C"/>
    <w:rsid w:val="00F26179"/>
    <w:rsid w:val="00F26344"/>
    <w:rsid w:val="00F263DD"/>
    <w:rsid w:val="00F263E2"/>
    <w:rsid w:val="00F2655C"/>
    <w:rsid w:val="00F26586"/>
    <w:rsid w:val="00F265A2"/>
    <w:rsid w:val="00F265AF"/>
    <w:rsid w:val="00F26622"/>
    <w:rsid w:val="00F26690"/>
    <w:rsid w:val="00F266CE"/>
    <w:rsid w:val="00F26729"/>
    <w:rsid w:val="00F26755"/>
    <w:rsid w:val="00F26762"/>
    <w:rsid w:val="00F26859"/>
    <w:rsid w:val="00F26A8B"/>
    <w:rsid w:val="00F26ACD"/>
    <w:rsid w:val="00F26B34"/>
    <w:rsid w:val="00F26B39"/>
    <w:rsid w:val="00F26C8B"/>
    <w:rsid w:val="00F26CB0"/>
    <w:rsid w:val="00F26CC7"/>
    <w:rsid w:val="00F26EE1"/>
    <w:rsid w:val="00F26F56"/>
    <w:rsid w:val="00F27072"/>
    <w:rsid w:val="00F27083"/>
    <w:rsid w:val="00F270E6"/>
    <w:rsid w:val="00F270E8"/>
    <w:rsid w:val="00F27267"/>
    <w:rsid w:val="00F27303"/>
    <w:rsid w:val="00F273D2"/>
    <w:rsid w:val="00F27425"/>
    <w:rsid w:val="00F27531"/>
    <w:rsid w:val="00F27553"/>
    <w:rsid w:val="00F277C8"/>
    <w:rsid w:val="00F277D2"/>
    <w:rsid w:val="00F277F4"/>
    <w:rsid w:val="00F277F9"/>
    <w:rsid w:val="00F2789C"/>
    <w:rsid w:val="00F278B7"/>
    <w:rsid w:val="00F278F2"/>
    <w:rsid w:val="00F27911"/>
    <w:rsid w:val="00F27942"/>
    <w:rsid w:val="00F279C9"/>
    <w:rsid w:val="00F27A7B"/>
    <w:rsid w:val="00F27AE0"/>
    <w:rsid w:val="00F27B83"/>
    <w:rsid w:val="00F27CDF"/>
    <w:rsid w:val="00F27E48"/>
    <w:rsid w:val="00F27EF5"/>
    <w:rsid w:val="00F27FDB"/>
    <w:rsid w:val="00F30159"/>
    <w:rsid w:val="00F30200"/>
    <w:rsid w:val="00F30251"/>
    <w:rsid w:val="00F302F0"/>
    <w:rsid w:val="00F3032C"/>
    <w:rsid w:val="00F303C2"/>
    <w:rsid w:val="00F303D2"/>
    <w:rsid w:val="00F304A9"/>
    <w:rsid w:val="00F3050D"/>
    <w:rsid w:val="00F30553"/>
    <w:rsid w:val="00F305CC"/>
    <w:rsid w:val="00F30803"/>
    <w:rsid w:val="00F3082C"/>
    <w:rsid w:val="00F30928"/>
    <w:rsid w:val="00F30934"/>
    <w:rsid w:val="00F309B7"/>
    <w:rsid w:val="00F30A63"/>
    <w:rsid w:val="00F30B0F"/>
    <w:rsid w:val="00F30B91"/>
    <w:rsid w:val="00F30BB1"/>
    <w:rsid w:val="00F30BC4"/>
    <w:rsid w:val="00F30BF0"/>
    <w:rsid w:val="00F30BFA"/>
    <w:rsid w:val="00F30CF8"/>
    <w:rsid w:val="00F30D70"/>
    <w:rsid w:val="00F30DAF"/>
    <w:rsid w:val="00F30DD6"/>
    <w:rsid w:val="00F30E0B"/>
    <w:rsid w:val="00F30E68"/>
    <w:rsid w:val="00F30EDA"/>
    <w:rsid w:val="00F30EE0"/>
    <w:rsid w:val="00F30F23"/>
    <w:rsid w:val="00F30F30"/>
    <w:rsid w:val="00F310BE"/>
    <w:rsid w:val="00F310C9"/>
    <w:rsid w:val="00F310D7"/>
    <w:rsid w:val="00F310E4"/>
    <w:rsid w:val="00F310F6"/>
    <w:rsid w:val="00F3110D"/>
    <w:rsid w:val="00F3112B"/>
    <w:rsid w:val="00F3116B"/>
    <w:rsid w:val="00F31250"/>
    <w:rsid w:val="00F3130F"/>
    <w:rsid w:val="00F31324"/>
    <w:rsid w:val="00F3139D"/>
    <w:rsid w:val="00F313CE"/>
    <w:rsid w:val="00F315FC"/>
    <w:rsid w:val="00F31605"/>
    <w:rsid w:val="00F3179A"/>
    <w:rsid w:val="00F317CC"/>
    <w:rsid w:val="00F317E6"/>
    <w:rsid w:val="00F319B9"/>
    <w:rsid w:val="00F319FD"/>
    <w:rsid w:val="00F31A67"/>
    <w:rsid w:val="00F31BD2"/>
    <w:rsid w:val="00F31D31"/>
    <w:rsid w:val="00F31D54"/>
    <w:rsid w:val="00F31D8C"/>
    <w:rsid w:val="00F31FE0"/>
    <w:rsid w:val="00F32000"/>
    <w:rsid w:val="00F32068"/>
    <w:rsid w:val="00F320FA"/>
    <w:rsid w:val="00F32202"/>
    <w:rsid w:val="00F32233"/>
    <w:rsid w:val="00F32357"/>
    <w:rsid w:val="00F324F2"/>
    <w:rsid w:val="00F3261B"/>
    <w:rsid w:val="00F32675"/>
    <w:rsid w:val="00F32728"/>
    <w:rsid w:val="00F327FA"/>
    <w:rsid w:val="00F3284D"/>
    <w:rsid w:val="00F32889"/>
    <w:rsid w:val="00F328DC"/>
    <w:rsid w:val="00F32908"/>
    <w:rsid w:val="00F329B7"/>
    <w:rsid w:val="00F32ACF"/>
    <w:rsid w:val="00F32AEA"/>
    <w:rsid w:val="00F32B89"/>
    <w:rsid w:val="00F32C19"/>
    <w:rsid w:val="00F32C5C"/>
    <w:rsid w:val="00F32C5F"/>
    <w:rsid w:val="00F32C70"/>
    <w:rsid w:val="00F32CB8"/>
    <w:rsid w:val="00F32CDB"/>
    <w:rsid w:val="00F32D49"/>
    <w:rsid w:val="00F32D4E"/>
    <w:rsid w:val="00F32E71"/>
    <w:rsid w:val="00F32FC7"/>
    <w:rsid w:val="00F3312E"/>
    <w:rsid w:val="00F33282"/>
    <w:rsid w:val="00F3349C"/>
    <w:rsid w:val="00F334C5"/>
    <w:rsid w:val="00F334CA"/>
    <w:rsid w:val="00F335C3"/>
    <w:rsid w:val="00F335DB"/>
    <w:rsid w:val="00F3363F"/>
    <w:rsid w:val="00F33662"/>
    <w:rsid w:val="00F336A5"/>
    <w:rsid w:val="00F33751"/>
    <w:rsid w:val="00F33772"/>
    <w:rsid w:val="00F337AB"/>
    <w:rsid w:val="00F33833"/>
    <w:rsid w:val="00F3385C"/>
    <w:rsid w:val="00F338FA"/>
    <w:rsid w:val="00F33903"/>
    <w:rsid w:val="00F3393D"/>
    <w:rsid w:val="00F33953"/>
    <w:rsid w:val="00F339B8"/>
    <w:rsid w:val="00F33A2E"/>
    <w:rsid w:val="00F33A71"/>
    <w:rsid w:val="00F33AEE"/>
    <w:rsid w:val="00F33B0C"/>
    <w:rsid w:val="00F33BA1"/>
    <w:rsid w:val="00F33BF3"/>
    <w:rsid w:val="00F33C70"/>
    <w:rsid w:val="00F33DE4"/>
    <w:rsid w:val="00F33DEE"/>
    <w:rsid w:val="00F3404E"/>
    <w:rsid w:val="00F3406C"/>
    <w:rsid w:val="00F3418E"/>
    <w:rsid w:val="00F341CC"/>
    <w:rsid w:val="00F3420F"/>
    <w:rsid w:val="00F342AA"/>
    <w:rsid w:val="00F342C4"/>
    <w:rsid w:val="00F3434E"/>
    <w:rsid w:val="00F343AC"/>
    <w:rsid w:val="00F343E1"/>
    <w:rsid w:val="00F344AF"/>
    <w:rsid w:val="00F344B7"/>
    <w:rsid w:val="00F344F0"/>
    <w:rsid w:val="00F34625"/>
    <w:rsid w:val="00F3462B"/>
    <w:rsid w:val="00F3471E"/>
    <w:rsid w:val="00F34765"/>
    <w:rsid w:val="00F347FE"/>
    <w:rsid w:val="00F34912"/>
    <w:rsid w:val="00F349FF"/>
    <w:rsid w:val="00F34A55"/>
    <w:rsid w:val="00F34AD8"/>
    <w:rsid w:val="00F34B03"/>
    <w:rsid w:val="00F34C76"/>
    <w:rsid w:val="00F34CC1"/>
    <w:rsid w:val="00F34D97"/>
    <w:rsid w:val="00F34DD5"/>
    <w:rsid w:val="00F34E02"/>
    <w:rsid w:val="00F34E67"/>
    <w:rsid w:val="00F34ECC"/>
    <w:rsid w:val="00F34ED1"/>
    <w:rsid w:val="00F34F0E"/>
    <w:rsid w:val="00F34FBF"/>
    <w:rsid w:val="00F3517A"/>
    <w:rsid w:val="00F351A5"/>
    <w:rsid w:val="00F351E4"/>
    <w:rsid w:val="00F3521A"/>
    <w:rsid w:val="00F35349"/>
    <w:rsid w:val="00F35379"/>
    <w:rsid w:val="00F353A0"/>
    <w:rsid w:val="00F35401"/>
    <w:rsid w:val="00F35483"/>
    <w:rsid w:val="00F3549E"/>
    <w:rsid w:val="00F3557C"/>
    <w:rsid w:val="00F3561F"/>
    <w:rsid w:val="00F35633"/>
    <w:rsid w:val="00F35652"/>
    <w:rsid w:val="00F356E1"/>
    <w:rsid w:val="00F35778"/>
    <w:rsid w:val="00F35888"/>
    <w:rsid w:val="00F35896"/>
    <w:rsid w:val="00F35A97"/>
    <w:rsid w:val="00F35B0E"/>
    <w:rsid w:val="00F35B6F"/>
    <w:rsid w:val="00F35BC8"/>
    <w:rsid w:val="00F35C02"/>
    <w:rsid w:val="00F35CC0"/>
    <w:rsid w:val="00F35E45"/>
    <w:rsid w:val="00F35FDA"/>
    <w:rsid w:val="00F360A2"/>
    <w:rsid w:val="00F360A4"/>
    <w:rsid w:val="00F360E0"/>
    <w:rsid w:val="00F361C7"/>
    <w:rsid w:val="00F361E3"/>
    <w:rsid w:val="00F361E4"/>
    <w:rsid w:val="00F361FD"/>
    <w:rsid w:val="00F363FD"/>
    <w:rsid w:val="00F36520"/>
    <w:rsid w:val="00F365A7"/>
    <w:rsid w:val="00F366F0"/>
    <w:rsid w:val="00F366F2"/>
    <w:rsid w:val="00F3681C"/>
    <w:rsid w:val="00F368AF"/>
    <w:rsid w:val="00F3698B"/>
    <w:rsid w:val="00F36996"/>
    <w:rsid w:val="00F369D8"/>
    <w:rsid w:val="00F36A7A"/>
    <w:rsid w:val="00F36AEC"/>
    <w:rsid w:val="00F36B24"/>
    <w:rsid w:val="00F36B78"/>
    <w:rsid w:val="00F36B7A"/>
    <w:rsid w:val="00F36B7C"/>
    <w:rsid w:val="00F36CE1"/>
    <w:rsid w:val="00F36D4A"/>
    <w:rsid w:val="00F36D73"/>
    <w:rsid w:val="00F36EF5"/>
    <w:rsid w:val="00F36F36"/>
    <w:rsid w:val="00F36FEA"/>
    <w:rsid w:val="00F3702D"/>
    <w:rsid w:val="00F37138"/>
    <w:rsid w:val="00F371BD"/>
    <w:rsid w:val="00F3722D"/>
    <w:rsid w:val="00F37386"/>
    <w:rsid w:val="00F3738E"/>
    <w:rsid w:val="00F37415"/>
    <w:rsid w:val="00F3745F"/>
    <w:rsid w:val="00F3747C"/>
    <w:rsid w:val="00F374C3"/>
    <w:rsid w:val="00F3752A"/>
    <w:rsid w:val="00F37549"/>
    <w:rsid w:val="00F375CD"/>
    <w:rsid w:val="00F375D7"/>
    <w:rsid w:val="00F3769D"/>
    <w:rsid w:val="00F3798E"/>
    <w:rsid w:val="00F37AC6"/>
    <w:rsid w:val="00F37B0C"/>
    <w:rsid w:val="00F37B20"/>
    <w:rsid w:val="00F37C7E"/>
    <w:rsid w:val="00F37C93"/>
    <w:rsid w:val="00F37CC7"/>
    <w:rsid w:val="00F37CEC"/>
    <w:rsid w:val="00F37E4D"/>
    <w:rsid w:val="00F37F79"/>
    <w:rsid w:val="00F37FD5"/>
    <w:rsid w:val="00F400C8"/>
    <w:rsid w:val="00F4011C"/>
    <w:rsid w:val="00F401B5"/>
    <w:rsid w:val="00F4026C"/>
    <w:rsid w:val="00F40280"/>
    <w:rsid w:val="00F402EE"/>
    <w:rsid w:val="00F40308"/>
    <w:rsid w:val="00F403BA"/>
    <w:rsid w:val="00F404D7"/>
    <w:rsid w:val="00F404F4"/>
    <w:rsid w:val="00F405BF"/>
    <w:rsid w:val="00F405D1"/>
    <w:rsid w:val="00F4060D"/>
    <w:rsid w:val="00F4089B"/>
    <w:rsid w:val="00F40931"/>
    <w:rsid w:val="00F409BB"/>
    <w:rsid w:val="00F409D8"/>
    <w:rsid w:val="00F40AC3"/>
    <w:rsid w:val="00F40BB1"/>
    <w:rsid w:val="00F40BFB"/>
    <w:rsid w:val="00F40C33"/>
    <w:rsid w:val="00F40C8D"/>
    <w:rsid w:val="00F40CF4"/>
    <w:rsid w:val="00F40D52"/>
    <w:rsid w:val="00F40DDB"/>
    <w:rsid w:val="00F40E85"/>
    <w:rsid w:val="00F40EE6"/>
    <w:rsid w:val="00F40F09"/>
    <w:rsid w:val="00F40F66"/>
    <w:rsid w:val="00F4110F"/>
    <w:rsid w:val="00F4115D"/>
    <w:rsid w:val="00F411AE"/>
    <w:rsid w:val="00F411E3"/>
    <w:rsid w:val="00F4132D"/>
    <w:rsid w:val="00F4134E"/>
    <w:rsid w:val="00F4135D"/>
    <w:rsid w:val="00F4143E"/>
    <w:rsid w:val="00F41513"/>
    <w:rsid w:val="00F41589"/>
    <w:rsid w:val="00F415AA"/>
    <w:rsid w:val="00F415E6"/>
    <w:rsid w:val="00F4161D"/>
    <w:rsid w:val="00F4175B"/>
    <w:rsid w:val="00F417AC"/>
    <w:rsid w:val="00F4188F"/>
    <w:rsid w:val="00F4197A"/>
    <w:rsid w:val="00F41992"/>
    <w:rsid w:val="00F419B1"/>
    <w:rsid w:val="00F419C4"/>
    <w:rsid w:val="00F41A04"/>
    <w:rsid w:val="00F41B24"/>
    <w:rsid w:val="00F41C0E"/>
    <w:rsid w:val="00F41CC5"/>
    <w:rsid w:val="00F41D25"/>
    <w:rsid w:val="00F41E5A"/>
    <w:rsid w:val="00F41E8A"/>
    <w:rsid w:val="00F41EAF"/>
    <w:rsid w:val="00F41F7E"/>
    <w:rsid w:val="00F42053"/>
    <w:rsid w:val="00F42093"/>
    <w:rsid w:val="00F420E0"/>
    <w:rsid w:val="00F4211C"/>
    <w:rsid w:val="00F421F0"/>
    <w:rsid w:val="00F422D1"/>
    <w:rsid w:val="00F422D2"/>
    <w:rsid w:val="00F422EC"/>
    <w:rsid w:val="00F4232B"/>
    <w:rsid w:val="00F42382"/>
    <w:rsid w:val="00F423A2"/>
    <w:rsid w:val="00F423C2"/>
    <w:rsid w:val="00F42563"/>
    <w:rsid w:val="00F42580"/>
    <w:rsid w:val="00F4259F"/>
    <w:rsid w:val="00F42753"/>
    <w:rsid w:val="00F427AB"/>
    <w:rsid w:val="00F427F2"/>
    <w:rsid w:val="00F4293D"/>
    <w:rsid w:val="00F42A57"/>
    <w:rsid w:val="00F42A7B"/>
    <w:rsid w:val="00F42B4F"/>
    <w:rsid w:val="00F42C6C"/>
    <w:rsid w:val="00F42CA0"/>
    <w:rsid w:val="00F42D09"/>
    <w:rsid w:val="00F42D66"/>
    <w:rsid w:val="00F42DA6"/>
    <w:rsid w:val="00F42E67"/>
    <w:rsid w:val="00F43002"/>
    <w:rsid w:val="00F43138"/>
    <w:rsid w:val="00F4313C"/>
    <w:rsid w:val="00F43244"/>
    <w:rsid w:val="00F433B7"/>
    <w:rsid w:val="00F433F8"/>
    <w:rsid w:val="00F433FE"/>
    <w:rsid w:val="00F43530"/>
    <w:rsid w:val="00F435B6"/>
    <w:rsid w:val="00F43627"/>
    <w:rsid w:val="00F4366A"/>
    <w:rsid w:val="00F43748"/>
    <w:rsid w:val="00F43781"/>
    <w:rsid w:val="00F43839"/>
    <w:rsid w:val="00F4387A"/>
    <w:rsid w:val="00F438D7"/>
    <w:rsid w:val="00F43905"/>
    <w:rsid w:val="00F43922"/>
    <w:rsid w:val="00F43925"/>
    <w:rsid w:val="00F439E2"/>
    <w:rsid w:val="00F439FB"/>
    <w:rsid w:val="00F43A84"/>
    <w:rsid w:val="00F43A8F"/>
    <w:rsid w:val="00F43AA0"/>
    <w:rsid w:val="00F43AF5"/>
    <w:rsid w:val="00F43B6A"/>
    <w:rsid w:val="00F43BD2"/>
    <w:rsid w:val="00F43C06"/>
    <w:rsid w:val="00F43CB4"/>
    <w:rsid w:val="00F43CC5"/>
    <w:rsid w:val="00F43D15"/>
    <w:rsid w:val="00F43DAA"/>
    <w:rsid w:val="00F43E4A"/>
    <w:rsid w:val="00F43EB6"/>
    <w:rsid w:val="00F44073"/>
    <w:rsid w:val="00F440BA"/>
    <w:rsid w:val="00F44142"/>
    <w:rsid w:val="00F44163"/>
    <w:rsid w:val="00F44184"/>
    <w:rsid w:val="00F44245"/>
    <w:rsid w:val="00F44347"/>
    <w:rsid w:val="00F44461"/>
    <w:rsid w:val="00F44514"/>
    <w:rsid w:val="00F44579"/>
    <w:rsid w:val="00F44591"/>
    <w:rsid w:val="00F445E3"/>
    <w:rsid w:val="00F4463A"/>
    <w:rsid w:val="00F4463C"/>
    <w:rsid w:val="00F44654"/>
    <w:rsid w:val="00F446E6"/>
    <w:rsid w:val="00F44707"/>
    <w:rsid w:val="00F447AA"/>
    <w:rsid w:val="00F4481B"/>
    <w:rsid w:val="00F44846"/>
    <w:rsid w:val="00F44924"/>
    <w:rsid w:val="00F4494C"/>
    <w:rsid w:val="00F4496A"/>
    <w:rsid w:val="00F4498B"/>
    <w:rsid w:val="00F44994"/>
    <w:rsid w:val="00F44A77"/>
    <w:rsid w:val="00F44B30"/>
    <w:rsid w:val="00F44BBA"/>
    <w:rsid w:val="00F44BC4"/>
    <w:rsid w:val="00F44BDE"/>
    <w:rsid w:val="00F44C0B"/>
    <w:rsid w:val="00F44C14"/>
    <w:rsid w:val="00F44CB2"/>
    <w:rsid w:val="00F44D5E"/>
    <w:rsid w:val="00F44D65"/>
    <w:rsid w:val="00F44D6B"/>
    <w:rsid w:val="00F44DBB"/>
    <w:rsid w:val="00F44EAE"/>
    <w:rsid w:val="00F44ECB"/>
    <w:rsid w:val="00F44F4E"/>
    <w:rsid w:val="00F44FA1"/>
    <w:rsid w:val="00F45049"/>
    <w:rsid w:val="00F45059"/>
    <w:rsid w:val="00F450C3"/>
    <w:rsid w:val="00F4510F"/>
    <w:rsid w:val="00F45139"/>
    <w:rsid w:val="00F45290"/>
    <w:rsid w:val="00F45571"/>
    <w:rsid w:val="00F455CF"/>
    <w:rsid w:val="00F455ED"/>
    <w:rsid w:val="00F45638"/>
    <w:rsid w:val="00F458F0"/>
    <w:rsid w:val="00F45922"/>
    <w:rsid w:val="00F459AC"/>
    <w:rsid w:val="00F45A16"/>
    <w:rsid w:val="00F45A4D"/>
    <w:rsid w:val="00F45BD4"/>
    <w:rsid w:val="00F45C02"/>
    <w:rsid w:val="00F45CE6"/>
    <w:rsid w:val="00F45D13"/>
    <w:rsid w:val="00F45D31"/>
    <w:rsid w:val="00F45DA4"/>
    <w:rsid w:val="00F45DE4"/>
    <w:rsid w:val="00F45E7C"/>
    <w:rsid w:val="00F45E90"/>
    <w:rsid w:val="00F45EA0"/>
    <w:rsid w:val="00F45F42"/>
    <w:rsid w:val="00F45F71"/>
    <w:rsid w:val="00F45FAA"/>
    <w:rsid w:val="00F45FB5"/>
    <w:rsid w:val="00F45FFD"/>
    <w:rsid w:val="00F46067"/>
    <w:rsid w:val="00F4608B"/>
    <w:rsid w:val="00F460B0"/>
    <w:rsid w:val="00F46158"/>
    <w:rsid w:val="00F46192"/>
    <w:rsid w:val="00F4619F"/>
    <w:rsid w:val="00F46251"/>
    <w:rsid w:val="00F462B9"/>
    <w:rsid w:val="00F46354"/>
    <w:rsid w:val="00F463D2"/>
    <w:rsid w:val="00F46405"/>
    <w:rsid w:val="00F4659C"/>
    <w:rsid w:val="00F465F0"/>
    <w:rsid w:val="00F467AD"/>
    <w:rsid w:val="00F4680A"/>
    <w:rsid w:val="00F46909"/>
    <w:rsid w:val="00F46914"/>
    <w:rsid w:val="00F46978"/>
    <w:rsid w:val="00F4697E"/>
    <w:rsid w:val="00F46996"/>
    <w:rsid w:val="00F469BB"/>
    <w:rsid w:val="00F46BA2"/>
    <w:rsid w:val="00F46C12"/>
    <w:rsid w:val="00F46C22"/>
    <w:rsid w:val="00F46CB4"/>
    <w:rsid w:val="00F46D38"/>
    <w:rsid w:val="00F46E16"/>
    <w:rsid w:val="00F46E51"/>
    <w:rsid w:val="00F46EA1"/>
    <w:rsid w:val="00F46F6C"/>
    <w:rsid w:val="00F46FCB"/>
    <w:rsid w:val="00F47046"/>
    <w:rsid w:val="00F4707B"/>
    <w:rsid w:val="00F470F5"/>
    <w:rsid w:val="00F47250"/>
    <w:rsid w:val="00F472F3"/>
    <w:rsid w:val="00F473A0"/>
    <w:rsid w:val="00F473A5"/>
    <w:rsid w:val="00F473A9"/>
    <w:rsid w:val="00F473AC"/>
    <w:rsid w:val="00F473F3"/>
    <w:rsid w:val="00F47414"/>
    <w:rsid w:val="00F4743F"/>
    <w:rsid w:val="00F47442"/>
    <w:rsid w:val="00F474B8"/>
    <w:rsid w:val="00F474BA"/>
    <w:rsid w:val="00F47529"/>
    <w:rsid w:val="00F47580"/>
    <w:rsid w:val="00F475F2"/>
    <w:rsid w:val="00F47628"/>
    <w:rsid w:val="00F4775D"/>
    <w:rsid w:val="00F47786"/>
    <w:rsid w:val="00F477BB"/>
    <w:rsid w:val="00F47873"/>
    <w:rsid w:val="00F47894"/>
    <w:rsid w:val="00F47895"/>
    <w:rsid w:val="00F478CA"/>
    <w:rsid w:val="00F479B7"/>
    <w:rsid w:val="00F47B03"/>
    <w:rsid w:val="00F47BA9"/>
    <w:rsid w:val="00F47CE2"/>
    <w:rsid w:val="00F47CFC"/>
    <w:rsid w:val="00F47D1D"/>
    <w:rsid w:val="00F47E4E"/>
    <w:rsid w:val="00F47F25"/>
    <w:rsid w:val="00F47F5C"/>
    <w:rsid w:val="00F47FF6"/>
    <w:rsid w:val="00F50179"/>
    <w:rsid w:val="00F501F3"/>
    <w:rsid w:val="00F50275"/>
    <w:rsid w:val="00F503CA"/>
    <w:rsid w:val="00F50492"/>
    <w:rsid w:val="00F504C3"/>
    <w:rsid w:val="00F5051D"/>
    <w:rsid w:val="00F50680"/>
    <w:rsid w:val="00F506D8"/>
    <w:rsid w:val="00F507EB"/>
    <w:rsid w:val="00F507FE"/>
    <w:rsid w:val="00F50964"/>
    <w:rsid w:val="00F509B0"/>
    <w:rsid w:val="00F50A12"/>
    <w:rsid w:val="00F50A98"/>
    <w:rsid w:val="00F50AB9"/>
    <w:rsid w:val="00F50B4A"/>
    <w:rsid w:val="00F50CB9"/>
    <w:rsid w:val="00F50CD3"/>
    <w:rsid w:val="00F50DB4"/>
    <w:rsid w:val="00F50DEA"/>
    <w:rsid w:val="00F50DF1"/>
    <w:rsid w:val="00F50E5F"/>
    <w:rsid w:val="00F50F33"/>
    <w:rsid w:val="00F50FAA"/>
    <w:rsid w:val="00F50FE5"/>
    <w:rsid w:val="00F5105F"/>
    <w:rsid w:val="00F510FA"/>
    <w:rsid w:val="00F51264"/>
    <w:rsid w:val="00F512AF"/>
    <w:rsid w:val="00F512DC"/>
    <w:rsid w:val="00F51347"/>
    <w:rsid w:val="00F51460"/>
    <w:rsid w:val="00F514CF"/>
    <w:rsid w:val="00F514E3"/>
    <w:rsid w:val="00F5155D"/>
    <w:rsid w:val="00F515BE"/>
    <w:rsid w:val="00F51609"/>
    <w:rsid w:val="00F51667"/>
    <w:rsid w:val="00F516AA"/>
    <w:rsid w:val="00F516BD"/>
    <w:rsid w:val="00F5171F"/>
    <w:rsid w:val="00F51730"/>
    <w:rsid w:val="00F517C4"/>
    <w:rsid w:val="00F517E9"/>
    <w:rsid w:val="00F51837"/>
    <w:rsid w:val="00F51924"/>
    <w:rsid w:val="00F519C7"/>
    <w:rsid w:val="00F51A27"/>
    <w:rsid w:val="00F51ABB"/>
    <w:rsid w:val="00F51B45"/>
    <w:rsid w:val="00F51B8B"/>
    <w:rsid w:val="00F51C51"/>
    <w:rsid w:val="00F51C6B"/>
    <w:rsid w:val="00F51D5B"/>
    <w:rsid w:val="00F51D93"/>
    <w:rsid w:val="00F51D98"/>
    <w:rsid w:val="00F51DA6"/>
    <w:rsid w:val="00F51DD9"/>
    <w:rsid w:val="00F51EA1"/>
    <w:rsid w:val="00F51F61"/>
    <w:rsid w:val="00F51FF0"/>
    <w:rsid w:val="00F52011"/>
    <w:rsid w:val="00F52063"/>
    <w:rsid w:val="00F52066"/>
    <w:rsid w:val="00F5207A"/>
    <w:rsid w:val="00F5207E"/>
    <w:rsid w:val="00F520C1"/>
    <w:rsid w:val="00F520E1"/>
    <w:rsid w:val="00F520E9"/>
    <w:rsid w:val="00F521DC"/>
    <w:rsid w:val="00F521E9"/>
    <w:rsid w:val="00F521F6"/>
    <w:rsid w:val="00F52242"/>
    <w:rsid w:val="00F52299"/>
    <w:rsid w:val="00F523CD"/>
    <w:rsid w:val="00F524EE"/>
    <w:rsid w:val="00F525E5"/>
    <w:rsid w:val="00F52638"/>
    <w:rsid w:val="00F52692"/>
    <w:rsid w:val="00F5273F"/>
    <w:rsid w:val="00F52772"/>
    <w:rsid w:val="00F5277E"/>
    <w:rsid w:val="00F527FB"/>
    <w:rsid w:val="00F52868"/>
    <w:rsid w:val="00F52889"/>
    <w:rsid w:val="00F529B5"/>
    <w:rsid w:val="00F52A3C"/>
    <w:rsid w:val="00F52AD0"/>
    <w:rsid w:val="00F52BAC"/>
    <w:rsid w:val="00F52CBD"/>
    <w:rsid w:val="00F52D0F"/>
    <w:rsid w:val="00F52D46"/>
    <w:rsid w:val="00F52E14"/>
    <w:rsid w:val="00F52ED5"/>
    <w:rsid w:val="00F52EF3"/>
    <w:rsid w:val="00F52FB7"/>
    <w:rsid w:val="00F52FCD"/>
    <w:rsid w:val="00F5318C"/>
    <w:rsid w:val="00F53199"/>
    <w:rsid w:val="00F531A8"/>
    <w:rsid w:val="00F5325E"/>
    <w:rsid w:val="00F53274"/>
    <w:rsid w:val="00F532A7"/>
    <w:rsid w:val="00F5331A"/>
    <w:rsid w:val="00F5333E"/>
    <w:rsid w:val="00F53357"/>
    <w:rsid w:val="00F53368"/>
    <w:rsid w:val="00F5336F"/>
    <w:rsid w:val="00F533F2"/>
    <w:rsid w:val="00F53467"/>
    <w:rsid w:val="00F534E9"/>
    <w:rsid w:val="00F53682"/>
    <w:rsid w:val="00F536A2"/>
    <w:rsid w:val="00F538BE"/>
    <w:rsid w:val="00F539D4"/>
    <w:rsid w:val="00F53A8D"/>
    <w:rsid w:val="00F53A9E"/>
    <w:rsid w:val="00F53ABB"/>
    <w:rsid w:val="00F53ADE"/>
    <w:rsid w:val="00F53AE7"/>
    <w:rsid w:val="00F53AF7"/>
    <w:rsid w:val="00F53D8E"/>
    <w:rsid w:val="00F53EC5"/>
    <w:rsid w:val="00F53EE0"/>
    <w:rsid w:val="00F53F25"/>
    <w:rsid w:val="00F53F9D"/>
    <w:rsid w:val="00F53FDA"/>
    <w:rsid w:val="00F53FDD"/>
    <w:rsid w:val="00F54118"/>
    <w:rsid w:val="00F5412D"/>
    <w:rsid w:val="00F541A1"/>
    <w:rsid w:val="00F5422E"/>
    <w:rsid w:val="00F54277"/>
    <w:rsid w:val="00F54344"/>
    <w:rsid w:val="00F54361"/>
    <w:rsid w:val="00F5446E"/>
    <w:rsid w:val="00F544B3"/>
    <w:rsid w:val="00F544F2"/>
    <w:rsid w:val="00F546AB"/>
    <w:rsid w:val="00F5471A"/>
    <w:rsid w:val="00F54774"/>
    <w:rsid w:val="00F54836"/>
    <w:rsid w:val="00F548DE"/>
    <w:rsid w:val="00F54924"/>
    <w:rsid w:val="00F54983"/>
    <w:rsid w:val="00F54A56"/>
    <w:rsid w:val="00F54B09"/>
    <w:rsid w:val="00F54B97"/>
    <w:rsid w:val="00F54BA9"/>
    <w:rsid w:val="00F54BEA"/>
    <w:rsid w:val="00F54C24"/>
    <w:rsid w:val="00F54D05"/>
    <w:rsid w:val="00F54DA6"/>
    <w:rsid w:val="00F54E0C"/>
    <w:rsid w:val="00F54E52"/>
    <w:rsid w:val="00F54E76"/>
    <w:rsid w:val="00F54E8A"/>
    <w:rsid w:val="00F54E90"/>
    <w:rsid w:val="00F54EB8"/>
    <w:rsid w:val="00F54EED"/>
    <w:rsid w:val="00F54FDC"/>
    <w:rsid w:val="00F55071"/>
    <w:rsid w:val="00F5514F"/>
    <w:rsid w:val="00F55194"/>
    <w:rsid w:val="00F551B5"/>
    <w:rsid w:val="00F55273"/>
    <w:rsid w:val="00F552DF"/>
    <w:rsid w:val="00F55436"/>
    <w:rsid w:val="00F5559E"/>
    <w:rsid w:val="00F555C2"/>
    <w:rsid w:val="00F555CC"/>
    <w:rsid w:val="00F55656"/>
    <w:rsid w:val="00F55686"/>
    <w:rsid w:val="00F55698"/>
    <w:rsid w:val="00F556C5"/>
    <w:rsid w:val="00F55965"/>
    <w:rsid w:val="00F559A8"/>
    <w:rsid w:val="00F559ED"/>
    <w:rsid w:val="00F55B05"/>
    <w:rsid w:val="00F55BC5"/>
    <w:rsid w:val="00F55C14"/>
    <w:rsid w:val="00F55C21"/>
    <w:rsid w:val="00F55C2F"/>
    <w:rsid w:val="00F55C92"/>
    <w:rsid w:val="00F55D26"/>
    <w:rsid w:val="00F55E5F"/>
    <w:rsid w:val="00F55F0D"/>
    <w:rsid w:val="00F55F10"/>
    <w:rsid w:val="00F55F6D"/>
    <w:rsid w:val="00F5606F"/>
    <w:rsid w:val="00F560AC"/>
    <w:rsid w:val="00F560CD"/>
    <w:rsid w:val="00F560F2"/>
    <w:rsid w:val="00F5622D"/>
    <w:rsid w:val="00F56251"/>
    <w:rsid w:val="00F56282"/>
    <w:rsid w:val="00F562EB"/>
    <w:rsid w:val="00F563C1"/>
    <w:rsid w:val="00F5645E"/>
    <w:rsid w:val="00F5655B"/>
    <w:rsid w:val="00F56687"/>
    <w:rsid w:val="00F566B3"/>
    <w:rsid w:val="00F56700"/>
    <w:rsid w:val="00F56808"/>
    <w:rsid w:val="00F56883"/>
    <w:rsid w:val="00F56949"/>
    <w:rsid w:val="00F56A5D"/>
    <w:rsid w:val="00F56ABA"/>
    <w:rsid w:val="00F56B4E"/>
    <w:rsid w:val="00F56B55"/>
    <w:rsid w:val="00F56BD3"/>
    <w:rsid w:val="00F56C13"/>
    <w:rsid w:val="00F56C34"/>
    <w:rsid w:val="00F56E10"/>
    <w:rsid w:val="00F56EB4"/>
    <w:rsid w:val="00F56EE4"/>
    <w:rsid w:val="00F56F64"/>
    <w:rsid w:val="00F56FD1"/>
    <w:rsid w:val="00F57044"/>
    <w:rsid w:val="00F5736B"/>
    <w:rsid w:val="00F57504"/>
    <w:rsid w:val="00F5750D"/>
    <w:rsid w:val="00F57513"/>
    <w:rsid w:val="00F57521"/>
    <w:rsid w:val="00F575E3"/>
    <w:rsid w:val="00F576EA"/>
    <w:rsid w:val="00F577B9"/>
    <w:rsid w:val="00F577D9"/>
    <w:rsid w:val="00F57880"/>
    <w:rsid w:val="00F5790F"/>
    <w:rsid w:val="00F5791C"/>
    <w:rsid w:val="00F579A7"/>
    <w:rsid w:val="00F579DF"/>
    <w:rsid w:val="00F579E0"/>
    <w:rsid w:val="00F579F0"/>
    <w:rsid w:val="00F579FF"/>
    <w:rsid w:val="00F57B3D"/>
    <w:rsid w:val="00F57B6B"/>
    <w:rsid w:val="00F57C52"/>
    <w:rsid w:val="00F57D09"/>
    <w:rsid w:val="00F57F30"/>
    <w:rsid w:val="00F57F37"/>
    <w:rsid w:val="00F57FB9"/>
    <w:rsid w:val="00F57FC7"/>
    <w:rsid w:val="00F60002"/>
    <w:rsid w:val="00F6000A"/>
    <w:rsid w:val="00F600BF"/>
    <w:rsid w:val="00F60264"/>
    <w:rsid w:val="00F60266"/>
    <w:rsid w:val="00F602C1"/>
    <w:rsid w:val="00F602CB"/>
    <w:rsid w:val="00F60348"/>
    <w:rsid w:val="00F604AB"/>
    <w:rsid w:val="00F604C8"/>
    <w:rsid w:val="00F604F6"/>
    <w:rsid w:val="00F605EC"/>
    <w:rsid w:val="00F608A8"/>
    <w:rsid w:val="00F608AB"/>
    <w:rsid w:val="00F608EF"/>
    <w:rsid w:val="00F6097D"/>
    <w:rsid w:val="00F609CD"/>
    <w:rsid w:val="00F609DF"/>
    <w:rsid w:val="00F60ACA"/>
    <w:rsid w:val="00F60BA2"/>
    <w:rsid w:val="00F60BE7"/>
    <w:rsid w:val="00F60C37"/>
    <w:rsid w:val="00F60C5E"/>
    <w:rsid w:val="00F60C80"/>
    <w:rsid w:val="00F60D85"/>
    <w:rsid w:val="00F60D8A"/>
    <w:rsid w:val="00F60E65"/>
    <w:rsid w:val="00F60F7D"/>
    <w:rsid w:val="00F60FCA"/>
    <w:rsid w:val="00F60FD2"/>
    <w:rsid w:val="00F60FF2"/>
    <w:rsid w:val="00F6101B"/>
    <w:rsid w:val="00F610BA"/>
    <w:rsid w:val="00F610BF"/>
    <w:rsid w:val="00F6110B"/>
    <w:rsid w:val="00F611E1"/>
    <w:rsid w:val="00F61291"/>
    <w:rsid w:val="00F612D1"/>
    <w:rsid w:val="00F61496"/>
    <w:rsid w:val="00F6159C"/>
    <w:rsid w:val="00F6159D"/>
    <w:rsid w:val="00F61605"/>
    <w:rsid w:val="00F61696"/>
    <w:rsid w:val="00F61711"/>
    <w:rsid w:val="00F61714"/>
    <w:rsid w:val="00F61723"/>
    <w:rsid w:val="00F6173E"/>
    <w:rsid w:val="00F6182E"/>
    <w:rsid w:val="00F618CF"/>
    <w:rsid w:val="00F61983"/>
    <w:rsid w:val="00F61A11"/>
    <w:rsid w:val="00F61A64"/>
    <w:rsid w:val="00F61AAC"/>
    <w:rsid w:val="00F61AF1"/>
    <w:rsid w:val="00F61C0A"/>
    <w:rsid w:val="00F61D43"/>
    <w:rsid w:val="00F61DBB"/>
    <w:rsid w:val="00F61E44"/>
    <w:rsid w:val="00F61E96"/>
    <w:rsid w:val="00F61EBC"/>
    <w:rsid w:val="00F61F19"/>
    <w:rsid w:val="00F61FEB"/>
    <w:rsid w:val="00F6200B"/>
    <w:rsid w:val="00F620AC"/>
    <w:rsid w:val="00F620F2"/>
    <w:rsid w:val="00F6213B"/>
    <w:rsid w:val="00F6214B"/>
    <w:rsid w:val="00F622F3"/>
    <w:rsid w:val="00F62348"/>
    <w:rsid w:val="00F6238F"/>
    <w:rsid w:val="00F62391"/>
    <w:rsid w:val="00F624A8"/>
    <w:rsid w:val="00F6250B"/>
    <w:rsid w:val="00F62595"/>
    <w:rsid w:val="00F6260B"/>
    <w:rsid w:val="00F626E2"/>
    <w:rsid w:val="00F62707"/>
    <w:rsid w:val="00F6274B"/>
    <w:rsid w:val="00F62AAD"/>
    <w:rsid w:val="00F62C73"/>
    <w:rsid w:val="00F62CAF"/>
    <w:rsid w:val="00F62D1F"/>
    <w:rsid w:val="00F62D45"/>
    <w:rsid w:val="00F62D93"/>
    <w:rsid w:val="00F62DBA"/>
    <w:rsid w:val="00F62E6D"/>
    <w:rsid w:val="00F62EF3"/>
    <w:rsid w:val="00F62F34"/>
    <w:rsid w:val="00F62F61"/>
    <w:rsid w:val="00F6300A"/>
    <w:rsid w:val="00F63024"/>
    <w:rsid w:val="00F63054"/>
    <w:rsid w:val="00F630F1"/>
    <w:rsid w:val="00F63425"/>
    <w:rsid w:val="00F63447"/>
    <w:rsid w:val="00F634CC"/>
    <w:rsid w:val="00F63538"/>
    <w:rsid w:val="00F6354B"/>
    <w:rsid w:val="00F6359B"/>
    <w:rsid w:val="00F63607"/>
    <w:rsid w:val="00F6367C"/>
    <w:rsid w:val="00F636F4"/>
    <w:rsid w:val="00F6373A"/>
    <w:rsid w:val="00F63784"/>
    <w:rsid w:val="00F63817"/>
    <w:rsid w:val="00F63A98"/>
    <w:rsid w:val="00F63B17"/>
    <w:rsid w:val="00F63B4A"/>
    <w:rsid w:val="00F63BB3"/>
    <w:rsid w:val="00F63C79"/>
    <w:rsid w:val="00F63D99"/>
    <w:rsid w:val="00F63DF5"/>
    <w:rsid w:val="00F63E59"/>
    <w:rsid w:val="00F63EC1"/>
    <w:rsid w:val="00F63FC5"/>
    <w:rsid w:val="00F64009"/>
    <w:rsid w:val="00F64021"/>
    <w:rsid w:val="00F64064"/>
    <w:rsid w:val="00F6412B"/>
    <w:rsid w:val="00F64145"/>
    <w:rsid w:val="00F64153"/>
    <w:rsid w:val="00F64272"/>
    <w:rsid w:val="00F6429C"/>
    <w:rsid w:val="00F642E8"/>
    <w:rsid w:val="00F643AB"/>
    <w:rsid w:val="00F643F4"/>
    <w:rsid w:val="00F6454B"/>
    <w:rsid w:val="00F64680"/>
    <w:rsid w:val="00F646A4"/>
    <w:rsid w:val="00F648C3"/>
    <w:rsid w:val="00F6493D"/>
    <w:rsid w:val="00F6497F"/>
    <w:rsid w:val="00F649A6"/>
    <w:rsid w:val="00F64BC2"/>
    <w:rsid w:val="00F64BE0"/>
    <w:rsid w:val="00F64C8C"/>
    <w:rsid w:val="00F64F0E"/>
    <w:rsid w:val="00F64F6C"/>
    <w:rsid w:val="00F64FA6"/>
    <w:rsid w:val="00F65048"/>
    <w:rsid w:val="00F65129"/>
    <w:rsid w:val="00F651A8"/>
    <w:rsid w:val="00F651FE"/>
    <w:rsid w:val="00F65200"/>
    <w:rsid w:val="00F65277"/>
    <w:rsid w:val="00F6527C"/>
    <w:rsid w:val="00F652A4"/>
    <w:rsid w:val="00F652B6"/>
    <w:rsid w:val="00F65390"/>
    <w:rsid w:val="00F653B7"/>
    <w:rsid w:val="00F65578"/>
    <w:rsid w:val="00F6559E"/>
    <w:rsid w:val="00F65660"/>
    <w:rsid w:val="00F656CF"/>
    <w:rsid w:val="00F6572D"/>
    <w:rsid w:val="00F6579A"/>
    <w:rsid w:val="00F6586E"/>
    <w:rsid w:val="00F65992"/>
    <w:rsid w:val="00F659F7"/>
    <w:rsid w:val="00F65A70"/>
    <w:rsid w:val="00F65B0E"/>
    <w:rsid w:val="00F65B68"/>
    <w:rsid w:val="00F65D89"/>
    <w:rsid w:val="00F65DB3"/>
    <w:rsid w:val="00F65E1A"/>
    <w:rsid w:val="00F65E4A"/>
    <w:rsid w:val="00F65E95"/>
    <w:rsid w:val="00F65EA2"/>
    <w:rsid w:val="00F6601B"/>
    <w:rsid w:val="00F66096"/>
    <w:rsid w:val="00F66115"/>
    <w:rsid w:val="00F66179"/>
    <w:rsid w:val="00F66278"/>
    <w:rsid w:val="00F662DB"/>
    <w:rsid w:val="00F663BA"/>
    <w:rsid w:val="00F663CE"/>
    <w:rsid w:val="00F66425"/>
    <w:rsid w:val="00F664E1"/>
    <w:rsid w:val="00F664E2"/>
    <w:rsid w:val="00F664E4"/>
    <w:rsid w:val="00F66504"/>
    <w:rsid w:val="00F6653F"/>
    <w:rsid w:val="00F66575"/>
    <w:rsid w:val="00F66583"/>
    <w:rsid w:val="00F665D6"/>
    <w:rsid w:val="00F66600"/>
    <w:rsid w:val="00F666FB"/>
    <w:rsid w:val="00F666FC"/>
    <w:rsid w:val="00F66751"/>
    <w:rsid w:val="00F66762"/>
    <w:rsid w:val="00F6677D"/>
    <w:rsid w:val="00F66856"/>
    <w:rsid w:val="00F66875"/>
    <w:rsid w:val="00F668D4"/>
    <w:rsid w:val="00F6691D"/>
    <w:rsid w:val="00F66A72"/>
    <w:rsid w:val="00F66ABA"/>
    <w:rsid w:val="00F66B25"/>
    <w:rsid w:val="00F66CE0"/>
    <w:rsid w:val="00F66D0F"/>
    <w:rsid w:val="00F66D66"/>
    <w:rsid w:val="00F66E75"/>
    <w:rsid w:val="00F66E7F"/>
    <w:rsid w:val="00F66E86"/>
    <w:rsid w:val="00F66E9F"/>
    <w:rsid w:val="00F66EDE"/>
    <w:rsid w:val="00F66F9C"/>
    <w:rsid w:val="00F67022"/>
    <w:rsid w:val="00F67038"/>
    <w:rsid w:val="00F6706F"/>
    <w:rsid w:val="00F6707A"/>
    <w:rsid w:val="00F670BF"/>
    <w:rsid w:val="00F67104"/>
    <w:rsid w:val="00F6727E"/>
    <w:rsid w:val="00F67488"/>
    <w:rsid w:val="00F674EB"/>
    <w:rsid w:val="00F674FE"/>
    <w:rsid w:val="00F6756D"/>
    <w:rsid w:val="00F6758B"/>
    <w:rsid w:val="00F675B6"/>
    <w:rsid w:val="00F675C3"/>
    <w:rsid w:val="00F6776E"/>
    <w:rsid w:val="00F67812"/>
    <w:rsid w:val="00F67814"/>
    <w:rsid w:val="00F67846"/>
    <w:rsid w:val="00F678BB"/>
    <w:rsid w:val="00F678BC"/>
    <w:rsid w:val="00F678D4"/>
    <w:rsid w:val="00F67930"/>
    <w:rsid w:val="00F679D7"/>
    <w:rsid w:val="00F67ADE"/>
    <w:rsid w:val="00F67B42"/>
    <w:rsid w:val="00F67B54"/>
    <w:rsid w:val="00F67BC1"/>
    <w:rsid w:val="00F67C74"/>
    <w:rsid w:val="00F67C7B"/>
    <w:rsid w:val="00F67CEE"/>
    <w:rsid w:val="00F7002F"/>
    <w:rsid w:val="00F70147"/>
    <w:rsid w:val="00F70155"/>
    <w:rsid w:val="00F70165"/>
    <w:rsid w:val="00F701DD"/>
    <w:rsid w:val="00F702BF"/>
    <w:rsid w:val="00F702EF"/>
    <w:rsid w:val="00F7036F"/>
    <w:rsid w:val="00F705B1"/>
    <w:rsid w:val="00F705E4"/>
    <w:rsid w:val="00F70606"/>
    <w:rsid w:val="00F70681"/>
    <w:rsid w:val="00F706A4"/>
    <w:rsid w:val="00F70774"/>
    <w:rsid w:val="00F7077D"/>
    <w:rsid w:val="00F707A1"/>
    <w:rsid w:val="00F70963"/>
    <w:rsid w:val="00F709B4"/>
    <w:rsid w:val="00F70A34"/>
    <w:rsid w:val="00F70A49"/>
    <w:rsid w:val="00F70AD7"/>
    <w:rsid w:val="00F70B1D"/>
    <w:rsid w:val="00F70B50"/>
    <w:rsid w:val="00F70B72"/>
    <w:rsid w:val="00F70C22"/>
    <w:rsid w:val="00F70D07"/>
    <w:rsid w:val="00F70D13"/>
    <w:rsid w:val="00F70DA7"/>
    <w:rsid w:val="00F70DC3"/>
    <w:rsid w:val="00F70DEF"/>
    <w:rsid w:val="00F70E16"/>
    <w:rsid w:val="00F70E33"/>
    <w:rsid w:val="00F70E67"/>
    <w:rsid w:val="00F70E77"/>
    <w:rsid w:val="00F70EA3"/>
    <w:rsid w:val="00F710D0"/>
    <w:rsid w:val="00F710DE"/>
    <w:rsid w:val="00F7128C"/>
    <w:rsid w:val="00F712E1"/>
    <w:rsid w:val="00F71374"/>
    <w:rsid w:val="00F71398"/>
    <w:rsid w:val="00F71451"/>
    <w:rsid w:val="00F714DD"/>
    <w:rsid w:val="00F714ED"/>
    <w:rsid w:val="00F71554"/>
    <w:rsid w:val="00F715A2"/>
    <w:rsid w:val="00F715B0"/>
    <w:rsid w:val="00F71613"/>
    <w:rsid w:val="00F71665"/>
    <w:rsid w:val="00F71750"/>
    <w:rsid w:val="00F71758"/>
    <w:rsid w:val="00F71777"/>
    <w:rsid w:val="00F717F5"/>
    <w:rsid w:val="00F718B1"/>
    <w:rsid w:val="00F718CB"/>
    <w:rsid w:val="00F71921"/>
    <w:rsid w:val="00F71957"/>
    <w:rsid w:val="00F71A04"/>
    <w:rsid w:val="00F71A0B"/>
    <w:rsid w:val="00F71A7A"/>
    <w:rsid w:val="00F71A8C"/>
    <w:rsid w:val="00F71AA6"/>
    <w:rsid w:val="00F71BB1"/>
    <w:rsid w:val="00F71BDD"/>
    <w:rsid w:val="00F71C66"/>
    <w:rsid w:val="00F71C68"/>
    <w:rsid w:val="00F71D39"/>
    <w:rsid w:val="00F71DF5"/>
    <w:rsid w:val="00F71DFF"/>
    <w:rsid w:val="00F71F1B"/>
    <w:rsid w:val="00F71F94"/>
    <w:rsid w:val="00F71FB4"/>
    <w:rsid w:val="00F72034"/>
    <w:rsid w:val="00F72035"/>
    <w:rsid w:val="00F720C6"/>
    <w:rsid w:val="00F72109"/>
    <w:rsid w:val="00F7210B"/>
    <w:rsid w:val="00F7216A"/>
    <w:rsid w:val="00F7218F"/>
    <w:rsid w:val="00F721DD"/>
    <w:rsid w:val="00F721F6"/>
    <w:rsid w:val="00F722AE"/>
    <w:rsid w:val="00F7234D"/>
    <w:rsid w:val="00F72367"/>
    <w:rsid w:val="00F723AC"/>
    <w:rsid w:val="00F723B1"/>
    <w:rsid w:val="00F72408"/>
    <w:rsid w:val="00F7270D"/>
    <w:rsid w:val="00F727A6"/>
    <w:rsid w:val="00F727CA"/>
    <w:rsid w:val="00F727D5"/>
    <w:rsid w:val="00F72881"/>
    <w:rsid w:val="00F7289B"/>
    <w:rsid w:val="00F728B3"/>
    <w:rsid w:val="00F7294C"/>
    <w:rsid w:val="00F72A0F"/>
    <w:rsid w:val="00F72A6D"/>
    <w:rsid w:val="00F72B3E"/>
    <w:rsid w:val="00F72B9E"/>
    <w:rsid w:val="00F72BE5"/>
    <w:rsid w:val="00F72C2A"/>
    <w:rsid w:val="00F72C5F"/>
    <w:rsid w:val="00F72DA5"/>
    <w:rsid w:val="00F72E60"/>
    <w:rsid w:val="00F731AE"/>
    <w:rsid w:val="00F731D5"/>
    <w:rsid w:val="00F73292"/>
    <w:rsid w:val="00F732AD"/>
    <w:rsid w:val="00F732BE"/>
    <w:rsid w:val="00F732D2"/>
    <w:rsid w:val="00F7331E"/>
    <w:rsid w:val="00F73400"/>
    <w:rsid w:val="00F73421"/>
    <w:rsid w:val="00F7343F"/>
    <w:rsid w:val="00F73454"/>
    <w:rsid w:val="00F73466"/>
    <w:rsid w:val="00F7352D"/>
    <w:rsid w:val="00F73549"/>
    <w:rsid w:val="00F735B2"/>
    <w:rsid w:val="00F736B2"/>
    <w:rsid w:val="00F736BE"/>
    <w:rsid w:val="00F73762"/>
    <w:rsid w:val="00F73796"/>
    <w:rsid w:val="00F737C1"/>
    <w:rsid w:val="00F7380D"/>
    <w:rsid w:val="00F738D8"/>
    <w:rsid w:val="00F73985"/>
    <w:rsid w:val="00F73A46"/>
    <w:rsid w:val="00F73CBB"/>
    <w:rsid w:val="00F73E71"/>
    <w:rsid w:val="00F73F46"/>
    <w:rsid w:val="00F73F8D"/>
    <w:rsid w:val="00F73FE6"/>
    <w:rsid w:val="00F740F3"/>
    <w:rsid w:val="00F7424D"/>
    <w:rsid w:val="00F742E0"/>
    <w:rsid w:val="00F7441B"/>
    <w:rsid w:val="00F7451B"/>
    <w:rsid w:val="00F74527"/>
    <w:rsid w:val="00F74533"/>
    <w:rsid w:val="00F745FF"/>
    <w:rsid w:val="00F74748"/>
    <w:rsid w:val="00F7479A"/>
    <w:rsid w:val="00F747EA"/>
    <w:rsid w:val="00F747F0"/>
    <w:rsid w:val="00F74847"/>
    <w:rsid w:val="00F74954"/>
    <w:rsid w:val="00F74A09"/>
    <w:rsid w:val="00F74A1B"/>
    <w:rsid w:val="00F74BD1"/>
    <w:rsid w:val="00F74BF6"/>
    <w:rsid w:val="00F74D94"/>
    <w:rsid w:val="00F74E2D"/>
    <w:rsid w:val="00F74EDB"/>
    <w:rsid w:val="00F74FAA"/>
    <w:rsid w:val="00F74FEB"/>
    <w:rsid w:val="00F75017"/>
    <w:rsid w:val="00F75102"/>
    <w:rsid w:val="00F7513D"/>
    <w:rsid w:val="00F7515E"/>
    <w:rsid w:val="00F751CC"/>
    <w:rsid w:val="00F751D7"/>
    <w:rsid w:val="00F7526B"/>
    <w:rsid w:val="00F752AF"/>
    <w:rsid w:val="00F752EA"/>
    <w:rsid w:val="00F7539B"/>
    <w:rsid w:val="00F75503"/>
    <w:rsid w:val="00F756C0"/>
    <w:rsid w:val="00F7571E"/>
    <w:rsid w:val="00F75782"/>
    <w:rsid w:val="00F75854"/>
    <w:rsid w:val="00F759EC"/>
    <w:rsid w:val="00F75A0E"/>
    <w:rsid w:val="00F75A29"/>
    <w:rsid w:val="00F75C6B"/>
    <w:rsid w:val="00F75E96"/>
    <w:rsid w:val="00F76008"/>
    <w:rsid w:val="00F76064"/>
    <w:rsid w:val="00F7614F"/>
    <w:rsid w:val="00F76266"/>
    <w:rsid w:val="00F763D7"/>
    <w:rsid w:val="00F76555"/>
    <w:rsid w:val="00F7659B"/>
    <w:rsid w:val="00F765EF"/>
    <w:rsid w:val="00F7660C"/>
    <w:rsid w:val="00F76692"/>
    <w:rsid w:val="00F766DE"/>
    <w:rsid w:val="00F767F7"/>
    <w:rsid w:val="00F76937"/>
    <w:rsid w:val="00F769E9"/>
    <w:rsid w:val="00F76ABD"/>
    <w:rsid w:val="00F76B00"/>
    <w:rsid w:val="00F76B92"/>
    <w:rsid w:val="00F76BB8"/>
    <w:rsid w:val="00F76C69"/>
    <w:rsid w:val="00F76D00"/>
    <w:rsid w:val="00F76D71"/>
    <w:rsid w:val="00F76F11"/>
    <w:rsid w:val="00F76F42"/>
    <w:rsid w:val="00F76F56"/>
    <w:rsid w:val="00F770BF"/>
    <w:rsid w:val="00F770F4"/>
    <w:rsid w:val="00F77317"/>
    <w:rsid w:val="00F77336"/>
    <w:rsid w:val="00F773D2"/>
    <w:rsid w:val="00F773F3"/>
    <w:rsid w:val="00F774A5"/>
    <w:rsid w:val="00F774FE"/>
    <w:rsid w:val="00F77533"/>
    <w:rsid w:val="00F7759C"/>
    <w:rsid w:val="00F775CC"/>
    <w:rsid w:val="00F77616"/>
    <w:rsid w:val="00F77657"/>
    <w:rsid w:val="00F776A2"/>
    <w:rsid w:val="00F776CE"/>
    <w:rsid w:val="00F7774E"/>
    <w:rsid w:val="00F777DA"/>
    <w:rsid w:val="00F7789C"/>
    <w:rsid w:val="00F7790C"/>
    <w:rsid w:val="00F779ED"/>
    <w:rsid w:val="00F77AB1"/>
    <w:rsid w:val="00F77B2D"/>
    <w:rsid w:val="00F77B50"/>
    <w:rsid w:val="00F77B60"/>
    <w:rsid w:val="00F77B90"/>
    <w:rsid w:val="00F77B99"/>
    <w:rsid w:val="00F77BA6"/>
    <w:rsid w:val="00F77C32"/>
    <w:rsid w:val="00F77CCA"/>
    <w:rsid w:val="00F77D18"/>
    <w:rsid w:val="00F77DC1"/>
    <w:rsid w:val="00F77E5A"/>
    <w:rsid w:val="00F77E60"/>
    <w:rsid w:val="00F77EA1"/>
    <w:rsid w:val="00F77EA7"/>
    <w:rsid w:val="00F77F38"/>
    <w:rsid w:val="00F800A1"/>
    <w:rsid w:val="00F80166"/>
    <w:rsid w:val="00F8019D"/>
    <w:rsid w:val="00F802AA"/>
    <w:rsid w:val="00F802BA"/>
    <w:rsid w:val="00F8033F"/>
    <w:rsid w:val="00F8037D"/>
    <w:rsid w:val="00F8039A"/>
    <w:rsid w:val="00F803B1"/>
    <w:rsid w:val="00F803DD"/>
    <w:rsid w:val="00F804AA"/>
    <w:rsid w:val="00F804DD"/>
    <w:rsid w:val="00F8051D"/>
    <w:rsid w:val="00F8057C"/>
    <w:rsid w:val="00F8057F"/>
    <w:rsid w:val="00F8061F"/>
    <w:rsid w:val="00F80886"/>
    <w:rsid w:val="00F808EF"/>
    <w:rsid w:val="00F8094C"/>
    <w:rsid w:val="00F809BF"/>
    <w:rsid w:val="00F80C1D"/>
    <w:rsid w:val="00F80DAB"/>
    <w:rsid w:val="00F80DDC"/>
    <w:rsid w:val="00F80E14"/>
    <w:rsid w:val="00F80E21"/>
    <w:rsid w:val="00F80E95"/>
    <w:rsid w:val="00F80F1B"/>
    <w:rsid w:val="00F81026"/>
    <w:rsid w:val="00F8103B"/>
    <w:rsid w:val="00F81130"/>
    <w:rsid w:val="00F812A2"/>
    <w:rsid w:val="00F81590"/>
    <w:rsid w:val="00F815D3"/>
    <w:rsid w:val="00F81643"/>
    <w:rsid w:val="00F816F1"/>
    <w:rsid w:val="00F81741"/>
    <w:rsid w:val="00F817A4"/>
    <w:rsid w:val="00F817B6"/>
    <w:rsid w:val="00F818F7"/>
    <w:rsid w:val="00F81991"/>
    <w:rsid w:val="00F819CD"/>
    <w:rsid w:val="00F81A15"/>
    <w:rsid w:val="00F81A3F"/>
    <w:rsid w:val="00F81AD3"/>
    <w:rsid w:val="00F81B73"/>
    <w:rsid w:val="00F81DA9"/>
    <w:rsid w:val="00F81DD3"/>
    <w:rsid w:val="00F81E47"/>
    <w:rsid w:val="00F81F9A"/>
    <w:rsid w:val="00F8203D"/>
    <w:rsid w:val="00F820D2"/>
    <w:rsid w:val="00F8211B"/>
    <w:rsid w:val="00F82147"/>
    <w:rsid w:val="00F82199"/>
    <w:rsid w:val="00F82234"/>
    <w:rsid w:val="00F8223F"/>
    <w:rsid w:val="00F822E2"/>
    <w:rsid w:val="00F822EA"/>
    <w:rsid w:val="00F822ED"/>
    <w:rsid w:val="00F822FF"/>
    <w:rsid w:val="00F8243E"/>
    <w:rsid w:val="00F8244B"/>
    <w:rsid w:val="00F82493"/>
    <w:rsid w:val="00F82505"/>
    <w:rsid w:val="00F8252B"/>
    <w:rsid w:val="00F82541"/>
    <w:rsid w:val="00F8259B"/>
    <w:rsid w:val="00F82687"/>
    <w:rsid w:val="00F826B5"/>
    <w:rsid w:val="00F826D4"/>
    <w:rsid w:val="00F8285E"/>
    <w:rsid w:val="00F829CE"/>
    <w:rsid w:val="00F829E2"/>
    <w:rsid w:val="00F82AFD"/>
    <w:rsid w:val="00F82BA3"/>
    <w:rsid w:val="00F82C0E"/>
    <w:rsid w:val="00F82C6A"/>
    <w:rsid w:val="00F82C77"/>
    <w:rsid w:val="00F82CC7"/>
    <w:rsid w:val="00F82CC9"/>
    <w:rsid w:val="00F82D27"/>
    <w:rsid w:val="00F82FDA"/>
    <w:rsid w:val="00F82FDD"/>
    <w:rsid w:val="00F83012"/>
    <w:rsid w:val="00F830D3"/>
    <w:rsid w:val="00F830D6"/>
    <w:rsid w:val="00F831A4"/>
    <w:rsid w:val="00F831B7"/>
    <w:rsid w:val="00F83224"/>
    <w:rsid w:val="00F8325D"/>
    <w:rsid w:val="00F832A9"/>
    <w:rsid w:val="00F832B0"/>
    <w:rsid w:val="00F83307"/>
    <w:rsid w:val="00F833A5"/>
    <w:rsid w:val="00F83545"/>
    <w:rsid w:val="00F8356C"/>
    <w:rsid w:val="00F835CC"/>
    <w:rsid w:val="00F835CE"/>
    <w:rsid w:val="00F83748"/>
    <w:rsid w:val="00F837C9"/>
    <w:rsid w:val="00F837D7"/>
    <w:rsid w:val="00F837E1"/>
    <w:rsid w:val="00F83847"/>
    <w:rsid w:val="00F838E8"/>
    <w:rsid w:val="00F83917"/>
    <w:rsid w:val="00F83A45"/>
    <w:rsid w:val="00F83A72"/>
    <w:rsid w:val="00F83C1D"/>
    <w:rsid w:val="00F83C59"/>
    <w:rsid w:val="00F83C7B"/>
    <w:rsid w:val="00F83D54"/>
    <w:rsid w:val="00F83DF6"/>
    <w:rsid w:val="00F83E15"/>
    <w:rsid w:val="00F83EAE"/>
    <w:rsid w:val="00F83F0A"/>
    <w:rsid w:val="00F83F73"/>
    <w:rsid w:val="00F83F9B"/>
    <w:rsid w:val="00F83FB7"/>
    <w:rsid w:val="00F83FE6"/>
    <w:rsid w:val="00F8428C"/>
    <w:rsid w:val="00F84310"/>
    <w:rsid w:val="00F844D3"/>
    <w:rsid w:val="00F8454B"/>
    <w:rsid w:val="00F84607"/>
    <w:rsid w:val="00F8460D"/>
    <w:rsid w:val="00F84629"/>
    <w:rsid w:val="00F84716"/>
    <w:rsid w:val="00F84774"/>
    <w:rsid w:val="00F8487E"/>
    <w:rsid w:val="00F84888"/>
    <w:rsid w:val="00F84B1E"/>
    <w:rsid w:val="00F84B71"/>
    <w:rsid w:val="00F84B97"/>
    <w:rsid w:val="00F84BE1"/>
    <w:rsid w:val="00F84C80"/>
    <w:rsid w:val="00F84C99"/>
    <w:rsid w:val="00F84CC4"/>
    <w:rsid w:val="00F84D3E"/>
    <w:rsid w:val="00F84EA4"/>
    <w:rsid w:val="00F84F0E"/>
    <w:rsid w:val="00F84FCA"/>
    <w:rsid w:val="00F8507E"/>
    <w:rsid w:val="00F850A2"/>
    <w:rsid w:val="00F850E6"/>
    <w:rsid w:val="00F85192"/>
    <w:rsid w:val="00F8519E"/>
    <w:rsid w:val="00F85220"/>
    <w:rsid w:val="00F8525A"/>
    <w:rsid w:val="00F85391"/>
    <w:rsid w:val="00F8542E"/>
    <w:rsid w:val="00F8549C"/>
    <w:rsid w:val="00F85656"/>
    <w:rsid w:val="00F856DF"/>
    <w:rsid w:val="00F85798"/>
    <w:rsid w:val="00F858A6"/>
    <w:rsid w:val="00F858B0"/>
    <w:rsid w:val="00F858C0"/>
    <w:rsid w:val="00F8596F"/>
    <w:rsid w:val="00F859DE"/>
    <w:rsid w:val="00F859E7"/>
    <w:rsid w:val="00F85B0D"/>
    <w:rsid w:val="00F85B10"/>
    <w:rsid w:val="00F85B15"/>
    <w:rsid w:val="00F85BBF"/>
    <w:rsid w:val="00F85C68"/>
    <w:rsid w:val="00F85CAD"/>
    <w:rsid w:val="00F85CF1"/>
    <w:rsid w:val="00F85CF6"/>
    <w:rsid w:val="00F85E41"/>
    <w:rsid w:val="00F85ECF"/>
    <w:rsid w:val="00F85ED7"/>
    <w:rsid w:val="00F85FF5"/>
    <w:rsid w:val="00F8603C"/>
    <w:rsid w:val="00F860F9"/>
    <w:rsid w:val="00F86122"/>
    <w:rsid w:val="00F8612B"/>
    <w:rsid w:val="00F861A8"/>
    <w:rsid w:val="00F8621D"/>
    <w:rsid w:val="00F86222"/>
    <w:rsid w:val="00F8624C"/>
    <w:rsid w:val="00F86283"/>
    <w:rsid w:val="00F862BF"/>
    <w:rsid w:val="00F8635B"/>
    <w:rsid w:val="00F8635F"/>
    <w:rsid w:val="00F863FE"/>
    <w:rsid w:val="00F86481"/>
    <w:rsid w:val="00F86497"/>
    <w:rsid w:val="00F86595"/>
    <w:rsid w:val="00F86805"/>
    <w:rsid w:val="00F8687A"/>
    <w:rsid w:val="00F868B2"/>
    <w:rsid w:val="00F86A8D"/>
    <w:rsid w:val="00F86AFF"/>
    <w:rsid w:val="00F86B59"/>
    <w:rsid w:val="00F86BB4"/>
    <w:rsid w:val="00F86DC5"/>
    <w:rsid w:val="00F86DD0"/>
    <w:rsid w:val="00F86DF0"/>
    <w:rsid w:val="00F86E2C"/>
    <w:rsid w:val="00F86E52"/>
    <w:rsid w:val="00F86E6B"/>
    <w:rsid w:val="00F86EE1"/>
    <w:rsid w:val="00F86F3C"/>
    <w:rsid w:val="00F86F9E"/>
    <w:rsid w:val="00F86FB4"/>
    <w:rsid w:val="00F870F5"/>
    <w:rsid w:val="00F8715A"/>
    <w:rsid w:val="00F8728D"/>
    <w:rsid w:val="00F872CC"/>
    <w:rsid w:val="00F87320"/>
    <w:rsid w:val="00F87437"/>
    <w:rsid w:val="00F874B0"/>
    <w:rsid w:val="00F8755D"/>
    <w:rsid w:val="00F87575"/>
    <w:rsid w:val="00F875E1"/>
    <w:rsid w:val="00F87649"/>
    <w:rsid w:val="00F87672"/>
    <w:rsid w:val="00F8785B"/>
    <w:rsid w:val="00F878D3"/>
    <w:rsid w:val="00F878D4"/>
    <w:rsid w:val="00F8797B"/>
    <w:rsid w:val="00F87B58"/>
    <w:rsid w:val="00F87D16"/>
    <w:rsid w:val="00F87DA0"/>
    <w:rsid w:val="00F87E0F"/>
    <w:rsid w:val="00F87FE9"/>
    <w:rsid w:val="00F90031"/>
    <w:rsid w:val="00F90046"/>
    <w:rsid w:val="00F90182"/>
    <w:rsid w:val="00F90251"/>
    <w:rsid w:val="00F902D2"/>
    <w:rsid w:val="00F902F7"/>
    <w:rsid w:val="00F90376"/>
    <w:rsid w:val="00F90424"/>
    <w:rsid w:val="00F90544"/>
    <w:rsid w:val="00F9054B"/>
    <w:rsid w:val="00F9057F"/>
    <w:rsid w:val="00F905AE"/>
    <w:rsid w:val="00F90652"/>
    <w:rsid w:val="00F907B8"/>
    <w:rsid w:val="00F90806"/>
    <w:rsid w:val="00F9090B"/>
    <w:rsid w:val="00F90A47"/>
    <w:rsid w:val="00F90B04"/>
    <w:rsid w:val="00F90B12"/>
    <w:rsid w:val="00F90B86"/>
    <w:rsid w:val="00F90B9E"/>
    <w:rsid w:val="00F90BB7"/>
    <w:rsid w:val="00F90C2D"/>
    <w:rsid w:val="00F90CBD"/>
    <w:rsid w:val="00F90DB5"/>
    <w:rsid w:val="00F90E49"/>
    <w:rsid w:val="00F90FA1"/>
    <w:rsid w:val="00F91067"/>
    <w:rsid w:val="00F9109E"/>
    <w:rsid w:val="00F910FE"/>
    <w:rsid w:val="00F91384"/>
    <w:rsid w:val="00F913A2"/>
    <w:rsid w:val="00F913F3"/>
    <w:rsid w:val="00F914FC"/>
    <w:rsid w:val="00F91667"/>
    <w:rsid w:val="00F91717"/>
    <w:rsid w:val="00F9172E"/>
    <w:rsid w:val="00F9177E"/>
    <w:rsid w:val="00F917C5"/>
    <w:rsid w:val="00F918B2"/>
    <w:rsid w:val="00F91AE5"/>
    <w:rsid w:val="00F91BB8"/>
    <w:rsid w:val="00F91BED"/>
    <w:rsid w:val="00F91C1A"/>
    <w:rsid w:val="00F91C49"/>
    <w:rsid w:val="00F91C7F"/>
    <w:rsid w:val="00F91D19"/>
    <w:rsid w:val="00F91DDD"/>
    <w:rsid w:val="00F91E4F"/>
    <w:rsid w:val="00F91EE7"/>
    <w:rsid w:val="00F91FDF"/>
    <w:rsid w:val="00F9210A"/>
    <w:rsid w:val="00F9220E"/>
    <w:rsid w:val="00F9222C"/>
    <w:rsid w:val="00F92273"/>
    <w:rsid w:val="00F9227A"/>
    <w:rsid w:val="00F922AB"/>
    <w:rsid w:val="00F922D5"/>
    <w:rsid w:val="00F922E6"/>
    <w:rsid w:val="00F92319"/>
    <w:rsid w:val="00F923BB"/>
    <w:rsid w:val="00F92434"/>
    <w:rsid w:val="00F9245D"/>
    <w:rsid w:val="00F9251C"/>
    <w:rsid w:val="00F925B8"/>
    <w:rsid w:val="00F92647"/>
    <w:rsid w:val="00F92779"/>
    <w:rsid w:val="00F92853"/>
    <w:rsid w:val="00F9286E"/>
    <w:rsid w:val="00F9289A"/>
    <w:rsid w:val="00F9296C"/>
    <w:rsid w:val="00F92AA1"/>
    <w:rsid w:val="00F92AD5"/>
    <w:rsid w:val="00F92B2D"/>
    <w:rsid w:val="00F92B6E"/>
    <w:rsid w:val="00F92B85"/>
    <w:rsid w:val="00F92BD3"/>
    <w:rsid w:val="00F92D3F"/>
    <w:rsid w:val="00F92D48"/>
    <w:rsid w:val="00F92DEE"/>
    <w:rsid w:val="00F92E09"/>
    <w:rsid w:val="00F92ECD"/>
    <w:rsid w:val="00F92F2B"/>
    <w:rsid w:val="00F92FB7"/>
    <w:rsid w:val="00F92FCB"/>
    <w:rsid w:val="00F92FDC"/>
    <w:rsid w:val="00F930BB"/>
    <w:rsid w:val="00F931D2"/>
    <w:rsid w:val="00F931EB"/>
    <w:rsid w:val="00F93208"/>
    <w:rsid w:val="00F932D0"/>
    <w:rsid w:val="00F93360"/>
    <w:rsid w:val="00F93431"/>
    <w:rsid w:val="00F9349E"/>
    <w:rsid w:val="00F934FA"/>
    <w:rsid w:val="00F9354A"/>
    <w:rsid w:val="00F935B1"/>
    <w:rsid w:val="00F9367A"/>
    <w:rsid w:val="00F936FE"/>
    <w:rsid w:val="00F9380D"/>
    <w:rsid w:val="00F938AB"/>
    <w:rsid w:val="00F938AC"/>
    <w:rsid w:val="00F938B2"/>
    <w:rsid w:val="00F938ED"/>
    <w:rsid w:val="00F938F2"/>
    <w:rsid w:val="00F938F9"/>
    <w:rsid w:val="00F9392B"/>
    <w:rsid w:val="00F9399F"/>
    <w:rsid w:val="00F939D8"/>
    <w:rsid w:val="00F93A09"/>
    <w:rsid w:val="00F93A12"/>
    <w:rsid w:val="00F93A29"/>
    <w:rsid w:val="00F93A4A"/>
    <w:rsid w:val="00F93A50"/>
    <w:rsid w:val="00F93ABA"/>
    <w:rsid w:val="00F93AC8"/>
    <w:rsid w:val="00F93B0B"/>
    <w:rsid w:val="00F93C4F"/>
    <w:rsid w:val="00F93D27"/>
    <w:rsid w:val="00F93D6F"/>
    <w:rsid w:val="00F93F0B"/>
    <w:rsid w:val="00F93FC4"/>
    <w:rsid w:val="00F9401D"/>
    <w:rsid w:val="00F940DD"/>
    <w:rsid w:val="00F940E7"/>
    <w:rsid w:val="00F94199"/>
    <w:rsid w:val="00F941C6"/>
    <w:rsid w:val="00F941E8"/>
    <w:rsid w:val="00F9420C"/>
    <w:rsid w:val="00F942A6"/>
    <w:rsid w:val="00F942E9"/>
    <w:rsid w:val="00F94395"/>
    <w:rsid w:val="00F943CA"/>
    <w:rsid w:val="00F9444B"/>
    <w:rsid w:val="00F94670"/>
    <w:rsid w:val="00F94715"/>
    <w:rsid w:val="00F94764"/>
    <w:rsid w:val="00F94901"/>
    <w:rsid w:val="00F94928"/>
    <w:rsid w:val="00F94B70"/>
    <w:rsid w:val="00F94C46"/>
    <w:rsid w:val="00F94CD9"/>
    <w:rsid w:val="00F94CFC"/>
    <w:rsid w:val="00F94D2C"/>
    <w:rsid w:val="00F94D82"/>
    <w:rsid w:val="00F94E98"/>
    <w:rsid w:val="00F94F7E"/>
    <w:rsid w:val="00F94FBE"/>
    <w:rsid w:val="00F94FF3"/>
    <w:rsid w:val="00F95021"/>
    <w:rsid w:val="00F9505A"/>
    <w:rsid w:val="00F9507E"/>
    <w:rsid w:val="00F950D1"/>
    <w:rsid w:val="00F9510E"/>
    <w:rsid w:val="00F95136"/>
    <w:rsid w:val="00F9518C"/>
    <w:rsid w:val="00F953EA"/>
    <w:rsid w:val="00F9541A"/>
    <w:rsid w:val="00F9542F"/>
    <w:rsid w:val="00F954D0"/>
    <w:rsid w:val="00F9558E"/>
    <w:rsid w:val="00F955B6"/>
    <w:rsid w:val="00F955D2"/>
    <w:rsid w:val="00F956AC"/>
    <w:rsid w:val="00F9571F"/>
    <w:rsid w:val="00F95806"/>
    <w:rsid w:val="00F95B99"/>
    <w:rsid w:val="00F95BD3"/>
    <w:rsid w:val="00F95BD8"/>
    <w:rsid w:val="00F95BFF"/>
    <w:rsid w:val="00F95C30"/>
    <w:rsid w:val="00F95CF3"/>
    <w:rsid w:val="00F95DD6"/>
    <w:rsid w:val="00F95DE6"/>
    <w:rsid w:val="00F95DEE"/>
    <w:rsid w:val="00F95E01"/>
    <w:rsid w:val="00F95E78"/>
    <w:rsid w:val="00F95EEA"/>
    <w:rsid w:val="00F95F2A"/>
    <w:rsid w:val="00F95F89"/>
    <w:rsid w:val="00F96060"/>
    <w:rsid w:val="00F96089"/>
    <w:rsid w:val="00F96093"/>
    <w:rsid w:val="00F96143"/>
    <w:rsid w:val="00F9616B"/>
    <w:rsid w:val="00F962FA"/>
    <w:rsid w:val="00F9630D"/>
    <w:rsid w:val="00F96370"/>
    <w:rsid w:val="00F96488"/>
    <w:rsid w:val="00F9648F"/>
    <w:rsid w:val="00F96565"/>
    <w:rsid w:val="00F96570"/>
    <w:rsid w:val="00F9667D"/>
    <w:rsid w:val="00F9669C"/>
    <w:rsid w:val="00F966CC"/>
    <w:rsid w:val="00F96795"/>
    <w:rsid w:val="00F968A3"/>
    <w:rsid w:val="00F96943"/>
    <w:rsid w:val="00F969FF"/>
    <w:rsid w:val="00F96A9C"/>
    <w:rsid w:val="00F96AF8"/>
    <w:rsid w:val="00F96B0F"/>
    <w:rsid w:val="00F96CCF"/>
    <w:rsid w:val="00F96D6B"/>
    <w:rsid w:val="00F96E3F"/>
    <w:rsid w:val="00F96E64"/>
    <w:rsid w:val="00F96F67"/>
    <w:rsid w:val="00F96F91"/>
    <w:rsid w:val="00F97005"/>
    <w:rsid w:val="00F9700A"/>
    <w:rsid w:val="00F97072"/>
    <w:rsid w:val="00F970A7"/>
    <w:rsid w:val="00F97153"/>
    <w:rsid w:val="00F97162"/>
    <w:rsid w:val="00F97297"/>
    <w:rsid w:val="00F972F4"/>
    <w:rsid w:val="00F973BF"/>
    <w:rsid w:val="00F973C5"/>
    <w:rsid w:val="00F973F1"/>
    <w:rsid w:val="00F97616"/>
    <w:rsid w:val="00F97622"/>
    <w:rsid w:val="00F97642"/>
    <w:rsid w:val="00F97665"/>
    <w:rsid w:val="00F9767E"/>
    <w:rsid w:val="00F976CC"/>
    <w:rsid w:val="00F97775"/>
    <w:rsid w:val="00F97940"/>
    <w:rsid w:val="00F97A49"/>
    <w:rsid w:val="00F97B9B"/>
    <w:rsid w:val="00F97BA3"/>
    <w:rsid w:val="00F97E0F"/>
    <w:rsid w:val="00F97E19"/>
    <w:rsid w:val="00F97E86"/>
    <w:rsid w:val="00F97EA2"/>
    <w:rsid w:val="00F97EA5"/>
    <w:rsid w:val="00F97EAE"/>
    <w:rsid w:val="00F97F0D"/>
    <w:rsid w:val="00FA01EC"/>
    <w:rsid w:val="00FA03CE"/>
    <w:rsid w:val="00FA03DE"/>
    <w:rsid w:val="00FA0440"/>
    <w:rsid w:val="00FA0449"/>
    <w:rsid w:val="00FA060D"/>
    <w:rsid w:val="00FA06F3"/>
    <w:rsid w:val="00FA0733"/>
    <w:rsid w:val="00FA074D"/>
    <w:rsid w:val="00FA083C"/>
    <w:rsid w:val="00FA09FD"/>
    <w:rsid w:val="00FA0A85"/>
    <w:rsid w:val="00FA0AA8"/>
    <w:rsid w:val="00FA0AFC"/>
    <w:rsid w:val="00FA0B0A"/>
    <w:rsid w:val="00FA0B40"/>
    <w:rsid w:val="00FA0BA6"/>
    <w:rsid w:val="00FA0BC7"/>
    <w:rsid w:val="00FA0C01"/>
    <w:rsid w:val="00FA0C0F"/>
    <w:rsid w:val="00FA0D77"/>
    <w:rsid w:val="00FA0D9A"/>
    <w:rsid w:val="00FA0E30"/>
    <w:rsid w:val="00FA104B"/>
    <w:rsid w:val="00FA10CB"/>
    <w:rsid w:val="00FA10E5"/>
    <w:rsid w:val="00FA113E"/>
    <w:rsid w:val="00FA121C"/>
    <w:rsid w:val="00FA12F6"/>
    <w:rsid w:val="00FA135B"/>
    <w:rsid w:val="00FA1383"/>
    <w:rsid w:val="00FA138B"/>
    <w:rsid w:val="00FA13B6"/>
    <w:rsid w:val="00FA1407"/>
    <w:rsid w:val="00FA14E4"/>
    <w:rsid w:val="00FA171F"/>
    <w:rsid w:val="00FA1782"/>
    <w:rsid w:val="00FA19D2"/>
    <w:rsid w:val="00FA1A48"/>
    <w:rsid w:val="00FA1A57"/>
    <w:rsid w:val="00FA1A68"/>
    <w:rsid w:val="00FA1A6E"/>
    <w:rsid w:val="00FA1A8A"/>
    <w:rsid w:val="00FA1B1A"/>
    <w:rsid w:val="00FA1B46"/>
    <w:rsid w:val="00FA1B77"/>
    <w:rsid w:val="00FA1BBD"/>
    <w:rsid w:val="00FA1BD4"/>
    <w:rsid w:val="00FA1C6A"/>
    <w:rsid w:val="00FA1CD1"/>
    <w:rsid w:val="00FA1D5C"/>
    <w:rsid w:val="00FA1DAD"/>
    <w:rsid w:val="00FA1DF0"/>
    <w:rsid w:val="00FA1DFA"/>
    <w:rsid w:val="00FA1E35"/>
    <w:rsid w:val="00FA1FFF"/>
    <w:rsid w:val="00FA204A"/>
    <w:rsid w:val="00FA2076"/>
    <w:rsid w:val="00FA20E8"/>
    <w:rsid w:val="00FA20F1"/>
    <w:rsid w:val="00FA21A4"/>
    <w:rsid w:val="00FA21FE"/>
    <w:rsid w:val="00FA222A"/>
    <w:rsid w:val="00FA2343"/>
    <w:rsid w:val="00FA2370"/>
    <w:rsid w:val="00FA23AA"/>
    <w:rsid w:val="00FA24D0"/>
    <w:rsid w:val="00FA24DD"/>
    <w:rsid w:val="00FA2616"/>
    <w:rsid w:val="00FA2693"/>
    <w:rsid w:val="00FA2737"/>
    <w:rsid w:val="00FA2747"/>
    <w:rsid w:val="00FA27D7"/>
    <w:rsid w:val="00FA282A"/>
    <w:rsid w:val="00FA28C4"/>
    <w:rsid w:val="00FA2942"/>
    <w:rsid w:val="00FA2971"/>
    <w:rsid w:val="00FA298A"/>
    <w:rsid w:val="00FA299D"/>
    <w:rsid w:val="00FA2A33"/>
    <w:rsid w:val="00FA2A37"/>
    <w:rsid w:val="00FA2A54"/>
    <w:rsid w:val="00FA2AE6"/>
    <w:rsid w:val="00FA2B6F"/>
    <w:rsid w:val="00FA2B93"/>
    <w:rsid w:val="00FA2B9C"/>
    <w:rsid w:val="00FA2BF3"/>
    <w:rsid w:val="00FA2C75"/>
    <w:rsid w:val="00FA2C8F"/>
    <w:rsid w:val="00FA2CBF"/>
    <w:rsid w:val="00FA2CDC"/>
    <w:rsid w:val="00FA2CF7"/>
    <w:rsid w:val="00FA2D81"/>
    <w:rsid w:val="00FA2D82"/>
    <w:rsid w:val="00FA2E27"/>
    <w:rsid w:val="00FA2FDC"/>
    <w:rsid w:val="00FA305A"/>
    <w:rsid w:val="00FA30CA"/>
    <w:rsid w:val="00FA3110"/>
    <w:rsid w:val="00FA314B"/>
    <w:rsid w:val="00FA325B"/>
    <w:rsid w:val="00FA33FF"/>
    <w:rsid w:val="00FA3410"/>
    <w:rsid w:val="00FA3432"/>
    <w:rsid w:val="00FA344F"/>
    <w:rsid w:val="00FA347F"/>
    <w:rsid w:val="00FA34CA"/>
    <w:rsid w:val="00FA34EA"/>
    <w:rsid w:val="00FA35AC"/>
    <w:rsid w:val="00FA360B"/>
    <w:rsid w:val="00FA36CC"/>
    <w:rsid w:val="00FA36EA"/>
    <w:rsid w:val="00FA3714"/>
    <w:rsid w:val="00FA3790"/>
    <w:rsid w:val="00FA381C"/>
    <w:rsid w:val="00FA3860"/>
    <w:rsid w:val="00FA39F3"/>
    <w:rsid w:val="00FA3A50"/>
    <w:rsid w:val="00FA3A5E"/>
    <w:rsid w:val="00FA3A7D"/>
    <w:rsid w:val="00FA3A82"/>
    <w:rsid w:val="00FA3B2B"/>
    <w:rsid w:val="00FA3BC1"/>
    <w:rsid w:val="00FA3C89"/>
    <w:rsid w:val="00FA3D22"/>
    <w:rsid w:val="00FA3D81"/>
    <w:rsid w:val="00FA3DB9"/>
    <w:rsid w:val="00FA3E0C"/>
    <w:rsid w:val="00FA3E5B"/>
    <w:rsid w:val="00FA404B"/>
    <w:rsid w:val="00FA4050"/>
    <w:rsid w:val="00FA41CB"/>
    <w:rsid w:val="00FA425A"/>
    <w:rsid w:val="00FA43D3"/>
    <w:rsid w:val="00FA44E8"/>
    <w:rsid w:val="00FA456E"/>
    <w:rsid w:val="00FA45B7"/>
    <w:rsid w:val="00FA45EE"/>
    <w:rsid w:val="00FA464F"/>
    <w:rsid w:val="00FA4763"/>
    <w:rsid w:val="00FA4780"/>
    <w:rsid w:val="00FA4830"/>
    <w:rsid w:val="00FA4949"/>
    <w:rsid w:val="00FA4998"/>
    <w:rsid w:val="00FA49D9"/>
    <w:rsid w:val="00FA4A12"/>
    <w:rsid w:val="00FA4BCE"/>
    <w:rsid w:val="00FA4DB8"/>
    <w:rsid w:val="00FA4E34"/>
    <w:rsid w:val="00FA4F9B"/>
    <w:rsid w:val="00FA5032"/>
    <w:rsid w:val="00FA5122"/>
    <w:rsid w:val="00FA532E"/>
    <w:rsid w:val="00FA53CE"/>
    <w:rsid w:val="00FA54CA"/>
    <w:rsid w:val="00FA54F0"/>
    <w:rsid w:val="00FA5700"/>
    <w:rsid w:val="00FA582D"/>
    <w:rsid w:val="00FA5983"/>
    <w:rsid w:val="00FA5A9C"/>
    <w:rsid w:val="00FA5B14"/>
    <w:rsid w:val="00FA5B6A"/>
    <w:rsid w:val="00FA5B71"/>
    <w:rsid w:val="00FA5BC3"/>
    <w:rsid w:val="00FA5BF2"/>
    <w:rsid w:val="00FA5C04"/>
    <w:rsid w:val="00FA5C75"/>
    <w:rsid w:val="00FA5D85"/>
    <w:rsid w:val="00FA5DC7"/>
    <w:rsid w:val="00FA5DCA"/>
    <w:rsid w:val="00FA5DEC"/>
    <w:rsid w:val="00FA5DFB"/>
    <w:rsid w:val="00FA5E14"/>
    <w:rsid w:val="00FA5E3E"/>
    <w:rsid w:val="00FA5E45"/>
    <w:rsid w:val="00FA5F28"/>
    <w:rsid w:val="00FA5FA8"/>
    <w:rsid w:val="00FA5FC3"/>
    <w:rsid w:val="00FA5FD3"/>
    <w:rsid w:val="00FA6080"/>
    <w:rsid w:val="00FA611D"/>
    <w:rsid w:val="00FA61C5"/>
    <w:rsid w:val="00FA6252"/>
    <w:rsid w:val="00FA6535"/>
    <w:rsid w:val="00FA657B"/>
    <w:rsid w:val="00FA663C"/>
    <w:rsid w:val="00FA6664"/>
    <w:rsid w:val="00FA66C9"/>
    <w:rsid w:val="00FA6711"/>
    <w:rsid w:val="00FA6740"/>
    <w:rsid w:val="00FA679B"/>
    <w:rsid w:val="00FA6837"/>
    <w:rsid w:val="00FA68C1"/>
    <w:rsid w:val="00FA6980"/>
    <w:rsid w:val="00FA6A4D"/>
    <w:rsid w:val="00FA6A6D"/>
    <w:rsid w:val="00FA6A84"/>
    <w:rsid w:val="00FA6AE5"/>
    <w:rsid w:val="00FA6C45"/>
    <w:rsid w:val="00FA6C48"/>
    <w:rsid w:val="00FA6CDF"/>
    <w:rsid w:val="00FA6CEB"/>
    <w:rsid w:val="00FA6D3C"/>
    <w:rsid w:val="00FA6DBC"/>
    <w:rsid w:val="00FA7137"/>
    <w:rsid w:val="00FA7249"/>
    <w:rsid w:val="00FA72FB"/>
    <w:rsid w:val="00FA737C"/>
    <w:rsid w:val="00FA7452"/>
    <w:rsid w:val="00FA74E3"/>
    <w:rsid w:val="00FA753B"/>
    <w:rsid w:val="00FA75B3"/>
    <w:rsid w:val="00FA75E2"/>
    <w:rsid w:val="00FA75F4"/>
    <w:rsid w:val="00FA7615"/>
    <w:rsid w:val="00FA76CB"/>
    <w:rsid w:val="00FA7764"/>
    <w:rsid w:val="00FA780A"/>
    <w:rsid w:val="00FA780F"/>
    <w:rsid w:val="00FA78D4"/>
    <w:rsid w:val="00FA791F"/>
    <w:rsid w:val="00FA79E0"/>
    <w:rsid w:val="00FA7A89"/>
    <w:rsid w:val="00FA7B8D"/>
    <w:rsid w:val="00FA7BB5"/>
    <w:rsid w:val="00FA7C00"/>
    <w:rsid w:val="00FA7C3D"/>
    <w:rsid w:val="00FA7C85"/>
    <w:rsid w:val="00FA7E3F"/>
    <w:rsid w:val="00FA7ED4"/>
    <w:rsid w:val="00FA7F2D"/>
    <w:rsid w:val="00FA7FAD"/>
    <w:rsid w:val="00FB0008"/>
    <w:rsid w:val="00FB011F"/>
    <w:rsid w:val="00FB0176"/>
    <w:rsid w:val="00FB0232"/>
    <w:rsid w:val="00FB0360"/>
    <w:rsid w:val="00FB036D"/>
    <w:rsid w:val="00FB037E"/>
    <w:rsid w:val="00FB0384"/>
    <w:rsid w:val="00FB03EB"/>
    <w:rsid w:val="00FB03F2"/>
    <w:rsid w:val="00FB0409"/>
    <w:rsid w:val="00FB0466"/>
    <w:rsid w:val="00FB04C1"/>
    <w:rsid w:val="00FB04FD"/>
    <w:rsid w:val="00FB0512"/>
    <w:rsid w:val="00FB05BC"/>
    <w:rsid w:val="00FB0630"/>
    <w:rsid w:val="00FB077E"/>
    <w:rsid w:val="00FB08D8"/>
    <w:rsid w:val="00FB08EB"/>
    <w:rsid w:val="00FB08EE"/>
    <w:rsid w:val="00FB0903"/>
    <w:rsid w:val="00FB09D5"/>
    <w:rsid w:val="00FB09FD"/>
    <w:rsid w:val="00FB0A27"/>
    <w:rsid w:val="00FB0A36"/>
    <w:rsid w:val="00FB0A37"/>
    <w:rsid w:val="00FB0AB5"/>
    <w:rsid w:val="00FB0CB1"/>
    <w:rsid w:val="00FB0D01"/>
    <w:rsid w:val="00FB0D4D"/>
    <w:rsid w:val="00FB0DEB"/>
    <w:rsid w:val="00FB0E53"/>
    <w:rsid w:val="00FB0EB4"/>
    <w:rsid w:val="00FB0EE1"/>
    <w:rsid w:val="00FB1019"/>
    <w:rsid w:val="00FB1090"/>
    <w:rsid w:val="00FB1096"/>
    <w:rsid w:val="00FB10C1"/>
    <w:rsid w:val="00FB1167"/>
    <w:rsid w:val="00FB116E"/>
    <w:rsid w:val="00FB11E5"/>
    <w:rsid w:val="00FB12D8"/>
    <w:rsid w:val="00FB136C"/>
    <w:rsid w:val="00FB142C"/>
    <w:rsid w:val="00FB142D"/>
    <w:rsid w:val="00FB14CB"/>
    <w:rsid w:val="00FB150F"/>
    <w:rsid w:val="00FB15B1"/>
    <w:rsid w:val="00FB1635"/>
    <w:rsid w:val="00FB1644"/>
    <w:rsid w:val="00FB1712"/>
    <w:rsid w:val="00FB176A"/>
    <w:rsid w:val="00FB1770"/>
    <w:rsid w:val="00FB17AF"/>
    <w:rsid w:val="00FB17D6"/>
    <w:rsid w:val="00FB1844"/>
    <w:rsid w:val="00FB188E"/>
    <w:rsid w:val="00FB18CB"/>
    <w:rsid w:val="00FB1906"/>
    <w:rsid w:val="00FB1940"/>
    <w:rsid w:val="00FB1955"/>
    <w:rsid w:val="00FB1980"/>
    <w:rsid w:val="00FB19D5"/>
    <w:rsid w:val="00FB19EC"/>
    <w:rsid w:val="00FB1AAD"/>
    <w:rsid w:val="00FB1AD9"/>
    <w:rsid w:val="00FB1B47"/>
    <w:rsid w:val="00FB1BA1"/>
    <w:rsid w:val="00FB1BF5"/>
    <w:rsid w:val="00FB1C06"/>
    <w:rsid w:val="00FB1C50"/>
    <w:rsid w:val="00FB1C80"/>
    <w:rsid w:val="00FB1CD7"/>
    <w:rsid w:val="00FB1CDC"/>
    <w:rsid w:val="00FB1E7D"/>
    <w:rsid w:val="00FB1F3A"/>
    <w:rsid w:val="00FB1F6C"/>
    <w:rsid w:val="00FB1FC1"/>
    <w:rsid w:val="00FB2099"/>
    <w:rsid w:val="00FB20E1"/>
    <w:rsid w:val="00FB216F"/>
    <w:rsid w:val="00FB234D"/>
    <w:rsid w:val="00FB237F"/>
    <w:rsid w:val="00FB238A"/>
    <w:rsid w:val="00FB23A6"/>
    <w:rsid w:val="00FB2446"/>
    <w:rsid w:val="00FB2604"/>
    <w:rsid w:val="00FB260D"/>
    <w:rsid w:val="00FB2620"/>
    <w:rsid w:val="00FB266E"/>
    <w:rsid w:val="00FB2807"/>
    <w:rsid w:val="00FB29CA"/>
    <w:rsid w:val="00FB2A3A"/>
    <w:rsid w:val="00FB2B65"/>
    <w:rsid w:val="00FB2B96"/>
    <w:rsid w:val="00FB2BC7"/>
    <w:rsid w:val="00FB2BFB"/>
    <w:rsid w:val="00FB2C25"/>
    <w:rsid w:val="00FB2C81"/>
    <w:rsid w:val="00FB2CB0"/>
    <w:rsid w:val="00FB2D85"/>
    <w:rsid w:val="00FB2DB1"/>
    <w:rsid w:val="00FB2DB6"/>
    <w:rsid w:val="00FB2E1E"/>
    <w:rsid w:val="00FB2E72"/>
    <w:rsid w:val="00FB2EDC"/>
    <w:rsid w:val="00FB3122"/>
    <w:rsid w:val="00FB31CC"/>
    <w:rsid w:val="00FB31CF"/>
    <w:rsid w:val="00FB325E"/>
    <w:rsid w:val="00FB3301"/>
    <w:rsid w:val="00FB335A"/>
    <w:rsid w:val="00FB33BA"/>
    <w:rsid w:val="00FB35CB"/>
    <w:rsid w:val="00FB37B3"/>
    <w:rsid w:val="00FB37FE"/>
    <w:rsid w:val="00FB382C"/>
    <w:rsid w:val="00FB3906"/>
    <w:rsid w:val="00FB3940"/>
    <w:rsid w:val="00FB39E9"/>
    <w:rsid w:val="00FB3AA3"/>
    <w:rsid w:val="00FB3AF6"/>
    <w:rsid w:val="00FB3BC4"/>
    <w:rsid w:val="00FB3BF7"/>
    <w:rsid w:val="00FB3C92"/>
    <w:rsid w:val="00FB3D0C"/>
    <w:rsid w:val="00FB3DD2"/>
    <w:rsid w:val="00FB3DEE"/>
    <w:rsid w:val="00FB3E48"/>
    <w:rsid w:val="00FB3F9C"/>
    <w:rsid w:val="00FB3FDE"/>
    <w:rsid w:val="00FB3FFA"/>
    <w:rsid w:val="00FB40BC"/>
    <w:rsid w:val="00FB40E8"/>
    <w:rsid w:val="00FB40EA"/>
    <w:rsid w:val="00FB4347"/>
    <w:rsid w:val="00FB436A"/>
    <w:rsid w:val="00FB43AF"/>
    <w:rsid w:val="00FB43C2"/>
    <w:rsid w:val="00FB43FB"/>
    <w:rsid w:val="00FB441E"/>
    <w:rsid w:val="00FB450C"/>
    <w:rsid w:val="00FB4676"/>
    <w:rsid w:val="00FB4704"/>
    <w:rsid w:val="00FB4811"/>
    <w:rsid w:val="00FB486D"/>
    <w:rsid w:val="00FB48AF"/>
    <w:rsid w:val="00FB48BD"/>
    <w:rsid w:val="00FB491C"/>
    <w:rsid w:val="00FB49B0"/>
    <w:rsid w:val="00FB4A1B"/>
    <w:rsid w:val="00FB4A55"/>
    <w:rsid w:val="00FB4AAE"/>
    <w:rsid w:val="00FB4C33"/>
    <w:rsid w:val="00FB4CCD"/>
    <w:rsid w:val="00FB4D35"/>
    <w:rsid w:val="00FB4D85"/>
    <w:rsid w:val="00FB4FC5"/>
    <w:rsid w:val="00FB5077"/>
    <w:rsid w:val="00FB50AC"/>
    <w:rsid w:val="00FB50CF"/>
    <w:rsid w:val="00FB5145"/>
    <w:rsid w:val="00FB525E"/>
    <w:rsid w:val="00FB52A6"/>
    <w:rsid w:val="00FB5400"/>
    <w:rsid w:val="00FB5402"/>
    <w:rsid w:val="00FB5500"/>
    <w:rsid w:val="00FB550A"/>
    <w:rsid w:val="00FB5552"/>
    <w:rsid w:val="00FB5718"/>
    <w:rsid w:val="00FB5742"/>
    <w:rsid w:val="00FB5752"/>
    <w:rsid w:val="00FB5789"/>
    <w:rsid w:val="00FB59C8"/>
    <w:rsid w:val="00FB5A86"/>
    <w:rsid w:val="00FB5A9E"/>
    <w:rsid w:val="00FB5B47"/>
    <w:rsid w:val="00FB5BB4"/>
    <w:rsid w:val="00FB5C4C"/>
    <w:rsid w:val="00FB5C78"/>
    <w:rsid w:val="00FB5C85"/>
    <w:rsid w:val="00FB5C8B"/>
    <w:rsid w:val="00FB5CAB"/>
    <w:rsid w:val="00FB5D11"/>
    <w:rsid w:val="00FB5F3A"/>
    <w:rsid w:val="00FB5F52"/>
    <w:rsid w:val="00FB609F"/>
    <w:rsid w:val="00FB60CD"/>
    <w:rsid w:val="00FB60DA"/>
    <w:rsid w:val="00FB6196"/>
    <w:rsid w:val="00FB62AE"/>
    <w:rsid w:val="00FB62F3"/>
    <w:rsid w:val="00FB6329"/>
    <w:rsid w:val="00FB6431"/>
    <w:rsid w:val="00FB64A9"/>
    <w:rsid w:val="00FB6510"/>
    <w:rsid w:val="00FB6520"/>
    <w:rsid w:val="00FB652A"/>
    <w:rsid w:val="00FB6560"/>
    <w:rsid w:val="00FB6640"/>
    <w:rsid w:val="00FB6647"/>
    <w:rsid w:val="00FB66D5"/>
    <w:rsid w:val="00FB6757"/>
    <w:rsid w:val="00FB675E"/>
    <w:rsid w:val="00FB6791"/>
    <w:rsid w:val="00FB67F9"/>
    <w:rsid w:val="00FB6868"/>
    <w:rsid w:val="00FB688F"/>
    <w:rsid w:val="00FB68CA"/>
    <w:rsid w:val="00FB68CD"/>
    <w:rsid w:val="00FB69B3"/>
    <w:rsid w:val="00FB6A6B"/>
    <w:rsid w:val="00FB6AA9"/>
    <w:rsid w:val="00FB6AD4"/>
    <w:rsid w:val="00FB6B11"/>
    <w:rsid w:val="00FB6B98"/>
    <w:rsid w:val="00FB6C40"/>
    <w:rsid w:val="00FB6D06"/>
    <w:rsid w:val="00FB6D5C"/>
    <w:rsid w:val="00FB6E4D"/>
    <w:rsid w:val="00FB6F46"/>
    <w:rsid w:val="00FB704A"/>
    <w:rsid w:val="00FB7084"/>
    <w:rsid w:val="00FB709C"/>
    <w:rsid w:val="00FB70FE"/>
    <w:rsid w:val="00FB7297"/>
    <w:rsid w:val="00FB7299"/>
    <w:rsid w:val="00FB7361"/>
    <w:rsid w:val="00FB7388"/>
    <w:rsid w:val="00FB7442"/>
    <w:rsid w:val="00FB747C"/>
    <w:rsid w:val="00FB747D"/>
    <w:rsid w:val="00FB7503"/>
    <w:rsid w:val="00FB755B"/>
    <w:rsid w:val="00FB7588"/>
    <w:rsid w:val="00FB75C4"/>
    <w:rsid w:val="00FB75C7"/>
    <w:rsid w:val="00FB7640"/>
    <w:rsid w:val="00FB7683"/>
    <w:rsid w:val="00FB7742"/>
    <w:rsid w:val="00FB78DA"/>
    <w:rsid w:val="00FB7A88"/>
    <w:rsid w:val="00FB7AF7"/>
    <w:rsid w:val="00FB7B30"/>
    <w:rsid w:val="00FB7B5C"/>
    <w:rsid w:val="00FB7D3C"/>
    <w:rsid w:val="00FB7D5C"/>
    <w:rsid w:val="00FB7E7C"/>
    <w:rsid w:val="00FB7F22"/>
    <w:rsid w:val="00FB7FF8"/>
    <w:rsid w:val="00FC00AA"/>
    <w:rsid w:val="00FC00F3"/>
    <w:rsid w:val="00FC0255"/>
    <w:rsid w:val="00FC028E"/>
    <w:rsid w:val="00FC02FC"/>
    <w:rsid w:val="00FC0336"/>
    <w:rsid w:val="00FC03C5"/>
    <w:rsid w:val="00FC03F2"/>
    <w:rsid w:val="00FC0588"/>
    <w:rsid w:val="00FC06E8"/>
    <w:rsid w:val="00FC06F1"/>
    <w:rsid w:val="00FC081F"/>
    <w:rsid w:val="00FC084D"/>
    <w:rsid w:val="00FC0867"/>
    <w:rsid w:val="00FC097C"/>
    <w:rsid w:val="00FC0980"/>
    <w:rsid w:val="00FC0A33"/>
    <w:rsid w:val="00FC0A3B"/>
    <w:rsid w:val="00FC0A51"/>
    <w:rsid w:val="00FC0A54"/>
    <w:rsid w:val="00FC0B7A"/>
    <w:rsid w:val="00FC0CF6"/>
    <w:rsid w:val="00FC0DDE"/>
    <w:rsid w:val="00FC0F68"/>
    <w:rsid w:val="00FC0FFD"/>
    <w:rsid w:val="00FC10B0"/>
    <w:rsid w:val="00FC1108"/>
    <w:rsid w:val="00FC1388"/>
    <w:rsid w:val="00FC13D2"/>
    <w:rsid w:val="00FC1416"/>
    <w:rsid w:val="00FC14B2"/>
    <w:rsid w:val="00FC1572"/>
    <w:rsid w:val="00FC1672"/>
    <w:rsid w:val="00FC16F4"/>
    <w:rsid w:val="00FC1823"/>
    <w:rsid w:val="00FC18BD"/>
    <w:rsid w:val="00FC1929"/>
    <w:rsid w:val="00FC196C"/>
    <w:rsid w:val="00FC1987"/>
    <w:rsid w:val="00FC19B5"/>
    <w:rsid w:val="00FC19E7"/>
    <w:rsid w:val="00FC1A36"/>
    <w:rsid w:val="00FC1A59"/>
    <w:rsid w:val="00FC1BDB"/>
    <w:rsid w:val="00FC1BEF"/>
    <w:rsid w:val="00FC1C72"/>
    <w:rsid w:val="00FC1C94"/>
    <w:rsid w:val="00FC1D39"/>
    <w:rsid w:val="00FC1D56"/>
    <w:rsid w:val="00FC1D78"/>
    <w:rsid w:val="00FC1E63"/>
    <w:rsid w:val="00FC1E64"/>
    <w:rsid w:val="00FC1F8F"/>
    <w:rsid w:val="00FC20D1"/>
    <w:rsid w:val="00FC2141"/>
    <w:rsid w:val="00FC2182"/>
    <w:rsid w:val="00FC2198"/>
    <w:rsid w:val="00FC2215"/>
    <w:rsid w:val="00FC2262"/>
    <w:rsid w:val="00FC2286"/>
    <w:rsid w:val="00FC243F"/>
    <w:rsid w:val="00FC24B2"/>
    <w:rsid w:val="00FC24EC"/>
    <w:rsid w:val="00FC2659"/>
    <w:rsid w:val="00FC26A4"/>
    <w:rsid w:val="00FC2866"/>
    <w:rsid w:val="00FC2889"/>
    <w:rsid w:val="00FC296E"/>
    <w:rsid w:val="00FC2994"/>
    <w:rsid w:val="00FC29D9"/>
    <w:rsid w:val="00FC2A4A"/>
    <w:rsid w:val="00FC2A57"/>
    <w:rsid w:val="00FC2A70"/>
    <w:rsid w:val="00FC2ACB"/>
    <w:rsid w:val="00FC2B27"/>
    <w:rsid w:val="00FC2B93"/>
    <w:rsid w:val="00FC2C24"/>
    <w:rsid w:val="00FC2C3E"/>
    <w:rsid w:val="00FC2C93"/>
    <w:rsid w:val="00FC2D2D"/>
    <w:rsid w:val="00FC2DB1"/>
    <w:rsid w:val="00FC2EC4"/>
    <w:rsid w:val="00FC2F17"/>
    <w:rsid w:val="00FC2F61"/>
    <w:rsid w:val="00FC3057"/>
    <w:rsid w:val="00FC313E"/>
    <w:rsid w:val="00FC3202"/>
    <w:rsid w:val="00FC325A"/>
    <w:rsid w:val="00FC3269"/>
    <w:rsid w:val="00FC32A9"/>
    <w:rsid w:val="00FC331B"/>
    <w:rsid w:val="00FC335B"/>
    <w:rsid w:val="00FC3370"/>
    <w:rsid w:val="00FC3397"/>
    <w:rsid w:val="00FC33ED"/>
    <w:rsid w:val="00FC353E"/>
    <w:rsid w:val="00FC359F"/>
    <w:rsid w:val="00FC3626"/>
    <w:rsid w:val="00FC3636"/>
    <w:rsid w:val="00FC378A"/>
    <w:rsid w:val="00FC37A4"/>
    <w:rsid w:val="00FC37FE"/>
    <w:rsid w:val="00FC394A"/>
    <w:rsid w:val="00FC3A4E"/>
    <w:rsid w:val="00FC3B35"/>
    <w:rsid w:val="00FC3B4E"/>
    <w:rsid w:val="00FC3CBD"/>
    <w:rsid w:val="00FC3D38"/>
    <w:rsid w:val="00FC3E26"/>
    <w:rsid w:val="00FC3F19"/>
    <w:rsid w:val="00FC3F51"/>
    <w:rsid w:val="00FC4045"/>
    <w:rsid w:val="00FC404E"/>
    <w:rsid w:val="00FC40B9"/>
    <w:rsid w:val="00FC4131"/>
    <w:rsid w:val="00FC43AD"/>
    <w:rsid w:val="00FC43F3"/>
    <w:rsid w:val="00FC4411"/>
    <w:rsid w:val="00FC4460"/>
    <w:rsid w:val="00FC447C"/>
    <w:rsid w:val="00FC44AB"/>
    <w:rsid w:val="00FC44D5"/>
    <w:rsid w:val="00FC455C"/>
    <w:rsid w:val="00FC45DC"/>
    <w:rsid w:val="00FC476D"/>
    <w:rsid w:val="00FC47C7"/>
    <w:rsid w:val="00FC47F3"/>
    <w:rsid w:val="00FC486D"/>
    <w:rsid w:val="00FC48AD"/>
    <w:rsid w:val="00FC48D3"/>
    <w:rsid w:val="00FC492A"/>
    <w:rsid w:val="00FC4957"/>
    <w:rsid w:val="00FC4961"/>
    <w:rsid w:val="00FC4AE5"/>
    <w:rsid w:val="00FC4C3D"/>
    <w:rsid w:val="00FC4C78"/>
    <w:rsid w:val="00FC4DCE"/>
    <w:rsid w:val="00FC4E41"/>
    <w:rsid w:val="00FC4F18"/>
    <w:rsid w:val="00FC4F76"/>
    <w:rsid w:val="00FC5129"/>
    <w:rsid w:val="00FC515E"/>
    <w:rsid w:val="00FC5183"/>
    <w:rsid w:val="00FC5213"/>
    <w:rsid w:val="00FC533D"/>
    <w:rsid w:val="00FC53F5"/>
    <w:rsid w:val="00FC54C8"/>
    <w:rsid w:val="00FC54E1"/>
    <w:rsid w:val="00FC556C"/>
    <w:rsid w:val="00FC5591"/>
    <w:rsid w:val="00FC55E8"/>
    <w:rsid w:val="00FC56B0"/>
    <w:rsid w:val="00FC5860"/>
    <w:rsid w:val="00FC5876"/>
    <w:rsid w:val="00FC588C"/>
    <w:rsid w:val="00FC598F"/>
    <w:rsid w:val="00FC5A0C"/>
    <w:rsid w:val="00FC5BBA"/>
    <w:rsid w:val="00FC5C15"/>
    <w:rsid w:val="00FC5C47"/>
    <w:rsid w:val="00FC5CC5"/>
    <w:rsid w:val="00FC5CFA"/>
    <w:rsid w:val="00FC5D0B"/>
    <w:rsid w:val="00FC5D97"/>
    <w:rsid w:val="00FC5E75"/>
    <w:rsid w:val="00FC5F12"/>
    <w:rsid w:val="00FC5FC0"/>
    <w:rsid w:val="00FC6004"/>
    <w:rsid w:val="00FC600D"/>
    <w:rsid w:val="00FC6078"/>
    <w:rsid w:val="00FC60AE"/>
    <w:rsid w:val="00FC60E3"/>
    <w:rsid w:val="00FC6209"/>
    <w:rsid w:val="00FC622C"/>
    <w:rsid w:val="00FC6284"/>
    <w:rsid w:val="00FC62C4"/>
    <w:rsid w:val="00FC62F5"/>
    <w:rsid w:val="00FC6390"/>
    <w:rsid w:val="00FC63A5"/>
    <w:rsid w:val="00FC63D2"/>
    <w:rsid w:val="00FC63DE"/>
    <w:rsid w:val="00FC64DA"/>
    <w:rsid w:val="00FC6545"/>
    <w:rsid w:val="00FC6564"/>
    <w:rsid w:val="00FC658B"/>
    <w:rsid w:val="00FC65AB"/>
    <w:rsid w:val="00FC668D"/>
    <w:rsid w:val="00FC66A2"/>
    <w:rsid w:val="00FC66C3"/>
    <w:rsid w:val="00FC6717"/>
    <w:rsid w:val="00FC679E"/>
    <w:rsid w:val="00FC67B2"/>
    <w:rsid w:val="00FC67F7"/>
    <w:rsid w:val="00FC68DF"/>
    <w:rsid w:val="00FC6952"/>
    <w:rsid w:val="00FC6953"/>
    <w:rsid w:val="00FC6A49"/>
    <w:rsid w:val="00FC6A56"/>
    <w:rsid w:val="00FC6ACE"/>
    <w:rsid w:val="00FC6B1E"/>
    <w:rsid w:val="00FC6B54"/>
    <w:rsid w:val="00FC6B6A"/>
    <w:rsid w:val="00FC6BE7"/>
    <w:rsid w:val="00FC6D78"/>
    <w:rsid w:val="00FC6D98"/>
    <w:rsid w:val="00FC6DC3"/>
    <w:rsid w:val="00FC6DD1"/>
    <w:rsid w:val="00FC6E09"/>
    <w:rsid w:val="00FC6E98"/>
    <w:rsid w:val="00FC6F00"/>
    <w:rsid w:val="00FC6F0A"/>
    <w:rsid w:val="00FC6F29"/>
    <w:rsid w:val="00FC6F89"/>
    <w:rsid w:val="00FC6FCD"/>
    <w:rsid w:val="00FC731D"/>
    <w:rsid w:val="00FC731E"/>
    <w:rsid w:val="00FC7358"/>
    <w:rsid w:val="00FC738A"/>
    <w:rsid w:val="00FC740C"/>
    <w:rsid w:val="00FC7436"/>
    <w:rsid w:val="00FC74D2"/>
    <w:rsid w:val="00FC751C"/>
    <w:rsid w:val="00FC75AC"/>
    <w:rsid w:val="00FC7622"/>
    <w:rsid w:val="00FC76D5"/>
    <w:rsid w:val="00FC776D"/>
    <w:rsid w:val="00FC778E"/>
    <w:rsid w:val="00FC77EB"/>
    <w:rsid w:val="00FC78A2"/>
    <w:rsid w:val="00FC79F4"/>
    <w:rsid w:val="00FC7A87"/>
    <w:rsid w:val="00FC7B4F"/>
    <w:rsid w:val="00FC7BB2"/>
    <w:rsid w:val="00FC7BDA"/>
    <w:rsid w:val="00FC7CAF"/>
    <w:rsid w:val="00FC7D0A"/>
    <w:rsid w:val="00FC7D6B"/>
    <w:rsid w:val="00FC7DB4"/>
    <w:rsid w:val="00FC7EB5"/>
    <w:rsid w:val="00FC7ECC"/>
    <w:rsid w:val="00FC7EFC"/>
    <w:rsid w:val="00FC7F66"/>
    <w:rsid w:val="00FC7FEE"/>
    <w:rsid w:val="00FD001C"/>
    <w:rsid w:val="00FD0042"/>
    <w:rsid w:val="00FD0084"/>
    <w:rsid w:val="00FD01D1"/>
    <w:rsid w:val="00FD023A"/>
    <w:rsid w:val="00FD0279"/>
    <w:rsid w:val="00FD0298"/>
    <w:rsid w:val="00FD02D0"/>
    <w:rsid w:val="00FD035A"/>
    <w:rsid w:val="00FD03EA"/>
    <w:rsid w:val="00FD058A"/>
    <w:rsid w:val="00FD0678"/>
    <w:rsid w:val="00FD06AC"/>
    <w:rsid w:val="00FD06FF"/>
    <w:rsid w:val="00FD07EA"/>
    <w:rsid w:val="00FD0910"/>
    <w:rsid w:val="00FD0955"/>
    <w:rsid w:val="00FD0A7C"/>
    <w:rsid w:val="00FD0ACD"/>
    <w:rsid w:val="00FD0B67"/>
    <w:rsid w:val="00FD0B6C"/>
    <w:rsid w:val="00FD0B7B"/>
    <w:rsid w:val="00FD0CA3"/>
    <w:rsid w:val="00FD0CC3"/>
    <w:rsid w:val="00FD0DCF"/>
    <w:rsid w:val="00FD0E2E"/>
    <w:rsid w:val="00FD0E4A"/>
    <w:rsid w:val="00FD0EB2"/>
    <w:rsid w:val="00FD0F07"/>
    <w:rsid w:val="00FD0F4E"/>
    <w:rsid w:val="00FD10F8"/>
    <w:rsid w:val="00FD1205"/>
    <w:rsid w:val="00FD13D0"/>
    <w:rsid w:val="00FD13F5"/>
    <w:rsid w:val="00FD1447"/>
    <w:rsid w:val="00FD15CE"/>
    <w:rsid w:val="00FD1651"/>
    <w:rsid w:val="00FD1685"/>
    <w:rsid w:val="00FD16BF"/>
    <w:rsid w:val="00FD1813"/>
    <w:rsid w:val="00FD182C"/>
    <w:rsid w:val="00FD19CE"/>
    <w:rsid w:val="00FD19F1"/>
    <w:rsid w:val="00FD1A04"/>
    <w:rsid w:val="00FD1A7E"/>
    <w:rsid w:val="00FD1AB7"/>
    <w:rsid w:val="00FD1AC7"/>
    <w:rsid w:val="00FD1AEC"/>
    <w:rsid w:val="00FD1BA5"/>
    <w:rsid w:val="00FD1C93"/>
    <w:rsid w:val="00FD1CCA"/>
    <w:rsid w:val="00FD1D44"/>
    <w:rsid w:val="00FD1DBD"/>
    <w:rsid w:val="00FD1DCD"/>
    <w:rsid w:val="00FD1E74"/>
    <w:rsid w:val="00FD1EBF"/>
    <w:rsid w:val="00FD1F7B"/>
    <w:rsid w:val="00FD203A"/>
    <w:rsid w:val="00FD2065"/>
    <w:rsid w:val="00FD2106"/>
    <w:rsid w:val="00FD2257"/>
    <w:rsid w:val="00FD241F"/>
    <w:rsid w:val="00FD243C"/>
    <w:rsid w:val="00FD2511"/>
    <w:rsid w:val="00FD255A"/>
    <w:rsid w:val="00FD268B"/>
    <w:rsid w:val="00FD2731"/>
    <w:rsid w:val="00FD276A"/>
    <w:rsid w:val="00FD279E"/>
    <w:rsid w:val="00FD27D0"/>
    <w:rsid w:val="00FD2901"/>
    <w:rsid w:val="00FD293C"/>
    <w:rsid w:val="00FD294F"/>
    <w:rsid w:val="00FD2A56"/>
    <w:rsid w:val="00FD2A64"/>
    <w:rsid w:val="00FD2B2A"/>
    <w:rsid w:val="00FD2BB1"/>
    <w:rsid w:val="00FD2C9A"/>
    <w:rsid w:val="00FD2CC3"/>
    <w:rsid w:val="00FD2D80"/>
    <w:rsid w:val="00FD2F62"/>
    <w:rsid w:val="00FD2F9F"/>
    <w:rsid w:val="00FD2FAA"/>
    <w:rsid w:val="00FD2FFA"/>
    <w:rsid w:val="00FD307C"/>
    <w:rsid w:val="00FD3100"/>
    <w:rsid w:val="00FD312A"/>
    <w:rsid w:val="00FD31BF"/>
    <w:rsid w:val="00FD3248"/>
    <w:rsid w:val="00FD32EC"/>
    <w:rsid w:val="00FD3375"/>
    <w:rsid w:val="00FD3376"/>
    <w:rsid w:val="00FD352A"/>
    <w:rsid w:val="00FD352D"/>
    <w:rsid w:val="00FD35A1"/>
    <w:rsid w:val="00FD35C7"/>
    <w:rsid w:val="00FD3637"/>
    <w:rsid w:val="00FD363C"/>
    <w:rsid w:val="00FD3692"/>
    <w:rsid w:val="00FD36CA"/>
    <w:rsid w:val="00FD36E9"/>
    <w:rsid w:val="00FD3741"/>
    <w:rsid w:val="00FD379F"/>
    <w:rsid w:val="00FD393F"/>
    <w:rsid w:val="00FD3945"/>
    <w:rsid w:val="00FD3AAC"/>
    <w:rsid w:val="00FD3AF0"/>
    <w:rsid w:val="00FD3B9A"/>
    <w:rsid w:val="00FD3BAD"/>
    <w:rsid w:val="00FD3BC4"/>
    <w:rsid w:val="00FD3BC6"/>
    <w:rsid w:val="00FD3BEE"/>
    <w:rsid w:val="00FD3CA1"/>
    <w:rsid w:val="00FD3CC7"/>
    <w:rsid w:val="00FD3D29"/>
    <w:rsid w:val="00FD3E68"/>
    <w:rsid w:val="00FD3F34"/>
    <w:rsid w:val="00FD3F83"/>
    <w:rsid w:val="00FD401D"/>
    <w:rsid w:val="00FD4148"/>
    <w:rsid w:val="00FD416C"/>
    <w:rsid w:val="00FD4199"/>
    <w:rsid w:val="00FD4202"/>
    <w:rsid w:val="00FD424E"/>
    <w:rsid w:val="00FD4331"/>
    <w:rsid w:val="00FD435D"/>
    <w:rsid w:val="00FD43BB"/>
    <w:rsid w:val="00FD4428"/>
    <w:rsid w:val="00FD442C"/>
    <w:rsid w:val="00FD44B2"/>
    <w:rsid w:val="00FD4506"/>
    <w:rsid w:val="00FD4630"/>
    <w:rsid w:val="00FD46B4"/>
    <w:rsid w:val="00FD4728"/>
    <w:rsid w:val="00FD4739"/>
    <w:rsid w:val="00FD474D"/>
    <w:rsid w:val="00FD47C8"/>
    <w:rsid w:val="00FD4809"/>
    <w:rsid w:val="00FD484D"/>
    <w:rsid w:val="00FD49C9"/>
    <w:rsid w:val="00FD49DE"/>
    <w:rsid w:val="00FD4A5A"/>
    <w:rsid w:val="00FD4A8A"/>
    <w:rsid w:val="00FD4A93"/>
    <w:rsid w:val="00FD4ADC"/>
    <w:rsid w:val="00FD4B74"/>
    <w:rsid w:val="00FD4C27"/>
    <w:rsid w:val="00FD4CCA"/>
    <w:rsid w:val="00FD4CE3"/>
    <w:rsid w:val="00FD4D4D"/>
    <w:rsid w:val="00FD4D5B"/>
    <w:rsid w:val="00FD4D6D"/>
    <w:rsid w:val="00FD4D9C"/>
    <w:rsid w:val="00FD4DC2"/>
    <w:rsid w:val="00FD4DD6"/>
    <w:rsid w:val="00FD4EA3"/>
    <w:rsid w:val="00FD5032"/>
    <w:rsid w:val="00FD507C"/>
    <w:rsid w:val="00FD50E7"/>
    <w:rsid w:val="00FD5144"/>
    <w:rsid w:val="00FD5385"/>
    <w:rsid w:val="00FD538F"/>
    <w:rsid w:val="00FD5459"/>
    <w:rsid w:val="00FD54FE"/>
    <w:rsid w:val="00FD5535"/>
    <w:rsid w:val="00FD553D"/>
    <w:rsid w:val="00FD5556"/>
    <w:rsid w:val="00FD555E"/>
    <w:rsid w:val="00FD55EC"/>
    <w:rsid w:val="00FD560F"/>
    <w:rsid w:val="00FD56F4"/>
    <w:rsid w:val="00FD57BD"/>
    <w:rsid w:val="00FD584D"/>
    <w:rsid w:val="00FD5857"/>
    <w:rsid w:val="00FD5997"/>
    <w:rsid w:val="00FD59E1"/>
    <w:rsid w:val="00FD5A9A"/>
    <w:rsid w:val="00FD5A9C"/>
    <w:rsid w:val="00FD5AD0"/>
    <w:rsid w:val="00FD5AD2"/>
    <w:rsid w:val="00FD5AE9"/>
    <w:rsid w:val="00FD5B16"/>
    <w:rsid w:val="00FD5BDE"/>
    <w:rsid w:val="00FD5BEB"/>
    <w:rsid w:val="00FD5D10"/>
    <w:rsid w:val="00FD5FDF"/>
    <w:rsid w:val="00FD6022"/>
    <w:rsid w:val="00FD6097"/>
    <w:rsid w:val="00FD60E0"/>
    <w:rsid w:val="00FD60F4"/>
    <w:rsid w:val="00FD6130"/>
    <w:rsid w:val="00FD6185"/>
    <w:rsid w:val="00FD6217"/>
    <w:rsid w:val="00FD633D"/>
    <w:rsid w:val="00FD6373"/>
    <w:rsid w:val="00FD6395"/>
    <w:rsid w:val="00FD6453"/>
    <w:rsid w:val="00FD6463"/>
    <w:rsid w:val="00FD6503"/>
    <w:rsid w:val="00FD655C"/>
    <w:rsid w:val="00FD65B5"/>
    <w:rsid w:val="00FD6605"/>
    <w:rsid w:val="00FD662C"/>
    <w:rsid w:val="00FD663E"/>
    <w:rsid w:val="00FD6685"/>
    <w:rsid w:val="00FD6703"/>
    <w:rsid w:val="00FD6742"/>
    <w:rsid w:val="00FD67FD"/>
    <w:rsid w:val="00FD683A"/>
    <w:rsid w:val="00FD689B"/>
    <w:rsid w:val="00FD68D4"/>
    <w:rsid w:val="00FD68E6"/>
    <w:rsid w:val="00FD69DA"/>
    <w:rsid w:val="00FD6B31"/>
    <w:rsid w:val="00FD6C36"/>
    <w:rsid w:val="00FD6C3D"/>
    <w:rsid w:val="00FD6C56"/>
    <w:rsid w:val="00FD6CDC"/>
    <w:rsid w:val="00FD6D27"/>
    <w:rsid w:val="00FD6D43"/>
    <w:rsid w:val="00FD6DA4"/>
    <w:rsid w:val="00FD6E27"/>
    <w:rsid w:val="00FD6F04"/>
    <w:rsid w:val="00FD6FAA"/>
    <w:rsid w:val="00FD6FE6"/>
    <w:rsid w:val="00FD70B5"/>
    <w:rsid w:val="00FD70FB"/>
    <w:rsid w:val="00FD711C"/>
    <w:rsid w:val="00FD714E"/>
    <w:rsid w:val="00FD71DE"/>
    <w:rsid w:val="00FD722A"/>
    <w:rsid w:val="00FD727D"/>
    <w:rsid w:val="00FD72AA"/>
    <w:rsid w:val="00FD7350"/>
    <w:rsid w:val="00FD7399"/>
    <w:rsid w:val="00FD7438"/>
    <w:rsid w:val="00FD74DA"/>
    <w:rsid w:val="00FD7536"/>
    <w:rsid w:val="00FD7681"/>
    <w:rsid w:val="00FD768B"/>
    <w:rsid w:val="00FD77DF"/>
    <w:rsid w:val="00FD7A25"/>
    <w:rsid w:val="00FD7A36"/>
    <w:rsid w:val="00FD7B1E"/>
    <w:rsid w:val="00FD7B2F"/>
    <w:rsid w:val="00FD7B4C"/>
    <w:rsid w:val="00FD7C4E"/>
    <w:rsid w:val="00FD7C8C"/>
    <w:rsid w:val="00FD7CB2"/>
    <w:rsid w:val="00FD7D46"/>
    <w:rsid w:val="00FD7D76"/>
    <w:rsid w:val="00FD7D8B"/>
    <w:rsid w:val="00FD7E41"/>
    <w:rsid w:val="00FD7EB8"/>
    <w:rsid w:val="00FD7ECB"/>
    <w:rsid w:val="00FD7EEF"/>
    <w:rsid w:val="00FE0073"/>
    <w:rsid w:val="00FE0344"/>
    <w:rsid w:val="00FE03CF"/>
    <w:rsid w:val="00FE040E"/>
    <w:rsid w:val="00FE0483"/>
    <w:rsid w:val="00FE048D"/>
    <w:rsid w:val="00FE04DB"/>
    <w:rsid w:val="00FE0550"/>
    <w:rsid w:val="00FE05F2"/>
    <w:rsid w:val="00FE0660"/>
    <w:rsid w:val="00FE0664"/>
    <w:rsid w:val="00FE066E"/>
    <w:rsid w:val="00FE0688"/>
    <w:rsid w:val="00FE06BA"/>
    <w:rsid w:val="00FE085A"/>
    <w:rsid w:val="00FE089C"/>
    <w:rsid w:val="00FE08BE"/>
    <w:rsid w:val="00FE08CA"/>
    <w:rsid w:val="00FE08D3"/>
    <w:rsid w:val="00FE094E"/>
    <w:rsid w:val="00FE0A68"/>
    <w:rsid w:val="00FE0AF2"/>
    <w:rsid w:val="00FE0AFA"/>
    <w:rsid w:val="00FE0AFE"/>
    <w:rsid w:val="00FE0BF7"/>
    <w:rsid w:val="00FE0C44"/>
    <w:rsid w:val="00FE0C72"/>
    <w:rsid w:val="00FE0CE4"/>
    <w:rsid w:val="00FE0D80"/>
    <w:rsid w:val="00FE0DEE"/>
    <w:rsid w:val="00FE1061"/>
    <w:rsid w:val="00FE10EF"/>
    <w:rsid w:val="00FE11A1"/>
    <w:rsid w:val="00FE127D"/>
    <w:rsid w:val="00FE1363"/>
    <w:rsid w:val="00FE1399"/>
    <w:rsid w:val="00FE13C4"/>
    <w:rsid w:val="00FE15A4"/>
    <w:rsid w:val="00FE15EA"/>
    <w:rsid w:val="00FE1629"/>
    <w:rsid w:val="00FE1631"/>
    <w:rsid w:val="00FE1644"/>
    <w:rsid w:val="00FE1713"/>
    <w:rsid w:val="00FE17CB"/>
    <w:rsid w:val="00FE17F3"/>
    <w:rsid w:val="00FE184E"/>
    <w:rsid w:val="00FE18AC"/>
    <w:rsid w:val="00FE1964"/>
    <w:rsid w:val="00FE1978"/>
    <w:rsid w:val="00FE1A03"/>
    <w:rsid w:val="00FE1AB9"/>
    <w:rsid w:val="00FE1AE5"/>
    <w:rsid w:val="00FE1B0A"/>
    <w:rsid w:val="00FE1B30"/>
    <w:rsid w:val="00FE1BE1"/>
    <w:rsid w:val="00FE1C47"/>
    <w:rsid w:val="00FE1C5B"/>
    <w:rsid w:val="00FE1C6E"/>
    <w:rsid w:val="00FE1DD5"/>
    <w:rsid w:val="00FE1ECA"/>
    <w:rsid w:val="00FE1EDE"/>
    <w:rsid w:val="00FE1EDF"/>
    <w:rsid w:val="00FE1F2B"/>
    <w:rsid w:val="00FE1F36"/>
    <w:rsid w:val="00FE1F54"/>
    <w:rsid w:val="00FE202B"/>
    <w:rsid w:val="00FE206F"/>
    <w:rsid w:val="00FE2081"/>
    <w:rsid w:val="00FE20C1"/>
    <w:rsid w:val="00FE2139"/>
    <w:rsid w:val="00FE2184"/>
    <w:rsid w:val="00FE21D1"/>
    <w:rsid w:val="00FE21F9"/>
    <w:rsid w:val="00FE225A"/>
    <w:rsid w:val="00FE22C7"/>
    <w:rsid w:val="00FE22DD"/>
    <w:rsid w:val="00FE239F"/>
    <w:rsid w:val="00FE23A5"/>
    <w:rsid w:val="00FE24F7"/>
    <w:rsid w:val="00FE2502"/>
    <w:rsid w:val="00FE25E6"/>
    <w:rsid w:val="00FE2646"/>
    <w:rsid w:val="00FE264F"/>
    <w:rsid w:val="00FE26AE"/>
    <w:rsid w:val="00FE26AF"/>
    <w:rsid w:val="00FE279E"/>
    <w:rsid w:val="00FE27C5"/>
    <w:rsid w:val="00FE29A1"/>
    <w:rsid w:val="00FE29CE"/>
    <w:rsid w:val="00FE29D7"/>
    <w:rsid w:val="00FE2A5F"/>
    <w:rsid w:val="00FE2ACA"/>
    <w:rsid w:val="00FE2B15"/>
    <w:rsid w:val="00FE2B3E"/>
    <w:rsid w:val="00FE2B62"/>
    <w:rsid w:val="00FE2C3D"/>
    <w:rsid w:val="00FE2CFB"/>
    <w:rsid w:val="00FE2DB2"/>
    <w:rsid w:val="00FE2DD2"/>
    <w:rsid w:val="00FE2E2B"/>
    <w:rsid w:val="00FE2EEA"/>
    <w:rsid w:val="00FE2F6A"/>
    <w:rsid w:val="00FE3013"/>
    <w:rsid w:val="00FE326C"/>
    <w:rsid w:val="00FE3299"/>
    <w:rsid w:val="00FE341C"/>
    <w:rsid w:val="00FE345A"/>
    <w:rsid w:val="00FE35E2"/>
    <w:rsid w:val="00FE362F"/>
    <w:rsid w:val="00FE3655"/>
    <w:rsid w:val="00FE3705"/>
    <w:rsid w:val="00FE374C"/>
    <w:rsid w:val="00FE375D"/>
    <w:rsid w:val="00FE37A1"/>
    <w:rsid w:val="00FE37C2"/>
    <w:rsid w:val="00FE3892"/>
    <w:rsid w:val="00FE399A"/>
    <w:rsid w:val="00FE399C"/>
    <w:rsid w:val="00FE39B3"/>
    <w:rsid w:val="00FE3AFC"/>
    <w:rsid w:val="00FE3BD7"/>
    <w:rsid w:val="00FE3C62"/>
    <w:rsid w:val="00FE3D5A"/>
    <w:rsid w:val="00FE3EEB"/>
    <w:rsid w:val="00FE3F70"/>
    <w:rsid w:val="00FE402B"/>
    <w:rsid w:val="00FE4124"/>
    <w:rsid w:val="00FE4191"/>
    <w:rsid w:val="00FE4398"/>
    <w:rsid w:val="00FE43CB"/>
    <w:rsid w:val="00FE43D3"/>
    <w:rsid w:val="00FE4505"/>
    <w:rsid w:val="00FE454B"/>
    <w:rsid w:val="00FE4559"/>
    <w:rsid w:val="00FE4588"/>
    <w:rsid w:val="00FE45D4"/>
    <w:rsid w:val="00FE4601"/>
    <w:rsid w:val="00FE4764"/>
    <w:rsid w:val="00FE478B"/>
    <w:rsid w:val="00FE4821"/>
    <w:rsid w:val="00FE482F"/>
    <w:rsid w:val="00FE4A60"/>
    <w:rsid w:val="00FE4A67"/>
    <w:rsid w:val="00FE4B95"/>
    <w:rsid w:val="00FE4BBF"/>
    <w:rsid w:val="00FE4BC3"/>
    <w:rsid w:val="00FE4BD6"/>
    <w:rsid w:val="00FE4BF8"/>
    <w:rsid w:val="00FE4BFD"/>
    <w:rsid w:val="00FE4C10"/>
    <w:rsid w:val="00FE4C15"/>
    <w:rsid w:val="00FE4D50"/>
    <w:rsid w:val="00FE4D5A"/>
    <w:rsid w:val="00FE4F05"/>
    <w:rsid w:val="00FE4F85"/>
    <w:rsid w:val="00FE5027"/>
    <w:rsid w:val="00FE514A"/>
    <w:rsid w:val="00FE516E"/>
    <w:rsid w:val="00FE528B"/>
    <w:rsid w:val="00FE528D"/>
    <w:rsid w:val="00FE52C2"/>
    <w:rsid w:val="00FE52D3"/>
    <w:rsid w:val="00FE53BD"/>
    <w:rsid w:val="00FE53E9"/>
    <w:rsid w:val="00FE53FC"/>
    <w:rsid w:val="00FE5415"/>
    <w:rsid w:val="00FE5454"/>
    <w:rsid w:val="00FE5473"/>
    <w:rsid w:val="00FE54E0"/>
    <w:rsid w:val="00FE5566"/>
    <w:rsid w:val="00FE558A"/>
    <w:rsid w:val="00FE55F0"/>
    <w:rsid w:val="00FE569D"/>
    <w:rsid w:val="00FE5822"/>
    <w:rsid w:val="00FE5834"/>
    <w:rsid w:val="00FE5923"/>
    <w:rsid w:val="00FE5A3A"/>
    <w:rsid w:val="00FE5B0A"/>
    <w:rsid w:val="00FE5BAA"/>
    <w:rsid w:val="00FE5BC6"/>
    <w:rsid w:val="00FE5C50"/>
    <w:rsid w:val="00FE5D33"/>
    <w:rsid w:val="00FE5D5A"/>
    <w:rsid w:val="00FE5D84"/>
    <w:rsid w:val="00FE5DE1"/>
    <w:rsid w:val="00FE5EC1"/>
    <w:rsid w:val="00FE5ECA"/>
    <w:rsid w:val="00FE5F56"/>
    <w:rsid w:val="00FE60B9"/>
    <w:rsid w:val="00FE60CF"/>
    <w:rsid w:val="00FE61AD"/>
    <w:rsid w:val="00FE62D0"/>
    <w:rsid w:val="00FE62E7"/>
    <w:rsid w:val="00FE6331"/>
    <w:rsid w:val="00FE6353"/>
    <w:rsid w:val="00FE63CB"/>
    <w:rsid w:val="00FE646C"/>
    <w:rsid w:val="00FE648C"/>
    <w:rsid w:val="00FE65BC"/>
    <w:rsid w:val="00FE6612"/>
    <w:rsid w:val="00FE66FA"/>
    <w:rsid w:val="00FE67C2"/>
    <w:rsid w:val="00FE67C6"/>
    <w:rsid w:val="00FE67F3"/>
    <w:rsid w:val="00FE681D"/>
    <w:rsid w:val="00FE685B"/>
    <w:rsid w:val="00FE6867"/>
    <w:rsid w:val="00FE6995"/>
    <w:rsid w:val="00FE69A4"/>
    <w:rsid w:val="00FE6A36"/>
    <w:rsid w:val="00FE6AC3"/>
    <w:rsid w:val="00FE6C12"/>
    <w:rsid w:val="00FE6F72"/>
    <w:rsid w:val="00FE70DA"/>
    <w:rsid w:val="00FE7284"/>
    <w:rsid w:val="00FE7317"/>
    <w:rsid w:val="00FE7459"/>
    <w:rsid w:val="00FE748E"/>
    <w:rsid w:val="00FE7533"/>
    <w:rsid w:val="00FE75FD"/>
    <w:rsid w:val="00FE7623"/>
    <w:rsid w:val="00FE7648"/>
    <w:rsid w:val="00FE7678"/>
    <w:rsid w:val="00FE7702"/>
    <w:rsid w:val="00FE7767"/>
    <w:rsid w:val="00FE782B"/>
    <w:rsid w:val="00FE7894"/>
    <w:rsid w:val="00FE79E4"/>
    <w:rsid w:val="00FE7AC6"/>
    <w:rsid w:val="00FE7B31"/>
    <w:rsid w:val="00FE7C36"/>
    <w:rsid w:val="00FE7C6F"/>
    <w:rsid w:val="00FE7C98"/>
    <w:rsid w:val="00FE7CA3"/>
    <w:rsid w:val="00FE7CF8"/>
    <w:rsid w:val="00FE7D8A"/>
    <w:rsid w:val="00FE7DE6"/>
    <w:rsid w:val="00FE7DE7"/>
    <w:rsid w:val="00FE7E88"/>
    <w:rsid w:val="00FE7E9F"/>
    <w:rsid w:val="00FE7F6D"/>
    <w:rsid w:val="00FE7F9B"/>
    <w:rsid w:val="00FE7FC5"/>
    <w:rsid w:val="00FF00C6"/>
    <w:rsid w:val="00FF0101"/>
    <w:rsid w:val="00FF01FA"/>
    <w:rsid w:val="00FF035B"/>
    <w:rsid w:val="00FF03C8"/>
    <w:rsid w:val="00FF046F"/>
    <w:rsid w:val="00FF049B"/>
    <w:rsid w:val="00FF04C5"/>
    <w:rsid w:val="00FF04FA"/>
    <w:rsid w:val="00FF0552"/>
    <w:rsid w:val="00FF0582"/>
    <w:rsid w:val="00FF080B"/>
    <w:rsid w:val="00FF08B1"/>
    <w:rsid w:val="00FF08DB"/>
    <w:rsid w:val="00FF0915"/>
    <w:rsid w:val="00FF0B1C"/>
    <w:rsid w:val="00FF0B20"/>
    <w:rsid w:val="00FF0B5A"/>
    <w:rsid w:val="00FF0B83"/>
    <w:rsid w:val="00FF0BA5"/>
    <w:rsid w:val="00FF0D5C"/>
    <w:rsid w:val="00FF0D92"/>
    <w:rsid w:val="00FF0DA4"/>
    <w:rsid w:val="00FF0E37"/>
    <w:rsid w:val="00FF0E3B"/>
    <w:rsid w:val="00FF0EC6"/>
    <w:rsid w:val="00FF0F44"/>
    <w:rsid w:val="00FF0FAC"/>
    <w:rsid w:val="00FF112E"/>
    <w:rsid w:val="00FF12AC"/>
    <w:rsid w:val="00FF133B"/>
    <w:rsid w:val="00FF1581"/>
    <w:rsid w:val="00FF1614"/>
    <w:rsid w:val="00FF1616"/>
    <w:rsid w:val="00FF171D"/>
    <w:rsid w:val="00FF1721"/>
    <w:rsid w:val="00FF1783"/>
    <w:rsid w:val="00FF1845"/>
    <w:rsid w:val="00FF1893"/>
    <w:rsid w:val="00FF194C"/>
    <w:rsid w:val="00FF1A23"/>
    <w:rsid w:val="00FF1A38"/>
    <w:rsid w:val="00FF1C71"/>
    <w:rsid w:val="00FF1CFE"/>
    <w:rsid w:val="00FF1D49"/>
    <w:rsid w:val="00FF1F17"/>
    <w:rsid w:val="00FF2065"/>
    <w:rsid w:val="00FF20B4"/>
    <w:rsid w:val="00FF20B7"/>
    <w:rsid w:val="00FF20F0"/>
    <w:rsid w:val="00FF211E"/>
    <w:rsid w:val="00FF21B5"/>
    <w:rsid w:val="00FF21C3"/>
    <w:rsid w:val="00FF2318"/>
    <w:rsid w:val="00FF2443"/>
    <w:rsid w:val="00FF2486"/>
    <w:rsid w:val="00FF24BF"/>
    <w:rsid w:val="00FF24D6"/>
    <w:rsid w:val="00FF250D"/>
    <w:rsid w:val="00FF259D"/>
    <w:rsid w:val="00FF25DA"/>
    <w:rsid w:val="00FF25DE"/>
    <w:rsid w:val="00FF2693"/>
    <w:rsid w:val="00FF2746"/>
    <w:rsid w:val="00FF27BA"/>
    <w:rsid w:val="00FF27E3"/>
    <w:rsid w:val="00FF28C5"/>
    <w:rsid w:val="00FF28EA"/>
    <w:rsid w:val="00FF2951"/>
    <w:rsid w:val="00FF2982"/>
    <w:rsid w:val="00FF2986"/>
    <w:rsid w:val="00FF2A11"/>
    <w:rsid w:val="00FF2A21"/>
    <w:rsid w:val="00FF2AA0"/>
    <w:rsid w:val="00FF2BB2"/>
    <w:rsid w:val="00FF2BD3"/>
    <w:rsid w:val="00FF2CA9"/>
    <w:rsid w:val="00FF2CB2"/>
    <w:rsid w:val="00FF2CDD"/>
    <w:rsid w:val="00FF2D64"/>
    <w:rsid w:val="00FF2DF3"/>
    <w:rsid w:val="00FF2E08"/>
    <w:rsid w:val="00FF2E77"/>
    <w:rsid w:val="00FF2F12"/>
    <w:rsid w:val="00FF2F51"/>
    <w:rsid w:val="00FF2F91"/>
    <w:rsid w:val="00FF2FA2"/>
    <w:rsid w:val="00FF2FB7"/>
    <w:rsid w:val="00FF2FE5"/>
    <w:rsid w:val="00FF308D"/>
    <w:rsid w:val="00FF315B"/>
    <w:rsid w:val="00FF316F"/>
    <w:rsid w:val="00FF3263"/>
    <w:rsid w:val="00FF33CC"/>
    <w:rsid w:val="00FF3444"/>
    <w:rsid w:val="00FF34A3"/>
    <w:rsid w:val="00FF34C1"/>
    <w:rsid w:val="00FF34C8"/>
    <w:rsid w:val="00FF34FC"/>
    <w:rsid w:val="00FF354A"/>
    <w:rsid w:val="00FF35AA"/>
    <w:rsid w:val="00FF3602"/>
    <w:rsid w:val="00FF365C"/>
    <w:rsid w:val="00FF3695"/>
    <w:rsid w:val="00FF3697"/>
    <w:rsid w:val="00FF372A"/>
    <w:rsid w:val="00FF3742"/>
    <w:rsid w:val="00FF381C"/>
    <w:rsid w:val="00FF386E"/>
    <w:rsid w:val="00FF38E6"/>
    <w:rsid w:val="00FF3A1D"/>
    <w:rsid w:val="00FF3AC3"/>
    <w:rsid w:val="00FF3AE2"/>
    <w:rsid w:val="00FF3B26"/>
    <w:rsid w:val="00FF3B55"/>
    <w:rsid w:val="00FF3BA7"/>
    <w:rsid w:val="00FF3BBA"/>
    <w:rsid w:val="00FF3C0B"/>
    <w:rsid w:val="00FF3D20"/>
    <w:rsid w:val="00FF3D36"/>
    <w:rsid w:val="00FF3E60"/>
    <w:rsid w:val="00FF3F6C"/>
    <w:rsid w:val="00FF408A"/>
    <w:rsid w:val="00FF408D"/>
    <w:rsid w:val="00FF40A4"/>
    <w:rsid w:val="00FF4107"/>
    <w:rsid w:val="00FF411E"/>
    <w:rsid w:val="00FF412D"/>
    <w:rsid w:val="00FF427B"/>
    <w:rsid w:val="00FF4292"/>
    <w:rsid w:val="00FF4297"/>
    <w:rsid w:val="00FF42E8"/>
    <w:rsid w:val="00FF42EF"/>
    <w:rsid w:val="00FF433D"/>
    <w:rsid w:val="00FF4435"/>
    <w:rsid w:val="00FF445D"/>
    <w:rsid w:val="00FF447D"/>
    <w:rsid w:val="00FF4515"/>
    <w:rsid w:val="00FF45AC"/>
    <w:rsid w:val="00FF4603"/>
    <w:rsid w:val="00FF469E"/>
    <w:rsid w:val="00FF46C0"/>
    <w:rsid w:val="00FF48CC"/>
    <w:rsid w:val="00FF497E"/>
    <w:rsid w:val="00FF4A8C"/>
    <w:rsid w:val="00FF4B07"/>
    <w:rsid w:val="00FF4B16"/>
    <w:rsid w:val="00FF4B20"/>
    <w:rsid w:val="00FF4BFC"/>
    <w:rsid w:val="00FF4C11"/>
    <w:rsid w:val="00FF4D1D"/>
    <w:rsid w:val="00FF4DAE"/>
    <w:rsid w:val="00FF4E13"/>
    <w:rsid w:val="00FF4E18"/>
    <w:rsid w:val="00FF4EE9"/>
    <w:rsid w:val="00FF4FC4"/>
    <w:rsid w:val="00FF5107"/>
    <w:rsid w:val="00FF5117"/>
    <w:rsid w:val="00FF545E"/>
    <w:rsid w:val="00FF5606"/>
    <w:rsid w:val="00FF56A2"/>
    <w:rsid w:val="00FF56B9"/>
    <w:rsid w:val="00FF579F"/>
    <w:rsid w:val="00FF57C0"/>
    <w:rsid w:val="00FF57E8"/>
    <w:rsid w:val="00FF581E"/>
    <w:rsid w:val="00FF5850"/>
    <w:rsid w:val="00FF58C0"/>
    <w:rsid w:val="00FF592D"/>
    <w:rsid w:val="00FF5948"/>
    <w:rsid w:val="00FF5950"/>
    <w:rsid w:val="00FF59B6"/>
    <w:rsid w:val="00FF59BF"/>
    <w:rsid w:val="00FF59C0"/>
    <w:rsid w:val="00FF5A91"/>
    <w:rsid w:val="00FF5B8D"/>
    <w:rsid w:val="00FF5C15"/>
    <w:rsid w:val="00FF5C88"/>
    <w:rsid w:val="00FF5CA8"/>
    <w:rsid w:val="00FF5E11"/>
    <w:rsid w:val="00FF5E82"/>
    <w:rsid w:val="00FF5ECC"/>
    <w:rsid w:val="00FF5F8C"/>
    <w:rsid w:val="00FF5FAD"/>
    <w:rsid w:val="00FF5FD5"/>
    <w:rsid w:val="00FF6031"/>
    <w:rsid w:val="00FF60CB"/>
    <w:rsid w:val="00FF60D5"/>
    <w:rsid w:val="00FF60EC"/>
    <w:rsid w:val="00FF613E"/>
    <w:rsid w:val="00FF61E7"/>
    <w:rsid w:val="00FF62B1"/>
    <w:rsid w:val="00FF63AA"/>
    <w:rsid w:val="00FF63FD"/>
    <w:rsid w:val="00FF640A"/>
    <w:rsid w:val="00FF6535"/>
    <w:rsid w:val="00FF653C"/>
    <w:rsid w:val="00FF65E2"/>
    <w:rsid w:val="00FF65F8"/>
    <w:rsid w:val="00FF6768"/>
    <w:rsid w:val="00FF685A"/>
    <w:rsid w:val="00FF685E"/>
    <w:rsid w:val="00FF69AB"/>
    <w:rsid w:val="00FF69E3"/>
    <w:rsid w:val="00FF69E4"/>
    <w:rsid w:val="00FF69EE"/>
    <w:rsid w:val="00FF69FE"/>
    <w:rsid w:val="00FF6A34"/>
    <w:rsid w:val="00FF6B71"/>
    <w:rsid w:val="00FF6B74"/>
    <w:rsid w:val="00FF6C1F"/>
    <w:rsid w:val="00FF6C78"/>
    <w:rsid w:val="00FF6CE8"/>
    <w:rsid w:val="00FF6EDF"/>
    <w:rsid w:val="00FF6EEA"/>
    <w:rsid w:val="00FF6EFB"/>
    <w:rsid w:val="00FF6F8B"/>
    <w:rsid w:val="00FF705C"/>
    <w:rsid w:val="00FF7080"/>
    <w:rsid w:val="00FF7150"/>
    <w:rsid w:val="00FF71B9"/>
    <w:rsid w:val="00FF7271"/>
    <w:rsid w:val="00FF7331"/>
    <w:rsid w:val="00FF7377"/>
    <w:rsid w:val="00FF73C3"/>
    <w:rsid w:val="00FF73E3"/>
    <w:rsid w:val="00FF74DE"/>
    <w:rsid w:val="00FF74DF"/>
    <w:rsid w:val="00FF7560"/>
    <w:rsid w:val="00FF7614"/>
    <w:rsid w:val="00FF764A"/>
    <w:rsid w:val="00FF7777"/>
    <w:rsid w:val="00FF77DF"/>
    <w:rsid w:val="00FF782D"/>
    <w:rsid w:val="00FF79E0"/>
    <w:rsid w:val="00FF7A18"/>
    <w:rsid w:val="00FF7A55"/>
    <w:rsid w:val="00FF7A66"/>
    <w:rsid w:val="00FF7A72"/>
    <w:rsid w:val="00FF7AA6"/>
    <w:rsid w:val="00FF7ABB"/>
    <w:rsid w:val="00FF7ABF"/>
    <w:rsid w:val="00FF7B99"/>
    <w:rsid w:val="00FF7BD6"/>
    <w:rsid w:val="00FF7C26"/>
    <w:rsid w:val="00FF7CC2"/>
    <w:rsid w:val="00FF7DEE"/>
    <w:rsid w:val="00FF7E0F"/>
    <w:rsid w:val="00FF7FAE"/>
    <w:rsid w:val="0111FBB7"/>
    <w:rsid w:val="0114ADD0"/>
    <w:rsid w:val="0117CA5B"/>
    <w:rsid w:val="0121002F"/>
    <w:rsid w:val="01270CF4"/>
    <w:rsid w:val="01343F20"/>
    <w:rsid w:val="014A6FC6"/>
    <w:rsid w:val="01505BF4"/>
    <w:rsid w:val="01527C8E"/>
    <w:rsid w:val="015B65C9"/>
    <w:rsid w:val="01754E17"/>
    <w:rsid w:val="01759AC4"/>
    <w:rsid w:val="019643AE"/>
    <w:rsid w:val="01A1C88B"/>
    <w:rsid w:val="01A932F5"/>
    <w:rsid w:val="01AC01B3"/>
    <w:rsid w:val="01AE3BD8"/>
    <w:rsid w:val="01B5DB4F"/>
    <w:rsid w:val="01C052E2"/>
    <w:rsid w:val="01CC7C01"/>
    <w:rsid w:val="01E90363"/>
    <w:rsid w:val="01F00396"/>
    <w:rsid w:val="01F25C3D"/>
    <w:rsid w:val="01F9A261"/>
    <w:rsid w:val="01FA2D0C"/>
    <w:rsid w:val="01FAD6A6"/>
    <w:rsid w:val="01FE1E03"/>
    <w:rsid w:val="020BDCF2"/>
    <w:rsid w:val="02112149"/>
    <w:rsid w:val="02130C82"/>
    <w:rsid w:val="021C06F4"/>
    <w:rsid w:val="021D9A91"/>
    <w:rsid w:val="0223937E"/>
    <w:rsid w:val="0226C6ED"/>
    <w:rsid w:val="022DE219"/>
    <w:rsid w:val="023F80D1"/>
    <w:rsid w:val="0243178A"/>
    <w:rsid w:val="024F7E53"/>
    <w:rsid w:val="02580ABB"/>
    <w:rsid w:val="025ABBDB"/>
    <w:rsid w:val="02618C90"/>
    <w:rsid w:val="0263EE24"/>
    <w:rsid w:val="0264DBD7"/>
    <w:rsid w:val="0265F7BD"/>
    <w:rsid w:val="0269C73C"/>
    <w:rsid w:val="026A234C"/>
    <w:rsid w:val="0272F049"/>
    <w:rsid w:val="02757FD2"/>
    <w:rsid w:val="027CDB1F"/>
    <w:rsid w:val="0280CF54"/>
    <w:rsid w:val="0285D76A"/>
    <w:rsid w:val="02882BDC"/>
    <w:rsid w:val="028B6C81"/>
    <w:rsid w:val="028FBC09"/>
    <w:rsid w:val="0292070F"/>
    <w:rsid w:val="029247EA"/>
    <w:rsid w:val="02960CA4"/>
    <w:rsid w:val="029BB036"/>
    <w:rsid w:val="02A13A94"/>
    <w:rsid w:val="02ABFB32"/>
    <w:rsid w:val="02B2FAEB"/>
    <w:rsid w:val="02B918FD"/>
    <w:rsid w:val="02BBC5F0"/>
    <w:rsid w:val="02BDA2D1"/>
    <w:rsid w:val="02C00522"/>
    <w:rsid w:val="02C05FDA"/>
    <w:rsid w:val="02D19972"/>
    <w:rsid w:val="02DB0C0B"/>
    <w:rsid w:val="0306A5DB"/>
    <w:rsid w:val="0311C4F8"/>
    <w:rsid w:val="03142014"/>
    <w:rsid w:val="031C53E0"/>
    <w:rsid w:val="032680B1"/>
    <w:rsid w:val="032B5F90"/>
    <w:rsid w:val="032EC04D"/>
    <w:rsid w:val="034A5593"/>
    <w:rsid w:val="036268DB"/>
    <w:rsid w:val="0367274F"/>
    <w:rsid w:val="0368C96E"/>
    <w:rsid w:val="0372ACBC"/>
    <w:rsid w:val="037D9BEA"/>
    <w:rsid w:val="037DCE5C"/>
    <w:rsid w:val="03803FC4"/>
    <w:rsid w:val="03854D14"/>
    <w:rsid w:val="038E585B"/>
    <w:rsid w:val="0392803A"/>
    <w:rsid w:val="039AD075"/>
    <w:rsid w:val="03A37E3C"/>
    <w:rsid w:val="03AA8D39"/>
    <w:rsid w:val="03AD87FC"/>
    <w:rsid w:val="03B3C5BF"/>
    <w:rsid w:val="03C5AE38"/>
    <w:rsid w:val="03D55FA6"/>
    <w:rsid w:val="03DBBF2B"/>
    <w:rsid w:val="03DF8DE7"/>
    <w:rsid w:val="03E2232A"/>
    <w:rsid w:val="03E5BBD1"/>
    <w:rsid w:val="03E64B2F"/>
    <w:rsid w:val="03F6B39D"/>
    <w:rsid w:val="03FE6359"/>
    <w:rsid w:val="040B020C"/>
    <w:rsid w:val="040E4D40"/>
    <w:rsid w:val="041FB761"/>
    <w:rsid w:val="04222899"/>
    <w:rsid w:val="0429EA03"/>
    <w:rsid w:val="042A6AFE"/>
    <w:rsid w:val="042B9DBC"/>
    <w:rsid w:val="04418B93"/>
    <w:rsid w:val="0441BF6F"/>
    <w:rsid w:val="044CCA21"/>
    <w:rsid w:val="045119C5"/>
    <w:rsid w:val="04672E42"/>
    <w:rsid w:val="0468C242"/>
    <w:rsid w:val="046B094E"/>
    <w:rsid w:val="04744712"/>
    <w:rsid w:val="048DC568"/>
    <w:rsid w:val="0490563E"/>
    <w:rsid w:val="0493FFD6"/>
    <w:rsid w:val="049C0EE8"/>
    <w:rsid w:val="049D6F42"/>
    <w:rsid w:val="049E0968"/>
    <w:rsid w:val="04A934F9"/>
    <w:rsid w:val="04AA8D9B"/>
    <w:rsid w:val="04B07C8A"/>
    <w:rsid w:val="04B21663"/>
    <w:rsid w:val="04B2789C"/>
    <w:rsid w:val="04B54C35"/>
    <w:rsid w:val="04BAC353"/>
    <w:rsid w:val="04BEDAF0"/>
    <w:rsid w:val="04BEFC80"/>
    <w:rsid w:val="04D82AEF"/>
    <w:rsid w:val="04EE2329"/>
    <w:rsid w:val="050EEDB6"/>
    <w:rsid w:val="050F7ADB"/>
    <w:rsid w:val="051B370A"/>
    <w:rsid w:val="0521AB34"/>
    <w:rsid w:val="0529079E"/>
    <w:rsid w:val="052ABB8A"/>
    <w:rsid w:val="052E4285"/>
    <w:rsid w:val="05347884"/>
    <w:rsid w:val="05348A2F"/>
    <w:rsid w:val="053EDD37"/>
    <w:rsid w:val="054BC082"/>
    <w:rsid w:val="054DD3B2"/>
    <w:rsid w:val="055F0B5D"/>
    <w:rsid w:val="056483FB"/>
    <w:rsid w:val="05672AB9"/>
    <w:rsid w:val="05678247"/>
    <w:rsid w:val="056FE75F"/>
    <w:rsid w:val="0571910F"/>
    <w:rsid w:val="0583159D"/>
    <w:rsid w:val="058AD748"/>
    <w:rsid w:val="059EB7CE"/>
    <w:rsid w:val="05A78359"/>
    <w:rsid w:val="05AB22E5"/>
    <w:rsid w:val="05C850CF"/>
    <w:rsid w:val="05D06862"/>
    <w:rsid w:val="05D66C41"/>
    <w:rsid w:val="05DD9FE9"/>
    <w:rsid w:val="05DEDA9C"/>
    <w:rsid w:val="05E4268B"/>
    <w:rsid w:val="05E80BC4"/>
    <w:rsid w:val="05F39CB6"/>
    <w:rsid w:val="0600377B"/>
    <w:rsid w:val="060609D6"/>
    <w:rsid w:val="060EEAF7"/>
    <w:rsid w:val="06268136"/>
    <w:rsid w:val="0631E3AA"/>
    <w:rsid w:val="06415610"/>
    <w:rsid w:val="064600EA"/>
    <w:rsid w:val="06509ADA"/>
    <w:rsid w:val="0650B9EE"/>
    <w:rsid w:val="0668FA95"/>
    <w:rsid w:val="0675B687"/>
    <w:rsid w:val="0677C769"/>
    <w:rsid w:val="0689BECF"/>
    <w:rsid w:val="068B428A"/>
    <w:rsid w:val="069AE584"/>
    <w:rsid w:val="06A76BF3"/>
    <w:rsid w:val="06C39C30"/>
    <w:rsid w:val="06C4C04F"/>
    <w:rsid w:val="06C61476"/>
    <w:rsid w:val="06CE54C3"/>
    <w:rsid w:val="06E07830"/>
    <w:rsid w:val="06E7E761"/>
    <w:rsid w:val="06EAB7C7"/>
    <w:rsid w:val="06EFBF1E"/>
    <w:rsid w:val="06F26EF0"/>
    <w:rsid w:val="06FB9425"/>
    <w:rsid w:val="06FFA0D9"/>
    <w:rsid w:val="06FFC731"/>
    <w:rsid w:val="07012FD1"/>
    <w:rsid w:val="0701FF77"/>
    <w:rsid w:val="07044D59"/>
    <w:rsid w:val="07079A40"/>
    <w:rsid w:val="07099771"/>
    <w:rsid w:val="07144916"/>
    <w:rsid w:val="071535F2"/>
    <w:rsid w:val="071847D4"/>
    <w:rsid w:val="07288D31"/>
    <w:rsid w:val="073517E2"/>
    <w:rsid w:val="073E5BCB"/>
    <w:rsid w:val="074983A3"/>
    <w:rsid w:val="07555A57"/>
    <w:rsid w:val="07576E99"/>
    <w:rsid w:val="07617E81"/>
    <w:rsid w:val="0768BF17"/>
    <w:rsid w:val="076CCA2A"/>
    <w:rsid w:val="0770CDA2"/>
    <w:rsid w:val="077AD490"/>
    <w:rsid w:val="07802FBF"/>
    <w:rsid w:val="078102E1"/>
    <w:rsid w:val="0788EE54"/>
    <w:rsid w:val="07912E70"/>
    <w:rsid w:val="079398B0"/>
    <w:rsid w:val="0796CEBC"/>
    <w:rsid w:val="07A1CB49"/>
    <w:rsid w:val="07A7E1C9"/>
    <w:rsid w:val="07A86764"/>
    <w:rsid w:val="07AA79CB"/>
    <w:rsid w:val="07ADD7E3"/>
    <w:rsid w:val="07BBEBA5"/>
    <w:rsid w:val="07C5353A"/>
    <w:rsid w:val="07CB05FA"/>
    <w:rsid w:val="07CC4F3D"/>
    <w:rsid w:val="07D3D141"/>
    <w:rsid w:val="07DEC2F7"/>
    <w:rsid w:val="07E1ADA3"/>
    <w:rsid w:val="07E2D5A1"/>
    <w:rsid w:val="07E3F092"/>
    <w:rsid w:val="07F12682"/>
    <w:rsid w:val="07F1B28B"/>
    <w:rsid w:val="0801FCAB"/>
    <w:rsid w:val="080210A5"/>
    <w:rsid w:val="080D93A3"/>
    <w:rsid w:val="081DEA10"/>
    <w:rsid w:val="08273065"/>
    <w:rsid w:val="082DF732"/>
    <w:rsid w:val="08368D29"/>
    <w:rsid w:val="08372765"/>
    <w:rsid w:val="0837FF9C"/>
    <w:rsid w:val="08457F23"/>
    <w:rsid w:val="08493021"/>
    <w:rsid w:val="08493F02"/>
    <w:rsid w:val="084F6B98"/>
    <w:rsid w:val="08507F5A"/>
    <w:rsid w:val="0856C96E"/>
    <w:rsid w:val="0858FB40"/>
    <w:rsid w:val="085D6A0A"/>
    <w:rsid w:val="0862BE31"/>
    <w:rsid w:val="0866FD2A"/>
    <w:rsid w:val="08677AD2"/>
    <w:rsid w:val="0867E53C"/>
    <w:rsid w:val="089AE9EA"/>
    <w:rsid w:val="089BB9EC"/>
    <w:rsid w:val="08A2122B"/>
    <w:rsid w:val="08ABA63D"/>
    <w:rsid w:val="08BA45F8"/>
    <w:rsid w:val="08BBA31D"/>
    <w:rsid w:val="08C03B60"/>
    <w:rsid w:val="08D0F15B"/>
    <w:rsid w:val="08D1AE2E"/>
    <w:rsid w:val="08D92C81"/>
    <w:rsid w:val="08DA53B1"/>
    <w:rsid w:val="08DC07B5"/>
    <w:rsid w:val="08E2CEDA"/>
    <w:rsid w:val="08EBEBC4"/>
    <w:rsid w:val="08FC69E5"/>
    <w:rsid w:val="08FC6A83"/>
    <w:rsid w:val="08FC7EE4"/>
    <w:rsid w:val="090D5090"/>
    <w:rsid w:val="090D52F4"/>
    <w:rsid w:val="091FDF79"/>
    <w:rsid w:val="0922341D"/>
    <w:rsid w:val="0924DBFB"/>
    <w:rsid w:val="0931B97D"/>
    <w:rsid w:val="09383B9D"/>
    <w:rsid w:val="093E90A6"/>
    <w:rsid w:val="094376FF"/>
    <w:rsid w:val="095030FA"/>
    <w:rsid w:val="095433CF"/>
    <w:rsid w:val="09675B43"/>
    <w:rsid w:val="0969BF40"/>
    <w:rsid w:val="096F9C53"/>
    <w:rsid w:val="09753E3E"/>
    <w:rsid w:val="097548E0"/>
    <w:rsid w:val="0978E486"/>
    <w:rsid w:val="0979674F"/>
    <w:rsid w:val="09836077"/>
    <w:rsid w:val="0984C8E7"/>
    <w:rsid w:val="098563E6"/>
    <w:rsid w:val="0998D85E"/>
    <w:rsid w:val="099F31B6"/>
    <w:rsid w:val="09AFE5EB"/>
    <w:rsid w:val="09B1E063"/>
    <w:rsid w:val="09B2904F"/>
    <w:rsid w:val="09B600AA"/>
    <w:rsid w:val="09B837C7"/>
    <w:rsid w:val="09BF1C25"/>
    <w:rsid w:val="09CF1594"/>
    <w:rsid w:val="09D94126"/>
    <w:rsid w:val="09DCE2C4"/>
    <w:rsid w:val="09DD05D6"/>
    <w:rsid w:val="0A0C00D5"/>
    <w:rsid w:val="0A107230"/>
    <w:rsid w:val="0A124E5A"/>
    <w:rsid w:val="0A198AF6"/>
    <w:rsid w:val="0A1C12AC"/>
    <w:rsid w:val="0A241DCD"/>
    <w:rsid w:val="0A24D3A2"/>
    <w:rsid w:val="0A26EBBC"/>
    <w:rsid w:val="0A2ECB14"/>
    <w:rsid w:val="0A2FEC3E"/>
    <w:rsid w:val="0A3D03C8"/>
    <w:rsid w:val="0A439151"/>
    <w:rsid w:val="0A4B8BC5"/>
    <w:rsid w:val="0A4D67E9"/>
    <w:rsid w:val="0A5166C8"/>
    <w:rsid w:val="0A5296EA"/>
    <w:rsid w:val="0A675008"/>
    <w:rsid w:val="0A6756E2"/>
    <w:rsid w:val="0A68B5A3"/>
    <w:rsid w:val="0A756844"/>
    <w:rsid w:val="0A808425"/>
    <w:rsid w:val="0A8236BC"/>
    <w:rsid w:val="0A8FC921"/>
    <w:rsid w:val="0A992A66"/>
    <w:rsid w:val="0AA4B197"/>
    <w:rsid w:val="0AD48E83"/>
    <w:rsid w:val="0AD55D45"/>
    <w:rsid w:val="0AD828F5"/>
    <w:rsid w:val="0AD8E9A1"/>
    <w:rsid w:val="0AEA42BB"/>
    <w:rsid w:val="0AF87D95"/>
    <w:rsid w:val="0AFFCD5A"/>
    <w:rsid w:val="0B021F4F"/>
    <w:rsid w:val="0B08913B"/>
    <w:rsid w:val="0B0C9AE0"/>
    <w:rsid w:val="0B1B4748"/>
    <w:rsid w:val="0B1FD553"/>
    <w:rsid w:val="0B22EF0B"/>
    <w:rsid w:val="0B290586"/>
    <w:rsid w:val="0B2E1BB7"/>
    <w:rsid w:val="0B352FC0"/>
    <w:rsid w:val="0B37138B"/>
    <w:rsid w:val="0B3FB714"/>
    <w:rsid w:val="0B4330C9"/>
    <w:rsid w:val="0B46100E"/>
    <w:rsid w:val="0B47ABA1"/>
    <w:rsid w:val="0B49E411"/>
    <w:rsid w:val="0B4A7145"/>
    <w:rsid w:val="0B4F0D82"/>
    <w:rsid w:val="0B5DD0B0"/>
    <w:rsid w:val="0B659037"/>
    <w:rsid w:val="0B72CCAE"/>
    <w:rsid w:val="0B739192"/>
    <w:rsid w:val="0B7DE28F"/>
    <w:rsid w:val="0B87EE80"/>
    <w:rsid w:val="0B8A7F9D"/>
    <w:rsid w:val="0BA6FF1E"/>
    <w:rsid w:val="0BC253C0"/>
    <w:rsid w:val="0BCD95A2"/>
    <w:rsid w:val="0BCFE0D5"/>
    <w:rsid w:val="0BE61BAF"/>
    <w:rsid w:val="0BFDF751"/>
    <w:rsid w:val="0C01634F"/>
    <w:rsid w:val="0C064296"/>
    <w:rsid w:val="0C09A87E"/>
    <w:rsid w:val="0C10A8F6"/>
    <w:rsid w:val="0C16B9FD"/>
    <w:rsid w:val="0C1B171B"/>
    <w:rsid w:val="0C1D45BF"/>
    <w:rsid w:val="0C238C86"/>
    <w:rsid w:val="0C3D1E2E"/>
    <w:rsid w:val="0C43E38F"/>
    <w:rsid w:val="0C455580"/>
    <w:rsid w:val="0C52E507"/>
    <w:rsid w:val="0C615966"/>
    <w:rsid w:val="0C622A8F"/>
    <w:rsid w:val="0C642094"/>
    <w:rsid w:val="0C6F6A52"/>
    <w:rsid w:val="0C7431A0"/>
    <w:rsid w:val="0C74B6B6"/>
    <w:rsid w:val="0C8179C4"/>
    <w:rsid w:val="0C838AE3"/>
    <w:rsid w:val="0C8DE1D9"/>
    <w:rsid w:val="0CA55DF4"/>
    <w:rsid w:val="0CA66EAC"/>
    <w:rsid w:val="0CA7AF15"/>
    <w:rsid w:val="0CC89321"/>
    <w:rsid w:val="0CCBF0A0"/>
    <w:rsid w:val="0CD8BD6D"/>
    <w:rsid w:val="0CDB8991"/>
    <w:rsid w:val="0CEB83B2"/>
    <w:rsid w:val="0CF47952"/>
    <w:rsid w:val="0CF53E20"/>
    <w:rsid w:val="0CF68692"/>
    <w:rsid w:val="0CF78354"/>
    <w:rsid w:val="0D032742"/>
    <w:rsid w:val="0D11F09A"/>
    <w:rsid w:val="0D16D3FD"/>
    <w:rsid w:val="0D1ACA86"/>
    <w:rsid w:val="0D31DF85"/>
    <w:rsid w:val="0D34AA0E"/>
    <w:rsid w:val="0D351F75"/>
    <w:rsid w:val="0D362E8C"/>
    <w:rsid w:val="0D381F47"/>
    <w:rsid w:val="0D383808"/>
    <w:rsid w:val="0D3856CF"/>
    <w:rsid w:val="0D4120ED"/>
    <w:rsid w:val="0D42BB42"/>
    <w:rsid w:val="0D44B6D4"/>
    <w:rsid w:val="0D479656"/>
    <w:rsid w:val="0D4D5E36"/>
    <w:rsid w:val="0D54DF4A"/>
    <w:rsid w:val="0D5E171B"/>
    <w:rsid w:val="0D6831AB"/>
    <w:rsid w:val="0D697914"/>
    <w:rsid w:val="0D6AE523"/>
    <w:rsid w:val="0D6D45E5"/>
    <w:rsid w:val="0D6F7A86"/>
    <w:rsid w:val="0D79259E"/>
    <w:rsid w:val="0D7A0E87"/>
    <w:rsid w:val="0D808427"/>
    <w:rsid w:val="0D92576A"/>
    <w:rsid w:val="0D9F6D7A"/>
    <w:rsid w:val="0DA4241C"/>
    <w:rsid w:val="0DA56838"/>
    <w:rsid w:val="0DA92643"/>
    <w:rsid w:val="0DAEAFB2"/>
    <w:rsid w:val="0DB08FDE"/>
    <w:rsid w:val="0DB5D2B4"/>
    <w:rsid w:val="0DB6375E"/>
    <w:rsid w:val="0DC8D637"/>
    <w:rsid w:val="0DC9446C"/>
    <w:rsid w:val="0DCA8707"/>
    <w:rsid w:val="0DCFA75E"/>
    <w:rsid w:val="0DD60D7B"/>
    <w:rsid w:val="0DDFE401"/>
    <w:rsid w:val="0DF728C4"/>
    <w:rsid w:val="0E099BE8"/>
    <w:rsid w:val="0E0B6F72"/>
    <w:rsid w:val="0E0B8043"/>
    <w:rsid w:val="0E0FF16F"/>
    <w:rsid w:val="0E1134C5"/>
    <w:rsid w:val="0E1C7534"/>
    <w:rsid w:val="0E1D34FD"/>
    <w:rsid w:val="0E26150E"/>
    <w:rsid w:val="0E2E4FAB"/>
    <w:rsid w:val="0E2FF667"/>
    <w:rsid w:val="0E3C293D"/>
    <w:rsid w:val="0E621146"/>
    <w:rsid w:val="0E624D57"/>
    <w:rsid w:val="0E64CC0F"/>
    <w:rsid w:val="0E79ABCF"/>
    <w:rsid w:val="0E7A3F91"/>
    <w:rsid w:val="0E976AAB"/>
    <w:rsid w:val="0E9C9021"/>
    <w:rsid w:val="0E9E4E56"/>
    <w:rsid w:val="0E9E8951"/>
    <w:rsid w:val="0E9F169C"/>
    <w:rsid w:val="0EA8C2AA"/>
    <w:rsid w:val="0EAC6E7A"/>
    <w:rsid w:val="0EACA35E"/>
    <w:rsid w:val="0EAD3646"/>
    <w:rsid w:val="0EAD4CD3"/>
    <w:rsid w:val="0EB2DAA4"/>
    <w:rsid w:val="0EB53257"/>
    <w:rsid w:val="0EB55E41"/>
    <w:rsid w:val="0EB58ACD"/>
    <w:rsid w:val="0EBE09B4"/>
    <w:rsid w:val="0EC5F795"/>
    <w:rsid w:val="0EC8262F"/>
    <w:rsid w:val="0ED06FB6"/>
    <w:rsid w:val="0ED4D215"/>
    <w:rsid w:val="0EDC3D7B"/>
    <w:rsid w:val="0EE28CBD"/>
    <w:rsid w:val="0EE6337C"/>
    <w:rsid w:val="0EEA84FC"/>
    <w:rsid w:val="0EF81DAB"/>
    <w:rsid w:val="0F0848AE"/>
    <w:rsid w:val="0F0DCEF8"/>
    <w:rsid w:val="0F167B7B"/>
    <w:rsid w:val="0F27EFF4"/>
    <w:rsid w:val="0F2F1742"/>
    <w:rsid w:val="0F2F6EFA"/>
    <w:rsid w:val="0F3CDC4D"/>
    <w:rsid w:val="0F458EF1"/>
    <w:rsid w:val="0F45968E"/>
    <w:rsid w:val="0F4AF7D9"/>
    <w:rsid w:val="0F4EED24"/>
    <w:rsid w:val="0F523E4B"/>
    <w:rsid w:val="0F541197"/>
    <w:rsid w:val="0F5DC55E"/>
    <w:rsid w:val="0F605F01"/>
    <w:rsid w:val="0F63DA2F"/>
    <w:rsid w:val="0F656DC6"/>
    <w:rsid w:val="0F6A363E"/>
    <w:rsid w:val="0F6B750E"/>
    <w:rsid w:val="0F7EC9D3"/>
    <w:rsid w:val="0F8B1412"/>
    <w:rsid w:val="0F93153C"/>
    <w:rsid w:val="0F9ABFEF"/>
    <w:rsid w:val="0FA78C4E"/>
    <w:rsid w:val="0FB09623"/>
    <w:rsid w:val="0FC1933C"/>
    <w:rsid w:val="0FC6DA35"/>
    <w:rsid w:val="0FCECB59"/>
    <w:rsid w:val="0FCF1BA9"/>
    <w:rsid w:val="0FD296AB"/>
    <w:rsid w:val="0FD31AA7"/>
    <w:rsid w:val="0FDCD62F"/>
    <w:rsid w:val="0FF6A317"/>
    <w:rsid w:val="0FF7FADF"/>
    <w:rsid w:val="0FFD33D2"/>
    <w:rsid w:val="10015DCD"/>
    <w:rsid w:val="10042335"/>
    <w:rsid w:val="10049947"/>
    <w:rsid w:val="100572F9"/>
    <w:rsid w:val="10067C70"/>
    <w:rsid w:val="100AF5FC"/>
    <w:rsid w:val="100EEBA6"/>
    <w:rsid w:val="10250283"/>
    <w:rsid w:val="1028CD0A"/>
    <w:rsid w:val="102B5BC0"/>
    <w:rsid w:val="10331F40"/>
    <w:rsid w:val="10359431"/>
    <w:rsid w:val="103AA7DC"/>
    <w:rsid w:val="103E1ECE"/>
    <w:rsid w:val="104251B7"/>
    <w:rsid w:val="104D9FD5"/>
    <w:rsid w:val="1057C9E2"/>
    <w:rsid w:val="106979F1"/>
    <w:rsid w:val="106C20E2"/>
    <w:rsid w:val="108F5263"/>
    <w:rsid w:val="108F7FC2"/>
    <w:rsid w:val="10907938"/>
    <w:rsid w:val="1098457D"/>
    <w:rsid w:val="10ABB1A7"/>
    <w:rsid w:val="10BBDFD8"/>
    <w:rsid w:val="10C33CE7"/>
    <w:rsid w:val="10C68BEA"/>
    <w:rsid w:val="10C8E491"/>
    <w:rsid w:val="10CB7AE3"/>
    <w:rsid w:val="10CBD551"/>
    <w:rsid w:val="10D14621"/>
    <w:rsid w:val="10F1E8C9"/>
    <w:rsid w:val="10F9CBEC"/>
    <w:rsid w:val="10FE03A1"/>
    <w:rsid w:val="110194FA"/>
    <w:rsid w:val="110347A8"/>
    <w:rsid w:val="1107219D"/>
    <w:rsid w:val="110DA309"/>
    <w:rsid w:val="11249FD9"/>
    <w:rsid w:val="11365AF4"/>
    <w:rsid w:val="113A6123"/>
    <w:rsid w:val="113CC5DD"/>
    <w:rsid w:val="114C25F2"/>
    <w:rsid w:val="114FB8BB"/>
    <w:rsid w:val="114FEC79"/>
    <w:rsid w:val="11508A08"/>
    <w:rsid w:val="1159AD41"/>
    <w:rsid w:val="11616C88"/>
    <w:rsid w:val="1170F2A8"/>
    <w:rsid w:val="1175EF26"/>
    <w:rsid w:val="117697C6"/>
    <w:rsid w:val="117BC59E"/>
    <w:rsid w:val="117C7AE2"/>
    <w:rsid w:val="118B826C"/>
    <w:rsid w:val="11A7BCCB"/>
    <w:rsid w:val="11AA2EF4"/>
    <w:rsid w:val="11C3F673"/>
    <w:rsid w:val="11C84A35"/>
    <w:rsid w:val="11CABAC2"/>
    <w:rsid w:val="11D054AA"/>
    <w:rsid w:val="11F00A07"/>
    <w:rsid w:val="11F0342F"/>
    <w:rsid w:val="11F51AC8"/>
    <w:rsid w:val="11FDBA0E"/>
    <w:rsid w:val="12133EEA"/>
    <w:rsid w:val="1215EC2A"/>
    <w:rsid w:val="121AB87F"/>
    <w:rsid w:val="121C3BBB"/>
    <w:rsid w:val="12281DA4"/>
    <w:rsid w:val="122D2870"/>
    <w:rsid w:val="124D667E"/>
    <w:rsid w:val="1253022D"/>
    <w:rsid w:val="125F93C3"/>
    <w:rsid w:val="1265C832"/>
    <w:rsid w:val="1276294A"/>
    <w:rsid w:val="128329F9"/>
    <w:rsid w:val="128AE78D"/>
    <w:rsid w:val="128B93EC"/>
    <w:rsid w:val="128C68D8"/>
    <w:rsid w:val="128DC88E"/>
    <w:rsid w:val="128EBB49"/>
    <w:rsid w:val="12905404"/>
    <w:rsid w:val="12A225FE"/>
    <w:rsid w:val="12A889C3"/>
    <w:rsid w:val="12BB931D"/>
    <w:rsid w:val="12BCDF11"/>
    <w:rsid w:val="12C814A6"/>
    <w:rsid w:val="12C8B4EE"/>
    <w:rsid w:val="12D43E4D"/>
    <w:rsid w:val="12D76D88"/>
    <w:rsid w:val="12DD5CA2"/>
    <w:rsid w:val="12DDF2B9"/>
    <w:rsid w:val="12E145B1"/>
    <w:rsid w:val="12E183F0"/>
    <w:rsid w:val="12F36708"/>
    <w:rsid w:val="12F8A461"/>
    <w:rsid w:val="13061958"/>
    <w:rsid w:val="13140094"/>
    <w:rsid w:val="13326924"/>
    <w:rsid w:val="134089D8"/>
    <w:rsid w:val="134D06BE"/>
    <w:rsid w:val="134D840E"/>
    <w:rsid w:val="13507BC6"/>
    <w:rsid w:val="135DEB3C"/>
    <w:rsid w:val="1360EF97"/>
    <w:rsid w:val="1386137E"/>
    <w:rsid w:val="138735AB"/>
    <w:rsid w:val="13980E65"/>
    <w:rsid w:val="13A0C2EB"/>
    <w:rsid w:val="13B15D73"/>
    <w:rsid w:val="13B34000"/>
    <w:rsid w:val="13B75F56"/>
    <w:rsid w:val="13C0B54D"/>
    <w:rsid w:val="13CF65C5"/>
    <w:rsid w:val="13D43ECE"/>
    <w:rsid w:val="13E3AD6C"/>
    <w:rsid w:val="13E60942"/>
    <w:rsid w:val="13E7BDEA"/>
    <w:rsid w:val="13EEF441"/>
    <w:rsid w:val="13F678BA"/>
    <w:rsid w:val="13FCE137"/>
    <w:rsid w:val="13FD687A"/>
    <w:rsid w:val="13FF0E9C"/>
    <w:rsid w:val="14013A38"/>
    <w:rsid w:val="141F30D2"/>
    <w:rsid w:val="1422A839"/>
    <w:rsid w:val="1422B9A8"/>
    <w:rsid w:val="144AE7B8"/>
    <w:rsid w:val="145029D7"/>
    <w:rsid w:val="1454EB88"/>
    <w:rsid w:val="14592944"/>
    <w:rsid w:val="145B2D48"/>
    <w:rsid w:val="14604688"/>
    <w:rsid w:val="14659E01"/>
    <w:rsid w:val="146BD2B2"/>
    <w:rsid w:val="146CF55B"/>
    <w:rsid w:val="1471954F"/>
    <w:rsid w:val="147F92CE"/>
    <w:rsid w:val="1480CE76"/>
    <w:rsid w:val="14A1EC46"/>
    <w:rsid w:val="14A41FBA"/>
    <w:rsid w:val="14AE0CA6"/>
    <w:rsid w:val="14B78B2D"/>
    <w:rsid w:val="14B7F820"/>
    <w:rsid w:val="14C0E0C0"/>
    <w:rsid w:val="14C11DC8"/>
    <w:rsid w:val="14C6DFF9"/>
    <w:rsid w:val="14CD8410"/>
    <w:rsid w:val="14CE2606"/>
    <w:rsid w:val="14D96623"/>
    <w:rsid w:val="14DE3F48"/>
    <w:rsid w:val="14E3E021"/>
    <w:rsid w:val="14E4B819"/>
    <w:rsid w:val="14EE2E3A"/>
    <w:rsid w:val="14FE74CD"/>
    <w:rsid w:val="1505E84E"/>
    <w:rsid w:val="15066473"/>
    <w:rsid w:val="1508483C"/>
    <w:rsid w:val="1516D2E1"/>
    <w:rsid w:val="151DF61E"/>
    <w:rsid w:val="15257A46"/>
    <w:rsid w:val="152EB4E6"/>
    <w:rsid w:val="1533EAAB"/>
    <w:rsid w:val="153A85CF"/>
    <w:rsid w:val="154C97FF"/>
    <w:rsid w:val="154ECD52"/>
    <w:rsid w:val="154FC75E"/>
    <w:rsid w:val="15533ED4"/>
    <w:rsid w:val="15564EBA"/>
    <w:rsid w:val="155BE7C2"/>
    <w:rsid w:val="15618F04"/>
    <w:rsid w:val="1562DF1D"/>
    <w:rsid w:val="15655D8A"/>
    <w:rsid w:val="15800A53"/>
    <w:rsid w:val="1581422B"/>
    <w:rsid w:val="1583C4EB"/>
    <w:rsid w:val="15858AE6"/>
    <w:rsid w:val="158CF917"/>
    <w:rsid w:val="1592C8D8"/>
    <w:rsid w:val="159E2346"/>
    <w:rsid w:val="15A00BCF"/>
    <w:rsid w:val="15A77C25"/>
    <w:rsid w:val="15AF83D3"/>
    <w:rsid w:val="15C710E1"/>
    <w:rsid w:val="15C94B42"/>
    <w:rsid w:val="15CA6ECC"/>
    <w:rsid w:val="15CE23E4"/>
    <w:rsid w:val="15CEAC8E"/>
    <w:rsid w:val="15CF994A"/>
    <w:rsid w:val="15D770F6"/>
    <w:rsid w:val="15DAFFC6"/>
    <w:rsid w:val="15DD2CBB"/>
    <w:rsid w:val="15DD7114"/>
    <w:rsid w:val="15DFD329"/>
    <w:rsid w:val="15E1859D"/>
    <w:rsid w:val="15E28BB3"/>
    <w:rsid w:val="15E9146A"/>
    <w:rsid w:val="15E98E8F"/>
    <w:rsid w:val="15F503F2"/>
    <w:rsid w:val="15F5AC54"/>
    <w:rsid w:val="16034CF4"/>
    <w:rsid w:val="16043F9D"/>
    <w:rsid w:val="160E2A48"/>
    <w:rsid w:val="162A3381"/>
    <w:rsid w:val="162D2DDA"/>
    <w:rsid w:val="1637A769"/>
    <w:rsid w:val="163ABB16"/>
    <w:rsid w:val="163C8CD9"/>
    <w:rsid w:val="163CBD2A"/>
    <w:rsid w:val="164C2E8B"/>
    <w:rsid w:val="16549F85"/>
    <w:rsid w:val="16554E3F"/>
    <w:rsid w:val="165B62A2"/>
    <w:rsid w:val="1660B721"/>
    <w:rsid w:val="1664DD0B"/>
    <w:rsid w:val="167369AC"/>
    <w:rsid w:val="16775014"/>
    <w:rsid w:val="167D1DE7"/>
    <w:rsid w:val="16835CDD"/>
    <w:rsid w:val="168E9820"/>
    <w:rsid w:val="168FED4B"/>
    <w:rsid w:val="16932B6C"/>
    <w:rsid w:val="1699B731"/>
    <w:rsid w:val="169E8AD3"/>
    <w:rsid w:val="16A46F5F"/>
    <w:rsid w:val="16AB8B98"/>
    <w:rsid w:val="16ABC1A0"/>
    <w:rsid w:val="16AC1C29"/>
    <w:rsid w:val="16AD1F2F"/>
    <w:rsid w:val="16B916CA"/>
    <w:rsid w:val="16BF5425"/>
    <w:rsid w:val="16D40358"/>
    <w:rsid w:val="16DE2F5B"/>
    <w:rsid w:val="16E68698"/>
    <w:rsid w:val="16E79A64"/>
    <w:rsid w:val="16F22CE3"/>
    <w:rsid w:val="16FEB941"/>
    <w:rsid w:val="17005CDC"/>
    <w:rsid w:val="170A92FE"/>
    <w:rsid w:val="1717E888"/>
    <w:rsid w:val="174B6240"/>
    <w:rsid w:val="174F5F87"/>
    <w:rsid w:val="17550944"/>
    <w:rsid w:val="175F95C9"/>
    <w:rsid w:val="1769C9F3"/>
    <w:rsid w:val="176ABD28"/>
    <w:rsid w:val="17746305"/>
    <w:rsid w:val="177B3FD9"/>
    <w:rsid w:val="177BCD1D"/>
    <w:rsid w:val="17824C5F"/>
    <w:rsid w:val="17863441"/>
    <w:rsid w:val="1787E103"/>
    <w:rsid w:val="178D054D"/>
    <w:rsid w:val="178D8869"/>
    <w:rsid w:val="179A2C0C"/>
    <w:rsid w:val="17A074A5"/>
    <w:rsid w:val="17A31EDE"/>
    <w:rsid w:val="17C28FF5"/>
    <w:rsid w:val="17D0861F"/>
    <w:rsid w:val="17D33B22"/>
    <w:rsid w:val="17D7F6D9"/>
    <w:rsid w:val="17DAB097"/>
    <w:rsid w:val="17DF9737"/>
    <w:rsid w:val="17E48AD5"/>
    <w:rsid w:val="17E7ED05"/>
    <w:rsid w:val="17EF26EE"/>
    <w:rsid w:val="17F3CB91"/>
    <w:rsid w:val="17F7DE2F"/>
    <w:rsid w:val="17FE2C92"/>
    <w:rsid w:val="181E3433"/>
    <w:rsid w:val="181E98AE"/>
    <w:rsid w:val="18228395"/>
    <w:rsid w:val="182A6830"/>
    <w:rsid w:val="183640D2"/>
    <w:rsid w:val="18379EC4"/>
    <w:rsid w:val="183C219C"/>
    <w:rsid w:val="18487639"/>
    <w:rsid w:val="18572999"/>
    <w:rsid w:val="1861E51C"/>
    <w:rsid w:val="18640524"/>
    <w:rsid w:val="186694FB"/>
    <w:rsid w:val="186ACE96"/>
    <w:rsid w:val="1871EC8A"/>
    <w:rsid w:val="1871F18F"/>
    <w:rsid w:val="18731F28"/>
    <w:rsid w:val="187568C7"/>
    <w:rsid w:val="188263A7"/>
    <w:rsid w:val="1883896C"/>
    <w:rsid w:val="18869817"/>
    <w:rsid w:val="189075C6"/>
    <w:rsid w:val="1890E854"/>
    <w:rsid w:val="18943798"/>
    <w:rsid w:val="189533CF"/>
    <w:rsid w:val="18A582C0"/>
    <w:rsid w:val="18AF91E4"/>
    <w:rsid w:val="18BB65AD"/>
    <w:rsid w:val="18CE6284"/>
    <w:rsid w:val="18D7054B"/>
    <w:rsid w:val="18E00A31"/>
    <w:rsid w:val="18E767FE"/>
    <w:rsid w:val="18EB5964"/>
    <w:rsid w:val="18F78E54"/>
    <w:rsid w:val="190202DF"/>
    <w:rsid w:val="190B7085"/>
    <w:rsid w:val="190C9C8B"/>
    <w:rsid w:val="1913B2E5"/>
    <w:rsid w:val="1918D93A"/>
    <w:rsid w:val="192D240B"/>
    <w:rsid w:val="194107A6"/>
    <w:rsid w:val="1958668D"/>
    <w:rsid w:val="1973852D"/>
    <w:rsid w:val="19765755"/>
    <w:rsid w:val="197E9A35"/>
    <w:rsid w:val="19824B91"/>
    <w:rsid w:val="1987A1FB"/>
    <w:rsid w:val="1987C7BA"/>
    <w:rsid w:val="199028B0"/>
    <w:rsid w:val="19931CE0"/>
    <w:rsid w:val="199B79EB"/>
    <w:rsid w:val="19A2A5E9"/>
    <w:rsid w:val="19A5C5CF"/>
    <w:rsid w:val="19AC8B03"/>
    <w:rsid w:val="19AD09E0"/>
    <w:rsid w:val="19B24739"/>
    <w:rsid w:val="19BDF357"/>
    <w:rsid w:val="19BE5FA1"/>
    <w:rsid w:val="19D2E835"/>
    <w:rsid w:val="19D941E0"/>
    <w:rsid w:val="19FACE84"/>
    <w:rsid w:val="19FD420A"/>
    <w:rsid w:val="19FFDE1B"/>
    <w:rsid w:val="1A0870B9"/>
    <w:rsid w:val="1A12791B"/>
    <w:rsid w:val="1A19A765"/>
    <w:rsid w:val="1A281D35"/>
    <w:rsid w:val="1A42A0D9"/>
    <w:rsid w:val="1A4B2021"/>
    <w:rsid w:val="1A4B5CB4"/>
    <w:rsid w:val="1A4FA136"/>
    <w:rsid w:val="1A5C3650"/>
    <w:rsid w:val="1A62E807"/>
    <w:rsid w:val="1A650B4F"/>
    <w:rsid w:val="1A705E6B"/>
    <w:rsid w:val="1A7A9905"/>
    <w:rsid w:val="1A7F2E3D"/>
    <w:rsid w:val="1A8176B9"/>
    <w:rsid w:val="1A905127"/>
    <w:rsid w:val="1A9173FF"/>
    <w:rsid w:val="1AA319C4"/>
    <w:rsid w:val="1AAA7560"/>
    <w:rsid w:val="1AB5613F"/>
    <w:rsid w:val="1ABF734B"/>
    <w:rsid w:val="1AC522FD"/>
    <w:rsid w:val="1AD37C82"/>
    <w:rsid w:val="1AD643B9"/>
    <w:rsid w:val="1AD86D18"/>
    <w:rsid w:val="1AE6CDE0"/>
    <w:rsid w:val="1AF1EBAE"/>
    <w:rsid w:val="1AF72A29"/>
    <w:rsid w:val="1AFE009C"/>
    <w:rsid w:val="1B04DA3D"/>
    <w:rsid w:val="1B0DDD2B"/>
    <w:rsid w:val="1B1DF977"/>
    <w:rsid w:val="1B27F20B"/>
    <w:rsid w:val="1B28DB79"/>
    <w:rsid w:val="1B3341F8"/>
    <w:rsid w:val="1B398B86"/>
    <w:rsid w:val="1B3BA70B"/>
    <w:rsid w:val="1B3C3656"/>
    <w:rsid w:val="1B40DEAE"/>
    <w:rsid w:val="1B43F6C3"/>
    <w:rsid w:val="1B46AE1F"/>
    <w:rsid w:val="1B4A916E"/>
    <w:rsid w:val="1B5F040E"/>
    <w:rsid w:val="1B662B34"/>
    <w:rsid w:val="1B6799F8"/>
    <w:rsid w:val="1B6D6DCC"/>
    <w:rsid w:val="1B6E8ECC"/>
    <w:rsid w:val="1B74ED7F"/>
    <w:rsid w:val="1B7A8CD1"/>
    <w:rsid w:val="1B7D5E1D"/>
    <w:rsid w:val="1B7DA20B"/>
    <w:rsid w:val="1B7FBE2E"/>
    <w:rsid w:val="1B83FFE2"/>
    <w:rsid w:val="1B856512"/>
    <w:rsid w:val="1B88680C"/>
    <w:rsid w:val="1B8A36B2"/>
    <w:rsid w:val="1B98CEF3"/>
    <w:rsid w:val="1B9E8546"/>
    <w:rsid w:val="1BA298F7"/>
    <w:rsid w:val="1BAE8BFE"/>
    <w:rsid w:val="1BAFE439"/>
    <w:rsid w:val="1BBFB453"/>
    <w:rsid w:val="1BC4B179"/>
    <w:rsid w:val="1BC4E868"/>
    <w:rsid w:val="1BC641C7"/>
    <w:rsid w:val="1BC753B2"/>
    <w:rsid w:val="1BC7F815"/>
    <w:rsid w:val="1BD01E96"/>
    <w:rsid w:val="1BD06AE6"/>
    <w:rsid w:val="1BD0D27D"/>
    <w:rsid w:val="1BDF16AE"/>
    <w:rsid w:val="1BE530DF"/>
    <w:rsid w:val="1BE8C225"/>
    <w:rsid w:val="1BE9B7C4"/>
    <w:rsid w:val="1BF7FD1B"/>
    <w:rsid w:val="1C042CC1"/>
    <w:rsid w:val="1C06DB14"/>
    <w:rsid w:val="1C0AEF74"/>
    <w:rsid w:val="1C186AAB"/>
    <w:rsid w:val="1C1CBDB1"/>
    <w:rsid w:val="1C2BF3B8"/>
    <w:rsid w:val="1C2D0B76"/>
    <w:rsid w:val="1C2D5885"/>
    <w:rsid w:val="1C32DA92"/>
    <w:rsid w:val="1C37D8E9"/>
    <w:rsid w:val="1C3F9FA0"/>
    <w:rsid w:val="1C4A51D3"/>
    <w:rsid w:val="1C4C124A"/>
    <w:rsid w:val="1C57121A"/>
    <w:rsid w:val="1C579DB8"/>
    <w:rsid w:val="1C5BF42D"/>
    <w:rsid w:val="1C6CA1D7"/>
    <w:rsid w:val="1C6FF194"/>
    <w:rsid w:val="1C7B5117"/>
    <w:rsid w:val="1C84A8C2"/>
    <w:rsid w:val="1C86B4BA"/>
    <w:rsid w:val="1C903881"/>
    <w:rsid w:val="1C98D700"/>
    <w:rsid w:val="1CA1110E"/>
    <w:rsid w:val="1CA822B7"/>
    <w:rsid w:val="1CC343EC"/>
    <w:rsid w:val="1CC6FCDD"/>
    <w:rsid w:val="1CC738AD"/>
    <w:rsid w:val="1CD1ECBB"/>
    <w:rsid w:val="1CDB1FC7"/>
    <w:rsid w:val="1CF013F5"/>
    <w:rsid w:val="1CFD0931"/>
    <w:rsid w:val="1D03364E"/>
    <w:rsid w:val="1D0337BE"/>
    <w:rsid w:val="1D345C3C"/>
    <w:rsid w:val="1D451254"/>
    <w:rsid w:val="1D527126"/>
    <w:rsid w:val="1D54F572"/>
    <w:rsid w:val="1D5E61EE"/>
    <w:rsid w:val="1D61BAFE"/>
    <w:rsid w:val="1D675B0C"/>
    <w:rsid w:val="1D6B5A52"/>
    <w:rsid w:val="1D8121BA"/>
    <w:rsid w:val="1D8591C3"/>
    <w:rsid w:val="1D87862F"/>
    <w:rsid w:val="1D8AFB25"/>
    <w:rsid w:val="1DA31BD0"/>
    <w:rsid w:val="1DA60EC7"/>
    <w:rsid w:val="1DA73506"/>
    <w:rsid w:val="1DAB067A"/>
    <w:rsid w:val="1DB7FA41"/>
    <w:rsid w:val="1DBB84AB"/>
    <w:rsid w:val="1DBF10DD"/>
    <w:rsid w:val="1DC1B738"/>
    <w:rsid w:val="1DC73DFD"/>
    <w:rsid w:val="1DD36162"/>
    <w:rsid w:val="1DD9CAB3"/>
    <w:rsid w:val="1DDC044C"/>
    <w:rsid w:val="1DE5FFF4"/>
    <w:rsid w:val="1DF3D1B6"/>
    <w:rsid w:val="1DF72FEC"/>
    <w:rsid w:val="1DFAEF7D"/>
    <w:rsid w:val="1DFF4D19"/>
    <w:rsid w:val="1E0164CF"/>
    <w:rsid w:val="1E018F4A"/>
    <w:rsid w:val="1E03D5F6"/>
    <w:rsid w:val="1E18AA66"/>
    <w:rsid w:val="1E1F1BDB"/>
    <w:rsid w:val="1E242347"/>
    <w:rsid w:val="1E27A282"/>
    <w:rsid w:val="1E3B25C8"/>
    <w:rsid w:val="1E4C0665"/>
    <w:rsid w:val="1E53D5D9"/>
    <w:rsid w:val="1E53E0FA"/>
    <w:rsid w:val="1E5F9953"/>
    <w:rsid w:val="1E710CDE"/>
    <w:rsid w:val="1E802C34"/>
    <w:rsid w:val="1E853472"/>
    <w:rsid w:val="1E8BA2D1"/>
    <w:rsid w:val="1E900FCC"/>
    <w:rsid w:val="1E909EA6"/>
    <w:rsid w:val="1E92932B"/>
    <w:rsid w:val="1E97B6A4"/>
    <w:rsid w:val="1EA7DA9F"/>
    <w:rsid w:val="1EB1FF69"/>
    <w:rsid w:val="1EBA894A"/>
    <w:rsid w:val="1EBB205B"/>
    <w:rsid w:val="1EBB95CE"/>
    <w:rsid w:val="1ECA94BA"/>
    <w:rsid w:val="1EDAE5C1"/>
    <w:rsid w:val="1EDFB91A"/>
    <w:rsid w:val="1EE4530A"/>
    <w:rsid w:val="1EE63416"/>
    <w:rsid w:val="1EED7BB8"/>
    <w:rsid w:val="1EF2A999"/>
    <w:rsid w:val="1EFA2A64"/>
    <w:rsid w:val="1F10F302"/>
    <w:rsid w:val="1F1940B4"/>
    <w:rsid w:val="1F19E5BB"/>
    <w:rsid w:val="1F1D21CB"/>
    <w:rsid w:val="1F37CFCF"/>
    <w:rsid w:val="1F4531CD"/>
    <w:rsid w:val="1F5B1CF9"/>
    <w:rsid w:val="1F5E268A"/>
    <w:rsid w:val="1F5FB91C"/>
    <w:rsid w:val="1F63780F"/>
    <w:rsid w:val="1F67A0D4"/>
    <w:rsid w:val="1F6E417B"/>
    <w:rsid w:val="1F783B2E"/>
    <w:rsid w:val="1F798193"/>
    <w:rsid w:val="1F88DFD9"/>
    <w:rsid w:val="1F928C7E"/>
    <w:rsid w:val="1F933747"/>
    <w:rsid w:val="1F9E142F"/>
    <w:rsid w:val="1F9F2613"/>
    <w:rsid w:val="1FA21A8E"/>
    <w:rsid w:val="1FA21D8D"/>
    <w:rsid w:val="1FAEE7E6"/>
    <w:rsid w:val="1FB37BEB"/>
    <w:rsid w:val="1FBE716D"/>
    <w:rsid w:val="1FBF02B4"/>
    <w:rsid w:val="1FC95719"/>
    <w:rsid w:val="1FC9ED9F"/>
    <w:rsid w:val="1FCDB841"/>
    <w:rsid w:val="1FE5720A"/>
    <w:rsid w:val="1FF547BB"/>
    <w:rsid w:val="1FF9A060"/>
    <w:rsid w:val="1FFBA17B"/>
    <w:rsid w:val="20022086"/>
    <w:rsid w:val="200FD331"/>
    <w:rsid w:val="20254621"/>
    <w:rsid w:val="204D4EA1"/>
    <w:rsid w:val="20506F6E"/>
    <w:rsid w:val="2056807E"/>
    <w:rsid w:val="2059A97E"/>
    <w:rsid w:val="205AECE5"/>
    <w:rsid w:val="205F3310"/>
    <w:rsid w:val="205FEA0F"/>
    <w:rsid w:val="2063FE94"/>
    <w:rsid w:val="2064BBDF"/>
    <w:rsid w:val="20662A3E"/>
    <w:rsid w:val="2076139F"/>
    <w:rsid w:val="2078C4AE"/>
    <w:rsid w:val="2078ECE7"/>
    <w:rsid w:val="20794A2C"/>
    <w:rsid w:val="20797DA5"/>
    <w:rsid w:val="2080E7C0"/>
    <w:rsid w:val="208F8865"/>
    <w:rsid w:val="209098DD"/>
    <w:rsid w:val="20951CBB"/>
    <w:rsid w:val="209B5CE2"/>
    <w:rsid w:val="209CF730"/>
    <w:rsid w:val="20A6EFB4"/>
    <w:rsid w:val="20BBEDCD"/>
    <w:rsid w:val="20BC800E"/>
    <w:rsid w:val="20C18C36"/>
    <w:rsid w:val="20D35DF7"/>
    <w:rsid w:val="20D7F525"/>
    <w:rsid w:val="20ED3D3B"/>
    <w:rsid w:val="20F69A86"/>
    <w:rsid w:val="21055F4B"/>
    <w:rsid w:val="211654D5"/>
    <w:rsid w:val="21273247"/>
    <w:rsid w:val="2131C339"/>
    <w:rsid w:val="21352C12"/>
    <w:rsid w:val="213BE42B"/>
    <w:rsid w:val="216220C9"/>
    <w:rsid w:val="21666005"/>
    <w:rsid w:val="216CED16"/>
    <w:rsid w:val="21706AB1"/>
    <w:rsid w:val="21768C8D"/>
    <w:rsid w:val="218490C7"/>
    <w:rsid w:val="2186BB85"/>
    <w:rsid w:val="218820A6"/>
    <w:rsid w:val="2188A78B"/>
    <w:rsid w:val="218B5996"/>
    <w:rsid w:val="219267E4"/>
    <w:rsid w:val="219ABD53"/>
    <w:rsid w:val="21AB2859"/>
    <w:rsid w:val="21ACA534"/>
    <w:rsid w:val="21B5A05C"/>
    <w:rsid w:val="21B77AB0"/>
    <w:rsid w:val="21C9E3DB"/>
    <w:rsid w:val="21CB1DAB"/>
    <w:rsid w:val="21CD13D3"/>
    <w:rsid w:val="21D467C5"/>
    <w:rsid w:val="21E840F5"/>
    <w:rsid w:val="21F13D34"/>
    <w:rsid w:val="22086F28"/>
    <w:rsid w:val="2227CA75"/>
    <w:rsid w:val="222EF8A8"/>
    <w:rsid w:val="22329D47"/>
    <w:rsid w:val="2232B064"/>
    <w:rsid w:val="2238C311"/>
    <w:rsid w:val="223D7465"/>
    <w:rsid w:val="22465112"/>
    <w:rsid w:val="224C8F61"/>
    <w:rsid w:val="224D6BCD"/>
    <w:rsid w:val="2263751C"/>
    <w:rsid w:val="226B335F"/>
    <w:rsid w:val="2273FC0D"/>
    <w:rsid w:val="2280D6B6"/>
    <w:rsid w:val="2297C756"/>
    <w:rsid w:val="22A090F3"/>
    <w:rsid w:val="22AAC5B8"/>
    <w:rsid w:val="22AE9204"/>
    <w:rsid w:val="22BD3A0E"/>
    <w:rsid w:val="22C49601"/>
    <w:rsid w:val="22CF29EE"/>
    <w:rsid w:val="22D37607"/>
    <w:rsid w:val="22DA0914"/>
    <w:rsid w:val="22E74F66"/>
    <w:rsid w:val="22F9787A"/>
    <w:rsid w:val="23047F45"/>
    <w:rsid w:val="23093B40"/>
    <w:rsid w:val="230F25F2"/>
    <w:rsid w:val="2315C906"/>
    <w:rsid w:val="2319C0D8"/>
    <w:rsid w:val="232AD79F"/>
    <w:rsid w:val="23403AC1"/>
    <w:rsid w:val="23406919"/>
    <w:rsid w:val="2353DB99"/>
    <w:rsid w:val="2377F8E1"/>
    <w:rsid w:val="238463E9"/>
    <w:rsid w:val="23878F4E"/>
    <w:rsid w:val="238D2EC7"/>
    <w:rsid w:val="23917082"/>
    <w:rsid w:val="23975AA1"/>
    <w:rsid w:val="239BC7ED"/>
    <w:rsid w:val="239D129C"/>
    <w:rsid w:val="23A70FBC"/>
    <w:rsid w:val="23ACD0AE"/>
    <w:rsid w:val="23B7AA23"/>
    <w:rsid w:val="23BBF949"/>
    <w:rsid w:val="23BCAA80"/>
    <w:rsid w:val="23C290A7"/>
    <w:rsid w:val="23C53CFD"/>
    <w:rsid w:val="23D271C2"/>
    <w:rsid w:val="23D7F661"/>
    <w:rsid w:val="23DFBA0C"/>
    <w:rsid w:val="23E1ABC4"/>
    <w:rsid w:val="23E56808"/>
    <w:rsid w:val="23ECE7B6"/>
    <w:rsid w:val="23EEB74B"/>
    <w:rsid w:val="23F4042F"/>
    <w:rsid w:val="2403B821"/>
    <w:rsid w:val="24063459"/>
    <w:rsid w:val="24084697"/>
    <w:rsid w:val="241FDDA0"/>
    <w:rsid w:val="24249555"/>
    <w:rsid w:val="242B4CF8"/>
    <w:rsid w:val="242C8C5E"/>
    <w:rsid w:val="243B6663"/>
    <w:rsid w:val="24414E20"/>
    <w:rsid w:val="24438040"/>
    <w:rsid w:val="244794B2"/>
    <w:rsid w:val="2448408F"/>
    <w:rsid w:val="2448DBFD"/>
    <w:rsid w:val="24496223"/>
    <w:rsid w:val="2454A370"/>
    <w:rsid w:val="24662701"/>
    <w:rsid w:val="246EB821"/>
    <w:rsid w:val="2472D10F"/>
    <w:rsid w:val="247CC0B5"/>
    <w:rsid w:val="24801788"/>
    <w:rsid w:val="24844CCC"/>
    <w:rsid w:val="248812C1"/>
    <w:rsid w:val="2490A2BE"/>
    <w:rsid w:val="249672F9"/>
    <w:rsid w:val="24A0ECA0"/>
    <w:rsid w:val="24A2550F"/>
    <w:rsid w:val="24AA0932"/>
    <w:rsid w:val="24B77E4A"/>
    <w:rsid w:val="24B7F5CF"/>
    <w:rsid w:val="24B83A4C"/>
    <w:rsid w:val="24C4A92D"/>
    <w:rsid w:val="24D0890A"/>
    <w:rsid w:val="24D2C2B7"/>
    <w:rsid w:val="24D2FF0B"/>
    <w:rsid w:val="24D39DB7"/>
    <w:rsid w:val="24E57981"/>
    <w:rsid w:val="24ED7B8A"/>
    <w:rsid w:val="24F20BD8"/>
    <w:rsid w:val="24F49E83"/>
    <w:rsid w:val="24FB13CF"/>
    <w:rsid w:val="251583CD"/>
    <w:rsid w:val="2521CB0E"/>
    <w:rsid w:val="25259A5F"/>
    <w:rsid w:val="253C090D"/>
    <w:rsid w:val="253D7589"/>
    <w:rsid w:val="2542C1FB"/>
    <w:rsid w:val="25465C39"/>
    <w:rsid w:val="2546FC69"/>
    <w:rsid w:val="254C3BCF"/>
    <w:rsid w:val="25522732"/>
    <w:rsid w:val="255C8376"/>
    <w:rsid w:val="2568E28F"/>
    <w:rsid w:val="257068F8"/>
    <w:rsid w:val="257A039A"/>
    <w:rsid w:val="25858753"/>
    <w:rsid w:val="2588C4C4"/>
    <w:rsid w:val="258E4DCC"/>
    <w:rsid w:val="2595697F"/>
    <w:rsid w:val="25A12D96"/>
    <w:rsid w:val="25A5ADD0"/>
    <w:rsid w:val="25B3755A"/>
    <w:rsid w:val="25B501D5"/>
    <w:rsid w:val="25C5E5CA"/>
    <w:rsid w:val="25D06ADB"/>
    <w:rsid w:val="25D086BD"/>
    <w:rsid w:val="25E1928C"/>
    <w:rsid w:val="25F38B09"/>
    <w:rsid w:val="25F8967E"/>
    <w:rsid w:val="2610BAA9"/>
    <w:rsid w:val="2616AF5C"/>
    <w:rsid w:val="261ED35A"/>
    <w:rsid w:val="2625FC78"/>
    <w:rsid w:val="2626710E"/>
    <w:rsid w:val="262CE6A5"/>
    <w:rsid w:val="262E35CF"/>
    <w:rsid w:val="26447837"/>
    <w:rsid w:val="2649B3DA"/>
    <w:rsid w:val="2650228A"/>
    <w:rsid w:val="2674AFD3"/>
    <w:rsid w:val="26775D12"/>
    <w:rsid w:val="26779A6E"/>
    <w:rsid w:val="267D0937"/>
    <w:rsid w:val="26809D99"/>
    <w:rsid w:val="26854499"/>
    <w:rsid w:val="269FD645"/>
    <w:rsid w:val="26AF138E"/>
    <w:rsid w:val="26B26CC9"/>
    <w:rsid w:val="26B6EEEC"/>
    <w:rsid w:val="26B9E7FF"/>
    <w:rsid w:val="26C078FA"/>
    <w:rsid w:val="26C6A5F6"/>
    <w:rsid w:val="26CF155B"/>
    <w:rsid w:val="26DBEBAE"/>
    <w:rsid w:val="26DCE04E"/>
    <w:rsid w:val="26EE6FE0"/>
    <w:rsid w:val="26F2B81D"/>
    <w:rsid w:val="26FF3F23"/>
    <w:rsid w:val="26FFF722"/>
    <w:rsid w:val="27182F37"/>
    <w:rsid w:val="272775AD"/>
    <w:rsid w:val="27395E71"/>
    <w:rsid w:val="274BF911"/>
    <w:rsid w:val="274C2115"/>
    <w:rsid w:val="274D6A5B"/>
    <w:rsid w:val="275ADA41"/>
    <w:rsid w:val="27668310"/>
    <w:rsid w:val="276D79B7"/>
    <w:rsid w:val="2777A271"/>
    <w:rsid w:val="277C4A83"/>
    <w:rsid w:val="277D00C3"/>
    <w:rsid w:val="277E9DBC"/>
    <w:rsid w:val="27858650"/>
    <w:rsid w:val="278C8CEC"/>
    <w:rsid w:val="278F4047"/>
    <w:rsid w:val="278FD07D"/>
    <w:rsid w:val="2799D34E"/>
    <w:rsid w:val="279A4D61"/>
    <w:rsid w:val="279DCEEE"/>
    <w:rsid w:val="27AE1871"/>
    <w:rsid w:val="27BB0EA2"/>
    <w:rsid w:val="27BE4359"/>
    <w:rsid w:val="27BF657F"/>
    <w:rsid w:val="27C25CDC"/>
    <w:rsid w:val="27C8755B"/>
    <w:rsid w:val="27D0BFC6"/>
    <w:rsid w:val="27D1D463"/>
    <w:rsid w:val="27E17675"/>
    <w:rsid w:val="27EABE27"/>
    <w:rsid w:val="27FADA82"/>
    <w:rsid w:val="27FF09D5"/>
    <w:rsid w:val="27FFEF04"/>
    <w:rsid w:val="2802D1F0"/>
    <w:rsid w:val="2802EB2F"/>
    <w:rsid w:val="2804E154"/>
    <w:rsid w:val="2805E1A4"/>
    <w:rsid w:val="280DBB5F"/>
    <w:rsid w:val="2819A502"/>
    <w:rsid w:val="2825F4CD"/>
    <w:rsid w:val="28277351"/>
    <w:rsid w:val="2829581F"/>
    <w:rsid w:val="282C61B8"/>
    <w:rsid w:val="283A17A1"/>
    <w:rsid w:val="2845ADF2"/>
    <w:rsid w:val="28611A38"/>
    <w:rsid w:val="2868F955"/>
    <w:rsid w:val="286A2973"/>
    <w:rsid w:val="28785263"/>
    <w:rsid w:val="287A2D7C"/>
    <w:rsid w:val="287B964A"/>
    <w:rsid w:val="287DD5BD"/>
    <w:rsid w:val="2880849A"/>
    <w:rsid w:val="288B4950"/>
    <w:rsid w:val="2890CC2D"/>
    <w:rsid w:val="28919926"/>
    <w:rsid w:val="2891AC66"/>
    <w:rsid w:val="28954362"/>
    <w:rsid w:val="28A0F48F"/>
    <w:rsid w:val="28A88571"/>
    <w:rsid w:val="28B29E9D"/>
    <w:rsid w:val="28BD0C07"/>
    <w:rsid w:val="28BDC923"/>
    <w:rsid w:val="28C17070"/>
    <w:rsid w:val="28CB15BF"/>
    <w:rsid w:val="28D301D1"/>
    <w:rsid w:val="28DC85B1"/>
    <w:rsid w:val="28DFB3B7"/>
    <w:rsid w:val="28E4F71F"/>
    <w:rsid w:val="28E72730"/>
    <w:rsid w:val="28EDE86F"/>
    <w:rsid w:val="28F1828D"/>
    <w:rsid w:val="28FFF0DB"/>
    <w:rsid w:val="2901CE25"/>
    <w:rsid w:val="290838C7"/>
    <w:rsid w:val="290B77E6"/>
    <w:rsid w:val="290E13F1"/>
    <w:rsid w:val="291A92B3"/>
    <w:rsid w:val="291C57C6"/>
    <w:rsid w:val="292BB9AA"/>
    <w:rsid w:val="292ED72E"/>
    <w:rsid w:val="293552CC"/>
    <w:rsid w:val="293A5720"/>
    <w:rsid w:val="293AC6B5"/>
    <w:rsid w:val="293B8B1D"/>
    <w:rsid w:val="293BF17C"/>
    <w:rsid w:val="29546401"/>
    <w:rsid w:val="295935D8"/>
    <w:rsid w:val="296161E5"/>
    <w:rsid w:val="29703011"/>
    <w:rsid w:val="29712D5A"/>
    <w:rsid w:val="2971D250"/>
    <w:rsid w:val="29730E31"/>
    <w:rsid w:val="29772534"/>
    <w:rsid w:val="298DB4A7"/>
    <w:rsid w:val="29922A58"/>
    <w:rsid w:val="299719B8"/>
    <w:rsid w:val="29A7BD73"/>
    <w:rsid w:val="29ABFF2D"/>
    <w:rsid w:val="29BA8875"/>
    <w:rsid w:val="29BC9E3D"/>
    <w:rsid w:val="29BF1DCD"/>
    <w:rsid w:val="29C54C6A"/>
    <w:rsid w:val="29CA9E6B"/>
    <w:rsid w:val="29CC04EA"/>
    <w:rsid w:val="29D3F9A1"/>
    <w:rsid w:val="29D99D70"/>
    <w:rsid w:val="29DC4EF1"/>
    <w:rsid w:val="29E28538"/>
    <w:rsid w:val="29F2CDEE"/>
    <w:rsid w:val="29F805D8"/>
    <w:rsid w:val="2A16479D"/>
    <w:rsid w:val="2A252B9C"/>
    <w:rsid w:val="2A2D0158"/>
    <w:rsid w:val="2A3A21B2"/>
    <w:rsid w:val="2A3DE226"/>
    <w:rsid w:val="2A3EE757"/>
    <w:rsid w:val="2A49AA38"/>
    <w:rsid w:val="2A52FC7B"/>
    <w:rsid w:val="2A551A10"/>
    <w:rsid w:val="2A615C05"/>
    <w:rsid w:val="2A61C66D"/>
    <w:rsid w:val="2A6CA7A4"/>
    <w:rsid w:val="2A73C34D"/>
    <w:rsid w:val="2A768AFB"/>
    <w:rsid w:val="2A797464"/>
    <w:rsid w:val="2A798E20"/>
    <w:rsid w:val="2A7D607A"/>
    <w:rsid w:val="2A838AEE"/>
    <w:rsid w:val="2A89C99B"/>
    <w:rsid w:val="2A8AC672"/>
    <w:rsid w:val="2A8C8032"/>
    <w:rsid w:val="2A9000C9"/>
    <w:rsid w:val="2AAD8040"/>
    <w:rsid w:val="2AB9E7E9"/>
    <w:rsid w:val="2AC3BDFA"/>
    <w:rsid w:val="2ACF7C6C"/>
    <w:rsid w:val="2AD4F053"/>
    <w:rsid w:val="2AE50E9D"/>
    <w:rsid w:val="2AE8A2C7"/>
    <w:rsid w:val="2AF625A4"/>
    <w:rsid w:val="2AFABC75"/>
    <w:rsid w:val="2B02CCB6"/>
    <w:rsid w:val="2B02FFA7"/>
    <w:rsid w:val="2B1C809A"/>
    <w:rsid w:val="2B1E8F88"/>
    <w:rsid w:val="2B1F8812"/>
    <w:rsid w:val="2B21E496"/>
    <w:rsid w:val="2B23A7C2"/>
    <w:rsid w:val="2B25EDA0"/>
    <w:rsid w:val="2B267238"/>
    <w:rsid w:val="2B289B25"/>
    <w:rsid w:val="2B34120D"/>
    <w:rsid w:val="2B3A4AE7"/>
    <w:rsid w:val="2B3F6F82"/>
    <w:rsid w:val="2B4D2849"/>
    <w:rsid w:val="2B5E7010"/>
    <w:rsid w:val="2B603940"/>
    <w:rsid w:val="2B63645D"/>
    <w:rsid w:val="2B69B453"/>
    <w:rsid w:val="2B6EF2F8"/>
    <w:rsid w:val="2B707822"/>
    <w:rsid w:val="2B7ADB57"/>
    <w:rsid w:val="2B7D1E6F"/>
    <w:rsid w:val="2B8D3472"/>
    <w:rsid w:val="2B9A3808"/>
    <w:rsid w:val="2BA3AC0D"/>
    <w:rsid w:val="2BA535FB"/>
    <w:rsid w:val="2BAEF71F"/>
    <w:rsid w:val="2BB569CB"/>
    <w:rsid w:val="2BB9CCA7"/>
    <w:rsid w:val="2BBDDB05"/>
    <w:rsid w:val="2BC55C40"/>
    <w:rsid w:val="2BD12A4C"/>
    <w:rsid w:val="2BDA2A92"/>
    <w:rsid w:val="2BF178FA"/>
    <w:rsid w:val="2BF3C433"/>
    <w:rsid w:val="2BFB2475"/>
    <w:rsid w:val="2BFB8807"/>
    <w:rsid w:val="2C004E85"/>
    <w:rsid w:val="2C0DE644"/>
    <w:rsid w:val="2C0E964C"/>
    <w:rsid w:val="2C11CEA9"/>
    <w:rsid w:val="2C13BC46"/>
    <w:rsid w:val="2C14CE51"/>
    <w:rsid w:val="2C1901F6"/>
    <w:rsid w:val="2C21F94F"/>
    <w:rsid w:val="2C273E50"/>
    <w:rsid w:val="2C2967F5"/>
    <w:rsid w:val="2C2E2FE3"/>
    <w:rsid w:val="2C32A6AB"/>
    <w:rsid w:val="2C33D570"/>
    <w:rsid w:val="2C376143"/>
    <w:rsid w:val="2C439DB8"/>
    <w:rsid w:val="2C4516E1"/>
    <w:rsid w:val="2C4B1FE9"/>
    <w:rsid w:val="2C571D6A"/>
    <w:rsid w:val="2C5C24FE"/>
    <w:rsid w:val="2C66E0EB"/>
    <w:rsid w:val="2C6E4EC2"/>
    <w:rsid w:val="2C8C2C63"/>
    <w:rsid w:val="2C938F27"/>
    <w:rsid w:val="2C9893CA"/>
    <w:rsid w:val="2CAEB106"/>
    <w:rsid w:val="2CB9E900"/>
    <w:rsid w:val="2CC56353"/>
    <w:rsid w:val="2CC79B2E"/>
    <w:rsid w:val="2CC849C6"/>
    <w:rsid w:val="2CD0A614"/>
    <w:rsid w:val="2CE0E543"/>
    <w:rsid w:val="2CE3C4CF"/>
    <w:rsid w:val="2CE471A4"/>
    <w:rsid w:val="2CEFEDDC"/>
    <w:rsid w:val="2D0675C7"/>
    <w:rsid w:val="2D172E72"/>
    <w:rsid w:val="2D23F49A"/>
    <w:rsid w:val="2D2A6EB0"/>
    <w:rsid w:val="2D35E03E"/>
    <w:rsid w:val="2D39869F"/>
    <w:rsid w:val="2D53F89F"/>
    <w:rsid w:val="2D5462CF"/>
    <w:rsid w:val="2D688ABF"/>
    <w:rsid w:val="2D6E4556"/>
    <w:rsid w:val="2D749DB9"/>
    <w:rsid w:val="2D74A0D8"/>
    <w:rsid w:val="2DA31AD0"/>
    <w:rsid w:val="2DA62CF7"/>
    <w:rsid w:val="2DAB0D97"/>
    <w:rsid w:val="2DAF85B7"/>
    <w:rsid w:val="2DC55EB9"/>
    <w:rsid w:val="2DC98559"/>
    <w:rsid w:val="2DCB529D"/>
    <w:rsid w:val="2DCEFE97"/>
    <w:rsid w:val="2DD03836"/>
    <w:rsid w:val="2DD05C60"/>
    <w:rsid w:val="2DD2728F"/>
    <w:rsid w:val="2DD64DC4"/>
    <w:rsid w:val="2DD6C0D9"/>
    <w:rsid w:val="2DE156A9"/>
    <w:rsid w:val="2DE205DB"/>
    <w:rsid w:val="2DE5E71D"/>
    <w:rsid w:val="2DEB709B"/>
    <w:rsid w:val="2DF569F5"/>
    <w:rsid w:val="2DF68F1D"/>
    <w:rsid w:val="2E1C615C"/>
    <w:rsid w:val="2E1D991C"/>
    <w:rsid w:val="2E1DE33D"/>
    <w:rsid w:val="2E28912A"/>
    <w:rsid w:val="2E2EB7D4"/>
    <w:rsid w:val="2E302200"/>
    <w:rsid w:val="2E53576F"/>
    <w:rsid w:val="2E5B7C6A"/>
    <w:rsid w:val="2E611FD1"/>
    <w:rsid w:val="2E679C1B"/>
    <w:rsid w:val="2E7E8AFE"/>
    <w:rsid w:val="2E98F442"/>
    <w:rsid w:val="2E9B7F5D"/>
    <w:rsid w:val="2EA2C0C6"/>
    <w:rsid w:val="2EAAB040"/>
    <w:rsid w:val="2EB6FC20"/>
    <w:rsid w:val="2EBE3AF7"/>
    <w:rsid w:val="2EBE41AD"/>
    <w:rsid w:val="2EC30537"/>
    <w:rsid w:val="2EC7936F"/>
    <w:rsid w:val="2ECA1473"/>
    <w:rsid w:val="2EFF0DDD"/>
    <w:rsid w:val="2F05A9AB"/>
    <w:rsid w:val="2F082FCB"/>
    <w:rsid w:val="2F0DFB52"/>
    <w:rsid w:val="2F22D99B"/>
    <w:rsid w:val="2F292620"/>
    <w:rsid w:val="2F2D4106"/>
    <w:rsid w:val="2F454176"/>
    <w:rsid w:val="2F4A4D2E"/>
    <w:rsid w:val="2F608C13"/>
    <w:rsid w:val="2F6529FC"/>
    <w:rsid w:val="2F6FB637"/>
    <w:rsid w:val="2F7B3251"/>
    <w:rsid w:val="2F7FC3B0"/>
    <w:rsid w:val="2F8AF5CB"/>
    <w:rsid w:val="2F8BAA0E"/>
    <w:rsid w:val="2F8CEAB2"/>
    <w:rsid w:val="2F8FD486"/>
    <w:rsid w:val="2F92ED25"/>
    <w:rsid w:val="2F9FFDF4"/>
    <w:rsid w:val="2FA358C0"/>
    <w:rsid w:val="2FA5968A"/>
    <w:rsid w:val="2FA6B4E1"/>
    <w:rsid w:val="2FA6E180"/>
    <w:rsid w:val="2FA787C1"/>
    <w:rsid w:val="2FB30400"/>
    <w:rsid w:val="2FBD794F"/>
    <w:rsid w:val="2FBDD1A0"/>
    <w:rsid w:val="2FBFC53D"/>
    <w:rsid w:val="2FC567B5"/>
    <w:rsid w:val="2FD4809D"/>
    <w:rsid w:val="2FD7EAAA"/>
    <w:rsid w:val="2FDE6D32"/>
    <w:rsid w:val="2FE94E49"/>
    <w:rsid w:val="2FEA0214"/>
    <w:rsid w:val="2FF6B743"/>
    <w:rsid w:val="2FFEA1D1"/>
    <w:rsid w:val="3000CAD6"/>
    <w:rsid w:val="3018CABD"/>
    <w:rsid w:val="30225B7C"/>
    <w:rsid w:val="3022AD6C"/>
    <w:rsid w:val="302C5996"/>
    <w:rsid w:val="302D6596"/>
    <w:rsid w:val="3030DBC7"/>
    <w:rsid w:val="3034400E"/>
    <w:rsid w:val="3034AB65"/>
    <w:rsid w:val="3034B120"/>
    <w:rsid w:val="30452630"/>
    <w:rsid w:val="305BADF8"/>
    <w:rsid w:val="306F8496"/>
    <w:rsid w:val="30702AAA"/>
    <w:rsid w:val="3075A932"/>
    <w:rsid w:val="307CF3AD"/>
    <w:rsid w:val="3080A5BC"/>
    <w:rsid w:val="3084679B"/>
    <w:rsid w:val="3087BBB8"/>
    <w:rsid w:val="3089DFF1"/>
    <w:rsid w:val="308B97FD"/>
    <w:rsid w:val="309486D8"/>
    <w:rsid w:val="309CF44A"/>
    <w:rsid w:val="30A846C3"/>
    <w:rsid w:val="30AE2660"/>
    <w:rsid w:val="30B80EDB"/>
    <w:rsid w:val="30BBF3F8"/>
    <w:rsid w:val="30BE47E9"/>
    <w:rsid w:val="30C3BB2D"/>
    <w:rsid w:val="30C6B598"/>
    <w:rsid w:val="30C9788D"/>
    <w:rsid w:val="30E2E24A"/>
    <w:rsid w:val="30F471DF"/>
    <w:rsid w:val="30F699D4"/>
    <w:rsid w:val="3110470C"/>
    <w:rsid w:val="3110D2B9"/>
    <w:rsid w:val="311627FF"/>
    <w:rsid w:val="311DE1D9"/>
    <w:rsid w:val="3124A98B"/>
    <w:rsid w:val="3125A1B6"/>
    <w:rsid w:val="312AC9A7"/>
    <w:rsid w:val="312F9A9E"/>
    <w:rsid w:val="31302B92"/>
    <w:rsid w:val="3148C5C9"/>
    <w:rsid w:val="3158F811"/>
    <w:rsid w:val="315E074D"/>
    <w:rsid w:val="31665344"/>
    <w:rsid w:val="31673583"/>
    <w:rsid w:val="31683094"/>
    <w:rsid w:val="316B897E"/>
    <w:rsid w:val="316D5F5E"/>
    <w:rsid w:val="317F9397"/>
    <w:rsid w:val="3181F434"/>
    <w:rsid w:val="31888E2F"/>
    <w:rsid w:val="3192CF3A"/>
    <w:rsid w:val="319D0ACF"/>
    <w:rsid w:val="319D8CC3"/>
    <w:rsid w:val="31A47C63"/>
    <w:rsid w:val="31AFCC93"/>
    <w:rsid w:val="31B2E06F"/>
    <w:rsid w:val="31B7716A"/>
    <w:rsid w:val="31B9F27F"/>
    <w:rsid w:val="31CD086F"/>
    <w:rsid w:val="31D33610"/>
    <w:rsid w:val="31D889B5"/>
    <w:rsid w:val="31DFF77B"/>
    <w:rsid w:val="31E29865"/>
    <w:rsid w:val="31E64AF9"/>
    <w:rsid w:val="31F109D4"/>
    <w:rsid w:val="31F1AEB1"/>
    <w:rsid w:val="320092A3"/>
    <w:rsid w:val="320A9839"/>
    <w:rsid w:val="320D32F6"/>
    <w:rsid w:val="321246AD"/>
    <w:rsid w:val="3214777F"/>
    <w:rsid w:val="322B5E99"/>
    <w:rsid w:val="322D37FC"/>
    <w:rsid w:val="32405A82"/>
    <w:rsid w:val="3240994E"/>
    <w:rsid w:val="324ACB7D"/>
    <w:rsid w:val="324BA227"/>
    <w:rsid w:val="3254DCEB"/>
    <w:rsid w:val="325842AC"/>
    <w:rsid w:val="325EAE25"/>
    <w:rsid w:val="326A4D55"/>
    <w:rsid w:val="3271E775"/>
    <w:rsid w:val="3274199E"/>
    <w:rsid w:val="32836281"/>
    <w:rsid w:val="3287A85C"/>
    <w:rsid w:val="328C5198"/>
    <w:rsid w:val="3294A100"/>
    <w:rsid w:val="3297F46F"/>
    <w:rsid w:val="32A90D97"/>
    <w:rsid w:val="32ADF74D"/>
    <w:rsid w:val="32AF53D9"/>
    <w:rsid w:val="32B08984"/>
    <w:rsid w:val="32C3F3BB"/>
    <w:rsid w:val="32CA83F0"/>
    <w:rsid w:val="32EA21FF"/>
    <w:rsid w:val="32F9A255"/>
    <w:rsid w:val="3313CA61"/>
    <w:rsid w:val="331845B4"/>
    <w:rsid w:val="331938E9"/>
    <w:rsid w:val="331C2E41"/>
    <w:rsid w:val="331D292E"/>
    <w:rsid w:val="331DFED2"/>
    <w:rsid w:val="3326A424"/>
    <w:rsid w:val="332BC0C2"/>
    <w:rsid w:val="3343E982"/>
    <w:rsid w:val="334477D3"/>
    <w:rsid w:val="3350F110"/>
    <w:rsid w:val="3354105E"/>
    <w:rsid w:val="33609B25"/>
    <w:rsid w:val="336C75F7"/>
    <w:rsid w:val="3372E2B5"/>
    <w:rsid w:val="3381D733"/>
    <w:rsid w:val="3384CE83"/>
    <w:rsid w:val="3387D23E"/>
    <w:rsid w:val="338CB5E2"/>
    <w:rsid w:val="339261E9"/>
    <w:rsid w:val="339461BA"/>
    <w:rsid w:val="33ACD9BA"/>
    <w:rsid w:val="33AD6566"/>
    <w:rsid w:val="33AE3E38"/>
    <w:rsid w:val="33B55AAF"/>
    <w:rsid w:val="33B64F87"/>
    <w:rsid w:val="33BF98AA"/>
    <w:rsid w:val="33C5E6D2"/>
    <w:rsid w:val="33E244DB"/>
    <w:rsid w:val="33E29C03"/>
    <w:rsid w:val="33F3838F"/>
    <w:rsid w:val="33F869C3"/>
    <w:rsid w:val="3409329E"/>
    <w:rsid w:val="340B22B9"/>
    <w:rsid w:val="340BDF80"/>
    <w:rsid w:val="3414BA19"/>
    <w:rsid w:val="341A6B1A"/>
    <w:rsid w:val="341F5DA8"/>
    <w:rsid w:val="34205903"/>
    <w:rsid w:val="3420CFE4"/>
    <w:rsid w:val="34258DE7"/>
    <w:rsid w:val="342BEE90"/>
    <w:rsid w:val="3438147A"/>
    <w:rsid w:val="343B6186"/>
    <w:rsid w:val="344D89D0"/>
    <w:rsid w:val="3467BBD7"/>
    <w:rsid w:val="346D9680"/>
    <w:rsid w:val="3493AB72"/>
    <w:rsid w:val="34A3CD29"/>
    <w:rsid w:val="34AF8EC1"/>
    <w:rsid w:val="34AFAF32"/>
    <w:rsid w:val="34B2F3A8"/>
    <w:rsid w:val="34BC172F"/>
    <w:rsid w:val="34BEBE31"/>
    <w:rsid w:val="34C4DB8C"/>
    <w:rsid w:val="34D0CE40"/>
    <w:rsid w:val="34E5D105"/>
    <w:rsid w:val="3505E3C3"/>
    <w:rsid w:val="351146AA"/>
    <w:rsid w:val="35115B9F"/>
    <w:rsid w:val="3512C935"/>
    <w:rsid w:val="351DD590"/>
    <w:rsid w:val="352111C2"/>
    <w:rsid w:val="3526B8F9"/>
    <w:rsid w:val="3528E0C5"/>
    <w:rsid w:val="3530D92E"/>
    <w:rsid w:val="3543AA89"/>
    <w:rsid w:val="3548DD77"/>
    <w:rsid w:val="354AEF5F"/>
    <w:rsid w:val="35579EA9"/>
    <w:rsid w:val="35645967"/>
    <w:rsid w:val="356D6FFC"/>
    <w:rsid w:val="356DECE8"/>
    <w:rsid w:val="3576F927"/>
    <w:rsid w:val="357955CA"/>
    <w:rsid w:val="35892632"/>
    <w:rsid w:val="3589F36D"/>
    <w:rsid w:val="35A198BA"/>
    <w:rsid w:val="35B39DE8"/>
    <w:rsid w:val="35CCB781"/>
    <w:rsid w:val="35CF057E"/>
    <w:rsid w:val="35DC2110"/>
    <w:rsid w:val="35DF1030"/>
    <w:rsid w:val="35F8093D"/>
    <w:rsid w:val="35FB29F1"/>
    <w:rsid w:val="35FC4C00"/>
    <w:rsid w:val="3600BD7C"/>
    <w:rsid w:val="36024D16"/>
    <w:rsid w:val="36084C4F"/>
    <w:rsid w:val="3609EF6C"/>
    <w:rsid w:val="360E6D7D"/>
    <w:rsid w:val="36133330"/>
    <w:rsid w:val="361ADECD"/>
    <w:rsid w:val="36214C73"/>
    <w:rsid w:val="363A693D"/>
    <w:rsid w:val="36422E8A"/>
    <w:rsid w:val="3642C12F"/>
    <w:rsid w:val="364719F7"/>
    <w:rsid w:val="364C252B"/>
    <w:rsid w:val="364DD91B"/>
    <w:rsid w:val="36515456"/>
    <w:rsid w:val="36569C03"/>
    <w:rsid w:val="368B4A8D"/>
    <w:rsid w:val="3699415E"/>
    <w:rsid w:val="369E9F74"/>
    <w:rsid w:val="36A067C5"/>
    <w:rsid w:val="36A14652"/>
    <w:rsid w:val="36A187B1"/>
    <w:rsid w:val="36A36CE1"/>
    <w:rsid w:val="36A542E6"/>
    <w:rsid w:val="36BB8F99"/>
    <w:rsid w:val="36C28213"/>
    <w:rsid w:val="36D5FBEA"/>
    <w:rsid w:val="36F6498A"/>
    <w:rsid w:val="36F6DF81"/>
    <w:rsid w:val="36FB70DB"/>
    <w:rsid w:val="36FF374A"/>
    <w:rsid w:val="370058B8"/>
    <w:rsid w:val="370A03F4"/>
    <w:rsid w:val="370D0510"/>
    <w:rsid w:val="3711AC86"/>
    <w:rsid w:val="371969EA"/>
    <w:rsid w:val="371E0FD0"/>
    <w:rsid w:val="3726FDCA"/>
    <w:rsid w:val="372E8DE5"/>
    <w:rsid w:val="372FFEBB"/>
    <w:rsid w:val="3732BFB7"/>
    <w:rsid w:val="373337C1"/>
    <w:rsid w:val="37374FFF"/>
    <w:rsid w:val="373AA2F9"/>
    <w:rsid w:val="373DD967"/>
    <w:rsid w:val="3740E773"/>
    <w:rsid w:val="374E8692"/>
    <w:rsid w:val="37586208"/>
    <w:rsid w:val="377595EF"/>
    <w:rsid w:val="37802816"/>
    <w:rsid w:val="3787BB21"/>
    <w:rsid w:val="378DB9D2"/>
    <w:rsid w:val="37993ACD"/>
    <w:rsid w:val="379D5CE4"/>
    <w:rsid w:val="37A14C72"/>
    <w:rsid w:val="37A53F77"/>
    <w:rsid w:val="37A5C940"/>
    <w:rsid w:val="37AC6004"/>
    <w:rsid w:val="37B2C7D1"/>
    <w:rsid w:val="37C1CD51"/>
    <w:rsid w:val="37CBD458"/>
    <w:rsid w:val="37CE744B"/>
    <w:rsid w:val="37E26CD5"/>
    <w:rsid w:val="37E81CAA"/>
    <w:rsid w:val="37EB81A4"/>
    <w:rsid w:val="37F2CCC0"/>
    <w:rsid w:val="37F6EC79"/>
    <w:rsid w:val="37F700A1"/>
    <w:rsid w:val="37F8F478"/>
    <w:rsid w:val="37FB69FB"/>
    <w:rsid w:val="3800790D"/>
    <w:rsid w:val="3804921F"/>
    <w:rsid w:val="3807319D"/>
    <w:rsid w:val="38180C40"/>
    <w:rsid w:val="382355F0"/>
    <w:rsid w:val="38268D42"/>
    <w:rsid w:val="382B0F2C"/>
    <w:rsid w:val="38326B44"/>
    <w:rsid w:val="38428F1B"/>
    <w:rsid w:val="3845A997"/>
    <w:rsid w:val="3846CB27"/>
    <w:rsid w:val="384F36B8"/>
    <w:rsid w:val="3851BA50"/>
    <w:rsid w:val="385D8FA3"/>
    <w:rsid w:val="38603214"/>
    <w:rsid w:val="3860D12D"/>
    <w:rsid w:val="387E40BC"/>
    <w:rsid w:val="387EF040"/>
    <w:rsid w:val="388A0D31"/>
    <w:rsid w:val="38926165"/>
    <w:rsid w:val="38AA4829"/>
    <w:rsid w:val="38B026C1"/>
    <w:rsid w:val="38BEC4D6"/>
    <w:rsid w:val="38C2DE0B"/>
    <w:rsid w:val="38C46D6D"/>
    <w:rsid w:val="38C57756"/>
    <w:rsid w:val="38D3110C"/>
    <w:rsid w:val="38E34B29"/>
    <w:rsid w:val="38E4AEAB"/>
    <w:rsid w:val="38E54C6D"/>
    <w:rsid w:val="38EA16E0"/>
    <w:rsid w:val="38F1B626"/>
    <w:rsid w:val="38F249E6"/>
    <w:rsid w:val="3902E8CE"/>
    <w:rsid w:val="3906A1B2"/>
    <w:rsid w:val="390DBF4C"/>
    <w:rsid w:val="393B33FA"/>
    <w:rsid w:val="394B6938"/>
    <w:rsid w:val="394C3EEF"/>
    <w:rsid w:val="395217DD"/>
    <w:rsid w:val="39559336"/>
    <w:rsid w:val="395D1082"/>
    <w:rsid w:val="395EA287"/>
    <w:rsid w:val="39843630"/>
    <w:rsid w:val="398C3605"/>
    <w:rsid w:val="398E4B8C"/>
    <w:rsid w:val="3992972E"/>
    <w:rsid w:val="3994C7F6"/>
    <w:rsid w:val="3996FAA3"/>
    <w:rsid w:val="39983754"/>
    <w:rsid w:val="399891E7"/>
    <w:rsid w:val="3999CBD4"/>
    <w:rsid w:val="39AB283D"/>
    <w:rsid w:val="39AD78A9"/>
    <w:rsid w:val="39B15E2A"/>
    <w:rsid w:val="39B2D3BD"/>
    <w:rsid w:val="39B60957"/>
    <w:rsid w:val="39B81338"/>
    <w:rsid w:val="39C04E47"/>
    <w:rsid w:val="39DBC26E"/>
    <w:rsid w:val="39DC9C38"/>
    <w:rsid w:val="39E9DB99"/>
    <w:rsid w:val="39F9B0C6"/>
    <w:rsid w:val="39FC0BF0"/>
    <w:rsid w:val="3A06EB21"/>
    <w:rsid w:val="3A07E186"/>
    <w:rsid w:val="3A084C0D"/>
    <w:rsid w:val="3A1452C0"/>
    <w:rsid w:val="3A17BF56"/>
    <w:rsid w:val="3A1AB3A9"/>
    <w:rsid w:val="3A1E9FE8"/>
    <w:rsid w:val="3A2CE0F5"/>
    <w:rsid w:val="3A3BD21D"/>
    <w:rsid w:val="3A40C6EE"/>
    <w:rsid w:val="3A42BBC0"/>
    <w:rsid w:val="3A4C5D20"/>
    <w:rsid w:val="3A532116"/>
    <w:rsid w:val="3A56B88C"/>
    <w:rsid w:val="3A58D19B"/>
    <w:rsid w:val="3A5B50BC"/>
    <w:rsid w:val="3A6332FE"/>
    <w:rsid w:val="3A6623E0"/>
    <w:rsid w:val="3A67BA8C"/>
    <w:rsid w:val="3A7BBF9B"/>
    <w:rsid w:val="3A8ADD7A"/>
    <w:rsid w:val="3AC4BD16"/>
    <w:rsid w:val="3AC98CDC"/>
    <w:rsid w:val="3AC99FCC"/>
    <w:rsid w:val="3AD361FE"/>
    <w:rsid w:val="3AD5384F"/>
    <w:rsid w:val="3ADB3759"/>
    <w:rsid w:val="3ADFDB3E"/>
    <w:rsid w:val="3AE8317A"/>
    <w:rsid w:val="3AF74093"/>
    <w:rsid w:val="3AFA2B89"/>
    <w:rsid w:val="3AFD238E"/>
    <w:rsid w:val="3B049837"/>
    <w:rsid w:val="3B173ED7"/>
    <w:rsid w:val="3B1908FB"/>
    <w:rsid w:val="3B275FD2"/>
    <w:rsid w:val="3B3E96A4"/>
    <w:rsid w:val="3B41E0BD"/>
    <w:rsid w:val="3B510350"/>
    <w:rsid w:val="3B52BA46"/>
    <w:rsid w:val="3B52D362"/>
    <w:rsid w:val="3B5617F8"/>
    <w:rsid w:val="3B56A5B1"/>
    <w:rsid w:val="3B5C8DC0"/>
    <w:rsid w:val="3B5E5DFB"/>
    <w:rsid w:val="3B626B70"/>
    <w:rsid w:val="3B6676D1"/>
    <w:rsid w:val="3B6EB988"/>
    <w:rsid w:val="3B6ECB5E"/>
    <w:rsid w:val="3B702B50"/>
    <w:rsid w:val="3B71D667"/>
    <w:rsid w:val="3B728BA6"/>
    <w:rsid w:val="3B7493DA"/>
    <w:rsid w:val="3B8403B3"/>
    <w:rsid w:val="3B884A77"/>
    <w:rsid w:val="3B88AE64"/>
    <w:rsid w:val="3B9C2979"/>
    <w:rsid w:val="3BA6CEAA"/>
    <w:rsid w:val="3BAEFD72"/>
    <w:rsid w:val="3BB44D0F"/>
    <w:rsid w:val="3BBBCC9D"/>
    <w:rsid w:val="3BCD052E"/>
    <w:rsid w:val="3BD7AA04"/>
    <w:rsid w:val="3BDE8AD7"/>
    <w:rsid w:val="3BF0D573"/>
    <w:rsid w:val="3BF55FF6"/>
    <w:rsid w:val="3BFA3000"/>
    <w:rsid w:val="3BFC88CE"/>
    <w:rsid w:val="3C06BDB8"/>
    <w:rsid w:val="3C13C08B"/>
    <w:rsid w:val="3C140EA4"/>
    <w:rsid w:val="3C2AB8A4"/>
    <w:rsid w:val="3C3FAE6E"/>
    <w:rsid w:val="3C4AC9B2"/>
    <w:rsid w:val="3C4BFE14"/>
    <w:rsid w:val="3C4D7B8A"/>
    <w:rsid w:val="3C52EFD3"/>
    <w:rsid w:val="3C5DD32D"/>
    <w:rsid w:val="3C62672E"/>
    <w:rsid w:val="3C6283FA"/>
    <w:rsid w:val="3C7B6CA9"/>
    <w:rsid w:val="3C86D85A"/>
    <w:rsid w:val="3C93D7A4"/>
    <w:rsid w:val="3C99333B"/>
    <w:rsid w:val="3C9D2348"/>
    <w:rsid w:val="3CB9F2ED"/>
    <w:rsid w:val="3CBC08E5"/>
    <w:rsid w:val="3CC3CDAB"/>
    <w:rsid w:val="3CE4E6E1"/>
    <w:rsid w:val="3CEE35DE"/>
    <w:rsid w:val="3CF78BA6"/>
    <w:rsid w:val="3D0B6C0D"/>
    <w:rsid w:val="3D0DB488"/>
    <w:rsid w:val="3D1BB4D3"/>
    <w:rsid w:val="3D300AF0"/>
    <w:rsid w:val="3D316B1F"/>
    <w:rsid w:val="3D36E6FA"/>
    <w:rsid w:val="3D39AF63"/>
    <w:rsid w:val="3D3B6884"/>
    <w:rsid w:val="3D4B9AC9"/>
    <w:rsid w:val="3D4EEA2E"/>
    <w:rsid w:val="3D5A2F3F"/>
    <w:rsid w:val="3D5FA260"/>
    <w:rsid w:val="3D5FE77D"/>
    <w:rsid w:val="3D657CE2"/>
    <w:rsid w:val="3D6808D3"/>
    <w:rsid w:val="3D6A4224"/>
    <w:rsid w:val="3D6A4C5A"/>
    <w:rsid w:val="3D6EB55D"/>
    <w:rsid w:val="3D795EFF"/>
    <w:rsid w:val="3D9752AB"/>
    <w:rsid w:val="3D98B597"/>
    <w:rsid w:val="3D9D9052"/>
    <w:rsid w:val="3D9E385C"/>
    <w:rsid w:val="3DA64190"/>
    <w:rsid w:val="3DC67F1B"/>
    <w:rsid w:val="3DC6BAE4"/>
    <w:rsid w:val="3DE47348"/>
    <w:rsid w:val="3DE48F2E"/>
    <w:rsid w:val="3DE7D3C3"/>
    <w:rsid w:val="3DF28F55"/>
    <w:rsid w:val="3DF842BC"/>
    <w:rsid w:val="3E005CF5"/>
    <w:rsid w:val="3E109C35"/>
    <w:rsid w:val="3E29311F"/>
    <w:rsid w:val="3E3DD698"/>
    <w:rsid w:val="3E41FCA2"/>
    <w:rsid w:val="3E5E6D08"/>
    <w:rsid w:val="3E60F5B6"/>
    <w:rsid w:val="3E8EC127"/>
    <w:rsid w:val="3E999E8E"/>
    <w:rsid w:val="3EA3ADFA"/>
    <w:rsid w:val="3EA63779"/>
    <w:rsid w:val="3EACB218"/>
    <w:rsid w:val="3EBC4903"/>
    <w:rsid w:val="3EC0CB34"/>
    <w:rsid w:val="3EC3363C"/>
    <w:rsid w:val="3ED2A643"/>
    <w:rsid w:val="3ED4B556"/>
    <w:rsid w:val="3ED80451"/>
    <w:rsid w:val="3ED8B64C"/>
    <w:rsid w:val="3EE46638"/>
    <w:rsid w:val="3EEA67B3"/>
    <w:rsid w:val="3EEDF8CA"/>
    <w:rsid w:val="3EFA9035"/>
    <w:rsid w:val="3F073C88"/>
    <w:rsid w:val="3F1B0842"/>
    <w:rsid w:val="3F1C50BD"/>
    <w:rsid w:val="3F2022E3"/>
    <w:rsid w:val="3F25103C"/>
    <w:rsid w:val="3F290D61"/>
    <w:rsid w:val="3F2C928E"/>
    <w:rsid w:val="3F3460A6"/>
    <w:rsid w:val="3F3B86F0"/>
    <w:rsid w:val="3F3DC2BA"/>
    <w:rsid w:val="3F49723C"/>
    <w:rsid w:val="3F5618E4"/>
    <w:rsid w:val="3F59903E"/>
    <w:rsid w:val="3F64645A"/>
    <w:rsid w:val="3F691449"/>
    <w:rsid w:val="3F6F62A5"/>
    <w:rsid w:val="3F71A5B2"/>
    <w:rsid w:val="3F71A836"/>
    <w:rsid w:val="3F7213A0"/>
    <w:rsid w:val="3F772328"/>
    <w:rsid w:val="3F7BE7A5"/>
    <w:rsid w:val="3F80F1AA"/>
    <w:rsid w:val="3FA7A907"/>
    <w:rsid w:val="3FB5C4F2"/>
    <w:rsid w:val="3FC1EEE4"/>
    <w:rsid w:val="3FCFCE24"/>
    <w:rsid w:val="3FD00FA6"/>
    <w:rsid w:val="3FD0CEF5"/>
    <w:rsid w:val="3FE41710"/>
    <w:rsid w:val="40024D40"/>
    <w:rsid w:val="4005203B"/>
    <w:rsid w:val="400BC56D"/>
    <w:rsid w:val="401F8E55"/>
    <w:rsid w:val="40266CBE"/>
    <w:rsid w:val="402F6A21"/>
    <w:rsid w:val="40370F1E"/>
    <w:rsid w:val="4044D7F7"/>
    <w:rsid w:val="404A508C"/>
    <w:rsid w:val="404D8602"/>
    <w:rsid w:val="4053A0B9"/>
    <w:rsid w:val="4061CE6F"/>
    <w:rsid w:val="406866A7"/>
    <w:rsid w:val="406C0E42"/>
    <w:rsid w:val="406C9957"/>
    <w:rsid w:val="40738361"/>
    <w:rsid w:val="4078FA39"/>
    <w:rsid w:val="407DB175"/>
    <w:rsid w:val="40950792"/>
    <w:rsid w:val="40997B81"/>
    <w:rsid w:val="40ADE192"/>
    <w:rsid w:val="40B79BFB"/>
    <w:rsid w:val="40C7A804"/>
    <w:rsid w:val="40CF106A"/>
    <w:rsid w:val="40D41CEF"/>
    <w:rsid w:val="40DAC074"/>
    <w:rsid w:val="40E51FE3"/>
    <w:rsid w:val="40E918F7"/>
    <w:rsid w:val="40F1B79C"/>
    <w:rsid w:val="40FE5EB8"/>
    <w:rsid w:val="4113BF40"/>
    <w:rsid w:val="4119908B"/>
    <w:rsid w:val="412660C9"/>
    <w:rsid w:val="412A87C1"/>
    <w:rsid w:val="412ABC45"/>
    <w:rsid w:val="412F23FF"/>
    <w:rsid w:val="4133DED0"/>
    <w:rsid w:val="41366F27"/>
    <w:rsid w:val="414712EE"/>
    <w:rsid w:val="414C387E"/>
    <w:rsid w:val="414F10CE"/>
    <w:rsid w:val="4151F21F"/>
    <w:rsid w:val="4155065D"/>
    <w:rsid w:val="415B59DD"/>
    <w:rsid w:val="416CF3E3"/>
    <w:rsid w:val="41700B4F"/>
    <w:rsid w:val="417DE68C"/>
    <w:rsid w:val="41926C92"/>
    <w:rsid w:val="419502CA"/>
    <w:rsid w:val="4196C877"/>
    <w:rsid w:val="419A01A4"/>
    <w:rsid w:val="419B677B"/>
    <w:rsid w:val="41B2C8A0"/>
    <w:rsid w:val="41B4E60A"/>
    <w:rsid w:val="41BB8294"/>
    <w:rsid w:val="41BD17F2"/>
    <w:rsid w:val="41D3E315"/>
    <w:rsid w:val="41D92551"/>
    <w:rsid w:val="41E48AB8"/>
    <w:rsid w:val="41EB9C6C"/>
    <w:rsid w:val="42026A10"/>
    <w:rsid w:val="4208724D"/>
    <w:rsid w:val="420BD8A9"/>
    <w:rsid w:val="4216102E"/>
    <w:rsid w:val="42178FF3"/>
    <w:rsid w:val="421897FF"/>
    <w:rsid w:val="42193A52"/>
    <w:rsid w:val="422101F8"/>
    <w:rsid w:val="422ABEC5"/>
    <w:rsid w:val="422F8B0A"/>
    <w:rsid w:val="4236A7BC"/>
    <w:rsid w:val="423997C5"/>
    <w:rsid w:val="423AE5C2"/>
    <w:rsid w:val="42488A58"/>
    <w:rsid w:val="424FC6FA"/>
    <w:rsid w:val="42520AEA"/>
    <w:rsid w:val="425790A9"/>
    <w:rsid w:val="42613E11"/>
    <w:rsid w:val="426A28F4"/>
    <w:rsid w:val="426A7C83"/>
    <w:rsid w:val="42719D63"/>
    <w:rsid w:val="427273FC"/>
    <w:rsid w:val="429D677F"/>
    <w:rsid w:val="42A0F35E"/>
    <w:rsid w:val="42A24290"/>
    <w:rsid w:val="42A49C00"/>
    <w:rsid w:val="42AB249C"/>
    <w:rsid w:val="42BBA266"/>
    <w:rsid w:val="42BE8DE2"/>
    <w:rsid w:val="42CF98DA"/>
    <w:rsid w:val="42F1C421"/>
    <w:rsid w:val="43008E90"/>
    <w:rsid w:val="4305EFD3"/>
    <w:rsid w:val="43083FFE"/>
    <w:rsid w:val="43085F6B"/>
    <w:rsid w:val="430FD3BB"/>
    <w:rsid w:val="43174980"/>
    <w:rsid w:val="43210317"/>
    <w:rsid w:val="432323F5"/>
    <w:rsid w:val="4325449B"/>
    <w:rsid w:val="432E84CA"/>
    <w:rsid w:val="433350E7"/>
    <w:rsid w:val="433CE74E"/>
    <w:rsid w:val="434CCE09"/>
    <w:rsid w:val="434D02AA"/>
    <w:rsid w:val="4353C652"/>
    <w:rsid w:val="4354FA15"/>
    <w:rsid w:val="43632363"/>
    <w:rsid w:val="436CE7F5"/>
    <w:rsid w:val="437F4F20"/>
    <w:rsid w:val="43879507"/>
    <w:rsid w:val="4388632A"/>
    <w:rsid w:val="438BCD9D"/>
    <w:rsid w:val="4394E779"/>
    <w:rsid w:val="4396E076"/>
    <w:rsid w:val="43A5BE7C"/>
    <w:rsid w:val="43BDB767"/>
    <w:rsid w:val="43C7AC1F"/>
    <w:rsid w:val="43CF7F58"/>
    <w:rsid w:val="43D9A6AA"/>
    <w:rsid w:val="43DB4B1F"/>
    <w:rsid w:val="43E2522C"/>
    <w:rsid w:val="43FCB203"/>
    <w:rsid w:val="440A3BCA"/>
    <w:rsid w:val="440BF756"/>
    <w:rsid w:val="44154B27"/>
    <w:rsid w:val="441DB53F"/>
    <w:rsid w:val="442437FE"/>
    <w:rsid w:val="444374B4"/>
    <w:rsid w:val="444438AF"/>
    <w:rsid w:val="445360D7"/>
    <w:rsid w:val="4465B7B0"/>
    <w:rsid w:val="446B0191"/>
    <w:rsid w:val="446F102D"/>
    <w:rsid w:val="4471A24A"/>
    <w:rsid w:val="44765591"/>
    <w:rsid w:val="447F1E7B"/>
    <w:rsid w:val="4485BEB6"/>
    <w:rsid w:val="448C16EE"/>
    <w:rsid w:val="448D41D7"/>
    <w:rsid w:val="448EE50D"/>
    <w:rsid w:val="44A05CCB"/>
    <w:rsid w:val="44ABED19"/>
    <w:rsid w:val="44C552DE"/>
    <w:rsid w:val="44C80672"/>
    <w:rsid w:val="44E46CBC"/>
    <w:rsid w:val="44F0FA1C"/>
    <w:rsid w:val="44F77908"/>
    <w:rsid w:val="44FDA556"/>
    <w:rsid w:val="450058D1"/>
    <w:rsid w:val="450EE890"/>
    <w:rsid w:val="4514797E"/>
    <w:rsid w:val="451BF9E2"/>
    <w:rsid w:val="45240958"/>
    <w:rsid w:val="4525F40A"/>
    <w:rsid w:val="452DA53B"/>
    <w:rsid w:val="45349EAA"/>
    <w:rsid w:val="453A2FE5"/>
    <w:rsid w:val="453FE684"/>
    <w:rsid w:val="45429500"/>
    <w:rsid w:val="454FE67E"/>
    <w:rsid w:val="4553135C"/>
    <w:rsid w:val="4556A1FD"/>
    <w:rsid w:val="4556E81A"/>
    <w:rsid w:val="4559323F"/>
    <w:rsid w:val="455A45F1"/>
    <w:rsid w:val="455BC5AE"/>
    <w:rsid w:val="456338B6"/>
    <w:rsid w:val="4564B365"/>
    <w:rsid w:val="456D6BE6"/>
    <w:rsid w:val="457994FD"/>
    <w:rsid w:val="457C3311"/>
    <w:rsid w:val="458042BA"/>
    <w:rsid w:val="458908BA"/>
    <w:rsid w:val="458AF694"/>
    <w:rsid w:val="458E369C"/>
    <w:rsid w:val="458E5484"/>
    <w:rsid w:val="4593534B"/>
    <w:rsid w:val="45A1E94D"/>
    <w:rsid w:val="45A207DA"/>
    <w:rsid w:val="45A3D1DA"/>
    <w:rsid w:val="45B260E7"/>
    <w:rsid w:val="45B3C91C"/>
    <w:rsid w:val="45B410BB"/>
    <w:rsid w:val="45B9ABCA"/>
    <w:rsid w:val="45BB77C5"/>
    <w:rsid w:val="45C3E08B"/>
    <w:rsid w:val="45CCED90"/>
    <w:rsid w:val="45CDA5C0"/>
    <w:rsid w:val="45D740C2"/>
    <w:rsid w:val="45E1EBB9"/>
    <w:rsid w:val="45E22DE6"/>
    <w:rsid w:val="45F183CE"/>
    <w:rsid w:val="45F8D2CE"/>
    <w:rsid w:val="45FBA8DC"/>
    <w:rsid w:val="45FCDBBF"/>
    <w:rsid w:val="4602CFC6"/>
    <w:rsid w:val="460FDC9B"/>
    <w:rsid w:val="46115B4C"/>
    <w:rsid w:val="4616A680"/>
    <w:rsid w:val="461967B8"/>
    <w:rsid w:val="461A5F77"/>
    <w:rsid w:val="461B7D9F"/>
    <w:rsid w:val="461E00AC"/>
    <w:rsid w:val="4623C73E"/>
    <w:rsid w:val="463A2C9D"/>
    <w:rsid w:val="46413CB7"/>
    <w:rsid w:val="4646B0DC"/>
    <w:rsid w:val="4657F605"/>
    <w:rsid w:val="465D6080"/>
    <w:rsid w:val="46696677"/>
    <w:rsid w:val="466BDF81"/>
    <w:rsid w:val="466E19EC"/>
    <w:rsid w:val="4679A76E"/>
    <w:rsid w:val="467FC3E8"/>
    <w:rsid w:val="467FCFA8"/>
    <w:rsid w:val="4682DF79"/>
    <w:rsid w:val="4686EAAD"/>
    <w:rsid w:val="468979EC"/>
    <w:rsid w:val="4691C786"/>
    <w:rsid w:val="4693E43C"/>
    <w:rsid w:val="46990DC6"/>
    <w:rsid w:val="469B07CF"/>
    <w:rsid w:val="469D240A"/>
    <w:rsid w:val="46A816EF"/>
    <w:rsid w:val="46AE0140"/>
    <w:rsid w:val="46B7280A"/>
    <w:rsid w:val="46BE07F3"/>
    <w:rsid w:val="46D14C6E"/>
    <w:rsid w:val="46D2F9CC"/>
    <w:rsid w:val="46D39FA9"/>
    <w:rsid w:val="46D42119"/>
    <w:rsid w:val="46E37BB6"/>
    <w:rsid w:val="46F06869"/>
    <w:rsid w:val="46FC8706"/>
    <w:rsid w:val="46FFF3F9"/>
    <w:rsid w:val="47037EFF"/>
    <w:rsid w:val="4708CD6E"/>
    <w:rsid w:val="47132EC8"/>
    <w:rsid w:val="471EB839"/>
    <w:rsid w:val="4722CE48"/>
    <w:rsid w:val="47311CE5"/>
    <w:rsid w:val="473A6E39"/>
    <w:rsid w:val="47469996"/>
    <w:rsid w:val="4748B628"/>
    <w:rsid w:val="474D9EF3"/>
    <w:rsid w:val="4753CFFC"/>
    <w:rsid w:val="47720A0A"/>
    <w:rsid w:val="477CA628"/>
    <w:rsid w:val="478B26A8"/>
    <w:rsid w:val="479015B2"/>
    <w:rsid w:val="4795DC56"/>
    <w:rsid w:val="479E887C"/>
    <w:rsid w:val="47A2248A"/>
    <w:rsid w:val="47A23808"/>
    <w:rsid w:val="47A56B62"/>
    <w:rsid w:val="47A8F87E"/>
    <w:rsid w:val="47AA469D"/>
    <w:rsid w:val="47ABE595"/>
    <w:rsid w:val="47C544D9"/>
    <w:rsid w:val="47C54592"/>
    <w:rsid w:val="47CD33CB"/>
    <w:rsid w:val="47D298E0"/>
    <w:rsid w:val="47D3B078"/>
    <w:rsid w:val="47DD4444"/>
    <w:rsid w:val="47E8A0CF"/>
    <w:rsid w:val="47EDF05E"/>
    <w:rsid w:val="48082E63"/>
    <w:rsid w:val="480A2C91"/>
    <w:rsid w:val="480FDD85"/>
    <w:rsid w:val="482F89A3"/>
    <w:rsid w:val="484578A9"/>
    <w:rsid w:val="48465FF6"/>
    <w:rsid w:val="4853CC3C"/>
    <w:rsid w:val="485B5B12"/>
    <w:rsid w:val="485C9512"/>
    <w:rsid w:val="485D9F31"/>
    <w:rsid w:val="486B83ED"/>
    <w:rsid w:val="48700861"/>
    <w:rsid w:val="4872A7E7"/>
    <w:rsid w:val="487DBF1E"/>
    <w:rsid w:val="4881D257"/>
    <w:rsid w:val="48820D2E"/>
    <w:rsid w:val="48B5DF7F"/>
    <w:rsid w:val="48D24FBA"/>
    <w:rsid w:val="48E8D40A"/>
    <w:rsid w:val="4907ADD7"/>
    <w:rsid w:val="49144BB2"/>
    <w:rsid w:val="491E0A38"/>
    <w:rsid w:val="49205851"/>
    <w:rsid w:val="4931CBE6"/>
    <w:rsid w:val="493491A5"/>
    <w:rsid w:val="493D91D3"/>
    <w:rsid w:val="4940B574"/>
    <w:rsid w:val="49419C1B"/>
    <w:rsid w:val="4941BF66"/>
    <w:rsid w:val="4955DE95"/>
    <w:rsid w:val="495B4759"/>
    <w:rsid w:val="496014D7"/>
    <w:rsid w:val="4979DD48"/>
    <w:rsid w:val="497D7701"/>
    <w:rsid w:val="4989EA1D"/>
    <w:rsid w:val="498A3586"/>
    <w:rsid w:val="499DD843"/>
    <w:rsid w:val="499E36D9"/>
    <w:rsid w:val="49A1637B"/>
    <w:rsid w:val="49B84298"/>
    <w:rsid w:val="49C029F0"/>
    <w:rsid w:val="49D1034D"/>
    <w:rsid w:val="49D170C5"/>
    <w:rsid w:val="49DC8E1D"/>
    <w:rsid w:val="49E87BFE"/>
    <w:rsid w:val="49E8EDFE"/>
    <w:rsid w:val="49EBE9EE"/>
    <w:rsid w:val="49F8A6C7"/>
    <w:rsid w:val="4A04E8D4"/>
    <w:rsid w:val="4A0C8D0F"/>
    <w:rsid w:val="4A102ADC"/>
    <w:rsid w:val="4A161915"/>
    <w:rsid w:val="4A2012AA"/>
    <w:rsid w:val="4A2A2269"/>
    <w:rsid w:val="4A3804E7"/>
    <w:rsid w:val="4A3EB950"/>
    <w:rsid w:val="4A498877"/>
    <w:rsid w:val="4A49DB33"/>
    <w:rsid w:val="4A4B65D3"/>
    <w:rsid w:val="4A51D7E5"/>
    <w:rsid w:val="4A817011"/>
    <w:rsid w:val="4A81D366"/>
    <w:rsid w:val="4A861E81"/>
    <w:rsid w:val="4A88936B"/>
    <w:rsid w:val="4A8C48AA"/>
    <w:rsid w:val="4A9CA466"/>
    <w:rsid w:val="4A9E1467"/>
    <w:rsid w:val="4A9E9B2F"/>
    <w:rsid w:val="4AAB99EB"/>
    <w:rsid w:val="4AAD844D"/>
    <w:rsid w:val="4AB2CD14"/>
    <w:rsid w:val="4AB7F97F"/>
    <w:rsid w:val="4AB8D476"/>
    <w:rsid w:val="4ABAC374"/>
    <w:rsid w:val="4AC9608D"/>
    <w:rsid w:val="4AD5012E"/>
    <w:rsid w:val="4AE2C11F"/>
    <w:rsid w:val="4AE5CA7A"/>
    <w:rsid w:val="4AEFB353"/>
    <w:rsid w:val="4AF5FE3F"/>
    <w:rsid w:val="4AFB5947"/>
    <w:rsid w:val="4B0326AB"/>
    <w:rsid w:val="4B034AF9"/>
    <w:rsid w:val="4B086E07"/>
    <w:rsid w:val="4B093DE1"/>
    <w:rsid w:val="4B0BA075"/>
    <w:rsid w:val="4B113279"/>
    <w:rsid w:val="4B14E159"/>
    <w:rsid w:val="4B1865B6"/>
    <w:rsid w:val="4B2CB8B0"/>
    <w:rsid w:val="4B4A41DD"/>
    <w:rsid w:val="4B4C884E"/>
    <w:rsid w:val="4B61DA55"/>
    <w:rsid w:val="4B63C534"/>
    <w:rsid w:val="4B676689"/>
    <w:rsid w:val="4B67DC7F"/>
    <w:rsid w:val="4B716784"/>
    <w:rsid w:val="4B75E1BB"/>
    <w:rsid w:val="4B8C87B5"/>
    <w:rsid w:val="4B95B2D7"/>
    <w:rsid w:val="4B9CE6BF"/>
    <w:rsid w:val="4B9EDB32"/>
    <w:rsid w:val="4BA5A661"/>
    <w:rsid w:val="4BAC3833"/>
    <w:rsid w:val="4BBCD104"/>
    <w:rsid w:val="4BCF9494"/>
    <w:rsid w:val="4BD2F390"/>
    <w:rsid w:val="4BD4E7DD"/>
    <w:rsid w:val="4BD78309"/>
    <w:rsid w:val="4BD9B138"/>
    <w:rsid w:val="4BDB3543"/>
    <w:rsid w:val="4BE344E1"/>
    <w:rsid w:val="4BF209DF"/>
    <w:rsid w:val="4C17B136"/>
    <w:rsid w:val="4C2008F3"/>
    <w:rsid w:val="4C25B820"/>
    <w:rsid w:val="4C27C55A"/>
    <w:rsid w:val="4C2E157F"/>
    <w:rsid w:val="4C333E97"/>
    <w:rsid w:val="4C37AE42"/>
    <w:rsid w:val="4C3E18AF"/>
    <w:rsid w:val="4C3EE3BC"/>
    <w:rsid w:val="4C3F0CED"/>
    <w:rsid w:val="4C554D59"/>
    <w:rsid w:val="4C55DCD0"/>
    <w:rsid w:val="4C5682A9"/>
    <w:rsid w:val="4C5A53E6"/>
    <w:rsid w:val="4C6F2A6F"/>
    <w:rsid w:val="4C82455D"/>
    <w:rsid w:val="4C83E07C"/>
    <w:rsid w:val="4C844CB2"/>
    <w:rsid w:val="4C88DBC1"/>
    <w:rsid w:val="4C8F8811"/>
    <w:rsid w:val="4C9C6ED0"/>
    <w:rsid w:val="4C9F0313"/>
    <w:rsid w:val="4CA6BB0D"/>
    <w:rsid w:val="4CAE5C68"/>
    <w:rsid w:val="4CB935C0"/>
    <w:rsid w:val="4CB96C47"/>
    <w:rsid w:val="4CBCE1E0"/>
    <w:rsid w:val="4CC3DFAC"/>
    <w:rsid w:val="4CC52438"/>
    <w:rsid w:val="4CC591D8"/>
    <w:rsid w:val="4CE06976"/>
    <w:rsid w:val="4CE80CA0"/>
    <w:rsid w:val="4CEE7807"/>
    <w:rsid w:val="4CF52D4B"/>
    <w:rsid w:val="4CFEAFB3"/>
    <w:rsid w:val="4D189458"/>
    <w:rsid w:val="4D1CBCBF"/>
    <w:rsid w:val="4D26A720"/>
    <w:rsid w:val="4D26FD16"/>
    <w:rsid w:val="4D290B7E"/>
    <w:rsid w:val="4D2EA8FA"/>
    <w:rsid w:val="4D368C85"/>
    <w:rsid w:val="4D3E7786"/>
    <w:rsid w:val="4D4DD739"/>
    <w:rsid w:val="4D580A8F"/>
    <w:rsid w:val="4D6F2792"/>
    <w:rsid w:val="4D6F6F0A"/>
    <w:rsid w:val="4D8320F1"/>
    <w:rsid w:val="4D861D41"/>
    <w:rsid w:val="4D9B4EB6"/>
    <w:rsid w:val="4D9CCF22"/>
    <w:rsid w:val="4DA045E3"/>
    <w:rsid w:val="4DA46510"/>
    <w:rsid w:val="4DA977A8"/>
    <w:rsid w:val="4DAD102E"/>
    <w:rsid w:val="4DB9A476"/>
    <w:rsid w:val="4DDFBB53"/>
    <w:rsid w:val="4DE36C18"/>
    <w:rsid w:val="4DEE6822"/>
    <w:rsid w:val="4DF22A59"/>
    <w:rsid w:val="4DF69FEF"/>
    <w:rsid w:val="4DFA0D7B"/>
    <w:rsid w:val="4DFEBA23"/>
    <w:rsid w:val="4E1D8931"/>
    <w:rsid w:val="4E26594A"/>
    <w:rsid w:val="4E2F2B1F"/>
    <w:rsid w:val="4E35AEF0"/>
    <w:rsid w:val="4E37EAFC"/>
    <w:rsid w:val="4E38CFBB"/>
    <w:rsid w:val="4E469FCF"/>
    <w:rsid w:val="4E528BE6"/>
    <w:rsid w:val="4E54489B"/>
    <w:rsid w:val="4E56A945"/>
    <w:rsid w:val="4E5726B3"/>
    <w:rsid w:val="4E5FB325"/>
    <w:rsid w:val="4E6E57B4"/>
    <w:rsid w:val="4E717A73"/>
    <w:rsid w:val="4E725917"/>
    <w:rsid w:val="4E74541F"/>
    <w:rsid w:val="4E75A0BA"/>
    <w:rsid w:val="4E76CB79"/>
    <w:rsid w:val="4E7D0DFD"/>
    <w:rsid w:val="4E80996C"/>
    <w:rsid w:val="4E89D4ED"/>
    <w:rsid w:val="4E8BA1B2"/>
    <w:rsid w:val="4E8F7DA2"/>
    <w:rsid w:val="4E9568B8"/>
    <w:rsid w:val="4EAB4DA8"/>
    <w:rsid w:val="4EAC24F2"/>
    <w:rsid w:val="4EAF6D00"/>
    <w:rsid w:val="4EB1503F"/>
    <w:rsid w:val="4EB855C0"/>
    <w:rsid w:val="4EB8A68D"/>
    <w:rsid w:val="4EBB5486"/>
    <w:rsid w:val="4EC4BFE3"/>
    <w:rsid w:val="4EC5B938"/>
    <w:rsid w:val="4ED63719"/>
    <w:rsid w:val="4ED7D557"/>
    <w:rsid w:val="4ED891F9"/>
    <w:rsid w:val="4EE15061"/>
    <w:rsid w:val="4EEB76B1"/>
    <w:rsid w:val="4EEC2019"/>
    <w:rsid w:val="4EF00425"/>
    <w:rsid w:val="4EF34D3F"/>
    <w:rsid w:val="4EF8C10F"/>
    <w:rsid w:val="4F0101A8"/>
    <w:rsid w:val="4F02EA60"/>
    <w:rsid w:val="4F049F67"/>
    <w:rsid w:val="4F04A082"/>
    <w:rsid w:val="4F04B240"/>
    <w:rsid w:val="4F09CC22"/>
    <w:rsid w:val="4F14BD95"/>
    <w:rsid w:val="4F1AFE4D"/>
    <w:rsid w:val="4F1E023F"/>
    <w:rsid w:val="4F221A07"/>
    <w:rsid w:val="4F25AF5F"/>
    <w:rsid w:val="4F2C89F8"/>
    <w:rsid w:val="4F2E6E7E"/>
    <w:rsid w:val="4F3BEB80"/>
    <w:rsid w:val="4F3E46A5"/>
    <w:rsid w:val="4F511421"/>
    <w:rsid w:val="4F613F18"/>
    <w:rsid w:val="4F693BF2"/>
    <w:rsid w:val="4F6C8513"/>
    <w:rsid w:val="4F7547B7"/>
    <w:rsid w:val="4F87405A"/>
    <w:rsid w:val="4F8D3D7B"/>
    <w:rsid w:val="4F940C32"/>
    <w:rsid w:val="4F9E7442"/>
    <w:rsid w:val="4FA86A7A"/>
    <w:rsid w:val="4FB728BA"/>
    <w:rsid w:val="4FC0DEA8"/>
    <w:rsid w:val="4FDFC75C"/>
    <w:rsid w:val="4FE342A0"/>
    <w:rsid w:val="4FE38972"/>
    <w:rsid w:val="4FEC8721"/>
    <w:rsid w:val="4FECDE85"/>
    <w:rsid w:val="4FF75733"/>
    <w:rsid w:val="50051E24"/>
    <w:rsid w:val="500AD809"/>
    <w:rsid w:val="5012C683"/>
    <w:rsid w:val="5013FF2A"/>
    <w:rsid w:val="50242B9F"/>
    <w:rsid w:val="5024DF27"/>
    <w:rsid w:val="502B42B1"/>
    <w:rsid w:val="502C64ED"/>
    <w:rsid w:val="502FD6B1"/>
    <w:rsid w:val="5042C06D"/>
    <w:rsid w:val="50497DC6"/>
    <w:rsid w:val="50572F53"/>
    <w:rsid w:val="50700738"/>
    <w:rsid w:val="50752AF7"/>
    <w:rsid w:val="507D648C"/>
    <w:rsid w:val="50818365"/>
    <w:rsid w:val="508AB467"/>
    <w:rsid w:val="5090C4E4"/>
    <w:rsid w:val="5097B9BB"/>
    <w:rsid w:val="5099BF7F"/>
    <w:rsid w:val="50A8F7FC"/>
    <w:rsid w:val="50A9BC5B"/>
    <w:rsid w:val="50B61D68"/>
    <w:rsid w:val="50B86D61"/>
    <w:rsid w:val="50BAA0C6"/>
    <w:rsid w:val="50BB712B"/>
    <w:rsid w:val="50C4C74B"/>
    <w:rsid w:val="50D5D4B3"/>
    <w:rsid w:val="50DC9D4A"/>
    <w:rsid w:val="50E345B5"/>
    <w:rsid w:val="50E5F469"/>
    <w:rsid w:val="50E8AD60"/>
    <w:rsid w:val="50E911C9"/>
    <w:rsid w:val="50EDE47B"/>
    <w:rsid w:val="50F4F1C6"/>
    <w:rsid w:val="51070052"/>
    <w:rsid w:val="5107CC89"/>
    <w:rsid w:val="5122697E"/>
    <w:rsid w:val="5126E337"/>
    <w:rsid w:val="512BD5CE"/>
    <w:rsid w:val="5132729E"/>
    <w:rsid w:val="513BEC0E"/>
    <w:rsid w:val="5141EE68"/>
    <w:rsid w:val="5142EEBD"/>
    <w:rsid w:val="5142F9D5"/>
    <w:rsid w:val="515C8219"/>
    <w:rsid w:val="516E28A1"/>
    <w:rsid w:val="5170DF22"/>
    <w:rsid w:val="518C1783"/>
    <w:rsid w:val="518CA861"/>
    <w:rsid w:val="518F12C8"/>
    <w:rsid w:val="5194361D"/>
    <w:rsid w:val="51A9DBF1"/>
    <w:rsid w:val="51AA3D77"/>
    <w:rsid w:val="51AB1DCE"/>
    <w:rsid w:val="51AC1E8C"/>
    <w:rsid w:val="51B184E3"/>
    <w:rsid w:val="51B8E73E"/>
    <w:rsid w:val="51BB4AF6"/>
    <w:rsid w:val="51C402D6"/>
    <w:rsid w:val="51C6208A"/>
    <w:rsid w:val="51CA1354"/>
    <w:rsid w:val="51D34258"/>
    <w:rsid w:val="51E6877B"/>
    <w:rsid w:val="51EB6B0C"/>
    <w:rsid w:val="51EED5D3"/>
    <w:rsid w:val="52010FCC"/>
    <w:rsid w:val="5202B2CD"/>
    <w:rsid w:val="520A33EB"/>
    <w:rsid w:val="5210FDA3"/>
    <w:rsid w:val="5213B668"/>
    <w:rsid w:val="5227B6B0"/>
    <w:rsid w:val="5228690F"/>
    <w:rsid w:val="5230FD3A"/>
    <w:rsid w:val="52368ECB"/>
    <w:rsid w:val="52373B87"/>
    <w:rsid w:val="52397ED2"/>
    <w:rsid w:val="5239DD2C"/>
    <w:rsid w:val="5256846E"/>
    <w:rsid w:val="525C2F56"/>
    <w:rsid w:val="525CC1C5"/>
    <w:rsid w:val="5263C055"/>
    <w:rsid w:val="5269E359"/>
    <w:rsid w:val="526C1634"/>
    <w:rsid w:val="5279DBA0"/>
    <w:rsid w:val="528324A7"/>
    <w:rsid w:val="5292298A"/>
    <w:rsid w:val="52B97F96"/>
    <w:rsid w:val="52C06758"/>
    <w:rsid w:val="52C5F755"/>
    <w:rsid w:val="52CBB7FC"/>
    <w:rsid w:val="52D5177C"/>
    <w:rsid w:val="52D85909"/>
    <w:rsid w:val="52EE5A25"/>
    <w:rsid w:val="52FB29AB"/>
    <w:rsid w:val="531075FB"/>
    <w:rsid w:val="53112DE8"/>
    <w:rsid w:val="5321558C"/>
    <w:rsid w:val="5326A7E2"/>
    <w:rsid w:val="5338274D"/>
    <w:rsid w:val="533D7931"/>
    <w:rsid w:val="53522969"/>
    <w:rsid w:val="535712F8"/>
    <w:rsid w:val="535C5122"/>
    <w:rsid w:val="535CB09C"/>
    <w:rsid w:val="535FAFE1"/>
    <w:rsid w:val="5360EF48"/>
    <w:rsid w:val="53623A75"/>
    <w:rsid w:val="536B21DF"/>
    <w:rsid w:val="536F09EA"/>
    <w:rsid w:val="5371F202"/>
    <w:rsid w:val="537BDC73"/>
    <w:rsid w:val="5385E852"/>
    <w:rsid w:val="538A7C32"/>
    <w:rsid w:val="538D3784"/>
    <w:rsid w:val="53921B06"/>
    <w:rsid w:val="5392D431"/>
    <w:rsid w:val="53999FEE"/>
    <w:rsid w:val="53AB3417"/>
    <w:rsid w:val="53B04018"/>
    <w:rsid w:val="53B2B280"/>
    <w:rsid w:val="53B9C01C"/>
    <w:rsid w:val="53BF3A40"/>
    <w:rsid w:val="53DBBC28"/>
    <w:rsid w:val="53E05A0B"/>
    <w:rsid w:val="53E2D527"/>
    <w:rsid w:val="53E40DC9"/>
    <w:rsid w:val="53E8AE59"/>
    <w:rsid w:val="53E915AA"/>
    <w:rsid w:val="53F10A42"/>
    <w:rsid w:val="53F55DE7"/>
    <w:rsid w:val="54077EE8"/>
    <w:rsid w:val="540793A9"/>
    <w:rsid w:val="5409C2E7"/>
    <w:rsid w:val="5427F201"/>
    <w:rsid w:val="5435E196"/>
    <w:rsid w:val="543DE1C0"/>
    <w:rsid w:val="5449C407"/>
    <w:rsid w:val="544DC0C6"/>
    <w:rsid w:val="544E7A56"/>
    <w:rsid w:val="5463D9D4"/>
    <w:rsid w:val="5467C488"/>
    <w:rsid w:val="5475517D"/>
    <w:rsid w:val="547FE083"/>
    <w:rsid w:val="5489591E"/>
    <w:rsid w:val="548C9976"/>
    <w:rsid w:val="54978C1E"/>
    <w:rsid w:val="54C879A3"/>
    <w:rsid w:val="54D224FC"/>
    <w:rsid w:val="54D47D03"/>
    <w:rsid w:val="54D952B2"/>
    <w:rsid w:val="54F7AC1C"/>
    <w:rsid w:val="54F8A96C"/>
    <w:rsid w:val="54FEC95C"/>
    <w:rsid w:val="55190905"/>
    <w:rsid w:val="551B8E56"/>
    <w:rsid w:val="551E4F4E"/>
    <w:rsid w:val="55215B32"/>
    <w:rsid w:val="55293FC1"/>
    <w:rsid w:val="5543C621"/>
    <w:rsid w:val="5544C9A3"/>
    <w:rsid w:val="554BBD6B"/>
    <w:rsid w:val="554E0EAE"/>
    <w:rsid w:val="554FF9B2"/>
    <w:rsid w:val="55550928"/>
    <w:rsid w:val="5556BD4C"/>
    <w:rsid w:val="555E84DD"/>
    <w:rsid w:val="5575617A"/>
    <w:rsid w:val="5580377D"/>
    <w:rsid w:val="558B7471"/>
    <w:rsid w:val="5590446F"/>
    <w:rsid w:val="55A23DB8"/>
    <w:rsid w:val="55A40902"/>
    <w:rsid w:val="55A9CAA8"/>
    <w:rsid w:val="55AD9AEE"/>
    <w:rsid w:val="55B46D1D"/>
    <w:rsid w:val="55DA28E4"/>
    <w:rsid w:val="55DB154E"/>
    <w:rsid w:val="55E4D6C7"/>
    <w:rsid w:val="55E7884A"/>
    <w:rsid w:val="55F10628"/>
    <w:rsid w:val="560D0F52"/>
    <w:rsid w:val="56123EE3"/>
    <w:rsid w:val="561A6C36"/>
    <w:rsid w:val="56243E78"/>
    <w:rsid w:val="56278BB7"/>
    <w:rsid w:val="562B1D19"/>
    <w:rsid w:val="562F77C2"/>
    <w:rsid w:val="56362179"/>
    <w:rsid w:val="56445045"/>
    <w:rsid w:val="56471A91"/>
    <w:rsid w:val="56476D10"/>
    <w:rsid w:val="5664E9CB"/>
    <w:rsid w:val="56697078"/>
    <w:rsid w:val="566B0496"/>
    <w:rsid w:val="566BFEBA"/>
    <w:rsid w:val="56848A04"/>
    <w:rsid w:val="56874E30"/>
    <w:rsid w:val="568924ED"/>
    <w:rsid w:val="569EF282"/>
    <w:rsid w:val="56A4BFF3"/>
    <w:rsid w:val="56B80A7D"/>
    <w:rsid w:val="56B8F8FA"/>
    <w:rsid w:val="56BAAA95"/>
    <w:rsid w:val="56CC088A"/>
    <w:rsid w:val="56D32A5F"/>
    <w:rsid w:val="56E030F1"/>
    <w:rsid w:val="56E14EA9"/>
    <w:rsid w:val="56F6EDA5"/>
    <w:rsid w:val="56FE506E"/>
    <w:rsid w:val="5707ED9E"/>
    <w:rsid w:val="570A4E38"/>
    <w:rsid w:val="570D7E66"/>
    <w:rsid w:val="57127079"/>
    <w:rsid w:val="5713F58B"/>
    <w:rsid w:val="57306BDD"/>
    <w:rsid w:val="573CA220"/>
    <w:rsid w:val="573E24AB"/>
    <w:rsid w:val="574055A1"/>
    <w:rsid w:val="57408416"/>
    <w:rsid w:val="57465C78"/>
    <w:rsid w:val="5755DA03"/>
    <w:rsid w:val="575CA20E"/>
    <w:rsid w:val="575D38C0"/>
    <w:rsid w:val="57620940"/>
    <w:rsid w:val="576553D0"/>
    <w:rsid w:val="576E8A87"/>
    <w:rsid w:val="576EF949"/>
    <w:rsid w:val="577412E5"/>
    <w:rsid w:val="578BAABE"/>
    <w:rsid w:val="578DCCB8"/>
    <w:rsid w:val="57A20D2F"/>
    <w:rsid w:val="57A3493B"/>
    <w:rsid w:val="57AB2C58"/>
    <w:rsid w:val="57BE26C3"/>
    <w:rsid w:val="57CDD9BD"/>
    <w:rsid w:val="57D5DCCF"/>
    <w:rsid w:val="57DA3FB1"/>
    <w:rsid w:val="57DBD07A"/>
    <w:rsid w:val="57DC0012"/>
    <w:rsid w:val="57E2F6AE"/>
    <w:rsid w:val="57F06419"/>
    <w:rsid w:val="5801D5A8"/>
    <w:rsid w:val="5805C753"/>
    <w:rsid w:val="58158016"/>
    <w:rsid w:val="58179DD2"/>
    <w:rsid w:val="582B7CAB"/>
    <w:rsid w:val="582CB6EE"/>
    <w:rsid w:val="58393FF7"/>
    <w:rsid w:val="584D2025"/>
    <w:rsid w:val="58549303"/>
    <w:rsid w:val="5862C5F2"/>
    <w:rsid w:val="586A3D8D"/>
    <w:rsid w:val="586A53F2"/>
    <w:rsid w:val="586C6687"/>
    <w:rsid w:val="5870E9F0"/>
    <w:rsid w:val="587624F5"/>
    <w:rsid w:val="587D0FD1"/>
    <w:rsid w:val="58883C02"/>
    <w:rsid w:val="588ACC9F"/>
    <w:rsid w:val="588B45D3"/>
    <w:rsid w:val="58932EE9"/>
    <w:rsid w:val="58974B58"/>
    <w:rsid w:val="589B253C"/>
    <w:rsid w:val="58AC7D8C"/>
    <w:rsid w:val="58C97F8D"/>
    <w:rsid w:val="58D9CF1F"/>
    <w:rsid w:val="58DA1992"/>
    <w:rsid w:val="58DBB1E9"/>
    <w:rsid w:val="58E350A2"/>
    <w:rsid w:val="58E72B01"/>
    <w:rsid w:val="58EFEC1C"/>
    <w:rsid w:val="58F2AB56"/>
    <w:rsid w:val="58FDC573"/>
    <w:rsid w:val="59083E71"/>
    <w:rsid w:val="591E74A4"/>
    <w:rsid w:val="5926932B"/>
    <w:rsid w:val="592B7ADB"/>
    <w:rsid w:val="594B1AAC"/>
    <w:rsid w:val="59536883"/>
    <w:rsid w:val="59557A85"/>
    <w:rsid w:val="5970C70C"/>
    <w:rsid w:val="5988A7C1"/>
    <w:rsid w:val="59900A50"/>
    <w:rsid w:val="5991C0D9"/>
    <w:rsid w:val="5992082C"/>
    <w:rsid w:val="59928776"/>
    <w:rsid w:val="599CA092"/>
    <w:rsid w:val="59B67E30"/>
    <w:rsid w:val="59B9EDA0"/>
    <w:rsid w:val="59C3CB65"/>
    <w:rsid w:val="59C4DC24"/>
    <w:rsid w:val="59C65080"/>
    <w:rsid w:val="59C8A6E0"/>
    <w:rsid w:val="59D0B368"/>
    <w:rsid w:val="59D3592F"/>
    <w:rsid w:val="59DEB015"/>
    <w:rsid w:val="59E7A3AE"/>
    <w:rsid w:val="59E808A0"/>
    <w:rsid w:val="59ECD2A5"/>
    <w:rsid w:val="59ED71C4"/>
    <w:rsid w:val="5A224D99"/>
    <w:rsid w:val="5A2E0624"/>
    <w:rsid w:val="5A2FAAAF"/>
    <w:rsid w:val="5A2FD13A"/>
    <w:rsid w:val="5A3C9F81"/>
    <w:rsid w:val="5A3E51F9"/>
    <w:rsid w:val="5A4424BA"/>
    <w:rsid w:val="5A4D50C7"/>
    <w:rsid w:val="5A6C3C53"/>
    <w:rsid w:val="5A6D7CE2"/>
    <w:rsid w:val="5A6FC130"/>
    <w:rsid w:val="5A700CEF"/>
    <w:rsid w:val="5A71CA0B"/>
    <w:rsid w:val="5A794A5F"/>
    <w:rsid w:val="5A87983C"/>
    <w:rsid w:val="5A9AAEC5"/>
    <w:rsid w:val="5A9C6EB2"/>
    <w:rsid w:val="5A9DAD14"/>
    <w:rsid w:val="5A9F9F07"/>
    <w:rsid w:val="5AA06CDF"/>
    <w:rsid w:val="5AA60CFE"/>
    <w:rsid w:val="5AAB0BB8"/>
    <w:rsid w:val="5AAC0C9E"/>
    <w:rsid w:val="5ABCE6E5"/>
    <w:rsid w:val="5ABF8691"/>
    <w:rsid w:val="5AC0B796"/>
    <w:rsid w:val="5AC3F9F6"/>
    <w:rsid w:val="5AC9B05D"/>
    <w:rsid w:val="5ACBEF84"/>
    <w:rsid w:val="5AD71805"/>
    <w:rsid w:val="5AD721A0"/>
    <w:rsid w:val="5AD85427"/>
    <w:rsid w:val="5ADC440E"/>
    <w:rsid w:val="5ADD074C"/>
    <w:rsid w:val="5AE4881F"/>
    <w:rsid w:val="5AE85C08"/>
    <w:rsid w:val="5AF55E35"/>
    <w:rsid w:val="5AF8948D"/>
    <w:rsid w:val="5AFAFFEE"/>
    <w:rsid w:val="5AFDD730"/>
    <w:rsid w:val="5AFEDC7A"/>
    <w:rsid w:val="5B0F53E9"/>
    <w:rsid w:val="5B12034F"/>
    <w:rsid w:val="5B157258"/>
    <w:rsid w:val="5B3959FE"/>
    <w:rsid w:val="5B408187"/>
    <w:rsid w:val="5B499D51"/>
    <w:rsid w:val="5B4DE944"/>
    <w:rsid w:val="5B51C7AF"/>
    <w:rsid w:val="5B5C4BE3"/>
    <w:rsid w:val="5B60DA95"/>
    <w:rsid w:val="5B6FE88B"/>
    <w:rsid w:val="5B7A29FD"/>
    <w:rsid w:val="5B83D33B"/>
    <w:rsid w:val="5B8493AA"/>
    <w:rsid w:val="5B8F6444"/>
    <w:rsid w:val="5B90917A"/>
    <w:rsid w:val="5B92FCFA"/>
    <w:rsid w:val="5B94A5DE"/>
    <w:rsid w:val="5B98FAFD"/>
    <w:rsid w:val="5B9D92DC"/>
    <w:rsid w:val="5B9DB104"/>
    <w:rsid w:val="5B9F1EDC"/>
    <w:rsid w:val="5BA4E230"/>
    <w:rsid w:val="5BB00241"/>
    <w:rsid w:val="5BBAE1F3"/>
    <w:rsid w:val="5BC48AA4"/>
    <w:rsid w:val="5BCAE443"/>
    <w:rsid w:val="5BE39E64"/>
    <w:rsid w:val="5BE75701"/>
    <w:rsid w:val="5BEE3B4F"/>
    <w:rsid w:val="5BF75714"/>
    <w:rsid w:val="5C0042FA"/>
    <w:rsid w:val="5C23C8AA"/>
    <w:rsid w:val="5C26FF13"/>
    <w:rsid w:val="5C383AA9"/>
    <w:rsid w:val="5C3A97B6"/>
    <w:rsid w:val="5C3B6118"/>
    <w:rsid w:val="5C46E63A"/>
    <w:rsid w:val="5C50F07B"/>
    <w:rsid w:val="5C54203B"/>
    <w:rsid w:val="5C58420A"/>
    <w:rsid w:val="5C58810E"/>
    <w:rsid w:val="5C592DC2"/>
    <w:rsid w:val="5C594F31"/>
    <w:rsid w:val="5C65363E"/>
    <w:rsid w:val="5C674978"/>
    <w:rsid w:val="5C6F9F91"/>
    <w:rsid w:val="5C791445"/>
    <w:rsid w:val="5C8017D0"/>
    <w:rsid w:val="5C818027"/>
    <w:rsid w:val="5C88B47F"/>
    <w:rsid w:val="5C916BA0"/>
    <w:rsid w:val="5C93875E"/>
    <w:rsid w:val="5C96BA43"/>
    <w:rsid w:val="5CA5FC92"/>
    <w:rsid w:val="5CA6C65C"/>
    <w:rsid w:val="5CB8645C"/>
    <w:rsid w:val="5CB91BC4"/>
    <w:rsid w:val="5CB958D4"/>
    <w:rsid w:val="5CBCC207"/>
    <w:rsid w:val="5CC282B2"/>
    <w:rsid w:val="5CC464F6"/>
    <w:rsid w:val="5CCA2975"/>
    <w:rsid w:val="5CCAA127"/>
    <w:rsid w:val="5CCFEA92"/>
    <w:rsid w:val="5CD3D3B1"/>
    <w:rsid w:val="5CD7F43A"/>
    <w:rsid w:val="5CDF71E0"/>
    <w:rsid w:val="5CE28A54"/>
    <w:rsid w:val="5CF12A07"/>
    <w:rsid w:val="5CF990A0"/>
    <w:rsid w:val="5CFA86AB"/>
    <w:rsid w:val="5D0746B1"/>
    <w:rsid w:val="5D10A259"/>
    <w:rsid w:val="5D187E71"/>
    <w:rsid w:val="5D192162"/>
    <w:rsid w:val="5D1F3A7C"/>
    <w:rsid w:val="5D28867F"/>
    <w:rsid w:val="5D2FD46B"/>
    <w:rsid w:val="5D3230BB"/>
    <w:rsid w:val="5D35FC5B"/>
    <w:rsid w:val="5D4E8F18"/>
    <w:rsid w:val="5D51E246"/>
    <w:rsid w:val="5D5BF646"/>
    <w:rsid w:val="5D5FC454"/>
    <w:rsid w:val="5D61C0A8"/>
    <w:rsid w:val="5D6BFA3B"/>
    <w:rsid w:val="5D73109C"/>
    <w:rsid w:val="5D73CEA4"/>
    <w:rsid w:val="5D7C533E"/>
    <w:rsid w:val="5D7E3513"/>
    <w:rsid w:val="5D806B16"/>
    <w:rsid w:val="5D86C172"/>
    <w:rsid w:val="5D89A8E0"/>
    <w:rsid w:val="5D8B828B"/>
    <w:rsid w:val="5D91B93D"/>
    <w:rsid w:val="5D91C742"/>
    <w:rsid w:val="5D91F1CA"/>
    <w:rsid w:val="5DA5B69B"/>
    <w:rsid w:val="5DC3F63E"/>
    <w:rsid w:val="5DC5F974"/>
    <w:rsid w:val="5DCB8B39"/>
    <w:rsid w:val="5DCFD30A"/>
    <w:rsid w:val="5DD6F1B5"/>
    <w:rsid w:val="5DDAA1C4"/>
    <w:rsid w:val="5DDEF99C"/>
    <w:rsid w:val="5DE15F3E"/>
    <w:rsid w:val="5DE3EF80"/>
    <w:rsid w:val="5DEB85D5"/>
    <w:rsid w:val="5DF926EB"/>
    <w:rsid w:val="5E059A4D"/>
    <w:rsid w:val="5E09C15E"/>
    <w:rsid w:val="5E0FC9C1"/>
    <w:rsid w:val="5E101831"/>
    <w:rsid w:val="5E12148C"/>
    <w:rsid w:val="5E130437"/>
    <w:rsid w:val="5E2D80AE"/>
    <w:rsid w:val="5E44A10F"/>
    <w:rsid w:val="5E49982E"/>
    <w:rsid w:val="5E4DDF85"/>
    <w:rsid w:val="5E513B85"/>
    <w:rsid w:val="5E5239D2"/>
    <w:rsid w:val="5E65CBBB"/>
    <w:rsid w:val="5E6DB9EA"/>
    <w:rsid w:val="5E710B19"/>
    <w:rsid w:val="5E75CD0A"/>
    <w:rsid w:val="5E7757F5"/>
    <w:rsid w:val="5E7B5EF7"/>
    <w:rsid w:val="5E7B7BB3"/>
    <w:rsid w:val="5E877264"/>
    <w:rsid w:val="5E99239F"/>
    <w:rsid w:val="5E9AD09C"/>
    <w:rsid w:val="5EA4717E"/>
    <w:rsid w:val="5EA90D4F"/>
    <w:rsid w:val="5EAA34AD"/>
    <w:rsid w:val="5EABCB0B"/>
    <w:rsid w:val="5EB7F419"/>
    <w:rsid w:val="5EBDB5F5"/>
    <w:rsid w:val="5EC32A39"/>
    <w:rsid w:val="5EC4733F"/>
    <w:rsid w:val="5EC6C77F"/>
    <w:rsid w:val="5EE94E57"/>
    <w:rsid w:val="5EF1DE42"/>
    <w:rsid w:val="5EF412A1"/>
    <w:rsid w:val="5EF50144"/>
    <w:rsid w:val="5EF61C08"/>
    <w:rsid w:val="5EFAE59E"/>
    <w:rsid w:val="5EFBB143"/>
    <w:rsid w:val="5EFE2F25"/>
    <w:rsid w:val="5F0437A9"/>
    <w:rsid w:val="5F06113F"/>
    <w:rsid w:val="5F1B345A"/>
    <w:rsid w:val="5F1D6621"/>
    <w:rsid w:val="5F1EACD6"/>
    <w:rsid w:val="5F23D721"/>
    <w:rsid w:val="5F3D8AED"/>
    <w:rsid w:val="5F3DA601"/>
    <w:rsid w:val="5F3F9AC4"/>
    <w:rsid w:val="5F55157A"/>
    <w:rsid w:val="5F58F863"/>
    <w:rsid w:val="5F59C011"/>
    <w:rsid w:val="5F60113E"/>
    <w:rsid w:val="5F637692"/>
    <w:rsid w:val="5F65816E"/>
    <w:rsid w:val="5F6D5AAB"/>
    <w:rsid w:val="5F6F86BA"/>
    <w:rsid w:val="5F7466F6"/>
    <w:rsid w:val="5F782988"/>
    <w:rsid w:val="5F8AF07D"/>
    <w:rsid w:val="5F8F9528"/>
    <w:rsid w:val="5F90458E"/>
    <w:rsid w:val="5F9208B6"/>
    <w:rsid w:val="5F9C5BB3"/>
    <w:rsid w:val="5FA0877D"/>
    <w:rsid w:val="5FA5BEE1"/>
    <w:rsid w:val="5FC117EA"/>
    <w:rsid w:val="5FC413C8"/>
    <w:rsid w:val="5FCEAC2C"/>
    <w:rsid w:val="5FEB00D4"/>
    <w:rsid w:val="5FF40603"/>
    <w:rsid w:val="5FFA297B"/>
    <w:rsid w:val="5FFB998A"/>
    <w:rsid w:val="60044C55"/>
    <w:rsid w:val="600885D5"/>
    <w:rsid w:val="60095E8B"/>
    <w:rsid w:val="601651BD"/>
    <w:rsid w:val="601AAB4C"/>
    <w:rsid w:val="60278562"/>
    <w:rsid w:val="6029539A"/>
    <w:rsid w:val="6030BDB2"/>
    <w:rsid w:val="6033F7AD"/>
    <w:rsid w:val="60360C49"/>
    <w:rsid w:val="603710A0"/>
    <w:rsid w:val="604669B5"/>
    <w:rsid w:val="6051B35A"/>
    <w:rsid w:val="60589BFB"/>
    <w:rsid w:val="6062C558"/>
    <w:rsid w:val="60698B9D"/>
    <w:rsid w:val="607F0728"/>
    <w:rsid w:val="6081EB43"/>
    <w:rsid w:val="60938249"/>
    <w:rsid w:val="60A3CDD0"/>
    <w:rsid w:val="60B334FD"/>
    <w:rsid w:val="60B96351"/>
    <w:rsid w:val="60BBEADD"/>
    <w:rsid w:val="60CD72B0"/>
    <w:rsid w:val="60D2B080"/>
    <w:rsid w:val="60D392E4"/>
    <w:rsid w:val="60D540D5"/>
    <w:rsid w:val="60E972C8"/>
    <w:rsid w:val="60ECE33C"/>
    <w:rsid w:val="610958C0"/>
    <w:rsid w:val="6109B58C"/>
    <w:rsid w:val="610A0198"/>
    <w:rsid w:val="610BF76D"/>
    <w:rsid w:val="610F0D8C"/>
    <w:rsid w:val="6116B578"/>
    <w:rsid w:val="611B2AFD"/>
    <w:rsid w:val="61230281"/>
    <w:rsid w:val="612540D2"/>
    <w:rsid w:val="6146AC7A"/>
    <w:rsid w:val="61583E2B"/>
    <w:rsid w:val="615A644D"/>
    <w:rsid w:val="615FA59A"/>
    <w:rsid w:val="61642EBD"/>
    <w:rsid w:val="61699788"/>
    <w:rsid w:val="6177470B"/>
    <w:rsid w:val="6177F11A"/>
    <w:rsid w:val="617F0AE8"/>
    <w:rsid w:val="618ED902"/>
    <w:rsid w:val="61973157"/>
    <w:rsid w:val="619D9A98"/>
    <w:rsid w:val="619DF56D"/>
    <w:rsid w:val="61A3F451"/>
    <w:rsid w:val="61BF9146"/>
    <w:rsid w:val="61BFFBD6"/>
    <w:rsid w:val="61DD2CE5"/>
    <w:rsid w:val="61E222D1"/>
    <w:rsid w:val="61E2627C"/>
    <w:rsid w:val="61E8BAEB"/>
    <w:rsid w:val="61FA5151"/>
    <w:rsid w:val="61FE7240"/>
    <w:rsid w:val="620FA0B8"/>
    <w:rsid w:val="6211A0F1"/>
    <w:rsid w:val="6212D3E6"/>
    <w:rsid w:val="6226D11A"/>
    <w:rsid w:val="622C2E78"/>
    <w:rsid w:val="623221C3"/>
    <w:rsid w:val="623544AE"/>
    <w:rsid w:val="62386964"/>
    <w:rsid w:val="6244FED2"/>
    <w:rsid w:val="624EE078"/>
    <w:rsid w:val="62547ED3"/>
    <w:rsid w:val="62794AE1"/>
    <w:rsid w:val="6289719E"/>
    <w:rsid w:val="628D16D0"/>
    <w:rsid w:val="6296301E"/>
    <w:rsid w:val="629BCD2F"/>
    <w:rsid w:val="62ABA645"/>
    <w:rsid w:val="62AF5C67"/>
    <w:rsid w:val="62B81D84"/>
    <w:rsid w:val="62C14546"/>
    <w:rsid w:val="62E3ECC0"/>
    <w:rsid w:val="62E91A43"/>
    <w:rsid w:val="62F82815"/>
    <w:rsid w:val="62F87CFD"/>
    <w:rsid w:val="630C34C6"/>
    <w:rsid w:val="63148485"/>
    <w:rsid w:val="631519C1"/>
    <w:rsid w:val="63206403"/>
    <w:rsid w:val="6321FF75"/>
    <w:rsid w:val="632339BA"/>
    <w:rsid w:val="632C6359"/>
    <w:rsid w:val="633919C8"/>
    <w:rsid w:val="633D07C7"/>
    <w:rsid w:val="63403A39"/>
    <w:rsid w:val="6353BDAD"/>
    <w:rsid w:val="6359C2A4"/>
    <w:rsid w:val="635A97DB"/>
    <w:rsid w:val="6367718F"/>
    <w:rsid w:val="636782F3"/>
    <w:rsid w:val="636D1A2E"/>
    <w:rsid w:val="636D34A8"/>
    <w:rsid w:val="6375F13D"/>
    <w:rsid w:val="637A565B"/>
    <w:rsid w:val="637D7A1C"/>
    <w:rsid w:val="6381D6BC"/>
    <w:rsid w:val="63823267"/>
    <w:rsid w:val="63843195"/>
    <w:rsid w:val="6386B306"/>
    <w:rsid w:val="63874103"/>
    <w:rsid w:val="6398B21F"/>
    <w:rsid w:val="639927F0"/>
    <w:rsid w:val="639AED36"/>
    <w:rsid w:val="63A4075F"/>
    <w:rsid w:val="63A5972E"/>
    <w:rsid w:val="63AA7081"/>
    <w:rsid w:val="63B82DD1"/>
    <w:rsid w:val="63BB307C"/>
    <w:rsid w:val="63C425D8"/>
    <w:rsid w:val="63D5D3EA"/>
    <w:rsid w:val="63D9CBE3"/>
    <w:rsid w:val="63EDDD7C"/>
    <w:rsid w:val="63F5386B"/>
    <w:rsid w:val="63F8DB65"/>
    <w:rsid w:val="63FF1013"/>
    <w:rsid w:val="640D2259"/>
    <w:rsid w:val="640F8A4F"/>
    <w:rsid w:val="641396EA"/>
    <w:rsid w:val="641670A5"/>
    <w:rsid w:val="6419AE21"/>
    <w:rsid w:val="64217C6E"/>
    <w:rsid w:val="642DF307"/>
    <w:rsid w:val="64491F75"/>
    <w:rsid w:val="644E384A"/>
    <w:rsid w:val="6452F737"/>
    <w:rsid w:val="64546A00"/>
    <w:rsid w:val="645642F2"/>
    <w:rsid w:val="6465034C"/>
    <w:rsid w:val="64651BC0"/>
    <w:rsid w:val="646AAE80"/>
    <w:rsid w:val="646FE374"/>
    <w:rsid w:val="64783994"/>
    <w:rsid w:val="6478D3DA"/>
    <w:rsid w:val="64869EAE"/>
    <w:rsid w:val="6499D51E"/>
    <w:rsid w:val="64A6F7C2"/>
    <w:rsid w:val="64AB83B1"/>
    <w:rsid w:val="64B1C876"/>
    <w:rsid w:val="64B41A60"/>
    <w:rsid w:val="64C15759"/>
    <w:rsid w:val="64C36808"/>
    <w:rsid w:val="64C9F9F9"/>
    <w:rsid w:val="64CF3A8E"/>
    <w:rsid w:val="64D3177C"/>
    <w:rsid w:val="64D625AE"/>
    <w:rsid w:val="64D8965F"/>
    <w:rsid w:val="64DE7741"/>
    <w:rsid w:val="64E21F8F"/>
    <w:rsid w:val="64E308BB"/>
    <w:rsid w:val="64F425AE"/>
    <w:rsid w:val="64F7A1F3"/>
    <w:rsid w:val="64FCE3A1"/>
    <w:rsid w:val="650542BC"/>
    <w:rsid w:val="650978B2"/>
    <w:rsid w:val="650B7034"/>
    <w:rsid w:val="650FE71C"/>
    <w:rsid w:val="651BB727"/>
    <w:rsid w:val="652750EE"/>
    <w:rsid w:val="652FD3CE"/>
    <w:rsid w:val="6532A782"/>
    <w:rsid w:val="653987D9"/>
    <w:rsid w:val="653E4402"/>
    <w:rsid w:val="653FE7EE"/>
    <w:rsid w:val="65476965"/>
    <w:rsid w:val="654A12BE"/>
    <w:rsid w:val="654F4F47"/>
    <w:rsid w:val="6551D996"/>
    <w:rsid w:val="6565803F"/>
    <w:rsid w:val="656BC4E1"/>
    <w:rsid w:val="656C4212"/>
    <w:rsid w:val="656E01A8"/>
    <w:rsid w:val="65724773"/>
    <w:rsid w:val="6575F871"/>
    <w:rsid w:val="6576BA47"/>
    <w:rsid w:val="658599E6"/>
    <w:rsid w:val="6587C465"/>
    <w:rsid w:val="658928D1"/>
    <w:rsid w:val="6589A43A"/>
    <w:rsid w:val="6590839F"/>
    <w:rsid w:val="65966414"/>
    <w:rsid w:val="659CA5BF"/>
    <w:rsid w:val="65A87663"/>
    <w:rsid w:val="65AA473E"/>
    <w:rsid w:val="65AB2EA1"/>
    <w:rsid w:val="65B36C18"/>
    <w:rsid w:val="65B5887D"/>
    <w:rsid w:val="65B858B9"/>
    <w:rsid w:val="65B9FECB"/>
    <w:rsid w:val="65BA67C2"/>
    <w:rsid w:val="65BB5806"/>
    <w:rsid w:val="65BDEA78"/>
    <w:rsid w:val="65BE55CF"/>
    <w:rsid w:val="65CC1AA3"/>
    <w:rsid w:val="65D019BD"/>
    <w:rsid w:val="65D3CC68"/>
    <w:rsid w:val="65DF3DBA"/>
    <w:rsid w:val="65F075E1"/>
    <w:rsid w:val="65F94836"/>
    <w:rsid w:val="660069F6"/>
    <w:rsid w:val="66036696"/>
    <w:rsid w:val="66054FF3"/>
    <w:rsid w:val="66081F89"/>
    <w:rsid w:val="660C14BC"/>
    <w:rsid w:val="6611218D"/>
    <w:rsid w:val="661F311C"/>
    <w:rsid w:val="6625D284"/>
    <w:rsid w:val="662B16A9"/>
    <w:rsid w:val="662F0915"/>
    <w:rsid w:val="66363D8E"/>
    <w:rsid w:val="66404F7D"/>
    <w:rsid w:val="66424252"/>
    <w:rsid w:val="6646792F"/>
    <w:rsid w:val="6649DBE5"/>
    <w:rsid w:val="66667416"/>
    <w:rsid w:val="666D16B4"/>
    <w:rsid w:val="66773ED5"/>
    <w:rsid w:val="667ADCAD"/>
    <w:rsid w:val="667AE554"/>
    <w:rsid w:val="668239FF"/>
    <w:rsid w:val="66832342"/>
    <w:rsid w:val="6683C661"/>
    <w:rsid w:val="669FEE43"/>
    <w:rsid w:val="66A7E82F"/>
    <w:rsid w:val="66AD9206"/>
    <w:rsid w:val="66B4A2FA"/>
    <w:rsid w:val="66BE9CB3"/>
    <w:rsid w:val="66C110E6"/>
    <w:rsid w:val="66C16182"/>
    <w:rsid w:val="66C254BD"/>
    <w:rsid w:val="66C45EB0"/>
    <w:rsid w:val="66D027C2"/>
    <w:rsid w:val="66D5B016"/>
    <w:rsid w:val="66D79392"/>
    <w:rsid w:val="66ED1647"/>
    <w:rsid w:val="66EDB57B"/>
    <w:rsid w:val="66FDD934"/>
    <w:rsid w:val="672C4CCF"/>
    <w:rsid w:val="673C0F39"/>
    <w:rsid w:val="67508E20"/>
    <w:rsid w:val="67587101"/>
    <w:rsid w:val="67699EA4"/>
    <w:rsid w:val="677ECA49"/>
    <w:rsid w:val="678A53CA"/>
    <w:rsid w:val="678F04F6"/>
    <w:rsid w:val="6795F3E6"/>
    <w:rsid w:val="679A752E"/>
    <w:rsid w:val="67AAC5F3"/>
    <w:rsid w:val="67B88196"/>
    <w:rsid w:val="67B93DED"/>
    <w:rsid w:val="67C7C419"/>
    <w:rsid w:val="67C9824F"/>
    <w:rsid w:val="67D06E32"/>
    <w:rsid w:val="67D1421E"/>
    <w:rsid w:val="67D440B7"/>
    <w:rsid w:val="67D7FF25"/>
    <w:rsid w:val="67DA7536"/>
    <w:rsid w:val="67DEBD26"/>
    <w:rsid w:val="67E52CFB"/>
    <w:rsid w:val="67E76B60"/>
    <w:rsid w:val="67E97856"/>
    <w:rsid w:val="67EBA9B9"/>
    <w:rsid w:val="67F18BA0"/>
    <w:rsid w:val="67F268BC"/>
    <w:rsid w:val="67F87B81"/>
    <w:rsid w:val="67FCEAC5"/>
    <w:rsid w:val="681D8241"/>
    <w:rsid w:val="681FC13D"/>
    <w:rsid w:val="6824CAFF"/>
    <w:rsid w:val="68279D27"/>
    <w:rsid w:val="68308480"/>
    <w:rsid w:val="68392BE7"/>
    <w:rsid w:val="683C122A"/>
    <w:rsid w:val="683F7E8B"/>
    <w:rsid w:val="68442BE0"/>
    <w:rsid w:val="6854C08F"/>
    <w:rsid w:val="685F8595"/>
    <w:rsid w:val="686AEFE0"/>
    <w:rsid w:val="686B6993"/>
    <w:rsid w:val="686F33E6"/>
    <w:rsid w:val="68704BC9"/>
    <w:rsid w:val="687B7D7B"/>
    <w:rsid w:val="68812F76"/>
    <w:rsid w:val="68A82FD5"/>
    <w:rsid w:val="68A9FD60"/>
    <w:rsid w:val="68AA3EEE"/>
    <w:rsid w:val="68B57520"/>
    <w:rsid w:val="68C0D99D"/>
    <w:rsid w:val="68C27E6E"/>
    <w:rsid w:val="68C43F19"/>
    <w:rsid w:val="68CAA58B"/>
    <w:rsid w:val="68CDD4F9"/>
    <w:rsid w:val="68D236C9"/>
    <w:rsid w:val="68D294A5"/>
    <w:rsid w:val="68DA2828"/>
    <w:rsid w:val="68DBFCA5"/>
    <w:rsid w:val="68E73BD8"/>
    <w:rsid w:val="68F5460F"/>
    <w:rsid w:val="68F82C49"/>
    <w:rsid w:val="68FBF7C0"/>
    <w:rsid w:val="69009F0F"/>
    <w:rsid w:val="69084CC9"/>
    <w:rsid w:val="690A89E7"/>
    <w:rsid w:val="6919DDE2"/>
    <w:rsid w:val="691AEE53"/>
    <w:rsid w:val="692C7AD7"/>
    <w:rsid w:val="6937B534"/>
    <w:rsid w:val="693F945E"/>
    <w:rsid w:val="6941CC15"/>
    <w:rsid w:val="69433481"/>
    <w:rsid w:val="694F73F5"/>
    <w:rsid w:val="696112DD"/>
    <w:rsid w:val="6963DE61"/>
    <w:rsid w:val="6971B37E"/>
    <w:rsid w:val="6974D604"/>
    <w:rsid w:val="6979344D"/>
    <w:rsid w:val="698F484C"/>
    <w:rsid w:val="699CB64B"/>
    <w:rsid w:val="69A47FA1"/>
    <w:rsid w:val="69CC60B6"/>
    <w:rsid w:val="69CD81FB"/>
    <w:rsid w:val="69D48428"/>
    <w:rsid w:val="69D73394"/>
    <w:rsid w:val="69ED75DB"/>
    <w:rsid w:val="69EE0D15"/>
    <w:rsid w:val="69EE9DDC"/>
    <w:rsid w:val="69F27349"/>
    <w:rsid w:val="69F5BE70"/>
    <w:rsid w:val="69F688E1"/>
    <w:rsid w:val="69FB42C3"/>
    <w:rsid w:val="6A0D1725"/>
    <w:rsid w:val="6A273D1D"/>
    <w:rsid w:val="6A2D0CEA"/>
    <w:rsid w:val="6A38FD94"/>
    <w:rsid w:val="6A3A5857"/>
    <w:rsid w:val="6A47D070"/>
    <w:rsid w:val="6A4A4C34"/>
    <w:rsid w:val="6A573539"/>
    <w:rsid w:val="6A593286"/>
    <w:rsid w:val="6A63A91F"/>
    <w:rsid w:val="6A65EDD7"/>
    <w:rsid w:val="6A66DE8A"/>
    <w:rsid w:val="6A6AF5B1"/>
    <w:rsid w:val="6A710A2D"/>
    <w:rsid w:val="6A7B75EA"/>
    <w:rsid w:val="6A7FF6CF"/>
    <w:rsid w:val="6A868064"/>
    <w:rsid w:val="6A890EB3"/>
    <w:rsid w:val="6A8B0EFE"/>
    <w:rsid w:val="6A8CE09B"/>
    <w:rsid w:val="6A8EE880"/>
    <w:rsid w:val="6A94561D"/>
    <w:rsid w:val="6A989FD1"/>
    <w:rsid w:val="6A98D911"/>
    <w:rsid w:val="6A9CA525"/>
    <w:rsid w:val="6A9CAB04"/>
    <w:rsid w:val="6A9D21C6"/>
    <w:rsid w:val="6AA0CAC5"/>
    <w:rsid w:val="6AA64AAA"/>
    <w:rsid w:val="6AA8B9AA"/>
    <w:rsid w:val="6AAA96F1"/>
    <w:rsid w:val="6AB6F390"/>
    <w:rsid w:val="6AC790E3"/>
    <w:rsid w:val="6AC9E96A"/>
    <w:rsid w:val="6AD14CE0"/>
    <w:rsid w:val="6AD414F0"/>
    <w:rsid w:val="6AE2C156"/>
    <w:rsid w:val="6AEA7750"/>
    <w:rsid w:val="6AED710B"/>
    <w:rsid w:val="6AEFD35E"/>
    <w:rsid w:val="6AF33361"/>
    <w:rsid w:val="6B04C071"/>
    <w:rsid w:val="6B0EBAF0"/>
    <w:rsid w:val="6B1F29EA"/>
    <w:rsid w:val="6B261CE5"/>
    <w:rsid w:val="6B2BC239"/>
    <w:rsid w:val="6B3B54ED"/>
    <w:rsid w:val="6B544D62"/>
    <w:rsid w:val="6B58B922"/>
    <w:rsid w:val="6B6A0B6E"/>
    <w:rsid w:val="6B703531"/>
    <w:rsid w:val="6B7A906F"/>
    <w:rsid w:val="6B7B242E"/>
    <w:rsid w:val="6B7B8F54"/>
    <w:rsid w:val="6B82846A"/>
    <w:rsid w:val="6BA4999C"/>
    <w:rsid w:val="6BABD892"/>
    <w:rsid w:val="6BB03F78"/>
    <w:rsid w:val="6BB5AACF"/>
    <w:rsid w:val="6BBAF834"/>
    <w:rsid w:val="6BDAFE44"/>
    <w:rsid w:val="6BDFBEC9"/>
    <w:rsid w:val="6BE93A07"/>
    <w:rsid w:val="6BF071CA"/>
    <w:rsid w:val="6BFAE683"/>
    <w:rsid w:val="6C013F64"/>
    <w:rsid w:val="6C04995B"/>
    <w:rsid w:val="6C0989CB"/>
    <w:rsid w:val="6C0B8FEC"/>
    <w:rsid w:val="6C0DCF20"/>
    <w:rsid w:val="6C135636"/>
    <w:rsid w:val="6C1713D8"/>
    <w:rsid w:val="6C1E3BC1"/>
    <w:rsid w:val="6C1E82BD"/>
    <w:rsid w:val="6C21260C"/>
    <w:rsid w:val="6C2200A1"/>
    <w:rsid w:val="6C36B9C0"/>
    <w:rsid w:val="6C383FD1"/>
    <w:rsid w:val="6C4B5C49"/>
    <w:rsid w:val="6C5B7A5B"/>
    <w:rsid w:val="6C5F81AE"/>
    <w:rsid w:val="6C6FC3E1"/>
    <w:rsid w:val="6C70FC23"/>
    <w:rsid w:val="6C7167E1"/>
    <w:rsid w:val="6C74C615"/>
    <w:rsid w:val="6C82141A"/>
    <w:rsid w:val="6C862959"/>
    <w:rsid w:val="6C870DD3"/>
    <w:rsid w:val="6C8BED1E"/>
    <w:rsid w:val="6C8F58C4"/>
    <w:rsid w:val="6C9095DF"/>
    <w:rsid w:val="6C93B222"/>
    <w:rsid w:val="6C95CBD0"/>
    <w:rsid w:val="6CA68399"/>
    <w:rsid w:val="6CA95440"/>
    <w:rsid w:val="6CABABA3"/>
    <w:rsid w:val="6CB2EAF5"/>
    <w:rsid w:val="6CBEDF7D"/>
    <w:rsid w:val="6CE4329A"/>
    <w:rsid w:val="6CEA714D"/>
    <w:rsid w:val="6D01DE5E"/>
    <w:rsid w:val="6D0711F6"/>
    <w:rsid w:val="6D1446A0"/>
    <w:rsid w:val="6D16D4F9"/>
    <w:rsid w:val="6D1A05E8"/>
    <w:rsid w:val="6D1A7ABC"/>
    <w:rsid w:val="6D23BDCD"/>
    <w:rsid w:val="6D23C121"/>
    <w:rsid w:val="6D2B187C"/>
    <w:rsid w:val="6D35DBF3"/>
    <w:rsid w:val="6D42AAEB"/>
    <w:rsid w:val="6D45090C"/>
    <w:rsid w:val="6D4817B1"/>
    <w:rsid w:val="6D6352CC"/>
    <w:rsid w:val="6D665DB5"/>
    <w:rsid w:val="6D69EBDA"/>
    <w:rsid w:val="6D72AB53"/>
    <w:rsid w:val="6D749F04"/>
    <w:rsid w:val="6D8136C8"/>
    <w:rsid w:val="6D9206B9"/>
    <w:rsid w:val="6D937B2D"/>
    <w:rsid w:val="6DB1D56D"/>
    <w:rsid w:val="6DB64086"/>
    <w:rsid w:val="6DBF69B8"/>
    <w:rsid w:val="6DD23A95"/>
    <w:rsid w:val="6DD37D24"/>
    <w:rsid w:val="6DD41DAE"/>
    <w:rsid w:val="6DDC404F"/>
    <w:rsid w:val="6DDEDD52"/>
    <w:rsid w:val="6DE58663"/>
    <w:rsid w:val="6DF0E036"/>
    <w:rsid w:val="6DF48EAB"/>
    <w:rsid w:val="6DF4B8A6"/>
    <w:rsid w:val="6DF50DCC"/>
    <w:rsid w:val="6DF86BA1"/>
    <w:rsid w:val="6DFDE3B8"/>
    <w:rsid w:val="6E0CE964"/>
    <w:rsid w:val="6E109676"/>
    <w:rsid w:val="6E170162"/>
    <w:rsid w:val="6E1FC5C5"/>
    <w:rsid w:val="6E262BE1"/>
    <w:rsid w:val="6E2646F2"/>
    <w:rsid w:val="6E277169"/>
    <w:rsid w:val="6E2FF9E5"/>
    <w:rsid w:val="6E32F829"/>
    <w:rsid w:val="6E3605F2"/>
    <w:rsid w:val="6E43B86A"/>
    <w:rsid w:val="6E641D9A"/>
    <w:rsid w:val="6E7D8CDD"/>
    <w:rsid w:val="6E80048A"/>
    <w:rsid w:val="6E8208EA"/>
    <w:rsid w:val="6E8BB04A"/>
    <w:rsid w:val="6E8F9FCD"/>
    <w:rsid w:val="6E90D2B9"/>
    <w:rsid w:val="6E96904B"/>
    <w:rsid w:val="6E97F756"/>
    <w:rsid w:val="6E9D780E"/>
    <w:rsid w:val="6EA39F76"/>
    <w:rsid w:val="6EACE4B6"/>
    <w:rsid w:val="6EB73CFC"/>
    <w:rsid w:val="6ECEB223"/>
    <w:rsid w:val="6ED20299"/>
    <w:rsid w:val="6EE2CFEF"/>
    <w:rsid w:val="6EE7A581"/>
    <w:rsid w:val="6EEACC65"/>
    <w:rsid w:val="6EFDB354"/>
    <w:rsid w:val="6F050F76"/>
    <w:rsid w:val="6F0B86F1"/>
    <w:rsid w:val="6F125111"/>
    <w:rsid w:val="6F14476E"/>
    <w:rsid w:val="6F294509"/>
    <w:rsid w:val="6F2A0986"/>
    <w:rsid w:val="6F2B7692"/>
    <w:rsid w:val="6F3199F3"/>
    <w:rsid w:val="6F32C0E4"/>
    <w:rsid w:val="6F36535E"/>
    <w:rsid w:val="6F3D5CB9"/>
    <w:rsid w:val="6F42D579"/>
    <w:rsid w:val="6F5B5B01"/>
    <w:rsid w:val="6F5E1B7A"/>
    <w:rsid w:val="6F6347AA"/>
    <w:rsid w:val="6F879566"/>
    <w:rsid w:val="6F893B15"/>
    <w:rsid w:val="6F8AEE26"/>
    <w:rsid w:val="6F8AFC9E"/>
    <w:rsid w:val="6F99D37C"/>
    <w:rsid w:val="6FA40777"/>
    <w:rsid w:val="6FA5FA99"/>
    <w:rsid w:val="6FAB9D89"/>
    <w:rsid w:val="6FAE1D4F"/>
    <w:rsid w:val="6FB0CE08"/>
    <w:rsid w:val="6FBAD8D2"/>
    <w:rsid w:val="6FC3C2AA"/>
    <w:rsid w:val="6FC51371"/>
    <w:rsid w:val="6FD073CB"/>
    <w:rsid w:val="6FD5828C"/>
    <w:rsid w:val="6FD644DA"/>
    <w:rsid w:val="6FD8CA13"/>
    <w:rsid w:val="6FDA5B7D"/>
    <w:rsid w:val="6FE977AC"/>
    <w:rsid w:val="6FF0BCA9"/>
    <w:rsid w:val="70173A3F"/>
    <w:rsid w:val="702745C4"/>
    <w:rsid w:val="702A0BB9"/>
    <w:rsid w:val="7031EEC1"/>
    <w:rsid w:val="704313AA"/>
    <w:rsid w:val="70505157"/>
    <w:rsid w:val="7051B008"/>
    <w:rsid w:val="70607576"/>
    <w:rsid w:val="7060E906"/>
    <w:rsid w:val="706764F4"/>
    <w:rsid w:val="706CA469"/>
    <w:rsid w:val="706D0F5F"/>
    <w:rsid w:val="70789536"/>
    <w:rsid w:val="707ECDA1"/>
    <w:rsid w:val="707FF3AB"/>
    <w:rsid w:val="7094B6BD"/>
    <w:rsid w:val="70987064"/>
    <w:rsid w:val="709E27F2"/>
    <w:rsid w:val="70AC5935"/>
    <w:rsid w:val="70ACEA15"/>
    <w:rsid w:val="70B4D25D"/>
    <w:rsid w:val="70B50FFD"/>
    <w:rsid w:val="70C1D507"/>
    <w:rsid w:val="70D33107"/>
    <w:rsid w:val="70D394DB"/>
    <w:rsid w:val="70D7DD85"/>
    <w:rsid w:val="70E04648"/>
    <w:rsid w:val="70E9299A"/>
    <w:rsid w:val="70EDC95A"/>
    <w:rsid w:val="70F19211"/>
    <w:rsid w:val="70F2795E"/>
    <w:rsid w:val="71067147"/>
    <w:rsid w:val="710CD66B"/>
    <w:rsid w:val="710E0EE2"/>
    <w:rsid w:val="7111F18F"/>
    <w:rsid w:val="712F75B6"/>
    <w:rsid w:val="713142F1"/>
    <w:rsid w:val="7139D2DC"/>
    <w:rsid w:val="713BCB1E"/>
    <w:rsid w:val="713D5478"/>
    <w:rsid w:val="71472AE2"/>
    <w:rsid w:val="714AACFE"/>
    <w:rsid w:val="714DE2B8"/>
    <w:rsid w:val="715944A1"/>
    <w:rsid w:val="715970C7"/>
    <w:rsid w:val="71634D3E"/>
    <w:rsid w:val="7164F794"/>
    <w:rsid w:val="7173556B"/>
    <w:rsid w:val="717831F0"/>
    <w:rsid w:val="717FDE4F"/>
    <w:rsid w:val="71882C2A"/>
    <w:rsid w:val="718AA2EB"/>
    <w:rsid w:val="718ADCEB"/>
    <w:rsid w:val="71983BD6"/>
    <w:rsid w:val="71984ABC"/>
    <w:rsid w:val="71A2B7FC"/>
    <w:rsid w:val="71BE1DAF"/>
    <w:rsid w:val="71C470CD"/>
    <w:rsid w:val="71D18A5C"/>
    <w:rsid w:val="71D56CD2"/>
    <w:rsid w:val="71D96877"/>
    <w:rsid w:val="71DCFCA9"/>
    <w:rsid w:val="71E08C9E"/>
    <w:rsid w:val="71EB56CF"/>
    <w:rsid w:val="71EBBC02"/>
    <w:rsid w:val="71F74BD6"/>
    <w:rsid w:val="71FC6D25"/>
    <w:rsid w:val="72052E91"/>
    <w:rsid w:val="7212D707"/>
    <w:rsid w:val="721CB792"/>
    <w:rsid w:val="721D3B19"/>
    <w:rsid w:val="721F2817"/>
    <w:rsid w:val="722D45C8"/>
    <w:rsid w:val="72349DFB"/>
    <w:rsid w:val="7235F10B"/>
    <w:rsid w:val="723B455D"/>
    <w:rsid w:val="723F1D6C"/>
    <w:rsid w:val="72480EF0"/>
    <w:rsid w:val="724B0005"/>
    <w:rsid w:val="725948BC"/>
    <w:rsid w:val="7259833E"/>
    <w:rsid w:val="725DE095"/>
    <w:rsid w:val="7265F438"/>
    <w:rsid w:val="7273E2E0"/>
    <w:rsid w:val="727A099B"/>
    <w:rsid w:val="72921BA4"/>
    <w:rsid w:val="72945177"/>
    <w:rsid w:val="729B27DC"/>
    <w:rsid w:val="729CA5CB"/>
    <w:rsid w:val="72B22995"/>
    <w:rsid w:val="72B874AE"/>
    <w:rsid w:val="72BE3A0D"/>
    <w:rsid w:val="72C02692"/>
    <w:rsid w:val="72CB4F8C"/>
    <w:rsid w:val="72CD79A8"/>
    <w:rsid w:val="72D05C32"/>
    <w:rsid w:val="72DDBF8B"/>
    <w:rsid w:val="72E21B02"/>
    <w:rsid w:val="72EB6E6F"/>
    <w:rsid w:val="72F28769"/>
    <w:rsid w:val="72F36079"/>
    <w:rsid w:val="72F7A288"/>
    <w:rsid w:val="72FD4008"/>
    <w:rsid w:val="72FD4D4A"/>
    <w:rsid w:val="72FFDEC4"/>
    <w:rsid w:val="72FFEA6C"/>
    <w:rsid w:val="73090A12"/>
    <w:rsid w:val="730FEDD7"/>
    <w:rsid w:val="73116E41"/>
    <w:rsid w:val="731EC89D"/>
    <w:rsid w:val="731F55BD"/>
    <w:rsid w:val="7322D085"/>
    <w:rsid w:val="7327641A"/>
    <w:rsid w:val="73276907"/>
    <w:rsid w:val="732E5C7A"/>
    <w:rsid w:val="73451173"/>
    <w:rsid w:val="7349737D"/>
    <w:rsid w:val="735D4DEF"/>
    <w:rsid w:val="735DBCB7"/>
    <w:rsid w:val="7372F143"/>
    <w:rsid w:val="737B3AB7"/>
    <w:rsid w:val="737CB48C"/>
    <w:rsid w:val="7390F1D2"/>
    <w:rsid w:val="73A3DA4C"/>
    <w:rsid w:val="73A7892C"/>
    <w:rsid w:val="73B94BAD"/>
    <w:rsid w:val="73BDC2B9"/>
    <w:rsid w:val="73C81AB8"/>
    <w:rsid w:val="73C969FB"/>
    <w:rsid w:val="73CB1E9D"/>
    <w:rsid w:val="73D7D9CF"/>
    <w:rsid w:val="73D9005F"/>
    <w:rsid w:val="73EA63FD"/>
    <w:rsid w:val="73EB4036"/>
    <w:rsid w:val="73EDFAC3"/>
    <w:rsid w:val="7416EF66"/>
    <w:rsid w:val="741ABBC2"/>
    <w:rsid w:val="742E486F"/>
    <w:rsid w:val="743004EA"/>
    <w:rsid w:val="7432B327"/>
    <w:rsid w:val="743734B3"/>
    <w:rsid w:val="7438D04B"/>
    <w:rsid w:val="743ED0D1"/>
    <w:rsid w:val="7443F6AA"/>
    <w:rsid w:val="74502F9D"/>
    <w:rsid w:val="7452B793"/>
    <w:rsid w:val="74538B01"/>
    <w:rsid w:val="7454A39D"/>
    <w:rsid w:val="7456D19E"/>
    <w:rsid w:val="745ABD67"/>
    <w:rsid w:val="745E4081"/>
    <w:rsid w:val="747B5516"/>
    <w:rsid w:val="7484C470"/>
    <w:rsid w:val="748D3DDB"/>
    <w:rsid w:val="748F9DEC"/>
    <w:rsid w:val="7499D6FE"/>
    <w:rsid w:val="74A30854"/>
    <w:rsid w:val="74ACEE19"/>
    <w:rsid w:val="74BD3689"/>
    <w:rsid w:val="74E4F16D"/>
    <w:rsid w:val="74E8B0F0"/>
    <w:rsid w:val="74EF3443"/>
    <w:rsid w:val="74FCD077"/>
    <w:rsid w:val="7500B6E0"/>
    <w:rsid w:val="75183974"/>
    <w:rsid w:val="7528F676"/>
    <w:rsid w:val="75352543"/>
    <w:rsid w:val="7536E685"/>
    <w:rsid w:val="75454CA7"/>
    <w:rsid w:val="75485318"/>
    <w:rsid w:val="7554696E"/>
    <w:rsid w:val="75549037"/>
    <w:rsid w:val="75579022"/>
    <w:rsid w:val="7558C562"/>
    <w:rsid w:val="755AD70C"/>
    <w:rsid w:val="755AF071"/>
    <w:rsid w:val="755B59A4"/>
    <w:rsid w:val="75608699"/>
    <w:rsid w:val="7564CDE1"/>
    <w:rsid w:val="75741F1B"/>
    <w:rsid w:val="7574FD34"/>
    <w:rsid w:val="757BE643"/>
    <w:rsid w:val="757CBE86"/>
    <w:rsid w:val="759A01A4"/>
    <w:rsid w:val="759FDC96"/>
    <w:rsid w:val="75A75E5E"/>
    <w:rsid w:val="75B649E2"/>
    <w:rsid w:val="75B6E39E"/>
    <w:rsid w:val="75C0BEC9"/>
    <w:rsid w:val="75C643A1"/>
    <w:rsid w:val="75CC2D3A"/>
    <w:rsid w:val="75D1580F"/>
    <w:rsid w:val="75DAEFCC"/>
    <w:rsid w:val="75DC5592"/>
    <w:rsid w:val="75E63032"/>
    <w:rsid w:val="75F4A822"/>
    <w:rsid w:val="75FB5EF5"/>
    <w:rsid w:val="75FC341E"/>
    <w:rsid w:val="75FC5155"/>
    <w:rsid w:val="76102346"/>
    <w:rsid w:val="76250122"/>
    <w:rsid w:val="762C0D77"/>
    <w:rsid w:val="7631F043"/>
    <w:rsid w:val="764556D3"/>
    <w:rsid w:val="7650DA34"/>
    <w:rsid w:val="766D31B0"/>
    <w:rsid w:val="766E7D54"/>
    <w:rsid w:val="766F2E6C"/>
    <w:rsid w:val="76726ECB"/>
    <w:rsid w:val="7672EB2F"/>
    <w:rsid w:val="76848151"/>
    <w:rsid w:val="768757CC"/>
    <w:rsid w:val="768B939E"/>
    <w:rsid w:val="768E175B"/>
    <w:rsid w:val="769D8039"/>
    <w:rsid w:val="76C448C9"/>
    <w:rsid w:val="76C988F5"/>
    <w:rsid w:val="76CD10F7"/>
    <w:rsid w:val="76CD53BB"/>
    <w:rsid w:val="76CD6EBB"/>
    <w:rsid w:val="76DBCCBD"/>
    <w:rsid w:val="76DC131B"/>
    <w:rsid w:val="76DDBF20"/>
    <w:rsid w:val="76E75680"/>
    <w:rsid w:val="76EDC0F0"/>
    <w:rsid w:val="76F19D1B"/>
    <w:rsid w:val="76F2592F"/>
    <w:rsid w:val="77099688"/>
    <w:rsid w:val="770C12AB"/>
    <w:rsid w:val="7712B3B2"/>
    <w:rsid w:val="7733DDB0"/>
    <w:rsid w:val="774810B0"/>
    <w:rsid w:val="774A320C"/>
    <w:rsid w:val="77564519"/>
    <w:rsid w:val="775D22CC"/>
    <w:rsid w:val="77664B3D"/>
    <w:rsid w:val="776CFC7E"/>
    <w:rsid w:val="7778E574"/>
    <w:rsid w:val="77862FC7"/>
    <w:rsid w:val="778EADAE"/>
    <w:rsid w:val="7798555C"/>
    <w:rsid w:val="77A381AC"/>
    <w:rsid w:val="77A9A140"/>
    <w:rsid w:val="77B10C7E"/>
    <w:rsid w:val="77B3C365"/>
    <w:rsid w:val="77B50CBB"/>
    <w:rsid w:val="77BD86AF"/>
    <w:rsid w:val="77CC9BDD"/>
    <w:rsid w:val="77CDE3E6"/>
    <w:rsid w:val="77CF6F5B"/>
    <w:rsid w:val="77D2C284"/>
    <w:rsid w:val="77D3B9D8"/>
    <w:rsid w:val="77DDCD8B"/>
    <w:rsid w:val="77E92100"/>
    <w:rsid w:val="77F82A41"/>
    <w:rsid w:val="77FDD18E"/>
    <w:rsid w:val="780B7DCA"/>
    <w:rsid w:val="781B8DE6"/>
    <w:rsid w:val="781E9322"/>
    <w:rsid w:val="781F06B6"/>
    <w:rsid w:val="78330CD6"/>
    <w:rsid w:val="7834884F"/>
    <w:rsid w:val="784137EF"/>
    <w:rsid w:val="78422D1A"/>
    <w:rsid w:val="784A8BA9"/>
    <w:rsid w:val="7863ADED"/>
    <w:rsid w:val="786CCD15"/>
    <w:rsid w:val="786F13E3"/>
    <w:rsid w:val="7870D91A"/>
    <w:rsid w:val="787FAFD9"/>
    <w:rsid w:val="78830C96"/>
    <w:rsid w:val="788FC1EE"/>
    <w:rsid w:val="789D71F7"/>
    <w:rsid w:val="789DCC98"/>
    <w:rsid w:val="78A46E90"/>
    <w:rsid w:val="78BACFA5"/>
    <w:rsid w:val="78BF02C8"/>
    <w:rsid w:val="78BF7367"/>
    <w:rsid w:val="78CDDA73"/>
    <w:rsid w:val="78D0C233"/>
    <w:rsid w:val="78D23FF2"/>
    <w:rsid w:val="78D46BD8"/>
    <w:rsid w:val="78DAFE5B"/>
    <w:rsid w:val="78DB6D45"/>
    <w:rsid w:val="78DE40C2"/>
    <w:rsid w:val="78E0C19F"/>
    <w:rsid w:val="78E1F228"/>
    <w:rsid w:val="78E80A45"/>
    <w:rsid w:val="78E867D9"/>
    <w:rsid w:val="78F1C250"/>
    <w:rsid w:val="78F2CA3F"/>
    <w:rsid w:val="78F55CA2"/>
    <w:rsid w:val="790A275A"/>
    <w:rsid w:val="790A3640"/>
    <w:rsid w:val="7911FA4A"/>
    <w:rsid w:val="7914E452"/>
    <w:rsid w:val="7915736C"/>
    <w:rsid w:val="791D0335"/>
    <w:rsid w:val="792C2292"/>
    <w:rsid w:val="793B15D9"/>
    <w:rsid w:val="794A369E"/>
    <w:rsid w:val="7954BF3D"/>
    <w:rsid w:val="79623354"/>
    <w:rsid w:val="7965B16D"/>
    <w:rsid w:val="796EB8B0"/>
    <w:rsid w:val="79701B47"/>
    <w:rsid w:val="7972931A"/>
    <w:rsid w:val="797A43A1"/>
    <w:rsid w:val="79839698"/>
    <w:rsid w:val="798639B2"/>
    <w:rsid w:val="798661C2"/>
    <w:rsid w:val="7988836A"/>
    <w:rsid w:val="798B7DCB"/>
    <w:rsid w:val="7994F321"/>
    <w:rsid w:val="79A759BC"/>
    <w:rsid w:val="79ADD9F5"/>
    <w:rsid w:val="79B07817"/>
    <w:rsid w:val="79B86290"/>
    <w:rsid w:val="79BB714B"/>
    <w:rsid w:val="79BC52AF"/>
    <w:rsid w:val="79BC9D85"/>
    <w:rsid w:val="79C6638F"/>
    <w:rsid w:val="79D41D95"/>
    <w:rsid w:val="79D5D27A"/>
    <w:rsid w:val="79DFF780"/>
    <w:rsid w:val="79EBC031"/>
    <w:rsid w:val="79EEA59B"/>
    <w:rsid w:val="79F2336D"/>
    <w:rsid w:val="79F60FD7"/>
    <w:rsid w:val="79FC405B"/>
    <w:rsid w:val="79FFD595"/>
    <w:rsid w:val="7A10851E"/>
    <w:rsid w:val="7A147B2C"/>
    <w:rsid w:val="7A149EB4"/>
    <w:rsid w:val="7A1777BB"/>
    <w:rsid w:val="7A1A99E4"/>
    <w:rsid w:val="7A2418A6"/>
    <w:rsid w:val="7A27861E"/>
    <w:rsid w:val="7A2854C3"/>
    <w:rsid w:val="7A2CD431"/>
    <w:rsid w:val="7A49FF72"/>
    <w:rsid w:val="7A6C1D07"/>
    <w:rsid w:val="7A783B46"/>
    <w:rsid w:val="7A7DBFF1"/>
    <w:rsid w:val="7A7EA55A"/>
    <w:rsid w:val="7A7F60A2"/>
    <w:rsid w:val="7A939ED7"/>
    <w:rsid w:val="7A978158"/>
    <w:rsid w:val="7AA17A6B"/>
    <w:rsid w:val="7AB2F7C2"/>
    <w:rsid w:val="7ACED990"/>
    <w:rsid w:val="7AE02DE2"/>
    <w:rsid w:val="7AE8B266"/>
    <w:rsid w:val="7AEEF108"/>
    <w:rsid w:val="7B0915FA"/>
    <w:rsid w:val="7B19D12B"/>
    <w:rsid w:val="7B231725"/>
    <w:rsid w:val="7B264182"/>
    <w:rsid w:val="7B26991B"/>
    <w:rsid w:val="7B273398"/>
    <w:rsid w:val="7B2E3F35"/>
    <w:rsid w:val="7B306E8F"/>
    <w:rsid w:val="7B3235B0"/>
    <w:rsid w:val="7B349622"/>
    <w:rsid w:val="7B357B8A"/>
    <w:rsid w:val="7B3F5AB3"/>
    <w:rsid w:val="7B466C44"/>
    <w:rsid w:val="7B5D5452"/>
    <w:rsid w:val="7B60F099"/>
    <w:rsid w:val="7B61AB0B"/>
    <w:rsid w:val="7B62D537"/>
    <w:rsid w:val="7B726FC7"/>
    <w:rsid w:val="7B80DF33"/>
    <w:rsid w:val="7B884A91"/>
    <w:rsid w:val="7B8B7A00"/>
    <w:rsid w:val="7B8CE1EC"/>
    <w:rsid w:val="7B9079F2"/>
    <w:rsid w:val="7B9C2391"/>
    <w:rsid w:val="7B9D03FD"/>
    <w:rsid w:val="7BAE9D71"/>
    <w:rsid w:val="7BB2C3FD"/>
    <w:rsid w:val="7BBB3576"/>
    <w:rsid w:val="7BBD8C70"/>
    <w:rsid w:val="7BC4F89F"/>
    <w:rsid w:val="7BC714C0"/>
    <w:rsid w:val="7BCBF7CF"/>
    <w:rsid w:val="7BDA8776"/>
    <w:rsid w:val="7BE1FB32"/>
    <w:rsid w:val="7BEBF36F"/>
    <w:rsid w:val="7BED4159"/>
    <w:rsid w:val="7BF3646E"/>
    <w:rsid w:val="7BF4A84E"/>
    <w:rsid w:val="7C062253"/>
    <w:rsid w:val="7C0BCDB4"/>
    <w:rsid w:val="7C1E9422"/>
    <w:rsid w:val="7C23C087"/>
    <w:rsid w:val="7C2A0C20"/>
    <w:rsid w:val="7C2A138C"/>
    <w:rsid w:val="7C2FECA9"/>
    <w:rsid w:val="7C33036E"/>
    <w:rsid w:val="7C3D882C"/>
    <w:rsid w:val="7C55CC8E"/>
    <w:rsid w:val="7C602852"/>
    <w:rsid w:val="7C688964"/>
    <w:rsid w:val="7C6B479C"/>
    <w:rsid w:val="7C814BDB"/>
    <w:rsid w:val="7C8C1D6B"/>
    <w:rsid w:val="7C90295E"/>
    <w:rsid w:val="7C93DF9D"/>
    <w:rsid w:val="7C93ED43"/>
    <w:rsid w:val="7CA52DE2"/>
    <w:rsid w:val="7CAE8D4F"/>
    <w:rsid w:val="7CB75E86"/>
    <w:rsid w:val="7CB823ED"/>
    <w:rsid w:val="7CC89975"/>
    <w:rsid w:val="7CCB4204"/>
    <w:rsid w:val="7CE35E60"/>
    <w:rsid w:val="7CE98CEA"/>
    <w:rsid w:val="7CEE3A18"/>
    <w:rsid w:val="7CF00352"/>
    <w:rsid w:val="7CF8AA70"/>
    <w:rsid w:val="7CFE8150"/>
    <w:rsid w:val="7D092BAF"/>
    <w:rsid w:val="7D0AD4A3"/>
    <w:rsid w:val="7D0D05DB"/>
    <w:rsid w:val="7D10D301"/>
    <w:rsid w:val="7D259E56"/>
    <w:rsid w:val="7D28EB97"/>
    <w:rsid w:val="7D2B406A"/>
    <w:rsid w:val="7D4FCCE4"/>
    <w:rsid w:val="7D556C4D"/>
    <w:rsid w:val="7D61C2AA"/>
    <w:rsid w:val="7D629BCF"/>
    <w:rsid w:val="7D66BBFD"/>
    <w:rsid w:val="7D6CBE59"/>
    <w:rsid w:val="7D77E589"/>
    <w:rsid w:val="7D90009B"/>
    <w:rsid w:val="7D9590A0"/>
    <w:rsid w:val="7D963AC1"/>
    <w:rsid w:val="7D9DF142"/>
    <w:rsid w:val="7DABBBF2"/>
    <w:rsid w:val="7DB19C5C"/>
    <w:rsid w:val="7DB5D13D"/>
    <w:rsid w:val="7DB8B240"/>
    <w:rsid w:val="7DBD53E6"/>
    <w:rsid w:val="7DC27D6D"/>
    <w:rsid w:val="7DC46733"/>
    <w:rsid w:val="7DC580DA"/>
    <w:rsid w:val="7DD960D8"/>
    <w:rsid w:val="7DE48170"/>
    <w:rsid w:val="7DEBFA72"/>
    <w:rsid w:val="7DF1301F"/>
    <w:rsid w:val="7DFA6039"/>
    <w:rsid w:val="7DFC9203"/>
    <w:rsid w:val="7DFCF016"/>
    <w:rsid w:val="7E033803"/>
    <w:rsid w:val="7E08B161"/>
    <w:rsid w:val="7E17032B"/>
    <w:rsid w:val="7E1D03BF"/>
    <w:rsid w:val="7E2663D5"/>
    <w:rsid w:val="7E2D1B03"/>
    <w:rsid w:val="7E2E156F"/>
    <w:rsid w:val="7E30508C"/>
    <w:rsid w:val="7E3A727E"/>
    <w:rsid w:val="7E3D9E21"/>
    <w:rsid w:val="7E650DC9"/>
    <w:rsid w:val="7E6C528F"/>
    <w:rsid w:val="7E7FCBFB"/>
    <w:rsid w:val="7E83EE53"/>
    <w:rsid w:val="7E84859E"/>
    <w:rsid w:val="7E8DFD50"/>
    <w:rsid w:val="7E9E9ADF"/>
    <w:rsid w:val="7EB57839"/>
    <w:rsid w:val="7EBB162C"/>
    <w:rsid w:val="7EBBB1C3"/>
    <w:rsid w:val="7EBC4091"/>
    <w:rsid w:val="7EBCE1EF"/>
    <w:rsid w:val="7EBFCEBE"/>
    <w:rsid w:val="7EC484FE"/>
    <w:rsid w:val="7ECE12E0"/>
    <w:rsid w:val="7EDD90D6"/>
    <w:rsid w:val="7EDDC544"/>
    <w:rsid w:val="7EE6CCBC"/>
    <w:rsid w:val="7EF0D3CC"/>
    <w:rsid w:val="7EFB1969"/>
    <w:rsid w:val="7EFE37FF"/>
    <w:rsid w:val="7F0203FA"/>
    <w:rsid w:val="7F065A18"/>
    <w:rsid w:val="7F1DFDB7"/>
    <w:rsid w:val="7F21B464"/>
    <w:rsid w:val="7F29D64A"/>
    <w:rsid w:val="7F31516A"/>
    <w:rsid w:val="7F3A3E7B"/>
    <w:rsid w:val="7F42C791"/>
    <w:rsid w:val="7F43FF60"/>
    <w:rsid w:val="7F4E2932"/>
    <w:rsid w:val="7F566D27"/>
    <w:rsid w:val="7F577CCD"/>
    <w:rsid w:val="7F5ABB02"/>
    <w:rsid w:val="7F6422AB"/>
    <w:rsid w:val="7F7394C0"/>
    <w:rsid w:val="7F77C92C"/>
    <w:rsid w:val="7F79C29F"/>
    <w:rsid w:val="7F9C655F"/>
    <w:rsid w:val="7FA4247F"/>
    <w:rsid w:val="7FA9CD09"/>
    <w:rsid w:val="7FAA06D0"/>
    <w:rsid w:val="7FABD98D"/>
    <w:rsid w:val="7FAE6786"/>
    <w:rsid w:val="7FB0E406"/>
    <w:rsid w:val="7FB1FB36"/>
    <w:rsid w:val="7FBE0C09"/>
    <w:rsid w:val="7FD1199E"/>
    <w:rsid w:val="7FD2F132"/>
    <w:rsid w:val="7FDB5633"/>
    <w:rsid w:val="7FE005D0"/>
    <w:rsid w:val="7FE285A6"/>
    <w:rsid w:val="7FF55F1A"/>
    <w:rsid w:val="7FFA37F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49258"/>
  <w15:docId w15:val="{092BEC9F-7EDE-48C6-BD8C-FB326E09DA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qFormat="1"/>
    <w:lsdException w:name="annotation text" w:semiHidden="1"/>
    <w:lsdException w:name="header" w:uiPriority="0" w:semiHidden="1" w:unhideWhenUsed="1"/>
    <w:lsdException w:name="footer" w:uiPriority="0" w:semiHidden="1" w:unhideWhenUsed="1"/>
    <w:lsdException w:name="index heading" w:semiHidden="1"/>
    <w:lsdException w:name="caption" w:uiPriority="0" w:semiHidden="1"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uiPriority="1" w:semiHidden="1" w:unhideWhenUsed="1"/>
    <w:lsdException w:name="Body Text" w:uiPriority="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2D31"/>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E3890"/>
    <w:pPr>
      <w:keepNext/>
      <w:tabs>
        <w:tab w:val="left" w:pos="851"/>
      </w:tabs>
      <w:spacing w:before="0" w:after="360" w:line="600" w:lineRule="atLeast"/>
      <w:jc w:val="left"/>
      <w:outlineLvl w:val="0"/>
    </w:pPr>
    <w:rPr>
      <w:rFonts w:ascii="Georgia" w:hAnsi="Georgia" w:eastAsiaTheme="majorEastAsia" w:cstheme="majorBidi"/>
      <w:b/>
      <w:bCs/>
      <w:color w:val="1B556B"/>
      <w:sz w:val="48"/>
      <w:szCs w:val="28"/>
    </w:rPr>
  </w:style>
  <w:style w:type="paragraph" w:styleId="Heading2">
    <w:name w:val="heading 2"/>
    <w:basedOn w:val="Normal"/>
    <w:next w:val="BodyText"/>
    <w:link w:val="Heading2Char"/>
    <w:qFormat/>
    <w:rsid w:val="009C16D7"/>
    <w:pPr>
      <w:keepNext/>
      <w:tabs>
        <w:tab w:val="left" w:pos="851"/>
      </w:tabs>
      <w:spacing w:before="360" w:after="0" w:line="440" w:lineRule="atLeast"/>
      <w:jc w:val="left"/>
      <w:outlineLvl w:val="1"/>
    </w:pPr>
    <w:rPr>
      <w:rFonts w:ascii="Georgia" w:hAnsi="Georgia" w:eastAsiaTheme="majorEastAsia" w:cstheme="majorBidi"/>
      <w:b/>
      <w:bCs/>
      <w:color w:val="1B556B"/>
      <w:sz w:val="36"/>
      <w:szCs w:val="36"/>
    </w:rPr>
  </w:style>
  <w:style w:type="paragraph" w:styleId="Heading3">
    <w:name w:val="heading 3"/>
    <w:basedOn w:val="Normal"/>
    <w:next w:val="BodyText"/>
    <w:link w:val="Heading3Char"/>
    <w:qFormat/>
    <w:rsid w:val="00A760B3"/>
    <w:pPr>
      <w:keepNext/>
      <w:tabs>
        <w:tab w:val="left" w:pos="851"/>
      </w:tabs>
      <w:spacing w:before="360" w:after="0" w:line="360" w:lineRule="exact"/>
      <w:jc w:val="left"/>
      <w:outlineLvl w:val="2"/>
    </w:pPr>
    <w:rPr>
      <w:rFonts w:ascii="Georgia" w:hAnsi="Georgia" w:eastAsiaTheme="majorEastAsia" w:cstheme="majorBidi"/>
      <w:b/>
      <w:bCs/>
      <w:sz w:val="28"/>
    </w:rPr>
  </w:style>
  <w:style w:type="paragraph" w:styleId="Heading4">
    <w:name w:val="heading 4"/>
    <w:basedOn w:val="Heading3"/>
    <w:next w:val="BodyText"/>
    <w:link w:val="Heading4Char"/>
    <w:qFormat/>
    <w:rsid w:val="0074184D"/>
    <w:pPr>
      <w:spacing w:before="240"/>
      <w:outlineLvl w:val="3"/>
    </w:pPr>
    <w:rPr>
      <w:sz w:val="24"/>
    </w:rPr>
  </w:style>
  <w:style w:type="paragraph" w:styleId="Heading5">
    <w:name w:val="heading 5"/>
    <w:basedOn w:val="Normal"/>
    <w:next w:val="BodyText"/>
    <w:link w:val="Heading5Char"/>
    <w:qFormat/>
    <w:rsid w:val="00C245E7"/>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E3890"/>
    <w:rPr>
      <w:rFonts w:ascii="Georgia" w:hAnsi="Georgia" w:eastAsiaTheme="majorEastAsia" w:cstheme="majorBidi"/>
      <w:b/>
      <w:bCs/>
      <w:color w:val="1B556B"/>
      <w:sz w:val="48"/>
      <w:szCs w:val="28"/>
    </w:rPr>
  </w:style>
  <w:style w:type="character" w:styleId="Heading2Char" w:customStyle="1">
    <w:name w:val="Heading 2 Char"/>
    <w:basedOn w:val="DefaultParagraphFont"/>
    <w:link w:val="Heading2"/>
    <w:rsid w:val="009C16D7"/>
    <w:rPr>
      <w:rFonts w:ascii="Georgia" w:hAnsi="Georgia" w:eastAsiaTheme="majorEastAsia" w:cstheme="majorBidi"/>
      <w:b/>
      <w:bCs/>
      <w:color w:val="1B556B"/>
      <w:sz w:val="36"/>
      <w:szCs w:val="36"/>
    </w:rPr>
  </w:style>
  <w:style w:type="character" w:styleId="Heading3Char" w:customStyle="1">
    <w:name w:val="Heading 3 Char"/>
    <w:basedOn w:val="DefaultParagraphFont"/>
    <w:link w:val="Heading3"/>
    <w:rsid w:val="00A760B3"/>
    <w:rPr>
      <w:rFonts w:ascii="Georgia" w:hAnsi="Georgia" w:eastAsiaTheme="majorEastAsia" w:cstheme="majorBidi"/>
      <w:b/>
      <w:bCs/>
      <w:sz w:val="28"/>
      <w:szCs w:val="22"/>
    </w:rPr>
  </w:style>
  <w:style w:type="character" w:styleId="Heading4Char" w:customStyle="1">
    <w:name w:val="Heading 4 Char"/>
    <w:basedOn w:val="DefaultParagraphFont"/>
    <w:link w:val="Heading4"/>
    <w:rsid w:val="0074184D"/>
    <w:rPr>
      <w:rFonts w:ascii="Georgia" w:hAnsi="Georgia" w:eastAsiaTheme="majorEastAsia" w:cstheme="majorBidi"/>
      <w:b/>
      <w:bCs/>
      <w:sz w:val="24"/>
      <w:szCs w:val="22"/>
    </w:rPr>
  </w:style>
  <w:style w:type="character" w:styleId="Heading5Char" w:customStyle="1">
    <w:name w:val="Heading 5 Char"/>
    <w:basedOn w:val="DefaultParagraphFont"/>
    <w:link w:val="Heading5"/>
    <w:rsid w:val="00C245E7"/>
    <w:rPr>
      <w:rFonts w:eastAsiaTheme="majorEastAsia" w:cstheme="majorBidi"/>
      <w:i/>
      <w:sz w:val="24"/>
      <w:szCs w:val="22"/>
    </w:rPr>
  </w:style>
  <w:style w:type="paragraph" w:styleId="BodyText">
    <w:name w:val="Body Text"/>
    <w:basedOn w:val="Normal"/>
    <w:link w:val="BodyTextChar"/>
    <w:qFormat/>
    <w:rsid w:val="00A760B3"/>
    <w:pPr>
      <w:jc w:val="left"/>
    </w:pPr>
    <w:rPr>
      <w:rFonts w:eastAsiaTheme="minorEastAsia" w:cstheme="minorBidi"/>
    </w:rPr>
  </w:style>
  <w:style w:type="character" w:styleId="BodyTextChar" w:customStyle="1">
    <w:name w:val="Body Text Char"/>
    <w:basedOn w:val="DefaultParagraphFont"/>
    <w:link w:val="BodyText"/>
    <w:rsid w:val="00A760B3"/>
    <w:rPr>
      <w:rFonts w:eastAsiaTheme="minorEastAsia" w:cstheme="minorBidi"/>
      <w:sz w:val="22"/>
      <w:szCs w:val="22"/>
    </w:rPr>
  </w:style>
  <w:style w:type="table" w:styleId="TableGrid">
    <w:name w:val="Table Grid"/>
    <w:aliases w:val="RS Table Grid a"/>
    <w:basedOn w:val="TableNormal"/>
    <w:uiPriority w:val="59"/>
    <w:rsid w:val="00AE3AD7"/>
    <w:pPr>
      <w:jc w:val="both"/>
    </w:pPr>
    <w:rPr>
      <w:rFonts w:eastAsia="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semiHidden/>
    <w:rsid w:val="00EA64B4"/>
    <w:pPr>
      <w:jc w:val="center"/>
    </w:pPr>
    <w:rPr>
      <w:rFonts w:ascii="Arial" w:hAnsi="Arial"/>
      <w:sz w:val="16"/>
    </w:rPr>
  </w:style>
  <w:style w:type="character" w:styleId="HeaderChar" w:customStyle="1">
    <w:name w:val="Header Char"/>
    <w:link w:val="Header"/>
    <w:semiHidden/>
    <w:rsid w:val="00F03FF2"/>
    <w:rPr>
      <w:rFonts w:ascii="Arial" w:hAnsi="Arial" w:eastAsia="Times New Roman"/>
      <w:sz w:val="16"/>
      <w:lang w:eastAsia="en-NZ"/>
    </w:rPr>
  </w:style>
  <w:style w:type="paragraph" w:styleId="Quote">
    <w:name w:val="Quote"/>
    <w:basedOn w:val="Normal"/>
    <w:next w:val="BodyText"/>
    <w:link w:val="QuoteChar"/>
    <w:uiPriority w:val="1"/>
    <w:semiHidden/>
    <w:qFormat/>
    <w:rsid w:val="00A760B3"/>
    <w:pPr>
      <w:spacing w:before="60" w:after="60"/>
      <w:ind w:left="567" w:right="567"/>
      <w:jc w:val="left"/>
    </w:pPr>
    <w:rPr>
      <w:rFonts w:eastAsiaTheme="minorEastAsia" w:cstheme="minorBidi"/>
      <w:sz w:val="20"/>
    </w:rPr>
  </w:style>
  <w:style w:type="character" w:styleId="QuoteChar" w:customStyle="1">
    <w:name w:val="Quote Char"/>
    <w:basedOn w:val="DefaultParagraphFont"/>
    <w:link w:val="Quote"/>
    <w:uiPriority w:val="1"/>
    <w:semiHidden/>
    <w:rsid w:val="00262D31"/>
    <w:rPr>
      <w:rFonts w:eastAsiaTheme="minorEastAsia" w:cstheme="minorBidi"/>
      <w:szCs w:val="22"/>
    </w:rPr>
  </w:style>
  <w:style w:type="paragraph" w:styleId="Boxbullet" w:customStyle="1">
    <w:name w:val="Box bullet"/>
    <w:basedOn w:val="Boxtext"/>
    <w:uiPriority w:val="1"/>
    <w:semiHidden/>
    <w:qFormat/>
    <w:rsid w:val="00A760B3"/>
    <w:pPr>
      <w:numPr>
        <w:numId w:val="12"/>
      </w:numPr>
      <w:tabs>
        <w:tab w:val="left" w:pos="680"/>
      </w:tabs>
      <w:spacing w:before="0"/>
    </w:pPr>
    <w:rPr>
      <w:rFonts w:cs="Times New Roman"/>
      <w:szCs w:val="20"/>
    </w:rPr>
  </w:style>
  <w:style w:type="paragraph" w:styleId="Boxheading" w:customStyle="1">
    <w:name w:val="Box heading"/>
    <w:basedOn w:val="Boxtext"/>
    <w:next w:val="Boxtext"/>
    <w:uiPriority w:val="1"/>
    <w:semiHidden/>
    <w:qFormat/>
    <w:rsid w:val="00A760B3"/>
    <w:pPr>
      <w:keepNext/>
      <w:spacing w:before="240" w:after="0"/>
    </w:pPr>
    <w:rPr>
      <w:rFonts w:cs="Times New Roman"/>
      <w:b/>
      <w:sz w:val="22"/>
      <w:szCs w:val="20"/>
    </w:rPr>
  </w:style>
  <w:style w:type="paragraph" w:styleId="Bullet" w:customStyle="1">
    <w:name w:val="Bullet"/>
    <w:basedOn w:val="Normal"/>
    <w:link w:val="BulletChar"/>
    <w:qFormat/>
    <w:rsid w:val="00A760B3"/>
    <w:pPr>
      <w:numPr>
        <w:numId w:val="14"/>
      </w:numPr>
      <w:spacing w:before="0"/>
      <w:jc w:val="left"/>
    </w:pPr>
    <w:rPr>
      <w:szCs w:val="20"/>
    </w:rPr>
  </w:style>
  <w:style w:type="paragraph" w:styleId="Heading" w:customStyle="1">
    <w:name w:val="Heading"/>
    <w:basedOn w:val="Heading1"/>
    <w:next w:val="Normal"/>
    <w:uiPriority w:val="3"/>
    <w:semiHidden/>
    <w:rsid w:val="00F353A0"/>
    <w:pPr>
      <w:spacing w:after="240"/>
    </w:pPr>
  </w:style>
  <w:style w:type="paragraph" w:styleId="Footer">
    <w:name w:val="footer"/>
    <w:basedOn w:val="Normal"/>
    <w:link w:val="FooterChar"/>
    <w:semiHidden/>
    <w:rsid w:val="00EA64B4"/>
    <w:pPr>
      <w:tabs>
        <w:tab w:val="center" w:pos="4153"/>
        <w:tab w:val="right" w:pos="8306"/>
      </w:tabs>
    </w:pPr>
  </w:style>
  <w:style w:type="character" w:styleId="FooterChar" w:customStyle="1">
    <w:name w:val="Footer Char"/>
    <w:link w:val="Footer"/>
    <w:semiHidden/>
    <w:rsid w:val="00F03FF2"/>
    <w:rPr>
      <w:rFonts w:ascii="Calibri" w:hAnsi="Calibri" w:eastAsia="Times New Roman"/>
      <w:lang w:eastAsia="en-NZ"/>
    </w:rPr>
  </w:style>
  <w:style w:type="paragraph" w:styleId="Sub-list" w:customStyle="1">
    <w:name w:val="Sub-list"/>
    <w:basedOn w:val="Normal"/>
    <w:qFormat/>
    <w:rsid w:val="002E4F48"/>
    <w:pPr>
      <w:numPr>
        <w:numId w:val="16"/>
      </w:numPr>
      <w:tabs>
        <w:tab w:val="left" w:pos="794"/>
      </w:tabs>
      <w:spacing w:before="0"/>
      <w:jc w:val="left"/>
    </w:pPr>
    <w:rPr>
      <w:rFonts w:eastAsiaTheme="minorEastAsia" w:cstheme="minorBidi"/>
    </w:rPr>
  </w:style>
  <w:style w:type="paragraph" w:styleId="Figureheading" w:customStyle="1">
    <w:name w:val="Figure heading"/>
    <w:basedOn w:val="Normal"/>
    <w:next w:val="BodyText"/>
    <w:uiPriority w:val="1"/>
    <w:qFormat/>
    <w:rsid w:val="00A760B3"/>
    <w:pPr>
      <w:keepNext/>
      <w:ind w:left="1134" w:hanging="1134"/>
      <w:jc w:val="left"/>
    </w:pPr>
    <w:rPr>
      <w:rFonts w:eastAsiaTheme="minorEastAsia" w:cstheme="minorBidi"/>
      <w:b/>
      <w:sz w:val="20"/>
    </w:rPr>
  </w:style>
  <w:style w:type="character" w:styleId="FootnoteReference">
    <w:name w:val="footnote reference"/>
    <w:uiPriority w:val="99"/>
    <w:semiHidden/>
    <w:qFormat/>
    <w:rsid w:val="008E2D7A"/>
    <w:rPr>
      <w:rFonts w:ascii="Calibri" w:hAnsi="Calibri"/>
      <w:color w:val="auto"/>
      <w:sz w:val="22"/>
      <w:vertAlign w:val="superscript"/>
    </w:rPr>
  </w:style>
  <w:style w:type="paragraph" w:styleId="FootnoteText">
    <w:name w:val="footnote text"/>
    <w:basedOn w:val="Normal"/>
    <w:link w:val="FootnoteTextChar"/>
    <w:uiPriority w:val="99"/>
    <w:qFormat/>
    <w:rsid w:val="0031529A"/>
    <w:pPr>
      <w:spacing w:before="0" w:after="60" w:line="240" w:lineRule="atLeast"/>
      <w:ind w:left="284" w:hanging="284"/>
      <w:jc w:val="left"/>
    </w:pPr>
    <w:rPr>
      <w:rFonts w:eastAsiaTheme="minorEastAsia" w:cstheme="minorBidi"/>
      <w:sz w:val="19"/>
    </w:rPr>
  </w:style>
  <w:style w:type="character" w:styleId="FootnoteTextChar" w:customStyle="1">
    <w:name w:val="Footnote Text Char"/>
    <w:basedOn w:val="DefaultParagraphFont"/>
    <w:link w:val="FootnoteText"/>
    <w:uiPriority w:val="99"/>
    <w:rsid w:val="0031529A"/>
    <w:rPr>
      <w:rFonts w:eastAsiaTheme="minorEastAsia" w:cstheme="minorBidi"/>
      <w:sz w:val="19"/>
      <w:szCs w:val="22"/>
    </w:rPr>
  </w:style>
  <w:style w:type="character" w:styleId="Hyperlink">
    <w:name w:val="Hyperlink"/>
    <w:uiPriority w:val="99"/>
    <w:qFormat/>
    <w:rsid w:val="00A760B3"/>
    <w:rPr>
      <w:color w:val="32809C"/>
      <w:u w:val="none"/>
    </w:rPr>
  </w:style>
  <w:style w:type="paragraph" w:styleId="Imprint" w:customStyle="1">
    <w:name w:val="Imprint"/>
    <w:basedOn w:val="Normal"/>
    <w:uiPriority w:val="3"/>
    <w:semiHidden/>
    <w:rsid w:val="00EA64B4"/>
    <w:pPr>
      <w:jc w:val="left"/>
    </w:pPr>
  </w:style>
  <w:style w:type="paragraph" w:styleId="Note" w:customStyle="1">
    <w:name w:val="Note"/>
    <w:basedOn w:val="BodyText"/>
    <w:next w:val="Normal"/>
    <w:uiPriority w:val="1"/>
    <w:qFormat/>
    <w:rsid w:val="00803761"/>
    <w:pPr>
      <w:spacing w:before="0" w:line="240" w:lineRule="atLeast"/>
    </w:pPr>
    <w:rPr>
      <w:sz w:val="18"/>
    </w:rPr>
  </w:style>
  <w:style w:type="paragraph" w:styleId="References" w:customStyle="1">
    <w:name w:val="References"/>
    <w:basedOn w:val="Normal"/>
    <w:uiPriority w:val="1"/>
    <w:semiHidden/>
    <w:qFormat/>
    <w:rsid w:val="00A760B3"/>
    <w:pPr>
      <w:spacing w:before="0" w:line="260" w:lineRule="atLeast"/>
      <w:jc w:val="left"/>
    </w:pPr>
    <w:rPr>
      <w:rFonts w:eastAsiaTheme="minorEastAsia" w:cstheme="minorBidi"/>
      <w:sz w:val="20"/>
    </w:rPr>
  </w:style>
  <w:style w:type="paragraph" w:styleId="Source" w:customStyle="1">
    <w:name w:val="Source"/>
    <w:basedOn w:val="Normal"/>
    <w:next w:val="Normal"/>
    <w:uiPriority w:val="1"/>
    <w:qFormat/>
    <w:rsid w:val="00A760B3"/>
    <w:pPr>
      <w:tabs>
        <w:tab w:val="left" w:pos="680"/>
      </w:tabs>
      <w:jc w:val="left"/>
    </w:pPr>
    <w:rPr>
      <w:rFonts w:eastAsiaTheme="minorEastAsia" w:cstheme="minorBidi"/>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styleId="TitleChar" w:customStyle="1">
    <w:name w:val="Title Char"/>
    <w:link w:val="Title"/>
    <w:uiPriority w:val="2"/>
    <w:semiHidden/>
    <w:rsid w:val="00B0384D"/>
    <w:rPr>
      <w:rFonts w:eastAsia="Times New Roman"/>
      <w:b/>
      <w:color w:val="17556C"/>
      <w:sz w:val="52"/>
      <w:szCs w:val="22"/>
    </w:rPr>
  </w:style>
  <w:style w:type="paragraph" w:styleId="Subtitle">
    <w:name w:val="Subtitle"/>
    <w:basedOn w:val="Title"/>
    <w:link w:val="SubtitleChar"/>
    <w:uiPriority w:val="11"/>
    <w:semiHidden/>
    <w:qFormat/>
    <w:rsid w:val="00D94120"/>
    <w:pPr>
      <w:spacing w:before="600" w:line="240" w:lineRule="auto"/>
    </w:pPr>
    <w:rPr>
      <w:sz w:val="36"/>
      <w:szCs w:val="36"/>
    </w:rPr>
  </w:style>
  <w:style w:type="character" w:styleId="SubtitleChar" w:customStyle="1">
    <w:name w:val="Subtitle Char"/>
    <w:link w:val="Subtitle"/>
    <w:uiPriority w:val="11"/>
    <w:semiHidden/>
    <w:rsid w:val="00B0384D"/>
    <w:rPr>
      <w:rFonts w:eastAsia="Times New Roman"/>
      <w:b/>
      <w:color w:val="17556C"/>
      <w:sz w:val="36"/>
      <w:szCs w:val="36"/>
    </w:rPr>
  </w:style>
  <w:style w:type="paragraph" w:styleId="Tableheading" w:customStyle="1">
    <w:name w:val="Table heading"/>
    <w:basedOn w:val="Normal"/>
    <w:next w:val="Normal"/>
    <w:qFormat/>
    <w:rsid w:val="00573718"/>
    <w:pPr>
      <w:keepNext/>
      <w:spacing w:line="240" w:lineRule="atLeast"/>
      <w:ind w:left="1134" w:hanging="1134"/>
      <w:jc w:val="left"/>
    </w:pPr>
    <w:rPr>
      <w:rFonts w:eastAsia="Calibri"/>
      <w:b/>
      <w:sz w:val="20"/>
    </w:rPr>
  </w:style>
  <w:style w:type="paragraph" w:styleId="TableText" w:customStyle="1">
    <w:name w:val="TableText"/>
    <w:basedOn w:val="Normal"/>
    <w:qFormat/>
    <w:rsid w:val="00A760B3"/>
    <w:pPr>
      <w:spacing w:before="60" w:after="60" w:line="240" w:lineRule="atLeast"/>
      <w:jc w:val="left"/>
    </w:pPr>
    <w:rPr>
      <w:rFonts w:eastAsiaTheme="minorEastAsia" w:cstheme="minorBidi"/>
      <w:sz w:val="18"/>
    </w:rPr>
  </w:style>
  <w:style w:type="paragraph" w:styleId="TableTextbold" w:customStyle="1">
    <w:name w:val="TableText bold"/>
    <w:basedOn w:val="TableText"/>
    <w:rsid w:val="00A760B3"/>
    <w:rPr>
      <w:b/>
    </w:rPr>
  </w:style>
  <w:style w:type="paragraph" w:styleId="TOC1">
    <w:name w:val="toc 1"/>
    <w:basedOn w:val="Normal"/>
    <w:next w:val="Normal"/>
    <w:uiPriority w:val="39"/>
    <w:rsid w:val="008C13CA"/>
    <w:pPr>
      <w:tabs>
        <w:tab w:val="right" w:pos="8505"/>
      </w:tabs>
      <w:spacing w:before="24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styleId="Captions" w:customStyle="1">
    <w:name w:val="Captions"/>
    <w:basedOn w:val="Note"/>
    <w:next w:val="Normal"/>
    <w:semiHidden/>
    <w:rsid w:val="00EA64B4"/>
    <w:pPr>
      <w:tabs>
        <w:tab w:val="left" w:pos="851"/>
      </w:tabs>
    </w:pPr>
  </w:style>
  <w:style w:type="paragraph" w:styleId="Glossary" w:customStyle="1">
    <w:name w:val="Glossary"/>
    <w:basedOn w:val="Normal"/>
    <w:uiPriority w:val="1"/>
    <w:semiHidden/>
    <w:qFormat/>
    <w:rsid w:val="00A760B3"/>
    <w:pPr>
      <w:tabs>
        <w:tab w:val="left" w:pos="2835"/>
      </w:tabs>
      <w:spacing w:after="0"/>
      <w:jc w:val="left"/>
    </w:pPr>
    <w:rPr>
      <w:rFonts w:eastAsiaTheme="minorEastAsia" w:cstheme="minorBidi"/>
    </w:rPr>
  </w:style>
  <w:style w:type="paragraph" w:styleId="Footerodd" w:customStyle="1">
    <w:name w:val="Footer odd"/>
    <w:basedOn w:val="Normal"/>
    <w:uiPriority w:val="2"/>
    <w:semiHidden/>
    <w:rsid w:val="00A760B3"/>
    <w:pPr>
      <w:tabs>
        <w:tab w:val="right" w:pos="7938"/>
        <w:tab w:val="right" w:pos="8505"/>
      </w:tabs>
      <w:jc w:val="left"/>
    </w:pPr>
    <w:rPr>
      <w:rFonts w:eastAsiaTheme="minorEastAsia" w:cstheme="minorBidi"/>
      <w:sz w:val="16"/>
    </w:rPr>
  </w:style>
  <w:style w:type="paragraph" w:styleId="Footereven" w:customStyle="1">
    <w:name w:val="Footer even"/>
    <w:basedOn w:val="Normal"/>
    <w:uiPriority w:val="2"/>
    <w:semiHidden/>
    <w:rsid w:val="00A760B3"/>
    <w:pPr>
      <w:tabs>
        <w:tab w:val="left" w:pos="567"/>
      </w:tabs>
    </w:pPr>
    <w:rPr>
      <w:rFonts w:eastAsiaTheme="minorEastAsia" w:cstheme="minorBidi"/>
      <w:sz w:val="16"/>
    </w:rPr>
  </w:style>
  <w:style w:type="paragraph" w:styleId="Numberedparagraph" w:customStyle="1">
    <w:name w:val="Numbered paragraph"/>
    <w:basedOn w:val="Normal"/>
    <w:uiPriority w:val="1"/>
    <w:qFormat/>
    <w:rsid w:val="00A760B3"/>
    <w:pPr>
      <w:numPr>
        <w:numId w:val="15"/>
      </w:numPr>
      <w:spacing w:before="0"/>
      <w:jc w:val="left"/>
    </w:pPr>
    <w:rPr>
      <w:rFonts w:eastAsiaTheme="minorEastAsia" w:cstheme="minorBidi"/>
    </w:rPr>
  </w:style>
  <w:style w:type="paragraph" w:styleId="Sub-lista" w:customStyle="1">
    <w:name w:val="Sub-list a"/>
    <w:aliases w:val="b"/>
    <w:basedOn w:val="Normal"/>
    <w:uiPriority w:val="2"/>
    <w:rsid w:val="00A760B3"/>
    <w:pPr>
      <w:numPr>
        <w:numId w:val="17"/>
      </w:numPr>
      <w:spacing w:before="0"/>
      <w:jc w:val="left"/>
    </w:pPr>
    <w:rPr>
      <w:rFonts w:eastAsiaTheme="minorEastAsia" w:cstheme="minorBidi"/>
    </w:rPr>
  </w:style>
  <w:style w:type="paragraph" w:styleId="EndnoteText">
    <w:name w:val="endnote text"/>
    <w:basedOn w:val="Normal"/>
    <w:link w:val="EndnoteTextChar"/>
    <w:uiPriority w:val="99"/>
    <w:semiHidden/>
    <w:rsid w:val="00EA64B4"/>
    <w:pPr>
      <w:spacing w:after="60"/>
    </w:pPr>
    <w:rPr>
      <w:sz w:val="20"/>
    </w:rPr>
  </w:style>
  <w:style w:type="character" w:styleId="EndnoteTextChar" w:customStyle="1">
    <w:name w:val="Endnote Text Char"/>
    <w:link w:val="EndnoteText"/>
    <w:uiPriority w:val="99"/>
    <w:semiHidden/>
    <w:rsid w:val="00EA64B4"/>
    <w:rPr>
      <w:rFonts w:ascii="Calibri" w:hAnsi="Calibri" w:eastAsia="Times New Roman"/>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styleId="Sub-listi" w:customStyle="1">
    <w:name w:val="Sub-list i"/>
    <w:aliases w:val="ii"/>
    <w:basedOn w:val="BodyText"/>
    <w:semiHidden/>
    <w:rsid w:val="00A760B3"/>
    <w:pPr>
      <w:numPr>
        <w:numId w:val="18"/>
      </w:numPr>
      <w:spacing w:before="60" w:after="60"/>
    </w:pPr>
  </w:style>
  <w:style w:type="paragraph" w:styleId="TableBullet" w:customStyle="1">
    <w:name w:val="TableBullet"/>
    <w:basedOn w:val="Normal"/>
    <w:qFormat/>
    <w:rsid w:val="001C443B"/>
    <w:pPr>
      <w:numPr>
        <w:numId w:val="31"/>
      </w:numPr>
      <w:spacing w:before="0" w:after="60" w:line="240" w:lineRule="atLeast"/>
      <w:jc w:val="left"/>
    </w:pPr>
    <w:rPr>
      <w:rFonts w:cs="Arial" w:eastAsiaTheme="minorEastAsia"/>
      <w:sz w:val="18"/>
      <w:szCs w:val="16"/>
    </w:rPr>
  </w:style>
  <w:style w:type="paragraph" w:styleId="TableDash" w:customStyle="1">
    <w:name w:val="TableDash"/>
    <w:basedOn w:val="TableBullet"/>
    <w:qFormat/>
    <w:rsid w:val="00A760B3"/>
    <w:pPr>
      <w:numPr>
        <w:numId w:val="19"/>
      </w:numPr>
    </w:pPr>
  </w:style>
  <w:style w:type="paragraph" w:styleId="CommentSubject">
    <w:name w:val="annotation subject"/>
    <w:basedOn w:val="Normal"/>
    <w:link w:val="CommentSubjectChar"/>
    <w:uiPriority w:val="99"/>
    <w:semiHidden/>
    <w:rsid w:val="00E21ACA"/>
    <w:rPr>
      <w:b/>
      <w:bCs/>
      <w:sz w:val="20"/>
    </w:rPr>
  </w:style>
  <w:style w:type="character" w:styleId="CommentSubjectChar" w:customStyle="1">
    <w:name w:val="Comment Subject Char"/>
    <w:link w:val="CommentSubject"/>
    <w:uiPriority w:val="99"/>
    <w:semiHidden/>
    <w:rsid w:val="00AB54D7"/>
    <w:rPr>
      <w:rFonts w:ascii="Calibri" w:hAnsi="Calibri" w:eastAsia="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styleId="BalloonTextChar" w:customStyle="1">
    <w:name w:val="Balloon Text Char"/>
    <w:link w:val="BalloonText"/>
    <w:semiHidden/>
    <w:rsid w:val="00EA64B4"/>
    <w:rPr>
      <w:rFonts w:ascii="Tahoma" w:hAnsi="Tahoma" w:eastAsia="Times New Roman"/>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color="auto" w:sz="6" w:space="1"/>
      </w:pBdr>
      <w:jc w:val="center"/>
    </w:pPr>
    <w:rPr>
      <w:rFonts w:ascii="Arial" w:hAnsi="Arial" w:eastAsia="Calibri"/>
      <w:vanish/>
      <w:sz w:val="16"/>
      <w:szCs w:val="16"/>
      <w:lang w:val="en-US"/>
    </w:rPr>
  </w:style>
  <w:style w:type="character" w:styleId="z-BottomofFormChar" w:customStyle="1">
    <w:name w:val="z-Bottom of Form Char"/>
    <w:link w:val="z-BottomofForm"/>
    <w:uiPriority w:val="99"/>
    <w:semiHidden/>
    <w:rsid w:val="0080531E"/>
    <w:rPr>
      <w:rFonts w:ascii="Arial" w:hAnsi="Arial" w:eastAsia="Calibri"/>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color="auto" w:sz="6" w:space="1"/>
      </w:pBdr>
      <w:jc w:val="center"/>
    </w:pPr>
    <w:rPr>
      <w:rFonts w:ascii="Arial" w:hAnsi="Arial" w:eastAsia="Calibri"/>
      <w:vanish/>
      <w:sz w:val="16"/>
      <w:szCs w:val="16"/>
      <w:lang w:val="en-US"/>
    </w:rPr>
  </w:style>
  <w:style w:type="character" w:styleId="z-TopofFormChar" w:customStyle="1">
    <w:name w:val="z-Top of Form Char"/>
    <w:link w:val="z-TopofForm"/>
    <w:uiPriority w:val="99"/>
    <w:semiHidden/>
    <w:rsid w:val="0080531E"/>
    <w:rPr>
      <w:rFonts w:ascii="Arial" w:hAnsi="Arial" w:eastAsia="Calibri"/>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color="19CCCF" w:sz="8" w:space="0"/>
        <w:left w:val="single" w:color="19CCCF" w:sz="8" w:space="0"/>
        <w:bottom w:val="single" w:color="19CCCF" w:sz="8" w:space="0"/>
        <w:right w:val="single" w:color="19CCCF" w:sz="8" w:space="0"/>
        <w:insideH w:val="single" w:color="19CCCF" w:sz="8" w:space="0"/>
      </w:tblBorders>
    </w:tblPr>
    <w:tblStylePr w:type="firstRow">
      <w:pPr>
        <w:spacing w:before="0" w:after="0" w:line="240" w:lineRule="auto"/>
      </w:pPr>
      <w:rPr>
        <w:b/>
        <w:bCs/>
        <w:color w:val="FFFFFF"/>
      </w:rPr>
      <w:tblPr/>
      <w:tcPr>
        <w:tcBorders>
          <w:top w:val="single" w:color="19CCCF" w:sz="8" w:space="0"/>
          <w:left w:val="single" w:color="19CCCF" w:sz="8" w:space="0"/>
          <w:bottom w:val="single" w:color="19CCCF" w:sz="8" w:space="0"/>
          <w:right w:val="single" w:color="19CCCF" w:sz="8" w:space="0"/>
          <w:insideH w:val="nil"/>
          <w:insideV w:val="nil"/>
        </w:tcBorders>
        <w:shd w:val="clear" w:color="auto" w:fill="0F7B7D"/>
      </w:tcPr>
    </w:tblStylePr>
    <w:tblStylePr w:type="lastRow">
      <w:pPr>
        <w:spacing w:before="0" w:after="0" w:line="240" w:lineRule="auto"/>
      </w:pPr>
      <w:rPr>
        <w:b/>
        <w:bCs/>
      </w:rPr>
      <w:tblPr/>
      <w:tcPr>
        <w:tcBorders>
          <w:top w:val="double" w:color="19CCCF" w:sz="6" w:space="0"/>
          <w:left w:val="single" w:color="19CCCF" w:sz="8" w:space="0"/>
          <w:bottom w:val="single" w:color="19CCCF" w:sz="8" w:space="0"/>
          <w:right w:val="single" w:color="19CCCF" w:sz="8" w:space="0"/>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color="6FC7B7" w:sz="8" w:space="0"/>
        <w:left w:val="single" w:color="6FC7B7" w:sz="8" w:space="0"/>
        <w:bottom w:val="single" w:color="6FC7B7" w:sz="8" w:space="0"/>
        <w:right w:val="single" w:color="6FC7B7" w:sz="8" w:space="0"/>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color="6FC7B7" w:sz="6" w:space="0"/>
          <w:left w:val="single" w:color="6FC7B7" w:sz="8" w:space="0"/>
          <w:bottom w:val="single" w:color="6FC7B7" w:sz="8" w:space="0"/>
          <w:right w:val="single" w:color="6FC7B7" w:sz="8" w:space="0"/>
        </w:tcBorders>
      </w:tcPr>
    </w:tblStylePr>
    <w:tblStylePr w:type="firstCol">
      <w:rPr>
        <w:b/>
        <w:bCs/>
      </w:rPr>
    </w:tblStylePr>
    <w:tblStylePr w:type="lastCol">
      <w:rPr>
        <w:b/>
        <w:bCs/>
      </w:rPr>
    </w:tblStylePr>
    <w:tblStylePr w:type="band1Vert">
      <w:tblPr/>
      <w:tcPr>
        <w:tcBorders>
          <w:top w:val="single" w:color="6FC7B7" w:sz="8" w:space="0"/>
          <w:left w:val="single" w:color="6FC7B7" w:sz="8" w:space="0"/>
          <w:bottom w:val="single" w:color="6FC7B7" w:sz="8" w:space="0"/>
          <w:right w:val="single" w:color="6FC7B7" w:sz="8" w:space="0"/>
        </w:tcBorders>
      </w:tcPr>
    </w:tblStylePr>
    <w:tblStylePr w:type="band1Horz">
      <w:tblPr/>
      <w:tcPr>
        <w:tcBorders>
          <w:top w:val="single" w:color="6FC7B7" w:sz="8" w:space="0"/>
          <w:left w:val="single" w:color="6FC7B7" w:sz="8" w:space="0"/>
          <w:bottom w:val="single" w:color="6FC7B7" w:sz="8" w:space="0"/>
          <w:right w:val="single" w:color="6FC7B7" w:sz="8" w:space="0"/>
        </w:tcBorders>
      </w:tcPr>
    </w:tblStylePr>
  </w:style>
  <w:style w:type="table" w:styleId="LightGrid-Accent5">
    <w:name w:val="Light Grid Accent 5"/>
    <w:basedOn w:val="TableNormal"/>
    <w:uiPriority w:val="62"/>
    <w:rsid w:val="00EA64B4"/>
    <w:tblPr>
      <w:tblStyleRowBandSize w:val="1"/>
      <w:tblStyleColBandSize w:val="1"/>
      <w:tblBorders>
        <w:top w:val="single" w:color="6FC7B7" w:sz="8" w:space="0"/>
        <w:left w:val="single" w:color="6FC7B7" w:sz="8" w:space="0"/>
        <w:bottom w:val="single" w:color="6FC7B7" w:sz="8" w:space="0"/>
        <w:right w:val="single" w:color="6FC7B7" w:sz="8" w:space="0"/>
        <w:insideH w:val="single" w:color="6FC7B7" w:sz="8" w:space="0"/>
        <w:insideV w:val="single" w:color="6FC7B7" w:sz="8" w:space="0"/>
      </w:tblBorders>
    </w:tblPr>
    <w:tblStylePr w:type="firstRow">
      <w:pPr>
        <w:spacing w:before="0" w:after="0" w:line="240" w:lineRule="auto"/>
      </w:pPr>
      <w:rPr>
        <w:rFonts w:ascii="@SimSun-ExtG" w:hAnsi="@SimSun-ExtG" w:eastAsia="Times New Roman" w:cs="Times New Roman"/>
        <w:b/>
        <w:bCs/>
      </w:rPr>
      <w:tblPr/>
      <w:tcPr>
        <w:tcBorders>
          <w:top w:val="single" w:color="6FC7B7" w:sz="8" w:space="0"/>
          <w:left w:val="single" w:color="6FC7B7" w:sz="8" w:space="0"/>
          <w:bottom w:val="single" w:color="6FC7B7" w:sz="18" w:space="0"/>
          <w:right w:val="single" w:color="6FC7B7" w:sz="8" w:space="0"/>
          <w:insideH w:val="nil"/>
          <w:insideV w:val="single" w:color="6FC7B7" w:sz="8" w:space="0"/>
        </w:tcBorders>
      </w:tcPr>
    </w:tblStylePr>
    <w:tblStylePr w:type="lastRow">
      <w:pPr>
        <w:spacing w:before="0" w:after="0" w:line="240" w:lineRule="auto"/>
      </w:pPr>
      <w:rPr>
        <w:rFonts w:ascii="@SimSun-ExtG" w:hAnsi="@SimSun-ExtG" w:eastAsia="Times New Roman" w:cs="Times New Roman"/>
        <w:b/>
        <w:bCs/>
      </w:rPr>
      <w:tblPr/>
      <w:tcPr>
        <w:tcBorders>
          <w:top w:val="double" w:color="6FC7B7" w:sz="6" w:space="0"/>
          <w:left w:val="single" w:color="6FC7B7" w:sz="8" w:space="0"/>
          <w:bottom w:val="single" w:color="6FC7B7" w:sz="8" w:space="0"/>
          <w:right w:val="single" w:color="6FC7B7" w:sz="8" w:space="0"/>
          <w:insideH w:val="nil"/>
          <w:insideV w:val="single" w:color="6FC7B7" w:sz="8" w:space="0"/>
        </w:tcBorders>
      </w:tcPr>
    </w:tblStylePr>
    <w:tblStylePr w:type="firstCol">
      <w:rPr>
        <w:rFonts w:ascii="@SimSun-ExtG" w:hAnsi="@SimSun-ExtG" w:eastAsia="Times New Roman" w:cs="Times New Roman"/>
        <w:b/>
        <w:bCs/>
      </w:rPr>
    </w:tblStylePr>
    <w:tblStylePr w:type="lastCol">
      <w:rPr>
        <w:rFonts w:ascii="@SimSun-ExtG" w:hAnsi="@SimSun-ExtG" w:eastAsia="Times New Roman" w:cs="Times New Roman"/>
        <w:b/>
        <w:bCs/>
      </w:rPr>
      <w:tblPr/>
      <w:tcPr>
        <w:tcBorders>
          <w:top w:val="single" w:color="6FC7B7" w:sz="8" w:space="0"/>
          <w:left w:val="single" w:color="6FC7B7" w:sz="8" w:space="0"/>
          <w:bottom w:val="single" w:color="6FC7B7" w:sz="8" w:space="0"/>
          <w:right w:val="single" w:color="6FC7B7" w:sz="8" w:space="0"/>
        </w:tcBorders>
      </w:tcPr>
    </w:tblStylePr>
    <w:tblStylePr w:type="band1Vert">
      <w:tblPr/>
      <w:tcPr>
        <w:tcBorders>
          <w:top w:val="single" w:color="6FC7B7" w:sz="8" w:space="0"/>
          <w:left w:val="single" w:color="6FC7B7" w:sz="8" w:space="0"/>
          <w:bottom w:val="single" w:color="6FC7B7" w:sz="8" w:space="0"/>
          <w:right w:val="single" w:color="6FC7B7" w:sz="8" w:space="0"/>
        </w:tcBorders>
        <w:shd w:val="clear" w:color="auto" w:fill="DBF1ED"/>
      </w:tcPr>
    </w:tblStylePr>
    <w:tblStylePr w:type="band1Horz">
      <w:tblPr/>
      <w:tcPr>
        <w:tcBorders>
          <w:top w:val="single" w:color="6FC7B7" w:sz="8" w:space="0"/>
          <w:left w:val="single" w:color="6FC7B7" w:sz="8" w:space="0"/>
          <w:bottom w:val="single" w:color="6FC7B7" w:sz="8" w:space="0"/>
          <w:right w:val="single" w:color="6FC7B7" w:sz="8" w:space="0"/>
          <w:insideV w:val="single" w:color="6FC7B7" w:sz="8" w:space="0"/>
        </w:tcBorders>
        <w:shd w:val="clear" w:color="auto" w:fill="DBF1ED"/>
      </w:tcPr>
    </w:tblStylePr>
    <w:tblStylePr w:type="band2Horz">
      <w:tblPr/>
      <w:tcPr>
        <w:tcBorders>
          <w:top w:val="single" w:color="6FC7B7" w:sz="8" w:space="0"/>
          <w:left w:val="single" w:color="6FC7B7" w:sz="8" w:space="0"/>
          <w:bottom w:val="single" w:color="6FC7B7" w:sz="8" w:space="0"/>
          <w:right w:val="single" w:color="6FC7B7" w:sz="8" w:space="0"/>
          <w:insideV w:val="single" w:color="6FC7B7" w:sz="8" w:space="0"/>
        </w:tcBorders>
      </w:tcPr>
    </w:tblStylePr>
  </w:style>
  <w:style w:type="table" w:styleId="LightGrid-Accent11" w:customStyle="1">
    <w:name w:val="Light Grid - Accent 11"/>
    <w:basedOn w:val="TableNormal"/>
    <w:uiPriority w:val="62"/>
    <w:rsid w:val="00EA64B4"/>
    <w:tblPr>
      <w:tblStyleRowBandSize w:val="1"/>
      <w:tblStyleColBandSize w:val="1"/>
      <w:tblBorders>
        <w:top w:val="single" w:color="1C556C" w:sz="8" w:space="0"/>
        <w:left w:val="single" w:color="1C556C" w:sz="8" w:space="0"/>
        <w:bottom w:val="single" w:color="1C556C" w:sz="8" w:space="0"/>
        <w:right w:val="single" w:color="1C556C" w:sz="8" w:space="0"/>
        <w:insideH w:val="single" w:color="1C556C" w:sz="8" w:space="0"/>
        <w:insideV w:val="single" w:color="1C556C" w:sz="8" w:space="0"/>
      </w:tblBorders>
    </w:tblPr>
    <w:tblStylePr w:type="firstRow">
      <w:pPr>
        <w:spacing w:before="0" w:after="0" w:line="240" w:lineRule="auto"/>
      </w:pPr>
      <w:rPr>
        <w:rFonts w:ascii="@SimSun-ExtG" w:hAnsi="@SimSun-ExtG" w:eastAsia="Times New Roman" w:cs="Times New Roman"/>
        <w:b/>
        <w:bCs/>
      </w:rPr>
      <w:tblPr/>
      <w:tcPr>
        <w:tcBorders>
          <w:top w:val="single" w:color="1C556C" w:sz="8" w:space="0"/>
          <w:left w:val="single" w:color="1C556C" w:sz="8" w:space="0"/>
          <w:bottom w:val="single" w:color="1C556C" w:sz="18" w:space="0"/>
          <w:right w:val="single" w:color="1C556C" w:sz="8" w:space="0"/>
          <w:insideH w:val="nil"/>
          <w:insideV w:val="single" w:color="1C556C" w:sz="8" w:space="0"/>
        </w:tcBorders>
      </w:tcPr>
    </w:tblStylePr>
    <w:tblStylePr w:type="lastRow">
      <w:pPr>
        <w:spacing w:before="0" w:after="0" w:line="240" w:lineRule="auto"/>
      </w:pPr>
      <w:rPr>
        <w:rFonts w:ascii="@SimSun-ExtG" w:hAnsi="@SimSun-ExtG" w:eastAsia="Times New Roman" w:cs="Times New Roman"/>
        <w:b/>
        <w:bCs/>
      </w:rPr>
      <w:tblPr/>
      <w:tcPr>
        <w:tcBorders>
          <w:top w:val="double" w:color="1C556C" w:sz="6" w:space="0"/>
          <w:left w:val="single" w:color="1C556C" w:sz="8" w:space="0"/>
          <w:bottom w:val="single" w:color="1C556C" w:sz="8" w:space="0"/>
          <w:right w:val="single" w:color="1C556C" w:sz="8" w:space="0"/>
          <w:insideH w:val="nil"/>
          <w:insideV w:val="single" w:color="1C556C" w:sz="8" w:space="0"/>
        </w:tcBorders>
      </w:tcPr>
    </w:tblStylePr>
    <w:tblStylePr w:type="firstCol">
      <w:rPr>
        <w:rFonts w:ascii="@SimSun-ExtG" w:hAnsi="@SimSun-ExtG" w:eastAsia="Times New Roman" w:cs="Times New Roman"/>
        <w:b/>
        <w:bCs/>
      </w:rPr>
    </w:tblStylePr>
    <w:tblStylePr w:type="lastCol">
      <w:rPr>
        <w:rFonts w:ascii="@SimSun-ExtG" w:hAnsi="@SimSun-ExtG" w:eastAsia="Times New Roman" w:cs="Times New Roman"/>
        <w:b/>
        <w:bCs/>
      </w:rPr>
      <w:tblPr/>
      <w:tcPr>
        <w:tcBorders>
          <w:top w:val="single" w:color="1C556C" w:sz="8" w:space="0"/>
          <w:left w:val="single" w:color="1C556C" w:sz="8" w:space="0"/>
          <w:bottom w:val="single" w:color="1C556C" w:sz="8" w:space="0"/>
          <w:right w:val="single" w:color="1C556C" w:sz="8" w:space="0"/>
        </w:tcBorders>
      </w:tcPr>
    </w:tblStylePr>
    <w:tblStylePr w:type="band1Vert">
      <w:tblPr/>
      <w:tcPr>
        <w:tcBorders>
          <w:top w:val="single" w:color="1C556C" w:sz="8" w:space="0"/>
          <w:left w:val="single" w:color="1C556C" w:sz="8" w:space="0"/>
          <w:bottom w:val="single" w:color="1C556C" w:sz="8" w:space="0"/>
          <w:right w:val="single" w:color="1C556C" w:sz="8" w:space="0"/>
        </w:tcBorders>
        <w:shd w:val="clear" w:color="auto" w:fill="B5DCEC"/>
      </w:tcPr>
    </w:tblStylePr>
    <w:tblStylePr w:type="band1Horz">
      <w:tblPr/>
      <w:tcPr>
        <w:tcBorders>
          <w:top w:val="single" w:color="1C556C" w:sz="8" w:space="0"/>
          <w:left w:val="single" w:color="1C556C" w:sz="8" w:space="0"/>
          <w:bottom w:val="single" w:color="1C556C" w:sz="8" w:space="0"/>
          <w:right w:val="single" w:color="1C556C" w:sz="8" w:space="0"/>
          <w:insideV w:val="single" w:color="1C556C" w:sz="8" w:space="0"/>
        </w:tcBorders>
        <w:shd w:val="clear" w:color="auto" w:fill="B5DCEC"/>
      </w:tcPr>
    </w:tblStylePr>
    <w:tblStylePr w:type="band2Horz">
      <w:tblPr/>
      <w:tcPr>
        <w:tcBorders>
          <w:top w:val="single" w:color="1C556C" w:sz="8" w:space="0"/>
          <w:left w:val="single" w:color="1C556C" w:sz="8" w:space="0"/>
          <w:bottom w:val="single" w:color="1C556C" w:sz="8" w:space="0"/>
          <w:right w:val="single" w:color="1C556C" w:sz="8" w:space="0"/>
          <w:insideV w:val="single" w:color="1C556C" w:sz="8" w:space="0"/>
        </w:tcBorders>
      </w:tcPr>
    </w:tblStylePr>
  </w:style>
  <w:style w:type="table" w:styleId="LightShading-Accent11" w:customStyle="1">
    <w:name w:val="Light Shading - Accent 11"/>
    <w:basedOn w:val="TableNormal"/>
    <w:uiPriority w:val="60"/>
    <w:rsid w:val="00EA64B4"/>
    <w:rPr>
      <w:color w:val="153F50"/>
    </w:rPr>
    <w:tblPr>
      <w:tblStyleRowBandSize w:val="1"/>
      <w:tblStyleColBandSize w:val="1"/>
      <w:tblBorders>
        <w:top w:val="single" w:color="1C556C" w:sz="8" w:space="0"/>
        <w:bottom w:val="single" w:color="1C556C" w:sz="8" w:space="0"/>
      </w:tblBorders>
    </w:tblPr>
    <w:tblStylePr w:type="firstRow">
      <w:pPr>
        <w:spacing w:before="0" w:after="0" w:line="240" w:lineRule="auto"/>
      </w:pPr>
      <w:rPr>
        <w:b/>
        <w:bCs/>
      </w:rPr>
      <w:tblPr/>
      <w:tcPr>
        <w:tcBorders>
          <w:top w:val="single" w:color="1C556C" w:sz="8" w:space="0"/>
          <w:left w:val="nil"/>
          <w:bottom w:val="single" w:color="1C556C" w:sz="8" w:space="0"/>
          <w:right w:val="nil"/>
          <w:insideH w:val="nil"/>
          <w:insideV w:val="nil"/>
        </w:tcBorders>
      </w:tcPr>
    </w:tblStylePr>
    <w:tblStylePr w:type="lastRow">
      <w:pPr>
        <w:spacing w:before="0" w:after="0" w:line="240" w:lineRule="auto"/>
      </w:pPr>
      <w:rPr>
        <w:b/>
        <w:bCs/>
      </w:rPr>
      <w:tblPr/>
      <w:tcPr>
        <w:tcBorders>
          <w:top w:val="single" w:color="1C556C" w:sz="8" w:space="0"/>
          <w:left w:val="nil"/>
          <w:bottom w:val="single" w:color="1C556C"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11" w:customStyle="1">
    <w:name w:val="Light List - Accent 11"/>
    <w:basedOn w:val="TableNormal"/>
    <w:uiPriority w:val="61"/>
    <w:rsid w:val="00EA64B4"/>
    <w:tblPr>
      <w:tblStyleRowBandSize w:val="1"/>
      <w:tblStyleColBandSize w:val="1"/>
      <w:tblBorders>
        <w:top w:val="single" w:color="1C556C" w:sz="8" w:space="0"/>
        <w:left w:val="single" w:color="1C556C" w:sz="8" w:space="0"/>
        <w:bottom w:val="single" w:color="1C556C" w:sz="8" w:space="0"/>
        <w:right w:val="single" w:color="1C556C" w:sz="8" w:space="0"/>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color="1C556C" w:sz="6" w:space="0"/>
          <w:left w:val="single" w:color="1C556C" w:sz="8" w:space="0"/>
          <w:bottom w:val="single" w:color="1C556C" w:sz="8" w:space="0"/>
          <w:right w:val="single" w:color="1C556C" w:sz="8" w:space="0"/>
        </w:tcBorders>
      </w:tcPr>
    </w:tblStylePr>
    <w:tblStylePr w:type="firstCol">
      <w:rPr>
        <w:b/>
        <w:bCs/>
      </w:rPr>
    </w:tblStylePr>
    <w:tblStylePr w:type="lastCol">
      <w:rPr>
        <w:b/>
        <w:bCs/>
      </w:rPr>
    </w:tblStylePr>
    <w:tblStylePr w:type="band1Vert">
      <w:tblPr/>
      <w:tcPr>
        <w:tcBorders>
          <w:top w:val="single" w:color="1C556C" w:sz="8" w:space="0"/>
          <w:left w:val="single" w:color="1C556C" w:sz="8" w:space="0"/>
          <w:bottom w:val="single" w:color="1C556C" w:sz="8" w:space="0"/>
          <w:right w:val="single" w:color="1C556C" w:sz="8" w:space="0"/>
        </w:tcBorders>
      </w:tcPr>
    </w:tblStylePr>
    <w:tblStylePr w:type="band1Horz">
      <w:tblPr/>
      <w:tcPr>
        <w:tcBorders>
          <w:top w:val="single" w:color="1C556C" w:sz="8" w:space="0"/>
          <w:left w:val="single" w:color="1C556C" w:sz="8" w:space="0"/>
          <w:bottom w:val="single" w:color="1C556C" w:sz="8" w:space="0"/>
          <w:right w:val="single" w:color="1C556C" w:sz="8" w:space="0"/>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hAnsi="Times New Roman" w:eastAsia="Times New Roman"/>
      <w:sz w:val="22"/>
      <w:lang w:eastAsia="en-US"/>
    </w:rPr>
  </w:style>
  <w:style w:type="character" w:styleId="Strong">
    <w:name w:val="Strong"/>
    <w:uiPriority w:val="22"/>
    <w:semiHidden/>
    <w:qFormat/>
    <w:rsid w:val="00EA64B4"/>
    <w:rPr>
      <w:b/>
      <w:bCs/>
    </w:rPr>
  </w:style>
  <w:style w:type="paragraph" w:styleId="Boxa" w:customStyle="1">
    <w:name w:val="Box a"/>
    <w:aliases w:val="b list"/>
    <w:basedOn w:val="Sub-listi"/>
    <w:semiHidden/>
    <w:qFormat/>
    <w:rsid w:val="00EA64B4"/>
    <w:pPr>
      <w:numPr>
        <w:ilvl w:val="1"/>
        <w:numId w:val="2"/>
      </w:numPr>
      <w:pBdr>
        <w:top w:val="single" w:color="0092CF" w:sz="6" w:space="15"/>
        <w:left w:val="single" w:color="0092CF" w:sz="6" w:space="15"/>
        <w:bottom w:val="single" w:color="0092CF" w:sz="6" w:space="15"/>
        <w:right w:val="single" w:color="0092CF" w:sz="6" w:space="15"/>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styleId="BoxBullet0" w:customStyle="1">
    <w:name w:val="Box Bullet"/>
    <w:basedOn w:val="Normal"/>
    <w:semiHidden/>
    <w:rsid w:val="00F32C5C"/>
    <w:pPr>
      <w:pBdr>
        <w:top w:val="single" w:color="auto" w:sz="6" w:space="15"/>
        <w:left w:val="single" w:color="auto" w:sz="6" w:space="15"/>
        <w:bottom w:val="single" w:color="auto" w:sz="6" w:space="15"/>
        <w:right w:val="single" w:color="auto" w:sz="6" w:space="15"/>
      </w:pBdr>
      <w:tabs>
        <w:tab w:val="num" w:pos="851"/>
      </w:tabs>
      <w:spacing w:after="0" w:line="240" w:lineRule="auto"/>
      <w:ind w:left="851" w:right="284" w:hanging="567"/>
      <w:jc w:val="left"/>
    </w:pPr>
    <w:rPr>
      <w:rFonts w:ascii="Arial" w:hAnsi="Arial"/>
      <w:sz w:val="20"/>
      <w:szCs w:val="20"/>
      <w:lang w:eastAsia="en-GB"/>
    </w:rPr>
  </w:style>
  <w:style w:type="paragraph" w:styleId="BoxHeading0" w:customStyle="1">
    <w:name w:val="BoxHeading"/>
    <w:basedOn w:val="Normal"/>
    <w:next w:val="Normal"/>
    <w:semiHidden/>
    <w:rsid w:val="00F32C5C"/>
    <w:pPr>
      <w:pBdr>
        <w:top w:val="single" w:color="auto" w:sz="6" w:space="15"/>
        <w:left w:val="single" w:color="auto" w:sz="6" w:space="15"/>
        <w:bottom w:val="single" w:color="auto" w:sz="6" w:space="15"/>
        <w:right w:val="single" w:color="auto" w:sz="6" w:space="15"/>
      </w:pBdr>
      <w:spacing w:before="0" w:after="240" w:line="240" w:lineRule="auto"/>
      <w:ind w:left="284" w:right="284"/>
    </w:pPr>
    <w:rPr>
      <w:rFonts w:ascii="Arial" w:hAnsi="Arial"/>
      <w:b/>
      <w:szCs w:val="20"/>
      <w:lang w:eastAsia="en-GB"/>
    </w:rPr>
  </w:style>
  <w:style w:type="character" w:styleId="Heading6Char" w:customStyle="1">
    <w:name w:val="Heading 6 Char"/>
    <w:link w:val="Heading6"/>
    <w:semiHidden/>
    <w:rsid w:val="00EA64B4"/>
    <w:rPr>
      <w:rFonts w:ascii="Times New Roman" w:hAnsi="Times New Roman" w:eastAsia="Times New Roman"/>
      <w:b/>
      <w:sz w:val="22"/>
      <w:lang w:val="en-AU" w:eastAsia="en-US"/>
    </w:rPr>
  </w:style>
  <w:style w:type="character" w:styleId="Heading7Char" w:customStyle="1">
    <w:name w:val="Heading 7 Char"/>
    <w:link w:val="Heading7"/>
    <w:semiHidden/>
    <w:rsid w:val="00EA64B4"/>
    <w:rPr>
      <w:rFonts w:ascii="Times New Roman" w:hAnsi="Times New Roman" w:eastAsia="Times New Roman"/>
      <w:sz w:val="22"/>
      <w:lang w:val="en-AU" w:eastAsia="en-US"/>
    </w:rPr>
  </w:style>
  <w:style w:type="character" w:styleId="Heading8Char" w:customStyle="1">
    <w:name w:val="Heading 8 Char"/>
    <w:link w:val="Heading8"/>
    <w:semiHidden/>
    <w:rsid w:val="00EA64B4"/>
    <w:rPr>
      <w:rFonts w:ascii="Times New Roman" w:hAnsi="Times New Roman" w:eastAsia="Times New Roman"/>
      <w:i/>
      <w:sz w:val="22"/>
      <w:lang w:val="en-AU" w:eastAsia="en-US"/>
    </w:rPr>
  </w:style>
  <w:style w:type="character" w:styleId="Heading9Char" w:customStyle="1">
    <w:name w:val="Heading 9 Char"/>
    <w:link w:val="Heading9"/>
    <w:semiHidden/>
    <w:rsid w:val="00EA64B4"/>
    <w:rPr>
      <w:rFonts w:ascii="Arial" w:hAnsi="Arial" w:eastAsiaTheme="majorEastAsia" w:cstheme="majorBidi"/>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character" w:styleId="BulletChar" w:customStyle="1">
    <w:name w:val="Bullet Char"/>
    <w:basedOn w:val="DefaultParagraphFont"/>
    <w:link w:val="Bullet"/>
    <w:locked/>
    <w:rsid w:val="00A760B3"/>
    <w:rPr>
      <w:rFonts w:eastAsia="Times New Roman"/>
      <w:sz w:val="22"/>
    </w:rPr>
  </w:style>
  <w:style w:type="paragraph" w:styleId="Casestudyheading" w:customStyle="1">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color="1C556C" w:sz="8" w:space="0"/>
        <w:bottom w:val="single" w:color="1C556C" w:sz="8" w:space="0"/>
      </w:tblBorders>
    </w:tblPr>
    <w:tblStylePr w:type="firstRow">
      <w:pPr>
        <w:spacing w:before="0" w:after="0" w:line="240" w:lineRule="auto"/>
      </w:pPr>
      <w:rPr>
        <w:b/>
        <w:bCs/>
      </w:rPr>
      <w:tblPr/>
      <w:tcPr>
        <w:tcBorders>
          <w:top w:val="single" w:color="1C556C" w:sz="8" w:space="0"/>
          <w:left w:val="nil"/>
          <w:bottom w:val="single" w:color="1C556C" w:sz="8" w:space="0"/>
          <w:right w:val="nil"/>
          <w:insideH w:val="nil"/>
          <w:insideV w:val="nil"/>
        </w:tcBorders>
      </w:tcPr>
    </w:tblStylePr>
    <w:tblStylePr w:type="lastRow">
      <w:pPr>
        <w:spacing w:before="0" w:after="0" w:line="240" w:lineRule="auto"/>
      </w:pPr>
      <w:rPr>
        <w:b/>
        <w:bCs/>
      </w:rPr>
      <w:tblPr/>
      <w:tcPr>
        <w:tcBorders>
          <w:top w:val="single" w:color="1C556C" w:sz="8" w:space="0"/>
          <w:left w:val="nil"/>
          <w:bottom w:val="single" w:color="1C556C"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color="D2DDE2" w:sz="8" w:space="0"/>
        <w:left w:val="single" w:color="D2DDE2" w:sz="8" w:space="0"/>
        <w:bottom w:val="single" w:color="D2DDE2" w:sz="8" w:space="0"/>
        <w:right w:val="single" w:color="D2DDE2" w:sz="8" w:space="0"/>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color="D2DDE2" w:sz="6" w:space="0"/>
          <w:left w:val="single" w:color="D2DDE2" w:sz="8" w:space="0"/>
          <w:bottom w:val="single" w:color="D2DDE2" w:sz="8" w:space="0"/>
          <w:right w:val="single" w:color="D2DDE2" w:sz="8" w:space="0"/>
        </w:tcBorders>
      </w:tcPr>
    </w:tblStylePr>
    <w:tblStylePr w:type="firstCol">
      <w:rPr>
        <w:b/>
        <w:bCs/>
      </w:rPr>
    </w:tblStylePr>
    <w:tblStylePr w:type="lastCol">
      <w:rPr>
        <w:b/>
        <w:bCs/>
      </w:rPr>
    </w:tblStylePr>
    <w:tblStylePr w:type="band1Vert">
      <w:tblPr/>
      <w:tcPr>
        <w:tcBorders>
          <w:top w:val="single" w:color="D2DDE2" w:sz="8" w:space="0"/>
          <w:left w:val="single" w:color="D2DDE2" w:sz="8" w:space="0"/>
          <w:bottom w:val="single" w:color="D2DDE2" w:sz="8" w:space="0"/>
          <w:right w:val="single" w:color="D2DDE2" w:sz="8" w:space="0"/>
        </w:tcBorders>
      </w:tcPr>
    </w:tblStylePr>
    <w:tblStylePr w:type="band1Horz">
      <w:tblPr/>
      <w:tcPr>
        <w:tcBorders>
          <w:top w:val="single" w:color="D2DDE2" w:sz="8" w:space="0"/>
          <w:left w:val="single" w:color="D2DDE2" w:sz="8" w:space="0"/>
          <w:bottom w:val="single" w:color="D2DDE2" w:sz="8" w:space="0"/>
          <w:right w:val="single" w:color="D2DDE2" w:sz="8" w:space="0"/>
        </w:tcBorders>
      </w:tcPr>
    </w:tblStylePr>
  </w:style>
  <w:style w:type="numbering" w:styleId="Style1" w:customStyle="1">
    <w:name w:val="Style1"/>
    <w:uiPriority w:val="99"/>
    <w:rsid w:val="00B07CE9"/>
    <w:pPr>
      <w:numPr>
        <w:numId w:val="3"/>
      </w:numPr>
    </w:pPr>
  </w:style>
  <w:style w:type="numbering" w:styleId="Style2" w:customStyle="1">
    <w:name w:val="Style2"/>
    <w:uiPriority w:val="99"/>
    <w:rsid w:val="008E0688"/>
    <w:pPr>
      <w:numPr>
        <w:numId w:val="4"/>
      </w:numPr>
    </w:pPr>
  </w:style>
  <w:style w:type="paragraph" w:styleId="Greenbullet-casestudytables" w:customStyle="1">
    <w:name w:val="Green bullet - case study tables"/>
    <w:basedOn w:val="Greentext-casestudytables"/>
    <w:uiPriority w:val="1"/>
    <w:semiHidden/>
    <w:rsid w:val="00C15722"/>
    <w:pPr>
      <w:numPr>
        <w:numId w:val="5"/>
      </w:numPr>
      <w:spacing w:before="0"/>
    </w:pPr>
  </w:style>
  <w:style w:type="paragraph" w:styleId="Greentext-casestudytables" w:customStyle="1">
    <w:name w:val="Green text - case study tables"/>
    <w:basedOn w:val="BodyText"/>
    <w:uiPriority w:val="1"/>
    <w:semiHidden/>
    <w:rsid w:val="00C15722"/>
    <w:pPr>
      <w:spacing w:line="260" w:lineRule="atLeast"/>
      <w:ind w:left="284" w:right="284"/>
    </w:pPr>
    <w:rPr>
      <w:color w:val="0F7B7D"/>
      <w:sz w:val="20"/>
    </w:rPr>
  </w:style>
  <w:style w:type="paragraph" w:styleId="Greenheading-casestudytables" w:customStyle="1">
    <w:name w:val="Green heading - case study tables"/>
    <w:basedOn w:val="Greentext-casestudytables"/>
    <w:next w:val="Greentext-casestudytables"/>
    <w:uiPriority w:val="1"/>
    <w:semiHidden/>
    <w:rsid w:val="0051754D"/>
    <w:pPr>
      <w:keepNext/>
      <w:spacing w:before="240" w:after="0"/>
    </w:pPr>
    <w:rPr>
      <w:b/>
    </w:rPr>
  </w:style>
  <w:style w:type="numbering" w:styleId="Style3" w:customStyle="1">
    <w:name w:val="Style3"/>
    <w:uiPriority w:val="99"/>
    <w:rsid w:val="008B5A2D"/>
    <w:pPr>
      <w:numPr>
        <w:numId w:val="6"/>
      </w:numPr>
    </w:pPr>
  </w:style>
  <w:style w:type="paragraph" w:styleId="Blueboxtext" w:customStyle="1">
    <w:name w:val="Blue box text"/>
    <w:basedOn w:val="Normal"/>
    <w:uiPriority w:val="1"/>
    <w:semiHidden/>
    <w:qFormat/>
    <w:rsid w:val="007823D6"/>
    <w:pPr>
      <w:spacing w:line="260" w:lineRule="atLeast"/>
      <w:ind w:left="284" w:right="284"/>
      <w:jc w:val="left"/>
    </w:pPr>
    <w:rPr>
      <w:color w:val="1C556C"/>
      <w:sz w:val="20"/>
    </w:rPr>
  </w:style>
  <w:style w:type="paragraph" w:styleId="Blue-boxbullet" w:customStyle="1">
    <w:name w:val="Blue-box bullet"/>
    <w:basedOn w:val="Blueboxtext"/>
    <w:uiPriority w:val="11"/>
    <w:semiHidden/>
    <w:qFormat/>
    <w:rsid w:val="005D3242"/>
    <w:pPr>
      <w:tabs>
        <w:tab w:val="left" w:pos="680"/>
      </w:tabs>
      <w:spacing w:before="0"/>
      <w:ind w:left="0"/>
    </w:pPr>
    <w:rPr>
      <w:szCs w:val="20"/>
    </w:rPr>
  </w:style>
  <w:style w:type="paragraph" w:styleId="Blueboxheading" w:customStyle="1">
    <w:name w:val="Blue box heading"/>
    <w:basedOn w:val="Blueboxtext"/>
    <w:next w:val="Blueboxtext"/>
    <w:uiPriority w:val="1"/>
    <w:semiHidden/>
    <w:qFormat/>
    <w:rsid w:val="00225830"/>
    <w:pPr>
      <w:keepNext/>
      <w:spacing w:before="240" w:after="0"/>
    </w:pPr>
    <w:rPr>
      <w:rFonts w:ascii="Georgia" w:hAnsi="Georgia"/>
      <w:b/>
      <w:szCs w:val="20"/>
    </w:rPr>
  </w:style>
  <w:style w:type="paragraph" w:styleId="Blue-boxsub-bullet" w:customStyle="1">
    <w:name w:val="Blue-box sub-bullet"/>
    <w:basedOn w:val="Blueboxtext"/>
    <w:uiPriority w:val="1"/>
    <w:semiHidden/>
    <w:qFormat/>
    <w:rsid w:val="007823D6"/>
    <w:pPr>
      <w:spacing w:before="0"/>
      <w:ind w:left="0"/>
    </w:pPr>
    <w:rPr>
      <w:szCs w:val="20"/>
    </w:rPr>
  </w:style>
  <w:style w:type="paragraph" w:styleId="Greensub-bullet-casestudytables" w:customStyle="1">
    <w:name w:val="Green sub-bullet - case study tables"/>
    <w:basedOn w:val="Greentext-casestudytables"/>
    <w:uiPriority w:val="1"/>
    <w:semiHidden/>
    <w:qFormat/>
    <w:rsid w:val="00B73ABB"/>
    <w:pPr>
      <w:numPr>
        <w:numId w:val="7"/>
      </w:numPr>
      <w:spacing w:before="0"/>
    </w:pPr>
    <w:rPr>
      <w:bCs/>
      <w:color w:val="1B556B"/>
    </w:rPr>
  </w:style>
  <w:style w:type="character" w:styleId="UnresolvedMention">
    <w:name w:val="Unresolved Mention"/>
    <w:basedOn w:val="DefaultParagraphFont"/>
    <w:uiPriority w:val="99"/>
    <w:semiHidden/>
    <w:rsid w:val="00B73ABB"/>
    <w:rPr>
      <w:color w:val="605E5C"/>
      <w:shd w:val="clear" w:color="auto" w:fill="E1DFDD"/>
    </w:rPr>
  </w:style>
  <w:style w:type="paragraph" w:styleId="CommentText">
    <w:name w:val="annotation text"/>
    <w:basedOn w:val="Normal"/>
    <w:link w:val="CommentTextChar"/>
    <w:uiPriority w:val="99"/>
    <w:semiHidden/>
    <w:rsid w:val="004E63D3"/>
    <w:pPr>
      <w:spacing w:line="240" w:lineRule="auto"/>
    </w:pPr>
    <w:rPr>
      <w:sz w:val="20"/>
      <w:szCs w:val="20"/>
    </w:rPr>
  </w:style>
  <w:style w:type="character" w:styleId="CommentTextChar" w:customStyle="1">
    <w:name w:val="Comment Text Char"/>
    <w:basedOn w:val="DefaultParagraphFont"/>
    <w:link w:val="CommentText"/>
    <w:uiPriority w:val="99"/>
    <w:semiHidden/>
    <w:rsid w:val="00B0384D"/>
    <w:rPr>
      <w:rFonts w:eastAsia="Times New Roman"/>
    </w:rPr>
  </w:style>
  <w:style w:type="table" w:styleId="MinistryfortheEnvironment" w:customStyle="1">
    <w:name w:val="Ministry for the Environment"/>
    <w:basedOn w:val="TableNormal"/>
    <w:uiPriority w:val="99"/>
    <w:rsid w:val="00AF56C9"/>
    <w:tblPr>
      <w:tblBorders>
        <w:bottom w:val="single" w:color="1B556B" w:themeColor="text2" w:sz="4" w:space="0"/>
        <w:insideH w:val="single" w:color="1B556B" w:themeColor="text2" w:sz="4" w:space="0"/>
        <w:insideV w:val="single" w:color="1B556B" w:themeColor="text2" w:sz="4" w:space="0"/>
      </w:tblBorders>
      <w:tblCellMar>
        <w:bottom w:w="57" w:type="dxa"/>
      </w:tblCellMar>
    </w:tblPr>
    <w:tblStylePr w:type="firstRow">
      <w:rPr>
        <w:b/>
        <w:color w:val="FFFFFF" w:themeColor="background1"/>
      </w:rPr>
      <w:tblPr/>
      <w:tcPr>
        <w:shd w:val="clear" w:color="auto" w:fill="1B556B" w:themeFill="text2"/>
      </w:tcPr>
    </w:tblStylePr>
  </w:style>
  <w:style w:type="paragraph" w:styleId="NumberedHeading1" w:customStyle="1">
    <w:name w:val="Numbered Heading 1"/>
    <w:basedOn w:val="Heading1"/>
    <w:semiHidden/>
    <w:qFormat/>
    <w:rsid w:val="006B5A4A"/>
    <w:pPr>
      <w:numPr>
        <w:numId w:val="8"/>
      </w:numPr>
      <w:spacing w:after="240"/>
    </w:pPr>
    <w:rPr>
      <w:color w:val="auto"/>
      <w:sz w:val="56"/>
      <w:szCs w:val="84"/>
    </w:rPr>
  </w:style>
  <w:style w:type="paragraph" w:styleId="NumberedHeading2" w:customStyle="1">
    <w:name w:val="Numbered Heading 2"/>
    <w:basedOn w:val="Heading2"/>
    <w:semiHidden/>
    <w:qFormat/>
    <w:rsid w:val="006B5A4A"/>
    <w:pPr>
      <w:numPr>
        <w:ilvl w:val="1"/>
        <w:numId w:val="8"/>
      </w:numPr>
    </w:pPr>
    <w:rPr>
      <w:color w:val="auto"/>
      <w:sz w:val="40"/>
      <w:szCs w:val="56"/>
    </w:rPr>
  </w:style>
  <w:style w:type="paragraph" w:styleId="Boxtext" w:customStyle="1">
    <w:name w:val="Box text"/>
    <w:basedOn w:val="Normal"/>
    <w:uiPriority w:val="1"/>
    <w:semiHidden/>
    <w:qFormat/>
    <w:rsid w:val="00A760B3"/>
    <w:pPr>
      <w:spacing w:line="260" w:lineRule="atLeast"/>
      <w:ind w:left="284" w:right="284"/>
      <w:jc w:val="left"/>
    </w:pPr>
    <w:rPr>
      <w:rFonts w:eastAsiaTheme="minorEastAsia" w:cstheme="minorBidi"/>
      <w:color w:val="1B556B"/>
      <w:sz w:val="20"/>
    </w:rPr>
  </w:style>
  <w:style w:type="paragraph" w:styleId="Boxsub-bullet" w:customStyle="1">
    <w:name w:val="Box sub-bullet"/>
    <w:basedOn w:val="Boxtext"/>
    <w:uiPriority w:val="1"/>
    <w:semiHidden/>
    <w:qFormat/>
    <w:rsid w:val="00A760B3"/>
    <w:pPr>
      <w:numPr>
        <w:numId w:val="13"/>
      </w:numPr>
      <w:spacing w:before="0"/>
    </w:pPr>
    <w:rPr>
      <w:rFonts w:cs="Times New Roman"/>
      <w:szCs w:val="20"/>
    </w:rPr>
  </w:style>
  <w:style w:type="character" w:styleId="HTMLDefinition">
    <w:name w:val="HTML Definition"/>
    <w:basedOn w:val="DefaultParagraphFont"/>
    <w:uiPriority w:val="99"/>
    <w:semiHidden/>
    <w:unhideWhenUsed/>
    <w:rsid w:val="00EF5822"/>
    <w:rPr>
      <w:i/>
      <w:iCs/>
    </w:rPr>
  </w:style>
  <w:style w:type="character" w:styleId="Mention">
    <w:name w:val="Mention"/>
    <w:basedOn w:val="DefaultParagraphFont"/>
    <w:uiPriority w:val="99"/>
    <w:semiHidden/>
    <w:rsid w:val="00335477"/>
    <w:rPr>
      <w:color w:val="2B579A"/>
      <w:shd w:val="clear" w:color="auto" w:fill="E6E6E6"/>
    </w:rPr>
  </w:style>
  <w:style w:type="paragraph" w:styleId="ListBullet">
    <w:name w:val="List Bullet"/>
    <w:basedOn w:val="Normal"/>
    <w:uiPriority w:val="99"/>
    <w:semiHidden/>
    <w:rsid w:val="003345C1"/>
    <w:pPr>
      <w:numPr>
        <w:numId w:val="9"/>
      </w:numPr>
      <w:contextualSpacing/>
    </w:pPr>
  </w:style>
  <w:style w:type="character" w:styleId="Emphasis">
    <w:name w:val="Emphasis"/>
    <w:basedOn w:val="DefaultParagraphFont"/>
    <w:uiPriority w:val="20"/>
    <w:semiHidden/>
    <w:qFormat/>
    <w:rsid w:val="00B83F30"/>
    <w:rPr>
      <w:i/>
      <w:iCs/>
    </w:rPr>
  </w:style>
  <w:style w:type="paragraph" w:styleId="ListBullet2">
    <w:name w:val="List Bullet 2"/>
    <w:basedOn w:val="Normal"/>
    <w:uiPriority w:val="99"/>
    <w:semiHidden/>
    <w:rsid w:val="00396755"/>
    <w:pPr>
      <w:numPr>
        <w:numId w:val="10"/>
      </w:numPr>
      <w:contextualSpacing/>
    </w:pPr>
  </w:style>
  <w:style w:type="paragraph" w:styleId="ListNumber">
    <w:name w:val="List Number"/>
    <w:basedOn w:val="Normal"/>
    <w:uiPriority w:val="99"/>
    <w:semiHidden/>
    <w:rsid w:val="00620898"/>
    <w:pPr>
      <w:numPr>
        <w:numId w:val="11"/>
      </w:numPr>
      <w:contextualSpacing/>
    </w:pPr>
  </w:style>
  <w:style w:type="paragraph" w:styleId="Boxquestion" w:customStyle="1">
    <w:name w:val="Box question"/>
    <w:basedOn w:val="Boxtext"/>
    <w:uiPriority w:val="1"/>
    <w:semiHidden/>
    <w:qFormat/>
    <w:rsid w:val="00AE3AD7"/>
    <w:pPr>
      <w:numPr>
        <w:numId w:val="20"/>
      </w:numPr>
      <w:spacing w:after="240"/>
    </w:pPr>
    <w:rPr>
      <w:rFonts w:cs="Calibri"/>
    </w:rPr>
  </w:style>
  <w:style w:type="paragraph" w:styleId="ListParagraph">
    <w:name w:val="List Paragraph"/>
    <w:basedOn w:val="Normal"/>
    <w:uiPriority w:val="34"/>
    <w:semiHidden/>
    <w:qFormat/>
    <w:rsid w:val="00382C49"/>
    <w:pPr>
      <w:spacing w:before="0" w:after="160" w:line="259" w:lineRule="auto"/>
      <w:ind w:left="720"/>
      <w:contextualSpacing/>
      <w:jc w:val="left"/>
    </w:pPr>
    <w:rPr>
      <w:rFonts w:asciiTheme="minorHAnsi" w:hAnsiTheme="minorHAnsi" w:eastAsiaTheme="minorHAnsi" w:cstheme="minorBidi"/>
      <w:kern w:val="2"/>
      <w:lang w:eastAsia="en-US"/>
      <w14:ligatures w14:val="standardContextual"/>
    </w:rPr>
  </w:style>
  <w:style w:type="paragraph" w:styleId="NormalWeb">
    <w:name w:val="Normal (Web)"/>
    <w:basedOn w:val="Normal"/>
    <w:uiPriority w:val="99"/>
    <w:semiHidden/>
    <w:unhideWhenUsed/>
    <w:rsid w:val="002D351D"/>
    <w:pPr>
      <w:spacing w:before="100" w:beforeAutospacing="1" w:after="100" w:afterAutospacing="1" w:line="240" w:lineRule="auto"/>
      <w:jc w:val="left"/>
    </w:pPr>
    <w:rPr>
      <w:rFonts w:ascii="Times New Roman" w:hAnsi="Times New Roman"/>
      <w:sz w:val="24"/>
      <w:szCs w:val="24"/>
    </w:rPr>
  </w:style>
  <w:style w:type="paragraph" w:styleId="TOCHeading">
    <w:name w:val="TOC Heading"/>
    <w:basedOn w:val="Heading1"/>
    <w:next w:val="Normal"/>
    <w:uiPriority w:val="39"/>
    <w:semiHidden/>
    <w:qFormat/>
    <w:rsid w:val="007A15A3"/>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styleId="Questions" w:customStyle="1">
    <w:name w:val="Questions"/>
    <w:basedOn w:val="Boxtext"/>
    <w:qFormat/>
    <w:rsid w:val="00EC7F33"/>
    <w:pPr>
      <w:spacing w:before="100" w:after="100"/>
      <w:ind w:left="0" w:right="0"/>
    </w:pPr>
    <w:rPr>
      <w:rFonts w:cs="Times New Roman"/>
      <w:color w:val="auto"/>
      <w:szCs w:val="20"/>
    </w:rPr>
  </w:style>
  <w:style w:type="numbering" w:styleId="MfEList-introtoList-numbered" w:customStyle="1">
    <w:name w:val="MfE List-intro to List-numbered"/>
    <w:uiPriority w:val="99"/>
    <w:rsid w:val="00D15EC1"/>
    <w:pPr>
      <w:numPr>
        <w:numId w:val="27"/>
      </w:numPr>
    </w:pPr>
  </w:style>
  <w:style w:type="numbering" w:styleId="MfENormaltoList-numbered" w:customStyle="1">
    <w:name w:val="MfE Normal to List-numbered"/>
    <w:uiPriority w:val="99"/>
    <w:rsid w:val="000A095D"/>
    <w:pPr>
      <w:numPr>
        <w:numId w:val="28"/>
      </w:numPr>
    </w:pPr>
  </w:style>
  <w:style w:type="paragraph" w:styleId="AppendixH2" w:customStyle="1">
    <w:name w:val="Appendix H2"/>
    <w:basedOn w:val="Heading2"/>
    <w:uiPriority w:val="1"/>
    <w:qFormat/>
    <w:rsid w:val="007D7756"/>
    <w:rPr>
      <w:kern w:val="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7919">
      <w:bodyDiv w:val="1"/>
      <w:marLeft w:val="0"/>
      <w:marRight w:val="0"/>
      <w:marTop w:val="0"/>
      <w:marBottom w:val="0"/>
      <w:divBdr>
        <w:top w:val="none" w:sz="0" w:space="0" w:color="auto"/>
        <w:left w:val="none" w:sz="0" w:space="0" w:color="auto"/>
        <w:bottom w:val="none" w:sz="0" w:space="0" w:color="auto"/>
        <w:right w:val="none" w:sz="0" w:space="0" w:color="auto"/>
      </w:divBdr>
    </w:div>
    <w:div w:id="101385486">
      <w:bodyDiv w:val="1"/>
      <w:marLeft w:val="0"/>
      <w:marRight w:val="0"/>
      <w:marTop w:val="0"/>
      <w:marBottom w:val="0"/>
      <w:divBdr>
        <w:top w:val="none" w:sz="0" w:space="0" w:color="auto"/>
        <w:left w:val="none" w:sz="0" w:space="0" w:color="auto"/>
        <w:bottom w:val="none" w:sz="0" w:space="0" w:color="auto"/>
        <w:right w:val="none" w:sz="0" w:space="0" w:color="auto"/>
      </w:divBdr>
    </w:div>
    <w:div w:id="135879076">
      <w:bodyDiv w:val="1"/>
      <w:marLeft w:val="0"/>
      <w:marRight w:val="0"/>
      <w:marTop w:val="0"/>
      <w:marBottom w:val="0"/>
      <w:divBdr>
        <w:top w:val="none" w:sz="0" w:space="0" w:color="auto"/>
        <w:left w:val="none" w:sz="0" w:space="0" w:color="auto"/>
        <w:bottom w:val="none" w:sz="0" w:space="0" w:color="auto"/>
        <w:right w:val="none" w:sz="0" w:space="0" w:color="auto"/>
      </w:divBdr>
    </w:div>
    <w:div w:id="156045867">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
    <w:div w:id="212236234">
      <w:bodyDiv w:val="1"/>
      <w:marLeft w:val="0"/>
      <w:marRight w:val="0"/>
      <w:marTop w:val="0"/>
      <w:marBottom w:val="0"/>
      <w:divBdr>
        <w:top w:val="none" w:sz="0" w:space="0" w:color="auto"/>
        <w:left w:val="none" w:sz="0" w:space="0" w:color="auto"/>
        <w:bottom w:val="none" w:sz="0" w:space="0" w:color="auto"/>
        <w:right w:val="none" w:sz="0" w:space="0" w:color="auto"/>
      </w:divBdr>
    </w:div>
    <w:div w:id="216208551">
      <w:bodyDiv w:val="1"/>
      <w:marLeft w:val="0"/>
      <w:marRight w:val="0"/>
      <w:marTop w:val="0"/>
      <w:marBottom w:val="0"/>
      <w:divBdr>
        <w:top w:val="none" w:sz="0" w:space="0" w:color="auto"/>
        <w:left w:val="none" w:sz="0" w:space="0" w:color="auto"/>
        <w:bottom w:val="none" w:sz="0" w:space="0" w:color="auto"/>
        <w:right w:val="none" w:sz="0" w:space="0" w:color="auto"/>
      </w:divBdr>
      <w:divsChild>
        <w:div w:id="1018121100">
          <w:marLeft w:val="0"/>
          <w:marRight w:val="0"/>
          <w:marTop w:val="150"/>
          <w:marBottom w:val="150"/>
          <w:divBdr>
            <w:top w:val="none" w:sz="0" w:space="0" w:color="auto"/>
            <w:left w:val="none" w:sz="0" w:space="0" w:color="auto"/>
            <w:bottom w:val="none" w:sz="0" w:space="0" w:color="auto"/>
            <w:right w:val="none" w:sz="0" w:space="0" w:color="auto"/>
          </w:divBdr>
          <w:divsChild>
            <w:div w:id="5421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042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57716185">
      <w:bodyDiv w:val="1"/>
      <w:marLeft w:val="0"/>
      <w:marRight w:val="0"/>
      <w:marTop w:val="0"/>
      <w:marBottom w:val="0"/>
      <w:divBdr>
        <w:top w:val="none" w:sz="0" w:space="0" w:color="auto"/>
        <w:left w:val="none" w:sz="0" w:space="0" w:color="auto"/>
        <w:bottom w:val="none" w:sz="0" w:space="0" w:color="auto"/>
        <w:right w:val="none" w:sz="0" w:space="0" w:color="auto"/>
      </w:divBdr>
    </w:div>
    <w:div w:id="269554321">
      <w:bodyDiv w:val="1"/>
      <w:marLeft w:val="0"/>
      <w:marRight w:val="0"/>
      <w:marTop w:val="0"/>
      <w:marBottom w:val="0"/>
      <w:divBdr>
        <w:top w:val="none" w:sz="0" w:space="0" w:color="auto"/>
        <w:left w:val="none" w:sz="0" w:space="0" w:color="auto"/>
        <w:bottom w:val="none" w:sz="0" w:space="0" w:color="auto"/>
        <w:right w:val="none" w:sz="0" w:space="0" w:color="auto"/>
      </w:divBdr>
    </w:div>
    <w:div w:id="274599493">
      <w:bodyDiv w:val="1"/>
      <w:marLeft w:val="0"/>
      <w:marRight w:val="0"/>
      <w:marTop w:val="0"/>
      <w:marBottom w:val="0"/>
      <w:divBdr>
        <w:top w:val="none" w:sz="0" w:space="0" w:color="auto"/>
        <w:left w:val="none" w:sz="0" w:space="0" w:color="auto"/>
        <w:bottom w:val="none" w:sz="0" w:space="0" w:color="auto"/>
        <w:right w:val="none" w:sz="0" w:space="0" w:color="auto"/>
      </w:divBdr>
    </w:div>
    <w:div w:id="296226900">
      <w:bodyDiv w:val="1"/>
      <w:marLeft w:val="0"/>
      <w:marRight w:val="0"/>
      <w:marTop w:val="0"/>
      <w:marBottom w:val="0"/>
      <w:divBdr>
        <w:top w:val="none" w:sz="0" w:space="0" w:color="auto"/>
        <w:left w:val="none" w:sz="0" w:space="0" w:color="auto"/>
        <w:bottom w:val="none" w:sz="0" w:space="0" w:color="auto"/>
        <w:right w:val="none" w:sz="0" w:space="0" w:color="auto"/>
      </w:divBdr>
    </w:div>
    <w:div w:id="309091295">
      <w:bodyDiv w:val="1"/>
      <w:marLeft w:val="0"/>
      <w:marRight w:val="0"/>
      <w:marTop w:val="0"/>
      <w:marBottom w:val="0"/>
      <w:divBdr>
        <w:top w:val="none" w:sz="0" w:space="0" w:color="auto"/>
        <w:left w:val="none" w:sz="0" w:space="0" w:color="auto"/>
        <w:bottom w:val="none" w:sz="0" w:space="0" w:color="auto"/>
        <w:right w:val="none" w:sz="0" w:space="0" w:color="auto"/>
      </w:divBdr>
    </w:div>
    <w:div w:id="336615937">
      <w:bodyDiv w:val="1"/>
      <w:marLeft w:val="0"/>
      <w:marRight w:val="0"/>
      <w:marTop w:val="0"/>
      <w:marBottom w:val="0"/>
      <w:divBdr>
        <w:top w:val="none" w:sz="0" w:space="0" w:color="auto"/>
        <w:left w:val="none" w:sz="0" w:space="0" w:color="auto"/>
        <w:bottom w:val="none" w:sz="0" w:space="0" w:color="auto"/>
        <w:right w:val="none" w:sz="0" w:space="0" w:color="auto"/>
      </w:divBdr>
    </w:div>
    <w:div w:id="354891639">
      <w:bodyDiv w:val="1"/>
      <w:marLeft w:val="0"/>
      <w:marRight w:val="0"/>
      <w:marTop w:val="0"/>
      <w:marBottom w:val="0"/>
      <w:divBdr>
        <w:top w:val="none" w:sz="0" w:space="0" w:color="auto"/>
        <w:left w:val="none" w:sz="0" w:space="0" w:color="auto"/>
        <w:bottom w:val="none" w:sz="0" w:space="0" w:color="auto"/>
        <w:right w:val="none" w:sz="0" w:space="0" w:color="auto"/>
      </w:divBdr>
    </w:div>
    <w:div w:id="376121772">
      <w:bodyDiv w:val="1"/>
      <w:marLeft w:val="0"/>
      <w:marRight w:val="0"/>
      <w:marTop w:val="0"/>
      <w:marBottom w:val="0"/>
      <w:divBdr>
        <w:top w:val="none" w:sz="0" w:space="0" w:color="auto"/>
        <w:left w:val="none" w:sz="0" w:space="0" w:color="auto"/>
        <w:bottom w:val="none" w:sz="0" w:space="0" w:color="auto"/>
        <w:right w:val="none" w:sz="0" w:space="0" w:color="auto"/>
      </w:divBdr>
    </w:div>
    <w:div w:id="398330898">
      <w:bodyDiv w:val="1"/>
      <w:marLeft w:val="0"/>
      <w:marRight w:val="0"/>
      <w:marTop w:val="0"/>
      <w:marBottom w:val="0"/>
      <w:divBdr>
        <w:top w:val="none" w:sz="0" w:space="0" w:color="auto"/>
        <w:left w:val="none" w:sz="0" w:space="0" w:color="auto"/>
        <w:bottom w:val="none" w:sz="0" w:space="0" w:color="auto"/>
        <w:right w:val="none" w:sz="0" w:space="0" w:color="auto"/>
      </w:divBdr>
      <w:divsChild>
        <w:div w:id="247688821">
          <w:marLeft w:val="1166"/>
          <w:marRight w:val="0"/>
          <w:marTop w:val="100"/>
          <w:marBottom w:val="0"/>
          <w:divBdr>
            <w:top w:val="none" w:sz="0" w:space="0" w:color="auto"/>
            <w:left w:val="none" w:sz="0" w:space="0" w:color="auto"/>
            <w:bottom w:val="none" w:sz="0" w:space="0" w:color="auto"/>
            <w:right w:val="none" w:sz="0" w:space="0" w:color="auto"/>
          </w:divBdr>
        </w:div>
        <w:div w:id="1196623361">
          <w:marLeft w:val="1166"/>
          <w:marRight w:val="0"/>
          <w:marTop w:val="100"/>
          <w:marBottom w:val="0"/>
          <w:divBdr>
            <w:top w:val="none" w:sz="0" w:space="0" w:color="auto"/>
            <w:left w:val="none" w:sz="0" w:space="0" w:color="auto"/>
            <w:bottom w:val="none" w:sz="0" w:space="0" w:color="auto"/>
            <w:right w:val="none" w:sz="0" w:space="0" w:color="auto"/>
          </w:divBdr>
        </w:div>
      </w:divsChild>
    </w:div>
    <w:div w:id="407070473">
      <w:bodyDiv w:val="1"/>
      <w:marLeft w:val="0"/>
      <w:marRight w:val="0"/>
      <w:marTop w:val="0"/>
      <w:marBottom w:val="0"/>
      <w:divBdr>
        <w:top w:val="none" w:sz="0" w:space="0" w:color="auto"/>
        <w:left w:val="none" w:sz="0" w:space="0" w:color="auto"/>
        <w:bottom w:val="none" w:sz="0" w:space="0" w:color="auto"/>
        <w:right w:val="none" w:sz="0" w:space="0" w:color="auto"/>
      </w:divBdr>
    </w:div>
    <w:div w:id="421341707">
      <w:bodyDiv w:val="1"/>
      <w:marLeft w:val="0"/>
      <w:marRight w:val="0"/>
      <w:marTop w:val="0"/>
      <w:marBottom w:val="0"/>
      <w:divBdr>
        <w:top w:val="none" w:sz="0" w:space="0" w:color="auto"/>
        <w:left w:val="none" w:sz="0" w:space="0" w:color="auto"/>
        <w:bottom w:val="none" w:sz="0" w:space="0" w:color="auto"/>
        <w:right w:val="none" w:sz="0" w:space="0" w:color="auto"/>
      </w:divBdr>
    </w:div>
    <w:div w:id="430123429">
      <w:bodyDiv w:val="1"/>
      <w:marLeft w:val="0"/>
      <w:marRight w:val="0"/>
      <w:marTop w:val="0"/>
      <w:marBottom w:val="0"/>
      <w:divBdr>
        <w:top w:val="none" w:sz="0" w:space="0" w:color="auto"/>
        <w:left w:val="none" w:sz="0" w:space="0" w:color="auto"/>
        <w:bottom w:val="none" w:sz="0" w:space="0" w:color="auto"/>
        <w:right w:val="none" w:sz="0" w:space="0" w:color="auto"/>
      </w:divBdr>
      <w:divsChild>
        <w:div w:id="518814618">
          <w:marLeft w:val="0"/>
          <w:marRight w:val="0"/>
          <w:marTop w:val="0"/>
          <w:marBottom w:val="0"/>
          <w:divBdr>
            <w:top w:val="none" w:sz="0" w:space="0" w:color="auto"/>
            <w:left w:val="none" w:sz="0" w:space="0" w:color="auto"/>
            <w:bottom w:val="none" w:sz="0" w:space="0" w:color="auto"/>
            <w:right w:val="none" w:sz="0" w:space="0" w:color="auto"/>
          </w:divBdr>
        </w:div>
        <w:div w:id="716663663">
          <w:marLeft w:val="0"/>
          <w:marRight w:val="0"/>
          <w:marTop w:val="0"/>
          <w:marBottom w:val="0"/>
          <w:divBdr>
            <w:top w:val="none" w:sz="0" w:space="0" w:color="auto"/>
            <w:left w:val="none" w:sz="0" w:space="0" w:color="auto"/>
            <w:bottom w:val="none" w:sz="0" w:space="0" w:color="auto"/>
            <w:right w:val="none" w:sz="0" w:space="0" w:color="auto"/>
          </w:divBdr>
        </w:div>
        <w:div w:id="831068426">
          <w:marLeft w:val="0"/>
          <w:marRight w:val="0"/>
          <w:marTop w:val="0"/>
          <w:marBottom w:val="0"/>
          <w:divBdr>
            <w:top w:val="none" w:sz="0" w:space="0" w:color="auto"/>
            <w:left w:val="none" w:sz="0" w:space="0" w:color="auto"/>
            <w:bottom w:val="none" w:sz="0" w:space="0" w:color="auto"/>
            <w:right w:val="none" w:sz="0" w:space="0" w:color="auto"/>
          </w:divBdr>
        </w:div>
        <w:div w:id="1857769505">
          <w:marLeft w:val="0"/>
          <w:marRight w:val="0"/>
          <w:marTop w:val="0"/>
          <w:marBottom w:val="0"/>
          <w:divBdr>
            <w:top w:val="none" w:sz="0" w:space="0" w:color="auto"/>
            <w:left w:val="none" w:sz="0" w:space="0" w:color="auto"/>
            <w:bottom w:val="none" w:sz="0" w:space="0" w:color="auto"/>
            <w:right w:val="none" w:sz="0" w:space="0" w:color="auto"/>
          </w:divBdr>
        </w:div>
        <w:div w:id="2055034135">
          <w:marLeft w:val="0"/>
          <w:marRight w:val="0"/>
          <w:marTop w:val="0"/>
          <w:marBottom w:val="0"/>
          <w:divBdr>
            <w:top w:val="none" w:sz="0" w:space="0" w:color="auto"/>
            <w:left w:val="none" w:sz="0" w:space="0" w:color="auto"/>
            <w:bottom w:val="none" w:sz="0" w:space="0" w:color="auto"/>
            <w:right w:val="none" w:sz="0" w:space="0" w:color="auto"/>
          </w:divBdr>
        </w:div>
      </w:divsChild>
    </w:div>
    <w:div w:id="483351503">
      <w:bodyDiv w:val="1"/>
      <w:marLeft w:val="0"/>
      <w:marRight w:val="0"/>
      <w:marTop w:val="0"/>
      <w:marBottom w:val="0"/>
      <w:divBdr>
        <w:top w:val="none" w:sz="0" w:space="0" w:color="auto"/>
        <w:left w:val="none" w:sz="0" w:space="0" w:color="auto"/>
        <w:bottom w:val="none" w:sz="0" w:space="0" w:color="auto"/>
        <w:right w:val="none" w:sz="0" w:space="0" w:color="auto"/>
      </w:divBdr>
      <w:divsChild>
        <w:div w:id="36398090">
          <w:marLeft w:val="0"/>
          <w:marRight w:val="0"/>
          <w:marTop w:val="0"/>
          <w:marBottom w:val="0"/>
          <w:divBdr>
            <w:top w:val="none" w:sz="0" w:space="0" w:color="auto"/>
            <w:left w:val="none" w:sz="0" w:space="0" w:color="auto"/>
            <w:bottom w:val="none" w:sz="0" w:space="0" w:color="auto"/>
            <w:right w:val="none" w:sz="0" w:space="0" w:color="auto"/>
          </w:divBdr>
        </w:div>
        <w:div w:id="356464229">
          <w:marLeft w:val="0"/>
          <w:marRight w:val="0"/>
          <w:marTop w:val="0"/>
          <w:marBottom w:val="0"/>
          <w:divBdr>
            <w:top w:val="none" w:sz="0" w:space="0" w:color="auto"/>
            <w:left w:val="none" w:sz="0" w:space="0" w:color="auto"/>
            <w:bottom w:val="none" w:sz="0" w:space="0" w:color="auto"/>
            <w:right w:val="none" w:sz="0" w:space="0" w:color="auto"/>
          </w:divBdr>
        </w:div>
        <w:div w:id="525489302">
          <w:marLeft w:val="0"/>
          <w:marRight w:val="0"/>
          <w:marTop w:val="0"/>
          <w:marBottom w:val="0"/>
          <w:divBdr>
            <w:top w:val="none" w:sz="0" w:space="0" w:color="auto"/>
            <w:left w:val="none" w:sz="0" w:space="0" w:color="auto"/>
            <w:bottom w:val="none" w:sz="0" w:space="0" w:color="auto"/>
            <w:right w:val="none" w:sz="0" w:space="0" w:color="auto"/>
          </w:divBdr>
        </w:div>
        <w:div w:id="568656046">
          <w:marLeft w:val="0"/>
          <w:marRight w:val="0"/>
          <w:marTop w:val="0"/>
          <w:marBottom w:val="0"/>
          <w:divBdr>
            <w:top w:val="none" w:sz="0" w:space="0" w:color="auto"/>
            <w:left w:val="none" w:sz="0" w:space="0" w:color="auto"/>
            <w:bottom w:val="none" w:sz="0" w:space="0" w:color="auto"/>
            <w:right w:val="none" w:sz="0" w:space="0" w:color="auto"/>
          </w:divBdr>
        </w:div>
        <w:div w:id="577248276">
          <w:marLeft w:val="0"/>
          <w:marRight w:val="0"/>
          <w:marTop w:val="0"/>
          <w:marBottom w:val="0"/>
          <w:divBdr>
            <w:top w:val="none" w:sz="0" w:space="0" w:color="auto"/>
            <w:left w:val="none" w:sz="0" w:space="0" w:color="auto"/>
            <w:bottom w:val="none" w:sz="0" w:space="0" w:color="auto"/>
            <w:right w:val="none" w:sz="0" w:space="0" w:color="auto"/>
          </w:divBdr>
        </w:div>
        <w:div w:id="864711999">
          <w:marLeft w:val="0"/>
          <w:marRight w:val="0"/>
          <w:marTop w:val="0"/>
          <w:marBottom w:val="0"/>
          <w:divBdr>
            <w:top w:val="none" w:sz="0" w:space="0" w:color="auto"/>
            <w:left w:val="none" w:sz="0" w:space="0" w:color="auto"/>
            <w:bottom w:val="none" w:sz="0" w:space="0" w:color="auto"/>
            <w:right w:val="none" w:sz="0" w:space="0" w:color="auto"/>
          </w:divBdr>
        </w:div>
        <w:div w:id="954213748">
          <w:marLeft w:val="0"/>
          <w:marRight w:val="0"/>
          <w:marTop w:val="0"/>
          <w:marBottom w:val="0"/>
          <w:divBdr>
            <w:top w:val="none" w:sz="0" w:space="0" w:color="auto"/>
            <w:left w:val="none" w:sz="0" w:space="0" w:color="auto"/>
            <w:bottom w:val="none" w:sz="0" w:space="0" w:color="auto"/>
            <w:right w:val="none" w:sz="0" w:space="0" w:color="auto"/>
          </w:divBdr>
        </w:div>
        <w:div w:id="1179780011">
          <w:marLeft w:val="0"/>
          <w:marRight w:val="0"/>
          <w:marTop w:val="0"/>
          <w:marBottom w:val="0"/>
          <w:divBdr>
            <w:top w:val="none" w:sz="0" w:space="0" w:color="auto"/>
            <w:left w:val="none" w:sz="0" w:space="0" w:color="auto"/>
            <w:bottom w:val="none" w:sz="0" w:space="0" w:color="auto"/>
            <w:right w:val="none" w:sz="0" w:space="0" w:color="auto"/>
          </w:divBdr>
        </w:div>
        <w:div w:id="1462647496">
          <w:marLeft w:val="0"/>
          <w:marRight w:val="0"/>
          <w:marTop w:val="0"/>
          <w:marBottom w:val="0"/>
          <w:divBdr>
            <w:top w:val="none" w:sz="0" w:space="0" w:color="auto"/>
            <w:left w:val="none" w:sz="0" w:space="0" w:color="auto"/>
            <w:bottom w:val="none" w:sz="0" w:space="0" w:color="auto"/>
            <w:right w:val="none" w:sz="0" w:space="0" w:color="auto"/>
          </w:divBdr>
        </w:div>
        <w:div w:id="1509951793">
          <w:marLeft w:val="0"/>
          <w:marRight w:val="0"/>
          <w:marTop w:val="0"/>
          <w:marBottom w:val="0"/>
          <w:divBdr>
            <w:top w:val="none" w:sz="0" w:space="0" w:color="auto"/>
            <w:left w:val="none" w:sz="0" w:space="0" w:color="auto"/>
            <w:bottom w:val="none" w:sz="0" w:space="0" w:color="auto"/>
            <w:right w:val="none" w:sz="0" w:space="0" w:color="auto"/>
          </w:divBdr>
        </w:div>
        <w:div w:id="1539658265">
          <w:marLeft w:val="0"/>
          <w:marRight w:val="0"/>
          <w:marTop w:val="0"/>
          <w:marBottom w:val="0"/>
          <w:divBdr>
            <w:top w:val="none" w:sz="0" w:space="0" w:color="auto"/>
            <w:left w:val="none" w:sz="0" w:space="0" w:color="auto"/>
            <w:bottom w:val="none" w:sz="0" w:space="0" w:color="auto"/>
            <w:right w:val="none" w:sz="0" w:space="0" w:color="auto"/>
          </w:divBdr>
        </w:div>
        <w:div w:id="1800612818">
          <w:marLeft w:val="0"/>
          <w:marRight w:val="0"/>
          <w:marTop w:val="0"/>
          <w:marBottom w:val="0"/>
          <w:divBdr>
            <w:top w:val="none" w:sz="0" w:space="0" w:color="auto"/>
            <w:left w:val="none" w:sz="0" w:space="0" w:color="auto"/>
            <w:bottom w:val="none" w:sz="0" w:space="0" w:color="auto"/>
            <w:right w:val="none" w:sz="0" w:space="0" w:color="auto"/>
          </w:divBdr>
        </w:div>
        <w:div w:id="1843741001">
          <w:marLeft w:val="0"/>
          <w:marRight w:val="0"/>
          <w:marTop w:val="0"/>
          <w:marBottom w:val="0"/>
          <w:divBdr>
            <w:top w:val="none" w:sz="0" w:space="0" w:color="auto"/>
            <w:left w:val="none" w:sz="0" w:space="0" w:color="auto"/>
            <w:bottom w:val="none" w:sz="0" w:space="0" w:color="auto"/>
            <w:right w:val="none" w:sz="0" w:space="0" w:color="auto"/>
          </w:divBdr>
        </w:div>
        <w:div w:id="1872762650">
          <w:marLeft w:val="0"/>
          <w:marRight w:val="0"/>
          <w:marTop w:val="0"/>
          <w:marBottom w:val="0"/>
          <w:divBdr>
            <w:top w:val="none" w:sz="0" w:space="0" w:color="auto"/>
            <w:left w:val="none" w:sz="0" w:space="0" w:color="auto"/>
            <w:bottom w:val="none" w:sz="0" w:space="0" w:color="auto"/>
            <w:right w:val="none" w:sz="0" w:space="0" w:color="auto"/>
          </w:divBdr>
        </w:div>
        <w:div w:id="1902062298">
          <w:marLeft w:val="0"/>
          <w:marRight w:val="0"/>
          <w:marTop w:val="0"/>
          <w:marBottom w:val="0"/>
          <w:divBdr>
            <w:top w:val="none" w:sz="0" w:space="0" w:color="auto"/>
            <w:left w:val="none" w:sz="0" w:space="0" w:color="auto"/>
            <w:bottom w:val="none" w:sz="0" w:space="0" w:color="auto"/>
            <w:right w:val="none" w:sz="0" w:space="0" w:color="auto"/>
          </w:divBdr>
        </w:div>
        <w:div w:id="1916746148">
          <w:marLeft w:val="0"/>
          <w:marRight w:val="0"/>
          <w:marTop w:val="0"/>
          <w:marBottom w:val="0"/>
          <w:divBdr>
            <w:top w:val="none" w:sz="0" w:space="0" w:color="auto"/>
            <w:left w:val="none" w:sz="0" w:space="0" w:color="auto"/>
            <w:bottom w:val="none" w:sz="0" w:space="0" w:color="auto"/>
            <w:right w:val="none" w:sz="0" w:space="0" w:color="auto"/>
          </w:divBdr>
        </w:div>
        <w:div w:id="1941597374">
          <w:marLeft w:val="0"/>
          <w:marRight w:val="0"/>
          <w:marTop w:val="0"/>
          <w:marBottom w:val="0"/>
          <w:divBdr>
            <w:top w:val="none" w:sz="0" w:space="0" w:color="auto"/>
            <w:left w:val="none" w:sz="0" w:space="0" w:color="auto"/>
            <w:bottom w:val="none" w:sz="0" w:space="0" w:color="auto"/>
            <w:right w:val="none" w:sz="0" w:space="0" w:color="auto"/>
          </w:divBdr>
        </w:div>
        <w:div w:id="2130279104">
          <w:marLeft w:val="0"/>
          <w:marRight w:val="0"/>
          <w:marTop w:val="0"/>
          <w:marBottom w:val="0"/>
          <w:divBdr>
            <w:top w:val="none" w:sz="0" w:space="0" w:color="auto"/>
            <w:left w:val="none" w:sz="0" w:space="0" w:color="auto"/>
            <w:bottom w:val="none" w:sz="0" w:space="0" w:color="auto"/>
            <w:right w:val="none" w:sz="0" w:space="0" w:color="auto"/>
          </w:divBdr>
        </w:div>
      </w:divsChild>
    </w:div>
    <w:div w:id="590623198">
      <w:bodyDiv w:val="1"/>
      <w:marLeft w:val="0"/>
      <w:marRight w:val="0"/>
      <w:marTop w:val="0"/>
      <w:marBottom w:val="0"/>
      <w:divBdr>
        <w:top w:val="none" w:sz="0" w:space="0" w:color="auto"/>
        <w:left w:val="none" w:sz="0" w:space="0" w:color="auto"/>
        <w:bottom w:val="none" w:sz="0" w:space="0" w:color="auto"/>
        <w:right w:val="none" w:sz="0" w:space="0" w:color="auto"/>
      </w:divBdr>
    </w:div>
    <w:div w:id="597300571">
      <w:bodyDiv w:val="1"/>
      <w:marLeft w:val="0"/>
      <w:marRight w:val="0"/>
      <w:marTop w:val="0"/>
      <w:marBottom w:val="0"/>
      <w:divBdr>
        <w:top w:val="none" w:sz="0" w:space="0" w:color="auto"/>
        <w:left w:val="none" w:sz="0" w:space="0" w:color="auto"/>
        <w:bottom w:val="none" w:sz="0" w:space="0" w:color="auto"/>
        <w:right w:val="none" w:sz="0" w:space="0" w:color="auto"/>
      </w:divBdr>
    </w:div>
    <w:div w:id="597637383">
      <w:bodyDiv w:val="1"/>
      <w:marLeft w:val="0"/>
      <w:marRight w:val="0"/>
      <w:marTop w:val="0"/>
      <w:marBottom w:val="0"/>
      <w:divBdr>
        <w:top w:val="none" w:sz="0" w:space="0" w:color="auto"/>
        <w:left w:val="none" w:sz="0" w:space="0" w:color="auto"/>
        <w:bottom w:val="none" w:sz="0" w:space="0" w:color="auto"/>
        <w:right w:val="none" w:sz="0" w:space="0" w:color="auto"/>
      </w:divBdr>
    </w:div>
    <w:div w:id="603076478">
      <w:bodyDiv w:val="1"/>
      <w:marLeft w:val="0"/>
      <w:marRight w:val="0"/>
      <w:marTop w:val="0"/>
      <w:marBottom w:val="0"/>
      <w:divBdr>
        <w:top w:val="none" w:sz="0" w:space="0" w:color="auto"/>
        <w:left w:val="none" w:sz="0" w:space="0" w:color="auto"/>
        <w:bottom w:val="none" w:sz="0" w:space="0" w:color="auto"/>
        <w:right w:val="none" w:sz="0" w:space="0" w:color="auto"/>
      </w:divBdr>
    </w:div>
    <w:div w:id="603876748">
      <w:bodyDiv w:val="1"/>
      <w:marLeft w:val="0"/>
      <w:marRight w:val="0"/>
      <w:marTop w:val="0"/>
      <w:marBottom w:val="0"/>
      <w:divBdr>
        <w:top w:val="none" w:sz="0" w:space="0" w:color="auto"/>
        <w:left w:val="none" w:sz="0" w:space="0" w:color="auto"/>
        <w:bottom w:val="none" w:sz="0" w:space="0" w:color="auto"/>
        <w:right w:val="none" w:sz="0" w:space="0" w:color="auto"/>
      </w:divBdr>
    </w:div>
    <w:div w:id="604847592">
      <w:bodyDiv w:val="1"/>
      <w:marLeft w:val="0"/>
      <w:marRight w:val="0"/>
      <w:marTop w:val="0"/>
      <w:marBottom w:val="0"/>
      <w:divBdr>
        <w:top w:val="none" w:sz="0" w:space="0" w:color="auto"/>
        <w:left w:val="none" w:sz="0" w:space="0" w:color="auto"/>
        <w:bottom w:val="none" w:sz="0" w:space="0" w:color="auto"/>
        <w:right w:val="none" w:sz="0" w:space="0" w:color="auto"/>
      </w:divBdr>
    </w:div>
    <w:div w:id="610622802">
      <w:bodyDiv w:val="1"/>
      <w:marLeft w:val="0"/>
      <w:marRight w:val="0"/>
      <w:marTop w:val="0"/>
      <w:marBottom w:val="0"/>
      <w:divBdr>
        <w:top w:val="none" w:sz="0" w:space="0" w:color="auto"/>
        <w:left w:val="none" w:sz="0" w:space="0" w:color="auto"/>
        <w:bottom w:val="none" w:sz="0" w:space="0" w:color="auto"/>
        <w:right w:val="none" w:sz="0" w:space="0" w:color="auto"/>
      </w:divBdr>
    </w:div>
    <w:div w:id="626937652">
      <w:bodyDiv w:val="1"/>
      <w:marLeft w:val="0"/>
      <w:marRight w:val="0"/>
      <w:marTop w:val="0"/>
      <w:marBottom w:val="0"/>
      <w:divBdr>
        <w:top w:val="none" w:sz="0" w:space="0" w:color="auto"/>
        <w:left w:val="none" w:sz="0" w:space="0" w:color="auto"/>
        <w:bottom w:val="none" w:sz="0" w:space="0" w:color="auto"/>
        <w:right w:val="none" w:sz="0" w:space="0" w:color="auto"/>
      </w:divBdr>
    </w:div>
    <w:div w:id="637146544">
      <w:bodyDiv w:val="1"/>
      <w:marLeft w:val="0"/>
      <w:marRight w:val="0"/>
      <w:marTop w:val="0"/>
      <w:marBottom w:val="0"/>
      <w:divBdr>
        <w:top w:val="none" w:sz="0" w:space="0" w:color="auto"/>
        <w:left w:val="none" w:sz="0" w:space="0" w:color="auto"/>
        <w:bottom w:val="none" w:sz="0" w:space="0" w:color="auto"/>
        <w:right w:val="none" w:sz="0" w:space="0" w:color="auto"/>
      </w:divBdr>
    </w:div>
    <w:div w:id="641689573">
      <w:bodyDiv w:val="1"/>
      <w:marLeft w:val="0"/>
      <w:marRight w:val="0"/>
      <w:marTop w:val="0"/>
      <w:marBottom w:val="0"/>
      <w:divBdr>
        <w:top w:val="none" w:sz="0" w:space="0" w:color="auto"/>
        <w:left w:val="none" w:sz="0" w:space="0" w:color="auto"/>
        <w:bottom w:val="none" w:sz="0" w:space="0" w:color="auto"/>
        <w:right w:val="none" w:sz="0" w:space="0" w:color="auto"/>
      </w:divBdr>
      <w:divsChild>
        <w:div w:id="450707881">
          <w:marLeft w:val="0"/>
          <w:marRight w:val="0"/>
          <w:marTop w:val="0"/>
          <w:marBottom w:val="0"/>
          <w:divBdr>
            <w:top w:val="none" w:sz="0" w:space="0" w:color="auto"/>
            <w:left w:val="none" w:sz="0" w:space="0" w:color="auto"/>
            <w:bottom w:val="none" w:sz="0" w:space="0" w:color="auto"/>
            <w:right w:val="none" w:sz="0" w:space="0" w:color="auto"/>
          </w:divBdr>
        </w:div>
        <w:div w:id="825173634">
          <w:marLeft w:val="0"/>
          <w:marRight w:val="0"/>
          <w:marTop w:val="0"/>
          <w:marBottom w:val="0"/>
          <w:divBdr>
            <w:top w:val="none" w:sz="0" w:space="0" w:color="auto"/>
            <w:left w:val="none" w:sz="0" w:space="0" w:color="auto"/>
            <w:bottom w:val="none" w:sz="0" w:space="0" w:color="auto"/>
            <w:right w:val="none" w:sz="0" w:space="0" w:color="auto"/>
          </w:divBdr>
        </w:div>
        <w:div w:id="1057049899">
          <w:marLeft w:val="0"/>
          <w:marRight w:val="0"/>
          <w:marTop w:val="0"/>
          <w:marBottom w:val="0"/>
          <w:divBdr>
            <w:top w:val="none" w:sz="0" w:space="0" w:color="auto"/>
            <w:left w:val="none" w:sz="0" w:space="0" w:color="auto"/>
            <w:bottom w:val="none" w:sz="0" w:space="0" w:color="auto"/>
            <w:right w:val="none" w:sz="0" w:space="0" w:color="auto"/>
          </w:divBdr>
        </w:div>
        <w:div w:id="1794982791">
          <w:marLeft w:val="0"/>
          <w:marRight w:val="0"/>
          <w:marTop w:val="0"/>
          <w:marBottom w:val="0"/>
          <w:divBdr>
            <w:top w:val="none" w:sz="0" w:space="0" w:color="auto"/>
            <w:left w:val="none" w:sz="0" w:space="0" w:color="auto"/>
            <w:bottom w:val="none" w:sz="0" w:space="0" w:color="auto"/>
            <w:right w:val="none" w:sz="0" w:space="0" w:color="auto"/>
          </w:divBdr>
        </w:div>
        <w:div w:id="1897816524">
          <w:marLeft w:val="0"/>
          <w:marRight w:val="0"/>
          <w:marTop w:val="0"/>
          <w:marBottom w:val="0"/>
          <w:divBdr>
            <w:top w:val="none" w:sz="0" w:space="0" w:color="auto"/>
            <w:left w:val="none" w:sz="0" w:space="0" w:color="auto"/>
            <w:bottom w:val="none" w:sz="0" w:space="0" w:color="auto"/>
            <w:right w:val="none" w:sz="0" w:space="0" w:color="auto"/>
          </w:divBdr>
        </w:div>
        <w:div w:id="1958439576">
          <w:marLeft w:val="0"/>
          <w:marRight w:val="0"/>
          <w:marTop w:val="0"/>
          <w:marBottom w:val="0"/>
          <w:divBdr>
            <w:top w:val="none" w:sz="0" w:space="0" w:color="auto"/>
            <w:left w:val="none" w:sz="0" w:space="0" w:color="auto"/>
            <w:bottom w:val="none" w:sz="0" w:space="0" w:color="auto"/>
            <w:right w:val="none" w:sz="0" w:space="0" w:color="auto"/>
          </w:divBdr>
        </w:div>
      </w:divsChild>
    </w:div>
    <w:div w:id="646469646">
      <w:bodyDiv w:val="1"/>
      <w:marLeft w:val="0"/>
      <w:marRight w:val="0"/>
      <w:marTop w:val="0"/>
      <w:marBottom w:val="0"/>
      <w:divBdr>
        <w:top w:val="none" w:sz="0" w:space="0" w:color="auto"/>
        <w:left w:val="none" w:sz="0" w:space="0" w:color="auto"/>
        <w:bottom w:val="none" w:sz="0" w:space="0" w:color="auto"/>
        <w:right w:val="none" w:sz="0" w:space="0" w:color="auto"/>
      </w:divBdr>
      <w:divsChild>
        <w:div w:id="188303217">
          <w:marLeft w:val="0"/>
          <w:marRight w:val="0"/>
          <w:marTop w:val="0"/>
          <w:marBottom w:val="0"/>
          <w:divBdr>
            <w:top w:val="none" w:sz="0" w:space="0" w:color="auto"/>
            <w:left w:val="none" w:sz="0" w:space="0" w:color="auto"/>
            <w:bottom w:val="none" w:sz="0" w:space="0" w:color="auto"/>
            <w:right w:val="none" w:sz="0" w:space="0" w:color="auto"/>
          </w:divBdr>
        </w:div>
        <w:div w:id="231084063">
          <w:marLeft w:val="0"/>
          <w:marRight w:val="0"/>
          <w:marTop w:val="0"/>
          <w:marBottom w:val="0"/>
          <w:divBdr>
            <w:top w:val="none" w:sz="0" w:space="0" w:color="auto"/>
            <w:left w:val="none" w:sz="0" w:space="0" w:color="auto"/>
            <w:bottom w:val="none" w:sz="0" w:space="0" w:color="auto"/>
            <w:right w:val="none" w:sz="0" w:space="0" w:color="auto"/>
          </w:divBdr>
        </w:div>
        <w:div w:id="642926194">
          <w:marLeft w:val="0"/>
          <w:marRight w:val="0"/>
          <w:marTop w:val="0"/>
          <w:marBottom w:val="0"/>
          <w:divBdr>
            <w:top w:val="none" w:sz="0" w:space="0" w:color="auto"/>
            <w:left w:val="none" w:sz="0" w:space="0" w:color="auto"/>
            <w:bottom w:val="none" w:sz="0" w:space="0" w:color="auto"/>
            <w:right w:val="none" w:sz="0" w:space="0" w:color="auto"/>
          </w:divBdr>
        </w:div>
        <w:div w:id="805122247">
          <w:marLeft w:val="0"/>
          <w:marRight w:val="0"/>
          <w:marTop w:val="0"/>
          <w:marBottom w:val="0"/>
          <w:divBdr>
            <w:top w:val="none" w:sz="0" w:space="0" w:color="auto"/>
            <w:left w:val="none" w:sz="0" w:space="0" w:color="auto"/>
            <w:bottom w:val="none" w:sz="0" w:space="0" w:color="auto"/>
            <w:right w:val="none" w:sz="0" w:space="0" w:color="auto"/>
          </w:divBdr>
        </w:div>
        <w:div w:id="1016468721">
          <w:marLeft w:val="0"/>
          <w:marRight w:val="0"/>
          <w:marTop w:val="0"/>
          <w:marBottom w:val="0"/>
          <w:divBdr>
            <w:top w:val="none" w:sz="0" w:space="0" w:color="auto"/>
            <w:left w:val="none" w:sz="0" w:space="0" w:color="auto"/>
            <w:bottom w:val="none" w:sz="0" w:space="0" w:color="auto"/>
            <w:right w:val="none" w:sz="0" w:space="0" w:color="auto"/>
          </w:divBdr>
        </w:div>
        <w:div w:id="1019625351">
          <w:marLeft w:val="0"/>
          <w:marRight w:val="0"/>
          <w:marTop w:val="0"/>
          <w:marBottom w:val="0"/>
          <w:divBdr>
            <w:top w:val="none" w:sz="0" w:space="0" w:color="auto"/>
            <w:left w:val="none" w:sz="0" w:space="0" w:color="auto"/>
            <w:bottom w:val="none" w:sz="0" w:space="0" w:color="auto"/>
            <w:right w:val="none" w:sz="0" w:space="0" w:color="auto"/>
          </w:divBdr>
        </w:div>
        <w:div w:id="1176306021">
          <w:marLeft w:val="0"/>
          <w:marRight w:val="0"/>
          <w:marTop w:val="0"/>
          <w:marBottom w:val="0"/>
          <w:divBdr>
            <w:top w:val="none" w:sz="0" w:space="0" w:color="auto"/>
            <w:left w:val="none" w:sz="0" w:space="0" w:color="auto"/>
            <w:bottom w:val="none" w:sz="0" w:space="0" w:color="auto"/>
            <w:right w:val="none" w:sz="0" w:space="0" w:color="auto"/>
          </w:divBdr>
        </w:div>
        <w:div w:id="1340893462">
          <w:marLeft w:val="0"/>
          <w:marRight w:val="0"/>
          <w:marTop w:val="0"/>
          <w:marBottom w:val="0"/>
          <w:divBdr>
            <w:top w:val="none" w:sz="0" w:space="0" w:color="auto"/>
            <w:left w:val="none" w:sz="0" w:space="0" w:color="auto"/>
            <w:bottom w:val="none" w:sz="0" w:space="0" w:color="auto"/>
            <w:right w:val="none" w:sz="0" w:space="0" w:color="auto"/>
          </w:divBdr>
        </w:div>
        <w:div w:id="1431779694">
          <w:marLeft w:val="0"/>
          <w:marRight w:val="0"/>
          <w:marTop w:val="0"/>
          <w:marBottom w:val="0"/>
          <w:divBdr>
            <w:top w:val="none" w:sz="0" w:space="0" w:color="auto"/>
            <w:left w:val="none" w:sz="0" w:space="0" w:color="auto"/>
            <w:bottom w:val="none" w:sz="0" w:space="0" w:color="auto"/>
            <w:right w:val="none" w:sz="0" w:space="0" w:color="auto"/>
          </w:divBdr>
        </w:div>
        <w:div w:id="1443378566">
          <w:marLeft w:val="0"/>
          <w:marRight w:val="0"/>
          <w:marTop w:val="0"/>
          <w:marBottom w:val="0"/>
          <w:divBdr>
            <w:top w:val="none" w:sz="0" w:space="0" w:color="auto"/>
            <w:left w:val="none" w:sz="0" w:space="0" w:color="auto"/>
            <w:bottom w:val="none" w:sz="0" w:space="0" w:color="auto"/>
            <w:right w:val="none" w:sz="0" w:space="0" w:color="auto"/>
          </w:divBdr>
        </w:div>
        <w:div w:id="1476996213">
          <w:marLeft w:val="0"/>
          <w:marRight w:val="0"/>
          <w:marTop w:val="0"/>
          <w:marBottom w:val="0"/>
          <w:divBdr>
            <w:top w:val="none" w:sz="0" w:space="0" w:color="auto"/>
            <w:left w:val="none" w:sz="0" w:space="0" w:color="auto"/>
            <w:bottom w:val="none" w:sz="0" w:space="0" w:color="auto"/>
            <w:right w:val="none" w:sz="0" w:space="0" w:color="auto"/>
          </w:divBdr>
        </w:div>
        <w:div w:id="1701973685">
          <w:marLeft w:val="0"/>
          <w:marRight w:val="0"/>
          <w:marTop w:val="0"/>
          <w:marBottom w:val="0"/>
          <w:divBdr>
            <w:top w:val="none" w:sz="0" w:space="0" w:color="auto"/>
            <w:left w:val="none" w:sz="0" w:space="0" w:color="auto"/>
            <w:bottom w:val="none" w:sz="0" w:space="0" w:color="auto"/>
            <w:right w:val="none" w:sz="0" w:space="0" w:color="auto"/>
          </w:divBdr>
        </w:div>
        <w:div w:id="1779792993">
          <w:marLeft w:val="0"/>
          <w:marRight w:val="0"/>
          <w:marTop w:val="0"/>
          <w:marBottom w:val="0"/>
          <w:divBdr>
            <w:top w:val="none" w:sz="0" w:space="0" w:color="auto"/>
            <w:left w:val="none" w:sz="0" w:space="0" w:color="auto"/>
            <w:bottom w:val="none" w:sz="0" w:space="0" w:color="auto"/>
            <w:right w:val="none" w:sz="0" w:space="0" w:color="auto"/>
          </w:divBdr>
        </w:div>
        <w:div w:id="1862670426">
          <w:marLeft w:val="0"/>
          <w:marRight w:val="0"/>
          <w:marTop w:val="0"/>
          <w:marBottom w:val="0"/>
          <w:divBdr>
            <w:top w:val="none" w:sz="0" w:space="0" w:color="auto"/>
            <w:left w:val="none" w:sz="0" w:space="0" w:color="auto"/>
            <w:bottom w:val="none" w:sz="0" w:space="0" w:color="auto"/>
            <w:right w:val="none" w:sz="0" w:space="0" w:color="auto"/>
          </w:divBdr>
        </w:div>
        <w:div w:id="1933318625">
          <w:marLeft w:val="0"/>
          <w:marRight w:val="0"/>
          <w:marTop w:val="0"/>
          <w:marBottom w:val="0"/>
          <w:divBdr>
            <w:top w:val="none" w:sz="0" w:space="0" w:color="auto"/>
            <w:left w:val="none" w:sz="0" w:space="0" w:color="auto"/>
            <w:bottom w:val="none" w:sz="0" w:space="0" w:color="auto"/>
            <w:right w:val="none" w:sz="0" w:space="0" w:color="auto"/>
          </w:divBdr>
        </w:div>
        <w:div w:id="1982340387">
          <w:marLeft w:val="0"/>
          <w:marRight w:val="0"/>
          <w:marTop w:val="0"/>
          <w:marBottom w:val="0"/>
          <w:divBdr>
            <w:top w:val="none" w:sz="0" w:space="0" w:color="auto"/>
            <w:left w:val="none" w:sz="0" w:space="0" w:color="auto"/>
            <w:bottom w:val="none" w:sz="0" w:space="0" w:color="auto"/>
            <w:right w:val="none" w:sz="0" w:space="0" w:color="auto"/>
          </w:divBdr>
        </w:div>
      </w:divsChild>
    </w:div>
    <w:div w:id="657538326">
      <w:bodyDiv w:val="1"/>
      <w:marLeft w:val="0"/>
      <w:marRight w:val="0"/>
      <w:marTop w:val="0"/>
      <w:marBottom w:val="0"/>
      <w:divBdr>
        <w:top w:val="none" w:sz="0" w:space="0" w:color="auto"/>
        <w:left w:val="none" w:sz="0" w:space="0" w:color="auto"/>
        <w:bottom w:val="none" w:sz="0" w:space="0" w:color="auto"/>
        <w:right w:val="none" w:sz="0" w:space="0" w:color="auto"/>
      </w:divBdr>
    </w:div>
    <w:div w:id="664087307">
      <w:bodyDiv w:val="1"/>
      <w:marLeft w:val="0"/>
      <w:marRight w:val="0"/>
      <w:marTop w:val="0"/>
      <w:marBottom w:val="0"/>
      <w:divBdr>
        <w:top w:val="none" w:sz="0" w:space="0" w:color="auto"/>
        <w:left w:val="none" w:sz="0" w:space="0" w:color="auto"/>
        <w:bottom w:val="none" w:sz="0" w:space="0" w:color="auto"/>
        <w:right w:val="none" w:sz="0" w:space="0" w:color="auto"/>
      </w:divBdr>
    </w:div>
    <w:div w:id="671496254">
      <w:bodyDiv w:val="1"/>
      <w:marLeft w:val="0"/>
      <w:marRight w:val="0"/>
      <w:marTop w:val="0"/>
      <w:marBottom w:val="0"/>
      <w:divBdr>
        <w:top w:val="none" w:sz="0" w:space="0" w:color="auto"/>
        <w:left w:val="none" w:sz="0" w:space="0" w:color="auto"/>
        <w:bottom w:val="none" w:sz="0" w:space="0" w:color="auto"/>
        <w:right w:val="none" w:sz="0" w:space="0" w:color="auto"/>
      </w:divBdr>
      <w:divsChild>
        <w:div w:id="1739475584">
          <w:marLeft w:val="0"/>
          <w:marRight w:val="0"/>
          <w:marTop w:val="0"/>
          <w:marBottom w:val="0"/>
          <w:divBdr>
            <w:top w:val="none" w:sz="0" w:space="0" w:color="auto"/>
            <w:left w:val="none" w:sz="0" w:space="0" w:color="auto"/>
            <w:bottom w:val="none" w:sz="0" w:space="0" w:color="auto"/>
            <w:right w:val="none" w:sz="0" w:space="0" w:color="auto"/>
          </w:divBdr>
        </w:div>
      </w:divsChild>
    </w:div>
    <w:div w:id="692536447">
      <w:bodyDiv w:val="1"/>
      <w:marLeft w:val="0"/>
      <w:marRight w:val="0"/>
      <w:marTop w:val="0"/>
      <w:marBottom w:val="0"/>
      <w:divBdr>
        <w:top w:val="none" w:sz="0" w:space="0" w:color="auto"/>
        <w:left w:val="none" w:sz="0" w:space="0" w:color="auto"/>
        <w:bottom w:val="none" w:sz="0" w:space="0" w:color="auto"/>
        <w:right w:val="none" w:sz="0" w:space="0" w:color="auto"/>
      </w:divBdr>
    </w:div>
    <w:div w:id="726800275">
      <w:bodyDiv w:val="1"/>
      <w:marLeft w:val="0"/>
      <w:marRight w:val="0"/>
      <w:marTop w:val="0"/>
      <w:marBottom w:val="0"/>
      <w:divBdr>
        <w:top w:val="none" w:sz="0" w:space="0" w:color="auto"/>
        <w:left w:val="none" w:sz="0" w:space="0" w:color="auto"/>
        <w:bottom w:val="none" w:sz="0" w:space="0" w:color="auto"/>
        <w:right w:val="none" w:sz="0" w:space="0" w:color="auto"/>
      </w:divBdr>
    </w:div>
    <w:div w:id="727191371">
      <w:bodyDiv w:val="1"/>
      <w:marLeft w:val="0"/>
      <w:marRight w:val="0"/>
      <w:marTop w:val="0"/>
      <w:marBottom w:val="0"/>
      <w:divBdr>
        <w:top w:val="none" w:sz="0" w:space="0" w:color="auto"/>
        <w:left w:val="none" w:sz="0" w:space="0" w:color="auto"/>
        <w:bottom w:val="none" w:sz="0" w:space="0" w:color="auto"/>
        <w:right w:val="none" w:sz="0" w:space="0" w:color="auto"/>
      </w:divBdr>
    </w:div>
    <w:div w:id="754400388">
      <w:bodyDiv w:val="1"/>
      <w:marLeft w:val="0"/>
      <w:marRight w:val="0"/>
      <w:marTop w:val="0"/>
      <w:marBottom w:val="0"/>
      <w:divBdr>
        <w:top w:val="none" w:sz="0" w:space="0" w:color="auto"/>
        <w:left w:val="none" w:sz="0" w:space="0" w:color="auto"/>
        <w:bottom w:val="none" w:sz="0" w:space="0" w:color="auto"/>
        <w:right w:val="none" w:sz="0" w:space="0" w:color="auto"/>
      </w:divBdr>
      <w:divsChild>
        <w:div w:id="379594475">
          <w:marLeft w:val="0"/>
          <w:marRight w:val="0"/>
          <w:marTop w:val="0"/>
          <w:marBottom w:val="0"/>
          <w:divBdr>
            <w:top w:val="none" w:sz="0" w:space="0" w:color="auto"/>
            <w:left w:val="none" w:sz="0" w:space="0" w:color="auto"/>
            <w:bottom w:val="none" w:sz="0" w:space="0" w:color="auto"/>
            <w:right w:val="none" w:sz="0" w:space="0" w:color="auto"/>
          </w:divBdr>
          <w:divsChild>
            <w:div w:id="273631374">
              <w:marLeft w:val="0"/>
              <w:marRight w:val="0"/>
              <w:marTop w:val="0"/>
              <w:marBottom w:val="0"/>
              <w:divBdr>
                <w:top w:val="none" w:sz="0" w:space="0" w:color="auto"/>
                <w:left w:val="none" w:sz="0" w:space="0" w:color="auto"/>
                <w:bottom w:val="none" w:sz="0" w:space="0" w:color="auto"/>
                <w:right w:val="none" w:sz="0" w:space="0" w:color="auto"/>
              </w:divBdr>
            </w:div>
          </w:divsChild>
        </w:div>
        <w:div w:id="472602628">
          <w:marLeft w:val="0"/>
          <w:marRight w:val="0"/>
          <w:marTop w:val="0"/>
          <w:marBottom w:val="0"/>
          <w:divBdr>
            <w:top w:val="none" w:sz="0" w:space="0" w:color="auto"/>
            <w:left w:val="none" w:sz="0" w:space="0" w:color="auto"/>
            <w:bottom w:val="none" w:sz="0" w:space="0" w:color="auto"/>
            <w:right w:val="none" w:sz="0" w:space="0" w:color="auto"/>
          </w:divBdr>
          <w:divsChild>
            <w:div w:id="1799646687">
              <w:marLeft w:val="0"/>
              <w:marRight w:val="0"/>
              <w:marTop w:val="0"/>
              <w:marBottom w:val="0"/>
              <w:divBdr>
                <w:top w:val="none" w:sz="0" w:space="0" w:color="auto"/>
                <w:left w:val="none" w:sz="0" w:space="0" w:color="auto"/>
                <w:bottom w:val="none" w:sz="0" w:space="0" w:color="auto"/>
                <w:right w:val="none" w:sz="0" w:space="0" w:color="auto"/>
              </w:divBdr>
            </w:div>
          </w:divsChild>
        </w:div>
        <w:div w:id="500510187">
          <w:marLeft w:val="0"/>
          <w:marRight w:val="0"/>
          <w:marTop w:val="0"/>
          <w:marBottom w:val="0"/>
          <w:divBdr>
            <w:top w:val="none" w:sz="0" w:space="0" w:color="auto"/>
            <w:left w:val="none" w:sz="0" w:space="0" w:color="auto"/>
            <w:bottom w:val="none" w:sz="0" w:space="0" w:color="auto"/>
            <w:right w:val="none" w:sz="0" w:space="0" w:color="auto"/>
          </w:divBdr>
          <w:divsChild>
            <w:div w:id="853147945">
              <w:marLeft w:val="0"/>
              <w:marRight w:val="0"/>
              <w:marTop w:val="0"/>
              <w:marBottom w:val="0"/>
              <w:divBdr>
                <w:top w:val="none" w:sz="0" w:space="0" w:color="auto"/>
                <w:left w:val="none" w:sz="0" w:space="0" w:color="auto"/>
                <w:bottom w:val="none" w:sz="0" w:space="0" w:color="auto"/>
                <w:right w:val="none" w:sz="0" w:space="0" w:color="auto"/>
              </w:divBdr>
            </w:div>
            <w:div w:id="2140416544">
              <w:marLeft w:val="0"/>
              <w:marRight w:val="0"/>
              <w:marTop w:val="0"/>
              <w:marBottom w:val="0"/>
              <w:divBdr>
                <w:top w:val="none" w:sz="0" w:space="0" w:color="auto"/>
                <w:left w:val="none" w:sz="0" w:space="0" w:color="auto"/>
                <w:bottom w:val="none" w:sz="0" w:space="0" w:color="auto"/>
                <w:right w:val="none" w:sz="0" w:space="0" w:color="auto"/>
              </w:divBdr>
            </w:div>
          </w:divsChild>
        </w:div>
        <w:div w:id="668676310">
          <w:marLeft w:val="0"/>
          <w:marRight w:val="0"/>
          <w:marTop w:val="0"/>
          <w:marBottom w:val="0"/>
          <w:divBdr>
            <w:top w:val="none" w:sz="0" w:space="0" w:color="auto"/>
            <w:left w:val="none" w:sz="0" w:space="0" w:color="auto"/>
            <w:bottom w:val="none" w:sz="0" w:space="0" w:color="auto"/>
            <w:right w:val="none" w:sz="0" w:space="0" w:color="auto"/>
          </w:divBdr>
          <w:divsChild>
            <w:div w:id="1925526643">
              <w:marLeft w:val="0"/>
              <w:marRight w:val="0"/>
              <w:marTop w:val="0"/>
              <w:marBottom w:val="0"/>
              <w:divBdr>
                <w:top w:val="none" w:sz="0" w:space="0" w:color="auto"/>
                <w:left w:val="none" w:sz="0" w:space="0" w:color="auto"/>
                <w:bottom w:val="none" w:sz="0" w:space="0" w:color="auto"/>
                <w:right w:val="none" w:sz="0" w:space="0" w:color="auto"/>
              </w:divBdr>
            </w:div>
          </w:divsChild>
        </w:div>
        <w:div w:id="669453456">
          <w:marLeft w:val="0"/>
          <w:marRight w:val="0"/>
          <w:marTop w:val="0"/>
          <w:marBottom w:val="0"/>
          <w:divBdr>
            <w:top w:val="none" w:sz="0" w:space="0" w:color="auto"/>
            <w:left w:val="none" w:sz="0" w:space="0" w:color="auto"/>
            <w:bottom w:val="none" w:sz="0" w:space="0" w:color="auto"/>
            <w:right w:val="none" w:sz="0" w:space="0" w:color="auto"/>
          </w:divBdr>
          <w:divsChild>
            <w:div w:id="709302525">
              <w:marLeft w:val="0"/>
              <w:marRight w:val="0"/>
              <w:marTop w:val="0"/>
              <w:marBottom w:val="0"/>
              <w:divBdr>
                <w:top w:val="none" w:sz="0" w:space="0" w:color="auto"/>
                <w:left w:val="none" w:sz="0" w:space="0" w:color="auto"/>
                <w:bottom w:val="none" w:sz="0" w:space="0" w:color="auto"/>
                <w:right w:val="none" w:sz="0" w:space="0" w:color="auto"/>
              </w:divBdr>
            </w:div>
          </w:divsChild>
        </w:div>
        <w:div w:id="740909594">
          <w:marLeft w:val="0"/>
          <w:marRight w:val="0"/>
          <w:marTop w:val="0"/>
          <w:marBottom w:val="0"/>
          <w:divBdr>
            <w:top w:val="none" w:sz="0" w:space="0" w:color="auto"/>
            <w:left w:val="none" w:sz="0" w:space="0" w:color="auto"/>
            <w:bottom w:val="none" w:sz="0" w:space="0" w:color="auto"/>
            <w:right w:val="none" w:sz="0" w:space="0" w:color="auto"/>
          </w:divBdr>
          <w:divsChild>
            <w:div w:id="2098208047">
              <w:marLeft w:val="0"/>
              <w:marRight w:val="0"/>
              <w:marTop w:val="0"/>
              <w:marBottom w:val="0"/>
              <w:divBdr>
                <w:top w:val="none" w:sz="0" w:space="0" w:color="auto"/>
                <w:left w:val="none" w:sz="0" w:space="0" w:color="auto"/>
                <w:bottom w:val="none" w:sz="0" w:space="0" w:color="auto"/>
                <w:right w:val="none" w:sz="0" w:space="0" w:color="auto"/>
              </w:divBdr>
            </w:div>
          </w:divsChild>
        </w:div>
        <w:div w:id="1435973888">
          <w:marLeft w:val="0"/>
          <w:marRight w:val="0"/>
          <w:marTop w:val="0"/>
          <w:marBottom w:val="0"/>
          <w:divBdr>
            <w:top w:val="none" w:sz="0" w:space="0" w:color="auto"/>
            <w:left w:val="none" w:sz="0" w:space="0" w:color="auto"/>
            <w:bottom w:val="none" w:sz="0" w:space="0" w:color="auto"/>
            <w:right w:val="none" w:sz="0" w:space="0" w:color="auto"/>
          </w:divBdr>
          <w:divsChild>
            <w:div w:id="681711303">
              <w:marLeft w:val="0"/>
              <w:marRight w:val="0"/>
              <w:marTop w:val="0"/>
              <w:marBottom w:val="0"/>
              <w:divBdr>
                <w:top w:val="none" w:sz="0" w:space="0" w:color="auto"/>
                <w:left w:val="none" w:sz="0" w:space="0" w:color="auto"/>
                <w:bottom w:val="none" w:sz="0" w:space="0" w:color="auto"/>
                <w:right w:val="none" w:sz="0" w:space="0" w:color="auto"/>
              </w:divBdr>
            </w:div>
          </w:divsChild>
        </w:div>
        <w:div w:id="1571111977">
          <w:marLeft w:val="0"/>
          <w:marRight w:val="0"/>
          <w:marTop w:val="0"/>
          <w:marBottom w:val="0"/>
          <w:divBdr>
            <w:top w:val="none" w:sz="0" w:space="0" w:color="auto"/>
            <w:left w:val="none" w:sz="0" w:space="0" w:color="auto"/>
            <w:bottom w:val="none" w:sz="0" w:space="0" w:color="auto"/>
            <w:right w:val="none" w:sz="0" w:space="0" w:color="auto"/>
          </w:divBdr>
          <w:divsChild>
            <w:div w:id="634674775">
              <w:marLeft w:val="0"/>
              <w:marRight w:val="0"/>
              <w:marTop w:val="0"/>
              <w:marBottom w:val="0"/>
              <w:divBdr>
                <w:top w:val="none" w:sz="0" w:space="0" w:color="auto"/>
                <w:left w:val="none" w:sz="0" w:space="0" w:color="auto"/>
                <w:bottom w:val="none" w:sz="0" w:space="0" w:color="auto"/>
                <w:right w:val="none" w:sz="0" w:space="0" w:color="auto"/>
              </w:divBdr>
            </w:div>
            <w:div w:id="1664967739">
              <w:marLeft w:val="0"/>
              <w:marRight w:val="0"/>
              <w:marTop w:val="0"/>
              <w:marBottom w:val="0"/>
              <w:divBdr>
                <w:top w:val="none" w:sz="0" w:space="0" w:color="auto"/>
                <w:left w:val="none" w:sz="0" w:space="0" w:color="auto"/>
                <w:bottom w:val="none" w:sz="0" w:space="0" w:color="auto"/>
                <w:right w:val="none" w:sz="0" w:space="0" w:color="auto"/>
              </w:divBdr>
            </w:div>
          </w:divsChild>
        </w:div>
        <w:div w:id="1745839094">
          <w:marLeft w:val="0"/>
          <w:marRight w:val="0"/>
          <w:marTop w:val="0"/>
          <w:marBottom w:val="0"/>
          <w:divBdr>
            <w:top w:val="none" w:sz="0" w:space="0" w:color="auto"/>
            <w:left w:val="none" w:sz="0" w:space="0" w:color="auto"/>
            <w:bottom w:val="none" w:sz="0" w:space="0" w:color="auto"/>
            <w:right w:val="none" w:sz="0" w:space="0" w:color="auto"/>
          </w:divBdr>
          <w:divsChild>
            <w:div w:id="249581886">
              <w:marLeft w:val="0"/>
              <w:marRight w:val="0"/>
              <w:marTop w:val="0"/>
              <w:marBottom w:val="0"/>
              <w:divBdr>
                <w:top w:val="none" w:sz="0" w:space="0" w:color="auto"/>
                <w:left w:val="none" w:sz="0" w:space="0" w:color="auto"/>
                <w:bottom w:val="none" w:sz="0" w:space="0" w:color="auto"/>
                <w:right w:val="none" w:sz="0" w:space="0" w:color="auto"/>
              </w:divBdr>
            </w:div>
            <w:div w:id="1011840261">
              <w:marLeft w:val="0"/>
              <w:marRight w:val="0"/>
              <w:marTop w:val="0"/>
              <w:marBottom w:val="0"/>
              <w:divBdr>
                <w:top w:val="none" w:sz="0" w:space="0" w:color="auto"/>
                <w:left w:val="none" w:sz="0" w:space="0" w:color="auto"/>
                <w:bottom w:val="none" w:sz="0" w:space="0" w:color="auto"/>
                <w:right w:val="none" w:sz="0" w:space="0" w:color="auto"/>
              </w:divBdr>
            </w:div>
            <w:div w:id="1654025128">
              <w:marLeft w:val="0"/>
              <w:marRight w:val="0"/>
              <w:marTop w:val="0"/>
              <w:marBottom w:val="0"/>
              <w:divBdr>
                <w:top w:val="none" w:sz="0" w:space="0" w:color="auto"/>
                <w:left w:val="none" w:sz="0" w:space="0" w:color="auto"/>
                <w:bottom w:val="none" w:sz="0" w:space="0" w:color="auto"/>
                <w:right w:val="none" w:sz="0" w:space="0" w:color="auto"/>
              </w:divBdr>
            </w:div>
          </w:divsChild>
        </w:div>
        <w:div w:id="1825974976">
          <w:marLeft w:val="0"/>
          <w:marRight w:val="0"/>
          <w:marTop w:val="0"/>
          <w:marBottom w:val="0"/>
          <w:divBdr>
            <w:top w:val="none" w:sz="0" w:space="0" w:color="auto"/>
            <w:left w:val="none" w:sz="0" w:space="0" w:color="auto"/>
            <w:bottom w:val="none" w:sz="0" w:space="0" w:color="auto"/>
            <w:right w:val="none" w:sz="0" w:space="0" w:color="auto"/>
          </w:divBdr>
          <w:divsChild>
            <w:div w:id="476413053">
              <w:marLeft w:val="0"/>
              <w:marRight w:val="0"/>
              <w:marTop w:val="0"/>
              <w:marBottom w:val="0"/>
              <w:divBdr>
                <w:top w:val="none" w:sz="0" w:space="0" w:color="auto"/>
                <w:left w:val="none" w:sz="0" w:space="0" w:color="auto"/>
                <w:bottom w:val="none" w:sz="0" w:space="0" w:color="auto"/>
                <w:right w:val="none" w:sz="0" w:space="0" w:color="auto"/>
              </w:divBdr>
            </w:div>
          </w:divsChild>
        </w:div>
        <w:div w:id="1874615932">
          <w:marLeft w:val="0"/>
          <w:marRight w:val="0"/>
          <w:marTop w:val="0"/>
          <w:marBottom w:val="0"/>
          <w:divBdr>
            <w:top w:val="none" w:sz="0" w:space="0" w:color="auto"/>
            <w:left w:val="none" w:sz="0" w:space="0" w:color="auto"/>
            <w:bottom w:val="none" w:sz="0" w:space="0" w:color="auto"/>
            <w:right w:val="none" w:sz="0" w:space="0" w:color="auto"/>
          </w:divBdr>
          <w:divsChild>
            <w:div w:id="719087453">
              <w:marLeft w:val="0"/>
              <w:marRight w:val="0"/>
              <w:marTop w:val="0"/>
              <w:marBottom w:val="0"/>
              <w:divBdr>
                <w:top w:val="none" w:sz="0" w:space="0" w:color="auto"/>
                <w:left w:val="none" w:sz="0" w:space="0" w:color="auto"/>
                <w:bottom w:val="none" w:sz="0" w:space="0" w:color="auto"/>
                <w:right w:val="none" w:sz="0" w:space="0" w:color="auto"/>
              </w:divBdr>
            </w:div>
          </w:divsChild>
        </w:div>
        <w:div w:id="2106727927">
          <w:marLeft w:val="0"/>
          <w:marRight w:val="0"/>
          <w:marTop w:val="0"/>
          <w:marBottom w:val="0"/>
          <w:divBdr>
            <w:top w:val="none" w:sz="0" w:space="0" w:color="auto"/>
            <w:left w:val="none" w:sz="0" w:space="0" w:color="auto"/>
            <w:bottom w:val="none" w:sz="0" w:space="0" w:color="auto"/>
            <w:right w:val="none" w:sz="0" w:space="0" w:color="auto"/>
          </w:divBdr>
          <w:divsChild>
            <w:div w:id="1788624373">
              <w:marLeft w:val="0"/>
              <w:marRight w:val="0"/>
              <w:marTop w:val="0"/>
              <w:marBottom w:val="0"/>
              <w:divBdr>
                <w:top w:val="none" w:sz="0" w:space="0" w:color="auto"/>
                <w:left w:val="none" w:sz="0" w:space="0" w:color="auto"/>
                <w:bottom w:val="none" w:sz="0" w:space="0" w:color="auto"/>
                <w:right w:val="none" w:sz="0" w:space="0" w:color="auto"/>
              </w:divBdr>
            </w:div>
            <w:div w:id="20052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2466">
      <w:bodyDiv w:val="1"/>
      <w:marLeft w:val="0"/>
      <w:marRight w:val="0"/>
      <w:marTop w:val="0"/>
      <w:marBottom w:val="0"/>
      <w:divBdr>
        <w:top w:val="none" w:sz="0" w:space="0" w:color="auto"/>
        <w:left w:val="none" w:sz="0" w:space="0" w:color="auto"/>
        <w:bottom w:val="none" w:sz="0" w:space="0" w:color="auto"/>
        <w:right w:val="none" w:sz="0" w:space="0" w:color="auto"/>
      </w:divBdr>
    </w:div>
    <w:div w:id="766577104">
      <w:bodyDiv w:val="1"/>
      <w:marLeft w:val="0"/>
      <w:marRight w:val="0"/>
      <w:marTop w:val="0"/>
      <w:marBottom w:val="0"/>
      <w:divBdr>
        <w:top w:val="none" w:sz="0" w:space="0" w:color="auto"/>
        <w:left w:val="none" w:sz="0" w:space="0" w:color="auto"/>
        <w:bottom w:val="none" w:sz="0" w:space="0" w:color="auto"/>
        <w:right w:val="none" w:sz="0" w:space="0" w:color="auto"/>
      </w:divBdr>
    </w:div>
    <w:div w:id="767963965">
      <w:bodyDiv w:val="1"/>
      <w:marLeft w:val="0"/>
      <w:marRight w:val="0"/>
      <w:marTop w:val="0"/>
      <w:marBottom w:val="0"/>
      <w:divBdr>
        <w:top w:val="none" w:sz="0" w:space="0" w:color="auto"/>
        <w:left w:val="none" w:sz="0" w:space="0" w:color="auto"/>
        <w:bottom w:val="none" w:sz="0" w:space="0" w:color="auto"/>
        <w:right w:val="none" w:sz="0" w:space="0" w:color="auto"/>
      </w:divBdr>
    </w:div>
    <w:div w:id="774204562">
      <w:bodyDiv w:val="1"/>
      <w:marLeft w:val="0"/>
      <w:marRight w:val="0"/>
      <w:marTop w:val="0"/>
      <w:marBottom w:val="0"/>
      <w:divBdr>
        <w:top w:val="none" w:sz="0" w:space="0" w:color="auto"/>
        <w:left w:val="none" w:sz="0" w:space="0" w:color="auto"/>
        <w:bottom w:val="none" w:sz="0" w:space="0" w:color="auto"/>
        <w:right w:val="none" w:sz="0" w:space="0" w:color="auto"/>
      </w:divBdr>
    </w:div>
    <w:div w:id="814958186">
      <w:bodyDiv w:val="1"/>
      <w:marLeft w:val="0"/>
      <w:marRight w:val="0"/>
      <w:marTop w:val="0"/>
      <w:marBottom w:val="0"/>
      <w:divBdr>
        <w:top w:val="none" w:sz="0" w:space="0" w:color="auto"/>
        <w:left w:val="none" w:sz="0" w:space="0" w:color="auto"/>
        <w:bottom w:val="none" w:sz="0" w:space="0" w:color="auto"/>
        <w:right w:val="none" w:sz="0" w:space="0" w:color="auto"/>
      </w:divBdr>
      <w:divsChild>
        <w:div w:id="80640290">
          <w:marLeft w:val="0"/>
          <w:marRight w:val="0"/>
          <w:marTop w:val="0"/>
          <w:marBottom w:val="0"/>
          <w:divBdr>
            <w:top w:val="none" w:sz="0" w:space="0" w:color="auto"/>
            <w:left w:val="none" w:sz="0" w:space="0" w:color="auto"/>
            <w:bottom w:val="none" w:sz="0" w:space="0" w:color="auto"/>
            <w:right w:val="none" w:sz="0" w:space="0" w:color="auto"/>
          </w:divBdr>
        </w:div>
        <w:div w:id="187257462">
          <w:marLeft w:val="0"/>
          <w:marRight w:val="0"/>
          <w:marTop w:val="0"/>
          <w:marBottom w:val="0"/>
          <w:divBdr>
            <w:top w:val="none" w:sz="0" w:space="0" w:color="auto"/>
            <w:left w:val="none" w:sz="0" w:space="0" w:color="auto"/>
            <w:bottom w:val="none" w:sz="0" w:space="0" w:color="auto"/>
            <w:right w:val="none" w:sz="0" w:space="0" w:color="auto"/>
          </w:divBdr>
        </w:div>
        <w:div w:id="595097466">
          <w:marLeft w:val="0"/>
          <w:marRight w:val="0"/>
          <w:marTop w:val="0"/>
          <w:marBottom w:val="0"/>
          <w:divBdr>
            <w:top w:val="none" w:sz="0" w:space="0" w:color="auto"/>
            <w:left w:val="none" w:sz="0" w:space="0" w:color="auto"/>
            <w:bottom w:val="none" w:sz="0" w:space="0" w:color="auto"/>
            <w:right w:val="none" w:sz="0" w:space="0" w:color="auto"/>
          </w:divBdr>
        </w:div>
        <w:div w:id="778766393">
          <w:marLeft w:val="0"/>
          <w:marRight w:val="0"/>
          <w:marTop w:val="0"/>
          <w:marBottom w:val="0"/>
          <w:divBdr>
            <w:top w:val="none" w:sz="0" w:space="0" w:color="auto"/>
            <w:left w:val="none" w:sz="0" w:space="0" w:color="auto"/>
            <w:bottom w:val="none" w:sz="0" w:space="0" w:color="auto"/>
            <w:right w:val="none" w:sz="0" w:space="0" w:color="auto"/>
          </w:divBdr>
        </w:div>
        <w:div w:id="1244411861">
          <w:marLeft w:val="0"/>
          <w:marRight w:val="0"/>
          <w:marTop w:val="0"/>
          <w:marBottom w:val="0"/>
          <w:divBdr>
            <w:top w:val="none" w:sz="0" w:space="0" w:color="auto"/>
            <w:left w:val="none" w:sz="0" w:space="0" w:color="auto"/>
            <w:bottom w:val="none" w:sz="0" w:space="0" w:color="auto"/>
            <w:right w:val="none" w:sz="0" w:space="0" w:color="auto"/>
          </w:divBdr>
        </w:div>
        <w:div w:id="1574660562">
          <w:marLeft w:val="0"/>
          <w:marRight w:val="0"/>
          <w:marTop w:val="0"/>
          <w:marBottom w:val="0"/>
          <w:divBdr>
            <w:top w:val="none" w:sz="0" w:space="0" w:color="auto"/>
            <w:left w:val="none" w:sz="0" w:space="0" w:color="auto"/>
            <w:bottom w:val="none" w:sz="0" w:space="0" w:color="auto"/>
            <w:right w:val="none" w:sz="0" w:space="0" w:color="auto"/>
          </w:divBdr>
        </w:div>
      </w:divsChild>
    </w:div>
    <w:div w:id="836841309">
      <w:bodyDiv w:val="1"/>
      <w:marLeft w:val="0"/>
      <w:marRight w:val="0"/>
      <w:marTop w:val="0"/>
      <w:marBottom w:val="0"/>
      <w:divBdr>
        <w:top w:val="none" w:sz="0" w:space="0" w:color="auto"/>
        <w:left w:val="none" w:sz="0" w:space="0" w:color="auto"/>
        <w:bottom w:val="none" w:sz="0" w:space="0" w:color="auto"/>
        <w:right w:val="none" w:sz="0" w:space="0" w:color="auto"/>
      </w:divBdr>
    </w:div>
    <w:div w:id="880869828">
      <w:bodyDiv w:val="1"/>
      <w:marLeft w:val="0"/>
      <w:marRight w:val="0"/>
      <w:marTop w:val="0"/>
      <w:marBottom w:val="0"/>
      <w:divBdr>
        <w:top w:val="none" w:sz="0" w:space="0" w:color="auto"/>
        <w:left w:val="none" w:sz="0" w:space="0" w:color="auto"/>
        <w:bottom w:val="none" w:sz="0" w:space="0" w:color="auto"/>
        <w:right w:val="none" w:sz="0" w:space="0" w:color="auto"/>
      </w:divBdr>
      <w:divsChild>
        <w:div w:id="10186644">
          <w:marLeft w:val="0"/>
          <w:marRight w:val="0"/>
          <w:marTop w:val="0"/>
          <w:marBottom w:val="0"/>
          <w:divBdr>
            <w:top w:val="none" w:sz="0" w:space="0" w:color="auto"/>
            <w:left w:val="none" w:sz="0" w:space="0" w:color="auto"/>
            <w:bottom w:val="none" w:sz="0" w:space="0" w:color="auto"/>
            <w:right w:val="none" w:sz="0" w:space="0" w:color="auto"/>
          </w:divBdr>
        </w:div>
        <w:div w:id="91557266">
          <w:marLeft w:val="0"/>
          <w:marRight w:val="0"/>
          <w:marTop w:val="0"/>
          <w:marBottom w:val="0"/>
          <w:divBdr>
            <w:top w:val="none" w:sz="0" w:space="0" w:color="auto"/>
            <w:left w:val="none" w:sz="0" w:space="0" w:color="auto"/>
            <w:bottom w:val="none" w:sz="0" w:space="0" w:color="auto"/>
            <w:right w:val="none" w:sz="0" w:space="0" w:color="auto"/>
          </w:divBdr>
        </w:div>
        <w:div w:id="165639220">
          <w:marLeft w:val="0"/>
          <w:marRight w:val="0"/>
          <w:marTop w:val="0"/>
          <w:marBottom w:val="0"/>
          <w:divBdr>
            <w:top w:val="none" w:sz="0" w:space="0" w:color="auto"/>
            <w:left w:val="none" w:sz="0" w:space="0" w:color="auto"/>
            <w:bottom w:val="none" w:sz="0" w:space="0" w:color="auto"/>
            <w:right w:val="none" w:sz="0" w:space="0" w:color="auto"/>
          </w:divBdr>
        </w:div>
        <w:div w:id="185678362">
          <w:marLeft w:val="0"/>
          <w:marRight w:val="0"/>
          <w:marTop w:val="0"/>
          <w:marBottom w:val="0"/>
          <w:divBdr>
            <w:top w:val="none" w:sz="0" w:space="0" w:color="auto"/>
            <w:left w:val="none" w:sz="0" w:space="0" w:color="auto"/>
            <w:bottom w:val="none" w:sz="0" w:space="0" w:color="auto"/>
            <w:right w:val="none" w:sz="0" w:space="0" w:color="auto"/>
          </w:divBdr>
        </w:div>
        <w:div w:id="318387122">
          <w:marLeft w:val="0"/>
          <w:marRight w:val="0"/>
          <w:marTop w:val="0"/>
          <w:marBottom w:val="0"/>
          <w:divBdr>
            <w:top w:val="none" w:sz="0" w:space="0" w:color="auto"/>
            <w:left w:val="none" w:sz="0" w:space="0" w:color="auto"/>
            <w:bottom w:val="none" w:sz="0" w:space="0" w:color="auto"/>
            <w:right w:val="none" w:sz="0" w:space="0" w:color="auto"/>
          </w:divBdr>
        </w:div>
        <w:div w:id="516967827">
          <w:marLeft w:val="0"/>
          <w:marRight w:val="0"/>
          <w:marTop w:val="0"/>
          <w:marBottom w:val="0"/>
          <w:divBdr>
            <w:top w:val="none" w:sz="0" w:space="0" w:color="auto"/>
            <w:left w:val="none" w:sz="0" w:space="0" w:color="auto"/>
            <w:bottom w:val="none" w:sz="0" w:space="0" w:color="auto"/>
            <w:right w:val="none" w:sz="0" w:space="0" w:color="auto"/>
          </w:divBdr>
        </w:div>
        <w:div w:id="597906833">
          <w:marLeft w:val="0"/>
          <w:marRight w:val="0"/>
          <w:marTop w:val="0"/>
          <w:marBottom w:val="0"/>
          <w:divBdr>
            <w:top w:val="none" w:sz="0" w:space="0" w:color="auto"/>
            <w:left w:val="none" w:sz="0" w:space="0" w:color="auto"/>
            <w:bottom w:val="none" w:sz="0" w:space="0" w:color="auto"/>
            <w:right w:val="none" w:sz="0" w:space="0" w:color="auto"/>
          </w:divBdr>
        </w:div>
        <w:div w:id="688919774">
          <w:marLeft w:val="0"/>
          <w:marRight w:val="0"/>
          <w:marTop w:val="0"/>
          <w:marBottom w:val="0"/>
          <w:divBdr>
            <w:top w:val="none" w:sz="0" w:space="0" w:color="auto"/>
            <w:left w:val="none" w:sz="0" w:space="0" w:color="auto"/>
            <w:bottom w:val="none" w:sz="0" w:space="0" w:color="auto"/>
            <w:right w:val="none" w:sz="0" w:space="0" w:color="auto"/>
          </w:divBdr>
        </w:div>
        <w:div w:id="730539105">
          <w:marLeft w:val="0"/>
          <w:marRight w:val="0"/>
          <w:marTop w:val="0"/>
          <w:marBottom w:val="0"/>
          <w:divBdr>
            <w:top w:val="none" w:sz="0" w:space="0" w:color="auto"/>
            <w:left w:val="none" w:sz="0" w:space="0" w:color="auto"/>
            <w:bottom w:val="none" w:sz="0" w:space="0" w:color="auto"/>
            <w:right w:val="none" w:sz="0" w:space="0" w:color="auto"/>
          </w:divBdr>
        </w:div>
        <w:div w:id="736781081">
          <w:marLeft w:val="0"/>
          <w:marRight w:val="0"/>
          <w:marTop w:val="0"/>
          <w:marBottom w:val="0"/>
          <w:divBdr>
            <w:top w:val="none" w:sz="0" w:space="0" w:color="auto"/>
            <w:left w:val="none" w:sz="0" w:space="0" w:color="auto"/>
            <w:bottom w:val="none" w:sz="0" w:space="0" w:color="auto"/>
            <w:right w:val="none" w:sz="0" w:space="0" w:color="auto"/>
          </w:divBdr>
        </w:div>
        <w:div w:id="1187911047">
          <w:marLeft w:val="0"/>
          <w:marRight w:val="0"/>
          <w:marTop w:val="0"/>
          <w:marBottom w:val="0"/>
          <w:divBdr>
            <w:top w:val="none" w:sz="0" w:space="0" w:color="auto"/>
            <w:left w:val="none" w:sz="0" w:space="0" w:color="auto"/>
            <w:bottom w:val="none" w:sz="0" w:space="0" w:color="auto"/>
            <w:right w:val="none" w:sz="0" w:space="0" w:color="auto"/>
          </w:divBdr>
        </w:div>
        <w:div w:id="1300500325">
          <w:marLeft w:val="0"/>
          <w:marRight w:val="0"/>
          <w:marTop w:val="0"/>
          <w:marBottom w:val="0"/>
          <w:divBdr>
            <w:top w:val="none" w:sz="0" w:space="0" w:color="auto"/>
            <w:left w:val="none" w:sz="0" w:space="0" w:color="auto"/>
            <w:bottom w:val="none" w:sz="0" w:space="0" w:color="auto"/>
            <w:right w:val="none" w:sz="0" w:space="0" w:color="auto"/>
          </w:divBdr>
        </w:div>
        <w:div w:id="1353071981">
          <w:marLeft w:val="0"/>
          <w:marRight w:val="0"/>
          <w:marTop w:val="0"/>
          <w:marBottom w:val="0"/>
          <w:divBdr>
            <w:top w:val="none" w:sz="0" w:space="0" w:color="auto"/>
            <w:left w:val="none" w:sz="0" w:space="0" w:color="auto"/>
            <w:bottom w:val="none" w:sz="0" w:space="0" w:color="auto"/>
            <w:right w:val="none" w:sz="0" w:space="0" w:color="auto"/>
          </w:divBdr>
        </w:div>
        <w:div w:id="1392728565">
          <w:marLeft w:val="0"/>
          <w:marRight w:val="0"/>
          <w:marTop w:val="0"/>
          <w:marBottom w:val="0"/>
          <w:divBdr>
            <w:top w:val="none" w:sz="0" w:space="0" w:color="auto"/>
            <w:left w:val="none" w:sz="0" w:space="0" w:color="auto"/>
            <w:bottom w:val="none" w:sz="0" w:space="0" w:color="auto"/>
            <w:right w:val="none" w:sz="0" w:space="0" w:color="auto"/>
          </w:divBdr>
        </w:div>
        <w:div w:id="1575897470">
          <w:marLeft w:val="0"/>
          <w:marRight w:val="0"/>
          <w:marTop w:val="0"/>
          <w:marBottom w:val="0"/>
          <w:divBdr>
            <w:top w:val="none" w:sz="0" w:space="0" w:color="auto"/>
            <w:left w:val="none" w:sz="0" w:space="0" w:color="auto"/>
            <w:bottom w:val="none" w:sz="0" w:space="0" w:color="auto"/>
            <w:right w:val="none" w:sz="0" w:space="0" w:color="auto"/>
          </w:divBdr>
        </w:div>
        <w:div w:id="1629894519">
          <w:marLeft w:val="0"/>
          <w:marRight w:val="0"/>
          <w:marTop w:val="0"/>
          <w:marBottom w:val="0"/>
          <w:divBdr>
            <w:top w:val="none" w:sz="0" w:space="0" w:color="auto"/>
            <w:left w:val="none" w:sz="0" w:space="0" w:color="auto"/>
            <w:bottom w:val="none" w:sz="0" w:space="0" w:color="auto"/>
            <w:right w:val="none" w:sz="0" w:space="0" w:color="auto"/>
          </w:divBdr>
        </w:div>
        <w:div w:id="1922835817">
          <w:marLeft w:val="0"/>
          <w:marRight w:val="0"/>
          <w:marTop w:val="0"/>
          <w:marBottom w:val="0"/>
          <w:divBdr>
            <w:top w:val="none" w:sz="0" w:space="0" w:color="auto"/>
            <w:left w:val="none" w:sz="0" w:space="0" w:color="auto"/>
            <w:bottom w:val="none" w:sz="0" w:space="0" w:color="auto"/>
            <w:right w:val="none" w:sz="0" w:space="0" w:color="auto"/>
          </w:divBdr>
        </w:div>
        <w:div w:id="1980718092">
          <w:marLeft w:val="0"/>
          <w:marRight w:val="0"/>
          <w:marTop w:val="0"/>
          <w:marBottom w:val="0"/>
          <w:divBdr>
            <w:top w:val="none" w:sz="0" w:space="0" w:color="auto"/>
            <w:left w:val="none" w:sz="0" w:space="0" w:color="auto"/>
            <w:bottom w:val="none" w:sz="0" w:space="0" w:color="auto"/>
            <w:right w:val="none" w:sz="0" w:space="0" w:color="auto"/>
          </w:divBdr>
        </w:div>
        <w:div w:id="2030528187">
          <w:marLeft w:val="0"/>
          <w:marRight w:val="0"/>
          <w:marTop w:val="0"/>
          <w:marBottom w:val="0"/>
          <w:divBdr>
            <w:top w:val="none" w:sz="0" w:space="0" w:color="auto"/>
            <w:left w:val="none" w:sz="0" w:space="0" w:color="auto"/>
            <w:bottom w:val="none" w:sz="0" w:space="0" w:color="auto"/>
            <w:right w:val="none" w:sz="0" w:space="0" w:color="auto"/>
          </w:divBdr>
        </w:div>
        <w:div w:id="2138452412">
          <w:marLeft w:val="0"/>
          <w:marRight w:val="0"/>
          <w:marTop w:val="0"/>
          <w:marBottom w:val="0"/>
          <w:divBdr>
            <w:top w:val="none" w:sz="0" w:space="0" w:color="auto"/>
            <w:left w:val="none" w:sz="0" w:space="0" w:color="auto"/>
            <w:bottom w:val="none" w:sz="0" w:space="0" w:color="auto"/>
            <w:right w:val="none" w:sz="0" w:space="0" w:color="auto"/>
          </w:divBdr>
        </w:div>
      </w:divsChild>
    </w:div>
    <w:div w:id="884606081">
      <w:bodyDiv w:val="1"/>
      <w:marLeft w:val="0"/>
      <w:marRight w:val="0"/>
      <w:marTop w:val="0"/>
      <w:marBottom w:val="0"/>
      <w:divBdr>
        <w:top w:val="none" w:sz="0" w:space="0" w:color="auto"/>
        <w:left w:val="none" w:sz="0" w:space="0" w:color="auto"/>
        <w:bottom w:val="none" w:sz="0" w:space="0" w:color="auto"/>
        <w:right w:val="none" w:sz="0" w:space="0" w:color="auto"/>
      </w:divBdr>
      <w:divsChild>
        <w:div w:id="2030989585">
          <w:marLeft w:val="0"/>
          <w:marRight w:val="0"/>
          <w:marTop w:val="0"/>
          <w:marBottom w:val="0"/>
          <w:divBdr>
            <w:top w:val="none" w:sz="0" w:space="0" w:color="auto"/>
            <w:left w:val="none" w:sz="0" w:space="0" w:color="auto"/>
            <w:bottom w:val="none" w:sz="0" w:space="0" w:color="auto"/>
            <w:right w:val="none" w:sz="0" w:space="0" w:color="auto"/>
          </w:divBdr>
        </w:div>
        <w:div w:id="2142729782">
          <w:marLeft w:val="0"/>
          <w:marRight w:val="0"/>
          <w:marTop w:val="0"/>
          <w:marBottom w:val="0"/>
          <w:divBdr>
            <w:top w:val="none" w:sz="0" w:space="0" w:color="auto"/>
            <w:left w:val="none" w:sz="0" w:space="0" w:color="auto"/>
            <w:bottom w:val="none" w:sz="0" w:space="0" w:color="auto"/>
            <w:right w:val="none" w:sz="0" w:space="0" w:color="auto"/>
          </w:divBdr>
        </w:div>
      </w:divsChild>
    </w:div>
    <w:div w:id="905653558">
      <w:bodyDiv w:val="1"/>
      <w:marLeft w:val="0"/>
      <w:marRight w:val="0"/>
      <w:marTop w:val="0"/>
      <w:marBottom w:val="0"/>
      <w:divBdr>
        <w:top w:val="none" w:sz="0" w:space="0" w:color="auto"/>
        <w:left w:val="none" w:sz="0" w:space="0" w:color="auto"/>
        <w:bottom w:val="none" w:sz="0" w:space="0" w:color="auto"/>
        <w:right w:val="none" w:sz="0" w:space="0" w:color="auto"/>
      </w:divBdr>
    </w:div>
    <w:div w:id="931014392">
      <w:bodyDiv w:val="1"/>
      <w:marLeft w:val="0"/>
      <w:marRight w:val="0"/>
      <w:marTop w:val="0"/>
      <w:marBottom w:val="0"/>
      <w:divBdr>
        <w:top w:val="none" w:sz="0" w:space="0" w:color="auto"/>
        <w:left w:val="none" w:sz="0" w:space="0" w:color="auto"/>
        <w:bottom w:val="none" w:sz="0" w:space="0" w:color="auto"/>
        <w:right w:val="none" w:sz="0" w:space="0" w:color="auto"/>
      </w:divBdr>
    </w:div>
    <w:div w:id="947002383">
      <w:bodyDiv w:val="1"/>
      <w:marLeft w:val="0"/>
      <w:marRight w:val="0"/>
      <w:marTop w:val="0"/>
      <w:marBottom w:val="0"/>
      <w:divBdr>
        <w:top w:val="none" w:sz="0" w:space="0" w:color="auto"/>
        <w:left w:val="none" w:sz="0" w:space="0" w:color="auto"/>
        <w:bottom w:val="none" w:sz="0" w:space="0" w:color="auto"/>
        <w:right w:val="none" w:sz="0" w:space="0" w:color="auto"/>
      </w:divBdr>
      <w:divsChild>
        <w:div w:id="453643093">
          <w:marLeft w:val="0"/>
          <w:marRight w:val="0"/>
          <w:marTop w:val="0"/>
          <w:marBottom w:val="0"/>
          <w:divBdr>
            <w:top w:val="none" w:sz="0" w:space="0" w:color="auto"/>
            <w:left w:val="none" w:sz="0" w:space="0" w:color="auto"/>
            <w:bottom w:val="none" w:sz="0" w:space="0" w:color="auto"/>
            <w:right w:val="none" w:sz="0" w:space="0" w:color="auto"/>
          </w:divBdr>
        </w:div>
      </w:divsChild>
    </w:div>
    <w:div w:id="953974044">
      <w:bodyDiv w:val="1"/>
      <w:marLeft w:val="0"/>
      <w:marRight w:val="0"/>
      <w:marTop w:val="0"/>
      <w:marBottom w:val="0"/>
      <w:divBdr>
        <w:top w:val="none" w:sz="0" w:space="0" w:color="auto"/>
        <w:left w:val="none" w:sz="0" w:space="0" w:color="auto"/>
        <w:bottom w:val="none" w:sz="0" w:space="0" w:color="auto"/>
        <w:right w:val="none" w:sz="0" w:space="0" w:color="auto"/>
      </w:divBdr>
    </w:div>
    <w:div w:id="981278433">
      <w:bodyDiv w:val="1"/>
      <w:marLeft w:val="0"/>
      <w:marRight w:val="0"/>
      <w:marTop w:val="0"/>
      <w:marBottom w:val="0"/>
      <w:divBdr>
        <w:top w:val="none" w:sz="0" w:space="0" w:color="auto"/>
        <w:left w:val="none" w:sz="0" w:space="0" w:color="auto"/>
        <w:bottom w:val="none" w:sz="0" w:space="0" w:color="auto"/>
        <w:right w:val="none" w:sz="0" w:space="0" w:color="auto"/>
      </w:divBdr>
    </w:div>
    <w:div w:id="1035934293">
      <w:bodyDiv w:val="1"/>
      <w:marLeft w:val="0"/>
      <w:marRight w:val="0"/>
      <w:marTop w:val="0"/>
      <w:marBottom w:val="0"/>
      <w:divBdr>
        <w:top w:val="none" w:sz="0" w:space="0" w:color="auto"/>
        <w:left w:val="none" w:sz="0" w:space="0" w:color="auto"/>
        <w:bottom w:val="none" w:sz="0" w:space="0" w:color="auto"/>
        <w:right w:val="none" w:sz="0" w:space="0" w:color="auto"/>
      </w:divBdr>
    </w:div>
    <w:div w:id="1040975639">
      <w:bodyDiv w:val="1"/>
      <w:marLeft w:val="0"/>
      <w:marRight w:val="0"/>
      <w:marTop w:val="0"/>
      <w:marBottom w:val="0"/>
      <w:divBdr>
        <w:top w:val="none" w:sz="0" w:space="0" w:color="auto"/>
        <w:left w:val="none" w:sz="0" w:space="0" w:color="auto"/>
        <w:bottom w:val="none" w:sz="0" w:space="0" w:color="auto"/>
        <w:right w:val="none" w:sz="0" w:space="0" w:color="auto"/>
      </w:divBdr>
    </w:div>
    <w:div w:id="1061758693">
      <w:bodyDiv w:val="1"/>
      <w:marLeft w:val="0"/>
      <w:marRight w:val="0"/>
      <w:marTop w:val="0"/>
      <w:marBottom w:val="0"/>
      <w:divBdr>
        <w:top w:val="none" w:sz="0" w:space="0" w:color="auto"/>
        <w:left w:val="none" w:sz="0" w:space="0" w:color="auto"/>
        <w:bottom w:val="none" w:sz="0" w:space="0" w:color="auto"/>
        <w:right w:val="none" w:sz="0" w:space="0" w:color="auto"/>
      </w:divBdr>
    </w:div>
    <w:div w:id="1078017888">
      <w:bodyDiv w:val="1"/>
      <w:marLeft w:val="0"/>
      <w:marRight w:val="0"/>
      <w:marTop w:val="0"/>
      <w:marBottom w:val="0"/>
      <w:divBdr>
        <w:top w:val="none" w:sz="0" w:space="0" w:color="auto"/>
        <w:left w:val="none" w:sz="0" w:space="0" w:color="auto"/>
        <w:bottom w:val="none" w:sz="0" w:space="0" w:color="auto"/>
        <w:right w:val="none" w:sz="0" w:space="0" w:color="auto"/>
      </w:divBdr>
      <w:divsChild>
        <w:div w:id="114058659">
          <w:marLeft w:val="0"/>
          <w:marRight w:val="0"/>
          <w:marTop w:val="0"/>
          <w:marBottom w:val="0"/>
          <w:divBdr>
            <w:top w:val="none" w:sz="0" w:space="0" w:color="auto"/>
            <w:left w:val="none" w:sz="0" w:space="0" w:color="auto"/>
            <w:bottom w:val="none" w:sz="0" w:space="0" w:color="auto"/>
            <w:right w:val="none" w:sz="0" w:space="0" w:color="auto"/>
          </w:divBdr>
        </w:div>
        <w:div w:id="330066995">
          <w:marLeft w:val="0"/>
          <w:marRight w:val="0"/>
          <w:marTop w:val="0"/>
          <w:marBottom w:val="0"/>
          <w:divBdr>
            <w:top w:val="none" w:sz="0" w:space="0" w:color="auto"/>
            <w:left w:val="none" w:sz="0" w:space="0" w:color="auto"/>
            <w:bottom w:val="none" w:sz="0" w:space="0" w:color="auto"/>
            <w:right w:val="none" w:sz="0" w:space="0" w:color="auto"/>
          </w:divBdr>
        </w:div>
        <w:div w:id="610749247">
          <w:marLeft w:val="0"/>
          <w:marRight w:val="0"/>
          <w:marTop w:val="0"/>
          <w:marBottom w:val="0"/>
          <w:divBdr>
            <w:top w:val="none" w:sz="0" w:space="0" w:color="auto"/>
            <w:left w:val="none" w:sz="0" w:space="0" w:color="auto"/>
            <w:bottom w:val="none" w:sz="0" w:space="0" w:color="auto"/>
            <w:right w:val="none" w:sz="0" w:space="0" w:color="auto"/>
          </w:divBdr>
        </w:div>
        <w:div w:id="889419722">
          <w:marLeft w:val="0"/>
          <w:marRight w:val="0"/>
          <w:marTop w:val="0"/>
          <w:marBottom w:val="0"/>
          <w:divBdr>
            <w:top w:val="none" w:sz="0" w:space="0" w:color="auto"/>
            <w:left w:val="none" w:sz="0" w:space="0" w:color="auto"/>
            <w:bottom w:val="none" w:sz="0" w:space="0" w:color="auto"/>
            <w:right w:val="none" w:sz="0" w:space="0" w:color="auto"/>
          </w:divBdr>
        </w:div>
        <w:div w:id="1034883177">
          <w:marLeft w:val="0"/>
          <w:marRight w:val="0"/>
          <w:marTop w:val="0"/>
          <w:marBottom w:val="0"/>
          <w:divBdr>
            <w:top w:val="none" w:sz="0" w:space="0" w:color="auto"/>
            <w:left w:val="none" w:sz="0" w:space="0" w:color="auto"/>
            <w:bottom w:val="none" w:sz="0" w:space="0" w:color="auto"/>
            <w:right w:val="none" w:sz="0" w:space="0" w:color="auto"/>
          </w:divBdr>
        </w:div>
        <w:div w:id="2013953254">
          <w:marLeft w:val="0"/>
          <w:marRight w:val="0"/>
          <w:marTop w:val="0"/>
          <w:marBottom w:val="0"/>
          <w:divBdr>
            <w:top w:val="none" w:sz="0" w:space="0" w:color="auto"/>
            <w:left w:val="none" w:sz="0" w:space="0" w:color="auto"/>
            <w:bottom w:val="none" w:sz="0" w:space="0" w:color="auto"/>
            <w:right w:val="none" w:sz="0" w:space="0" w:color="auto"/>
          </w:divBdr>
        </w:div>
      </w:divsChild>
    </w:div>
    <w:div w:id="1079135116">
      <w:bodyDiv w:val="1"/>
      <w:marLeft w:val="0"/>
      <w:marRight w:val="0"/>
      <w:marTop w:val="0"/>
      <w:marBottom w:val="0"/>
      <w:divBdr>
        <w:top w:val="none" w:sz="0" w:space="0" w:color="auto"/>
        <w:left w:val="none" w:sz="0" w:space="0" w:color="auto"/>
        <w:bottom w:val="none" w:sz="0" w:space="0" w:color="auto"/>
        <w:right w:val="none" w:sz="0" w:space="0" w:color="auto"/>
      </w:divBdr>
    </w:div>
    <w:div w:id="1119641065">
      <w:bodyDiv w:val="1"/>
      <w:marLeft w:val="0"/>
      <w:marRight w:val="0"/>
      <w:marTop w:val="0"/>
      <w:marBottom w:val="0"/>
      <w:divBdr>
        <w:top w:val="none" w:sz="0" w:space="0" w:color="auto"/>
        <w:left w:val="none" w:sz="0" w:space="0" w:color="auto"/>
        <w:bottom w:val="none" w:sz="0" w:space="0" w:color="auto"/>
        <w:right w:val="none" w:sz="0" w:space="0" w:color="auto"/>
      </w:divBdr>
    </w:div>
    <w:div w:id="1141650772">
      <w:bodyDiv w:val="1"/>
      <w:marLeft w:val="0"/>
      <w:marRight w:val="0"/>
      <w:marTop w:val="0"/>
      <w:marBottom w:val="0"/>
      <w:divBdr>
        <w:top w:val="none" w:sz="0" w:space="0" w:color="auto"/>
        <w:left w:val="none" w:sz="0" w:space="0" w:color="auto"/>
        <w:bottom w:val="none" w:sz="0" w:space="0" w:color="auto"/>
        <w:right w:val="none" w:sz="0" w:space="0" w:color="auto"/>
      </w:divBdr>
    </w:div>
    <w:div w:id="1203207346">
      <w:bodyDiv w:val="1"/>
      <w:marLeft w:val="0"/>
      <w:marRight w:val="0"/>
      <w:marTop w:val="0"/>
      <w:marBottom w:val="0"/>
      <w:divBdr>
        <w:top w:val="none" w:sz="0" w:space="0" w:color="auto"/>
        <w:left w:val="none" w:sz="0" w:space="0" w:color="auto"/>
        <w:bottom w:val="none" w:sz="0" w:space="0" w:color="auto"/>
        <w:right w:val="none" w:sz="0" w:space="0" w:color="auto"/>
      </w:divBdr>
    </w:div>
    <w:div w:id="1225096694">
      <w:bodyDiv w:val="1"/>
      <w:marLeft w:val="0"/>
      <w:marRight w:val="0"/>
      <w:marTop w:val="0"/>
      <w:marBottom w:val="0"/>
      <w:divBdr>
        <w:top w:val="none" w:sz="0" w:space="0" w:color="auto"/>
        <w:left w:val="none" w:sz="0" w:space="0" w:color="auto"/>
        <w:bottom w:val="none" w:sz="0" w:space="0" w:color="auto"/>
        <w:right w:val="none" w:sz="0" w:space="0" w:color="auto"/>
      </w:divBdr>
      <w:divsChild>
        <w:div w:id="765081209">
          <w:marLeft w:val="0"/>
          <w:marRight w:val="0"/>
          <w:marTop w:val="83"/>
          <w:marBottom w:val="0"/>
          <w:divBdr>
            <w:top w:val="none" w:sz="0" w:space="0" w:color="auto"/>
            <w:left w:val="none" w:sz="0" w:space="0" w:color="auto"/>
            <w:bottom w:val="none" w:sz="0" w:space="0" w:color="auto"/>
            <w:right w:val="none" w:sz="0" w:space="0" w:color="auto"/>
          </w:divBdr>
          <w:divsChild>
            <w:div w:id="178930531">
              <w:marLeft w:val="0"/>
              <w:marRight w:val="0"/>
              <w:marTop w:val="83"/>
              <w:marBottom w:val="0"/>
              <w:divBdr>
                <w:top w:val="none" w:sz="0" w:space="0" w:color="auto"/>
                <w:left w:val="none" w:sz="0" w:space="0" w:color="auto"/>
                <w:bottom w:val="none" w:sz="0" w:space="0" w:color="auto"/>
                <w:right w:val="none" w:sz="0" w:space="0" w:color="auto"/>
              </w:divBdr>
              <w:divsChild>
                <w:div w:id="940189562">
                  <w:marLeft w:val="0"/>
                  <w:marRight w:val="0"/>
                  <w:marTop w:val="83"/>
                  <w:marBottom w:val="0"/>
                  <w:divBdr>
                    <w:top w:val="none" w:sz="0" w:space="0" w:color="auto"/>
                    <w:left w:val="none" w:sz="0" w:space="0" w:color="auto"/>
                    <w:bottom w:val="none" w:sz="0" w:space="0" w:color="auto"/>
                    <w:right w:val="none" w:sz="0" w:space="0" w:color="auto"/>
                  </w:divBdr>
                </w:div>
                <w:div w:id="1189560039">
                  <w:marLeft w:val="0"/>
                  <w:marRight w:val="0"/>
                  <w:marTop w:val="83"/>
                  <w:marBottom w:val="0"/>
                  <w:divBdr>
                    <w:top w:val="none" w:sz="0" w:space="0" w:color="auto"/>
                    <w:left w:val="none" w:sz="0" w:space="0" w:color="auto"/>
                    <w:bottom w:val="none" w:sz="0" w:space="0" w:color="auto"/>
                    <w:right w:val="none" w:sz="0" w:space="0" w:color="auto"/>
                  </w:divBdr>
                </w:div>
              </w:divsChild>
            </w:div>
            <w:div w:id="687176084">
              <w:marLeft w:val="0"/>
              <w:marRight w:val="0"/>
              <w:marTop w:val="83"/>
              <w:marBottom w:val="0"/>
              <w:divBdr>
                <w:top w:val="none" w:sz="0" w:space="0" w:color="auto"/>
                <w:left w:val="none" w:sz="0" w:space="0" w:color="auto"/>
                <w:bottom w:val="none" w:sz="0" w:space="0" w:color="auto"/>
                <w:right w:val="none" w:sz="0" w:space="0" w:color="auto"/>
              </w:divBdr>
            </w:div>
            <w:div w:id="1432622034">
              <w:marLeft w:val="0"/>
              <w:marRight w:val="0"/>
              <w:marTop w:val="83"/>
              <w:marBottom w:val="0"/>
              <w:divBdr>
                <w:top w:val="none" w:sz="0" w:space="0" w:color="auto"/>
                <w:left w:val="none" w:sz="0" w:space="0" w:color="auto"/>
                <w:bottom w:val="none" w:sz="0" w:space="0" w:color="auto"/>
                <w:right w:val="none" w:sz="0" w:space="0" w:color="auto"/>
              </w:divBdr>
            </w:div>
            <w:div w:id="1540584575">
              <w:marLeft w:val="0"/>
              <w:marRight w:val="0"/>
              <w:marTop w:val="83"/>
              <w:marBottom w:val="0"/>
              <w:divBdr>
                <w:top w:val="none" w:sz="0" w:space="0" w:color="auto"/>
                <w:left w:val="none" w:sz="0" w:space="0" w:color="auto"/>
                <w:bottom w:val="none" w:sz="0" w:space="0" w:color="auto"/>
                <w:right w:val="none" w:sz="0" w:space="0" w:color="auto"/>
              </w:divBdr>
            </w:div>
            <w:div w:id="1599681914">
              <w:marLeft w:val="0"/>
              <w:marRight w:val="0"/>
              <w:marTop w:val="83"/>
              <w:marBottom w:val="0"/>
              <w:divBdr>
                <w:top w:val="none" w:sz="0" w:space="0" w:color="auto"/>
                <w:left w:val="none" w:sz="0" w:space="0" w:color="auto"/>
                <w:bottom w:val="none" w:sz="0" w:space="0" w:color="auto"/>
                <w:right w:val="none" w:sz="0" w:space="0" w:color="auto"/>
              </w:divBdr>
            </w:div>
            <w:div w:id="1833374869">
              <w:marLeft w:val="0"/>
              <w:marRight w:val="0"/>
              <w:marTop w:val="83"/>
              <w:marBottom w:val="0"/>
              <w:divBdr>
                <w:top w:val="none" w:sz="0" w:space="0" w:color="auto"/>
                <w:left w:val="none" w:sz="0" w:space="0" w:color="auto"/>
                <w:bottom w:val="none" w:sz="0" w:space="0" w:color="auto"/>
                <w:right w:val="none" w:sz="0" w:space="0" w:color="auto"/>
              </w:divBdr>
            </w:div>
          </w:divsChild>
        </w:div>
        <w:div w:id="1504931830">
          <w:marLeft w:val="0"/>
          <w:marRight w:val="0"/>
          <w:marTop w:val="83"/>
          <w:marBottom w:val="0"/>
          <w:divBdr>
            <w:top w:val="none" w:sz="0" w:space="0" w:color="auto"/>
            <w:left w:val="none" w:sz="0" w:space="0" w:color="auto"/>
            <w:bottom w:val="none" w:sz="0" w:space="0" w:color="auto"/>
            <w:right w:val="none" w:sz="0" w:space="0" w:color="auto"/>
          </w:divBdr>
          <w:divsChild>
            <w:div w:id="615067120">
              <w:marLeft w:val="0"/>
              <w:marRight w:val="0"/>
              <w:marTop w:val="83"/>
              <w:marBottom w:val="0"/>
              <w:divBdr>
                <w:top w:val="none" w:sz="0" w:space="0" w:color="auto"/>
                <w:left w:val="none" w:sz="0" w:space="0" w:color="auto"/>
                <w:bottom w:val="none" w:sz="0" w:space="0" w:color="auto"/>
                <w:right w:val="none" w:sz="0" w:space="0" w:color="auto"/>
              </w:divBdr>
            </w:div>
            <w:div w:id="996497225">
              <w:marLeft w:val="0"/>
              <w:marRight w:val="0"/>
              <w:marTop w:val="83"/>
              <w:marBottom w:val="0"/>
              <w:divBdr>
                <w:top w:val="none" w:sz="0" w:space="0" w:color="auto"/>
                <w:left w:val="none" w:sz="0" w:space="0" w:color="auto"/>
                <w:bottom w:val="none" w:sz="0" w:space="0" w:color="auto"/>
                <w:right w:val="none" w:sz="0" w:space="0" w:color="auto"/>
              </w:divBdr>
            </w:div>
            <w:div w:id="128222614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233545875">
      <w:bodyDiv w:val="1"/>
      <w:marLeft w:val="0"/>
      <w:marRight w:val="0"/>
      <w:marTop w:val="0"/>
      <w:marBottom w:val="0"/>
      <w:divBdr>
        <w:top w:val="none" w:sz="0" w:space="0" w:color="auto"/>
        <w:left w:val="none" w:sz="0" w:space="0" w:color="auto"/>
        <w:bottom w:val="none" w:sz="0" w:space="0" w:color="auto"/>
        <w:right w:val="none" w:sz="0" w:space="0" w:color="auto"/>
      </w:divBdr>
      <w:divsChild>
        <w:div w:id="17434276">
          <w:marLeft w:val="0"/>
          <w:marRight w:val="0"/>
          <w:marTop w:val="0"/>
          <w:marBottom w:val="0"/>
          <w:divBdr>
            <w:top w:val="none" w:sz="0" w:space="0" w:color="auto"/>
            <w:left w:val="none" w:sz="0" w:space="0" w:color="auto"/>
            <w:bottom w:val="none" w:sz="0" w:space="0" w:color="auto"/>
            <w:right w:val="none" w:sz="0" w:space="0" w:color="auto"/>
          </w:divBdr>
          <w:divsChild>
            <w:div w:id="1884250629">
              <w:marLeft w:val="0"/>
              <w:marRight w:val="0"/>
              <w:marTop w:val="0"/>
              <w:marBottom w:val="0"/>
              <w:divBdr>
                <w:top w:val="none" w:sz="0" w:space="0" w:color="auto"/>
                <w:left w:val="none" w:sz="0" w:space="0" w:color="auto"/>
                <w:bottom w:val="none" w:sz="0" w:space="0" w:color="auto"/>
                <w:right w:val="none" w:sz="0" w:space="0" w:color="auto"/>
              </w:divBdr>
            </w:div>
          </w:divsChild>
        </w:div>
        <w:div w:id="108937874">
          <w:marLeft w:val="0"/>
          <w:marRight w:val="0"/>
          <w:marTop w:val="0"/>
          <w:marBottom w:val="0"/>
          <w:divBdr>
            <w:top w:val="none" w:sz="0" w:space="0" w:color="auto"/>
            <w:left w:val="none" w:sz="0" w:space="0" w:color="auto"/>
            <w:bottom w:val="none" w:sz="0" w:space="0" w:color="auto"/>
            <w:right w:val="none" w:sz="0" w:space="0" w:color="auto"/>
          </w:divBdr>
          <w:divsChild>
            <w:div w:id="923488682">
              <w:marLeft w:val="0"/>
              <w:marRight w:val="0"/>
              <w:marTop w:val="0"/>
              <w:marBottom w:val="0"/>
              <w:divBdr>
                <w:top w:val="none" w:sz="0" w:space="0" w:color="auto"/>
                <w:left w:val="none" w:sz="0" w:space="0" w:color="auto"/>
                <w:bottom w:val="none" w:sz="0" w:space="0" w:color="auto"/>
                <w:right w:val="none" w:sz="0" w:space="0" w:color="auto"/>
              </w:divBdr>
            </w:div>
          </w:divsChild>
        </w:div>
        <w:div w:id="139199670">
          <w:marLeft w:val="0"/>
          <w:marRight w:val="0"/>
          <w:marTop w:val="0"/>
          <w:marBottom w:val="0"/>
          <w:divBdr>
            <w:top w:val="none" w:sz="0" w:space="0" w:color="auto"/>
            <w:left w:val="none" w:sz="0" w:space="0" w:color="auto"/>
            <w:bottom w:val="none" w:sz="0" w:space="0" w:color="auto"/>
            <w:right w:val="none" w:sz="0" w:space="0" w:color="auto"/>
          </w:divBdr>
          <w:divsChild>
            <w:div w:id="877161633">
              <w:marLeft w:val="0"/>
              <w:marRight w:val="0"/>
              <w:marTop w:val="0"/>
              <w:marBottom w:val="0"/>
              <w:divBdr>
                <w:top w:val="none" w:sz="0" w:space="0" w:color="auto"/>
                <w:left w:val="none" w:sz="0" w:space="0" w:color="auto"/>
                <w:bottom w:val="none" w:sz="0" w:space="0" w:color="auto"/>
                <w:right w:val="none" w:sz="0" w:space="0" w:color="auto"/>
              </w:divBdr>
            </w:div>
          </w:divsChild>
        </w:div>
        <w:div w:id="215508561">
          <w:marLeft w:val="0"/>
          <w:marRight w:val="0"/>
          <w:marTop w:val="0"/>
          <w:marBottom w:val="0"/>
          <w:divBdr>
            <w:top w:val="none" w:sz="0" w:space="0" w:color="auto"/>
            <w:left w:val="none" w:sz="0" w:space="0" w:color="auto"/>
            <w:bottom w:val="none" w:sz="0" w:space="0" w:color="auto"/>
            <w:right w:val="none" w:sz="0" w:space="0" w:color="auto"/>
          </w:divBdr>
          <w:divsChild>
            <w:div w:id="1717386455">
              <w:marLeft w:val="0"/>
              <w:marRight w:val="0"/>
              <w:marTop w:val="0"/>
              <w:marBottom w:val="0"/>
              <w:divBdr>
                <w:top w:val="none" w:sz="0" w:space="0" w:color="auto"/>
                <w:left w:val="none" w:sz="0" w:space="0" w:color="auto"/>
                <w:bottom w:val="none" w:sz="0" w:space="0" w:color="auto"/>
                <w:right w:val="none" w:sz="0" w:space="0" w:color="auto"/>
              </w:divBdr>
            </w:div>
          </w:divsChild>
        </w:div>
        <w:div w:id="264189933">
          <w:marLeft w:val="0"/>
          <w:marRight w:val="0"/>
          <w:marTop w:val="0"/>
          <w:marBottom w:val="0"/>
          <w:divBdr>
            <w:top w:val="none" w:sz="0" w:space="0" w:color="auto"/>
            <w:left w:val="none" w:sz="0" w:space="0" w:color="auto"/>
            <w:bottom w:val="none" w:sz="0" w:space="0" w:color="auto"/>
            <w:right w:val="none" w:sz="0" w:space="0" w:color="auto"/>
          </w:divBdr>
          <w:divsChild>
            <w:div w:id="793014644">
              <w:marLeft w:val="0"/>
              <w:marRight w:val="0"/>
              <w:marTop w:val="0"/>
              <w:marBottom w:val="0"/>
              <w:divBdr>
                <w:top w:val="none" w:sz="0" w:space="0" w:color="auto"/>
                <w:left w:val="none" w:sz="0" w:space="0" w:color="auto"/>
                <w:bottom w:val="none" w:sz="0" w:space="0" w:color="auto"/>
                <w:right w:val="none" w:sz="0" w:space="0" w:color="auto"/>
              </w:divBdr>
            </w:div>
          </w:divsChild>
        </w:div>
        <w:div w:id="273294993">
          <w:marLeft w:val="0"/>
          <w:marRight w:val="0"/>
          <w:marTop w:val="0"/>
          <w:marBottom w:val="0"/>
          <w:divBdr>
            <w:top w:val="none" w:sz="0" w:space="0" w:color="auto"/>
            <w:left w:val="none" w:sz="0" w:space="0" w:color="auto"/>
            <w:bottom w:val="none" w:sz="0" w:space="0" w:color="auto"/>
            <w:right w:val="none" w:sz="0" w:space="0" w:color="auto"/>
          </w:divBdr>
          <w:divsChild>
            <w:div w:id="1385788251">
              <w:marLeft w:val="0"/>
              <w:marRight w:val="0"/>
              <w:marTop w:val="0"/>
              <w:marBottom w:val="0"/>
              <w:divBdr>
                <w:top w:val="none" w:sz="0" w:space="0" w:color="auto"/>
                <w:left w:val="none" w:sz="0" w:space="0" w:color="auto"/>
                <w:bottom w:val="none" w:sz="0" w:space="0" w:color="auto"/>
                <w:right w:val="none" w:sz="0" w:space="0" w:color="auto"/>
              </w:divBdr>
            </w:div>
          </w:divsChild>
        </w:div>
        <w:div w:id="383218624">
          <w:marLeft w:val="0"/>
          <w:marRight w:val="0"/>
          <w:marTop w:val="0"/>
          <w:marBottom w:val="0"/>
          <w:divBdr>
            <w:top w:val="none" w:sz="0" w:space="0" w:color="auto"/>
            <w:left w:val="none" w:sz="0" w:space="0" w:color="auto"/>
            <w:bottom w:val="none" w:sz="0" w:space="0" w:color="auto"/>
            <w:right w:val="none" w:sz="0" w:space="0" w:color="auto"/>
          </w:divBdr>
          <w:divsChild>
            <w:div w:id="923146596">
              <w:marLeft w:val="0"/>
              <w:marRight w:val="0"/>
              <w:marTop w:val="0"/>
              <w:marBottom w:val="0"/>
              <w:divBdr>
                <w:top w:val="none" w:sz="0" w:space="0" w:color="auto"/>
                <w:left w:val="none" w:sz="0" w:space="0" w:color="auto"/>
                <w:bottom w:val="none" w:sz="0" w:space="0" w:color="auto"/>
                <w:right w:val="none" w:sz="0" w:space="0" w:color="auto"/>
              </w:divBdr>
            </w:div>
          </w:divsChild>
        </w:div>
        <w:div w:id="676541928">
          <w:marLeft w:val="0"/>
          <w:marRight w:val="0"/>
          <w:marTop w:val="0"/>
          <w:marBottom w:val="0"/>
          <w:divBdr>
            <w:top w:val="none" w:sz="0" w:space="0" w:color="auto"/>
            <w:left w:val="none" w:sz="0" w:space="0" w:color="auto"/>
            <w:bottom w:val="none" w:sz="0" w:space="0" w:color="auto"/>
            <w:right w:val="none" w:sz="0" w:space="0" w:color="auto"/>
          </w:divBdr>
          <w:divsChild>
            <w:div w:id="1944991388">
              <w:marLeft w:val="0"/>
              <w:marRight w:val="0"/>
              <w:marTop w:val="0"/>
              <w:marBottom w:val="0"/>
              <w:divBdr>
                <w:top w:val="none" w:sz="0" w:space="0" w:color="auto"/>
                <w:left w:val="none" w:sz="0" w:space="0" w:color="auto"/>
                <w:bottom w:val="none" w:sz="0" w:space="0" w:color="auto"/>
                <w:right w:val="none" w:sz="0" w:space="0" w:color="auto"/>
              </w:divBdr>
            </w:div>
          </w:divsChild>
        </w:div>
        <w:div w:id="711923190">
          <w:marLeft w:val="0"/>
          <w:marRight w:val="0"/>
          <w:marTop w:val="0"/>
          <w:marBottom w:val="0"/>
          <w:divBdr>
            <w:top w:val="none" w:sz="0" w:space="0" w:color="auto"/>
            <w:left w:val="none" w:sz="0" w:space="0" w:color="auto"/>
            <w:bottom w:val="none" w:sz="0" w:space="0" w:color="auto"/>
            <w:right w:val="none" w:sz="0" w:space="0" w:color="auto"/>
          </w:divBdr>
          <w:divsChild>
            <w:div w:id="971865378">
              <w:marLeft w:val="0"/>
              <w:marRight w:val="0"/>
              <w:marTop w:val="0"/>
              <w:marBottom w:val="0"/>
              <w:divBdr>
                <w:top w:val="none" w:sz="0" w:space="0" w:color="auto"/>
                <w:left w:val="none" w:sz="0" w:space="0" w:color="auto"/>
                <w:bottom w:val="none" w:sz="0" w:space="0" w:color="auto"/>
                <w:right w:val="none" w:sz="0" w:space="0" w:color="auto"/>
              </w:divBdr>
            </w:div>
          </w:divsChild>
        </w:div>
        <w:div w:id="831914782">
          <w:marLeft w:val="0"/>
          <w:marRight w:val="0"/>
          <w:marTop w:val="0"/>
          <w:marBottom w:val="0"/>
          <w:divBdr>
            <w:top w:val="none" w:sz="0" w:space="0" w:color="auto"/>
            <w:left w:val="none" w:sz="0" w:space="0" w:color="auto"/>
            <w:bottom w:val="none" w:sz="0" w:space="0" w:color="auto"/>
            <w:right w:val="none" w:sz="0" w:space="0" w:color="auto"/>
          </w:divBdr>
          <w:divsChild>
            <w:div w:id="1571426316">
              <w:marLeft w:val="0"/>
              <w:marRight w:val="0"/>
              <w:marTop w:val="0"/>
              <w:marBottom w:val="0"/>
              <w:divBdr>
                <w:top w:val="none" w:sz="0" w:space="0" w:color="auto"/>
                <w:left w:val="none" w:sz="0" w:space="0" w:color="auto"/>
                <w:bottom w:val="none" w:sz="0" w:space="0" w:color="auto"/>
                <w:right w:val="none" w:sz="0" w:space="0" w:color="auto"/>
              </w:divBdr>
            </w:div>
          </w:divsChild>
        </w:div>
        <w:div w:id="843475116">
          <w:marLeft w:val="0"/>
          <w:marRight w:val="0"/>
          <w:marTop w:val="0"/>
          <w:marBottom w:val="0"/>
          <w:divBdr>
            <w:top w:val="none" w:sz="0" w:space="0" w:color="auto"/>
            <w:left w:val="none" w:sz="0" w:space="0" w:color="auto"/>
            <w:bottom w:val="none" w:sz="0" w:space="0" w:color="auto"/>
            <w:right w:val="none" w:sz="0" w:space="0" w:color="auto"/>
          </w:divBdr>
          <w:divsChild>
            <w:div w:id="326594265">
              <w:marLeft w:val="0"/>
              <w:marRight w:val="0"/>
              <w:marTop w:val="0"/>
              <w:marBottom w:val="0"/>
              <w:divBdr>
                <w:top w:val="none" w:sz="0" w:space="0" w:color="auto"/>
                <w:left w:val="none" w:sz="0" w:space="0" w:color="auto"/>
                <w:bottom w:val="none" w:sz="0" w:space="0" w:color="auto"/>
                <w:right w:val="none" w:sz="0" w:space="0" w:color="auto"/>
              </w:divBdr>
            </w:div>
          </w:divsChild>
        </w:div>
        <w:div w:id="873467936">
          <w:marLeft w:val="0"/>
          <w:marRight w:val="0"/>
          <w:marTop w:val="0"/>
          <w:marBottom w:val="0"/>
          <w:divBdr>
            <w:top w:val="none" w:sz="0" w:space="0" w:color="auto"/>
            <w:left w:val="none" w:sz="0" w:space="0" w:color="auto"/>
            <w:bottom w:val="none" w:sz="0" w:space="0" w:color="auto"/>
            <w:right w:val="none" w:sz="0" w:space="0" w:color="auto"/>
          </w:divBdr>
          <w:divsChild>
            <w:div w:id="2030140092">
              <w:marLeft w:val="0"/>
              <w:marRight w:val="0"/>
              <w:marTop w:val="0"/>
              <w:marBottom w:val="0"/>
              <w:divBdr>
                <w:top w:val="none" w:sz="0" w:space="0" w:color="auto"/>
                <w:left w:val="none" w:sz="0" w:space="0" w:color="auto"/>
                <w:bottom w:val="none" w:sz="0" w:space="0" w:color="auto"/>
                <w:right w:val="none" w:sz="0" w:space="0" w:color="auto"/>
              </w:divBdr>
            </w:div>
          </w:divsChild>
        </w:div>
        <w:div w:id="905384697">
          <w:marLeft w:val="0"/>
          <w:marRight w:val="0"/>
          <w:marTop w:val="0"/>
          <w:marBottom w:val="0"/>
          <w:divBdr>
            <w:top w:val="none" w:sz="0" w:space="0" w:color="auto"/>
            <w:left w:val="none" w:sz="0" w:space="0" w:color="auto"/>
            <w:bottom w:val="none" w:sz="0" w:space="0" w:color="auto"/>
            <w:right w:val="none" w:sz="0" w:space="0" w:color="auto"/>
          </w:divBdr>
          <w:divsChild>
            <w:div w:id="1097869516">
              <w:marLeft w:val="0"/>
              <w:marRight w:val="0"/>
              <w:marTop w:val="0"/>
              <w:marBottom w:val="0"/>
              <w:divBdr>
                <w:top w:val="none" w:sz="0" w:space="0" w:color="auto"/>
                <w:left w:val="none" w:sz="0" w:space="0" w:color="auto"/>
                <w:bottom w:val="none" w:sz="0" w:space="0" w:color="auto"/>
                <w:right w:val="none" w:sz="0" w:space="0" w:color="auto"/>
              </w:divBdr>
            </w:div>
          </w:divsChild>
        </w:div>
        <w:div w:id="1191529333">
          <w:marLeft w:val="0"/>
          <w:marRight w:val="0"/>
          <w:marTop w:val="0"/>
          <w:marBottom w:val="0"/>
          <w:divBdr>
            <w:top w:val="none" w:sz="0" w:space="0" w:color="auto"/>
            <w:left w:val="none" w:sz="0" w:space="0" w:color="auto"/>
            <w:bottom w:val="none" w:sz="0" w:space="0" w:color="auto"/>
            <w:right w:val="none" w:sz="0" w:space="0" w:color="auto"/>
          </w:divBdr>
          <w:divsChild>
            <w:div w:id="130102207">
              <w:marLeft w:val="0"/>
              <w:marRight w:val="0"/>
              <w:marTop w:val="0"/>
              <w:marBottom w:val="0"/>
              <w:divBdr>
                <w:top w:val="none" w:sz="0" w:space="0" w:color="auto"/>
                <w:left w:val="none" w:sz="0" w:space="0" w:color="auto"/>
                <w:bottom w:val="none" w:sz="0" w:space="0" w:color="auto"/>
                <w:right w:val="none" w:sz="0" w:space="0" w:color="auto"/>
              </w:divBdr>
            </w:div>
          </w:divsChild>
        </w:div>
        <w:div w:id="1328316288">
          <w:marLeft w:val="0"/>
          <w:marRight w:val="0"/>
          <w:marTop w:val="0"/>
          <w:marBottom w:val="0"/>
          <w:divBdr>
            <w:top w:val="none" w:sz="0" w:space="0" w:color="auto"/>
            <w:left w:val="none" w:sz="0" w:space="0" w:color="auto"/>
            <w:bottom w:val="none" w:sz="0" w:space="0" w:color="auto"/>
            <w:right w:val="none" w:sz="0" w:space="0" w:color="auto"/>
          </w:divBdr>
          <w:divsChild>
            <w:div w:id="1664359364">
              <w:marLeft w:val="0"/>
              <w:marRight w:val="0"/>
              <w:marTop w:val="0"/>
              <w:marBottom w:val="0"/>
              <w:divBdr>
                <w:top w:val="none" w:sz="0" w:space="0" w:color="auto"/>
                <w:left w:val="none" w:sz="0" w:space="0" w:color="auto"/>
                <w:bottom w:val="none" w:sz="0" w:space="0" w:color="auto"/>
                <w:right w:val="none" w:sz="0" w:space="0" w:color="auto"/>
              </w:divBdr>
            </w:div>
          </w:divsChild>
        </w:div>
        <w:div w:id="1401753493">
          <w:marLeft w:val="0"/>
          <w:marRight w:val="0"/>
          <w:marTop w:val="0"/>
          <w:marBottom w:val="0"/>
          <w:divBdr>
            <w:top w:val="none" w:sz="0" w:space="0" w:color="auto"/>
            <w:left w:val="none" w:sz="0" w:space="0" w:color="auto"/>
            <w:bottom w:val="none" w:sz="0" w:space="0" w:color="auto"/>
            <w:right w:val="none" w:sz="0" w:space="0" w:color="auto"/>
          </w:divBdr>
          <w:divsChild>
            <w:div w:id="1181702442">
              <w:marLeft w:val="0"/>
              <w:marRight w:val="0"/>
              <w:marTop w:val="0"/>
              <w:marBottom w:val="0"/>
              <w:divBdr>
                <w:top w:val="none" w:sz="0" w:space="0" w:color="auto"/>
                <w:left w:val="none" w:sz="0" w:space="0" w:color="auto"/>
                <w:bottom w:val="none" w:sz="0" w:space="0" w:color="auto"/>
                <w:right w:val="none" w:sz="0" w:space="0" w:color="auto"/>
              </w:divBdr>
            </w:div>
          </w:divsChild>
        </w:div>
        <w:div w:id="1413309266">
          <w:marLeft w:val="0"/>
          <w:marRight w:val="0"/>
          <w:marTop w:val="0"/>
          <w:marBottom w:val="0"/>
          <w:divBdr>
            <w:top w:val="none" w:sz="0" w:space="0" w:color="auto"/>
            <w:left w:val="none" w:sz="0" w:space="0" w:color="auto"/>
            <w:bottom w:val="none" w:sz="0" w:space="0" w:color="auto"/>
            <w:right w:val="none" w:sz="0" w:space="0" w:color="auto"/>
          </w:divBdr>
          <w:divsChild>
            <w:div w:id="2056812828">
              <w:marLeft w:val="0"/>
              <w:marRight w:val="0"/>
              <w:marTop w:val="0"/>
              <w:marBottom w:val="0"/>
              <w:divBdr>
                <w:top w:val="none" w:sz="0" w:space="0" w:color="auto"/>
                <w:left w:val="none" w:sz="0" w:space="0" w:color="auto"/>
                <w:bottom w:val="none" w:sz="0" w:space="0" w:color="auto"/>
                <w:right w:val="none" w:sz="0" w:space="0" w:color="auto"/>
              </w:divBdr>
            </w:div>
          </w:divsChild>
        </w:div>
        <w:div w:id="1437482141">
          <w:marLeft w:val="0"/>
          <w:marRight w:val="0"/>
          <w:marTop w:val="0"/>
          <w:marBottom w:val="0"/>
          <w:divBdr>
            <w:top w:val="none" w:sz="0" w:space="0" w:color="auto"/>
            <w:left w:val="none" w:sz="0" w:space="0" w:color="auto"/>
            <w:bottom w:val="none" w:sz="0" w:space="0" w:color="auto"/>
            <w:right w:val="none" w:sz="0" w:space="0" w:color="auto"/>
          </w:divBdr>
          <w:divsChild>
            <w:div w:id="1483621189">
              <w:marLeft w:val="0"/>
              <w:marRight w:val="0"/>
              <w:marTop w:val="0"/>
              <w:marBottom w:val="0"/>
              <w:divBdr>
                <w:top w:val="none" w:sz="0" w:space="0" w:color="auto"/>
                <w:left w:val="none" w:sz="0" w:space="0" w:color="auto"/>
                <w:bottom w:val="none" w:sz="0" w:space="0" w:color="auto"/>
                <w:right w:val="none" w:sz="0" w:space="0" w:color="auto"/>
              </w:divBdr>
            </w:div>
          </w:divsChild>
        </w:div>
        <w:div w:id="1514999608">
          <w:marLeft w:val="0"/>
          <w:marRight w:val="0"/>
          <w:marTop w:val="0"/>
          <w:marBottom w:val="0"/>
          <w:divBdr>
            <w:top w:val="none" w:sz="0" w:space="0" w:color="auto"/>
            <w:left w:val="none" w:sz="0" w:space="0" w:color="auto"/>
            <w:bottom w:val="none" w:sz="0" w:space="0" w:color="auto"/>
            <w:right w:val="none" w:sz="0" w:space="0" w:color="auto"/>
          </w:divBdr>
          <w:divsChild>
            <w:div w:id="768233737">
              <w:marLeft w:val="0"/>
              <w:marRight w:val="0"/>
              <w:marTop w:val="0"/>
              <w:marBottom w:val="0"/>
              <w:divBdr>
                <w:top w:val="none" w:sz="0" w:space="0" w:color="auto"/>
                <w:left w:val="none" w:sz="0" w:space="0" w:color="auto"/>
                <w:bottom w:val="none" w:sz="0" w:space="0" w:color="auto"/>
                <w:right w:val="none" w:sz="0" w:space="0" w:color="auto"/>
              </w:divBdr>
            </w:div>
          </w:divsChild>
        </w:div>
        <w:div w:id="1559631671">
          <w:marLeft w:val="0"/>
          <w:marRight w:val="0"/>
          <w:marTop w:val="0"/>
          <w:marBottom w:val="0"/>
          <w:divBdr>
            <w:top w:val="none" w:sz="0" w:space="0" w:color="auto"/>
            <w:left w:val="none" w:sz="0" w:space="0" w:color="auto"/>
            <w:bottom w:val="none" w:sz="0" w:space="0" w:color="auto"/>
            <w:right w:val="none" w:sz="0" w:space="0" w:color="auto"/>
          </w:divBdr>
          <w:divsChild>
            <w:div w:id="182403812">
              <w:marLeft w:val="0"/>
              <w:marRight w:val="0"/>
              <w:marTop w:val="0"/>
              <w:marBottom w:val="0"/>
              <w:divBdr>
                <w:top w:val="none" w:sz="0" w:space="0" w:color="auto"/>
                <w:left w:val="none" w:sz="0" w:space="0" w:color="auto"/>
                <w:bottom w:val="none" w:sz="0" w:space="0" w:color="auto"/>
                <w:right w:val="none" w:sz="0" w:space="0" w:color="auto"/>
              </w:divBdr>
            </w:div>
            <w:div w:id="207425539">
              <w:marLeft w:val="0"/>
              <w:marRight w:val="0"/>
              <w:marTop w:val="0"/>
              <w:marBottom w:val="0"/>
              <w:divBdr>
                <w:top w:val="none" w:sz="0" w:space="0" w:color="auto"/>
                <w:left w:val="none" w:sz="0" w:space="0" w:color="auto"/>
                <w:bottom w:val="none" w:sz="0" w:space="0" w:color="auto"/>
                <w:right w:val="none" w:sz="0" w:space="0" w:color="auto"/>
              </w:divBdr>
            </w:div>
            <w:div w:id="491527824">
              <w:marLeft w:val="0"/>
              <w:marRight w:val="0"/>
              <w:marTop w:val="0"/>
              <w:marBottom w:val="0"/>
              <w:divBdr>
                <w:top w:val="none" w:sz="0" w:space="0" w:color="auto"/>
                <w:left w:val="none" w:sz="0" w:space="0" w:color="auto"/>
                <w:bottom w:val="none" w:sz="0" w:space="0" w:color="auto"/>
                <w:right w:val="none" w:sz="0" w:space="0" w:color="auto"/>
              </w:divBdr>
            </w:div>
            <w:div w:id="865291313">
              <w:marLeft w:val="0"/>
              <w:marRight w:val="0"/>
              <w:marTop w:val="0"/>
              <w:marBottom w:val="0"/>
              <w:divBdr>
                <w:top w:val="none" w:sz="0" w:space="0" w:color="auto"/>
                <w:left w:val="none" w:sz="0" w:space="0" w:color="auto"/>
                <w:bottom w:val="none" w:sz="0" w:space="0" w:color="auto"/>
                <w:right w:val="none" w:sz="0" w:space="0" w:color="auto"/>
              </w:divBdr>
            </w:div>
            <w:div w:id="1813522696">
              <w:marLeft w:val="0"/>
              <w:marRight w:val="0"/>
              <w:marTop w:val="0"/>
              <w:marBottom w:val="0"/>
              <w:divBdr>
                <w:top w:val="none" w:sz="0" w:space="0" w:color="auto"/>
                <w:left w:val="none" w:sz="0" w:space="0" w:color="auto"/>
                <w:bottom w:val="none" w:sz="0" w:space="0" w:color="auto"/>
                <w:right w:val="none" w:sz="0" w:space="0" w:color="auto"/>
              </w:divBdr>
            </w:div>
          </w:divsChild>
        </w:div>
        <w:div w:id="1578634377">
          <w:marLeft w:val="0"/>
          <w:marRight w:val="0"/>
          <w:marTop w:val="0"/>
          <w:marBottom w:val="0"/>
          <w:divBdr>
            <w:top w:val="none" w:sz="0" w:space="0" w:color="auto"/>
            <w:left w:val="none" w:sz="0" w:space="0" w:color="auto"/>
            <w:bottom w:val="none" w:sz="0" w:space="0" w:color="auto"/>
            <w:right w:val="none" w:sz="0" w:space="0" w:color="auto"/>
          </w:divBdr>
          <w:divsChild>
            <w:div w:id="1902977946">
              <w:marLeft w:val="0"/>
              <w:marRight w:val="0"/>
              <w:marTop w:val="0"/>
              <w:marBottom w:val="0"/>
              <w:divBdr>
                <w:top w:val="none" w:sz="0" w:space="0" w:color="auto"/>
                <w:left w:val="none" w:sz="0" w:space="0" w:color="auto"/>
                <w:bottom w:val="none" w:sz="0" w:space="0" w:color="auto"/>
                <w:right w:val="none" w:sz="0" w:space="0" w:color="auto"/>
              </w:divBdr>
            </w:div>
          </w:divsChild>
        </w:div>
        <w:div w:id="1587615553">
          <w:marLeft w:val="0"/>
          <w:marRight w:val="0"/>
          <w:marTop w:val="0"/>
          <w:marBottom w:val="0"/>
          <w:divBdr>
            <w:top w:val="none" w:sz="0" w:space="0" w:color="auto"/>
            <w:left w:val="none" w:sz="0" w:space="0" w:color="auto"/>
            <w:bottom w:val="none" w:sz="0" w:space="0" w:color="auto"/>
            <w:right w:val="none" w:sz="0" w:space="0" w:color="auto"/>
          </w:divBdr>
          <w:divsChild>
            <w:div w:id="213858731">
              <w:marLeft w:val="0"/>
              <w:marRight w:val="0"/>
              <w:marTop w:val="0"/>
              <w:marBottom w:val="0"/>
              <w:divBdr>
                <w:top w:val="none" w:sz="0" w:space="0" w:color="auto"/>
                <w:left w:val="none" w:sz="0" w:space="0" w:color="auto"/>
                <w:bottom w:val="none" w:sz="0" w:space="0" w:color="auto"/>
                <w:right w:val="none" w:sz="0" w:space="0" w:color="auto"/>
              </w:divBdr>
            </w:div>
          </w:divsChild>
        </w:div>
        <w:div w:id="1677027641">
          <w:marLeft w:val="0"/>
          <w:marRight w:val="0"/>
          <w:marTop w:val="0"/>
          <w:marBottom w:val="0"/>
          <w:divBdr>
            <w:top w:val="none" w:sz="0" w:space="0" w:color="auto"/>
            <w:left w:val="none" w:sz="0" w:space="0" w:color="auto"/>
            <w:bottom w:val="none" w:sz="0" w:space="0" w:color="auto"/>
            <w:right w:val="none" w:sz="0" w:space="0" w:color="auto"/>
          </w:divBdr>
          <w:divsChild>
            <w:div w:id="2138832918">
              <w:marLeft w:val="0"/>
              <w:marRight w:val="0"/>
              <w:marTop w:val="0"/>
              <w:marBottom w:val="0"/>
              <w:divBdr>
                <w:top w:val="none" w:sz="0" w:space="0" w:color="auto"/>
                <w:left w:val="none" w:sz="0" w:space="0" w:color="auto"/>
                <w:bottom w:val="none" w:sz="0" w:space="0" w:color="auto"/>
                <w:right w:val="none" w:sz="0" w:space="0" w:color="auto"/>
              </w:divBdr>
            </w:div>
          </w:divsChild>
        </w:div>
        <w:div w:id="1775662528">
          <w:marLeft w:val="0"/>
          <w:marRight w:val="0"/>
          <w:marTop w:val="0"/>
          <w:marBottom w:val="0"/>
          <w:divBdr>
            <w:top w:val="none" w:sz="0" w:space="0" w:color="auto"/>
            <w:left w:val="none" w:sz="0" w:space="0" w:color="auto"/>
            <w:bottom w:val="none" w:sz="0" w:space="0" w:color="auto"/>
            <w:right w:val="none" w:sz="0" w:space="0" w:color="auto"/>
          </w:divBdr>
          <w:divsChild>
            <w:div w:id="1384133882">
              <w:marLeft w:val="0"/>
              <w:marRight w:val="0"/>
              <w:marTop w:val="0"/>
              <w:marBottom w:val="0"/>
              <w:divBdr>
                <w:top w:val="none" w:sz="0" w:space="0" w:color="auto"/>
                <w:left w:val="none" w:sz="0" w:space="0" w:color="auto"/>
                <w:bottom w:val="none" w:sz="0" w:space="0" w:color="auto"/>
                <w:right w:val="none" w:sz="0" w:space="0" w:color="auto"/>
              </w:divBdr>
            </w:div>
          </w:divsChild>
        </w:div>
        <w:div w:id="2050103505">
          <w:marLeft w:val="0"/>
          <w:marRight w:val="0"/>
          <w:marTop w:val="0"/>
          <w:marBottom w:val="0"/>
          <w:divBdr>
            <w:top w:val="none" w:sz="0" w:space="0" w:color="auto"/>
            <w:left w:val="none" w:sz="0" w:space="0" w:color="auto"/>
            <w:bottom w:val="none" w:sz="0" w:space="0" w:color="auto"/>
            <w:right w:val="none" w:sz="0" w:space="0" w:color="auto"/>
          </w:divBdr>
          <w:divsChild>
            <w:div w:id="545603908">
              <w:marLeft w:val="0"/>
              <w:marRight w:val="0"/>
              <w:marTop w:val="0"/>
              <w:marBottom w:val="0"/>
              <w:divBdr>
                <w:top w:val="none" w:sz="0" w:space="0" w:color="auto"/>
                <w:left w:val="none" w:sz="0" w:space="0" w:color="auto"/>
                <w:bottom w:val="none" w:sz="0" w:space="0" w:color="auto"/>
                <w:right w:val="none" w:sz="0" w:space="0" w:color="auto"/>
              </w:divBdr>
            </w:div>
          </w:divsChild>
        </w:div>
        <w:div w:id="2053649978">
          <w:marLeft w:val="0"/>
          <w:marRight w:val="0"/>
          <w:marTop w:val="0"/>
          <w:marBottom w:val="0"/>
          <w:divBdr>
            <w:top w:val="none" w:sz="0" w:space="0" w:color="auto"/>
            <w:left w:val="none" w:sz="0" w:space="0" w:color="auto"/>
            <w:bottom w:val="none" w:sz="0" w:space="0" w:color="auto"/>
            <w:right w:val="none" w:sz="0" w:space="0" w:color="auto"/>
          </w:divBdr>
          <w:divsChild>
            <w:div w:id="373968097">
              <w:marLeft w:val="0"/>
              <w:marRight w:val="0"/>
              <w:marTop w:val="0"/>
              <w:marBottom w:val="0"/>
              <w:divBdr>
                <w:top w:val="none" w:sz="0" w:space="0" w:color="auto"/>
                <w:left w:val="none" w:sz="0" w:space="0" w:color="auto"/>
                <w:bottom w:val="none" w:sz="0" w:space="0" w:color="auto"/>
                <w:right w:val="none" w:sz="0" w:space="0" w:color="auto"/>
              </w:divBdr>
            </w:div>
          </w:divsChild>
        </w:div>
        <w:div w:id="2074619218">
          <w:marLeft w:val="0"/>
          <w:marRight w:val="0"/>
          <w:marTop w:val="0"/>
          <w:marBottom w:val="0"/>
          <w:divBdr>
            <w:top w:val="none" w:sz="0" w:space="0" w:color="auto"/>
            <w:left w:val="none" w:sz="0" w:space="0" w:color="auto"/>
            <w:bottom w:val="none" w:sz="0" w:space="0" w:color="auto"/>
            <w:right w:val="none" w:sz="0" w:space="0" w:color="auto"/>
          </w:divBdr>
          <w:divsChild>
            <w:div w:id="1304429244">
              <w:marLeft w:val="0"/>
              <w:marRight w:val="0"/>
              <w:marTop w:val="0"/>
              <w:marBottom w:val="0"/>
              <w:divBdr>
                <w:top w:val="none" w:sz="0" w:space="0" w:color="auto"/>
                <w:left w:val="none" w:sz="0" w:space="0" w:color="auto"/>
                <w:bottom w:val="none" w:sz="0" w:space="0" w:color="auto"/>
                <w:right w:val="none" w:sz="0" w:space="0" w:color="auto"/>
              </w:divBdr>
            </w:div>
          </w:divsChild>
        </w:div>
        <w:div w:id="2120180399">
          <w:marLeft w:val="0"/>
          <w:marRight w:val="0"/>
          <w:marTop w:val="0"/>
          <w:marBottom w:val="0"/>
          <w:divBdr>
            <w:top w:val="none" w:sz="0" w:space="0" w:color="auto"/>
            <w:left w:val="none" w:sz="0" w:space="0" w:color="auto"/>
            <w:bottom w:val="none" w:sz="0" w:space="0" w:color="auto"/>
            <w:right w:val="none" w:sz="0" w:space="0" w:color="auto"/>
          </w:divBdr>
          <w:divsChild>
            <w:div w:id="4015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8451">
      <w:bodyDiv w:val="1"/>
      <w:marLeft w:val="0"/>
      <w:marRight w:val="0"/>
      <w:marTop w:val="0"/>
      <w:marBottom w:val="0"/>
      <w:divBdr>
        <w:top w:val="none" w:sz="0" w:space="0" w:color="auto"/>
        <w:left w:val="none" w:sz="0" w:space="0" w:color="auto"/>
        <w:bottom w:val="none" w:sz="0" w:space="0" w:color="auto"/>
        <w:right w:val="none" w:sz="0" w:space="0" w:color="auto"/>
      </w:divBdr>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
    <w:div w:id="1269660160">
      <w:bodyDiv w:val="1"/>
      <w:marLeft w:val="0"/>
      <w:marRight w:val="0"/>
      <w:marTop w:val="0"/>
      <w:marBottom w:val="0"/>
      <w:divBdr>
        <w:top w:val="none" w:sz="0" w:space="0" w:color="auto"/>
        <w:left w:val="none" w:sz="0" w:space="0" w:color="auto"/>
        <w:bottom w:val="none" w:sz="0" w:space="0" w:color="auto"/>
        <w:right w:val="none" w:sz="0" w:space="0" w:color="auto"/>
      </w:divBdr>
    </w:div>
    <w:div w:id="1280186253">
      <w:bodyDiv w:val="1"/>
      <w:marLeft w:val="0"/>
      <w:marRight w:val="0"/>
      <w:marTop w:val="0"/>
      <w:marBottom w:val="0"/>
      <w:divBdr>
        <w:top w:val="none" w:sz="0" w:space="0" w:color="auto"/>
        <w:left w:val="none" w:sz="0" w:space="0" w:color="auto"/>
        <w:bottom w:val="none" w:sz="0" w:space="0" w:color="auto"/>
        <w:right w:val="none" w:sz="0" w:space="0" w:color="auto"/>
      </w:divBdr>
    </w:div>
    <w:div w:id="1300914799">
      <w:bodyDiv w:val="1"/>
      <w:marLeft w:val="0"/>
      <w:marRight w:val="0"/>
      <w:marTop w:val="0"/>
      <w:marBottom w:val="0"/>
      <w:divBdr>
        <w:top w:val="none" w:sz="0" w:space="0" w:color="auto"/>
        <w:left w:val="none" w:sz="0" w:space="0" w:color="auto"/>
        <w:bottom w:val="none" w:sz="0" w:space="0" w:color="auto"/>
        <w:right w:val="none" w:sz="0" w:space="0" w:color="auto"/>
      </w:divBdr>
      <w:divsChild>
        <w:div w:id="498890725">
          <w:marLeft w:val="0"/>
          <w:marRight w:val="0"/>
          <w:marTop w:val="83"/>
          <w:marBottom w:val="0"/>
          <w:divBdr>
            <w:top w:val="none" w:sz="0" w:space="0" w:color="auto"/>
            <w:left w:val="none" w:sz="0" w:space="0" w:color="auto"/>
            <w:bottom w:val="none" w:sz="0" w:space="0" w:color="auto"/>
            <w:right w:val="none" w:sz="0" w:space="0" w:color="auto"/>
          </w:divBdr>
          <w:divsChild>
            <w:div w:id="433094586">
              <w:marLeft w:val="0"/>
              <w:marRight w:val="0"/>
              <w:marTop w:val="83"/>
              <w:marBottom w:val="0"/>
              <w:divBdr>
                <w:top w:val="none" w:sz="0" w:space="0" w:color="auto"/>
                <w:left w:val="none" w:sz="0" w:space="0" w:color="auto"/>
                <w:bottom w:val="none" w:sz="0" w:space="0" w:color="auto"/>
                <w:right w:val="none" w:sz="0" w:space="0" w:color="auto"/>
              </w:divBdr>
            </w:div>
            <w:div w:id="1551377258">
              <w:marLeft w:val="0"/>
              <w:marRight w:val="0"/>
              <w:marTop w:val="83"/>
              <w:marBottom w:val="0"/>
              <w:divBdr>
                <w:top w:val="none" w:sz="0" w:space="0" w:color="auto"/>
                <w:left w:val="none" w:sz="0" w:space="0" w:color="auto"/>
                <w:bottom w:val="none" w:sz="0" w:space="0" w:color="auto"/>
                <w:right w:val="none" w:sz="0" w:space="0" w:color="auto"/>
              </w:divBdr>
            </w:div>
          </w:divsChild>
        </w:div>
        <w:div w:id="1079710089">
          <w:marLeft w:val="0"/>
          <w:marRight w:val="0"/>
          <w:marTop w:val="83"/>
          <w:marBottom w:val="0"/>
          <w:divBdr>
            <w:top w:val="none" w:sz="0" w:space="0" w:color="auto"/>
            <w:left w:val="none" w:sz="0" w:space="0" w:color="auto"/>
            <w:bottom w:val="none" w:sz="0" w:space="0" w:color="auto"/>
            <w:right w:val="none" w:sz="0" w:space="0" w:color="auto"/>
          </w:divBdr>
        </w:div>
      </w:divsChild>
    </w:div>
    <w:div w:id="1316179076">
      <w:bodyDiv w:val="1"/>
      <w:marLeft w:val="0"/>
      <w:marRight w:val="0"/>
      <w:marTop w:val="0"/>
      <w:marBottom w:val="0"/>
      <w:divBdr>
        <w:top w:val="none" w:sz="0" w:space="0" w:color="auto"/>
        <w:left w:val="none" w:sz="0" w:space="0" w:color="auto"/>
        <w:bottom w:val="none" w:sz="0" w:space="0" w:color="auto"/>
        <w:right w:val="none" w:sz="0" w:space="0" w:color="auto"/>
      </w:divBdr>
    </w:div>
    <w:div w:id="1326007823">
      <w:bodyDiv w:val="1"/>
      <w:marLeft w:val="0"/>
      <w:marRight w:val="0"/>
      <w:marTop w:val="0"/>
      <w:marBottom w:val="0"/>
      <w:divBdr>
        <w:top w:val="none" w:sz="0" w:space="0" w:color="auto"/>
        <w:left w:val="none" w:sz="0" w:space="0" w:color="auto"/>
        <w:bottom w:val="none" w:sz="0" w:space="0" w:color="auto"/>
        <w:right w:val="none" w:sz="0" w:space="0" w:color="auto"/>
      </w:divBdr>
    </w:div>
    <w:div w:id="1333484866">
      <w:bodyDiv w:val="1"/>
      <w:marLeft w:val="0"/>
      <w:marRight w:val="0"/>
      <w:marTop w:val="0"/>
      <w:marBottom w:val="0"/>
      <w:divBdr>
        <w:top w:val="none" w:sz="0" w:space="0" w:color="auto"/>
        <w:left w:val="none" w:sz="0" w:space="0" w:color="auto"/>
        <w:bottom w:val="none" w:sz="0" w:space="0" w:color="auto"/>
        <w:right w:val="none" w:sz="0" w:space="0" w:color="auto"/>
      </w:divBdr>
      <w:divsChild>
        <w:div w:id="1601912759">
          <w:marLeft w:val="0"/>
          <w:marRight w:val="0"/>
          <w:marTop w:val="150"/>
          <w:marBottom w:val="150"/>
          <w:divBdr>
            <w:top w:val="none" w:sz="0" w:space="0" w:color="auto"/>
            <w:left w:val="none" w:sz="0" w:space="0" w:color="auto"/>
            <w:bottom w:val="none" w:sz="0" w:space="0" w:color="auto"/>
            <w:right w:val="none" w:sz="0" w:space="0" w:color="auto"/>
          </w:divBdr>
          <w:divsChild>
            <w:div w:id="7147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9448">
      <w:bodyDiv w:val="1"/>
      <w:marLeft w:val="0"/>
      <w:marRight w:val="0"/>
      <w:marTop w:val="0"/>
      <w:marBottom w:val="0"/>
      <w:divBdr>
        <w:top w:val="none" w:sz="0" w:space="0" w:color="auto"/>
        <w:left w:val="none" w:sz="0" w:space="0" w:color="auto"/>
        <w:bottom w:val="none" w:sz="0" w:space="0" w:color="auto"/>
        <w:right w:val="none" w:sz="0" w:space="0" w:color="auto"/>
      </w:divBdr>
    </w:div>
    <w:div w:id="1451630577">
      <w:bodyDiv w:val="1"/>
      <w:marLeft w:val="0"/>
      <w:marRight w:val="0"/>
      <w:marTop w:val="0"/>
      <w:marBottom w:val="0"/>
      <w:divBdr>
        <w:top w:val="none" w:sz="0" w:space="0" w:color="auto"/>
        <w:left w:val="none" w:sz="0" w:space="0" w:color="auto"/>
        <w:bottom w:val="none" w:sz="0" w:space="0" w:color="auto"/>
        <w:right w:val="none" w:sz="0" w:space="0" w:color="auto"/>
      </w:divBdr>
    </w:div>
    <w:div w:id="148681731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4853945">
      <w:bodyDiv w:val="1"/>
      <w:marLeft w:val="0"/>
      <w:marRight w:val="0"/>
      <w:marTop w:val="0"/>
      <w:marBottom w:val="0"/>
      <w:divBdr>
        <w:top w:val="none" w:sz="0" w:space="0" w:color="auto"/>
        <w:left w:val="none" w:sz="0" w:space="0" w:color="auto"/>
        <w:bottom w:val="none" w:sz="0" w:space="0" w:color="auto"/>
        <w:right w:val="none" w:sz="0" w:space="0" w:color="auto"/>
      </w:divBdr>
    </w:div>
    <w:div w:id="1563636479">
      <w:bodyDiv w:val="1"/>
      <w:marLeft w:val="0"/>
      <w:marRight w:val="0"/>
      <w:marTop w:val="0"/>
      <w:marBottom w:val="0"/>
      <w:divBdr>
        <w:top w:val="none" w:sz="0" w:space="0" w:color="auto"/>
        <w:left w:val="none" w:sz="0" w:space="0" w:color="auto"/>
        <w:bottom w:val="none" w:sz="0" w:space="0" w:color="auto"/>
        <w:right w:val="none" w:sz="0" w:space="0" w:color="auto"/>
      </w:divBdr>
    </w:div>
    <w:div w:id="1564104417">
      <w:bodyDiv w:val="1"/>
      <w:marLeft w:val="0"/>
      <w:marRight w:val="0"/>
      <w:marTop w:val="0"/>
      <w:marBottom w:val="0"/>
      <w:divBdr>
        <w:top w:val="none" w:sz="0" w:space="0" w:color="auto"/>
        <w:left w:val="none" w:sz="0" w:space="0" w:color="auto"/>
        <w:bottom w:val="none" w:sz="0" w:space="0" w:color="auto"/>
        <w:right w:val="none" w:sz="0" w:space="0" w:color="auto"/>
      </w:divBdr>
    </w:div>
    <w:div w:id="1576235552">
      <w:bodyDiv w:val="1"/>
      <w:marLeft w:val="0"/>
      <w:marRight w:val="0"/>
      <w:marTop w:val="0"/>
      <w:marBottom w:val="0"/>
      <w:divBdr>
        <w:top w:val="none" w:sz="0" w:space="0" w:color="auto"/>
        <w:left w:val="none" w:sz="0" w:space="0" w:color="auto"/>
        <w:bottom w:val="none" w:sz="0" w:space="0" w:color="auto"/>
        <w:right w:val="none" w:sz="0" w:space="0" w:color="auto"/>
      </w:divBdr>
    </w:div>
    <w:div w:id="1585724352">
      <w:bodyDiv w:val="1"/>
      <w:marLeft w:val="0"/>
      <w:marRight w:val="0"/>
      <w:marTop w:val="0"/>
      <w:marBottom w:val="0"/>
      <w:divBdr>
        <w:top w:val="none" w:sz="0" w:space="0" w:color="auto"/>
        <w:left w:val="none" w:sz="0" w:space="0" w:color="auto"/>
        <w:bottom w:val="none" w:sz="0" w:space="0" w:color="auto"/>
        <w:right w:val="none" w:sz="0" w:space="0" w:color="auto"/>
      </w:divBdr>
      <w:divsChild>
        <w:div w:id="225603316">
          <w:marLeft w:val="0"/>
          <w:marRight w:val="0"/>
          <w:marTop w:val="83"/>
          <w:marBottom w:val="0"/>
          <w:divBdr>
            <w:top w:val="none" w:sz="0" w:space="0" w:color="auto"/>
            <w:left w:val="none" w:sz="0" w:space="0" w:color="auto"/>
            <w:bottom w:val="none" w:sz="0" w:space="0" w:color="auto"/>
            <w:right w:val="none" w:sz="0" w:space="0" w:color="auto"/>
          </w:divBdr>
        </w:div>
        <w:div w:id="980841199">
          <w:marLeft w:val="0"/>
          <w:marRight w:val="0"/>
          <w:marTop w:val="83"/>
          <w:marBottom w:val="0"/>
          <w:divBdr>
            <w:top w:val="none" w:sz="0" w:space="0" w:color="auto"/>
            <w:left w:val="none" w:sz="0" w:space="0" w:color="auto"/>
            <w:bottom w:val="none" w:sz="0" w:space="0" w:color="auto"/>
            <w:right w:val="none" w:sz="0" w:space="0" w:color="auto"/>
          </w:divBdr>
        </w:div>
        <w:div w:id="1092582886">
          <w:marLeft w:val="0"/>
          <w:marRight w:val="0"/>
          <w:marTop w:val="83"/>
          <w:marBottom w:val="0"/>
          <w:divBdr>
            <w:top w:val="none" w:sz="0" w:space="0" w:color="auto"/>
            <w:left w:val="none" w:sz="0" w:space="0" w:color="auto"/>
            <w:bottom w:val="none" w:sz="0" w:space="0" w:color="auto"/>
            <w:right w:val="none" w:sz="0" w:space="0" w:color="auto"/>
          </w:divBdr>
        </w:div>
        <w:div w:id="1628198429">
          <w:marLeft w:val="0"/>
          <w:marRight w:val="0"/>
          <w:marTop w:val="83"/>
          <w:marBottom w:val="0"/>
          <w:divBdr>
            <w:top w:val="none" w:sz="0" w:space="0" w:color="auto"/>
            <w:left w:val="none" w:sz="0" w:space="0" w:color="auto"/>
            <w:bottom w:val="none" w:sz="0" w:space="0" w:color="auto"/>
            <w:right w:val="none" w:sz="0" w:space="0" w:color="auto"/>
          </w:divBdr>
        </w:div>
        <w:div w:id="2005165574">
          <w:marLeft w:val="0"/>
          <w:marRight w:val="0"/>
          <w:marTop w:val="83"/>
          <w:marBottom w:val="0"/>
          <w:divBdr>
            <w:top w:val="none" w:sz="0" w:space="0" w:color="auto"/>
            <w:left w:val="none" w:sz="0" w:space="0" w:color="auto"/>
            <w:bottom w:val="none" w:sz="0" w:space="0" w:color="auto"/>
            <w:right w:val="none" w:sz="0" w:space="0" w:color="auto"/>
          </w:divBdr>
          <w:divsChild>
            <w:div w:id="274407361">
              <w:marLeft w:val="0"/>
              <w:marRight w:val="0"/>
              <w:marTop w:val="83"/>
              <w:marBottom w:val="0"/>
              <w:divBdr>
                <w:top w:val="none" w:sz="0" w:space="0" w:color="auto"/>
                <w:left w:val="none" w:sz="0" w:space="0" w:color="auto"/>
                <w:bottom w:val="none" w:sz="0" w:space="0" w:color="auto"/>
                <w:right w:val="none" w:sz="0" w:space="0" w:color="auto"/>
              </w:divBdr>
            </w:div>
            <w:div w:id="934097613">
              <w:marLeft w:val="0"/>
              <w:marRight w:val="0"/>
              <w:marTop w:val="83"/>
              <w:marBottom w:val="0"/>
              <w:divBdr>
                <w:top w:val="none" w:sz="0" w:space="0" w:color="auto"/>
                <w:left w:val="none" w:sz="0" w:space="0" w:color="auto"/>
                <w:bottom w:val="none" w:sz="0" w:space="0" w:color="auto"/>
                <w:right w:val="none" w:sz="0" w:space="0" w:color="auto"/>
              </w:divBdr>
            </w:div>
          </w:divsChild>
        </w:div>
        <w:div w:id="2066220829">
          <w:marLeft w:val="0"/>
          <w:marRight w:val="0"/>
          <w:marTop w:val="83"/>
          <w:marBottom w:val="0"/>
          <w:divBdr>
            <w:top w:val="none" w:sz="0" w:space="0" w:color="auto"/>
            <w:left w:val="none" w:sz="0" w:space="0" w:color="auto"/>
            <w:bottom w:val="none" w:sz="0" w:space="0" w:color="auto"/>
            <w:right w:val="none" w:sz="0" w:space="0" w:color="auto"/>
          </w:divBdr>
        </w:div>
      </w:divsChild>
    </w:div>
    <w:div w:id="1609199345">
      <w:bodyDiv w:val="1"/>
      <w:marLeft w:val="0"/>
      <w:marRight w:val="0"/>
      <w:marTop w:val="0"/>
      <w:marBottom w:val="0"/>
      <w:divBdr>
        <w:top w:val="none" w:sz="0" w:space="0" w:color="auto"/>
        <w:left w:val="none" w:sz="0" w:space="0" w:color="auto"/>
        <w:bottom w:val="none" w:sz="0" w:space="0" w:color="auto"/>
        <w:right w:val="none" w:sz="0" w:space="0" w:color="auto"/>
      </w:divBdr>
      <w:divsChild>
        <w:div w:id="6641967">
          <w:marLeft w:val="0"/>
          <w:marRight w:val="0"/>
          <w:marTop w:val="0"/>
          <w:marBottom w:val="0"/>
          <w:divBdr>
            <w:top w:val="none" w:sz="0" w:space="0" w:color="auto"/>
            <w:left w:val="none" w:sz="0" w:space="0" w:color="auto"/>
            <w:bottom w:val="none" w:sz="0" w:space="0" w:color="auto"/>
            <w:right w:val="none" w:sz="0" w:space="0" w:color="auto"/>
          </w:divBdr>
        </w:div>
        <w:div w:id="269246503">
          <w:marLeft w:val="0"/>
          <w:marRight w:val="0"/>
          <w:marTop w:val="0"/>
          <w:marBottom w:val="0"/>
          <w:divBdr>
            <w:top w:val="none" w:sz="0" w:space="0" w:color="auto"/>
            <w:left w:val="none" w:sz="0" w:space="0" w:color="auto"/>
            <w:bottom w:val="none" w:sz="0" w:space="0" w:color="auto"/>
            <w:right w:val="none" w:sz="0" w:space="0" w:color="auto"/>
          </w:divBdr>
        </w:div>
        <w:div w:id="369956102">
          <w:marLeft w:val="0"/>
          <w:marRight w:val="0"/>
          <w:marTop w:val="0"/>
          <w:marBottom w:val="0"/>
          <w:divBdr>
            <w:top w:val="none" w:sz="0" w:space="0" w:color="auto"/>
            <w:left w:val="none" w:sz="0" w:space="0" w:color="auto"/>
            <w:bottom w:val="none" w:sz="0" w:space="0" w:color="auto"/>
            <w:right w:val="none" w:sz="0" w:space="0" w:color="auto"/>
          </w:divBdr>
        </w:div>
        <w:div w:id="640577640">
          <w:marLeft w:val="0"/>
          <w:marRight w:val="0"/>
          <w:marTop w:val="0"/>
          <w:marBottom w:val="0"/>
          <w:divBdr>
            <w:top w:val="none" w:sz="0" w:space="0" w:color="auto"/>
            <w:left w:val="none" w:sz="0" w:space="0" w:color="auto"/>
            <w:bottom w:val="none" w:sz="0" w:space="0" w:color="auto"/>
            <w:right w:val="none" w:sz="0" w:space="0" w:color="auto"/>
          </w:divBdr>
        </w:div>
        <w:div w:id="754280742">
          <w:marLeft w:val="0"/>
          <w:marRight w:val="0"/>
          <w:marTop w:val="0"/>
          <w:marBottom w:val="0"/>
          <w:divBdr>
            <w:top w:val="none" w:sz="0" w:space="0" w:color="auto"/>
            <w:left w:val="none" w:sz="0" w:space="0" w:color="auto"/>
            <w:bottom w:val="none" w:sz="0" w:space="0" w:color="auto"/>
            <w:right w:val="none" w:sz="0" w:space="0" w:color="auto"/>
          </w:divBdr>
        </w:div>
        <w:div w:id="757484078">
          <w:marLeft w:val="0"/>
          <w:marRight w:val="0"/>
          <w:marTop w:val="0"/>
          <w:marBottom w:val="0"/>
          <w:divBdr>
            <w:top w:val="none" w:sz="0" w:space="0" w:color="auto"/>
            <w:left w:val="none" w:sz="0" w:space="0" w:color="auto"/>
            <w:bottom w:val="none" w:sz="0" w:space="0" w:color="auto"/>
            <w:right w:val="none" w:sz="0" w:space="0" w:color="auto"/>
          </w:divBdr>
        </w:div>
        <w:div w:id="830826609">
          <w:marLeft w:val="0"/>
          <w:marRight w:val="0"/>
          <w:marTop w:val="0"/>
          <w:marBottom w:val="0"/>
          <w:divBdr>
            <w:top w:val="none" w:sz="0" w:space="0" w:color="auto"/>
            <w:left w:val="none" w:sz="0" w:space="0" w:color="auto"/>
            <w:bottom w:val="none" w:sz="0" w:space="0" w:color="auto"/>
            <w:right w:val="none" w:sz="0" w:space="0" w:color="auto"/>
          </w:divBdr>
        </w:div>
        <w:div w:id="1172450868">
          <w:marLeft w:val="0"/>
          <w:marRight w:val="0"/>
          <w:marTop w:val="0"/>
          <w:marBottom w:val="0"/>
          <w:divBdr>
            <w:top w:val="none" w:sz="0" w:space="0" w:color="auto"/>
            <w:left w:val="none" w:sz="0" w:space="0" w:color="auto"/>
            <w:bottom w:val="none" w:sz="0" w:space="0" w:color="auto"/>
            <w:right w:val="none" w:sz="0" w:space="0" w:color="auto"/>
          </w:divBdr>
        </w:div>
        <w:div w:id="1265966764">
          <w:marLeft w:val="0"/>
          <w:marRight w:val="0"/>
          <w:marTop w:val="0"/>
          <w:marBottom w:val="0"/>
          <w:divBdr>
            <w:top w:val="none" w:sz="0" w:space="0" w:color="auto"/>
            <w:left w:val="none" w:sz="0" w:space="0" w:color="auto"/>
            <w:bottom w:val="none" w:sz="0" w:space="0" w:color="auto"/>
            <w:right w:val="none" w:sz="0" w:space="0" w:color="auto"/>
          </w:divBdr>
        </w:div>
        <w:div w:id="1676878557">
          <w:marLeft w:val="0"/>
          <w:marRight w:val="0"/>
          <w:marTop w:val="0"/>
          <w:marBottom w:val="0"/>
          <w:divBdr>
            <w:top w:val="none" w:sz="0" w:space="0" w:color="auto"/>
            <w:left w:val="none" w:sz="0" w:space="0" w:color="auto"/>
            <w:bottom w:val="none" w:sz="0" w:space="0" w:color="auto"/>
            <w:right w:val="none" w:sz="0" w:space="0" w:color="auto"/>
          </w:divBdr>
        </w:div>
        <w:div w:id="1837302442">
          <w:marLeft w:val="0"/>
          <w:marRight w:val="0"/>
          <w:marTop w:val="0"/>
          <w:marBottom w:val="0"/>
          <w:divBdr>
            <w:top w:val="none" w:sz="0" w:space="0" w:color="auto"/>
            <w:left w:val="none" w:sz="0" w:space="0" w:color="auto"/>
            <w:bottom w:val="none" w:sz="0" w:space="0" w:color="auto"/>
            <w:right w:val="none" w:sz="0" w:space="0" w:color="auto"/>
          </w:divBdr>
        </w:div>
        <w:div w:id="1954630769">
          <w:marLeft w:val="0"/>
          <w:marRight w:val="0"/>
          <w:marTop w:val="0"/>
          <w:marBottom w:val="0"/>
          <w:divBdr>
            <w:top w:val="none" w:sz="0" w:space="0" w:color="auto"/>
            <w:left w:val="none" w:sz="0" w:space="0" w:color="auto"/>
            <w:bottom w:val="none" w:sz="0" w:space="0" w:color="auto"/>
            <w:right w:val="none" w:sz="0" w:space="0" w:color="auto"/>
          </w:divBdr>
        </w:div>
        <w:div w:id="1960337851">
          <w:marLeft w:val="0"/>
          <w:marRight w:val="0"/>
          <w:marTop w:val="0"/>
          <w:marBottom w:val="0"/>
          <w:divBdr>
            <w:top w:val="none" w:sz="0" w:space="0" w:color="auto"/>
            <w:left w:val="none" w:sz="0" w:space="0" w:color="auto"/>
            <w:bottom w:val="none" w:sz="0" w:space="0" w:color="auto"/>
            <w:right w:val="none" w:sz="0" w:space="0" w:color="auto"/>
          </w:divBdr>
        </w:div>
        <w:div w:id="1979407821">
          <w:marLeft w:val="0"/>
          <w:marRight w:val="0"/>
          <w:marTop w:val="0"/>
          <w:marBottom w:val="0"/>
          <w:divBdr>
            <w:top w:val="none" w:sz="0" w:space="0" w:color="auto"/>
            <w:left w:val="none" w:sz="0" w:space="0" w:color="auto"/>
            <w:bottom w:val="none" w:sz="0" w:space="0" w:color="auto"/>
            <w:right w:val="none" w:sz="0" w:space="0" w:color="auto"/>
          </w:divBdr>
        </w:div>
        <w:div w:id="1994795630">
          <w:marLeft w:val="0"/>
          <w:marRight w:val="0"/>
          <w:marTop w:val="0"/>
          <w:marBottom w:val="0"/>
          <w:divBdr>
            <w:top w:val="none" w:sz="0" w:space="0" w:color="auto"/>
            <w:left w:val="none" w:sz="0" w:space="0" w:color="auto"/>
            <w:bottom w:val="none" w:sz="0" w:space="0" w:color="auto"/>
            <w:right w:val="none" w:sz="0" w:space="0" w:color="auto"/>
          </w:divBdr>
        </w:div>
        <w:div w:id="2025588060">
          <w:marLeft w:val="0"/>
          <w:marRight w:val="0"/>
          <w:marTop w:val="0"/>
          <w:marBottom w:val="0"/>
          <w:divBdr>
            <w:top w:val="none" w:sz="0" w:space="0" w:color="auto"/>
            <w:left w:val="none" w:sz="0" w:space="0" w:color="auto"/>
            <w:bottom w:val="none" w:sz="0" w:space="0" w:color="auto"/>
            <w:right w:val="none" w:sz="0" w:space="0" w:color="auto"/>
          </w:divBdr>
        </w:div>
      </w:divsChild>
    </w:div>
    <w:div w:id="1629511780">
      <w:bodyDiv w:val="1"/>
      <w:marLeft w:val="0"/>
      <w:marRight w:val="0"/>
      <w:marTop w:val="0"/>
      <w:marBottom w:val="0"/>
      <w:divBdr>
        <w:top w:val="none" w:sz="0" w:space="0" w:color="auto"/>
        <w:left w:val="none" w:sz="0" w:space="0" w:color="auto"/>
        <w:bottom w:val="none" w:sz="0" w:space="0" w:color="auto"/>
        <w:right w:val="none" w:sz="0" w:space="0" w:color="auto"/>
      </w:divBdr>
    </w:div>
    <w:div w:id="1660770825">
      <w:bodyDiv w:val="1"/>
      <w:marLeft w:val="0"/>
      <w:marRight w:val="0"/>
      <w:marTop w:val="0"/>
      <w:marBottom w:val="0"/>
      <w:divBdr>
        <w:top w:val="none" w:sz="0" w:space="0" w:color="auto"/>
        <w:left w:val="none" w:sz="0" w:space="0" w:color="auto"/>
        <w:bottom w:val="none" w:sz="0" w:space="0" w:color="auto"/>
        <w:right w:val="none" w:sz="0" w:space="0" w:color="auto"/>
      </w:divBdr>
    </w:div>
    <w:div w:id="1680157809">
      <w:bodyDiv w:val="1"/>
      <w:marLeft w:val="0"/>
      <w:marRight w:val="0"/>
      <w:marTop w:val="0"/>
      <w:marBottom w:val="0"/>
      <w:divBdr>
        <w:top w:val="none" w:sz="0" w:space="0" w:color="auto"/>
        <w:left w:val="none" w:sz="0" w:space="0" w:color="auto"/>
        <w:bottom w:val="none" w:sz="0" w:space="0" w:color="auto"/>
        <w:right w:val="none" w:sz="0" w:space="0" w:color="auto"/>
      </w:divBdr>
    </w:div>
    <w:div w:id="1691682098">
      <w:bodyDiv w:val="1"/>
      <w:marLeft w:val="0"/>
      <w:marRight w:val="0"/>
      <w:marTop w:val="0"/>
      <w:marBottom w:val="0"/>
      <w:divBdr>
        <w:top w:val="none" w:sz="0" w:space="0" w:color="auto"/>
        <w:left w:val="none" w:sz="0" w:space="0" w:color="auto"/>
        <w:bottom w:val="none" w:sz="0" w:space="0" w:color="auto"/>
        <w:right w:val="none" w:sz="0" w:space="0" w:color="auto"/>
      </w:divBdr>
    </w:div>
    <w:div w:id="1700155935">
      <w:bodyDiv w:val="1"/>
      <w:marLeft w:val="0"/>
      <w:marRight w:val="0"/>
      <w:marTop w:val="0"/>
      <w:marBottom w:val="0"/>
      <w:divBdr>
        <w:top w:val="none" w:sz="0" w:space="0" w:color="auto"/>
        <w:left w:val="none" w:sz="0" w:space="0" w:color="auto"/>
        <w:bottom w:val="none" w:sz="0" w:space="0" w:color="auto"/>
        <w:right w:val="none" w:sz="0" w:space="0" w:color="auto"/>
      </w:divBdr>
    </w:div>
    <w:div w:id="1715042128">
      <w:bodyDiv w:val="1"/>
      <w:marLeft w:val="0"/>
      <w:marRight w:val="0"/>
      <w:marTop w:val="0"/>
      <w:marBottom w:val="0"/>
      <w:divBdr>
        <w:top w:val="none" w:sz="0" w:space="0" w:color="auto"/>
        <w:left w:val="none" w:sz="0" w:space="0" w:color="auto"/>
        <w:bottom w:val="none" w:sz="0" w:space="0" w:color="auto"/>
        <w:right w:val="none" w:sz="0" w:space="0" w:color="auto"/>
      </w:divBdr>
      <w:divsChild>
        <w:div w:id="125314463">
          <w:marLeft w:val="0"/>
          <w:marRight w:val="0"/>
          <w:marTop w:val="0"/>
          <w:marBottom w:val="0"/>
          <w:divBdr>
            <w:top w:val="none" w:sz="0" w:space="0" w:color="auto"/>
            <w:left w:val="none" w:sz="0" w:space="0" w:color="auto"/>
            <w:bottom w:val="none" w:sz="0" w:space="0" w:color="auto"/>
            <w:right w:val="none" w:sz="0" w:space="0" w:color="auto"/>
          </w:divBdr>
        </w:div>
        <w:div w:id="201677808">
          <w:marLeft w:val="0"/>
          <w:marRight w:val="0"/>
          <w:marTop w:val="0"/>
          <w:marBottom w:val="0"/>
          <w:divBdr>
            <w:top w:val="none" w:sz="0" w:space="0" w:color="auto"/>
            <w:left w:val="none" w:sz="0" w:space="0" w:color="auto"/>
            <w:bottom w:val="none" w:sz="0" w:space="0" w:color="auto"/>
            <w:right w:val="none" w:sz="0" w:space="0" w:color="auto"/>
          </w:divBdr>
        </w:div>
        <w:div w:id="363942611">
          <w:marLeft w:val="0"/>
          <w:marRight w:val="0"/>
          <w:marTop w:val="0"/>
          <w:marBottom w:val="0"/>
          <w:divBdr>
            <w:top w:val="none" w:sz="0" w:space="0" w:color="auto"/>
            <w:left w:val="none" w:sz="0" w:space="0" w:color="auto"/>
            <w:bottom w:val="none" w:sz="0" w:space="0" w:color="auto"/>
            <w:right w:val="none" w:sz="0" w:space="0" w:color="auto"/>
          </w:divBdr>
        </w:div>
        <w:div w:id="670910336">
          <w:marLeft w:val="0"/>
          <w:marRight w:val="0"/>
          <w:marTop w:val="0"/>
          <w:marBottom w:val="0"/>
          <w:divBdr>
            <w:top w:val="none" w:sz="0" w:space="0" w:color="auto"/>
            <w:left w:val="none" w:sz="0" w:space="0" w:color="auto"/>
            <w:bottom w:val="none" w:sz="0" w:space="0" w:color="auto"/>
            <w:right w:val="none" w:sz="0" w:space="0" w:color="auto"/>
          </w:divBdr>
        </w:div>
        <w:div w:id="682433732">
          <w:marLeft w:val="0"/>
          <w:marRight w:val="0"/>
          <w:marTop w:val="0"/>
          <w:marBottom w:val="0"/>
          <w:divBdr>
            <w:top w:val="none" w:sz="0" w:space="0" w:color="auto"/>
            <w:left w:val="none" w:sz="0" w:space="0" w:color="auto"/>
            <w:bottom w:val="none" w:sz="0" w:space="0" w:color="auto"/>
            <w:right w:val="none" w:sz="0" w:space="0" w:color="auto"/>
          </w:divBdr>
        </w:div>
        <w:div w:id="1190408490">
          <w:marLeft w:val="0"/>
          <w:marRight w:val="0"/>
          <w:marTop w:val="0"/>
          <w:marBottom w:val="0"/>
          <w:divBdr>
            <w:top w:val="none" w:sz="0" w:space="0" w:color="auto"/>
            <w:left w:val="none" w:sz="0" w:space="0" w:color="auto"/>
            <w:bottom w:val="none" w:sz="0" w:space="0" w:color="auto"/>
            <w:right w:val="none" w:sz="0" w:space="0" w:color="auto"/>
          </w:divBdr>
        </w:div>
      </w:divsChild>
    </w:div>
    <w:div w:id="1724207437">
      <w:bodyDiv w:val="1"/>
      <w:marLeft w:val="0"/>
      <w:marRight w:val="0"/>
      <w:marTop w:val="0"/>
      <w:marBottom w:val="0"/>
      <w:divBdr>
        <w:top w:val="none" w:sz="0" w:space="0" w:color="auto"/>
        <w:left w:val="none" w:sz="0" w:space="0" w:color="auto"/>
        <w:bottom w:val="none" w:sz="0" w:space="0" w:color="auto"/>
        <w:right w:val="none" w:sz="0" w:space="0" w:color="auto"/>
      </w:divBdr>
    </w:div>
    <w:div w:id="1727299040">
      <w:bodyDiv w:val="1"/>
      <w:marLeft w:val="0"/>
      <w:marRight w:val="0"/>
      <w:marTop w:val="0"/>
      <w:marBottom w:val="0"/>
      <w:divBdr>
        <w:top w:val="none" w:sz="0" w:space="0" w:color="auto"/>
        <w:left w:val="none" w:sz="0" w:space="0" w:color="auto"/>
        <w:bottom w:val="none" w:sz="0" w:space="0" w:color="auto"/>
        <w:right w:val="none" w:sz="0" w:space="0" w:color="auto"/>
      </w:divBdr>
    </w:div>
    <w:div w:id="1733767352">
      <w:bodyDiv w:val="1"/>
      <w:marLeft w:val="0"/>
      <w:marRight w:val="0"/>
      <w:marTop w:val="0"/>
      <w:marBottom w:val="0"/>
      <w:divBdr>
        <w:top w:val="none" w:sz="0" w:space="0" w:color="auto"/>
        <w:left w:val="none" w:sz="0" w:space="0" w:color="auto"/>
        <w:bottom w:val="none" w:sz="0" w:space="0" w:color="auto"/>
        <w:right w:val="none" w:sz="0" w:space="0" w:color="auto"/>
      </w:divBdr>
    </w:div>
    <w:div w:id="1738355349">
      <w:bodyDiv w:val="1"/>
      <w:marLeft w:val="0"/>
      <w:marRight w:val="0"/>
      <w:marTop w:val="0"/>
      <w:marBottom w:val="0"/>
      <w:divBdr>
        <w:top w:val="none" w:sz="0" w:space="0" w:color="auto"/>
        <w:left w:val="none" w:sz="0" w:space="0" w:color="auto"/>
        <w:bottom w:val="none" w:sz="0" w:space="0" w:color="auto"/>
        <w:right w:val="none" w:sz="0" w:space="0" w:color="auto"/>
      </w:divBdr>
    </w:div>
    <w:div w:id="1761754654">
      <w:bodyDiv w:val="1"/>
      <w:marLeft w:val="0"/>
      <w:marRight w:val="0"/>
      <w:marTop w:val="0"/>
      <w:marBottom w:val="0"/>
      <w:divBdr>
        <w:top w:val="none" w:sz="0" w:space="0" w:color="auto"/>
        <w:left w:val="none" w:sz="0" w:space="0" w:color="auto"/>
        <w:bottom w:val="none" w:sz="0" w:space="0" w:color="auto"/>
        <w:right w:val="none" w:sz="0" w:space="0" w:color="auto"/>
      </w:divBdr>
    </w:div>
    <w:div w:id="1764758423">
      <w:bodyDiv w:val="1"/>
      <w:marLeft w:val="0"/>
      <w:marRight w:val="0"/>
      <w:marTop w:val="0"/>
      <w:marBottom w:val="0"/>
      <w:divBdr>
        <w:top w:val="none" w:sz="0" w:space="0" w:color="auto"/>
        <w:left w:val="none" w:sz="0" w:space="0" w:color="auto"/>
        <w:bottom w:val="none" w:sz="0" w:space="0" w:color="auto"/>
        <w:right w:val="none" w:sz="0" w:space="0" w:color="auto"/>
      </w:divBdr>
      <w:divsChild>
        <w:div w:id="96214351">
          <w:marLeft w:val="0"/>
          <w:marRight w:val="0"/>
          <w:marTop w:val="0"/>
          <w:marBottom w:val="0"/>
          <w:divBdr>
            <w:top w:val="none" w:sz="0" w:space="0" w:color="auto"/>
            <w:left w:val="none" w:sz="0" w:space="0" w:color="auto"/>
            <w:bottom w:val="none" w:sz="0" w:space="0" w:color="auto"/>
            <w:right w:val="none" w:sz="0" w:space="0" w:color="auto"/>
          </w:divBdr>
        </w:div>
        <w:div w:id="272134839">
          <w:marLeft w:val="0"/>
          <w:marRight w:val="0"/>
          <w:marTop w:val="0"/>
          <w:marBottom w:val="0"/>
          <w:divBdr>
            <w:top w:val="none" w:sz="0" w:space="0" w:color="auto"/>
            <w:left w:val="none" w:sz="0" w:space="0" w:color="auto"/>
            <w:bottom w:val="none" w:sz="0" w:space="0" w:color="auto"/>
            <w:right w:val="none" w:sz="0" w:space="0" w:color="auto"/>
          </w:divBdr>
          <w:divsChild>
            <w:div w:id="1639257513">
              <w:marLeft w:val="-75"/>
              <w:marRight w:val="0"/>
              <w:marTop w:val="30"/>
              <w:marBottom w:val="30"/>
              <w:divBdr>
                <w:top w:val="none" w:sz="0" w:space="0" w:color="auto"/>
                <w:left w:val="none" w:sz="0" w:space="0" w:color="auto"/>
                <w:bottom w:val="none" w:sz="0" w:space="0" w:color="auto"/>
                <w:right w:val="none" w:sz="0" w:space="0" w:color="auto"/>
              </w:divBdr>
              <w:divsChild>
                <w:div w:id="27099102">
                  <w:marLeft w:val="0"/>
                  <w:marRight w:val="0"/>
                  <w:marTop w:val="0"/>
                  <w:marBottom w:val="0"/>
                  <w:divBdr>
                    <w:top w:val="none" w:sz="0" w:space="0" w:color="auto"/>
                    <w:left w:val="none" w:sz="0" w:space="0" w:color="auto"/>
                    <w:bottom w:val="none" w:sz="0" w:space="0" w:color="auto"/>
                    <w:right w:val="none" w:sz="0" w:space="0" w:color="auto"/>
                  </w:divBdr>
                  <w:divsChild>
                    <w:div w:id="1301768693">
                      <w:marLeft w:val="0"/>
                      <w:marRight w:val="0"/>
                      <w:marTop w:val="0"/>
                      <w:marBottom w:val="0"/>
                      <w:divBdr>
                        <w:top w:val="none" w:sz="0" w:space="0" w:color="auto"/>
                        <w:left w:val="none" w:sz="0" w:space="0" w:color="auto"/>
                        <w:bottom w:val="none" w:sz="0" w:space="0" w:color="auto"/>
                        <w:right w:val="none" w:sz="0" w:space="0" w:color="auto"/>
                      </w:divBdr>
                    </w:div>
                  </w:divsChild>
                </w:div>
                <w:div w:id="49037789">
                  <w:marLeft w:val="0"/>
                  <w:marRight w:val="0"/>
                  <w:marTop w:val="0"/>
                  <w:marBottom w:val="0"/>
                  <w:divBdr>
                    <w:top w:val="none" w:sz="0" w:space="0" w:color="auto"/>
                    <w:left w:val="none" w:sz="0" w:space="0" w:color="auto"/>
                    <w:bottom w:val="none" w:sz="0" w:space="0" w:color="auto"/>
                    <w:right w:val="none" w:sz="0" w:space="0" w:color="auto"/>
                  </w:divBdr>
                  <w:divsChild>
                    <w:div w:id="461726744">
                      <w:marLeft w:val="0"/>
                      <w:marRight w:val="0"/>
                      <w:marTop w:val="0"/>
                      <w:marBottom w:val="0"/>
                      <w:divBdr>
                        <w:top w:val="none" w:sz="0" w:space="0" w:color="auto"/>
                        <w:left w:val="none" w:sz="0" w:space="0" w:color="auto"/>
                        <w:bottom w:val="none" w:sz="0" w:space="0" w:color="auto"/>
                        <w:right w:val="none" w:sz="0" w:space="0" w:color="auto"/>
                      </w:divBdr>
                    </w:div>
                  </w:divsChild>
                </w:div>
                <w:div w:id="124128198">
                  <w:marLeft w:val="0"/>
                  <w:marRight w:val="0"/>
                  <w:marTop w:val="0"/>
                  <w:marBottom w:val="0"/>
                  <w:divBdr>
                    <w:top w:val="none" w:sz="0" w:space="0" w:color="auto"/>
                    <w:left w:val="none" w:sz="0" w:space="0" w:color="auto"/>
                    <w:bottom w:val="none" w:sz="0" w:space="0" w:color="auto"/>
                    <w:right w:val="none" w:sz="0" w:space="0" w:color="auto"/>
                  </w:divBdr>
                  <w:divsChild>
                    <w:div w:id="401604908">
                      <w:marLeft w:val="0"/>
                      <w:marRight w:val="0"/>
                      <w:marTop w:val="0"/>
                      <w:marBottom w:val="0"/>
                      <w:divBdr>
                        <w:top w:val="none" w:sz="0" w:space="0" w:color="auto"/>
                        <w:left w:val="none" w:sz="0" w:space="0" w:color="auto"/>
                        <w:bottom w:val="none" w:sz="0" w:space="0" w:color="auto"/>
                        <w:right w:val="none" w:sz="0" w:space="0" w:color="auto"/>
                      </w:divBdr>
                    </w:div>
                  </w:divsChild>
                </w:div>
                <w:div w:id="153575333">
                  <w:marLeft w:val="0"/>
                  <w:marRight w:val="0"/>
                  <w:marTop w:val="0"/>
                  <w:marBottom w:val="0"/>
                  <w:divBdr>
                    <w:top w:val="none" w:sz="0" w:space="0" w:color="auto"/>
                    <w:left w:val="none" w:sz="0" w:space="0" w:color="auto"/>
                    <w:bottom w:val="none" w:sz="0" w:space="0" w:color="auto"/>
                    <w:right w:val="none" w:sz="0" w:space="0" w:color="auto"/>
                  </w:divBdr>
                  <w:divsChild>
                    <w:div w:id="799806342">
                      <w:marLeft w:val="0"/>
                      <w:marRight w:val="0"/>
                      <w:marTop w:val="0"/>
                      <w:marBottom w:val="0"/>
                      <w:divBdr>
                        <w:top w:val="none" w:sz="0" w:space="0" w:color="auto"/>
                        <w:left w:val="none" w:sz="0" w:space="0" w:color="auto"/>
                        <w:bottom w:val="none" w:sz="0" w:space="0" w:color="auto"/>
                        <w:right w:val="none" w:sz="0" w:space="0" w:color="auto"/>
                      </w:divBdr>
                    </w:div>
                  </w:divsChild>
                </w:div>
                <w:div w:id="231741235">
                  <w:marLeft w:val="0"/>
                  <w:marRight w:val="0"/>
                  <w:marTop w:val="0"/>
                  <w:marBottom w:val="0"/>
                  <w:divBdr>
                    <w:top w:val="none" w:sz="0" w:space="0" w:color="auto"/>
                    <w:left w:val="none" w:sz="0" w:space="0" w:color="auto"/>
                    <w:bottom w:val="none" w:sz="0" w:space="0" w:color="auto"/>
                    <w:right w:val="none" w:sz="0" w:space="0" w:color="auto"/>
                  </w:divBdr>
                  <w:divsChild>
                    <w:div w:id="1473521694">
                      <w:marLeft w:val="0"/>
                      <w:marRight w:val="0"/>
                      <w:marTop w:val="0"/>
                      <w:marBottom w:val="0"/>
                      <w:divBdr>
                        <w:top w:val="none" w:sz="0" w:space="0" w:color="auto"/>
                        <w:left w:val="none" w:sz="0" w:space="0" w:color="auto"/>
                        <w:bottom w:val="none" w:sz="0" w:space="0" w:color="auto"/>
                        <w:right w:val="none" w:sz="0" w:space="0" w:color="auto"/>
                      </w:divBdr>
                    </w:div>
                  </w:divsChild>
                </w:div>
                <w:div w:id="392775702">
                  <w:marLeft w:val="0"/>
                  <w:marRight w:val="0"/>
                  <w:marTop w:val="0"/>
                  <w:marBottom w:val="0"/>
                  <w:divBdr>
                    <w:top w:val="none" w:sz="0" w:space="0" w:color="auto"/>
                    <w:left w:val="none" w:sz="0" w:space="0" w:color="auto"/>
                    <w:bottom w:val="none" w:sz="0" w:space="0" w:color="auto"/>
                    <w:right w:val="none" w:sz="0" w:space="0" w:color="auto"/>
                  </w:divBdr>
                  <w:divsChild>
                    <w:div w:id="931930939">
                      <w:marLeft w:val="0"/>
                      <w:marRight w:val="0"/>
                      <w:marTop w:val="0"/>
                      <w:marBottom w:val="0"/>
                      <w:divBdr>
                        <w:top w:val="none" w:sz="0" w:space="0" w:color="auto"/>
                        <w:left w:val="none" w:sz="0" w:space="0" w:color="auto"/>
                        <w:bottom w:val="none" w:sz="0" w:space="0" w:color="auto"/>
                        <w:right w:val="none" w:sz="0" w:space="0" w:color="auto"/>
                      </w:divBdr>
                    </w:div>
                  </w:divsChild>
                </w:div>
                <w:div w:id="447045834">
                  <w:marLeft w:val="0"/>
                  <w:marRight w:val="0"/>
                  <w:marTop w:val="0"/>
                  <w:marBottom w:val="0"/>
                  <w:divBdr>
                    <w:top w:val="none" w:sz="0" w:space="0" w:color="auto"/>
                    <w:left w:val="none" w:sz="0" w:space="0" w:color="auto"/>
                    <w:bottom w:val="none" w:sz="0" w:space="0" w:color="auto"/>
                    <w:right w:val="none" w:sz="0" w:space="0" w:color="auto"/>
                  </w:divBdr>
                  <w:divsChild>
                    <w:div w:id="342824822">
                      <w:marLeft w:val="0"/>
                      <w:marRight w:val="0"/>
                      <w:marTop w:val="0"/>
                      <w:marBottom w:val="0"/>
                      <w:divBdr>
                        <w:top w:val="none" w:sz="0" w:space="0" w:color="auto"/>
                        <w:left w:val="none" w:sz="0" w:space="0" w:color="auto"/>
                        <w:bottom w:val="none" w:sz="0" w:space="0" w:color="auto"/>
                        <w:right w:val="none" w:sz="0" w:space="0" w:color="auto"/>
                      </w:divBdr>
                    </w:div>
                  </w:divsChild>
                </w:div>
                <w:div w:id="530076348">
                  <w:marLeft w:val="0"/>
                  <w:marRight w:val="0"/>
                  <w:marTop w:val="0"/>
                  <w:marBottom w:val="0"/>
                  <w:divBdr>
                    <w:top w:val="none" w:sz="0" w:space="0" w:color="auto"/>
                    <w:left w:val="none" w:sz="0" w:space="0" w:color="auto"/>
                    <w:bottom w:val="none" w:sz="0" w:space="0" w:color="auto"/>
                    <w:right w:val="none" w:sz="0" w:space="0" w:color="auto"/>
                  </w:divBdr>
                  <w:divsChild>
                    <w:div w:id="2089300159">
                      <w:marLeft w:val="0"/>
                      <w:marRight w:val="0"/>
                      <w:marTop w:val="0"/>
                      <w:marBottom w:val="0"/>
                      <w:divBdr>
                        <w:top w:val="none" w:sz="0" w:space="0" w:color="auto"/>
                        <w:left w:val="none" w:sz="0" w:space="0" w:color="auto"/>
                        <w:bottom w:val="none" w:sz="0" w:space="0" w:color="auto"/>
                        <w:right w:val="none" w:sz="0" w:space="0" w:color="auto"/>
                      </w:divBdr>
                    </w:div>
                  </w:divsChild>
                </w:div>
                <w:div w:id="547644706">
                  <w:marLeft w:val="0"/>
                  <w:marRight w:val="0"/>
                  <w:marTop w:val="0"/>
                  <w:marBottom w:val="0"/>
                  <w:divBdr>
                    <w:top w:val="none" w:sz="0" w:space="0" w:color="auto"/>
                    <w:left w:val="none" w:sz="0" w:space="0" w:color="auto"/>
                    <w:bottom w:val="none" w:sz="0" w:space="0" w:color="auto"/>
                    <w:right w:val="none" w:sz="0" w:space="0" w:color="auto"/>
                  </w:divBdr>
                  <w:divsChild>
                    <w:div w:id="1218009545">
                      <w:marLeft w:val="0"/>
                      <w:marRight w:val="0"/>
                      <w:marTop w:val="0"/>
                      <w:marBottom w:val="0"/>
                      <w:divBdr>
                        <w:top w:val="none" w:sz="0" w:space="0" w:color="auto"/>
                        <w:left w:val="none" w:sz="0" w:space="0" w:color="auto"/>
                        <w:bottom w:val="none" w:sz="0" w:space="0" w:color="auto"/>
                        <w:right w:val="none" w:sz="0" w:space="0" w:color="auto"/>
                      </w:divBdr>
                    </w:div>
                  </w:divsChild>
                </w:div>
                <w:div w:id="650865575">
                  <w:marLeft w:val="0"/>
                  <w:marRight w:val="0"/>
                  <w:marTop w:val="0"/>
                  <w:marBottom w:val="0"/>
                  <w:divBdr>
                    <w:top w:val="none" w:sz="0" w:space="0" w:color="auto"/>
                    <w:left w:val="none" w:sz="0" w:space="0" w:color="auto"/>
                    <w:bottom w:val="none" w:sz="0" w:space="0" w:color="auto"/>
                    <w:right w:val="none" w:sz="0" w:space="0" w:color="auto"/>
                  </w:divBdr>
                  <w:divsChild>
                    <w:div w:id="217328237">
                      <w:marLeft w:val="0"/>
                      <w:marRight w:val="0"/>
                      <w:marTop w:val="0"/>
                      <w:marBottom w:val="0"/>
                      <w:divBdr>
                        <w:top w:val="none" w:sz="0" w:space="0" w:color="auto"/>
                        <w:left w:val="none" w:sz="0" w:space="0" w:color="auto"/>
                        <w:bottom w:val="none" w:sz="0" w:space="0" w:color="auto"/>
                        <w:right w:val="none" w:sz="0" w:space="0" w:color="auto"/>
                      </w:divBdr>
                    </w:div>
                  </w:divsChild>
                </w:div>
                <w:div w:id="711152039">
                  <w:marLeft w:val="0"/>
                  <w:marRight w:val="0"/>
                  <w:marTop w:val="0"/>
                  <w:marBottom w:val="0"/>
                  <w:divBdr>
                    <w:top w:val="none" w:sz="0" w:space="0" w:color="auto"/>
                    <w:left w:val="none" w:sz="0" w:space="0" w:color="auto"/>
                    <w:bottom w:val="none" w:sz="0" w:space="0" w:color="auto"/>
                    <w:right w:val="none" w:sz="0" w:space="0" w:color="auto"/>
                  </w:divBdr>
                  <w:divsChild>
                    <w:div w:id="241642990">
                      <w:marLeft w:val="0"/>
                      <w:marRight w:val="0"/>
                      <w:marTop w:val="0"/>
                      <w:marBottom w:val="0"/>
                      <w:divBdr>
                        <w:top w:val="none" w:sz="0" w:space="0" w:color="auto"/>
                        <w:left w:val="none" w:sz="0" w:space="0" w:color="auto"/>
                        <w:bottom w:val="none" w:sz="0" w:space="0" w:color="auto"/>
                        <w:right w:val="none" w:sz="0" w:space="0" w:color="auto"/>
                      </w:divBdr>
                    </w:div>
                  </w:divsChild>
                </w:div>
                <w:div w:id="764612857">
                  <w:marLeft w:val="0"/>
                  <w:marRight w:val="0"/>
                  <w:marTop w:val="0"/>
                  <w:marBottom w:val="0"/>
                  <w:divBdr>
                    <w:top w:val="none" w:sz="0" w:space="0" w:color="auto"/>
                    <w:left w:val="none" w:sz="0" w:space="0" w:color="auto"/>
                    <w:bottom w:val="none" w:sz="0" w:space="0" w:color="auto"/>
                    <w:right w:val="none" w:sz="0" w:space="0" w:color="auto"/>
                  </w:divBdr>
                  <w:divsChild>
                    <w:div w:id="168909328">
                      <w:marLeft w:val="0"/>
                      <w:marRight w:val="0"/>
                      <w:marTop w:val="0"/>
                      <w:marBottom w:val="0"/>
                      <w:divBdr>
                        <w:top w:val="none" w:sz="0" w:space="0" w:color="auto"/>
                        <w:left w:val="none" w:sz="0" w:space="0" w:color="auto"/>
                        <w:bottom w:val="none" w:sz="0" w:space="0" w:color="auto"/>
                        <w:right w:val="none" w:sz="0" w:space="0" w:color="auto"/>
                      </w:divBdr>
                    </w:div>
                  </w:divsChild>
                </w:div>
                <w:div w:id="821848077">
                  <w:marLeft w:val="0"/>
                  <w:marRight w:val="0"/>
                  <w:marTop w:val="0"/>
                  <w:marBottom w:val="0"/>
                  <w:divBdr>
                    <w:top w:val="none" w:sz="0" w:space="0" w:color="auto"/>
                    <w:left w:val="none" w:sz="0" w:space="0" w:color="auto"/>
                    <w:bottom w:val="none" w:sz="0" w:space="0" w:color="auto"/>
                    <w:right w:val="none" w:sz="0" w:space="0" w:color="auto"/>
                  </w:divBdr>
                  <w:divsChild>
                    <w:div w:id="1282178972">
                      <w:marLeft w:val="0"/>
                      <w:marRight w:val="0"/>
                      <w:marTop w:val="0"/>
                      <w:marBottom w:val="0"/>
                      <w:divBdr>
                        <w:top w:val="none" w:sz="0" w:space="0" w:color="auto"/>
                        <w:left w:val="none" w:sz="0" w:space="0" w:color="auto"/>
                        <w:bottom w:val="none" w:sz="0" w:space="0" w:color="auto"/>
                        <w:right w:val="none" w:sz="0" w:space="0" w:color="auto"/>
                      </w:divBdr>
                    </w:div>
                  </w:divsChild>
                </w:div>
                <w:div w:id="877426933">
                  <w:marLeft w:val="0"/>
                  <w:marRight w:val="0"/>
                  <w:marTop w:val="0"/>
                  <w:marBottom w:val="0"/>
                  <w:divBdr>
                    <w:top w:val="none" w:sz="0" w:space="0" w:color="auto"/>
                    <w:left w:val="none" w:sz="0" w:space="0" w:color="auto"/>
                    <w:bottom w:val="none" w:sz="0" w:space="0" w:color="auto"/>
                    <w:right w:val="none" w:sz="0" w:space="0" w:color="auto"/>
                  </w:divBdr>
                  <w:divsChild>
                    <w:div w:id="1877963578">
                      <w:marLeft w:val="0"/>
                      <w:marRight w:val="0"/>
                      <w:marTop w:val="0"/>
                      <w:marBottom w:val="0"/>
                      <w:divBdr>
                        <w:top w:val="none" w:sz="0" w:space="0" w:color="auto"/>
                        <w:left w:val="none" w:sz="0" w:space="0" w:color="auto"/>
                        <w:bottom w:val="none" w:sz="0" w:space="0" w:color="auto"/>
                        <w:right w:val="none" w:sz="0" w:space="0" w:color="auto"/>
                      </w:divBdr>
                    </w:div>
                  </w:divsChild>
                </w:div>
                <w:div w:id="878665794">
                  <w:marLeft w:val="0"/>
                  <w:marRight w:val="0"/>
                  <w:marTop w:val="0"/>
                  <w:marBottom w:val="0"/>
                  <w:divBdr>
                    <w:top w:val="none" w:sz="0" w:space="0" w:color="auto"/>
                    <w:left w:val="none" w:sz="0" w:space="0" w:color="auto"/>
                    <w:bottom w:val="none" w:sz="0" w:space="0" w:color="auto"/>
                    <w:right w:val="none" w:sz="0" w:space="0" w:color="auto"/>
                  </w:divBdr>
                  <w:divsChild>
                    <w:div w:id="1921712203">
                      <w:marLeft w:val="0"/>
                      <w:marRight w:val="0"/>
                      <w:marTop w:val="0"/>
                      <w:marBottom w:val="0"/>
                      <w:divBdr>
                        <w:top w:val="none" w:sz="0" w:space="0" w:color="auto"/>
                        <w:left w:val="none" w:sz="0" w:space="0" w:color="auto"/>
                        <w:bottom w:val="none" w:sz="0" w:space="0" w:color="auto"/>
                        <w:right w:val="none" w:sz="0" w:space="0" w:color="auto"/>
                      </w:divBdr>
                    </w:div>
                  </w:divsChild>
                </w:div>
                <w:div w:id="1026907856">
                  <w:marLeft w:val="0"/>
                  <w:marRight w:val="0"/>
                  <w:marTop w:val="0"/>
                  <w:marBottom w:val="0"/>
                  <w:divBdr>
                    <w:top w:val="none" w:sz="0" w:space="0" w:color="auto"/>
                    <w:left w:val="none" w:sz="0" w:space="0" w:color="auto"/>
                    <w:bottom w:val="none" w:sz="0" w:space="0" w:color="auto"/>
                    <w:right w:val="none" w:sz="0" w:space="0" w:color="auto"/>
                  </w:divBdr>
                  <w:divsChild>
                    <w:div w:id="675230822">
                      <w:marLeft w:val="0"/>
                      <w:marRight w:val="0"/>
                      <w:marTop w:val="0"/>
                      <w:marBottom w:val="0"/>
                      <w:divBdr>
                        <w:top w:val="none" w:sz="0" w:space="0" w:color="auto"/>
                        <w:left w:val="none" w:sz="0" w:space="0" w:color="auto"/>
                        <w:bottom w:val="none" w:sz="0" w:space="0" w:color="auto"/>
                        <w:right w:val="none" w:sz="0" w:space="0" w:color="auto"/>
                      </w:divBdr>
                    </w:div>
                  </w:divsChild>
                </w:div>
                <w:div w:id="1064639517">
                  <w:marLeft w:val="0"/>
                  <w:marRight w:val="0"/>
                  <w:marTop w:val="0"/>
                  <w:marBottom w:val="0"/>
                  <w:divBdr>
                    <w:top w:val="none" w:sz="0" w:space="0" w:color="auto"/>
                    <w:left w:val="none" w:sz="0" w:space="0" w:color="auto"/>
                    <w:bottom w:val="none" w:sz="0" w:space="0" w:color="auto"/>
                    <w:right w:val="none" w:sz="0" w:space="0" w:color="auto"/>
                  </w:divBdr>
                  <w:divsChild>
                    <w:div w:id="1383289263">
                      <w:marLeft w:val="0"/>
                      <w:marRight w:val="0"/>
                      <w:marTop w:val="0"/>
                      <w:marBottom w:val="0"/>
                      <w:divBdr>
                        <w:top w:val="none" w:sz="0" w:space="0" w:color="auto"/>
                        <w:left w:val="none" w:sz="0" w:space="0" w:color="auto"/>
                        <w:bottom w:val="none" w:sz="0" w:space="0" w:color="auto"/>
                        <w:right w:val="none" w:sz="0" w:space="0" w:color="auto"/>
                      </w:divBdr>
                    </w:div>
                  </w:divsChild>
                </w:div>
                <w:div w:id="1077170699">
                  <w:marLeft w:val="0"/>
                  <w:marRight w:val="0"/>
                  <w:marTop w:val="0"/>
                  <w:marBottom w:val="0"/>
                  <w:divBdr>
                    <w:top w:val="none" w:sz="0" w:space="0" w:color="auto"/>
                    <w:left w:val="none" w:sz="0" w:space="0" w:color="auto"/>
                    <w:bottom w:val="none" w:sz="0" w:space="0" w:color="auto"/>
                    <w:right w:val="none" w:sz="0" w:space="0" w:color="auto"/>
                  </w:divBdr>
                  <w:divsChild>
                    <w:div w:id="1756124227">
                      <w:marLeft w:val="0"/>
                      <w:marRight w:val="0"/>
                      <w:marTop w:val="0"/>
                      <w:marBottom w:val="0"/>
                      <w:divBdr>
                        <w:top w:val="none" w:sz="0" w:space="0" w:color="auto"/>
                        <w:left w:val="none" w:sz="0" w:space="0" w:color="auto"/>
                        <w:bottom w:val="none" w:sz="0" w:space="0" w:color="auto"/>
                        <w:right w:val="none" w:sz="0" w:space="0" w:color="auto"/>
                      </w:divBdr>
                    </w:div>
                  </w:divsChild>
                </w:div>
                <w:div w:id="1136682730">
                  <w:marLeft w:val="0"/>
                  <w:marRight w:val="0"/>
                  <w:marTop w:val="0"/>
                  <w:marBottom w:val="0"/>
                  <w:divBdr>
                    <w:top w:val="none" w:sz="0" w:space="0" w:color="auto"/>
                    <w:left w:val="none" w:sz="0" w:space="0" w:color="auto"/>
                    <w:bottom w:val="none" w:sz="0" w:space="0" w:color="auto"/>
                    <w:right w:val="none" w:sz="0" w:space="0" w:color="auto"/>
                  </w:divBdr>
                  <w:divsChild>
                    <w:div w:id="33624454">
                      <w:marLeft w:val="0"/>
                      <w:marRight w:val="0"/>
                      <w:marTop w:val="0"/>
                      <w:marBottom w:val="0"/>
                      <w:divBdr>
                        <w:top w:val="none" w:sz="0" w:space="0" w:color="auto"/>
                        <w:left w:val="none" w:sz="0" w:space="0" w:color="auto"/>
                        <w:bottom w:val="none" w:sz="0" w:space="0" w:color="auto"/>
                        <w:right w:val="none" w:sz="0" w:space="0" w:color="auto"/>
                      </w:divBdr>
                    </w:div>
                  </w:divsChild>
                </w:div>
                <w:div w:id="1153840246">
                  <w:marLeft w:val="0"/>
                  <w:marRight w:val="0"/>
                  <w:marTop w:val="0"/>
                  <w:marBottom w:val="0"/>
                  <w:divBdr>
                    <w:top w:val="none" w:sz="0" w:space="0" w:color="auto"/>
                    <w:left w:val="none" w:sz="0" w:space="0" w:color="auto"/>
                    <w:bottom w:val="none" w:sz="0" w:space="0" w:color="auto"/>
                    <w:right w:val="none" w:sz="0" w:space="0" w:color="auto"/>
                  </w:divBdr>
                  <w:divsChild>
                    <w:div w:id="1893760731">
                      <w:marLeft w:val="0"/>
                      <w:marRight w:val="0"/>
                      <w:marTop w:val="0"/>
                      <w:marBottom w:val="0"/>
                      <w:divBdr>
                        <w:top w:val="none" w:sz="0" w:space="0" w:color="auto"/>
                        <w:left w:val="none" w:sz="0" w:space="0" w:color="auto"/>
                        <w:bottom w:val="none" w:sz="0" w:space="0" w:color="auto"/>
                        <w:right w:val="none" w:sz="0" w:space="0" w:color="auto"/>
                      </w:divBdr>
                    </w:div>
                  </w:divsChild>
                </w:div>
                <w:div w:id="1189222770">
                  <w:marLeft w:val="0"/>
                  <w:marRight w:val="0"/>
                  <w:marTop w:val="0"/>
                  <w:marBottom w:val="0"/>
                  <w:divBdr>
                    <w:top w:val="none" w:sz="0" w:space="0" w:color="auto"/>
                    <w:left w:val="none" w:sz="0" w:space="0" w:color="auto"/>
                    <w:bottom w:val="none" w:sz="0" w:space="0" w:color="auto"/>
                    <w:right w:val="none" w:sz="0" w:space="0" w:color="auto"/>
                  </w:divBdr>
                  <w:divsChild>
                    <w:div w:id="1021054772">
                      <w:marLeft w:val="0"/>
                      <w:marRight w:val="0"/>
                      <w:marTop w:val="0"/>
                      <w:marBottom w:val="0"/>
                      <w:divBdr>
                        <w:top w:val="none" w:sz="0" w:space="0" w:color="auto"/>
                        <w:left w:val="none" w:sz="0" w:space="0" w:color="auto"/>
                        <w:bottom w:val="none" w:sz="0" w:space="0" w:color="auto"/>
                        <w:right w:val="none" w:sz="0" w:space="0" w:color="auto"/>
                      </w:divBdr>
                    </w:div>
                  </w:divsChild>
                </w:div>
                <w:div w:id="1194732322">
                  <w:marLeft w:val="0"/>
                  <w:marRight w:val="0"/>
                  <w:marTop w:val="0"/>
                  <w:marBottom w:val="0"/>
                  <w:divBdr>
                    <w:top w:val="none" w:sz="0" w:space="0" w:color="auto"/>
                    <w:left w:val="none" w:sz="0" w:space="0" w:color="auto"/>
                    <w:bottom w:val="none" w:sz="0" w:space="0" w:color="auto"/>
                    <w:right w:val="none" w:sz="0" w:space="0" w:color="auto"/>
                  </w:divBdr>
                  <w:divsChild>
                    <w:div w:id="288169354">
                      <w:marLeft w:val="0"/>
                      <w:marRight w:val="0"/>
                      <w:marTop w:val="0"/>
                      <w:marBottom w:val="0"/>
                      <w:divBdr>
                        <w:top w:val="none" w:sz="0" w:space="0" w:color="auto"/>
                        <w:left w:val="none" w:sz="0" w:space="0" w:color="auto"/>
                        <w:bottom w:val="none" w:sz="0" w:space="0" w:color="auto"/>
                        <w:right w:val="none" w:sz="0" w:space="0" w:color="auto"/>
                      </w:divBdr>
                    </w:div>
                  </w:divsChild>
                </w:div>
                <w:div w:id="1216045570">
                  <w:marLeft w:val="0"/>
                  <w:marRight w:val="0"/>
                  <w:marTop w:val="0"/>
                  <w:marBottom w:val="0"/>
                  <w:divBdr>
                    <w:top w:val="none" w:sz="0" w:space="0" w:color="auto"/>
                    <w:left w:val="none" w:sz="0" w:space="0" w:color="auto"/>
                    <w:bottom w:val="none" w:sz="0" w:space="0" w:color="auto"/>
                    <w:right w:val="none" w:sz="0" w:space="0" w:color="auto"/>
                  </w:divBdr>
                  <w:divsChild>
                    <w:div w:id="544374378">
                      <w:marLeft w:val="0"/>
                      <w:marRight w:val="0"/>
                      <w:marTop w:val="0"/>
                      <w:marBottom w:val="0"/>
                      <w:divBdr>
                        <w:top w:val="none" w:sz="0" w:space="0" w:color="auto"/>
                        <w:left w:val="none" w:sz="0" w:space="0" w:color="auto"/>
                        <w:bottom w:val="none" w:sz="0" w:space="0" w:color="auto"/>
                        <w:right w:val="none" w:sz="0" w:space="0" w:color="auto"/>
                      </w:divBdr>
                    </w:div>
                  </w:divsChild>
                </w:div>
                <w:div w:id="1232889600">
                  <w:marLeft w:val="0"/>
                  <w:marRight w:val="0"/>
                  <w:marTop w:val="0"/>
                  <w:marBottom w:val="0"/>
                  <w:divBdr>
                    <w:top w:val="none" w:sz="0" w:space="0" w:color="auto"/>
                    <w:left w:val="none" w:sz="0" w:space="0" w:color="auto"/>
                    <w:bottom w:val="none" w:sz="0" w:space="0" w:color="auto"/>
                    <w:right w:val="none" w:sz="0" w:space="0" w:color="auto"/>
                  </w:divBdr>
                  <w:divsChild>
                    <w:div w:id="664556031">
                      <w:marLeft w:val="0"/>
                      <w:marRight w:val="0"/>
                      <w:marTop w:val="0"/>
                      <w:marBottom w:val="0"/>
                      <w:divBdr>
                        <w:top w:val="none" w:sz="0" w:space="0" w:color="auto"/>
                        <w:left w:val="none" w:sz="0" w:space="0" w:color="auto"/>
                        <w:bottom w:val="none" w:sz="0" w:space="0" w:color="auto"/>
                        <w:right w:val="none" w:sz="0" w:space="0" w:color="auto"/>
                      </w:divBdr>
                    </w:div>
                  </w:divsChild>
                </w:div>
                <w:div w:id="1385332387">
                  <w:marLeft w:val="0"/>
                  <w:marRight w:val="0"/>
                  <w:marTop w:val="0"/>
                  <w:marBottom w:val="0"/>
                  <w:divBdr>
                    <w:top w:val="none" w:sz="0" w:space="0" w:color="auto"/>
                    <w:left w:val="none" w:sz="0" w:space="0" w:color="auto"/>
                    <w:bottom w:val="none" w:sz="0" w:space="0" w:color="auto"/>
                    <w:right w:val="none" w:sz="0" w:space="0" w:color="auto"/>
                  </w:divBdr>
                  <w:divsChild>
                    <w:div w:id="567963344">
                      <w:marLeft w:val="0"/>
                      <w:marRight w:val="0"/>
                      <w:marTop w:val="0"/>
                      <w:marBottom w:val="0"/>
                      <w:divBdr>
                        <w:top w:val="none" w:sz="0" w:space="0" w:color="auto"/>
                        <w:left w:val="none" w:sz="0" w:space="0" w:color="auto"/>
                        <w:bottom w:val="none" w:sz="0" w:space="0" w:color="auto"/>
                        <w:right w:val="none" w:sz="0" w:space="0" w:color="auto"/>
                      </w:divBdr>
                    </w:div>
                  </w:divsChild>
                </w:div>
                <w:div w:id="1406024745">
                  <w:marLeft w:val="0"/>
                  <w:marRight w:val="0"/>
                  <w:marTop w:val="0"/>
                  <w:marBottom w:val="0"/>
                  <w:divBdr>
                    <w:top w:val="none" w:sz="0" w:space="0" w:color="auto"/>
                    <w:left w:val="none" w:sz="0" w:space="0" w:color="auto"/>
                    <w:bottom w:val="none" w:sz="0" w:space="0" w:color="auto"/>
                    <w:right w:val="none" w:sz="0" w:space="0" w:color="auto"/>
                  </w:divBdr>
                  <w:divsChild>
                    <w:div w:id="48578660">
                      <w:marLeft w:val="0"/>
                      <w:marRight w:val="0"/>
                      <w:marTop w:val="0"/>
                      <w:marBottom w:val="0"/>
                      <w:divBdr>
                        <w:top w:val="none" w:sz="0" w:space="0" w:color="auto"/>
                        <w:left w:val="none" w:sz="0" w:space="0" w:color="auto"/>
                        <w:bottom w:val="none" w:sz="0" w:space="0" w:color="auto"/>
                        <w:right w:val="none" w:sz="0" w:space="0" w:color="auto"/>
                      </w:divBdr>
                    </w:div>
                  </w:divsChild>
                </w:div>
                <w:div w:id="1435980394">
                  <w:marLeft w:val="0"/>
                  <w:marRight w:val="0"/>
                  <w:marTop w:val="0"/>
                  <w:marBottom w:val="0"/>
                  <w:divBdr>
                    <w:top w:val="none" w:sz="0" w:space="0" w:color="auto"/>
                    <w:left w:val="none" w:sz="0" w:space="0" w:color="auto"/>
                    <w:bottom w:val="none" w:sz="0" w:space="0" w:color="auto"/>
                    <w:right w:val="none" w:sz="0" w:space="0" w:color="auto"/>
                  </w:divBdr>
                  <w:divsChild>
                    <w:div w:id="147403875">
                      <w:marLeft w:val="0"/>
                      <w:marRight w:val="0"/>
                      <w:marTop w:val="0"/>
                      <w:marBottom w:val="0"/>
                      <w:divBdr>
                        <w:top w:val="none" w:sz="0" w:space="0" w:color="auto"/>
                        <w:left w:val="none" w:sz="0" w:space="0" w:color="auto"/>
                        <w:bottom w:val="none" w:sz="0" w:space="0" w:color="auto"/>
                        <w:right w:val="none" w:sz="0" w:space="0" w:color="auto"/>
                      </w:divBdr>
                    </w:div>
                  </w:divsChild>
                </w:div>
                <w:div w:id="1446121516">
                  <w:marLeft w:val="0"/>
                  <w:marRight w:val="0"/>
                  <w:marTop w:val="0"/>
                  <w:marBottom w:val="0"/>
                  <w:divBdr>
                    <w:top w:val="none" w:sz="0" w:space="0" w:color="auto"/>
                    <w:left w:val="none" w:sz="0" w:space="0" w:color="auto"/>
                    <w:bottom w:val="none" w:sz="0" w:space="0" w:color="auto"/>
                    <w:right w:val="none" w:sz="0" w:space="0" w:color="auto"/>
                  </w:divBdr>
                  <w:divsChild>
                    <w:div w:id="1270746178">
                      <w:marLeft w:val="0"/>
                      <w:marRight w:val="0"/>
                      <w:marTop w:val="0"/>
                      <w:marBottom w:val="0"/>
                      <w:divBdr>
                        <w:top w:val="none" w:sz="0" w:space="0" w:color="auto"/>
                        <w:left w:val="none" w:sz="0" w:space="0" w:color="auto"/>
                        <w:bottom w:val="none" w:sz="0" w:space="0" w:color="auto"/>
                        <w:right w:val="none" w:sz="0" w:space="0" w:color="auto"/>
                      </w:divBdr>
                    </w:div>
                  </w:divsChild>
                </w:div>
                <w:div w:id="1447306430">
                  <w:marLeft w:val="0"/>
                  <w:marRight w:val="0"/>
                  <w:marTop w:val="0"/>
                  <w:marBottom w:val="0"/>
                  <w:divBdr>
                    <w:top w:val="none" w:sz="0" w:space="0" w:color="auto"/>
                    <w:left w:val="none" w:sz="0" w:space="0" w:color="auto"/>
                    <w:bottom w:val="none" w:sz="0" w:space="0" w:color="auto"/>
                    <w:right w:val="none" w:sz="0" w:space="0" w:color="auto"/>
                  </w:divBdr>
                  <w:divsChild>
                    <w:div w:id="1384406498">
                      <w:marLeft w:val="0"/>
                      <w:marRight w:val="0"/>
                      <w:marTop w:val="0"/>
                      <w:marBottom w:val="0"/>
                      <w:divBdr>
                        <w:top w:val="none" w:sz="0" w:space="0" w:color="auto"/>
                        <w:left w:val="none" w:sz="0" w:space="0" w:color="auto"/>
                        <w:bottom w:val="none" w:sz="0" w:space="0" w:color="auto"/>
                        <w:right w:val="none" w:sz="0" w:space="0" w:color="auto"/>
                      </w:divBdr>
                    </w:div>
                  </w:divsChild>
                </w:div>
                <w:div w:id="1506282118">
                  <w:marLeft w:val="0"/>
                  <w:marRight w:val="0"/>
                  <w:marTop w:val="0"/>
                  <w:marBottom w:val="0"/>
                  <w:divBdr>
                    <w:top w:val="none" w:sz="0" w:space="0" w:color="auto"/>
                    <w:left w:val="none" w:sz="0" w:space="0" w:color="auto"/>
                    <w:bottom w:val="none" w:sz="0" w:space="0" w:color="auto"/>
                    <w:right w:val="none" w:sz="0" w:space="0" w:color="auto"/>
                  </w:divBdr>
                  <w:divsChild>
                    <w:div w:id="1703824208">
                      <w:marLeft w:val="0"/>
                      <w:marRight w:val="0"/>
                      <w:marTop w:val="0"/>
                      <w:marBottom w:val="0"/>
                      <w:divBdr>
                        <w:top w:val="none" w:sz="0" w:space="0" w:color="auto"/>
                        <w:left w:val="none" w:sz="0" w:space="0" w:color="auto"/>
                        <w:bottom w:val="none" w:sz="0" w:space="0" w:color="auto"/>
                        <w:right w:val="none" w:sz="0" w:space="0" w:color="auto"/>
                      </w:divBdr>
                    </w:div>
                  </w:divsChild>
                </w:div>
                <w:div w:id="1527018398">
                  <w:marLeft w:val="0"/>
                  <w:marRight w:val="0"/>
                  <w:marTop w:val="0"/>
                  <w:marBottom w:val="0"/>
                  <w:divBdr>
                    <w:top w:val="none" w:sz="0" w:space="0" w:color="auto"/>
                    <w:left w:val="none" w:sz="0" w:space="0" w:color="auto"/>
                    <w:bottom w:val="none" w:sz="0" w:space="0" w:color="auto"/>
                    <w:right w:val="none" w:sz="0" w:space="0" w:color="auto"/>
                  </w:divBdr>
                  <w:divsChild>
                    <w:div w:id="69692723">
                      <w:marLeft w:val="0"/>
                      <w:marRight w:val="0"/>
                      <w:marTop w:val="0"/>
                      <w:marBottom w:val="0"/>
                      <w:divBdr>
                        <w:top w:val="none" w:sz="0" w:space="0" w:color="auto"/>
                        <w:left w:val="none" w:sz="0" w:space="0" w:color="auto"/>
                        <w:bottom w:val="none" w:sz="0" w:space="0" w:color="auto"/>
                        <w:right w:val="none" w:sz="0" w:space="0" w:color="auto"/>
                      </w:divBdr>
                    </w:div>
                  </w:divsChild>
                </w:div>
                <w:div w:id="1568757273">
                  <w:marLeft w:val="0"/>
                  <w:marRight w:val="0"/>
                  <w:marTop w:val="0"/>
                  <w:marBottom w:val="0"/>
                  <w:divBdr>
                    <w:top w:val="none" w:sz="0" w:space="0" w:color="auto"/>
                    <w:left w:val="none" w:sz="0" w:space="0" w:color="auto"/>
                    <w:bottom w:val="none" w:sz="0" w:space="0" w:color="auto"/>
                    <w:right w:val="none" w:sz="0" w:space="0" w:color="auto"/>
                  </w:divBdr>
                  <w:divsChild>
                    <w:div w:id="1286884296">
                      <w:marLeft w:val="0"/>
                      <w:marRight w:val="0"/>
                      <w:marTop w:val="0"/>
                      <w:marBottom w:val="0"/>
                      <w:divBdr>
                        <w:top w:val="none" w:sz="0" w:space="0" w:color="auto"/>
                        <w:left w:val="none" w:sz="0" w:space="0" w:color="auto"/>
                        <w:bottom w:val="none" w:sz="0" w:space="0" w:color="auto"/>
                        <w:right w:val="none" w:sz="0" w:space="0" w:color="auto"/>
                      </w:divBdr>
                    </w:div>
                  </w:divsChild>
                </w:div>
                <w:div w:id="1579633382">
                  <w:marLeft w:val="0"/>
                  <w:marRight w:val="0"/>
                  <w:marTop w:val="0"/>
                  <w:marBottom w:val="0"/>
                  <w:divBdr>
                    <w:top w:val="none" w:sz="0" w:space="0" w:color="auto"/>
                    <w:left w:val="none" w:sz="0" w:space="0" w:color="auto"/>
                    <w:bottom w:val="none" w:sz="0" w:space="0" w:color="auto"/>
                    <w:right w:val="none" w:sz="0" w:space="0" w:color="auto"/>
                  </w:divBdr>
                  <w:divsChild>
                    <w:div w:id="160508086">
                      <w:marLeft w:val="0"/>
                      <w:marRight w:val="0"/>
                      <w:marTop w:val="0"/>
                      <w:marBottom w:val="0"/>
                      <w:divBdr>
                        <w:top w:val="none" w:sz="0" w:space="0" w:color="auto"/>
                        <w:left w:val="none" w:sz="0" w:space="0" w:color="auto"/>
                        <w:bottom w:val="none" w:sz="0" w:space="0" w:color="auto"/>
                        <w:right w:val="none" w:sz="0" w:space="0" w:color="auto"/>
                      </w:divBdr>
                    </w:div>
                  </w:divsChild>
                </w:div>
                <w:div w:id="1610772198">
                  <w:marLeft w:val="0"/>
                  <w:marRight w:val="0"/>
                  <w:marTop w:val="0"/>
                  <w:marBottom w:val="0"/>
                  <w:divBdr>
                    <w:top w:val="none" w:sz="0" w:space="0" w:color="auto"/>
                    <w:left w:val="none" w:sz="0" w:space="0" w:color="auto"/>
                    <w:bottom w:val="none" w:sz="0" w:space="0" w:color="auto"/>
                    <w:right w:val="none" w:sz="0" w:space="0" w:color="auto"/>
                  </w:divBdr>
                  <w:divsChild>
                    <w:div w:id="1097795884">
                      <w:marLeft w:val="0"/>
                      <w:marRight w:val="0"/>
                      <w:marTop w:val="0"/>
                      <w:marBottom w:val="0"/>
                      <w:divBdr>
                        <w:top w:val="none" w:sz="0" w:space="0" w:color="auto"/>
                        <w:left w:val="none" w:sz="0" w:space="0" w:color="auto"/>
                        <w:bottom w:val="none" w:sz="0" w:space="0" w:color="auto"/>
                        <w:right w:val="none" w:sz="0" w:space="0" w:color="auto"/>
                      </w:divBdr>
                    </w:div>
                  </w:divsChild>
                </w:div>
                <w:div w:id="1618755667">
                  <w:marLeft w:val="0"/>
                  <w:marRight w:val="0"/>
                  <w:marTop w:val="0"/>
                  <w:marBottom w:val="0"/>
                  <w:divBdr>
                    <w:top w:val="none" w:sz="0" w:space="0" w:color="auto"/>
                    <w:left w:val="none" w:sz="0" w:space="0" w:color="auto"/>
                    <w:bottom w:val="none" w:sz="0" w:space="0" w:color="auto"/>
                    <w:right w:val="none" w:sz="0" w:space="0" w:color="auto"/>
                  </w:divBdr>
                  <w:divsChild>
                    <w:div w:id="1310482304">
                      <w:marLeft w:val="0"/>
                      <w:marRight w:val="0"/>
                      <w:marTop w:val="0"/>
                      <w:marBottom w:val="0"/>
                      <w:divBdr>
                        <w:top w:val="none" w:sz="0" w:space="0" w:color="auto"/>
                        <w:left w:val="none" w:sz="0" w:space="0" w:color="auto"/>
                        <w:bottom w:val="none" w:sz="0" w:space="0" w:color="auto"/>
                        <w:right w:val="none" w:sz="0" w:space="0" w:color="auto"/>
                      </w:divBdr>
                    </w:div>
                  </w:divsChild>
                </w:div>
                <w:div w:id="1726298212">
                  <w:marLeft w:val="0"/>
                  <w:marRight w:val="0"/>
                  <w:marTop w:val="0"/>
                  <w:marBottom w:val="0"/>
                  <w:divBdr>
                    <w:top w:val="none" w:sz="0" w:space="0" w:color="auto"/>
                    <w:left w:val="none" w:sz="0" w:space="0" w:color="auto"/>
                    <w:bottom w:val="none" w:sz="0" w:space="0" w:color="auto"/>
                    <w:right w:val="none" w:sz="0" w:space="0" w:color="auto"/>
                  </w:divBdr>
                  <w:divsChild>
                    <w:div w:id="1892573774">
                      <w:marLeft w:val="0"/>
                      <w:marRight w:val="0"/>
                      <w:marTop w:val="0"/>
                      <w:marBottom w:val="0"/>
                      <w:divBdr>
                        <w:top w:val="none" w:sz="0" w:space="0" w:color="auto"/>
                        <w:left w:val="none" w:sz="0" w:space="0" w:color="auto"/>
                        <w:bottom w:val="none" w:sz="0" w:space="0" w:color="auto"/>
                        <w:right w:val="none" w:sz="0" w:space="0" w:color="auto"/>
                      </w:divBdr>
                    </w:div>
                  </w:divsChild>
                </w:div>
                <w:div w:id="1823307746">
                  <w:marLeft w:val="0"/>
                  <w:marRight w:val="0"/>
                  <w:marTop w:val="0"/>
                  <w:marBottom w:val="0"/>
                  <w:divBdr>
                    <w:top w:val="none" w:sz="0" w:space="0" w:color="auto"/>
                    <w:left w:val="none" w:sz="0" w:space="0" w:color="auto"/>
                    <w:bottom w:val="none" w:sz="0" w:space="0" w:color="auto"/>
                    <w:right w:val="none" w:sz="0" w:space="0" w:color="auto"/>
                  </w:divBdr>
                  <w:divsChild>
                    <w:div w:id="1139375436">
                      <w:marLeft w:val="0"/>
                      <w:marRight w:val="0"/>
                      <w:marTop w:val="0"/>
                      <w:marBottom w:val="0"/>
                      <w:divBdr>
                        <w:top w:val="none" w:sz="0" w:space="0" w:color="auto"/>
                        <w:left w:val="none" w:sz="0" w:space="0" w:color="auto"/>
                        <w:bottom w:val="none" w:sz="0" w:space="0" w:color="auto"/>
                        <w:right w:val="none" w:sz="0" w:space="0" w:color="auto"/>
                      </w:divBdr>
                    </w:div>
                  </w:divsChild>
                </w:div>
                <w:div w:id="1839691770">
                  <w:marLeft w:val="0"/>
                  <w:marRight w:val="0"/>
                  <w:marTop w:val="0"/>
                  <w:marBottom w:val="0"/>
                  <w:divBdr>
                    <w:top w:val="none" w:sz="0" w:space="0" w:color="auto"/>
                    <w:left w:val="none" w:sz="0" w:space="0" w:color="auto"/>
                    <w:bottom w:val="none" w:sz="0" w:space="0" w:color="auto"/>
                    <w:right w:val="none" w:sz="0" w:space="0" w:color="auto"/>
                  </w:divBdr>
                  <w:divsChild>
                    <w:div w:id="1802722864">
                      <w:marLeft w:val="0"/>
                      <w:marRight w:val="0"/>
                      <w:marTop w:val="0"/>
                      <w:marBottom w:val="0"/>
                      <w:divBdr>
                        <w:top w:val="none" w:sz="0" w:space="0" w:color="auto"/>
                        <w:left w:val="none" w:sz="0" w:space="0" w:color="auto"/>
                        <w:bottom w:val="none" w:sz="0" w:space="0" w:color="auto"/>
                        <w:right w:val="none" w:sz="0" w:space="0" w:color="auto"/>
                      </w:divBdr>
                    </w:div>
                  </w:divsChild>
                </w:div>
                <w:div w:id="1848985253">
                  <w:marLeft w:val="0"/>
                  <w:marRight w:val="0"/>
                  <w:marTop w:val="0"/>
                  <w:marBottom w:val="0"/>
                  <w:divBdr>
                    <w:top w:val="none" w:sz="0" w:space="0" w:color="auto"/>
                    <w:left w:val="none" w:sz="0" w:space="0" w:color="auto"/>
                    <w:bottom w:val="none" w:sz="0" w:space="0" w:color="auto"/>
                    <w:right w:val="none" w:sz="0" w:space="0" w:color="auto"/>
                  </w:divBdr>
                  <w:divsChild>
                    <w:div w:id="1009521942">
                      <w:marLeft w:val="0"/>
                      <w:marRight w:val="0"/>
                      <w:marTop w:val="0"/>
                      <w:marBottom w:val="0"/>
                      <w:divBdr>
                        <w:top w:val="none" w:sz="0" w:space="0" w:color="auto"/>
                        <w:left w:val="none" w:sz="0" w:space="0" w:color="auto"/>
                        <w:bottom w:val="none" w:sz="0" w:space="0" w:color="auto"/>
                        <w:right w:val="none" w:sz="0" w:space="0" w:color="auto"/>
                      </w:divBdr>
                    </w:div>
                  </w:divsChild>
                </w:div>
                <w:div w:id="1858302345">
                  <w:marLeft w:val="0"/>
                  <w:marRight w:val="0"/>
                  <w:marTop w:val="0"/>
                  <w:marBottom w:val="0"/>
                  <w:divBdr>
                    <w:top w:val="none" w:sz="0" w:space="0" w:color="auto"/>
                    <w:left w:val="none" w:sz="0" w:space="0" w:color="auto"/>
                    <w:bottom w:val="none" w:sz="0" w:space="0" w:color="auto"/>
                    <w:right w:val="none" w:sz="0" w:space="0" w:color="auto"/>
                  </w:divBdr>
                  <w:divsChild>
                    <w:div w:id="1556162746">
                      <w:marLeft w:val="0"/>
                      <w:marRight w:val="0"/>
                      <w:marTop w:val="0"/>
                      <w:marBottom w:val="0"/>
                      <w:divBdr>
                        <w:top w:val="none" w:sz="0" w:space="0" w:color="auto"/>
                        <w:left w:val="none" w:sz="0" w:space="0" w:color="auto"/>
                        <w:bottom w:val="none" w:sz="0" w:space="0" w:color="auto"/>
                        <w:right w:val="none" w:sz="0" w:space="0" w:color="auto"/>
                      </w:divBdr>
                    </w:div>
                  </w:divsChild>
                </w:div>
                <w:div w:id="1938363775">
                  <w:marLeft w:val="0"/>
                  <w:marRight w:val="0"/>
                  <w:marTop w:val="0"/>
                  <w:marBottom w:val="0"/>
                  <w:divBdr>
                    <w:top w:val="none" w:sz="0" w:space="0" w:color="auto"/>
                    <w:left w:val="none" w:sz="0" w:space="0" w:color="auto"/>
                    <w:bottom w:val="none" w:sz="0" w:space="0" w:color="auto"/>
                    <w:right w:val="none" w:sz="0" w:space="0" w:color="auto"/>
                  </w:divBdr>
                  <w:divsChild>
                    <w:div w:id="1861770620">
                      <w:marLeft w:val="0"/>
                      <w:marRight w:val="0"/>
                      <w:marTop w:val="0"/>
                      <w:marBottom w:val="0"/>
                      <w:divBdr>
                        <w:top w:val="none" w:sz="0" w:space="0" w:color="auto"/>
                        <w:left w:val="none" w:sz="0" w:space="0" w:color="auto"/>
                        <w:bottom w:val="none" w:sz="0" w:space="0" w:color="auto"/>
                        <w:right w:val="none" w:sz="0" w:space="0" w:color="auto"/>
                      </w:divBdr>
                    </w:div>
                  </w:divsChild>
                </w:div>
                <w:div w:id="1946957447">
                  <w:marLeft w:val="0"/>
                  <w:marRight w:val="0"/>
                  <w:marTop w:val="0"/>
                  <w:marBottom w:val="0"/>
                  <w:divBdr>
                    <w:top w:val="none" w:sz="0" w:space="0" w:color="auto"/>
                    <w:left w:val="none" w:sz="0" w:space="0" w:color="auto"/>
                    <w:bottom w:val="none" w:sz="0" w:space="0" w:color="auto"/>
                    <w:right w:val="none" w:sz="0" w:space="0" w:color="auto"/>
                  </w:divBdr>
                  <w:divsChild>
                    <w:div w:id="822357969">
                      <w:marLeft w:val="0"/>
                      <w:marRight w:val="0"/>
                      <w:marTop w:val="0"/>
                      <w:marBottom w:val="0"/>
                      <w:divBdr>
                        <w:top w:val="none" w:sz="0" w:space="0" w:color="auto"/>
                        <w:left w:val="none" w:sz="0" w:space="0" w:color="auto"/>
                        <w:bottom w:val="none" w:sz="0" w:space="0" w:color="auto"/>
                        <w:right w:val="none" w:sz="0" w:space="0" w:color="auto"/>
                      </w:divBdr>
                    </w:div>
                  </w:divsChild>
                </w:div>
                <w:div w:id="1952276866">
                  <w:marLeft w:val="0"/>
                  <w:marRight w:val="0"/>
                  <w:marTop w:val="0"/>
                  <w:marBottom w:val="0"/>
                  <w:divBdr>
                    <w:top w:val="none" w:sz="0" w:space="0" w:color="auto"/>
                    <w:left w:val="none" w:sz="0" w:space="0" w:color="auto"/>
                    <w:bottom w:val="none" w:sz="0" w:space="0" w:color="auto"/>
                    <w:right w:val="none" w:sz="0" w:space="0" w:color="auto"/>
                  </w:divBdr>
                  <w:divsChild>
                    <w:div w:id="253436406">
                      <w:marLeft w:val="0"/>
                      <w:marRight w:val="0"/>
                      <w:marTop w:val="0"/>
                      <w:marBottom w:val="0"/>
                      <w:divBdr>
                        <w:top w:val="none" w:sz="0" w:space="0" w:color="auto"/>
                        <w:left w:val="none" w:sz="0" w:space="0" w:color="auto"/>
                        <w:bottom w:val="none" w:sz="0" w:space="0" w:color="auto"/>
                        <w:right w:val="none" w:sz="0" w:space="0" w:color="auto"/>
                      </w:divBdr>
                    </w:div>
                  </w:divsChild>
                </w:div>
                <w:div w:id="2027904309">
                  <w:marLeft w:val="0"/>
                  <w:marRight w:val="0"/>
                  <w:marTop w:val="0"/>
                  <w:marBottom w:val="0"/>
                  <w:divBdr>
                    <w:top w:val="none" w:sz="0" w:space="0" w:color="auto"/>
                    <w:left w:val="none" w:sz="0" w:space="0" w:color="auto"/>
                    <w:bottom w:val="none" w:sz="0" w:space="0" w:color="auto"/>
                    <w:right w:val="none" w:sz="0" w:space="0" w:color="auto"/>
                  </w:divBdr>
                  <w:divsChild>
                    <w:div w:id="988483355">
                      <w:marLeft w:val="0"/>
                      <w:marRight w:val="0"/>
                      <w:marTop w:val="0"/>
                      <w:marBottom w:val="0"/>
                      <w:divBdr>
                        <w:top w:val="none" w:sz="0" w:space="0" w:color="auto"/>
                        <w:left w:val="none" w:sz="0" w:space="0" w:color="auto"/>
                        <w:bottom w:val="none" w:sz="0" w:space="0" w:color="auto"/>
                        <w:right w:val="none" w:sz="0" w:space="0" w:color="auto"/>
                      </w:divBdr>
                    </w:div>
                  </w:divsChild>
                </w:div>
                <w:div w:id="2097970458">
                  <w:marLeft w:val="0"/>
                  <w:marRight w:val="0"/>
                  <w:marTop w:val="0"/>
                  <w:marBottom w:val="0"/>
                  <w:divBdr>
                    <w:top w:val="none" w:sz="0" w:space="0" w:color="auto"/>
                    <w:left w:val="none" w:sz="0" w:space="0" w:color="auto"/>
                    <w:bottom w:val="none" w:sz="0" w:space="0" w:color="auto"/>
                    <w:right w:val="none" w:sz="0" w:space="0" w:color="auto"/>
                  </w:divBdr>
                  <w:divsChild>
                    <w:div w:id="1166359983">
                      <w:marLeft w:val="0"/>
                      <w:marRight w:val="0"/>
                      <w:marTop w:val="0"/>
                      <w:marBottom w:val="0"/>
                      <w:divBdr>
                        <w:top w:val="none" w:sz="0" w:space="0" w:color="auto"/>
                        <w:left w:val="none" w:sz="0" w:space="0" w:color="auto"/>
                        <w:bottom w:val="none" w:sz="0" w:space="0" w:color="auto"/>
                        <w:right w:val="none" w:sz="0" w:space="0" w:color="auto"/>
                      </w:divBdr>
                    </w:div>
                  </w:divsChild>
                </w:div>
                <w:div w:id="2124768730">
                  <w:marLeft w:val="0"/>
                  <w:marRight w:val="0"/>
                  <w:marTop w:val="0"/>
                  <w:marBottom w:val="0"/>
                  <w:divBdr>
                    <w:top w:val="none" w:sz="0" w:space="0" w:color="auto"/>
                    <w:left w:val="none" w:sz="0" w:space="0" w:color="auto"/>
                    <w:bottom w:val="none" w:sz="0" w:space="0" w:color="auto"/>
                    <w:right w:val="none" w:sz="0" w:space="0" w:color="auto"/>
                  </w:divBdr>
                  <w:divsChild>
                    <w:div w:id="4536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3338">
          <w:marLeft w:val="0"/>
          <w:marRight w:val="0"/>
          <w:marTop w:val="0"/>
          <w:marBottom w:val="0"/>
          <w:divBdr>
            <w:top w:val="none" w:sz="0" w:space="0" w:color="auto"/>
            <w:left w:val="none" w:sz="0" w:space="0" w:color="auto"/>
            <w:bottom w:val="none" w:sz="0" w:space="0" w:color="auto"/>
            <w:right w:val="none" w:sz="0" w:space="0" w:color="auto"/>
          </w:divBdr>
        </w:div>
      </w:divsChild>
    </w:div>
    <w:div w:id="1809591253">
      <w:bodyDiv w:val="1"/>
      <w:marLeft w:val="0"/>
      <w:marRight w:val="0"/>
      <w:marTop w:val="0"/>
      <w:marBottom w:val="0"/>
      <w:divBdr>
        <w:top w:val="none" w:sz="0" w:space="0" w:color="auto"/>
        <w:left w:val="none" w:sz="0" w:space="0" w:color="auto"/>
        <w:bottom w:val="none" w:sz="0" w:space="0" w:color="auto"/>
        <w:right w:val="none" w:sz="0" w:space="0" w:color="auto"/>
      </w:divBdr>
    </w:div>
    <w:div w:id="1809786742">
      <w:bodyDiv w:val="1"/>
      <w:marLeft w:val="0"/>
      <w:marRight w:val="0"/>
      <w:marTop w:val="0"/>
      <w:marBottom w:val="0"/>
      <w:divBdr>
        <w:top w:val="none" w:sz="0" w:space="0" w:color="auto"/>
        <w:left w:val="none" w:sz="0" w:space="0" w:color="auto"/>
        <w:bottom w:val="none" w:sz="0" w:space="0" w:color="auto"/>
        <w:right w:val="none" w:sz="0" w:space="0" w:color="auto"/>
      </w:divBdr>
    </w:div>
    <w:div w:id="1846096271">
      <w:bodyDiv w:val="1"/>
      <w:marLeft w:val="0"/>
      <w:marRight w:val="0"/>
      <w:marTop w:val="0"/>
      <w:marBottom w:val="0"/>
      <w:divBdr>
        <w:top w:val="none" w:sz="0" w:space="0" w:color="auto"/>
        <w:left w:val="none" w:sz="0" w:space="0" w:color="auto"/>
        <w:bottom w:val="none" w:sz="0" w:space="0" w:color="auto"/>
        <w:right w:val="none" w:sz="0" w:space="0" w:color="auto"/>
      </w:divBdr>
    </w:div>
    <w:div w:id="1873764355">
      <w:bodyDiv w:val="1"/>
      <w:marLeft w:val="0"/>
      <w:marRight w:val="0"/>
      <w:marTop w:val="0"/>
      <w:marBottom w:val="0"/>
      <w:divBdr>
        <w:top w:val="none" w:sz="0" w:space="0" w:color="auto"/>
        <w:left w:val="none" w:sz="0" w:space="0" w:color="auto"/>
        <w:bottom w:val="none" w:sz="0" w:space="0" w:color="auto"/>
        <w:right w:val="none" w:sz="0" w:space="0" w:color="auto"/>
      </w:divBdr>
      <w:divsChild>
        <w:div w:id="89474717">
          <w:marLeft w:val="0"/>
          <w:marRight w:val="0"/>
          <w:marTop w:val="0"/>
          <w:marBottom w:val="0"/>
          <w:divBdr>
            <w:top w:val="none" w:sz="0" w:space="0" w:color="auto"/>
            <w:left w:val="none" w:sz="0" w:space="0" w:color="auto"/>
            <w:bottom w:val="none" w:sz="0" w:space="0" w:color="auto"/>
            <w:right w:val="none" w:sz="0" w:space="0" w:color="auto"/>
          </w:divBdr>
        </w:div>
        <w:div w:id="362093362">
          <w:marLeft w:val="0"/>
          <w:marRight w:val="0"/>
          <w:marTop w:val="0"/>
          <w:marBottom w:val="0"/>
          <w:divBdr>
            <w:top w:val="none" w:sz="0" w:space="0" w:color="auto"/>
            <w:left w:val="none" w:sz="0" w:space="0" w:color="auto"/>
            <w:bottom w:val="none" w:sz="0" w:space="0" w:color="auto"/>
            <w:right w:val="none" w:sz="0" w:space="0" w:color="auto"/>
          </w:divBdr>
        </w:div>
        <w:div w:id="580023752">
          <w:marLeft w:val="0"/>
          <w:marRight w:val="0"/>
          <w:marTop w:val="0"/>
          <w:marBottom w:val="0"/>
          <w:divBdr>
            <w:top w:val="none" w:sz="0" w:space="0" w:color="auto"/>
            <w:left w:val="none" w:sz="0" w:space="0" w:color="auto"/>
            <w:bottom w:val="none" w:sz="0" w:space="0" w:color="auto"/>
            <w:right w:val="none" w:sz="0" w:space="0" w:color="auto"/>
          </w:divBdr>
        </w:div>
        <w:div w:id="688412047">
          <w:marLeft w:val="0"/>
          <w:marRight w:val="0"/>
          <w:marTop w:val="0"/>
          <w:marBottom w:val="0"/>
          <w:divBdr>
            <w:top w:val="none" w:sz="0" w:space="0" w:color="auto"/>
            <w:left w:val="none" w:sz="0" w:space="0" w:color="auto"/>
            <w:bottom w:val="none" w:sz="0" w:space="0" w:color="auto"/>
            <w:right w:val="none" w:sz="0" w:space="0" w:color="auto"/>
          </w:divBdr>
        </w:div>
        <w:div w:id="826091458">
          <w:marLeft w:val="0"/>
          <w:marRight w:val="0"/>
          <w:marTop w:val="0"/>
          <w:marBottom w:val="0"/>
          <w:divBdr>
            <w:top w:val="none" w:sz="0" w:space="0" w:color="auto"/>
            <w:left w:val="none" w:sz="0" w:space="0" w:color="auto"/>
            <w:bottom w:val="none" w:sz="0" w:space="0" w:color="auto"/>
            <w:right w:val="none" w:sz="0" w:space="0" w:color="auto"/>
          </w:divBdr>
        </w:div>
        <w:div w:id="841971691">
          <w:marLeft w:val="0"/>
          <w:marRight w:val="0"/>
          <w:marTop w:val="0"/>
          <w:marBottom w:val="0"/>
          <w:divBdr>
            <w:top w:val="none" w:sz="0" w:space="0" w:color="auto"/>
            <w:left w:val="none" w:sz="0" w:space="0" w:color="auto"/>
            <w:bottom w:val="none" w:sz="0" w:space="0" w:color="auto"/>
            <w:right w:val="none" w:sz="0" w:space="0" w:color="auto"/>
          </w:divBdr>
        </w:div>
        <w:div w:id="884876674">
          <w:marLeft w:val="0"/>
          <w:marRight w:val="0"/>
          <w:marTop w:val="0"/>
          <w:marBottom w:val="0"/>
          <w:divBdr>
            <w:top w:val="none" w:sz="0" w:space="0" w:color="auto"/>
            <w:left w:val="none" w:sz="0" w:space="0" w:color="auto"/>
            <w:bottom w:val="none" w:sz="0" w:space="0" w:color="auto"/>
            <w:right w:val="none" w:sz="0" w:space="0" w:color="auto"/>
          </w:divBdr>
        </w:div>
        <w:div w:id="1065881714">
          <w:marLeft w:val="0"/>
          <w:marRight w:val="0"/>
          <w:marTop w:val="0"/>
          <w:marBottom w:val="0"/>
          <w:divBdr>
            <w:top w:val="none" w:sz="0" w:space="0" w:color="auto"/>
            <w:left w:val="none" w:sz="0" w:space="0" w:color="auto"/>
            <w:bottom w:val="none" w:sz="0" w:space="0" w:color="auto"/>
            <w:right w:val="none" w:sz="0" w:space="0" w:color="auto"/>
          </w:divBdr>
        </w:div>
        <w:div w:id="1101485332">
          <w:marLeft w:val="0"/>
          <w:marRight w:val="0"/>
          <w:marTop w:val="0"/>
          <w:marBottom w:val="0"/>
          <w:divBdr>
            <w:top w:val="none" w:sz="0" w:space="0" w:color="auto"/>
            <w:left w:val="none" w:sz="0" w:space="0" w:color="auto"/>
            <w:bottom w:val="none" w:sz="0" w:space="0" w:color="auto"/>
            <w:right w:val="none" w:sz="0" w:space="0" w:color="auto"/>
          </w:divBdr>
        </w:div>
        <w:div w:id="1256473271">
          <w:marLeft w:val="0"/>
          <w:marRight w:val="0"/>
          <w:marTop w:val="0"/>
          <w:marBottom w:val="0"/>
          <w:divBdr>
            <w:top w:val="none" w:sz="0" w:space="0" w:color="auto"/>
            <w:left w:val="none" w:sz="0" w:space="0" w:color="auto"/>
            <w:bottom w:val="none" w:sz="0" w:space="0" w:color="auto"/>
            <w:right w:val="none" w:sz="0" w:space="0" w:color="auto"/>
          </w:divBdr>
        </w:div>
        <w:div w:id="1701591631">
          <w:marLeft w:val="0"/>
          <w:marRight w:val="0"/>
          <w:marTop w:val="0"/>
          <w:marBottom w:val="0"/>
          <w:divBdr>
            <w:top w:val="none" w:sz="0" w:space="0" w:color="auto"/>
            <w:left w:val="none" w:sz="0" w:space="0" w:color="auto"/>
            <w:bottom w:val="none" w:sz="0" w:space="0" w:color="auto"/>
            <w:right w:val="none" w:sz="0" w:space="0" w:color="auto"/>
          </w:divBdr>
        </w:div>
        <w:div w:id="1907832565">
          <w:marLeft w:val="0"/>
          <w:marRight w:val="0"/>
          <w:marTop w:val="0"/>
          <w:marBottom w:val="0"/>
          <w:divBdr>
            <w:top w:val="none" w:sz="0" w:space="0" w:color="auto"/>
            <w:left w:val="none" w:sz="0" w:space="0" w:color="auto"/>
            <w:bottom w:val="none" w:sz="0" w:space="0" w:color="auto"/>
            <w:right w:val="none" w:sz="0" w:space="0" w:color="auto"/>
          </w:divBdr>
        </w:div>
        <w:div w:id="1951743464">
          <w:marLeft w:val="0"/>
          <w:marRight w:val="0"/>
          <w:marTop w:val="0"/>
          <w:marBottom w:val="0"/>
          <w:divBdr>
            <w:top w:val="none" w:sz="0" w:space="0" w:color="auto"/>
            <w:left w:val="none" w:sz="0" w:space="0" w:color="auto"/>
            <w:bottom w:val="none" w:sz="0" w:space="0" w:color="auto"/>
            <w:right w:val="none" w:sz="0" w:space="0" w:color="auto"/>
          </w:divBdr>
        </w:div>
        <w:div w:id="1973173000">
          <w:marLeft w:val="0"/>
          <w:marRight w:val="0"/>
          <w:marTop w:val="0"/>
          <w:marBottom w:val="0"/>
          <w:divBdr>
            <w:top w:val="none" w:sz="0" w:space="0" w:color="auto"/>
            <w:left w:val="none" w:sz="0" w:space="0" w:color="auto"/>
            <w:bottom w:val="none" w:sz="0" w:space="0" w:color="auto"/>
            <w:right w:val="none" w:sz="0" w:space="0" w:color="auto"/>
          </w:divBdr>
        </w:div>
        <w:div w:id="2072343038">
          <w:marLeft w:val="0"/>
          <w:marRight w:val="0"/>
          <w:marTop w:val="0"/>
          <w:marBottom w:val="0"/>
          <w:divBdr>
            <w:top w:val="none" w:sz="0" w:space="0" w:color="auto"/>
            <w:left w:val="none" w:sz="0" w:space="0" w:color="auto"/>
            <w:bottom w:val="none" w:sz="0" w:space="0" w:color="auto"/>
            <w:right w:val="none" w:sz="0" w:space="0" w:color="auto"/>
          </w:divBdr>
        </w:div>
      </w:divsChild>
    </w:div>
    <w:div w:id="1873879820">
      <w:bodyDiv w:val="1"/>
      <w:marLeft w:val="0"/>
      <w:marRight w:val="0"/>
      <w:marTop w:val="0"/>
      <w:marBottom w:val="0"/>
      <w:divBdr>
        <w:top w:val="none" w:sz="0" w:space="0" w:color="auto"/>
        <w:left w:val="none" w:sz="0" w:space="0" w:color="auto"/>
        <w:bottom w:val="none" w:sz="0" w:space="0" w:color="auto"/>
        <w:right w:val="none" w:sz="0" w:space="0" w:color="auto"/>
      </w:divBdr>
    </w:div>
    <w:div w:id="1875001117">
      <w:bodyDiv w:val="1"/>
      <w:marLeft w:val="0"/>
      <w:marRight w:val="0"/>
      <w:marTop w:val="0"/>
      <w:marBottom w:val="0"/>
      <w:divBdr>
        <w:top w:val="none" w:sz="0" w:space="0" w:color="auto"/>
        <w:left w:val="none" w:sz="0" w:space="0" w:color="auto"/>
        <w:bottom w:val="none" w:sz="0" w:space="0" w:color="auto"/>
        <w:right w:val="none" w:sz="0" w:space="0" w:color="auto"/>
      </w:divBdr>
    </w:div>
    <w:div w:id="1922790164">
      <w:bodyDiv w:val="1"/>
      <w:marLeft w:val="0"/>
      <w:marRight w:val="0"/>
      <w:marTop w:val="0"/>
      <w:marBottom w:val="0"/>
      <w:divBdr>
        <w:top w:val="none" w:sz="0" w:space="0" w:color="auto"/>
        <w:left w:val="none" w:sz="0" w:space="0" w:color="auto"/>
        <w:bottom w:val="none" w:sz="0" w:space="0" w:color="auto"/>
        <w:right w:val="none" w:sz="0" w:space="0" w:color="auto"/>
      </w:divBdr>
    </w:div>
    <w:div w:id="1936861415">
      <w:bodyDiv w:val="1"/>
      <w:marLeft w:val="0"/>
      <w:marRight w:val="0"/>
      <w:marTop w:val="0"/>
      <w:marBottom w:val="0"/>
      <w:divBdr>
        <w:top w:val="none" w:sz="0" w:space="0" w:color="auto"/>
        <w:left w:val="none" w:sz="0" w:space="0" w:color="auto"/>
        <w:bottom w:val="none" w:sz="0" w:space="0" w:color="auto"/>
        <w:right w:val="none" w:sz="0" w:space="0" w:color="auto"/>
      </w:divBdr>
    </w:div>
    <w:div w:id="1950891155">
      <w:bodyDiv w:val="1"/>
      <w:marLeft w:val="0"/>
      <w:marRight w:val="0"/>
      <w:marTop w:val="0"/>
      <w:marBottom w:val="0"/>
      <w:divBdr>
        <w:top w:val="none" w:sz="0" w:space="0" w:color="auto"/>
        <w:left w:val="none" w:sz="0" w:space="0" w:color="auto"/>
        <w:bottom w:val="none" w:sz="0" w:space="0" w:color="auto"/>
        <w:right w:val="none" w:sz="0" w:space="0" w:color="auto"/>
      </w:divBdr>
    </w:div>
    <w:div w:id="1955867676">
      <w:bodyDiv w:val="1"/>
      <w:marLeft w:val="0"/>
      <w:marRight w:val="0"/>
      <w:marTop w:val="0"/>
      <w:marBottom w:val="0"/>
      <w:divBdr>
        <w:top w:val="none" w:sz="0" w:space="0" w:color="auto"/>
        <w:left w:val="none" w:sz="0" w:space="0" w:color="auto"/>
        <w:bottom w:val="none" w:sz="0" w:space="0" w:color="auto"/>
        <w:right w:val="none" w:sz="0" w:space="0" w:color="auto"/>
      </w:divBdr>
    </w:div>
    <w:div w:id="1957979348">
      <w:bodyDiv w:val="1"/>
      <w:marLeft w:val="0"/>
      <w:marRight w:val="0"/>
      <w:marTop w:val="0"/>
      <w:marBottom w:val="0"/>
      <w:divBdr>
        <w:top w:val="none" w:sz="0" w:space="0" w:color="auto"/>
        <w:left w:val="none" w:sz="0" w:space="0" w:color="auto"/>
        <w:bottom w:val="none" w:sz="0" w:space="0" w:color="auto"/>
        <w:right w:val="none" w:sz="0" w:space="0" w:color="auto"/>
      </w:divBdr>
      <w:divsChild>
        <w:div w:id="1762414474">
          <w:marLeft w:val="0"/>
          <w:marRight w:val="0"/>
          <w:marTop w:val="0"/>
          <w:marBottom w:val="0"/>
          <w:divBdr>
            <w:top w:val="none" w:sz="0" w:space="0" w:color="auto"/>
            <w:left w:val="none" w:sz="0" w:space="0" w:color="auto"/>
            <w:bottom w:val="none" w:sz="0" w:space="0" w:color="auto"/>
            <w:right w:val="none" w:sz="0" w:space="0" w:color="auto"/>
          </w:divBdr>
        </w:div>
      </w:divsChild>
    </w:div>
    <w:div w:id="1974940335">
      <w:bodyDiv w:val="1"/>
      <w:marLeft w:val="0"/>
      <w:marRight w:val="0"/>
      <w:marTop w:val="0"/>
      <w:marBottom w:val="0"/>
      <w:divBdr>
        <w:top w:val="none" w:sz="0" w:space="0" w:color="auto"/>
        <w:left w:val="none" w:sz="0" w:space="0" w:color="auto"/>
        <w:bottom w:val="none" w:sz="0" w:space="0" w:color="auto"/>
        <w:right w:val="none" w:sz="0" w:space="0" w:color="auto"/>
      </w:divBdr>
      <w:divsChild>
        <w:div w:id="1253515466">
          <w:marLeft w:val="0"/>
          <w:marRight w:val="0"/>
          <w:marTop w:val="0"/>
          <w:marBottom w:val="0"/>
          <w:divBdr>
            <w:top w:val="none" w:sz="0" w:space="0" w:color="auto"/>
            <w:left w:val="none" w:sz="0" w:space="0" w:color="auto"/>
            <w:bottom w:val="none" w:sz="0" w:space="0" w:color="auto"/>
            <w:right w:val="none" w:sz="0" w:space="0" w:color="auto"/>
          </w:divBdr>
        </w:div>
      </w:divsChild>
    </w:div>
    <w:div w:id="2042854019">
      <w:bodyDiv w:val="1"/>
      <w:marLeft w:val="0"/>
      <w:marRight w:val="0"/>
      <w:marTop w:val="0"/>
      <w:marBottom w:val="0"/>
      <w:divBdr>
        <w:top w:val="none" w:sz="0" w:space="0" w:color="auto"/>
        <w:left w:val="none" w:sz="0" w:space="0" w:color="auto"/>
        <w:bottom w:val="none" w:sz="0" w:space="0" w:color="auto"/>
        <w:right w:val="none" w:sz="0" w:space="0" w:color="auto"/>
      </w:divBdr>
    </w:div>
    <w:div w:id="2051107644">
      <w:bodyDiv w:val="1"/>
      <w:marLeft w:val="0"/>
      <w:marRight w:val="0"/>
      <w:marTop w:val="0"/>
      <w:marBottom w:val="0"/>
      <w:divBdr>
        <w:top w:val="none" w:sz="0" w:space="0" w:color="auto"/>
        <w:left w:val="none" w:sz="0" w:space="0" w:color="auto"/>
        <w:bottom w:val="none" w:sz="0" w:space="0" w:color="auto"/>
        <w:right w:val="none" w:sz="0" w:space="0" w:color="auto"/>
      </w:divBdr>
      <w:divsChild>
        <w:div w:id="26876217">
          <w:marLeft w:val="0"/>
          <w:marRight w:val="0"/>
          <w:marTop w:val="0"/>
          <w:marBottom w:val="0"/>
          <w:divBdr>
            <w:top w:val="none" w:sz="0" w:space="0" w:color="auto"/>
            <w:left w:val="none" w:sz="0" w:space="0" w:color="auto"/>
            <w:bottom w:val="none" w:sz="0" w:space="0" w:color="auto"/>
            <w:right w:val="none" w:sz="0" w:space="0" w:color="auto"/>
          </w:divBdr>
          <w:divsChild>
            <w:div w:id="253051919">
              <w:marLeft w:val="0"/>
              <w:marRight w:val="0"/>
              <w:marTop w:val="0"/>
              <w:marBottom w:val="0"/>
              <w:divBdr>
                <w:top w:val="none" w:sz="0" w:space="0" w:color="auto"/>
                <w:left w:val="none" w:sz="0" w:space="0" w:color="auto"/>
                <w:bottom w:val="none" w:sz="0" w:space="0" w:color="auto"/>
                <w:right w:val="none" w:sz="0" w:space="0" w:color="auto"/>
              </w:divBdr>
            </w:div>
            <w:div w:id="1254972896">
              <w:marLeft w:val="0"/>
              <w:marRight w:val="0"/>
              <w:marTop w:val="0"/>
              <w:marBottom w:val="0"/>
              <w:divBdr>
                <w:top w:val="none" w:sz="0" w:space="0" w:color="auto"/>
                <w:left w:val="none" w:sz="0" w:space="0" w:color="auto"/>
                <w:bottom w:val="none" w:sz="0" w:space="0" w:color="auto"/>
                <w:right w:val="none" w:sz="0" w:space="0" w:color="auto"/>
              </w:divBdr>
            </w:div>
            <w:div w:id="1763718790">
              <w:marLeft w:val="0"/>
              <w:marRight w:val="0"/>
              <w:marTop w:val="0"/>
              <w:marBottom w:val="0"/>
              <w:divBdr>
                <w:top w:val="none" w:sz="0" w:space="0" w:color="auto"/>
                <w:left w:val="none" w:sz="0" w:space="0" w:color="auto"/>
                <w:bottom w:val="none" w:sz="0" w:space="0" w:color="auto"/>
                <w:right w:val="none" w:sz="0" w:space="0" w:color="auto"/>
              </w:divBdr>
            </w:div>
          </w:divsChild>
        </w:div>
        <w:div w:id="227692827">
          <w:marLeft w:val="0"/>
          <w:marRight w:val="0"/>
          <w:marTop w:val="0"/>
          <w:marBottom w:val="0"/>
          <w:divBdr>
            <w:top w:val="none" w:sz="0" w:space="0" w:color="auto"/>
            <w:left w:val="none" w:sz="0" w:space="0" w:color="auto"/>
            <w:bottom w:val="none" w:sz="0" w:space="0" w:color="auto"/>
            <w:right w:val="none" w:sz="0" w:space="0" w:color="auto"/>
          </w:divBdr>
          <w:divsChild>
            <w:div w:id="74397052">
              <w:marLeft w:val="0"/>
              <w:marRight w:val="0"/>
              <w:marTop w:val="0"/>
              <w:marBottom w:val="0"/>
              <w:divBdr>
                <w:top w:val="none" w:sz="0" w:space="0" w:color="auto"/>
                <w:left w:val="none" w:sz="0" w:space="0" w:color="auto"/>
                <w:bottom w:val="none" w:sz="0" w:space="0" w:color="auto"/>
                <w:right w:val="none" w:sz="0" w:space="0" w:color="auto"/>
              </w:divBdr>
            </w:div>
            <w:div w:id="1796026468">
              <w:marLeft w:val="0"/>
              <w:marRight w:val="0"/>
              <w:marTop w:val="0"/>
              <w:marBottom w:val="0"/>
              <w:divBdr>
                <w:top w:val="none" w:sz="0" w:space="0" w:color="auto"/>
                <w:left w:val="none" w:sz="0" w:space="0" w:color="auto"/>
                <w:bottom w:val="none" w:sz="0" w:space="0" w:color="auto"/>
                <w:right w:val="none" w:sz="0" w:space="0" w:color="auto"/>
              </w:divBdr>
            </w:div>
            <w:div w:id="2010671525">
              <w:marLeft w:val="0"/>
              <w:marRight w:val="0"/>
              <w:marTop w:val="0"/>
              <w:marBottom w:val="0"/>
              <w:divBdr>
                <w:top w:val="none" w:sz="0" w:space="0" w:color="auto"/>
                <w:left w:val="none" w:sz="0" w:space="0" w:color="auto"/>
                <w:bottom w:val="none" w:sz="0" w:space="0" w:color="auto"/>
                <w:right w:val="none" w:sz="0" w:space="0" w:color="auto"/>
              </w:divBdr>
            </w:div>
          </w:divsChild>
        </w:div>
        <w:div w:id="428359200">
          <w:marLeft w:val="0"/>
          <w:marRight w:val="0"/>
          <w:marTop w:val="0"/>
          <w:marBottom w:val="0"/>
          <w:divBdr>
            <w:top w:val="none" w:sz="0" w:space="0" w:color="auto"/>
            <w:left w:val="none" w:sz="0" w:space="0" w:color="auto"/>
            <w:bottom w:val="none" w:sz="0" w:space="0" w:color="auto"/>
            <w:right w:val="none" w:sz="0" w:space="0" w:color="auto"/>
          </w:divBdr>
          <w:divsChild>
            <w:div w:id="1859808981">
              <w:marLeft w:val="0"/>
              <w:marRight w:val="0"/>
              <w:marTop w:val="0"/>
              <w:marBottom w:val="0"/>
              <w:divBdr>
                <w:top w:val="none" w:sz="0" w:space="0" w:color="auto"/>
                <w:left w:val="none" w:sz="0" w:space="0" w:color="auto"/>
                <w:bottom w:val="none" w:sz="0" w:space="0" w:color="auto"/>
                <w:right w:val="none" w:sz="0" w:space="0" w:color="auto"/>
              </w:divBdr>
            </w:div>
          </w:divsChild>
        </w:div>
        <w:div w:id="941105903">
          <w:marLeft w:val="0"/>
          <w:marRight w:val="0"/>
          <w:marTop w:val="0"/>
          <w:marBottom w:val="0"/>
          <w:divBdr>
            <w:top w:val="none" w:sz="0" w:space="0" w:color="auto"/>
            <w:left w:val="none" w:sz="0" w:space="0" w:color="auto"/>
            <w:bottom w:val="none" w:sz="0" w:space="0" w:color="auto"/>
            <w:right w:val="none" w:sz="0" w:space="0" w:color="auto"/>
          </w:divBdr>
          <w:divsChild>
            <w:div w:id="789084124">
              <w:marLeft w:val="0"/>
              <w:marRight w:val="0"/>
              <w:marTop w:val="0"/>
              <w:marBottom w:val="0"/>
              <w:divBdr>
                <w:top w:val="none" w:sz="0" w:space="0" w:color="auto"/>
                <w:left w:val="none" w:sz="0" w:space="0" w:color="auto"/>
                <w:bottom w:val="none" w:sz="0" w:space="0" w:color="auto"/>
                <w:right w:val="none" w:sz="0" w:space="0" w:color="auto"/>
              </w:divBdr>
            </w:div>
            <w:div w:id="845367382">
              <w:marLeft w:val="0"/>
              <w:marRight w:val="0"/>
              <w:marTop w:val="0"/>
              <w:marBottom w:val="0"/>
              <w:divBdr>
                <w:top w:val="none" w:sz="0" w:space="0" w:color="auto"/>
                <w:left w:val="none" w:sz="0" w:space="0" w:color="auto"/>
                <w:bottom w:val="none" w:sz="0" w:space="0" w:color="auto"/>
                <w:right w:val="none" w:sz="0" w:space="0" w:color="auto"/>
              </w:divBdr>
            </w:div>
            <w:div w:id="1328052637">
              <w:marLeft w:val="0"/>
              <w:marRight w:val="0"/>
              <w:marTop w:val="0"/>
              <w:marBottom w:val="0"/>
              <w:divBdr>
                <w:top w:val="none" w:sz="0" w:space="0" w:color="auto"/>
                <w:left w:val="none" w:sz="0" w:space="0" w:color="auto"/>
                <w:bottom w:val="none" w:sz="0" w:space="0" w:color="auto"/>
                <w:right w:val="none" w:sz="0" w:space="0" w:color="auto"/>
              </w:divBdr>
            </w:div>
          </w:divsChild>
        </w:div>
        <w:div w:id="1043363414">
          <w:marLeft w:val="0"/>
          <w:marRight w:val="0"/>
          <w:marTop w:val="0"/>
          <w:marBottom w:val="0"/>
          <w:divBdr>
            <w:top w:val="none" w:sz="0" w:space="0" w:color="auto"/>
            <w:left w:val="none" w:sz="0" w:space="0" w:color="auto"/>
            <w:bottom w:val="none" w:sz="0" w:space="0" w:color="auto"/>
            <w:right w:val="none" w:sz="0" w:space="0" w:color="auto"/>
          </w:divBdr>
          <w:divsChild>
            <w:div w:id="1068963686">
              <w:marLeft w:val="0"/>
              <w:marRight w:val="0"/>
              <w:marTop w:val="0"/>
              <w:marBottom w:val="0"/>
              <w:divBdr>
                <w:top w:val="none" w:sz="0" w:space="0" w:color="auto"/>
                <w:left w:val="none" w:sz="0" w:space="0" w:color="auto"/>
                <w:bottom w:val="none" w:sz="0" w:space="0" w:color="auto"/>
                <w:right w:val="none" w:sz="0" w:space="0" w:color="auto"/>
              </w:divBdr>
            </w:div>
          </w:divsChild>
        </w:div>
        <w:div w:id="1051924054">
          <w:marLeft w:val="0"/>
          <w:marRight w:val="0"/>
          <w:marTop w:val="0"/>
          <w:marBottom w:val="0"/>
          <w:divBdr>
            <w:top w:val="none" w:sz="0" w:space="0" w:color="auto"/>
            <w:left w:val="none" w:sz="0" w:space="0" w:color="auto"/>
            <w:bottom w:val="none" w:sz="0" w:space="0" w:color="auto"/>
            <w:right w:val="none" w:sz="0" w:space="0" w:color="auto"/>
          </w:divBdr>
          <w:divsChild>
            <w:div w:id="1303580648">
              <w:marLeft w:val="0"/>
              <w:marRight w:val="0"/>
              <w:marTop w:val="0"/>
              <w:marBottom w:val="0"/>
              <w:divBdr>
                <w:top w:val="none" w:sz="0" w:space="0" w:color="auto"/>
                <w:left w:val="none" w:sz="0" w:space="0" w:color="auto"/>
                <w:bottom w:val="none" w:sz="0" w:space="0" w:color="auto"/>
                <w:right w:val="none" w:sz="0" w:space="0" w:color="auto"/>
              </w:divBdr>
            </w:div>
          </w:divsChild>
        </w:div>
        <w:div w:id="1164585466">
          <w:marLeft w:val="0"/>
          <w:marRight w:val="0"/>
          <w:marTop w:val="0"/>
          <w:marBottom w:val="0"/>
          <w:divBdr>
            <w:top w:val="none" w:sz="0" w:space="0" w:color="auto"/>
            <w:left w:val="none" w:sz="0" w:space="0" w:color="auto"/>
            <w:bottom w:val="none" w:sz="0" w:space="0" w:color="auto"/>
            <w:right w:val="none" w:sz="0" w:space="0" w:color="auto"/>
          </w:divBdr>
          <w:divsChild>
            <w:div w:id="2116753331">
              <w:marLeft w:val="0"/>
              <w:marRight w:val="0"/>
              <w:marTop w:val="0"/>
              <w:marBottom w:val="0"/>
              <w:divBdr>
                <w:top w:val="none" w:sz="0" w:space="0" w:color="auto"/>
                <w:left w:val="none" w:sz="0" w:space="0" w:color="auto"/>
                <w:bottom w:val="none" w:sz="0" w:space="0" w:color="auto"/>
                <w:right w:val="none" w:sz="0" w:space="0" w:color="auto"/>
              </w:divBdr>
            </w:div>
          </w:divsChild>
        </w:div>
        <w:div w:id="1548178557">
          <w:marLeft w:val="0"/>
          <w:marRight w:val="0"/>
          <w:marTop w:val="0"/>
          <w:marBottom w:val="0"/>
          <w:divBdr>
            <w:top w:val="none" w:sz="0" w:space="0" w:color="auto"/>
            <w:left w:val="none" w:sz="0" w:space="0" w:color="auto"/>
            <w:bottom w:val="none" w:sz="0" w:space="0" w:color="auto"/>
            <w:right w:val="none" w:sz="0" w:space="0" w:color="auto"/>
          </w:divBdr>
          <w:divsChild>
            <w:div w:id="712315741">
              <w:marLeft w:val="0"/>
              <w:marRight w:val="0"/>
              <w:marTop w:val="0"/>
              <w:marBottom w:val="0"/>
              <w:divBdr>
                <w:top w:val="none" w:sz="0" w:space="0" w:color="auto"/>
                <w:left w:val="none" w:sz="0" w:space="0" w:color="auto"/>
                <w:bottom w:val="none" w:sz="0" w:space="0" w:color="auto"/>
                <w:right w:val="none" w:sz="0" w:space="0" w:color="auto"/>
              </w:divBdr>
            </w:div>
          </w:divsChild>
        </w:div>
        <w:div w:id="1589079281">
          <w:marLeft w:val="0"/>
          <w:marRight w:val="0"/>
          <w:marTop w:val="0"/>
          <w:marBottom w:val="0"/>
          <w:divBdr>
            <w:top w:val="none" w:sz="0" w:space="0" w:color="auto"/>
            <w:left w:val="none" w:sz="0" w:space="0" w:color="auto"/>
            <w:bottom w:val="none" w:sz="0" w:space="0" w:color="auto"/>
            <w:right w:val="none" w:sz="0" w:space="0" w:color="auto"/>
          </w:divBdr>
          <w:divsChild>
            <w:div w:id="1783573469">
              <w:marLeft w:val="0"/>
              <w:marRight w:val="0"/>
              <w:marTop w:val="0"/>
              <w:marBottom w:val="0"/>
              <w:divBdr>
                <w:top w:val="none" w:sz="0" w:space="0" w:color="auto"/>
                <w:left w:val="none" w:sz="0" w:space="0" w:color="auto"/>
                <w:bottom w:val="none" w:sz="0" w:space="0" w:color="auto"/>
                <w:right w:val="none" w:sz="0" w:space="0" w:color="auto"/>
              </w:divBdr>
            </w:div>
          </w:divsChild>
        </w:div>
        <w:div w:id="1627540970">
          <w:marLeft w:val="0"/>
          <w:marRight w:val="0"/>
          <w:marTop w:val="0"/>
          <w:marBottom w:val="0"/>
          <w:divBdr>
            <w:top w:val="none" w:sz="0" w:space="0" w:color="auto"/>
            <w:left w:val="none" w:sz="0" w:space="0" w:color="auto"/>
            <w:bottom w:val="none" w:sz="0" w:space="0" w:color="auto"/>
            <w:right w:val="none" w:sz="0" w:space="0" w:color="auto"/>
          </w:divBdr>
          <w:divsChild>
            <w:div w:id="19060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4481">
      <w:bodyDiv w:val="1"/>
      <w:marLeft w:val="0"/>
      <w:marRight w:val="0"/>
      <w:marTop w:val="0"/>
      <w:marBottom w:val="0"/>
      <w:divBdr>
        <w:top w:val="none" w:sz="0" w:space="0" w:color="auto"/>
        <w:left w:val="none" w:sz="0" w:space="0" w:color="auto"/>
        <w:bottom w:val="none" w:sz="0" w:space="0" w:color="auto"/>
        <w:right w:val="none" w:sz="0" w:space="0" w:color="auto"/>
      </w:divBdr>
    </w:div>
    <w:div w:id="2072002245">
      <w:bodyDiv w:val="1"/>
      <w:marLeft w:val="0"/>
      <w:marRight w:val="0"/>
      <w:marTop w:val="0"/>
      <w:marBottom w:val="0"/>
      <w:divBdr>
        <w:top w:val="none" w:sz="0" w:space="0" w:color="auto"/>
        <w:left w:val="none" w:sz="0" w:space="0" w:color="auto"/>
        <w:bottom w:val="none" w:sz="0" w:space="0" w:color="auto"/>
        <w:right w:val="none" w:sz="0" w:space="0" w:color="auto"/>
      </w:divBdr>
    </w:div>
    <w:div w:id="2072536493">
      <w:bodyDiv w:val="1"/>
      <w:marLeft w:val="0"/>
      <w:marRight w:val="0"/>
      <w:marTop w:val="0"/>
      <w:marBottom w:val="0"/>
      <w:divBdr>
        <w:top w:val="none" w:sz="0" w:space="0" w:color="auto"/>
        <w:left w:val="none" w:sz="0" w:space="0" w:color="auto"/>
        <w:bottom w:val="none" w:sz="0" w:space="0" w:color="auto"/>
        <w:right w:val="none" w:sz="0" w:space="0" w:color="auto"/>
      </w:divBdr>
    </w:div>
    <w:div w:id="2094475527">
      <w:bodyDiv w:val="1"/>
      <w:marLeft w:val="0"/>
      <w:marRight w:val="0"/>
      <w:marTop w:val="0"/>
      <w:marBottom w:val="0"/>
      <w:divBdr>
        <w:top w:val="none" w:sz="0" w:space="0" w:color="auto"/>
        <w:left w:val="none" w:sz="0" w:space="0" w:color="auto"/>
        <w:bottom w:val="none" w:sz="0" w:space="0" w:color="auto"/>
        <w:right w:val="none" w:sz="0" w:space="0" w:color="auto"/>
      </w:divBdr>
      <w:divsChild>
        <w:div w:id="1833720211">
          <w:marLeft w:val="0"/>
          <w:marRight w:val="0"/>
          <w:marTop w:val="83"/>
          <w:marBottom w:val="0"/>
          <w:divBdr>
            <w:top w:val="none" w:sz="0" w:space="0" w:color="auto"/>
            <w:left w:val="none" w:sz="0" w:space="0" w:color="auto"/>
            <w:bottom w:val="none" w:sz="0" w:space="0" w:color="auto"/>
            <w:right w:val="none" w:sz="0" w:space="0" w:color="auto"/>
          </w:divBdr>
          <w:divsChild>
            <w:div w:id="692271248">
              <w:marLeft w:val="0"/>
              <w:marRight w:val="0"/>
              <w:marTop w:val="83"/>
              <w:marBottom w:val="0"/>
              <w:divBdr>
                <w:top w:val="none" w:sz="0" w:space="0" w:color="auto"/>
                <w:left w:val="none" w:sz="0" w:space="0" w:color="auto"/>
                <w:bottom w:val="none" w:sz="0" w:space="0" w:color="auto"/>
                <w:right w:val="none" w:sz="0" w:space="0" w:color="auto"/>
              </w:divBdr>
            </w:div>
            <w:div w:id="1299149451">
              <w:marLeft w:val="0"/>
              <w:marRight w:val="0"/>
              <w:marTop w:val="83"/>
              <w:marBottom w:val="0"/>
              <w:divBdr>
                <w:top w:val="none" w:sz="0" w:space="0" w:color="auto"/>
                <w:left w:val="none" w:sz="0" w:space="0" w:color="auto"/>
                <w:bottom w:val="none" w:sz="0" w:space="0" w:color="auto"/>
                <w:right w:val="none" w:sz="0" w:space="0" w:color="auto"/>
              </w:divBdr>
              <w:divsChild>
                <w:div w:id="1556515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2095542267">
      <w:bodyDiv w:val="1"/>
      <w:marLeft w:val="0"/>
      <w:marRight w:val="0"/>
      <w:marTop w:val="0"/>
      <w:marBottom w:val="0"/>
      <w:divBdr>
        <w:top w:val="none" w:sz="0" w:space="0" w:color="auto"/>
        <w:left w:val="none" w:sz="0" w:space="0" w:color="auto"/>
        <w:bottom w:val="none" w:sz="0" w:space="0" w:color="auto"/>
        <w:right w:val="none" w:sz="0" w:space="0" w:color="auto"/>
      </w:divBdr>
    </w:div>
    <w:div w:id="2121799318">
      <w:bodyDiv w:val="1"/>
      <w:marLeft w:val="0"/>
      <w:marRight w:val="0"/>
      <w:marTop w:val="0"/>
      <w:marBottom w:val="0"/>
      <w:divBdr>
        <w:top w:val="none" w:sz="0" w:space="0" w:color="auto"/>
        <w:left w:val="none" w:sz="0" w:space="0" w:color="auto"/>
        <w:bottom w:val="none" w:sz="0" w:space="0" w:color="auto"/>
        <w:right w:val="none" w:sz="0" w:space="0" w:color="auto"/>
      </w:divBdr>
      <w:divsChild>
        <w:div w:id="705374711">
          <w:marLeft w:val="0"/>
          <w:marRight w:val="0"/>
          <w:marTop w:val="0"/>
          <w:marBottom w:val="0"/>
          <w:divBdr>
            <w:top w:val="none" w:sz="0" w:space="0" w:color="auto"/>
            <w:left w:val="none" w:sz="0" w:space="0" w:color="auto"/>
            <w:bottom w:val="none" w:sz="0" w:space="0" w:color="auto"/>
            <w:right w:val="none" w:sz="0" w:space="0" w:color="auto"/>
          </w:divBdr>
        </w:div>
      </w:divsChild>
    </w:div>
    <w:div w:id="21348584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1.jpeg" Id="rId18" /><Relationship Type="http://schemas.openxmlformats.org/officeDocument/2006/relationships/hyperlink" Target="https://consult.environment.govt.nz/climate/nz-ets-unit-settings-and-regulatory-updates-2025" TargetMode="External" Id="rId26" /><Relationship Type="http://schemas.openxmlformats.org/officeDocument/2006/relationships/image" Target="media/image9.emf" Id="rId39" /><Relationship Type="http://schemas.openxmlformats.org/officeDocument/2006/relationships/header" Target="header5.xml" Id="rId21" /><Relationship Type="http://schemas.openxmlformats.org/officeDocument/2006/relationships/image" Target="media/image6.png" Id="rId34" /><Relationship Type="http://schemas.openxmlformats.org/officeDocument/2006/relationships/hyperlink" Target="https://consult.environment.govt.nz/climate/nz-ets-unit-settings-and-regulatory-updates-2025" TargetMode="External" Id="rId42" /><Relationship Type="http://schemas.openxmlformats.org/officeDocument/2006/relationships/footer" Target="footer7.xml" Id="rId47" /><Relationship Type="http://schemas.openxmlformats.org/officeDocument/2006/relationships/footer" Target="footer9.xml" Id="rId50" /><Relationship Type="http://schemas.microsoft.com/office/2020/10/relationships/intelligence" Target="intelligence2.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4.png"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yperlink" Target="https://environment.govt.nz/publications/annual-updates-to-new-zealand-emissions-trading-scheme-limits-and-price-control-settings-for-units-2025-technical-annex-to-the-consultation-document" TargetMode="External" Id="rId32" /><Relationship Type="http://schemas.openxmlformats.org/officeDocument/2006/relationships/hyperlink" Target="https://environment.govt.nz/publications/annual-updates-to-new-zealand-emissions-trading-scheme-limits-and-price-control-settings-for-units-2025-technical-annex-to-the-consultation-document" TargetMode="External" Id="rId37" /><Relationship Type="http://schemas.openxmlformats.org/officeDocument/2006/relationships/image" Target="media/image10.emf" Id="rId40" /><Relationship Type="http://schemas.openxmlformats.org/officeDocument/2006/relationships/header" Target="header7.xml" Id="rId45" /><Relationship Type="http://schemas.openxmlformats.org/officeDocument/2006/relationships/theme" Target="theme/theme1.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yperlink" Target="http://www.environment.govt.nz" TargetMode="External" Id="rId19" /><Relationship Type="http://schemas.openxmlformats.org/officeDocument/2006/relationships/hyperlink" Target="https://environment.govt.nz/publications/annual-updates-to-new-zealand-emissions-trading-scheme-limits-and-price-control-settings-for-units-2025-technical-annex-to-the-consultation-document" TargetMode="External" Id="rId31" /><Relationship Type="http://schemas.openxmlformats.org/officeDocument/2006/relationships/hyperlink" Target="mailto:etsconsultation@mfe.govt.nz"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footer" Target="footer4.xml" Id="rId22" /><Relationship Type="http://schemas.openxmlformats.org/officeDocument/2006/relationships/hyperlink" Target="mailto:etsconsultation@mfe.govt.nz" TargetMode="External" Id="rId27" /><Relationship Type="http://schemas.openxmlformats.org/officeDocument/2006/relationships/hyperlink" Target="https://www.climatecommission.govt.nz/our-work/advice-to-government-topic/nz-ets/our-advice-on-the-nz-ets/nz-ets-2026-2030/" TargetMode="External" Id="rId30" /><Relationship Type="http://schemas.openxmlformats.org/officeDocument/2006/relationships/hyperlink" Target="https://environment.govt.nz/publications/annual-updates-to-new-zealand-emissions-trading-scheme-limits-and-price-control-settings-for-units-2025-technical-annex-to-the-consultation-document" TargetMode="External" Id="rId35" /><Relationship Type="http://schemas.openxmlformats.org/officeDocument/2006/relationships/hyperlink" Target="mailto:etsconsultation@mfe.govt.nz" TargetMode="External" Id="rId43" /><Relationship Type="http://schemas.openxmlformats.org/officeDocument/2006/relationships/footer" Target="footer8.xml" Id="rId48" /><Relationship Type="http://schemas.openxmlformats.org/officeDocument/2006/relationships/settings" Target="settings.xml" Id="rId8" /><Relationship Type="http://schemas.openxmlformats.org/officeDocument/2006/relationships/image" Target="media/image11.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6.xml" Id="rId25" /><Relationship Type="http://schemas.openxmlformats.org/officeDocument/2006/relationships/image" Target="media/image5.emf" Id="rId33" /><Relationship Type="http://schemas.openxmlformats.org/officeDocument/2006/relationships/image" Target="media/image8.emf" Id="rId38" /><Relationship Type="http://schemas.openxmlformats.org/officeDocument/2006/relationships/header" Target="header8.xml" Id="rId46" /><Relationship Type="http://schemas.openxmlformats.org/officeDocument/2006/relationships/header" Target="header4.xml" Id="rId20" /><Relationship Type="http://schemas.openxmlformats.org/officeDocument/2006/relationships/hyperlink" Target="https://www.legislation.govt.nz/regulation/public/2020/0264/latest/LMS375230.html" TargetMode="External" Id="rId41" /><Relationship Type="http://schemas.microsoft.com/office/2019/05/relationships/documenttasks" Target="documenttasks/documenttasks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2.xml" Id="rId15" /><Relationship Type="http://schemas.openxmlformats.org/officeDocument/2006/relationships/footer" Target="footer5.xml" Id="rId23" /><Relationship Type="http://schemas.openxmlformats.org/officeDocument/2006/relationships/hyperlink" Target="https://environment.govt.nz/publications/proposed-changes-to-the-new-zealand-emissions-trading-scheme-regulations-2025-consultation-document" TargetMode="External" Id="rId28" /><Relationship Type="http://schemas.openxmlformats.org/officeDocument/2006/relationships/image" Target="media/image7.emf" Id="rId36" /><Relationship Type="http://schemas.openxmlformats.org/officeDocument/2006/relationships/header" Target="header9.xml" Id="rId49" /></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climate-change/ERP2/New-Zealands-second-emissions-reduction-plan-202630.pdf" TargetMode="External"/><Relationship Id="rId13" Type="http://schemas.openxmlformats.org/officeDocument/2006/relationships/hyperlink" Target="https://www.climatecommission.govt.nz/public/ETS-advice/2024/20240228_Technical-Annex-1_Unit-limit-settings.pdf" TargetMode="External"/><Relationship Id="rId3" Type="http://schemas.openxmlformats.org/officeDocument/2006/relationships/hyperlink" Target="https://www.climatecommission.govt.nz/our-work/advice-to-government-topic/nz-ets/our-advice-on-the-nz-ets/nz-ets-2026-2030/" TargetMode="External"/><Relationship Id="rId7" Type="http://schemas.openxmlformats.org/officeDocument/2006/relationships/hyperlink" Target="https://environment.govt.nz/what-government-is-doing/areas-of-work/climate-change/emissions-reductions/emissions-budgets-and-the-emissions-reduction-plan/" TargetMode="External"/><Relationship Id="rId12" Type="http://schemas.openxmlformats.org/officeDocument/2006/relationships/hyperlink" Target="https://www.climatecommission.govt.nz/our-work/advice-to-government-topic/nz-ets/our-advice-on-the-nz-ets/nz-ets-2026-2030/" TargetMode="External"/><Relationship Id="rId17" Type="http://schemas.openxmlformats.org/officeDocument/2006/relationships/hyperlink" Target="https://www.climatecommission.govt.nz/public/ETS-advice/2024/20240228_Technical-Annex-1_Unit-limit-settings.pdf" TargetMode="External"/><Relationship Id="rId2" Type="http://schemas.openxmlformats.org/officeDocument/2006/relationships/hyperlink" Target="https://www.climatecommission.govt.nz/our-work/advice-to-government-topic/nz-ets/our-advice-on-the-nz-ets/nz-ets-unit-limits-and-price-control-settings-2024-2028/" TargetMode="External"/><Relationship Id="rId16" Type="http://schemas.openxmlformats.org/officeDocument/2006/relationships/hyperlink" Target="https://environment.govt.nz/assets/publications/climate-change/nzets-nzu-surplus-advice.pdf" TargetMode="External"/><Relationship Id="rId1" Type="http://schemas.openxmlformats.org/officeDocument/2006/relationships/hyperlink" Target="https://www.legislation.govt.nz/act/public/2002/0040/latest/DLM4970254.html" TargetMode="External"/><Relationship Id="rId6" Type="http://schemas.openxmlformats.org/officeDocument/2006/relationships/hyperlink" Target="https://environment.govt.nz/publications/annual-updates-to-new-zealand-emissions-trading-scheme-limits-and-price-control-settings-for-units-2025-technical-annex-to-the-consultation-document" TargetMode="External"/><Relationship Id="rId11" Type="http://schemas.openxmlformats.org/officeDocument/2006/relationships/hyperlink" Target="https://www.climatecommission.govt.nz/public/ETS-advice/2024/CCC-NZ-ETS-Forestry-Model-v2.0.xlsx" TargetMode="External"/><Relationship Id="rId5" Type="http://schemas.openxmlformats.org/officeDocument/2006/relationships/hyperlink" Target="https://environment.govt.nz/publications/updates-to-the-new-zealand-emissions-trading-scheme-market-model-february-2025/" TargetMode="External"/><Relationship Id="rId15" Type="http://schemas.openxmlformats.org/officeDocument/2006/relationships/hyperlink" Target="https://www.climatecommission.govt.nz/public/ETS-advice/2024/20240228_Technical-Annex-1_Unit-limit-settings.pdf" TargetMode="External"/><Relationship Id="rId10" Type="http://schemas.openxmlformats.org/officeDocument/2006/relationships/hyperlink" Target="https://environment.govt.nz/assets/publications/climate-change/nzets-nzu-surplus-advice.pdf" TargetMode="External"/><Relationship Id="rId4" Type="http://schemas.openxmlformats.org/officeDocument/2006/relationships/hyperlink" Target="https://environment.govt.nz/publications/review-of-the-new-zealand-emissions-trading-scheme-summary-of-modelling/" TargetMode="External"/><Relationship Id="rId9" Type="http://schemas.openxmlformats.org/officeDocument/2006/relationships/hyperlink" Target="https://www.climatecommission.govt.nz/public/ETS-advice/2025/NZETS2025-Technical-annex-1-unit-limits.pdf" TargetMode="External"/><Relationship Id="rId14" Type="http://schemas.openxmlformats.org/officeDocument/2006/relationships/hyperlink" Target="https://www.climatecommission.govt.nz/public/ETS-advice/2024/20240228_Technical-Annex-1_Unit-limit-settings.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101537D2-C663-4DA7-A57A-E9991ED6C95F}">
    <t:Anchor>
      <t:Comment id="330500556"/>
    </t:Anchor>
    <t:History>
      <t:Event id="{12629614-B654-412F-B8DB-F96D3C634958}" time="2025-05-12T04:20:59.973Z">
        <t:Attribution userId="S::Mark.Vink@mfe.govt.nz::652bfdf0-1fba-489d-9f04-c20dbad56fe0" userProvider="AD" userName="Mark Vink"/>
        <t:Anchor>
          <t:Comment id="330500556"/>
        </t:Anchor>
        <t:Create/>
      </t:Event>
      <t:Event id="{C54BB877-3FF7-47BE-8DCE-922EFCA3B499}" time="2025-05-12T04:20:59.973Z">
        <t:Attribution userId="S::Mark.Vink@mfe.govt.nz::652bfdf0-1fba-489d-9f04-c20dbad56fe0" userProvider="AD" userName="Mark Vink"/>
        <t:Anchor>
          <t:Comment id="330500556"/>
        </t:Anchor>
        <t:Assign userId="S::Joshua.Finegan@mfe.govt.nz::70d8e1aa-59a8-4939-9ef7-d860e3314614" userProvider="AD" userName="Josh Finegan"/>
      </t:Event>
      <t:Event id="{C03D2E6D-3EF0-4CF3-8EC4-754A5FF098F2}" time="2025-05-12T04:20:59.973Z">
        <t:Attribution userId="S::Mark.Vink@mfe.govt.nz::652bfdf0-1fba-489d-9f04-c20dbad56fe0" userProvider="AD" userName="Mark Vink"/>
        <t:Anchor>
          <t:Comment id="330500556"/>
        </t:Anchor>
        <t:SetTitle title="@Josh Finegan just checking whether we expect to be able to refine this number to a single point estimate by the time of publication (and get agreement from CCC?)"/>
      </t:Event>
      <t:Event id="{2A6D2B0C-73F5-47AC-BD4D-9B4D20482135}" time="2025-05-13T05:04:33.033Z">
        <t:Attribution userId="S::Arek.Wojasz@mfe.govt.nz::ccc9fad9-f30e-4ebe-a50d-f290e3c22e6b" userProvider="AD" userName="Arek Wojasz"/>
        <t:Progress percentComplete="100"/>
      </t:Event>
    </t:History>
  </t:Task>
  <t:Task id="{6D56F90F-CA08-40DB-BFBD-67CD44F0B7D6}">
    <t:Anchor>
      <t:Comment id="170986323"/>
    </t:Anchor>
    <t:History>
      <t:Event id="{8DABF785-8583-41A5-A4AD-1B5136341189}" time="2022-07-28T03:12:04.548Z">
        <t:Attribution userId="S::hemi.smiler@mfe.govt.nz::abcd15df-0f24-4fab-b244-4f255ff4783b" userProvider="AD" userName="Hemi Smiler"/>
        <t:Anchor>
          <t:Comment id="170986323"/>
        </t:Anchor>
        <t:Create/>
      </t:Event>
      <t:Event id="{1AADC907-68A0-4E6C-AD29-6FFEB5ABA331}" time="2022-07-28T03:12:04.548Z">
        <t:Attribution userId="S::hemi.smiler@mfe.govt.nz::abcd15df-0f24-4fab-b244-4f255ff4783b" userProvider="AD" userName="Hemi Smiler"/>
        <t:Anchor>
          <t:Comment id="170986323"/>
        </t:Anchor>
        <t:Assign userId="S::Dave.Hodson1@mfe.govt.nz::60ce8d1a-348a-4ac5-9c02-1056be03b8b9" userProvider="AD" userName="Dave Hodson"/>
      </t:Event>
      <t:Event id="{B523B5E2-DC08-4B7D-8A08-4BA605FA99BD}" time="2022-07-28T03:12:04.548Z">
        <t:Attribution userId="S::hemi.smiler@mfe.govt.nz::abcd15df-0f24-4fab-b244-4f255ff4783b" userProvider="AD" userName="Hemi Smiler"/>
        <t:Anchor>
          <t:Comment id="170986323"/>
        </t:Anchor>
        <t:SetTitle title="@Dave Hodson does the criteria need to assess options against the other factors that the Minister must assess the options through (can't remember the exact language) which included things like inflation and alike?"/>
      </t:Event>
    </t:History>
  </t:Task>
</t:Task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ECM-1122293896-126152</_dlc_DocId>
    <_dlc_DocIdUrl xmlns="58a6f171-52cb-4404-b47d-af1c8daf8fd1">
      <Url>https://ministryforenvironment.sharepoint.com/sites/ECM-ER-Comms/_layouts/15/DocIdRedir.aspx?ID=ECM-1122293896-126152</Url>
      <Description>ECM-1122293896-126152</Description>
    </_dlc_DocIdUrl>
    <IconOverlay xmlns="http://schemas.microsoft.com/sharepoint/v4" xsi:nil="true"/>
    <TaxCatchAll xmlns="58a6f171-52cb-4404-b47d-af1c8daf8fd1" xsi:nil="true"/>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Receiver_x0020_Date xmlns="4a94300e-a927-4b92-9d3a-682523035cb6" xsi:nil="true"/>
    <Status xmlns="4a94300e-a927-4b92-9d3a-682523035cb6" xsi:nil="true"/>
    <Document_x0020_Type xmlns="4a94300e-a927-4b92-9d3a-682523035cb6" xsi:nil="true"/>
    <lcf76f155ced4ddcb4097134ff3c332f xmlns="4a94300e-a927-4b92-9d3a-682523035cb6">
      <Terms xmlns="http://schemas.microsoft.com/office/infopath/2007/PartnerControls"/>
    </lcf76f155ced4ddcb4097134ff3c332f>
    <SharedWithUsers xmlns="0a5b0190-e301-4766-933d-448c7c363fce">
      <UserInfo>
        <DisplayName/>
        <AccountId xsi:nil="true"/>
        <AccountType/>
      </UserInfo>
    </SharedWithUsers>
    <From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5448B-8825-4ABA-89DA-C3C55D959C25}">
  <ds:schemaRefs>
    <ds:schemaRef ds:uri="http://schemas.microsoft.com/sharepoint/v3/contenttype/forms"/>
  </ds:schemaRefs>
</ds:datastoreItem>
</file>

<file path=customXml/itemProps2.xml><?xml version="1.0" encoding="utf-8"?>
<ds:datastoreItem xmlns:ds="http://schemas.openxmlformats.org/officeDocument/2006/customXml" ds:itemID="{13DB9FFE-89FE-4C07-ADC1-3AC10D9CFAD4}">
  <ds:schemaRefs>
    <ds:schemaRef ds:uri="http://schemas.microsoft.com/sharepoint/events"/>
  </ds:schemaRefs>
</ds:datastoreItem>
</file>

<file path=customXml/itemProps3.xml><?xml version="1.0" encoding="utf-8"?>
<ds:datastoreItem xmlns:ds="http://schemas.openxmlformats.org/officeDocument/2006/customXml" ds:itemID="{6F8783D4-912C-441D-BAD5-F7C2602BB184}">
  <ds:schemaRefs>
    <ds:schemaRef ds:uri="http://schemas.microsoft.com/office/2006/metadata/properties"/>
    <ds:schemaRef ds:uri="http://schemas.microsoft.com/office/infopath/2007/PartnerControls"/>
    <ds:schemaRef ds:uri="http://schemas.microsoft.com/sharepoint/v3"/>
    <ds:schemaRef ds:uri="58a6f171-52cb-4404-b47d-af1c8daf8fd1"/>
    <ds:schemaRef ds:uri="http://schemas.microsoft.com/sharepoint/v4"/>
    <ds:schemaRef ds:uri="4a94300e-a927-4b92-9d3a-682523035cb6"/>
    <ds:schemaRef ds:uri="0a5b0190-e301-4766-933d-448c7c363fce"/>
  </ds:schemaRefs>
</ds:datastoreItem>
</file>

<file path=customXml/itemProps4.xml><?xml version="1.0" encoding="utf-8"?>
<ds:datastoreItem xmlns:ds="http://schemas.openxmlformats.org/officeDocument/2006/customXml" ds:itemID="{F5C282D1-3D9D-48FA-93BB-4D1E83F03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stirlingl</dc:creator>
  <keywords/>
  <lastModifiedBy>Katrina Walsh</lastModifiedBy>
  <revision>115</revision>
  <lastPrinted>2025-05-27T00:21:00.0000000Z</lastPrinted>
  <dcterms:created xsi:type="dcterms:W3CDTF">2025-05-26T16:07:00.0000000Z</dcterms:created>
  <dcterms:modified xsi:type="dcterms:W3CDTF">2025-05-27T04:52:34.4718275Z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43253df8,15a908e6,44dddf63,74bd74e0,897ec07,59530cf8,5e406965,55aacc86,2ed9759d,6b5f62d0,3f88c316,2c955f9e</vt:lpwstr>
  </property>
  <property fmtid="{D5CDD505-2E9C-101B-9397-08002B2CF9AE}" pid="4" name="ClassificationContentMarkingHeaderFontProps">
    <vt:lpwstr>#000000,10,Calibri</vt:lpwstr>
  </property>
  <property fmtid="{D5CDD505-2E9C-101B-9397-08002B2CF9AE}" pid="5" name="ClassificationContentMarkingHeaderText">
    <vt:lpwstr>COMMERCIAL</vt:lpwstr>
  </property>
  <property fmtid="{D5CDD505-2E9C-101B-9397-08002B2CF9AE}" pid="6" name="ClassificationContentMarkingFooterShapeIds">
    <vt:lpwstr>5b4ad186,6f779742,77a2d646,2273c64c,7dda6e27,572deb90,43809633,7551bc20,44f350c8,4d5cb2c7,5ae0ae89,6a2b5c8b</vt:lpwstr>
  </property>
  <property fmtid="{D5CDD505-2E9C-101B-9397-08002B2CF9AE}" pid="7" name="ClassificationContentMarkingFooterFontProps">
    <vt:lpwstr>#000000,10,Calibri</vt:lpwstr>
  </property>
  <property fmtid="{D5CDD505-2E9C-101B-9397-08002B2CF9AE}" pid="8" name="ClassificationContentMarkingFooterText">
    <vt:lpwstr>COMMERCIAL</vt:lpwstr>
  </property>
  <property fmtid="{D5CDD505-2E9C-101B-9397-08002B2CF9AE}" pid="9" name="ComplianceAssetId">
    <vt:lpwstr/>
  </property>
  <property fmtid="{D5CDD505-2E9C-101B-9397-08002B2CF9AE}" pid="10" name="_ExtendedDescription">
    <vt:lpwstr/>
  </property>
  <property fmtid="{D5CDD505-2E9C-101B-9397-08002B2CF9AE}" pid="11" name="_activity">
    <vt:lpwstr>{"FileActivityType":"6","FileActivityTimeStamp":"2025-01-24T01:38:08.150Z","FileActivityUsersOnPage":[{"DisplayName":"Arek Wojasz","Id":"arek.wojasz@mfe.govt.nz"}],"FileActivityNavigationId":null}</vt:lpwstr>
  </property>
  <property fmtid="{D5CDD505-2E9C-101B-9397-08002B2CF9AE}" pid="12" name="TriggerFlowInfo">
    <vt:lpwstr/>
  </property>
  <property fmtid="{D5CDD505-2E9C-101B-9397-08002B2CF9AE}" pid="13" name="ContentTypeId">
    <vt:lpwstr>0x010100EA5FB0BEBF7DE54D9F252D8A06C053F7</vt:lpwstr>
  </property>
  <property fmtid="{D5CDD505-2E9C-101B-9397-08002B2CF9AE}" pid="14" name="_dlc_DocIdItemGuid">
    <vt:lpwstr>8c0694d9-6b87-4790-9910-c797bc7bcbef</vt:lpwstr>
  </property>
  <property fmtid="{D5CDD505-2E9C-101B-9397-08002B2CF9AE}" pid="15" name="MSIP_Label_52dda6cc-d61d-4fd2-bf18-9b3017d931cc_Enabled">
    <vt:lpwstr>true</vt:lpwstr>
  </property>
  <property fmtid="{D5CDD505-2E9C-101B-9397-08002B2CF9AE}" pid="16" name="MSIP_Label_52dda6cc-d61d-4fd2-bf18-9b3017d931cc_SetDate">
    <vt:lpwstr>2025-05-26T21:40:28Z</vt:lpwstr>
  </property>
  <property fmtid="{D5CDD505-2E9C-101B-9397-08002B2CF9AE}" pid="17" name="MSIP_Label_52dda6cc-d61d-4fd2-bf18-9b3017d931cc_Method">
    <vt:lpwstr>Privileged</vt:lpwstr>
  </property>
  <property fmtid="{D5CDD505-2E9C-101B-9397-08002B2CF9AE}" pid="18" name="MSIP_Label_52dda6cc-d61d-4fd2-bf18-9b3017d931cc_Name">
    <vt:lpwstr>[UNCLASSIFIED]</vt:lpwstr>
  </property>
  <property fmtid="{D5CDD505-2E9C-101B-9397-08002B2CF9AE}" pid="19" name="MSIP_Label_52dda6cc-d61d-4fd2-bf18-9b3017d931cc_SiteId">
    <vt:lpwstr>761dd003-d4ff-4049-8a72-8549b20fcbb1</vt:lpwstr>
  </property>
  <property fmtid="{D5CDD505-2E9C-101B-9397-08002B2CF9AE}" pid="20" name="MSIP_Label_52dda6cc-d61d-4fd2-bf18-9b3017d931cc_ActionId">
    <vt:lpwstr>208b2381-a0c8-4db0-b096-d9560a6b3d1a</vt:lpwstr>
  </property>
  <property fmtid="{D5CDD505-2E9C-101B-9397-08002B2CF9AE}" pid="21" name="MSIP_Label_52dda6cc-d61d-4fd2-bf18-9b3017d931cc_ContentBits">
    <vt:lpwstr>0</vt:lpwstr>
  </property>
  <property fmtid="{D5CDD505-2E9C-101B-9397-08002B2CF9AE}" pid="22" name="MSIP_Label_52dda6cc-d61d-4fd2-bf18-9b3017d931cc_Tag">
    <vt:lpwstr>10, 0, 1, 1</vt:lpwstr>
  </property>
</Properties>
</file>