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596E" w14:textId="1E001B87" w:rsidR="007D7EB4" w:rsidRPr="007D7EB4" w:rsidRDefault="007D7EB4" w:rsidP="007D7EB4">
      <w:pPr>
        <w:pStyle w:val="Title"/>
      </w:pPr>
      <w:r w:rsidRPr="007D7EB4">
        <w:t xml:space="preserve">2025 Report on </w:t>
      </w:r>
      <w:r w:rsidR="00B26488">
        <w:t>R</w:t>
      </w:r>
      <w:r w:rsidRPr="007D7EB4">
        <w:t xml:space="preserve">easons for </w:t>
      </w:r>
      <w:r w:rsidR="00B26488">
        <w:t>D</w:t>
      </w:r>
      <w:r w:rsidRPr="007D7EB4">
        <w:t xml:space="preserve">ifferences between </w:t>
      </w:r>
      <w:r w:rsidR="00B26488">
        <w:t>P</w:t>
      </w:r>
      <w:r w:rsidRPr="007D7EB4">
        <w:t xml:space="preserve">rescribed NZ ETS </w:t>
      </w:r>
      <w:r w:rsidR="00B26488">
        <w:t>L</w:t>
      </w:r>
      <w:r w:rsidRPr="007D7EB4">
        <w:t xml:space="preserve">imits and </w:t>
      </w:r>
      <w:r w:rsidR="00B26488">
        <w:t>P</w:t>
      </w:r>
      <w:r w:rsidRPr="007D7EB4">
        <w:t xml:space="preserve">rice </w:t>
      </w:r>
      <w:r w:rsidR="00B26488">
        <w:t>C</w:t>
      </w:r>
      <w:r w:rsidRPr="007D7EB4">
        <w:t xml:space="preserve">ontrol </w:t>
      </w:r>
      <w:r w:rsidR="00B26488">
        <w:t>S</w:t>
      </w:r>
      <w:r w:rsidRPr="007D7EB4">
        <w:t xml:space="preserve">ettings for </w:t>
      </w:r>
      <w:r w:rsidR="00B26488">
        <w:t>U</w:t>
      </w:r>
      <w:r w:rsidRPr="007D7EB4">
        <w:t xml:space="preserve">nits and the Climate Change Commission’s </w:t>
      </w:r>
      <w:r w:rsidR="00B26488">
        <w:t>A</w:t>
      </w:r>
      <w:r w:rsidRPr="007D7EB4">
        <w:t xml:space="preserve">dvice on these </w:t>
      </w:r>
      <w:r w:rsidR="00B26488">
        <w:t>S</w:t>
      </w:r>
      <w:r w:rsidRPr="007D7EB4">
        <w:t>ettings</w:t>
      </w:r>
    </w:p>
    <w:p w14:paraId="048CA3C3" w14:textId="77777777" w:rsidR="007D7EB4" w:rsidRDefault="007D7EB4" w:rsidP="007D7EB4">
      <w:pPr>
        <w:pStyle w:val="Subtitle"/>
      </w:pPr>
      <w:r>
        <w:t>24 October 2025</w:t>
      </w:r>
    </w:p>
    <w:p w14:paraId="2AF6AE58" w14:textId="77777777" w:rsidR="00683D56" w:rsidRDefault="00683D56" w:rsidP="007D7EB4">
      <w:pPr>
        <w:pStyle w:val="References"/>
      </w:pPr>
    </w:p>
    <w:p w14:paraId="3B342347" w14:textId="77777777" w:rsidR="00683D56" w:rsidRDefault="00683D56" w:rsidP="007D7EB4">
      <w:pPr>
        <w:pStyle w:val="References"/>
      </w:pPr>
    </w:p>
    <w:p w14:paraId="5D104761" w14:textId="77777777" w:rsidR="00683D56" w:rsidRDefault="007D7EB4" w:rsidP="007D7EB4">
      <w:pPr>
        <w:pStyle w:val="References"/>
        <w:rPr>
          <w:color w:val="1B556B"/>
        </w:rPr>
        <w:sectPr w:rsidR="00683D56" w:rsidSect="00683D56">
          <w:headerReference w:type="default" r:id="rId12"/>
          <w:footerReference w:type="default" r:id="rId13"/>
          <w:headerReference w:type="first" r:id="rId14"/>
          <w:footerReference w:type="first" r:id="rId15"/>
          <w:pgSz w:w="11907" w:h="16840" w:code="9"/>
          <w:pgMar w:top="5670" w:right="1701" w:bottom="1701" w:left="1701" w:header="567" w:footer="1134" w:gutter="0"/>
          <w:cols w:space="720"/>
          <w:titlePg/>
          <w:docGrid w:linePitch="299"/>
        </w:sectPr>
      </w:pPr>
      <w:r w:rsidRPr="008D53B0">
        <w:rPr>
          <w:color w:val="1B556B"/>
        </w:rPr>
        <w:t>Presented to the House of Representatives pursuant to section 30</w:t>
      </w:r>
      <w:proofErr w:type="gramStart"/>
      <w:r w:rsidRPr="008D53B0">
        <w:rPr>
          <w:color w:val="1B556B"/>
        </w:rPr>
        <w:t>GC(</w:t>
      </w:r>
      <w:proofErr w:type="gramEnd"/>
      <w:r w:rsidRPr="008D53B0">
        <w:rPr>
          <w:color w:val="1B556B"/>
        </w:rPr>
        <w:t>7) of the Climate Change Response Act 2002</w:t>
      </w:r>
      <w:r w:rsidR="00683D56">
        <w:rPr>
          <w:color w:val="1B556B"/>
        </w:rPr>
        <w:t xml:space="preserve">. </w:t>
      </w:r>
    </w:p>
    <w:p w14:paraId="76E51707" w14:textId="77777777" w:rsidR="00BC6F7E" w:rsidRPr="006B77BB" w:rsidRDefault="00BC6F7E" w:rsidP="00BC6F7E">
      <w:pPr>
        <w:pStyle w:val="Imprint"/>
        <w:spacing w:before="0" w:after="0"/>
        <w:rPr>
          <w:b/>
        </w:rPr>
      </w:pPr>
      <w:r w:rsidRPr="006B77BB">
        <w:rPr>
          <w:b/>
        </w:rPr>
        <w:lastRenderedPageBreak/>
        <w:t>Disclaimer</w:t>
      </w:r>
    </w:p>
    <w:p w14:paraId="2A58D6F6" w14:textId="77777777" w:rsidR="00BC6F7E" w:rsidRDefault="00BC6F7E" w:rsidP="00BC6F7E">
      <w:pPr>
        <w:pStyle w:val="Imprin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2D3B7056" w14:textId="77777777" w:rsidR="00BC6F7E" w:rsidRDefault="00BC6F7E" w:rsidP="00BC6F7E">
      <w:pPr>
        <w:pStyle w:val="Bullet"/>
      </w:pPr>
      <w:r>
        <w:t xml:space="preserve">the information does not alter the laws of New Zealand, other official guidelines, or requirements </w:t>
      </w:r>
    </w:p>
    <w:p w14:paraId="5C516C55" w14:textId="77777777" w:rsidR="00BC6F7E" w:rsidRDefault="00BC6F7E" w:rsidP="00BC6F7E">
      <w:pPr>
        <w:pStyle w:val="Bullet"/>
      </w:pPr>
      <w:r>
        <w:t xml:space="preserve">it does not constitute legal advice, and users should take specific advice from qualified professionals before taking any action based on information in this publication </w:t>
      </w:r>
    </w:p>
    <w:p w14:paraId="3AB5D198" w14:textId="77777777" w:rsidR="00BC6F7E" w:rsidRDefault="00BC6F7E" w:rsidP="00BC6F7E">
      <w:pPr>
        <w:pStyle w:val="Bullet"/>
      </w:pPr>
      <w:r>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6C369074" w14:textId="77777777" w:rsidR="00BC6F7E" w:rsidRPr="006B77BB" w:rsidRDefault="00BC6F7E" w:rsidP="00BC6F7E">
      <w:pPr>
        <w:pStyle w:val="Bullet"/>
      </w:pPr>
      <w:r>
        <w:t>all references to websites, organisations or people not within the Ministry are for convenience only and should not be taken as endorsement of those websites or information contained in those websites nor of organisations or people referred to.</w:t>
      </w:r>
    </w:p>
    <w:p w14:paraId="4626801F" w14:textId="77777777" w:rsidR="00BC6F7E" w:rsidRDefault="00BC6F7E" w:rsidP="00BC6F7E">
      <w:pPr>
        <w:pStyle w:val="Imprint"/>
      </w:pPr>
    </w:p>
    <w:p w14:paraId="2044A5E2" w14:textId="77777777" w:rsidR="000D3FBD" w:rsidRPr="006B77BB" w:rsidRDefault="000D3FBD" w:rsidP="00BC6F7E">
      <w:pPr>
        <w:pStyle w:val="Imprint"/>
      </w:pPr>
    </w:p>
    <w:p w14:paraId="4E0E1188" w14:textId="383B1F2B" w:rsidR="00BC6F7E" w:rsidRPr="00B26488" w:rsidRDefault="00BC6F7E" w:rsidP="00BC6F7E">
      <w:pPr>
        <w:pStyle w:val="Imprint"/>
        <w:rPr>
          <w:b/>
          <w:i/>
          <w:highlight w:val="yellow"/>
        </w:rPr>
      </w:pPr>
      <w:r w:rsidRPr="006B77BB">
        <w:t xml:space="preserve">This document may be cited as: Ministry for the Environment. </w:t>
      </w:r>
      <w:r w:rsidR="00CE1301">
        <w:t>2025</w:t>
      </w:r>
      <w:r w:rsidRPr="006B77BB">
        <w:t xml:space="preserve">. </w:t>
      </w:r>
      <w:r w:rsidR="00B26488" w:rsidRPr="00B26488">
        <w:rPr>
          <w:bCs/>
          <w:i/>
        </w:rPr>
        <w:t>2025 Report on Reasons for Differences between Prescribed NZ ETS Limits and Price Control Settings for Units and the Climate Change Commission’s Advice on these Settings</w:t>
      </w:r>
      <w:r w:rsidRPr="00B26488">
        <w:rPr>
          <w:bCs/>
        </w:rPr>
        <w:t>.</w:t>
      </w:r>
      <w:r w:rsidRPr="006B77BB">
        <w:t xml:space="preserve"> Wellington: Ministry for the Environment.</w:t>
      </w:r>
    </w:p>
    <w:p w14:paraId="0CC37A4E" w14:textId="77777777" w:rsidR="00BC6F7E" w:rsidRDefault="00BC6F7E" w:rsidP="00BC6F7E">
      <w:pPr>
        <w:pStyle w:val="Imprint"/>
      </w:pPr>
    </w:p>
    <w:p w14:paraId="4237CB64" w14:textId="77777777" w:rsidR="00BC6F7E" w:rsidRDefault="00BC6F7E" w:rsidP="00BC6F7E">
      <w:pPr>
        <w:pStyle w:val="Imprint"/>
      </w:pPr>
    </w:p>
    <w:p w14:paraId="718298FC" w14:textId="77777777" w:rsidR="00BC6F7E" w:rsidRDefault="00BC6F7E" w:rsidP="00BC6F7E">
      <w:pPr>
        <w:pStyle w:val="Imprint"/>
      </w:pPr>
    </w:p>
    <w:p w14:paraId="033BDA17" w14:textId="77777777" w:rsidR="000D3FBD" w:rsidRDefault="000D3FBD" w:rsidP="00BC6F7E">
      <w:pPr>
        <w:pStyle w:val="Imprint"/>
      </w:pPr>
    </w:p>
    <w:p w14:paraId="77988322" w14:textId="77777777" w:rsidR="00BC6F7E" w:rsidRDefault="00BC6F7E" w:rsidP="00BC6F7E">
      <w:pPr>
        <w:pStyle w:val="Imprint"/>
      </w:pPr>
    </w:p>
    <w:p w14:paraId="30EB97A7" w14:textId="77777777" w:rsidR="00BC6F7E" w:rsidRPr="006B77BB" w:rsidRDefault="00BC6F7E" w:rsidP="00BC6F7E">
      <w:pPr>
        <w:pStyle w:val="Imprint"/>
      </w:pPr>
    </w:p>
    <w:p w14:paraId="5925B583" w14:textId="4894422F" w:rsidR="00BC6F7E" w:rsidRPr="006B77BB" w:rsidRDefault="00BC6F7E" w:rsidP="00BC6F7E">
      <w:pPr>
        <w:pStyle w:val="Imprint"/>
      </w:pPr>
      <w:r w:rsidRPr="006B77BB">
        <w:t xml:space="preserve">Published in </w:t>
      </w:r>
      <w:r w:rsidR="00CE1301">
        <w:t>October 2025</w:t>
      </w:r>
      <w:r w:rsidRPr="006B77BB">
        <w:t xml:space="preserve"> by the</w:t>
      </w:r>
      <w:r w:rsidRPr="006B77BB">
        <w:br/>
        <w:t xml:space="preserve">Ministry for the Environment </w:t>
      </w:r>
      <w:r w:rsidRPr="006B77BB">
        <w:br/>
      </w:r>
      <w:proofErr w:type="spellStart"/>
      <w:r w:rsidRPr="006B77BB">
        <w:t>Manatū</w:t>
      </w:r>
      <w:proofErr w:type="spellEnd"/>
      <w:r w:rsidRPr="006B77BB">
        <w:t xml:space="preserve"> </w:t>
      </w:r>
      <w:proofErr w:type="spellStart"/>
      <w:r>
        <w:t>m</w:t>
      </w:r>
      <w:r w:rsidRPr="006B77BB">
        <w:t>ō</w:t>
      </w:r>
      <w:proofErr w:type="spellEnd"/>
      <w:r w:rsidRPr="006B77BB">
        <w:t xml:space="preserve"> </w:t>
      </w:r>
      <w:proofErr w:type="spellStart"/>
      <w:r>
        <w:t>t</w:t>
      </w:r>
      <w:r w:rsidRPr="006B77BB">
        <w:t>e</w:t>
      </w:r>
      <w:proofErr w:type="spellEnd"/>
      <w:r w:rsidRPr="006B77BB">
        <w:t xml:space="preserve"> Taiao</w:t>
      </w:r>
      <w:r w:rsidRPr="006B77BB">
        <w:br/>
        <w:t>PO Box 10362, Wellington 6143, New Zealand</w:t>
      </w:r>
      <w:r>
        <w:br/>
      </w:r>
      <w:hyperlink r:id="rId16" w:history="1">
        <w:r w:rsidRPr="005A5193">
          <w:rPr>
            <w:rStyle w:val="Hyperlink"/>
          </w:rPr>
          <w:t>environment.govt.nz</w:t>
        </w:r>
      </w:hyperlink>
    </w:p>
    <w:p w14:paraId="29E0A8B1" w14:textId="58AF9334" w:rsidR="00BC6F7E" w:rsidRPr="006B77BB" w:rsidRDefault="00BC6F7E" w:rsidP="00CE1301">
      <w:pPr>
        <w:pStyle w:val="Imprint"/>
      </w:pPr>
      <w:r w:rsidRPr="006B77BB">
        <w:t>ISBN</w:t>
      </w:r>
      <w:r w:rsidRPr="00706AD2">
        <w:t xml:space="preserve">: </w:t>
      </w:r>
      <w:r w:rsidR="00097705" w:rsidRPr="00706AD2">
        <w:rPr>
          <w:lang w:val="en-US"/>
        </w:rPr>
        <w:t>978-1-991404-18-3</w:t>
      </w:r>
      <w:r w:rsidR="00097705" w:rsidRPr="00706AD2">
        <w:t> </w:t>
      </w:r>
      <w:r w:rsidRPr="00706AD2">
        <w:t xml:space="preserve"> </w:t>
      </w:r>
      <w:r w:rsidR="00CE1301" w:rsidRPr="00706AD2">
        <w:br/>
      </w:r>
      <w:r w:rsidRPr="00706AD2">
        <w:t xml:space="preserve">Publication number: ME </w:t>
      </w:r>
      <w:r w:rsidR="00381A2A" w:rsidRPr="00706AD2">
        <w:t>1931</w:t>
      </w:r>
    </w:p>
    <w:p w14:paraId="2AB464EB" w14:textId="220334FE" w:rsidR="00BC6F7E" w:rsidRPr="006B77BB" w:rsidRDefault="00BC6F7E" w:rsidP="000D3FBD">
      <w:pPr>
        <w:pStyle w:val="BodyText"/>
      </w:pPr>
      <w:r w:rsidRPr="006B77BB">
        <w:t xml:space="preserve">© Crown copyright New Zealand </w:t>
      </w:r>
      <w:r w:rsidR="00CE1301">
        <w:t>2025</w:t>
      </w:r>
    </w:p>
    <w:p w14:paraId="6590644F" w14:textId="77777777" w:rsidR="00BC6F7E" w:rsidRPr="00A84FE1" w:rsidRDefault="00BC6F7E" w:rsidP="000D3FBD">
      <w:pPr>
        <w:pStyle w:val="BodyText"/>
        <w:sectPr w:rsidR="00BC6F7E" w:rsidRPr="00A84FE1" w:rsidSect="00BC6F7E">
          <w:headerReference w:type="even" r:id="rId17"/>
          <w:headerReference w:type="default" r:id="rId18"/>
          <w:footerReference w:type="even" r:id="rId19"/>
          <w:footerReference w:type="default" r:id="rId20"/>
          <w:pgSz w:w="11907" w:h="16840" w:code="9"/>
          <w:pgMar w:top="1134" w:right="1701" w:bottom="1134" w:left="1701" w:header="567" w:footer="567" w:gutter="0"/>
          <w:pgNumType w:fmt="lowerRoman"/>
          <w:cols w:space="720"/>
        </w:sectPr>
      </w:pPr>
    </w:p>
    <w:p w14:paraId="6F651BD7" w14:textId="77777777" w:rsidR="00BC6F7E" w:rsidRPr="00F06E0B" w:rsidRDefault="00BC6F7E" w:rsidP="00BC6F7E">
      <w:pPr>
        <w:pStyle w:val="Heading"/>
      </w:pPr>
      <w:r w:rsidRPr="00F06E0B">
        <w:lastRenderedPageBreak/>
        <w:t>Contents</w:t>
      </w:r>
    </w:p>
    <w:p w14:paraId="5F22876A" w14:textId="7D1C3A90" w:rsidR="00BC6F7E" w:rsidRDefault="00BC6F7E">
      <w:pPr>
        <w:pStyle w:val="TOC1"/>
        <w:rPr>
          <w:rFonts w:asciiTheme="minorHAnsi" w:hAnsiTheme="minorHAnsi"/>
          <w:noProof/>
          <w:kern w:val="2"/>
          <w:sz w:val="24"/>
          <w:szCs w:val="24"/>
          <w14:ligatures w14:val="standardContextual"/>
        </w:rPr>
      </w:pPr>
      <w:r w:rsidRPr="006B77BB">
        <w:rPr>
          <w:color w:val="0092CF"/>
        </w:rPr>
        <w:fldChar w:fldCharType="begin"/>
      </w:r>
      <w:r w:rsidRPr="006B77BB">
        <w:rPr>
          <w:color w:val="0092CF"/>
        </w:rPr>
        <w:instrText xml:space="preserve"> TOC \h \z \t "Heading 1,1,Heading 2,2" </w:instrText>
      </w:r>
      <w:r w:rsidRPr="006B77BB">
        <w:rPr>
          <w:color w:val="0092CF"/>
        </w:rPr>
        <w:fldChar w:fldCharType="separate"/>
      </w:r>
      <w:hyperlink w:anchor="_Toc211942826" w:history="1">
        <w:r w:rsidRPr="009F0D9C">
          <w:rPr>
            <w:rStyle w:val="Hyperlink"/>
            <w:noProof/>
          </w:rPr>
          <w:t xml:space="preserve">Executive </w:t>
        </w:r>
        <w:r>
          <w:rPr>
            <w:rStyle w:val="Hyperlink"/>
            <w:noProof/>
          </w:rPr>
          <w:t>s</w:t>
        </w:r>
        <w:r w:rsidRPr="009F0D9C">
          <w:rPr>
            <w:rStyle w:val="Hyperlink"/>
            <w:noProof/>
          </w:rPr>
          <w:t>ummary</w:t>
        </w:r>
        <w:r>
          <w:rPr>
            <w:noProof/>
            <w:webHidden/>
          </w:rPr>
          <w:tab/>
        </w:r>
        <w:r>
          <w:rPr>
            <w:noProof/>
            <w:webHidden/>
          </w:rPr>
          <w:fldChar w:fldCharType="begin"/>
        </w:r>
        <w:r>
          <w:rPr>
            <w:noProof/>
            <w:webHidden/>
          </w:rPr>
          <w:instrText xml:space="preserve"> PAGEREF _Toc211942826 \h </w:instrText>
        </w:r>
        <w:r>
          <w:rPr>
            <w:noProof/>
            <w:webHidden/>
          </w:rPr>
        </w:r>
        <w:r>
          <w:rPr>
            <w:noProof/>
            <w:webHidden/>
          </w:rPr>
          <w:fldChar w:fldCharType="separate"/>
        </w:r>
        <w:r w:rsidR="00FD744D">
          <w:rPr>
            <w:noProof/>
            <w:webHidden/>
          </w:rPr>
          <w:t>4</w:t>
        </w:r>
        <w:r>
          <w:rPr>
            <w:noProof/>
            <w:webHidden/>
          </w:rPr>
          <w:fldChar w:fldCharType="end"/>
        </w:r>
      </w:hyperlink>
    </w:p>
    <w:p w14:paraId="4AB1CE04" w14:textId="0605545D" w:rsidR="00BC6F7E" w:rsidRDefault="00BC6F7E">
      <w:pPr>
        <w:pStyle w:val="TOC1"/>
        <w:rPr>
          <w:rFonts w:asciiTheme="minorHAnsi" w:hAnsiTheme="minorHAnsi"/>
          <w:noProof/>
          <w:kern w:val="2"/>
          <w:sz w:val="24"/>
          <w:szCs w:val="24"/>
          <w14:ligatures w14:val="standardContextual"/>
        </w:rPr>
      </w:pPr>
      <w:hyperlink w:anchor="_Toc211942827" w:history="1">
        <w:r w:rsidRPr="009F0D9C">
          <w:rPr>
            <w:rStyle w:val="Hyperlink"/>
            <w:noProof/>
          </w:rPr>
          <w:t>Introduction</w:t>
        </w:r>
        <w:r>
          <w:rPr>
            <w:noProof/>
            <w:webHidden/>
          </w:rPr>
          <w:tab/>
        </w:r>
        <w:r>
          <w:rPr>
            <w:noProof/>
            <w:webHidden/>
          </w:rPr>
          <w:fldChar w:fldCharType="begin"/>
        </w:r>
        <w:r>
          <w:rPr>
            <w:noProof/>
            <w:webHidden/>
          </w:rPr>
          <w:instrText xml:space="preserve"> PAGEREF _Toc211942827 \h </w:instrText>
        </w:r>
        <w:r>
          <w:rPr>
            <w:noProof/>
            <w:webHidden/>
          </w:rPr>
        </w:r>
        <w:r>
          <w:rPr>
            <w:noProof/>
            <w:webHidden/>
          </w:rPr>
          <w:fldChar w:fldCharType="separate"/>
        </w:r>
        <w:r w:rsidR="00FD744D">
          <w:rPr>
            <w:noProof/>
            <w:webHidden/>
          </w:rPr>
          <w:t>5</w:t>
        </w:r>
        <w:r>
          <w:rPr>
            <w:noProof/>
            <w:webHidden/>
          </w:rPr>
          <w:fldChar w:fldCharType="end"/>
        </w:r>
      </w:hyperlink>
    </w:p>
    <w:p w14:paraId="2239477F" w14:textId="3ECF9400" w:rsidR="00BC6F7E" w:rsidRDefault="00BC6F7E">
      <w:pPr>
        <w:pStyle w:val="TOC1"/>
        <w:rPr>
          <w:rFonts w:asciiTheme="minorHAnsi" w:hAnsiTheme="minorHAnsi"/>
          <w:noProof/>
          <w:kern w:val="2"/>
          <w:sz w:val="24"/>
          <w:szCs w:val="24"/>
          <w14:ligatures w14:val="standardContextual"/>
        </w:rPr>
      </w:pPr>
      <w:hyperlink w:anchor="_Toc211942828" w:history="1">
        <w:r w:rsidRPr="009F0D9C">
          <w:rPr>
            <w:rStyle w:val="Hyperlink"/>
            <w:noProof/>
          </w:rPr>
          <w:t>Context</w:t>
        </w:r>
        <w:r w:rsidRPr="009F0D9C">
          <w:rPr>
            <w:rStyle w:val="Hyperlink"/>
            <w:rFonts w:ascii="Times New Roman" w:hAnsi="Times New Roman" w:cs="Times New Roman"/>
            <w:noProof/>
          </w:rPr>
          <w:t> </w:t>
        </w:r>
        <w:r>
          <w:rPr>
            <w:noProof/>
            <w:webHidden/>
          </w:rPr>
          <w:tab/>
        </w:r>
        <w:r>
          <w:rPr>
            <w:noProof/>
            <w:webHidden/>
          </w:rPr>
          <w:fldChar w:fldCharType="begin"/>
        </w:r>
        <w:r>
          <w:rPr>
            <w:noProof/>
            <w:webHidden/>
          </w:rPr>
          <w:instrText xml:space="preserve"> PAGEREF _Toc211942828 \h </w:instrText>
        </w:r>
        <w:r>
          <w:rPr>
            <w:noProof/>
            <w:webHidden/>
          </w:rPr>
        </w:r>
        <w:r>
          <w:rPr>
            <w:noProof/>
            <w:webHidden/>
          </w:rPr>
          <w:fldChar w:fldCharType="separate"/>
        </w:r>
        <w:r w:rsidR="00FD744D">
          <w:rPr>
            <w:noProof/>
            <w:webHidden/>
          </w:rPr>
          <w:t>6</w:t>
        </w:r>
        <w:r>
          <w:rPr>
            <w:noProof/>
            <w:webHidden/>
          </w:rPr>
          <w:fldChar w:fldCharType="end"/>
        </w:r>
      </w:hyperlink>
    </w:p>
    <w:p w14:paraId="0A789706" w14:textId="556F65B7" w:rsidR="00BC6F7E" w:rsidRDefault="00BC6F7E">
      <w:pPr>
        <w:pStyle w:val="TOC1"/>
        <w:rPr>
          <w:rFonts w:asciiTheme="minorHAnsi" w:hAnsiTheme="minorHAnsi"/>
          <w:noProof/>
          <w:kern w:val="2"/>
          <w:sz w:val="24"/>
          <w:szCs w:val="24"/>
          <w14:ligatures w14:val="standardContextual"/>
        </w:rPr>
      </w:pPr>
      <w:hyperlink w:anchor="_Toc211942829" w:history="1">
        <w:r w:rsidRPr="009F0D9C">
          <w:rPr>
            <w:rStyle w:val="Hyperlink"/>
            <w:noProof/>
          </w:rPr>
          <w:t>Differences in unit limits</w:t>
        </w:r>
        <w:r>
          <w:rPr>
            <w:noProof/>
            <w:webHidden/>
          </w:rPr>
          <w:tab/>
        </w:r>
        <w:r>
          <w:rPr>
            <w:noProof/>
            <w:webHidden/>
          </w:rPr>
          <w:fldChar w:fldCharType="begin"/>
        </w:r>
        <w:r>
          <w:rPr>
            <w:noProof/>
            <w:webHidden/>
          </w:rPr>
          <w:instrText xml:space="preserve"> PAGEREF _Toc211942829 \h </w:instrText>
        </w:r>
        <w:r>
          <w:rPr>
            <w:noProof/>
            <w:webHidden/>
          </w:rPr>
        </w:r>
        <w:r>
          <w:rPr>
            <w:noProof/>
            <w:webHidden/>
          </w:rPr>
          <w:fldChar w:fldCharType="separate"/>
        </w:r>
        <w:r w:rsidR="00FD744D">
          <w:rPr>
            <w:noProof/>
            <w:webHidden/>
          </w:rPr>
          <w:t>7</w:t>
        </w:r>
        <w:r>
          <w:rPr>
            <w:noProof/>
            <w:webHidden/>
          </w:rPr>
          <w:fldChar w:fldCharType="end"/>
        </w:r>
      </w:hyperlink>
    </w:p>
    <w:p w14:paraId="4F468A62" w14:textId="20F1ED48" w:rsidR="00BC6F7E" w:rsidRDefault="00BC6F7E">
      <w:pPr>
        <w:pStyle w:val="TOC2"/>
        <w:rPr>
          <w:rFonts w:asciiTheme="minorHAnsi" w:hAnsiTheme="minorHAnsi"/>
          <w:noProof/>
          <w:kern w:val="2"/>
          <w:sz w:val="24"/>
          <w:szCs w:val="24"/>
          <w14:ligatures w14:val="standardContextual"/>
        </w:rPr>
      </w:pPr>
      <w:hyperlink w:anchor="_Toc211942830" w:history="1">
        <w:r w:rsidRPr="009F0D9C">
          <w:rPr>
            <w:rStyle w:val="Hyperlink"/>
            <w:noProof/>
          </w:rPr>
          <w:t>Analytical judgement differences</w:t>
        </w:r>
        <w:r>
          <w:rPr>
            <w:noProof/>
            <w:webHidden/>
          </w:rPr>
          <w:tab/>
        </w:r>
        <w:r>
          <w:rPr>
            <w:noProof/>
            <w:webHidden/>
          </w:rPr>
          <w:fldChar w:fldCharType="begin"/>
        </w:r>
        <w:r>
          <w:rPr>
            <w:noProof/>
            <w:webHidden/>
          </w:rPr>
          <w:instrText xml:space="preserve"> PAGEREF _Toc211942830 \h </w:instrText>
        </w:r>
        <w:r>
          <w:rPr>
            <w:noProof/>
            <w:webHidden/>
          </w:rPr>
        </w:r>
        <w:r>
          <w:rPr>
            <w:noProof/>
            <w:webHidden/>
          </w:rPr>
          <w:fldChar w:fldCharType="separate"/>
        </w:r>
        <w:r w:rsidR="00FD744D">
          <w:rPr>
            <w:noProof/>
            <w:webHidden/>
          </w:rPr>
          <w:t>8</w:t>
        </w:r>
        <w:r>
          <w:rPr>
            <w:noProof/>
            <w:webHidden/>
          </w:rPr>
          <w:fldChar w:fldCharType="end"/>
        </w:r>
      </w:hyperlink>
    </w:p>
    <w:p w14:paraId="6037BD32" w14:textId="3E3B5E99" w:rsidR="00BC6F7E" w:rsidRDefault="00BC6F7E">
      <w:pPr>
        <w:pStyle w:val="TOC2"/>
        <w:rPr>
          <w:rFonts w:asciiTheme="minorHAnsi" w:hAnsiTheme="minorHAnsi"/>
          <w:noProof/>
          <w:kern w:val="2"/>
          <w:sz w:val="24"/>
          <w:szCs w:val="24"/>
          <w14:ligatures w14:val="standardContextual"/>
        </w:rPr>
      </w:pPr>
      <w:hyperlink w:anchor="_Toc211942831" w:history="1">
        <w:r w:rsidRPr="009F0D9C">
          <w:rPr>
            <w:rStyle w:val="Hyperlink"/>
            <w:noProof/>
          </w:rPr>
          <w:t>Technical differences</w:t>
        </w:r>
        <w:r>
          <w:rPr>
            <w:noProof/>
            <w:webHidden/>
          </w:rPr>
          <w:tab/>
        </w:r>
        <w:r>
          <w:rPr>
            <w:noProof/>
            <w:webHidden/>
          </w:rPr>
          <w:fldChar w:fldCharType="begin"/>
        </w:r>
        <w:r>
          <w:rPr>
            <w:noProof/>
            <w:webHidden/>
          </w:rPr>
          <w:instrText xml:space="preserve"> PAGEREF _Toc211942831 \h </w:instrText>
        </w:r>
        <w:r>
          <w:rPr>
            <w:noProof/>
            <w:webHidden/>
          </w:rPr>
        </w:r>
        <w:r>
          <w:rPr>
            <w:noProof/>
            <w:webHidden/>
          </w:rPr>
          <w:fldChar w:fldCharType="separate"/>
        </w:r>
        <w:r w:rsidR="00FD744D">
          <w:rPr>
            <w:noProof/>
            <w:webHidden/>
          </w:rPr>
          <w:t>10</w:t>
        </w:r>
        <w:r>
          <w:rPr>
            <w:noProof/>
            <w:webHidden/>
          </w:rPr>
          <w:fldChar w:fldCharType="end"/>
        </w:r>
      </w:hyperlink>
    </w:p>
    <w:p w14:paraId="55622112" w14:textId="1A559226" w:rsidR="00BC6F7E" w:rsidRDefault="00BC6F7E">
      <w:pPr>
        <w:pStyle w:val="TOC1"/>
        <w:rPr>
          <w:rFonts w:asciiTheme="minorHAnsi" w:hAnsiTheme="minorHAnsi"/>
          <w:noProof/>
          <w:kern w:val="2"/>
          <w:sz w:val="24"/>
          <w:szCs w:val="24"/>
          <w14:ligatures w14:val="standardContextual"/>
        </w:rPr>
      </w:pPr>
      <w:hyperlink w:anchor="_Toc211942832" w:history="1">
        <w:r w:rsidRPr="009F0D9C">
          <w:rPr>
            <w:rStyle w:val="Hyperlink"/>
            <w:noProof/>
          </w:rPr>
          <w:t>Differences in price control settings</w:t>
        </w:r>
        <w:r>
          <w:rPr>
            <w:noProof/>
            <w:webHidden/>
          </w:rPr>
          <w:tab/>
        </w:r>
        <w:r>
          <w:rPr>
            <w:noProof/>
            <w:webHidden/>
          </w:rPr>
          <w:fldChar w:fldCharType="begin"/>
        </w:r>
        <w:r>
          <w:rPr>
            <w:noProof/>
            <w:webHidden/>
          </w:rPr>
          <w:instrText xml:space="preserve"> PAGEREF _Toc211942832 \h </w:instrText>
        </w:r>
        <w:r>
          <w:rPr>
            <w:noProof/>
            <w:webHidden/>
          </w:rPr>
        </w:r>
        <w:r>
          <w:rPr>
            <w:noProof/>
            <w:webHidden/>
          </w:rPr>
          <w:fldChar w:fldCharType="separate"/>
        </w:r>
        <w:r w:rsidR="00FD744D">
          <w:rPr>
            <w:noProof/>
            <w:webHidden/>
          </w:rPr>
          <w:t>12</w:t>
        </w:r>
        <w:r>
          <w:rPr>
            <w:noProof/>
            <w:webHidden/>
          </w:rPr>
          <w:fldChar w:fldCharType="end"/>
        </w:r>
      </w:hyperlink>
    </w:p>
    <w:p w14:paraId="309B9DAF" w14:textId="76DD0ADF" w:rsidR="00BC6F7E" w:rsidRDefault="00BC6F7E">
      <w:pPr>
        <w:pStyle w:val="TOC1"/>
        <w:rPr>
          <w:rFonts w:asciiTheme="minorHAnsi" w:hAnsiTheme="minorHAnsi"/>
          <w:noProof/>
          <w:kern w:val="2"/>
          <w:sz w:val="24"/>
          <w:szCs w:val="24"/>
          <w14:ligatures w14:val="standardContextual"/>
        </w:rPr>
      </w:pPr>
      <w:hyperlink w:anchor="_Toc211942833" w:history="1">
        <w:r w:rsidRPr="009F0D9C">
          <w:rPr>
            <w:rStyle w:val="Hyperlink"/>
            <w:noProof/>
          </w:rPr>
          <w:t>Key points from NZ ETS settings refresh</w:t>
        </w:r>
        <w:r>
          <w:rPr>
            <w:noProof/>
            <w:webHidden/>
          </w:rPr>
          <w:tab/>
        </w:r>
        <w:r>
          <w:rPr>
            <w:noProof/>
            <w:webHidden/>
          </w:rPr>
          <w:fldChar w:fldCharType="begin"/>
        </w:r>
        <w:r>
          <w:rPr>
            <w:noProof/>
            <w:webHidden/>
          </w:rPr>
          <w:instrText xml:space="preserve"> PAGEREF _Toc211942833 \h </w:instrText>
        </w:r>
        <w:r>
          <w:rPr>
            <w:noProof/>
            <w:webHidden/>
          </w:rPr>
        </w:r>
        <w:r>
          <w:rPr>
            <w:noProof/>
            <w:webHidden/>
          </w:rPr>
          <w:fldChar w:fldCharType="separate"/>
        </w:r>
        <w:r w:rsidR="00FD744D">
          <w:rPr>
            <w:noProof/>
            <w:webHidden/>
          </w:rPr>
          <w:t>13</w:t>
        </w:r>
        <w:r>
          <w:rPr>
            <w:noProof/>
            <w:webHidden/>
          </w:rPr>
          <w:fldChar w:fldCharType="end"/>
        </w:r>
      </w:hyperlink>
    </w:p>
    <w:p w14:paraId="448A18DE" w14:textId="5CFD1CDD" w:rsidR="00BC6F7E" w:rsidRPr="006B77BB" w:rsidRDefault="00BC6F7E" w:rsidP="00BC6F7E">
      <w:pPr>
        <w:pStyle w:val="Glossary"/>
      </w:pPr>
      <w:r w:rsidRPr="006B77BB">
        <w:rPr>
          <w:color w:val="0092CF"/>
        </w:rPr>
        <w:fldChar w:fldCharType="end"/>
      </w:r>
    </w:p>
    <w:p w14:paraId="00E8E148" w14:textId="77777777" w:rsidR="00BC6F7E" w:rsidRPr="00554B30" w:rsidRDefault="00BC6F7E" w:rsidP="00BC6F7E">
      <w:r w:rsidRPr="00554B30">
        <w:br w:type="page"/>
      </w:r>
    </w:p>
    <w:p w14:paraId="1CD7B5A2" w14:textId="45BC083B" w:rsidR="008D53B0" w:rsidRDefault="008D53B0" w:rsidP="008D53B0">
      <w:pPr>
        <w:pStyle w:val="Heading1"/>
      </w:pPr>
      <w:bookmarkStart w:id="0" w:name="_Toc211942826"/>
      <w:r>
        <w:lastRenderedPageBreak/>
        <w:t xml:space="preserve">Executive </w:t>
      </w:r>
      <w:r w:rsidR="00BC6F7E">
        <w:t>s</w:t>
      </w:r>
      <w:r>
        <w:t>ummary</w:t>
      </w:r>
      <w:bookmarkEnd w:id="0"/>
    </w:p>
    <w:p w14:paraId="1A5FC36C" w14:textId="2FB717C2" w:rsidR="008D53B0" w:rsidRDefault="008D53B0" w:rsidP="008D53B0">
      <w:pPr>
        <w:pStyle w:val="Numberedparagraph"/>
      </w:pPr>
      <w:r>
        <w:t>The Government’s decision to extend existing auction volumes to 2030 will make 13.6 million less units available over the 2026 to 2030 settings period compared with the Commission’s recommendation to increase auction volumes for 2028 to 2030.</w:t>
      </w:r>
    </w:p>
    <w:p w14:paraId="66D8C938" w14:textId="1E172CDE" w:rsidR="008D53B0" w:rsidRDefault="008D53B0" w:rsidP="008D53B0">
      <w:pPr>
        <w:pStyle w:val="Numberedparagraph"/>
      </w:pPr>
      <w:r>
        <w:t>The difference in approach to auction volumes stemmed from a combination of:</w:t>
      </w:r>
    </w:p>
    <w:p w14:paraId="25AC5205" w14:textId="16E9787B" w:rsidR="008D53B0" w:rsidRDefault="008D53B0" w:rsidP="008D53B0">
      <w:pPr>
        <w:pStyle w:val="Sub-lista"/>
      </w:pPr>
      <w:r>
        <w:t>different analytical judgements, including how to balance the risks of oversupply and undersupply, respond to risks of achieving the third New Zealand emissions budget (EB3) and interpret market signals</w:t>
      </w:r>
    </w:p>
    <w:p w14:paraId="5ED35A23" w14:textId="15BFCACC" w:rsidR="008D53B0" w:rsidRDefault="008D53B0" w:rsidP="008D53B0">
      <w:pPr>
        <w:pStyle w:val="Sub-lista"/>
      </w:pPr>
      <w:r>
        <w:t>technical differences, including different assumptions underpinning surplus stockpile estimates and updated data that was unavailable at the time of the Commission’s advice.</w:t>
      </w:r>
    </w:p>
    <w:p w14:paraId="6D35E620" w14:textId="79D3ABDA" w:rsidR="008D53B0" w:rsidRDefault="008D53B0" w:rsidP="008D53B0">
      <w:pPr>
        <w:pStyle w:val="Numberedparagraph"/>
      </w:pPr>
      <w:r>
        <w:t xml:space="preserve">The only difference between the Government’s decision on price controls and the Commission’s recommendations </w:t>
      </w:r>
      <w:proofErr w:type="gramStart"/>
      <w:r>
        <w:t>stems</w:t>
      </w:r>
      <w:proofErr w:type="gramEnd"/>
      <w:r>
        <w:t xml:space="preserve"> from the use of updated inflation rates.</w:t>
      </w:r>
    </w:p>
    <w:p w14:paraId="6C08C565" w14:textId="77777777" w:rsidR="0001178F" w:rsidRPr="0086170B" w:rsidRDefault="0001178F" w:rsidP="0086170B">
      <w:pPr>
        <w:pStyle w:val="BodyText"/>
      </w:pPr>
      <w:r w:rsidRPr="0086170B">
        <w:br w:type="page"/>
      </w:r>
    </w:p>
    <w:p w14:paraId="47CA4BAA" w14:textId="51F2D601" w:rsidR="008D53B0" w:rsidRDefault="008D53B0" w:rsidP="008D53B0">
      <w:pPr>
        <w:pStyle w:val="Heading1"/>
      </w:pPr>
      <w:bookmarkStart w:id="1" w:name="_Toc211942827"/>
      <w:r>
        <w:lastRenderedPageBreak/>
        <w:t>Introduction</w:t>
      </w:r>
      <w:bookmarkEnd w:id="1"/>
    </w:p>
    <w:p w14:paraId="36C5A448" w14:textId="2D057021" w:rsidR="008D53B0" w:rsidRDefault="008D53B0" w:rsidP="008D53B0">
      <w:pPr>
        <w:pStyle w:val="Numberedparagraph"/>
      </w:pPr>
      <w:r>
        <w:t>This report sets out the reasons for differences between the Climate Change Commission’s (the Commission) 2025 advice on limits and price control settings for units in the New Zealand Emissions Trading Scheme (NZ ETS unit settings) and the settings that have been prescribed in the Climate Change (Auctions, Limits, and Price Controls for Units) Regulations 2020</w:t>
      </w:r>
      <w:r w:rsidR="00BF63B9">
        <w:rPr>
          <w:rStyle w:val="FootnoteReference"/>
        </w:rPr>
        <w:footnoteReference w:id="2"/>
      </w:r>
      <w:r>
        <w:t xml:space="preserve"> (the Regulations).</w:t>
      </w:r>
    </w:p>
    <w:p w14:paraId="573C2ABB" w14:textId="11C7ED7D" w:rsidR="008D53B0" w:rsidRDefault="008D53B0" w:rsidP="008D53B0">
      <w:pPr>
        <w:pStyle w:val="Numberedparagraph"/>
      </w:pPr>
      <w:r>
        <w:t>A report explaining the differences is required under section 30</w:t>
      </w:r>
      <w:proofErr w:type="gramStart"/>
      <w:r>
        <w:t>GC(</w:t>
      </w:r>
      <w:proofErr w:type="gramEnd"/>
      <w:r>
        <w:t>7) of the Climate Change Response Act 2002 (the Act).</w:t>
      </w:r>
    </w:p>
    <w:p w14:paraId="3A403A33" w14:textId="749B0479" w:rsidR="008D53B0" w:rsidRDefault="008D53B0" w:rsidP="008D53B0">
      <w:pPr>
        <w:pStyle w:val="Numberedparagraph"/>
      </w:pPr>
      <w:r>
        <w:t>The information in this report about the Commission’s advice has been drawn from the Commission’s 2025 NZ ETS settings advice report and associated annexes, as well as further discussions held with the Commission as part of the NZ ETS settings refresh project. The refresh project was a short, targeted review of the advisory frameworks and analytical tools used to develop advice on NZ ETS settings. The objective of the refresh project was to ensure these frameworks and tools remain fit for purpose and to identify opportunities for improvement, to support market confidence.</w:t>
      </w:r>
      <w:r w:rsidR="00BF63B9">
        <w:rPr>
          <w:rStyle w:val="FootnoteReference"/>
        </w:rPr>
        <w:footnoteReference w:id="3"/>
      </w:r>
      <w:r>
        <w:t xml:space="preserve"> </w:t>
      </w:r>
    </w:p>
    <w:p w14:paraId="6451FD5B" w14:textId="77777777" w:rsidR="0001178F" w:rsidRPr="00AB696F" w:rsidRDefault="0001178F" w:rsidP="00AB696F">
      <w:pPr>
        <w:pStyle w:val="BodyText"/>
      </w:pPr>
      <w:r w:rsidRPr="00AB696F">
        <w:br w:type="page"/>
      </w:r>
    </w:p>
    <w:p w14:paraId="4D059071" w14:textId="27899626" w:rsidR="008D53B0" w:rsidRDefault="008D53B0" w:rsidP="008D53B0">
      <w:pPr>
        <w:pStyle w:val="Heading1"/>
      </w:pPr>
      <w:bookmarkStart w:id="2" w:name="_Toc211942828"/>
      <w:r>
        <w:lastRenderedPageBreak/>
        <w:t>Context</w:t>
      </w:r>
      <w:r>
        <w:rPr>
          <w:rFonts w:ascii="Times New Roman" w:hAnsi="Times New Roman" w:cs="Times New Roman"/>
        </w:rPr>
        <w:t> </w:t>
      </w:r>
      <w:bookmarkEnd w:id="2"/>
    </w:p>
    <w:p w14:paraId="698317B0" w14:textId="7F2C05DE" w:rsidR="008D53B0" w:rsidRDefault="008D53B0" w:rsidP="008D53B0">
      <w:pPr>
        <w:pStyle w:val="Numberedparagraph"/>
      </w:pPr>
      <w:r>
        <w:t>Unit limits restrict the supply of emissions units into the NZ ETS through auctions. Unit limits include:</w:t>
      </w:r>
    </w:p>
    <w:p w14:paraId="6530B691" w14:textId="50812E82" w:rsidR="008D53B0" w:rsidRDefault="008D53B0" w:rsidP="008D53B0">
      <w:pPr>
        <w:pStyle w:val="Sub-lista"/>
        <w:numPr>
          <w:ilvl w:val="0"/>
          <w:numId w:val="39"/>
        </w:numPr>
      </w:pPr>
      <w:r>
        <w:t>a limit on the units available by auction (auction volumes)</w:t>
      </w:r>
    </w:p>
    <w:p w14:paraId="18D8CDA4" w14:textId="06E200E1" w:rsidR="008D53B0" w:rsidRDefault="008D53B0" w:rsidP="008D53B0">
      <w:pPr>
        <w:pStyle w:val="Sub-lista"/>
      </w:pPr>
      <w:r>
        <w:t xml:space="preserve">a limit on approved overseas units – currently zero </w:t>
      </w:r>
    </w:p>
    <w:p w14:paraId="5055D4CF" w14:textId="27486E70" w:rsidR="008D53B0" w:rsidRDefault="008D53B0" w:rsidP="008D53B0">
      <w:pPr>
        <w:pStyle w:val="Sub-lista"/>
      </w:pPr>
      <w:r>
        <w:t>an overall limit on units – which consists of units available by auction and the cost containment reserve (CCR), by other means (primarily industrial allocation), and approved overseas units.</w:t>
      </w:r>
    </w:p>
    <w:p w14:paraId="07D1E6F0" w14:textId="667A96CB" w:rsidR="008D53B0" w:rsidRDefault="008D53B0" w:rsidP="008D53B0">
      <w:pPr>
        <w:pStyle w:val="Numberedparagraph"/>
      </w:pPr>
      <w:r>
        <w:t xml:space="preserve">In practise, the effect of NZ ETS price controls settings is to set the bounds for high and low prices for units sold at auction. </w:t>
      </w:r>
    </w:p>
    <w:p w14:paraId="1A954195" w14:textId="2EA5A1BD" w:rsidR="008D53B0" w:rsidRDefault="008D53B0" w:rsidP="003E2AE9">
      <w:pPr>
        <w:pStyle w:val="Numberedparagraph"/>
      </w:pPr>
      <w:r>
        <w:t>Regulations prescribing NZ ETS unit settings need to be updated each year. This is to meet the requirement under the Act</w:t>
      </w:r>
      <w:r w:rsidR="00BF63B9">
        <w:rPr>
          <w:rStyle w:val="FootnoteReference"/>
        </w:rPr>
        <w:footnoteReference w:id="4"/>
      </w:r>
      <w:r>
        <w:t xml:space="preserve"> that, </w:t>
      </w:r>
      <w:proofErr w:type="gramStart"/>
      <w:r>
        <w:t>at all times</w:t>
      </w:r>
      <w:proofErr w:type="gramEnd"/>
      <w:r>
        <w:t>, settings are in place for each of the following five calendar years.</w:t>
      </w:r>
    </w:p>
    <w:p w14:paraId="6B01B40A" w14:textId="55DB76BD" w:rsidR="008D53B0" w:rsidRDefault="008D53B0" w:rsidP="008D53B0">
      <w:pPr>
        <w:pStyle w:val="Numberedparagraph"/>
      </w:pPr>
      <w:r>
        <w:t>The Commission provides annual advice with its recommendations on NZ ETS unit settings for the upcoming five years under section 5ZOA of the Act. The Minister of Climate Change tabled the Commission’s advice on unit settings for 2026 to 2030 on 23 April 2025.</w:t>
      </w:r>
      <w:r w:rsidR="00BF63B9">
        <w:rPr>
          <w:rStyle w:val="FootnoteReference"/>
        </w:rPr>
        <w:footnoteReference w:id="5"/>
      </w:r>
      <w:r>
        <w:t xml:space="preserve"> </w:t>
      </w:r>
    </w:p>
    <w:p w14:paraId="715C1A5A" w14:textId="77777777" w:rsidR="0001178F" w:rsidRPr="0007607D" w:rsidRDefault="0001178F" w:rsidP="0007607D">
      <w:pPr>
        <w:pStyle w:val="BodyText"/>
      </w:pPr>
      <w:r w:rsidRPr="0007607D">
        <w:br w:type="page"/>
      </w:r>
    </w:p>
    <w:p w14:paraId="3B64C557" w14:textId="387165D3" w:rsidR="008D53B0" w:rsidRDefault="008D53B0" w:rsidP="008D53B0">
      <w:pPr>
        <w:pStyle w:val="Heading1"/>
      </w:pPr>
      <w:bookmarkStart w:id="3" w:name="_Toc211942829"/>
      <w:r>
        <w:lastRenderedPageBreak/>
        <w:t>Differences in unit limits</w:t>
      </w:r>
      <w:bookmarkEnd w:id="3"/>
    </w:p>
    <w:p w14:paraId="23F36F0D" w14:textId="7155098B" w:rsidR="008D53B0" w:rsidRDefault="008D53B0" w:rsidP="008D53B0">
      <w:pPr>
        <w:pStyle w:val="Numberedparagraph"/>
      </w:pPr>
      <w:r>
        <w:t>The Commission recommended that 30.5 million units should be available at auctions over the 2026–2030 settings period. This recommendation was based on the ‘seven steps’ methodology for determining unit settings. The methodology is a flexible organising framework for stepping through matters that must be considered under the Act and determining appropriate unit settings that accord with emissions reduction targets, given current circumstances and best assumptions for other sources of units. The Commission has consistently used the seven steps methodology for determining its recommended unit settings.</w:t>
      </w:r>
    </w:p>
    <w:p w14:paraId="4CF81466" w14:textId="665C00F8" w:rsidR="008D53B0" w:rsidRDefault="008D53B0" w:rsidP="008D53B0">
      <w:pPr>
        <w:pStyle w:val="Numberedparagraph"/>
      </w:pPr>
      <w:r>
        <w:t>This year, the Government treated the outcome from the seven steps methodology as the maximum possible auction volumes that are consistent with accordance requirements. The Government then considered several options within this maximum, informed by:</w:t>
      </w:r>
    </w:p>
    <w:p w14:paraId="64335C41" w14:textId="29E98596" w:rsidR="008D53B0" w:rsidRDefault="008D53B0" w:rsidP="008D53B0">
      <w:pPr>
        <w:pStyle w:val="Sub-lista"/>
        <w:numPr>
          <w:ilvl w:val="0"/>
          <w:numId w:val="40"/>
        </w:numPr>
      </w:pPr>
      <w:r>
        <w:t>analytical judgements – qualitative judgements on key points that differed from those applied by the Commission</w:t>
      </w:r>
    </w:p>
    <w:p w14:paraId="2167033B" w14:textId="7EB69777" w:rsidR="008D53B0" w:rsidRDefault="008D53B0" w:rsidP="008D53B0">
      <w:pPr>
        <w:pStyle w:val="Sub-lista"/>
      </w:pPr>
      <w:r>
        <w:t xml:space="preserve">technical differences – different assumptions for the surplus stockpile and updated data sets that directly impact on auction volumes. </w:t>
      </w:r>
    </w:p>
    <w:p w14:paraId="7BD42682" w14:textId="5FB1769F" w:rsidR="008D53B0" w:rsidRDefault="008D53B0" w:rsidP="008D53B0">
      <w:pPr>
        <w:pStyle w:val="Numberedparagraph"/>
      </w:pPr>
      <w:r>
        <w:t>The Government chose to extend existing auction volumes to 2030, with total auction volumes of 16.9 million units over the 2026 to 2030 settings period. The annual difference in auction volumes between the Commission’s recommendation and Government’s decision is shown in Table 1.</w:t>
      </w:r>
    </w:p>
    <w:p w14:paraId="00CD2562" w14:textId="75420BAB" w:rsidR="005C37FB" w:rsidRDefault="005C37FB" w:rsidP="005C37FB">
      <w:pPr>
        <w:pStyle w:val="Tableheading"/>
      </w:pPr>
      <w:r>
        <w:t>Table 1:</w:t>
      </w:r>
      <w:r>
        <w:tab/>
      </w:r>
      <w:r w:rsidRPr="005C37FB">
        <w:t>Differences in unit limits between the Commission’s 2025 advice and those prescribed in</w:t>
      </w:r>
      <w:r w:rsidR="0007607D">
        <w:t> </w:t>
      </w:r>
      <w:r w:rsidRPr="005C37FB">
        <w:t>regulations</w:t>
      </w:r>
    </w:p>
    <w:tbl>
      <w:tblPr>
        <w:tblStyle w:val="TableGrid"/>
        <w:tblW w:w="5000" w:type="pct"/>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2835"/>
        <w:gridCol w:w="1134"/>
        <w:gridCol w:w="1133"/>
        <w:gridCol w:w="1135"/>
        <w:gridCol w:w="1133"/>
        <w:gridCol w:w="1135"/>
      </w:tblGrid>
      <w:tr w:rsidR="004B2F8E" w:rsidRPr="006B77BB" w14:paraId="56D4A3A4" w14:textId="77777777" w:rsidTr="004B2F8E">
        <w:trPr>
          <w:tblHeader/>
        </w:trPr>
        <w:tc>
          <w:tcPr>
            <w:tcW w:w="1667" w:type="pct"/>
            <w:shd w:val="clear" w:color="auto" w:fill="1B556B"/>
          </w:tcPr>
          <w:p w14:paraId="621CF3B2" w14:textId="4CF96B41" w:rsidR="00DD6CB2" w:rsidRPr="00E8519B" w:rsidRDefault="00DD6CB2" w:rsidP="00E8519B">
            <w:pPr>
              <w:pStyle w:val="TableTextbold"/>
              <w:rPr>
                <w:color w:val="FFFFFF" w:themeColor="background1"/>
              </w:rPr>
            </w:pPr>
            <w:r w:rsidRPr="00E8519B">
              <w:rPr>
                <w:color w:val="FFFFFF" w:themeColor="background1"/>
              </w:rPr>
              <w:t>Million units</w:t>
            </w:r>
          </w:p>
        </w:tc>
        <w:tc>
          <w:tcPr>
            <w:tcW w:w="667" w:type="pct"/>
            <w:shd w:val="clear" w:color="auto" w:fill="1B556B"/>
          </w:tcPr>
          <w:p w14:paraId="0BBDE183" w14:textId="341211EA" w:rsidR="00DD6CB2" w:rsidRPr="00E8519B" w:rsidRDefault="00DD6CB2" w:rsidP="00E8519B">
            <w:pPr>
              <w:pStyle w:val="TableTextbold"/>
              <w:rPr>
                <w:color w:val="FFFFFF" w:themeColor="background1"/>
              </w:rPr>
            </w:pPr>
            <w:r w:rsidRPr="00E8519B">
              <w:rPr>
                <w:color w:val="FFFFFF" w:themeColor="background1"/>
              </w:rPr>
              <w:t>2026</w:t>
            </w:r>
          </w:p>
        </w:tc>
        <w:tc>
          <w:tcPr>
            <w:tcW w:w="666" w:type="pct"/>
            <w:shd w:val="clear" w:color="auto" w:fill="1B556B"/>
          </w:tcPr>
          <w:p w14:paraId="3DD3B93A" w14:textId="269D7A35" w:rsidR="00DD6CB2" w:rsidRPr="00E8519B" w:rsidRDefault="00DD6CB2" w:rsidP="00E8519B">
            <w:pPr>
              <w:pStyle w:val="TableTextbold"/>
              <w:rPr>
                <w:color w:val="FFFFFF" w:themeColor="background1"/>
              </w:rPr>
            </w:pPr>
            <w:r w:rsidRPr="00E8519B">
              <w:rPr>
                <w:color w:val="FFFFFF" w:themeColor="background1"/>
              </w:rPr>
              <w:t>2027</w:t>
            </w:r>
          </w:p>
        </w:tc>
        <w:tc>
          <w:tcPr>
            <w:tcW w:w="667" w:type="pct"/>
            <w:shd w:val="clear" w:color="auto" w:fill="1B556B"/>
          </w:tcPr>
          <w:p w14:paraId="7E75A8AE" w14:textId="2EFAC45E" w:rsidR="00DD6CB2" w:rsidRPr="00E8519B" w:rsidRDefault="00DD6CB2" w:rsidP="00E8519B">
            <w:pPr>
              <w:pStyle w:val="TableTextbold"/>
              <w:rPr>
                <w:color w:val="FFFFFF" w:themeColor="background1"/>
              </w:rPr>
            </w:pPr>
            <w:r w:rsidRPr="00E8519B">
              <w:rPr>
                <w:color w:val="FFFFFF" w:themeColor="background1"/>
              </w:rPr>
              <w:t>2028</w:t>
            </w:r>
          </w:p>
        </w:tc>
        <w:tc>
          <w:tcPr>
            <w:tcW w:w="666" w:type="pct"/>
            <w:shd w:val="clear" w:color="auto" w:fill="1B556B"/>
          </w:tcPr>
          <w:p w14:paraId="02C4E5A2" w14:textId="0C22B398" w:rsidR="00DD6CB2" w:rsidRPr="00E8519B" w:rsidRDefault="00DD6CB2" w:rsidP="00E8519B">
            <w:pPr>
              <w:pStyle w:val="TableTextbold"/>
              <w:rPr>
                <w:color w:val="FFFFFF" w:themeColor="background1"/>
              </w:rPr>
            </w:pPr>
            <w:r w:rsidRPr="00E8519B">
              <w:rPr>
                <w:color w:val="FFFFFF" w:themeColor="background1"/>
              </w:rPr>
              <w:t>2029</w:t>
            </w:r>
          </w:p>
        </w:tc>
        <w:tc>
          <w:tcPr>
            <w:tcW w:w="667" w:type="pct"/>
            <w:shd w:val="clear" w:color="auto" w:fill="1B556B"/>
          </w:tcPr>
          <w:p w14:paraId="56AA1AD8" w14:textId="1C154CA8" w:rsidR="00DD6CB2" w:rsidRPr="00E8519B" w:rsidRDefault="00DD6CB2" w:rsidP="00E8519B">
            <w:pPr>
              <w:pStyle w:val="TableTextbold"/>
              <w:rPr>
                <w:color w:val="FFFFFF" w:themeColor="background1"/>
              </w:rPr>
            </w:pPr>
            <w:r w:rsidRPr="00E8519B">
              <w:rPr>
                <w:color w:val="FFFFFF" w:themeColor="background1"/>
              </w:rPr>
              <w:t>2030</w:t>
            </w:r>
          </w:p>
        </w:tc>
      </w:tr>
      <w:tr w:rsidR="004B2F8E" w:rsidRPr="006B77BB" w14:paraId="59686187" w14:textId="77777777" w:rsidTr="004B2F8E">
        <w:tc>
          <w:tcPr>
            <w:tcW w:w="1667" w:type="pct"/>
          </w:tcPr>
          <w:p w14:paraId="0A4294F8" w14:textId="33A70B77" w:rsidR="00DD6CB2" w:rsidRPr="004B2F8E" w:rsidRDefault="00DD6CB2">
            <w:pPr>
              <w:pStyle w:val="TableText"/>
              <w:rPr>
                <w:b/>
                <w:bCs/>
              </w:rPr>
            </w:pPr>
            <w:r w:rsidRPr="004B2F8E">
              <w:rPr>
                <w:b/>
                <w:bCs/>
              </w:rPr>
              <w:t xml:space="preserve">Prescribed New Zealand Units </w:t>
            </w:r>
            <w:r w:rsidR="004D520F" w:rsidRPr="004B2F8E">
              <w:rPr>
                <w:b/>
                <w:bCs/>
              </w:rPr>
              <w:t xml:space="preserve">(NZUs) </w:t>
            </w:r>
            <w:r w:rsidRPr="004B2F8E">
              <w:rPr>
                <w:b/>
                <w:bCs/>
              </w:rPr>
              <w:t>available by auction (base auction volumes)</w:t>
            </w:r>
          </w:p>
        </w:tc>
        <w:tc>
          <w:tcPr>
            <w:tcW w:w="667" w:type="pct"/>
          </w:tcPr>
          <w:p w14:paraId="118597FF" w14:textId="77777777" w:rsidR="004D520F" w:rsidRDefault="004D520F" w:rsidP="00E8519B">
            <w:pPr>
              <w:pStyle w:val="TableText"/>
            </w:pPr>
            <w:r>
              <w:t>5.2</w:t>
            </w:r>
          </w:p>
          <w:p w14:paraId="3759AD42" w14:textId="4D24C7A9" w:rsidR="00DD6CB2" w:rsidRPr="00E8519B" w:rsidRDefault="004D520F" w:rsidP="00E8519B">
            <w:pPr>
              <w:pStyle w:val="TableText"/>
              <w:rPr>
                <w:i/>
                <w:iCs/>
              </w:rPr>
            </w:pPr>
            <w:r w:rsidRPr="00E8519B">
              <w:rPr>
                <w:i/>
                <w:iCs/>
              </w:rPr>
              <w:t>CCC – 5.2</w:t>
            </w:r>
          </w:p>
        </w:tc>
        <w:tc>
          <w:tcPr>
            <w:tcW w:w="666" w:type="pct"/>
          </w:tcPr>
          <w:p w14:paraId="47168744" w14:textId="77777777" w:rsidR="00C54579" w:rsidRDefault="00C54579" w:rsidP="00E8519B">
            <w:pPr>
              <w:pStyle w:val="TableText"/>
            </w:pPr>
            <w:r>
              <w:t>4.3</w:t>
            </w:r>
          </w:p>
          <w:p w14:paraId="418A05B6" w14:textId="46500821" w:rsidR="00DD6CB2" w:rsidRPr="00E8519B" w:rsidRDefault="00C54579" w:rsidP="00E8519B">
            <w:pPr>
              <w:pStyle w:val="TableText"/>
              <w:rPr>
                <w:i/>
                <w:iCs/>
              </w:rPr>
            </w:pPr>
            <w:r w:rsidRPr="00E8519B">
              <w:rPr>
                <w:i/>
                <w:iCs/>
              </w:rPr>
              <w:t>CCC – 4.3</w:t>
            </w:r>
          </w:p>
        </w:tc>
        <w:tc>
          <w:tcPr>
            <w:tcW w:w="667" w:type="pct"/>
          </w:tcPr>
          <w:p w14:paraId="06E6F07E" w14:textId="77777777" w:rsidR="00C54579" w:rsidRDefault="00C54579" w:rsidP="00E8519B">
            <w:pPr>
              <w:pStyle w:val="TableText"/>
            </w:pPr>
            <w:r>
              <w:t>3.3</w:t>
            </w:r>
          </w:p>
          <w:p w14:paraId="6709E44B" w14:textId="64A4D2E2" w:rsidR="00DD6CB2" w:rsidRPr="00E8519B" w:rsidRDefault="00C54579" w:rsidP="00E8519B">
            <w:pPr>
              <w:pStyle w:val="TableText"/>
              <w:rPr>
                <w:i/>
                <w:iCs/>
              </w:rPr>
            </w:pPr>
            <w:r w:rsidRPr="00E8519B">
              <w:rPr>
                <w:i/>
                <w:iCs/>
              </w:rPr>
              <w:t>CCC – 7.0</w:t>
            </w:r>
          </w:p>
        </w:tc>
        <w:tc>
          <w:tcPr>
            <w:tcW w:w="666" w:type="pct"/>
          </w:tcPr>
          <w:p w14:paraId="2C3BA728" w14:textId="77777777" w:rsidR="00F9059C" w:rsidRDefault="00F9059C" w:rsidP="00E8519B">
            <w:pPr>
              <w:pStyle w:val="TableText"/>
            </w:pPr>
            <w:r>
              <w:t>2.4</w:t>
            </w:r>
          </w:p>
          <w:p w14:paraId="3696ACE3" w14:textId="078886F8" w:rsidR="00DD6CB2" w:rsidRPr="00E8519B" w:rsidRDefault="00F9059C" w:rsidP="00E8519B">
            <w:pPr>
              <w:pStyle w:val="TableText"/>
              <w:rPr>
                <w:i/>
                <w:iCs/>
              </w:rPr>
            </w:pPr>
            <w:r w:rsidRPr="00E8519B">
              <w:rPr>
                <w:i/>
                <w:iCs/>
              </w:rPr>
              <w:t>CCC – 7.0</w:t>
            </w:r>
          </w:p>
        </w:tc>
        <w:tc>
          <w:tcPr>
            <w:tcW w:w="667" w:type="pct"/>
          </w:tcPr>
          <w:p w14:paraId="3BB42558" w14:textId="77777777" w:rsidR="004B2F8E" w:rsidRDefault="004B2F8E" w:rsidP="00E8519B">
            <w:pPr>
              <w:pStyle w:val="TableText"/>
            </w:pPr>
            <w:r>
              <w:t>1.7</w:t>
            </w:r>
          </w:p>
          <w:p w14:paraId="4D733FEE" w14:textId="09098514" w:rsidR="00DD6CB2" w:rsidRPr="00E8519B" w:rsidRDefault="004B2F8E" w:rsidP="00E8519B">
            <w:pPr>
              <w:pStyle w:val="TableText"/>
              <w:rPr>
                <w:i/>
                <w:iCs/>
              </w:rPr>
            </w:pPr>
            <w:r w:rsidRPr="00E8519B">
              <w:rPr>
                <w:i/>
                <w:iCs/>
              </w:rPr>
              <w:t>CCC – 7.0</w:t>
            </w:r>
          </w:p>
        </w:tc>
      </w:tr>
      <w:tr w:rsidR="004B2F8E" w:rsidRPr="006B77BB" w14:paraId="0F4D4FFC" w14:textId="77777777" w:rsidTr="004B2F8E">
        <w:tc>
          <w:tcPr>
            <w:tcW w:w="1667" w:type="pct"/>
          </w:tcPr>
          <w:p w14:paraId="278E5C02" w14:textId="31434502" w:rsidR="00DD6CB2" w:rsidRPr="004B2F8E" w:rsidRDefault="004D520F">
            <w:pPr>
              <w:pStyle w:val="TableText"/>
              <w:rPr>
                <w:b/>
                <w:bCs/>
              </w:rPr>
            </w:pPr>
            <w:r w:rsidRPr="004B2F8E">
              <w:rPr>
                <w:b/>
                <w:bCs/>
              </w:rPr>
              <w:t xml:space="preserve">Total </w:t>
            </w:r>
            <w:r w:rsidR="00D5404F">
              <w:rPr>
                <w:b/>
                <w:bCs/>
              </w:rPr>
              <w:t>cost containment reserve</w:t>
            </w:r>
            <w:r w:rsidRPr="004B2F8E">
              <w:rPr>
                <w:b/>
                <w:bCs/>
              </w:rPr>
              <w:t xml:space="preserve"> volumes</w:t>
            </w:r>
          </w:p>
        </w:tc>
        <w:tc>
          <w:tcPr>
            <w:tcW w:w="667" w:type="pct"/>
          </w:tcPr>
          <w:p w14:paraId="33856344" w14:textId="77777777" w:rsidR="004D520F" w:rsidRDefault="004D520F" w:rsidP="00E8519B">
            <w:pPr>
              <w:pStyle w:val="TableText"/>
            </w:pPr>
            <w:r>
              <w:t>6.5</w:t>
            </w:r>
          </w:p>
          <w:p w14:paraId="1B6C8D2C" w14:textId="1F3E0358" w:rsidR="00DD6CB2" w:rsidRPr="00E8519B" w:rsidRDefault="004D520F" w:rsidP="00E8519B">
            <w:pPr>
              <w:pStyle w:val="TableText"/>
              <w:rPr>
                <w:i/>
                <w:iCs/>
              </w:rPr>
            </w:pPr>
            <w:r w:rsidRPr="00E8519B">
              <w:rPr>
                <w:i/>
                <w:iCs/>
              </w:rPr>
              <w:t>CCC – 6.5</w:t>
            </w:r>
          </w:p>
        </w:tc>
        <w:tc>
          <w:tcPr>
            <w:tcW w:w="666" w:type="pct"/>
          </w:tcPr>
          <w:p w14:paraId="029998A0" w14:textId="77777777" w:rsidR="00C54579" w:rsidRDefault="00C54579" w:rsidP="00E8519B">
            <w:pPr>
              <w:pStyle w:val="TableText"/>
            </w:pPr>
            <w:r>
              <w:t>5.9</w:t>
            </w:r>
          </w:p>
          <w:p w14:paraId="2E709FA9" w14:textId="5980EDB1" w:rsidR="00DD6CB2" w:rsidRPr="00E8519B" w:rsidRDefault="00C54579" w:rsidP="00E8519B">
            <w:pPr>
              <w:pStyle w:val="TableText"/>
              <w:rPr>
                <w:i/>
                <w:iCs/>
              </w:rPr>
            </w:pPr>
            <w:r w:rsidRPr="00E8519B">
              <w:rPr>
                <w:i/>
                <w:iCs/>
              </w:rPr>
              <w:t>CCC – 5.9</w:t>
            </w:r>
          </w:p>
        </w:tc>
        <w:tc>
          <w:tcPr>
            <w:tcW w:w="667" w:type="pct"/>
          </w:tcPr>
          <w:p w14:paraId="76C50475" w14:textId="77777777" w:rsidR="00C54579" w:rsidRDefault="00C54579" w:rsidP="00E8519B">
            <w:pPr>
              <w:pStyle w:val="TableText"/>
            </w:pPr>
            <w:r>
              <w:t>5.3</w:t>
            </w:r>
          </w:p>
          <w:p w14:paraId="31A9E598" w14:textId="7F48EED7" w:rsidR="00DD6CB2" w:rsidRPr="00E8519B" w:rsidRDefault="00C54579" w:rsidP="00E8519B">
            <w:pPr>
              <w:pStyle w:val="TableText"/>
              <w:rPr>
                <w:i/>
                <w:iCs/>
              </w:rPr>
            </w:pPr>
            <w:r w:rsidRPr="00E8519B">
              <w:rPr>
                <w:i/>
                <w:iCs/>
              </w:rPr>
              <w:t>CCC – 5.3</w:t>
            </w:r>
          </w:p>
        </w:tc>
        <w:tc>
          <w:tcPr>
            <w:tcW w:w="666" w:type="pct"/>
          </w:tcPr>
          <w:p w14:paraId="66B03EF7" w14:textId="77777777" w:rsidR="00F9059C" w:rsidRDefault="00F9059C" w:rsidP="00E8519B">
            <w:pPr>
              <w:pStyle w:val="TableText"/>
            </w:pPr>
            <w:r>
              <w:t>4.7</w:t>
            </w:r>
          </w:p>
          <w:p w14:paraId="5DD9D1D5" w14:textId="126C7B66" w:rsidR="00DD6CB2" w:rsidRPr="00E8519B" w:rsidRDefault="00F9059C" w:rsidP="00E8519B">
            <w:pPr>
              <w:pStyle w:val="TableText"/>
              <w:rPr>
                <w:i/>
                <w:iCs/>
              </w:rPr>
            </w:pPr>
            <w:r w:rsidRPr="00E8519B">
              <w:rPr>
                <w:i/>
                <w:iCs/>
              </w:rPr>
              <w:t>CCC – 4.7</w:t>
            </w:r>
          </w:p>
        </w:tc>
        <w:tc>
          <w:tcPr>
            <w:tcW w:w="667" w:type="pct"/>
          </w:tcPr>
          <w:p w14:paraId="73419C18" w14:textId="77777777" w:rsidR="004B2F8E" w:rsidRDefault="004B2F8E" w:rsidP="00E8519B">
            <w:pPr>
              <w:pStyle w:val="TableText"/>
            </w:pPr>
            <w:r>
              <w:t>3.9</w:t>
            </w:r>
          </w:p>
          <w:p w14:paraId="0853BB83" w14:textId="370E4C1D" w:rsidR="00DD6CB2" w:rsidRPr="00E8519B" w:rsidRDefault="004B2F8E" w:rsidP="00E8519B">
            <w:pPr>
              <w:pStyle w:val="TableText"/>
              <w:rPr>
                <w:i/>
                <w:iCs/>
              </w:rPr>
            </w:pPr>
            <w:r w:rsidRPr="00E8519B">
              <w:rPr>
                <w:i/>
                <w:iCs/>
              </w:rPr>
              <w:t>CCC – 3.9</w:t>
            </w:r>
          </w:p>
        </w:tc>
      </w:tr>
      <w:tr w:rsidR="004B2F8E" w:rsidRPr="006B77BB" w14:paraId="45D05A46" w14:textId="77777777" w:rsidTr="004B2F8E">
        <w:tc>
          <w:tcPr>
            <w:tcW w:w="1667" w:type="pct"/>
          </w:tcPr>
          <w:p w14:paraId="0856B375" w14:textId="095358B0" w:rsidR="00DD6CB2" w:rsidRPr="004B2F8E" w:rsidRDefault="004D520F">
            <w:pPr>
              <w:pStyle w:val="TableText"/>
              <w:rPr>
                <w:b/>
                <w:bCs/>
              </w:rPr>
            </w:pPr>
            <w:r w:rsidRPr="004B2F8E">
              <w:rPr>
                <w:b/>
                <w:bCs/>
              </w:rPr>
              <w:t>Total NZUs available by auction</w:t>
            </w:r>
          </w:p>
        </w:tc>
        <w:tc>
          <w:tcPr>
            <w:tcW w:w="667" w:type="pct"/>
          </w:tcPr>
          <w:p w14:paraId="318FF3B3" w14:textId="77777777" w:rsidR="004D520F" w:rsidRDefault="004D520F" w:rsidP="00E8519B">
            <w:pPr>
              <w:pStyle w:val="TableText"/>
            </w:pPr>
            <w:r>
              <w:t>11.7</w:t>
            </w:r>
          </w:p>
          <w:p w14:paraId="012F35CC" w14:textId="7A84E21B" w:rsidR="00DD6CB2" w:rsidRPr="00E8519B" w:rsidRDefault="004D520F" w:rsidP="00E8519B">
            <w:pPr>
              <w:pStyle w:val="TableText"/>
              <w:rPr>
                <w:i/>
                <w:iCs/>
              </w:rPr>
            </w:pPr>
            <w:r w:rsidRPr="00E8519B">
              <w:rPr>
                <w:i/>
                <w:iCs/>
              </w:rPr>
              <w:t>CCC – 11.7</w:t>
            </w:r>
          </w:p>
        </w:tc>
        <w:tc>
          <w:tcPr>
            <w:tcW w:w="666" w:type="pct"/>
          </w:tcPr>
          <w:p w14:paraId="37D6C6DA" w14:textId="77777777" w:rsidR="00C54579" w:rsidRDefault="00C54579" w:rsidP="00E8519B">
            <w:pPr>
              <w:pStyle w:val="TableText"/>
            </w:pPr>
            <w:r>
              <w:t>10.2</w:t>
            </w:r>
          </w:p>
          <w:p w14:paraId="0B2F7F9F" w14:textId="45977CA0" w:rsidR="00DD6CB2" w:rsidRPr="00E8519B" w:rsidRDefault="00C54579" w:rsidP="00E8519B">
            <w:pPr>
              <w:pStyle w:val="TableText"/>
              <w:rPr>
                <w:i/>
                <w:iCs/>
              </w:rPr>
            </w:pPr>
            <w:r w:rsidRPr="00E8519B">
              <w:rPr>
                <w:i/>
                <w:iCs/>
              </w:rPr>
              <w:t>CCC – 10.2</w:t>
            </w:r>
          </w:p>
        </w:tc>
        <w:tc>
          <w:tcPr>
            <w:tcW w:w="667" w:type="pct"/>
          </w:tcPr>
          <w:p w14:paraId="3F7D9C40" w14:textId="77777777" w:rsidR="00C54579" w:rsidRDefault="00C54579" w:rsidP="00E8519B">
            <w:pPr>
              <w:pStyle w:val="TableText"/>
            </w:pPr>
            <w:r>
              <w:t>8.6</w:t>
            </w:r>
          </w:p>
          <w:p w14:paraId="383FA631" w14:textId="50E016DF" w:rsidR="00DD6CB2" w:rsidRPr="00E8519B" w:rsidRDefault="00C54579" w:rsidP="00E8519B">
            <w:pPr>
              <w:pStyle w:val="TableText"/>
              <w:rPr>
                <w:i/>
                <w:iCs/>
              </w:rPr>
            </w:pPr>
            <w:r w:rsidRPr="00E8519B">
              <w:rPr>
                <w:i/>
                <w:iCs/>
              </w:rPr>
              <w:t>CCC – 12.3</w:t>
            </w:r>
          </w:p>
        </w:tc>
        <w:tc>
          <w:tcPr>
            <w:tcW w:w="666" w:type="pct"/>
          </w:tcPr>
          <w:p w14:paraId="3420DABA" w14:textId="77777777" w:rsidR="004B2F8E" w:rsidRDefault="004B2F8E" w:rsidP="00E8519B">
            <w:pPr>
              <w:pStyle w:val="TableText"/>
            </w:pPr>
            <w:r>
              <w:t>7.1</w:t>
            </w:r>
          </w:p>
          <w:p w14:paraId="7CD78A50" w14:textId="6B73EAA8" w:rsidR="00DD6CB2" w:rsidRPr="00E8519B" w:rsidRDefault="004B2F8E" w:rsidP="00E8519B">
            <w:pPr>
              <w:pStyle w:val="TableText"/>
              <w:rPr>
                <w:i/>
                <w:iCs/>
              </w:rPr>
            </w:pPr>
            <w:r w:rsidRPr="00E8519B">
              <w:rPr>
                <w:i/>
                <w:iCs/>
              </w:rPr>
              <w:t>CCC – 11.7</w:t>
            </w:r>
          </w:p>
        </w:tc>
        <w:tc>
          <w:tcPr>
            <w:tcW w:w="667" w:type="pct"/>
          </w:tcPr>
          <w:p w14:paraId="749AB3BC" w14:textId="77777777" w:rsidR="004B2F8E" w:rsidRDefault="004B2F8E" w:rsidP="00E8519B">
            <w:pPr>
              <w:pStyle w:val="TableText"/>
            </w:pPr>
            <w:r>
              <w:t>5.6</w:t>
            </w:r>
          </w:p>
          <w:p w14:paraId="73E225C8" w14:textId="6DEE28A2" w:rsidR="00DD6CB2" w:rsidRPr="00E8519B" w:rsidRDefault="004B2F8E" w:rsidP="00E8519B">
            <w:pPr>
              <w:pStyle w:val="TableText"/>
              <w:rPr>
                <w:i/>
                <w:iCs/>
              </w:rPr>
            </w:pPr>
            <w:r w:rsidRPr="00E8519B">
              <w:rPr>
                <w:i/>
                <w:iCs/>
              </w:rPr>
              <w:t>CCC – 10.9</w:t>
            </w:r>
          </w:p>
        </w:tc>
      </w:tr>
      <w:tr w:rsidR="004B2F8E" w:rsidRPr="006B77BB" w14:paraId="3B3A19DF" w14:textId="77777777" w:rsidTr="004B2F8E">
        <w:tc>
          <w:tcPr>
            <w:tcW w:w="1667" w:type="pct"/>
          </w:tcPr>
          <w:p w14:paraId="0D0C009B" w14:textId="489F36EC" w:rsidR="00DD6CB2" w:rsidRPr="004B2F8E" w:rsidRDefault="004D520F">
            <w:pPr>
              <w:pStyle w:val="TableText"/>
              <w:rPr>
                <w:b/>
                <w:bCs/>
              </w:rPr>
            </w:pPr>
            <w:r w:rsidRPr="004B2F8E">
              <w:rPr>
                <w:b/>
                <w:bCs/>
              </w:rPr>
              <w:t xml:space="preserve">Industrial allocation (not subject to NZ ETS settings </w:t>
            </w:r>
            <w:proofErr w:type="gramStart"/>
            <w:r w:rsidRPr="004B2F8E">
              <w:rPr>
                <w:b/>
                <w:bCs/>
              </w:rPr>
              <w:t>decision)*</w:t>
            </w:r>
            <w:proofErr w:type="gramEnd"/>
          </w:p>
        </w:tc>
        <w:tc>
          <w:tcPr>
            <w:tcW w:w="667" w:type="pct"/>
          </w:tcPr>
          <w:p w14:paraId="60353D69" w14:textId="77777777" w:rsidR="00C54579" w:rsidRDefault="00C54579" w:rsidP="00E8519B">
            <w:pPr>
              <w:pStyle w:val="TableText"/>
            </w:pPr>
            <w:r>
              <w:t>4.6</w:t>
            </w:r>
          </w:p>
          <w:p w14:paraId="207FEEC3" w14:textId="7581D41C" w:rsidR="00DD6CB2" w:rsidRPr="00E8519B" w:rsidRDefault="00C54579" w:rsidP="00E8519B">
            <w:pPr>
              <w:pStyle w:val="TableText"/>
              <w:rPr>
                <w:i/>
                <w:iCs/>
              </w:rPr>
            </w:pPr>
            <w:r w:rsidRPr="00E8519B">
              <w:rPr>
                <w:i/>
                <w:iCs/>
              </w:rPr>
              <w:t>CCC – 5.7</w:t>
            </w:r>
          </w:p>
        </w:tc>
        <w:tc>
          <w:tcPr>
            <w:tcW w:w="666" w:type="pct"/>
          </w:tcPr>
          <w:p w14:paraId="46278FC5" w14:textId="77777777" w:rsidR="00C54579" w:rsidRDefault="00C54579" w:rsidP="00E8519B">
            <w:pPr>
              <w:pStyle w:val="TableText"/>
            </w:pPr>
            <w:r>
              <w:t>4.4</w:t>
            </w:r>
          </w:p>
          <w:p w14:paraId="66F76802" w14:textId="76C36057" w:rsidR="00DD6CB2" w:rsidRPr="00E8519B" w:rsidRDefault="00C54579" w:rsidP="00E8519B">
            <w:pPr>
              <w:pStyle w:val="TableText"/>
              <w:rPr>
                <w:i/>
                <w:iCs/>
              </w:rPr>
            </w:pPr>
            <w:r w:rsidRPr="00E8519B">
              <w:rPr>
                <w:i/>
                <w:iCs/>
              </w:rPr>
              <w:t>CCC – 5.7</w:t>
            </w:r>
          </w:p>
        </w:tc>
        <w:tc>
          <w:tcPr>
            <w:tcW w:w="667" w:type="pct"/>
          </w:tcPr>
          <w:p w14:paraId="075728C6" w14:textId="77777777" w:rsidR="00C54579" w:rsidRDefault="00C54579" w:rsidP="00E8519B">
            <w:pPr>
              <w:pStyle w:val="TableText"/>
            </w:pPr>
            <w:r>
              <w:t>4.1</w:t>
            </w:r>
          </w:p>
          <w:p w14:paraId="3C5E0545" w14:textId="35C3DB91" w:rsidR="00DD6CB2" w:rsidRPr="00E8519B" w:rsidRDefault="00C54579" w:rsidP="00E8519B">
            <w:pPr>
              <w:pStyle w:val="TableText"/>
              <w:rPr>
                <w:i/>
                <w:iCs/>
              </w:rPr>
            </w:pPr>
            <w:r w:rsidRPr="00E8519B">
              <w:rPr>
                <w:i/>
                <w:iCs/>
              </w:rPr>
              <w:t>CCC – 4.6</w:t>
            </w:r>
          </w:p>
        </w:tc>
        <w:tc>
          <w:tcPr>
            <w:tcW w:w="666" w:type="pct"/>
          </w:tcPr>
          <w:p w14:paraId="12BAE16D" w14:textId="77777777" w:rsidR="004B2F8E" w:rsidRDefault="004B2F8E" w:rsidP="00E8519B">
            <w:pPr>
              <w:pStyle w:val="TableText"/>
            </w:pPr>
            <w:r>
              <w:t>4.0</w:t>
            </w:r>
          </w:p>
          <w:p w14:paraId="7DFCFB29" w14:textId="2666C494" w:rsidR="00DD6CB2" w:rsidRPr="00E8519B" w:rsidRDefault="004B2F8E" w:rsidP="00E8519B">
            <w:pPr>
              <w:pStyle w:val="TableText"/>
              <w:rPr>
                <w:i/>
                <w:iCs/>
              </w:rPr>
            </w:pPr>
            <w:r w:rsidRPr="00E8519B">
              <w:rPr>
                <w:i/>
                <w:iCs/>
              </w:rPr>
              <w:t>CCC – 4.5</w:t>
            </w:r>
          </w:p>
        </w:tc>
        <w:tc>
          <w:tcPr>
            <w:tcW w:w="667" w:type="pct"/>
          </w:tcPr>
          <w:p w14:paraId="11E3B068" w14:textId="77777777" w:rsidR="004B2F8E" w:rsidRDefault="004B2F8E" w:rsidP="00E8519B">
            <w:pPr>
              <w:pStyle w:val="TableText"/>
            </w:pPr>
            <w:r>
              <w:t>4.0</w:t>
            </w:r>
          </w:p>
          <w:p w14:paraId="6D3C3E97" w14:textId="66F346AB" w:rsidR="00DD6CB2" w:rsidRPr="00E8519B" w:rsidRDefault="004B2F8E" w:rsidP="00E8519B">
            <w:pPr>
              <w:pStyle w:val="TableText"/>
              <w:rPr>
                <w:i/>
                <w:iCs/>
              </w:rPr>
            </w:pPr>
            <w:r w:rsidRPr="00E8519B">
              <w:rPr>
                <w:i/>
                <w:iCs/>
              </w:rPr>
              <w:t>CCC – 4.0</w:t>
            </w:r>
          </w:p>
        </w:tc>
      </w:tr>
      <w:tr w:rsidR="004B2F8E" w:rsidRPr="006B77BB" w14:paraId="686E487D" w14:textId="77777777" w:rsidTr="004B2F8E">
        <w:tc>
          <w:tcPr>
            <w:tcW w:w="1667" w:type="pct"/>
          </w:tcPr>
          <w:p w14:paraId="1053B974" w14:textId="0C88573E" w:rsidR="00DD6CB2" w:rsidRPr="004B2F8E" w:rsidRDefault="004D520F">
            <w:pPr>
              <w:pStyle w:val="Note"/>
              <w:rPr>
                <w:b/>
                <w:bCs/>
              </w:rPr>
            </w:pPr>
            <w:r w:rsidRPr="004B2F8E">
              <w:rPr>
                <w:b/>
                <w:bCs/>
              </w:rPr>
              <w:t>Approved overseas units</w:t>
            </w:r>
          </w:p>
        </w:tc>
        <w:tc>
          <w:tcPr>
            <w:tcW w:w="667" w:type="pct"/>
          </w:tcPr>
          <w:p w14:paraId="70012F00" w14:textId="77777777" w:rsidR="00C54579" w:rsidRDefault="00C54579" w:rsidP="00E8519B">
            <w:pPr>
              <w:pStyle w:val="TableText"/>
            </w:pPr>
            <w:r>
              <w:t>0</w:t>
            </w:r>
          </w:p>
          <w:p w14:paraId="76FE5315" w14:textId="78750470" w:rsidR="00DD6CB2" w:rsidRPr="00E8519B" w:rsidRDefault="00C54579" w:rsidP="00E8519B">
            <w:pPr>
              <w:pStyle w:val="TableText"/>
              <w:rPr>
                <w:i/>
                <w:iCs/>
              </w:rPr>
            </w:pPr>
            <w:r w:rsidRPr="00E8519B">
              <w:rPr>
                <w:i/>
                <w:iCs/>
              </w:rPr>
              <w:t>CCC – 0</w:t>
            </w:r>
          </w:p>
        </w:tc>
        <w:tc>
          <w:tcPr>
            <w:tcW w:w="666" w:type="pct"/>
          </w:tcPr>
          <w:p w14:paraId="390FF30B" w14:textId="77777777" w:rsidR="00C54579" w:rsidRDefault="00C54579" w:rsidP="00E8519B">
            <w:pPr>
              <w:pStyle w:val="TableText"/>
            </w:pPr>
            <w:r>
              <w:t>0</w:t>
            </w:r>
          </w:p>
          <w:p w14:paraId="5A492F03" w14:textId="33EBBA66" w:rsidR="00DD6CB2" w:rsidRPr="00E8519B" w:rsidRDefault="00C54579" w:rsidP="00E8519B">
            <w:pPr>
              <w:pStyle w:val="TableText"/>
              <w:rPr>
                <w:i/>
                <w:iCs/>
              </w:rPr>
            </w:pPr>
            <w:r w:rsidRPr="00E8519B">
              <w:rPr>
                <w:i/>
                <w:iCs/>
              </w:rPr>
              <w:t>CCC – 0</w:t>
            </w:r>
          </w:p>
        </w:tc>
        <w:tc>
          <w:tcPr>
            <w:tcW w:w="667" w:type="pct"/>
          </w:tcPr>
          <w:p w14:paraId="46876480" w14:textId="77777777" w:rsidR="00C54579" w:rsidRDefault="00C54579" w:rsidP="00E8519B">
            <w:pPr>
              <w:pStyle w:val="TableText"/>
            </w:pPr>
            <w:r>
              <w:t>0</w:t>
            </w:r>
          </w:p>
          <w:p w14:paraId="449D628D" w14:textId="53274C27" w:rsidR="00DD6CB2" w:rsidRPr="00E8519B" w:rsidRDefault="00C54579" w:rsidP="00E8519B">
            <w:pPr>
              <w:pStyle w:val="TableText"/>
              <w:rPr>
                <w:i/>
                <w:iCs/>
              </w:rPr>
            </w:pPr>
            <w:r w:rsidRPr="00E8519B">
              <w:rPr>
                <w:i/>
                <w:iCs/>
              </w:rPr>
              <w:t>CCC – 0</w:t>
            </w:r>
          </w:p>
        </w:tc>
        <w:tc>
          <w:tcPr>
            <w:tcW w:w="666" w:type="pct"/>
          </w:tcPr>
          <w:p w14:paraId="15B19C2E" w14:textId="77777777" w:rsidR="004B2F8E" w:rsidRDefault="004B2F8E" w:rsidP="00E8519B">
            <w:pPr>
              <w:pStyle w:val="TableText"/>
            </w:pPr>
            <w:r>
              <w:t>0</w:t>
            </w:r>
          </w:p>
          <w:p w14:paraId="1472709B" w14:textId="59C15F62" w:rsidR="00DD6CB2" w:rsidRPr="00E8519B" w:rsidRDefault="004B2F8E" w:rsidP="00E8519B">
            <w:pPr>
              <w:pStyle w:val="TableText"/>
              <w:rPr>
                <w:i/>
                <w:iCs/>
              </w:rPr>
            </w:pPr>
            <w:r w:rsidRPr="00E8519B">
              <w:rPr>
                <w:i/>
                <w:iCs/>
              </w:rPr>
              <w:t>CCC – 0</w:t>
            </w:r>
          </w:p>
        </w:tc>
        <w:tc>
          <w:tcPr>
            <w:tcW w:w="667" w:type="pct"/>
          </w:tcPr>
          <w:p w14:paraId="4D6FF9F4" w14:textId="77777777" w:rsidR="004B2F8E" w:rsidRDefault="004B2F8E" w:rsidP="00E8519B">
            <w:pPr>
              <w:pStyle w:val="TableText"/>
            </w:pPr>
            <w:r>
              <w:t>0</w:t>
            </w:r>
          </w:p>
          <w:p w14:paraId="0556A7C1" w14:textId="5BD4EA3B" w:rsidR="00DD6CB2" w:rsidRPr="00E8519B" w:rsidRDefault="004B2F8E" w:rsidP="00E8519B">
            <w:pPr>
              <w:pStyle w:val="TableText"/>
              <w:rPr>
                <w:i/>
                <w:iCs/>
              </w:rPr>
            </w:pPr>
            <w:r w:rsidRPr="00E8519B">
              <w:rPr>
                <w:i/>
                <w:iCs/>
              </w:rPr>
              <w:t>CCC – 0</w:t>
            </w:r>
          </w:p>
        </w:tc>
      </w:tr>
      <w:tr w:rsidR="004B2F8E" w:rsidRPr="006B77BB" w14:paraId="3CB6E2DF" w14:textId="77777777" w:rsidTr="004B2F8E">
        <w:tc>
          <w:tcPr>
            <w:tcW w:w="1667" w:type="pct"/>
          </w:tcPr>
          <w:p w14:paraId="6F8A86A5" w14:textId="3B08D3A2" w:rsidR="00DD6CB2" w:rsidRPr="004B2F8E" w:rsidRDefault="004D520F">
            <w:pPr>
              <w:pStyle w:val="Note"/>
              <w:rPr>
                <w:b/>
                <w:bCs/>
              </w:rPr>
            </w:pPr>
            <w:r w:rsidRPr="004B2F8E">
              <w:rPr>
                <w:b/>
                <w:bCs/>
              </w:rPr>
              <w:t>Overall limit on units</w:t>
            </w:r>
          </w:p>
        </w:tc>
        <w:tc>
          <w:tcPr>
            <w:tcW w:w="667" w:type="pct"/>
          </w:tcPr>
          <w:p w14:paraId="371C88DD" w14:textId="77777777" w:rsidR="00C54579" w:rsidRDefault="00C54579" w:rsidP="00E8519B">
            <w:pPr>
              <w:pStyle w:val="TableText"/>
            </w:pPr>
            <w:r>
              <w:t>16.3**</w:t>
            </w:r>
          </w:p>
          <w:p w14:paraId="305C6778" w14:textId="5CBB4A65" w:rsidR="00DD6CB2" w:rsidRPr="00E8519B" w:rsidRDefault="00C54579" w:rsidP="00E8519B">
            <w:pPr>
              <w:pStyle w:val="TableText"/>
              <w:rPr>
                <w:i/>
                <w:iCs/>
              </w:rPr>
            </w:pPr>
            <w:r w:rsidRPr="00E8519B">
              <w:rPr>
                <w:i/>
                <w:iCs/>
              </w:rPr>
              <w:t>CCC – 17.4</w:t>
            </w:r>
          </w:p>
        </w:tc>
        <w:tc>
          <w:tcPr>
            <w:tcW w:w="666" w:type="pct"/>
          </w:tcPr>
          <w:p w14:paraId="4393D0E3" w14:textId="77777777" w:rsidR="00C54579" w:rsidRDefault="00C54579" w:rsidP="00E8519B">
            <w:pPr>
              <w:pStyle w:val="TableText"/>
            </w:pPr>
            <w:r>
              <w:t>14.6**</w:t>
            </w:r>
          </w:p>
          <w:p w14:paraId="3321DB21" w14:textId="18C17068" w:rsidR="00DD6CB2" w:rsidRPr="00E8519B" w:rsidRDefault="00C54579" w:rsidP="00E8519B">
            <w:pPr>
              <w:pStyle w:val="TableText"/>
              <w:rPr>
                <w:i/>
                <w:iCs/>
              </w:rPr>
            </w:pPr>
            <w:r w:rsidRPr="00E8519B">
              <w:rPr>
                <w:i/>
                <w:iCs/>
              </w:rPr>
              <w:t>CCC – 15.9</w:t>
            </w:r>
          </w:p>
        </w:tc>
        <w:tc>
          <w:tcPr>
            <w:tcW w:w="667" w:type="pct"/>
          </w:tcPr>
          <w:p w14:paraId="091856A7" w14:textId="77777777" w:rsidR="00C54579" w:rsidRDefault="00C54579" w:rsidP="00E8519B">
            <w:pPr>
              <w:pStyle w:val="TableText"/>
            </w:pPr>
            <w:r>
              <w:t>12.7</w:t>
            </w:r>
          </w:p>
          <w:p w14:paraId="34E04B9E" w14:textId="05C0F7EC" w:rsidR="00DD6CB2" w:rsidRPr="00E8519B" w:rsidRDefault="00C54579" w:rsidP="00E8519B">
            <w:pPr>
              <w:pStyle w:val="TableText"/>
              <w:rPr>
                <w:i/>
                <w:iCs/>
              </w:rPr>
            </w:pPr>
            <w:r w:rsidRPr="00E8519B">
              <w:rPr>
                <w:i/>
                <w:iCs/>
              </w:rPr>
              <w:t>CCC – 16.9</w:t>
            </w:r>
          </w:p>
        </w:tc>
        <w:tc>
          <w:tcPr>
            <w:tcW w:w="666" w:type="pct"/>
          </w:tcPr>
          <w:p w14:paraId="1E91500F" w14:textId="77777777" w:rsidR="004B2F8E" w:rsidRDefault="004B2F8E" w:rsidP="00E8519B">
            <w:pPr>
              <w:pStyle w:val="TableText"/>
            </w:pPr>
            <w:r>
              <w:t>11.1</w:t>
            </w:r>
          </w:p>
          <w:p w14:paraId="69DFD825" w14:textId="47B91090" w:rsidR="00DD6CB2" w:rsidRPr="00E8519B" w:rsidRDefault="004B2F8E" w:rsidP="00E8519B">
            <w:pPr>
              <w:pStyle w:val="TableText"/>
              <w:rPr>
                <w:i/>
                <w:iCs/>
              </w:rPr>
            </w:pPr>
            <w:r w:rsidRPr="00E8519B">
              <w:rPr>
                <w:i/>
                <w:iCs/>
              </w:rPr>
              <w:t>CCC – 16.2</w:t>
            </w:r>
          </w:p>
        </w:tc>
        <w:tc>
          <w:tcPr>
            <w:tcW w:w="667" w:type="pct"/>
          </w:tcPr>
          <w:p w14:paraId="598A37B5" w14:textId="77777777" w:rsidR="004B2F8E" w:rsidRDefault="004B2F8E" w:rsidP="00E8519B">
            <w:pPr>
              <w:pStyle w:val="TableText"/>
            </w:pPr>
            <w:r>
              <w:t>9.6</w:t>
            </w:r>
          </w:p>
          <w:p w14:paraId="4B74037E" w14:textId="26880262" w:rsidR="00DD6CB2" w:rsidRPr="00E8519B" w:rsidRDefault="004B2F8E" w:rsidP="00E8519B">
            <w:pPr>
              <w:pStyle w:val="TableText"/>
              <w:rPr>
                <w:i/>
                <w:iCs/>
              </w:rPr>
            </w:pPr>
            <w:r w:rsidRPr="00E8519B">
              <w:rPr>
                <w:i/>
                <w:iCs/>
              </w:rPr>
              <w:t>CCC – 14.9</w:t>
            </w:r>
          </w:p>
        </w:tc>
      </w:tr>
    </w:tbl>
    <w:p w14:paraId="15B0A3A3" w14:textId="77777777" w:rsidR="005C37FB" w:rsidRPr="00722068" w:rsidRDefault="005C37FB" w:rsidP="004D10D3">
      <w:pPr>
        <w:pStyle w:val="Note"/>
        <w:spacing w:after="0"/>
      </w:pPr>
      <w:r w:rsidRPr="00722068">
        <w:t>* Note the Commission did not update industrial allocation figures for 2026 and 2027, instead incorporating the impacts of updated forecasts into the discrepancy adjustment. This means the total difference here between the Commission and the Government’s industrial allocation volumes is greater than the explanation below (paras 34–36)</w:t>
      </w:r>
    </w:p>
    <w:p w14:paraId="34824E40" w14:textId="77777777" w:rsidR="005C37FB" w:rsidRPr="00722068" w:rsidRDefault="005C37FB" w:rsidP="004D10D3">
      <w:pPr>
        <w:pStyle w:val="Note"/>
        <w:spacing w:after="0"/>
      </w:pPr>
      <w:r w:rsidRPr="00722068">
        <w:t>** Note the government chose to update the overall limits for 2026 and 2027 to align with our best estimate of industrial allocation volumes.</w:t>
      </w:r>
    </w:p>
    <w:p w14:paraId="3B8F4EBC" w14:textId="799DC51E" w:rsidR="005C37FB" w:rsidRDefault="005C37FB" w:rsidP="005C37FB">
      <w:pPr>
        <w:pStyle w:val="Numberedparagraph"/>
      </w:pPr>
      <w:r>
        <w:lastRenderedPageBreak/>
        <w:t>This year’s approach reflects a departure from how the Government has made NZ ETS settings decisions in previous years, which have been based strictly on the application of the ‘seven steps’ methodology. This report explains the rationale for the Government’s decision.</w:t>
      </w:r>
    </w:p>
    <w:p w14:paraId="3E84AA76" w14:textId="77777777" w:rsidR="005C37FB" w:rsidRDefault="005C37FB" w:rsidP="005C37FB">
      <w:pPr>
        <w:pStyle w:val="Heading2"/>
      </w:pPr>
      <w:bookmarkStart w:id="4" w:name="_Toc211942830"/>
      <w:r>
        <w:t>Analytical judgement differences</w:t>
      </w:r>
      <w:bookmarkEnd w:id="4"/>
    </w:p>
    <w:p w14:paraId="028C4B76" w14:textId="69C98AD4" w:rsidR="005C37FB" w:rsidRDefault="005C37FB" w:rsidP="0007607D">
      <w:pPr>
        <w:pStyle w:val="Numberedparagraph"/>
        <w:spacing w:before="120"/>
      </w:pPr>
      <w:r>
        <w:t>There were four major areas where the Government made different analytical judgements compared with the Commission.</w:t>
      </w:r>
    </w:p>
    <w:p w14:paraId="5B379222" w14:textId="77777777" w:rsidR="005C37FB" w:rsidRDefault="005C37FB" w:rsidP="005C37FB">
      <w:pPr>
        <w:pStyle w:val="Heading3"/>
      </w:pPr>
      <w:r>
        <w:t>The balance of risks between oversupply and undersupply of unit volume under the emissions cap, and how best to manage those</w:t>
      </w:r>
    </w:p>
    <w:p w14:paraId="7DEDF8E5" w14:textId="5F8EEF65" w:rsidR="005C37FB" w:rsidRDefault="005C37FB" w:rsidP="0007607D">
      <w:pPr>
        <w:pStyle w:val="Numberedparagraph"/>
        <w:spacing w:before="120"/>
      </w:pPr>
      <w:r>
        <w:t>When determining unit limits, there is both a risk of oversupply and undersupply of units into the market. Oversupply of units could affect the ability for New Zealand to meet its emissions reduction targets. Undersupply risks the proper functioning of the market, potentially leading to excessive price volatility, which could unnecessarily impact businesses and consumers and damage the ability of the NZ ETS to efficiently reduce emissions in line with our emissions reduction targets.</w:t>
      </w:r>
    </w:p>
    <w:p w14:paraId="2D72522B" w14:textId="32BBDB6B" w:rsidR="005C37FB" w:rsidRDefault="005C37FB" w:rsidP="005C37FB">
      <w:pPr>
        <w:pStyle w:val="Numberedparagraph"/>
      </w:pPr>
      <w:r>
        <w:t>The Commission is concerned about oversupply, but also about the damage that undersupplying the market could cause, for example through excessive price volatility. Its preferred approach to balance these risks this year was by providing for auction volume up to the emissions cap over years 2028 to 2030, with a robust auction reserve price</w:t>
      </w:r>
      <w:r w:rsidR="00BF63B9">
        <w:rPr>
          <w:rStyle w:val="FootnoteReference"/>
        </w:rPr>
        <w:footnoteReference w:id="6"/>
      </w:r>
      <w:r>
        <w:t xml:space="preserve"> preventing units from entering the market if they are not needed. </w:t>
      </w:r>
    </w:p>
    <w:p w14:paraId="15C70188" w14:textId="7F654C44" w:rsidR="005C37FB" w:rsidRDefault="005C37FB" w:rsidP="005C37FB">
      <w:pPr>
        <w:pStyle w:val="Numberedparagraph"/>
      </w:pPr>
      <w:r>
        <w:t xml:space="preserve">To further mitigate the risk of oversupply, the Commission took a new approach to phasing the increased auction volumes. It recommended distributing auction volumes evenly across 2028 to 2030. This would mean relatively lower auction volumes in 2028 and higher auction volumes in 2029 and 2030, compared with the default approach (declining in line with the NZ ETS cap). This would preserve more volume in later years that could be more easily changed in future. </w:t>
      </w:r>
    </w:p>
    <w:p w14:paraId="0E9283F1" w14:textId="6C2BCBC7" w:rsidR="005C37FB" w:rsidRDefault="005C37FB" w:rsidP="005C37FB">
      <w:pPr>
        <w:pStyle w:val="Numberedparagraph"/>
      </w:pPr>
      <w:r>
        <w:t xml:space="preserve">The Government’s decision took a more cautious approach to the risk of oversupply for achieving emissions reduction targets – especially the challenging EB3. Given the significant uncertainty associated with estimating the surplus, it is possible that the surplus could be larger or smaller than estimated. Because of the one-sided nature of auctioning as a lever (once units have been auctioned, the Government cannot easily remove them from the market), this year, the Government had a higher tolerance for the risk of undersupply than it did for oversupply. Additionally, the Government considered the risks of under-supply to be low in the short term, given its view that signs suggest the market is currently well-supplied (explained further below). </w:t>
      </w:r>
    </w:p>
    <w:p w14:paraId="25DC7D9C" w14:textId="673593E4" w:rsidR="005C37FB" w:rsidRDefault="005C37FB" w:rsidP="005C37FB">
      <w:pPr>
        <w:pStyle w:val="Numberedparagraph"/>
      </w:pPr>
      <w:r>
        <w:t xml:space="preserve">The Government did not follow the Commission’s proposed approach to phasing auction volumes and chose instead to continue the longstanding approach of distributing auction volumes in line with the NZ ETS cap. Changing the approach to distributing auction volumes was not necessary because the Government’s lower unit settings meant further mitigation of the risk of oversupply was unnecessary. </w:t>
      </w:r>
    </w:p>
    <w:p w14:paraId="16CB80F9" w14:textId="77777777" w:rsidR="005C37FB" w:rsidRDefault="005C37FB" w:rsidP="005C37FB">
      <w:pPr>
        <w:pStyle w:val="Heading3"/>
      </w:pPr>
      <w:r>
        <w:lastRenderedPageBreak/>
        <w:t>Additional emphasis on supporting achievement of the third emissions budget</w:t>
      </w:r>
    </w:p>
    <w:p w14:paraId="181F85E2" w14:textId="1ACB47F7" w:rsidR="005C37FB" w:rsidRDefault="005C37FB" w:rsidP="0007607D">
      <w:pPr>
        <w:pStyle w:val="Numberedparagraph"/>
        <w:spacing w:before="120"/>
      </w:pPr>
      <w:r>
        <w:t>EB3 is expected to be particularly challenging, and there is currently a gap between projected emissions and the EB3 target. The Commission highlighted that aligning the unit limits with the 2026 to 2030 emissions projections in the Government’s second emissions reduction plan is still in accordance with the third emissions budget, since the deeper reductions are not required until after the period of the Commission’s advice. The Commission noted that future advice that does cover part of the third emissions budget period (2031 to 2035) can align with an adjusted pathway that accounts for the additional reductions needed.</w:t>
      </w:r>
    </w:p>
    <w:p w14:paraId="0C5FF623" w14:textId="039498C3" w:rsidR="005C37FB" w:rsidRDefault="005C37FB" w:rsidP="005C37FB">
      <w:pPr>
        <w:pStyle w:val="Numberedparagraph"/>
      </w:pPr>
      <w:r>
        <w:t>The Government’s decision to extend status quo volumes is intended to better support meeting the EB3 target by reducing the existing gap between projected emissions and EB3 sooner. Keeping unit settings tighter now increases the chance that the surplus stockpile is eliminated before EB3 begins and will mean the NZ ETS will be more effective at reducing net emissions during the EB3 period.</w:t>
      </w:r>
    </w:p>
    <w:p w14:paraId="587257AF" w14:textId="4678E2AD" w:rsidR="005C37FB" w:rsidRDefault="005C37FB" w:rsidP="005C37FB">
      <w:pPr>
        <w:pStyle w:val="Heading3"/>
      </w:pPr>
      <w:r>
        <w:t>The conclusions to be drawn from recent New Zealand Unit prices</w:t>
      </w:r>
      <w:r w:rsidR="00BF63B9">
        <w:rPr>
          <w:rStyle w:val="FootnoteReference"/>
        </w:rPr>
        <w:footnoteReference w:id="7"/>
      </w:r>
      <w:r>
        <w:t xml:space="preserve"> about the size of the surplus and outlook for supply and demand over the next 5 years </w:t>
      </w:r>
    </w:p>
    <w:p w14:paraId="359AAC8A" w14:textId="50DEB501" w:rsidR="005C37FB" w:rsidRDefault="005C37FB" w:rsidP="0007607D">
      <w:pPr>
        <w:pStyle w:val="Numberedparagraph"/>
        <w:spacing w:before="120"/>
      </w:pPr>
      <w:r>
        <w:t xml:space="preserve">The Commission considered that there are several factors that contributed to the New Zealand Unit (NZU) spot price sitting below the auction reserve price, including wider regulatory uncertainty about the NZ ETS and climate policy overall, participants’ limited market foresight, and the inefficiency of the NZ ETS market. While the price and availability of units in the secondary market indicated that there is sufficient unit supply in the short term, the Commission did not consider this provided evidence </w:t>
      </w:r>
      <w:proofErr w:type="gramStart"/>
      <w:r>
        <w:t>in itself for</w:t>
      </w:r>
      <w:proofErr w:type="gramEnd"/>
      <w:r>
        <w:t xml:space="preserve"> increasing the surplus estimate or concluding that status quo settings would provide sufficient units in line with targets from 2028 onwards.</w:t>
      </w:r>
    </w:p>
    <w:p w14:paraId="09DA0D6B" w14:textId="0AD2CDDE" w:rsidR="005C37FB" w:rsidRDefault="005C37FB" w:rsidP="005C37FB">
      <w:pPr>
        <w:pStyle w:val="Numberedparagraph"/>
      </w:pPr>
      <w:r>
        <w:t xml:space="preserve">The Government considered that recent NZU prices and partial clearance of auctions in 2024 support the view that the surplus may be larger than the Commission’s central estimate, and that sufficient units in line with targets are likely to be available in the market over the next five years, even with tighter unit settings than those recommended by the Commission. </w:t>
      </w:r>
    </w:p>
    <w:p w14:paraId="0D4168D6" w14:textId="77777777" w:rsidR="005C37FB" w:rsidRDefault="005C37FB" w:rsidP="005C37FB">
      <w:pPr>
        <w:pStyle w:val="Heading3"/>
      </w:pPr>
      <w:r>
        <w:t>The approach to regulatory predictability and market stability</w:t>
      </w:r>
    </w:p>
    <w:p w14:paraId="215F9E9A" w14:textId="7BA5E6AD" w:rsidR="005C37FB" w:rsidRDefault="005C37FB" w:rsidP="0007607D">
      <w:pPr>
        <w:pStyle w:val="Numberedparagraph"/>
        <w:spacing w:before="120"/>
      </w:pPr>
      <w:r>
        <w:t xml:space="preserve">Both the Commission and the Government agree that regulatory predictability and stability in the market are best supported by prioritising consistency of methodological approach and process, where changes are well-signalled and understood, and settings implement the emissions cap. While it was not the determinative factor, this year Government also noted feedback from public consultation that maintaining status quo settings would support overall market stability and took that into account in its 2025 settings decisions. The Government considered that improved market stability from </w:t>
      </w:r>
      <w:r>
        <w:lastRenderedPageBreak/>
        <w:t>extending status quo auction volumes justified the reduction in regulatory predictability that comes with a departure from the strict application of the seven steps methodology.</w:t>
      </w:r>
    </w:p>
    <w:p w14:paraId="6C545102" w14:textId="77777777" w:rsidR="005C37FB" w:rsidRDefault="005C37FB" w:rsidP="005C37FB">
      <w:pPr>
        <w:pStyle w:val="Heading2"/>
      </w:pPr>
      <w:bookmarkStart w:id="5" w:name="_Toc211942831"/>
      <w:r>
        <w:t>Technical differences</w:t>
      </w:r>
      <w:bookmarkEnd w:id="5"/>
    </w:p>
    <w:p w14:paraId="79B4BC79" w14:textId="300C6284" w:rsidR="005C37FB" w:rsidRDefault="005C37FB" w:rsidP="0007607D">
      <w:pPr>
        <w:pStyle w:val="Numberedparagraph"/>
        <w:spacing w:before="120"/>
      </w:pPr>
      <w:r>
        <w:t>In addition, there were several analytical updates or changes made by the Ministry for the Environment (MfE) in their final analysis and estimates for the surplus stockpile and industrial allocation volumes. These were factored into the Government’s decision to extend status quo volumes.</w:t>
      </w:r>
    </w:p>
    <w:p w14:paraId="25AF6CD0" w14:textId="662C216A" w:rsidR="005C37FB" w:rsidRDefault="005C37FB" w:rsidP="005C37FB">
      <w:pPr>
        <w:pStyle w:val="Numberedparagraph"/>
      </w:pPr>
      <w:r>
        <w:t xml:space="preserve">A key change in the surplus estimate methodology this year has been the introduction of the concept of ‘holding’ volumes. These refer to units that are being held to cover emissions that have already occurred but haven’t yet been surrendered to fulfil the current compliance cycle. Holding volumes are subtracted from the total stockpile to calculate the estimated surplus stockpile. Both the Commission and the Government made this methodological change (as recommended by an expert report commissioned by the Ministry for the Environment) but took a different approach with regards to how this change impacts hedging volumes (units held in anticipation of future emissions). </w:t>
      </w:r>
    </w:p>
    <w:p w14:paraId="55EE2EF8" w14:textId="77777777" w:rsidR="005C37FB" w:rsidRDefault="005C37FB" w:rsidP="005C37FB">
      <w:pPr>
        <w:pStyle w:val="Heading3"/>
      </w:pPr>
      <w:r>
        <w:t>Updated surplus stockpile assumption – level of hedging volume</w:t>
      </w:r>
    </w:p>
    <w:p w14:paraId="2D8CBDE8" w14:textId="6BD60A3C" w:rsidR="005C37FB" w:rsidRDefault="005C37FB" w:rsidP="0007607D">
      <w:pPr>
        <w:pStyle w:val="Numberedparagraph"/>
        <w:spacing w:before="120"/>
      </w:pPr>
      <w:r>
        <w:t xml:space="preserve">The separation out of the holding volume raised questions about whether any overlap or double counting exists between the hedging assumption used in previous decisions and the new holding volume category. If an overlap exists, it </w:t>
      </w:r>
      <w:proofErr w:type="gramStart"/>
      <w:r>
        <w:t>would</w:t>
      </w:r>
      <w:proofErr w:type="gramEnd"/>
      <w:r>
        <w:t xml:space="preserve"> result in higher estimates of the surplus stockpile because fewer units are being subtracted from the overall stockpile of units. This directly impacts auction volumes, with a reduction in auction volumes corresponding to the difference in surplus stockpile estimates. </w:t>
      </w:r>
    </w:p>
    <w:p w14:paraId="0B5E30A5" w14:textId="71A89941" w:rsidR="005C37FB" w:rsidRDefault="005C37FB" w:rsidP="005C37FB">
      <w:pPr>
        <w:pStyle w:val="Numberedparagraph"/>
      </w:pPr>
      <w:r>
        <w:t>The Commission’s advice treated holding volumes and hedging volumes as additional to each other. Specifically, the Commission did not adjust the hedging coverage assumption used in previous decisions, which may account for coverage now considered to be holding volumes. The Commission highlighted in its advice that this was an area of uncertainty and suggested the Government test its assumptions during feedback.</w:t>
      </w:r>
      <w:r w:rsidR="00BF63B9">
        <w:rPr>
          <w:rStyle w:val="FootnoteReference"/>
        </w:rPr>
        <w:footnoteReference w:id="8"/>
      </w:r>
    </w:p>
    <w:p w14:paraId="377CE8BB" w14:textId="5817A0D2" w:rsidR="005C37FB" w:rsidRDefault="005C37FB" w:rsidP="005C37FB">
      <w:pPr>
        <w:pStyle w:val="Numberedparagraph"/>
      </w:pPr>
      <w:r>
        <w:t xml:space="preserve">The evidence we have been able to gather indicates that at least some emitters do not hold distinct (or additional) holding and hedging volumes. Instead, many emitters use units held for upcoming compliance to hedge price (if they hedge at all). </w:t>
      </w:r>
    </w:p>
    <w:p w14:paraId="4DF93004" w14:textId="1D817C8C" w:rsidR="005C37FB" w:rsidRDefault="005C37FB" w:rsidP="005C37FB">
      <w:pPr>
        <w:pStyle w:val="Numberedparagraph"/>
      </w:pPr>
      <w:r>
        <w:t>However, it has been challenging to quantify this overlap. The NZU holders survey, submissions on the NZ ETS Settings discussion document and desktop research based on firms’ financial reports have provided limited insight on the specific level of overlap.</w:t>
      </w:r>
    </w:p>
    <w:p w14:paraId="6BB3DA60" w14:textId="0B93BBB0" w:rsidR="005C37FB" w:rsidRDefault="005C37FB" w:rsidP="005C37FB">
      <w:pPr>
        <w:pStyle w:val="Numberedparagraph"/>
      </w:pPr>
      <w:r>
        <w:t>In absence of robust quantitative evidence, the Government chose to take a conservative estimate (</w:t>
      </w:r>
      <w:proofErr w:type="spellStart"/>
      <w:r>
        <w:t>ie</w:t>
      </w:r>
      <w:proofErr w:type="spellEnd"/>
      <w:r>
        <w:t xml:space="preserve">, assuming a greater overlap), as underestimating the overlap risks underestimating the size of the surplus stockpile. This could mean the surplus stockpile is not fully drawn down as intended, increasing the challenge in achieving New Zealand’s emissions reduction targets. </w:t>
      </w:r>
    </w:p>
    <w:p w14:paraId="6DCD754E" w14:textId="4A608975" w:rsidR="005C37FB" w:rsidRDefault="005C37FB" w:rsidP="005C37FB">
      <w:pPr>
        <w:pStyle w:val="Numberedparagraph"/>
      </w:pPr>
      <w:r>
        <w:lastRenderedPageBreak/>
        <w:t xml:space="preserve">Given the holding volume estimate is based on emissions that have </w:t>
      </w:r>
      <w:proofErr w:type="gramStart"/>
      <w:r>
        <w:t>actually occurred</w:t>
      </w:r>
      <w:proofErr w:type="gramEnd"/>
      <w:r>
        <w:t>, it is more appropriate to retain this estimate based on the best available data. Therefore, the adjustment should be applied to the hedging volume estimate via changes to the future hedging assumptions. This increased the Government’s surplus central estimate by 5.4 million units compared with the Commission’s estimate.</w:t>
      </w:r>
      <w:r w:rsidR="00BF63B9">
        <w:rPr>
          <w:rStyle w:val="FootnoteReference"/>
        </w:rPr>
        <w:footnoteReference w:id="9"/>
      </w:r>
      <w:r>
        <w:t xml:space="preserve"> It also increased the upper range of the surplus estimate by 10.0 million units compared to the Commission. This accounts for almost a third of the difference between the Commission’s recommend auction volumes and the Government’s agreed auction volumes.</w:t>
      </w:r>
    </w:p>
    <w:p w14:paraId="7E1A28D8" w14:textId="77777777" w:rsidR="005C37FB" w:rsidRDefault="005C37FB" w:rsidP="005C37FB">
      <w:pPr>
        <w:pStyle w:val="Heading3"/>
      </w:pPr>
      <w:r>
        <w:t>Adjusting surplus estimates based on 2024 net surrenders information</w:t>
      </w:r>
    </w:p>
    <w:p w14:paraId="4C9DDBE2" w14:textId="4927AD58" w:rsidR="005C37FB" w:rsidRDefault="005C37FB" w:rsidP="0007607D">
      <w:pPr>
        <w:pStyle w:val="Numberedparagraph"/>
        <w:spacing w:before="120"/>
      </w:pPr>
      <w:r>
        <w:t>Data on 2024 surrender compliance volumes published by the Environmental Protection Authority after the Commission provided its advice has allowed the Ministry for the Environment to refine the estimate of holding volumes. These figures indicate net surrenders of 34.0 million for the period 1 July 2024 to 30 June 2025, 0.2 million units lower than provisional estimates of the holding volume. This increases the surplus estimate by 0.2 million units compared with the Commission’s estimate, with a corresponding reduction in auction volumes.</w:t>
      </w:r>
    </w:p>
    <w:p w14:paraId="5F0938DA" w14:textId="77777777" w:rsidR="005C37FB" w:rsidRDefault="005C37FB" w:rsidP="005C37FB">
      <w:pPr>
        <w:pStyle w:val="Heading3"/>
      </w:pPr>
      <w:r>
        <w:t>Updating industrial allocation forecasts for recent data and to align with 2025 projections</w:t>
      </w:r>
    </w:p>
    <w:p w14:paraId="7FD6F588" w14:textId="11A9F7ED" w:rsidR="005C37FB" w:rsidRDefault="005C37FB" w:rsidP="0007607D">
      <w:pPr>
        <w:pStyle w:val="Numberedparagraph"/>
        <w:spacing w:before="120"/>
      </w:pPr>
      <w:r>
        <w:t>Industrial allocation forecasts have been updated to incorporate 2024 actual allocations, which were released after the Commission provided its advice. Aggregate industrial allocation was very close to the level forecast by the Commission but with some differences at the sectoral level.</w:t>
      </w:r>
    </w:p>
    <w:p w14:paraId="749669A6" w14:textId="1B606B3D" w:rsidR="005C37FB" w:rsidRDefault="005C37FB" w:rsidP="005C37FB">
      <w:pPr>
        <w:pStyle w:val="Numberedparagraph"/>
      </w:pPr>
      <w:r>
        <w:t>In addition, future output adjustment assumptions have been updated to align information available as of mid-July 2025. The most material change is bringing forward the assumption of when Methanex will close by one year to the end of 2027 and assuming lower production levels prior to reflect ongoing winter closures to release gas for electricity generation. This is the same set of assumptions used in the 2025 projections.</w:t>
      </w:r>
      <w:r w:rsidR="001C7A63">
        <w:rPr>
          <w:rStyle w:val="FootnoteReference"/>
        </w:rPr>
        <w:footnoteReference w:id="10"/>
      </w:r>
      <w:r>
        <w:t xml:space="preserve"> </w:t>
      </w:r>
    </w:p>
    <w:p w14:paraId="2924E1CA" w14:textId="19827168" w:rsidR="005C37FB" w:rsidRDefault="005C37FB" w:rsidP="005C37FB">
      <w:pPr>
        <w:pStyle w:val="Numberedparagraph"/>
      </w:pPr>
      <w:r>
        <w:t>Together, these changes result in industrial allocation forecasts 2.1 million units lower than the Commission forecast for the 2026 to 2030 settings period. This could allow a corresponding increase in auction volumes.</w:t>
      </w:r>
    </w:p>
    <w:p w14:paraId="05A7C84F" w14:textId="77777777" w:rsidR="00126778" w:rsidRPr="0086170B" w:rsidRDefault="00126778" w:rsidP="0086170B">
      <w:pPr>
        <w:pStyle w:val="BodyText"/>
      </w:pPr>
      <w:r w:rsidRPr="0086170B">
        <w:br w:type="page"/>
      </w:r>
    </w:p>
    <w:p w14:paraId="7C2B6D89" w14:textId="6EEC989E" w:rsidR="005C37FB" w:rsidRDefault="005C37FB" w:rsidP="005C37FB">
      <w:pPr>
        <w:pStyle w:val="Heading1"/>
      </w:pPr>
      <w:bookmarkStart w:id="6" w:name="_Toc211942832"/>
      <w:r>
        <w:lastRenderedPageBreak/>
        <w:t>Differences in price control settings</w:t>
      </w:r>
      <w:bookmarkEnd w:id="6"/>
    </w:p>
    <w:p w14:paraId="291623AC" w14:textId="6D0E0779" w:rsidR="005C37FB" w:rsidRDefault="005C37FB" w:rsidP="005C37FB">
      <w:pPr>
        <w:pStyle w:val="Numberedparagraph"/>
      </w:pPr>
      <w:r>
        <w:t>Both the Commission and the Government adjusted the last three years of price controls to account for inflation. Price control settings prescribed in regulations use the most recent inflation rates from Budget Economic and Fiscal Update 2025.</w:t>
      </w:r>
      <w:r w:rsidR="001C7A63">
        <w:rPr>
          <w:rStyle w:val="FootnoteReference"/>
        </w:rPr>
        <w:footnoteReference w:id="11"/>
      </w:r>
      <w:r>
        <w:t xml:space="preserve"> The Commission had used earlier forecasts of inflation rates</w:t>
      </w:r>
      <w:r w:rsidR="001926FD">
        <w:t>,</w:t>
      </w:r>
      <w:r w:rsidR="001C7A63">
        <w:rPr>
          <w:rStyle w:val="FootnoteReference"/>
        </w:rPr>
        <w:footnoteReference w:id="12"/>
      </w:r>
      <w:r>
        <w:t xml:space="preserve"> but recommended Government should use the latest inflation rates. As with last year, price control settings were also rounded to the nearest whole number.</w:t>
      </w:r>
    </w:p>
    <w:p w14:paraId="3A6D988F" w14:textId="233D6519" w:rsidR="005C37FB" w:rsidRDefault="005C37FB" w:rsidP="005C37FB">
      <w:pPr>
        <w:pStyle w:val="Numberedparagraph"/>
      </w:pPr>
      <w:r>
        <w:t xml:space="preserve">This means the prescribed price control settings for some years vary by $1–2 from those in the Commission’s 2025 advice (highlighted in table </w:t>
      </w:r>
      <w:r w:rsidR="00D871D7">
        <w:t>2</w:t>
      </w:r>
      <w:r>
        <w:t>). However, they are the same as the Commission’s in inflation-adjusted terms.</w:t>
      </w:r>
    </w:p>
    <w:p w14:paraId="6202F3E3" w14:textId="1E5D70AA" w:rsidR="005C37FB" w:rsidRDefault="005C37FB" w:rsidP="005C37FB">
      <w:pPr>
        <w:pStyle w:val="Tableheading"/>
        <w:rPr>
          <w:rStyle w:val="normaltextrun"/>
        </w:rPr>
      </w:pPr>
      <w:r>
        <w:rPr>
          <w:rStyle w:val="normaltextrun"/>
        </w:rPr>
        <w:t>Table 2:</w:t>
      </w:r>
      <w:r>
        <w:rPr>
          <w:rStyle w:val="normaltextrun"/>
        </w:rPr>
        <w:tab/>
        <w:t>D</w:t>
      </w:r>
      <w:r w:rsidRPr="00520230">
        <w:rPr>
          <w:rStyle w:val="normaltextrun"/>
        </w:rPr>
        <w:t>ifferences</w:t>
      </w:r>
      <w:r>
        <w:rPr>
          <w:rStyle w:val="normaltextrun"/>
        </w:rPr>
        <w:t xml:space="preserve"> in price control settings</w:t>
      </w:r>
      <w:r w:rsidRPr="00520230">
        <w:rPr>
          <w:rStyle w:val="normaltextrun"/>
        </w:rPr>
        <w:t xml:space="preserve"> between the Commission’s </w:t>
      </w:r>
      <w:r>
        <w:rPr>
          <w:rStyle w:val="normaltextrun"/>
        </w:rPr>
        <w:t>202</w:t>
      </w:r>
      <w:r w:rsidR="008A0D2B">
        <w:rPr>
          <w:rStyle w:val="normaltextrun"/>
        </w:rPr>
        <w:t>5</w:t>
      </w:r>
      <w:r>
        <w:rPr>
          <w:rStyle w:val="normaltextrun"/>
        </w:rPr>
        <w:t xml:space="preserve"> </w:t>
      </w:r>
      <w:r w:rsidRPr="00520230">
        <w:rPr>
          <w:rStyle w:val="normaltextrun"/>
        </w:rPr>
        <w:t>advice and those prescribed in regulations</w:t>
      </w:r>
    </w:p>
    <w:tbl>
      <w:tblPr>
        <w:tblStyle w:val="TableGrid"/>
        <w:tblW w:w="5000" w:type="pct"/>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ayout w:type="fixed"/>
        <w:tblLook w:val="04A0" w:firstRow="1" w:lastRow="0" w:firstColumn="1" w:lastColumn="0" w:noHBand="0" w:noVBand="1"/>
      </w:tblPr>
      <w:tblGrid>
        <w:gridCol w:w="1421"/>
        <w:gridCol w:w="1136"/>
        <w:gridCol w:w="1277"/>
        <w:gridCol w:w="1412"/>
        <w:gridCol w:w="1133"/>
        <w:gridCol w:w="1145"/>
        <w:gridCol w:w="981"/>
      </w:tblGrid>
      <w:tr w:rsidR="009E13D3" w:rsidRPr="006B77BB" w14:paraId="529995D7" w14:textId="77777777" w:rsidTr="009E13D3">
        <w:trPr>
          <w:tblHeader/>
        </w:trPr>
        <w:tc>
          <w:tcPr>
            <w:tcW w:w="835" w:type="pct"/>
            <w:shd w:val="clear" w:color="auto" w:fill="1B556B"/>
          </w:tcPr>
          <w:p w14:paraId="1964DD44" w14:textId="77777777" w:rsidR="00DE27C6" w:rsidRPr="006B77BB" w:rsidRDefault="00DE27C6" w:rsidP="009E13D3">
            <w:pPr>
              <w:pStyle w:val="Note"/>
              <w:spacing w:before="0" w:after="0"/>
              <w:rPr>
                <w:color w:val="FFFFFF" w:themeColor="background1"/>
              </w:rPr>
            </w:pPr>
          </w:p>
        </w:tc>
        <w:tc>
          <w:tcPr>
            <w:tcW w:w="668" w:type="pct"/>
            <w:shd w:val="clear" w:color="auto" w:fill="1B556B"/>
          </w:tcPr>
          <w:p w14:paraId="5F91D192" w14:textId="1EB824B4" w:rsidR="00DE27C6" w:rsidRPr="006B77BB" w:rsidRDefault="00DE27C6" w:rsidP="009E13D3">
            <w:pPr>
              <w:pStyle w:val="Note"/>
              <w:spacing w:before="0" w:after="0"/>
              <w:rPr>
                <w:color w:val="FFFFFF" w:themeColor="background1"/>
              </w:rPr>
            </w:pPr>
          </w:p>
        </w:tc>
        <w:tc>
          <w:tcPr>
            <w:tcW w:w="751" w:type="pct"/>
            <w:shd w:val="clear" w:color="auto" w:fill="1B556B"/>
          </w:tcPr>
          <w:p w14:paraId="6ACCEB8B" w14:textId="77777777" w:rsidR="009E13D3" w:rsidRDefault="00DE27C6" w:rsidP="009E13D3">
            <w:pPr>
              <w:pStyle w:val="Tableheading"/>
              <w:spacing w:before="0" w:after="0"/>
              <w:rPr>
                <w:color w:val="FFFFFF" w:themeColor="background1"/>
              </w:rPr>
            </w:pPr>
            <w:r w:rsidRPr="009E13D3">
              <w:rPr>
                <w:color w:val="FFFFFF" w:themeColor="background1"/>
              </w:rPr>
              <w:t xml:space="preserve">2026 (no </w:t>
            </w:r>
          </w:p>
          <w:p w14:paraId="1718C7D8" w14:textId="30027EF3" w:rsidR="00DE27C6" w:rsidRPr="009E13D3" w:rsidRDefault="00DE27C6" w:rsidP="009E13D3">
            <w:pPr>
              <w:pStyle w:val="Tableheading"/>
              <w:spacing w:before="0" w:after="0"/>
              <w:rPr>
                <w:color w:val="FFFFFF" w:themeColor="background1"/>
              </w:rPr>
            </w:pPr>
            <w:r w:rsidRPr="009E13D3">
              <w:rPr>
                <w:color w:val="FFFFFF" w:themeColor="background1"/>
              </w:rPr>
              <w:t>difference)</w:t>
            </w:r>
          </w:p>
        </w:tc>
        <w:tc>
          <w:tcPr>
            <w:tcW w:w="830" w:type="pct"/>
            <w:shd w:val="clear" w:color="auto" w:fill="1B556B"/>
          </w:tcPr>
          <w:p w14:paraId="7648BA1E" w14:textId="77777777" w:rsidR="009E13D3" w:rsidRDefault="00DE27C6" w:rsidP="009E13D3">
            <w:pPr>
              <w:pStyle w:val="Tableheading"/>
              <w:spacing w:before="0" w:after="0"/>
              <w:rPr>
                <w:color w:val="FFFFFF" w:themeColor="background1"/>
              </w:rPr>
            </w:pPr>
            <w:r w:rsidRPr="00DE27C6">
              <w:rPr>
                <w:color w:val="FFFFFF" w:themeColor="background1"/>
              </w:rPr>
              <w:t xml:space="preserve">2027 (no </w:t>
            </w:r>
          </w:p>
          <w:p w14:paraId="2CB75A79" w14:textId="23C5CCA6" w:rsidR="00DE27C6" w:rsidRPr="00DE27C6" w:rsidRDefault="00DE27C6" w:rsidP="009E13D3">
            <w:pPr>
              <w:pStyle w:val="Tableheading"/>
              <w:spacing w:before="0" w:after="0"/>
              <w:rPr>
                <w:color w:val="FFFFFF" w:themeColor="background1"/>
              </w:rPr>
            </w:pPr>
            <w:r w:rsidRPr="00DE27C6">
              <w:rPr>
                <w:color w:val="FFFFFF" w:themeColor="background1"/>
              </w:rPr>
              <w:t>difference)</w:t>
            </w:r>
          </w:p>
        </w:tc>
        <w:tc>
          <w:tcPr>
            <w:tcW w:w="666" w:type="pct"/>
            <w:shd w:val="clear" w:color="auto" w:fill="1B556B"/>
          </w:tcPr>
          <w:p w14:paraId="096CF8A4" w14:textId="60395779" w:rsidR="00DE27C6" w:rsidRPr="00DE27C6" w:rsidRDefault="00DE27C6" w:rsidP="009E13D3">
            <w:pPr>
              <w:pStyle w:val="Tableheading"/>
              <w:spacing w:before="0" w:after="0"/>
              <w:rPr>
                <w:color w:val="FFFFFF" w:themeColor="background1"/>
              </w:rPr>
            </w:pPr>
            <w:r w:rsidRPr="00DE27C6">
              <w:rPr>
                <w:color w:val="FFFFFF" w:themeColor="background1"/>
              </w:rPr>
              <w:t>2028</w:t>
            </w:r>
          </w:p>
        </w:tc>
        <w:tc>
          <w:tcPr>
            <w:tcW w:w="673" w:type="pct"/>
            <w:shd w:val="clear" w:color="auto" w:fill="1B556B"/>
          </w:tcPr>
          <w:p w14:paraId="348B717D" w14:textId="6912A10C" w:rsidR="00DE27C6" w:rsidRPr="00DE27C6" w:rsidRDefault="00DE27C6" w:rsidP="009E13D3">
            <w:pPr>
              <w:pStyle w:val="Tableheading"/>
              <w:spacing w:before="0" w:after="0"/>
              <w:rPr>
                <w:color w:val="FFFFFF" w:themeColor="background1"/>
              </w:rPr>
            </w:pPr>
            <w:r w:rsidRPr="00DE27C6">
              <w:rPr>
                <w:color w:val="FFFFFF" w:themeColor="background1"/>
              </w:rPr>
              <w:t>2029</w:t>
            </w:r>
          </w:p>
        </w:tc>
        <w:tc>
          <w:tcPr>
            <w:tcW w:w="577" w:type="pct"/>
            <w:shd w:val="clear" w:color="auto" w:fill="1B556B"/>
          </w:tcPr>
          <w:p w14:paraId="3917112A" w14:textId="34DD73FA" w:rsidR="00DE27C6" w:rsidRPr="00DE27C6" w:rsidRDefault="00DE27C6" w:rsidP="009E13D3">
            <w:pPr>
              <w:pStyle w:val="Tableheading"/>
              <w:spacing w:before="0" w:after="0"/>
              <w:rPr>
                <w:color w:val="FFFFFF" w:themeColor="background1"/>
              </w:rPr>
            </w:pPr>
            <w:r w:rsidRPr="00DE27C6">
              <w:rPr>
                <w:color w:val="FFFFFF" w:themeColor="background1"/>
              </w:rPr>
              <w:t xml:space="preserve">2030 </w:t>
            </w:r>
          </w:p>
        </w:tc>
      </w:tr>
      <w:tr w:rsidR="009E13D3" w:rsidRPr="006B77BB" w14:paraId="4B395C21" w14:textId="77777777" w:rsidTr="0075653C">
        <w:trPr>
          <w:trHeight w:val="583"/>
        </w:trPr>
        <w:tc>
          <w:tcPr>
            <w:tcW w:w="835" w:type="pct"/>
            <w:vMerge w:val="restart"/>
            <w:tcBorders>
              <w:right w:val="single" w:sz="4" w:space="0" w:color="FFFFFF" w:themeColor="background1"/>
            </w:tcBorders>
            <w:vAlign w:val="center"/>
          </w:tcPr>
          <w:p w14:paraId="2634A5BE" w14:textId="64045E02" w:rsidR="00DE27C6" w:rsidRPr="009E13D3" w:rsidRDefault="00DE27C6" w:rsidP="00A47FDC">
            <w:pPr>
              <w:pStyle w:val="TableText"/>
              <w:rPr>
                <w:b/>
                <w:bCs/>
              </w:rPr>
            </w:pPr>
            <w:r w:rsidRPr="009E13D3">
              <w:rPr>
                <w:b/>
                <w:bCs/>
              </w:rPr>
              <w:t>Cost containment reserve trigger price</w:t>
            </w:r>
          </w:p>
        </w:tc>
        <w:tc>
          <w:tcPr>
            <w:tcW w:w="668" w:type="pct"/>
            <w:tcBorders>
              <w:left w:val="single" w:sz="4" w:space="0" w:color="FFFFFF" w:themeColor="background1"/>
            </w:tcBorders>
            <w:vAlign w:val="center"/>
          </w:tcPr>
          <w:p w14:paraId="3FADA357" w14:textId="52A3649D" w:rsidR="00DE27C6" w:rsidRPr="009E13D3" w:rsidRDefault="00DE27C6" w:rsidP="00A47FDC">
            <w:pPr>
              <w:pStyle w:val="TableText"/>
              <w:rPr>
                <w:b/>
                <w:bCs/>
              </w:rPr>
            </w:pPr>
            <w:r w:rsidRPr="009E13D3">
              <w:rPr>
                <w:b/>
                <w:bCs/>
              </w:rPr>
              <w:t>Tier 1</w:t>
            </w:r>
          </w:p>
        </w:tc>
        <w:tc>
          <w:tcPr>
            <w:tcW w:w="751" w:type="pct"/>
            <w:vAlign w:val="center"/>
          </w:tcPr>
          <w:p w14:paraId="1EB11B1E" w14:textId="77777777" w:rsidR="00DE27C6" w:rsidRDefault="00DE27C6" w:rsidP="00A47FDC">
            <w:pPr>
              <w:pStyle w:val="TableText"/>
            </w:pPr>
            <w:r>
              <w:t>$203</w:t>
            </w:r>
          </w:p>
          <w:p w14:paraId="2CE58A7E" w14:textId="0B6A0BCB" w:rsidR="00DE27C6" w:rsidRPr="009E13D3" w:rsidRDefault="00DE27C6" w:rsidP="00A47FDC">
            <w:pPr>
              <w:pStyle w:val="TableText"/>
              <w:rPr>
                <w:i/>
                <w:iCs/>
              </w:rPr>
            </w:pPr>
            <w:r w:rsidRPr="009E13D3">
              <w:rPr>
                <w:i/>
                <w:iCs/>
              </w:rPr>
              <w:t>CCC $203</w:t>
            </w:r>
          </w:p>
        </w:tc>
        <w:tc>
          <w:tcPr>
            <w:tcW w:w="830" w:type="pct"/>
            <w:vAlign w:val="center"/>
          </w:tcPr>
          <w:p w14:paraId="490FE693" w14:textId="77777777" w:rsidR="00DE27C6" w:rsidRDefault="00DE27C6" w:rsidP="00A47FDC">
            <w:pPr>
              <w:pStyle w:val="TableText"/>
            </w:pPr>
            <w:r>
              <w:t>$213</w:t>
            </w:r>
          </w:p>
          <w:p w14:paraId="7CFEC5A2" w14:textId="020D63C8" w:rsidR="00DE27C6" w:rsidRPr="009E13D3" w:rsidRDefault="00DE27C6" w:rsidP="00A47FDC">
            <w:pPr>
              <w:pStyle w:val="TableText"/>
              <w:rPr>
                <w:i/>
                <w:iCs/>
              </w:rPr>
            </w:pPr>
            <w:r w:rsidRPr="009E13D3">
              <w:rPr>
                <w:i/>
                <w:iCs/>
              </w:rPr>
              <w:t>CCC $213</w:t>
            </w:r>
          </w:p>
        </w:tc>
        <w:tc>
          <w:tcPr>
            <w:tcW w:w="666" w:type="pct"/>
            <w:vAlign w:val="center"/>
          </w:tcPr>
          <w:p w14:paraId="593A0902" w14:textId="77777777" w:rsidR="00DE27C6" w:rsidRDefault="00DE27C6" w:rsidP="00A47FDC">
            <w:pPr>
              <w:pStyle w:val="TableText"/>
            </w:pPr>
            <w:r>
              <w:t>$224</w:t>
            </w:r>
          </w:p>
          <w:p w14:paraId="258B45F9" w14:textId="2278820C" w:rsidR="00DE27C6" w:rsidRPr="009E13D3" w:rsidRDefault="00DE27C6" w:rsidP="00A47FDC">
            <w:pPr>
              <w:pStyle w:val="TableText"/>
              <w:rPr>
                <w:i/>
                <w:iCs/>
              </w:rPr>
            </w:pPr>
            <w:r w:rsidRPr="009E13D3">
              <w:rPr>
                <w:i/>
                <w:iCs/>
              </w:rPr>
              <w:t>CCC $223</w:t>
            </w:r>
          </w:p>
        </w:tc>
        <w:tc>
          <w:tcPr>
            <w:tcW w:w="673" w:type="pct"/>
            <w:vAlign w:val="center"/>
          </w:tcPr>
          <w:p w14:paraId="592074C2" w14:textId="77777777" w:rsidR="00DE27C6" w:rsidRDefault="00DE27C6" w:rsidP="00A47FDC">
            <w:pPr>
              <w:pStyle w:val="TableText"/>
            </w:pPr>
            <w:r>
              <w:t>$236</w:t>
            </w:r>
          </w:p>
          <w:p w14:paraId="6B0818C0" w14:textId="4D2C267E" w:rsidR="00DE27C6" w:rsidRPr="009E13D3" w:rsidRDefault="00DE27C6" w:rsidP="00A47FDC">
            <w:pPr>
              <w:pStyle w:val="TableText"/>
              <w:rPr>
                <w:i/>
                <w:iCs/>
              </w:rPr>
            </w:pPr>
            <w:r w:rsidRPr="009E13D3">
              <w:rPr>
                <w:i/>
                <w:iCs/>
              </w:rPr>
              <w:t>CCC $235</w:t>
            </w:r>
          </w:p>
        </w:tc>
        <w:tc>
          <w:tcPr>
            <w:tcW w:w="577" w:type="pct"/>
            <w:vAlign w:val="center"/>
          </w:tcPr>
          <w:p w14:paraId="5D766079" w14:textId="77777777" w:rsidR="00DE27C6" w:rsidRDefault="00DE27C6" w:rsidP="00A47FDC">
            <w:pPr>
              <w:pStyle w:val="TableText"/>
            </w:pPr>
            <w:r>
              <w:t>$248</w:t>
            </w:r>
          </w:p>
          <w:p w14:paraId="69162F59" w14:textId="215FDE7F" w:rsidR="00DE27C6" w:rsidRPr="009E13D3" w:rsidRDefault="00DE27C6" w:rsidP="00A47FDC">
            <w:pPr>
              <w:pStyle w:val="TableText"/>
              <w:rPr>
                <w:i/>
                <w:iCs/>
              </w:rPr>
            </w:pPr>
            <w:r w:rsidRPr="009E13D3">
              <w:rPr>
                <w:i/>
                <w:iCs/>
              </w:rPr>
              <w:t>CCC $246</w:t>
            </w:r>
          </w:p>
        </w:tc>
      </w:tr>
      <w:tr w:rsidR="009E13D3" w:rsidRPr="006B77BB" w14:paraId="73A24B9B" w14:textId="77777777" w:rsidTr="0075653C">
        <w:tc>
          <w:tcPr>
            <w:tcW w:w="835" w:type="pct"/>
            <w:vMerge/>
            <w:tcBorders>
              <w:right w:val="single" w:sz="4" w:space="0" w:color="FFFFFF" w:themeColor="background1"/>
            </w:tcBorders>
            <w:vAlign w:val="center"/>
          </w:tcPr>
          <w:p w14:paraId="100DEECB" w14:textId="77777777" w:rsidR="00DE27C6" w:rsidRPr="009E13D3" w:rsidRDefault="00DE27C6" w:rsidP="00A47FDC">
            <w:pPr>
              <w:pStyle w:val="TableText"/>
              <w:rPr>
                <w:b/>
                <w:bCs/>
              </w:rPr>
            </w:pPr>
          </w:p>
        </w:tc>
        <w:tc>
          <w:tcPr>
            <w:tcW w:w="668" w:type="pct"/>
            <w:tcBorders>
              <w:left w:val="single" w:sz="4" w:space="0" w:color="FFFFFF" w:themeColor="background1"/>
            </w:tcBorders>
            <w:vAlign w:val="center"/>
          </w:tcPr>
          <w:p w14:paraId="17CF6581" w14:textId="15C54DE1" w:rsidR="00DE27C6" w:rsidRPr="009E13D3" w:rsidRDefault="00DE27C6" w:rsidP="00A47FDC">
            <w:pPr>
              <w:pStyle w:val="TableText"/>
              <w:rPr>
                <w:b/>
                <w:bCs/>
              </w:rPr>
            </w:pPr>
            <w:r w:rsidRPr="009E13D3">
              <w:rPr>
                <w:b/>
                <w:bCs/>
              </w:rPr>
              <w:t>Tier 2</w:t>
            </w:r>
          </w:p>
        </w:tc>
        <w:tc>
          <w:tcPr>
            <w:tcW w:w="751" w:type="pct"/>
            <w:vAlign w:val="center"/>
          </w:tcPr>
          <w:p w14:paraId="7EBC6113" w14:textId="77777777" w:rsidR="00DE27C6" w:rsidRDefault="00DE27C6" w:rsidP="00A47FDC">
            <w:pPr>
              <w:pStyle w:val="TableText"/>
            </w:pPr>
            <w:r>
              <w:t>$254</w:t>
            </w:r>
          </w:p>
          <w:p w14:paraId="34AC1948" w14:textId="1BE50B8B" w:rsidR="00DE27C6" w:rsidRPr="009E13D3" w:rsidRDefault="00DE27C6" w:rsidP="00A47FDC">
            <w:pPr>
              <w:pStyle w:val="TableText"/>
              <w:rPr>
                <w:i/>
                <w:iCs/>
              </w:rPr>
            </w:pPr>
            <w:r w:rsidRPr="009E13D3">
              <w:rPr>
                <w:i/>
                <w:iCs/>
              </w:rPr>
              <w:t>CCC $254</w:t>
            </w:r>
          </w:p>
        </w:tc>
        <w:tc>
          <w:tcPr>
            <w:tcW w:w="830" w:type="pct"/>
            <w:vAlign w:val="center"/>
          </w:tcPr>
          <w:p w14:paraId="43F746C7" w14:textId="77777777" w:rsidR="00DE27C6" w:rsidRDefault="00DE27C6" w:rsidP="00A47FDC">
            <w:pPr>
              <w:pStyle w:val="TableText"/>
            </w:pPr>
            <w:r>
              <w:t>$267</w:t>
            </w:r>
          </w:p>
          <w:p w14:paraId="4952B686" w14:textId="00630681" w:rsidR="00DE27C6" w:rsidRPr="009E13D3" w:rsidRDefault="00DE27C6" w:rsidP="00A47FDC">
            <w:pPr>
              <w:pStyle w:val="TableText"/>
              <w:rPr>
                <w:i/>
                <w:iCs/>
              </w:rPr>
            </w:pPr>
            <w:r w:rsidRPr="009E13D3">
              <w:rPr>
                <w:i/>
                <w:iCs/>
              </w:rPr>
              <w:t>CCC $267</w:t>
            </w:r>
          </w:p>
        </w:tc>
        <w:tc>
          <w:tcPr>
            <w:tcW w:w="666" w:type="pct"/>
            <w:vAlign w:val="center"/>
          </w:tcPr>
          <w:p w14:paraId="7FB033AF" w14:textId="77777777" w:rsidR="00DE27C6" w:rsidRDefault="00DE27C6" w:rsidP="00A47FDC">
            <w:pPr>
              <w:pStyle w:val="TableText"/>
            </w:pPr>
            <w:r>
              <w:t>$280</w:t>
            </w:r>
          </w:p>
          <w:p w14:paraId="17F98807" w14:textId="25BBBD08" w:rsidR="00DE27C6" w:rsidRPr="00A47FDC" w:rsidRDefault="00DE27C6" w:rsidP="00A47FDC">
            <w:pPr>
              <w:pStyle w:val="TableText"/>
              <w:rPr>
                <w:i/>
                <w:iCs/>
              </w:rPr>
            </w:pPr>
            <w:r w:rsidRPr="00A47FDC">
              <w:rPr>
                <w:i/>
                <w:iCs/>
              </w:rPr>
              <w:t>CCC $279</w:t>
            </w:r>
          </w:p>
        </w:tc>
        <w:tc>
          <w:tcPr>
            <w:tcW w:w="673" w:type="pct"/>
            <w:vAlign w:val="center"/>
          </w:tcPr>
          <w:p w14:paraId="0D1ECAA1" w14:textId="77777777" w:rsidR="00DE27C6" w:rsidRDefault="00DE27C6" w:rsidP="00A47FDC">
            <w:pPr>
              <w:pStyle w:val="TableText"/>
            </w:pPr>
            <w:r>
              <w:t>$295</w:t>
            </w:r>
          </w:p>
          <w:p w14:paraId="5AE4367B" w14:textId="71504A7E" w:rsidR="00DE27C6" w:rsidRPr="00A47FDC" w:rsidRDefault="00DE27C6" w:rsidP="00A47FDC">
            <w:pPr>
              <w:pStyle w:val="TableText"/>
              <w:rPr>
                <w:i/>
                <w:iCs/>
              </w:rPr>
            </w:pPr>
            <w:r w:rsidRPr="00A47FDC">
              <w:rPr>
                <w:i/>
                <w:iCs/>
              </w:rPr>
              <w:t>CCC $293</w:t>
            </w:r>
          </w:p>
        </w:tc>
        <w:tc>
          <w:tcPr>
            <w:tcW w:w="577" w:type="pct"/>
            <w:vAlign w:val="center"/>
          </w:tcPr>
          <w:p w14:paraId="1BF76474" w14:textId="77777777" w:rsidR="00DE27C6" w:rsidRDefault="00DE27C6" w:rsidP="00A47FDC">
            <w:pPr>
              <w:pStyle w:val="TableText"/>
            </w:pPr>
            <w:r>
              <w:t>$309</w:t>
            </w:r>
          </w:p>
          <w:p w14:paraId="72904097" w14:textId="7CD56D6F" w:rsidR="00DE27C6" w:rsidRPr="00A47FDC" w:rsidRDefault="00DE27C6" w:rsidP="00A47FDC">
            <w:pPr>
              <w:pStyle w:val="TableText"/>
              <w:rPr>
                <w:i/>
                <w:iCs/>
              </w:rPr>
            </w:pPr>
            <w:r w:rsidRPr="00A47FDC">
              <w:rPr>
                <w:i/>
                <w:iCs/>
              </w:rPr>
              <w:t>CCC $308</w:t>
            </w:r>
          </w:p>
        </w:tc>
      </w:tr>
      <w:tr w:rsidR="009E13D3" w:rsidRPr="006B77BB" w14:paraId="3605F845" w14:textId="77777777" w:rsidTr="00A47FDC">
        <w:tc>
          <w:tcPr>
            <w:tcW w:w="1503" w:type="pct"/>
            <w:gridSpan w:val="2"/>
            <w:vAlign w:val="center"/>
          </w:tcPr>
          <w:p w14:paraId="630EBC5C" w14:textId="3D2F24A7" w:rsidR="00DE27C6" w:rsidRPr="009E13D3" w:rsidRDefault="00DE27C6" w:rsidP="00A47FDC">
            <w:pPr>
              <w:pStyle w:val="TableText"/>
              <w:rPr>
                <w:b/>
                <w:bCs/>
              </w:rPr>
            </w:pPr>
            <w:r w:rsidRPr="009E13D3">
              <w:rPr>
                <w:b/>
                <w:bCs/>
              </w:rPr>
              <w:t>Auction reserve price</w:t>
            </w:r>
          </w:p>
        </w:tc>
        <w:tc>
          <w:tcPr>
            <w:tcW w:w="751" w:type="pct"/>
            <w:vAlign w:val="center"/>
          </w:tcPr>
          <w:p w14:paraId="11989161" w14:textId="77777777" w:rsidR="00DE27C6" w:rsidRDefault="00DE27C6" w:rsidP="00A47FDC">
            <w:pPr>
              <w:pStyle w:val="TableText"/>
            </w:pPr>
            <w:r>
              <w:t>$71</w:t>
            </w:r>
          </w:p>
          <w:p w14:paraId="448969B2" w14:textId="250DF7CD" w:rsidR="00DE27C6" w:rsidRPr="00A47FDC" w:rsidRDefault="00DE27C6" w:rsidP="00A47FDC">
            <w:pPr>
              <w:pStyle w:val="TableText"/>
              <w:rPr>
                <w:i/>
                <w:iCs/>
              </w:rPr>
            </w:pPr>
            <w:r w:rsidRPr="00A47FDC">
              <w:rPr>
                <w:i/>
                <w:iCs/>
              </w:rPr>
              <w:t>CCC $71</w:t>
            </w:r>
          </w:p>
        </w:tc>
        <w:tc>
          <w:tcPr>
            <w:tcW w:w="830" w:type="pct"/>
            <w:vAlign w:val="center"/>
          </w:tcPr>
          <w:p w14:paraId="600915D2" w14:textId="77777777" w:rsidR="00DE27C6" w:rsidRDefault="00DE27C6" w:rsidP="00A47FDC">
            <w:pPr>
              <w:pStyle w:val="TableText"/>
            </w:pPr>
            <w:r>
              <w:t>$75</w:t>
            </w:r>
          </w:p>
          <w:p w14:paraId="66A8B9E3" w14:textId="57970F4D" w:rsidR="00DE27C6" w:rsidRPr="00A47FDC" w:rsidRDefault="00DE27C6" w:rsidP="00A47FDC">
            <w:pPr>
              <w:pStyle w:val="TableText"/>
              <w:rPr>
                <w:i/>
                <w:iCs/>
              </w:rPr>
            </w:pPr>
            <w:r w:rsidRPr="00A47FDC">
              <w:rPr>
                <w:i/>
                <w:iCs/>
              </w:rPr>
              <w:t>CCC $75</w:t>
            </w:r>
          </w:p>
        </w:tc>
        <w:tc>
          <w:tcPr>
            <w:tcW w:w="666" w:type="pct"/>
            <w:vAlign w:val="center"/>
          </w:tcPr>
          <w:p w14:paraId="52EDE866" w14:textId="77777777" w:rsidR="00DE27C6" w:rsidRDefault="00DE27C6" w:rsidP="00A47FDC">
            <w:pPr>
              <w:pStyle w:val="TableText"/>
            </w:pPr>
            <w:r>
              <w:t>$78</w:t>
            </w:r>
          </w:p>
          <w:p w14:paraId="3C547EB3" w14:textId="0BF960EF" w:rsidR="00DE27C6" w:rsidRPr="00A47FDC" w:rsidRDefault="00DE27C6" w:rsidP="00A47FDC">
            <w:pPr>
              <w:pStyle w:val="TableText"/>
              <w:rPr>
                <w:i/>
                <w:iCs/>
              </w:rPr>
            </w:pPr>
            <w:r w:rsidRPr="00A47FDC">
              <w:rPr>
                <w:i/>
                <w:iCs/>
              </w:rPr>
              <w:t>CCC $78</w:t>
            </w:r>
          </w:p>
        </w:tc>
        <w:tc>
          <w:tcPr>
            <w:tcW w:w="673" w:type="pct"/>
            <w:vAlign w:val="center"/>
          </w:tcPr>
          <w:p w14:paraId="66547BB4" w14:textId="77777777" w:rsidR="00DE27C6" w:rsidRDefault="00DE27C6" w:rsidP="00A47FDC">
            <w:pPr>
              <w:pStyle w:val="TableText"/>
            </w:pPr>
            <w:r>
              <w:t>$82</w:t>
            </w:r>
          </w:p>
          <w:p w14:paraId="108D62D6" w14:textId="521A9F73" w:rsidR="00DE27C6" w:rsidRPr="00A47FDC" w:rsidRDefault="00DE27C6" w:rsidP="00A47FDC">
            <w:pPr>
              <w:pStyle w:val="TableText"/>
              <w:rPr>
                <w:i/>
                <w:iCs/>
              </w:rPr>
            </w:pPr>
            <w:r w:rsidRPr="00A47FDC">
              <w:rPr>
                <w:i/>
                <w:iCs/>
              </w:rPr>
              <w:t>CCC $82</w:t>
            </w:r>
          </w:p>
        </w:tc>
        <w:tc>
          <w:tcPr>
            <w:tcW w:w="577" w:type="pct"/>
            <w:vAlign w:val="center"/>
          </w:tcPr>
          <w:p w14:paraId="3B6D32A5" w14:textId="77777777" w:rsidR="00DE27C6" w:rsidRDefault="00DE27C6" w:rsidP="00A47FDC">
            <w:pPr>
              <w:pStyle w:val="TableText"/>
            </w:pPr>
            <w:r>
              <w:t>$87</w:t>
            </w:r>
          </w:p>
          <w:p w14:paraId="343B7A56" w14:textId="555ADC63" w:rsidR="00DE27C6" w:rsidRPr="00A47FDC" w:rsidRDefault="00DE27C6" w:rsidP="00A47FDC">
            <w:pPr>
              <w:pStyle w:val="TableText"/>
              <w:rPr>
                <w:i/>
                <w:iCs/>
              </w:rPr>
            </w:pPr>
            <w:r w:rsidRPr="00A47FDC">
              <w:rPr>
                <w:i/>
                <w:iCs/>
              </w:rPr>
              <w:t xml:space="preserve">CCC </w:t>
            </w:r>
            <w:r w:rsidR="00A47FDC">
              <w:rPr>
                <w:i/>
                <w:iCs/>
              </w:rPr>
              <w:t>$</w:t>
            </w:r>
            <w:r w:rsidRPr="00A47FDC">
              <w:rPr>
                <w:i/>
                <w:iCs/>
              </w:rPr>
              <w:t>86</w:t>
            </w:r>
          </w:p>
        </w:tc>
      </w:tr>
    </w:tbl>
    <w:p w14:paraId="1CFE7C98" w14:textId="77777777" w:rsidR="00E8519B" w:rsidRPr="00E8519B" w:rsidRDefault="00E8519B" w:rsidP="00E8519B"/>
    <w:p w14:paraId="76FCD80A" w14:textId="1BA4EB53" w:rsidR="005C37FB" w:rsidRDefault="005C37FB" w:rsidP="005C37FB">
      <w:pPr>
        <w:pStyle w:val="Numberedparagraph"/>
      </w:pPr>
      <w:r w:rsidRPr="005C37FB">
        <w:t>There were no differences between the Commission’s recommended cost containment reserve volumes and those agreed by the Government.</w:t>
      </w:r>
    </w:p>
    <w:p w14:paraId="4B29538A" w14:textId="77777777" w:rsidR="0086170B" w:rsidRPr="0086170B" w:rsidRDefault="0086170B" w:rsidP="0086170B">
      <w:pPr>
        <w:pStyle w:val="BodyText"/>
      </w:pPr>
      <w:r w:rsidRPr="0086170B">
        <w:br w:type="page"/>
      </w:r>
    </w:p>
    <w:p w14:paraId="0D74DCB9" w14:textId="3E5E8537" w:rsidR="005C37FB" w:rsidRDefault="005C37FB" w:rsidP="005C37FB">
      <w:pPr>
        <w:pStyle w:val="Heading1"/>
      </w:pPr>
      <w:bookmarkStart w:id="7" w:name="_Toc211942833"/>
      <w:r>
        <w:lastRenderedPageBreak/>
        <w:t>Key points from NZ ETS settings refresh</w:t>
      </w:r>
      <w:bookmarkEnd w:id="7"/>
    </w:p>
    <w:p w14:paraId="57445DA0" w14:textId="77777777" w:rsidR="005C37FB" w:rsidRDefault="005C37FB" w:rsidP="005C37FB">
      <w:pPr>
        <w:pStyle w:val="Numberedparagraph"/>
      </w:pPr>
      <w:r>
        <w:t xml:space="preserve">Following public consultation on NZ ETS settings this year, MfE and the Commission jointly undertook a short, targeted review of the advisory frameworks and analytical tools used to develop advice on NZ ETS settings. </w:t>
      </w:r>
    </w:p>
    <w:p w14:paraId="74C8BAB5" w14:textId="77777777" w:rsidR="005C37FB" w:rsidRDefault="005C37FB" w:rsidP="005C37FB">
      <w:pPr>
        <w:pStyle w:val="Numberedparagraph"/>
      </w:pPr>
      <w:r>
        <w:t>The objective was to ensure these tools and frameworks remain fit for purpose and identify opportunities for improvement, noting that NZ ETS auctions were established five years ago, so it is timely to undertake a review. This process also enabled us to better understand the differences in our advice this year. We concluded that the overall advisory and analytical frameworks for NZ ETS settings remain suitable. Differences in conclusions can arise from the uncertainties inherent in the NZ ETS settings process, and can offer valuable insights, provided they are transparent and well understood.</w:t>
      </w:r>
    </w:p>
    <w:p w14:paraId="53AFAE0F" w14:textId="77777777" w:rsidR="005C37FB" w:rsidRDefault="005C37FB" w:rsidP="005C37FB">
      <w:pPr>
        <w:pStyle w:val="Numberedparagraph"/>
      </w:pPr>
      <w:r>
        <w:t>The project identified several opportunities for improvement, for both the Commission and MfE.</w:t>
      </w:r>
    </w:p>
    <w:p w14:paraId="15B55C7B" w14:textId="21C9520E" w:rsidR="005C37FB" w:rsidRDefault="005C37FB" w:rsidP="005C37FB">
      <w:pPr>
        <w:pStyle w:val="Sub-lista"/>
        <w:numPr>
          <w:ilvl w:val="0"/>
          <w:numId w:val="41"/>
        </w:numPr>
      </w:pPr>
      <w:r w:rsidRPr="000D5810">
        <w:rPr>
          <w:b/>
          <w:bCs/>
        </w:rPr>
        <w:t>Enhancing communication of key judgements and assumptions</w:t>
      </w:r>
      <w:r w:rsidR="000D5810">
        <w:t xml:space="preserve"> </w:t>
      </w:r>
      <w:proofErr w:type="gramStart"/>
      <w:r w:rsidR="000D5810">
        <w:t xml:space="preserve">– </w:t>
      </w:r>
      <w:r>
        <w:t xml:space="preserve"> highlighting</w:t>
      </w:r>
      <w:proofErr w:type="gramEnd"/>
      <w:r>
        <w:t xml:space="preserve"> the decision-space for decision-makers – enabling decision-makers to understand that alternative options can still meet statutory requirements.</w:t>
      </w:r>
    </w:p>
    <w:p w14:paraId="69A984CB" w14:textId="77777777" w:rsidR="005C37FB" w:rsidRDefault="005C37FB" w:rsidP="005C37FB">
      <w:pPr>
        <w:pStyle w:val="Sub-lista"/>
        <w:numPr>
          <w:ilvl w:val="0"/>
          <w:numId w:val="41"/>
        </w:numPr>
      </w:pPr>
      <w:r w:rsidRPr="000D5810">
        <w:rPr>
          <w:b/>
          <w:bCs/>
        </w:rPr>
        <w:t>Improving clarity in how market conditions have been considered and address potential sources of confusion</w:t>
      </w:r>
      <w:r>
        <w:t xml:space="preserve"> – explicitly explaining how factors like non-clearing auctions inform </w:t>
      </w:r>
      <w:proofErr w:type="gramStart"/>
      <w:r>
        <w:t>advice, and</w:t>
      </w:r>
      <w:proofErr w:type="gramEnd"/>
      <w:r>
        <w:t xml:space="preserve"> proactively clarifying recommendations which may differ markedly from stakeholder expectations, where possible.</w:t>
      </w:r>
    </w:p>
    <w:p w14:paraId="27583CBC" w14:textId="77777777" w:rsidR="005C37FB" w:rsidRDefault="005C37FB" w:rsidP="005C37FB">
      <w:pPr>
        <w:pStyle w:val="Sub-lista"/>
        <w:numPr>
          <w:ilvl w:val="0"/>
          <w:numId w:val="41"/>
        </w:numPr>
      </w:pPr>
      <w:r w:rsidRPr="000D5810">
        <w:rPr>
          <w:b/>
          <w:bCs/>
        </w:rPr>
        <w:t>Managing surplus uncertainty and addressing risk</w:t>
      </w:r>
      <w:r>
        <w:t xml:space="preserve"> – both organisations can explore ways to illustrate the implications of the surplus uncertainty, for example by showing what a different estimate of the surplus might mean for auction settings.</w:t>
      </w:r>
    </w:p>
    <w:p w14:paraId="7F1EBBBB" w14:textId="77777777" w:rsidR="005C37FB" w:rsidRDefault="005C37FB" w:rsidP="005C37FB">
      <w:pPr>
        <w:pStyle w:val="Sub-lista"/>
        <w:numPr>
          <w:ilvl w:val="0"/>
          <w:numId w:val="41"/>
        </w:numPr>
      </w:pPr>
      <w:r w:rsidRPr="000D5810">
        <w:rPr>
          <w:b/>
          <w:bCs/>
        </w:rPr>
        <w:t>Continually improving analytical tools and approaches</w:t>
      </w:r>
      <w:r>
        <w:t xml:space="preserve"> – exploring alternative models and approaches to support richer insights, including through ongoing collaboration. </w:t>
      </w:r>
    </w:p>
    <w:p w14:paraId="2F42B53E" w14:textId="0BA92229" w:rsidR="005C37FB" w:rsidRPr="005C37FB" w:rsidRDefault="005C37FB" w:rsidP="005C37FB">
      <w:pPr>
        <w:pStyle w:val="Numberedparagraph"/>
      </w:pPr>
      <w:r>
        <w:t>Together, this is expected to support improved confidence and better-informed decision making for the NZ ETS settings process in future years. Differences in analysis should be easier to identify.</w:t>
      </w:r>
    </w:p>
    <w:sectPr w:rsidR="005C37FB" w:rsidRPr="005C37FB" w:rsidSect="00224321">
      <w:footerReference w:type="even" r:id="rId21"/>
      <w:footerReference w:type="default" r:id="rId22"/>
      <w:headerReference w:type="first" r:id="rId23"/>
      <w:footerReference w:type="first" r:id="rId24"/>
      <w:pgSz w:w="11907" w:h="16840" w:code="9"/>
      <w:pgMar w:top="1134" w:right="1701"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3E3A" w14:textId="77777777" w:rsidR="008C3CAD" w:rsidRDefault="008C3CAD" w:rsidP="0080531E">
      <w:pPr>
        <w:spacing w:before="0" w:after="0" w:line="240" w:lineRule="auto"/>
      </w:pPr>
      <w:r>
        <w:separator/>
      </w:r>
    </w:p>
    <w:p w14:paraId="1E1506CC" w14:textId="77777777" w:rsidR="008C3CAD" w:rsidRDefault="008C3CAD"/>
  </w:endnote>
  <w:endnote w:type="continuationSeparator" w:id="0">
    <w:p w14:paraId="05900194" w14:textId="77777777" w:rsidR="008C3CAD" w:rsidRDefault="008C3CAD" w:rsidP="0080531E">
      <w:pPr>
        <w:spacing w:before="0" w:after="0" w:line="240" w:lineRule="auto"/>
      </w:pPr>
      <w:r>
        <w:continuationSeparator/>
      </w:r>
    </w:p>
    <w:p w14:paraId="00994CC8" w14:textId="77777777" w:rsidR="008C3CAD" w:rsidRDefault="008C3CAD"/>
  </w:endnote>
  <w:endnote w:type="continuationNotice" w:id="1">
    <w:p w14:paraId="28B87058" w14:textId="77777777" w:rsidR="008C3CAD" w:rsidRDefault="008C3CA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24D1" w14:textId="19CDE53F" w:rsidR="00E5210B" w:rsidRDefault="009F1D7F" w:rsidP="009F1D7F">
    <w:pPr>
      <w:spacing w:before="0" w:after="0" w:line="240" w:lineRule="auto"/>
      <w:jc w:val="left"/>
    </w:pPr>
    <w:r>
      <w:rPr>
        <w:b/>
        <w:bCs/>
        <w:noProof/>
      </w:rPr>
      <w:drawing>
        <wp:inline distT="0" distB="0" distL="0" distR="0" wp14:anchorId="0E0894C1" wp14:editId="7A3F60E3">
          <wp:extent cx="2239911" cy="538480"/>
          <wp:effectExtent l="0" t="0" r="0" b="0"/>
          <wp:docPr id="1474789746" name="Picture 147478974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3163"/>
                  <a:stretch/>
                </pic:blipFill>
                <pic:spPr bwMode="auto">
                  <a:xfrm>
                    <a:off x="0" y="0"/>
                    <a:ext cx="2319270" cy="55755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CFEC" w14:textId="12C16757" w:rsidR="002438E5" w:rsidRDefault="00683D56">
    <w:pPr>
      <w:pStyle w:val="Footer"/>
    </w:pPr>
    <w:r>
      <w:rPr>
        <w:b/>
        <w:bCs/>
        <w:noProof/>
      </w:rPr>
      <w:drawing>
        <wp:anchor distT="0" distB="0" distL="114300" distR="114300" simplePos="0" relativeHeight="251658241" behindDoc="1" locked="0" layoutInCell="1" allowOverlap="1" wp14:anchorId="0992AB8B" wp14:editId="7F0FC279">
          <wp:simplePos x="0" y="0"/>
          <wp:positionH relativeFrom="column">
            <wp:posOffset>-473710</wp:posOffset>
          </wp:positionH>
          <wp:positionV relativeFrom="paragraph">
            <wp:posOffset>197603</wp:posOffset>
          </wp:positionV>
          <wp:extent cx="2239911" cy="538480"/>
          <wp:effectExtent l="0" t="0" r="0" b="0"/>
          <wp:wrapNone/>
          <wp:docPr id="1458791995" name="Picture 145879199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3163"/>
                  <a:stretch/>
                </pic:blipFill>
                <pic:spPr bwMode="auto">
                  <a:xfrm>
                    <a:off x="0" y="0"/>
                    <a:ext cx="2239911" cy="53848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4AFC" w14:textId="77777777" w:rsidR="00BC6F7E" w:rsidRDefault="00BC6F7E" w:rsidP="00E65427">
    <w:pPr>
      <w:spacing w:before="240"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0AC9" w14:textId="77777777" w:rsidR="00BC6F7E" w:rsidRDefault="00BC6F7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B6C1" w14:textId="2052D7F6" w:rsidR="00E453AB" w:rsidRDefault="00E5210B" w:rsidP="00CD25E1">
    <w:pPr>
      <w:pStyle w:val="Footereven"/>
    </w:pPr>
    <w:r w:rsidRPr="004F458A">
      <w:rPr>
        <w:b/>
      </w:rPr>
      <w:fldChar w:fldCharType="begin"/>
    </w:r>
    <w:r w:rsidRPr="004F458A">
      <w:instrText xml:space="preserve"> PAGE </w:instrText>
    </w:r>
    <w:r w:rsidRPr="004F458A">
      <w:rPr>
        <w:b/>
      </w:rPr>
      <w:fldChar w:fldCharType="separate"/>
    </w:r>
    <w:r w:rsidR="005D3242">
      <w:rPr>
        <w:noProof/>
      </w:rPr>
      <w:t>8</w:t>
    </w:r>
    <w:r w:rsidRPr="004F458A">
      <w:rPr>
        <w:b/>
      </w:rPr>
      <w:fldChar w:fldCharType="end"/>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FB9F" w14:textId="0DE8AF3D" w:rsidR="00E453AB" w:rsidRDefault="00E5210B" w:rsidP="00CD25E1">
    <w:pPr>
      <w:pStyle w:val="Footerodd"/>
    </w:pPr>
    <w:r>
      <w:tab/>
    </w:r>
    <w:r>
      <w:tab/>
    </w:r>
    <w:r w:rsidR="008540A6">
      <w:fldChar w:fldCharType="begin"/>
    </w:r>
    <w:r w:rsidR="008540A6">
      <w:instrText xml:space="preserve"> PAGE   \* MERGEFORMAT </w:instrText>
    </w:r>
    <w:r w:rsidR="008540A6">
      <w:fldChar w:fldCharType="separate"/>
    </w:r>
    <w:r w:rsidR="005D3242">
      <w:rPr>
        <w:noProof/>
      </w:rPr>
      <w:t>7</w:t>
    </w:r>
    <w:r w:rsidR="008540A6">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3991" w14:textId="0D5597C6" w:rsidR="00683D56" w:rsidRDefault="00224321" w:rsidP="00534455">
    <w:pPr>
      <w:pStyle w:val="Footereven"/>
      <w:jc w:val="right"/>
    </w:pPr>
    <w:r>
      <w:fldChar w:fldCharType="begin"/>
    </w:r>
    <w:r>
      <w:instrText xml:space="preserve"> PAGE   \* MERGEFORMAT </w:instrText>
    </w:r>
    <w:r>
      <w:fldChar w:fldCharType="separate"/>
    </w:r>
    <w: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4F9E" w14:textId="77777777" w:rsidR="008C3CAD" w:rsidRDefault="008C3CAD" w:rsidP="00CB5C5F">
      <w:pPr>
        <w:spacing w:before="0" w:after="80" w:line="240" w:lineRule="auto"/>
      </w:pPr>
      <w:r>
        <w:separator/>
      </w:r>
    </w:p>
  </w:footnote>
  <w:footnote w:type="continuationSeparator" w:id="0">
    <w:p w14:paraId="47477B16" w14:textId="77777777" w:rsidR="008C3CAD" w:rsidRDefault="008C3CAD" w:rsidP="0080531E">
      <w:pPr>
        <w:spacing w:before="0" w:after="0" w:line="240" w:lineRule="auto"/>
      </w:pPr>
      <w:r>
        <w:continuationSeparator/>
      </w:r>
    </w:p>
    <w:p w14:paraId="1C49E2C5" w14:textId="77777777" w:rsidR="008C3CAD" w:rsidRDefault="008C3CAD"/>
  </w:footnote>
  <w:footnote w:type="continuationNotice" w:id="1">
    <w:p w14:paraId="2101D8C7" w14:textId="77777777" w:rsidR="008C3CAD" w:rsidRDefault="008C3CAD">
      <w:pPr>
        <w:spacing w:before="0" w:after="0" w:line="240" w:lineRule="auto"/>
      </w:pPr>
    </w:p>
  </w:footnote>
  <w:footnote w:id="2">
    <w:p w14:paraId="44AB7D53" w14:textId="62FFE393" w:rsidR="00BF63B9" w:rsidRDefault="00BF63B9">
      <w:pPr>
        <w:pStyle w:val="FootnoteText"/>
      </w:pPr>
      <w:r>
        <w:rPr>
          <w:rStyle w:val="FootnoteReference"/>
        </w:rPr>
        <w:footnoteRef/>
      </w:r>
      <w:r>
        <w:t xml:space="preserve"> </w:t>
      </w:r>
      <w:r w:rsidR="00A52C1A">
        <w:tab/>
      </w:r>
      <w:hyperlink r:id="rId1" w:history="1">
        <w:r w:rsidRPr="005C7DD3">
          <w:rPr>
            <w:rStyle w:val="Hyperlink"/>
          </w:rPr>
          <w:t>Climate Change (Auctions, Limits, and Price Controls for Units) Regulations 2020</w:t>
        </w:r>
      </w:hyperlink>
      <w:r>
        <w:t>.</w:t>
      </w:r>
    </w:p>
  </w:footnote>
  <w:footnote w:id="3">
    <w:p w14:paraId="7A078021" w14:textId="0DCA5B51" w:rsidR="00BF63B9" w:rsidRDefault="00BF63B9">
      <w:pPr>
        <w:pStyle w:val="FootnoteText"/>
      </w:pPr>
      <w:r>
        <w:rPr>
          <w:rStyle w:val="FootnoteReference"/>
        </w:rPr>
        <w:footnoteRef/>
      </w:r>
      <w:r>
        <w:t xml:space="preserve"> </w:t>
      </w:r>
      <w:r w:rsidR="00A52C1A">
        <w:tab/>
      </w:r>
      <w:hyperlink r:id="rId2" w:history="1">
        <w:r w:rsidRPr="00D05A07">
          <w:rPr>
            <w:rStyle w:val="Hyperlink"/>
          </w:rPr>
          <w:t>Opportunities to improve New Zealand Emissions Trading Scheme Advisory Frameworks and Tools</w:t>
        </w:r>
      </w:hyperlink>
      <w:r>
        <w:t>.</w:t>
      </w:r>
    </w:p>
  </w:footnote>
  <w:footnote w:id="4">
    <w:p w14:paraId="233A91C0" w14:textId="4CCF4D21" w:rsidR="00BF63B9" w:rsidRPr="00BF63B9" w:rsidRDefault="00BF63B9" w:rsidP="00BF63B9">
      <w:pPr>
        <w:pStyle w:val="FootnoteText"/>
      </w:pPr>
      <w:r>
        <w:rPr>
          <w:rStyle w:val="FootnoteReference"/>
        </w:rPr>
        <w:footnoteRef/>
      </w:r>
      <w:r>
        <w:t xml:space="preserve"> </w:t>
      </w:r>
      <w:r w:rsidR="00A52C1A">
        <w:tab/>
      </w:r>
      <w:hyperlink r:id="rId3" w:history="1">
        <w:r w:rsidRPr="00A52C1A">
          <w:rPr>
            <w:rStyle w:val="Hyperlink"/>
          </w:rPr>
          <w:t>Climate Change Response Act 2002 No 40 (as at 01 January 2024), Public Act 30GB Regulations about limits and price control settings for units – New Zealand Legislation, section 30GB(3).</w:t>
        </w:r>
      </w:hyperlink>
    </w:p>
  </w:footnote>
  <w:footnote w:id="5">
    <w:p w14:paraId="5F6712AA" w14:textId="47CEC8F3" w:rsidR="00BF63B9" w:rsidRDefault="00BF63B9" w:rsidP="00BF63B9">
      <w:pPr>
        <w:pStyle w:val="FootnoteText"/>
      </w:pPr>
      <w:r w:rsidRPr="00A52C1A">
        <w:rPr>
          <w:rStyle w:val="FootnoteReference"/>
          <w:color w:val="auto"/>
          <w:sz w:val="19"/>
        </w:rPr>
        <w:footnoteRef/>
      </w:r>
      <w:r w:rsidRPr="00A52C1A">
        <w:rPr>
          <w:vertAlign w:val="superscript"/>
        </w:rPr>
        <w:t xml:space="preserve"> </w:t>
      </w:r>
      <w:r w:rsidR="00A52C1A">
        <w:rPr>
          <w:vertAlign w:val="superscript"/>
        </w:rPr>
        <w:tab/>
      </w:r>
      <w:hyperlink r:id="rId4" w:history="1">
        <w:r w:rsidRPr="00BE1110">
          <w:rPr>
            <w:rStyle w:val="Hyperlink"/>
          </w:rPr>
          <w:t>He Pou a Rangi Climate Change Commission, Advice on NZ ETS unit limits and price control settings for 2026–2030, April 2025 C.31</w:t>
        </w:r>
      </w:hyperlink>
      <w:r w:rsidRPr="00BE1110">
        <w:rPr>
          <w:rStyle w:val="Hyperlink"/>
        </w:rPr>
        <w:t>.</w:t>
      </w:r>
    </w:p>
  </w:footnote>
  <w:footnote w:id="6">
    <w:p w14:paraId="6BDD553C" w14:textId="4E1756D8" w:rsidR="00BF63B9" w:rsidRPr="00BF63B9" w:rsidRDefault="00BF63B9" w:rsidP="00BF63B9">
      <w:pPr>
        <w:pStyle w:val="FootnoteText"/>
      </w:pPr>
      <w:r w:rsidRPr="00A52C1A">
        <w:rPr>
          <w:rStyle w:val="FootnoteReference"/>
          <w:color w:val="auto"/>
          <w:sz w:val="19"/>
        </w:rPr>
        <w:footnoteRef/>
      </w:r>
      <w:r w:rsidRPr="00BF63B9">
        <w:t xml:space="preserve"> Rising to $87 by 2030.</w:t>
      </w:r>
    </w:p>
  </w:footnote>
  <w:footnote w:id="7">
    <w:p w14:paraId="269CEB67" w14:textId="271DEEE5" w:rsidR="00BF63B9" w:rsidRPr="00BF63B9" w:rsidRDefault="00BF63B9" w:rsidP="00BF63B9">
      <w:pPr>
        <w:pStyle w:val="FootnoteText"/>
      </w:pPr>
      <w:r w:rsidRPr="00A52C1A">
        <w:rPr>
          <w:rStyle w:val="FootnoteReference"/>
          <w:color w:val="auto"/>
          <w:sz w:val="19"/>
        </w:rPr>
        <w:footnoteRef/>
      </w:r>
      <w:r w:rsidRPr="00BF63B9">
        <w:t xml:space="preserve"> </w:t>
      </w:r>
      <w:r w:rsidR="00A52C1A">
        <w:tab/>
      </w:r>
      <w:r w:rsidRPr="00BF63B9">
        <w:t>This refers to both the secondary market spot price as well as recent auctions not clearing, which reflect that spot prices are below the auction reserve price.</w:t>
      </w:r>
    </w:p>
  </w:footnote>
  <w:footnote w:id="8">
    <w:p w14:paraId="6C0C56EF" w14:textId="42629112" w:rsidR="00BF63B9" w:rsidRPr="00BF63B9" w:rsidRDefault="00BF63B9" w:rsidP="00BF63B9">
      <w:pPr>
        <w:pStyle w:val="FootnoteText"/>
      </w:pPr>
      <w:r w:rsidRPr="00A52C1A">
        <w:rPr>
          <w:rStyle w:val="FootnoteReference"/>
          <w:color w:val="auto"/>
          <w:sz w:val="19"/>
        </w:rPr>
        <w:footnoteRef/>
      </w:r>
      <w:r w:rsidRPr="00A52C1A">
        <w:rPr>
          <w:vertAlign w:val="superscript"/>
        </w:rPr>
        <w:t xml:space="preserve"> </w:t>
      </w:r>
      <w:r w:rsidR="00A52C1A">
        <w:rPr>
          <w:vertAlign w:val="superscript"/>
        </w:rPr>
        <w:tab/>
      </w:r>
      <w:r w:rsidRPr="00BF63B9">
        <w:t>He Pou a Rangi | Climate Change Commission. NZ ETS unit limits and price control settings for 2026–2030. p43</w:t>
      </w:r>
    </w:p>
  </w:footnote>
  <w:footnote w:id="9">
    <w:p w14:paraId="748631C1" w14:textId="5A643D20" w:rsidR="00BF63B9" w:rsidRDefault="00BF63B9">
      <w:pPr>
        <w:pStyle w:val="FootnoteText"/>
      </w:pPr>
      <w:r w:rsidRPr="00A52C1A">
        <w:rPr>
          <w:vertAlign w:val="superscript"/>
        </w:rPr>
        <w:footnoteRef/>
      </w:r>
      <w:r w:rsidRPr="00BF63B9">
        <w:t xml:space="preserve"> </w:t>
      </w:r>
      <w:r w:rsidR="00A52C1A">
        <w:tab/>
      </w:r>
      <w:r w:rsidRPr="00BF63B9">
        <w:t xml:space="preserve">Additional details on the methodology for estimating the overlap between hedging and holding volumes can be found in pages 15–16 of </w:t>
      </w:r>
      <w:hyperlink r:id="rId5" w:history="1">
        <w:r w:rsidRPr="00BF63B9">
          <w:rPr>
            <w:rStyle w:val="Hyperlink"/>
          </w:rPr>
          <w:t>Regulatory Impact Statement – 2025 update to New Zealand Emissions Trading Scheme limits and price control settings for units</w:t>
        </w:r>
      </w:hyperlink>
      <w:r>
        <w:t>.</w:t>
      </w:r>
    </w:p>
  </w:footnote>
  <w:footnote w:id="10">
    <w:p w14:paraId="5CFEB762" w14:textId="5289C971" w:rsidR="001C7A63" w:rsidRDefault="001C7A63">
      <w:pPr>
        <w:pStyle w:val="FootnoteText"/>
      </w:pPr>
      <w:r>
        <w:rPr>
          <w:rStyle w:val="FootnoteReference"/>
        </w:rPr>
        <w:footnoteRef/>
      </w:r>
      <w:r>
        <w:t xml:space="preserve"> </w:t>
      </w:r>
      <w:r w:rsidR="00A52C1A">
        <w:tab/>
      </w:r>
      <w:hyperlink r:id="rId6" w:history="1">
        <w:r w:rsidRPr="001C7A63">
          <w:rPr>
            <w:rStyle w:val="Hyperlink"/>
          </w:rPr>
          <w:t>Updated emissions projections to 2050 released | Ministry for the Environment</w:t>
        </w:r>
      </w:hyperlink>
      <w:r w:rsidRPr="001C7A63">
        <w:t>.</w:t>
      </w:r>
    </w:p>
  </w:footnote>
  <w:footnote w:id="11">
    <w:p w14:paraId="155098B6" w14:textId="0B01E592" w:rsidR="001C7A63" w:rsidRDefault="001C7A63">
      <w:pPr>
        <w:pStyle w:val="FootnoteText"/>
      </w:pPr>
      <w:r>
        <w:rPr>
          <w:rStyle w:val="FootnoteReference"/>
        </w:rPr>
        <w:footnoteRef/>
      </w:r>
      <w:r>
        <w:t xml:space="preserve"> </w:t>
      </w:r>
      <w:r w:rsidR="00A52C1A">
        <w:tab/>
      </w:r>
      <w:hyperlink r:id="rId7" w:history="1">
        <w:r w:rsidRPr="001C7A63">
          <w:rPr>
            <w:rStyle w:val="Hyperlink"/>
          </w:rPr>
          <w:t>Budget Economic and Fiscal Update 2025 | The Treasury New Zealand</w:t>
        </w:r>
      </w:hyperlink>
      <w:r w:rsidRPr="001C7A63">
        <w:t>.</w:t>
      </w:r>
    </w:p>
  </w:footnote>
  <w:footnote w:id="12">
    <w:p w14:paraId="4E41969B" w14:textId="62D0CCA2" w:rsidR="001C7A63" w:rsidRDefault="001C7A63">
      <w:pPr>
        <w:pStyle w:val="FootnoteText"/>
      </w:pPr>
      <w:r>
        <w:rPr>
          <w:rStyle w:val="FootnoteReference"/>
        </w:rPr>
        <w:footnoteRef/>
      </w:r>
      <w:r>
        <w:t xml:space="preserve"> </w:t>
      </w:r>
      <w:r w:rsidR="00A52C1A">
        <w:tab/>
      </w:r>
      <w:hyperlink r:id="rId8" w:history="1">
        <w:r w:rsidRPr="001C7A63">
          <w:rPr>
            <w:rStyle w:val="Hyperlink"/>
          </w:rPr>
          <w:t>Half Year Economic and Fiscal Update 2024 | The Treasury New Zealand</w:t>
        </w:r>
      </w:hyperlink>
      <w:r w:rsidRPr="001C7A6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69CB" w14:textId="001113CB" w:rsidR="00DE7BF8" w:rsidRPr="00DE7BF8" w:rsidRDefault="00DE7BF8" w:rsidP="009F1D7F">
    <w:pPr>
      <w:pStyle w:val="Header"/>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C62B" w14:textId="67ED3970" w:rsidR="002438E5" w:rsidRDefault="00683D56">
    <w:pPr>
      <w:pStyle w:val="Header"/>
    </w:pPr>
    <w:r>
      <w:rPr>
        <w:rFonts w:ascii="Calibri" w:hAnsi="Calibri"/>
        <w:noProof/>
      </w:rPr>
      <w:drawing>
        <wp:anchor distT="0" distB="0" distL="114300" distR="114300" simplePos="0" relativeHeight="251658240" behindDoc="0" locked="0" layoutInCell="1" allowOverlap="1" wp14:anchorId="2A38D07D" wp14:editId="0D3CD9F2">
          <wp:simplePos x="0" y="0"/>
          <wp:positionH relativeFrom="column">
            <wp:posOffset>-548138</wp:posOffset>
          </wp:positionH>
          <wp:positionV relativeFrom="paragraph">
            <wp:posOffset>149387</wp:posOffset>
          </wp:positionV>
          <wp:extent cx="2117598" cy="695325"/>
          <wp:effectExtent l="0" t="0" r="0" b="0"/>
          <wp:wrapNone/>
          <wp:docPr id="272098470" name="Picture 272098470"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98470" name="Picture 272098470" descr="A close-up of a sig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3339"/>
                  <a:stretch/>
                </pic:blipFill>
                <pic:spPr bwMode="auto">
                  <a:xfrm>
                    <a:off x="0" y="0"/>
                    <a:ext cx="2117598" cy="6953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3877" w14:textId="77777777" w:rsidR="00BC6F7E" w:rsidRDefault="00BC6F7E" w:rsidP="0036151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3CBD" w14:textId="77777777" w:rsidR="00BC6F7E" w:rsidRDefault="00BC6F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ACD0" w14:textId="6CAE401F" w:rsidR="00683D56" w:rsidRDefault="00683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5"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08C5CF5"/>
    <w:multiLevelType w:val="hybridMultilevel"/>
    <w:tmpl w:val="0C5ED02C"/>
    <w:lvl w:ilvl="0" w:tplc="38E0661A">
      <w:start w:val="1"/>
      <w:numFmt w:val="lowerLetter"/>
      <w:pStyle w:val="Sub-lista"/>
      <w:lvlText w:val="%1."/>
      <w:lvlJc w:val="left"/>
      <w:pPr>
        <w:ind w:left="757" w:hanging="360"/>
      </w:pPr>
      <w:rPr>
        <w:rFonts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E6F201E"/>
    <w:multiLevelType w:val="multilevel"/>
    <w:tmpl w:val="C7440BB4"/>
    <w:numStyleLink w:val="Style2"/>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7701FB"/>
    <w:multiLevelType w:val="hybridMultilevel"/>
    <w:tmpl w:val="0BA89340"/>
    <w:lvl w:ilvl="0" w:tplc="C04A679E">
      <w:start w:val="1"/>
      <w:numFmt w:val="bullet"/>
      <w:pStyle w:val="Sub-list"/>
      <w:lvlText w:val=""/>
      <w:lvlJc w:val="left"/>
      <w:pPr>
        <w:tabs>
          <w:tab w:val="num" w:pos="426"/>
        </w:tabs>
        <w:ind w:left="426" w:firstLine="0"/>
      </w:pPr>
      <w:rPr>
        <w:rFonts w:ascii="Symbol" w:hAnsi="Symbol" w:hint="default"/>
      </w:rPr>
    </w:lvl>
    <w:lvl w:ilvl="1" w:tplc="14090003">
      <w:start w:val="1"/>
      <w:numFmt w:val="bullet"/>
      <w:lvlText w:val="o"/>
      <w:lvlJc w:val="left"/>
      <w:pPr>
        <w:tabs>
          <w:tab w:val="num" w:pos="1469"/>
        </w:tabs>
        <w:ind w:left="1469" w:hanging="360"/>
      </w:pPr>
      <w:rPr>
        <w:rFonts w:ascii="Courier New" w:hAnsi="Courier New" w:cs="Courier New" w:hint="default"/>
      </w:rPr>
    </w:lvl>
    <w:lvl w:ilvl="2" w:tplc="14090005" w:tentative="1">
      <w:start w:val="1"/>
      <w:numFmt w:val="bullet"/>
      <w:lvlText w:val=""/>
      <w:lvlJc w:val="left"/>
      <w:pPr>
        <w:tabs>
          <w:tab w:val="num" w:pos="2189"/>
        </w:tabs>
        <w:ind w:left="2189" w:hanging="360"/>
      </w:pPr>
      <w:rPr>
        <w:rFonts w:ascii="Wingdings" w:hAnsi="Wingdings" w:hint="default"/>
      </w:rPr>
    </w:lvl>
    <w:lvl w:ilvl="3" w:tplc="14090001" w:tentative="1">
      <w:start w:val="1"/>
      <w:numFmt w:val="bullet"/>
      <w:lvlText w:val=""/>
      <w:lvlJc w:val="left"/>
      <w:pPr>
        <w:tabs>
          <w:tab w:val="num" w:pos="2909"/>
        </w:tabs>
        <w:ind w:left="2909" w:hanging="360"/>
      </w:pPr>
      <w:rPr>
        <w:rFonts w:ascii="Symbol" w:hAnsi="Symbol" w:hint="default"/>
      </w:rPr>
    </w:lvl>
    <w:lvl w:ilvl="4" w:tplc="14090003" w:tentative="1">
      <w:start w:val="1"/>
      <w:numFmt w:val="bullet"/>
      <w:lvlText w:val="o"/>
      <w:lvlJc w:val="left"/>
      <w:pPr>
        <w:tabs>
          <w:tab w:val="num" w:pos="3629"/>
        </w:tabs>
        <w:ind w:left="3629" w:hanging="360"/>
      </w:pPr>
      <w:rPr>
        <w:rFonts w:ascii="Courier New" w:hAnsi="Courier New" w:cs="Courier New" w:hint="default"/>
      </w:rPr>
    </w:lvl>
    <w:lvl w:ilvl="5" w:tplc="14090005" w:tentative="1">
      <w:start w:val="1"/>
      <w:numFmt w:val="bullet"/>
      <w:lvlText w:val=""/>
      <w:lvlJc w:val="left"/>
      <w:pPr>
        <w:tabs>
          <w:tab w:val="num" w:pos="4349"/>
        </w:tabs>
        <w:ind w:left="4349" w:hanging="360"/>
      </w:pPr>
      <w:rPr>
        <w:rFonts w:ascii="Wingdings" w:hAnsi="Wingdings" w:hint="default"/>
      </w:rPr>
    </w:lvl>
    <w:lvl w:ilvl="6" w:tplc="14090001" w:tentative="1">
      <w:start w:val="1"/>
      <w:numFmt w:val="bullet"/>
      <w:lvlText w:val=""/>
      <w:lvlJc w:val="left"/>
      <w:pPr>
        <w:tabs>
          <w:tab w:val="num" w:pos="5069"/>
        </w:tabs>
        <w:ind w:left="5069" w:hanging="360"/>
      </w:pPr>
      <w:rPr>
        <w:rFonts w:ascii="Symbol" w:hAnsi="Symbol" w:hint="default"/>
      </w:rPr>
    </w:lvl>
    <w:lvl w:ilvl="7" w:tplc="14090003" w:tentative="1">
      <w:start w:val="1"/>
      <w:numFmt w:val="bullet"/>
      <w:lvlText w:val="o"/>
      <w:lvlJc w:val="left"/>
      <w:pPr>
        <w:tabs>
          <w:tab w:val="num" w:pos="5789"/>
        </w:tabs>
        <w:ind w:left="5789" w:hanging="360"/>
      </w:pPr>
      <w:rPr>
        <w:rFonts w:ascii="Courier New" w:hAnsi="Courier New" w:cs="Courier New" w:hint="default"/>
      </w:rPr>
    </w:lvl>
    <w:lvl w:ilvl="8" w:tplc="14090005" w:tentative="1">
      <w:start w:val="1"/>
      <w:numFmt w:val="bullet"/>
      <w:lvlText w:val=""/>
      <w:lvlJc w:val="left"/>
      <w:pPr>
        <w:tabs>
          <w:tab w:val="num" w:pos="6509"/>
        </w:tabs>
        <w:ind w:left="6509" w:hanging="360"/>
      </w:pPr>
      <w:rPr>
        <w:rFonts w:ascii="Wingdings" w:hAnsi="Wingdings" w:hint="default"/>
      </w:rPr>
    </w:lvl>
  </w:abstractNum>
  <w:abstractNum w:abstractNumId="20"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3"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5"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29"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042717"/>
    <w:multiLevelType w:val="multilevel"/>
    <w:tmpl w:val="DCDEB9D0"/>
    <w:numStyleLink w:val="Style1"/>
  </w:abstractNum>
  <w:abstractNum w:abstractNumId="31"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3"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848715540">
    <w:abstractNumId w:val="14"/>
  </w:num>
  <w:num w:numId="2" w16cid:durableId="1287734805">
    <w:abstractNumId w:val="24"/>
  </w:num>
  <w:num w:numId="3" w16cid:durableId="1538541818">
    <w:abstractNumId w:val="35"/>
  </w:num>
  <w:num w:numId="4" w16cid:durableId="550508225">
    <w:abstractNumId w:val="19"/>
  </w:num>
  <w:num w:numId="5" w16cid:durableId="745567648">
    <w:abstractNumId w:val="12"/>
  </w:num>
  <w:num w:numId="6" w16cid:durableId="2076933510">
    <w:abstractNumId w:val="7"/>
  </w:num>
  <w:num w:numId="7" w16cid:durableId="1899433097">
    <w:abstractNumId w:val="22"/>
  </w:num>
  <w:num w:numId="8" w16cid:durableId="1088233813">
    <w:abstractNumId w:val="21"/>
  </w:num>
  <w:num w:numId="9" w16cid:durableId="394550804">
    <w:abstractNumId w:val="34"/>
  </w:num>
  <w:num w:numId="10" w16cid:durableId="1709380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602378">
    <w:abstractNumId w:val="1"/>
  </w:num>
  <w:num w:numId="12" w16cid:durableId="1912157551">
    <w:abstractNumId w:val="28"/>
  </w:num>
  <w:num w:numId="13" w16cid:durableId="797454537">
    <w:abstractNumId w:val="11"/>
  </w:num>
  <w:num w:numId="14" w16cid:durableId="284310654">
    <w:abstractNumId w:val="30"/>
  </w:num>
  <w:num w:numId="15" w16cid:durableId="1819420646">
    <w:abstractNumId w:val="20"/>
  </w:num>
  <w:num w:numId="16" w16cid:durableId="1770615197">
    <w:abstractNumId w:val="10"/>
  </w:num>
  <w:num w:numId="17" w16cid:durableId="1658604841">
    <w:abstractNumId w:val="29"/>
  </w:num>
  <w:num w:numId="18" w16cid:durableId="905535034">
    <w:abstractNumId w:val="25"/>
  </w:num>
  <w:num w:numId="19" w16cid:durableId="1465346826">
    <w:abstractNumId w:val="31"/>
  </w:num>
  <w:num w:numId="20" w16cid:durableId="676690097">
    <w:abstractNumId w:val="13"/>
  </w:num>
  <w:num w:numId="21" w16cid:durableId="2031447556">
    <w:abstractNumId w:val="26"/>
  </w:num>
  <w:num w:numId="22" w16cid:durableId="752623358">
    <w:abstractNumId w:val="4"/>
  </w:num>
  <w:num w:numId="23" w16cid:durableId="867841801">
    <w:abstractNumId w:val="23"/>
  </w:num>
  <w:num w:numId="24" w16cid:durableId="720790089">
    <w:abstractNumId w:val="15"/>
  </w:num>
  <w:num w:numId="25" w16cid:durableId="222520331">
    <w:abstractNumId w:val="33"/>
  </w:num>
  <w:num w:numId="26" w16cid:durableId="717584311">
    <w:abstractNumId w:val="27"/>
  </w:num>
  <w:num w:numId="27" w16cid:durableId="779765061">
    <w:abstractNumId w:val="0"/>
  </w:num>
  <w:num w:numId="28" w16cid:durableId="342437984">
    <w:abstractNumId w:val="17"/>
  </w:num>
  <w:num w:numId="29" w16cid:durableId="86079989">
    <w:abstractNumId w:val="8"/>
  </w:num>
  <w:num w:numId="30" w16cid:durableId="190724435">
    <w:abstractNumId w:val="3"/>
  </w:num>
  <w:num w:numId="31" w16cid:durableId="180439593">
    <w:abstractNumId w:val="2"/>
  </w:num>
  <w:num w:numId="32" w16cid:durableId="2007590403">
    <w:abstractNumId w:val="5"/>
  </w:num>
  <w:num w:numId="33" w16cid:durableId="1951621493">
    <w:abstractNumId w:val="9"/>
  </w:num>
  <w:num w:numId="34" w16cid:durableId="1425766684">
    <w:abstractNumId w:val="18"/>
  </w:num>
  <w:num w:numId="35" w16cid:durableId="11616712">
    <w:abstractNumId w:val="16"/>
  </w:num>
  <w:num w:numId="36" w16cid:durableId="1911882459">
    <w:abstractNumId w:val="6"/>
  </w:num>
  <w:num w:numId="37" w16cid:durableId="1044714646">
    <w:abstractNumId w:val="32"/>
  </w:num>
  <w:num w:numId="38" w16cid:durableId="1995259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2408063">
    <w:abstractNumId w:val="7"/>
    <w:lvlOverride w:ilvl="0">
      <w:startOverride w:val="1"/>
    </w:lvlOverride>
  </w:num>
  <w:num w:numId="40" w16cid:durableId="960648091">
    <w:abstractNumId w:val="7"/>
    <w:lvlOverride w:ilvl="0">
      <w:startOverride w:val="1"/>
    </w:lvlOverride>
  </w:num>
  <w:num w:numId="41" w16cid:durableId="138543705">
    <w:abstractNumId w:val="7"/>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93"/>
    <w:rsid w:val="00000792"/>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178F"/>
    <w:rsid w:val="00012555"/>
    <w:rsid w:val="0001303C"/>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35B5"/>
    <w:rsid w:val="00023BD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A0D"/>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44F"/>
    <w:rsid w:val="00051AF1"/>
    <w:rsid w:val="00051D42"/>
    <w:rsid w:val="000538A1"/>
    <w:rsid w:val="00055375"/>
    <w:rsid w:val="00056319"/>
    <w:rsid w:val="000564E7"/>
    <w:rsid w:val="00056770"/>
    <w:rsid w:val="00057386"/>
    <w:rsid w:val="00057427"/>
    <w:rsid w:val="00057EEF"/>
    <w:rsid w:val="000619CB"/>
    <w:rsid w:val="00062387"/>
    <w:rsid w:val="000640F0"/>
    <w:rsid w:val="0006434D"/>
    <w:rsid w:val="000643A1"/>
    <w:rsid w:val="00064679"/>
    <w:rsid w:val="000646E5"/>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838"/>
    <w:rsid w:val="00071AE4"/>
    <w:rsid w:val="00071CB5"/>
    <w:rsid w:val="00071CCB"/>
    <w:rsid w:val="00071D03"/>
    <w:rsid w:val="0007232B"/>
    <w:rsid w:val="0007292B"/>
    <w:rsid w:val="000735A2"/>
    <w:rsid w:val="0007517E"/>
    <w:rsid w:val="00075FE1"/>
    <w:rsid w:val="0007607D"/>
    <w:rsid w:val="00076667"/>
    <w:rsid w:val="00077473"/>
    <w:rsid w:val="00077481"/>
    <w:rsid w:val="000776F9"/>
    <w:rsid w:val="00077EE0"/>
    <w:rsid w:val="000802F9"/>
    <w:rsid w:val="0008145A"/>
    <w:rsid w:val="0008162D"/>
    <w:rsid w:val="000831C8"/>
    <w:rsid w:val="00083F5E"/>
    <w:rsid w:val="00084C98"/>
    <w:rsid w:val="00084FDB"/>
    <w:rsid w:val="0008505C"/>
    <w:rsid w:val="00085C46"/>
    <w:rsid w:val="0008686A"/>
    <w:rsid w:val="00087175"/>
    <w:rsid w:val="00087D35"/>
    <w:rsid w:val="0009132D"/>
    <w:rsid w:val="00091796"/>
    <w:rsid w:val="00091BA2"/>
    <w:rsid w:val="00091CB0"/>
    <w:rsid w:val="00094344"/>
    <w:rsid w:val="000953C6"/>
    <w:rsid w:val="000953F4"/>
    <w:rsid w:val="0009590C"/>
    <w:rsid w:val="000959E7"/>
    <w:rsid w:val="00095C45"/>
    <w:rsid w:val="00095E7D"/>
    <w:rsid w:val="000964DE"/>
    <w:rsid w:val="000972AB"/>
    <w:rsid w:val="00097705"/>
    <w:rsid w:val="00097B40"/>
    <w:rsid w:val="00097D0E"/>
    <w:rsid w:val="000A109B"/>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36F9"/>
    <w:rsid w:val="000B4074"/>
    <w:rsid w:val="000B4732"/>
    <w:rsid w:val="000B4BCD"/>
    <w:rsid w:val="000B66DC"/>
    <w:rsid w:val="000B6D1F"/>
    <w:rsid w:val="000C062F"/>
    <w:rsid w:val="000C17E7"/>
    <w:rsid w:val="000C3270"/>
    <w:rsid w:val="000C577E"/>
    <w:rsid w:val="000D04BA"/>
    <w:rsid w:val="000D0B6E"/>
    <w:rsid w:val="000D0D65"/>
    <w:rsid w:val="000D12E0"/>
    <w:rsid w:val="000D1944"/>
    <w:rsid w:val="000D1DD9"/>
    <w:rsid w:val="000D2172"/>
    <w:rsid w:val="000D293C"/>
    <w:rsid w:val="000D2BC1"/>
    <w:rsid w:val="000D337B"/>
    <w:rsid w:val="000D385A"/>
    <w:rsid w:val="000D38C2"/>
    <w:rsid w:val="000D3CA7"/>
    <w:rsid w:val="000D3FBD"/>
    <w:rsid w:val="000D4122"/>
    <w:rsid w:val="000D5810"/>
    <w:rsid w:val="000D5B16"/>
    <w:rsid w:val="000D5FD6"/>
    <w:rsid w:val="000D6201"/>
    <w:rsid w:val="000D6488"/>
    <w:rsid w:val="000D7088"/>
    <w:rsid w:val="000D770B"/>
    <w:rsid w:val="000D788E"/>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0F7F6E"/>
    <w:rsid w:val="001007EE"/>
    <w:rsid w:val="00100F76"/>
    <w:rsid w:val="0010148E"/>
    <w:rsid w:val="001018BB"/>
    <w:rsid w:val="0010253C"/>
    <w:rsid w:val="00102BD1"/>
    <w:rsid w:val="0010486A"/>
    <w:rsid w:val="0010561C"/>
    <w:rsid w:val="00105C0F"/>
    <w:rsid w:val="00105E39"/>
    <w:rsid w:val="00106561"/>
    <w:rsid w:val="00106D63"/>
    <w:rsid w:val="001075F3"/>
    <w:rsid w:val="00107A01"/>
    <w:rsid w:val="00107C23"/>
    <w:rsid w:val="00110307"/>
    <w:rsid w:val="00110C7F"/>
    <w:rsid w:val="00110EE2"/>
    <w:rsid w:val="00111A7A"/>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01AD"/>
    <w:rsid w:val="00121211"/>
    <w:rsid w:val="00121628"/>
    <w:rsid w:val="0012167D"/>
    <w:rsid w:val="00122189"/>
    <w:rsid w:val="00122280"/>
    <w:rsid w:val="00122D42"/>
    <w:rsid w:val="00123345"/>
    <w:rsid w:val="00123C46"/>
    <w:rsid w:val="0012470B"/>
    <w:rsid w:val="00124B51"/>
    <w:rsid w:val="00125C75"/>
    <w:rsid w:val="00125C7E"/>
    <w:rsid w:val="00126778"/>
    <w:rsid w:val="00127945"/>
    <w:rsid w:val="00127D94"/>
    <w:rsid w:val="00127E90"/>
    <w:rsid w:val="001302C1"/>
    <w:rsid w:val="001306D3"/>
    <w:rsid w:val="00130A41"/>
    <w:rsid w:val="001310BF"/>
    <w:rsid w:val="001319FA"/>
    <w:rsid w:val="00133E73"/>
    <w:rsid w:val="00133FDB"/>
    <w:rsid w:val="00134F4A"/>
    <w:rsid w:val="001351CB"/>
    <w:rsid w:val="00135E4E"/>
    <w:rsid w:val="00136246"/>
    <w:rsid w:val="001364D4"/>
    <w:rsid w:val="001371C8"/>
    <w:rsid w:val="001372ED"/>
    <w:rsid w:val="00140FEF"/>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6FD"/>
    <w:rsid w:val="00192DF3"/>
    <w:rsid w:val="0019301F"/>
    <w:rsid w:val="00193286"/>
    <w:rsid w:val="001937B8"/>
    <w:rsid w:val="00193E4B"/>
    <w:rsid w:val="00194BB7"/>
    <w:rsid w:val="00194CC5"/>
    <w:rsid w:val="001951B2"/>
    <w:rsid w:val="0019565D"/>
    <w:rsid w:val="00197564"/>
    <w:rsid w:val="00197EC2"/>
    <w:rsid w:val="00197ECE"/>
    <w:rsid w:val="001A1CED"/>
    <w:rsid w:val="001A279B"/>
    <w:rsid w:val="001A2DC3"/>
    <w:rsid w:val="001A2E87"/>
    <w:rsid w:val="001A3221"/>
    <w:rsid w:val="001A3869"/>
    <w:rsid w:val="001A38C2"/>
    <w:rsid w:val="001A65C8"/>
    <w:rsid w:val="001A732E"/>
    <w:rsid w:val="001A7F30"/>
    <w:rsid w:val="001B06E2"/>
    <w:rsid w:val="001B103A"/>
    <w:rsid w:val="001B103D"/>
    <w:rsid w:val="001B1513"/>
    <w:rsid w:val="001B1767"/>
    <w:rsid w:val="001B2453"/>
    <w:rsid w:val="001B3D48"/>
    <w:rsid w:val="001B5AF9"/>
    <w:rsid w:val="001B6600"/>
    <w:rsid w:val="001B6B9B"/>
    <w:rsid w:val="001B6C27"/>
    <w:rsid w:val="001B7144"/>
    <w:rsid w:val="001B7E91"/>
    <w:rsid w:val="001C147E"/>
    <w:rsid w:val="001C151B"/>
    <w:rsid w:val="001C19E5"/>
    <w:rsid w:val="001C3666"/>
    <w:rsid w:val="001C3800"/>
    <w:rsid w:val="001C3C7B"/>
    <w:rsid w:val="001C6122"/>
    <w:rsid w:val="001C6587"/>
    <w:rsid w:val="001C69BE"/>
    <w:rsid w:val="001C6DB5"/>
    <w:rsid w:val="001C71AC"/>
    <w:rsid w:val="001C7316"/>
    <w:rsid w:val="001C7A63"/>
    <w:rsid w:val="001C7E5C"/>
    <w:rsid w:val="001D00CC"/>
    <w:rsid w:val="001D02B8"/>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0F22"/>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E79"/>
    <w:rsid w:val="001F2F07"/>
    <w:rsid w:val="001F3123"/>
    <w:rsid w:val="001F376D"/>
    <w:rsid w:val="001F418C"/>
    <w:rsid w:val="001F4B2D"/>
    <w:rsid w:val="001F4F40"/>
    <w:rsid w:val="001F50E0"/>
    <w:rsid w:val="001F594C"/>
    <w:rsid w:val="001F69FC"/>
    <w:rsid w:val="001F6D62"/>
    <w:rsid w:val="001F7675"/>
    <w:rsid w:val="001F7FB1"/>
    <w:rsid w:val="00200FAE"/>
    <w:rsid w:val="0020102D"/>
    <w:rsid w:val="002010E2"/>
    <w:rsid w:val="00201B73"/>
    <w:rsid w:val="00202517"/>
    <w:rsid w:val="00202ADB"/>
    <w:rsid w:val="00202BB7"/>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5F6"/>
    <w:rsid w:val="00212A82"/>
    <w:rsid w:val="00214EA2"/>
    <w:rsid w:val="002160FA"/>
    <w:rsid w:val="002166DD"/>
    <w:rsid w:val="002168A2"/>
    <w:rsid w:val="00216AC3"/>
    <w:rsid w:val="00217867"/>
    <w:rsid w:val="002205E4"/>
    <w:rsid w:val="00220D67"/>
    <w:rsid w:val="002215F8"/>
    <w:rsid w:val="00221F80"/>
    <w:rsid w:val="0022273A"/>
    <w:rsid w:val="00222D28"/>
    <w:rsid w:val="00223CF4"/>
    <w:rsid w:val="00224220"/>
    <w:rsid w:val="00224321"/>
    <w:rsid w:val="00224398"/>
    <w:rsid w:val="00224A81"/>
    <w:rsid w:val="00224E91"/>
    <w:rsid w:val="00225B4C"/>
    <w:rsid w:val="00225E1E"/>
    <w:rsid w:val="00226129"/>
    <w:rsid w:val="0022614D"/>
    <w:rsid w:val="00226AA2"/>
    <w:rsid w:val="00227218"/>
    <w:rsid w:val="0022770A"/>
    <w:rsid w:val="00227BEE"/>
    <w:rsid w:val="00227FB4"/>
    <w:rsid w:val="0023057E"/>
    <w:rsid w:val="002312BC"/>
    <w:rsid w:val="002337E5"/>
    <w:rsid w:val="00233C06"/>
    <w:rsid w:val="00233F24"/>
    <w:rsid w:val="002347D8"/>
    <w:rsid w:val="00234BBB"/>
    <w:rsid w:val="002356F4"/>
    <w:rsid w:val="00235F02"/>
    <w:rsid w:val="00236D28"/>
    <w:rsid w:val="00237FE4"/>
    <w:rsid w:val="00240656"/>
    <w:rsid w:val="00241610"/>
    <w:rsid w:val="00241AED"/>
    <w:rsid w:val="00243182"/>
    <w:rsid w:val="002438E5"/>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46A4"/>
    <w:rsid w:val="0025539F"/>
    <w:rsid w:val="00256388"/>
    <w:rsid w:val="00256E44"/>
    <w:rsid w:val="002605BF"/>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317"/>
    <w:rsid w:val="00282D25"/>
    <w:rsid w:val="00282DF9"/>
    <w:rsid w:val="00283A44"/>
    <w:rsid w:val="00283C29"/>
    <w:rsid w:val="0028529F"/>
    <w:rsid w:val="00285687"/>
    <w:rsid w:val="00287649"/>
    <w:rsid w:val="00287867"/>
    <w:rsid w:val="00287DAB"/>
    <w:rsid w:val="00287FB6"/>
    <w:rsid w:val="002900C5"/>
    <w:rsid w:val="002901E0"/>
    <w:rsid w:val="0029075B"/>
    <w:rsid w:val="00290BB1"/>
    <w:rsid w:val="00290FA6"/>
    <w:rsid w:val="00291BC1"/>
    <w:rsid w:val="002933CA"/>
    <w:rsid w:val="00293A8F"/>
    <w:rsid w:val="00295155"/>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8F7"/>
    <w:rsid w:val="002B31CF"/>
    <w:rsid w:val="002B3ED7"/>
    <w:rsid w:val="002B4778"/>
    <w:rsid w:val="002B75B2"/>
    <w:rsid w:val="002B79B7"/>
    <w:rsid w:val="002C141D"/>
    <w:rsid w:val="002C19C0"/>
    <w:rsid w:val="002C2485"/>
    <w:rsid w:val="002C25E0"/>
    <w:rsid w:val="002C2A2D"/>
    <w:rsid w:val="002C36C0"/>
    <w:rsid w:val="002C3928"/>
    <w:rsid w:val="002C3B33"/>
    <w:rsid w:val="002C435E"/>
    <w:rsid w:val="002C43BB"/>
    <w:rsid w:val="002C44AB"/>
    <w:rsid w:val="002C5E39"/>
    <w:rsid w:val="002C5FA2"/>
    <w:rsid w:val="002C7616"/>
    <w:rsid w:val="002C7A02"/>
    <w:rsid w:val="002C7BD4"/>
    <w:rsid w:val="002D0107"/>
    <w:rsid w:val="002D062E"/>
    <w:rsid w:val="002D0D43"/>
    <w:rsid w:val="002D15C2"/>
    <w:rsid w:val="002D2B10"/>
    <w:rsid w:val="002D3842"/>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1803"/>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687"/>
    <w:rsid w:val="002E6996"/>
    <w:rsid w:val="002E69F5"/>
    <w:rsid w:val="002E6CAA"/>
    <w:rsid w:val="002E732D"/>
    <w:rsid w:val="002E73EC"/>
    <w:rsid w:val="002F023D"/>
    <w:rsid w:val="002F0D9B"/>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8DB"/>
    <w:rsid w:val="00301CA9"/>
    <w:rsid w:val="00301D0A"/>
    <w:rsid w:val="003027B8"/>
    <w:rsid w:val="0030293F"/>
    <w:rsid w:val="00302947"/>
    <w:rsid w:val="00302C50"/>
    <w:rsid w:val="003031C2"/>
    <w:rsid w:val="00303861"/>
    <w:rsid w:val="003049B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3737"/>
    <w:rsid w:val="00323AD6"/>
    <w:rsid w:val="00323F27"/>
    <w:rsid w:val="003242EF"/>
    <w:rsid w:val="00325339"/>
    <w:rsid w:val="003255AA"/>
    <w:rsid w:val="00325A71"/>
    <w:rsid w:val="003314B6"/>
    <w:rsid w:val="00331A20"/>
    <w:rsid w:val="00331A23"/>
    <w:rsid w:val="00331E65"/>
    <w:rsid w:val="00333107"/>
    <w:rsid w:val="0033343B"/>
    <w:rsid w:val="0033393C"/>
    <w:rsid w:val="003357EE"/>
    <w:rsid w:val="00337368"/>
    <w:rsid w:val="00337B4D"/>
    <w:rsid w:val="003407A9"/>
    <w:rsid w:val="00340BA3"/>
    <w:rsid w:val="00340BAF"/>
    <w:rsid w:val="00340C2B"/>
    <w:rsid w:val="00340F9A"/>
    <w:rsid w:val="00340FC9"/>
    <w:rsid w:val="00341018"/>
    <w:rsid w:val="00341723"/>
    <w:rsid w:val="003420D9"/>
    <w:rsid w:val="003423E0"/>
    <w:rsid w:val="0034301A"/>
    <w:rsid w:val="00343D76"/>
    <w:rsid w:val="00344DFD"/>
    <w:rsid w:val="003451D3"/>
    <w:rsid w:val="00345B64"/>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60B75"/>
    <w:rsid w:val="0036151C"/>
    <w:rsid w:val="00361A9B"/>
    <w:rsid w:val="00362CCF"/>
    <w:rsid w:val="003631DB"/>
    <w:rsid w:val="00364524"/>
    <w:rsid w:val="0036513A"/>
    <w:rsid w:val="00365237"/>
    <w:rsid w:val="0036559C"/>
    <w:rsid w:val="0036587E"/>
    <w:rsid w:val="003660CD"/>
    <w:rsid w:val="00366AC2"/>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EE"/>
    <w:rsid w:val="00377BA1"/>
    <w:rsid w:val="00377FF0"/>
    <w:rsid w:val="00380616"/>
    <w:rsid w:val="00381022"/>
    <w:rsid w:val="003814B8"/>
    <w:rsid w:val="00381A2A"/>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3451"/>
    <w:rsid w:val="0039442C"/>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315"/>
    <w:rsid w:val="003B5BD9"/>
    <w:rsid w:val="003B64A3"/>
    <w:rsid w:val="003B6DB8"/>
    <w:rsid w:val="003B72B9"/>
    <w:rsid w:val="003C0887"/>
    <w:rsid w:val="003C08AF"/>
    <w:rsid w:val="003C094C"/>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364"/>
    <w:rsid w:val="003D04D6"/>
    <w:rsid w:val="003D04F6"/>
    <w:rsid w:val="003D18CC"/>
    <w:rsid w:val="003D3583"/>
    <w:rsid w:val="003D391E"/>
    <w:rsid w:val="003D3B6F"/>
    <w:rsid w:val="003D40E8"/>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AE9"/>
    <w:rsid w:val="003E2C1A"/>
    <w:rsid w:val="003E330F"/>
    <w:rsid w:val="003E3478"/>
    <w:rsid w:val="003E4E74"/>
    <w:rsid w:val="003E5F7D"/>
    <w:rsid w:val="003E6520"/>
    <w:rsid w:val="003E67E7"/>
    <w:rsid w:val="003E6B25"/>
    <w:rsid w:val="003E6B3C"/>
    <w:rsid w:val="003E6B95"/>
    <w:rsid w:val="003E70FF"/>
    <w:rsid w:val="003E7F1B"/>
    <w:rsid w:val="003F0B41"/>
    <w:rsid w:val="003F0BFF"/>
    <w:rsid w:val="003F1150"/>
    <w:rsid w:val="003F1DFC"/>
    <w:rsid w:val="003F1E39"/>
    <w:rsid w:val="003F229D"/>
    <w:rsid w:val="003F25F0"/>
    <w:rsid w:val="003F2D5B"/>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157"/>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6B2B"/>
    <w:rsid w:val="004176C7"/>
    <w:rsid w:val="00417877"/>
    <w:rsid w:val="00417D9F"/>
    <w:rsid w:val="00420229"/>
    <w:rsid w:val="00420DBA"/>
    <w:rsid w:val="00421311"/>
    <w:rsid w:val="00422E13"/>
    <w:rsid w:val="0042350F"/>
    <w:rsid w:val="00423599"/>
    <w:rsid w:val="0042384C"/>
    <w:rsid w:val="00423893"/>
    <w:rsid w:val="00423BC9"/>
    <w:rsid w:val="004255B4"/>
    <w:rsid w:val="00426766"/>
    <w:rsid w:val="004267D0"/>
    <w:rsid w:val="004279CA"/>
    <w:rsid w:val="00427A82"/>
    <w:rsid w:val="00427EA2"/>
    <w:rsid w:val="00430115"/>
    <w:rsid w:val="00430A4B"/>
    <w:rsid w:val="00431C46"/>
    <w:rsid w:val="004327E6"/>
    <w:rsid w:val="004329DC"/>
    <w:rsid w:val="00432AC6"/>
    <w:rsid w:val="004341C6"/>
    <w:rsid w:val="00434C5E"/>
    <w:rsid w:val="00435765"/>
    <w:rsid w:val="004360B6"/>
    <w:rsid w:val="004362E5"/>
    <w:rsid w:val="00436356"/>
    <w:rsid w:val="00440722"/>
    <w:rsid w:val="004425D9"/>
    <w:rsid w:val="00443244"/>
    <w:rsid w:val="00444AF6"/>
    <w:rsid w:val="0044519D"/>
    <w:rsid w:val="00445544"/>
    <w:rsid w:val="00445C0B"/>
    <w:rsid w:val="00446195"/>
    <w:rsid w:val="00447CD0"/>
    <w:rsid w:val="00447FC2"/>
    <w:rsid w:val="004502F4"/>
    <w:rsid w:val="004506F4"/>
    <w:rsid w:val="004509D1"/>
    <w:rsid w:val="00450A42"/>
    <w:rsid w:val="00450E98"/>
    <w:rsid w:val="004513A5"/>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6E90"/>
    <w:rsid w:val="00457135"/>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AD0"/>
    <w:rsid w:val="00472D9C"/>
    <w:rsid w:val="00473B60"/>
    <w:rsid w:val="00475AFF"/>
    <w:rsid w:val="00475D30"/>
    <w:rsid w:val="004765F4"/>
    <w:rsid w:val="00476B4D"/>
    <w:rsid w:val="00476CBC"/>
    <w:rsid w:val="00476E6C"/>
    <w:rsid w:val="00477282"/>
    <w:rsid w:val="00477947"/>
    <w:rsid w:val="00477C7E"/>
    <w:rsid w:val="00480FA1"/>
    <w:rsid w:val="00481FD7"/>
    <w:rsid w:val="00482DE5"/>
    <w:rsid w:val="00483266"/>
    <w:rsid w:val="0048352E"/>
    <w:rsid w:val="004836A9"/>
    <w:rsid w:val="00483B23"/>
    <w:rsid w:val="004840D7"/>
    <w:rsid w:val="004846F4"/>
    <w:rsid w:val="00485C26"/>
    <w:rsid w:val="00485EC0"/>
    <w:rsid w:val="00486A51"/>
    <w:rsid w:val="004875E1"/>
    <w:rsid w:val="00487B37"/>
    <w:rsid w:val="00490636"/>
    <w:rsid w:val="00490FF0"/>
    <w:rsid w:val="004910FE"/>
    <w:rsid w:val="00491198"/>
    <w:rsid w:val="004917E0"/>
    <w:rsid w:val="00491B49"/>
    <w:rsid w:val="00491BF6"/>
    <w:rsid w:val="00491FED"/>
    <w:rsid w:val="00492F82"/>
    <w:rsid w:val="004943C2"/>
    <w:rsid w:val="00494918"/>
    <w:rsid w:val="00494C65"/>
    <w:rsid w:val="00494F0C"/>
    <w:rsid w:val="004951BD"/>
    <w:rsid w:val="00495557"/>
    <w:rsid w:val="0049618D"/>
    <w:rsid w:val="004965EF"/>
    <w:rsid w:val="0049719D"/>
    <w:rsid w:val="00497FCD"/>
    <w:rsid w:val="004A095C"/>
    <w:rsid w:val="004A0D1E"/>
    <w:rsid w:val="004A0E66"/>
    <w:rsid w:val="004A0EEC"/>
    <w:rsid w:val="004A130F"/>
    <w:rsid w:val="004A17EF"/>
    <w:rsid w:val="004A1BDA"/>
    <w:rsid w:val="004A22DA"/>
    <w:rsid w:val="004A2700"/>
    <w:rsid w:val="004A36C8"/>
    <w:rsid w:val="004A3721"/>
    <w:rsid w:val="004A3742"/>
    <w:rsid w:val="004A37B8"/>
    <w:rsid w:val="004A3CC2"/>
    <w:rsid w:val="004A3ED3"/>
    <w:rsid w:val="004A47BC"/>
    <w:rsid w:val="004A4922"/>
    <w:rsid w:val="004A4AC6"/>
    <w:rsid w:val="004B1199"/>
    <w:rsid w:val="004B16C4"/>
    <w:rsid w:val="004B1867"/>
    <w:rsid w:val="004B2A64"/>
    <w:rsid w:val="004B2F8E"/>
    <w:rsid w:val="004B41DA"/>
    <w:rsid w:val="004B470D"/>
    <w:rsid w:val="004B4764"/>
    <w:rsid w:val="004B4846"/>
    <w:rsid w:val="004B5394"/>
    <w:rsid w:val="004B5BDD"/>
    <w:rsid w:val="004B6E9E"/>
    <w:rsid w:val="004B6F83"/>
    <w:rsid w:val="004B7C29"/>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4F1B"/>
    <w:rsid w:val="004C514A"/>
    <w:rsid w:val="004C645A"/>
    <w:rsid w:val="004C6572"/>
    <w:rsid w:val="004C6D4F"/>
    <w:rsid w:val="004C7541"/>
    <w:rsid w:val="004D10D3"/>
    <w:rsid w:val="004D1E71"/>
    <w:rsid w:val="004D2CDF"/>
    <w:rsid w:val="004D33CE"/>
    <w:rsid w:val="004D4AAE"/>
    <w:rsid w:val="004D520F"/>
    <w:rsid w:val="004D7C86"/>
    <w:rsid w:val="004E0197"/>
    <w:rsid w:val="004E07FC"/>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1F90"/>
    <w:rsid w:val="004F2401"/>
    <w:rsid w:val="004F2A44"/>
    <w:rsid w:val="004F2DAD"/>
    <w:rsid w:val="004F34F7"/>
    <w:rsid w:val="004F55D6"/>
    <w:rsid w:val="004F565A"/>
    <w:rsid w:val="004F571B"/>
    <w:rsid w:val="004F64EB"/>
    <w:rsid w:val="004F7A74"/>
    <w:rsid w:val="00500250"/>
    <w:rsid w:val="00500264"/>
    <w:rsid w:val="00500824"/>
    <w:rsid w:val="00500DAB"/>
    <w:rsid w:val="00501144"/>
    <w:rsid w:val="005013EF"/>
    <w:rsid w:val="005016CC"/>
    <w:rsid w:val="005019E0"/>
    <w:rsid w:val="0050211F"/>
    <w:rsid w:val="005022E7"/>
    <w:rsid w:val="00502A93"/>
    <w:rsid w:val="00506083"/>
    <w:rsid w:val="005068D6"/>
    <w:rsid w:val="00506B86"/>
    <w:rsid w:val="00506EEC"/>
    <w:rsid w:val="00506FD4"/>
    <w:rsid w:val="005107FF"/>
    <w:rsid w:val="00510CBC"/>
    <w:rsid w:val="0051102D"/>
    <w:rsid w:val="005112A5"/>
    <w:rsid w:val="00511F48"/>
    <w:rsid w:val="00512448"/>
    <w:rsid w:val="0051253A"/>
    <w:rsid w:val="0051266C"/>
    <w:rsid w:val="00513B72"/>
    <w:rsid w:val="00515277"/>
    <w:rsid w:val="005158C2"/>
    <w:rsid w:val="005169DE"/>
    <w:rsid w:val="0051754D"/>
    <w:rsid w:val="0051785D"/>
    <w:rsid w:val="00517913"/>
    <w:rsid w:val="0052005F"/>
    <w:rsid w:val="00520200"/>
    <w:rsid w:val="00520E2D"/>
    <w:rsid w:val="00520F04"/>
    <w:rsid w:val="00521717"/>
    <w:rsid w:val="005224B2"/>
    <w:rsid w:val="00523B23"/>
    <w:rsid w:val="00523DFA"/>
    <w:rsid w:val="005254BC"/>
    <w:rsid w:val="005256FC"/>
    <w:rsid w:val="00526C27"/>
    <w:rsid w:val="00526DFF"/>
    <w:rsid w:val="00527473"/>
    <w:rsid w:val="00527EF9"/>
    <w:rsid w:val="005305FF"/>
    <w:rsid w:val="00530C9B"/>
    <w:rsid w:val="00532334"/>
    <w:rsid w:val="005324AF"/>
    <w:rsid w:val="0053402C"/>
    <w:rsid w:val="00534090"/>
    <w:rsid w:val="00534455"/>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7E4"/>
    <w:rsid w:val="00546C49"/>
    <w:rsid w:val="0055010B"/>
    <w:rsid w:val="00550D59"/>
    <w:rsid w:val="0055110D"/>
    <w:rsid w:val="00551F81"/>
    <w:rsid w:val="0055210F"/>
    <w:rsid w:val="00552CD7"/>
    <w:rsid w:val="005533BE"/>
    <w:rsid w:val="00554B30"/>
    <w:rsid w:val="00554FFB"/>
    <w:rsid w:val="005568DE"/>
    <w:rsid w:val="00557C50"/>
    <w:rsid w:val="005606B6"/>
    <w:rsid w:val="005608D6"/>
    <w:rsid w:val="00560F19"/>
    <w:rsid w:val="00561E6B"/>
    <w:rsid w:val="005621D2"/>
    <w:rsid w:val="005621E0"/>
    <w:rsid w:val="00562D90"/>
    <w:rsid w:val="00563317"/>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FA0"/>
    <w:rsid w:val="00582B90"/>
    <w:rsid w:val="00583134"/>
    <w:rsid w:val="005831A7"/>
    <w:rsid w:val="00583321"/>
    <w:rsid w:val="0058341E"/>
    <w:rsid w:val="00584F3A"/>
    <w:rsid w:val="005853AB"/>
    <w:rsid w:val="00585748"/>
    <w:rsid w:val="005859C5"/>
    <w:rsid w:val="00585C79"/>
    <w:rsid w:val="00585EE1"/>
    <w:rsid w:val="00585FD0"/>
    <w:rsid w:val="00586144"/>
    <w:rsid w:val="00587785"/>
    <w:rsid w:val="0058788D"/>
    <w:rsid w:val="00587E29"/>
    <w:rsid w:val="00587FE6"/>
    <w:rsid w:val="0059040D"/>
    <w:rsid w:val="00591698"/>
    <w:rsid w:val="00593B87"/>
    <w:rsid w:val="00593C1C"/>
    <w:rsid w:val="00593E94"/>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4F39"/>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05D"/>
    <w:rsid w:val="005B5D40"/>
    <w:rsid w:val="005B5EFC"/>
    <w:rsid w:val="005B6412"/>
    <w:rsid w:val="005B6698"/>
    <w:rsid w:val="005B6733"/>
    <w:rsid w:val="005B68A7"/>
    <w:rsid w:val="005B6AC3"/>
    <w:rsid w:val="005C055E"/>
    <w:rsid w:val="005C0FA1"/>
    <w:rsid w:val="005C1615"/>
    <w:rsid w:val="005C1D31"/>
    <w:rsid w:val="005C1D98"/>
    <w:rsid w:val="005C1DA5"/>
    <w:rsid w:val="005C2559"/>
    <w:rsid w:val="005C2873"/>
    <w:rsid w:val="005C34FC"/>
    <w:rsid w:val="005C37FB"/>
    <w:rsid w:val="005C3B5C"/>
    <w:rsid w:val="005C3C7F"/>
    <w:rsid w:val="005C5143"/>
    <w:rsid w:val="005C5639"/>
    <w:rsid w:val="005C5742"/>
    <w:rsid w:val="005C6CA5"/>
    <w:rsid w:val="005C7125"/>
    <w:rsid w:val="005C760E"/>
    <w:rsid w:val="005C7E9E"/>
    <w:rsid w:val="005D18C9"/>
    <w:rsid w:val="005D1B72"/>
    <w:rsid w:val="005D2471"/>
    <w:rsid w:val="005D25A3"/>
    <w:rsid w:val="005D2779"/>
    <w:rsid w:val="005D3242"/>
    <w:rsid w:val="005D610C"/>
    <w:rsid w:val="005D74E7"/>
    <w:rsid w:val="005D7C64"/>
    <w:rsid w:val="005D7F7B"/>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1989"/>
    <w:rsid w:val="005F2C1F"/>
    <w:rsid w:val="005F2E44"/>
    <w:rsid w:val="005F3690"/>
    <w:rsid w:val="005F3986"/>
    <w:rsid w:val="005F4C57"/>
    <w:rsid w:val="005F6774"/>
    <w:rsid w:val="005F79AA"/>
    <w:rsid w:val="0060044B"/>
    <w:rsid w:val="00600A78"/>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20309"/>
    <w:rsid w:val="0062159D"/>
    <w:rsid w:val="00621680"/>
    <w:rsid w:val="00621EC5"/>
    <w:rsid w:val="006223E0"/>
    <w:rsid w:val="006224D0"/>
    <w:rsid w:val="006226A3"/>
    <w:rsid w:val="00622BCE"/>
    <w:rsid w:val="00622E29"/>
    <w:rsid w:val="00623643"/>
    <w:rsid w:val="00624018"/>
    <w:rsid w:val="006240C4"/>
    <w:rsid w:val="00624B3C"/>
    <w:rsid w:val="006252C2"/>
    <w:rsid w:val="00625304"/>
    <w:rsid w:val="0062581B"/>
    <w:rsid w:val="006261F4"/>
    <w:rsid w:val="00627B78"/>
    <w:rsid w:val="00630B9B"/>
    <w:rsid w:val="0063164E"/>
    <w:rsid w:val="0063191D"/>
    <w:rsid w:val="00633488"/>
    <w:rsid w:val="00633581"/>
    <w:rsid w:val="006339AF"/>
    <w:rsid w:val="00633C47"/>
    <w:rsid w:val="006348F7"/>
    <w:rsid w:val="0063512D"/>
    <w:rsid w:val="006358FB"/>
    <w:rsid w:val="00635AE2"/>
    <w:rsid w:val="00635E1E"/>
    <w:rsid w:val="0063677C"/>
    <w:rsid w:val="00636972"/>
    <w:rsid w:val="00636B69"/>
    <w:rsid w:val="00636BC2"/>
    <w:rsid w:val="006404B1"/>
    <w:rsid w:val="006404D1"/>
    <w:rsid w:val="00640F43"/>
    <w:rsid w:val="006412CA"/>
    <w:rsid w:val="006420DA"/>
    <w:rsid w:val="00642A0A"/>
    <w:rsid w:val="00643AC1"/>
    <w:rsid w:val="00643D62"/>
    <w:rsid w:val="00644A5E"/>
    <w:rsid w:val="00644A6C"/>
    <w:rsid w:val="00644D69"/>
    <w:rsid w:val="006457A8"/>
    <w:rsid w:val="00645EA0"/>
    <w:rsid w:val="00645F76"/>
    <w:rsid w:val="00646EB0"/>
    <w:rsid w:val="0064714D"/>
    <w:rsid w:val="0064727D"/>
    <w:rsid w:val="006473CE"/>
    <w:rsid w:val="00647B32"/>
    <w:rsid w:val="00647C27"/>
    <w:rsid w:val="006519E6"/>
    <w:rsid w:val="00651CDE"/>
    <w:rsid w:val="00652326"/>
    <w:rsid w:val="006524F6"/>
    <w:rsid w:val="00652907"/>
    <w:rsid w:val="00652E06"/>
    <w:rsid w:val="00653FC4"/>
    <w:rsid w:val="0065466C"/>
    <w:rsid w:val="00654F91"/>
    <w:rsid w:val="00655361"/>
    <w:rsid w:val="00656253"/>
    <w:rsid w:val="00656799"/>
    <w:rsid w:val="00656B77"/>
    <w:rsid w:val="00656E72"/>
    <w:rsid w:val="006578A1"/>
    <w:rsid w:val="0066137B"/>
    <w:rsid w:val="0066174E"/>
    <w:rsid w:val="00661BBB"/>
    <w:rsid w:val="00661E57"/>
    <w:rsid w:val="006629E4"/>
    <w:rsid w:val="0066352E"/>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482"/>
    <w:rsid w:val="006808DC"/>
    <w:rsid w:val="006816B6"/>
    <w:rsid w:val="006820EB"/>
    <w:rsid w:val="00682128"/>
    <w:rsid w:val="0068220C"/>
    <w:rsid w:val="00682AB1"/>
    <w:rsid w:val="00682E9F"/>
    <w:rsid w:val="00683252"/>
    <w:rsid w:val="0068343A"/>
    <w:rsid w:val="006834D4"/>
    <w:rsid w:val="00683D56"/>
    <w:rsid w:val="0068413D"/>
    <w:rsid w:val="006844BA"/>
    <w:rsid w:val="006845A2"/>
    <w:rsid w:val="00684BF8"/>
    <w:rsid w:val="00684D9B"/>
    <w:rsid w:val="006858AA"/>
    <w:rsid w:val="00685BCF"/>
    <w:rsid w:val="006871D0"/>
    <w:rsid w:val="0068751F"/>
    <w:rsid w:val="006900D1"/>
    <w:rsid w:val="00690297"/>
    <w:rsid w:val="0069115A"/>
    <w:rsid w:val="006912F1"/>
    <w:rsid w:val="00691387"/>
    <w:rsid w:val="006927F2"/>
    <w:rsid w:val="006931E1"/>
    <w:rsid w:val="00693E3A"/>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120D"/>
    <w:rsid w:val="006B13C1"/>
    <w:rsid w:val="006B2CC7"/>
    <w:rsid w:val="006B3AF9"/>
    <w:rsid w:val="006B44C5"/>
    <w:rsid w:val="006B555F"/>
    <w:rsid w:val="006B5A60"/>
    <w:rsid w:val="006B6242"/>
    <w:rsid w:val="006B62B8"/>
    <w:rsid w:val="006B6C7C"/>
    <w:rsid w:val="006B6EA4"/>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3CB2"/>
    <w:rsid w:val="006E3DA8"/>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6F78F4"/>
    <w:rsid w:val="00700492"/>
    <w:rsid w:val="007009AC"/>
    <w:rsid w:val="0070167E"/>
    <w:rsid w:val="00701E1B"/>
    <w:rsid w:val="00702ED0"/>
    <w:rsid w:val="00703C09"/>
    <w:rsid w:val="0070434A"/>
    <w:rsid w:val="007048C4"/>
    <w:rsid w:val="00704CC4"/>
    <w:rsid w:val="00705345"/>
    <w:rsid w:val="0070638D"/>
    <w:rsid w:val="00706AD2"/>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5C9"/>
    <w:rsid w:val="00714631"/>
    <w:rsid w:val="00714B6E"/>
    <w:rsid w:val="0071512F"/>
    <w:rsid w:val="007169AC"/>
    <w:rsid w:val="007169DD"/>
    <w:rsid w:val="00717679"/>
    <w:rsid w:val="00717B67"/>
    <w:rsid w:val="007206A2"/>
    <w:rsid w:val="00720B38"/>
    <w:rsid w:val="00720CA7"/>
    <w:rsid w:val="0072147B"/>
    <w:rsid w:val="0072181E"/>
    <w:rsid w:val="00722068"/>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279C6"/>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6386"/>
    <w:rsid w:val="0075653C"/>
    <w:rsid w:val="00756603"/>
    <w:rsid w:val="007575C0"/>
    <w:rsid w:val="00757D2F"/>
    <w:rsid w:val="0076000E"/>
    <w:rsid w:val="00760C00"/>
    <w:rsid w:val="007610E9"/>
    <w:rsid w:val="00761728"/>
    <w:rsid w:val="00761C6C"/>
    <w:rsid w:val="00762B72"/>
    <w:rsid w:val="00763CCB"/>
    <w:rsid w:val="007642B4"/>
    <w:rsid w:val="00764C45"/>
    <w:rsid w:val="00764C7F"/>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400"/>
    <w:rsid w:val="00774ACE"/>
    <w:rsid w:val="00775823"/>
    <w:rsid w:val="00775F57"/>
    <w:rsid w:val="00776584"/>
    <w:rsid w:val="007769C8"/>
    <w:rsid w:val="007769EF"/>
    <w:rsid w:val="00776D4F"/>
    <w:rsid w:val="00776DDC"/>
    <w:rsid w:val="007770F9"/>
    <w:rsid w:val="00777179"/>
    <w:rsid w:val="00777945"/>
    <w:rsid w:val="00777D40"/>
    <w:rsid w:val="00780B8D"/>
    <w:rsid w:val="00780B8E"/>
    <w:rsid w:val="00781649"/>
    <w:rsid w:val="007823D6"/>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2C3"/>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5401"/>
    <w:rsid w:val="007B5FB4"/>
    <w:rsid w:val="007B6B2B"/>
    <w:rsid w:val="007B7949"/>
    <w:rsid w:val="007B7D30"/>
    <w:rsid w:val="007C0FA9"/>
    <w:rsid w:val="007C2413"/>
    <w:rsid w:val="007C25AE"/>
    <w:rsid w:val="007C3152"/>
    <w:rsid w:val="007C333B"/>
    <w:rsid w:val="007C3914"/>
    <w:rsid w:val="007C3CEA"/>
    <w:rsid w:val="007C3D92"/>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D7EB4"/>
    <w:rsid w:val="007E051A"/>
    <w:rsid w:val="007E0798"/>
    <w:rsid w:val="007E1B72"/>
    <w:rsid w:val="007E3EE3"/>
    <w:rsid w:val="007E4D1B"/>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0F3C"/>
    <w:rsid w:val="0080148D"/>
    <w:rsid w:val="0080156B"/>
    <w:rsid w:val="00801A3A"/>
    <w:rsid w:val="00802A17"/>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84C"/>
    <w:rsid w:val="00811A39"/>
    <w:rsid w:val="0081291B"/>
    <w:rsid w:val="00813622"/>
    <w:rsid w:val="00813DCF"/>
    <w:rsid w:val="00813FAB"/>
    <w:rsid w:val="0081498C"/>
    <w:rsid w:val="00814AE1"/>
    <w:rsid w:val="00815D31"/>
    <w:rsid w:val="0081601F"/>
    <w:rsid w:val="00816064"/>
    <w:rsid w:val="008166E9"/>
    <w:rsid w:val="008174B2"/>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034"/>
    <w:rsid w:val="0084184A"/>
    <w:rsid w:val="008423F2"/>
    <w:rsid w:val="00842A30"/>
    <w:rsid w:val="00842F71"/>
    <w:rsid w:val="00843179"/>
    <w:rsid w:val="0084386A"/>
    <w:rsid w:val="00843E0E"/>
    <w:rsid w:val="008442EA"/>
    <w:rsid w:val="00844589"/>
    <w:rsid w:val="00844794"/>
    <w:rsid w:val="00844FE7"/>
    <w:rsid w:val="00845103"/>
    <w:rsid w:val="00845969"/>
    <w:rsid w:val="00845F0A"/>
    <w:rsid w:val="00845F37"/>
    <w:rsid w:val="00845FF5"/>
    <w:rsid w:val="00846001"/>
    <w:rsid w:val="0084615D"/>
    <w:rsid w:val="0084642A"/>
    <w:rsid w:val="008465C4"/>
    <w:rsid w:val="00846710"/>
    <w:rsid w:val="008478ED"/>
    <w:rsid w:val="0085087F"/>
    <w:rsid w:val="00851728"/>
    <w:rsid w:val="00851DFF"/>
    <w:rsid w:val="00853084"/>
    <w:rsid w:val="00853142"/>
    <w:rsid w:val="008540A6"/>
    <w:rsid w:val="00854420"/>
    <w:rsid w:val="00854481"/>
    <w:rsid w:val="008555EF"/>
    <w:rsid w:val="00857591"/>
    <w:rsid w:val="00857E88"/>
    <w:rsid w:val="008612DB"/>
    <w:rsid w:val="0086170B"/>
    <w:rsid w:val="00861B57"/>
    <w:rsid w:val="00862AC4"/>
    <w:rsid w:val="008633AC"/>
    <w:rsid w:val="008634E3"/>
    <w:rsid w:val="00863E2E"/>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063B"/>
    <w:rsid w:val="00881511"/>
    <w:rsid w:val="00882448"/>
    <w:rsid w:val="00882F1D"/>
    <w:rsid w:val="00883A4D"/>
    <w:rsid w:val="00883B21"/>
    <w:rsid w:val="00883F8F"/>
    <w:rsid w:val="00884235"/>
    <w:rsid w:val="00885285"/>
    <w:rsid w:val="00885985"/>
    <w:rsid w:val="00886699"/>
    <w:rsid w:val="0088709A"/>
    <w:rsid w:val="0089199F"/>
    <w:rsid w:val="00891C32"/>
    <w:rsid w:val="00891C33"/>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0D2B"/>
    <w:rsid w:val="008A13BD"/>
    <w:rsid w:val="008A1596"/>
    <w:rsid w:val="008A1EDF"/>
    <w:rsid w:val="008A2695"/>
    <w:rsid w:val="008A2DC9"/>
    <w:rsid w:val="008A2FF1"/>
    <w:rsid w:val="008A32D4"/>
    <w:rsid w:val="008A367F"/>
    <w:rsid w:val="008A37AF"/>
    <w:rsid w:val="008A3D62"/>
    <w:rsid w:val="008A448D"/>
    <w:rsid w:val="008A4A55"/>
    <w:rsid w:val="008A506F"/>
    <w:rsid w:val="008A528A"/>
    <w:rsid w:val="008A5298"/>
    <w:rsid w:val="008A535A"/>
    <w:rsid w:val="008A720F"/>
    <w:rsid w:val="008A7498"/>
    <w:rsid w:val="008A7C72"/>
    <w:rsid w:val="008B04F2"/>
    <w:rsid w:val="008B0D0E"/>
    <w:rsid w:val="008B12BB"/>
    <w:rsid w:val="008B1411"/>
    <w:rsid w:val="008B17A2"/>
    <w:rsid w:val="008B25F2"/>
    <w:rsid w:val="008B2643"/>
    <w:rsid w:val="008B2FAE"/>
    <w:rsid w:val="008B3317"/>
    <w:rsid w:val="008B414B"/>
    <w:rsid w:val="008B4E0E"/>
    <w:rsid w:val="008B4FB9"/>
    <w:rsid w:val="008B5715"/>
    <w:rsid w:val="008B5A2D"/>
    <w:rsid w:val="008B5BC2"/>
    <w:rsid w:val="008B5E54"/>
    <w:rsid w:val="008B60BB"/>
    <w:rsid w:val="008B6732"/>
    <w:rsid w:val="008B68EC"/>
    <w:rsid w:val="008B711E"/>
    <w:rsid w:val="008C042F"/>
    <w:rsid w:val="008C057B"/>
    <w:rsid w:val="008C0CAC"/>
    <w:rsid w:val="008C13B4"/>
    <w:rsid w:val="008C1557"/>
    <w:rsid w:val="008C1B8C"/>
    <w:rsid w:val="008C2306"/>
    <w:rsid w:val="008C26D1"/>
    <w:rsid w:val="008C27DB"/>
    <w:rsid w:val="008C2B7F"/>
    <w:rsid w:val="008C36AC"/>
    <w:rsid w:val="008C3CAD"/>
    <w:rsid w:val="008C45C1"/>
    <w:rsid w:val="008C4953"/>
    <w:rsid w:val="008C4E44"/>
    <w:rsid w:val="008C6255"/>
    <w:rsid w:val="008C684B"/>
    <w:rsid w:val="008C6ABD"/>
    <w:rsid w:val="008C6F18"/>
    <w:rsid w:val="008C7685"/>
    <w:rsid w:val="008D007A"/>
    <w:rsid w:val="008D0250"/>
    <w:rsid w:val="008D07DE"/>
    <w:rsid w:val="008D0831"/>
    <w:rsid w:val="008D0E40"/>
    <w:rsid w:val="008D1259"/>
    <w:rsid w:val="008D1E7F"/>
    <w:rsid w:val="008D2367"/>
    <w:rsid w:val="008D427A"/>
    <w:rsid w:val="008D43CA"/>
    <w:rsid w:val="008D4DD5"/>
    <w:rsid w:val="008D4E3E"/>
    <w:rsid w:val="008D53B0"/>
    <w:rsid w:val="008D5657"/>
    <w:rsid w:val="008D6752"/>
    <w:rsid w:val="008D69E7"/>
    <w:rsid w:val="008D6FC1"/>
    <w:rsid w:val="008D7320"/>
    <w:rsid w:val="008E0140"/>
    <w:rsid w:val="008E0688"/>
    <w:rsid w:val="008E0BEF"/>
    <w:rsid w:val="008E103C"/>
    <w:rsid w:val="008E266D"/>
    <w:rsid w:val="008E2B11"/>
    <w:rsid w:val="008E2F0C"/>
    <w:rsid w:val="008E3E23"/>
    <w:rsid w:val="008E547B"/>
    <w:rsid w:val="008E5DF8"/>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8F7F94"/>
    <w:rsid w:val="00900947"/>
    <w:rsid w:val="00900EB8"/>
    <w:rsid w:val="00900FBA"/>
    <w:rsid w:val="0090240E"/>
    <w:rsid w:val="00902E5B"/>
    <w:rsid w:val="00903FD9"/>
    <w:rsid w:val="00904083"/>
    <w:rsid w:val="00904CF5"/>
    <w:rsid w:val="00905259"/>
    <w:rsid w:val="0090556C"/>
    <w:rsid w:val="00905633"/>
    <w:rsid w:val="00905EAE"/>
    <w:rsid w:val="009060C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3463"/>
    <w:rsid w:val="00925238"/>
    <w:rsid w:val="00925ACF"/>
    <w:rsid w:val="0092615D"/>
    <w:rsid w:val="00926546"/>
    <w:rsid w:val="009265A1"/>
    <w:rsid w:val="00927700"/>
    <w:rsid w:val="0093036E"/>
    <w:rsid w:val="00931224"/>
    <w:rsid w:val="0093264C"/>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5AD1"/>
    <w:rsid w:val="00946ECB"/>
    <w:rsid w:val="00947268"/>
    <w:rsid w:val="0094750E"/>
    <w:rsid w:val="00947C94"/>
    <w:rsid w:val="009507C8"/>
    <w:rsid w:val="0095115E"/>
    <w:rsid w:val="0095118A"/>
    <w:rsid w:val="00952468"/>
    <w:rsid w:val="00954767"/>
    <w:rsid w:val="0095487A"/>
    <w:rsid w:val="009548FB"/>
    <w:rsid w:val="0095538B"/>
    <w:rsid w:val="009575B9"/>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761"/>
    <w:rsid w:val="0097216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4E7"/>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6CB5"/>
    <w:rsid w:val="0099719E"/>
    <w:rsid w:val="009A0169"/>
    <w:rsid w:val="009A1B56"/>
    <w:rsid w:val="009A2A8A"/>
    <w:rsid w:val="009A3C93"/>
    <w:rsid w:val="009A3FD0"/>
    <w:rsid w:val="009A51C7"/>
    <w:rsid w:val="009A56AD"/>
    <w:rsid w:val="009A59EC"/>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C04EE"/>
    <w:rsid w:val="009C0CD4"/>
    <w:rsid w:val="009C15E7"/>
    <w:rsid w:val="009C17C8"/>
    <w:rsid w:val="009C385B"/>
    <w:rsid w:val="009C3E3C"/>
    <w:rsid w:val="009C4353"/>
    <w:rsid w:val="009C49C2"/>
    <w:rsid w:val="009C4E2D"/>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CA5"/>
    <w:rsid w:val="009D7DE3"/>
    <w:rsid w:val="009E004A"/>
    <w:rsid w:val="009E066B"/>
    <w:rsid w:val="009E13D3"/>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1D7F"/>
    <w:rsid w:val="009F245B"/>
    <w:rsid w:val="009F25E6"/>
    <w:rsid w:val="009F2BE8"/>
    <w:rsid w:val="009F2F09"/>
    <w:rsid w:val="009F39A7"/>
    <w:rsid w:val="009F3F8A"/>
    <w:rsid w:val="009F40B7"/>
    <w:rsid w:val="009F4188"/>
    <w:rsid w:val="009F4302"/>
    <w:rsid w:val="009F4393"/>
    <w:rsid w:val="009F4BE9"/>
    <w:rsid w:val="009F5684"/>
    <w:rsid w:val="009F62D3"/>
    <w:rsid w:val="00A00112"/>
    <w:rsid w:val="00A008B5"/>
    <w:rsid w:val="00A017B4"/>
    <w:rsid w:val="00A01C53"/>
    <w:rsid w:val="00A01D38"/>
    <w:rsid w:val="00A02414"/>
    <w:rsid w:val="00A025B9"/>
    <w:rsid w:val="00A0355C"/>
    <w:rsid w:val="00A038A1"/>
    <w:rsid w:val="00A03A13"/>
    <w:rsid w:val="00A040CD"/>
    <w:rsid w:val="00A04429"/>
    <w:rsid w:val="00A06446"/>
    <w:rsid w:val="00A06697"/>
    <w:rsid w:val="00A06C40"/>
    <w:rsid w:val="00A10586"/>
    <w:rsid w:val="00A10A48"/>
    <w:rsid w:val="00A110DA"/>
    <w:rsid w:val="00A1132B"/>
    <w:rsid w:val="00A11930"/>
    <w:rsid w:val="00A11B54"/>
    <w:rsid w:val="00A11CDC"/>
    <w:rsid w:val="00A1238C"/>
    <w:rsid w:val="00A1263D"/>
    <w:rsid w:val="00A12AF2"/>
    <w:rsid w:val="00A12D8A"/>
    <w:rsid w:val="00A12E6C"/>
    <w:rsid w:val="00A136D0"/>
    <w:rsid w:val="00A13D1A"/>
    <w:rsid w:val="00A14D13"/>
    <w:rsid w:val="00A14DC2"/>
    <w:rsid w:val="00A14DD6"/>
    <w:rsid w:val="00A15D5E"/>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31CE0"/>
    <w:rsid w:val="00A31FA9"/>
    <w:rsid w:val="00A333BF"/>
    <w:rsid w:val="00A33825"/>
    <w:rsid w:val="00A3398F"/>
    <w:rsid w:val="00A35583"/>
    <w:rsid w:val="00A363EF"/>
    <w:rsid w:val="00A36596"/>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050"/>
    <w:rsid w:val="00A45EC4"/>
    <w:rsid w:val="00A47212"/>
    <w:rsid w:val="00A474EA"/>
    <w:rsid w:val="00A47FDC"/>
    <w:rsid w:val="00A501B2"/>
    <w:rsid w:val="00A5034A"/>
    <w:rsid w:val="00A50FFA"/>
    <w:rsid w:val="00A52C1A"/>
    <w:rsid w:val="00A539D1"/>
    <w:rsid w:val="00A54DAE"/>
    <w:rsid w:val="00A56D3B"/>
    <w:rsid w:val="00A57450"/>
    <w:rsid w:val="00A57479"/>
    <w:rsid w:val="00A57C08"/>
    <w:rsid w:val="00A600D9"/>
    <w:rsid w:val="00A604CD"/>
    <w:rsid w:val="00A618C1"/>
    <w:rsid w:val="00A637A0"/>
    <w:rsid w:val="00A63ECD"/>
    <w:rsid w:val="00A64093"/>
    <w:rsid w:val="00A640EB"/>
    <w:rsid w:val="00A64815"/>
    <w:rsid w:val="00A65043"/>
    <w:rsid w:val="00A66DF9"/>
    <w:rsid w:val="00A704E4"/>
    <w:rsid w:val="00A7136A"/>
    <w:rsid w:val="00A71C44"/>
    <w:rsid w:val="00A72296"/>
    <w:rsid w:val="00A7388E"/>
    <w:rsid w:val="00A74544"/>
    <w:rsid w:val="00A74548"/>
    <w:rsid w:val="00A74DF2"/>
    <w:rsid w:val="00A74E4D"/>
    <w:rsid w:val="00A75633"/>
    <w:rsid w:val="00A7592E"/>
    <w:rsid w:val="00A76C1F"/>
    <w:rsid w:val="00A803FC"/>
    <w:rsid w:val="00A8071A"/>
    <w:rsid w:val="00A80DD9"/>
    <w:rsid w:val="00A80FCA"/>
    <w:rsid w:val="00A81CBC"/>
    <w:rsid w:val="00A81E82"/>
    <w:rsid w:val="00A82506"/>
    <w:rsid w:val="00A837CE"/>
    <w:rsid w:val="00A83DB5"/>
    <w:rsid w:val="00A83FBA"/>
    <w:rsid w:val="00A84636"/>
    <w:rsid w:val="00A84FE1"/>
    <w:rsid w:val="00A85080"/>
    <w:rsid w:val="00A85337"/>
    <w:rsid w:val="00A8626D"/>
    <w:rsid w:val="00A86406"/>
    <w:rsid w:val="00A86853"/>
    <w:rsid w:val="00A86B75"/>
    <w:rsid w:val="00A86BAC"/>
    <w:rsid w:val="00A86E75"/>
    <w:rsid w:val="00A86F33"/>
    <w:rsid w:val="00A87AF0"/>
    <w:rsid w:val="00A9065F"/>
    <w:rsid w:val="00A90B0E"/>
    <w:rsid w:val="00A91AA1"/>
    <w:rsid w:val="00A91C8C"/>
    <w:rsid w:val="00A91F0D"/>
    <w:rsid w:val="00A9235A"/>
    <w:rsid w:val="00A92FF7"/>
    <w:rsid w:val="00A93069"/>
    <w:rsid w:val="00A9468F"/>
    <w:rsid w:val="00A9498D"/>
    <w:rsid w:val="00A95335"/>
    <w:rsid w:val="00A9566B"/>
    <w:rsid w:val="00A9657F"/>
    <w:rsid w:val="00A97781"/>
    <w:rsid w:val="00A9797D"/>
    <w:rsid w:val="00AA015F"/>
    <w:rsid w:val="00AA0C3A"/>
    <w:rsid w:val="00AA1723"/>
    <w:rsid w:val="00AA190D"/>
    <w:rsid w:val="00AA1FDD"/>
    <w:rsid w:val="00AA22C3"/>
    <w:rsid w:val="00AA230D"/>
    <w:rsid w:val="00AA33E5"/>
    <w:rsid w:val="00AA4941"/>
    <w:rsid w:val="00AA49E9"/>
    <w:rsid w:val="00AA5475"/>
    <w:rsid w:val="00AA5876"/>
    <w:rsid w:val="00AA6A8A"/>
    <w:rsid w:val="00AA6DD8"/>
    <w:rsid w:val="00AA6FA3"/>
    <w:rsid w:val="00AA70BB"/>
    <w:rsid w:val="00AA757C"/>
    <w:rsid w:val="00AA7F10"/>
    <w:rsid w:val="00AB0391"/>
    <w:rsid w:val="00AB2151"/>
    <w:rsid w:val="00AB2C59"/>
    <w:rsid w:val="00AB2C8A"/>
    <w:rsid w:val="00AB42B6"/>
    <w:rsid w:val="00AB4D67"/>
    <w:rsid w:val="00AB545D"/>
    <w:rsid w:val="00AB54D7"/>
    <w:rsid w:val="00AB57D3"/>
    <w:rsid w:val="00AB6886"/>
    <w:rsid w:val="00AB696F"/>
    <w:rsid w:val="00AB6AE4"/>
    <w:rsid w:val="00AB6E00"/>
    <w:rsid w:val="00AB6F37"/>
    <w:rsid w:val="00AB769E"/>
    <w:rsid w:val="00AB7D55"/>
    <w:rsid w:val="00AC0681"/>
    <w:rsid w:val="00AC154B"/>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DC4"/>
    <w:rsid w:val="00AD4FF4"/>
    <w:rsid w:val="00AD531D"/>
    <w:rsid w:val="00AD5D2F"/>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6619"/>
    <w:rsid w:val="00AF6CFD"/>
    <w:rsid w:val="00AF7DC1"/>
    <w:rsid w:val="00B000AE"/>
    <w:rsid w:val="00B0040B"/>
    <w:rsid w:val="00B00830"/>
    <w:rsid w:val="00B00AB5"/>
    <w:rsid w:val="00B00CC0"/>
    <w:rsid w:val="00B00F5C"/>
    <w:rsid w:val="00B019C1"/>
    <w:rsid w:val="00B02093"/>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B7C"/>
    <w:rsid w:val="00B15D15"/>
    <w:rsid w:val="00B15E42"/>
    <w:rsid w:val="00B15EEE"/>
    <w:rsid w:val="00B16198"/>
    <w:rsid w:val="00B16A2C"/>
    <w:rsid w:val="00B16FB6"/>
    <w:rsid w:val="00B17022"/>
    <w:rsid w:val="00B21736"/>
    <w:rsid w:val="00B218B1"/>
    <w:rsid w:val="00B21A33"/>
    <w:rsid w:val="00B22272"/>
    <w:rsid w:val="00B224AA"/>
    <w:rsid w:val="00B22998"/>
    <w:rsid w:val="00B229FE"/>
    <w:rsid w:val="00B2302B"/>
    <w:rsid w:val="00B24363"/>
    <w:rsid w:val="00B2456E"/>
    <w:rsid w:val="00B24979"/>
    <w:rsid w:val="00B250A5"/>
    <w:rsid w:val="00B25651"/>
    <w:rsid w:val="00B26309"/>
    <w:rsid w:val="00B26488"/>
    <w:rsid w:val="00B26937"/>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9B1"/>
    <w:rsid w:val="00B41D70"/>
    <w:rsid w:val="00B41FD8"/>
    <w:rsid w:val="00B420DF"/>
    <w:rsid w:val="00B428E2"/>
    <w:rsid w:val="00B42A2C"/>
    <w:rsid w:val="00B42A5C"/>
    <w:rsid w:val="00B42A98"/>
    <w:rsid w:val="00B42C64"/>
    <w:rsid w:val="00B448EF"/>
    <w:rsid w:val="00B45EFD"/>
    <w:rsid w:val="00B47493"/>
    <w:rsid w:val="00B474C8"/>
    <w:rsid w:val="00B474DF"/>
    <w:rsid w:val="00B47915"/>
    <w:rsid w:val="00B50E18"/>
    <w:rsid w:val="00B513A9"/>
    <w:rsid w:val="00B51568"/>
    <w:rsid w:val="00B51610"/>
    <w:rsid w:val="00B5167B"/>
    <w:rsid w:val="00B520E3"/>
    <w:rsid w:val="00B52336"/>
    <w:rsid w:val="00B5388C"/>
    <w:rsid w:val="00B55CED"/>
    <w:rsid w:val="00B55D57"/>
    <w:rsid w:val="00B55E9D"/>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355"/>
    <w:rsid w:val="00B70C61"/>
    <w:rsid w:val="00B70E5A"/>
    <w:rsid w:val="00B7220D"/>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6F2A"/>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62C6"/>
    <w:rsid w:val="00BA7EEE"/>
    <w:rsid w:val="00BB2008"/>
    <w:rsid w:val="00BB29DF"/>
    <w:rsid w:val="00BB2CFC"/>
    <w:rsid w:val="00BB34DC"/>
    <w:rsid w:val="00BB35D0"/>
    <w:rsid w:val="00BB3AC4"/>
    <w:rsid w:val="00BB4999"/>
    <w:rsid w:val="00BB4BCD"/>
    <w:rsid w:val="00BB52EB"/>
    <w:rsid w:val="00BB56C7"/>
    <w:rsid w:val="00BB5B62"/>
    <w:rsid w:val="00BB6502"/>
    <w:rsid w:val="00BB6BCD"/>
    <w:rsid w:val="00BB70F9"/>
    <w:rsid w:val="00BB7C9B"/>
    <w:rsid w:val="00BC1527"/>
    <w:rsid w:val="00BC2306"/>
    <w:rsid w:val="00BC2F31"/>
    <w:rsid w:val="00BC4036"/>
    <w:rsid w:val="00BC4F0A"/>
    <w:rsid w:val="00BC509F"/>
    <w:rsid w:val="00BC51D2"/>
    <w:rsid w:val="00BC64BE"/>
    <w:rsid w:val="00BC6F7E"/>
    <w:rsid w:val="00BC7155"/>
    <w:rsid w:val="00BC7550"/>
    <w:rsid w:val="00BD0B72"/>
    <w:rsid w:val="00BD110D"/>
    <w:rsid w:val="00BD2668"/>
    <w:rsid w:val="00BD3924"/>
    <w:rsid w:val="00BD450F"/>
    <w:rsid w:val="00BD4512"/>
    <w:rsid w:val="00BD52AA"/>
    <w:rsid w:val="00BE1061"/>
    <w:rsid w:val="00BE1110"/>
    <w:rsid w:val="00BE1321"/>
    <w:rsid w:val="00BE2893"/>
    <w:rsid w:val="00BE2EB4"/>
    <w:rsid w:val="00BE2F5A"/>
    <w:rsid w:val="00BE37D3"/>
    <w:rsid w:val="00BE522A"/>
    <w:rsid w:val="00BE57B5"/>
    <w:rsid w:val="00BE7A7C"/>
    <w:rsid w:val="00BF0A44"/>
    <w:rsid w:val="00BF0CEC"/>
    <w:rsid w:val="00BF1A44"/>
    <w:rsid w:val="00BF1EDF"/>
    <w:rsid w:val="00BF487A"/>
    <w:rsid w:val="00BF4D3D"/>
    <w:rsid w:val="00BF5B8C"/>
    <w:rsid w:val="00BF63B9"/>
    <w:rsid w:val="00BF66B7"/>
    <w:rsid w:val="00BF6A68"/>
    <w:rsid w:val="00BF6FC6"/>
    <w:rsid w:val="00BF7152"/>
    <w:rsid w:val="00BF73F0"/>
    <w:rsid w:val="00BF75B1"/>
    <w:rsid w:val="00BF75C9"/>
    <w:rsid w:val="00BF7BD3"/>
    <w:rsid w:val="00C00352"/>
    <w:rsid w:val="00C007CE"/>
    <w:rsid w:val="00C00A22"/>
    <w:rsid w:val="00C00F18"/>
    <w:rsid w:val="00C01D39"/>
    <w:rsid w:val="00C0200C"/>
    <w:rsid w:val="00C020A8"/>
    <w:rsid w:val="00C034A4"/>
    <w:rsid w:val="00C03DD0"/>
    <w:rsid w:val="00C04445"/>
    <w:rsid w:val="00C04705"/>
    <w:rsid w:val="00C04A7F"/>
    <w:rsid w:val="00C04E2B"/>
    <w:rsid w:val="00C051AA"/>
    <w:rsid w:val="00C060A0"/>
    <w:rsid w:val="00C07187"/>
    <w:rsid w:val="00C075C9"/>
    <w:rsid w:val="00C07FAD"/>
    <w:rsid w:val="00C106C4"/>
    <w:rsid w:val="00C111EA"/>
    <w:rsid w:val="00C119AD"/>
    <w:rsid w:val="00C1228D"/>
    <w:rsid w:val="00C13FED"/>
    <w:rsid w:val="00C14E7D"/>
    <w:rsid w:val="00C15722"/>
    <w:rsid w:val="00C16897"/>
    <w:rsid w:val="00C200C9"/>
    <w:rsid w:val="00C218FD"/>
    <w:rsid w:val="00C21D8E"/>
    <w:rsid w:val="00C22525"/>
    <w:rsid w:val="00C23DBB"/>
    <w:rsid w:val="00C23FE1"/>
    <w:rsid w:val="00C2410D"/>
    <w:rsid w:val="00C24BAF"/>
    <w:rsid w:val="00C25F8B"/>
    <w:rsid w:val="00C25FB5"/>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1F9"/>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47748"/>
    <w:rsid w:val="00C5044B"/>
    <w:rsid w:val="00C506BD"/>
    <w:rsid w:val="00C50E55"/>
    <w:rsid w:val="00C51426"/>
    <w:rsid w:val="00C51622"/>
    <w:rsid w:val="00C51BAD"/>
    <w:rsid w:val="00C51FB3"/>
    <w:rsid w:val="00C5223C"/>
    <w:rsid w:val="00C52A35"/>
    <w:rsid w:val="00C53213"/>
    <w:rsid w:val="00C53917"/>
    <w:rsid w:val="00C541DE"/>
    <w:rsid w:val="00C54579"/>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6DE"/>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906"/>
    <w:rsid w:val="00C76B7C"/>
    <w:rsid w:val="00C76CC7"/>
    <w:rsid w:val="00C76F81"/>
    <w:rsid w:val="00C776A4"/>
    <w:rsid w:val="00C77800"/>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87EDA"/>
    <w:rsid w:val="00C90601"/>
    <w:rsid w:val="00C90D16"/>
    <w:rsid w:val="00C9116A"/>
    <w:rsid w:val="00C9265D"/>
    <w:rsid w:val="00C92824"/>
    <w:rsid w:val="00C937BA"/>
    <w:rsid w:val="00C949FC"/>
    <w:rsid w:val="00C955F7"/>
    <w:rsid w:val="00C960CF"/>
    <w:rsid w:val="00C96672"/>
    <w:rsid w:val="00C96678"/>
    <w:rsid w:val="00C96772"/>
    <w:rsid w:val="00C96CFA"/>
    <w:rsid w:val="00C96E5A"/>
    <w:rsid w:val="00C96EB5"/>
    <w:rsid w:val="00C97913"/>
    <w:rsid w:val="00CA0257"/>
    <w:rsid w:val="00CA0917"/>
    <w:rsid w:val="00CA102B"/>
    <w:rsid w:val="00CA283D"/>
    <w:rsid w:val="00CA29D1"/>
    <w:rsid w:val="00CA2DD6"/>
    <w:rsid w:val="00CA3247"/>
    <w:rsid w:val="00CA3752"/>
    <w:rsid w:val="00CA3999"/>
    <w:rsid w:val="00CA39C0"/>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AF9"/>
    <w:rsid w:val="00CC20E0"/>
    <w:rsid w:val="00CC2818"/>
    <w:rsid w:val="00CC2F7A"/>
    <w:rsid w:val="00CC3A70"/>
    <w:rsid w:val="00CC4033"/>
    <w:rsid w:val="00CC40B8"/>
    <w:rsid w:val="00CC5444"/>
    <w:rsid w:val="00CC5631"/>
    <w:rsid w:val="00CC62A6"/>
    <w:rsid w:val="00CC676C"/>
    <w:rsid w:val="00CC7A11"/>
    <w:rsid w:val="00CD04A8"/>
    <w:rsid w:val="00CD051B"/>
    <w:rsid w:val="00CD1DB1"/>
    <w:rsid w:val="00CD22B5"/>
    <w:rsid w:val="00CD22F4"/>
    <w:rsid w:val="00CD25E1"/>
    <w:rsid w:val="00CD367C"/>
    <w:rsid w:val="00CD454A"/>
    <w:rsid w:val="00CD4F54"/>
    <w:rsid w:val="00CD4FFE"/>
    <w:rsid w:val="00CD57FA"/>
    <w:rsid w:val="00CD5A6E"/>
    <w:rsid w:val="00CD711F"/>
    <w:rsid w:val="00CD72AB"/>
    <w:rsid w:val="00CD74A7"/>
    <w:rsid w:val="00CD79B2"/>
    <w:rsid w:val="00CE1301"/>
    <w:rsid w:val="00CE157C"/>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21A5"/>
    <w:rsid w:val="00CF24AB"/>
    <w:rsid w:val="00CF2518"/>
    <w:rsid w:val="00CF2DDE"/>
    <w:rsid w:val="00CF344A"/>
    <w:rsid w:val="00CF39A0"/>
    <w:rsid w:val="00CF3D1C"/>
    <w:rsid w:val="00CF4713"/>
    <w:rsid w:val="00CF4B12"/>
    <w:rsid w:val="00CF58FE"/>
    <w:rsid w:val="00CF5EBE"/>
    <w:rsid w:val="00CF720B"/>
    <w:rsid w:val="00CF783B"/>
    <w:rsid w:val="00CF7D97"/>
    <w:rsid w:val="00CF7EEC"/>
    <w:rsid w:val="00D001C2"/>
    <w:rsid w:val="00D00779"/>
    <w:rsid w:val="00D009D8"/>
    <w:rsid w:val="00D012E1"/>
    <w:rsid w:val="00D01318"/>
    <w:rsid w:val="00D01665"/>
    <w:rsid w:val="00D01D1E"/>
    <w:rsid w:val="00D01DD6"/>
    <w:rsid w:val="00D02580"/>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C15"/>
    <w:rsid w:val="00D15CB3"/>
    <w:rsid w:val="00D15F51"/>
    <w:rsid w:val="00D16ED5"/>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27B1E"/>
    <w:rsid w:val="00D30718"/>
    <w:rsid w:val="00D30C0C"/>
    <w:rsid w:val="00D322FB"/>
    <w:rsid w:val="00D32475"/>
    <w:rsid w:val="00D32EF4"/>
    <w:rsid w:val="00D33F81"/>
    <w:rsid w:val="00D34850"/>
    <w:rsid w:val="00D35060"/>
    <w:rsid w:val="00D369D4"/>
    <w:rsid w:val="00D36AD7"/>
    <w:rsid w:val="00D373E9"/>
    <w:rsid w:val="00D37C61"/>
    <w:rsid w:val="00D403FF"/>
    <w:rsid w:val="00D404C4"/>
    <w:rsid w:val="00D40C02"/>
    <w:rsid w:val="00D40CE9"/>
    <w:rsid w:val="00D42115"/>
    <w:rsid w:val="00D42EFD"/>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404F"/>
    <w:rsid w:val="00D55235"/>
    <w:rsid w:val="00D55D78"/>
    <w:rsid w:val="00D56916"/>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86C"/>
    <w:rsid w:val="00D719EF"/>
    <w:rsid w:val="00D72327"/>
    <w:rsid w:val="00D727E0"/>
    <w:rsid w:val="00D72B87"/>
    <w:rsid w:val="00D72C72"/>
    <w:rsid w:val="00D74160"/>
    <w:rsid w:val="00D75D22"/>
    <w:rsid w:val="00D75DA5"/>
    <w:rsid w:val="00D76C58"/>
    <w:rsid w:val="00D76CF2"/>
    <w:rsid w:val="00D76E7C"/>
    <w:rsid w:val="00D77F6E"/>
    <w:rsid w:val="00D80B40"/>
    <w:rsid w:val="00D8155B"/>
    <w:rsid w:val="00D816D5"/>
    <w:rsid w:val="00D81E79"/>
    <w:rsid w:val="00D81FEA"/>
    <w:rsid w:val="00D825A5"/>
    <w:rsid w:val="00D825B7"/>
    <w:rsid w:val="00D8290E"/>
    <w:rsid w:val="00D82AD1"/>
    <w:rsid w:val="00D82E6E"/>
    <w:rsid w:val="00D83040"/>
    <w:rsid w:val="00D8323B"/>
    <w:rsid w:val="00D83489"/>
    <w:rsid w:val="00D83D13"/>
    <w:rsid w:val="00D841AC"/>
    <w:rsid w:val="00D8589D"/>
    <w:rsid w:val="00D85A81"/>
    <w:rsid w:val="00D86466"/>
    <w:rsid w:val="00D86997"/>
    <w:rsid w:val="00D870E8"/>
    <w:rsid w:val="00D871D7"/>
    <w:rsid w:val="00D87423"/>
    <w:rsid w:val="00D87452"/>
    <w:rsid w:val="00D87485"/>
    <w:rsid w:val="00D87874"/>
    <w:rsid w:val="00D907CB"/>
    <w:rsid w:val="00D91BF2"/>
    <w:rsid w:val="00D9332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1A06"/>
    <w:rsid w:val="00DA2FD5"/>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A2B"/>
    <w:rsid w:val="00DB6F45"/>
    <w:rsid w:val="00DB72B7"/>
    <w:rsid w:val="00DB7546"/>
    <w:rsid w:val="00DB782D"/>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3CFC"/>
    <w:rsid w:val="00DC4D1D"/>
    <w:rsid w:val="00DC4D87"/>
    <w:rsid w:val="00DC54EB"/>
    <w:rsid w:val="00DC580A"/>
    <w:rsid w:val="00DC5B50"/>
    <w:rsid w:val="00DC66BC"/>
    <w:rsid w:val="00DC727F"/>
    <w:rsid w:val="00DC7764"/>
    <w:rsid w:val="00DC7E78"/>
    <w:rsid w:val="00DD0493"/>
    <w:rsid w:val="00DD0924"/>
    <w:rsid w:val="00DD0CBF"/>
    <w:rsid w:val="00DD1071"/>
    <w:rsid w:val="00DD12FD"/>
    <w:rsid w:val="00DD1576"/>
    <w:rsid w:val="00DD1D31"/>
    <w:rsid w:val="00DD2893"/>
    <w:rsid w:val="00DD4717"/>
    <w:rsid w:val="00DD4F74"/>
    <w:rsid w:val="00DD531F"/>
    <w:rsid w:val="00DD556C"/>
    <w:rsid w:val="00DD5737"/>
    <w:rsid w:val="00DD5E81"/>
    <w:rsid w:val="00DD6C46"/>
    <w:rsid w:val="00DD6C7A"/>
    <w:rsid w:val="00DD6CB2"/>
    <w:rsid w:val="00DD6F44"/>
    <w:rsid w:val="00DD7CCA"/>
    <w:rsid w:val="00DE0BDE"/>
    <w:rsid w:val="00DE10CF"/>
    <w:rsid w:val="00DE1270"/>
    <w:rsid w:val="00DE1E1E"/>
    <w:rsid w:val="00DE223E"/>
    <w:rsid w:val="00DE27C6"/>
    <w:rsid w:val="00DE2D33"/>
    <w:rsid w:val="00DE34EB"/>
    <w:rsid w:val="00DE3592"/>
    <w:rsid w:val="00DE3E78"/>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6EE"/>
    <w:rsid w:val="00E2792D"/>
    <w:rsid w:val="00E30828"/>
    <w:rsid w:val="00E30B37"/>
    <w:rsid w:val="00E3109C"/>
    <w:rsid w:val="00E311D1"/>
    <w:rsid w:val="00E31C2D"/>
    <w:rsid w:val="00E32432"/>
    <w:rsid w:val="00E32E02"/>
    <w:rsid w:val="00E33B1E"/>
    <w:rsid w:val="00E34277"/>
    <w:rsid w:val="00E3621B"/>
    <w:rsid w:val="00E36F43"/>
    <w:rsid w:val="00E37F0C"/>
    <w:rsid w:val="00E40ADF"/>
    <w:rsid w:val="00E418E3"/>
    <w:rsid w:val="00E423DE"/>
    <w:rsid w:val="00E42F07"/>
    <w:rsid w:val="00E4370F"/>
    <w:rsid w:val="00E4441D"/>
    <w:rsid w:val="00E453AB"/>
    <w:rsid w:val="00E462E6"/>
    <w:rsid w:val="00E463A0"/>
    <w:rsid w:val="00E47839"/>
    <w:rsid w:val="00E51CDE"/>
    <w:rsid w:val="00E5210B"/>
    <w:rsid w:val="00E53631"/>
    <w:rsid w:val="00E5388F"/>
    <w:rsid w:val="00E54239"/>
    <w:rsid w:val="00E54272"/>
    <w:rsid w:val="00E542BC"/>
    <w:rsid w:val="00E54521"/>
    <w:rsid w:val="00E54617"/>
    <w:rsid w:val="00E5484B"/>
    <w:rsid w:val="00E56023"/>
    <w:rsid w:val="00E56D6E"/>
    <w:rsid w:val="00E56FEF"/>
    <w:rsid w:val="00E577F9"/>
    <w:rsid w:val="00E57FB5"/>
    <w:rsid w:val="00E60F14"/>
    <w:rsid w:val="00E61B23"/>
    <w:rsid w:val="00E625BE"/>
    <w:rsid w:val="00E6284B"/>
    <w:rsid w:val="00E62D07"/>
    <w:rsid w:val="00E62DF6"/>
    <w:rsid w:val="00E63A22"/>
    <w:rsid w:val="00E63B8F"/>
    <w:rsid w:val="00E646B5"/>
    <w:rsid w:val="00E65427"/>
    <w:rsid w:val="00E6543F"/>
    <w:rsid w:val="00E661C0"/>
    <w:rsid w:val="00E663F5"/>
    <w:rsid w:val="00E66E97"/>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65B8"/>
    <w:rsid w:val="00E770F2"/>
    <w:rsid w:val="00E77EAC"/>
    <w:rsid w:val="00E81069"/>
    <w:rsid w:val="00E817AD"/>
    <w:rsid w:val="00E817EF"/>
    <w:rsid w:val="00E8184F"/>
    <w:rsid w:val="00E828D5"/>
    <w:rsid w:val="00E82D81"/>
    <w:rsid w:val="00E83259"/>
    <w:rsid w:val="00E839BE"/>
    <w:rsid w:val="00E83CAC"/>
    <w:rsid w:val="00E84C89"/>
    <w:rsid w:val="00E8519B"/>
    <w:rsid w:val="00E85E56"/>
    <w:rsid w:val="00E860DD"/>
    <w:rsid w:val="00E8713D"/>
    <w:rsid w:val="00E90329"/>
    <w:rsid w:val="00E910D5"/>
    <w:rsid w:val="00E922C4"/>
    <w:rsid w:val="00E943AE"/>
    <w:rsid w:val="00E947B0"/>
    <w:rsid w:val="00E95D82"/>
    <w:rsid w:val="00E95F21"/>
    <w:rsid w:val="00E96273"/>
    <w:rsid w:val="00E96E97"/>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693B"/>
    <w:rsid w:val="00EB7BA9"/>
    <w:rsid w:val="00EB7D75"/>
    <w:rsid w:val="00EC0B20"/>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74DB"/>
    <w:rsid w:val="00ED7966"/>
    <w:rsid w:val="00EE01CC"/>
    <w:rsid w:val="00EE0495"/>
    <w:rsid w:val="00EE04EE"/>
    <w:rsid w:val="00EE1760"/>
    <w:rsid w:val="00EE287D"/>
    <w:rsid w:val="00EE3B32"/>
    <w:rsid w:val="00EE3CFF"/>
    <w:rsid w:val="00EE3F39"/>
    <w:rsid w:val="00EE414C"/>
    <w:rsid w:val="00EE44FE"/>
    <w:rsid w:val="00EE5406"/>
    <w:rsid w:val="00EE5EF8"/>
    <w:rsid w:val="00EE6964"/>
    <w:rsid w:val="00EE6A1D"/>
    <w:rsid w:val="00EE6D18"/>
    <w:rsid w:val="00EE7E7A"/>
    <w:rsid w:val="00EF1230"/>
    <w:rsid w:val="00EF223B"/>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6E0B"/>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182B"/>
    <w:rsid w:val="00F22337"/>
    <w:rsid w:val="00F22D65"/>
    <w:rsid w:val="00F23175"/>
    <w:rsid w:val="00F23FB0"/>
    <w:rsid w:val="00F2480A"/>
    <w:rsid w:val="00F24891"/>
    <w:rsid w:val="00F24B9F"/>
    <w:rsid w:val="00F24CA6"/>
    <w:rsid w:val="00F256AE"/>
    <w:rsid w:val="00F25773"/>
    <w:rsid w:val="00F257FA"/>
    <w:rsid w:val="00F26004"/>
    <w:rsid w:val="00F270E8"/>
    <w:rsid w:val="00F27E5C"/>
    <w:rsid w:val="00F27EF5"/>
    <w:rsid w:val="00F27FDB"/>
    <w:rsid w:val="00F30251"/>
    <w:rsid w:val="00F305CC"/>
    <w:rsid w:val="00F3179A"/>
    <w:rsid w:val="00F31D54"/>
    <w:rsid w:val="00F32357"/>
    <w:rsid w:val="00F32C70"/>
    <w:rsid w:val="00F34E02"/>
    <w:rsid w:val="00F3549E"/>
    <w:rsid w:val="00F365A7"/>
    <w:rsid w:val="00F3681C"/>
    <w:rsid w:val="00F3769D"/>
    <w:rsid w:val="00F404F4"/>
    <w:rsid w:val="00F4143E"/>
    <w:rsid w:val="00F41CC5"/>
    <w:rsid w:val="00F41D25"/>
    <w:rsid w:val="00F42307"/>
    <w:rsid w:val="00F423C2"/>
    <w:rsid w:val="00F433F8"/>
    <w:rsid w:val="00F433FE"/>
    <w:rsid w:val="00F435CE"/>
    <w:rsid w:val="00F43627"/>
    <w:rsid w:val="00F43781"/>
    <w:rsid w:val="00F4463C"/>
    <w:rsid w:val="00F473A5"/>
    <w:rsid w:val="00F473F3"/>
    <w:rsid w:val="00F474B8"/>
    <w:rsid w:val="00F478CA"/>
    <w:rsid w:val="00F47CE2"/>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736B"/>
    <w:rsid w:val="00F57880"/>
    <w:rsid w:val="00F608AB"/>
    <w:rsid w:val="00F60BE7"/>
    <w:rsid w:val="00F6159C"/>
    <w:rsid w:val="00F61714"/>
    <w:rsid w:val="00F618B6"/>
    <w:rsid w:val="00F6238F"/>
    <w:rsid w:val="00F63E59"/>
    <w:rsid w:val="00F64A51"/>
    <w:rsid w:val="00F64BE0"/>
    <w:rsid w:val="00F65B68"/>
    <w:rsid w:val="00F67846"/>
    <w:rsid w:val="00F67B42"/>
    <w:rsid w:val="00F70B72"/>
    <w:rsid w:val="00F70DEF"/>
    <w:rsid w:val="00F70EA3"/>
    <w:rsid w:val="00F71398"/>
    <w:rsid w:val="00F7294C"/>
    <w:rsid w:val="00F72C5F"/>
    <w:rsid w:val="00F73549"/>
    <w:rsid w:val="00F75782"/>
    <w:rsid w:val="00F80C1D"/>
    <w:rsid w:val="00F81130"/>
    <w:rsid w:val="00F818F7"/>
    <w:rsid w:val="00F81C5F"/>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59C"/>
    <w:rsid w:val="00F90B12"/>
    <w:rsid w:val="00F90CBD"/>
    <w:rsid w:val="00F9109E"/>
    <w:rsid w:val="00F9177E"/>
    <w:rsid w:val="00F91E4F"/>
    <w:rsid w:val="00F91FDF"/>
    <w:rsid w:val="00F92AA1"/>
    <w:rsid w:val="00F92FDC"/>
    <w:rsid w:val="00F931D2"/>
    <w:rsid w:val="00F93431"/>
    <w:rsid w:val="00F93A4A"/>
    <w:rsid w:val="00F93D27"/>
    <w:rsid w:val="00F9437E"/>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980"/>
    <w:rsid w:val="00FA6CDF"/>
    <w:rsid w:val="00FA7192"/>
    <w:rsid w:val="00FA7699"/>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382"/>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5BAB"/>
    <w:rsid w:val="00FC62F5"/>
    <w:rsid w:val="00FC731E"/>
    <w:rsid w:val="00FD035A"/>
    <w:rsid w:val="00FD19F1"/>
    <w:rsid w:val="00FD1A7E"/>
    <w:rsid w:val="00FD2CC3"/>
    <w:rsid w:val="00FD31BF"/>
    <w:rsid w:val="00FD3CC7"/>
    <w:rsid w:val="00FD4148"/>
    <w:rsid w:val="00FD4D5B"/>
    <w:rsid w:val="00FD6453"/>
    <w:rsid w:val="00FD67FD"/>
    <w:rsid w:val="00FD744D"/>
    <w:rsid w:val="00FD7CB2"/>
    <w:rsid w:val="00FD7D46"/>
    <w:rsid w:val="00FD7D8B"/>
    <w:rsid w:val="00FE0491"/>
    <w:rsid w:val="00FE0AF2"/>
    <w:rsid w:val="00FE159D"/>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A0"/>
    <w:rsid w:val="00FF3F6C"/>
    <w:rsid w:val="00FF4603"/>
    <w:rsid w:val="00FF4AA5"/>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3DD7"/>
  <w14:defaultImageDpi w14:val="330"/>
  <w15:docId w15:val="{676FEEDC-E913-4396-AF3F-4ED62862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88"/>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585FD0"/>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autoRedefine/>
    <w:qFormat/>
    <w:rsid w:val="00AB696F"/>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FD0"/>
    <w:rPr>
      <w:rFonts w:ascii="Georgia" w:eastAsiaTheme="majorEastAsia" w:hAnsi="Georgia" w:cstheme="majorBidi"/>
      <w:b/>
      <w:bCs/>
      <w:color w:val="1B556B"/>
      <w:sz w:val="48"/>
      <w:szCs w:val="28"/>
      <w:lang w:eastAsia="en-NZ"/>
    </w:rPr>
  </w:style>
  <w:style w:type="character" w:customStyle="1" w:styleId="Heading2Char">
    <w:name w:val="Heading 2 Char"/>
    <w:basedOn w:val="DefaultParagraphFont"/>
    <w:link w:val="Heading2"/>
    <w:rsid w:val="00AB696F"/>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34"/>
      </w:numPr>
      <w:tabs>
        <w:tab w:val="left" w:pos="397"/>
      </w:tabs>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uiPriority w:val="99"/>
    <w:qFormat/>
    <w:rsid w:val="002A533C"/>
    <w:pPr>
      <w:numPr>
        <w:numId w:val="4"/>
      </w:numPr>
      <w:tabs>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qFormat/>
    <w:rsid w:val="00A52C1A"/>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A52C1A"/>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qFormat/>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jc w:val="left"/>
    </w:pPr>
  </w:style>
  <w:style w:type="paragraph" w:customStyle="1" w:styleId="Sub-lista">
    <w:name w:val="Sub-list a"/>
    <w:aliases w:val="b"/>
    <w:basedOn w:val="Normal"/>
    <w:uiPriority w:val="2"/>
    <w:rsid w:val="008D53B0"/>
    <w:pPr>
      <w:numPr>
        <w:numId w:val="6"/>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8166E9"/>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Normal"/>
    <w:semiHidden/>
    <w:rsid w:val="008B5E54"/>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B5E54"/>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33"/>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2"/>
      </w:numPr>
      <w:tabs>
        <w:tab w:val="left" w:pos="680"/>
      </w:tabs>
      <w:spacing w:before="0"/>
      <w:ind w:left="681" w:hanging="397"/>
    </w:pPr>
    <w:rPr>
      <w:rFonts w:cs="Times New Roman"/>
      <w:szCs w:val="20"/>
    </w:rPr>
  </w:style>
  <w:style w:type="paragraph" w:customStyle="1" w:styleId="Boxheading0">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36"/>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character" w:styleId="UnresolvedMention">
    <w:name w:val="Unresolved Mention"/>
    <w:basedOn w:val="DefaultParagraphFont"/>
    <w:uiPriority w:val="99"/>
    <w:semiHidden/>
    <w:unhideWhenUsed/>
    <w:rsid w:val="00563317"/>
    <w:rPr>
      <w:color w:val="605E5C"/>
      <w:shd w:val="clear" w:color="auto" w:fill="E1DFDD"/>
    </w:rPr>
  </w:style>
  <w:style w:type="paragraph" w:styleId="CommentText">
    <w:name w:val="annotation text"/>
    <w:basedOn w:val="Normal"/>
    <w:link w:val="CommentTextChar"/>
    <w:uiPriority w:val="99"/>
    <w:semiHidden/>
    <w:rsid w:val="00456E90"/>
    <w:pPr>
      <w:spacing w:line="240" w:lineRule="auto"/>
    </w:pPr>
    <w:rPr>
      <w:sz w:val="20"/>
      <w:szCs w:val="20"/>
    </w:rPr>
  </w:style>
  <w:style w:type="character" w:customStyle="1" w:styleId="CommentTextChar">
    <w:name w:val="Comment Text Char"/>
    <w:basedOn w:val="DefaultParagraphFont"/>
    <w:link w:val="CommentText"/>
    <w:uiPriority w:val="99"/>
    <w:semiHidden/>
    <w:rsid w:val="00456E90"/>
    <w:rPr>
      <w:rFonts w:ascii="Calibri" w:eastAsiaTheme="minorEastAsia" w:hAnsi="Calibri"/>
      <w:sz w:val="20"/>
      <w:szCs w:val="20"/>
      <w:lang w:eastAsia="en-NZ"/>
    </w:rPr>
  </w:style>
  <w:style w:type="character" w:customStyle="1" w:styleId="normaltextrun">
    <w:name w:val="normaltextrun"/>
    <w:basedOn w:val="DefaultParagraphFont"/>
    <w:rsid w:val="005C37FB"/>
  </w:style>
  <w:style w:type="character" w:styleId="Mention">
    <w:name w:val="Mention"/>
    <w:basedOn w:val="DefaultParagraphFont"/>
    <w:uiPriority w:val="99"/>
    <w:unhideWhenUsed/>
    <w:rsid w:val="00891C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nvironment.govt.nz"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t.nz/publications/efu/half-year-economic-and-fiscal-update-2024" TargetMode="External"/><Relationship Id="rId3" Type="http://schemas.openxmlformats.org/officeDocument/2006/relationships/hyperlink" Target="https://www.legislation.govt.nz/act/public/2002/0040/latest/DLM4970254.html" TargetMode="External"/><Relationship Id="rId7" Type="http://schemas.openxmlformats.org/officeDocument/2006/relationships/hyperlink" Target="https://www.treasury.govt.nz/publications/efu/budget-economic-and-fiscal-update-2025" TargetMode="External"/><Relationship Id="rId2" Type="http://schemas.openxmlformats.org/officeDocument/2006/relationships/hyperlink" Target="https://environment.govt.nz/publications/opportunities-to-improve-new-zealand-emissions-trading-scheme-advisory-frameworks-and-tools/" TargetMode="External"/><Relationship Id="rId1" Type="http://schemas.openxmlformats.org/officeDocument/2006/relationships/hyperlink" Target="https://www.legislation.govt.nz/regulation/public/2020/0264/latest/whole.html" TargetMode="External"/><Relationship Id="rId6" Type="http://schemas.openxmlformats.org/officeDocument/2006/relationships/hyperlink" Target="https://environment.govt.nz/news/updated-emissions-projections-to-2050-released/" TargetMode="External"/><Relationship Id="rId5" Type="http://schemas.openxmlformats.org/officeDocument/2006/relationships/hyperlink" Target="https://environment.govt.nz/what-government-is-doing/cabinet-papers-and-regulatory-impact-statements/2025-update-to-nz-ets-settings-and-regulations/" TargetMode="External"/><Relationship Id="rId4" Type="http://schemas.openxmlformats.org/officeDocument/2006/relationships/hyperlink" Target="https://bills.parliament.nz/v/4/78ae3721-b54e-4ce3-a53b-08dd81d41cca?la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6" ma:contentTypeDescription="Create a new document." ma:contentTypeScope="" ma:versionID="a6187cb36e9ddc3cb4f20afae8441fd1">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e4d8214c9d95d37e906cad22bc8e189b"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ECM-1122293896-127632</_dlc_DocId>
    <_dlc_DocIdUrl xmlns="58a6f171-52cb-4404-b47d-af1c8daf8fd1">
      <Url>https://ministryforenvironment.sharepoint.com/sites/ECM-ER-Comms/_layouts/15/DocIdRedir.aspx?ID=ECM-1122293896-127632</Url>
      <Description>ECM-1122293896-127632</Description>
    </_dlc_DocIdUrl>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879C9-3559-4A2E-B264-6C390BC8A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customXml/itemProps3.xml><?xml version="1.0" encoding="utf-8"?>
<ds:datastoreItem xmlns:ds="http://schemas.openxmlformats.org/officeDocument/2006/customXml" ds:itemID="{E915373F-630C-45C1-9D1D-0033FB98D60B}">
  <ds:schemaRefs>
    <ds:schemaRef ds:uri="http://schemas.microsoft.com/sharepoint/events"/>
  </ds:schemaRefs>
</ds:datastoreItem>
</file>

<file path=customXml/itemProps4.xml><?xml version="1.0" encoding="utf-8"?>
<ds:datastoreItem xmlns:ds="http://schemas.openxmlformats.org/officeDocument/2006/customXml" ds:itemID="{A6ABE385-CC81-41C6-A3F2-1BC9449571F7}">
  <ds:schemaRefs>
    <ds:schemaRef ds:uri="http://schemas.microsoft.com/office/2006/metadata/properties"/>
    <ds:schemaRef ds:uri="http://schemas.microsoft.com/office/infopath/2007/PartnerControls"/>
    <ds:schemaRef ds:uri="4a94300e-a927-4b92-9d3a-682523035cb6"/>
    <ds:schemaRef ds:uri="http://schemas.microsoft.com/sharepoint/v3"/>
    <ds:schemaRef ds:uri="http://schemas.microsoft.com/sharepoint/v4"/>
    <ds:schemaRef ds:uri="58a6f171-52cb-4404-b47d-af1c8daf8fd1"/>
  </ds:schemaRefs>
</ds:datastoreItem>
</file>

<file path=customXml/itemProps5.xml><?xml version="1.0" encoding="utf-8"?>
<ds:datastoreItem xmlns:ds="http://schemas.openxmlformats.org/officeDocument/2006/customXml" ds:itemID="{4D0CDAC4-0417-4665-BFBD-38D6177B7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3583</Words>
  <Characters>19708</Characters>
  <Application>Microsoft Office Word</Application>
  <DocSecurity>0</DocSecurity>
  <Lines>469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23041</CharactersWithSpaces>
  <SharedDoc>false</SharedDoc>
  <HLinks>
    <vt:vector size="102" baseType="variant">
      <vt:variant>
        <vt:i4>1966143</vt:i4>
      </vt:variant>
      <vt:variant>
        <vt:i4>47</vt:i4>
      </vt:variant>
      <vt:variant>
        <vt:i4>0</vt:i4>
      </vt:variant>
      <vt:variant>
        <vt:i4>5</vt:i4>
      </vt:variant>
      <vt:variant>
        <vt:lpwstr/>
      </vt:variant>
      <vt:variant>
        <vt:lpwstr>_Toc211942833</vt:lpwstr>
      </vt:variant>
      <vt:variant>
        <vt:i4>1966143</vt:i4>
      </vt:variant>
      <vt:variant>
        <vt:i4>41</vt:i4>
      </vt:variant>
      <vt:variant>
        <vt:i4>0</vt:i4>
      </vt:variant>
      <vt:variant>
        <vt:i4>5</vt:i4>
      </vt:variant>
      <vt:variant>
        <vt:lpwstr/>
      </vt:variant>
      <vt:variant>
        <vt:lpwstr>_Toc211942832</vt:lpwstr>
      </vt:variant>
      <vt:variant>
        <vt:i4>1966143</vt:i4>
      </vt:variant>
      <vt:variant>
        <vt:i4>35</vt:i4>
      </vt:variant>
      <vt:variant>
        <vt:i4>0</vt:i4>
      </vt:variant>
      <vt:variant>
        <vt:i4>5</vt:i4>
      </vt:variant>
      <vt:variant>
        <vt:lpwstr/>
      </vt:variant>
      <vt:variant>
        <vt:lpwstr>_Toc211942831</vt:lpwstr>
      </vt:variant>
      <vt:variant>
        <vt:i4>1966143</vt:i4>
      </vt:variant>
      <vt:variant>
        <vt:i4>29</vt:i4>
      </vt:variant>
      <vt:variant>
        <vt:i4>0</vt:i4>
      </vt:variant>
      <vt:variant>
        <vt:i4>5</vt:i4>
      </vt:variant>
      <vt:variant>
        <vt:lpwstr/>
      </vt:variant>
      <vt:variant>
        <vt:lpwstr>_Toc211942830</vt:lpwstr>
      </vt:variant>
      <vt:variant>
        <vt:i4>2031679</vt:i4>
      </vt:variant>
      <vt:variant>
        <vt:i4>23</vt:i4>
      </vt:variant>
      <vt:variant>
        <vt:i4>0</vt:i4>
      </vt:variant>
      <vt:variant>
        <vt:i4>5</vt:i4>
      </vt:variant>
      <vt:variant>
        <vt:lpwstr/>
      </vt:variant>
      <vt:variant>
        <vt:lpwstr>_Toc211942829</vt:lpwstr>
      </vt:variant>
      <vt:variant>
        <vt:i4>2031679</vt:i4>
      </vt:variant>
      <vt:variant>
        <vt:i4>17</vt:i4>
      </vt:variant>
      <vt:variant>
        <vt:i4>0</vt:i4>
      </vt:variant>
      <vt:variant>
        <vt:i4>5</vt:i4>
      </vt:variant>
      <vt:variant>
        <vt:lpwstr/>
      </vt:variant>
      <vt:variant>
        <vt:lpwstr>_Toc211942828</vt:lpwstr>
      </vt:variant>
      <vt:variant>
        <vt:i4>2031679</vt:i4>
      </vt:variant>
      <vt:variant>
        <vt:i4>11</vt:i4>
      </vt:variant>
      <vt:variant>
        <vt:i4>0</vt:i4>
      </vt:variant>
      <vt:variant>
        <vt:i4>5</vt:i4>
      </vt:variant>
      <vt:variant>
        <vt:lpwstr/>
      </vt:variant>
      <vt:variant>
        <vt:lpwstr>_Toc211942827</vt:lpwstr>
      </vt:variant>
      <vt:variant>
        <vt:i4>2031679</vt:i4>
      </vt:variant>
      <vt:variant>
        <vt:i4>5</vt:i4>
      </vt:variant>
      <vt:variant>
        <vt:i4>0</vt:i4>
      </vt:variant>
      <vt:variant>
        <vt:i4>5</vt:i4>
      </vt:variant>
      <vt:variant>
        <vt:lpwstr/>
      </vt:variant>
      <vt:variant>
        <vt:lpwstr>_Toc211942826</vt:lpwstr>
      </vt:variant>
      <vt:variant>
        <vt:i4>7340128</vt:i4>
      </vt:variant>
      <vt:variant>
        <vt:i4>0</vt:i4>
      </vt:variant>
      <vt:variant>
        <vt:i4>0</vt:i4>
      </vt:variant>
      <vt:variant>
        <vt:i4>5</vt:i4>
      </vt:variant>
      <vt:variant>
        <vt:lpwstr>http://www.environment.govt.nz/</vt:lpwstr>
      </vt:variant>
      <vt:variant>
        <vt:lpwstr/>
      </vt:variant>
      <vt:variant>
        <vt:i4>7340132</vt:i4>
      </vt:variant>
      <vt:variant>
        <vt:i4>21</vt:i4>
      </vt:variant>
      <vt:variant>
        <vt:i4>0</vt:i4>
      </vt:variant>
      <vt:variant>
        <vt:i4>5</vt:i4>
      </vt:variant>
      <vt:variant>
        <vt:lpwstr>https://www.treasury.govt.nz/publications/efu/half-year-economic-and-fiscal-update-2024</vt:lpwstr>
      </vt:variant>
      <vt:variant>
        <vt:lpwstr/>
      </vt:variant>
      <vt:variant>
        <vt:i4>4587587</vt:i4>
      </vt:variant>
      <vt:variant>
        <vt:i4>18</vt:i4>
      </vt:variant>
      <vt:variant>
        <vt:i4>0</vt:i4>
      </vt:variant>
      <vt:variant>
        <vt:i4>5</vt:i4>
      </vt:variant>
      <vt:variant>
        <vt:lpwstr>https://www.treasury.govt.nz/publications/efu/budget-economic-and-fiscal-update-2025</vt:lpwstr>
      </vt:variant>
      <vt:variant>
        <vt:lpwstr/>
      </vt:variant>
      <vt:variant>
        <vt:i4>262211</vt:i4>
      </vt:variant>
      <vt:variant>
        <vt:i4>15</vt:i4>
      </vt:variant>
      <vt:variant>
        <vt:i4>0</vt:i4>
      </vt:variant>
      <vt:variant>
        <vt:i4>5</vt:i4>
      </vt:variant>
      <vt:variant>
        <vt:lpwstr>https://environment.govt.nz/news/updated-emissions-projections-to-2050-released/</vt:lpwstr>
      </vt:variant>
      <vt:variant>
        <vt:lpwstr/>
      </vt:variant>
      <vt:variant>
        <vt:i4>5439566</vt:i4>
      </vt:variant>
      <vt:variant>
        <vt:i4>12</vt:i4>
      </vt:variant>
      <vt:variant>
        <vt:i4>0</vt:i4>
      </vt:variant>
      <vt:variant>
        <vt:i4>5</vt:i4>
      </vt:variant>
      <vt:variant>
        <vt:lpwstr>https://environment.govt.nz/what-government-is-doing/cabinet-papers-and-regulatory-impact-statements/2025-update-to-nz-ets-settings-and-regulations/</vt:lpwstr>
      </vt:variant>
      <vt:variant>
        <vt:lpwstr/>
      </vt:variant>
      <vt:variant>
        <vt:i4>196676</vt:i4>
      </vt:variant>
      <vt:variant>
        <vt:i4>9</vt:i4>
      </vt:variant>
      <vt:variant>
        <vt:i4>0</vt:i4>
      </vt:variant>
      <vt:variant>
        <vt:i4>5</vt:i4>
      </vt:variant>
      <vt:variant>
        <vt:lpwstr>https://bills.parliament.nz/v/4/78ae3721-b54e-4ce3-a53b-08dd81d41cca?lang=en</vt:lpwstr>
      </vt:variant>
      <vt:variant>
        <vt:lpwstr/>
      </vt:variant>
      <vt:variant>
        <vt:i4>7602284</vt:i4>
      </vt:variant>
      <vt:variant>
        <vt:i4>6</vt:i4>
      </vt:variant>
      <vt:variant>
        <vt:i4>0</vt:i4>
      </vt:variant>
      <vt:variant>
        <vt:i4>5</vt:i4>
      </vt:variant>
      <vt:variant>
        <vt:lpwstr>https://www.legislation.govt.nz/act/public/2002/0040/latest/DLM4970254.html</vt:lpwstr>
      </vt:variant>
      <vt:variant>
        <vt:lpwstr/>
      </vt:variant>
      <vt:variant>
        <vt:i4>5570648</vt:i4>
      </vt:variant>
      <vt:variant>
        <vt:i4>3</vt:i4>
      </vt:variant>
      <vt:variant>
        <vt:i4>0</vt:i4>
      </vt:variant>
      <vt:variant>
        <vt:i4>5</vt:i4>
      </vt:variant>
      <vt:variant>
        <vt:lpwstr>https://environment.govt.nz/publications/opportunities-to-improve-new-zealand-emissions-trading-scheme-advisory-frameworks-and-tools/</vt:lpwstr>
      </vt:variant>
      <vt:variant>
        <vt:lpwstr/>
      </vt:variant>
      <vt:variant>
        <vt:i4>4456479</vt:i4>
      </vt:variant>
      <vt:variant>
        <vt:i4>0</vt:i4>
      </vt:variant>
      <vt:variant>
        <vt:i4>0</vt:i4>
      </vt:variant>
      <vt:variant>
        <vt:i4>5</vt:i4>
      </vt:variant>
      <vt:variant>
        <vt:lpwstr>https://www.legislation.govt.nz/regulation/public/2020/0264/latest/whole.html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dcterms:created xsi:type="dcterms:W3CDTF">2025-10-23T02:16:00Z</dcterms:created>
  <dcterms:modified xsi:type="dcterms:W3CDTF">2025-10-23T02:16:00Z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_dlc_DocIdItemGuid">
    <vt:lpwstr>4f891c49-fd5e-4e99-92d6-3156906c6b22</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FontProps">
    <vt:lpwstr>#000000,9,Calibri</vt:lpwstr>
  </property>
  <property fmtid="{D5CDD505-2E9C-101B-9397-08002B2CF9AE}" pid="7" name="ClassificationContentMarkingHeaderText">
    <vt:lpwstr>[IN-CONFIDENCE]</vt:lpwstr>
  </property>
  <property fmtid="{D5CDD505-2E9C-101B-9397-08002B2CF9AE}" pid="8" name="ClassificationContentMarkingFooterFontProps">
    <vt:lpwstr>#000000,9,Calibri</vt:lpwstr>
  </property>
  <property fmtid="{D5CDD505-2E9C-101B-9397-08002B2CF9AE}" pid="9" name="ClassificationContentMarkingFooterText">
    <vt:lpwstr>[IN-CONFIDENCE]</vt:lpwstr>
  </property>
  <property fmtid="{D5CDD505-2E9C-101B-9397-08002B2CF9AE}" pid="10" name="ClassificationContentMarkingHeaderShapeIds">
    <vt:lpwstr>4a6f9ace,1c523710</vt:lpwstr>
  </property>
  <property fmtid="{D5CDD505-2E9C-101B-9397-08002B2CF9AE}" pid="11" name="ClassificationContentMarkingFooterShapeIds">
    <vt:lpwstr>41bac0f3,257cb6a</vt:lpwstr>
  </property>
  <property fmtid="{D5CDD505-2E9C-101B-9397-08002B2CF9AE}" pid="12" name="MSIP_Label_52dda6cc-d61d-4fd2-bf18-9b3017d931cc_Enabled">
    <vt:lpwstr>true</vt:lpwstr>
  </property>
  <property fmtid="{D5CDD505-2E9C-101B-9397-08002B2CF9AE}" pid="13" name="MSIP_Label_52dda6cc-d61d-4fd2-bf18-9b3017d931cc_SetDate">
    <vt:lpwstr>2025-10-21T19:20:16Z</vt:lpwstr>
  </property>
  <property fmtid="{D5CDD505-2E9C-101B-9397-08002B2CF9AE}" pid="14" name="MSIP_Label_52dda6cc-d61d-4fd2-bf18-9b3017d931cc_Method">
    <vt:lpwstr>Privileged</vt:lpwstr>
  </property>
  <property fmtid="{D5CDD505-2E9C-101B-9397-08002B2CF9AE}" pid="15" name="MSIP_Label_52dda6cc-d61d-4fd2-bf18-9b3017d931cc_Name">
    <vt:lpwstr>[UNCLASSIFIED]</vt:lpwstr>
  </property>
  <property fmtid="{D5CDD505-2E9C-101B-9397-08002B2CF9AE}" pid="16" name="MSIP_Label_52dda6cc-d61d-4fd2-bf18-9b3017d931cc_SiteId">
    <vt:lpwstr>761dd003-d4ff-4049-8a72-8549b20fcbb1</vt:lpwstr>
  </property>
  <property fmtid="{D5CDD505-2E9C-101B-9397-08002B2CF9AE}" pid="17" name="MSIP_Label_52dda6cc-d61d-4fd2-bf18-9b3017d931cc_ActionId">
    <vt:lpwstr>dbad5aab-4ac7-4964-b295-fc66670ed3ff</vt:lpwstr>
  </property>
  <property fmtid="{D5CDD505-2E9C-101B-9397-08002B2CF9AE}" pid="18" name="MSIP_Label_52dda6cc-d61d-4fd2-bf18-9b3017d931cc_ContentBits">
    <vt:lpwstr>0</vt:lpwstr>
  </property>
  <property fmtid="{D5CDD505-2E9C-101B-9397-08002B2CF9AE}" pid="19" name="MSIP_Label_52dda6cc-d61d-4fd2-bf18-9b3017d931cc_Tag">
    <vt:lpwstr>10, 0, 1, 1</vt:lpwstr>
  </property>
</Properties>
</file>