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A5F97" w14:textId="7F5F9B7E" w:rsidR="00B111CA" w:rsidRDefault="00F7285F" w:rsidP="00B111CA">
      <w:pPr>
        <w:pStyle w:val="BodyText"/>
      </w:pPr>
      <w:bookmarkStart w:id="1" w:name="_Hlk149135238"/>
      <w:r w:rsidRPr="005D70A8">
        <w:rPr>
          <w:noProof/>
          <w:sz w:val="2"/>
          <w:szCs w:val="2"/>
        </w:rPr>
        <w:drawing>
          <wp:anchor distT="0" distB="0" distL="114300" distR="114300" simplePos="0" relativeHeight="251658241" behindDoc="1" locked="0" layoutInCell="1" allowOverlap="1" wp14:anchorId="1A687703" wp14:editId="7AE5BFF6">
            <wp:simplePos x="0" y="0"/>
            <wp:positionH relativeFrom="column">
              <wp:posOffset>-932235</wp:posOffset>
            </wp:positionH>
            <wp:positionV relativeFrom="page">
              <wp:posOffset>-23854</wp:posOffset>
            </wp:positionV>
            <wp:extent cx="7688575" cy="2822713"/>
            <wp:effectExtent l="0" t="0" r="8255"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1" r="-144" b="49945"/>
                    <a:stretch/>
                  </pic:blipFill>
                  <pic:spPr bwMode="auto">
                    <a:xfrm>
                      <a:off x="0" y="0"/>
                      <a:ext cx="7689215" cy="2822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E1E15F" w14:textId="77777777" w:rsidR="005A65F5" w:rsidRDefault="005A65F5" w:rsidP="00B111CA">
      <w:pPr>
        <w:pStyle w:val="BodyText"/>
      </w:pPr>
    </w:p>
    <w:p w14:paraId="028FD83A" w14:textId="359FCD13" w:rsidR="00B111CA" w:rsidRDefault="001F31F0" w:rsidP="00B111CA">
      <w:pPr>
        <w:pStyle w:val="Title"/>
      </w:pPr>
      <w:r>
        <w:t>Waste and resource efficiency work programme 2024 to 2026</w:t>
      </w:r>
    </w:p>
    <w:p w14:paraId="79D1D36E" w14:textId="1F97F26D" w:rsidR="00B111CA" w:rsidRDefault="00B111CA" w:rsidP="006A5EBE">
      <w:pPr>
        <w:pStyle w:val="Subtitle"/>
        <w:spacing w:after="360"/>
      </w:pPr>
    </w:p>
    <w:p w14:paraId="01A9208B" w14:textId="04DB3E72" w:rsidR="00C942E5" w:rsidRDefault="00961BD1" w:rsidP="00EE03AB">
      <w:pPr>
        <w:pStyle w:val="Intro"/>
      </w:pPr>
      <w:r w:rsidRPr="00961BD1">
        <w:t xml:space="preserve">Reducing waste and waste emissions can help us reduce environmental impacts and meet our climate targets. The Government’s work programme for 2024 to 2026 will help us achieve the outcomes in the </w:t>
      </w:r>
      <w:hyperlink r:id="rId13" w:history="1">
        <w:r w:rsidRPr="00230AFF">
          <w:rPr>
            <w:rStyle w:val="Hyperlink"/>
            <w:u w:val="single"/>
          </w:rPr>
          <w:t>waste and resource efficiency strategy</w:t>
        </w:r>
      </w:hyperlink>
      <w:r w:rsidR="00AC4282">
        <w:t>.</w:t>
      </w:r>
    </w:p>
    <w:p w14:paraId="50523875" w14:textId="4A7B98F8" w:rsidR="0049196D" w:rsidRPr="002879BE" w:rsidRDefault="006A5EBE" w:rsidP="00A647DA">
      <w:pPr>
        <w:pStyle w:val="Heading2"/>
        <w:spacing w:after="120"/>
      </w:pPr>
      <w:r>
        <w:t xml:space="preserve">Focus area: </w:t>
      </w:r>
      <w:r w:rsidR="0045093C">
        <w:t>E</w:t>
      </w:r>
      <w:r>
        <w:t xml:space="preserve">nsuring fit-for-purpose </w:t>
      </w:r>
      <w:r w:rsidR="0045093C">
        <w:t>waste </w:t>
      </w:r>
      <w:r>
        <w:t>legis</w:t>
      </w:r>
      <w:r w:rsidR="001F61FA">
        <w:t>lation</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963624" w:rsidRPr="0095536B" w14:paraId="7BDB84F3" w14:textId="77777777">
        <w:trPr>
          <w:tblHeader/>
        </w:trPr>
        <w:tc>
          <w:tcPr>
            <w:tcW w:w="3414" w:type="pct"/>
            <w:shd w:val="clear" w:color="auto" w:fill="1B556B" w:themeFill="text2"/>
          </w:tcPr>
          <w:p w14:paraId="1869082C" w14:textId="77777777" w:rsidR="00963624" w:rsidRPr="0095536B" w:rsidRDefault="00963624">
            <w:pPr>
              <w:pStyle w:val="TableTextbold"/>
              <w:rPr>
                <w:color w:val="FFFFFF" w:themeColor="background1"/>
              </w:rPr>
            </w:pPr>
            <w:r>
              <w:rPr>
                <w:color w:val="FFFFFF" w:themeColor="background1"/>
              </w:rPr>
              <w:t>Workstreams</w:t>
            </w:r>
          </w:p>
        </w:tc>
        <w:tc>
          <w:tcPr>
            <w:tcW w:w="1586" w:type="pct"/>
            <w:shd w:val="clear" w:color="auto" w:fill="1B556B" w:themeFill="text2"/>
          </w:tcPr>
          <w:p w14:paraId="106B34F6" w14:textId="77777777" w:rsidR="00963624" w:rsidRPr="0095536B" w:rsidRDefault="00963624">
            <w:pPr>
              <w:pStyle w:val="TableTextbold"/>
              <w:rPr>
                <w:color w:val="FFFFFF" w:themeColor="background1"/>
              </w:rPr>
            </w:pPr>
            <w:r>
              <w:rPr>
                <w:color w:val="FFFFFF" w:themeColor="background1"/>
              </w:rPr>
              <w:t>Timing</w:t>
            </w:r>
          </w:p>
        </w:tc>
      </w:tr>
      <w:tr w:rsidR="00963624" w:rsidRPr="006B77BB" w14:paraId="1CB1B10A" w14:textId="77777777" w:rsidTr="00C75566">
        <w:tc>
          <w:tcPr>
            <w:tcW w:w="5000" w:type="pct"/>
            <w:gridSpan w:val="2"/>
            <w:shd w:val="clear" w:color="auto" w:fill="D9D9D9" w:themeFill="background1" w:themeFillShade="D9"/>
          </w:tcPr>
          <w:p w14:paraId="2F885856" w14:textId="77777777" w:rsidR="00963624" w:rsidRPr="009D16B5" w:rsidRDefault="00963624">
            <w:pPr>
              <w:pStyle w:val="TableText"/>
              <w:rPr>
                <w:b/>
                <w:bCs/>
              </w:rPr>
            </w:pPr>
            <w:r w:rsidRPr="009D16B5">
              <w:rPr>
                <w:b/>
                <w:bCs/>
              </w:rPr>
              <w:t>Implement recent changes established by the Waste Minimisation (Waste Disposal Levy) Amendment Act 2024</w:t>
            </w:r>
          </w:p>
        </w:tc>
      </w:tr>
      <w:tr w:rsidR="00963624" w:rsidRPr="006B77BB" w14:paraId="4C7729EB" w14:textId="77777777">
        <w:tc>
          <w:tcPr>
            <w:tcW w:w="3414" w:type="pct"/>
          </w:tcPr>
          <w:p w14:paraId="003F4B32" w14:textId="77777777" w:rsidR="00D920B8" w:rsidRDefault="00963624">
            <w:pPr>
              <w:pStyle w:val="TableBullet"/>
            </w:pPr>
            <w:r w:rsidRPr="009D16B5">
              <w:t>Changes made to the Waste Minimisation Act include</w:t>
            </w:r>
            <w:r w:rsidR="00D920B8">
              <w:t>:</w:t>
            </w:r>
            <w:r w:rsidRPr="009D16B5">
              <w:t xml:space="preserve"> </w:t>
            </w:r>
          </w:p>
          <w:p w14:paraId="42A1357B" w14:textId="541D8587" w:rsidR="00D920B8" w:rsidRDefault="00963624" w:rsidP="00D920B8">
            <w:pPr>
              <w:pStyle w:val="TableDash"/>
            </w:pPr>
            <w:r w:rsidRPr="009D16B5">
              <w:t xml:space="preserve">enabling funding for activities that reduce environmental harm or increase environmental benefits </w:t>
            </w:r>
          </w:p>
          <w:p w14:paraId="7675B245" w14:textId="0B987924" w:rsidR="00D920B8" w:rsidRDefault="00963624" w:rsidP="00D920B8">
            <w:pPr>
              <w:pStyle w:val="TableDash"/>
            </w:pPr>
            <w:r w:rsidRPr="009D16B5">
              <w:t xml:space="preserve">emergency waste </w:t>
            </w:r>
          </w:p>
          <w:p w14:paraId="67E17F48" w14:textId="3618F4D7" w:rsidR="00963624" w:rsidRPr="006B77BB" w:rsidRDefault="00963624" w:rsidP="00D920B8">
            <w:pPr>
              <w:pStyle w:val="TableDash"/>
            </w:pPr>
            <w:r w:rsidRPr="009D16B5">
              <w:t>contaminated site remediation.</w:t>
            </w:r>
          </w:p>
        </w:tc>
        <w:tc>
          <w:tcPr>
            <w:tcW w:w="1586" w:type="pct"/>
          </w:tcPr>
          <w:p w14:paraId="50DCE544" w14:textId="77777777" w:rsidR="00963624" w:rsidRPr="00AF1E51" w:rsidRDefault="00963624">
            <w:pPr>
              <w:pStyle w:val="TableText"/>
            </w:pPr>
            <w:r w:rsidRPr="00AF1E51">
              <w:t>Ongoing</w:t>
            </w:r>
          </w:p>
          <w:p w14:paraId="45544210" w14:textId="03EE3061" w:rsidR="00963624" w:rsidRPr="006B77BB" w:rsidRDefault="00963624">
            <w:pPr>
              <w:pStyle w:val="TableText"/>
            </w:pPr>
            <w:r w:rsidRPr="00AF1E51">
              <w:t>Contaminated Sites and Vulnerable Landfills Fund open</w:t>
            </w:r>
            <w:r>
              <w:t>ed</w:t>
            </w:r>
            <w:r w:rsidRPr="00AF1E51">
              <w:t xml:space="preserve"> October 2024</w:t>
            </w:r>
            <w:r w:rsidR="00324B69">
              <w:t>.</w:t>
            </w:r>
          </w:p>
        </w:tc>
      </w:tr>
      <w:tr w:rsidR="00963624" w:rsidRPr="0007056E" w14:paraId="35D73EF5" w14:textId="77777777" w:rsidTr="00C75566">
        <w:tc>
          <w:tcPr>
            <w:tcW w:w="5000" w:type="pct"/>
            <w:gridSpan w:val="2"/>
            <w:shd w:val="clear" w:color="auto" w:fill="D9D9D9" w:themeFill="background1" w:themeFillShade="D9"/>
          </w:tcPr>
          <w:p w14:paraId="128FE880" w14:textId="77777777" w:rsidR="00963624" w:rsidRPr="009D16B5" w:rsidRDefault="00963624">
            <w:pPr>
              <w:pStyle w:val="TableText"/>
              <w:rPr>
                <w:b/>
                <w:bCs/>
              </w:rPr>
            </w:pPr>
            <w:r>
              <w:rPr>
                <w:b/>
                <w:bCs/>
              </w:rPr>
              <w:t>M</w:t>
            </w:r>
            <w:r w:rsidRPr="0007056E">
              <w:rPr>
                <w:b/>
                <w:bCs/>
              </w:rPr>
              <w:t>odernise the Waste Minimisation Act and Litter Act</w:t>
            </w:r>
          </w:p>
        </w:tc>
      </w:tr>
      <w:tr w:rsidR="00963624" w:rsidRPr="006B77BB" w14:paraId="4AAFE762" w14:textId="77777777">
        <w:tc>
          <w:tcPr>
            <w:tcW w:w="3414" w:type="pct"/>
          </w:tcPr>
          <w:p w14:paraId="1D970949" w14:textId="4FCC97C1" w:rsidR="00963624" w:rsidRPr="00454A5D" w:rsidRDefault="00CA4D0E">
            <w:pPr>
              <w:pStyle w:val="TableBullet"/>
            </w:pPr>
            <w:r>
              <w:t>A</w:t>
            </w:r>
            <w:r w:rsidR="00963624" w:rsidRPr="00454A5D">
              <w:t xml:space="preserve">djustments to how levy funds are allocated amongst councils, shifting from a </w:t>
            </w:r>
            <w:r w:rsidR="00963624">
              <w:t xml:space="preserve">fully </w:t>
            </w:r>
            <w:r w:rsidR="00963624" w:rsidRPr="00454A5D">
              <w:t>population-based formula in recognition of the fixed costs and scale challenges faced by smaller councils</w:t>
            </w:r>
            <w:r>
              <w:t>.</w:t>
            </w:r>
          </w:p>
          <w:p w14:paraId="464BE58C" w14:textId="7B334CB9" w:rsidR="00963624" w:rsidRPr="00454A5D" w:rsidRDefault="00CA4D0E">
            <w:pPr>
              <w:pStyle w:val="TableBullet"/>
            </w:pPr>
            <w:r>
              <w:t>O</w:t>
            </w:r>
            <w:r w:rsidR="00963624" w:rsidRPr="00454A5D">
              <w:t>ptions for councils to spend their share of the levy on a wider range of waste and environmental priorities</w:t>
            </w:r>
            <w:r>
              <w:t>.</w:t>
            </w:r>
          </w:p>
          <w:p w14:paraId="68B21641" w14:textId="0C2B5CCD" w:rsidR="00963624" w:rsidRPr="00454A5D" w:rsidRDefault="00CA4D0E">
            <w:pPr>
              <w:pStyle w:val="TableBullet"/>
            </w:pPr>
            <w:r>
              <w:t>I</w:t>
            </w:r>
            <w:r w:rsidR="00963624" w:rsidRPr="00454A5D">
              <w:t>mproving compliance, monitoring and enforcement provisions to ensure more proportionate and practical intervention tools</w:t>
            </w:r>
            <w:r>
              <w:t>.</w:t>
            </w:r>
          </w:p>
          <w:p w14:paraId="1620786A" w14:textId="77777777" w:rsidR="00FD3C2E" w:rsidRDefault="00CA4D0E">
            <w:pPr>
              <w:pStyle w:val="TableBullet"/>
            </w:pPr>
            <w:r>
              <w:t>A</w:t>
            </w:r>
            <w:r w:rsidR="00963624" w:rsidRPr="00E435D1">
              <w:t>mending provisions for product stewardship to</w:t>
            </w:r>
            <w:r w:rsidR="00FD3C2E">
              <w:t>:</w:t>
            </w:r>
            <w:r w:rsidR="00963624" w:rsidRPr="00E435D1">
              <w:t xml:space="preserve"> </w:t>
            </w:r>
          </w:p>
          <w:p w14:paraId="45922D07" w14:textId="77777777" w:rsidR="00FD3C2E" w:rsidRDefault="00963624" w:rsidP="00FD3C2E">
            <w:pPr>
              <w:pStyle w:val="TableDash"/>
            </w:pPr>
            <w:r w:rsidRPr="00E435D1">
              <w:t>ensure greater clarity of responsibilities</w:t>
            </w:r>
          </w:p>
          <w:p w14:paraId="18685BA8" w14:textId="640A971A" w:rsidR="00FD3C2E" w:rsidRDefault="00963624" w:rsidP="00FD3C2E">
            <w:pPr>
              <w:pStyle w:val="TableDash"/>
            </w:pPr>
            <w:r w:rsidRPr="00E435D1">
              <w:t xml:space="preserve">manage financial risks </w:t>
            </w:r>
          </w:p>
          <w:p w14:paraId="130CB91F" w14:textId="19A98BE4" w:rsidR="00963624" w:rsidRDefault="00963624" w:rsidP="00FD3C2E">
            <w:pPr>
              <w:pStyle w:val="TableDash"/>
            </w:pPr>
            <w:r w:rsidRPr="00E435D1">
              <w:t>enforce obligations, to ensure a level playing field</w:t>
            </w:r>
            <w:r w:rsidR="00CA4D0E">
              <w:t>.</w:t>
            </w:r>
          </w:p>
          <w:p w14:paraId="6A269740" w14:textId="0B3AF56B" w:rsidR="00963624" w:rsidRPr="009D16B5" w:rsidRDefault="00CA4D0E" w:rsidP="00613B09">
            <w:pPr>
              <w:pStyle w:val="TableBullet"/>
            </w:pPr>
            <w:r>
              <w:t>I</w:t>
            </w:r>
            <w:r w:rsidR="00963624" w:rsidRPr="00E435D1">
              <w:t xml:space="preserve">nclusion of a regulatory framework to support </w:t>
            </w:r>
            <w:r w:rsidR="00632B28">
              <w:t xml:space="preserve">the </w:t>
            </w:r>
            <w:r w:rsidR="00963624" w:rsidRPr="00E435D1">
              <w:t>future introduction of a beverage container return scheme.</w:t>
            </w:r>
          </w:p>
        </w:tc>
        <w:tc>
          <w:tcPr>
            <w:tcW w:w="1586" w:type="pct"/>
          </w:tcPr>
          <w:p w14:paraId="65856CE8" w14:textId="0C9844FE" w:rsidR="00963624" w:rsidRPr="00AF1E51" w:rsidRDefault="00963624">
            <w:pPr>
              <w:pStyle w:val="TableText"/>
            </w:pPr>
            <w:r w:rsidRPr="00963624">
              <w:t>Consult on detailed legislation proposals in 2025</w:t>
            </w:r>
            <w:r w:rsidR="00324B69">
              <w:t>.</w:t>
            </w:r>
          </w:p>
        </w:tc>
      </w:tr>
    </w:tbl>
    <w:p w14:paraId="3F8C4725" w14:textId="77777777" w:rsidR="00572ABA" w:rsidRPr="008C34F2" w:rsidRDefault="00572ABA" w:rsidP="008C34F2">
      <w:pPr>
        <w:pStyle w:val="BodyText"/>
      </w:pPr>
    </w:p>
    <w:p w14:paraId="1A308D62" w14:textId="77777777" w:rsidR="00572ABA" w:rsidRPr="008C34F2" w:rsidRDefault="00572ABA" w:rsidP="008C34F2">
      <w:pPr>
        <w:pStyle w:val="BodyText"/>
        <w:rPr>
          <w:rFonts w:eastAsiaTheme="majorEastAsia"/>
        </w:rPr>
      </w:pPr>
      <w:r w:rsidRPr="008C34F2">
        <w:br w:type="page"/>
      </w:r>
    </w:p>
    <w:p w14:paraId="4214621D" w14:textId="1C69392D" w:rsidR="00E203BC" w:rsidRDefault="00E203BC" w:rsidP="00A640BF">
      <w:pPr>
        <w:pStyle w:val="Heading2"/>
        <w:spacing w:after="120"/>
      </w:pPr>
      <w:r>
        <w:lastRenderedPageBreak/>
        <w:t xml:space="preserve">Focus area: </w:t>
      </w:r>
      <w:r w:rsidR="0045093C">
        <w:t>C</w:t>
      </w:r>
      <w:r>
        <w:t xml:space="preserve">ost-effective, outcomes-focused investment of the </w:t>
      </w:r>
      <w:r w:rsidR="00632B28">
        <w:t xml:space="preserve">waste </w:t>
      </w:r>
      <w:r w:rsidR="00EC1350">
        <w:t xml:space="preserve">disposal </w:t>
      </w:r>
      <w:r>
        <w:t>levy</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E203BC" w:rsidRPr="0095536B" w14:paraId="36430DC1" w14:textId="77777777">
        <w:trPr>
          <w:tblHeader/>
        </w:trPr>
        <w:tc>
          <w:tcPr>
            <w:tcW w:w="3414" w:type="pct"/>
            <w:shd w:val="clear" w:color="auto" w:fill="1B556B" w:themeFill="text2"/>
          </w:tcPr>
          <w:bookmarkEnd w:id="1"/>
          <w:p w14:paraId="7DC3D548" w14:textId="77777777" w:rsidR="00E203BC" w:rsidRPr="0095536B" w:rsidRDefault="00E203BC">
            <w:pPr>
              <w:pStyle w:val="TableTextbold"/>
              <w:rPr>
                <w:color w:val="FFFFFF" w:themeColor="background1"/>
              </w:rPr>
            </w:pPr>
            <w:r>
              <w:rPr>
                <w:color w:val="FFFFFF" w:themeColor="background1"/>
              </w:rPr>
              <w:t>Workstreams</w:t>
            </w:r>
          </w:p>
        </w:tc>
        <w:tc>
          <w:tcPr>
            <w:tcW w:w="1586" w:type="pct"/>
            <w:shd w:val="clear" w:color="auto" w:fill="1B556B" w:themeFill="text2"/>
          </w:tcPr>
          <w:p w14:paraId="5CDA1ACD" w14:textId="77777777" w:rsidR="00E203BC" w:rsidRPr="0095536B" w:rsidRDefault="00E203BC">
            <w:pPr>
              <w:pStyle w:val="TableTextbold"/>
              <w:rPr>
                <w:color w:val="FFFFFF" w:themeColor="background1"/>
              </w:rPr>
            </w:pPr>
            <w:r>
              <w:rPr>
                <w:color w:val="FFFFFF" w:themeColor="background1"/>
              </w:rPr>
              <w:t>Timing</w:t>
            </w:r>
          </w:p>
        </w:tc>
      </w:tr>
      <w:tr w:rsidR="00E203BC" w:rsidRPr="009D416E" w14:paraId="78FA1DE8" w14:textId="77777777">
        <w:tc>
          <w:tcPr>
            <w:tcW w:w="5000" w:type="pct"/>
            <w:gridSpan w:val="2"/>
            <w:shd w:val="clear" w:color="auto" w:fill="D9D9D9" w:themeFill="background1" w:themeFillShade="D9"/>
          </w:tcPr>
          <w:p w14:paraId="45737270" w14:textId="66BCBC28" w:rsidR="00E203BC" w:rsidRPr="009D16B5" w:rsidRDefault="009F2CCD" w:rsidP="009D416E">
            <w:pPr>
              <w:pStyle w:val="TableText"/>
              <w:rPr>
                <w:b/>
                <w:bCs/>
              </w:rPr>
            </w:pPr>
            <w:r w:rsidRPr="009D416E">
              <w:rPr>
                <w:b/>
                <w:bCs/>
              </w:rPr>
              <w:t>Independent review of investment of the waste disposal levy</w:t>
            </w:r>
          </w:p>
        </w:tc>
      </w:tr>
      <w:tr w:rsidR="00E203BC" w:rsidRPr="006B77BB" w14:paraId="5A32DB4D" w14:textId="77777777">
        <w:tc>
          <w:tcPr>
            <w:tcW w:w="3414" w:type="pct"/>
          </w:tcPr>
          <w:p w14:paraId="7C5AA523" w14:textId="07288BE0" w:rsidR="00BF30A4" w:rsidRPr="00873B7F" w:rsidRDefault="00CA4D0E" w:rsidP="00BF30A4">
            <w:pPr>
              <w:pStyle w:val="TableBullet"/>
            </w:pPr>
            <w:r>
              <w:t>I</w:t>
            </w:r>
            <w:r w:rsidR="00BF30A4" w:rsidRPr="00873B7F">
              <w:t>ndependent review of the process for making investment decisions using the levy and back-office functions in the Ministry for the Environment relating to the levy</w:t>
            </w:r>
            <w:r>
              <w:t>.</w:t>
            </w:r>
          </w:p>
          <w:p w14:paraId="3C7E22BB" w14:textId="0F183383" w:rsidR="00BF30A4" w:rsidRPr="00AC3524" w:rsidRDefault="00CA4D0E" w:rsidP="00BF30A4">
            <w:pPr>
              <w:pStyle w:val="TableBullet"/>
              <w:rPr>
                <w:bCs/>
              </w:rPr>
            </w:pPr>
            <w:r>
              <w:t>I</w:t>
            </w:r>
            <w:r w:rsidR="00BF30A4" w:rsidRPr="00873B7F">
              <w:t>n consultation with the Minister for Regulation, review the performance of government spending funded by the levy</w:t>
            </w:r>
            <w:r>
              <w:t>.</w:t>
            </w:r>
          </w:p>
          <w:p w14:paraId="2E5A4AB6" w14:textId="4B2587E4" w:rsidR="00E203BC" w:rsidRPr="006B77BB" w:rsidRDefault="00CA4D0E" w:rsidP="00BF30A4">
            <w:pPr>
              <w:pStyle w:val="TableBullet"/>
            </w:pPr>
            <w:r>
              <w:t>I</w:t>
            </w:r>
            <w:r w:rsidR="00BF30A4">
              <w:t>mplement recommendations of these reviews, including through legislative change (see above) where required</w:t>
            </w:r>
            <w:r>
              <w:t>.</w:t>
            </w:r>
          </w:p>
        </w:tc>
        <w:tc>
          <w:tcPr>
            <w:tcW w:w="1586" w:type="pct"/>
          </w:tcPr>
          <w:p w14:paraId="56A4A837" w14:textId="417D852F" w:rsidR="008C321E" w:rsidRPr="008C321E" w:rsidRDefault="001A307C" w:rsidP="00CA4D0E">
            <w:pPr>
              <w:pStyle w:val="TableText"/>
            </w:pPr>
            <w:r w:rsidRPr="001A307C">
              <w:t>Discussed with relevant Ministers in first quarter of 2025</w:t>
            </w:r>
            <w:r w:rsidR="00324B69">
              <w:t>.</w:t>
            </w:r>
          </w:p>
          <w:p w14:paraId="314C6105" w14:textId="17657F5A" w:rsidR="008C321E" w:rsidRPr="008C321E" w:rsidRDefault="008C321E" w:rsidP="008C321E">
            <w:pPr>
              <w:jc w:val="right"/>
            </w:pPr>
          </w:p>
        </w:tc>
      </w:tr>
      <w:tr w:rsidR="00E203BC" w:rsidRPr="009D416E" w14:paraId="43C1E25D" w14:textId="77777777">
        <w:tc>
          <w:tcPr>
            <w:tcW w:w="5000" w:type="pct"/>
            <w:gridSpan w:val="2"/>
            <w:shd w:val="clear" w:color="auto" w:fill="D9D9D9" w:themeFill="background1" w:themeFillShade="D9"/>
          </w:tcPr>
          <w:p w14:paraId="28DD102A" w14:textId="52BA8CD2" w:rsidR="00BA3991" w:rsidRPr="009D16B5" w:rsidRDefault="00094592" w:rsidP="009D416E">
            <w:pPr>
              <w:pStyle w:val="TableText"/>
              <w:rPr>
                <w:b/>
                <w:bCs/>
              </w:rPr>
            </w:pPr>
            <w:r w:rsidRPr="009D416E">
              <w:rPr>
                <w:b/>
                <w:bCs/>
              </w:rPr>
              <w:t>Investing the waste disposal levy</w:t>
            </w:r>
          </w:p>
        </w:tc>
      </w:tr>
      <w:tr w:rsidR="00E203BC" w:rsidRPr="006B77BB" w14:paraId="27873A66" w14:textId="77777777">
        <w:tc>
          <w:tcPr>
            <w:tcW w:w="3414" w:type="pct"/>
          </w:tcPr>
          <w:p w14:paraId="4D773B53" w14:textId="77777777" w:rsidR="00BA3991" w:rsidRPr="00F874BD" w:rsidRDefault="00BA3991" w:rsidP="00BA3991">
            <w:pPr>
              <w:pStyle w:val="TableText"/>
            </w:pPr>
            <w:r w:rsidRPr="00F874BD">
              <w:t>Implement the investment priorities Cabinet agreed in April 2024, including:</w:t>
            </w:r>
          </w:p>
          <w:p w14:paraId="722BBB50" w14:textId="77777777" w:rsidR="00BA3991" w:rsidRPr="00F874BD" w:rsidRDefault="00BA3991" w:rsidP="00BA3991">
            <w:pPr>
              <w:pStyle w:val="TableBullet"/>
            </w:pPr>
            <w:r w:rsidRPr="00F874BD">
              <w:t>contaminated sites including vulnerable landfill remediation</w:t>
            </w:r>
            <w:r>
              <w:t xml:space="preserve"> (15 to 25 per cent of waste-related investment of the levy</w:t>
            </w:r>
            <w:r>
              <w:rPr>
                <w:rStyle w:val="FootnoteReference"/>
                <w:szCs w:val="22"/>
              </w:rPr>
              <w:footnoteReference w:id="2"/>
            </w:r>
            <w:r>
              <w:t>)</w:t>
            </w:r>
          </w:p>
          <w:p w14:paraId="12BDD5F0" w14:textId="0B87C9B6" w:rsidR="00BA3991" w:rsidRPr="00F874BD" w:rsidRDefault="00BA3991" w:rsidP="00BA3991">
            <w:pPr>
              <w:pStyle w:val="TableBullet"/>
            </w:pPr>
            <w:r w:rsidRPr="00F874BD">
              <w:t>infrastructure</w:t>
            </w:r>
            <w:r w:rsidR="00CC5317">
              <w:t xml:space="preserve"> –</w:t>
            </w:r>
            <w:r w:rsidRPr="00F874BD">
              <w:t xml:space="preserve"> </w:t>
            </w:r>
            <w:r w:rsidR="00D35A2A">
              <w:t>for example</w:t>
            </w:r>
            <w:r w:rsidR="00CA4D0E">
              <w:t>,</w:t>
            </w:r>
            <w:r w:rsidRPr="00F874BD">
              <w:t xml:space="preserve"> materials recovery, recycling and manufacturing facilities</w:t>
            </w:r>
            <w:r>
              <w:t xml:space="preserve"> (70 to 80 per cent)</w:t>
            </w:r>
          </w:p>
          <w:p w14:paraId="17C524FE" w14:textId="21304AD2" w:rsidR="00BA3991" w:rsidRPr="00F874BD" w:rsidRDefault="00BA3991" w:rsidP="00BA3991">
            <w:pPr>
              <w:pStyle w:val="TableBullet"/>
            </w:pPr>
            <w:r w:rsidRPr="00F874BD">
              <w:t>innovation, community solutions and education</w:t>
            </w:r>
            <w:r w:rsidR="00CC5317">
              <w:t xml:space="preserve"> –</w:t>
            </w:r>
            <w:r w:rsidRPr="00F874BD">
              <w:t xml:space="preserve"> </w:t>
            </w:r>
            <w:r w:rsidR="00D35A2A">
              <w:t>for example</w:t>
            </w:r>
            <w:r w:rsidR="00CA4D0E">
              <w:t>,</w:t>
            </w:r>
            <w:r w:rsidRPr="00F874BD">
              <w:t xml:space="preserve"> product design, and recycling education campaigns</w:t>
            </w:r>
            <w:r>
              <w:t xml:space="preserve"> (5 to 10 per cent)</w:t>
            </w:r>
          </w:p>
          <w:p w14:paraId="0128DEB9" w14:textId="0E20603F" w:rsidR="00BA3991" w:rsidRPr="00F874BD" w:rsidRDefault="00BA3991" w:rsidP="00BA3991">
            <w:pPr>
              <w:pStyle w:val="TableBullet"/>
            </w:pPr>
            <w:r w:rsidRPr="00F874BD">
              <w:t>system design</w:t>
            </w:r>
            <w:r w:rsidR="00CC5317">
              <w:t xml:space="preserve"> –</w:t>
            </w:r>
            <w:r w:rsidRPr="00F874BD">
              <w:t xml:space="preserve"> </w:t>
            </w:r>
            <w:r w:rsidR="00D35A2A">
              <w:t>for example</w:t>
            </w:r>
            <w:r w:rsidR="00CA4D0E">
              <w:t>,</w:t>
            </w:r>
            <w:r w:rsidRPr="00F874BD">
              <w:t xml:space="preserve"> design and development of producer responsibility schemes</w:t>
            </w:r>
            <w:r>
              <w:t xml:space="preserve"> (2 to 5 per cent)</w:t>
            </w:r>
            <w:r w:rsidRPr="00F874BD">
              <w:t>.</w:t>
            </w:r>
          </w:p>
          <w:p w14:paraId="583B53C0" w14:textId="32849043" w:rsidR="0064724D" w:rsidRPr="0064724D" w:rsidRDefault="0064724D" w:rsidP="0064724D">
            <w:pPr>
              <w:pStyle w:val="TableText"/>
            </w:pPr>
            <w:r w:rsidRPr="0064724D">
              <w:t>Priority waste streams also agreed by Cabinet in April 2024</w:t>
            </w:r>
            <w:r w:rsidR="00CC5317">
              <w:t xml:space="preserve"> include</w:t>
            </w:r>
            <w:r w:rsidRPr="0064724D">
              <w:t>:</w:t>
            </w:r>
          </w:p>
          <w:p w14:paraId="7708D01A" w14:textId="77777777" w:rsidR="0064724D" w:rsidRPr="0064724D" w:rsidRDefault="0064724D" w:rsidP="0064724D">
            <w:pPr>
              <w:pStyle w:val="TableBullet"/>
            </w:pPr>
            <w:r w:rsidRPr="0064724D">
              <w:t>construction and demolition materials</w:t>
            </w:r>
          </w:p>
          <w:p w14:paraId="2824701B" w14:textId="77777777" w:rsidR="0064724D" w:rsidRPr="0064724D" w:rsidRDefault="0064724D" w:rsidP="0064724D">
            <w:pPr>
              <w:pStyle w:val="TableBullet"/>
            </w:pPr>
            <w:r w:rsidRPr="0064724D">
              <w:t>organic waste</w:t>
            </w:r>
          </w:p>
          <w:p w14:paraId="18ED7CA0" w14:textId="77777777" w:rsidR="0064724D" w:rsidRPr="0064724D" w:rsidRDefault="0064724D" w:rsidP="0064724D">
            <w:pPr>
              <w:pStyle w:val="TableBullet"/>
            </w:pPr>
            <w:r w:rsidRPr="0064724D">
              <w:t>plastics</w:t>
            </w:r>
          </w:p>
          <w:p w14:paraId="69D2BE2B" w14:textId="77777777" w:rsidR="0064724D" w:rsidRPr="0064724D" w:rsidRDefault="0064724D" w:rsidP="0064724D">
            <w:pPr>
              <w:pStyle w:val="TableBullet"/>
            </w:pPr>
            <w:r w:rsidRPr="0064724D">
              <w:t>kerbside recyclables</w:t>
            </w:r>
          </w:p>
          <w:p w14:paraId="54D672BA" w14:textId="77777777" w:rsidR="0064724D" w:rsidRPr="0064724D" w:rsidRDefault="0064724D" w:rsidP="0064724D">
            <w:pPr>
              <w:pStyle w:val="TableBullet"/>
            </w:pPr>
            <w:r w:rsidRPr="0064724D">
              <w:t xml:space="preserve">priority products the Minister has declared by notice in the </w:t>
            </w:r>
            <w:r w:rsidRPr="0064724D">
              <w:rPr>
                <w:i/>
                <w:iCs/>
              </w:rPr>
              <w:t>Gazette</w:t>
            </w:r>
            <w:r w:rsidRPr="0064724D">
              <w:t>.</w:t>
            </w:r>
          </w:p>
          <w:p w14:paraId="0015F217" w14:textId="5DF6D9FC" w:rsidR="00BA3991" w:rsidRPr="006B77BB" w:rsidRDefault="00C0246E" w:rsidP="005E2110">
            <w:pPr>
              <w:pStyle w:val="TableText"/>
            </w:pPr>
            <w:r w:rsidRPr="00C0246E">
              <w:t>Projects seeking over $10 million in levy funding will be consulted on with the Minister of Finance, Minister for Infrastructure, Minister for Regional Development, and any other relevant portfolio Ministers.</w:t>
            </w:r>
          </w:p>
        </w:tc>
        <w:tc>
          <w:tcPr>
            <w:tcW w:w="1586" w:type="pct"/>
          </w:tcPr>
          <w:p w14:paraId="64F509D6" w14:textId="7B265F4B" w:rsidR="00E203BC" w:rsidRPr="006B77BB" w:rsidRDefault="00C0246E">
            <w:pPr>
              <w:pStyle w:val="TableText"/>
            </w:pPr>
            <w:r w:rsidRPr="00AF1E51">
              <w:t>Ongoing</w:t>
            </w:r>
          </w:p>
        </w:tc>
      </w:tr>
    </w:tbl>
    <w:p w14:paraId="55216F1B" w14:textId="7444BDFC" w:rsidR="00A647DA" w:rsidRDefault="00A647DA" w:rsidP="00A647DA">
      <w:pPr>
        <w:pStyle w:val="Heading2"/>
        <w:spacing w:after="120"/>
      </w:pPr>
      <w:r>
        <w:t xml:space="preserve">Focus area: </w:t>
      </w:r>
      <w:r w:rsidR="0045093C">
        <w:t>R</w:t>
      </w:r>
      <w:r>
        <w:t>educing waste emissions</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541B14" w:rsidRPr="0095536B" w14:paraId="3253385B" w14:textId="77777777">
        <w:trPr>
          <w:tblHeader/>
        </w:trPr>
        <w:tc>
          <w:tcPr>
            <w:tcW w:w="3414" w:type="pct"/>
            <w:shd w:val="clear" w:color="auto" w:fill="1B556B" w:themeFill="text2"/>
          </w:tcPr>
          <w:p w14:paraId="4280A024" w14:textId="0A5C2296" w:rsidR="00541B14" w:rsidRPr="0095536B" w:rsidRDefault="00541B14">
            <w:pPr>
              <w:pStyle w:val="TableTextbold"/>
              <w:rPr>
                <w:color w:val="FFFFFF" w:themeColor="background1"/>
              </w:rPr>
            </w:pPr>
            <w:r>
              <w:rPr>
                <w:color w:val="FFFFFF" w:themeColor="background1"/>
              </w:rPr>
              <w:t>Workstream</w:t>
            </w:r>
          </w:p>
        </w:tc>
        <w:tc>
          <w:tcPr>
            <w:tcW w:w="1586" w:type="pct"/>
            <w:shd w:val="clear" w:color="auto" w:fill="1B556B" w:themeFill="text2"/>
          </w:tcPr>
          <w:p w14:paraId="5B8C5985" w14:textId="77777777" w:rsidR="00541B14" w:rsidRPr="0095536B" w:rsidRDefault="00541B14">
            <w:pPr>
              <w:pStyle w:val="TableTextbold"/>
              <w:rPr>
                <w:color w:val="FFFFFF" w:themeColor="background1"/>
              </w:rPr>
            </w:pPr>
            <w:r>
              <w:rPr>
                <w:color w:val="FFFFFF" w:themeColor="background1"/>
              </w:rPr>
              <w:t>Timing</w:t>
            </w:r>
          </w:p>
        </w:tc>
      </w:tr>
      <w:tr w:rsidR="00541B14" w:rsidRPr="009D416E" w14:paraId="1C4D1F98" w14:textId="77777777">
        <w:tc>
          <w:tcPr>
            <w:tcW w:w="5000" w:type="pct"/>
            <w:gridSpan w:val="2"/>
            <w:shd w:val="clear" w:color="auto" w:fill="D9D9D9" w:themeFill="background1" w:themeFillShade="D9"/>
          </w:tcPr>
          <w:p w14:paraId="3DA5CA42" w14:textId="24969752" w:rsidR="00541B14" w:rsidRPr="009D16B5" w:rsidRDefault="004C2A7B" w:rsidP="009D416E">
            <w:pPr>
              <w:pStyle w:val="TableText"/>
              <w:rPr>
                <w:b/>
                <w:bCs/>
              </w:rPr>
            </w:pPr>
            <w:r w:rsidRPr="009D416E">
              <w:rPr>
                <w:b/>
                <w:bCs/>
              </w:rPr>
              <w:t xml:space="preserve">Implement </w:t>
            </w:r>
            <w:r w:rsidR="00103D48">
              <w:rPr>
                <w:b/>
                <w:bCs/>
              </w:rPr>
              <w:t>e</w:t>
            </w:r>
            <w:r w:rsidRPr="009D416E">
              <w:rPr>
                <w:b/>
                <w:bCs/>
              </w:rPr>
              <w:t xml:space="preserve">missions </w:t>
            </w:r>
            <w:r w:rsidR="00103D48">
              <w:rPr>
                <w:b/>
                <w:bCs/>
              </w:rPr>
              <w:t>r</w:t>
            </w:r>
            <w:r w:rsidRPr="009D416E">
              <w:rPr>
                <w:b/>
                <w:bCs/>
              </w:rPr>
              <w:t xml:space="preserve">eduction </w:t>
            </w:r>
            <w:r w:rsidR="00103D48">
              <w:rPr>
                <w:b/>
                <w:bCs/>
              </w:rPr>
              <w:t>p</w:t>
            </w:r>
            <w:r w:rsidRPr="009D416E">
              <w:rPr>
                <w:b/>
                <w:bCs/>
              </w:rPr>
              <w:t>lan 1 and 2 actions</w:t>
            </w:r>
          </w:p>
        </w:tc>
      </w:tr>
      <w:tr w:rsidR="00541B14" w:rsidRPr="006B77BB" w14:paraId="1FE83213" w14:textId="77777777">
        <w:tc>
          <w:tcPr>
            <w:tcW w:w="3414" w:type="pct"/>
          </w:tcPr>
          <w:p w14:paraId="16EDBAFF" w14:textId="69885C0E" w:rsidR="00B801A2" w:rsidRPr="00086970" w:rsidRDefault="00B801A2" w:rsidP="00086970">
            <w:pPr>
              <w:pStyle w:val="TableText"/>
            </w:pPr>
            <w:r w:rsidRPr="00086970">
              <w:t xml:space="preserve">The first emissions reduction plan covers the period 2022 to 2025. The second emissions reduction plan covers the period 2026 to 2030. Waste actions include: </w:t>
            </w:r>
          </w:p>
          <w:p w14:paraId="50AFF351" w14:textId="77777777" w:rsidR="00086970" w:rsidRPr="00086970" w:rsidRDefault="00086970" w:rsidP="00086970">
            <w:pPr>
              <w:pStyle w:val="TableBullet"/>
            </w:pPr>
            <w:r w:rsidRPr="00086970">
              <w:t>making further targeted investment in resource recovery infrastructure and systems (including for construction and demolition waste)</w:t>
            </w:r>
          </w:p>
          <w:p w14:paraId="09165008" w14:textId="77777777" w:rsidR="00086970" w:rsidRPr="00086970" w:rsidRDefault="00086970" w:rsidP="00086970">
            <w:pPr>
              <w:pStyle w:val="TableBullet"/>
            </w:pPr>
            <w:r w:rsidRPr="00086970">
              <w:t>investigating ways of improving organic waste disposal and landfill gas capture</w:t>
            </w:r>
          </w:p>
          <w:p w14:paraId="55C1C6FC" w14:textId="5A709A86" w:rsidR="00541B14" w:rsidRPr="006B77BB" w:rsidRDefault="00086970" w:rsidP="00B801A2">
            <w:pPr>
              <w:pStyle w:val="TableBullet"/>
            </w:pPr>
            <w:r w:rsidRPr="00086970">
              <w:t>implementing a regulated product stewardship scheme for synthetic refrigerant gases.</w:t>
            </w:r>
          </w:p>
        </w:tc>
        <w:tc>
          <w:tcPr>
            <w:tcW w:w="1586" w:type="pct"/>
          </w:tcPr>
          <w:p w14:paraId="05FB974E" w14:textId="19B11972" w:rsidR="00541B14" w:rsidRPr="006B77BB" w:rsidRDefault="00061539">
            <w:pPr>
              <w:pStyle w:val="TableText"/>
            </w:pPr>
            <w:r w:rsidRPr="00AF1E51">
              <w:t>Ongoing</w:t>
            </w:r>
          </w:p>
        </w:tc>
      </w:tr>
    </w:tbl>
    <w:p w14:paraId="3AE324E6" w14:textId="62531A04" w:rsidR="008A0974" w:rsidRDefault="008A0974" w:rsidP="008A0974">
      <w:pPr>
        <w:pStyle w:val="Heading2"/>
        <w:keepNext w:val="0"/>
        <w:spacing w:after="120"/>
      </w:pPr>
      <w:r>
        <w:lastRenderedPageBreak/>
        <w:t xml:space="preserve">Focus area: </w:t>
      </w:r>
      <w:r w:rsidR="0045093C">
        <w:t>I</w:t>
      </w:r>
      <w:r>
        <w:t>ncreasing reuse and recycling of</w:t>
      </w:r>
      <w:r w:rsidR="0045093C">
        <w:t> </w:t>
      </w:r>
      <w:r>
        <w:t>materials</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541B14" w:rsidRPr="0095536B" w14:paraId="02F6AF8B" w14:textId="77777777" w:rsidTr="0060390B">
        <w:tc>
          <w:tcPr>
            <w:tcW w:w="3414" w:type="pct"/>
            <w:shd w:val="clear" w:color="auto" w:fill="1B556B" w:themeFill="text2"/>
          </w:tcPr>
          <w:p w14:paraId="62F66D78" w14:textId="77777777" w:rsidR="00541B14" w:rsidRPr="0095536B" w:rsidRDefault="00541B14">
            <w:pPr>
              <w:pStyle w:val="TableTextbold"/>
              <w:rPr>
                <w:color w:val="FFFFFF" w:themeColor="background1"/>
              </w:rPr>
            </w:pPr>
            <w:r>
              <w:rPr>
                <w:color w:val="FFFFFF" w:themeColor="background1"/>
              </w:rPr>
              <w:t>Workstreams</w:t>
            </w:r>
          </w:p>
        </w:tc>
        <w:tc>
          <w:tcPr>
            <w:tcW w:w="1586" w:type="pct"/>
            <w:shd w:val="clear" w:color="auto" w:fill="1B556B" w:themeFill="text2"/>
          </w:tcPr>
          <w:p w14:paraId="22D2904D" w14:textId="77777777" w:rsidR="00541B14" w:rsidRPr="0095536B" w:rsidRDefault="00541B14">
            <w:pPr>
              <w:pStyle w:val="TableTextbold"/>
              <w:rPr>
                <w:color w:val="FFFFFF" w:themeColor="background1"/>
              </w:rPr>
            </w:pPr>
            <w:r>
              <w:rPr>
                <w:color w:val="FFFFFF" w:themeColor="background1"/>
              </w:rPr>
              <w:t>Timing</w:t>
            </w:r>
          </w:p>
        </w:tc>
      </w:tr>
      <w:tr w:rsidR="00541B14" w:rsidRPr="009D416E" w14:paraId="76CAB76B" w14:textId="77777777">
        <w:tc>
          <w:tcPr>
            <w:tcW w:w="5000" w:type="pct"/>
            <w:gridSpan w:val="2"/>
            <w:shd w:val="clear" w:color="auto" w:fill="D9D9D9" w:themeFill="background1" w:themeFillShade="D9"/>
          </w:tcPr>
          <w:p w14:paraId="4CB92B9B" w14:textId="0E92E1AE" w:rsidR="00541B14" w:rsidRPr="009D16B5" w:rsidRDefault="00126FF1" w:rsidP="009D416E">
            <w:pPr>
              <w:pStyle w:val="TableText"/>
              <w:rPr>
                <w:b/>
                <w:bCs/>
              </w:rPr>
            </w:pPr>
            <w:r w:rsidRPr="009D416E">
              <w:rPr>
                <w:b/>
                <w:bCs/>
              </w:rPr>
              <w:t>Plastics phase-outs</w:t>
            </w:r>
          </w:p>
        </w:tc>
      </w:tr>
      <w:tr w:rsidR="00541B14" w:rsidRPr="006B77BB" w14:paraId="6EDF0313" w14:textId="77777777">
        <w:tc>
          <w:tcPr>
            <w:tcW w:w="3414" w:type="pct"/>
          </w:tcPr>
          <w:p w14:paraId="71AA4C8F" w14:textId="77777777" w:rsidR="001032CF" w:rsidRPr="002A7756" w:rsidRDefault="001032CF" w:rsidP="001032CF">
            <w:pPr>
              <w:pStyle w:val="TableText"/>
            </w:pPr>
            <w:r>
              <w:t>E</w:t>
            </w:r>
            <w:r w:rsidRPr="002A7756">
              <w:t>nsure plastic packaging is recyclable and high value</w:t>
            </w:r>
            <w:r>
              <w:t>, including through:</w:t>
            </w:r>
            <w:r w:rsidRPr="002A7756">
              <w:t xml:space="preserve"> </w:t>
            </w:r>
          </w:p>
          <w:p w14:paraId="70E41D5D" w14:textId="77777777" w:rsidR="00193B75" w:rsidRDefault="00193B75" w:rsidP="00193B75">
            <w:pPr>
              <w:pStyle w:val="TableBullet"/>
            </w:pPr>
            <w:r>
              <w:t xml:space="preserve">refining </w:t>
            </w:r>
            <w:r w:rsidRPr="0011310A">
              <w:t>options for phasing out hard-to-recycle polyvinyl chloride (PVC) and polystyrene food and beverage packaging which is no longer collected through kerbside collections</w:t>
            </w:r>
            <w:r>
              <w:t xml:space="preserve"> to ensure </w:t>
            </w:r>
            <w:r w:rsidRPr="00647F51">
              <w:t>practicable alternatives are available and provide sufficient time to make operational changes and run-down existing stock</w:t>
            </w:r>
            <w:r w:rsidRPr="0011310A">
              <w:t xml:space="preserve">. </w:t>
            </w:r>
            <w:r>
              <w:t xml:space="preserve">Advice will include </w:t>
            </w:r>
            <w:r w:rsidRPr="0011310A">
              <w:t>outlin</w:t>
            </w:r>
            <w:r>
              <w:t>ing</w:t>
            </w:r>
            <w:r w:rsidRPr="0011310A">
              <w:t xml:space="preserve"> exemptions (or extensions) needed where there are no viable and cost-effective alternatives available</w:t>
            </w:r>
          </w:p>
          <w:p w14:paraId="59EB7A1B" w14:textId="428A3948" w:rsidR="00541B14" w:rsidRPr="006B77BB" w:rsidRDefault="00193B75" w:rsidP="00193B75">
            <w:pPr>
              <w:pStyle w:val="TableBullet"/>
            </w:pPr>
            <w:r>
              <w:t xml:space="preserve">amending the </w:t>
            </w:r>
            <w:r w:rsidRPr="0090630E">
              <w:t xml:space="preserve">Waste Minimisation (Plastic and Related Products) Regulations 2022 </w:t>
            </w:r>
            <w:r w:rsidRPr="005548A7">
              <w:t>to extend the date by which the labels on all produce sold in New Zealand must be certified home compostable (including both the label and its adhesive) to 1 July 2028</w:t>
            </w:r>
            <w:r w:rsidR="00794672">
              <w:t>.</w:t>
            </w:r>
          </w:p>
        </w:tc>
        <w:tc>
          <w:tcPr>
            <w:tcW w:w="1586" w:type="pct"/>
          </w:tcPr>
          <w:p w14:paraId="4A735E85" w14:textId="79E92955" w:rsidR="00B619A4" w:rsidRDefault="00B619A4" w:rsidP="00B619A4">
            <w:pPr>
              <w:pStyle w:val="TableText"/>
            </w:pPr>
            <w:r w:rsidRPr="008469AF">
              <w:t xml:space="preserve">Report back to Cabinet by mid-2025 with policy options to phase out additional </w:t>
            </w:r>
            <w:r w:rsidR="00F46E43">
              <w:t>polyvinyl chloride (</w:t>
            </w:r>
            <w:r w:rsidRPr="008469AF">
              <w:t>PVC</w:t>
            </w:r>
            <w:r w:rsidR="00F46E43">
              <w:t>)</w:t>
            </w:r>
            <w:r w:rsidRPr="008469AF">
              <w:t xml:space="preserve"> and </w:t>
            </w:r>
            <w:r w:rsidR="00F46E43">
              <w:t>polystyrene (</w:t>
            </w:r>
            <w:r w:rsidRPr="008469AF">
              <w:t>PS</w:t>
            </w:r>
            <w:r w:rsidR="00F46E43">
              <w:t>)</w:t>
            </w:r>
            <w:r w:rsidRPr="008469AF">
              <w:t xml:space="preserve"> packaging</w:t>
            </w:r>
            <w:r w:rsidR="00324B69">
              <w:t>.</w:t>
            </w:r>
            <w:r w:rsidRPr="008469AF">
              <w:t xml:space="preserve"> </w:t>
            </w:r>
          </w:p>
          <w:p w14:paraId="39B84FED" w14:textId="10E50758" w:rsidR="00541B14" w:rsidRPr="00B619A4" w:rsidRDefault="00B619A4" w:rsidP="00B619A4">
            <w:pPr>
              <w:pStyle w:val="TableText"/>
            </w:pPr>
            <w:r w:rsidRPr="00B619A4">
              <w:t xml:space="preserve">Produce labels to be certified home compostable by </w:t>
            </w:r>
            <w:r w:rsidRPr="00B619A4">
              <w:rPr>
                <w:b/>
                <w:bCs/>
              </w:rPr>
              <w:t>1 July 2028</w:t>
            </w:r>
            <w:r w:rsidR="00324B69" w:rsidRPr="008C6500">
              <w:t>.</w:t>
            </w:r>
          </w:p>
        </w:tc>
      </w:tr>
      <w:tr w:rsidR="00E203BC" w:rsidRPr="009D416E" w14:paraId="1EA586EA" w14:textId="77777777">
        <w:tc>
          <w:tcPr>
            <w:tcW w:w="5000" w:type="pct"/>
            <w:gridSpan w:val="2"/>
            <w:shd w:val="clear" w:color="auto" w:fill="D9D9D9" w:themeFill="background1" w:themeFillShade="D9"/>
          </w:tcPr>
          <w:p w14:paraId="1E8991A7" w14:textId="41BD6E74" w:rsidR="00E203BC" w:rsidRPr="009D16B5" w:rsidRDefault="00361785" w:rsidP="009D416E">
            <w:pPr>
              <w:pStyle w:val="TableText"/>
              <w:rPr>
                <w:b/>
                <w:bCs/>
              </w:rPr>
            </w:pPr>
            <w:r w:rsidRPr="009D416E">
              <w:rPr>
                <w:b/>
                <w:bCs/>
              </w:rPr>
              <w:t>Kerbside recycling policies</w:t>
            </w:r>
          </w:p>
        </w:tc>
      </w:tr>
      <w:tr w:rsidR="00E203BC" w:rsidRPr="006B77BB" w14:paraId="5DE0FD4B" w14:textId="77777777">
        <w:tc>
          <w:tcPr>
            <w:tcW w:w="3414" w:type="pct"/>
          </w:tcPr>
          <w:p w14:paraId="79168841" w14:textId="349BE9B6" w:rsidR="0028798F" w:rsidRDefault="00794672" w:rsidP="0028798F">
            <w:pPr>
              <w:pStyle w:val="TableBullet"/>
            </w:pPr>
            <w:r>
              <w:t>S</w:t>
            </w:r>
            <w:r w:rsidR="0028798F">
              <w:t>upport territorial authorities to introduce standardised kerbside dry recycling and food organics or food and garden organics collections through targeted investment packages of the Waste Minimisation Fund</w:t>
            </w:r>
            <w:r>
              <w:t>.</w:t>
            </w:r>
          </w:p>
          <w:p w14:paraId="70762B95" w14:textId="570552A8" w:rsidR="0028798F" w:rsidRDefault="00794672" w:rsidP="0028798F">
            <w:pPr>
              <w:pStyle w:val="TableBullet"/>
            </w:pPr>
            <w:r>
              <w:t>W</w:t>
            </w:r>
            <w:r w:rsidR="0028798F" w:rsidRPr="001719AD">
              <w:t>ork collaboratively with the sector, including on the Recycling Leadership Forum, which brings together sector representatives from across the system</w:t>
            </w:r>
            <w:r w:rsidR="0028798F">
              <w:t xml:space="preserve"> to</w:t>
            </w:r>
            <w:r w:rsidR="0028798F" w:rsidRPr="00857C13">
              <w:t xml:space="preserve"> explore challenging kerbside issues including </w:t>
            </w:r>
            <w:r w:rsidR="0028798F">
              <w:t xml:space="preserve">solutions for </w:t>
            </w:r>
            <w:r w:rsidR="0028798F" w:rsidRPr="00857C13">
              <w:t>some of the items that are no longer accepted in household recycling bins</w:t>
            </w:r>
            <w:r>
              <w:t>.</w:t>
            </w:r>
          </w:p>
          <w:p w14:paraId="4F359147" w14:textId="6B8B8795" w:rsidR="00E203BC" w:rsidRPr="006B77BB" w:rsidRDefault="00794672" w:rsidP="0028798F">
            <w:pPr>
              <w:pStyle w:val="TableBullet"/>
            </w:pPr>
            <w:r>
              <w:t>M</w:t>
            </w:r>
            <w:r w:rsidR="0028798F" w:rsidRPr="00DC0073">
              <w:t>onitor outcomes, including in relation to council adoption of food scrap collections</w:t>
            </w:r>
            <w:r w:rsidR="0028798F">
              <w:t xml:space="preserve"> (</w:t>
            </w:r>
            <w:r w:rsidR="0028798F" w:rsidRPr="00DC0073">
              <w:t>which help to achieve emissions reduction objectives</w:t>
            </w:r>
            <w:r w:rsidR="0028798F">
              <w:t>). Mandatory record-keeping and reporting by territorial authorities from 1 July 2024 will assist with monitoring</w:t>
            </w:r>
            <w:r>
              <w:t>.</w:t>
            </w:r>
          </w:p>
        </w:tc>
        <w:tc>
          <w:tcPr>
            <w:tcW w:w="1586" w:type="pct"/>
          </w:tcPr>
          <w:p w14:paraId="55133B91" w14:textId="08D72BF1" w:rsidR="00E203BC" w:rsidRPr="006B77BB" w:rsidRDefault="0028798F">
            <w:pPr>
              <w:pStyle w:val="TableText"/>
            </w:pPr>
            <w:r>
              <w:t>Ongoing</w:t>
            </w:r>
          </w:p>
        </w:tc>
      </w:tr>
      <w:tr w:rsidR="008A0974" w:rsidRPr="009D416E" w14:paraId="2FE89F5E" w14:textId="77777777">
        <w:tc>
          <w:tcPr>
            <w:tcW w:w="5000" w:type="pct"/>
            <w:gridSpan w:val="2"/>
            <w:shd w:val="clear" w:color="auto" w:fill="D9D9D9" w:themeFill="background1" w:themeFillShade="D9"/>
          </w:tcPr>
          <w:p w14:paraId="2E55E2C0" w14:textId="496C833D" w:rsidR="008A0974" w:rsidRPr="009D16B5" w:rsidRDefault="00A57EBF" w:rsidP="009D416E">
            <w:pPr>
              <w:pStyle w:val="TableText"/>
              <w:rPr>
                <w:b/>
                <w:bCs/>
              </w:rPr>
            </w:pPr>
            <w:r w:rsidRPr="009D416E">
              <w:rPr>
                <w:b/>
                <w:bCs/>
              </w:rPr>
              <w:t>Product stewardship</w:t>
            </w:r>
          </w:p>
        </w:tc>
      </w:tr>
      <w:tr w:rsidR="008A0974" w:rsidRPr="006B77BB" w14:paraId="1FD62C95" w14:textId="77777777">
        <w:tc>
          <w:tcPr>
            <w:tcW w:w="3414" w:type="pct"/>
          </w:tcPr>
          <w:p w14:paraId="75832C89" w14:textId="01F12ECB" w:rsidR="00CC0C29" w:rsidRDefault="00CC0C29" w:rsidP="00CC0C29">
            <w:pPr>
              <w:pStyle w:val="TableText"/>
            </w:pPr>
            <w:r w:rsidRPr="009B7FEB">
              <w:t>Develop product stewardship schemes to reduce waste and better meet international obligations and requirements of our export markets</w:t>
            </w:r>
            <w:r>
              <w:t>, including</w:t>
            </w:r>
            <w:r w:rsidR="00AC2896">
              <w:t xml:space="preserve"> the following. </w:t>
            </w:r>
          </w:p>
          <w:p w14:paraId="0A3694CC" w14:textId="14EBE494" w:rsidR="008A0974" w:rsidRPr="006B77BB" w:rsidRDefault="00AC2896" w:rsidP="0010739F">
            <w:pPr>
              <w:pStyle w:val="TableBullet"/>
            </w:pPr>
            <w:r>
              <w:rPr>
                <w:b/>
                <w:bCs/>
              </w:rPr>
              <w:t>T</w:t>
            </w:r>
            <w:r w:rsidR="0010739F" w:rsidRPr="009B7FEB">
              <w:rPr>
                <w:b/>
                <w:bCs/>
              </w:rPr>
              <w:t>yres</w:t>
            </w:r>
            <w:r w:rsidR="0010739F">
              <w:rPr>
                <w:b/>
                <w:bCs/>
              </w:rPr>
              <w:t xml:space="preserve"> – </w:t>
            </w:r>
            <w:r w:rsidR="0010739F" w:rsidRPr="006D37BC">
              <w:t xml:space="preserve">Every year about 6.5 million tyres reach their end of life in New Zealand. Of these, about 40 per cent are estimated to be recycled or exported, </w:t>
            </w:r>
            <w:r w:rsidR="0010739F">
              <w:t xml:space="preserve">and </w:t>
            </w:r>
            <w:r w:rsidR="0010739F" w:rsidRPr="006D37BC">
              <w:t xml:space="preserve">the remainder </w:t>
            </w:r>
            <w:r w:rsidR="0010739F">
              <w:t>a</w:t>
            </w:r>
            <w:r w:rsidR="0010739F" w:rsidRPr="006D37BC">
              <w:t>re landfilled, stockpiled or illegally dumped.</w:t>
            </w:r>
            <w:r w:rsidR="0010739F">
              <w:rPr>
                <w:b/>
                <w:bCs/>
              </w:rPr>
              <w:t xml:space="preserve"> </w:t>
            </w:r>
            <w:r w:rsidR="0010739F">
              <w:t>I</w:t>
            </w:r>
            <w:r w:rsidR="0010739F" w:rsidRPr="00C22468">
              <w:t xml:space="preserve">ndustry led the co-design of the </w:t>
            </w:r>
            <w:r w:rsidR="0010739F">
              <w:t xml:space="preserve">product stewardship </w:t>
            </w:r>
            <w:r w:rsidR="0010739F" w:rsidRPr="00C22468">
              <w:t xml:space="preserve">scheme, known as </w:t>
            </w:r>
            <w:proofErr w:type="spellStart"/>
            <w:r w:rsidR="0010739F" w:rsidRPr="00C22468">
              <w:t>Tyrewise</w:t>
            </w:r>
            <w:proofErr w:type="spellEnd"/>
            <w:r w:rsidR="0010739F" w:rsidRPr="00C22468">
              <w:t xml:space="preserve">, which </w:t>
            </w:r>
            <w:r w:rsidR="0010739F">
              <w:t xml:space="preserve">collects and processes </w:t>
            </w:r>
            <w:r w:rsidR="0010739F" w:rsidRPr="00C22468">
              <w:t>end-of-life tyres and turn</w:t>
            </w:r>
            <w:r w:rsidR="0010739F">
              <w:t xml:space="preserve">s them </w:t>
            </w:r>
            <w:r w:rsidR="0010739F" w:rsidRPr="00C22468">
              <w:t>into new products. A tyre stewardship fee funds the scheme. The fee is built into the cost of the newly imported tyres that have entered the market from 1</w:t>
            </w:r>
            <w:r w:rsidR="007858F1">
              <w:t> </w:t>
            </w:r>
            <w:r w:rsidR="0010739F" w:rsidRPr="00C22468">
              <w:t>March 2024. The fee replaces the old system of ad-hoc disposal charges that many tyre retailers used to charge but did not guarantee responsible end-of-life management.</w:t>
            </w:r>
            <w:r w:rsidR="0010739F">
              <w:t xml:space="preserve"> The scheme is given effect through the Waste Minimisation (Tyres) Regulations 2023, the second and final tranche of which has been in force since 1 September 2024. </w:t>
            </w:r>
            <w:r w:rsidR="0010739F" w:rsidRPr="000B4B6C">
              <w:t>Ministry</w:t>
            </w:r>
            <w:r w:rsidR="0010739F">
              <w:t xml:space="preserve"> for the Environment</w:t>
            </w:r>
            <w:r w:rsidR="0010739F" w:rsidRPr="000B4B6C">
              <w:t xml:space="preserve"> officials will work with the sector to monitor and support ongoing implementation o</w:t>
            </w:r>
            <w:r w:rsidR="0010739F" w:rsidRPr="00F2659E">
              <w:t>f the scheme.</w:t>
            </w:r>
          </w:p>
        </w:tc>
        <w:tc>
          <w:tcPr>
            <w:tcW w:w="1586" w:type="pct"/>
          </w:tcPr>
          <w:p w14:paraId="354DD152" w14:textId="4185EA40" w:rsidR="008C65CE" w:rsidRPr="00AF1E51" w:rsidRDefault="008C65CE" w:rsidP="008C65CE">
            <w:pPr>
              <w:pStyle w:val="TableText"/>
            </w:pPr>
            <w:r>
              <w:t>O</w:t>
            </w:r>
            <w:r w:rsidRPr="00AF1E51">
              <w:t xml:space="preserve">ngoing implementation by </w:t>
            </w:r>
            <w:proofErr w:type="spellStart"/>
            <w:r w:rsidRPr="00AF1E51">
              <w:t>Tyrewise</w:t>
            </w:r>
            <w:proofErr w:type="spellEnd"/>
            <w:r w:rsidR="00324B69">
              <w:t>.</w:t>
            </w:r>
          </w:p>
          <w:p w14:paraId="6AF6F9B3" w14:textId="77777777" w:rsidR="008A0974" w:rsidRPr="008C65CE" w:rsidRDefault="008A0974" w:rsidP="008C65CE">
            <w:pPr>
              <w:pStyle w:val="TableText"/>
            </w:pPr>
          </w:p>
        </w:tc>
      </w:tr>
      <w:tr w:rsidR="008A0974" w:rsidRPr="006B77BB" w14:paraId="798E07AD" w14:textId="77777777">
        <w:tc>
          <w:tcPr>
            <w:tcW w:w="3414" w:type="pct"/>
          </w:tcPr>
          <w:p w14:paraId="1B93334F" w14:textId="3A46AAF5" w:rsidR="008A0974" w:rsidRPr="006B77BB" w:rsidRDefault="00AC2896" w:rsidP="007372C4">
            <w:pPr>
              <w:pStyle w:val="TableBullet"/>
            </w:pPr>
            <w:r>
              <w:rPr>
                <w:b/>
                <w:bCs/>
              </w:rPr>
              <w:t>S</w:t>
            </w:r>
            <w:r w:rsidR="007372C4" w:rsidRPr="00F2659E">
              <w:rPr>
                <w:b/>
                <w:bCs/>
              </w:rPr>
              <w:t>ynthetic refrigerant gases</w:t>
            </w:r>
            <w:r w:rsidR="007372C4" w:rsidRPr="00F2659E">
              <w:t xml:space="preserve"> </w:t>
            </w:r>
            <w:r w:rsidR="007372C4" w:rsidRPr="00F2659E">
              <w:rPr>
                <w:b/>
                <w:bCs/>
              </w:rPr>
              <w:t>–</w:t>
            </w:r>
            <w:r w:rsidR="007372C4" w:rsidRPr="00F2659E">
              <w:t xml:space="preserve"> </w:t>
            </w:r>
            <w:r w:rsidR="007372C4">
              <w:t>Refrigerant gases are used in heating, ventilation, air-condition</w:t>
            </w:r>
            <w:r w:rsidR="003566E6">
              <w:t>ing</w:t>
            </w:r>
            <w:r w:rsidR="007372C4">
              <w:t xml:space="preserve"> and refrigeration technology. </w:t>
            </w:r>
            <w:r w:rsidR="007372C4" w:rsidRPr="002154CE">
              <w:t>The Trust for the Destruction of Synthetic Refrigerants</w:t>
            </w:r>
            <w:r w:rsidR="007372C4">
              <w:t xml:space="preserve"> was established by the industry in 1993 and operates </w:t>
            </w:r>
            <w:r w:rsidR="007372C4" w:rsidRPr="002154CE">
              <w:t xml:space="preserve">a </w:t>
            </w:r>
            <w:r w:rsidR="007372C4">
              <w:t xml:space="preserve">voluntary </w:t>
            </w:r>
            <w:r w:rsidR="007372C4" w:rsidRPr="002154CE">
              <w:t xml:space="preserve">product stewardship scheme to collect and destroy the highest risk </w:t>
            </w:r>
            <w:r w:rsidR="007372C4">
              <w:t>refrigerant gases, which have much higher global warming potential than carbon dioxide.</w:t>
            </w:r>
            <w:r w:rsidR="007372C4" w:rsidRPr="002154CE">
              <w:t xml:space="preserve"> </w:t>
            </w:r>
            <w:r w:rsidR="007372C4">
              <w:t>The</w:t>
            </w:r>
            <w:r w:rsidR="007372C4" w:rsidRPr="002154CE">
              <w:t xml:space="preserve"> scheme has been accredited under the</w:t>
            </w:r>
            <w:r w:rsidR="007372C4" w:rsidRPr="002154CE" w:rsidDel="006243D0">
              <w:t xml:space="preserve"> </w:t>
            </w:r>
            <w:r w:rsidR="006243D0" w:rsidRPr="002154CE">
              <w:t>W</w:t>
            </w:r>
            <w:r w:rsidR="006243D0">
              <w:t>aste Minimisation Act</w:t>
            </w:r>
            <w:r w:rsidR="006243D0" w:rsidRPr="002154CE">
              <w:t xml:space="preserve"> </w:t>
            </w:r>
            <w:r w:rsidR="007372C4" w:rsidRPr="002154CE">
              <w:t>since 2010</w:t>
            </w:r>
            <w:r w:rsidR="007372C4">
              <w:t xml:space="preserve">, but as a voluntary scheme has had lower impact than is desirable. </w:t>
            </w:r>
            <w:r w:rsidR="007372C4" w:rsidRPr="00F64538">
              <w:rPr>
                <w:lang w:val="en-GB"/>
              </w:rPr>
              <w:t>In 2020 a</w:t>
            </w:r>
            <w:r w:rsidR="007372C4">
              <w:rPr>
                <w:lang w:val="en-GB"/>
              </w:rPr>
              <w:t xml:space="preserve"> </w:t>
            </w:r>
            <w:r w:rsidR="007372C4" w:rsidRPr="00F64538">
              <w:rPr>
                <w:lang w:val="en-GB"/>
              </w:rPr>
              <w:t xml:space="preserve">sector working party reported to </w:t>
            </w:r>
            <w:r w:rsidR="007372C4" w:rsidRPr="00F64538">
              <w:rPr>
                <w:lang w:val="en-GB"/>
              </w:rPr>
              <w:lastRenderedPageBreak/>
              <w:t xml:space="preserve">government on how best to improve the collection and destruction or safe reuse of </w:t>
            </w:r>
            <w:r w:rsidR="007372C4">
              <w:rPr>
                <w:lang w:val="en-GB"/>
              </w:rPr>
              <w:t>refrigerant gases and bring workforce competence up to international standards.</w:t>
            </w:r>
            <w:r w:rsidR="007372C4" w:rsidRPr="00F64538">
              <w:rPr>
                <w:lang w:val="en-GB"/>
              </w:rPr>
              <w:t xml:space="preserve"> </w:t>
            </w:r>
            <w:r w:rsidR="007372C4" w:rsidRPr="00F736BF">
              <w:t>Regulations to support full industry participation and restricting access to trained technicians is required to give this scheme full effect</w:t>
            </w:r>
            <w:r w:rsidR="007372C4">
              <w:t>.</w:t>
            </w:r>
            <w:r w:rsidR="007372C4" w:rsidRPr="00F736BF">
              <w:rPr>
                <w:lang w:val="en-GB"/>
              </w:rPr>
              <w:t xml:space="preserve"> </w:t>
            </w:r>
            <w:r w:rsidR="007372C4" w:rsidRPr="00F64538">
              <w:rPr>
                <w:lang w:val="en-GB"/>
              </w:rPr>
              <w:t>In late 2022</w:t>
            </w:r>
            <w:r w:rsidR="00F840B8">
              <w:rPr>
                <w:lang w:val="en-GB"/>
              </w:rPr>
              <w:t>,</w:t>
            </w:r>
            <w:r w:rsidR="007372C4" w:rsidRPr="00F64538">
              <w:rPr>
                <w:lang w:val="en-GB"/>
              </w:rPr>
              <w:t xml:space="preserve"> </w:t>
            </w:r>
            <w:r w:rsidR="00F840B8">
              <w:rPr>
                <w:lang w:val="en-GB"/>
              </w:rPr>
              <w:t>the G</w:t>
            </w:r>
            <w:r w:rsidR="007372C4" w:rsidRPr="00F64538">
              <w:rPr>
                <w:lang w:val="en-GB"/>
              </w:rPr>
              <w:t>overnment consulted on regulations to support this design.</w:t>
            </w:r>
            <w:r w:rsidR="007372C4">
              <w:rPr>
                <w:lang w:val="en-GB"/>
              </w:rPr>
              <w:t xml:space="preserve"> In December 2024, Cabinet agreed that regulations for a product stewardship scheme for synthetic refrigerants will be drafted in 2024/25, with progressive implementation. </w:t>
            </w:r>
            <w:r w:rsidR="007372C4" w:rsidRPr="008E6B6C">
              <w:t xml:space="preserve">This initiative will reduce domestic emissions </w:t>
            </w:r>
            <w:r w:rsidR="007372C4">
              <w:t>significantly</w:t>
            </w:r>
            <w:r w:rsidR="007372C4" w:rsidRPr="008E6B6C">
              <w:t xml:space="preserve"> </w:t>
            </w:r>
            <w:r w:rsidR="007372C4">
              <w:t>by</w:t>
            </w:r>
            <w:r w:rsidR="007372C4" w:rsidRPr="008E6B6C">
              <w:t xml:space="preserve"> 2030, at almost no cost to businesses and consumers.</w:t>
            </w:r>
          </w:p>
        </w:tc>
        <w:tc>
          <w:tcPr>
            <w:tcW w:w="1586" w:type="pct"/>
          </w:tcPr>
          <w:p w14:paraId="79241D89" w14:textId="7C76B1B6" w:rsidR="008A0974" w:rsidRPr="006B77BB" w:rsidRDefault="00681697" w:rsidP="00681697">
            <w:pPr>
              <w:pStyle w:val="TableText"/>
            </w:pPr>
            <w:r>
              <w:lastRenderedPageBreak/>
              <w:t>E</w:t>
            </w:r>
            <w:r w:rsidRPr="00AF1E51">
              <w:t>nact regulations in 2025</w:t>
            </w:r>
            <w:r w:rsidR="00324B69">
              <w:t>.</w:t>
            </w:r>
          </w:p>
        </w:tc>
      </w:tr>
      <w:tr w:rsidR="008C65CE" w:rsidRPr="006B77BB" w14:paraId="0E5A635A" w14:textId="77777777">
        <w:tc>
          <w:tcPr>
            <w:tcW w:w="3414" w:type="pct"/>
          </w:tcPr>
          <w:p w14:paraId="39992E47" w14:textId="4E6D3158" w:rsidR="008C65CE" w:rsidRPr="00F827BB" w:rsidRDefault="00324B69" w:rsidP="00F827BB">
            <w:pPr>
              <w:pStyle w:val="TableBullet"/>
            </w:pPr>
            <w:r>
              <w:rPr>
                <w:b/>
                <w:bCs/>
              </w:rPr>
              <w:t>F</w:t>
            </w:r>
            <w:r w:rsidR="00F827BB" w:rsidRPr="00F827BB">
              <w:rPr>
                <w:b/>
                <w:bCs/>
              </w:rPr>
              <w:t>arm plastics, agrichemicals and their containers –</w:t>
            </w:r>
            <w:r w:rsidR="00F827BB" w:rsidRPr="00F827BB">
              <w:t xml:space="preserve"> Voluntary accredited product stewardship schemes </w:t>
            </w:r>
            <w:proofErr w:type="spellStart"/>
            <w:r w:rsidR="00F827BB" w:rsidRPr="00F827BB">
              <w:t>Agrecovery</w:t>
            </w:r>
            <w:proofErr w:type="spellEnd"/>
            <w:r w:rsidR="00F827BB" w:rsidRPr="00F827BB">
              <w:t xml:space="preserve"> and </w:t>
            </w:r>
            <w:proofErr w:type="spellStart"/>
            <w:r w:rsidR="00F827BB" w:rsidRPr="00F827BB">
              <w:t>Plasback</w:t>
            </w:r>
            <w:proofErr w:type="spellEnd"/>
            <w:r w:rsidR="00F827BB" w:rsidRPr="00F827BB">
              <w:t xml:space="preserve"> have engaged many farmers to recycle agrichemicals, their containers and other farm plastics over the last decade. However, on-farm burning and burial of these products remains common practice in </w:t>
            </w:r>
            <w:r w:rsidR="00EE3F42">
              <w:t xml:space="preserve">some </w:t>
            </w:r>
            <w:r w:rsidR="00F827BB" w:rsidRPr="00F827BB">
              <w:t xml:space="preserve">rural areas. Industry-led working parties designed improvements to the </w:t>
            </w:r>
            <w:proofErr w:type="spellStart"/>
            <w:r w:rsidR="00F827BB" w:rsidRPr="00F827BB">
              <w:t>Agrecovery</w:t>
            </w:r>
            <w:proofErr w:type="spellEnd"/>
            <w:r w:rsidR="00F827BB" w:rsidRPr="00F827BB">
              <w:t xml:space="preserve"> and </w:t>
            </w:r>
            <w:proofErr w:type="spellStart"/>
            <w:r w:rsidR="00F827BB" w:rsidRPr="00F827BB">
              <w:t>Plasback</w:t>
            </w:r>
            <w:proofErr w:type="spellEnd"/>
            <w:r w:rsidR="00F827BB" w:rsidRPr="00F827BB">
              <w:t xml:space="preserve"> schemes and proposed a combined regulated ‘Green-farms’ scheme which was accredited in 2023. Proposed regulations would affect producers who place these products on the market. Farmers would not be regulated and would have better options for reducing waste through a nationwide collection service funded by a small product fee charged to producers.</w:t>
            </w:r>
          </w:p>
        </w:tc>
        <w:tc>
          <w:tcPr>
            <w:tcW w:w="1586" w:type="pct"/>
          </w:tcPr>
          <w:p w14:paraId="44911EE0" w14:textId="2CC0FD30" w:rsidR="008C65CE" w:rsidRPr="006B77BB" w:rsidRDefault="00B630FD" w:rsidP="00B630FD">
            <w:pPr>
              <w:pStyle w:val="TableText"/>
            </w:pPr>
            <w:r>
              <w:t>C</w:t>
            </w:r>
            <w:r w:rsidRPr="00AF1E51">
              <w:t>onsultation on regulations in 2024/25</w:t>
            </w:r>
            <w:r w:rsidR="00324B69">
              <w:t>.</w:t>
            </w:r>
          </w:p>
        </w:tc>
      </w:tr>
      <w:tr w:rsidR="008C65CE" w:rsidRPr="006B77BB" w14:paraId="149A3EE7" w14:textId="77777777">
        <w:tc>
          <w:tcPr>
            <w:tcW w:w="3414" w:type="pct"/>
          </w:tcPr>
          <w:p w14:paraId="15C5A027" w14:textId="20CA8630" w:rsidR="008C65CE" w:rsidRPr="006B77BB" w:rsidRDefault="00324B69" w:rsidP="002D32E2">
            <w:pPr>
              <w:pStyle w:val="TableBullet"/>
            </w:pPr>
            <w:r>
              <w:rPr>
                <w:b/>
                <w:bCs/>
              </w:rPr>
              <w:t>E</w:t>
            </w:r>
            <w:r w:rsidR="002D32E2" w:rsidRPr="000C5C10">
              <w:rPr>
                <w:b/>
                <w:bCs/>
              </w:rPr>
              <w:t xml:space="preserve">lectrical and electronic products (including batteries) – </w:t>
            </w:r>
            <w:r w:rsidR="002D32E2" w:rsidRPr="000C5C10">
              <w:t>Waste electronic and electrical products are known as e-waste. New Zealand generates an estimated 99,000 tonnes of e-waste annually, 98 per cent of which goes to landfill or illegal disposal. E-waste contains hazardous materials harmful to human health and the environment, but it also offers significant opportunities for business development, employment, and the extraction of valuable metals, including rare earth elements and precious metals. In addition, it is estimated that by 2030 New Zealand will have over 84,000 large batteries from electric vehicles reaching the end of their lifecycle, posing substantial environmental challenges.</w:t>
            </w:r>
            <w:r w:rsidR="002D32E2">
              <w:t xml:space="preserve"> </w:t>
            </w:r>
            <w:r w:rsidR="002D32E2" w:rsidRPr="0072566F">
              <w:t>The most widely used battery chemistries pose risks of fire hazard, release of toxins, and loss of rare earth metals.</w:t>
            </w:r>
            <w:r w:rsidR="002D32E2">
              <w:t xml:space="preserve"> </w:t>
            </w:r>
            <w:r w:rsidR="002D32E2" w:rsidRPr="0072566F">
              <w:t xml:space="preserve">Two industry led co-design projects have been completed, one for large batteries (led by the Battery Industry Group) and one for a small range of other e-waste (led by Tech-Collect NZ). </w:t>
            </w:r>
            <w:r w:rsidR="002D32E2">
              <w:t xml:space="preserve">The Ministry for the Environment will work with stakeholders to </w:t>
            </w:r>
            <w:r w:rsidR="002D32E2" w:rsidRPr="0072566F">
              <w:t>build on these designs and update the evidence base</w:t>
            </w:r>
            <w:r w:rsidR="002D32E2">
              <w:t>.</w:t>
            </w:r>
          </w:p>
        </w:tc>
        <w:tc>
          <w:tcPr>
            <w:tcW w:w="1586" w:type="pct"/>
          </w:tcPr>
          <w:p w14:paraId="599DC4F8" w14:textId="2209B841" w:rsidR="008C65CE" w:rsidRPr="006B77BB" w:rsidRDefault="00A32408" w:rsidP="00A32408">
            <w:pPr>
              <w:pStyle w:val="TableText"/>
            </w:pPr>
            <w:r>
              <w:t>W</w:t>
            </w:r>
            <w:r w:rsidRPr="00AF1E51">
              <w:t>ork with industry on next steps</w:t>
            </w:r>
            <w:r w:rsidR="00324B69">
              <w:t>.</w:t>
            </w:r>
          </w:p>
        </w:tc>
      </w:tr>
      <w:tr w:rsidR="008C65CE" w:rsidRPr="006B77BB" w14:paraId="30D7454B" w14:textId="77777777">
        <w:tc>
          <w:tcPr>
            <w:tcW w:w="3414" w:type="pct"/>
          </w:tcPr>
          <w:p w14:paraId="117F9A87" w14:textId="09B8AE05" w:rsidR="008C65CE" w:rsidRPr="006B77BB" w:rsidRDefault="00324B69" w:rsidP="00CF4692">
            <w:pPr>
              <w:pStyle w:val="TableBullet"/>
            </w:pPr>
            <w:r>
              <w:rPr>
                <w:b/>
                <w:bCs/>
              </w:rPr>
              <w:t>P</w:t>
            </w:r>
            <w:r w:rsidR="00CF4692" w:rsidRPr="00B55DE3">
              <w:rPr>
                <w:b/>
                <w:bCs/>
              </w:rPr>
              <w:t xml:space="preserve">lastic packaging – </w:t>
            </w:r>
            <w:r w:rsidR="00CF4692" w:rsidRPr="00A85037">
              <w:t>Plastic waste makes up an estimated 80</w:t>
            </w:r>
            <w:r w:rsidR="00144363">
              <w:t xml:space="preserve"> to </w:t>
            </w:r>
            <w:r w:rsidR="00CF4692" w:rsidRPr="00A85037">
              <w:t>85 per cent of marine litter and most urban litter in New Zealand. Plastic packaging poses harm to freshwater and marine wildlife from ingestion and breaks down into microplastics and food chain contamination. Currently the financial and environmental burden of managing post-consumer packaging falls on councils and communities. Since 2018, the Packaging Forum has operated an accredited voluntary product stewardship scheme for soft plastics. However, limited participation and limited markets for the collected plastics have hindered significant environmental gains. In September 2022 the Packaging Forum (supported by the Food and Grocery Council) was awarded funding from the Waste Minimisation Fund to lead a two-year project to co-design a plastic packaging product stewardship scheme. Their final report to government was received in late February 2025, and Ministry for the Environment officials will work with the sector on the next scheme development</w:t>
            </w:r>
            <w:r>
              <w:t>.</w:t>
            </w:r>
          </w:p>
        </w:tc>
        <w:tc>
          <w:tcPr>
            <w:tcW w:w="1586" w:type="pct"/>
          </w:tcPr>
          <w:p w14:paraId="6757DD72" w14:textId="4AAB9326" w:rsidR="008C65CE" w:rsidRPr="001C2660" w:rsidRDefault="001C2660" w:rsidP="001C2660">
            <w:pPr>
              <w:pStyle w:val="TableText"/>
            </w:pPr>
            <w:r w:rsidRPr="001C2660">
              <w:t>Work with industry on next steps</w:t>
            </w:r>
            <w:r w:rsidR="00324B69">
              <w:t>.</w:t>
            </w:r>
          </w:p>
        </w:tc>
      </w:tr>
    </w:tbl>
    <w:p w14:paraId="7BBF341E" w14:textId="77777777" w:rsidR="0060390B" w:rsidRDefault="0060390B">
      <w:r>
        <w:br w:type="page"/>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896303" w:rsidRPr="009D416E" w14:paraId="44388E27" w14:textId="77777777">
        <w:tc>
          <w:tcPr>
            <w:tcW w:w="5000" w:type="pct"/>
            <w:gridSpan w:val="2"/>
            <w:shd w:val="clear" w:color="auto" w:fill="D9D9D9" w:themeFill="background1" w:themeFillShade="D9"/>
          </w:tcPr>
          <w:p w14:paraId="1C9CBE2D" w14:textId="0B3B447D" w:rsidR="00896303" w:rsidRPr="009D16B5" w:rsidRDefault="00320A74" w:rsidP="009D416E">
            <w:pPr>
              <w:pStyle w:val="TableText"/>
              <w:rPr>
                <w:b/>
                <w:bCs/>
              </w:rPr>
            </w:pPr>
            <w:r w:rsidRPr="009D416E">
              <w:rPr>
                <w:b/>
                <w:bCs/>
              </w:rPr>
              <w:lastRenderedPageBreak/>
              <w:t>Beverage container return scheme</w:t>
            </w:r>
          </w:p>
        </w:tc>
      </w:tr>
      <w:tr w:rsidR="008C65CE" w:rsidRPr="006B77BB" w14:paraId="3534082C" w14:textId="77777777">
        <w:tc>
          <w:tcPr>
            <w:tcW w:w="3414" w:type="pct"/>
          </w:tcPr>
          <w:p w14:paraId="0F4C114F" w14:textId="6D857EB6" w:rsidR="00A54298" w:rsidRPr="009370F5" w:rsidRDefault="00A54298" w:rsidP="00FB5275">
            <w:pPr>
              <w:pStyle w:val="TableText"/>
            </w:pPr>
            <w:r w:rsidRPr="009370F5">
              <w:t>New Zealanders use over two and a half billion single-use drink containers each year. It is estimated that over half these empty beverage containers end up in landfills and unused stockpiles or as litter</w:t>
            </w:r>
            <w:r>
              <w:t>. A</w:t>
            </w:r>
            <w:r w:rsidRPr="009370F5">
              <w:t xml:space="preserve"> beverage container return scheme would encourage consumers and businesses to return beverage containers for recycling or re-use, through </w:t>
            </w:r>
            <w:r w:rsidR="00713D73">
              <w:t xml:space="preserve">the </w:t>
            </w:r>
            <w:r w:rsidRPr="009370F5">
              <w:t>use of a refundable deposit that would be added to the price of purchase</w:t>
            </w:r>
            <w:r>
              <w:t>.</w:t>
            </w:r>
            <w:r w:rsidRPr="009370F5">
              <w:t xml:space="preserve"> </w:t>
            </w:r>
          </w:p>
          <w:p w14:paraId="00E79650" w14:textId="29E94309" w:rsidR="008C65CE" w:rsidRPr="006B77BB" w:rsidRDefault="00324B69" w:rsidP="00FB5275">
            <w:pPr>
              <w:pStyle w:val="TableBullet"/>
            </w:pPr>
            <w:r>
              <w:t>D</w:t>
            </w:r>
            <w:r w:rsidR="00FB5275">
              <w:t xml:space="preserve">evelop </w:t>
            </w:r>
            <w:r w:rsidR="00FB5275" w:rsidRPr="00163985">
              <w:t xml:space="preserve">a framework </w:t>
            </w:r>
            <w:r w:rsidR="00FB5275">
              <w:t xml:space="preserve">for a </w:t>
            </w:r>
            <w:r w:rsidR="000A0C7E">
              <w:t xml:space="preserve">potential </w:t>
            </w:r>
            <w:r w:rsidR="00FB5275">
              <w:t xml:space="preserve">container return scheme </w:t>
            </w:r>
            <w:r w:rsidR="00FB5275" w:rsidRPr="00163985">
              <w:t xml:space="preserve">as part of wider improvements to product stewardship provisions in the </w:t>
            </w:r>
            <w:r w:rsidR="00424E1F">
              <w:t>Waste Mini</w:t>
            </w:r>
            <w:r w:rsidR="0051163A">
              <w:t>misation Act</w:t>
            </w:r>
            <w:r w:rsidR="00FB5275" w:rsidRPr="00163985">
              <w:t xml:space="preserve">, which would enable the establishment of a </w:t>
            </w:r>
            <w:r w:rsidR="00FB5275">
              <w:t>beverage</w:t>
            </w:r>
            <w:r w:rsidR="00FB5275" w:rsidRPr="00163985">
              <w:t xml:space="preserve"> container return scheme should the Government choose to do so</w:t>
            </w:r>
            <w:r w:rsidR="00FB5275">
              <w:t>.</w:t>
            </w:r>
          </w:p>
        </w:tc>
        <w:tc>
          <w:tcPr>
            <w:tcW w:w="1586" w:type="pct"/>
          </w:tcPr>
          <w:p w14:paraId="4F7E23E6" w14:textId="7EDC8D07" w:rsidR="008C65CE" w:rsidRPr="00322D12" w:rsidRDefault="00322D12" w:rsidP="00322D12">
            <w:pPr>
              <w:pStyle w:val="TableText"/>
            </w:pPr>
            <w:r w:rsidRPr="00322D12">
              <w:t>Consult on legislation proposals in 2025</w:t>
            </w:r>
            <w:r w:rsidR="00324B69">
              <w:t>.</w:t>
            </w:r>
          </w:p>
        </w:tc>
      </w:tr>
      <w:tr w:rsidR="00322D12" w:rsidRPr="009D416E" w14:paraId="3535B5C7" w14:textId="77777777">
        <w:tc>
          <w:tcPr>
            <w:tcW w:w="5000" w:type="pct"/>
            <w:gridSpan w:val="2"/>
            <w:shd w:val="clear" w:color="auto" w:fill="D9D9D9" w:themeFill="background1" w:themeFillShade="D9"/>
          </w:tcPr>
          <w:p w14:paraId="6A4A0885" w14:textId="609E89B8" w:rsidR="00322D12" w:rsidRPr="009D16B5" w:rsidRDefault="00FA1FB9" w:rsidP="009D416E">
            <w:pPr>
              <w:pStyle w:val="TableText"/>
              <w:rPr>
                <w:b/>
                <w:bCs/>
              </w:rPr>
            </w:pPr>
            <w:r w:rsidRPr="009D416E">
              <w:rPr>
                <w:b/>
                <w:bCs/>
              </w:rPr>
              <w:t>Construction and demolition waste</w:t>
            </w:r>
          </w:p>
        </w:tc>
      </w:tr>
      <w:tr w:rsidR="00322D12" w:rsidRPr="006B77BB" w14:paraId="5A2C6B96" w14:textId="77777777">
        <w:tc>
          <w:tcPr>
            <w:tcW w:w="3414" w:type="pct"/>
          </w:tcPr>
          <w:p w14:paraId="7A52A236" w14:textId="77777777" w:rsidR="00361B59" w:rsidRPr="006A0DF4" w:rsidRDefault="00361B59" w:rsidP="00361B59">
            <w:pPr>
              <w:pStyle w:val="TableText"/>
            </w:pPr>
            <w:r>
              <w:t xml:space="preserve">Initiatives to </w:t>
            </w:r>
            <w:r w:rsidRPr="008D3ADE">
              <w:t>enable construction waste to be reduced in a cost-effective way</w:t>
            </w:r>
            <w:r>
              <w:t xml:space="preserve">, incorporating </w:t>
            </w:r>
            <w:r w:rsidRPr="008D3ADE">
              <w:t>industry views on how this can best be achieved</w:t>
            </w:r>
            <w:r>
              <w:t>:</w:t>
            </w:r>
          </w:p>
          <w:p w14:paraId="4F25F065" w14:textId="57F351A3" w:rsidR="00361B59" w:rsidRPr="0045243D" w:rsidRDefault="00361B59" w:rsidP="00361B59">
            <w:pPr>
              <w:pStyle w:val="TableBullet"/>
              <w:rPr>
                <w:bCs/>
              </w:rPr>
            </w:pPr>
            <w:r w:rsidRPr="00A130ED">
              <w:t>prioritising levy funds to invest in construction and demolition separation and recovery infrastructure, including solutions to problematic materials such as treated timber</w:t>
            </w:r>
          </w:p>
          <w:p w14:paraId="688B5680" w14:textId="57544803" w:rsidR="00322D12" w:rsidRPr="006B77BB" w:rsidRDefault="00361B59" w:rsidP="00361B59">
            <w:pPr>
              <w:pStyle w:val="TableBullet"/>
            </w:pPr>
            <w:r w:rsidRPr="00A130ED">
              <w:t>work with industry to identify options to help manage surplus soil generated through construction and infrastructure projects</w:t>
            </w:r>
            <w:r>
              <w:t xml:space="preserve">, with the </w:t>
            </w:r>
            <w:r w:rsidRPr="00A130ED">
              <w:t xml:space="preserve">aim </w:t>
            </w:r>
            <w:r>
              <w:t>of</w:t>
            </w:r>
            <w:r w:rsidRPr="00A130ED">
              <w:t xml:space="preserve"> develop</w:t>
            </w:r>
            <w:r>
              <w:t>ing</w:t>
            </w:r>
            <w:r w:rsidRPr="00A130ED">
              <w:t xml:space="preserve"> cost-effective solutions that recognise the value of soil resources and maximise benefits.</w:t>
            </w:r>
            <w:r>
              <w:t xml:space="preserve"> This will include work with and responding to sector group </w:t>
            </w:r>
            <w:proofErr w:type="spellStart"/>
            <w:r>
              <w:t>WasteMINZ</w:t>
            </w:r>
            <w:proofErr w:type="spellEnd"/>
            <w:r>
              <w:t xml:space="preserve">, who </w:t>
            </w:r>
            <w:r w:rsidR="009A4EDD">
              <w:t>have</w:t>
            </w:r>
            <w:r>
              <w:t xml:space="preserve"> develop</w:t>
            </w:r>
            <w:r w:rsidR="009A4EDD">
              <w:t>ed</w:t>
            </w:r>
            <w:r>
              <w:t xml:space="preserve"> a white paper on soil reuse.</w:t>
            </w:r>
          </w:p>
        </w:tc>
        <w:tc>
          <w:tcPr>
            <w:tcW w:w="1586" w:type="pct"/>
          </w:tcPr>
          <w:p w14:paraId="44826A14" w14:textId="0BC624A9" w:rsidR="00322D12" w:rsidRPr="006B77BB" w:rsidRDefault="00361B59">
            <w:pPr>
              <w:pStyle w:val="TableText"/>
            </w:pPr>
            <w:r>
              <w:t>Ongoing</w:t>
            </w:r>
          </w:p>
        </w:tc>
      </w:tr>
      <w:tr w:rsidR="008A0974" w:rsidRPr="009D416E" w14:paraId="6F37A980" w14:textId="77777777">
        <w:tc>
          <w:tcPr>
            <w:tcW w:w="5000" w:type="pct"/>
            <w:gridSpan w:val="2"/>
            <w:shd w:val="clear" w:color="auto" w:fill="D9D9D9" w:themeFill="background1" w:themeFillShade="D9"/>
          </w:tcPr>
          <w:p w14:paraId="66D407AF" w14:textId="5689E5D8" w:rsidR="008A0974" w:rsidRPr="009D16B5" w:rsidRDefault="006A4539" w:rsidP="009D416E">
            <w:pPr>
              <w:pStyle w:val="TableText"/>
              <w:rPr>
                <w:b/>
                <w:bCs/>
              </w:rPr>
            </w:pPr>
            <w:r w:rsidRPr="009D416E">
              <w:rPr>
                <w:b/>
                <w:bCs/>
              </w:rPr>
              <w:t>Waste-related trade opportunities</w:t>
            </w:r>
          </w:p>
        </w:tc>
      </w:tr>
      <w:tr w:rsidR="008A0974" w:rsidRPr="006B77BB" w14:paraId="6788416B" w14:textId="77777777">
        <w:tc>
          <w:tcPr>
            <w:tcW w:w="3414" w:type="pct"/>
          </w:tcPr>
          <w:p w14:paraId="6E04A698" w14:textId="77777777" w:rsidR="00364DF7" w:rsidRPr="00A95412" w:rsidRDefault="00364DF7" w:rsidP="00364DF7">
            <w:pPr>
              <w:pStyle w:val="TableText"/>
            </w:pPr>
            <w:r w:rsidRPr="00A95412">
              <w:t>Waste-related trade opportunities include:</w:t>
            </w:r>
          </w:p>
          <w:p w14:paraId="43780948" w14:textId="77777777" w:rsidR="00364DF7" w:rsidRPr="006A0DF4" w:rsidRDefault="00364DF7" w:rsidP="00364DF7">
            <w:pPr>
              <w:pStyle w:val="TableBullet"/>
            </w:pPr>
            <w:r w:rsidRPr="00A95412">
              <w:t xml:space="preserve">European Union </w:t>
            </w:r>
            <w:r>
              <w:t xml:space="preserve">(EU) </w:t>
            </w:r>
            <w:r w:rsidRPr="00A95412">
              <w:t>requirements for recycled content for packaging and the necessary domestic infrastructure to enable major New Zealand businesses to comply and continue to access the European market</w:t>
            </w:r>
          </w:p>
          <w:p w14:paraId="456E870A" w14:textId="6F08F6EE" w:rsidR="008A0974" w:rsidRPr="006B77BB" w:rsidRDefault="00364DF7" w:rsidP="00364DF7">
            <w:pPr>
              <w:pStyle w:val="TableBullet"/>
            </w:pPr>
            <w:r>
              <w:t>t</w:t>
            </w:r>
            <w:r w:rsidRPr="00A95412">
              <w:t>he role of the Eco Choice Aotearoa ecolabel in supporting businesses to substantiate their green credentials and adhere to the new EU laws on green claims.</w:t>
            </w:r>
          </w:p>
        </w:tc>
        <w:tc>
          <w:tcPr>
            <w:tcW w:w="1586" w:type="pct"/>
          </w:tcPr>
          <w:p w14:paraId="3C3F6812" w14:textId="69E78C0A" w:rsidR="008A0974" w:rsidRPr="006B77BB" w:rsidRDefault="00364DF7">
            <w:pPr>
              <w:pStyle w:val="TableText"/>
            </w:pPr>
            <w:r>
              <w:t>Ongoing</w:t>
            </w:r>
          </w:p>
        </w:tc>
      </w:tr>
    </w:tbl>
    <w:p w14:paraId="0878E1D3" w14:textId="33DA83A8" w:rsidR="008A0974" w:rsidRDefault="00DF5043" w:rsidP="00DF5043">
      <w:pPr>
        <w:pStyle w:val="Heading2"/>
        <w:spacing w:after="120"/>
      </w:pPr>
      <w:r>
        <w:t xml:space="preserve">Focus area: </w:t>
      </w:r>
      <w:r w:rsidR="0045093C">
        <w:t>R</w:t>
      </w:r>
      <w:r>
        <w:t>educing harm and addressing legacy issues</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E203BC" w:rsidRPr="0095536B" w14:paraId="73D174F8" w14:textId="77777777">
        <w:trPr>
          <w:tblHeader/>
        </w:trPr>
        <w:tc>
          <w:tcPr>
            <w:tcW w:w="3414" w:type="pct"/>
            <w:shd w:val="clear" w:color="auto" w:fill="1B556B" w:themeFill="text2"/>
          </w:tcPr>
          <w:p w14:paraId="7A5F6C58" w14:textId="77777777" w:rsidR="00E203BC" w:rsidRPr="0095536B" w:rsidRDefault="00E203BC">
            <w:pPr>
              <w:pStyle w:val="TableTextbold"/>
              <w:rPr>
                <w:color w:val="FFFFFF" w:themeColor="background1"/>
              </w:rPr>
            </w:pPr>
            <w:r>
              <w:rPr>
                <w:color w:val="FFFFFF" w:themeColor="background1"/>
              </w:rPr>
              <w:t>Workstreams</w:t>
            </w:r>
          </w:p>
        </w:tc>
        <w:tc>
          <w:tcPr>
            <w:tcW w:w="1586" w:type="pct"/>
            <w:shd w:val="clear" w:color="auto" w:fill="1B556B" w:themeFill="text2"/>
          </w:tcPr>
          <w:p w14:paraId="39CC75D6" w14:textId="77777777" w:rsidR="00E203BC" w:rsidRPr="0095536B" w:rsidRDefault="00E203BC">
            <w:pPr>
              <w:pStyle w:val="TableTextbold"/>
              <w:rPr>
                <w:color w:val="FFFFFF" w:themeColor="background1"/>
              </w:rPr>
            </w:pPr>
            <w:r>
              <w:rPr>
                <w:color w:val="FFFFFF" w:themeColor="background1"/>
              </w:rPr>
              <w:t>Timing</w:t>
            </w:r>
          </w:p>
        </w:tc>
      </w:tr>
      <w:tr w:rsidR="005C3A3D" w:rsidRPr="009D416E" w14:paraId="6D744FAB" w14:textId="77777777">
        <w:tc>
          <w:tcPr>
            <w:tcW w:w="5000" w:type="pct"/>
            <w:gridSpan w:val="2"/>
            <w:shd w:val="clear" w:color="auto" w:fill="D9D9D9" w:themeFill="background1" w:themeFillShade="D9"/>
          </w:tcPr>
          <w:p w14:paraId="6658885D" w14:textId="3C4F469F" w:rsidR="005C3A3D" w:rsidRPr="009D16B5" w:rsidRDefault="001B3166" w:rsidP="009D416E">
            <w:pPr>
              <w:pStyle w:val="TableText"/>
              <w:rPr>
                <w:b/>
                <w:bCs/>
              </w:rPr>
            </w:pPr>
            <w:r w:rsidRPr="009D416E">
              <w:rPr>
                <w:b/>
                <w:bCs/>
              </w:rPr>
              <w:t>Contaminated site and vulnerable landfill remediation</w:t>
            </w:r>
          </w:p>
        </w:tc>
      </w:tr>
      <w:tr w:rsidR="005C3A3D" w:rsidRPr="006B77BB" w14:paraId="51A3B4E8" w14:textId="77777777">
        <w:tc>
          <w:tcPr>
            <w:tcW w:w="3414" w:type="pct"/>
          </w:tcPr>
          <w:p w14:paraId="22C0E6F5" w14:textId="1BAEE9B0" w:rsidR="00DF4170" w:rsidRDefault="00DF4170" w:rsidP="00DF4170">
            <w:pPr>
              <w:pStyle w:val="TableBullet"/>
            </w:pPr>
            <w:r w:rsidRPr="00771C1B">
              <w:t>The environmental harm associated with closed landfills and the historic inappropriate dumping of waste is becoming more prominent, particularly as the impacts of severe weather events are becoming more prevalent. From 1</w:t>
            </w:r>
            <w:r w:rsidR="00D00B82">
              <w:t> </w:t>
            </w:r>
            <w:r w:rsidRPr="00771C1B">
              <w:t xml:space="preserve">July 2024, projects to remediate contaminated sites </w:t>
            </w:r>
            <w:r w:rsidR="00B47358">
              <w:t>can</w:t>
            </w:r>
            <w:r w:rsidRPr="00771C1B">
              <w:t xml:space="preserve"> be funded through the levy. This will enable an increase in funding, and more proactive management of historic sites before they become a prob</w:t>
            </w:r>
            <w:r>
              <w:t>lem</w:t>
            </w:r>
            <w:r w:rsidR="00324B69">
              <w:t>.</w:t>
            </w:r>
          </w:p>
          <w:p w14:paraId="222144F0" w14:textId="2575AB10" w:rsidR="005C3A3D" w:rsidRPr="006B77BB" w:rsidRDefault="00DF4170" w:rsidP="00DF4170">
            <w:pPr>
              <w:pStyle w:val="TableBullet"/>
            </w:pPr>
            <w:r w:rsidRPr="004C2853">
              <w:t>Officials will investigate using levy revenue to also fund the remediation of contaminated sites on Crown land which pose an unacceptable risk to the environment and human health</w:t>
            </w:r>
            <w:r>
              <w:t>.</w:t>
            </w:r>
          </w:p>
        </w:tc>
        <w:tc>
          <w:tcPr>
            <w:tcW w:w="1586" w:type="pct"/>
          </w:tcPr>
          <w:p w14:paraId="715E81BA" w14:textId="08A0CDAD" w:rsidR="005C3A3D" w:rsidRPr="00902591" w:rsidRDefault="00902591" w:rsidP="00902591">
            <w:pPr>
              <w:pStyle w:val="TableText"/>
            </w:pPr>
            <w:r w:rsidRPr="00902591">
              <w:t>New Contaminated Sites and Vulnerable Landfills Fund opened in October 2024</w:t>
            </w:r>
            <w:r w:rsidR="00324B69">
              <w:t>.</w:t>
            </w:r>
          </w:p>
        </w:tc>
      </w:tr>
    </w:tbl>
    <w:p w14:paraId="4BD7BD75" w14:textId="77777777" w:rsidR="00F93F33" w:rsidRDefault="00F93F33">
      <w:r>
        <w:br w:type="page"/>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5C3A3D" w:rsidRPr="009D416E" w14:paraId="4CA0438E" w14:textId="77777777">
        <w:tc>
          <w:tcPr>
            <w:tcW w:w="5000" w:type="pct"/>
            <w:gridSpan w:val="2"/>
            <w:shd w:val="clear" w:color="auto" w:fill="D9D9D9" w:themeFill="background1" w:themeFillShade="D9"/>
          </w:tcPr>
          <w:p w14:paraId="105FF755" w14:textId="40B71CC6" w:rsidR="005C3A3D" w:rsidRPr="009D16B5" w:rsidRDefault="009C2244" w:rsidP="009D416E">
            <w:pPr>
              <w:pStyle w:val="TableText"/>
              <w:rPr>
                <w:b/>
                <w:bCs/>
              </w:rPr>
            </w:pPr>
            <w:r w:rsidRPr="009D416E">
              <w:rPr>
                <w:b/>
                <w:bCs/>
              </w:rPr>
              <w:lastRenderedPageBreak/>
              <w:t>Compliance, monitoring and enforcement</w:t>
            </w:r>
          </w:p>
        </w:tc>
      </w:tr>
      <w:tr w:rsidR="005C3A3D" w:rsidRPr="006B77BB" w14:paraId="20775DE0" w14:textId="77777777">
        <w:tc>
          <w:tcPr>
            <w:tcW w:w="3414" w:type="pct"/>
          </w:tcPr>
          <w:p w14:paraId="500C14DA" w14:textId="6FE21ADE" w:rsidR="003B5672" w:rsidRDefault="003B5672" w:rsidP="003B5672">
            <w:pPr>
              <w:pStyle w:val="TableText"/>
            </w:pPr>
            <w:r>
              <w:t xml:space="preserve">Compliance, monitoring and enforcement of regulatory obligations under the </w:t>
            </w:r>
            <w:r w:rsidR="00D00B82">
              <w:t>Waste Minimisation Act</w:t>
            </w:r>
            <w:r>
              <w:t>, including:</w:t>
            </w:r>
          </w:p>
          <w:p w14:paraId="7A88CE0D" w14:textId="77777777" w:rsidR="003B5672" w:rsidRDefault="003B5672" w:rsidP="003B5672">
            <w:pPr>
              <w:pStyle w:val="TableBullet"/>
            </w:pPr>
            <w:r>
              <w:t>payment</w:t>
            </w:r>
            <w:r w:rsidRPr="00DB69A7">
              <w:t xml:space="preserve"> </w:t>
            </w:r>
            <w:r>
              <w:t xml:space="preserve">of </w:t>
            </w:r>
            <w:r w:rsidRPr="00DB69A7">
              <w:t>the levy</w:t>
            </w:r>
          </w:p>
          <w:p w14:paraId="6D55C746" w14:textId="77777777" w:rsidR="003B5672" w:rsidRDefault="003B5672" w:rsidP="003B5672">
            <w:pPr>
              <w:pStyle w:val="TableBullet"/>
            </w:pPr>
            <w:r>
              <w:t>record-keeping and reporting provisions</w:t>
            </w:r>
          </w:p>
          <w:p w14:paraId="0ECAC0B1" w14:textId="77777777" w:rsidR="003B5672" w:rsidRDefault="003B5672" w:rsidP="003B5672">
            <w:pPr>
              <w:pStyle w:val="TableBullet"/>
            </w:pPr>
            <w:r>
              <w:t>monitoring and audit of levy spend by territorial authorities and Waste Minimisation Fund recipients</w:t>
            </w:r>
          </w:p>
          <w:p w14:paraId="134F0E4F" w14:textId="77777777" w:rsidR="003B5672" w:rsidRDefault="003B5672" w:rsidP="003B5672">
            <w:pPr>
              <w:pStyle w:val="TableBullet"/>
            </w:pPr>
            <w:r w:rsidRPr="00DB69A7">
              <w:t xml:space="preserve">product bans including single-use shopping bags and other </w:t>
            </w:r>
            <w:r>
              <w:t>hard-to-recycle and single-use</w:t>
            </w:r>
            <w:r w:rsidRPr="00DB69A7">
              <w:t xml:space="preserve"> plastics</w:t>
            </w:r>
          </w:p>
          <w:p w14:paraId="3B4C89F5" w14:textId="025BD467" w:rsidR="005C3A3D" w:rsidRPr="006B77BB" w:rsidRDefault="003B5672" w:rsidP="003B5672">
            <w:pPr>
              <w:pStyle w:val="TableBullet"/>
            </w:pPr>
            <w:r w:rsidRPr="00DB69A7">
              <w:t>regulated product stewardship</w:t>
            </w:r>
            <w:r>
              <w:t xml:space="preserve"> (currently the </w:t>
            </w:r>
            <w:r w:rsidRPr="004543EB">
              <w:t>Waste Minimisation (Tyres) Regulations 2023</w:t>
            </w:r>
            <w:r>
              <w:t>, with additional regulations under development)</w:t>
            </w:r>
            <w:r w:rsidR="00324B69">
              <w:t>.</w:t>
            </w:r>
          </w:p>
        </w:tc>
        <w:tc>
          <w:tcPr>
            <w:tcW w:w="1586" w:type="pct"/>
          </w:tcPr>
          <w:p w14:paraId="02556103" w14:textId="0DCD3D27" w:rsidR="005C3A3D" w:rsidRPr="006B77BB" w:rsidRDefault="003B5672">
            <w:pPr>
              <w:pStyle w:val="TableText"/>
            </w:pPr>
            <w:r>
              <w:t>Ongoing</w:t>
            </w:r>
          </w:p>
        </w:tc>
      </w:tr>
    </w:tbl>
    <w:p w14:paraId="01D9D235" w14:textId="249690E5" w:rsidR="006B769E" w:rsidRDefault="006B769E" w:rsidP="006B769E">
      <w:pPr>
        <w:pStyle w:val="Heading2"/>
        <w:spacing w:after="120"/>
      </w:pPr>
      <w:r>
        <w:t xml:space="preserve">Focus area: </w:t>
      </w:r>
      <w:r w:rsidR="0045093C">
        <w:t>I</w:t>
      </w:r>
      <w:r w:rsidRPr="00767995">
        <w:t>nternational chemical and waste</w:t>
      </w:r>
      <w:r w:rsidR="0045093C">
        <w:t> </w:t>
      </w:r>
      <w:r w:rsidRPr="00767995">
        <w:t>commitments</w:t>
      </w:r>
    </w:p>
    <w:tbl>
      <w:tblPr>
        <w:tblStyle w:val="TableGrid"/>
        <w:tblW w:w="9072"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6194"/>
        <w:gridCol w:w="2878"/>
      </w:tblGrid>
      <w:tr w:rsidR="00E203BC" w:rsidRPr="0095536B" w14:paraId="7A42FF3B" w14:textId="77777777">
        <w:trPr>
          <w:tblHeader/>
        </w:trPr>
        <w:tc>
          <w:tcPr>
            <w:tcW w:w="3414" w:type="pct"/>
            <w:shd w:val="clear" w:color="auto" w:fill="1B556B" w:themeFill="text2"/>
          </w:tcPr>
          <w:p w14:paraId="61F8CFCC" w14:textId="2973BC90" w:rsidR="00E203BC" w:rsidRPr="0095536B" w:rsidRDefault="00E203BC">
            <w:pPr>
              <w:pStyle w:val="TableTextbold"/>
              <w:rPr>
                <w:color w:val="FFFFFF" w:themeColor="background1"/>
              </w:rPr>
            </w:pPr>
            <w:r>
              <w:rPr>
                <w:color w:val="FFFFFF" w:themeColor="background1"/>
              </w:rPr>
              <w:t>Workstream</w:t>
            </w:r>
          </w:p>
        </w:tc>
        <w:tc>
          <w:tcPr>
            <w:tcW w:w="1586" w:type="pct"/>
            <w:shd w:val="clear" w:color="auto" w:fill="1B556B" w:themeFill="text2"/>
          </w:tcPr>
          <w:p w14:paraId="2148A086" w14:textId="77777777" w:rsidR="00E203BC" w:rsidRPr="0095536B" w:rsidRDefault="00E203BC">
            <w:pPr>
              <w:pStyle w:val="TableTextbold"/>
              <w:rPr>
                <w:color w:val="FFFFFF" w:themeColor="background1"/>
              </w:rPr>
            </w:pPr>
            <w:r>
              <w:rPr>
                <w:color w:val="FFFFFF" w:themeColor="background1"/>
              </w:rPr>
              <w:t>Timing</w:t>
            </w:r>
          </w:p>
        </w:tc>
      </w:tr>
      <w:tr w:rsidR="00E203BC" w:rsidRPr="009D416E" w14:paraId="6451C2C1" w14:textId="77777777">
        <w:tc>
          <w:tcPr>
            <w:tcW w:w="5000" w:type="pct"/>
            <w:gridSpan w:val="2"/>
            <w:shd w:val="clear" w:color="auto" w:fill="D9D9D9" w:themeFill="background1" w:themeFillShade="D9"/>
          </w:tcPr>
          <w:p w14:paraId="7746705E" w14:textId="5C6F2843" w:rsidR="00E203BC" w:rsidRPr="009D16B5" w:rsidRDefault="002108DE">
            <w:pPr>
              <w:pStyle w:val="TableText"/>
              <w:rPr>
                <w:b/>
                <w:bCs/>
              </w:rPr>
            </w:pPr>
            <w:r>
              <w:rPr>
                <w:b/>
                <w:bCs/>
              </w:rPr>
              <w:t>Work to support multilateral environmental agreements</w:t>
            </w:r>
          </w:p>
        </w:tc>
      </w:tr>
      <w:tr w:rsidR="00E203BC" w:rsidRPr="006B77BB" w14:paraId="32E1CB84" w14:textId="77777777">
        <w:tc>
          <w:tcPr>
            <w:tcW w:w="3414" w:type="pct"/>
          </w:tcPr>
          <w:p w14:paraId="251ACBDC" w14:textId="77777777" w:rsidR="00267406" w:rsidRPr="000D2233" w:rsidRDefault="00267406" w:rsidP="00267406">
            <w:pPr>
              <w:pStyle w:val="TableText"/>
            </w:pPr>
            <w:r>
              <w:t>S</w:t>
            </w:r>
            <w:r w:rsidRPr="000D2233">
              <w:t>upporting global solutions to environmental issues through negotiating, ratifying and implementing international Treaties, including:</w:t>
            </w:r>
          </w:p>
          <w:p w14:paraId="100B7E8E" w14:textId="77777777" w:rsidR="00267406" w:rsidRPr="000D2233" w:rsidRDefault="00267406" w:rsidP="00267406">
            <w:pPr>
              <w:pStyle w:val="TableBullet"/>
            </w:pPr>
            <w:r w:rsidRPr="000D2233">
              <w:t>continuing to engage in the negotiation of the United Nations global plastics treaty and advocating for New Zealand interests as outlined in the mandate Cabinet agreed in April 2024</w:t>
            </w:r>
          </w:p>
          <w:p w14:paraId="2402D9F1" w14:textId="16473ABE" w:rsidR="00267406" w:rsidRPr="000D2233" w:rsidRDefault="00267406" w:rsidP="00267406">
            <w:pPr>
              <w:pStyle w:val="TableBullet"/>
            </w:pPr>
            <w:r w:rsidRPr="000D2233">
              <w:t>implement</w:t>
            </w:r>
            <w:r w:rsidR="00D00B82">
              <w:t>ing</w:t>
            </w:r>
            <w:r w:rsidRPr="000D2233">
              <w:t xml:space="preserve"> the Basel Convention, including e-waste amendments – consultation on these proposals closed at the end of August 2024 </w:t>
            </w:r>
          </w:p>
          <w:p w14:paraId="2FA942A7" w14:textId="4764B341" w:rsidR="00E203BC" w:rsidRPr="006B77BB" w:rsidRDefault="00267406" w:rsidP="00267406">
            <w:pPr>
              <w:pStyle w:val="TableBullet"/>
            </w:pPr>
            <w:r w:rsidRPr="000D2233">
              <w:t>rati</w:t>
            </w:r>
            <w:r w:rsidR="008D55A8">
              <w:t>fying</w:t>
            </w:r>
            <w:r w:rsidRPr="000D2233">
              <w:t xml:space="preserve"> the Minamata Convention (on mercury) to ensure effective compliance and enforcement.</w:t>
            </w:r>
            <w:r>
              <w:t xml:space="preserve"> This will include amending the National Environmental Standards for Air Quality.</w:t>
            </w:r>
          </w:p>
        </w:tc>
        <w:tc>
          <w:tcPr>
            <w:tcW w:w="1586" w:type="pct"/>
          </w:tcPr>
          <w:p w14:paraId="2DBED508" w14:textId="2C364C1D" w:rsidR="00150373" w:rsidRDefault="00150373" w:rsidP="00150373">
            <w:pPr>
              <w:pStyle w:val="TableText"/>
            </w:pPr>
            <w:r>
              <w:t>Sixth session of the global plastics treaty to be held 4</w:t>
            </w:r>
            <w:r w:rsidR="00FF2A05">
              <w:t>–</w:t>
            </w:r>
            <w:r>
              <w:t>14 August 2025.</w:t>
            </w:r>
          </w:p>
          <w:p w14:paraId="0B6EC0A9" w14:textId="2B37B926" w:rsidR="00E203BC" w:rsidRPr="006B77BB" w:rsidRDefault="00150373" w:rsidP="00150373">
            <w:pPr>
              <w:pStyle w:val="TableText"/>
            </w:pPr>
            <w:r>
              <w:t>Triple Conference of Parties (Basel, Rotterdam, Stockholm) 28 May – 9</w:t>
            </w:r>
            <w:r w:rsidR="005179F7">
              <w:t> </w:t>
            </w:r>
            <w:r>
              <w:t>April 2025.</w:t>
            </w:r>
          </w:p>
        </w:tc>
      </w:tr>
    </w:tbl>
    <w:p w14:paraId="52E0D1CA" w14:textId="62D6C1F1" w:rsidR="00E203BC" w:rsidRDefault="00E203BC" w:rsidP="00D1660E">
      <w:pPr>
        <w:pStyle w:val="BodyText"/>
      </w:pPr>
    </w:p>
    <w:p w14:paraId="27A25A21" w14:textId="7EC47C48" w:rsidR="00FA0C86" w:rsidRDefault="006239DF" w:rsidP="00D1660E">
      <w:pPr>
        <w:pStyle w:val="BodyText"/>
      </w:pPr>
      <w:r>
        <w:rPr>
          <w:noProof/>
        </w:rPr>
        <mc:AlternateContent>
          <mc:Choice Requires="wps">
            <w:drawing>
              <wp:anchor distT="0" distB="0" distL="114300" distR="114300" simplePos="0" relativeHeight="251658240" behindDoc="0" locked="1" layoutInCell="1" allowOverlap="1" wp14:anchorId="6396C632" wp14:editId="5F2C19AC">
                <wp:simplePos x="0" y="0"/>
                <wp:positionH relativeFrom="column">
                  <wp:posOffset>-10160</wp:posOffset>
                </wp:positionH>
                <wp:positionV relativeFrom="page">
                  <wp:posOffset>9358630</wp:posOffset>
                </wp:positionV>
                <wp:extent cx="5835650" cy="739140"/>
                <wp:effectExtent l="0" t="0" r="12700" b="22860"/>
                <wp:wrapNone/>
                <wp:docPr id="1" name="Text Box 1"/>
                <wp:cNvGraphicFramePr/>
                <a:graphic xmlns:a="http://schemas.openxmlformats.org/drawingml/2006/main">
                  <a:graphicData uri="http://schemas.microsoft.com/office/word/2010/wordprocessingShape">
                    <wps:wsp>
                      <wps:cNvSpPr txBox="1"/>
                      <wps:spPr>
                        <a:xfrm>
                          <a:off x="0" y="0"/>
                          <a:ext cx="5835650" cy="73914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79CDFB16"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15DBB10" w14:textId="1A4E85F0" w:rsidR="006239DF" w:rsidRDefault="00B0632C" w:rsidP="007326CB">
                                  <w:pPr>
                                    <w:pStyle w:val="TableText"/>
                                  </w:pPr>
                                  <w:r>
                                    <w:br/>
                                  </w:r>
                                  <w:r w:rsidR="006239DF" w:rsidRPr="006C18C8">
                                    <w:t xml:space="preserve">Published in </w:t>
                                  </w:r>
                                  <w:r w:rsidR="00F0383F">
                                    <w:t xml:space="preserve">March 2025 </w:t>
                                  </w:r>
                                  <w:r w:rsidR="006239DF" w:rsidRPr="006C18C8">
                                    <w:t xml:space="preserve">by the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124CF1">
                                    <w:t>12</w:t>
                                  </w:r>
                                  <w:r w:rsidR="00677B93">
                                    <w:t>91</w:t>
                                  </w:r>
                                </w:p>
                              </w:tc>
                              <w:tc>
                                <w:tcPr>
                                  <w:tcW w:w="3588" w:type="dxa"/>
                                  <w:shd w:val="clear" w:color="auto" w:fill="FFFFFF" w:themeFill="background1"/>
                                  <w:tcMar>
                                    <w:left w:w="0" w:type="dxa"/>
                                    <w:right w:w="0" w:type="dxa"/>
                                  </w:tcMar>
                                  <w:vAlign w:val="bottom"/>
                                </w:tcPr>
                                <w:p w14:paraId="03DE14BB" w14:textId="77777777" w:rsidR="006239DF" w:rsidRDefault="006239DF" w:rsidP="00E57601">
                                  <w:pPr>
                                    <w:pStyle w:val="Footer"/>
                                    <w:jc w:val="right"/>
                                  </w:pPr>
                                  <w:r>
                                    <w:rPr>
                                      <w:noProof/>
                                    </w:rPr>
                                    <w:drawing>
                                      <wp:inline distT="0" distB="0" distL="0" distR="0" wp14:anchorId="4167F8F2" wp14:editId="4CC639F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266652"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C632" id="_x0000_t202" coordsize="21600,21600" o:spt="202" path="m,l,21600r21600,l21600,xe">
                <v:stroke joinstyle="miter"/>
                <v:path gradientshapeok="t" o:connecttype="rect"/>
              </v:shapetype>
              <v:shape id="Text Box 1" o:spid="_x0000_s1026" type="#_x0000_t202" style="position:absolute;margin-left:-.8pt;margin-top:736.9pt;width:459.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79CDFB16"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15DBB10" w14:textId="1A4E85F0" w:rsidR="006239DF" w:rsidRDefault="00B0632C" w:rsidP="007326CB">
                            <w:pPr>
                              <w:pStyle w:val="TableText"/>
                            </w:pPr>
                            <w:r>
                              <w:br/>
                            </w:r>
                            <w:r w:rsidR="006239DF" w:rsidRPr="006C18C8">
                              <w:t xml:space="preserve">Published in </w:t>
                            </w:r>
                            <w:r w:rsidR="00F0383F">
                              <w:t xml:space="preserve">March 2025 </w:t>
                            </w:r>
                            <w:r w:rsidR="006239DF" w:rsidRPr="006C18C8">
                              <w:t xml:space="preserve">by the </w:t>
                            </w:r>
                            <w:r w:rsidR="006239DF" w:rsidRPr="006C18C8">
                              <w:br/>
                              <w:t xml:space="preserve">Ministry for the Environment – Manatū </w:t>
                            </w:r>
                            <w:r w:rsidR="00AA40AD">
                              <w:t>m</w:t>
                            </w:r>
                            <w:r w:rsidR="006239DF" w:rsidRPr="006C18C8">
                              <w:t xml:space="preserve">ō </w:t>
                            </w:r>
                            <w:r w:rsidR="00AA40AD">
                              <w:t>t</w:t>
                            </w:r>
                            <w:r w:rsidR="006239DF" w:rsidRPr="006C18C8">
                              <w:t>e Taiao</w:t>
                            </w:r>
                            <w:r w:rsidR="006239DF" w:rsidRPr="006C18C8">
                              <w:br/>
                              <w:t xml:space="preserve">Publication number: INFO </w:t>
                            </w:r>
                            <w:r w:rsidR="00124CF1">
                              <w:t>12</w:t>
                            </w:r>
                            <w:r w:rsidR="00677B93">
                              <w:t>91</w:t>
                            </w:r>
                          </w:p>
                        </w:tc>
                        <w:tc>
                          <w:tcPr>
                            <w:tcW w:w="3588" w:type="dxa"/>
                            <w:shd w:val="clear" w:color="auto" w:fill="FFFFFF" w:themeFill="background1"/>
                            <w:tcMar>
                              <w:left w:w="0" w:type="dxa"/>
                              <w:right w:w="0" w:type="dxa"/>
                            </w:tcMar>
                            <w:vAlign w:val="bottom"/>
                          </w:tcPr>
                          <w:p w14:paraId="03DE14BB" w14:textId="77777777" w:rsidR="006239DF" w:rsidRDefault="006239DF" w:rsidP="00E57601">
                            <w:pPr>
                              <w:pStyle w:val="Footer"/>
                              <w:jc w:val="right"/>
                            </w:pPr>
                            <w:r>
                              <w:rPr>
                                <w:noProof/>
                              </w:rPr>
                              <w:drawing>
                                <wp:inline distT="0" distB="0" distL="0" distR="0" wp14:anchorId="4167F8F2" wp14:editId="4CC639F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266652"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A1796C">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868A" w14:textId="77777777" w:rsidR="00A872DE" w:rsidRDefault="00A872DE" w:rsidP="0080531E">
      <w:pPr>
        <w:spacing w:before="0" w:after="0" w:line="240" w:lineRule="auto"/>
      </w:pPr>
      <w:r>
        <w:separator/>
      </w:r>
    </w:p>
    <w:p w14:paraId="07F30905" w14:textId="77777777" w:rsidR="00A872DE" w:rsidRDefault="00A872DE"/>
  </w:endnote>
  <w:endnote w:type="continuationSeparator" w:id="0">
    <w:p w14:paraId="4F6193FB" w14:textId="77777777" w:rsidR="00A872DE" w:rsidRDefault="00A872DE" w:rsidP="0080531E">
      <w:pPr>
        <w:spacing w:before="0" w:after="0" w:line="240" w:lineRule="auto"/>
      </w:pPr>
      <w:r>
        <w:continuationSeparator/>
      </w:r>
    </w:p>
    <w:p w14:paraId="6D76D7CD" w14:textId="77777777" w:rsidR="00A872DE" w:rsidRDefault="00A872DE"/>
  </w:endnote>
  <w:endnote w:type="continuationNotice" w:id="1">
    <w:p w14:paraId="0DB8F8BD" w14:textId="77777777" w:rsidR="00A872DE" w:rsidRDefault="00A872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984B" w14:textId="56DA2BA4"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C321E">
      <w:t>Waste and resource efficiency work programme 2024 to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C02C" w14:textId="6221462C" w:rsidR="006C18C8" w:rsidRPr="003A6769" w:rsidRDefault="00FE4F91" w:rsidP="00FE4F91">
    <w:pPr>
      <w:pStyle w:val="Footerodd"/>
    </w:pPr>
    <w:r>
      <w:tab/>
    </w:r>
    <w:r w:rsidR="008C321E">
      <w:t>Waste and resource efficiency work programme 2024 to 2026</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7312" w14:textId="71921106" w:rsidR="0085118C" w:rsidRDefault="0085118C" w:rsidP="0085118C">
    <w:pPr>
      <w:pStyle w:val="Footerodd"/>
    </w:pPr>
    <w:r>
      <w:tab/>
    </w:r>
    <w:r w:rsidR="008C321E">
      <w:t>Waste and resource efficiency work programme 2024 to 2026</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AB69" w14:textId="77777777" w:rsidR="00A872DE" w:rsidRDefault="00A872DE" w:rsidP="00CB5C5F">
      <w:pPr>
        <w:spacing w:before="0" w:after="80" w:line="240" w:lineRule="auto"/>
      </w:pPr>
      <w:bookmarkStart w:id="0" w:name="_Hlk86912439"/>
      <w:bookmarkEnd w:id="0"/>
      <w:r>
        <w:separator/>
      </w:r>
    </w:p>
  </w:footnote>
  <w:footnote w:type="continuationSeparator" w:id="0">
    <w:p w14:paraId="0F68F757" w14:textId="77777777" w:rsidR="00A872DE" w:rsidRDefault="00A872DE" w:rsidP="0080531E">
      <w:pPr>
        <w:spacing w:before="0" w:after="0" w:line="240" w:lineRule="auto"/>
      </w:pPr>
      <w:r>
        <w:continuationSeparator/>
      </w:r>
    </w:p>
    <w:p w14:paraId="48E586D8" w14:textId="77777777" w:rsidR="00A872DE" w:rsidRDefault="00A872DE"/>
  </w:footnote>
  <w:footnote w:type="continuationNotice" w:id="1">
    <w:p w14:paraId="5881D2D2" w14:textId="77777777" w:rsidR="00A872DE" w:rsidRDefault="00A872DE">
      <w:pPr>
        <w:spacing w:before="0" w:after="0" w:line="240" w:lineRule="auto"/>
      </w:pPr>
    </w:p>
  </w:footnote>
  <w:footnote w:id="2">
    <w:p w14:paraId="17F50666" w14:textId="2EDED8AE" w:rsidR="00BA3991" w:rsidRDefault="00BA3991" w:rsidP="00BA3991">
      <w:pPr>
        <w:pStyle w:val="FootnoteText"/>
      </w:pPr>
      <w:r>
        <w:rPr>
          <w:rStyle w:val="FootnoteReference"/>
        </w:rPr>
        <w:footnoteRef/>
      </w:r>
      <w:r>
        <w:t xml:space="preserve"> </w:t>
      </w:r>
      <w:r w:rsidR="008A0974">
        <w:tab/>
      </w:r>
      <w:r>
        <w:t xml:space="preserve">Excluding emergency waste and spending on the Ministry’s responsibilities </w:t>
      </w:r>
      <w:r w:rsidR="003C0EF2">
        <w:t>for</w:t>
      </w:r>
      <w:r>
        <w:t xml:space="preserve"> waste and hazardous substances.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01519"/>
    <w:multiLevelType w:val="hybridMultilevel"/>
    <w:tmpl w:val="CA20E7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4" w15:restartNumberingAfterBreak="0">
    <w:nsid w:val="70757556"/>
    <w:multiLevelType w:val="hybridMultilevel"/>
    <w:tmpl w:val="91108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5"/>
  </w:num>
  <w:num w:numId="3" w16cid:durableId="428039246">
    <w:abstractNumId w:val="37"/>
  </w:num>
  <w:num w:numId="4" w16cid:durableId="1688940720">
    <w:abstractNumId w:val="20"/>
  </w:num>
  <w:num w:numId="5" w16cid:durableId="1790082978">
    <w:abstractNumId w:val="12"/>
  </w:num>
  <w:num w:numId="6" w16cid:durableId="571161853">
    <w:abstractNumId w:val="7"/>
  </w:num>
  <w:num w:numId="7" w16cid:durableId="851066908">
    <w:abstractNumId w:val="23"/>
  </w:num>
  <w:num w:numId="8" w16cid:durableId="61224443">
    <w:abstractNumId w:val="22"/>
  </w:num>
  <w:num w:numId="9" w16cid:durableId="972250063">
    <w:abstractNumId w:val="36"/>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9"/>
  </w:num>
  <w:num w:numId="13" w16cid:durableId="948007045">
    <w:abstractNumId w:val="11"/>
  </w:num>
  <w:num w:numId="14" w16cid:durableId="823200718">
    <w:abstractNumId w:val="31"/>
  </w:num>
  <w:num w:numId="15" w16cid:durableId="703866721">
    <w:abstractNumId w:val="21"/>
  </w:num>
  <w:num w:numId="16" w16cid:durableId="192305151">
    <w:abstractNumId w:val="10"/>
  </w:num>
  <w:num w:numId="17" w16cid:durableId="24016450">
    <w:abstractNumId w:val="30"/>
  </w:num>
  <w:num w:numId="18" w16cid:durableId="717705514">
    <w:abstractNumId w:val="26"/>
  </w:num>
  <w:num w:numId="19" w16cid:durableId="691230062">
    <w:abstractNumId w:val="32"/>
  </w:num>
  <w:num w:numId="20" w16cid:durableId="1343435891">
    <w:abstractNumId w:val="13"/>
  </w:num>
  <w:num w:numId="21" w16cid:durableId="4983556">
    <w:abstractNumId w:val="27"/>
  </w:num>
  <w:num w:numId="22" w16cid:durableId="1442725474">
    <w:abstractNumId w:val="4"/>
  </w:num>
  <w:num w:numId="23" w16cid:durableId="380246717">
    <w:abstractNumId w:val="24"/>
  </w:num>
  <w:num w:numId="24" w16cid:durableId="1964146203">
    <w:abstractNumId w:val="15"/>
  </w:num>
  <w:num w:numId="25" w16cid:durableId="1810130802">
    <w:abstractNumId w:val="35"/>
  </w:num>
  <w:num w:numId="26" w16cid:durableId="404837251">
    <w:abstractNumId w:val="28"/>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3"/>
  </w:num>
  <w:num w:numId="38" w16cid:durableId="592393198">
    <w:abstractNumId w:val="25"/>
  </w:num>
  <w:num w:numId="39" w16cid:durableId="588536818">
    <w:abstractNumId w:val="6"/>
  </w:num>
  <w:num w:numId="40" w16cid:durableId="970746471">
    <w:abstractNumId w:val="19"/>
  </w:num>
  <w:num w:numId="41" w16cid:durableId="334497331">
    <w:abstractNumId w:val="34"/>
  </w:num>
  <w:num w:numId="42" w16cid:durableId="1153719339">
    <w:abstractNumId w:val="22"/>
  </w:num>
  <w:num w:numId="43" w16cid:durableId="211008146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0"/>
    <w:rsid w:val="000004B2"/>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9E2"/>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09F8"/>
    <w:rsid w:val="0006130F"/>
    <w:rsid w:val="00061539"/>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56E"/>
    <w:rsid w:val="00070FBF"/>
    <w:rsid w:val="000711EE"/>
    <w:rsid w:val="0007180E"/>
    <w:rsid w:val="00071AE4"/>
    <w:rsid w:val="00071CB5"/>
    <w:rsid w:val="00071CCB"/>
    <w:rsid w:val="00071D03"/>
    <w:rsid w:val="0007232B"/>
    <w:rsid w:val="000735A2"/>
    <w:rsid w:val="0007517E"/>
    <w:rsid w:val="00075C89"/>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6970"/>
    <w:rsid w:val="00087175"/>
    <w:rsid w:val="00087D35"/>
    <w:rsid w:val="00090F6A"/>
    <w:rsid w:val="00091796"/>
    <w:rsid w:val="00091BA2"/>
    <w:rsid w:val="00091CB0"/>
    <w:rsid w:val="00092D7C"/>
    <w:rsid w:val="00094344"/>
    <w:rsid w:val="00094592"/>
    <w:rsid w:val="000953C6"/>
    <w:rsid w:val="000953F4"/>
    <w:rsid w:val="0009590C"/>
    <w:rsid w:val="000959E7"/>
    <w:rsid w:val="00095E7D"/>
    <w:rsid w:val="000964DE"/>
    <w:rsid w:val="000972AB"/>
    <w:rsid w:val="00097771"/>
    <w:rsid w:val="00097B40"/>
    <w:rsid w:val="00097D0E"/>
    <w:rsid w:val="000A0C7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3FB"/>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E94"/>
    <w:rsid w:val="000F62A1"/>
    <w:rsid w:val="000F6464"/>
    <w:rsid w:val="000F6628"/>
    <w:rsid w:val="000F6C25"/>
    <w:rsid w:val="000F76EB"/>
    <w:rsid w:val="000F78AE"/>
    <w:rsid w:val="000F7E25"/>
    <w:rsid w:val="001007EE"/>
    <w:rsid w:val="00100F76"/>
    <w:rsid w:val="0010148E"/>
    <w:rsid w:val="0010194C"/>
    <w:rsid w:val="0010253C"/>
    <w:rsid w:val="00102BD1"/>
    <w:rsid w:val="00102CB9"/>
    <w:rsid w:val="001032CF"/>
    <w:rsid w:val="00103569"/>
    <w:rsid w:val="00103D48"/>
    <w:rsid w:val="0010486A"/>
    <w:rsid w:val="0010561C"/>
    <w:rsid w:val="00105C0F"/>
    <w:rsid w:val="00105E39"/>
    <w:rsid w:val="00106561"/>
    <w:rsid w:val="00106D63"/>
    <w:rsid w:val="0010739F"/>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4CF1"/>
    <w:rsid w:val="00125C75"/>
    <w:rsid w:val="00125C7E"/>
    <w:rsid w:val="001269A9"/>
    <w:rsid w:val="00126FF1"/>
    <w:rsid w:val="0012731C"/>
    <w:rsid w:val="00127945"/>
    <w:rsid w:val="00127D94"/>
    <w:rsid w:val="00127E90"/>
    <w:rsid w:val="001302C1"/>
    <w:rsid w:val="001306D3"/>
    <w:rsid w:val="0013076D"/>
    <w:rsid w:val="001308F4"/>
    <w:rsid w:val="001310BF"/>
    <w:rsid w:val="0013118B"/>
    <w:rsid w:val="00131EC2"/>
    <w:rsid w:val="0013326A"/>
    <w:rsid w:val="00133E73"/>
    <w:rsid w:val="00133FDB"/>
    <w:rsid w:val="00134C79"/>
    <w:rsid w:val="00134F4A"/>
    <w:rsid w:val="00135E4E"/>
    <w:rsid w:val="00136246"/>
    <w:rsid w:val="001362A1"/>
    <w:rsid w:val="001364D4"/>
    <w:rsid w:val="001371C8"/>
    <w:rsid w:val="001372ED"/>
    <w:rsid w:val="00140018"/>
    <w:rsid w:val="00142B50"/>
    <w:rsid w:val="00143873"/>
    <w:rsid w:val="001439E9"/>
    <w:rsid w:val="00143C55"/>
    <w:rsid w:val="00143F60"/>
    <w:rsid w:val="00144363"/>
    <w:rsid w:val="00144C6F"/>
    <w:rsid w:val="00145089"/>
    <w:rsid w:val="001451E7"/>
    <w:rsid w:val="001462E3"/>
    <w:rsid w:val="0014636E"/>
    <w:rsid w:val="0014720C"/>
    <w:rsid w:val="001472C2"/>
    <w:rsid w:val="00147458"/>
    <w:rsid w:val="001479F3"/>
    <w:rsid w:val="00147E21"/>
    <w:rsid w:val="00150373"/>
    <w:rsid w:val="00150BA8"/>
    <w:rsid w:val="00150D19"/>
    <w:rsid w:val="0015181B"/>
    <w:rsid w:val="00151A9F"/>
    <w:rsid w:val="00152213"/>
    <w:rsid w:val="00152A66"/>
    <w:rsid w:val="00152B87"/>
    <w:rsid w:val="00153A96"/>
    <w:rsid w:val="00153D1C"/>
    <w:rsid w:val="001543E2"/>
    <w:rsid w:val="00154C54"/>
    <w:rsid w:val="001554A6"/>
    <w:rsid w:val="00155B43"/>
    <w:rsid w:val="001565A2"/>
    <w:rsid w:val="00156729"/>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0B1"/>
    <w:rsid w:val="00167E4C"/>
    <w:rsid w:val="001709CB"/>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2FC9"/>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301F"/>
    <w:rsid w:val="00193286"/>
    <w:rsid w:val="001932D7"/>
    <w:rsid w:val="001937B8"/>
    <w:rsid w:val="00193B75"/>
    <w:rsid w:val="00194BB7"/>
    <w:rsid w:val="00194CC5"/>
    <w:rsid w:val="001951B2"/>
    <w:rsid w:val="0019565D"/>
    <w:rsid w:val="00196022"/>
    <w:rsid w:val="00197564"/>
    <w:rsid w:val="00197EC2"/>
    <w:rsid w:val="00197ECE"/>
    <w:rsid w:val="001A1CED"/>
    <w:rsid w:val="001A279B"/>
    <w:rsid w:val="001A2DC3"/>
    <w:rsid w:val="001A2E87"/>
    <w:rsid w:val="001A307C"/>
    <w:rsid w:val="001A3869"/>
    <w:rsid w:val="001A38C2"/>
    <w:rsid w:val="001A4581"/>
    <w:rsid w:val="001A65C8"/>
    <w:rsid w:val="001A6FEF"/>
    <w:rsid w:val="001A732E"/>
    <w:rsid w:val="001A7E5B"/>
    <w:rsid w:val="001A7F30"/>
    <w:rsid w:val="001B06E2"/>
    <w:rsid w:val="001B103A"/>
    <w:rsid w:val="001B103D"/>
    <w:rsid w:val="001B1513"/>
    <w:rsid w:val="001B1767"/>
    <w:rsid w:val="001B2453"/>
    <w:rsid w:val="001B3166"/>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2660"/>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2041"/>
    <w:rsid w:val="001F2805"/>
    <w:rsid w:val="001F2ACA"/>
    <w:rsid w:val="001F2E79"/>
    <w:rsid w:val="001F2F07"/>
    <w:rsid w:val="001F3123"/>
    <w:rsid w:val="001F31F0"/>
    <w:rsid w:val="001F376D"/>
    <w:rsid w:val="001F418C"/>
    <w:rsid w:val="001F4370"/>
    <w:rsid w:val="001F4B2D"/>
    <w:rsid w:val="001F4EE2"/>
    <w:rsid w:val="001F4F40"/>
    <w:rsid w:val="001F50E0"/>
    <w:rsid w:val="001F594C"/>
    <w:rsid w:val="001F61FA"/>
    <w:rsid w:val="001F69FC"/>
    <w:rsid w:val="001F6D62"/>
    <w:rsid w:val="001F7675"/>
    <w:rsid w:val="001F7869"/>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08DE"/>
    <w:rsid w:val="002113FE"/>
    <w:rsid w:val="00211737"/>
    <w:rsid w:val="0021181B"/>
    <w:rsid w:val="0021230F"/>
    <w:rsid w:val="002125B0"/>
    <w:rsid w:val="00212A82"/>
    <w:rsid w:val="00213B4A"/>
    <w:rsid w:val="00214EA2"/>
    <w:rsid w:val="0021542A"/>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0AFF"/>
    <w:rsid w:val="002312BC"/>
    <w:rsid w:val="002337E5"/>
    <w:rsid w:val="00233C06"/>
    <w:rsid w:val="00233F24"/>
    <w:rsid w:val="00234BBB"/>
    <w:rsid w:val="002356F4"/>
    <w:rsid w:val="00235F02"/>
    <w:rsid w:val="00236D28"/>
    <w:rsid w:val="002378FA"/>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406"/>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8F"/>
    <w:rsid w:val="002879BE"/>
    <w:rsid w:val="00287DAB"/>
    <w:rsid w:val="00287FB6"/>
    <w:rsid w:val="002900C5"/>
    <w:rsid w:val="002901E0"/>
    <w:rsid w:val="0029075B"/>
    <w:rsid w:val="00290BB1"/>
    <w:rsid w:val="00291BC1"/>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6B67"/>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2E2"/>
    <w:rsid w:val="002D386A"/>
    <w:rsid w:val="002D3BED"/>
    <w:rsid w:val="002D4100"/>
    <w:rsid w:val="002D477F"/>
    <w:rsid w:val="002D4F48"/>
    <w:rsid w:val="002D519B"/>
    <w:rsid w:val="002D621E"/>
    <w:rsid w:val="002D66DA"/>
    <w:rsid w:val="002D7027"/>
    <w:rsid w:val="002D70DC"/>
    <w:rsid w:val="002D758B"/>
    <w:rsid w:val="002D79BC"/>
    <w:rsid w:val="002D7A7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30"/>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4F2"/>
    <w:rsid w:val="002F5839"/>
    <w:rsid w:val="002F58E2"/>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5F36"/>
    <w:rsid w:val="0031611F"/>
    <w:rsid w:val="00317A33"/>
    <w:rsid w:val="00320339"/>
    <w:rsid w:val="00320699"/>
    <w:rsid w:val="00320A74"/>
    <w:rsid w:val="00321214"/>
    <w:rsid w:val="003213D5"/>
    <w:rsid w:val="0032241C"/>
    <w:rsid w:val="003226E4"/>
    <w:rsid w:val="00322D12"/>
    <w:rsid w:val="00323737"/>
    <w:rsid w:val="00323AD6"/>
    <w:rsid w:val="00323F27"/>
    <w:rsid w:val="003242EF"/>
    <w:rsid w:val="00324B69"/>
    <w:rsid w:val="00325339"/>
    <w:rsid w:val="003255AA"/>
    <w:rsid w:val="003257C8"/>
    <w:rsid w:val="00326A45"/>
    <w:rsid w:val="00326DF3"/>
    <w:rsid w:val="00327E5D"/>
    <w:rsid w:val="003314B6"/>
    <w:rsid w:val="00331A20"/>
    <w:rsid w:val="00331E65"/>
    <w:rsid w:val="00333107"/>
    <w:rsid w:val="0033343B"/>
    <w:rsid w:val="003336A1"/>
    <w:rsid w:val="0033393C"/>
    <w:rsid w:val="00333D3D"/>
    <w:rsid w:val="00334CDE"/>
    <w:rsid w:val="00334E61"/>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6E6"/>
    <w:rsid w:val="00356C3D"/>
    <w:rsid w:val="00360476"/>
    <w:rsid w:val="00360B75"/>
    <w:rsid w:val="0036151C"/>
    <w:rsid w:val="00361785"/>
    <w:rsid w:val="00361A9B"/>
    <w:rsid w:val="00361B59"/>
    <w:rsid w:val="00361CDD"/>
    <w:rsid w:val="00362CCF"/>
    <w:rsid w:val="003631DB"/>
    <w:rsid w:val="00363B9A"/>
    <w:rsid w:val="00364524"/>
    <w:rsid w:val="00364DF7"/>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0F6"/>
    <w:rsid w:val="00376BB7"/>
    <w:rsid w:val="00376E5B"/>
    <w:rsid w:val="00376EEE"/>
    <w:rsid w:val="00377BA1"/>
    <w:rsid w:val="00377FF0"/>
    <w:rsid w:val="00380616"/>
    <w:rsid w:val="00380B10"/>
    <w:rsid w:val="00381022"/>
    <w:rsid w:val="003814B8"/>
    <w:rsid w:val="00381C2F"/>
    <w:rsid w:val="00382909"/>
    <w:rsid w:val="00382EE1"/>
    <w:rsid w:val="00383146"/>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672"/>
    <w:rsid w:val="003B5BD9"/>
    <w:rsid w:val="003B64A3"/>
    <w:rsid w:val="003B6DB8"/>
    <w:rsid w:val="003B72B9"/>
    <w:rsid w:val="003B7654"/>
    <w:rsid w:val="003C0887"/>
    <w:rsid w:val="003C08AF"/>
    <w:rsid w:val="003C0EF2"/>
    <w:rsid w:val="003C1B89"/>
    <w:rsid w:val="003C2EDD"/>
    <w:rsid w:val="003C302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0ECD"/>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3DD6"/>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E1F"/>
    <w:rsid w:val="00424FB1"/>
    <w:rsid w:val="00425173"/>
    <w:rsid w:val="004255B4"/>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5829"/>
    <w:rsid w:val="004360B6"/>
    <w:rsid w:val="004362E5"/>
    <w:rsid w:val="00436356"/>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3C"/>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1D82"/>
    <w:rsid w:val="0046218C"/>
    <w:rsid w:val="004623D4"/>
    <w:rsid w:val="00463944"/>
    <w:rsid w:val="00463E33"/>
    <w:rsid w:val="0046512A"/>
    <w:rsid w:val="00465234"/>
    <w:rsid w:val="00465B24"/>
    <w:rsid w:val="00466858"/>
    <w:rsid w:val="00466D0F"/>
    <w:rsid w:val="00467544"/>
    <w:rsid w:val="004676BA"/>
    <w:rsid w:val="0046784C"/>
    <w:rsid w:val="004679FE"/>
    <w:rsid w:val="00467ECB"/>
    <w:rsid w:val="00470865"/>
    <w:rsid w:val="0047096E"/>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6492"/>
    <w:rsid w:val="004A7F48"/>
    <w:rsid w:val="004B1199"/>
    <w:rsid w:val="004B16C4"/>
    <w:rsid w:val="004B1867"/>
    <w:rsid w:val="004B2A64"/>
    <w:rsid w:val="004B3073"/>
    <w:rsid w:val="004B352E"/>
    <w:rsid w:val="004B41DA"/>
    <w:rsid w:val="004B470D"/>
    <w:rsid w:val="004B4764"/>
    <w:rsid w:val="004B4846"/>
    <w:rsid w:val="004B5394"/>
    <w:rsid w:val="004B5BDD"/>
    <w:rsid w:val="004B6991"/>
    <w:rsid w:val="004B6E9E"/>
    <w:rsid w:val="004B6F83"/>
    <w:rsid w:val="004B7C29"/>
    <w:rsid w:val="004C06E5"/>
    <w:rsid w:val="004C198D"/>
    <w:rsid w:val="004C1B7D"/>
    <w:rsid w:val="004C1CE6"/>
    <w:rsid w:val="004C1E3C"/>
    <w:rsid w:val="004C2171"/>
    <w:rsid w:val="004C25F0"/>
    <w:rsid w:val="004C26DD"/>
    <w:rsid w:val="004C2A7B"/>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A62"/>
    <w:rsid w:val="00506B86"/>
    <w:rsid w:val="00506EEC"/>
    <w:rsid w:val="00506FD4"/>
    <w:rsid w:val="005107FF"/>
    <w:rsid w:val="00510843"/>
    <w:rsid w:val="00510CBC"/>
    <w:rsid w:val="0051102D"/>
    <w:rsid w:val="005112A5"/>
    <w:rsid w:val="00511509"/>
    <w:rsid w:val="0051163A"/>
    <w:rsid w:val="00511F48"/>
    <w:rsid w:val="00512448"/>
    <w:rsid w:val="0051253A"/>
    <w:rsid w:val="0051266C"/>
    <w:rsid w:val="00512DB9"/>
    <w:rsid w:val="00513B72"/>
    <w:rsid w:val="005151B5"/>
    <w:rsid w:val="00515277"/>
    <w:rsid w:val="005158C2"/>
    <w:rsid w:val="005169DE"/>
    <w:rsid w:val="0051754D"/>
    <w:rsid w:val="0051785D"/>
    <w:rsid w:val="00517913"/>
    <w:rsid w:val="005179F7"/>
    <w:rsid w:val="00517B31"/>
    <w:rsid w:val="0052005F"/>
    <w:rsid w:val="00520200"/>
    <w:rsid w:val="00520E2D"/>
    <w:rsid w:val="00520F04"/>
    <w:rsid w:val="00521717"/>
    <w:rsid w:val="005224B2"/>
    <w:rsid w:val="005236CB"/>
    <w:rsid w:val="00523B23"/>
    <w:rsid w:val="00523DFA"/>
    <w:rsid w:val="00524D5E"/>
    <w:rsid w:val="005254BC"/>
    <w:rsid w:val="005256FC"/>
    <w:rsid w:val="005257D8"/>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8D"/>
    <w:rsid w:val="00541B14"/>
    <w:rsid w:val="00541D4D"/>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4E19"/>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2ABA"/>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1E9"/>
    <w:rsid w:val="00584F3A"/>
    <w:rsid w:val="005853AB"/>
    <w:rsid w:val="00585748"/>
    <w:rsid w:val="005859C5"/>
    <w:rsid w:val="00585C79"/>
    <w:rsid w:val="00586144"/>
    <w:rsid w:val="00587785"/>
    <w:rsid w:val="0058788D"/>
    <w:rsid w:val="00587E29"/>
    <w:rsid w:val="00587FE6"/>
    <w:rsid w:val="0059127A"/>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20D"/>
    <w:rsid w:val="005A1814"/>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46CB"/>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A3D"/>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51CD"/>
    <w:rsid w:val="005D610C"/>
    <w:rsid w:val="005D6957"/>
    <w:rsid w:val="005D70A8"/>
    <w:rsid w:val="005D74E7"/>
    <w:rsid w:val="005D7F7B"/>
    <w:rsid w:val="005E2110"/>
    <w:rsid w:val="005E3BCD"/>
    <w:rsid w:val="005E4155"/>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390B"/>
    <w:rsid w:val="00604ACD"/>
    <w:rsid w:val="00604C15"/>
    <w:rsid w:val="00604DC2"/>
    <w:rsid w:val="00604DE6"/>
    <w:rsid w:val="006060C4"/>
    <w:rsid w:val="00607C35"/>
    <w:rsid w:val="00611777"/>
    <w:rsid w:val="0061189F"/>
    <w:rsid w:val="0061219B"/>
    <w:rsid w:val="0061247D"/>
    <w:rsid w:val="00612D05"/>
    <w:rsid w:val="00613B09"/>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3B57"/>
    <w:rsid w:val="00624018"/>
    <w:rsid w:val="006240C4"/>
    <w:rsid w:val="006243D0"/>
    <w:rsid w:val="00625304"/>
    <w:rsid w:val="0062581B"/>
    <w:rsid w:val="006261F4"/>
    <w:rsid w:val="0063164E"/>
    <w:rsid w:val="0063191D"/>
    <w:rsid w:val="00632B28"/>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1E36"/>
    <w:rsid w:val="006420DA"/>
    <w:rsid w:val="00642A0A"/>
    <w:rsid w:val="00643AC1"/>
    <w:rsid w:val="00643D62"/>
    <w:rsid w:val="00644A5E"/>
    <w:rsid w:val="00644A6C"/>
    <w:rsid w:val="00644D69"/>
    <w:rsid w:val="00644E59"/>
    <w:rsid w:val="006457A8"/>
    <w:rsid w:val="00645EA0"/>
    <w:rsid w:val="00645F76"/>
    <w:rsid w:val="00646EB0"/>
    <w:rsid w:val="0064714D"/>
    <w:rsid w:val="006472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77B93"/>
    <w:rsid w:val="006803C7"/>
    <w:rsid w:val="00680482"/>
    <w:rsid w:val="006808DC"/>
    <w:rsid w:val="00681697"/>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4539"/>
    <w:rsid w:val="006A561D"/>
    <w:rsid w:val="006A5A0C"/>
    <w:rsid w:val="006A5BA0"/>
    <w:rsid w:val="006A5BB1"/>
    <w:rsid w:val="006A5EBE"/>
    <w:rsid w:val="006A5F88"/>
    <w:rsid w:val="006A7D95"/>
    <w:rsid w:val="006B02BA"/>
    <w:rsid w:val="006B0791"/>
    <w:rsid w:val="006B0EA6"/>
    <w:rsid w:val="006B120D"/>
    <w:rsid w:val="006B13C1"/>
    <w:rsid w:val="006B2CC7"/>
    <w:rsid w:val="006B3AF9"/>
    <w:rsid w:val="006B4158"/>
    <w:rsid w:val="006B44C5"/>
    <w:rsid w:val="006B555F"/>
    <w:rsid w:val="006B6242"/>
    <w:rsid w:val="006B6C7C"/>
    <w:rsid w:val="006B6EA4"/>
    <w:rsid w:val="006B769E"/>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D790D"/>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3FA2"/>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73"/>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5F84"/>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2C4"/>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8F3"/>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6EE"/>
    <w:rsid w:val="00780B8D"/>
    <w:rsid w:val="00780B8E"/>
    <w:rsid w:val="00780FE4"/>
    <w:rsid w:val="00781649"/>
    <w:rsid w:val="007823D6"/>
    <w:rsid w:val="0078254E"/>
    <w:rsid w:val="00782628"/>
    <w:rsid w:val="007826AB"/>
    <w:rsid w:val="007834E8"/>
    <w:rsid w:val="007836C6"/>
    <w:rsid w:val="007840E2"/>
    <w:rsid w:val="0078569F"/>
    <w:rsid w:val="00785803"/>
    <w:rsid w:val="007858F1"/>
    <w:rsid w:val="00785EB4"/>
    <w:rsid w:val="0078609A"/>
    <w:rsid w:val="00786F85"/>
    <w:rsid w:val="0078731A"/>
    <w:rsid w:val="00787487"/>
    <w:rsid w:val="007906F1"/>
    <w:rsid w:val="00790796"/>
    <w:rsid w:val="00790EDA"/>
    <w:rsid w:val="00791349"/>
    <w:rsid w:val="0079175F"/>
    <w:rsid w:val="00791D85"/>
    <w:rsid w:val="00791DAF"/>
    <w:rsid w:val="007924CA"/>
    <w:rsid w:val="00794672"/>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020"/>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2662"/>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4DD"/>
    <w:rsid w:val="0081498C"/>
    <w:rsid w:val="00814AE1"/>
    <w:rsid w:val="00815344"/>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75FD"/>
    <w:rsid w:val="00827A52"/>
    <w:rsid w:val="00830676"/>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191"/>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389A"/>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77B8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03"/>
    <w:rsid w:val="0089637C"/>
    <w:rsid w:val="00896712"/>
    <w:rsid w:val="00896870"/>
    <w:rsid w:val="008969BD"/>
    <w:rsid w:val="00897CAB"/>
    <w:rsid w:val="008A0974"/>
    <w:rsid w:val="008A13BD"/>
    <w:rsid w:val="008A1596"/>
    <w:rsid w:val="008A1EDF"/>
    <w:rsid w:val="008A219C"/>
    <w:rsid w:val="008A248B"/>
    <w:rsid w:val="008A2695"/>
    <w:rsid w:val="008A29A2"/>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21E"/>
    <w:rsid w:val="008C34F2"/>
    <w:rsid w:val="008C36AC"/>
    <w:rsid w:val="008C4953"/>
    <w:rsid w:val="008C4E44"/>
    <w:rsid w:val="008C6255"/>
    <w:rsid w:val="008C6500"/>
    <w:rsid w:val="008C65CE"/>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5A8"/>
    <w:rsid w:val="008D5657"/>
    <w:rsid w:val="008D5F2F"/>
    <w:rsid w:val="008D6379"/>
    <w:rsid w:val="008D6752"/>
    <w:rsid w:val="008D69E7"/>
    <w:rsid w:val="008D6FC1"/>
    <w:rsid w:val="008E0140"/>
    <w:rsid w:val="008E0688"/>
    <w:rsid w:val="008E0BEF"/>
    <w:rsid w:val="008E1ADC"/>
    <w:rsid w:val="008E266D"/>
    <w:rsid w:val="008E2F0C"/>
    <w:rsid w:val="008E3E23"/>
    <w:rsid w:val="008E5103"/>
    <w:rsid w:val="008E52DA"/>
    <w:rsid w:val="008E547B"/>
    <w:rsid w:val="008E5DF8"/>
    <w:rsid w:val="008E72F0"/>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591"/>
    <w:rsid w:val="00902E5B"/>
    <w:rsid w:val="00903FD9"/>
    <w:rsid w:val="00904CF5"/>
    <w:rsid w:val="009050D7"/>
    <w:rsid w:val="00905259"/>
    <w:rsid w:val="0090556C"/>
    <w:rsid w:val="00905633"/>
    <w:rsid w:val="0090598B"/>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8E9"/>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6B"/>
    <w:rsid w:val="0095538B"/>
    <w:rsid w:val="0095695D"/>
    <w:rsid w:val="00957AF7"/>
    <w:rsid w:val="00960ACA"/>
    <w:rsid w:val="00960C4F"/>
    <w:rsid w:val="00961BD1"/>
    <w:rsid w:val="0096217C"/>
    <w:rsid w:val="00962441"/>
    <w:rsid w:val="00963277"/>
    <w:rsid w:val="00963624"/>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AAE"/>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4EDD"/>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3A74"/>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2244"/>
    <w:rsid w:val="009C385B"/>
    <w:rsid w:val="009C3BE4"/>
    <w:rsid w:val="009C3E3C"/>
    <w:rsid w:val="009C4353"/>
    <w:rsid w:val="009C49C2"/>
    <w:rsid w:val="009C4E2D"/>
    <w:rsid w:val="009C62C0"/>
    <w:rsid w:val="009C6A88"/>
    <w:rsid w:val="009C765D"/>
    <w:rsid w:val="009C7ADA"/>
    <w:rsid w:val="009C7DFA"/>
    <w:rsid w:val="009D000A"/>
    <w:rsid w:val="009D16B5"/>
    <w:rsid w:val="009D1A86"/>
    <w:rsid w:val="009D1E12"/>
    <w:rsid w:val="009D2DA9"/>
    <w:rsid w:val="009D2E93"/>
    <w:rsid w:val="009D2EA9"/>
    <w:rsid w:val="009D3038"/>
    <w:rsid w:val="009D34C0"/>
    <w:rsid w:val="009D35FB"/>
    <w:rsid w:val="009D416E"/>
    <w:rsid w:val="009D4BBE"/>
    <w:rsid w:val="009D4E16"/>
    <w:rsid w:val="009D5893"/>
    <w:rsid w:val="009D5F97"/>
    <w:rsid w:val="009D6620"/>
    <w:rsid w:val="009D6C54"/>
    <w:rsid w:val="009D72B0"/>
    <w:rsid w:val="009D77CE"/>
    <w:rsid w:val="009D7DE3"/>
    <w:rsid w:val="009E004A"/>
    <w:rsid w:val="009E066B"/>
    <w:rsid w:val="009E1515"/>
    <w:rsid w:val="009E1C66"/>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CCD"/>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9DB"/>
    <w:rsid w:val="00A14DC2"/>
    <w:rsid w:val="00A14DD6"/>
    <w:rsid w:val="00A15D5E"/>
    <w:rsid w:val="00A161F8"/>
    <w:rsid w:val="00A169FA"/>
    <w:rsid w:val="00A1766A"/>
    <w:rsid w:val="00A1796C"/>
    <w:rsid w:val="00A200F4"/>
    <w:rsid w:val="00A206C9"/>
    <w:rsid w:val="00A20C27"/>
    <w:rsid w:val="00A20E7D"/>
    <w:rsid w:val="00A2122D"/>
    <w:rsid w:val="00A216BC"/>
    <w:rsid w:val="00A2192A"/>
    <w:rsid w:val="00A23931"/>
    <w:rsid w:val="00A23FD6"/>
    <w:rsid w:val="00A24CBD"/>
    <w:rsid w:val="00A25317"/>
    <w:rsid w:val="00A25706"/>
    <w:rsid w:val="00A25C26"/>
    <w:rsid w:val="00A25D84"/>
    <w:rsid w:val="00A26029"/>
    <w:rsid w:val="00A262E4"/>
    <w:rsid w:val="00A267C2"/>
    <w:rsid w:val="00A268EA"/>
    <w:rsid w:val="00A2703A"/>
    <w:rsid w:val="00A31B93"/>
    <w:rsid w:val="00A31CE0"/>
    <w:rsid w:val="00A31FA9"/>
    <w:rsid w:val="00A32408"/>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37AA"/>
    <w:rsid w:val="00A442C5"/>
    <w:rsid w:val="00A44712"/>
    <w:rsid w:val="00A44AF5"/>
    <w:rsid w:val="00A44B8B"/>
    <w:rsid w:val="00A44DDE"/>
    <w:rsid w:val="00A45367"/>
    <w:rsid w:val="00A45EC4"/>
    <w:rsid w:val="00A47212"/>
    <w:rsid w:val="00A472AD"/>
    <w:rsid w:val="00A474EA"/>
    <w:rsid w:val="00A501B2"/>
    <w:rsid w:val="00A5034A"/>
    <w:rsid w:val="00A50FFA"/>
    <w:rsid w:val="00A51128"/>
    <w:rsid w:val="00A539D1"/>
    <w:rsid w:val="00A54298"/>
    <w:rsid w:val="00A54DAE"/>
    <w:rsid w:val="00A56D3B"/>
    <w:rsid w:val="00A57450"/>
    <w:rsid w:val="00A57479"/>
    <w:rsid w:val="00A57C08"/>
    <w:rsid w:val="00A57EBF"/>
    <w:rsid w:val="00A600D9"/>
    <w:rsid w:val="00A604CD"/>
    <w:rsid w:val="00A623B2"/>
    <w:rsid w:val="00A637A0"/>
    <w:rsid w:val="00A63ECD"/>
    <w:rsid w:val="00A64093"/>
    <w:rsid w:val="00A640BF"/>
    <w:rsid w:val="00A640EB"/>
    <w:rsid w:val="00A6412F"/>
    <w:rsid w:val="00A647DA"/>
    <w:rsid w:val="00A64815"/>
    <w:rsid w:val="00A65043"/>
    <w:rsid w:val="00A65BE0"/>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872DE"/>
    <w:rsid w:val="00A9065F"/>
    <w:rsid w:val="00A90B0E"/>
    <w:rsid w:val="00A91AA1"/>
    <w:rsid w:val="00A91C8C"/>
    <w:rsid w:val="00A91F0D"/>
    <w:rsid w:val="00A9235A"/>
    <w:rsid w:val="00A92FF7"/>
    <w:rsid w:val="00A93069"/>
    <w:rsid w:val="00A932F2"/>
    <w:rsid w:val="00A9468F"/>
    <w:rsid w:val="00A9498D"/>
    <w:rsid w:val="00A95335"/>
    <w:rsid w:val="00A9566B"/>
    <w:rsid w:val="00A9657F"/>
    <w:rsid w:val="00A9797D"/>
    <w:rsid w:val="00AA015F"/>
    <w:rsid w:val="00AA0280"/>
    <w:rsid w:val="00AA0C3A"/>
    <w:rsid w:val="00AA1723"/>
    <w:rsid w:val="00AA182B"/>
    <w:rsid w:val="00AA190D"/>
    <w:rsid w:val="00AA1FDD"/>
    <w:rsid w:val="00AA22C3"/>
    <w:rsid w:val="00AA230D"/>
    <w:rsid w:val="00AA40AD"/>
    <w:rsid w:val="00AA4941"/>
    <w:rsid w:val="00AA49E9"/>
    <w:rsid w:val="00AA4F49"/>
    <w:rsid w:val="00AA5475"/>
    <w:rsid w:val="00AA5876"/>
    <w:rsid w:val="00AA6961"/>
    <w:rsid w:val="00AA6A8A"/>
    <w:rsid w:val="00AA6DD8"/>
    <w:rsid w:val="00AA6FA3"/>
    <w:rsid w:val="00AA70BB"/>
    <w:rsid w:val="00AA757C"/>
    <w:rsid w:val="00AA7F10"/>
    <w:rsid w:val="00AB0391"/>
    <w:rsid w:val="00AB04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2896"/>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3FD"/>
    <w:rsid w:val="00AF166F"/>
    <w:rsid w:val="00AF1C03"/>
    <w:rsid w:val="00AF3936"/>
    <w:rsid w:val="00AF39AF"/>
    <w:rsid w:val="00AF3E3B"/>
    <w:rsid w:val="00AF3E5A"/>
    <w:rsid w:val="00AF46FE"/>
    <w:rsid w:val="00AF486F"/>
    <w:rsid w:val="00AF503A"/>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588"/>
    <w:rsid w:val="00B26937"/>
    <w:rsid w:val="00B30243"/>
    <w:rsid w:val="00B30421"/>
    <w:rsid w:val="00B30A89"/>
    <w:rsid w:val="00B30DC8"/>
    <w:rsid w:val="00B315BB"/>
    <w:rsid w:val="00B31977"/>
    <w:rsid w:val="00B3235A"/>
    <w:rsid w:val="00B333FE"/>
    <w:rsid w:val="00B3382B"/>
    <w:rsid w:val="00B34186"/>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358"/>
    <w:rsid w:val="00B47493"/>
    <w:rsid w:val="00B474C8"/>
    <w:rsid w:val="00B474DF"/>
    <w:rsid w:val="00B47915"/>
    <w:rsid w:val="00B47A1B"/>
    <w:rsid w:val="00B50526"/>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19A4"/>
    <w:rsid w:val="00B6308E"/>
    <w:rsid w:val="00B630FD"/>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1A2"/>
    <w:rsid w:val="00B807BF"/>
    <w:rsid w:val="00B809B1"/>
    <w:rsid w:val="00B82543"/>
    <w:rsid w:val="00B82998"/>
    <w:rsid w:val="00B834B0"/>
    <w:rsid w:val="00B837F6"/>
    <w:rsid w:val="00B83DAE"/>
    <w:rsid w:val="00B83E80"/>
    <w:rsid w:val="00B84FB4"/>
    <w:rsid w:val="00B86AD4"/>
    <w:rsid w:val="00B8756E"/>
    <w:rsid w:val="00B87A7D"/>
    <w:rsid w:val="00B87DF9"/>
    <w:rsid w:val="00B9071A"/>
    <w:rsid w:val="00B91951"/>
    <w:rsid w:val="00B91A58"/>
    <w:rsid w:val="00B91EAD"/>
    <w:rsid w:val="00B920B9"/>
    <w:rsid w:val="00B930D2"/>
    <w:rsid w:val="00B937CD"/>
    <w:rsid w:val="00B938BC"/>
    <w:rsid w:val="00B93997"/>
    <w:rsid w:val="00B93C98"/>
    <w:rsid w:val="00B96F8D"/>
    <w:rsid w:val="00B97601"/>
    <w:rsid w:val="00B976BB"/>
    <w:rsid w:val="00BA01A7"/>
    <w:rsid w:val="00BA0224"/>
    <w:rsid w:val="00BA05C8"/>
    <w:rsid w:val="00BA09AA"/>
    <w:rsid w:val="00BA0AD5"/>
    <w:rsid w:val="00BA0CA0"/>
    <w:rsid w:val="00BA0E3C"/>
    <w:rsid w:val="00BA1F74"/>
    <w:rsid w:val="00BA1FE7"/>
    <w:rsid w:val="00BA2B1D"/>
    <w:rsid w:val="00BA386F"/>
    <w:rsid w:val="00BA3991"/>
    <w:rsid w:val="00BA3CA6"/>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5C12"/>
    <w:rsid w:val="00BB6502"/>
    <w:rsid w:val="00BB6BCD"/>
    <w:rsid w:val="00BB70F9"/>
    <w:rsid w:val="00BB7C9B"/>
    <w:rsid w:val="00BC0A3B"/>
    <w:rsid w:val="00BC1527"/>
    <w:rsid w:val="00BC2306"/>
    <w:rsid w:val="00BC2BC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30A4"/>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46E"/>
    <w:rsid w:val="00C02DC2"/>
    <w:rsid w:val="00C034A4"/>
    <w:rsid w:val="00C03DD0"/>
    <w:rsid w:val="00C04445"/>
    <w:rsid w:val="00C04705"/>
    <w:rsid w:val="00C04A7F"/>
    <w:rsid w:val="00C04E2B"/>
    <w:rsid w:val="00C04F3E"/>
    <w:rsid w:val="00C051AA"/>
    <w:rsid w:val="00C057F8"/>
    <w:rsid w:val="00C060A0"/>
    <w:rsid w:val="00C07187"/>
    <w:rsid w:val="00C075C9"/>
    <w:rsid w:val="00C07DB2"/>
    <w:rsid w:val="00C07FAD"/>
    <w:rsid w:val="00C10347"/>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C81"/>
    <w:rsid w:val="00C66772"/>
    <w:rsid w:val="00C66D2B"/>
    <w:rsid w:val="00C67580"/>
    <w:rsid w:val="00C6781C"/>
    <w:rsid w:val="00C67EA1"/>
    <w:rsid w:val="00C70330"/>
    <w:rsid w:val="00C70AEE"/>
    <w:rsid w:val="00C71000"/>
    <w:rsid w:val="00C71D15"/>
    <w:rsid w:val="00C7234D"/>
    <w:rsid w:val="00C7244E"/>
    <w:rsid w:val="00C726C9"/>
    <w:rsid w:val="00C72801"/>
    <w:rsid w:val="00C72C0A"/>
    <w:rsid w:val="00C73E67"/>
    <w:rsid w:val="00C73FAD"/>
    <w:rsid w:val="00C74AE1"/>
    <w:rsid w:val="00C75566"/>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4FBD"/>
    <w:rsid w:val="00C85A36"/>
    <w:rsid w:val="00C85CD1"/>
    <w:rsid w:val="00C86C56"/>
    <w:rsid w:val="00C8773E"/>
    <w:rsid w:val="00C87B3F"/>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4D0E"/>
    <w:rsid w:val="00CA5429"/>
    <w:rsid w:val="00CA5AD3"/>
    <w:rsid w:val="00CA62DD"/>
    <w:rsid w:val="00CA69BA"/>
    <w:rsid w:val="00CA7DE6"/>
    <w:rsid w:val="00CB0339"/>
    <w:rsid w:val="00CB06F2"/>
    <w:rsid w:val="00CB110E"/>
    <w:rsid w:val="00CB11F8"/>
    <w:rsid w:val="00CB12A2"/>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0C29"/>
    <w:rsid w:val="00CC110F"/>
    <w:rsid w:val="00CC11B8"/>
    <w:rsid w:val="00CC1808"/>
    <w:rsid w:val="00CC1AF9"/>
    <w:rsid w:val="00CC20E0"/>
    <w:rsid w:val="00CC2818"/>
    <w:rsid w:val="00CC2F7A"/>
    <w:rsid w:val="00CC3A70"/>
    <w:rsid w:val="00CC4033"/>
    <w:rsid w:val="00CC40B8"/>
    <w:rsid w:val="00CC5317"/>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692"/>
    <w:rsid w:val="00CF4713"/>
    <w:rsid w:val="00CF4A66"/>
    <w:rsid w:val="00CF4B12"/>
    <w:rsid w:val="00CF58FE"/>
    <w:rsid w:val="00CF5EBE"/>
    <w:rsid w:val="00CF644D"/>
    <w:rsid w:val="00CF783B"/>
    <w:rsid w:val="00CF7D97"/>
    <w:rsid w:val="00CF7EEC"/>
    <w:rsid w:val="00D001C2"/>
    <w:rsid w:val="00D00779"/>
    <w:rsid w:val="00D009D8"/>
    <w:rsid w:val="00D00B82"/>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4A2F"/>
    <w:rsid w:val="00D35060"/>
    <w:rsid w:val="00D35A2A"/>
    <w:rsid w:val="00D369D4"/>
    <w:rsid w:val="00D36AD7"/>
    <w:rsid w:val="00D373E9"/>
    <w:rsid w:val="00D37C61"/>
    <w:rsid w:val="00D403FF"/>
    <w:rsid w:val="00D404C4"/>
    <w:rsid w:val="00D40CE9"/>
    <w:rsid w:val="00D40D0B"/>
    <w:rsid w:val="00D411F0"/>
    <w:rsid w:val="00D41702"/>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20B8"/>
    <w:rsid w:val="00D93873"/>
    <w:rsid w:val="00D93C1C"/>
    <w:rsid w:val="00D94026"/>
    <w:rsid w:val="00D94120"/>
    <w:rsid w:val="00D947B0"/>
    <w:rsid w:val="00D951DD"/>
    <w:rsid w:val="00D952ED"/>
    <w:rsid w:val="00D957FA"/>
    <w:rsid w:val="00D9664C"/>
    <w:rsid w:val="00D97404"/>
    <w:rsid w:val="00D975A3"/>
    <w:rsid w:val="00D979D0"/>
    <w:rsid w:val="00DA08CA"/>
    <w:rsid w:val="00DA0F37"/>
    <w:rsid w:val="00DA101A"/>
    <w:rsid w:val="00DA122C"/>
    <w:rsid w:val="00DA2FD5"/>
    <w:rsid w:val="00DA3398"/>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3AC0"/>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4170"/>
    <w:rsid w:val="00DF5043"/>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47CF"/>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3B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77FC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713D"/>
    <w:rsid w:val="00E90329"/>
    <w:rsid w:val="00E904A0"/>
    <w:rsid w:val="00E910D5"/>
    <w:rsid w:val="00E9192B"/>
    <w:rsid w:val="00E922C4"/>
    <w:rsid w:val="00E943AE"/>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7C"/>
    <w:rsid w:val="00EA65F1"/>
    <w:rsid w:val="00EA6665"/>
    <w:rsid w:val="00EA6935"/>
    <w:rsid w:val="00EA6967"/>
    <w:rsid w:val="00EA6F44"/>
    <w:rsid w:val="00EA7613"/>
    <w:rsid w:val="00EA793B"/>
    <w:rsid w:val="00EA7A7E"/>
    <w:rsid w:val="00EB05DA"/>
    <w:rsid w:val="00EB190F"/>
    <w:rsid w:val="00EB235B"/>
    <w:rsid w:val="00EB248E"/>
    <w:rsid w:val="00EB2EF9"/>
    <w:rsid w:val="00EB31A3"/>
    <w:rsid w:val="00EB325B"/>
    <w:rsid w:val="00EB3E22"/>
    <w:rsid w:val="00EB693B"/>
    <w:rsid w:val="00EB7BA9"/>
    <w:rsid w:val="00EB7D75"/>
    <w:rsid w:val="00EC0B20"/>
    <w:rsid w:val="00EC0EE7"/>
    <w:rsid w:val="00EC1350"/>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58A2"/>
    <w:rsid w:val="00ED58C3"/>
    <w:rsid w:val="00ED5C71"/>
    <w:rsid w:val="00ED5EEE"/>
    <w:rsid w:val="00ED667C"/>
    <w:rsid w:val="00ED710F"/>
    <w:rsid w:val="00ED7966"/>
    <w:rsid w:val="00EE01CC"/>
    <w:rsid w:val="00EE03AB"/>
    <w:rsid w:val="00EE04EE"/>
    <w:rsid w:val="00EE1760"/>
    <w:rsid w:val="00EE18B6"/>
    <w:rsid w:val="00EE25E3"/>
    <w:rsid w:val="00EE287D"/>
    <w:rsid w:val="00EE3B32"/>
    <w:rsid w:val="00EE3CFF"/>
    <w:rsid w:val="00EE3F39"/>
    <w:rsid w:val="00EE3F42"/>
    <w:rsid w:val="00EE414C"/>
    <w:rsid w:val="00EE44FE"/>
    <w:rsid w:val="00EE5406"/>
    <w:rsid w:val="00EE5EF8"/>
    <w:rsid w:val="00EE6964"/>
    <w:rsid w:val="00EE6A1D"/>
    <w:rsid w:val="00EE6D18"/>
    <w:rsid w:val="00EE7E7A"/>
    <w:rsid w:val="00EF03D7"/>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1E"/>
    <w:rsid w:val="00F00997"/>
    <w:rsid w:val="00F00B1B"/>
    <w:rsid w:val="00F00E37"/>
    <w:rsid w:val="00F010EE"/>
    <w:rsid w:val="00F01383"/>
    <w:rsid w:val="00F0167D"/>
    <w:rsid w:val="00F0177A"/>
    <w:rsid w:val="00F019D5"/>
    <w:rsid w:val="00F02500"/>
    <w:rsid w:val="00F02BF0"/>
    <w:rsid w:val="00F02F00"/>
    <w:rsid w:val="00F032E2"/>
    <w:rsid w:val="00F037E3"/>
    <w:rsid w:val="00F0383F"/>
    <w:rsid w:val="00F03846"/>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2A95"/>
    <w:rsid w:val="00F13433"/>
    <w:rsid w:val="00F134FC"/>
    <w:rsid w:val="00F1350E"/>
    <w:rsid w:val="00F14419"/>
    <w:rsid w:val="00F1470E"/>
    <w:rsid w:val="00F147A5"/>
    <w:rsid w:val="00F14AA7"/>
    <w:rsid w:val="00F15884"/>
    <w:rsid w:val="00F15B8E"/>
    <w:rsid w:val="00F16665"/>
    <w:rsid w:val="00F166BB"/>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6E43"/>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85F"/>
    <w:rsid w:val="00F7294C"/>
    <w:rsid w:val="00F72C5F"/>
    <w:rsid w:val="00F73549"/>
    <w:rsid w:val="00F738F6"/>
    <w:rsid w:val="00F73FB2"/>
    <w:rsid w:val="00F7451B"/>
    <w:rsid w:val="00F75782"/>
    <w:rsid w:val="00F759E0"/>
    <w:rsid w:val="00F80B5C"/>
    <w:rsid w:val="00F80C1D"/>
    <w:rsid w:val="00F81130"/>
    <w:rsid w:val="00F81469"/>
    <w:rsid w:val="00F818F7"/>
    <w:rsid w:val="00F827BB"/>
    <w:rsid w:val="00F8325D"/>
    <w:rsid w:val="00F832A9"/>
    <w:rsid w:val="00F832B0"/>
    <w:rsid w:val="00F83307"/>
    <w:rsid w:val="00F833A5"/>
    <w:rsid w:val="00F840B8"/>
    <w:rsid w:val="00F844D3"/>
    <w:rsid w:val="00F844FA"/>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E1C"/>
    <w:rsid w:val="00F92FDC"/>
    <w:rsid w:val="00F931D2"/>
    <w:rsid w:val="00F93431"/>
    <w:rsid w:val="00F93A4A"/>
    <w:rsid w:val="00F93D27"/>
    <w:rsid w:val="00F93F33"/>
    <w:rsid w:val="00F95DD6"/>
    <w:rsid w:val="00F96370"/>
    <w:rsid w:val="00F97940"/>
    <w:rsid w:val="00F97BA3"/>
    <w:rsid w:val="00F97EA2"/>
    <w:rsid w:val="00F97F0D"/>
    <w:rsid w:val="00FA0B0A"/>
    <w:rsid w:val="00FA0C86"/>
    <w:rsid w:val="00FA121C"/>
    <w:rsid w:val="00FA1407"/>
    <w:rsid w:val="00FA1A68"/>
    <w:rsid w:val="00FA1B1A"/>
    <w:rsid w:val="00FA1FB9"/>
    <w:rsid w:val="00FA2747"/>
    <w:rsid w:val="00FA2A33"/>
    <w:rsid w:val="00FA2B8D"/>
    <w:rsid w:val="00FA2C8F"/>
    <w:rsid w:val="00FA2CF7"/>
    <w:rsid w:val="00FA3410"/>
    <w:rsid w:val="00FA360B"/>
    <w:rsid w:val="00FA3860"/>
    <w:rsid w:val="00FA3A50"/>
    <w:rsid w:val="00FA4763"/>
    <w:rsid w:val="00FA4830"/>
    <w:rsid w:val="00FA4C87"/>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275"/>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2E"/>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E7C7C"/>
    <w:rsid w:val="00FF0003"/>
    <w:rsid w:val="00FF01FA"/>
    <w:rsid w:val="00FF1472"/>
    <w:rsid w:val="00FF21B5"/>
    <w:rsid w:val="00FF21C3"/>
    <w:rsid w:val="00FF2A05"/>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6849"/>
  <w15:docId w15:val="{ED372785-25D9-467A-BF71-385CB01E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78E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aliases w:val="SUPERS,EN Footnote Reference,Footnote reference number,Footnote symbol,note TESI,-E Fußnotenzeichen,number"/>
    <w:uiPriority w:val="99"/>
    <w:semiHidden/>
    <w:qFormat/>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E551B2"/>
    <w:pPr>
      <w:spacing w:before="0" w:after="240" w:line="680" w:lineRule="atLeast"/>
      <w:ind w:right="-23"/>
      <w:jc w:val="left"/>
    </w:pPr>
    <w:rPr>
      <w:rFonts w:ascii="Georgia" w:hAnsi="Georgia"/>
      <w:b/>
      <w:color w:val="FFFFFF" w:themeColor="background1"/>
      <w:sz w:val="56"/>
      <w:szCs w:val="56"/>
    </w:rPr>
  </w:style>
  <w:style w:type="character" w:customStyle="1" w:styleId="TitleChar">
    <w:name w:val="Title Char"/>
    <w:link w:val="Title"/>
    <w:uiPriority w:val="2"/>
    <w:rsid w:val="00E551B2"/>
    <w:rPr>
      <w:rFonts w:ascii="Georgia" w:eastAsia="Times New Roman" w:hAnsi="Georgia"/>
      <w:b/>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lgerian" w:eastAsia="Times New Roman" w:hAnsi="Alger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lgerian" w:eastAsia="Times New Roman" w:hAnsi="Alger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lgerian" w:eastAsia="Times New Roman" w:hAnsi="Algerian" w:cs="Times New Roman"/>
        <w:b/>
        <w:bCs/>
      </w:rPr>
    </w:tblStylePr>
    <w:tblStylePr w:type="lastCol">
      <w:rPr>
        <w:rFonts w:ascii="Algerian" w:eastAsia="Times New Roman" w:hAnsi="Alger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lgerian" w:eastAsia="Times New Roman" w:hAnsi="Alger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val="0"/>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315F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waste-and-resource-efficiency-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ECM-1122293896-125185</_dlc_DocId>
    <_dlc_DocIdUrl xmlns="58a6f171-52cb-4404-b47d-af1c8daf8fd1">
      <Url>https://ministryforenvironment.sharepoint.com/sites/ECM-ER-Comms/_layouts/15/DocIdRedir.aspx?ID=ECM-1122293896-125185</Url>
      <Description>ECM-1122293896-125185</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4.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5.xml><?xml version="1.0" encoding="utf-8"?>
<ds:datastoreItem xmlns:ds="http://schemas.openxmlformats.org/officeDocument/2006/customXml" ds:itemID="{F93D78A3-4C33-4E8F-A6B3-407E8C02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MfE Information sheet template.dotx</Template>
  <TotalTime>1</TotalTime>
  <Pages>6</Pages>
  <Words>2215</Words>
  <Characters>13249</Characters>
  <Application>Microsoft Office Word</Application>
  <DocSecurity>0</DocSecurity>
  <Lines>301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Links>
    <vt:vector size="6" baseType="variant">
      <vt:variant>
        <vt:i4>2162804</vt:i4>
      </vt:variant>
      <vt:variant>
        <vt:i4>0</vt:i4>
      </vt:variant>
      <vt:variant>
        <vt:i4>0</vt:i4>
      </vt:variant>
      <vt:variant>
        <vt:i4>5</vt:i4>
      </vt:variant>
      <vt:variant>
        <vt:lpwstr>https://environment.govt.nz/publications/waste-and-resource-efficiency-strategy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stirlingl</dc:creator>
  <cp:keywords/>
  <cp:lastModifiedBy>Linda Stirling</cp:lastModifiedBy>
  <cp:revision>2</cp:revision>
  <dcterms:created xsi:type="dcterms:W3CDTF">2025-03-07T00:14:00Z</dcterms:created>
  <dcterms:modified xsi:type="dcterms:W3CDTF">2025-03-07T00:14:00Z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036c3371-46a7-47d3-8319-88e74960f1fe</vt:lpwstr>
  </property>
  <property fmtid="{D5CDD505-2E9C-101B-9397-08002B2CF9AE}" pid="11" name="MediaServiceImageTags">
    <vt:lpwstr/>
  </property>
</Properties>
</file>