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64DB" w14:textId="08946023" w:rsidR="0003640E" w:rsidRPr="006B77BB" w:rsidRDefault="00576DB0" w:rsidP="0003640E">
      <w:pPr>
        <w:pStyle w:val="BodyText"/>
      </w:pPr>
      <w:r>
        <w:rPr>
          <w:noProof/>
        </w:rPr>
        <w:drawing>
          <wp:anchor distT="0" distB="0" distL="114300" distR="114300" simplePos="0" relativeHeight="251659264" behindDoc="0" locked="0" layoutInCell="1" allowOverlap="0" wp14:anchorId="3F38C800" wp14:editId="10DBC5BE">
            <wp:simplePos x="0" y="0"/>
            <wp:positionH relativeFrom="page">
              <wp:align>left</wp:align>
            </wp:positionH>
            <wp:positionV relativeFrom="page">
              <wp:align>top</wp:align>
            </wp:positionV>
            <wp:extent cx="7561199" cy="10692511"/>
            <wp:effectExtent l="0" t="0" r="190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7561199" cy="10692511"/>
                    </a:xfrm>
                    <a:prstGeom prst="rect">
                      <a:avLst/>
                    </a:prstGeom>
                  </pic:spPr>
                </pic:pic>
              </a:graphicData>
            </a:graphic>
          </wp:anchor>
        </w:drawing>
      </w:r>
    </w:p>
    <w:p w14:paraId="2C132B88"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7679D18D" w14:textId="77777777" w:rsidR="00452EC4" w:rsidRPr="006B77BB" w:rsidRDefault="00452EC4" w:rsidP="00775F57">
      <w:pPr>
        <w:pStyle w:val="Imprint"/>
        <w:spacing w:before="0" w:after="0"/>
        <w:rPr>
          <w:b/>
        </w:rPr>
      </w:pPr>
      <w:r w:rsidRPr="006B77BB">
        <w:rPr>
          <w:b/>
        </w:rPr>
        <w:lastRenderedPageBreak/>
        <w:t>Disclaimer</w:t>
      </w:r>
    </w:p>
    <w:p w14:paraId="69BA702B"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306E1F0D" w14:textId="77777777" w:rsidR="0059040D" w:rsidRDefault="0059040D" w:rsidP="00D01DD6">
      <w:pPr>
        <w:pStyle w:val="Bullet"/>
      </w:pPr>
      <w:r>
        <w:t xml:space="preserve">the information does not alter the laws of New Zealand, other official guidelines, or requirements </w:t>
      </w:r>
    </w:p>
    <w:p w14:paraId="0BAA121D"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16859497" w14:textId="77777777" w:rsidR="0059040D" w:rsidRDefault="0059040D" w:rsidP="00D01DD6">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1DA22539"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4EAF0036" w14:textId="77777777" w:rsidR="00452EC4" w:rsidRDefault="00452EC4" w:rsidP="00452EC4">
      <w:pPr>
        <w:pStyle w:val="Imprint"/>
      </w:pPr>
    </w:p>
    <w:p w14:paraId="56224333" w14:textId="77777777" w:rsidR="00576DB0" w:rsidRPr="006B77BB" w:rsidRDefault="00576DB0" w:rsidP="00452EC4">
      <w:pPr>
        <w:pStyle w:val="Imprint"/>
      </w:pPr>
    </w:p>
    <w:p w14:paraId="2AA7F26F" w14:textId="3923B192"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576DB0">
        <w:t>2021</w:t>
      </w:r>
      <w:r w:rsidR="00775F57" w:rsidRPr="006B77BB">
        <w:t xml:space="preserve">. </w:t>
      </w:r>
      <w:r w:rsidR="00576DB0">
        <w:rPr>
          <w:i/>
        </w:rPr>
        <w:t>Waste Minimisation Act 2008: Prosecutions Policy.</w:t>
      </w:r>
      <w:r w:rsidR="00775F57" w:rsidRPr="006B77BB">
        <w:t xml:space="preserve"> Wellington: Ministry for the Environment.</w:t>
      </w:r>
    </w:p>
    <w:p w14:paraId="080C4580" w14:textId="77777777" w:rsidR="00760C00" w:rsidRDefault="00760C00" w:rsidP="0080531E">
      <w:pPr>
        <w:pStyle w:val="Imprint"/>
      </w:pPr>
    </w:p>
    <w:p w14:paraId="59D2E351" w14:textId="77777777" w:rsidR="00457135" w:rsidRDefault="00457135" w:rsidP="0080531E">
      <w:pPr>
        <w:pStyle w:val="Imprint"/>
      </w:pPr>
    </w:p>
    <w:p w14:paraId="0A676D86" w14:textId="77777777" w:rsidR="00563317" w:rsidRDefault="00563317" w:rsidP="0080531E">
      <w:pPr>
        <w:pStyle w:val="Imprint"/>
      </w:pPr>
    </w:p>
    <w:p w14:paraId="3CE17204" w14:textId="77777777" w:rsidR="00130A41" w:rsidRDefault="00130A41" w:rsidP="0080531E">
      <w:pPr>
        <w:pStyle w:val="Imprint"/>
      </w:pPr>
    </w:p>
    <w:p w14:paraId="67867863" w14:textId="77777777" w:rsidR="00576DB0" w:rsidRDefault="00576DB0" w:rsidP="0080531E">
      <w:pPr>
        <w:pStyle w:val="Imprint"/>
      </w:pPr>
    </w:p>
    <w:p w14:paraId="2208C6BB" w14:textId="77777777" w:rsidR="00576DB0" w:rsidRDefault="00576DB0" w:rsidP="0080531E">
      <w:pPr>
        <w:pStyle w:val="Imprint"/>
      </w:pPr>
    </w:p>
    <w:p w14:paraId="2FDFD01B" w14:textId="77777777" w:rsidR="00130A41" w:rsidRDefault="00130A41" w:rsidP="0080531E">
      <w:pPr>
        <w:pStyle w:val="Imprint"/>
      </w:pPr>
    </w:p>
    <w:p w14:paraId="383F6EAE" w14:textId="77777777" w:rsidR="00457135" w:rsidRPr="006B77BB" w:rsidRDefault="00457135" w:rsidP="0080531E">
      <w:pPr>
        <w:pStyle w:val="Imprint"/>
      </w:pPr>
    </w:p>
    <w:p w14:paraId="7485DF00" w14:textId="339BCE79" w:rsidR="0080531E" w:rsidRDefault="0080531E" w:rsidP="0080531E">
      <w:pPr>
        <w:pStyle w:val="Imprint"/>
      </w:pPr>
      <w:r w:rsidRPr="006B77BB">
        <w:t xml:space="preserve">Published in </w:t>
      </w:r>
      <w:r w:rsidR="00576DB0">
        <w:t>June</w:t>
      </w:r>
      <w:r w:rsidR="00775F57" w:rsidRPr="00663783">
        <w:t xml:space="preserve"> </w:t>
      </w:r>
      <w:r w:rsidR="00576DB0">
        <w:t>2021</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r w:rsidR="001201AD">
        <w:t>t</w:t>
      </w:r>
      <w:r w:rsidRPr="006B77BB">
        <w:t>e Taiao</w:t>
      </w:r>
      <w:r w:rsidRPr="006B77BB">
        <w:br/>
        <w:t>PO Box 10362, Wellington 6143, New Zealand</w:t>
      </w:r>
      <w:r w:rsidR="00F27E5C">
        <w:br/>
      </w:r>
      <w:hyperlink r:id="rId15" w:history="1">
        <w:r w:rsidR="00F27E5C" w:rsidRPr="005A5193">
          <w:rPr>
            <w:rStyle w:val="Hyperlink"/>
          </w:rPr>
          <w:t>environment.govt.nz</w:t>
        </w:r>
      </w:hyperlink>
    </w:p>
    <w:p w14:paraId="02A89920" w14:textId="77777777" w:rsidR="00576DB0" w:rsidRPr="006B77BB" w:rsidRDefault="00576DB0" w:rsidP="00576DB0">
      <w:pPr>
        <w:pStyle w:val="Imprint"/>
      </w:pPr>
      <w:r>
        <w:t>Updated April 2026</w:t>
      </w:r>
    </w:p>
    <w:p w14:paraId="106D14FD" w14:textId="494539A9" w:rsidR="0080531E" w:rsidRPr="006B77BB" w:rsidRDefault="0080531E" w:rsidP="00576DB0">
      <w:pPr>
        <w:pStyle w:val="Imprint"/>
      </w:pPr>
      <w:r w:rsidRPr="006B77BB">
        <w:t xml:space="preserve">ISBN: </w:t>
      </w:r>
      <w:r w:rsidR="00576DB0">
        <w:t>978-1-99-003349-0</w:t>
      </w:r>
      <w:r w:rsidR="00576DB0">
        <w:br/>
      </w:r>
      <w:r w:rsidRPr="006B77BB">
        <w:t xml:space="preserve">Publication number: </w:t>
      </w:r>
      <w:r w:rsidRPr="00576DB0">
        <w:t xml:space="preserve">ME </w:t>
      </w:r>
      <w:r w:rsidR="00576DB0">
        <w:t>1577</w:t>
      </w:r>
    </w:p>
    <w:p w14:paraId="43CAE7E8" w14:textId="553C91D0" w:rsidR="0080531E" w:rsidRPr="006B77BB" w:rsidRDefault="0080531E" w:rsidP="00593E94">
      <w:pPr>
        <w:pStyle w:val="Imprint"/>
        <w:spacing w:after="80"/>
      </w:pPr>
      <w:r w:rsidRPr="006B77BB">
        <w:t xml:space="preserve">© Crown copyright New Zealand </w:t>
      </w:r>
      <w:r w:rsidR="00576DB0">
        <w:t>2026</w:t>
      </w:r>
    </w:p>
    <w:p w14:paraId="5A2F7962" w14:textId="77777777" w:rsidR="0080531E" w:rsidRPr="00A84FE1" w:rsidRDefault="0080531E" w:rsidP="00A84FE1">
      <w:pPr>
        <w:sectPr w:rsidR="0080531E" w:rsidRPr="00A84FE1" w:rsidSect="008A7498">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14:paraId="6A509717" w14:textId="77777777" w:rsidR="0080531E" w:rsidRPr="00F06E0B" w:rsidRDefault="0080531E" w:rsidP="00585FD0">
      <w:pPr>
        <w:pStyle w:val="Heading"/>
      </w:pPr>
      <w:r w:rsidRPr="00F06E0B">
        <w:lastRenderedPageBreak/>
        <w:t>Contents</w:t>
      </w:r>
    </w:p>
    <w:p w14:paraId="7F860C2E" w14:textId="44DEB6F7" w:rsidR="006E0E4F" w:rsidRDefault="00775F57">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26013906" w:history="1">
        <w:r w:rsidR="006E0E4F" w:rsidRPr="005A136C">
          <w:rPr>
            <w:rStyle w:val="Hyperlink"/>
            <w:noProof/>
          </w:rPr>
          <w:t>Introduction</w:t>
        </w:r>
        <w:r w:rsidR="006E0E4F">
          <w:rPr>
            <w:noProof/>
            <w:webHidden/>
          </w:rPr>
          <w:tab/>
        </w:r>
        <w:r w:rsidR="006E0E4F">
          <w:rPr>
            <w:noProof/>
            <w:webHidden/>
          </w:rPr>
          <w:fldChar w:fldCharType="begin"/>
        </w:r>
        <w:r w:rsidR="006E0E4F">
          <w:rPr>
            <w:noProof/>
            <w:webHidden/>
          </w:rPr>
          <w:instrText xml:space="preserve"> PAGEREF _Toc226013906 \h </w:instrText>
        </w:r>
        <w:r w:rsidR="006E0E4F">
          <w:rPr>
            <w:noProof/>
            <w:webHidden/>
          </w:rPr>
        </w:r>
        <w:r w:rsidR="006E0E4F">
          <w:rPr>
            <w:noProof/>
            <w:webHidden/>
          </w:rPr>
          <w:fldChar w:fldCharType="separate"/>
        </w:r>
        <w:r w:rsidR="00C120BD">
          <w:rPr>
            <w:noProof/>
            <w:webHidden/>
          </w:rPr>
          <w:t>4</w:t>
        </w:r>
        <w:r w:rsidR="006E0E4F">
          <w:rPr>
            <w:noProof/>
            <w:webHidden/>
          </w:rPr>
          <w:fldChar w:fldCharType="end"/>
        </w:r>
      </w:hyperlink>
    </w:p>
    <w:p w14:paraId="548E481B" w14:textId="44F34111" w:rsidR="006E0E4F" w:rsidRDefault="006E0E4F">
      <w:pPr>
        <w:pStyle w:val="TOC1"/>
        <w:rPr>
          <w:rFonts w:asciiTheme="minorHAnsi" w:hAnsiTheme="minorHAnsi"/>
          <w:noProof/>
          <w:kern w:val="2"/>
          <w:sz w:val="24"/>
          <w:szCs w:val="24"/>
          <w14:ligatures w14:val="standardContextual"/>
        </w:rPr>
      </w:pPr>
      <w:hyperlink w:anchor="_Toc226013907" w:history="1">
        <w:r w:rsidRPr="005A136C">
          <w:rPr>
            <w:rStyle w:val="Hyperlink"/>
            <w:noProof/>
          </w:rPr>
          <w:t>Function and scope of a prosecution policy</w:t>
        </w:r>
        <w:r>
          <w:rPr>
            <w:noProof/>
            <w:webHidden/>
          </w:rPr>
          <w:tab/>
        </w:r>
        <w:r>
          <w:rPr>
            <w:noProof/>
            <w:webHidden/>
          </w:rPr>
          <w:fldChar w:fldCharType="begin"/>
        </w:r>
        <w:r>
          <w:rPr>
            <w:noProof/>
            <w:webHidden/>
          </w:rPr>
          <w:instrText xml:space="preserve"> PAGEREF _Toc226013907 \h </w:instrText>
        </w:r>
        <w:r>
          <w:rPr>
            <w:noProof/>
            <w:webHidden/>
          </w:rPr>
        </w:r>
        <w:r>
          <w:rPr>
            <w:noProof/>
            <w:webHidden/>
          </w:rPr>
          <w:fldChar w:fldCharType="separate"/>
        </w:r>
        <w:r w:rsidR="00C120BD">
          <w:rPr>
            <w:noProof/>
            <w:webHidden/>
          </w:rPr>
          <w:t>5</w:t>
        </w:r>
        <w:r>
          <w:rPr>
            <w:noProof/>
            <w:webHidden/>
          </w:rPr>
          <w:fldChar w:fldCharType="end"/>
        </w:r>
      </w:hyperlink>
    </w:p>
    <w:p w14:paraId="71711656" w14:textId="700E5F5A" w:rsidR="006E0E4F" w:rsidRDefault="006E0E4F">
      <w:pPr>
        <w:pStyle w:val="TOC1"/>
        <w:rPr>
          <w:rFonts w:asciiTheme="minorHAnsi" w:hAnsiTheme="minorHAnsi"/>
          <w:noProof/>
          <w:kern w:val="2"/>
          <w:sz w:val="24"/>
          <w:szCs w:val="24"/>
          <w14:ligatures w14:val="standardContextual"/>
        </w:rPr>
      </w:pPr>
      <w:hyperlink w:anchor="_Toc226013908" w:history="1">
        <w:r w:rsidRPr="005A136C">
          <w:rPr>
            <w:rStyle w:val="Hyperlink"/>
            <w:noProof/>
          </w:rPr>
          <w:t>Roles and responsibilities</w:t>
        </w:r>
        <w:r>
          <w:rPr>
            <w:noProof/>
            <w:webHidden/>
          </w:rPr>
          <w:tab/>
        </w:r>
        <w:r>
          <w:rPr>
            <w:noProof/>
            <w:webHidden/>
          </w:rPr>
          <w:fldChar w:fldCharType="begin"/>
        </w:r>
        <w:r>
          <w:rPr>
            <w:noProof/>
            <w:webHidden/>
          </w:rPr>
          <w:instrText xml:space="preserve"> PAGEREF _Toc226013908 \h </w:instrText>
        </w:r>
        <w:r>
          <w:rPr>
            <w:noProof/>
            <w:webHidden/>
          </w:rPr>
        </w:r>
        <w:r>
          <w:rPr>
            <w:noProof/>
            <w:webHidden/>
          </w:rPr>
          <w:fldChar w:fldCharType="separate"/>
        </w:r>
        <w:r w:rsidR="00C120BD">
          <w:rPr>
            <w:noProof/>
            <w:webHidden/>
          </w:rPr>
          <w:t>6</w:t>
        </w:r>
        <w:r>
          <w:rPr>
            <w:noProof/>
            <w:webHidden/>
          </w:rPr>
          <w:fldChar w:fldCharType="end"/>
        </w:r>
      </w:hyperlink>
    </w:p>
    <w:p w14:paraId="1A72DBFA" w14:textId="595D1AFD" w:rsidR="006E0E4F" w:rsidRDefault="006E0E4F">
      <w:pPr>
        <w:pStyle w:val="TOC1"/>
        <w:rPr>
          <w:rFonts w:asciiTheme="minorHAnsi" w:hAnsiTheme="minorHAnsi"/>
          <w:noProof/>
          <w:kern w:val="2"/>
          <w:sz w:val="24"/>
          <w:szCs w:val="24"/>
          <w14:ligatures w14:val="standardContextual"/>
        </w:rPr>
      </w:pPr>
      <w:hyperlink w:anchor="_Toc226013909" w:history="1">
        <w:r w:rsidRPr="005A136C">
          <w:rPr>
            <w:rStyle w:val="Hyperlink"/>
            <w:noProof/>
          </w:rPr>
          <w:t>Tests for prosecution</w:t>
        </w:r>
        <w:r>
          <w:rPr>
            <w:noProof/>
            <w:webHidden/>
          </w:rPr>
          <w:tab/>
        </w:r>
        <w:r>
          <w:rPr>
            <w:noProof/>
            <w:webHidden/>
          </w:rPr>
          <w:fldChar w:fldCharType="begin"/>
        </w:r>
        <w:r>
          <w:rPr>
            <w:noProof/>
            <w:webHidden/>
          </w:rPr>
          <w:instrText xml:space="preserve"> PAGEREF _Toc226013909 \h </w:instrText>
        </w:r>
        <w:r>
          <w:rPr>
            <w:noProof/>
            <w:webHidden/>
          </w:rPr>
        </w:r>
        <w:r>
          <w:rPr>
            <w:noProof/>
            <w:webHidden/>
          </w:rPr>
          <w:fldChar w:fldCharType="separate"/>
        </w:r>
        <w:r w:rsidR="00C120BD">
          <w:rPr>
            <w:noProof/>
            <w:webHidden/>
          </w:rPr>
          <w:t>8</w:t>
        </w:r>
        <w:r>
          <w:rPr>
            <w:noProof/>
            <w:webHidden/>
          </w:rPr>
          <w:fldChar w:fldCharType="end"/>
        </w:r>
      </w:hyperlink>
    </w:p>
    <w:p w14:paraId="436DCDAD" w14:textId="54AC37D5" w:rsidR="006E0E4F" w:rsidRDefault="006E0E4F">
      <w:pPr>
        <w:pStyle w:val="TOC2"/>
        <w:rPr>
          <w:rFonts w:asciiTheme="minorHAnsi" w:hAnsiTheme="minorHAnsi"/>
          <w:noProof/>
          <w:kern w:val="2"/>
          <w:sz w:val="24"/>
          <w:szCs w:val="24"/>
          <w14:ligatures w14:val="standardContextual"/>
        </w:rPr>
      </w:pPr>
      <w:hyperlink w:anchor="_Toc226013910" w:history="1">
        <w:r w:rsidRPr="005A136C">
          <w:rPr>
            <w:rStyle w:val="Hyperlink"/>
            <w:noProof/>
          </w:rPr>
          <w:t>More information</w:t>
        </w:r>
        <w:r>
          <w:rPr>
            <w:noProof/>
            <w:webHidden/>
          </w:rPr>
          <w:tab/>
        </w:r>
        <w:r>
          <w:rPr>
            <w:noProof/>
            <w:webHidden/>
          </w:rPr>
          <w:fldChar w:fldCharType="begin"/>
        </w:r>
        <w:r>
          <w:rPr>
            <w:noProof/>
            <w:webHidden/>
          </w:rPr>
          <w:instrText xml:space="preserve"> PAGEREF _Toc226013910 \h </w:instrText>
        </w:r>
        <w:r>
          <w:rPr>
            <w:noProof/>
            <w:webHidden/>
          </w:rPr>
        </w:r>
        <w:r>
          <w:rPr>
            <w:noProof/>
            <w:webHidden/>
          </w:rPr>
          <w:fldChar w:fldCharType="separate"/>
        </w:r>
        <w:r w:rsidR="00C120BD">
          <w:rPr>
            <w:noProof/>
            <w:webHidden/>
          </w:rPr>
          <w:t>8</w:t>
        </w:r>
        <w:r>
          <w:rPr>
            <w:noProof/>
            <w:webHidden/>
          </w:rPr>
          <w:fldChar w:fldCharType="end"/>
        </w:r>
      </w:hyperlink>
    </w:p>
    <w:p w14:paraId="6678471A" w14:textId="47F03B72" w:rsidR="006E0E4F" w:rsidRDefault="006E0E4F">
      <w:pPr>
        <w:pStyle w:val="TOC2"/>
        <w:rPr>
          <w:rFonts w:asciiTheme="minorHAnsi" w:hAnsiTheme="minorHAnsi"/>
          <w:noProof/>
          <w:kern w:val="2"/>
          <w:sz w:val="24"/>
          <w:szCs w:val="24"/>
          <w14:ligatures w14:val="standardContextual"/>
        </w:rPr>
      </w:pPr>
      <w:hyperlink w:anchor="_Toc226013911" w:history="1">
        <w:r w:rsidRPr="005A136C">
          <w:rPr>
            <w:rStyle w:val="Hyperlink"/>
            <w:noProof/>
          </w:rPr>
          <w:t>Deciding who to charge</w:t>
        </w:r>
        <w:r>
          <w:rPr>
            <w:noProof/>
            <w:webHidden/>
          </w:rPr>
          <w:tab/>
        </w:r>
        <w:r>
          <w:rPr>
            <w:noProof/>
            <w:webHidden/>
          </w:rPr>
          <w:fldChar w:fldCharType="begin"/>
        </w:r>
        <w:r>
          <w:rPr>
            <w:noProof/>
            <w:webHidden/>
          </w:rPr>
          <w:instrText xml:space="preserve"> PAGEREF _Toc226013911 \h </w:instrText>
        </w:r>
        <w:r>
          <w:rPr>
            <w:noProof/>
            <w:webHidden/>
          </w:rPr>
        </w:r>
        <w:r>
          <w:rPr>
            <w:noProof/>
            <w:webHidden/>
          </w:rPr>
          <w:fldChar w:fldCharType="separate"/>
        </w:r>
        <w:r w:rsidR="00C120BD">
          <w:rPr>
            <w:noProof/>
            <w:webHidden/>
          </w:rPr>
          <w:t>9</w:t>
        </w:r>
        <w:r>
          <w:rPr>
            <w:noProof/>
            <w:webHidden/>
          </w:rPr>
          <w:fldChar w:fldCharType="end"/>
        </w:r>
      </w:hyperlink>
    </w:p>
    <w:p w14:paraId="2F4CA7CF" w14:textId="457D942D" w:rsidR="006E0E4F" w:rsidRDefault="006E0E4F">
      <w:pPr>
        <w:pStyle w:val="TOC2"/>
        <w:rPr>
          <w:rFonts w:asciiTheme="minorHAnsi" w:hAnsiTheme="minorHAnsi"/>
          <w:noProof/>
          <w:kern w:val="2"/>
          <w:sz w:val="24"/>
          <w:szCs w:val="24"/>
          <w14:ligatures w14:val="standardContextual"/>
        </w:rPr>
      </w:pPr>
      <w:hyperlink w:anchor="_Toc226013912" w:history="1">
        <w:r w:rsidRPr="005A136C">
          <w:rPr>
            <w:rStyle w:val="Hyperlink"/>
            <w:noProof/>
          </w:rPr>
          <w:t>Obligations under the Criminal Disclosure Act 2008</w:t>
        </w:r>
        <w:r>
          <w:rPr>
            <w:noProof/>
            <w:webHidden/>
          </w:rPr>
          <w:tab/>
        </w:r>
        <w:r>
          <w:rPr>
            <w:noProof/>
            <w:webHidden/>
          </w:rPr>
          <w:fldChar w:fldCharType="begin"/>
        </w:r>
        <w:r>
          <w:rPr>
            <w:noProof/>
            <w:webHidden/>
          </w:rPr>
          <w:instrText xml:space="preserve"> PAGEREF _Toc226013912 \h </w:instrText>
        </w:r>
        <w:r>
          <w:rPr>
            <w:noProof/>
            <w:webHidden/>
          </w:rPr>
        </w:r>
        <w:r>
          <w:rPr>
            <w:noProof/>
            <w:webHidden/>
          </w:rPr>
          <w:fldChar w:fldCharType="separate"/>
        </w:r>
        <w:r w:rsidR="00C120BD">
          <w:rPr>
            <w:noProof/>
            <w:webHidden/>
          </w:rPr>
          <w:t>9</w:t>
        </w:r>
        <w:r>
          <w:rPr>
            <w:noProof/>
            <w:webHidden/>
          </w:rPr>
          <w:fldChar w:fldCharType="end"/>
        </w:r>
      </w:hyperlink>
    </w:p>
    <w:p w14:paraId="2ACE713D" w14:textId="0E6E0EC8" w:rsidR="006E0E4F" w:rsidRDefault="006E0E4F">
      <w:pPr>
        <w:pStyle w:val="TOC2"/>
        <w:rPr>
          <w:rFonts w:asciiTheme="minorHAnsi" w:hAnsiTheme="minorHAnsi"/>
          <w:noProof/>
          <w:kern w:val="2"/>
          <w:sz w:val="24"/>
          <w:szCs w:val="24"/>
          <w14:ligatures w14:val="standardContextual"/>
        </w:rPr>
      </w:pPr>
      <w:hyperlink w:anchor="_Toc226013913" w:history="1">
        <w:r w:rsidRPr="005A136C">
          <w:rPr>
            <w:rStyle w:val="Hyperlink"/>
            <w:noProof/>
          </w:rPr>
          <w:t>Responsibilities for carrying out prosecution</w:t>
        </w:r>
        <w:r>
          <w:rPr>
            <w:noProof/>
            <w:webHidden/>
          </w:rPr>
          <w:tab/>
        </w:r>
        <w:r>
          <w:rPr>
            <w:noProof/>
            <w:webHidden/>
          </w:rPr>
          <w:fldChar w:fldCharType="begin"/>
        </w:r>
        <w:r>
          <w:rPr>
            <w:noProof/>
            <w:webHidden/>
          </w:rPr>
          <w:instrText xml:space="preserve"> PAGEREF _Toc226013913 \h </w:instrText>
        </w:r>
        <w:r>
          <w:rPr>
            <w:noProof/>
            <w:webHidden/>
          </w:rPr>
        </w:r>
        <w:r>
          <w:rPr>
            <w:noProof/>
            <w:webHidden/>
          </w:rPr>
          <w:fldChar w:fldCharType="separate"/>
        </w:r>
        <w:r w:rsidR="00C120BD">
          <w:rPr>
            <w:noProof/>
            <w:webHidden/>
          </w:rPr>
          <w:t>9</w:t>
        </w:r>
        <w:r>
          <w:rPr>
            <w:noProof/>
            <w:webHidden/>
          </w:rPr>
          <w:fldChar w:fldCharType="end"/>
        </w:r>
      </w:hyperlink>
    </w:p>
    <w:p w14:paraId="4CDAFE1C" w14:textId="569CDB3A" w:rsidR="006E0E4F" w:rsidRDefault="006E0E4F">
      <w:pPr>
        <w:pStyle w:val="TOC2"/>
        <w:rPr>
          <w:rFonts w:asciiTheme="minorHAnsi" w:hAnsiTheme="minorHAnsi"/>
          <w:noProof/>
          <w:kern w:val="2"/>
          <w:sz w:val="24"/>
          <w:szCs w:val="24"/>
          <w14:ligatures w14:val="standardContextual"/>
        </w:rPr>
      </w:pPr>
      <w:hyperlink w:anchor="_Toc226013914" w:history="1">
        <w:r w:rsidRPr="005A136C">
          <w:rPr>
            <w:rStyle w:val="Hyperlink"/>
            <w:noProof/>
          </w:rPr>
          <w:t>Seeking further orders</w:t>
        </w:r>
        <w:r>
          <w:rPr>
            <w:noProof/>
            <w:webHidden/>
          </w:rPr>
          <w:tab/>
        </w:r>
        <w:r>
          <w:rPr>
            <w:noProof/>
            <w:webHidden/>
          </w:rPr>
          <w:fldChar w:fldCharType="begin"/>
        </w:r>
        <w:r>
          <w:rPr>
            <w:noProof/>
            <w:webHidden/>
          </w:rPr>
          <w:instrText xml:space="preserve"> PAGEREF _Toc226013914 \h </w:instrText>
        </w:r>
        <w:r>
          <w:rPr>
            <w:noProof/>
            <w:webHidden/>
          </w:rPr>
        </w:r>
        <w:r>
          <w:rPr>
            <w:noProof/>
            <w:webHidden/>
          </w:rPr>
          <w:fldChar w:fldCharType="separate"/>
        </w:r>
        <w:r w:rsidR="00C120BD">
          <w:rPr>
            <w:noProof/>
            <w:webHidden/>
          </w:rPr>
          <w:t>9</w:t>
        </w:r>
        <w:r>
          <w:rPr>
            <w:noProof/>
            <w:webHidden/>
          </w:rPr>
          <w:fldChar w:fldCharType="end"/>
        </w:r>
      </w:hyperlink>
    </w:p>
    <w:p w14:paraId="085366EB" w14:textId="5C43E40D" w:rsidR="006E0E4F" w:rsidRDefault="006E0E4F">
      <w:pPr>
        <w:pStyle w:val="TOC2"/>
        <w:rPr>
          <w:rFonts w:asciiTheme="minorHAnsi" w:hAnsiTheme="minorHAnsi"/>
          <w:noProof/>
          <w:kern w:val="2"/>
          <w:sz w:val="24"/>
          <w:szCs w:val="24"/>
          <w14:ligatures w14:val="standardContextual"/>
        </w:rPr>
      </w:pPr>
      <w:hyperlink w:anchor="_Toc226013915" w:history="1">
        <w:r w:rsidRPr="005A136C">
          <w:rPr>
            <w:rStyle w:val="Hyperlink"/>
            <w:noProof/>
          </w:rPr>
          <w:t>Appealing court decisions</w:t>
        </w:r>
        <w:r>
          <w:rPr>
            <w:noProof/>
            <w:webHidden/>
          </w:rPr>
          <w:tab/>
        </w:r>
        <w:r>
          <w:rPr>
            <w:noProof/>
            <w:webHidden/>
          </w:rPr>
          <w:fldChar w:fldCharType="begin"/>
        </w:r>
        <w:r>
          <w:rPr>
            <w:noProof/>
            <w:webHidden/>
          </w:rPr>
          <w:instrText xml:space="preserve"> PAGEREF _Toc226013915 \h </w:instrText>
        </w:r>
        <w:r>
          <w:rPr>
            <w:noProof/>
            <w:webHidden/>
          </w:rPr>
        </w:r>
        <w:r>
          <w:rPr>
            <w:noProof/>
            <w:webHidden/>
          </w:rPr>
          <w:fldChar w:fldCharType="separate"/>
        </w:r>
        <w:r w:rsidR="00C120BD">
          <w:rPr>
            <w:noProof/>
            <w:webHidden/>
          </w:rPr>
          <w:t>9</w:t>
        </w:r>
        <w:r>
          <w:rPr>
            <w:noProof/>
            <w:webHidden/>
          </w:rPr>
          <w:fldChar w:fldCharType="end"/>
        </w:r>
      </w:hyperlink>
    </w:p>
    <w:p w14:paraId="02A00AAF" w14:textId="50AB6C1E" w:rsidR="006E0E4F" w:rsidRDefault="006E0E4F">
      <w:pPr>
        <w:pStyle w:val="TOC2"/>
        <w:rPr>
          <w:rFonts w:asciiTheme="minorHAnsi" w:hAnsiTheme="minorHAnsi"/>
          <w:noProof/>
          <w:kern w:val="2"/>
          <w:sz w:val="24"/>
          <w:szCs w:val="24"/>
          <w14:ligatures w14:val="standardContextual"/>
        </w:rPr>
      </w:pPr>
      <w:hyperlink w:anchor="_Toc226013916" w:history="1">
        <w:r w:rsidRPr="005A136C">
          <w:rPr>
            <w:rStyle w:val="Hyperlink"/>
            <w:noProof/>
          </w:rPr>
          <w:t>Parallel prosecution</w:t>
        </w:r>
        <w:r>
          <w:rPr>
            <w:noProof/>
            <w:webHidden/>
          </w:rPr>
          <w:tab/>
        </w:r>
        <w:r>
          <w:rPr>
            <w:noProof/>
            <w:webHidden/>
          </w:rPr>
          <w:fldChar w:fldCharType="begin"/>
        </w:r>
        <w:r>
          <w:rPr>
            <w:noProof/>
            <w:webHidden/>
          </w:rPr>
          <w:instrText xml:space="preserve"> PAGEREF _Toc226013916 \h </w:instrText>
        </w:r>
        <w:r>
          <w:rPr>
            <w:noProof/>
            <w:webHidden/>
          </w:rPr>
        </w:r>
        <w:r>
          <w:rPr>
            <w:noProof/>
            <w:webHidden/>
          </w:rPr>
          <w:fldChar w:fldCharType="separate"/>
        </w:r>
        <w:r w:rsidR="00C120BD">
          <w:rPr>
            <w:noProof/>
            <w:webHidden/>
          </w:rPr>
          <w:t>10</w:t>
        </w:r>
        <w:r>
          <w:rPr>
            <w:noProof/>
            <w:webHidden/>
          </w:rPr>
          <w:fldChar w:fldCharType="end"/>
        </w:r>
      </w:hyperlink>
    </w:p>
    <w:p w14:paraId="50C68FB9" w14:textId="7FBF86F6" w:rsidR="006E0E4F" w:rsidRDefault="006E0E4F">
      <w:pPr>
        <w:pStyle w:val="TOC1"/>
        <w:rPr>
          <w:rFonts w:asciiTheme="minorHAnsi" w:hAnsiTheme="minorHAnsi"/>
          <w:noProof/>
          <w:kern w:val="2"/>
          <w:sz w:val="24"/>
          <w:szCs w:val="24"/>
          <w14:ligatures w14:val="standardContextual"/>
        </w:rPr>
      </w:pPr>
      <w:hyperlink w:anchor="_Toc226013917" w:history="1">
        <w:r w:rsidRPr="005A136C">
          <w:rPr>
            <w:rStyle w:val="Hyperlink"/>
            <w:noProof/>
          </w:rPr>
          <w:t>Media and communications</w:t>
        </w:r>
        <w:r>
          <w:rPr>
            <w:noProof/>
            <w:webHidden/>
          </w:rPr>
          <w:tab/>
        </w:r>
        <w:r>
          <w:rPr>
            <w:noProof/>
            <w:webHidden/>
          </w:rPr>
          <w:fldChar w:fldCharType="begin"/>
        </w:r>
        <w:r>
          <w:rPr>
            <w:noProof/>
            <w:webHidden/>
          </w:rPr>
          <w:instrText xml:space="preserve"> PAGEREF _Toc226013917 \h </w:instrText>
        </w:r>
        <w:r>
          <w:rPr>
            <w:noProof/>
            <w:webHidden/>
          </w:rPr>
        </w:r>
        <w:r>
          <w:rPr>
            <w:noProof/>
            <w:webHidden/>
          </w:rPr>
          <w:fldChar w:fldCharType="separate"/>
        </w:r>
        <w:r w:rsidR="00C120BD">
          <w:rPr>
            <w:noProof/>
            <w:webHidden/>
          </w:rPr>
          <w:t>11</w:t>
        </w:r>
        <w:r>
          <w:rPr>
            <w:noProof/>
            <w:webHidden/>
          </w:rPr>
          <w:fldChar w:fldCharType="end"/>
        </w:r>
      </w:hyperlink>
    </w:p>
    <w:p w14:paraId="13F60A38" w14:textId="6C84963B" w:rsidR="0080531E" w:rsidRPr="006B77BB" w:rsidRDefault="00775F57" w:rsidP="002B4778">
      <w:pPr>
        <w:pStyle w:val="Glossary"/>
      </w:pPr>
      <w:r w:rsidRPr="006B77BB">
        <w:rPr>
          <w:color w:val="0092CF"/>
        </w:rPr>
        <w:fldChar w:fldCharType="end"/>
      </w:r>
    </w:p>
    <w:p w14:paraId="60F2AF54" w14:textId="77777777" w:rsidR="00796A6F" w:rsidRPr="00554B30" w:rsidRDefault="00796A6F" w:rsidP="00554B30">
      <w:r w:rsidRPr="00554B30">
        <w:br w:type="page"/>
      </w:r>
    </w:p>
    <w:p w14:paraId="737C6103" w14:textId="77777777" w:rsidR="00576DB0" w:rsidRDefault="00576DB0" w:rsidP="00576DB0">
      <w:pPr>
        <w:pStyle w:val="Heading1"/>
        <w:rPr>
          <w:rStyle w:val="Heading1Char"/>
          <w:b/>
        </w:rPr>
      </w:pPr>
      <w:bookmarkStart w:id="0" w:name="_Toc226013906"/>
      <w:bookmarkStart w:id="1" w:name="_Toc345760336"/>
      <w:r w:rsidRPr="00576DB0">
        <w:rPr>
          <w:rStyle w:val="Heading1Char"/>
          <w:b/>
        </w:rPr>
        <w:lastRenderedPageBreak/>
        <w:t>Introduction</w:t>
      </w:r>
      <w:bookmarkEnd w:id="0"/>
    </w:p>
    <w:p w14:paraId="64E30338" w14:textId="19778B43" w:rsidR="00576DB0" w:rsidRPr="00576DB0" w:rsidRDefault="00576DB0" w:rsidP="00576DB0">
      <w:pPr>
        <w:pStyle w:val="BodyText"/>
      </w:pPr>
      <w:r w:rsidRPr="00576DB0">
        <w:t xml:space="preserve">The purpose of the Waste Minimisation Act 2008 (the WMA) is to “encourage waste minimisation and a decrease in waste disposal </w:t>
      </w:r>
      <w:proofErr w:type="gramStart"/>
      <w:r w:rsidRPr="00576DB0">
        <w:t>in order to</w:t>
      </w:r>
      <w:proofErr w:type="gramEnd"/>
      <w:r w:rsidRPr="00576DB0">
        <w:t>:</w:t>
      </w:r>
    </w:p>
    <w:p w14:paraId="2673923D" w14:textId="224F4372" w:rsidR="00576DB0" w:rsidRDefault="00576DB0" w:rsidP="00576DB0">
      <w:pPr>
        <w:pStyle w:val="Bullet"/>
        <w:numPr>
          <w:ilvl w:val="0"/>
          <w:numId w:val="39"/>
        </w:numPr>
      </w:pPr>
      <w:r>
        <w:t>protect the environment from harm; and</w:t>
      </w:r>
    </w:p>
    <w:p w14:paraId="23FE5F70" w14:textId="63F59634" w:rsidR="00576DB0" w:rsidRDefault="00576DB0" w:rsidP="00576DB0">
      <w:pPr>
        <w:pStyle w:val="Bullet"/>
        <w:numPr>
          <w:ilvl w:val="0"/>
          <w:numId w:val="39"/>
        </w:numPr>
      </w:pPr>
      <w:r>
        <w:t>provide environmental, social, economic, and cultural benefits”.</w:t>
      </w:r>
    </w:p>
    <w:p w14:paraId="1083CD7C" w14:textId="52F8E3D5" w:rsidR="00576DB0" w:rsidRPr="00576DB0" w:rsidRDefault="00576DB0" w:rsidP="00576DB0">
      <w:pPr>
        <w:pStyle w:val="BodyText"/>
      </w:pPr>
      <w:r>
        <w:t>A range of compliance interventions are possible under the WMA</w:t>
      </w:r>
      <w:r w:rsidR="00823B87">
        <w:t>. T</w:t>
      </w:r>
      <w:r>
        <w:t>his policy relates specifically to prosecutions. Prosecution is also possible under related Acts, and these are set out for reference.</w:t>
      </w:r>
    </w:p>
    <w:p w14:paraId="06A52441" w14:textId="0C5D546C" w:rsidR="00576DB0" w:rsidRPr="00576DB0" w:rsidRDefault="00576DB0" w:rsidP="00576DB0">
      <w:pPr>
        <w:pStyle w:val="BodyText"/>
        <w:rPr>
          <w:rStyle w:val="Heading1Char"/>
          <w:rFonts w:ascii="Calibri" w:eastAsiaTheme="minorEastAsia" w:hAnsi="Calibri" w:cstheme="minorBidi"/>
          <w:b w:val="0"/>
          <w:bCs w:val="0"/>
          <w:color w:val="auto"/>
          <w:sz w:val="22"/>
          <w:szCs w:val="22"/>
        </w:rPr>
      </w:pPr>
      <w:r w:rsidRPr="00576DB0">
        <w:rPr>
          <w:rStyle w:val="Heading1Char"/>
          <w:rFonts w:ascii="Calibri" w:eastAsiaTheme="minorEastAsia" w:hAnsi="Calibri" w:cstheme="minorBidi"/>
          <w:b w:val="0"/>
          <w:bCs w:val="0"/>
          <w:color w:val="auto"/>
          <w:sz w:val="22"/>
          <w:szCs w:val="22"/>
        </w:rPr>
        <w:br w:type="page"/>
      </w:r>
    </w:p>
    <w:p w14:paraId="3F76F9CB" w14:textId="0360D9BB" w:rsidR="00576DB0" w:rsidRPr="006176D3" w:rsidRDefault="00576DB0" w:rsidP="006176D3">
      <w:pPr>
        <w:pStyle w:val="Heading1"/>
        <w:rPr>
          <w:rStyle w:val="Heading1Char"/>
          <w:b/>
          <w:bCs/>
        </w:rPr>
      </w:pPr>
      <w:bookmarkStart w:id="2" w:name="_Toc226013907"/>
      <w:r w:rsidRPr="006176D3">
        <w:rPr>
          <w:rStyle w:val="Heading1Char"/>
          <w:b/>
          <w:bCs/>
        </w:rPr>
        <w:lastRenderedPageBreak/>
        <w:t>Function and scope of a prosecution policy</w:t>
      </w:r>
      <w:bookmarkEnd w:id="2"/>
    </w:p>
    <w:p w14:paraId="5242303D" w14:textId="77777777" w:rsidR="00576DB0" w:rsidRPr="006176D3" w:rsidRDefault="00576DB0" w:rsidP="00576DB0">
      <w:pPr>
        <w:pStyle w:val="BodyText"/>
        <w:rPr>
          <w:rStyle w:val="BodyTextChar"/>
          <w:spacing w:val="-2"/>
        </w:rPr>
      </w:pPr>
      <w:r w:rsidRPr="006176D3">
        <w:rPr>
          <w:rStyle w:val="BodyTextChar"/>
          <w:spacing w:val="-2"/>
        </w:rPr>
        <w:t xml:space="preserve">The Ministry for the Environment (the Ministry) is a public prosecuting agency and is obliged to maintain a prosecutions policy. This policy applies to all Ministry staff and contractors carrying out investigations that might result in taking proceedings under the WMA or other relevant Acts. </w:t>
      </w:r>
    </w:p>
    <w:p w14:paraId="6C4F7CCD" w14:textId="77CFF0A0" w:rsidR="00576DB0" w:rsidRDefault="00576DB0" w:rsidP="00576DB0">
      <w:pPr>
        <w:pStyle w:val="BodyText"/>
        <w:rPr>
          <w:rStyle w:val="BodyTextChar"/>
        </w:rPr>
      </w:pPr>
      <w:r w:rsidRPr="00576DB0">
        <w:rPr>
          <w:rStyle w:val="BodyTextChar"/>
        </w:rPr>
        <w:t>This policy sets a framework for making decisions about the use of prosecutions under the WMA. It is not intended to guide enforcement decisions beyond prosecution, or decisions on investigations. Its purpose is intentionally narrow. Matters outside prosecutions are addressed in the following documents:</w:t>
      </w:r>
    </w:p>
    <w:p w14:paraId="4314F76A" w14:textId="041A2614" w:rsidR="00576DB0" w:rsidRPr="00576DB0" w:rsidRDefault="00576DB0" w:rsidP="00576DB0">
      <w:pPr>
        <w:pStyle w:val="Bullet"/>
        <w:rPr>
          <w:rStyle w:val="BodyTextChar"/>
        </w:rPr>
      </w:pPr>
      <w:r w:rsidRPr="00576DB0">
        <w:rPr>
          <w:rStyle w:val="BodyTextChar"/>
        </w:rPr>
        <w:t xml:space="preserve">WMA Compliance, Monitoring and Enforcement Strategy </w:t>
      </w:r>
    </w:p>
    <w:p w14:paraId="3002E400" w14:textId="24605063" w:rsidR="00576DB0" w:rsidRPr="00576DB0" w:rsidRDefault="00576DB0" w:rsidP="00576DB0">
      <w:pPr>
        <w:pStyle w:val="Bullet"/>
        <w:rPr>
          <w:rStyle w:val="BodyTextChar"/>
        </w:rPr>
      </w:pPr>
      <w:r w:rsidRPr="00576DB0">
        <w:rPr>
          <w:rStyle w:val="BodyTextChar"/>
        </w:rPr>
        <w:t xml:space="preserve">WMA Enforcement Decision-making Policy </w:t>
      </w:r>
    </w:p>
    <w:p w14:paraId="2599F625" w14:textId="69452621" w:rsidR="00576DB0" w:rsidRPr="00576DB0" w:rsidRDefault="00576DB0" w:rsidP="00576DB0">
      <w:pPr>
        <w:pStyle w:val="Bullet"/>
        <w:rPr>
          <w:rStyle w:val="BodyTextChar"/>
        </w:rPr>
      </w:pPr>
      <w:r w:rsidRPr="00576DB0">
        <w:rPr>
          <w:rStyle w:val="BodyTextChar"/>
        </w:rPr>
        <w:t xml:space="preserve">WMA Investigations Manual 2020 </w:t>
      </w:r>
    </w:p>
    <w:p w14:paraId="659DBA54" w14:textId="25BECD6D" w:rsidR="00576DB0" w:rsidRPr="00576DB0" w:rsidRDefault="00576DB0" w:rsidP="00576DB0">
      <w:pPr>
        <w:pStyle w:val="Bullet"/>
        <w:rPr>
          <w:rStyle w:val="BodyTextChar"/>
        </w:rPr>
      </w:pPr>
      <w:r w:rsidRPr="00576DB0">
        <w:rPr>
          <w:rStyle w:val="BodyTextChar"/>
        </w:rPr>
        <w:t xml:space="preserve">WMA Communications and Engagement Strategy 2020. </w:t>
      </w:r>
    </w:p>
    <w:p w14:paraId="3C63203F" w14:textId="74BFA954" w:rsidR="00576DB0" w:rsidRDefault="00576DB0" w:rsidP="00576DB0">
      <w:pPr>
        <w:pStyle w:val="BodyText"/>
        <w:rPr>
          <w:rStyle w:val="BodyTextChar"/>
        </w:rPr>
      </w:pPr>
      <w:r w:rsidRPr="00576DB0">
        <w:rPr>
          <w:rStyle w:val="BodyTextChar"/>
        </w:rPr>
        <w:t>The purpose of the Prosecutions Policy is to:</w:t>
      </w:r>
    </w:p>
    <w:p w14:paraId="35324D5F" w14:textId="60F84407" w:rsidR="00576DB0" w:rsidRPr="003E6CAB" w:rsidRDefault="00576DB0" w:rsidP="00576DB0">
      <w:pPr>
        <w:pStyle w:val="Bullet"/>
        <w:rPr>
          <w:rStyle w:val="BodyTextChar"/>
        </w:rPr>
      </w:pPr>
      <w:r w:rsidRPr="00576DB0">
        <w:rPr>
          <w:rStyle w:val="BodyTextChar"/>
        </w:rPr>
        <w:t xml:space="preserve">formally adopt the guidance set out in the Solicitor General’s Prosecution Guidelines </w:t>
      </w:r>
      <w:r w:rsidR="00173C2A" w:rsidRPr="003E6CAB">
        <w:rPr>
          <w:rStyle w:val="BodyTextChar"/>
        </w:rPr>
        <w:t>2025</w:t>
      </w:r>
    </w:p>
    <w:p w14:paraId="397835D4" w14:textId="2A20538F" w:rsidR="00576DB0" w:rsidRPr="00576DB0" w:rsidRDefault="00576DB0" w:rsidP="00576DB0">
      <w:pPr>
        <w:pStyle w:val="Bullet"/>
        <w:rPr>
          <w:rStyle w:val="BodyTextChar"/>
        </w:rPr>
      </w:pPr>
      <w:r w:rsidRPr="00576DB0">
        <w:rPr>
          <w:rStyle w:val="BodyTextChar"/>
        </w:rPr>
        <w:t xml:space="preserve">provide additional context to aid the Ministry’s decisions under the WMA. </w:t>
      </w:r>
    </w:p>
    <w:p w14:paraId="3AE2E2D5" w14:textId="3149346D" w:rsidR="00576DB0" w:rsidRPr="00576DB0" w:rsidRDefault="00576DB0" w:rsidP="00576DB0">
      <w:pPr>
        <w:pStyle w:val="BodyText"/>
        <w:rPr>
          <w:rStyle w:val="BodyTextChar"/>
        </w:rPr>
      </w:pPr>
      <w:r w:rsidRPr="00576DB0">
        <w:rPr>
          <w:rStyle w:val="BodyTextChar"/>
        </w:rPr>
        <w:t xml:space="preserve">This policy should be read in conjunction with the </w:t>
      </w:r>
      <w:hyperlink r:id="rId20" w:history="1">
        <w:r w:rsidRPr="006176D3">
          <w:rPr>
            <w:rStyle w:val="Hyperlink"/>
          </w:rPr>
          <w:t>WMA Enforcement Decision</w:t>
        </w:r>
        <w:r w:rsidR="00823B87">
          <w:rPr>
            <w:rStyle w:val="Hyperlink"/>
          </w:rPr>
          <w:t>-M</w:t>
        </w:r>
        <w:r w:rsidRPr="006176D3">
          <w:rPr>
            <w:rStyle w:val="Hyperlink"/>
          </w:rPr>
          <w:t>aking Policy</w:t>
        </w:r>
      </w:hyperlink>
      <w:r>
        <w:rPr>
          <w:rStyle w:val="BodyTextChar"/>
        </w:rPr>
        <w:t>.</w:t>
      </w:r>
    </w:p>
    <w:p w14:paraId="4EBB593C" w14:textId="045B3A94" w:rsidR="00576DB0" w:rsidRPr="00576DB0" w:rsidRDefault="00576DB0" w:rsidP="00576DB0">
      <w:pPr>
        <w:pStyle w:val="BodyText"/>
        <w:rPr>
          <w:rStyle w:val="Heading1Char"/>
          <w:rFonts w:ascii="Calibri" w:eastAsiaTheme="minorEastAsia" w:hAnsi="Calibri" w:cstheme="minorBidi"/>
          <w:b w:val="0"/>
          <w:bCs w:val="0"/>
          <w:color w:val="auto"/>
          <w:sz w:val="22"/>
          <w:szCs w:val="22"/>
        </w:rPr>
      </w:pPr>
      <w:r w:rsidRPr="00576DB0">
        <w:rPr>
          <w:rStyle w:val="Heading1Char"/>
          <w:rFonts w:ascii="Calibri" w:eastAsiaTheme="minorEastAsia" w:hAnsi="Calibri" w:cstheme="minorBidi"/>
          <w:b w:val="0"/>
          <w:bCs w:val="0"/>
          <w:color w:val="auto"/>
          <w:sz w:val="22"/>
          <w:szCs w:val="22"/>
        </w:rPr>
        <w:br w:type="page"/>
      </w:r>
    </w:p>
    <w:p w14:paraId="483EE926" w14:textId="77777777" w:rsidR="00203E62" w:rsidRDefault="00203E62">
      <w:pPr>
        <w:spacing w:before="0" w:after="200" w:line="276" w:lineRule="auto"/>
        <w:jc w:val="left"/>
        <w:rPr>
          <w:rStyle w:val="Heading1Char"/>
        </w:rPr>
      </w:pPr>
      <w:bookmarkStart w:id="3" w:name="_Toc226013908"/>
      <w:r>
        <w:rPr>
          <w:rStyle w:val="Heading1Char"/>
        </w:rPr>
        <w:lastRenderedPageBreak/>
        <w:t>Roles and responsibilities</w:t>
      </w:r>
      <w:bookmarkEnd w:id="3"/>
    </w:p>
    <w:p w14:paraId="368DCF1E" w14:textId="0128BB6C" w:rsidR="00173C2A" w:rsidRDefault="00203E62" w:rsidP="00203E62">
      <w:pPr>
        <w:pStyle w:val="BodyText"/>
        <w:rPr>
          <w:rFonts w:eastAsiaTheme="majorEastAsia"/>
        </w:rPr>
      </w:pPr>
      <w:r w:rsidRPr="00203E62">
        <w:rPr>
          <w:rFonts w:eastAsiaTheme="majorEastAsia"/>
        </w:rPr>
        <w:t xml:space="preserve">Decisions on prosecutions under the WMA are made by an Enforcement Decision Group, chaired by the </w:t>
      </w:r>
      <w:r w:rsidR="00173C2A" w:rsidRPr="003C1473">
        <w:rPr>
          <w:rFonts w:eastAsiaTheme="majorEastAsia"/>
        </w:rPr>
        <w:t>General Manager</w:t>
      </w:r>
      <w:r w:rsidRPr="003C1473">
        <w:rPr>
          <w:rFonts w:eastAsiaTheme="majorEastAsia"/>
        </w:rPr>
        <w:t xml:space="preserve">, </w:t>
      </w:r>
      <w:r w:rsidR="00173C2A" w:rsidRPr="003C1473">
        <w:rPr>
          <w:rFonts w:eastAsiaTheme="majorEastAsia"/>
        </w:rPr>
        <w:t xml:space="preserve">Waste Systems and Operations in the </w:t>
      </w:r>
      <w:r w:rsidRPr="003C1473">
        <w:rPr>
          <w:rFonts w:eastAsiaTheme="majorEastAsia"/>
        </w:rPr>
        <w:t xml:space="preserve">Resource Efficiency </w:t>
      </w:r>
      <w:r w:rsidR="00173C2A" w:rsidRPr="003C1473">
        <w:rPr>
          <w:rFonts w:eastAsiaTheme="majorEastAsia"/>
        </w:rPr>
        <w:t>Team</w:t>
      </w:r>
      <w:r w:rsidRPr="003C1473">
        <w:rPr>
          <w:rFonts w:eastAsiaTheme="majorEastAsia"/>
        </w:rPr>
        <w:t>.</w:t>
      </w:r>
      <w:r w:rsidRPr="00203E62">
        <w:rPr>
          <w:rFonts w:eastAsiaTheme="majorEastAsia"/>
        </w:rPr>
        <w:t xml:space="preserve"> </w:t>
      </w:r>
    </w:p>
    <w:p w14:paraId="7AFD7895" w14:textId="489009EC" w:rsidR="00203E62" w:rsidRDefault="00203E62" w:rsidP="00203E62">
      <w:pPr>
        <w:pStyle w:val="BodyText"/>
        <w:rPr>
          <w:rFonts w:eastAsiaTheme="majorEastAsia"/>
        </w:rPr>
      </w:pPr>
      <w:r w:rsidRPr="00203E62">
        <w:rPr>
          <w:rFonts w:eastAsiaTheme="majorEastAsia"/>
        </w:rPr>
        <w:t>The WMA Enforcement Decision-</w:t>
      </w:r>
      <w:r w:rsidR="00823B87">
        <w:rPr>
          <w:rFonts w:eastAsiaTheme="majorEastAsia"/>
        </w:rPr>
        <w:t>M</w:t>
      </w:r>
      <w:r w:rsidRPr="00203E62">
        <w:rPr>
          <w:rFonts w:eastAsiaTheme="majorEastAsia"/>
        </w:rPr>
        <w:t xml:space="preserve">aking Policy guides this process. Any decision will also be subject to final discussion and determination with the prosecutor. </w:t>
      </w:r>
    </w:p>
    <w:p w14:paraId="6D0E4C90" w14:textId="77777777" w:rsidR="00203E62" w:rsidRDefault="00203E62">
      <w:pPr>
        <w:spacing w:before="0" w:after="200" w:line="276" w:lineRule="auto"/>
        <w:jc w:val="left"/>
        <w:rPr>
          <w:rFonts w:eastAsiaTheme="majorEastAsia"/>
        </w:rPr>
      </w:pPr>
      <w:r>
        <w:rPr>
          <w:rFonts w:eastAsiaTheme="majorEastAsia"/>
        </w:rPr>
        <w:br w:type="page"/>
      </w:r>
    </w:p>
    <w:p w14:paraId="5B30BAD3" w14:textId="50BBD550" w:rsidR="00203E62" w:rsidRDefault="00203E62" w:rsidP="00203E62">
      <w:pPr>
        <w:pStyle w:val="BodyText"/>
        <w:rPr>
          <w:rFonts w:ascii="Georgia" w:eastAsiaTheme="majorEastAsia" w:hAnsi="Georgia" w:cstheme="majorBidi"/>
          <w:b/>
          <w:bCs/>
          <w:color w:val="1B556B"/>
          <w:sz w:val="48"/>
          <w:szCs w:val="28"/>
        </w:rPr>
      </w:pPr>
      <w:r w:rsidRPr="00203E62">
        <w:rPr>
          <w:rFonts w:ascii="Georgia" w:eastAsiaTheme="majorEastAsia" w:hAnsi="Georgia" w:cstheme="majorBidi"/>
          <w:b/>
          <w:bCs/>
          <w:color w:val="1B556B"/>
          <w:sz w:val="48"/>
          <w:szCs w:val="28"/>
        </w:rPr>
        <w:lastRenderedPageBreak/>
        <w:t>Conflicts of interest</w:t>
      </w:r>
    </w:p>
    <w:p w14:paraId="7804AD9E" w14:textId="77777777" w:rsidR="00173C2A" w:rsidRDefault="00203E62" w:rsidP="00203E62">
      <w:pPr>
        <w:pStyle w:val="BodyText"/>
      </w:pPr>
      <w:r w:rsidRPr="00203E62">
        <w:t xml:space="preserve">Conflicts of interest can arise in prosecutorial processes. All staff involved in actual or potential prosecutions must act lawfully, fairly, promptly and free of any actual, potential or perceived conflict of interest. </w:t>
      </w:r>
    </w:p>
    <w:p w14:paraId="20AB4873" w14:textId="2BF180A2" w:rsidR="00203E62" w:rsidRDefault="00203E62" w:rsidP="00203E62">
      <w:pPr>
        <w:pStyle w:val="BodyText"/>
      </w:pPr>
      <w:r w:rsidRPr="00203E62">
        <w:t xml:space="preserve">Any conflict of interest (actual, potential or perceived) must be disclosed immediately to the Manager of Waste Operations and the </w:t>
      </w:r>
      <w:r w:rsidR="00173C2A" w:rsidRPr="003C1473">
        <w:t>General Manager of Legal and Risk</w:t>
      </w:r>
      <w:r w:rsidRPr="00203E62">
        <w:t xml:space="preserve">. Where there may be any disagreement as to whether a conflict of interest exists, the decision of the </w:t>
      </w:r>
      <w:r w:rsidR="00173C2A" w:rsidRPr="003C1473">
        <w:t>General Manager of Legal and Risk</w:t>
      </w:r>
      <w:r w:rsidRPr="00203E62">
        <w:t xml:space="preserve"> shall be final. Disclosures of actual, potential or perceived conflicts must be recorded </w:t>
      </w:r>
      <w:r w:rsidR="004004BA">
        <w:t>through</w:t>
      </w:r>
      <w:r w:rsidR="004004BA" w:rsidRPr="00203E62">
        <w:t xml:space="preserve"> </w:t>
      </w:r>
      <w:r w:rsidRPr="00203E62">
        <w:t xml:space="preserve">the Ministry’s internal procedures. </w:t>
      </w:r>
    </w:p>
    <w:p w14:paraId="3CB180A5" w14:textId="77777777" w:rsidR="00203E62" w:rsidRDefault="00203E62">
      <w:pPr>
        <w:spacing w:before="0" w:after="200" w:line="276" w:lineRule="auto"/>
        <w:jc w:val="left"/>
      </w:pPr>
      <w:r>
        <w:br w:type="page"/>
      </w:r>
    </w:p>
    <w:p w14:paraId="4092A8AD" w14:textId="3F1B509C" w:rsidR="00203E62" w:rsidRPr="00203E62" w:rsidRDefault="00203E62" w:rsidP="00203E62">
      <w:pPr>
        <w:spacing w:before="0" w:after="200" w:line="276" w:lineRule="auto"/>
        <w:jc w:val="left"/>
        <w:rPr>
          <w:rStyle w:val="Heading1Char"/>
        </w:rPr>
      </w:pPr>
      <w:bookmarkStart w:id="4" w:name="_Toc226013909"/>
      <w:r w:rsidRPr="00203E62">
        <w:rPr>
          <w:rStyle w:val="Heading1Char"/>
        </w:rPr>
        <w:lastRenderedPageBreak/>
        <w:t>Tests for prosecution</w:t>
      </w:r>
      <w:bookmarkEnd w:id="4"/>
    </w:p>
    <w:p w14:paraId="3D2B237D" w14:textId="043C9AF6" w:rsidR="00203E62" w:rsidRPr="00203E62" w:rsidRDefault="00203E62" w:rsidP="00203E62">
      <w:pPr>
        <w:pStyle w:val="BodyText"/>
      </w:pPr>
      <w:r w:rsidRPr="00203E62">
        <w:t xml:space="preserve">The </w:t>
      </w:r>
      <w:hyperlink r:id="rId21" w:history="1">
        <w:r w:rsidRPr="003C1473">
          <w:rPr>
            <w:rStyle w:val="Hyperlink"/>
          </w:rPr>
          <w:t xml:space="preserve">Solicitor-General’s Prosecution Guidelines </w:t>
        </w:r>
        <w:r w:rsidR="00173C2A" w:rsidRPr="003C1473">
          <w:rPr>
            <w:rStyle w:val="Hyperlink"/>
          </w:rPr>
          <w:t>2025</w:t>
        </w:r>
      </w:hyperlink>
      <w:r w:rsidRPr="00203E62">
        <w:t xml:space="preserve"> contain two critical tests: the evidential sufficiency test and the public interest test. </w:t>
      </w:r>
    </w:p>
    <w:p w14:paraId="214391DB" w14:textId="3350983A" w:rsidR="00203E62" w:rsidRPr="00203E62" w:rsidRDefault="00203E62" w:rsidP="00203E62">
      <w:pPr>
        <w:pStyle w:val="BodyText"/>
      </w:pPr>
      <w:r w:rsidRPr="003C1473">
        <w:rPr>
          <w:b/>
          <w:bCs/>
        </w:rPr>
        <w:t>Evidential sufficiency:</w:t>
      </w:r>
      <w:r w:rsidRPr="003C1473">
        <w:t xml:space="preserve"> there is enough </w:t>
      </w:r>
      <w:r w:rsidR="00173C2A" w:rsidRPr="003C1473">
        <w:t>evidence to prove the proposed charge beyond a reasonable doubt</w:t>
      </w:r>
      <w:r w:rsidRPr="003C1473">
        <w:t>.</w:t>
      </w:r>
      <w:r w:rsidRPr="00203E62">
        <w:t xml:space="preserve"> </w:t>
      </w:r>
    </w:p>
    <w:p w14:paraId="6FA26492" w14:textId="77777777" w:rsidR="00203E62" w:rsidRPr="00203E62" w:rsidRDefault="00203E62" w:rsidP="00203E62">
      <w:pPr>
        <w:pStyle w:val="BodyText"/>
      </w:pPr>
      <w:r w:rsidRPr="00203E62">
        <w:rPr>
          <w:b/>
          <w:bCs/>
        </w:rPr>
        <w:t>Public interest:</w:t>
      </w:r>
      <w:r w:rsidRPr="00203E62">
        <w:t xml:space="preserve"> prosecution is required in the public interest. </w:t>
      </w:r>
    </w:p>
    <w:p w14:paraId="496869AF" w14:textId="00A04AA3" w:rsidR="00203E62" w:rsidRPr="00203E62" w:rsidRDefault="00203E62" w:rsidP="00203E62">
      <w:pPr>
        <w:pStyle w:val="BodyText"/>
      </w:pPr>
      <w:r w:rsidRPr="00203E62">
        <w:t>For guidance on elements of these tests that are relevant to prosecution decisions under the WMA, see the WMA Enforcement Decision-</w:t>
      </w:r>
      <w:r w:rsidR="004004BA">
        <w:t>M</w:t>
      </w:r>
      <w:r w:rsidRPr="00203E62">
        <w:t xml:space="preserve">aking Policy. </w:t>
      </w:r>
    </w:p>
    <w:p w14:paraId="57660C3C" w14:textId="77777777" w:rsidR="00203E62" w:rsidRPr="00203E62" w:rsidRDefault="00203E62" w:rsidP="00203E62">
      <w:pPr>
        <w:pStyle w:val="BodyText"/>
      </w:pPr>
      <w:r w:rsidRPr="00203E62">
        <w:t>Considering a decision to prosecute includes the consideration of what charges to bring in court. Charges are possible under these statutes:</w:t>
      </w:r>
    </w:p>
    <w:p w14:paraId="1C9787C2" w14:textId="276C3159" w:rsidR="00203E62" w:rsidRDefault="00203E62" w:rsidP="00203E62">
      <w:pPr>
        <w:pStyle w:val="Bullet"/>
      </w:pPr>
      <w:r w:rsidRPr="00203E62">
        <w:t xml:space="preserve">Waste Minimisation Act 2008 </w:t>
      </w:r>
    </w:p>
    <w:p w14:paraId="3703A088" w14:textId="39EA71C0" w:rsidR="00203E62" w:rsidRDefault="00203E62" w:rsidP="00203E62">
      <w:pPr>
        <w:pStyle w:val="Bullet"/>
      </w:pPr>
      <w:r w:rsidRPr="00203E62">
        <w:t xml:space="preserve">Crimes Act 1961 </w:t>
      </w:r>
    </w:p>
    <w:p w14:paraId="21C12A22" w14:textId="05BA9EC1" w:rsidR="00203E62" w:rsidRDefault="00203E62" w:rsidP="00203E62">
      <w:pPr>
        <w:pStyle w:val="Bullet"/>
      </w:pPr>
      <w:r w:rsidRPr="00203E62">
        <w:t xml:space="preserve">Criminal Procedure Act 2011. </w:t>
      </w:r>
    </w:p>
    <w:p w14:paraId="09BBB54F" w14:textId="3511AE02" w:rsidR="00203E62" w:rsidRDefault="00203E62" w:rsidP="00203E62">
      <w:pPr>
        <w:pStyle w:val="BodyText"/>
      </w:pPr>
      <w:r w:rsidRPr="00203E62">
        <w:t>The limitation period for filing a charge under the WMA is 12 months after the date on which the matter giving rise to the charge became (or should have become) known.</w:t>
      </w:r>
      <w:r>
        <w:rPr>
          <w:rStyle w:val="FootnoteReference"/>
        </w:rPr>
        <w:footnoteReference w:id="2"/>
      </w:r>
      <w:r w:rsidRPr="00203E62">
        <w:t xml:space="preserve"> </w:t>
      </w:r>
    </w:p>
    <w:p w14:paraId="4E5BCB49" w14:textId="77777777" w:rsidR="00203E62" w:rsidRDefault="00203E62" w:rsidP="00203E62">
      <w:pPr>
        <w:pStyle w:val="BodyText"/>
      </w:pPr>
      <w:r w:rsidRPr="00203E62">
        <w:t xml:space="preserve">The limit for filing a charge under the Crimes Act 1961 and Criminal Procedure Act 2011 depends on the category of the offence. </w:t>
      </w:r>
    </w:p>
    <w:p w14:paraId="1C7B0CF8" w14:textId="70D5163A" w:rsidR="00173C2A" w:rsidRDefault="00173C2A" w:rsidP="00173C2A">
      <w:pPr>
        <w:pStyle w:val="Heading2"/>
      </w:pPr>
      <w:bookmarkStart w:id="5" w:name="_Toc226013910"/>
      <w:r>
        <w:t>More information</w:t>
      </w:r>
      <w:bookmarkEnd w:id="5"/>
    </w:p>
    <w:p w14:paraId="074957AC" w14:textId="6D737B3D" w:rsidR="00173C2A" w:rsidRDefault="00173C2A" w:rsidP="00173C2A">
      <w:pPr>
        <w:pStyle w:val="Bullet"/>
        <w:spacing w:before="120"/>
      </w:pPr>
      <w:hyperlink r:id="rId22" w:anchor="time" w:history="1">
        <w:r w:rsidRPr="00173C2A">
          <w:rPr>
            <w:rStyle w:val="Hyperlink"/>
          </w:rPr>
          <w:t>Ministry of Justice charging documents</w:t>
        </w:r>
      </w:hyperlink>
      <w:r w:rsidRPr="00173C2A">
        <w:t xml:space="preserve">. </w:t>
      </w:r>
    </w:p>
    <w:p w14:paraId="7A891C3E" w14:textId="26261C3E" w:rsidR="00173C2A" w:rsidRDefault="00173C2A" w:rsidP="00173C2A">
      <w:pPr>
        <w:pStyle w:val="Bullet"/>
      </w:pPr>
      <w:r w:rsidRPr="00173C2A">
        <w:t xml:space="preserve">The </w:t>
      </w:r>
      <w:hyperlink r:id="rId23" w:history="1">
        <w:r w:rsidRPr="00173C2A">
          <w:rPr>
            <w:rStyle w:val="Hyperlink"/>
          </w:rPr>
          <w:t>WMA Enforcement Decision</w:t>
        </w:r>
        <w:r>
          <w:rPr>
            <w:rStyle w:val="Hyperlink"/>
          </w:rPr>
          <w:t>-M</w:t>
        </w:r>
        <w:r w:rsidRPr="00173C2A">
          <w:rPr>
            <w:rStyle w:val="Hyperlink"/>
          </w:rPr>
          <w:t>aking Policy</w:t>
        </w:r>
      </w:hyperlink>
      <w:r w:rsidRPr="00173C2A">
        <w:t xml:space="preserve"> sets out the tools and procedures available under this legislation.</w:t>
      </w:r>
    </w:p>
    <w:p w14:paraId="0EFE8C87" w14:textId="63690117" w:rsidR="00203E62" w:rsidRPr="00203E62" w:rsidRDefault="00203E62" w:rsidP="00203E62">
      <w:pPr>
        <w:pStyle w:val="BodyText"/>
        <w:rPr>
          <w:rStyle w:val="Heading1Char"/>
          <w:rFonts w:ascii="Calibri" w:eastAsiaTheme="minorEastAsia" w:hAnsi="Calibri" w:cstheme="minorBidi"/>
          <w:b w:val="0"/>
          <w:bCs w:val="0"/>
          <w:color w:val="auto"/>
          <w:sz w:val="22"/>
          <w:szCs w:val="22"/>
        </w:rPr>
      </w:pPr>
      <w:r w:rsidRPr="00203E62">
        <w:rPr>
          <w:rStyle w:val="Heading1Char"/>
          <w:rFonts w:ascii="Calibri" w:eastAsiaTheme="minorEastAsia" w:hAnsi="Calibri" w:cstheme="minorBidi"/>
          <w:b w:val="0"/>
          <w:bCs w:val="0"/>
          <w:color w:val="auto"/>
          <w:sz w:val="22"/>
          <w:szCs w:val="22"/>
        </w:rPr>
        <w:br w:type="page"/>
      </w:r>
    </w:p>
    <w:p w14:paraId="12900BB0" w14:textId="11F44C44" w:rsidR="00EE3C53" w:rsidRDefault="00EE3C53">
      <w:pPr>
        <w:spacing w:before="0" w:after="200" w:line="276" w:lineRule="auto"/>
        <w:jc w:val="left"/>
        <w:rPr>
          <w:rFonts w:ascii="Georgia" w:eastAsiaTheme="majorEastAsia" w:hAnsi="Georgia" w:cstheme="majorBidi"/>
          <w:b/>
          <w:bCs/>
          <w:color w:val="1B556B"/>
          <w:sz w:val="48"/>
          <w:szCs w:val="28"/>
        </w:rPr>
      </w:pPr>
      <w:r w:rsidRPr="00EE3C53">
        <w:rPr>
          <w:rFonts w:ascii="Georgia" w:eastAsiaTheme="majorEastAsia" w:hAnsi="Georgia" w:cstheme="majorBidi"/>
          <w:b/>
          <w:bCs/>
          <w:color w:val="1B556B"/>
          <w:sz w:val="48"/>
          <w:szCs w:val="28"/>
        </w:rPr>
        <w:lastRenderedPageBreak/>
        <w:t>Managing a prosecution</w:t>
      </w:r>
    </w:p>
    <w:p w14:paraId="4B0A23B6" w14:textId="46F00E6F" w:rsidR="00887156" w:rsidRPr="00887156" w:rsidRDefault="00EE3C53" w:rsidP="00887156">
      <w:pPr>
        <w:pStyle w:val="Heading2"/>
        <w:rPr>
          <w:rStyle w:val="BodyTextChar"/>
          <w:rFonts w:ascii="Georgia" w:eastAsiaTheme="majorEastAsia" w:hAnsi="Georgia"/>
        </w:rPr>
      </w:pPr>
      <w:bookmarkStart w:id="6" w:name="_Toc226013911"/>
      <w:r w:rsidRPr="00887156">
        <w:rPr>
          <w:rStyle w:val="BodyTextChar"/>
          <w:rFonts w:ascii="Georgia" w:eastAsiaTheme="majorEastAsia" w:hAnsi="Georgia"/>
        </w:rPr>
        <w:t>Deciding who to charge</w:t>
      </w:r>
      <w:bookmarkEnd w:id="6"/>
    </w:p>
    <w:p w14:paraId="5F7C8078" w14:textId="77777777" w:rsidR="00887156" w:rsidRDefault="00EE3C53" w:rsidP="00887156">
      <w:pPr>
        <w:pStyle w:val="BodyText"/>
        <w:rPr>
          <w:rStyle w:val="BodyTextChar"/>
        </w:rPr>
      </w:pPr>
      <w:r w:rsidRPr="00EE3C53">
        <w:rPr>
          <w:rStyle w:val="BodyTextChar"/>
        </w:rPr>
        <w:t>Certain situations may require a decision on whether to prosecute an individual or a company or another liable entity, or a combination. There may be an option to hold to account public entities (</w:t>
      </w:r>
      <w:proofErr w:type="spellStart"/>
      <w:r w:rsidRPr="00EE3C53">
        <w:rPr>
          <w:rStyle w:val="BodyTextChar"/>
        </w:rPr>
        <w:t>eg</w:t>
      </w:r>
      <w:proofErr w:type="spellEnd"/>
      <w:r w:rsidRPr="00EE3C53">
        <w:rPr>
          <w:rStyle w:val="BodyTextChar"/>
        </w:rPr>
        <w:t xml:space="preserve">, local councils) via prosecution. </w:t>
      </w:r>
    </w:p>
    <w:p w14:paraId="6F377213" w14:textId="77777777" w:rsidR="00887156" w:rsidRDefault="00EE3C53" w:rsidP="00887156">
      <w:pPr>
        <w:pStyle w:val="BodyText"/>
        <w:rPr>
          <w:rStyle w:val="BodyTextChar"/>
        </w:rPr>
      </w:pPr>
      <w:r w:rsidRPr="00EE3C53">
        <w:rPr>
          <w:rStyle w:val="BodyTextChar"/>
        </w:rPr>
        <w:t xml:space="preserve">The WMA provides for the liability of principals for the acts of their agents, and for considering who is appropriate to charge in these scenarios.2 The Enforcement Decisions Group will determine liability. </w:t>
      </w:r>
    </w:p>
    <w:p w14:paraId="19A43598" w14:textId="7822D2E8" w:rsidR="00887156" w:rsidRDefault="00EE3C53" w:rsidP="00887156">
      <w:pPr>
        <w:pStyle w:val="BodyText"/>
        <w:rPr>
          <w:rStyle w:val="BodyTextChar"/>
        </w:rPr>
      </w:pPr>
      <w:r w:rsidRPr="00EE3C53">
        <w:rPr>
          <w:rStyle w:val="BodyTextChar"/>
        </w:rPr>
        <w:t>The type and number of charges should reflect the criminality of the defendant’s conduct as detailed in the facts to be used in trial. The charges may be representative of the offending if the criteria in section 20 of the Criminal Procedure Act 2011 are met.</w:t>
      </w:r>
      <w:r w:rsidR="004004BA">
        <w:rPr>
          <w:rStyle w:val="FootnoteReference"/>
        </w:rPr>
        <w:footnoteReference w:id="3"/>
      </w:r>
    </w:p>
    <w:p w14:paraId="23608B66" w14:textId="667A0082" w:rsidR="00887156" w:rsidRPr="00887156" w:rsidRDefault="00EE3C53" w:rsidP="00887156">
      <w:pPr>
        <w:pStyle w:val="Heading2"/>
        <w:rPr>
          <w:rStyle w:val="BodyTextChar"/>
          <w:rFonts w:ascii="Georgia" w:eastAsiaTheme="majorEastAsia" w:hAnsi="Georgia"/>
        </w:rPr>
      </w:pPr>
      <w:bookmarkStart w:id="7" w:name="_Toc226013912"/>
      <w:r w:rsidRPr="00887156">
        <w:rPr>
          <w:rStyle w:val="BodyTextChar"/>
          <w:rFonts w:ascii="Georgia" w:eastAsiaTheme="majorEastAsia" w:hAnsi="Georgia"/>
        </w:rPr>
        <w:t>Obligations under the Criminal Disclosure Act 2008</w:t>
      </w:r>
      <w:bookmarkEnd w:id="7"/>
    </w:p>
    <w:p w14:paraId="44E88083" w14:textId="71725969" w:rsidR="006E0E4F" w:rsidRPr="006E0E4F" w:rsidRDefault="00EE3C53" w:rsidP="006E0E4F">
      <w:pPr>
        <w:pStyle w:val="BodyText"/>
        <w:rPr>
          <w:rStyle w:val="BodyTextChar"/>
          <w:spacing w:val="-2"/>
        </w:rPr>
      </w:pPr>
      <w:r w:rsidRPr="006E0E4F">
        <w:rPr>
          <w:rStyle w:val="BodyTextChar"/>
          <w:spacing w:val="-2"/>
        </w:rPr>
        <w:t xml:space="preserve">The Ministry as a prosecuting agency has certain responsibilities under the Criminal Disclosure Act 2008. Disclosure in prosecutions is covered by this Act, and responsibility for disclosure (including ensuring it occurs within statutory timeframes) lies with the prosecutor for each case. </w:t>
      </w:r>
    </w:p>
    <w:p w14:paraId="0BED5479" w14:textId="02669B02" w:rsidR="006E0E4F" w:rsidRPr="006E0E4F" w:rsidRDefault="00EE3C53" w:rsidP="006E0E4F">
      <w:pPr>
        <w:pStyle w:val="Heading2"/>
        <w:rPr>
          <w:rStyle w:val="BodyTextChar"/>
          <w:rFonts w:ascii="Georgia" w:eastAsiaTheme="majorEastAsia" w:hAnsi="Georgia"/>
        </w:rPr>
      </w:pPr>
      <w:bookmarkStart w:id="8" w:name="_Toc226013913"/>
      <w:r w:rsidRPr="006E0E4F">
        <w:rPr>
          <w:rStyle w:val="BodyTextChar"/>
          <w:rFonts w:ascii="Georgia" w:eastAsiaTheme="majorEastAsia" w:hAnsi="Georgia"/>
        </w:rPr>
        <w:t>Responsibilities for carrying out prosecution</w:t>
      </w:r>
      <w:bookmarkEnd w:id="8"/>
    </w:p>
    <w:p w14:paraId="269A1055" w14:textId="1D9A4648" w:rsidR="006E0E4F" w:rsidRDefault="00EE3C53" w:rsidP="00D21F2D">
      <w:pPr>
        <w:pStyle w:val="BodyText"/>
        <w:rPr>
          <w:rStyle w:val="BodyTextChar"/>
        </w:rPr>
      </w:pPr>
      <w:r w:rsidRPr="00EE3C53">
        <w:rPr>
          <w:rStyle w:val="BodyTextChar"/>
        </w:rPr>
        <w:t xml:space="preserve">When the Ministry decides to initiate a prosecution, the </w:t>
      </w:r>
      <w:r w:rsidRPr="003C1473">
        <w:rPr>
          <w:rStyle w:val="BodyTextChar"/>
        </w:rPr>
        <w:t xml:space="preserve">Legal </w:t>
      </w:r>
      <w:r w:rsidR="00D21F2D" w:rsidRPr="003C1473">
        <w:rPr>
          <w:rStyle w:val="BodyTextChar"/>
        </w:rPr>
        <w:t>and Risk Team</w:t>
      </w:r>
      <w:r w:rsidRPr="00EE3C53">
        <w:rPr>
          <w:rStyle w:val="BodyTextChar"/>
        </w:rPr>
        <w:t xml:space="preserve"> will be responsible for instructing a Crown prosecutor. The investigator will also be involved in the briefing. </w:t>
      </w:r>
    </w:p>
    <w:p w14:paraId="37FDC660" w14:textId="5AB6B269" w:rsidR="006E0E4F" w:rsidRPr="006E0E4F" w:rsidRDefault="00EE3C53" w:rsidP="006E0E4F">
      <w:pPr>
        <w:pStyle w:val="Heading2"/>
        <w:rPr>
          <w:rStyle w:val="BodyTextChar"/>
          <w:rFonts w:ascii="Georgia" w:eastAsiaTheme="majorEastAsia" w:hAnsi="Georgia"/>
        </w:rPr>
      </w:pPr>
      <w:bookmarkStart w:id="9" w:name="_Toc226013914"/>
      <w:r w:rsidRPr="006E0E4F">
        <w:rPr>
          <w:rStyle w:val="BodyTextChar"/>
          <w:rFonts w:ascii="Georgia" w:eastAsiaTheme="majorEastAsia" w:hAnsi="Georgia"/>
        </w:rPr>
        <w:t>Seeking further orders</w:t>
      </w:r>
      <w:bookmarkEnd w:id="9"/>
    </w:p>
    <w:p w14:paraId="0AC53BC2" w14:textId="77777777" w:rsidR="006E0E4F" w:rsidRDefault="00EE3C53" w:rsidP="00D21F2D">
      <w:pPr>
        <w:pStyle w:val="BodyText"/>
        <w:rPr>
          <w:rStyle w:val="BodyTextChar"/>
        </w:rPr>
      </w:pPr>
      <w:r w:rsidRPr="00EE3C53">
        <w:rPr>
          <w:rStyle w:val="BodyTextChar"/>
        </w:rPr>
        <w:t xml:space="preserve">Under the WMA, further orders may be sought as part of or following a prosecution. Under the WMA, section 67 provides for applying to the court to order a “person to pay an amount not exceeding the value of any commercial gain resulting from the contravention, if the court is satisfied that the contravention occurred in the course of producing a commercial gain”. </w:t>
      </w:r>
    </w:p>
    <w:p w14:paraId="0D7D8E95" w14:textId="355557AC" w:rsidR="006E0E4F" w:rsidRPr="006E0E4F" w:rsidRDefault="00EE3C53" w:rsidP="006E0E4F">
      <w:pPr>
        <w:pStyle w:val="Heading2"/>
        <w:rPr>
          <w:rStyle w:val="BodyTextChar"/>
          <w:rFonts w:ascii="Georgia" w:eastAsiaTheme="majorEastAsia" w:hAnsi="Georgia"/>
        </w:rPr>
      </w:pPr>
      <w:bookmarkStart w:id="10" w:name="_Toc226013915"/>
      <w:r w:rsidRPr="006E0E4F">
        <w:rPr>
          <w:rStyle w:val="BodyTextChar"/>
          <w:rFonts w:ascii="Georgia" w:eastAsiaTheme="majorEastAsia" w:hAnsi="Georgia"/>
        </w:rPr>
        <w:t>Appealing court decisions</w:t>
      </w:r>
      <w:bookmarkEnd w:id="10"/>
    </w:p>
    <w:p w14:paraId="669F85FA" w14:textId="77777777" w:rsidR="006E0E4F" w:rsidRDefault="00EE3C53" w:rsidP="006E0E4F">
      <w:pPr>
        <w:pStyle w:val="BodyText"/>
        <w:rPr>
          <w:rStyle w:val="BodyTextChar"/>
        </w:rPr>
      </w:pPr>
      <w:r w:rsidRPr="00EE3C53">
        <w:rPr>
          <w:rStyle w:val="BodyTextChar"/>
        </w:rPr>
        <w:t xml:space="preserve">The Ministry may from time to time seek to appeal a decision of a court – for example: </w:t>
      </w:r>
    </w:p>
    <w:p w14:paraId="0AC5BF27" w14:textId="46F98DEC" w:rsidR="006E0E4F" w:rsidRDefault="00EE3C53" w:rsidP="006E0E4F">
      <w:pPr>
        <w:pStyle w:val="Bullet"/>
        <w:rPr>
          <w:rStyle w:val="BodyTextChar"/>
        </w:rPr>
      </w:pPr>
      <w:r w:rsidRPr="00EE3C53">
        <w:rPr>
          <w:rStyle w:val="BodyTextChar"/>
        </w:rPr>
        <w:t xml:space="preserve">a pre-trial ruling (with leave of the court) </w:t>
      </w:r>
    </w:p>
    <w:p w14:paraId="25B302A6" w14:textId="506BCB75" w:rsidR="006E0E4F" w:rsidRDefault="00EE3C53" w:rsidP="006E0E4F">
      <w:pPr>
        <w:pStyle w:val="Bullet"/>
        <w:rPr>
          <w:rStyle w:val="BodyTextChar"/>
        </w:rPr>
      </w:pPr>
      <w:r w:rsidRPr="00EE3C53">
        <w:rPr>
          <w:rStyle w:val="BodyTextChar"/>
        </w:rPr>
        <w:t xml:space="preserve">a sentence imposed </w:t>
      </w:r>
    </w:p>
    <w:p w14:paraId="50894B33" w14:textId="286FE4C7" w:rsidR="006E0E4F" w:rsidRDefault="00EE3C53" w:rsidP="006E0E4F">
      <w:pPr>
        <w:pStyle w:val="Bullet"/>
        <w:rPr>
          <w:rStyle w:val="BodyTextChar"/>
        </w:rPr>
      </w:pPr>
      <w:r w:rsidRPr="00EE3C53">
        <w:rPr>
          <w:rStyle w:val="BodyTextChar"/>
        </w:rPr>
        <w:t xml:space="preserve">a ruling by the trial court (on a question of law, with leave of the court). </w:t>
      </w:r>
    </w:p>
    <w:p w14:paraId="0B87F883" w14:textId="77777777" w:rsidR="006E0E4F" w:rsidRDefault="00EE3C53" w:rsidP="006E0E4F">
      <w:pPr>
        <w:pStyle w:val="BodyText"/>
        <w:rPr>
          <w:rStyle w:val="BodyTextChar"/>
        </w:rPr>
      </w:pPr>
      <w:r w:rsidRPr="00EE3C53">
        <w:rPr>
          <w:rStyle w:val="BodyTextChar"/>
        </w:rPr>
        <w:lastRenderedPageBreak/>
        <w:t xml:space="preserve">Any appeal must be referred by the instructed Crown solicitor to the Solicitor-General for consideration and approval, in accordance with the Criminal Procedure Act 2011. </w:t>
      </w:r>
    </w:p>
    <w:p w14:paraId="3915448F" w14:textId="2DE75916" w:rsidR="006E0E4F" w:rsidRPr="006E0E4F" w:rsidRDefault="00EE3C53" w:rsidP="006E0E4F">
      <w:pPr>
        <w:pStyle w:val="Heading2"/>
        <w:rPr>
          <w:rStyle w:val="BodyTextChar"/>
          <w:rFonts w:ascii="Georgia" w:eastAsiaTheme="majorEastAsia" w:hAnsi="Georgia"/>
        </w:rPr>
      </w:pPr>
      <w:bookmarkStart w:id="11" w:name="_Toc226013916"/>
      <w:r w:rsidRPr="006E0E4F">
        <w:rPr>
          <w:rStyle w:val="BodyTextChar"/>
          <w:rFonts w:ascii="Georgia" w:eastAsiaTheme="majorEastAsia" w:hAnsi="Georgia"/>
        </w:rPr>
        <w:t>Parallel prosecution</w:t>
      </w:r>
      <w:bookmarkEnd w:id="11"/>
    </w:p>
    <w:p w14:paraId="155A47DC" w14:textId="1F516CE6" w:rsidR="006E0E4F" w:rsidRDefault="00EE3C53" w:rsidP="006E0E4F">
      <w:pPr>
        <w:pStyle w:val="BodyText"/>
        <w:rPr>
          <w:rStyle w:val="BodyTextChar"/>
        </w:rPr>
      </w:pPr>
      <w:r w:rsidRPr="00EE3C53">
        <w:rPr>
          <w:rStyle w:val="BodyTextChar"/>
        </w:rPr>
        <w:t>In certain situations, prosecution of a party may involve collaboration with other agencies, including councils and the Environmental Protection Authority.</w:t>
      </w:r>
    </w:p>
    <w:p w14:paraId="0BB6C12A" w14:textId="77625717" w:rsidR="006E0E4F" w:rsidRDefault="00EE3C53" w:rsidP="006E0E4F">
      <w:pPr>
        <w:pStyle w:val="BodyText"/>
        <w:rPr>
          <w:rStyle w:val="BodyTextChar"/>
        </w:rPr>
      </w:pPr>
      <w:r w:rsidRPr="00EE3C53">
        <w:rPr>
          <w:rStyle w:val="BodyTextChar"/>
        </w:rPr>
        <w:t xml:space="preserve">Coordinating with other agencies may mean varying the timing and structure of WMA prosecutions. The particulars will be addressed via the Ministry’s Manager of Waste Operations and the Ministry’s Legal </w:t>
      </w:r>
      <w:r w:rsidR="00D21F2D" w:rsidRPr="003C1473">
        <w:rPr>
          <w:rStyle w:val="BodyTextChar"/>
        </w:rPr>
        <w:t>and Risk</w:t>
      </w:r>
      <w:r w:rsidR="00D21F2D">
        <w:rPr>
          <w:rStyle w:val="BodyTextChar"/>
        </w:rPr>
        <w:t xml:space="preserve"> T</w:t>
      </w:r>
      <w:r w:rsidRPr="00EE3C53">
        <w:rPr>
          <w:rStyle w:val="BodyTextChar"/>
        </w:rPr>
        <w:t xml:space="preserve">eam in association with Crown prosecutors. </w:t>
      </w:r>
    </w:p>
    <w:p w14:paraId="5F11803D" w14:textId="77777777" w:rsidR="006E0E4F" w:rsidRDefault="006E0E4F">
      <w:pPr>
        <w:spacing w:before="0" w:after="200" w:line="276" w:lineRule="auto"/>
        <w:jc w:val="left"/>
        <w:rPr>
          <w:rStyle w:val="BodyTextChar"/>
        </w:rPr>
      </w:pPr>
      <w:r>
        <w:rPr>
          <w:rStyle w:val="BodyTextChar"/>
        </w:rPr>
        <w:br w:type="page"/>
      </w:r>
    </w:p>
    <w:p w14:paraId="45F5D7EE" w14:textId="1271A2BE" w:rsidR="006E0E4F" w:rsidRPr="006E0E4F" w:rsidRDefault="00EE3C53" w:rsidP="006E0E4F">
      <w:pPr>
        <w:pStyle w:val="Heading1"/>
        <w:rPr>
          <w:rStyle w:val="BodyTextChar"/>
          <w:rFonts w:ascii="Georgia" w:eastAsiaTheme="majorEastAsia" w:hAnsi="Georgia"/>
        </w:rPr>
      </w:pPr>
      <w:bookmarkStart w:id="12" w:name="_Toc226013917"/>
      <w:r w:rsidRPr="006E0E4F">
        <w:rPr>
          <w:rStyle w:val="BodyTextChar"/>
          <w:rFonts w:ascii="Georgia" w:eastAsiaTheme="majorEastAsia" w:hAnsi="Georgia"/>
        </w:rPr>
        <w:lastRenderedPageBreak/>
        <w:t>Media and communications</w:t>
      </w:r>
      <w:bookmarkEnd w:id="12"/>
    </w:p>
    <w:p w14:paraId="4F818A13" w14:textId="77777777" w:rsidR="006E0E4F" w:rsidRDefault="00EE3C53" w:rsidP="006E0E4F">
      <w:pPr>
        <w:pStyle w:val="BodyText"/>
        <w:rPr>
          <w:rStyle w:val="BodyTextChar"/>
        </w:rPr>
      </w:pPr>
      <w:r w:rsidRPr="00EE3C53">
        <w:rPr>
          <w:rStyle w:val="BodyTextChar"/>
        </w:rPr>
        <w:t xml:space="preserve">In communicating with the public through the media about a prosecution, Ministry staff will follow the Crown Law Media Protocol for Prosecutors, and will: </w:t>
      </w:r>
    </w:p>
    <w:p w14:paraId="4C0DF59B" w14:textId="11CB671C" w:rsidR="006E0E4F" w:rsidRDefault="00EE3C53" w:rsidP="006E0E4F">
      <w:pPr>
        <w:pStyle w:val="Bullet"/>
        <w:rPr>
          <w:rStyle w:val="BodyTextChar"/>
        </w:rPr>
      </w:pPr>
      <w:r w:rsidRPr="00EE3C53">
        <w:rPr>
          <w:rStyle w:val="BodyTextChar"/>
        </w:rPr>
        <w:t>act in a way that does not prejudice the right to a fair trial</w:t>
      </w:r>
    </w:p>
    <w:p w14:paraId="22D69AA6" w14:textId="433F4F73" w:rsidR="006E0E4F" w:rsidRDefault="00EE3C53" w:rsidP="006E0E4F">
      <w:pPr>
        <w:pStyle w:val="Bullet"/>
        <w:rPr>
          <w:rStyle w:val="BodyTextChar"/>
        </w:rPr>
      </w:pPr>
      <w:r w:rsidRPr="00EE3C53">
        <w:rPr>
          <w:rStyle w:val="BodyTextChar"/>
        </w:rPr>
        <w:t>support the administration of justice and the integrity of the criminal justice system</w:t>
      </w:r>
    </w:p>
    <w:p w14:paraId="409124C1" w14:textId="6ED7C40B" w:rsidR="006E0E4F" w:rsidRDefault="00EE3C53" w:rsidP="006E0E4F">
      <w:pPr>
        <w:pStyle w:val="Bullet"/>
        <w:rPr>
          <w:rStyle w:val="BodyTextChar"/>
        </w:rPr>
      </w:pPr>
      <w:r w:rsidRPr="00EE3C53">
        <w:rPr>
          <w:rStyle w:val="BodyTextChar"/>
        </w:rPr>
        <w:t>respect the principle of open justice</w:t>
      </w:r>
    </w:p>
    <w:p w14:paraId="602B4E12" w14:textId="0052033A" w:rsidR="006E0E4F" w:rsidRDefault="00EE3C53" w:rsidP="006E0E4F">
      <w:pPr>
        <w:pStyle w:val="Bullet"/>
        <w:rPr>
          <w:rStyle w:val="BodyTextChar"/>
        </w:rPr>
      </w:pPr>
      <w:r w:rsidRPr="00EE3C53">
        <w:rPr>
          <w:rStyle w:val="BodyTextChar"/>
        </w:rPr>
        <w:t xml:space="preserve">treat victims of crime with courtesy and </w:t>
      </w:r>
      <w:r w:rsidR="003C1473" w:rsidRPr="00EE3C53">
        <w:rPr>
          <w:rStyle w:val="BodyTextChar"/>
        </w:rPr>
        <w:t>compassion and</w:t>
      </w:r>
      <w:r w:rsidRPr="00EE3C53">
        <w:rPr>
          <w:rStyle w:val="BodyTextChar"/>
        </w:rPr>
        <w:t xml:space="preserve"> respect their dignity and privacy.</w:t>
      </w:r>
    </w:p>
    <w:p w14:paraId="38B28415" w14:textId="17221AFA" w:rsidR="006E0E4F" w:rsidRDefault="00EE3C53" w:rsidP="006E0E4F">
      <w:pPr>
        <w:pStyle w:val="BodyText"/>
        <w:rPr>
          <w:rStyle w:val="BodyTextChar"/>
        </w:rPr>
      </w:pPr>
      <w:r w:rsidRPr="00EE3C53">
        <w:rPr>
          <w:rStyle w:val="BodyTextChar"/>
        </w:rPr>
        <w:t xml:space="preserve">The Ministry will publicise the outcome of a prosecution where appropriate. This will be managed by the Manager, Waste Operations, with the Communications </w:t>
      </w:r>
      <w:r w:rsidR="00D21F2D" w:rsidRPr="003C1473">
        <w:rPr>
          <w:rStyle w:val="BodyTextChar"/>
        </w:rPr>
        <w:t>Team</w:t>
      </w:r>
      <w:r w:rsidR="006E0E4F">
        <w:rPr>
          <w:rStyle w:val="BodyTextChar"/>
        </w:rPr>
        <w:t>.</w:t>
      </w:r>
    </w:p>
    <w:bookmarkEnd w:id="1"/>
    <w:p w14:paraId="7056F4B9" w14:textId="6FDF7FEA" w:rsidR="00EE3C53" w:rsidRPr="006E0E4F" w:rsidRDefault="00EE3C53" w:rsidP="006E0E4F">
      <w:pPr>
        <w:pStyle w:val="BodyText"/>
        <w:rPr>
          <w:rStyle w:val="Heading1Char"/>
          <w:rFonts w:ascii="Calibri" w:eastAsiaTheme="minorEastAsia" w:hAnsi="Calibri" w:cstheme="minorBidi"/>
          <w:b w:val="0"/>
          <w:bCs w:val="0"/>
          <w:color w:val="auto"/>
          <w:sz w:val="22"/>
          <w:szCs w:val="22"/>
        </w:rPr>
      </w:pPr>
    </w:p>
    <w:sectPr w:rsidR="00EE3C53" w:rsidRPr="006E0E4F" w:rsidSect="008A7498">
      <w:footerReference w:type="even" r:id="rId24"/>
      <w:footerReference w:type="default" r:id="rId25"/>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0800" w14:textId="77777777" w:rsidR="009F3089" w:rsidRDefault="009F3089" w:rsidP="0080531E">
      <w:pPr>
        <w:spacing w:before="0" w:after="0" w:line="240" w:lineRule="auto"/>
      </w:pPr>
      <w:r>
        <w:separator/>
      </w:r>
    </w:p>
    <w:p w14:paraId="65F0B7DF" w14:textId="77777777" w:rsidR="009F3089" w:rsidRDefault="009F3089"/>
  </w:endnote>
  <w:endnote w:type="continuationSeparator" w:id="0">
    <w:p w14:paraId="26CC763A" w14:textId="77777777" w:rsidR="009F3089" w:rsidRDefault="009F3089" w:rsidP="0080531E">
      <w:pPr>
        <w:spacing w:before="0" w:after="0" w:line="240" w:lineRule="auto"/>
      </w:pPr>
      <w:r>
        <w:continuationSeparator/>
      </w:r>
    </w:p>
    <w:p w14:paraId="0CE051D6" w14:textId="77777777" w:rsidR="009F3089" w:rsidRDefault="009F3089"/>
  </w:endnote>
  <w:endnote w:type="continuationNotice" w:id="1">
    <w:p w14:paraId="459A8A7E" w14:textId="77777777" w:rsidR="009F3089" w:rsidRDefault="009F30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7A32" w14:textId="77777777" w:rsidR="00E5210B" w:rsidRDefault="009F1D7F" w:rsidP="009F1D7F">
    <w:pPr>
      <w:spacing w:before="0" w:after="0" w:line="240" w:lineRule="auto"/>
      <w:jc w:val="left"/>
    </w:pPr>
    <w:r>
      <w:rPr>
        <w:b/>
        <w:bCs/>
        <w:noProof/>
      </w:rPr>
      <w:drawing>
        <wp:inline distT="0" distB="0" distL="0" distR="0" wp14:anchorId="78E210DE" wp14:editId="13AE1C6C">
          <wp:extent cx="2239911" cy="538480"/>
          <wp:effectExtent l="0" t="0" r="0" b="0"/>
          <wp:docPr id="16" name="Picture 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E5D2"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6628"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C592" w14:textId="42DA533A"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203E62">
      <w:t>Waste Minimisation Act: Prosecution Policy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B293" w14:textId="7AB01CFB" w:rsidR="00E453AB" w:rsidRDefault="00E5210B" w:rsidP="00CD25E1">
    <w:pPr>
      <w:pStyle w:val="Footerodd"/>
    </w:pPr>
    <w:r>
      <w:tab/>
    </w:r>
    <w:r w:rsidR="00203E62">
      <w:t>Waste Minimisation Act 2008: Prosecution Policy</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54BB" w14:textId="77777777" w:rsidR="009F3089" w:rsidRDefault="009F3089" w:rsidP="00CB5C5F">
      <w:pPr>
        <w:spacing w:before="0" w:after="80" w:line="240" w:lineRule="auto"/>
      </w:pPr>
      <w:r>
        <w:separator/>
      </w:r>
    </w:p>
  </w:footnote>
  <w:footnote w:type="continuationSeparator" w:id="0">
    <w:p w14:paraId="0E454E36" w14:textId="77777777" w:rsidR="009F3089" w:rsidRDefault="009F3089" w:rsidP="0080531E">
      <w:pPr>
        <w:spacing w:before="0" w:after="0" w:line="240" w:lineRule="auto"/>
      </w:pPr>
      <w:r>
        <w:continuationSeparator/>
      </w:r>
    </w:p>
    <w:p w14:paraId="13D62AFD" w14:textId="77777777" w:rsidR="009F3089" w:rsidRDefault="009F3089"/>
  </w:footnote>
  <w:footnote w:type="continuationNotice" w:id="1">
    <w:p w14:paraId="0499DA4A" w14:textId="77777777" w:rsidR="009F3089" w:rsidRDefault="009F3089">
      <w:pPr>
        <w:spacing w:before="0" w:after="0" w:line="240" w:lineRule="auto"/>
      </w:pPr>
    </w:p>
  </w:footnote>
  <w:footnote w:id="2">
    <w:p w14:paraId="024D4EA2" w14:textId="32B286FC" w:rsidR="00203E62" w:rsidRDefault="00203E62">
      <w:pPr>
        <w:pStyle w:val="FootnoteText"/>
      </w:pPr>
      <w:r>
        <w:rPr>
          <w:rStyle w:val="FootnoteReference"/>
        </w:rPr>
        <w:footnoteRef/>
      </w:r>
      <w:r>
        <w:t xml:space="preserve"> S</w:t>
      </w:r>
      <w:r w:rsidRPr="00203E62">
        <w:t>ection 71 of the WMA</w:t>
      </w:r>
      <w:r w:rsidR="001A4E1F">
        <w:t>.</w:t>
      </w:r>
    </w:p>
  </w:footnote>
  <w:footnote w:id="3">
    <w:p w14:paraId="6181CBB3" w14:textId="403244D4" w:rsidR="004004BA" w:rsidRDefault="004004BA">
      <w:pPr>
        <w:pStyle w:val="FootnoteText"/>
      </w:pPr>
      <w:r>
        <w:rPr>
          <w:rStyle w:val="FootnoteReference"/>
        </w:rPr>
        <w:footnoteRef/>
      </w:r>
      <w:r>
        <w:t xml:space="preserve"> Section 71 of the WMA</w:t>
      </w:r>
      <w:r w:rsidR="001A4E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E5E1" w14:textId="22AD80C9"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028" w14:textId="77777777"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7D"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FB50F1"/>
    <w:multiLevelType w:val="multilevel"/>
    <w:tmpl w:val="21B0DBA6"/>
    <w:lvl w:ilvl="0">
      <w:start w:val="1"/>
      <w:numFmt w:val="lowerLetter"/>
      <w:lvlText w:val="(%1)"/>
      <w:lvlJc w:val="left"/>
      <w:pPr>
        <w:tabs>
          <w:tab w:val="num" w:pos="397"/>
        </w:tabs>
        <w:ind w:left="397" w:hanging="397"/>
      </w:pPr>
      <w:rPr>
        <w:rFonts w:hint="default"/>
        <w:b w:val="0"/>
        <w:i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14"/>
  </w:num>
  <w:num w:numId="2" w16cid:durableId="1287734805">
    <w:abstractNumId w:val="24"/>
  </w:num>
  <w:num w:numId="3" w16cid:durableId="1538541818">
    <w:abstractNumId w:val="36"/>
  </w:num>
  <w:num w:numId="4" w16cid:durableId="550508225">
    <w:abstractNumId w:val="19"/>
  </w:num>
  <w:num w:numId="5" w16cid:durableId="745567648">
    <w:abstractNumId w:val="12"/>
  </w:num>
  <w:num w:numId="6" w16cid:durableId="2076933510">
    <w:abstractNumId w:val="7"/>
  </w:num>
  <w:num w:numId="7" w16cid:durableId="1899433097">
    <w:abstractNumId w:val="22"/>
  </w:num>
  <w:num w:numId="8" w16cid:durableId="1088233813">
    <w:abstractNumId w:val="21"/>
  </w:num>
  <w:num w:numId="9" w16cid:durableId="394550804">
    <w:abstractNumId w:val="35"/>
  </w:num>
  <w:num w:numId="10" w16cid:durableId="170938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1"/>
  </w:num>
  <w:num w:numId="12" w16cid:durableId="1912157551">
    <w:abstractNumId w:val="28"/>
  </w:num>
  <w:num w:numId="13" w16cid:durableId="797454537">
    <w:abstractNumId w:val="11"/>
  </w:num>
  <w:num w:numId="14" w16cid:durableId="284310654">
    <w:abstractNumId w:val="30"/>
  </w:num>
  <w:num w:numId="15" w16cid:durableId="1819420646">
    <w:abstractNumId w:val="20"/>
  </w:num>
  <w:num w:numId="16" w16cid:durableId="1770615197">
    <w:abstractNumId w:val="10"/>
  </w:num>
  <w:num w:numId="17" w16cid:durableId="1658604841">
    <w:abstractNumId w:val="29"/>
  </w:num>
  <w:num w:numId="18" w16cid:durableId="905535034">
    <w:abstractNumId w:val="25"/>
  </w:num>
  <w:num w:numId="19" w16cid:durableId="1465346826">
    <w:abstractNumId w:val="31"/>
  </w:num>
  <w:num w:numId="20" w16cid:durableId="676690097">
    <w:abstractNumId w:val="13"/>
  </w:num>
  <w:num w:numId="21" w16cid:durableId="2031447556">
    <w:abstractNumId w:val="26"/>
  </w:num>
  <w:num w:numId="22" w16cid:durableId="752623358">
    <w:abstractNumId w:val="4"/>
  </w:num>
  <w:num w:numId="23" w16cid:durableId="867841801">
    <w:abstractNumId w:val="23"/>
  </w:num>
  <w:num w:numId="24" w16cid:durableId="720790089">
    <w:abstractNumId w:val="15"/>
  </w:num>
  <w:num w:numId="25" w16cid:durableId="222520331">
    <w:abstractNumId w:val="33"/>
  </w:num>
  <w:num w:numId="26" w16cid:durableId="717584311">
    <w:abstractNumId w:val="27"/>
  </w:num>
  <w:num w:numId="27" w16cid:durableId="779765061">
    <w:abstractNumId w:val="0"/>
  </w:num>
  <w:num w:numId="28" w16cid:durableId="342437984">
    <w:abstractNumId w:val="17"/>
  </w:num>
  <w:num w:numId="29" w16cid:durableId="86079989">
    <w:abstractNumId w:val="8"/>
  </w:num>
  <w:num w:numId="30" w16cid:durableId="190724435">
    <w:abstractNumId w:val="3"/>
  </w:num>
  <w:num w:numId="31" w16cid:durableId="180439593">
    <w:abstractNumId w:val="2"/>
  </w:num>
  <w:num w:numId="32" w16cid:durableId="2007590403">
    <w:abstractNumId w:val="5"/>
  </w:num>
  <w:num w:numId="33" w16cid:durableId="1951621493">
    <w:abstractNumId w:val="9"/>
  </w:num>
  <w:num w:numId="34" w16cid:durableId="1425766684">
    <w:abstractNumId w:val="18"/>
  </w:num>
  <w:num w:numId="35" w16cid:durableId="11616712">
    <w:abstractNumId w:val="16"/>
  </w:num>
  <w:num w:numId="36" w16cid:durableId="1911882459">
    <w:abstractNumId w:val="6"/>
  </w:num>
  <w:num w:numId="37" w16cid:durableId="1044714646">
    <w:abstractNumId w:val="32"/>
  </w:num>
  <w:num w:numId="38" w16cid:durableId="1995259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945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12"/>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35B5"/>
    <w:rsid w:val="00023BD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32D"/>
    <w:rsid w:val="00091796"/>
    <w:rsid w:val="00091BA2"/>
    <w:rsid w:val="00091CB0"/>
    <w:rsid w:val="00094344"/>
    <w:rsid w:val="000953C6"/>
    <w:rsid w:val="000953F4"/>
    <w:rsid w:val="0009590C"/>
    <w:rsid w:val="000959E7"/>
    <w:rsid w:val="00095C45"/>
    <w:rsid w:val="00095E7D"/>
    <w:rsid w:val="000964DE"/>
    <w:rsid w:val="000972AB"/>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317"/>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18BB"/>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7A"/>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01AD"/>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0A41"/>
    <w:rsid w:val="001310BF"/>
    <w:rsid w:val="00133E73"/>
    <w:rsid w:val="00133FDB"/>
    <w:rsid w:val="00134F4A"/>
    <w:rsid w:val="001351CB"/>
    <w:rsid w:val="00135E4E"/>
    <w:rsid w:val="00136246"/>
    <w:rsid w:val="001364D4"/>
    <w:rsid w:val="001371C8"/>
    <w:rsid w:val="001372ED"/>
    <w:rsid w:val="00140FEF"/>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3C2A"/>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3E4B"/>
    <w:rsid w:val="00194BB7"/>
    <w:rsid w:val="00194CC5"/>
    <w:rsid w:val="001951B2"/>
    <w:rsid w:val="0019565D"/>
    <w:rsid w:val="00197564"/>
    <w:rsid w:val="00197EC2"/>
    <w:rsid w:val="00197ECE"/>
    <w:rsid w:val="001A1CED"/>
    <w:rsid w:val="001A279B"/>
    <w:rsid w:val="001A2DC3"/>
    <w:rsid w:val="001A2E87"/>
    <w:rsid w:val="001A3869"/>
    <w:rsid w:val="001A38C2"/>
    <w:rsid w:val="001A4E1F"/>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44"/>
    <w:rsid w:val="001B7E91"/>
    <w:rsid w:val="001C147E"/>
    <w:rsid w:val="001C151B"/>
    <w:rsid w:val="001C19E5"/>
    <w:rsid w:val="001C3666"/>
    <w:rsid w:val="001C3800"/>
    <w:rsid w:val="001C3C7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0F22"/>
    <w:rsid w:val="001E14FD"/>
    <w:rsid w:val="001E180F"/>
    <w:rsid w:val="001E1C64"/>
    <w:rsid w:val="001E1CEC"/>
    <w:rsid w:val="001E2A42"/>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3E62"/>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5F6"/>
    <w:rsid w:val="00212A82"/>
    <w:rsid w:val="00214EA2"/>
    <w:rsid w:val="002160FA"/>
    <w:rsid w:val="002166DD"/>
    <w:rsid w:val="002168A2"/>
    <w:rsid w:val="00216AC3"/>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FE4"/>
    <w:rsid w:val="00240656"/>
    <w:rsid w:val="00241610"/>
    <w:rsid w:val="00241AED"/>
    <w:rsid w:val="00243182"/>
    <w:rsid w:val="002438E5"/>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46A4"/>
    <w:rsid w:val="0025539F"/>
    <w:rsid w:val="00256388"/>
    <w:rsid w:val="00256E44"/>
    <w:rsid w:val="002605BF"/>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867"/>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1CF"/>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42"/>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687"/>
    <w:rsid w:val="002E69F5"/>
    <w:rsid w:val="002E6CAA"/>
    <w:rsid w:val="002E732D"/>
    <w:rsid w:val="002E73EC"/>
    <w:rsid w:val="002E78B2"/>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D0A"/>
    <w:rsid w:val="003027B8"/>
    <w:rsid w:val="0030293F"/>
    <w:rsid w:val="00302947"/>
    <w:rsid w:val="00302C50"/>
    <w:rsid w:val="003031C2"/>
    <w:rsid w:val="00303861"/>
    <w:rsid w:val="003049B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3FE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A23"/>
    <w:rsid w:val="00331E65"/>
    <w:rsid w:val="00333107"/>
    <w:rsid w:val="0033343B"/>
    <w:rsid w:val="0033393C"/>
    <w:rsid w:val="003354B9"/>
    <w:rsid w:val="003357EE"/>
    <w:rsid w:val="00337368"/>
    <w:rsid w:val="00337B4D"/>
    <w:rsid w:val="003407A9"/>
    <w:rsid w:val="00340BA3"/>
    <w:rsid w:val="00340BAF"/>
    <w:rsid w:val="00340C2B"/>
    <w:rsid w:val="00340F9A"/>
    <w:rsid w:val="00341018"/>
    <w:rsid w:val="00341723"/>
    <w:rsid w:val="003420D9"/>
    <w:rsid w:val="003423E0"/>
    <w:rsid w:val="0034301A"/>
    <w:rsid w:val="00343D76"/>
    <w:rsid w:val="00344DFD"/>
    <w:rsid w:val="003451D3"/>
    <w:rsid w:val="00345B64"/>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AC2"/>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DB9"/>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1473"/>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25"/>
    <w:rsid w:val="003E6B3C"/>
    <w:rsid w:val="003E6B95"/>
    <w:rsid w:val="003E6CAB"/>
    <w:rsid w:val="003E70FF"/>
    <w:rsid w:val="003E7F1B"/>
    <w:rsid w:val="003F0B41"/>
    <w:rsid w:val="003F1150"/>
    <w:rsid w:val="003F1E39"/>
    <w:rsid w:val="003F229D"/>
    <w:rsid w:val="003F25F0"/>
    <w:rsid w:val="003F2D5B"/>
    <w:rsid w:val="003F5AD2"/>
    <w:rsid w:val="003F5CA4"/>
    <w:rsid w:val="003F6D50"/>
    <w:rsid w:val="003F7006"/>
    <w:rsid w:val="003F7507"/>
    <w:rsid w:val="003F7C72"/>
    <w:rsid w:val="003F7D10"/>
    <w:rsid w:val="004004BA"/>
    <w:rsid w:val="00401000"/>
    <w:rsid w:val="004016C6"/>
    <w:rsid w:val="0040179A"/>
    <w:rsid w:val="00401856"/>
    <w:rsid w:val="004028A2"/>
    <w:rsid w:val="00402FEB"/>
    <w:rsid w:val="00403344"/>
    <w:rsid w:val="00403C82"/>
    <w:rsid w:val="00404157"/>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1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0E98"/>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AD0"/>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6A51"/>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95C"/>
    <w:rsid w:val="004A0D1E"/>
    <w:rsid w:val="004A0E66"/>
    <w:rsid w:val="004A0EEC"/>
    <w:rsid w:val="004A130F"/>
    <w:rsid w:val="004A17EF"/>
    <w:rsid w:val="004A1BDA"/>
    <w:rsid w:val="004A22DA"/>
    <w:rsid w:val="004A2700"/>
    <w:rsid w:val="004A36C8"/>
    <w:rsid w:val="004A3721"/>
    <w:rsid w:val="004A3742"/>
    <w:rsid w:val="004A37B8"/>
    <w:rsid w:val="004A3CC2"/>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4F1B"/>
    <w:rsid w:val="004C514A"/>
    <w:rsid w:val="004C645A"/>
    <w:rsid w:val="004C6572"/>
    <w:rsid w:val="004C6D4F"/>
    <w:rsid w:val="004C7541"/>
    <w:rsid w:val="004D1E71"/>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6CC"/>
    <w:rsid w:val="005019E0"/>
    <w:rsid w:val="0050211F"/>
    <w:rsid w:val="005022E7"/>
    <w:rsid w:val="00502A93"/>
    <w:rsid w:val="00506083"/>
    <w:rsid w:val="005068D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6B6"/>
    <w:rsid w:val="005608D6"/>
    <w:rsid w:val="00560F19"/>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6DB0"/>
    <w:rsid w:val="0057765D"/>
    <w:rsid w:val="005777FC"/>
    <w:rsid w:val="005808EB"/>
    <w:rsid w:val="00580D37"/>
    <w:rsid w:val="00581FA0"/>
    <w:rsid w:val="00582B90"/>
    <w:rsid w:val="00583134"/>
    <w:rsid w:val="005831A7"/>
    <w:rsid w:val="00583321"/>
    <w:rsid w:val="0058341E"/>
    <w:rsid w:val="00584F3A"/>
    <w:rsid w:val="005853AB"/>
    <w:rsid w:val="00585748"/>
    <w:rsid w:val="005859C5"/>
    <w:rsid w:val="00585C79"/>
    <w:rsid w:val="00585FD0"/>
    <w:rsid w:val="00586144"/>
    <w:rsid w:val="00587785"/>
    <w:rsid w:val="0058788D"/>
    <w:rsid w:val="00587E29"/>
    <w:rsid w:val="00587FE6"/>
    <w:rsid w:val="0059040D"/>
    <w:rsid w:val="00591698"/>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6CA5"/>
    <w:rsid w:val="005C760E"/>
    <w:rsid w:val="005C7E9E"/>
    <w:rsid w:val="005D18C9"/>
    <w:rsid w:val="005D1B72"/>
    <w:rsid w:val="005D2471"/>
    <w:rsid w:val="005D25A3"/>
    <w:rsid w:val="005D2779"/>
    <w:rsid w:val="005D3242"/>
    <w:rsid w:val="005D610C"/>
    <w:rsid w:val="005D74E7"/>
    <w:rsid w:val="005D7C64"/>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6D3"/>
    <w:rsid w:val="00620309"/>
    <w:rsid w:val="0062159D"/>
    <w:rsid w:val="00621680"/>
    <w:rsid w:val="00621EC5"/>
    <w:rsid w:val="006223E0"/>
    <w:rsid w:val="006224D0"/>
    <w:rsid w:val="006226A3"/>
    <w:rsid w:val="00622BCE"/>
    <w:rsid w:val="00622E29"/>
    <w:rsid w:val="00623643"/>
    <w:rsid w:val="00624018"/>
    <w:rsid w:val="006240C4"/>
    <w:rsid w:val="00624B3C"/>
    <w:rsid w:val="006252C2"/>
    <w:rsid w:val="00625304"/>
    <w:rsid w:val="0062581B"/>
    <w:rsid w:val="006261F4"/>
    <w:rsid w:val="0063164E"/>
    <w:rsid w:val="0063191D"/>
    <w:rsid w:val="006324E1"/>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3CE"/>
    <w:rsid w:val="00647B32"/>
    <w:rsid w:val="00647C27"/>
    <w:rsid w:val="006519E6"/>
    <w:rsid w:val="00651CDE"/>
    <w:rsid w:val="00652326"/>
    <w:rsid w:val="006524F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52E"/>
    <w:rsid w:val="00663783"/>
    <w:rsid w:val="00663E47"/>
    <w:rsid w:val="006644A7"/>
    <w:rsid w:val="00664BDE"/>
    <w:rsid w:val="00664CE2"/>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7F2"/>
    <w:rsid w:val="006931E1"/>
    <w:rsid w:val="00693E3A"/>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5A60"/>
    <w:rsid w:val="006B6242"/>
    <w:rsid w:val="006B62B8"/>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0E4F"/>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9AC"/>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4C7F"/>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B87"/>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034"/>
    <w:rsid w:val="0084184A"/>
    <w:rsid w:val="008423F2"/>
    <w:rsid w:val="00842A30"/>
    <w:rsid w:val="00842F71"/>
    <w:rsid w:val="00843179"/>
    <w:rsid w:val="0084386A"/>
    <w:rsid w:val="00843E0E"/>
    <w:rsid w:val="008442EA"/>
    <w:rsid w:val="00844589"/>
    <w:rsid w:val="00844794"/>
    <w:rsid w:val="00844FE7"/>
    <w:rsid w:val="00845103"/>
    <w:rsid w:val="00845969"/>
    <w:rsid w:val="00845F37"/>
    <w:rsid w:val="00845FF5"/>
    <w:rsid w:val="00846001"/>
    <w:rsid w:val="0084615D"/>
    <w:rsid w:val="0084642A"/>
    <w:rsid w:val="008465C4"/>
    <w:rsid w:val="00846710"/>
    <w:rsid w:val="008478ED"/>
    <w:rsid w:val="0085087F"/>
    <w:rsid w:val="00851728"/>
    <w:rsid w:val="00851DFF"/>
    <w:rsid w:val="00853084"/>
    <w:rsid w:val="00853142"/>
    <w:rsid w:val="008540A6"/>
    <w:rsid w:val="00854420"/>
    <w:rsid w:val="00854481"/>
    <w:rsid w:val="008555EF"/>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63B"/>
    <w:rsid w:val="00881511"/>
    <w:rsid w:val="00882448"/>
    <w:rsid w:val="00882F1D"/>
    <w:rsid w:val="00883A4D"/>
    <w:rsid w:val="00883B21"/>
    <w:rsid w:val="00883F8F"/>
    <w:rsid w:val="00884235"/>
    <w:rsid w:val="00885285"/>
    <w:rsid w:val="00885985"/>
    <w:rsid w:val="00886699"/>
    <w:rsid w:val="0088709A"/>
    <w:rsid w:val="00887156"/>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103C"/>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8F7F94"/>
    <w:rsid w:val="00900947"/>
    <w:rsid w:val="00900EB8"/>
    <w:rsid w:val="00900FBA"/>
    <w:rsid w:val="0090240E"/>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7C8"/>
    <w:rsid w:val="0095115E"/>
    <w:rsid w:val="0095118A"/>
    <w:rsid w:val="00952468"/>
    <w:rsid w:val="00954767"/>
    <w:rsid w:val="0095487A"/>
    <w:rsid w:val="009548FB"/>
    <w:rsid w:val="0095538B"/>
    <w:rsid w:val="009575B9"/>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4E7"/>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6CB5"/>
    <w:rsid w:val="0099719E"/>
    <w:rsid w:val="009A0169"/>
    <w:rsid w:val="009A1B56"/>
    <w:rsid w:val="009A2A8A"/>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577"/>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CA5"/>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08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89D"/>
    <w:rsid w:val="00A10A48"/>
    <w:rsid w:val="00A110DA"/>
    <w:rsid w:val="00A1132B"/>
    <w:rsid w:val="00A11930"/>
    <w:rsid w:val="00A11B54"/>
    <w:rsid w:val="00A11CDC"/>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596"/>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050"/>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DF2"/>
    <w:rsid w:val="00A74E4D"/>
    <w:rsid w:val="00A75633"/>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5337"/>
    <w:rsid w:val="00A8626D"/>
    <w:rsid w:val="00A86406"/>
    <w:rsid w:val="00A86853"/>
    <w:rsid w:val="00A86B75"/>
    <w:rsid w:val="00A86E75"/>
    <w:rsid w:val="00A86F33"/>
    <w:rsid w:val="00A87AF0"/>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855"/>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272"/>
    <w:rsid w:val="00B224AA"/>
    <w:rsid w:val="00B22998"/>
    <w:rsid w:val="00B229FE"/>
    <w:rsid w:val="00B2302B"/>
    <w:rsid w:val="00B24363"/>
    <w:rsid w:val="00B2456E"/>
    <w:rsid w:val="00B24979"/>
    <w:rsid w:val="00B250A5"/>
    <w:rsid w:val="00B25651"/>
    <w:rsid w:val="00B26309"/>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D70"/>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E9D"/>
    <w:rsid w:val="00B55F80"/>
    <w:rsid w:val="00B56480"/>
    <w:rsid w:val="00B565D6"/>
    <w:rsid w:val="00B576A4"/>
    <w:rsid w:val="00B57998"/>
    <w:rsid w:val="00B57CD0"/>
    <w:rsid w:val="00B57DA9"/>
    <w:rsid w:val="00B57ED3"/>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F2A"/>
    <w:rsid w:val="00B8756E"/>
    <w:rsid w:val="00B87DF9"/>
    <w:rsid w:val="00B90A91"/>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EEE"/>
    <w:rsid w:val="00BB2008"/>
    <w:rsid w:val="00BB29DF"/>
    <w:rsid w:val="00BB2CFC"/>
    <w:rsid w:val="00BB34DC"/>
    <w:rsid w:val="00BB35D0"/>
    <w:rsid w:val="00BB3AC4"/>
    <w:rsid w:val="00BB4999"/>
    <w:rsid w:val="00BB4BCD"/>
    <w:rsid w:val="00BB52EB"/>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110D"/>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87A"/>
    <w:rsid w:val="00BF4D3D"/>
    <w:rsid w:val="00BF5B8C"/>
    <w:rsid w:val="00BF66B7"/>
    <w:rsid w:val="00BF6A68"/>
    <w:rsid w:val="00BF6FC6"/>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20BD"/>
    <w:rsid w:val="00C1228D"/>
    <w:rsid w:val="00C13FED"/>
    <w:rsid w:val="00C14E7D"/>
    <w:rsid w:val="00C15722"/>
    <w:rsid w:val="00C16897"/>
    <w:rsid w:val="00C200C9"/>
    <w:rsid w:val="00C218FD"/>
    <w:rsid w:val="00C21D8E"/>
    <w:rsid w:val="00C22525"/>
    <w:rsid w:val="00C23DBB"/>
    <w:rsid w:val="00C23FE1"/>
    <w:rsid w:val="00C2410D"/>
    <w:rsid w:val="00C24BAF"/>
    <w:rsid w:val="00C25F8B"/>
    <w:rsid w:val="00C25FB5"/>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77800"/>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783B"/>
    <w:rsid w:val="00CF7D97"/>
    <w:rsid w:val="00CF7EEC"/>
    <w:rsid w:val="00D001C2"/>
    <w:rsid w:val="00D00779"/>
    <w:rsid w:val="00D009D8"/>
    <w:rsid w:val="00D012E1"/>
    <w:rsid w:val="00D01318"/>
    <w:rsid w:val="00D01665"/>
    <w:rsid w:val="00D01D1E"/>
    <w:rsid w:val="00D01DD6"/>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1F2D"/>
    <w:rsid w:val="00D2297E"/>
    <w:rsid w:val="00D22DE5"/>
    <w:rsid w:val="00D233BD"/>
    <w:rsid w:val="00D233D7"/>
    <w:rsid w:val="00D23CBB"/>
    <w:rsid w:val="00D25806"/>
    <w:rsid w:val="00D25E9D"/>
    <w:rsid w:val="00D25F1C"/>
    <w:rsid w:val="00D26DE6"/>
    <w:rsid w:val="00D26EE7"/>
    <w:rsid w:val="00D27B1E"/>
    <w:rsid w:val="00D30718"/>
    <w:rsid w:val="00D322FB"/>
    <w:rsid w:val="00D32475"/>
    <w:rsid w:val="00D32EF4"/>
    <w:rsid w:val="00D33F81"/>
    <w:rsid w:val="00D34850"/>
    <w:rsid w:val="00D35060"/>
    <w:rsid w:val="00D369D4"/>
    <w:rsid w:val="00D36AD7"/>
    <w:rsid w:val="00D373E9"/>
    <w:rsid w:val="00D37C61"/>
    <w:rsid w:val="00D403FF"/>
    <w:rsid w:val="00D404C4"/>
    <w:rsid w:val="00D40C02"/>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6916"/>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6D5"/>
    <w:rsid w:val="00D81E79"/>
    <w:rsid w:val="00D81FEA"/>
    <w:rsid w:val="00D825A5"/>
    <w:rsid w:val="00D825B7"/>
    <w:rsid w:val="00D8290E"/>
    <w:rsid w:val="00D82AD1"/>
    <w:rsid w:val="00D82E6E"/>
    <w:rsid w:val="00D83040"/>
    <w:rsid w:val="00D8323B"/>
    <w:rsid w:val="00D83489"/>
    <w:rsid w:val="00D83D13"/>
    <w:rsid w:val="00D841AC"/>
    <w:rsid w:val="00D8589D"/>
    <w:rsid w:val="00D85A81"/>
    <w:rsid w:val="00D86466"/>
    <w:rsid w:val="00D86997"/>
    <w:rsid w:val="00D870E8"/>
    <w:rsid w:val="00D87423"/>
    <w:rsid w:val="00D87452"/>
    <w:rsid w:val="00D87485"/>
    <w:rsid w:val="00D907CB"/>
    <w:rsid w:val="00D91BF2"/>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1D31"/>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6EE"/>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97"/>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4DB"/>
    <w:rsid w:val="00ED7966"/>
    <w:rsid w:val="00EE01CC"/>
    <w:rsid w:val="00EE04EE"/>
    <w:rsid w:val="00EE1760"/>
    <w:rsid w:val="00EE287D"/>
    <w:rsid w:val="00EE3B32"/>
    <w:rsid w:val="00EE3C53"/>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5112"/>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5C"/>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07"/>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1C5F"/>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192"/>
    <w:rsid w:val="00FA7699"/>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382"/>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491"/>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AA5"/>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1D401D"/>
  <w14:defaultImageDpi w14:val="330"/>
  <w15:docId w15:val="{00BA900F-B32C-4161-8B7D-20D37D04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rownlaw.govt.nz/assets/Uploads/Prosecution-Guidelines/Solicitor-Generals-Prosecution-Guidelines-2025.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nvironment.govt.nz/publications/wma-enforcement-decision-making-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hyperlink" Target="https://environment.govt.nz/publications/wma-enforcement-decision-making-polic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justice.govt.nz/about/lawyers-and-service-providers/criminal-procedure-act/charging-document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ECM-1122293896-87157</_dlc_DocId>
    <_dlc_DocIdUrl xmlns="58a6f171-52cb-4404-b47d-af1c8daf8fd1">
      <Url>https://ministryforenvironment.sharepoint.com/sites/ECM-ER-Comms/_layouts/15/DocIdRedir.aspx?ID=ECM-1122293896-87157</Url>
      <Description>ECM-1122293896-87157</Description>
    </_dlc_DocIdUrl>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3" ma:contentTypeDescription="Create a new document." ma:contentTypeScope="" ma:versionID="47b9c67e5e6210622ccaa916b2908ca0">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08f77810071e8ffec9d412bc41246377"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2.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3.xml><?xml version="1.0" encoding="utf-8"?>
<ds:datastoreItem xmlns:ds="http://schemas.openxmlformats.org/officeDocument/2006/customXml" ds:itemID="{7E59834F-087D-4EFC-917F-13D52320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5.xml><?xml version="1.0" encoding="utf-8"?>
<ds:datastoreItem xmlns:ds="http://schemas.openxmlformats.org/officeDocument/2006/customXml" ds:itemID="{4D0CDAC4-0417-4665-BFBD-38D6177B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MfE Publication template</Template>
  <TotalTime>12</TotalTime>
  <Pages>11</Pages>
  <Words>1564</Words>
  <Characters>8714</Characters>
  <Application>Microsoft Office Word</Application>
  <DocSecurity>0</DocSecurity>
  <Lines>198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Stirling</dc:creator>
  <cp:lastModifiedBy>Linda Stirling</cp:lastModifiedBy>
  <cp:revision>5</cp:revision>
  <dcterms:created xsi:type="dcterms:W3CDTF">2026-04-01T21:12:00Z</dcterms:created>
  <dcterms:modified xsi:type="dcterms:W3CDTF">2026-04-01T22:30:00Z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39aab402-9d19-4500-9174-d32c27980075</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ies>
</file>