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6370A1" w14:textId="07F7C623" w:rsidR="0003640E" w:rsidRPr="004A3CC2" w:rsidRDefault="00F46ED7" w:rsidP="001D6BE0">
      <w:pPr>
        <w:pStyle w:val="Subtitle"/>
      </w:pPr>
      <w:bookmarkStart w:id="0" w:name="_Hlk153438993"/>
      <w:bookmarkEnd w:id="0"/>
      <w:r>
        <w:rPr>
          <w:noProof/>
        </w:rPr>
        <w:drawing>
          <wp:anchor distT="0" distB="0" distL="114300" distR="114300" simplePos="0" relativeHeight="251658240" behindDoc="1" locked="1" layoutInCell="1" allowOverlap="1" wp14:anchorId="3CEF0E6B" wp14:editId="2BB91C73">
            <wp:simplePos x="0" y="0"/>
            <wp:positionH relativeFrom="page">
              <wp:align>left</wp:align>
            </wp:positionH>
            <wp:positionV relativeFrom="page">
              <wp:posOffset>13335</wp:posOffset>
            </wp:positionV>
            <wp:extent cx="7578725" cy="10721975"/>
            <wp:effectExtent l="0" t="0" r="3175" b="3175"/>
            <wp:wrapNone/>
            <wp:docPr id="422487716" name="Picture 422487716" descr="A blue and white squar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7716" name="Picture 1" descr="A blue and white square pattern&#10;&#10;Description automatically generated"/>
                    <pic:cNvPicPr/>
                  </pic:nvPicPr>
                  <pic:blipFill>
                    <a:blip r:embed="rId12"/>
                    <a:stretch>
                      <a:fillRect/>
                    </a:stretch>
                  </pic:blipFill>
                  <pic:spPr>
                    <a:xfrm>
                      <a:off x="0" y="0"/>
                      <a:ext cx="7578725" cy="10721975"/>
                    </a:xfrm>
                    <a:prstGeom prst="rect">
                      <a:avLst/>
                    </a:prstGeom>
                  </pic:spPr>
                </pic:pic>
              </a:graphicData>
            </a:graphic>
            <wp14:sizeRelH relativeFrom="margin">
              <wp14:pctWidth>0</wp14:pctWidth>
            </wp14:sizeRelH>
            <wp14:sizeRelV relativeFrom="margin">
              <wp14:pctHeight>0</wp14:pctHeight>
            </wp14:sizeRelV>
          </wp:anchor>
        </w:drawing>
      </w:r>
    </w:p>
    <w:p w14:paraId="04E4BD2D" w14:textId="65DE0007" w:rsidR="0080531E" w:rsidRPr="006B77BB" w:rsidRDefault="0080531E" w:rsidP="0003640E">
      <w:pPr>
        <w:pStyle w:val="BodyText"/>
      </w:pPr>
    </w:p>
    <w:p w14:paraId="0DF8C444" w14:textId="13BF8A20" w:rsidR="0003640E" w:rsidRPr="00E91D12" w:rsidRDefault="00F46ED7" w:rsidP="00E91D12">
      <w:pPr>
        <w:pStyle w:val="BodyText"/>
        <w:sectPr w:rsidR="0003640E" w:rsidRPr="00E91D12" w:rsidSect="00843700">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134" w:left="1701" w:header="567" w:footer="1134" w:gutter="0"/>
          <w:cols w:space="720"/>
        </w:sectPr>
      </w:pPr>
      <w:r>
        <w:rPr>
          <w:noProof/>
        </w:rPr>
        <mc:AlternateContent>
          <mc:Choice Requires="wps">
            <w:drawing>
              <wp:anchor distT="0" distB="0" distL="114300" distR="114300" simplePos="0" relativeHeight="251658241" behindDoc="0" locked="1" layoutInCell="1" allowOverlap="1" wp14:anchorId="3CC1D4F7" wp14:editId="595F4E80">
                <wp:simplePos x="0" y="0"/>
                <wp:positionH relativeFrom="page">
                  <wp:posOffset>464185</wp:posOffset>
                </wp:positionH>
                <wp:positionV relativeFrom="page">
                  <wp:posOffset>7237095</wp:posOffset>
                </wp:positionV>
                <wp:extent cx="5212800" cy="2289600"/>
                <wp:effectExtent l="0" t="0" r="0" b="0"/>
                <wp:wrapNone/>
                <wp:docPr id="1818024105" name="Text Box 1818024105"/>
                <wp:cNvGraphicFramePr/>
                <a:graphic xmlns:a="http://schemas.openxmlformats.org/drawingml/2006/main">
                  <a:graphicData uri="http://schemas.microsoft.com/office/word/2010/wordprocessingShape">
                    <wps:wsp>
                      <wps:cNvSpPr txBox="1"/>
                      <wps:spPr>
                        <a:xfrm>
                          <a:off x="0" y="0"/>
                          <a:ext cx="5212800" cy="2289600"/>
                        </a:xfrm>
                        <a:prstGeom prst="rect">
                          <a:avLst/>
                        </a:prstGeom>
                        <a:noFill/>
                        <a:ln w="6350">
                          <a:noFill/>
                        </a:ln>
                      </wps:spPr>
                      <wps:txbx>
                        <w:txbxContent>
                          <w:p w14:paraId="02365BCC" w14:textId="77777777" w:rsidR="001B407C" w:rsidRDefault="001B407C" w:rsidP="00616FDE">
                            <w:pPr>
                              <w:pStyle w:val="Title"/>
                              <w:rPr>
                                <w:b/>
                                <w:bCs/>
                              </w:rPr>
                            </w:pPr>
                            <w:proofErr w:type="spellStart"/>
                            <w:r w:rsidRPr="001B407C">
                              <w:rPr>
                                <w:b/>
                                <w:bCs/>
                              </w:rPr>
                              <w:t>Te</w:t>
                            </w:r>
                            <w:proofErr w:type="spellEnd"/>
                            <w:r w:rsidRPr="001B407C">
                              <w:rPr>
                                <w:b/>
                                <w:bCs/>
                              </w:rPr>
                              <w:t xml:space="preserve"> </w:t>
                            </w:r>
                            <w:proofErr w:type="spellStart"/>
                            <w:r w:rsidRPr="001B407C">
                              <w:rPr>
                                <w:b/>
                                <w:bCs/>
                              </w:rPr>
                              <w:t>arotakenga</w:t>
                            </w:r>
                            <w:proofErr w:type="spellEnd"/>
                            <w:r w:rsidRPr="001B407C">
                              <w:rPr>
                                <w:b/>
                                <w:bCs/>
                              </w:rPr>
                              <w:t xml:space="preserve"> o </w:t>
                            </w:r>
                            <w:proofErr w:type="spellStart"/>
                            <w:r w:rsidRPr="001B407C">
                              <w:rPr>
                                <w:b/>
                                <w:bCs/>
                              </w:rPr>
                              <w:t>te</w:t>
                            </w:r>
                            <w:proofErr w:type="spellEnd"/>
                            <w:r w:rsidRPr="001B407C">
                              <w:rPr>
                                <w:b/>
                                <w:bCs/>
                              </w:rPr>
                              <w:t xml:space="preserve"> </w:t>
                            </w:r>
                            <w:proofErr w:type="spellStart"/>
                            <w:r w:rsidRPr="001B407C">
                              <w:rPr>
                                <w:b/>
                                <w:bCs/>
                              </w:rPr>
                              <w:t>tōtika</w:t>
                            </w:r>
                            <w:proofErr w:type="spellEnd"/>
                            <w:r w:rsidRPr="001B407C">
                              <w:rPr>
                                <w:b/>
                                <w:bCs/>
                              </w:rPr>
                              <w:t xml:space="preserve"> o </w:t>
                            </w:r>
                            <w:proofErr w:type="spellStart"/>
                            <w:r w:rsidRPr="001B407C">
                              <w:rPr>
                                <w:b/>
                                <w:bCs/>
                              </w:rPr>
                              <w:t>te</w:t>
                            </w:r>
                            <w:proofErr w:type="spellEnd"/>
                            <w:r w:rsidRPr="001B407C">
                              <w:rPr>
                                <w:b/>
                                <w:bCs/>
                              </w:rPr>
                              <w:t xml:space="preserve"> utu </w:t>
                            </w:r>
                            <w:proofErr w:type="spellStart"/>
                            <w:r w:rsidRPr="001B407C">
                              <w:rPr>
                                <w:b/>
                                <w:bCs/>
                              </w:rPr>
                              <w:t>whakawātea</w:t>
                            </w:r>
                            <w:proofErr w:type="spellEnd"/>
                            <w:r w:rsidRPr="001B407C">
                              <w:rPr>
                                <w:b/>
                                <w:bCs/>
                              </w:rPr>
                              <w:t xml:space="preserve"> para</w:t>
                            </w:r>
                          </w:p>
                          <w:p w14:paraId="5E3FBE82" w14:textId="2CE5AD4E" w:rsidR="00F46ED7" w:rsidRPr="001B407C" w:rsidRDefault="00616FDE" w:rsidP="00616FDE">
                            <w:pPr>
                              <w:pStyle w:val="Title"/>
                            </w:pPr>
                            <w:r w:rsidRPr="001B407C">
                              <w:t>Review of the effectiveness of the waste disposal levy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1D4F7" id="_x0000_t202" coordsize="21600,21600" o:spt="202" path="m,l,21600r21600,l21600,xe">
                <v:stroke joinstyle="miter"/>
                <v:path gradientshapeok="t" o:connecttype="rect"/>
              </v:shapetype>
              <v:shape id="Text Box 1818024105" o:spid="_x0000_s1026" type="#_x0000_t202" style="position:absolute;margin-left:36.55pt;margin-top:569.85pt;width:410.45pt;height:180.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6jFwIAAC0EAAAOAAAAZHJzL2Uyb0RvYy54bWysU02P2jAQvVfqf7B8LwkpUDY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" filled="f" stroked="f" strokeweight=".5pt">
                <v:textbox>
                  <w:txbxContent>
                    <w:p w14:paraId="02365BCC" w14:textId="77777777" w:rsidR="001B407C" w:rsidRDefault="001B407C" w:rsidP="00616FDE">
                      <w:pPr>
                        <w:pStyle w:val="Title"/>
                        <w:rPr>
                          <w:b/>
                          <w:bCs/>
                        </w:rPr>
                      </w:pPr>
                      <w:proofErr w:type="spellStart"/>
                      <w:r w:rsidRPr="001B407C">
                        <w:rPr>
                          <w:b/>
                          <w:bCs/>
                        </w:rPr>
                        <w:t>Te</w:t>
                      </w:r>
                      <w:proofErr w:type="spellEnd"/>
                      <w:r w:rsidRPr="001B407C">
                        <w:rPr>
                          <w:b/>
                          <w:bCs/>
                        </w:rPr>
                        <w:t xml:space="preserve"> </w:t>
                      </w:r>
                      <w:proofErr w:type="spellStart"/>
                      <w:r w:rsidRPr="001B407C">
                        <w:rPr>
                          <w:b/>
                          <w:bCs/>
                        </w:rPr>
                        <w:t>arotakenga</w:t>
                      </w:r>
                      <w:proofErr w:type="spellEnd"/>
                      <w:r w:rsidRPr="001B407C">
                        <w:rPr>
                          <w:b/>
                          <w:bCs/>
                        </w:rPr>
                        <w:t xml:space="preserve"> o </w:t>
                      </w:r>
                      <w:proofErr w:type="spellStart"/>
                      <w:r w:rsidRPr="001B407C">
                        <w:rPr>
                          <w:b/>
                          <w:bCs/>
                        </w:rPr>
                        <w:t>te</w:t>
                      </w:r>
                      <w:proofErr w:type="spellEnd"/>
                      <w:r w:rsidRPr="001B407C">
                        <w:rPr>
                          <w:b/>
                          <w:bCs/>
                        </w:rPr>
                        <w:t xml:space="preserve"> </w:t>
                      </w:r>
                      <w:proofErr w:type="spellStart"/>
                      <w:r w:rsidRPr="001B407C">
                        <w:rPr>
                          <w:b/>
                          <w:bCs/>
                        </w:rPr>
                        <w:t>tōtika</w:t>
                      </w:r>
                      <w:proofErr w:type="spellEnd"/>
                      <w:r w:rsidRPr="001B407C">
                        <w:rPr>
                          <w:b/>
                          <w:bCs/>
                        </w:rPr>
                        <w:t xml:space="preserve"> o </w:t>
                      </w:r>
                      <w:proofErr w:type="spellStart"/>
                      <w:r w:rsidRPr="001B407C">
                        <w:rPr>
                          <w:b/>
                          <w:bCs/>
                        </w:rPr>
                        <w:t>te</w:t>
                      </w:r>
                      <w:proofErr w:type="spellEnd"/>
                      <w:r w:rsidRPr="001B407C">
                        <w:rPr>
                          <w:b/>
                          <w:bCs/>
                        </w:rPr>
                        <w:t xml:space="preserve"> utu </w:t>
                      </w:r>
                      <w:proofErr w:type="spellStart"/>
                      <w:r w:rsidRPr="001B407C">
                        <w:rPr>
                          <w:b/>
                          <w:bCs/>
                        </w:rPr>
                        <w:t>whakawātea</w:t>
                      </w:r>
                      <w:proofErr w:type="spellEnd"/>
                      <w:r w:rsidRPr="001B407C">
                        <w:rPr>
                          <w:b/>
                          <w:bCs/>
                        </w:rPr>
                        <w:t xml:space="preserve"> para</w:t>
                      </w:r>
                    </w:p>
                    <w:p w14:paraId="5E3FBE82" w14:textId="2CE5AD4E" w:rsidR="00F46ED7" w:rsidRPr="001B407C" w:rsidRDefault="00616FDE" w:rsidP="00616FDE">
                      <w:pPr>
                        <w:pStyle w:val="Title"/>
                      </w:pPr>
                      <w:r w:rsidRPr="001B407C">
                        <w:t>Review of the effectiveness of the waste disposal levy</w:t>
                      </w:r>
                    </w:p>
                  </w:txbxContent>
                </v:textbox>
                <w10:wrap anchorx="page" anchory="page"/>
                <w10:anchorlock/>
              </v:shape>
            </w:pict>
          </mc:Fallback>
        </mc:AlternateContent>
      </w:r>
    </w:p>
    <w:p w14:paraId="1B8E2F2F" w14:textId="25FCF99B" w:rsidR="00452EC4" w:rsidRPr="006B77BB" w:rsidRDefault="00452EC4" w:rsidP="00775F57">
      <w:pPr>
        <w:pStyle w:val="Imprint"/>
        <w:spacing w:before="0" w:after="0"/>
        <w:rPr>
          <w:b/>
        </w:rPr>
      </w:pPr>
      <w:r w:rsidRPr="006B77BB">
        <w:rPr>
          <w:b/>
        </w:rPr>
        <w:lastRenderedPageBreak/>
        <w:t>Disclaimer</w:t>
      </w:r>
    </w:p>
    <w:p w14:paraId="0F027B6E" w14:textId="0D2BC421"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6D45D2BF" w14:textId="77777777" w:rsidR="0059040D" w:rsidRDefault="0059040D" w:rsidP="00D01DD6">
      <w:pPr>
        <w:pStyle w:val="Bullet"/>
      </w:pPr>
      <w:r>
        <w:t xml:space="preserve">the information does not alter the laws of New Zealand, other official guidelines, or requirements </w:t>
      </w:r>
    </w:p>
    <w:p w14:paraId="2AB2D489" w14:textId="77777777"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29905C05" w14:textId="77777777" w:rsidR="0059040D" w:rsidRDefault="0059040D" w:rsidP="00D01DD6">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2226F3E6" w14:textId="77777777"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792D57D3" w14:textId="77777777" w:rsidR="00452EC4" w:rsidRPr="006B77BB" w:rsidRDefault="00452EC4" w:rsidP="00452EC4">
      <w:pPr>
        <w:pStyle w:val="Imprint"/>
      </w:pPr>
    </w:p>
    <w:p w14:paraId="5B8F2267" w14:textId="78E2CD02"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616FDE">
        <w:t>202</w:t>
      </w:r>
      <w:r w:rsidR="00D70645">
        <w:t>4</w:t>
      </w:r>
      <w:r w:rsidR="00775F57" w:rsidRPr="006B77BB">
        <w:t xml:space="preserve">. </w:t>
      </w:r>
      <w:r w:rsidR="00616FDE">
        <w:rPr>
          <w:i/>
        </w:rPr>
        <w:t>Review of the effectiveness of the waste disposal levy</w:t>
      </w:r>
      <w:r w:rsidR="00775F57" w:rsidRPr="006B77BB">
        <w:t>. Wellington: Ministry for the Environment.</w:t>
      </w:r>
    </w:p>
    <w:p w14:paraId="1D27A0DD" w14:textId="77777777" w:rsidR="00760C00" w:rsidRDefault="00760C00" w:rsidP="0080531E">
      <w:pPr>
        <w:pStyle w:val="Imprint"/>
      </w:pPr>
    </w:p>
    <w:p w14:paraId="1452F0CA" w14:textId="77777777" w:rsidR="00457135" w:rsidRDefault="00457135" w:rsidP="0080531E">
      <w:pPr>
        <w:pStyle w:val="Imprint"/>
      </w:pPr>
    </w:p>
    <w:p w14:paraId="4CEC3931" w14:textId="77777777" w:rsidR="00563317" w:rsidRDefault="00563317" w:rsidP="0080531E">
      <w:pPr>
        <w:pStyle w:val="Imprint"/>
      </w:pPr>
    </w:p>
    <w:p w14:paraId="1D5AF567" w14:textId="77777777" w:rsidR="00130A41" w:rsidRDefault="00130A41" w:rsidP="0080531E">
      <w:pPr>
        <w:pStyle w:val="Imprint"/>
      </w:pPr>
    </w:p>
    <w:p w14:paraId="458539C6" w14:textId="77777777" w:rsidR="00130A41" w:rsidRDefault="00130A41" w:rsidP="0080531E">
      <w:pPr>
        <w:pStyle w:val="Imprint"/>
      </w:pPr>
    </w:p>
    <w:p w14:paraId="6D68F28A" w14:textId="77777777" w:rsidR="00616FDE" w:rsidRDefault="00616FDE" w:rsidP="0080531E">
      <w:pPr>
        <w:pStyle w:val="Imprint"/>
      </w:pPr>
    </w:p>
    <w:p w14:paraId="632C2718" w14:textId="77777777" w:rsidR="00616FDE" w:rsidRDefault="00616FDE" w:rsidP="0080531E">
      <w:pPr>
        <w:pStyle w:val="Imprint"/>
      </w:pPr>
    </w:p>
    <w:p w14:paraId="70550A6E" w14:textId="77777777" w:rsidR="00616FDE" w:rsidRDefault="00616FDE" w:rsidP="0080531E">
      <w:pPr>
        <w:pStyle w:val="Imprint"/>
      </w:pPr>
    </w:p>
    <w:p w14:paraId="2306341A" w14:textId="77777777" w:rsidR="00457135" w:rsidRPr="006B77BB" w:rsidRDefault="00457135" w:rsidP="0080531E">
      <w:pPr>
        <w:pStyle w:val="Imprint"/>
      </w:pPr>
    </w:p>
    <w:p w14:paraId="400994C0" w14:textId="17F2678F" w:rsidR="0080531E" w:rsidRPr="006B77BB" w:rsidRDefault="0080531E" w:rsidP="0080531E">
      <w:pPr>
        <w:pStyle w:val="Imprint"/>
      </w:pPr>
      <w:r w:rsidRPr="006B77BB">
        <w:t xml:space="preserve">Published in </w:t>
      </w:r>
      <w:r w:rsidR="002561ED" w:rsidRPr="002561ED">
        <w:t>September</w:t>
      </w:r>
      <w:r w:rsidR="00616FDE" w:rsidRPr="002561ED">
        <w:t xml:space="preserve"> </w:t>
      </w:r>
      <w:r w:rsidR="00616FDE" w:rsidRPr="00D70645">
        <w:t>202</w:t>
      </w:r>
      <w:r w:rsidR="00D70645" w:rsidRPr="00D70645">
        <w:t>4</w:t>
      </w:r>
      <w:r w:rsidR="00616FDE">
        <w:t xml:space="preserve">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1201AD">
        <w:t>m</w:t>
      </w:r>
      <w:r w:rsidRPr="006B77BB">
        <w:t>ō</w:t>
      </w:r>
      <w:proofErr w:type="spellEnd"/>
      <w:r w:rsidRPr="006B77BB">
        <w:t xml:space="preserve"> </w:t>
      </w:r>
      <w:proofErr w:type="spellStart"/>
      <w:r w:rsidR="001201AD">
        <w:t>t</w:t>
      </w:r>
      <w:r w:rsidRPr="006B77BB">
        <w:t>e</w:t>
      </w:r>
      <w:proofErr w:type="spellEnd"/>
      <w:r w:rsidRPr="006B77BB">
        <w:t xml:space="preserve"> Taiao</w:t>
      </w:r>
      <w:r w:rsidRPr="006B77BB">
        <w:br/>
        <w:t>PO Box 10362, Wellington 6143, New Zealand</w:t>
      </w:r>
      <w:r w:rsidR="00F27E5C">
        <w:br/>
      </w:r>
      <w:hyperlink r:id="rId19" w:history="1">
        <w:r w:rsidR="00F27E5C" w:rsidRPr="005A5193">
          <w:rPr>
            <w:rStyle w:val="Hyperlink"/>
          </w:rPr>
          <w:t>environment.govt.nz</w:t>
        </w:r>
      </w:hyperlink>
    </w:p>
    <w:p w14:paraId="4A9C5248" w14:textId="57F9F7C2" w:rsidR="0080531E" w:rsidRPr="006B77BB" w:rsidRDefault="0080531E" w:rsidP="0080531E">
      <w:pPr>
        <w:pStyle w:val="Imprint"/>
        <w:tabs>
          <w:tab w:val="left" w:pos="720"/>
        </w:tabs>
        <w:ind w:left="720" w:hanging="720"/>
      </w:pPr>
      <w:r w:rsidRPr="006B77BB">
        <w:t xml:space="preserve">ISBN: </w:t>
      </w:r>
      <w:r w:rsidR="00DA26F0" w:rsidRPr="00DA26F0">
        <w:t>978-1-991140-33-3</w:t>
      </w:r>
      <w:r w:rsidRPr="006B77BB">
        <w:t xml:space="preserve"> (</w:t>
      </w:r>
      <w:r w:rsidR="00775F57" w:rsidRPr="006B77BB">
        <w:t>online</w:t>
      </w:r>
      <w:r w:rsidRPr="006B77BB">
        <w:t>)</w:t>
      </w:r>
    </w:p>
    <w:p w14:paraId="6A0D6766" w14:textId="6D9CED38" w:rsidR="0080531E" w:rsidRPr="006B77BB" w:rsidRDefault="0080531E" w:rsidP="0080531E">
      <w:pPr>
        <w:pStyle w:val="Imprint"/>
        <w:ind w:left="720" w:hanging="720"/>
      </w:pPr>
      <w:r w:rsidRPr="006B77BB">
        <w:t xml:space="preserve">Publication number: </w:t>
      </w:r>
      <w:r w:rsidRPr="0099221C">
        <w:t xml:space="preserve">ME </w:t>
      </w:r>
      <w:r w:rsidR="0099221C" w:rsidRPr="0099221C">
        <w:t>1844</w:t>
      </w:r>
    </w:p>
    <w:p w14:paraId="28A1C6B6" w14:textId="745D975A" w:rsidR="0080531E" w:rsidRPr="00A84FE1" w:rsidRDefault="0080531E" w:rsidP="00D70645">
      <w:pPr>
        <w:pStyle w:val="Imprint"/>
        <w:spacing w:after="80"/>
        <w:sectPr w:rsidR="0080531E" w:rsidRPr="00A84FE1" w:rsidSect="00843700">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r w:rsidRPr="006B77BB">
        <w:t xml:space="preserve">© Crown copyright New Zealand </w:t>
      </w:r>
      <w:r w:rsidR="00616FDE">
        <w:t>202</w:t>
      </w:r>
      <w:r w:rsidR="00D70645">
        <w:t>4</w:t>
      </w:r>
    </w:p>
    <w:p w14:paraId="615107BC" w14:textId="77777777" w:rsidR="0080531E" w:rsidRPr="00F06E0B" w:rsidRDefault="0080531E" w:rsidP="00585FD0">
      <w:pPr>
        <w:pStyle w:val="Heading"/>
      </w:pPr>
      <w:r w:rsidRPr="00F06E0B">
        <w:lastRenderedPageBreak/>
        <w:t>Contents</w:t>
      </w:r>
    </w:p>
    <w:p w14:paraId="56442E09" w14:textId="236AC6E0" w:rsidR="00E36721"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77022834" w:history="1">
        <w:r w:rsidR="00E36721" w:rsidRPr="00582C48">
          <w:rPr>
            <w:rStyle w:val="Hyperlink"/>
            <w:noProof/>
          </w:rPr>
          <w:t>Executive summary and recommendations</w:t>
        </w:r>
        <w:r w:rsidR="00E36721">
          <w:rPr>
            <w:noProof/>
            <w:webHidden/>
          </w:rPr>
          <w:tab/>
        </w:r>
        <w:r w:rsidR="00E36721">
          <w:rPr>
            <w:noProof/>
            <w:webHidden/>
          </w:rPr>
          <w:fldChar w:fldCharType="begin"/>
        </w:r>
        <w:r w:rsidR="00E36721">
          <w:rPr>
            <w:noProof/>
            <w:webHidden/>
          </w:rPr>
          <w:instrText xml:space="preserve"> PAGEREF _Toc177022834 \h </w:instrText>
        </w:r>
        <w:r w:rsidR="00E36721">
          <w:rPr>
            <w:noProof/>
            <w:webHidden/>
          </w:rPr>
        </w:r>
        <w:r w:rsidR="00E36721">
          <w:rPr>
            <w:noProof/>
            <w:webHidden/>
          </w:rPr>
          <w:fldChar w:fldCharType="separate"/>
        </w:r>
        <w:r w:rsidR="00CB71DB">
          <w:rPr>
            <w:noProof/>
            <w:webHidden/>
          </w:rPr>
          <w:t>4</w:t>
        </w:r>
        <w:r w:rsidR="00E36721">
          <w:rPr>
            <w:noProof/>
            <w:webHidden/>
          </w:rPr>
          <w:fldChar w:fldCharType="end"/>
        </w:r>
      </w:hyperlink>
    </w:p>
    <w:p w14:paraId="10A6FB8B" w14:textId="06A1FF69" w:rsidR="00E36721" w:rsidRDefault="00000000">
      <w:pPr>
        <w:pStyle w:val="TOC2"/>
        <w:rPr>
          <w:rFonts w:asciiTheme="minorHAnsi" w:hAnsiTheme="minorHAnsi"/>
          <w:noProof/>
          <w:kern w:val="2"/>
          <w:sz w:val="24"/>
          <w:szCs w:val="24"/>
          <w14:ligatures w14:val="standardContextual"/>
        </w:rPr>
      </w:pPr>
      <w:hyperlink w:anchor="_Toc177022835" w:history="1">
        <w:r w:rsidR="00E36721" w:rsidRPr="00582C48">
          <w:rPr>
            <w:rStyle w:val="Hyperlink"/>
            <w:noProof/>
          </w:rPr>
          <w:t>Recommendations</w:t>
        </w:r>
        <w:r w:rsidR="00E36721">
          <w:rPr>
            <w:noProof/>
            <w:webHidden/>
          </w:rPr>
          <w:tab/>
        </w:r>
        <w:r w:rsidR="00E36721">
          <w:rPr>
            <w:noProof/>
            <w:webHidden/>
          </w:rPr>
          <w:fldChar w:fldCharType="begin"/>
        </w:r>
        <w:r w:rsidR="00E36721">
          <w:rPr>
            <w:noProof/>
            <w:webHidden/>
          </w:rPr>
          <w:instrText xml:space="preserve"> PAGEREF _Toc177022835 \h </w:instrText>
        </w:r>
        <w:r w:rsidR="00E36721">
          <w:rPr>
            <w:noProof/>
            <w:webHidden/>
          </w:rPr>
        </w:r>
        <w:r w:rsidR="00E36721">
          <w:rPr>
            <w:noProof/>
            <w:webHidden/>
          </w:rPr>
          <w:fldChar w:fldCharType="separate"/>
        </w:r>
        <w:r w:rsidR="00CB71DB">
          <w:rPr>
            <w:noProof/>
            <w:webHidden/>
          </w:rPr>
          <w:t>4</w:t>
        </w:r>
        <w:r w:rsidR="00E36721">
          <w:rPr>
            <w:noProof/>
            <w:webHidden/>
          </w:rPr>
          <w:fldChar w:fldCharType="end"/>
        </w:r>
      </w:hyperlink>
    </w:p>
    <w:p w14:paraId="710CC907" w14:textId="78324FE9" w:rsidR="00E36721" w:rsidRDefault="00000000">
      <w:pPr>
        <w:pStyle w:val="TOC1"/>
        <w:rPr>
          <w:rFonts w:asciiTheme="minorHAnsi" w:hAnsiTheme="minorHAnsi"/>
          <w:noProof/>
          <w:kern w:val="2"/>
          <w:sz w:val="24"/>
          <w:szCs w:val="24"/>
          <w14:ligatures w14:val="standardContextual"/>
        </w:rPr>
      </w:pPr>
      <w:hyperlink w:anchor="_Toc177022836" w:history="1">
        <w:r w:rsidR="00E36721" w:rsidRPr="00582C48">
          <w:rPr>
            <w:rStyle w:val="Hyperlink"/>
            <w:noProof/>
          </w:rPr>
          <w:t>Background</w:t>
        </w:r>
        <w:r w:rsidR="00E36721">
          <w:rPr>
            <w:noProof/>
            <w:webHidden/>
          </w:rPr>
          <w:tab/>
        </w:r>
        <w:r w:rsidR="00E36721">
          <w:rPr>
            <w:noProof/>
            <w:webHidden/>
          </w:rPr>
          <w:fldChar w:fldCharType="begin"/>
        </w:r>
        <w:r w:rsidR="00E36721">
          <w:rPr>
            <w:noProof/>
            <w:webHidden/>
          </w:rPr>
          <w:instrText xml:space="preserve"> PAGEREF _Toc177022836 \h </w:instrText>
        </w:r>
        <w:r w:rsidR="00E36721">
          <w:rPr>
            <w:noProof/>
            <w:webHidden/>
          </w:rPr>
        </w:r>
        <w:r w:rsidR="00E36721">
          <w:rPr>
            <w:noProof/>
            <w:webHidden/>
          </w:rPr>
          <w:fldChar w:fldCharType="separate"/>
        </w:r>
        <w:r w:rsidR="00CB71DB">
          <w:rPr>
            <w:noProof/>
            <w:webHidden/>
          </w:rPr>
          <w:t>6</w:t>
        </w:r>
        <w:r w:rsidR="00E36721">
          <w:rPr>
            <w:noProof/>
            <w:webHidden/>
          </w:rPr>
          <w:fldChar w:fldCharType="end"/>
        </w:r>
      </w:hyperlink>
    </w:p>
    <w:p w14:paraId="128900F7" w14:textId="7C654276" w:rsidR="00E36721" w:rsidRDefault="00000000">
      <w:pPr>
        <w:pStyle w:val="TOC2"/>
        <w:rPr>
          <w:rFonts w:asciiTheme="minorHAnsi" w:hAnsiTheme="minorHAnsi"/>
          <w:noProof/>
          <w:kern w:val="2"/>
          <w:sz w:val="24"/>
          <w:szCs w:val="24"/>
          <w14:ligatures w14:val="standardContextual"/>
        </w:rPr>
      </w:pPr>
      <w:hyperlink w:anchor="_Toc177022837" w:history="1">
        <w:r w:rsidR="00E36721" w:rsidRPr="00582C48">
          <w:rPr>
            <w:rStyle w:val="Hyperlink"/>
            <w:noProof/>
          </w:rPr>
          <w:t>The waste disposal levy is a tool to minimise waste</w:t>
        </w:r>
        <w:r w:rsidR="00E36721">
          <w:rPr>
            <w:noProof/>
            <w:webHidden/>
          </w:rPr>
          <w:tab/>
        </w:r>
        <w:r w:rsidR="00E36721">
          <w:rPr>
            <w:noProof/>
            <w:webHidden/>
          </w:rPr>
          <w:fldChar w:fldCharType="begin"/>
        </w:r>
        <w:r w:rsidR="00E36721">
          <w:rPr>
            <w:noProof/>
            <w:webHidden/>
          </w:rPr>
          <w:instrText xml:space="preserve"> PAGEREF _Toc177022837 \h </w:instrText>
        </w:r>
        <w:r w:rsidR="00E36721">
          <w:rPr>
            <w:noProof/>
            <w:webHidden/>
          </w:rPr>
        </w:r>
        <w:r w:rsidR="00E36721">
          <w:rPr>
            <w:noProof/>
            <w:webHidden/>
          </w:rPr>
          <w:fldChar w:fldCharType="separate"/>
        </w:r>
        <w:r w:rsidR="00CB71DB">
          <w:rPr>
            <w:noProof/>
            <w:webHidden/>
          </w:rPr>
          <w:t>6</w:t>
        </w:r>
        <w:r w:rsidR="00E36721">
          <w:rPr>
            <w:noProof/>
            <w:webHidden/>
          </w:rPr>
          <w:fldChar w:fldCharType="end"/>
        </w:r>
      </w:hyperlink>
    </w:p>
    <w:p w14:paraId="2CF6BB1B" w14:textId="30667470" w:rsidR="00E36721" w:rsidRDefault="00000000">
      <w:pPr>
        <w:pStyle w:val="TOC2"/>
        <w:rPr>
          <w:rFonts w:asciiTheme="minorHAnsi" w:hAnsiTheme="minorHAnsi"/>
          <w:noProof/>
          <w:kern w:val="2"/>
          <w:sz w:val="24"/>
          <w:szCs w:val="24"/>
          <w14:ligatures w14:val="standardContextual"/>
        </w:rPr>
      </w:pPr>
      <w:hyperlink w:anchor="_Toc177022838" w:history="1">
        <w:r w:rsidR="00E36721" w:rsidRPr="00582C48">
          <w:rPr>
            <w:rStyle w:val="Hyperlink"/>
            <w:noProof/>
          </w:rPr>
          <w:t>Key changes to the levy were made in 2020</w:t>
        </w:r>
        <w:r w:rsidR="00E36721">
          <w:rPr>
            <w:noProof/>
            <w:webHidden/>
          </w:rPr>
          <w:tab/>
        </w:r>
        <w:r w:rsidR="00E36721">
          <w:rPr>
            <w:noProof/>
            <w:webHidden/>
          </w:rPr>
          <w:fldChar w:fldCharType="begin"/>
        </w:r>
        <w:r w:rsidR="00E36721">
          <w:rPr>
            <w:noProof/>
            <w:webHidden/>
          </w:rPr>
          <w:instrText xml:space="preserve"> PAGEREF _Toc177022838 \h </w:instrText>
        </w:r>
        <w:r w:rsidR="00E36721">
          <w:rPr>
            <w:noProof/>
            <w:webHidden/>
          </w:rPr>
        </w:r>
        <w:r w:rsidR="00E36721">
          <w:rPr>
            <w:noProof/>
            <w:webHidden/>
          </w:rPr>
          <w:fldChar w:fldCharType="separate"/>
        </w:r>
        <w:r w:rsidR="00CB71DB">
          <w:rPr>
            <w:noProof/>
            <w:webHidden/>
          </w:rPr>
          <w:t>7</w:t>
        </w:r>
        <w:r w:rsidR="00E36721">
          <w:rPr>
            <w:noProof/>
            <w:webHidden/>
          </w:rPr>
          <w:fldChar w:fldCharType="end"/>
        </w:r>
      </w:hyperlink>
    </w:p>
    <w:p w14:paraId="1074B734" w14:textId="22FDA6CD" w:rsidR="00E36721" w:rsidRDefault="00000000">
      <w:pPr>
        <w:pStyle w:val="TOC2"/>
        <w:rPr>
          <w:rFonts w:asciiTheme="minorHAnsi" w:hAnsiTheme="minorHAnsi"/>
          <w:noProof/>
          <w:kern w:val="2"/>
          <w:sz w:val="24"/>
          <w:szCs w:val="24"/>
          <w14:ligatures w14:val="standardContextual"/>
        </w:rPr>
      </w:pPr>
      <w:hyperlink w:anchor="_Toc177022839" w:history="1">
        <w:r w:rsidR="00E36721" w:rsidRPr="00582C48">
          <w:rPr>
            <w:rStyle w:val="Hyperlink"/>
            <w:noProof/>
          </w:rPr>
          <w:t>The Ministry has improved how it collects, administers and invests the levy</w:t>
        </w:r>
        <w:r w:rsidR="00E36721">
          <w:rPr>
            <w:noProof/>
            <w:webHidden/>
          </w:rPr>
          <w:tab/>
        </w:r>
        <w:r w:rsidR="00E36721">
          <w:rPr>
            <w:noProof/>
            <w:webHidden/>
          </w:rPr>
          <w:fldChar w:fldCharType="begin"/>
        </w:r>
        <w:r w:rsidR="00E36721">
          <w:rPr>
            <w:noProof/>
            <w:webHidden/>
          </w:rPr>
          <w:instrText xml:space="preserve"> PAGEREF _Toc177022839 \h </w:instrText>
        </w:r>
        <w:r w:rsidR="00E36721">
          <w:rPr>
            <w:noProof/>
            <w:webHidden/>
          </w:rPr>
        </w:r>
        <w:r w:rsidR="00E36721">
          <w:rPr>
            <w:noProof/>
            <w:webHidden/>
          </w:rPr>
          <w:fldChar w:fldCharType="separate"/>
        </w:r>
        <w:r w:rsidR="00CB71DB">
          <w:rPr>
            <w:noProof/>
            <w:webHidden/>
          </w:rPr>
          <w:t>9</w:t>
        </w:r>
        <w:r w:rsidR="00E36721">
          <w:rPr>
            <w:noProof/>
            <w:webHidden/>
          </w:rPr>
          <w:fldChar w:fldCharType="end"/>
        </w:r>
      </w:hyperlink>
    </w:p>
    <w:p w14:paraId="68A508CD" w14:textId="7D13C3FB" w:rsidR="00E36721" w:rsidRDefault="00000000">
      <w:pPr>
        <w:pStyle w:val="TOC1"/>
        <w:rPr>
          <w:rFonts w:asciiTheme="minorHAnsi" w:hAnsiTheme="minorHAnsi"/>
          <w:noProof/>
          <w:kern w:val="2"/>
          <w:sz w:val="24"/>
          <w:szCs w:val="24"/>
          <w14:ligatures w14:val="standardContextual"/>
        </w:rPr>
      </w:pPr>
      <w:hyperlink w:anchor="_Toc177022840" w:history="1">
        <w:r w:rsidR="00E36721" w:rsidRPr="00582C48">
          <w:rPr>
            <w:rStyle w:val="Hyperlink"/>
            <w:noProof/>
          </w:rPr>
          <w:t>Findings</w:t>
        </w:r>
        <w:r w:rsidR="00E36721">
          <w:rPr>
            <w:noProof/>
            <w:webHidden/>
          </w:rPr>
          <w:tab/>
        </w:r>
        <w:r w:rsidR="00E36721">
          <w:rPr>
            <w:noProof/>
            <w:webHidden/>
          </w:rPr>
          <w:fldChar w:fldCharType="begin"/>
        </w:r>
        <w:r w:rsidR="00E36721">
          <w:rPr>
            <w:noProof/>
            <w:webHidden/>
          </w:rPr>
          <w:instrText xml:space="preserve"> PAGEREF _Toc177022840 \h </w:instrText>
        </w:r>
        <w:r w:rsidR="00E36721">
          <w:rPr>
            <w:noProof/>
            <w:webHidden/>
          </w:rPr>
        </w:r>
        <w:r w:rsidR="00E36721">
          <w:rPr>
            <w:noProof/>
            <w:webHidden/>
          </w:rPr>
          <w:fldChar w:fldCharType="separate"/>
        </w:r>
        <w:r w:rsidR="00CB71DB">
          <w:rPr>
            <w:noProof/>
            <w:webHidden/>
          </w:rPr>
          <w:t>13</w:t>
        </w:r>
        <w:r w:rsidR="00E36721">
          <w:rPr>
            <w:noProof/>
            <w:webHidden/>
          </w:rPr>
          <w:fldChar w:fldCharType="end"/>
        </w:r>
      </w:hyperlink>
    </w:p>
    <w:p w14:paraId="1E4F822E" w14:textId="79441169" w:rsidR="00E36721" w:rsidRDefault="00000000">
      <w:pPr>
        <w:pStyle w:val="TOC2"/>
        <w:rPr>
          <w:rFonts w:asciiTheme="minorHAnsi" w:hAnsiTheme="minorHAnsi"/>
          <w:noProof/>
          <w:kern w:val="2"/>
          <w:sz w:val="24"/>
          <w:szCs w:val="24"/>
          <w14:ligatures w14:val="standardContextual"/>
        </w:rPr>
      </w:pPr>
      <w:hyperlink w:anchor="_Toc177022841" w:history="1">
        <w:r w:rsidR="00E36721" w:rsidRPr="00582C48">
          <w:rPr>
            <w:rStyle w:val="Hyperlink"/>
            <w:noProof/>
          </w:rPr>
          <w:t>Trends in waste disposal</w:t>
        </w:r>
        <w:r w:rsidR="00E36721">
          <w:rPr>
            <w:noProof/>
            <w:webHidden/>
          </w:rPr>
          <w:tab/>
        </w:r>
        <w:r w:rsidR="00E36721">
          <w:rPr>
            <w:noProof/>
            <w:webHidden/>
          </w:rPr>
          <w:fldChar w:fldCharType="begin"/>
        </w:r>
        <w:r w:rsidR="00E36721">
          <w:rPr>
            <w:noProof/>
            <w:webHidden/>
          </w:rPr>
          <w:instrText xml:space="preserve"> PAGEREF _Toc177022841 \h </w:instrText>
        </w:r>
        <w:r w:rsidR="00E36721">
          <w:rPr>
            <w:noProof/>
            <w:webHidden/>
          </w:rPr>
        </w:r>
        <w:r w:rsidR="00E36721">
          <w:rPr>
            <w:noProof/>
            <w:webHidden/>
          </w:rPr>
          <w:fldChar w:fldCharType="separate"/>
        </w:r>
        <w:r w:rsidR="00CB71DB">
          <w:rPr>
            <w:noProof/>
            <w:webHidden/>
          </w:rPr>
          <w:t>14</w:t>
        </w:r>
        <w:r w:rsidR="00E36721">
          <w:rPr>
            <w:noProof/>
            <w:webHidden/>
          </w:rPr>
          <w:fldChar w:fldCharType="end"/>
        </w:r>
      </w:hyperlink>
    </w:p>
    <w:p w14:paraId="6B41F327" w14:textId="71CF8864" w:rsidR="00E36721" w:rsidRDefault="00000000">
      <w:pPr>
        <w:pStyle w:val="TOC2"/>
        <w:rPr>
          <w:rFonts w:asciiTheme="minorHAnsi" w:hAnsiTheme="minorHAnsi"/>
          <w:noProof/>
          <w:kern w:val="2"/>
          <w:sz w:val="24"/>
          <w:szCs w:val="24"/>
          <w14:ligatures w14:val="standardContextual"/>
        </w:rPr>
      </w:pPr>
      <w:hyperlink w:anchor="_Toc177022842" w:history="1">
        <w:r w:rsidR="00E36721" w:rsidRPr="00582C48">
          <w:rPr>
            <w:rStyle w:val="Hyperlink"/>
            <w:noProof/>
          </w:rPr>
          <w:t>Trends in reuse, recycling and recovery</w:t>
        </w:r>
        <w:r w:rsidR="00E36721">
          <w:rPr>
            <w:noProof/>
            <w:webHidden/>
          </w:rPr>
          <w:tab/>
        </w:r>
        <w:r w:rsidR="00E36721">
          <w:rPr>
            <w:noProof/>
            <w:webHidden/>
          </w:rPr>
          <w:fldChar w:fldCharType="begin"/>
        </w:r>
        <w:r w:rsidR="00E36721">
          <w:rPr>
            <w:noProof/>
            <w:webHidden/>
          </w:rPr>
          <w:instrText xml:space="preserve"> PAGEREF _Toc177022842 \h </w:instrText>
        </w:r>
        <w:r w:rsidR="00E36721">
          <w:rPr>
            <w:noProof/>
            <w:webHidden/>
          </w:rPr>
        </w:r>
        <w:r w:rsidR="00E36721">
          <w:rPr>
            <w:noProof/>
            <w:webHidden/>
          </w:rPr>
          <w:fldChar w:fldCharType="separate"/>
        </w:r>
        <w:r w:rsidR="00CB71DB">
          <w:rPr>
            <w:noProof/>
            <w:webHidden/>
          </w:rPr>
          <w:t>16</w:t>
        </w:r>
        <w:r w:rsidR="00E36721">
          <w:rPr>
            <w:noProof/>
            <w:webHidden/>
          </w:rPr>
          <w:fldChar w:fldCharType="end"/>
        </w:r>
      </w:hyperlink>
    </w:p>
    <w:p w14:paraId="5C1A1434" w14:textId="632EC368" w:rsidR="00E36721" w:rsidRDefault="00000000">
      <w:pPr>
        <w:pStyle w:val="TOC2"/>
        <w:rPr>
          <w:rFonts w:asciiTheme="minorHAnsi" w:hAnsiTheme="minorHAnsi"/>
          <w:noProof/>
          <w:kern w:val="2"/>
          <w:sz w:val="24"/>
          <w:szCs w:val="24"/>
          <w14:ligatures w14:val="standardContextual"/>
        </w:rPr>
      </w:pPr>
      <w:hyperlink w:anchor="_Toc177022843" w:history="1">
        <w:r w:rsidR="00E36721" w:rsidRPr="00582C48">
          <w:rPr>
            <w:rStyle w:val="Hyperlink"/>
            <w:noProof/>
          </w:rPr>
          <w:t>Achieving waste minimisation through investment of the levy</w:t>
        </w:r>
        <w:r w:rsidR="00E36721">
          <w:rPr>
            <w:noProof/>
            <w:webHidden/>
          </w:rPr>
          <w:tab/>
        </w:r>
        <w:r w:rsidR="00E36721">
          <w:rPr>
            <w:noProof/>
            <w:webHidden/>
          </w:rPr>
          <w:fldChar w:fldCharType="begin"/>
        </w:r>
        <w:r w:rsidR="00E36721">
          <w:rPr>
            <w:noProof/>
            <w:webHidden/>
          </w:rPr>
          <w:instrText xml:space="preserve"> PAGEREF _Toc177022843 \h </w:instrText>
        </w:r>
        <w:r w:rsidR="00E36721">
          <w:rPr>
            <w:noProof/>
            <w:webHidden/>
          </w:rPr>
        </w:r>
        <w:r w:rsidR="00E36721">
          <w:rPr>
            <w:noProof/>
            <w:webHidden/>
          </w:rPr>
          <w:fldChar w:fldCharType="separate"/>
        </w:r>
        <w:r w:rsidR="00CB71DB">
          <w:rPr>
            <w:noProof/>
            <w:webHidden/>
          </w:rPr>
          <w:t>22</w:t>
        </w:r>
        <w:r w:rsidR="00E36721">
          <w:rPr>
            <w:noProof/>
            <w:webHidden/>
          </w:rPr>
          <w:fldChar w:fldCharType="end"/>
        </w:r>
      </w:hyperlink>
    </w:p>
    <w:p w14:paraId="6F86049A" w14:textId="7E23980A" w:rsidR="00E36721" w:rsidRDefault="00000000">
      <w:pPr>
        <w:pStyle w:val="TOC1"/>
        <w:rPr>
          <w:rFonts w:asciiTheme="minorHAnsi" w:hAnsiTheme="minorHAnsi"/>
          <w:noProof/>
          <w:kern w:val="2"/>
          <w:sz w:val="24"/>
          <w:szCs w:val="24"/>
          <w14:ligatures w14:val="standardContextual"/>
        </w:rPr>
      </w:pPr>
      <w:hyperlink w:anchor="_Toc177022844" w:history="1">
        <w:r w:rsidR="00E36721" w:rsidRPr="00582C48">
          <w:rPr>
            <w:rStyle w:val="Hyperlink"/>
            <w:noProof/>
          </w:rPr>
          <w:t>Discussion</w:t>
        </w:r>
        <w:r w:rsidR="00E36721">
          <w:rPr>
            <w:noProof/>
            <w:webHidden/>
          </w:rPr>
          <w:tab/>
        </w:r>
        <w:r w:rsidR="00E36721">
          <w:rPr>
            <w:noProof/>
            <w:webHidden/>
          </w:rPr>
          <w:fldChar w:fldCharType="begin"/>
        </w:r>
        <w:r w:rsidR="00E36721">
          <w:rPr>
            <w:noProof/>
            <w:webHidden/>
          </w:rPr>
          <w:instrText xml:space="preserve"> PAGEREF _Toc177022844 \h </w:instrText>
        </w:r>
        <w:r w:rsidR="00E36721">
          <w:rPr>
            <w:noProof/>
            <w:webHidden/>
          </w:rPr>
        </w:r>
        <w:r w:rsidR="00E36721">
          <w:rPr>
            <w:noProof/>
            <w:webHidden/>
          </w:rPr>
          <w:fldChar w:fldCharType="separate"/>
        </w:r>
        <w:r w:rsidR="00CB71DB">
          <w:rPr>
            <w:noProof/>
            <w:webHidden/>
          </w:rPr>
          <w:t>28</w:t>
        </w:r>
        <w:r w:rsidR="00E36721">
          <w:rPr>
            <w:noProof/>
            <w:webHidden/>
          </w:rPr>
          <w:fldChar w:fldCharType="end"/>
        </w:r>
      </w:hyperlink>
    </w:p>
    <w:p w14:paraId="036B6F80" w14:textId="1EDF7CA1" w:rsidR="00E36721" w:rsidRDefault="00000000">
      <w:pPr>
        <w:pStyle w:val="TOC2"/>
        <w:rPr>
          <w:rFonts w:asciiTheme="minorHAnsi" w:hAnsiTheme="minorHAnsi"/>
          <w:noProof/>
          <w:kern w:val="2"/>
          <w:sz w:val="24"/>
          <w:szCs w:val="24"/>
          <w14:ligatures w14:val="standardContextual"/>
        </w:rPr>
      </w:pPr>
      <w:hyperlink w:anchor="_Toc177022845" w:history="1">
        <w:r w:rsidR="00E36721" w:rsidRPr="00582C48">
          <w:rPr>
            <w:rStyle w:val="Hyperlink"/>
            <w:noProof/>
          </w:rPr>
          <w:t>Domestic policies can support waste reduction and recycling – but it remains strongly influenced by global conditions</w:t>
        </w:r>
        <w:r w:rsidR="00E36721">
          <w:rPr>
            <w:noProof/>
            <w:webHidden/>
          </w:rPr>
          <w:tab/>
        </w:r>
        <w:r w:rsidR="00E36721">
          <w:rPr>
            <w:noProof/>
            <w:webHidden/>
          </w:rPr>
          <w:fldChar w:fldCharType="begin"/>
        </w:r>
        <w:r w:rsidR="00E36721">
          <w:rPr>
            <w:noProof/>
            <w:webHidden/>
          </w:rPr>
          <w:instrText xml:space="preserve"> PAGEREF _Toc177022845 \h </w:instrText>
        </w:r>
        <w:r w:rsidR="00E36721">
          <w:rPr>
            <w:noProof/>
            <w:webHidden/>
          </w:rPr>
        </w:r>
        <w:r w:rsidR="00E36721">
          <w:rPr>
            <w:noProof/>
            <w:webHidden/>
          </w:rPr>
          <w:fldChar w:fldCharType="separate"/>
        </w:r>
        <w:r w:rsidR="00CB71DB">
          <w:rPr>
            <w:noProof/>
            <w:webHidden/>
          </w:rPr>
          <w:t>28</w:t>
        </w:r>
        <w:r w:rsidR="00E36721">
          <w:rPr>
            <w:noProof/>
            <w:webHidden/>
          </w:rPr>
          <w:fldChar w:fldCharType="end"/>
        </w:r>
      </w:hyperlink>
    </w:p>
    <w:p w14:paraId="4BA1362D" w14:textId="096292E9" w:rsidR="00E36721" w:rsidRDefault="00000000">
      <w:pPr>
        <w:pStyle w:val="TOC1"/>
        <w:rPr>
          <w:rFonts w:asciiTheme="minorHAnsi" w:hAnsiTheme="minorHAnsi"/>
          <w:noProof/>
          <w:kern w:val="2"/>
          <w:sz w:val="24"/>
          <w:szCs w:val="24"/>
          <w14:ligatures w14:val="standardContextual"/>
        </w:rPr>
      </w:pPr>
      <w:hyperlink w:anchor="_Toc177022846" w:history="1">
        <w:r w:rsidR="00E36721" w:rsidRPr="00582C48">
          <w:rPr>
            <w:rStyle w:val="Hyperlink"/>
            <w:noProof/>
          </w:rPr>
          <w:t>Conclusions and recommendations</w:t>
        </w:r>
        <w:r w:rsidR="00E36721">
          <w:rPr>
            <w:noProof/>
            <w:webHidden/>
          </w:rPr>
          <w:tab/>
        </w:r>
        <w:r w:rsidR="00E36721">
          <w:rPr>
            <w:noProof/>
            <w:webHidden/>
          </w:rPr>
          <w:fldChar w:fldCharType="begin"/>
        </w:r>
        <w:r w:rsidR="00E36721">
          <w:rPr>
            <w:noProof/>
            <w:webHidden/>
          </w:rPr>
          <w:instrText xml:space="preserve"> PAGEREF _Toc177022846 \h </w:instrText>
        </w:r>
        <w:r w:rsidR="00E36721">
          <w:rPr>
            <w:noProof/>
            <w:webHidden/>
          </w:rPr>
        </w:r>
        <w:r w:rsidR="00E36721">
          <w:rPr>
            <w:noProof/>
            <w:webHidden/>
          </w:rPr>
          <w:fldChar w:fldCharType="separate"/>
        </w:r>
        <w:r w:rsidR="00CB71DB">
          <w:rPr>
            <w:noProof/>
            <w:webHidden/>
          </w:rPr>
          <w:t>36</w:t>
        </w:r>
        <w:r w:rsidR="00E36721">
          <w:rPr>
            <w:noProof/>
            <w:webHidden/>
          </w:rPr>
          <w:fldChar w:fldCharType="end"/>
        </w:r>
      </w:hyperlink>
    </w:p>
    <w:p w14:paraId="02A82A6D" w14:textId="6F290BA7" w:rsidR="00E36721" w:rsidRDefault="00000000">
      <w:pPr>
        <w:pStyle w:val="TOC2"/>
        <w:rPr>
          <w:rFonts w:asciiTheme="minorHAnsi" w:hAnsiTheme="minorHAnsi"/>
          <w:noProof/>
          <w:kern w:val="2"/>
          <w:sz w:val="24"/>
          <w:szCs w:val="24"/>
          <w14:ligatures w14:val="standardContextual"/>
        </w:rPr>
      </w:pPr>
      <w:hyperlink w:anchor="_Toc177022847" w:history="1">
        <w:r w:rsidR="00E36721" w:rsidRPr="00582C48">
          <w:rPr>
            <w:rStyle w:val="Hyperlink"/>
            <w:noProof/>
          </w:rPr>
          <w:t>Recommendations</w:t>
        </w:r>
        <w:r w:rsidR="00E36721">
          <w:rPr>
            <w:noProof/>
            <w:webHidden/>
          </w:rPr>
          <w:tab/>
        </w:r>
        <w:r w:rsidR="00E36721">
          <w:rPr>
            <w:noProof/>
            <w:webHidden/>
          </w:rPr>
          <w:fldChar w:fldCharType="begin"/>
        </w:r>
        <w:r w:rsidR="00E36721">
          <w:rPr>
            <w:noProof/>
            <w:webHidden/>
          </w:rPr>
          <w:instrText xml:space="preserve"> PAGEREF _Toc177022847 \h </w:instrText>
        </w:r>
        <w:r w:rsidR="00E36721">
          <w:rPr>
            <w:noProof/>
            <w:webHidden/>
          </w:rPr>
        </w:r>
        <w:r w:rsidR="00E36721">
          <w:rPr>
            <w:noProof/>
            <w:webHidden/>
          </w:rPr>
          <w:fldChar w:fldCharType="separate"/>
        </w:r>
        <w:r w:rsidR="00CB71DB">
          <w:rPr>
            <w:noProof/>
            <w:webHidden/>
          </w:rPr>
          <w:t>36</w:t>
        </w:r>
        <w:r w:rsidR="00E36721">
          <w:rPr>
            <w:noProof/>
            <w:webHidden/>
          </w:rPr>
          <w:fldChar w:fldCharType="end"/>
        </w:r>
      </w:hyperlink>
    </w:p>
    <w:p w14:paraId="0870556B" w14:textId="2BEC02D9" w:rsidR="00E36721" w:rsidRDefault="00000000">
      <w:pPr>
        <w:pStyle w:val="TOC1"/>
        <w:rPr>
          <w:rFonts w:asciiTheme="minorHAnsi" w:hAnsiTheme="minorHAnsi"/>
          <w:noProof/>
          <w:kern w:val="2"/>
          <w:sz w:val="24"/>
          <w:szCs w:val="24"/>
          <w14:ligatures w14:val="standardContextual"/>
        </w:rPr>
      </w:pPr>
      <w:hyperlink w:anchor="_Toc177022848" w:history="1">
        <w:r w:rsidR="00E36721" w:rsidRPr="00582C48">
          <w:rPr>
            <w:rStyle w:val="Hyperlink"/>
            <w:noProof/>
          </w:rPr>
          <w:t>References</w:t>
        </w:r>
        <w:r w:rsidR="00E36721">
          <w:rPr>
            <w:noProof/>
            <w:webHidden/>
          </w:rPr>
          <w:tab/>
        </w:r>
        <w:r w:rsidR="00E36721">
          <w:rPr>
            <w:noProof/>
            <w:webHidden/>
          </w:rPr>
          <w:fldChar w:fldCharType="begin"/>
        </w:r>
        <w:r w:rsidR="00E36721">
          <w:rPr>
            <w:noProof/>
            <w:webHidden/>
          </w:rPr>
          <w:instrText xml:space="preserve"> PAGEREF _Toc177022848 \h </w:instrText>
        </w:r>
        <w:r w:rsidR="00E36721">
          <w:rPr>
            <w:noProof/>
            <w:webHidden/>
          </w:rPr>
        </w:r>
        <w:r w:rsidR="00E36721">
          <w:rPr>
            <w:noProof/>
            <w:webHidden/>
          </w:rPr>
          <w:fldChar w:fldCharType="separate"/>
        </w:r>
        <w:r w:rsidR="00CB71DB">
          <w:rPr>
            <w:noProof/>
            <w:webHidden/>
          </w:rPr>
          <w:t>37</w:t>
        </w:r>
        <w:r w:rsidR="00E36721">
          <w:rPr>
            <w:noProof/>
            <w:webHidden/>
          </w:rPr>
          <w:fldChar w:fldCharType="end"/>
        </w:r>
      </w:hyperlink>
    </w:p>
    <w:p w14:paraId="1090EF85" w14:textId="588997BA" w:rsidR="0080531E" w:rsidRPr="006B77BB" w:rsidRDefault="00775F57" w:rsidP="002B4778">
      <w:pPr>
        <w:pStyle w:val="Glossary"/>
      </w:pPr>
      <w:r w:rsidRPr="006B77BB">
        <w:rPr>
          <w:color w:val="0092CF"/>
        </w:rPr>
        <w:fldChar w:fldCharType="end"/>
      </w:r>
    </w:p>
    <w:p w14:paraId="23418880" w14:textId="77777777" w:rsidR="00796A6F" w:rsidRPr="00554B30" w:rsidRDefault="00796A6F" w:rsidP="00554B30">
      <w:r w:rsidRPr="00554B30">
        <w:br w:type="page"/>
      </w:r>
    </w:p>
    <w:p w14:paraId="241E5F68" w14:textId="77777777" w:rsidR="00532334" w:rsidRPr="006B77BB" w:rsidRDefault="00532334" w:rsidP="00585FD0">
      <w:pPr>
        <w:pStyle w:val="Heading"/>
      </w:pPr>
      <w:r w:rsidRPr="006B77BB">
        <w:lastRenderedPageBreak/>
        <w:t>Tables</w:t>
      </w:r>
    </w:p>
    <w:p w14:paraId="07482410" w14:textId="0E47113B" w:rsidR="00E36721"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77022849" w:history="1">
        <w:r w:rsidR="00E36721" w:rsidRPr="00807E67">
          <w:rPr>
            <w:rStyle w:val="Hyperlink"/>
            <w:noProof/>
          </w:rPr>
          <w:t xml:space="preserve">Table 1: </w:t>
        </w:r>
        <w:r w:rsidR="00E36721">
          <w:rPr>
            <w:rFonts w:asciiTheme="minorHAnsi" w:hAnsiTheme="minorHAnsi"/>
            <w:noProof/>
            <w:kern w:val="2"/>
            <w:sz w:val="24"/>
            <w:szCs w:val="24"/>
            <w14:ligatures w14:val="standardContextual"/>
          </w:rPr>
          <w:tab/>
        </w:r>
        <w:r w:rsidR="00E36721" w:rsidRPr="00807E67">
          <w:rPr>
            <w:rStyle w:val="Hyperlink"/>
            <w:noProof/>
          </w:rPr>
          <w:t>Levy rates and coverage</w:t>
        </w:r>
        <w:r w:rsidR="00E36721">
          <w:rPr>
            <w:noProof/>
            <w:webHidden/>
          </w:rPr>
          <w:tab/>
        </w:r>
        <w:r w:rsidR="00E36721">
          <w:rPr>
            <w:noProof/>
            <w:webHidden/>
          </w:rPr>
          <w:fldChar w:fldCharType="begin"/>
        </w:r>
        <w:r w:rsidR="00E36721">
          <w:rPr>
            <w:noProof/>
            <w:webHidden/>
          </w:rPr>
          <w:instrText xml:space="preserve"> PAGEREF _Toc177022849 \h </w:instrText>
        </w:r>
        <w:r w:rsidR="00E36721">
          <w:rPr>
            <w:noProof/>
            <w:webHidden/>
          </w:rPr>
        </w:r>
        <w:r w:rsidR="00E36721">
          <w:rPr>
            <w:noProof/>
            <w:webHidden/>
          </w:rPr>
          <w:fldChar w:fldCharType="separate"/>
        </w:r>
        <w:r w:rsidR="00CB71DB">
          <w:rPr>
            <w:noProof/>
            <w:webHidden/>
          </w:rPr>
          <w:t>7</w:t>
        </w:r>
        <w:r w:rsidR="00E36721">
          <w:rPr>
            <w:noProof/>
            <w:webHidden/>
          </w:rPr>
          <w:fldChar w:fldCharType="end"/>
        </w:r>
      </w:hyperlink>
    </w:p>
    <w:p w14:paraId="759C2186" w14:textId="36C346E5"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0" w:history="1">
        <w:r w:rsidR="00E36721" w:rsidRPr="00807E67">
          <w:rPr>
            <w:rStyle w:val="Hyperlink"/>
            <w:noProof/>
          </w:rPr>
          <w:t xml:space="preserve">Table 2: </w:t>
        </w:r>
        <w:r w:rsidR="00E36721">
          <w:rPr>
            <w:rFonts w:asciiTheme="minorHAnsi" w:hAnsiTheme="minorHAnsi"/>
            <w:noProof/>
            <w:kern w:val="2"/>
            <w:sz w:val="24"/>
            <w:szCs w:val="24"/>
            <w14:ligatures w14:val="standardContextual"/>
          </w:rPr>
          <w:tab/>
        </w:r>
        <w:r w:rsidR="00E36721" w:rsidRPr="00807E67">
          <w:rPr>
            <w:rStyle w:val="Hyperlink"/>
            <w:noProof/>
          </w:rPr>
          <w:t>Levy funds administered by the Ministry for the Environment</w:t>
        </w:r>
        <w:r w:rsidR="00E36721">
          <w:rPr>
            <w:noProof/>
            <w:webHidden/>
          </w:rPr>
          <w:tab/>
        </w:r>
        <w:r w:rsidR="00E36721">
          <w:rPr>
            <w:noProof/>
            <w:webHidden/>
          </w:rPr>
          <w:fldChar w:fldCharType="begin"/>
        </w:r>
        <w:r w:rsidR="00E36721">
          <w:rPr>
            <w:noProof/>
            <w:webHidden/>
          </w:rPr>
          <w:instrText xml:space="preserve"> PAGEREF _Toc177022850 \h </w:instrText>
        </w:r>
        <w:r w:rsidR="00E36721">
          <w:rPr>
            <w:noProof/>
            <w:webHidden/>
          </w:rPr>
        </w:r>
        <w:r w:rsidR="00E36721">
          <w:rPr>
            <w:noProof/>
            <w:webHidden/>
          </w:rPr>
          <w:fldChar w:fldCharType="separate"/>
        </w:r>
        <w:r w:rsidR="00CB71DB">
          <w:rPr>
            <w:noProof/>
            <w:webHidden/>
          </w:rPr>
          <w:t>9</w:t>
        </w:r>
        <w:r w:rsidR="00E36721">
          <w:rPr>
            <w:noProof/>
            <w:webHidden/>
          </w:rPr>
          <w:fldChar w:fldCharType="end"/>
        </w:r>
      </w:hyperlink>
    </w:p>
    <w:p w14:paraId="01BEF5DD" w14:textId="2F078A90"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1" w:history="1">
        <w:r w:rsidR="00E36721" w:rsidRPr="00807E67">
          <w:rPr>
            <w:rStyle w:val="Hyperlink"/>
            <w:noProof/>
          </w:rPr>
          <w:t xml:space="preserve">Table 3: </w:t>
        </w:r>
        <w:r w:rsidR="00E36721">
          <w:rPr>
            <w:rFonts w:asciiTheme="minorHAnsi" w:hAnsiTheme="minorHAnsi"/>
            <w:noProof/>
            <w:kern w:val="2"/>
            <w:sz w:val="24"/>
            <w:szCs w:val="24"/>
            <w14:ligatures w14:val="standardContextual"/>
          </w:rPr>
          <w:tab/>
        </w:r>
        <w:r w:rsidR="00E36721" w:rsidRPr="00807E67">
          <w:rPr>
            <w:rStyle w:val="Hyperlink"/>
            <w:noProof/>
          </w:rPr>
          <w:t>Changes to how the Ministry for the Environment administers waste minimisation funds</w:t>
        </w:r>
        <w:r w:rsidR="00E36721">
          <w:rPr>
            <w:noProof/>
            <w:webHidden/>
          </w:rPr>
          <w:tab/>
        </w:r>
        <w:r w:rsidR="00E36721">
          <w:rPr>
            <w:noProof/>
            <w:webHidden/>
          </w:rPr>
          <w:fldChar w:fldCharType="begin"/>
        </w:r>
        <w:r w:rsidR="00E36721">
          <w:rPr>
            <w:noProof/>
            <w:webHidden/>
          </w:rPr>
          <w:instrText xml:space="preserve"> PAGEREF _Toc177022851 \h </w:instrText>
        </w:r>
        <w:r w:rsidR="00E36721">
          <w:rPr>
            <w:noProof/>
            <w:webHidden/>
          </w:rPr>
        </w:r>
        <w:r w:rsidR="00E36721">
          <w:rPr>
            <w:noProof/>
            <w:webHidden/>
          </w:rPr>
          <w:fldChar w:fldCharType="separate"/>
        </w:r>
        <w:r w:rsidR="00CB71DB">
          <w:rPr>
            <w:noProof/>
            <w:webHidden/>
          </w:rPr>
          <w:t>10</w:t>
        </w:r>
        <w:r w:rsidR="00E36721">
          <w:rPr>
            <w:noProof/>
            <w:webHidden/>
          </w:rPr>
          <w:fldChar w:fldCharType="end"/>
        </w:r>
      </w:hyperlink>
    </w:p>
    <w:p w14:paraId="15EACD38" w14:textId="79448AD9"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2" w:history="1">
        <w:r w:rsidR="00E36721" w:rsidRPr="00807E67">
          <w:rPr>
            <w:rStyle w:val="Hyperlink"/>
            <w:noProof/>
          </w:rPr>
          <w:t xml:space="preserve">Table 4: </w:t>
        </w:r>
        <w:r w:rsidR="00E36721">
          <w:rPr>
            <w:rFonts w:asciiTheme="minorHAnsi" w:hAnsiTheme="minorHAnsi"/>
            <w:noProof/>
            <w:kern w:val="2"/>
            <w:sz w:val="24"/>
            <w:szCs w:val="24"/>
            <w14:ligatures w14:val="standardContextual"/>
          </w:rPr>
          <w:tab/>
        </w:r>
        <w:r w:rsidR="00E36721" w:rsidRPr="00807E67">
          <w:rPr>
            <w:rStyle w:val="Hyperlink"/>
            <w:noProof/>
          </w:rPr>
          <w:t>Total gross, diverted and net tonnages of waste at levied waste disposal facilities (class 1 facilities) for the 2020 and 2023 review periods</w:t>
        </w:r>
        <w:r w:rsidR="00E36721">
          <w:rPr>
            <w:noProof/>
            <w:webHidden/>
          </w:rPr>
          <w:tab/>
        </w:r>
        <w:r w:rsidR="00E36721">
          <w:rPr>
            <w:noProof/>
            <w:webHidden/>
          </w:rPr>
          <w:fldChar w:fldCharType="begin"/>
        </w:r>
        <w:r w:rsidR="00E36721">
          <w:rPr>
            <w:noProof/>
            <w:webHidden/>
          </w:rPr>
          <w:instrText xml:space="preserve"> PAGEREF _Toc177022852 \h </w:instrText>
        </w:r>
        <w:r w:rsidR="00E36721">
          <w:rPr>
            <w:noProof/>
            <w:webHidden/>
          </w:rPr>
        </w:r>
        <w:r w:rsidR="00E36721">
          <w:rPr>
            <w:noProof/>
            <w:webHidden/>
          </w:rPr>
          <w:fldChar w:fldCharType="separate"/>
        </w:r>
        <w:r w:rsidR="00CB71DB">
          <w:rPr>
            <w:noProof/>
            <w:webHidden/>
          </w:rPr>
          <w:t>14</w:t>
        </w:r>
        <w:r w:rsidR="00E36721">
          <w:rPr>
            <w:noProof/>
            <w:webHidden/>
          </w:rPr>
          <w:fldChar w:fldCharType="end"/>
        </w:r>
      </w:hyperlink>
    </w:p>
    <w:p w14:paraId="6BCF9E15" w14:textId="40AB1109"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3" w:history="1">
        <w:r w:rsidR="00E36721" w:rsidRPr="00807E67">
          <w:rPr>
            <w:rStyle w:val="Hyperlink"/>
            <w:noProof/>
          </w:rPr>
          <w:t xml:space="preserve">Table 5: </w:t>
        </w:r>
        <w:r w:rsidR="00E36721">
          <w:rPr>
            <w:rFonts w:asciiTheme="minorHAnsi" w:hAnsiTheme="minorHAnsi"/>
            <w:noProof/>
            <w:kern w:val="2"/>
            <w:sz w:val="24"/>
            <w:szCs w:val="24"/>
            <w14:ligatures w14:val="standardContextual"/>
          </w:rPr>
          <w:tab/>
        </w:r>
        <w:r w:rsidR="00E36721" w:rsidRPr="00807E67">
          <w:rPr>
            <w:rStyle w:val="Hyperlink"/>
            <w:noProof/>
          </w:rPr>
          <w:t>Net kilograms of waste per capita disposed of at municipal landfills (class 1) for the 2020 and 2023 review periods</w:t>
        </w:r>
        <w:r w:rsidR="00E36721">
          <w:rPr>
            <w:noProof/>
            <w:webHidden/>
          </w:rPr>
          <w:tab/>
        </w:r>
        <w:r w:rsidR="00E36721">
          <w:rPr>
            <w:noProof/>
            <w:webHidden/>
          </w:rPr>
          <w:fldChar w:fldCharType="begin"/>
        </w:r>
        <w:r w:rsidR="00E36721">
          <w:rPr>
            <w:noProof/>
            <w:webHidden/>
          </w:rPr>
          <w:instrText xml:space="preserve"> PAGEREF _Toc177022853 \h </w:instrText>
        </w:r>
        <w:r w:rsidR="00E36721">
          <w:rPr>
            <w:noProof/>
            <w:webHidden/>
          </w:rPr>
        </w:r>
        <w:r w:rsidR="00E36721">
          <w:rPr>
            <w:noProof/>
            <w:webHidden/>
          </w:rPr>
          <w:fldChar w:fldCharType="separate"/>
        </w:r>
        <w:r w:rsidR="00CB71DB">
          <w:rPr>
            <w:noProof/>
            <w:webHidden/>
          </w:rPr>
          <w:t>14</w:t>
        </w:r>
        <w:r w:rsidR="00E36721">
          <w:rPr>
            <w:noProof/>
            <w:webHidden/>
          </w:rPr>
          <w:fldChar w:fldCharType="end"/>
        </w:r>
      </w:hyperlink>
    </w:p>
    <w:p w14:paraId="16F07A13" w14:textId="6970AA37"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4" w:history="1">
        <w:r w:rsidR="00E36721" w:rsidRPr="00807E67">
          <w:rPr>
            <w:rStyle w:val="Hyperlink"/>
            <w:noProof/>
          </w:rPr>
          <w:t xml:space="preserve">Table 6: </w:t>
        </w:r>
        <w:r w:rsidR="00E36721">
          <w:rPr>
            <w:rFonts w:asciiTheme="minorHAnsi" w:hAnsiTheme="minorHAnsi"/>
            <w:noProof/>
            <w:kern w:val="2"/>
            <w:sz w:val="24"/>
            <w:szCs w:val="24"/>
            <w14:ligatures w14:val="standardContextual"/>
          </w:rPr>
          <w:tab/>
        </w:r>
        <w:r w:rsidR="00E36721" w:rsidRPr="00807E67">
          <w:rPr>
            <w:rStyle w:val="Hyperlink"/>
            <w:noProof/>
          </w:rPr>
          <w:t>Annual tonnage of recycled commodities for Aotearoa New Zealand, from 2018 and 2021 reports</w:t>
        </w:r>
        <w:r w:rsidR="00E36721">
          <w:rPr>
            <w:noProof/>
            <w:webHidden/>
          </w:rPr>
          <w:tab/>
        </w:r>
        <w:r w:rsidR="00E36721">
          <w:rPr>
            <w:noProof/>
            <w:webHidden/>
          </w:rPr>
          <w:fldChar w:fldCharType="begin"/>
        </w:r>
        <w:r w:rsidR="00E36721">
          <w:rPr>
            <w:noProof/>
            <w:webHidden/>
          </w:rPr>
          <w:instrText xml:space="preserve"> PAGEREF _Toc177022854 \h </w:instrText>
        </w:r>
        <w:r w:rsidR="00E36721">
          <w:rPr>
            <w:noProof/>
            <w:webHidden/>
          </w:rPr>
        </w:r>
        <w:r w:rsidR="00E36721">
          <w:rPr>
            <w:noProof/>
            <w:webHidden/>
          </w:rPr>
          <w:fldChar w:fldCharType="separate"/>
        </w:r>
        <w:r w:rsidR="00CB71DB">
          <w:rPr>
            <w:noProof/>
            <w:webHidden/>
          </w:rPr>
          <w:t>17</w:t>
        </w:r>
        <w:r w:rsidR="00E36721">
          <w:rPr>
            <w:noProof/>
            <w:webHidden/>
          </w:rPr>
          <w:fldChar w:fldCharType="end"/>
        </w:r>
      </w:hyperlink>
    </w:p>
    <w:p w14:paraId="2287FADA" w14:textId="6BCC3398"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5" w:history="1">
        <w:r w:rsidR="00E36721" w:rsidRPr="00807E67">
          <w:rPr>
            <w:rStyle w:val="Hyperlink"/>
            <w:noProof/>
          </w:rPr>
          <w:t xml:space="preserve">Table 7: </w:t>
        </w:r>
        <w:r w:rsidR="00E36721">
          <w:rPr>
            <w:rFonts w:asciiTheme="minorHAnsi" w:hAnsiTheme="minorHAnsi"/>
            <w:noProof/>
            <w:kern w:val="2"/>
            <w:sz w:val="24"/>
            <w:szCs w:val="24"/>
            <w14:ligatures w14:val="standardContextual"/>
          </w:rPr>
          <w:tab/>
        </w:r>
        <w:r w:rsidR="00E36721" w:rsidRPr="00807E67">
          <w:rPr>
            <w:rStyle w:val="Hyperlink"/>
            <w:noProof/>
          </w:rPr>
          <w:t>Reported quantities of waste material received by transfer stations and the activity that generated the waste (where stated) (for the 2022 calendar year)</w:t>
        </w:r>
        <w:r w:rsidR="00E36721">
          <w:rPr>
            <w:noProof/>
            <w:webHidden/>
          </w:rPr>
          <w:tab/>
        </w:r>
        <w:r w:rsidR="00E36721">
          <w:rPr>
            <w:noProof/>
            <w:webHidden/>
          </w:rPr>
          <w:fldChar w:fldCharType="begin"/>
        </w:r>
        <w:r w:rsidR="00E36721">
          <w:rPr>
            <w:noProof/>
            <w:webHidden/>
          </w:rPr>
          <w:instrText xml:space="preserve"> PAGEREF _Toc177022855 \h </w:instrText>
        </w:r>
        <w:r w:rsidR="00E36721">
          <w:rPr>
            <w:noProof/>
            <w:webHidden/>
          </w:rPr>
        </w:r>
        <w:r w:rsidR="00E36721">
          <w:rPr>
            <w:noProof/>
            <w:webHidden/>
          </w:rPr>
          <w:fldChar w:fldCharType="separate"/>
        </w:r>
        <w:r w:rsidR="00CB71DB">
          <w:rPr>
            <w:noProof/>
            <w:webHidden/>
          </w:rPr>
          <w:t>19</w:t>
        </w:r>
        <w:r w:rsidR="00E36721">
          <w:rPr>
            <w:noProof/>
            <w:webHidden/>
          </w:rPr>
          <w:fldChar w:fldCharType="end"/>
        </w:r>
      </w:hyperlink>
    </w:p>
    <w:p w14:paraId="55AF4FC4" w14:textId="7FAB3AE8"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6" w:history="1">
        <w:r w:rsidR="00E36721" w:rsidRPr="00807E67">
          <w:rPr>
            <w:rStyle w:val="Hyperlink"/>
            <w:noProof/>
          </w:rPr>
          <w:t xml:space="preserve">Table 8: </w:t>
        </w:r>
        <w:r w:rsidR="00E36721">
          <w:rPr>
            <w:rFonts w:asciiTheme="minorHAnsi" w:hAnsiTheme="minorHAnsi"/>
            <w:noProof/>
            <w:kern w:val="2"/>
            <w:sz w:val="24"/>
            <w:szCs w:val="24"/>
            <w14:ligatures w14:val="standardContextual"/>
          </w:rPr>
          <w:tab/>
        </w:r>
        <w:r w:rsidR="00E36721" w:rsidRPr="00807E67">
          <w:rPr>
            <w:rStyle w:val="Hyperlink"/>
            <w:noProof/>
          </w:rPr>
          <w:t>Reported quantities sent by transfer stations to recycling or disposal (tonnes) (where specified) (for the 2022 calendar year)</w:t>
        </w:r>
        <w:r w:rsidR="00E36721">
          <w:rPr>
            <w:noProof/>
            <w:webHidden/>
          </w:rPr>
          <w:tab/>
        </w:r>
        <w:r w:rsidR="00E36721">
          <w:rPr>
            <w:noProof/>
            <w:webHidden/>
          </w:rPr>
          <w:fldChar w:fldCharType="begin"/>
        </w:r>
        <w:r w:rsidR="00E36721">
          <w:rPr>
            <w:noProof/>
            <w:webHidden/>
          </w:rPr>
          <w:instrText xml:space="preserve"> PAGEREF _Toc177022856 \h </w:instrText>
        </w:r>
        <w:r w:rsidR="00E36721">
          <w:rPr>
            <w:noProof/>
            <w:webHidden/>
          </w:rPr>
        </w:r>
        <w:r w:rsidR="00E36721">
          <w:rPr>
            <w:noProof/>
            <w:webHidden/>
          </w:rPr>
          <w:fldChar w:fldCharType="separate"/>
        </w:r>
        <w:r w:rsidR="00CB71DB">
          <w:rPr>
            <w:noProof/>
            <w:webHidden/>
          </w:rPr>
          <w:t>20</w:t>
        </w:r>
        <w:r w:rsidR="00E36721">
          <w:rPr>
            <w:noProof/>
            <w:webHidden/>
          </w:rPr>
          <w:fldChar w:fldCharType="end"/>
        </w:r>
      </w:hyperlink>
    </w:p>
    <w:p w14:paraId="4193F27C" w14:textId="11368BE4"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7" w:history="1">
        <w:r w:rsidR="00E36721" w:rsidRPr="00807E67">
          <w:rPr>
            <w:rStyle w:val="Hyperlink"/>
            <w:noProof/>
          </w:rPr>
          <w:t xml:space="preserve">Table 9: </w:t>
        </w:r>
        <w:r w:rsidR="00E36721">
          <w:rPr>
            <w:rFonts w:asciiTheme="minorHAnsi" w:hAnsiTheme="minorHAnsi"/>
            <w:noProof/>
            <w:kern w:val="2"/>
            <w:sz w:val="24"/>
            <w:szCs w:val="24"/>
            <w14:ligatures w14:val="standardContextual"/>
          </w:rPr>
          <w:tab/>
        </w:r>
        <w:r w:rsidR="00E36721" w:rsidRPr="00807E67">
          <w:rPr>
            <w:rStyle w:val="Hyperlink"/>
            <w:noProof/>
          </w:rPr>
          <w:t>Summary of WMF and PIF funding (2020 to 2022)</w:t>
        </w:r>
        <w:r w:rsidR="00E36721">
          <w:rPr>
            <w:noProof/>
            <w:webHidden/>
          </w:rPr>
          <w:tab/>
        </w:r>
        <w:r w:rsidR="00E36721">
          <w:rPr>
            <w:noProof/>
            <w:webHidden/>
          </w:rPr>
          <w:fldChar w:fldCharType="begin"/>
        </w:r>
        <w:r w:rsidR="00E36721">
          <w:rPr>
            <w:noProof/>
            <w:webHidden/>
          </w:rPr>
          <w:instrText xml:space="preserve"> PAGEREF _Toc177022857 \h </w:instrText>
        </w:r>
        <w:r w:rsidR="00E36721">
          <w:rPr>
            <w:noProof/>
            <w:webHidden/>
          </w:rPr>
        </w:r>
        <w:r w:rsidR="00E36721">
          <w:rPr>
            <w:noProof/>
            <w:webHidden/>
          </w:rPr>
          <w:fldChar w:fldCharType="separate"/>
        </w:r>
        <w:r w:rsidR="00CB71DB">
          <w:rPr>
            <w:noProof/>
            <w:webHidden/>
          </w:rPr>
          <w:t>23</w:t>
        </w:r>
        <w:r w:rsidR="00E36721">
          <w:rPr>
            <w:noProof/>
            <w:webHidden/>
          </w:rPr>
          <w:fldChar w:fldCharType="end"/>
        </w:r>
      </w:hyperlink>
    </w:p>
    <w:p w14:paraId="63CA688B" w14:textId="6909087B"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8" w:history="1">
        <w:r w:rsidR="00E36721" w:rsidRPr="00807E67">
          <w:rPr>
            <w:rStyle w:val="Hyperlink"/>
            <w:noProof/>
          </w:rPr>
          <w:t xml:space="preserve">Table 10: </w:t>
        </w:r>
        <w:r w:rsidR="00E36721">
          <w:rPr>
            <w:rFonts w:asciiTheme="minorHAnsi" w:hAnsiTheme="minorHAnsi"/>
            <w:noProof/>
            <w:kern w:val="2"/>
            <w:sz w:val="24"/>
            <w:szCs w:val="24"/>
            <w14:ligatures w14:val="standardContextual"/>
          </w:rPr>
          <w:tab/>
        </w:r>
        <w:r w:rsidR="00E36721" w:rsidRPr="00807E67">
          <w:rPr>
            <w:rStyle w:val="Hyperlink"/>
            <w:noProof/>
          </w:rPr>
          <w:t>Spread of investments by funding amount (PIF and WMF, 2020 to 2022)</w:t>
        </w:r>
        <w:r w:rsidR="00E36721">
          <w:rPr>
            <w:noProof/>
            <w:webHidden/>
          </w:rPr>
          <w:tab/>
        </w:r>
        <w:r w:rsidR="00E36721">
          <w:rPr>
            <w:noProof/>
            <w:webHidden/>
          </w:rPr>
          <w:fldChar w:fldCharType="begin"/>
        </w:r>
        <w:r w:rsidR="00E36721">
          <w:rPr>
            <w:noProof/>
            <w:webHidden/>
          </w:rPr>
          <w:instrText xml:space="preserve"> PAGEREF _Toc177022858 \h </w:instrText>
        </w:r>
        <w:r w:rsidR="00E36721">
          <w:rPr>
            <w:noProof/>
            <w:webHidden/>
          </w:rPr>
        </w:r>
        <w:r w:rsidR="00E36721">
          <w:rPr>
            <w:noProof/>
            <w:webHidden/>
          </w:rPr>
          <w:fldChar w:fldCharType="separate"/>
        </w:r>
        <w:r w:rsidR="00CB71DB">
          <w:rPr>
            <w:noProof/>
            <w:webHidden/>
          </w:rPr>
          <w:t>23</w:t>
        </w:r>
        <w:r w:rsidR="00E36721">
          <w:rPr>
            <w:noProof/>
            <w:webHidden/>
          </w:rPr>
          <w:fldChar w:fldCharType="end"/>
        </w:r>
      </w:hyperlink>
    </w:p>
    <w:p w14:paraId="6719931B" w14:textId="329463FD"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59" w:history="1">
        <w:r w:rsidR="00E36721" w:rsidRPr="00807E67">
          <w:rPr>
            <w:rStyle w:val="Hyperlink"/>
            <w:noProof/>
          </w:rPr>
          <w:t xml:space="preserve">Table 11: </w:t>
        </w:r>
        <w:r w:rsidR="00E36721">
          <w:rPr>
            <w:rFonts w:asciiTheme="minorHAnsi" w:hAnsiTheme="minorHAnsi"/>
            <w:noProof/>
            <w:kern w:val="2"/>
            <w:sz w:val="24"/>
            <w:szCs w:val="24"/>
            <w14:ligatures w14:val="standardContextual"/>
          </w:rPr>
          <w:tab/>
        </w:r>
        <w:r w:rsidR="00E36721" w:rsidRPr="00807E67">
          <w:rPr>
            <w:rStyle w:val="Hyperlink"/>
            <w:noProof/>
          </w:rPr>
          <w:t>Examples of how funded projects have supported strategic priorities and work programmes</w:t>
        </w:r>
        <w:r w:rsidR="00E36721">
          <w:rPr>
            <w:noProof/>
            <w:webHidden/>
          </w:rPr>
          <w:tab/>
        </w:r>
        <w:r w:rsidR="00E36721">
          <w:rPr>
            <w:noProof/>
            <w:webHidden/>
          </w:rPr>
          <w:fldChar w:fldCharType="begin"/>
        </w:r>
        <w:r w:rsidR="00E36721">
          <w:rPr>
            <w:noProof/>
            <w:webHidden/>
          </w:rPr>
          <w:instrText xml:space="preserve"> PAGEREF _Toc177022859 \h </w:instrText>
        </w:r>
        <w:r w:rsidR="00E36721">
          <w:rPr>
            <w:noProof/>
            <w:webHidden/>
          </w:rPr>
        </w:r>
        <w:r w:rsidR="00E36721">
          <w:rPr>
            <w:noProof/>
            <w:webHidden/>
          </w:rPr>
          <w:fldChar w:fldCharType="separate"/>
        </w:r>
        <w:r w:rsidR="00CB71DB">
          <w:rPr>
            <w:noProof/>
            <w:webHidden/>
          </w:rPr>
          <w:t>24</w:t>
        </w:r>
        <w:r w:rsidR="00E36721">
          <w:rPr>
            <w:noProof/>
            <w:webHidden/>
          </w:rPr>
          <w:fldChar w:fldCharType="end"/>
        </w:r>
      </w:hyperlink>
    </w:p>
    <w:p w14:paraId="5B2D6140" w14:textId="703753DF"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60" w:history="1">
        <w:r w:rsidR="00E36721" w:rsidRPr="00807E67">
          <w:rPr>
            <w:rStyle w:val="Hyperlink"/>
            <w:noProof/>
          </w:rPr>
          <w:t xml:space="preserve">Table 12: </w:t>
        </w:r>
        <w:r w:rsidR="00E36721">
          <w:rPr>
            <w:rFonts w:asciiTheme="minorHAnsi" w:hAnsiTheme="minorHAnsi"/>
            <w:noProof/>
            <w:kern w:val="2"/>
            <w:sz w:val="24"/>
            <w:szCs w:val="24"/>
            <w14:ligatures w14:val="standardContextual"/>
          </w:rPr>
          <w:tab/>
        </w:r>
        <w:r w:rsidR="00E36721" w:rsidRPr="00807E67">
          <w:rPr>
            <w:rStyle w:val="Hyperlink"/>
            <w:noProof/>
          </w:rPr>
          <w:t>Reported spending areas for territorial authorities’ share of levy funds</w:t>
        </w:r>
        <w:r w:rsidR="00E36721">
          <w:rPr>
            <w:noProof/>
            <w:webHidden/>
          </w:rPr>
          <w:tab/>
        </w:r>
        <w:r w:rsidR="00E36721">
          <w:rPr>
            <w:noProof/>
            <w:webHidden/>
          </w:rPr>
          <w:fldChar w:fldCharType="begin"/>
        </w:r>
        <w:r w:rsidR="00E36721">
          <w:rPr>
            <w:noProof/>
            <w:webHidden/>
          </w:rPr>
          <w:instrText xml:space="preserve"> PAGEREF _Toc177022860 \h </w:instrText>
        </w:r>
        <w:r w:rsidR="00E36721">
          <w:rPr>
            <w:noProof/>
            <w:webHidden/>
          </w:rPr>
        </w:r>
        <w:r w:rsidR="00E36721">
          <w:rPr>
            <w:noProof/>
            <w:webHidden/>
          </w:rPr>
          <w:fldChar w:fldCharType="separate"/>
        </w:r>
        <w:r w:rsidR="00CB71DB">
          <w:rPr>
            <w:noProof/>
            <w:webHidden/>
          </w:rPr>
          <w:t>27</w:t>
        </w:r>
        <w:r w:rsidR="00E36721">
          <w:rPr>
            <w:noProof/>
            <w:webHidden/>
          </w:rPr>
          <w:fldChar w:fldCharType="end"/>
        </w:r>
      </w:hyperlink>
    </w:p>
    <w:p w14:paraId="76F8CA69" w14:textId="17EED681"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61" w:history="1">
        <w:r w:rsidR="00E36721" w:rsidRPr="00807E67">
          <w:rPr>
            <w:rStyle w:val="Hyperlink"/>
            <w:noProof/>
          </w:rPr>
          <w:t xml:space="preserve">Table 13: </w:t>
        </w:r>
        <w:r w:rsidR="00E36721">
          <w:rPr>
            <w:rFonts w:asciiTheme="minorHAnsi" w:hAnsiTheme="minorHAnsi"/>
            <w:noProof/>
            <w:kern w:val="2"/>
            <w:sz w:val="24"/>
            <w:szCs w:val="24"/>
            <w14:ligatures w14:val="standardContextual"/>
          </w:rPr>
          <w:tab/>
        </w:r>
        <w:r w:rsidR="00E36721" w:rsidRPr="00807E67">
          <w:rPr>
            <w:rStyle w:val="Hyperlink"/>
            <w:noProof/>
          </w:rPr>
          <w:t>Factors influencing Aotearoa New Zealand recycling between 2020 and 2023</w:t>
        </w:r>
        <w:r w:rsidR="00E36721">
          <w:rPr>
            <w:noProof/>
            <w:webHidden/>
          </w:rPr>
          <w:tab/>
        </w:r>
        <w:r w:rsidR="00E36721">
          <w:rPr>
            <w:noProof/>
            <w:webHidden/>
          </w:rPr>
          <w:fldChar w:fldCharType="begin"/>
        </w:r>
        <w:r w:rsidR="00E36721">
          <w:rPr>
            <w:noProof/>
            <w:webHidden/>
          </w:rPr>
          <w:instrText xml:space="preserve"> PAGEREF _Toc177022861 \h </w:instrText>
        </w:r>
        <w:r w:rsidR="00E36721">
          <w:rPr>
            <w:noProof/>
            <w:webHidden/>
          </w:rPr>
        </w:r>
        <w:r w:rsidR="00E36721">
          <w:rPr>
            <w:noProof/>
            <w:webHidden/>
          </w:rPr>
          <w:fldChar w:fldCharType="separate"/>
        </w:r>
        <w:r w:rsidR="00CB71DB">
          <w:rPr>
            <w:noProof/>
            <w:webHidden/>
          </w:rPr>
          <w:t>29</w:t>
        </w:r>
        <w:r w:rsidR="00E36721">
          <w:rPr>
            <w:noProof/>
            <w:webHidden/>
          </w:rPr>
          <w:fldChar w:fldCharType="end"/>
        </w:r>
      </w:hyperlink>
    </w:p>
    <w:p w14:paraId="417A0924" w14:textId="2A3FBA45"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62" w:history="1">
        <w:r w:rsidR="00E36721" w:rsidRPr="00807E67">
          <w:rPr>
            <w:rStyle w:val="Hyperlink"/>
            <w:noProof/>
          </w:rPr>
          <w:t xml:space="preserve">Table 14: </w:t>
        </w:r>
        <w:r w:rsidR="00E36721">
          <w:rPr>
            <w:rFonts w:asciiTheme="minorHAnsi" w:hAnsiTheme="minorHAnsi"/>
            <w:noProof/>
            <w:kern w:val="2"/>
            <w:sz w:val="24"/>
            <w:szCs w:val="24"/>
            <w14:ligatures w14:val="standardContextual"/>
          </w:rPr>
          <w:tab/>
        </w:r>
        <w:r w:rsidR="00E36721" w:rsidRPr="00807E67">
          <w:rPr>
            <w:rStyle w:val="Hyperlink"/>
            <w:noProof/>
          </w:rPr>
          <w:t>Status of topics identified in previous levy reviews and Cabinet decisions related to the waste disposal levy</w:t>
        </w:r>
        <w:r w:rsidR="00E36721">
          <w:rPr>
            <w:noProof/>
            <w:webHidden/>
          </w:rPr>
          <w:tab/>
        </w:r>
        <w:r w:rsidR="00E36721">
          <w:rPr>
            <w:noProof/>
            <w:webHidden/>
          </w:rPr>
          <w:fldChar w:fldCharType="begin"/>
        </w:r>
        <w:r w:rsidR="00E36721">
          <w:rPr>
            <w:noProof/>
            <w:webHidden/>
          </w:rPr>
          <w:instrText xml:space="preserve"> PAGEREF _Toc177022862 \h </w:instrText>
        </w:r>
        <w:r w:rsidR="00E36721">
          <w:rPr>
            <w:noProof/>
            <w:webHidden/>
          </w:rPr>
        </w:r>
        <w:r w:rsidR="00E36721">
          <w:rPr>
            <w:noProof/>
            <w:webHidden/>
          </w:rPr>
          <w:fldChar w:fldCharType="separate"/>
        </w:r>
        <w:r w:rsidR="00CB71DB">
          <w:rPr>
            <w:noProof/>
            <w:webHidden/>
          </w:rPr>
          <w:t>32</w:t>
        </w:r>
        <w:r w:rsidR="00E36721">
          <w:rPr>
            <w:noProof/>
            <w:webHidden/>
          </w:rPr>
          <w:fldChar w:fldCharType="end"/>
        </w:r>
      </w:hyperlink>
    </w:p>
    <w:p w14:paraId="546A80E4" w14:textId="01BD929B" w:rsidR="00532334" w:rsidRPr="006B77BB" w:rsidRDefault="004943C2" w:rsidP="00D51469">
      <w:pPr>
        <w:pStyle w:val="BodyText"/>
      </w:pPr>
      <w:r w:rsidRPr="006B77BB">
        <w:fldChar w:fldCharType="end"/>
      </w:r>
    </w:p>
    <w:p w14:paraId="14DF977A" w14:textId="77777777" w:rsidR="00532334" w:rsidRPr="006B77BB" w:rsidRDefault="00532334" w:rsidP="004B5BDD"/>
    <w:p w14:paraId="4952A47C" w14:textId="77777777" w:rsidR="002C1752" w:rsidRDefault="002C1752">
      <w:pPr>
        <w:spacing w:before="0" w:after="200" w:line="276" w:lineRule="auto"/>
        <w:jc w:val="left"/>
        <w:rPr>
          <w:rFonts w:ascii="Georgia" w:eastAsiaTheme="majorEastAsia" w:hAnsi="Georgia" w:cstheme="majorBidi"/>
          <w:b/>
          <w:bCs/>
          <w:color w:val="1B556B"/>
          <w:sz w:val="48"/>
          <w:szCs w:val="28"/>
        </w:rPr>
      </w:pPr>
      <w:r>
        <w:br w:type="page"/>
      </w:r>
    </w:p>
    <w:p w14:paraId="60C2E555" w14:textId="3E7FD672" w:rsidR="00532334" w:rsidRPr="006B77BB" w:rsidRDefault="00B51610" w:rsidP="00585FD0">
      <w:pPr>
        <w:pStyle w:val="Heading"/>
      </w:pPr>
      <w:r w:rsidRPr="006B77BB">
        <w:lastRenderedPageBreak/>
        <w:t>Figure</w:t>
      </w:r>
      <w:r w:rsidR="00532334" w:rsidRPr="006B77BB">
        <w:t>s</w:t>
      </w:r>
    </w:p>
    <w:p w14:paraId="54F61019" w14:textId="071E1A4D" w:rsidR="00E36721"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177022863" w:history="1">
        <w:r w:rsidR="00E36721" w:rsidRPr="00576899">
          <w:rPr>
            <w:rStyle w:val="Hyperlink"/>
            <w:noProof/>
          </w:rPr>
          <w:t xml:space="preserve">Figure 1: </w:t>
        </w:r>
        <w:r w:rsidR="00E36721">
          <w:rPr>
            <w:rFonts w:asciiTheme="minorHAnsi" w:hAnsiTheme="minorHAnsi"/>
            <w:noProof/>
            <w:kern w:val="2"/>
            <w:sz w:val="24"/>
            <w:szCs w:val="24"/>
            <w14:ligatures w14:val="standardContextual"/>
          </w:rPr>
          <w:tab/>
        </w:r>
        <w:r w:rsidR="00E36721" w:rsidRPr="00576899">
          <w:rPr>
            <w:rStyle w:val="Hyperlink"/>
            <w:noProof/>
          </w:rPr>
          <w:t>Expansion of the waste disposal levy and associated reporting requirements from 2017 to 2022 and the number of classes per region (as at December 2022)</w:t>
        </w:r>
        <w:r w:rsidR="00E36721">
          <w:rPr>
            <w:noProof/>
            <w:webHidden/>
          </w:rPr>
          <w:tab/>
        </w:r>
        <w:r w:rsidR="00E36721">
          <w:rPr>
            <w:noProof/>
            <w:webHidden/>
          </w:rPr>
          <w:fldChar w:fldCharType="begin"/>
        </w:r>
        <w:r w:rsidR="00E36721">
          <w:rPr>
            <w:noProof/>
            <w:webHidden/>
          </w:rPr>
          <w:instrText xml:space="preserve"> PAGEREF _Toc177022863 \h </w:instrText>
        </w:r>
        <w:r w:rsidR="00E36721">
          <w:rPr>
            <w:noProof/>
            <w:webHidden/>
          </w:rPr>
        </w:r>
        <w:r w:rsidR="00E36721">
          <w:rPr>
            <w:noProof/>
            <w:webHidden/>
          </w:rPr>
          <w:fldChar w:fldCharType="separate"/>
        </w:r>
        <w:r w:rsidR="00CB71DB">
          <w:rPr>
            <w:noProof/>
            <w:webHidden/>
          </w:rPr>
          <w:t>13</w:t>
        </w:r>
        <w:r w:rsidR="00E36721">
          <w:rPr>
            <w:noProof/>
            <w:webHidden/>
          </w:rPr>
          <w:fldChar w:fldCharType="end"/>
        </w:r>
      </w:hyperlink>
    </w:p>
    <w:p w14:paraId="7ED46D43" w14:textId="4F55B582"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64" w:history="1">
        <w:r w:rsidR="00E36721" w:rsidRPr="00576899">
          <w:rPr>
            <w:rStyle w:val="Hyperlink"/>
            <w:noProof/>
          </w:rPr>
          <w:t xml:space="preserve">Figure 2: </w:t>
        </w:r>
        <w:r w:rsidR="00E36721">
          <w:rPr>
            <w:rFonts w:asciiTheme="minorHAnsi" w:hAnsiTheme="minorHAnsi"/>
            <w:noProof/>
            <w:kern w:val="2"/>
            <w:sz w:val="24"/>
            <w:szCs w:val="24"/>
            <w14:ligatures w14:val="standardContextual"/>
          </w:rPr>
          <w:tab/>
        </w:r>
        <w:r w:rsidR="00E36721" w:rsidRPr="00576899">
          <w:rPr>
            <w:rStyle w:val="Hyperlink"/>
            <w:noProof/>
          </w:rPr>
          <w:t>Total tonnage of waste disposed of at levied landfills (2009/10 to 2022/23)</w:t>
        </w:r>
        <w:r w:rsidR="00E36721">
          <w:rPr>
            <w:noProof/>
            <w:webHidden/>
          </w:rPr>
          <w:tab/>
        </w:r>
        <w:r w:rsidR="00E36721">
          <w:rPr>
            <w:noProof/>
            <w:webHidden/>
          </w:rPr>
          <w:fldChar w:fldCharType="begin"/>
        </w:r>
        <w:r w:rsidR="00E36721">
          <w:rPr>
            <w:noProof/>
            <w:webHidden/>
          </w:rPr>
          <w:instrText xml:space="preserve"> PAGEREF _Toc177022864 \h </w:instrText>
        </w:r>
        <w:r w:rsidR="00E36721">
          <w:rPr>
            <w:noProof/>
            <w:webHidden/>
          </w:rPr>
        </w:r>
        <w:r w:rsidR="00E36721">
          <w:rPr>
            <w:noProof/>
            <w:webHidden/>
          </w:rPr>
          <w:fldChar w:fldCharType="separate"/>
        </w:r>
        <w:r w:rsidR="00CB71DB">
          <w:rPr>
            <w:noProof/>
            <w:webHidden/>
          </w:rPr>
          <w:t>15</w:t>
        </w:r>
        <w:r w:rsidR="00E36721">
          <w:rPr>
            <w:noProof/>
            <w:webHidden/>
          </w:rPr>
          <w:fldChar w:fldCharType="end"/>
        </w:r>
      </w:hyperlink>
    </w:p>
    <w:p w14:paraId="3670AFE8" w14:textId="5AAA9812" w:rsidR="00E36721" w:rsidRDefault="00000000">
      <w:pPr>
        <w:pStyle w:val="TableofFigures"/>
        <w:tabs>
          <w:tab w:val="right" w:pos="8495"/>
        </w:tabs>
        <w:rPr>
          <w:rFonts w:asciiTheme="minorHAnsi" w:hAnsiTheme="minorHAnsi"/>
          <w:noProof/>
          <w:kern w:val="2"/>
          <w:sz w:val="24"/>
          <w:szCs w:val="24"/>
          <w14:ligatures w14:val="standardContextual"/>
        </w:rPr>
      </w:pPr>
      <w:hyperlink w:anchor="_Toc177022865" w:history="1">
        <w:r w:rsidR="00E36721" w:rsidRPr="00576899">
          <w:rPr>
            <w:rStyle w:val="Hyperlink"/>
            <w:noProof/>
          </w:rPr>
          <w:t xml:space="preserve">Figure 3: </w:t>
        </w:r>
        <w:r w:rsidR="00E36721">
          <w:rPr>
            <w:rFonts w:asciiTheme="minorHAnsi" w:hAnsiTheme="minorHAnsi"/>
            <w:noProof/>
            <w:kern w:val="2"/>
            <w:sz w:val="24"/>
            <w:szCs w:val="24"/>
            <w14:ligatures w14:val="standardContextual"/>
          </w:rPr>
          <w:tab/>
        </w:r>
        <w:r w:rsidR="00E36721" w:rsidRPr="00576899">
          <w:rPr>
            <w:rStyle w:val="Hyperlink"/>
            <w:noProof/>
          </w:rPr>
          <w:t>Estimated tonnes of material recovered and disposed of in Aotearoa in 2020</w:t>
        </w:r>
        <w:r w:rsidR="00E36721">
          <w:rPr>
            <w:noProof/>
            <w:webHidden/>
          </w:rPr>
          <w:tab/>
        </w:r>
        <w:r w:rsidR="00E36721">
          <w:rPr>
            <w:noProof/>
            <w:webHidden/>
          </w:rPr>
          <w:fldChar w:fldCharType="begin"/>
        </w:r>
        <w:r w:rsidR="00E36721">
          <w:rPr>
            <w:noProof/>
            <w:webHidden/>
          </w:rPr>
          <w:instrText xml:space="preserve"> PAGEREF _Toc177022865 \h </w:instrText>
        </w:r>
        <w:r w:rsidR="00E36721">
          <w:rPr>
            <w:noProof/>
            <w:webHidden/>
          </w:rPr>
        </w:r>
        <w:r w:rsidR="00E36721">
          <w:rPr>
            <w:noProof/>
            <w:webHidden/>
          </w:rPr>
          <w:fldChar w:fldCharType="separate"/>
        </w:r>
        <w:r w:rsidR="00CB71DB">
          <w:rPr>
            <w:noProof/>
            <w:webHidden/>
          </w:rPr>
          <w:t>18</w:t>
        </w:r>
        <w:r w:rsidR="00E36721">
          <w:rPr>
            <w:noProof/>
            <w:webHidden/>
          </w:rPr>
          <w:fldChar w:fldCharType="end"/>
        </w:r>
      </w:hyperlink>
    </w:p>
    <w:p w14:paraId="76F40DD5" w14:textId="1C1927D5" w:rsidR="008A2FF1" w:rsidRPr="006B77BB" w:rsidRDefault="004943C2" w:rsidP="00D51469">
      <w:pPr>
        <w:pStyle w:val="BodyText"/>
      </w:pPr>
      <w:r w:rsidRPr="006B77BB">
        <w:fldChar w:fldCharType="end"/>
      </w:r>
    </w:p>
    <w:p w14:paraId="0BC394ED" w14:textId="77777777" w:rsidR="00796A6F" w:rsidRPr="00554B30" w:rsidRDefault="00796A6F" w:rsidP="00554B30">
      <w:bookmarkStart w:id="1" w:name="_Toc215561202"/>
      <w:r w:rsidRPr="00554B30">
        <w:br w:type="page"/>
      </w:r>
    </w:p>
    <w:p w14:paraId="621F9F2C" w14:textId="77777777" w:rsidR="00616FDE" w:rsidRDefault="00616FDE">
      <w:pPr>
        <w:spacing w:before="0" w:after="200" w:line="276" w:lineRule="auto"/>
        <w:jc w:val="left"/>
        <w:rPr>
          <w:rStyle w:val="Heading1Char"/>
          <w:bCs w:val="0"/>
        </w:rPr>
      </w:pPr>
      <w:bookmarkStart w:id="2" w:name="_Toc177022834"/>
      <w:bookmarkStart w:id="3" w:name="_Toc345760336"/>
      <w:bookmarkEnd w:id="1"/>
      <w:r w:rsidRPr="00616FDE">
        <w:rPr>
          <w:rStyle w:val="Heading1Char"/>
          <w:bCs w:val="0"/>
        </w:rPr>
        <w:lastRenderedPageBreak/>
        <w:t>Executive summary and recommendations</w:t>
      </w:r>
      <w:bookmarkEnd w:id="2"/>
    </w:p>
    <w:p w14:paraId="0294EB17" w14:textId="401DCA50" w:rsidR="00616FDE" w:rsidRDefault="00616FDE" w:rsidP="00616FDE">
      <w:pPr>
        <w:pStyle w:val="BodyText"/>
      </w:pPr>
      <w:r>
        <w:t xml:space="preserve">This review was carried out to meet the obligation in the </w:t>
      </w:r>
      <w:hyperlink r:id="rId24" w:history="1">
        <w:r w:rsidRPr="00926276">
          <w:rPr>
            <w:rStyle w:val="Hyperlink"/>
          </w:rPr>
          <w:t>Waste Minimisation Act</w:t>
        </w:r>
        <w:r w:rsidR="003142B9" w:rsidRPr="00926276">
          <w:rPr>
            <w:rStyle w:val="Hyperlink"/>
          </w:rPr>
          <w:t xml:space="preserve"> 2008</w:t>
        </w:r>
      </w:hyperlink>
      <w:r>
        <w:t xml:space="preserve"> (WMA) for the Minister to review the effectiveness of the waste disposal levy (levy) every three years. </w:t>
      </w:r>
    </w:p>
    <w:p w14:paraId="260B7E8A" w14:textId="77777777" w:rsidR="00616FDE" w:rsidRDefault="00616FDE" w:rsidP="00616FDE">
      <w:pPr>
        <w:pStyle w:val="BodyText"/>
      </w:pPr>
      <w:r>
        <w:t xml:space="preserve">The levy is established under the WMA. It is a tool to reduce waste being disposed of in landfills, and to encourage alternative approaches to producing, using and managing products and materials at their end of life. </w:t>
      </w:r>
    </w:p>
    <w:p w14:paraId="22023BEB" w14:textId="63C017B4" w:rsidR="00616FDE" w:rsidRDefault="00616FDE" w:rsidP="00616FDE">
      <w:pPr>
        <w:pStyle w:val="BodyText"/>
      </w:pPr>
      <w:r>
        <w:t>This review covers the period of the 2019/20 financial year to the 2021/22 financial year (</w:t>
      </w:r>
      <w:proofErr w:type="spellStart"/>
      <w:r>
        <w:t>ie</w:t>
      </w:r>
      <w:proofErr w:type="spellEnd"/>
      <w:r w:rsidR="00B57C79">
        <w:t>,</w:t>
      </w:r>
      <w:r>
        <w:t xml:space="preserve"> 1</w:t>
      </w:r>
      <w:r w:rsidR="00B57C79">
        <w:t> </w:t>
      </w:r>
      <w:r>
        <w:t xml:space="preserve">July 2019 to 30 June 2022). In reviewing the levy, the Minister must consider whether the amount of waste disposed of in </w:t>
      </w:r>
      <w:r w:rsidR="00582833">
        <w:t xml:space="preserve">Aotearoa </w:t>
      </w:r>
      <w:r>
        <w:t xml:space="preserve">New Zealand has decreased and whether the amount of waste reused, recycled or recovered in </w:t>
      </w:r>
      <w:r w:rsidR="003D38DF">
        <w:t>Aotearoa</w:t>
      </w:r>
      <w:r>
        <w:t xml:space="preserve"> has increased since the last review. </w:t>
      </w:r>
    </w:p>
    <w:p w14:paraId="4AC1714D" w14:textId="77777777" w:rsidR="00616FDE" w:rsidRDefault="00616FDE" w:rsidP="00616FDE">
      <w:pPr>
        <w:pStyle w:val="BodyText"/>
      </w:pPr>
      <w:r>
        <w:t>A levy has been in place at municipal landfills (those that accept waste from households) since 2009. In 2020, a range of improvements to the effectiveness of the levy were made, drawing on the results of previous reviews of the levy. These changes include expanding the coverage and increasing the rate of the levy, as well as introducing associated reporting requirements.</w:t>
      </w:r>
    </w:p>
    <w:p w14:paraId="7A246306" w14:textId="77777777" w:rsidR="00616FDE" w:rsidRDefault="00616FDE" w:rsidP="00616FDE">
      <w:pPr>
        <w:pStyle w:val="BodyText"/>
      </w:pPr>
      <w:r>
        <w:t>Implementation of these changes was not complete by the end of this review period</w:t>
      </w:r>
      <w:r>
        <w:t xml:space="preserve"> (the final increases to the levy for municipal and construction and demolition landfills will take effect from 1 July 2024)</w:t>
      </w:r>
      <w:r>
        <w:t>.</w:t>
      </w:r>
      <w:r>
        <w:t xml:space="preserve"> </w:t>
      </w:r>
      <w:r>
        <w:t>However, this review draws some preliminary conclusions and offers further recommendations.</w:t>
      </w:r>
    </w:p>
    <w:p w14:paraId="60F7C507" w14:textId="27384A7C" w:rsidR="00616FDE" w:rsidRDefault="00616FDE" w:rsidP="00616FDE">
      <w:pPr>
        <w:pStyle w:val="BodyText"/>
      </w:pPr>
      <w:r>
        <w:t xml:space="preserve">Available data show a slight decrease (2.25 per cent) in quantities of waste disposed </w:t>
      </w:r>
      <w:r w:rsidR="007C42D8">
        <w:t>of in</w:t>
      </w:r>
      <w:r>
        <w:t xml:space="preserve"> municipal (class 1) landfills since the last review period. Available data also show a possible increase in material reused, recycled or recovered over the period, although data limitations do not allow for a comprehensive analysis.</w:t>
      </w:r>
    </w:p>
    <w:p w14:paraId="2F152C7F" w14:textId="7C5BA54B" w:rsidR="00616FDE" w:rsidRDefault="00616FDE" w:rsidP="00616FDE">
      <w:pPr>
        <w:pStyle w:val="BodyText"/>
      </w:pPr>
      <w:r>
        <w:t>This report also considers changes made to Ministry for the Environment systems and processes for investment of the levy</w:t>
      </w:r>
      <w:r w:rsidR="005573D4">
        <w:t xml:space="preserve"> </w:t>
      </w:r>
      <w:r>
        <w:t xml:space="preserve">and </w:t>
      </w:r>
      <w:r w:rsidR="005573D4">
        <w:t xml:space="preserve">for </w:t>
      </w:r>
      <w:r>
        <w:t xml:space="preserve">compliance, monitoring and enforcement associated with collecting and administering the levy. </w:t>
      </w:r>
    </w:p>
    <w:p w14:paraId="3C630686" w14:textId="77777777" w:rsidR="00616FDE" w:rsidRDefault="00616FDE" w:rsidP="00616FDE">
      <w:pPr>
        <w:pStyle w:val="Heading2"/>
      </w:pPr>
      <w:bookmarkStart w:id="4" w:name="_Toc177022835"/>
      <w:r>
        <w:t>Recommendations</w:t>
      </w:r>
      <w:bookmarkEnd w:id="4"/>
    </w:p>
    <w:p w14:paraId="43027CC0" w14:textId="3683AABB" w:rsidR="00616FDE" w:rsidRDefault="00616FDE" w:rsidP="00616FDE">
      <w:pPr>
        <w:pStyle w:val="BodyText"/>
      </w:pPr>
      <w:proofErr w:type="gramStart"/>
      <w:r>
        <w:t>In order to</w:t>
      </w:r>
      <w:proofErr w:type="gramEnd"/>
      <w:r>
        <w:t xml:space="preserve"> support continued effective management of the levy</w:t>
      </w:r>
      <w:r w:rsidR="00B71C4B">
        <w:t>,</w:t>
      </w:r>
      <w:r w:rsidR="009F0E31">
        <w:t xml:space="preserve"> </w:t>
      </w:r>
      <w:r w:rsidR="00AB5A1C">
        <w:t>the</w:t>
      </w:r>
      <w:r w:rsidR="00B71C4B">
        <w:t xml:space="preserve"> recommend</w:t>
      </w:r>
      <w:r w:rsidR="00AB5A1C">
        <w:t xml:space="preserve">ations are </w:t>
      </w:r>
      <w:r w:rsidR="007821F9">
        <w:t>as follows.</w:t>
      </w:r>
    </w:p>
    <w:p w14:paraId="5178B3D5" w14:textId="4624F292" w:rsidR="00616FDE" w:rsidRDefault="007821F9" w:rsidP="00616FDE">
      <w:pPr>
        <w:pStyle w:val="Bullet"/>
      </w:pPr>
      <w:r>
        <w:t>C</w:t>
      </w:r>
      <w:r w:rsidR="00616FDE">
        <w:t>ontinue ongoing efforts to ensure strategic investment of levy revenue by both central and local government</w:t>
      </w:r>
      <w:r>
        <w:t>.</w:t>
      </w:r>
      <w:r w:rsidR="00616FDE">
        <w:t xml:space="preserve"> </w:t>
      </w:r>
    </w:p>
    <w:p w14:paraId="3F2C4168" w14:textId="7C6B3E02" w:rsidR="00616FDE" w:rsidRDefault="007821F9" w:rsidP="00616FDE">
      <w:pPr>
        <w:pStyle w:val="Bullet"/>
      </w:pPr>
      <w:r>
        <w:t>E</w:t>
      </w:r>
      <w:r w:rsidR="00616FDE">
        <w:t>nsure waste legislation better supports administration, collection and investment of the levy</w:t>
      </w:r>
      <w:r>
        <w:t>.</w:t>
      </w:r>
    </w:p>
    <w:p w14:paraId="2B86D0D0" w14:textId="5DF95F79" w:rsidR="00176455" w:rsidRDefault="0042332A" w:rsidP="00616FDE">
      <w:pPr>
        <w:pStyle w:val="Bullet"/>
      </w:pPr>
      <w:r>
        <w:t>R</w:t>
      </w:r>
      <w:r w:rsidRPr="0042332A">
        <w:t xml:space="preserve">eview whether relative levy settings for class 1 and class 2 </w:t>
      </w:r>
      <w:r>
        <w:t xml:space="preserve">landfills </w:t>
      </w:r>
      <w:r w:rsidRPr="0042332A">
        <w:t xml:space="preserve">contribute to any unintended outcomes, and if so whether </w:t>
      </w:r>
      <w:r w:rsidR="009D310D">
        <w:t xml:space="preserve">changes to levy settings or other </w:t>
      </w:r>
      <w:r w:rsidR="006D5893">
        <w:t>provisions are required</w:t>
      </w:r>
      <w:r w:rsidRPr="0042332A">
        <w:t xml:space="preserve"> (such as changes in relative levy rates or restrictions on materials that can be disposed of at class 2 landfills).</w:t>
      </w:r>
    </w:p>
    <w:p w14:paraId="1FD603DB" w14:textId="4BECF564" w:rsidR="00616FDE" w:rsidRDefault="007821F9" w:rsidP="00616FDE">
      <w:pPr>
        <w:pStyle w:val="Bullet"/>
      </w:pPr>
      <w:r>
        <w:lastRenderedPageBreak/>
        <w:t>C</w:t>
      </w:r>
      <w:r w:rsidR="00616FDE">
        <w:t xml:space="preserve">larify </w:t>
      </w:r>
      <w:r w:rsidR="00B963B5">
        <w:t xml:space="preserve">the </w:t>
      </w:r>
      <w:r w:rsidR="00616FDE">
        <w:t xml:space="preserve">intended scope of </w:t>
      </w:r>
      <w:r w:rsidR="00891FF8">
        <w:t xml:space="preserve">the </w:t>
      </w:r>
      <w:r w:rsidR="00616FDE">
        <w:t>levy and reporting obligations (through regulatory change proposals</w:t>
      </w:r>
      <w:r w:rsidR="00B963B5">
        <w:t>,</w:t>
      </w:r>
      <w:r w:rsidR="00616FDE">
        <w:t xml:space="preserve"> or as part of the legislative change process </w:t>
      </w:r>
      <w:r w:rsidR="00D94265">
        <w:t>in the previous recommendation</w:t>
      </w:r>
      <w:r w:rsidR="00616FDE">
        <w:t>)</w:t>
      </w:r>
      <w:r>
        <w:t>.</w:t>
      </w:r>
    </w:p>
    <w:p w14:paraId="0C7DD5F2" w14:textId="46304329" w:rsidR="005C6948" w:rsidRDefault="007821F9">
      <w:pPr>
        <w:pStyle w:val="Bullet"/>
        <w:spacing w:after="200" w:line="276" w:lineRule="auto"/>
      </w:pPr>
      <w:r>
        <w:t>C</w:t>
      </w:r>
      <w:r w:rsidR="00616FDE">
        <w:t>onsider options for better understanding and management of rural wastes</w:t>
      </w:r>
      <w:r>
        <w:t>.</w:t>
      </w:r>
    </w:p>
    <w:p w14:paraId="13BC8795" w14:textId="6B30338D" w:rsidR="009369A6" w:rsidRDefault="009369A6">
      <w:pPr>
        <w:pStyle w:val="Bullet"/>
        <w:spacing w:after="200" w:line="276" w:lineRule="auto"/>
      </w:pPr>
      <w:r>
        <w:t xml:space="preserve">Consider how future levy reviews are conducted, including involvement of the Waste Advisory Board in agreeing the scope for the review, and the potential for </w:t>
      </w:r>
      <w:r w:rsidR="00443974">
        <w:t xml:space="preserve">non-statutory annual </w:t>
      </w:r>
      <w:r w:rsidR="00B708BB">
        <w:t>reviews</w:t>
      </w:r>
      <w:r w:rsidR="00443974">
        <w:t xml:space="preserve"> to supplement the three-yearly formal review.</w:t>
      </w:r>
    </w:p>
    <w:p w14:paraId="1985C854" w14:textId="1B404AAF" w:rsidR="00616FDE" w:rsidRDefault="00616FDE">
      <w:pPr>
        <w:pStyle w:val="Bullet"/>
        <w:spacing w:after="200" w:line="276" w:lineRule="auto"/>
      </w:pPr>
      <w:r>
        <w:br w:type="page"/>
      </w:r>
    </w:p>
    <w:p w14:paraId="2E5D2AC4" w14:textId="77777777" w:rsidR="00616FDE" w:rsidRDefault="00616FDE" w:rsidP="00616FDE">
      <w:pPr>
        <w:pStyle w:val="Heading1"/>
      </w:pPr>
      <w:bookmarkStart w:id="5" w:name="_Toc177022836"/>
      <w:r>
        <w:lastRenderedPageBreak/>
        <w:t>Background</w:t>
      </w:r>
      <w:bookmarkEnd w:id="5"/>
      <w:r>
        <w:t xml:space="preserve"> </w:t>
      </w:r>
    </w:p>
    <w:p w14:paraId="2E6EAB84" w14:textId="77777777" w:rsidR="00616FDE" w:rsidRPr="00232D08" w:rsidRDefault="00616FDE" w:rsidP="00616FDE">
      <w:pPr>
        <w:pStyle w:val="Heading2"/>
      </w:pPr>
      <w:bookmarkStart w:id="6" w:name="_The_waste_disposal"/>
      <w:bookmarkStart w:id="7" w:name="_Toc177022837"/>
      <w:bookmarkEnd w:id="6"/>
      <w:r>
        <w:t>The waste disposal levy is a tool to minimise waste</w:t>
      </w:r>
      <w:bookmarkEnd w:id="7"/>
    </w:p>
    <w:p w14:paraId="66B6B819" w14:textId="7B66571E" w:rsidR="00616FDE" w:rsidRDefault="00616FDE" w:rsidP="00616FDE">
      <w:pPr>
        <w:pStyle w:val="BodyText"/>
      </w:pPr>
      <w:r>
        <w:t xml:space="preserve">The waste disposal levy (levy) is established under the </w:t>
      </w:r>
      <w:hyperlink r:id="rId25" w:history="1">
        <w:r w:rsidRPr="00926276">
          <w:rPr>
            <w:rStyle w:val="Hyperlink"/>
          </w:rPr>
          <w:t>Waste Minimisation Act 2008</w:t>
        </w:r>
      </w:hyperlink>
      <w:r>
        <w:t xml:space="preserve"> (WMA). It is a tool to reduce waste being disposed of in landfills, and to encourage alternative approaches to producing, using and managing products and materials at their end of life. </w:t>
      </w:r>
    </w:p>
    <w:p w14:paraId="0AC18C6C" w14:textId="77777777" w:rsidR="00616FDE" w:rsidRDefault="00616FDE" w:rsidP="00616FDE">
      <w:pPr>
        <w:pStyle w:val="BodyText"/>
      </w:pPr>
      <w:r>
        <w:t xml:space="preserve">A levy has been in place at municipal landfills (those that accept waste from households) since 2009. More recently, levies have also been established for other landfill types. </w:t>
      </w:r>
    </w:p>
    <w:p w14:paraId="3E34CFF2" w14:textId="3EBD5B84" w:rsidR="00616FDE" w:rsidRDefault="00616FDE" w:rsidP="00616FDE">
      <w:pPr>
        <w:pStyle w:val="BodyText"/>
      </w:pPr>
      <w:r>
        <w:t>Half the levy money goes to territorial authorities (city and district councils) to spend on promoting or achieving the waste minimisation activities set out in their waste management and minimisation plans.</w:t>
      </w:r>
      <w:r w:rsidR="00763AC4">
        <w:t xml:space="preserve"> </w:t>
      </w:r>
      <w:r>
        <w:t>The remaining levy money (minus administration costs) is invested in projects to promote or achieve waste minimisation. These projects are generally funded through the Waste Minimisation Fund (WMF) and the Plastics Innovation Fund (PIF).</w:t>
      </w:r>
      <w:r w:rsidR="00763AC4">
        <w:t xml:space="preserve"> </w:t>
      </w:r>
    </w:p>
    <w:p w14:paraId="0B1A400C" w14:textId="5FF147E7" w:rsidR="00616FDE" w:rsidRDefault="00616FDE" w:rsidP="00616FDE">
      <w:pPr>
        <w:pStyle w:val="BodyText"/>
      </w:pPr>
      <w:r>
        <w:t>The Minister is required to assess the effectiveness of the levy every three years. This review covers the period of the 2019/20 financial year to the 2021/22 financial year (</w:t>
      </w:r>
      <w:proofErr w:type="spellStart"/>
      <w:r>
        <w:t>ie</w:t>
      </w:r>
      <w:proofErr w:type="spellEnd"/>
      <w:r w:rsidR="00DD23D1">
        <w:t>,</w:t>
      </w:r>
      <w:r w:rsidR="007E47AA">
        <w:t xml:space="preserve"> </w:t>
      </w:r>
      <w:r>
        <w:t xml:space="preserve">1 July 2019 to 30 June 2022). In reviewing the levy, the Minister must consider: </w:t>
      </w:r>
    </w:p>
    <w:p w14:paraId="0917CAA1" w14:textId="1CE0A161" w:rsidR="00616FDE" w:rsidRDefault="00616FDE" w:rsidP="00616FDE">
      <w:pPr>
        <w:pStyle w:val="Bullet"/>
      </w:pPr>
      <w:r>
        <w:t xml:space="preserve">whether the amount of waste disposed of in </w:t>
      </w:r>
      <w:r w:rsidR="00DD23D1">
        <w:t xml:space="preserve">Aotearoa </w:t>
      </w:r>
      <w:r>
        <w:t xml:space="preserve">New Zealand has decreased since the last review (see </w:t>
      </w:r>
      <w:hyperlink w:anchor="_Trends_in_waste" w:history="1">
        <w:r w:rsidRPr="007E47AA">
          <w:rPr>
            <w:rStyle w:val="Hyperlink"/>
          </w:rPr>
          <w:t>Trends in waste disposal</w:t>
        </w:r>
      </w:hyperlink>
      <w:r w:rsidR="00BD235A">
        <w:t xml:space="preserve"> section</w:t>
      </w:r>
      <w:r>
        <w:t>)</w:t>
      </w:r>
    </w:p>
    <w:p w14:paraId="70C533CA" w14:textId="692F12C9" w:rsidR="00616FDE" w:rsidRDefault="00616FDE" w:rsidP="00616FDE">
      <w:pPr>
        <w:pStyle w:val="Bullet"/>
      </w:pPr>
      <w:r>
        <w:t xml:space="preserve">whether the amount of waste reused, recycled or recovered in </w:t>
      </w:r>
      <w:r w:rsidR="00DD23D1">
        <w:t xml:space="preserve">Aotearoa </w:t>
      </w:r>
      <w:r>
        <w:t xml:space="preserve">has increased since the last review (see </w:t>
      </w:r>
      <w:hyperlink w:anchor="_Trends_in_reuse," w:history="1">
        <w:r w:rsidRPr="00F500C4">
          <w:rPr>
            <w:rStyle w:val="Hyperlink"/>
          </w:rPr>
          <w:t>Trends in reuse, recycling and recovery</w:t>
        </w:r>
      </w:hyperlink>
      <w:r w:rsidR="00BD235A">
        <w:t xml:space="preserve"> section</w:t>
      </w:r>
      <w:r>
        <w:t>)</w:t>
      </w:r>
      <w:r w:rsidR="00BD235A">
        <w:t>.</w:t>
      </w:r>
    </w:p>
    <w:p w14:paraId="5860BA27" w14:textId="298BCDBD" w:rsidR="00616FDE" w:rsidRDefault="00616FDE" w:rsidP="00616FDE">
      <w:pPr>
        <w:pStyle w:val="BodyText"/>
      </w:pPr>
      <w:r>
        <w:t xml:space="preserve">The Minister may also consider any other matters they think relevant (see </w:t>
      </w:r>
      <w:hyperlink w:anchor="_Achieving_waste_minimisation" w:history="1">
        <w:r w:rsidRPr="00F500C4">
          <w:rPr>
            <w:rStyle w:val="Hyperlink"/>
          </w:rPr>
          <w:t>Achieving waste minimisation through investment of the levy</w:t>
        </w:r>
      </w:hyperlink>
      <w:r>
        <w:rPr>
          <w:i/>
          <w:iCs/>
        </w:rPr>
        <w:t xml:space="preserve"> </w:t>
      </w:r>
      <w:r>
        <w:t xml:space="preserve">and </w:t>
      </w:r>
      <w:hyperlink w:anchor="_Discussion" w:history="1">
        <w:r w:rsidRPr="00F500C4">
          <w:rPr>
            <w:rStyle w:val="Hyperlink"/>
          </w:rPr>
          <w:t>Discussion</w:t>
        </w:r>
      </w:hyperlink>
      <w:r w:rsidR="00BD235A">
        <w:t xml:space="preserve"> sections</w:t>
      </w:r>
      <w:r>
        <w:t xml:space="preserve">). </w:t>
      </w:r>
    </w:p>
    <w:p w14:paraId="11D2480E" w14:textId="6971DC01" w:rsidR="00616FDE" w:rsidRDefault="00616FDE" w:rsidP="00616FDE">
      <w:pPr>
        <w:pStyle w:val="BodyText"/>
      </w:pPr>
      <w:r>
        <w:t>Information sources include the Online Waste Levy System</w:t>
      </w:r>
      <w:r w:rsidR="00E81ED7">
        <w:t xml:space="preserve"> (OWLS)</w:t>
      </w:r>
      <w:r>
        <w:t>, which includes tonnage reporting and other information from landfills and other sites; published reports; and internal information</w:t>
      </w:r>
      <w:r w:rsidR="00BD235A">
        <w:t>,</w:t>
      </w:r>
      <w:r>
        <w:t xml:space="preserve"> such as investment information.</w:t>
      </w:r>
    </w:p>
    <w:p w14:paraId="4B230B6A" w14:textId="0E250153" w:rsidR="00616FDE" w:rsidRDefault="00616FDE" w:rsidP="00616FDE">
      <w:pPr>
        <w:pStyle w:val="BodyText"/>
      </w:pPr>
      <w:r w:rsidRPr="0083057B">
        <w:t>In preparing this review, the Minister has also obtained and considered the advice of the Waste Advisory Board, as required under the WMA.</w:t>
      </w:r>
      <w:r>
        <w:t xml:space="preserve"> </w:t>
      </w:r>
    </w:p>
    <w:tbl>
      <w:tblPr>
        <w:tblStyle w:val="TableGrid"/>
        <w:tblW w:w="5055" w:type="pct"/>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88"/>
      </w:tblGrid>
      <w:tr w:rsidR="00AB1463" w:rsidRPr="00345928" w14:paraId="63AB7648" w14:textId="77777777">
        <w:trPr>
          <w:trHeight w:val="3640"/>
        </w:trPr>
        <w:tc>
          <w:tcPr>
            <w:tcW w:w="10307" w:type="dxa"/>
            <w:shd w:val="clear" w:color="auto" w:fill="D2DDE2"/>
          </w:tcPr>
          <w:p w14:paraId="4C1A4CD6" w14:textId="77777777" w:rsidR="00AB1463" w:rsidRDefault="00AB1463" w:rsidP="00FC63FC">
            <w:pPr>
              <w:pStyle w:val="Blueboxheading"/>
            </w:pPr>
            <w:r>
              <w:lastRenderedPageBreak/>
              <w:t>Reuse, recycling and recovery</w:t>
            </w:r>
          </w:p>
          <w:p w14:paraId="280278BF" w14:textId="77777777" w:rsidR="00AB1463" w:rsidRPr="00A3704E" w:rsidRDefault="00AB1463" w:rsidP="00FC63FC">
            <w:pPr>
              <w:pStyle w:val="Blueboxtext"/>
              <w:jc w:val="left"/>
            </w:pPr>
            <w:r>
              <w:t>The WMA defines these terms as follows:</w:t>
            </w:r>
          </w:p>
          <w:p w14:paraId="01DF0A69" w14:textId="77777777" w:rsidR="00AB1463" w:rsidRDefault="00AB1463" w:rsidP="00FC63FC">
            <w:pPr>
              <w:pStyle w:val="Blueboxtext"/>
              <w:jc w:val="left"/>
            </w:pPr>
            <w:r>
              <w:rPr>
                <w:b/>
                <w:bCs/>
              </w:rPr>
              <w:t xml:space="preserve">Reuse </w:t>
            </w:r>
            <w:r>
              <w:t>means th</w:t>
            </w:r>
            <w:r w:rsidRPr="00095793">
              <w:t>e further use of waste or diverted material in its existing form for the original purpose of the materials or products that constitute the waste or diverted material, or for a similar purpose</w:t>
            </w:r>
            <w:r>
              <w:t>.</w:t>
            </w:r>
          </w:p>
          <w:p w14:paraId="649F1B82" w14:textId="77777777" w:rsidR="00AB1463" w:rsidRDefault="00AB1463" w:rsidP="00FC63FC">
            <w:pPr>
              <w:pStyle w:val="Blueboxtext"/>
              <w:jc w:val="left"/>
            </w:pPr>
            <w:r>
              <w:rPr>
                <w:b/>
                <w:bCs/>
              </w:rPr>
              <w:t xml:space="preserve">Recycling </w:t>
            </w:r>
            <w:r>
              <w:t xml:space="preserve">means </w:t>
            </w:r>
            <w:r w:rsidRPr="00222909">
              <w:t>the reprocessing of waste or diverted material to produce new materials</w:t>
            </w:r>
            <w:r>
              <w:t xml:space="preserve">. </w:t>
            </w:r>
          </w:p>
          <w:p w14:paraId="46EF415D" w14:textId="77777777" w:rsidR="00AB1463" w:rsidRPr="00345928" w:rsidRDefault="00AB1463" w:rsidP="00FC63FC">
            <w:pPr>
              <w:pStyle w:val="Blueboxtext"/>
              <w:jc w:val="left"/>
            </w:pPr>
            <w:r>
              <w:rPr>
                <w:b/>
                <w:bCs/>
              </w:rPr>
              <w:t xml:space="preserve">Recovery </w:t>
            </w:r>
            <w:r>
              <w:t xml:space="preserve">means extraction of materials or energy from waste or diverted material for further use or </w:t>
            </w:r>
            <w:proofErr w:type="gramStart"/>
            <w:r>
              <w:t>processing, and</w:t>
            </w:r>
            <w:proofErr w:type="gramEnd"/>
            <w:r>
              <w:t xml:space="preserve"> includes making waste or diverted material into compost.</w:t>
            </w:r>
          </w:p>
        </w:tc>
      </w:tr>
    </w:tbl>
    <w:p w14:paraId="1A79C28B" w14:textId="12F156BC" w:rsidR="00616FDE" w:rsidRDefault="00616FDE" w:rsidP="00616FDE">
      <w:pPr>
        <w:pStyle w:val="Heading2"/>
      </w:pPr>
      <w:bookmarkStart w:id="8" w:name="_Key_improvements_to"/>
      <w:bookmarkStart w:id="9" w:name="_Toc177022838"/>
      <w:bookmarkEnd w:id="8"/>
      <w:r>
        <w:t xml:space="preserve">Key </w:t>
      </w:r>
      <w:r w:rsidR="000A208F">
        <w:t xml:space="preserve">changes </w:t>
      </w:r>
      <w:r>
        <w:t>to the levy were made in 2020</w:t>
      </w:r>
      <w:bookmarkEnd w:id="9"/>
    </w:p>
    <w:p w14:paraId="4C290A97" w14:textId="77777777" w:rsidR="00616FDE" w:rsidRDefault="00616FDE" w:rsidP="00616FDE">
      <w:pPr>
        <w:pStyle w:val="BodyText"/>
      </w:pPr>
      <w:r>
        <w:t>Following a preliminary review of the effectiveness of the levy in 2019 (Ministry for the Environment, 2019), a range of changes were made to improve its effectiveness in 2020, including:</w:t>
      </w:r>
    </w:p>
    <w:p w14:paraId="5D881041" w14:textId="270190CE" w:rsidR="00616FDE" w:rsidRPr="000F7A78" w:rsidRDefault="00616FDE" w:rsidP="00616FDE">
      <w:pPr>
        <w:pStyle w:val="Bullet"/>
      </w:pPr>
      <w:r>
        <w:t>p</w:t>
      </w:r>
      <w:r w:rsidRPr="000F7A78">
        <w:t>rogressively increasing the levy rate for</w:t>
      </w:r>
      <w:r>
        <w:t xml:space="preserve"> municipal</w:t>
      </w:r>
      <w:r w:rsidRPr="000F7A78">
        <w:t xml:space="preserve"> landfills from $10 per tonne to $60 per tonne </w:t>
      </w:r>
      <w:r>
        <w:t>(</w:t>
      </w:r>
      <w:r w:rsidRPr="000F7A78">
        <w:t xml:space="preserve">as of </w:t>
      </w:r>
      <w:r>
        <w:t xml:space="preserve">1 </w:t>
      </w:r>
      <w:r w:rsidRPr="000F7A78">
        <w:t>July 2024</w:t>
      </w:r>
      <w:r>
        <w:t>)</w:t>
      </w:r>
    </w:p>
    <w:p w14:paraId="47E47FCE" w14:textId="77777777" w:rsidR="00616FDE" w:rsidRPr="000F7A78" w:rsidRDefault="00616FDE" w:rsidP="00616FDE">
      <w:pPr>
        <w:pStyle w:val="Bullet"/>
      </w:pPr>
      <w:r>
        <w:t>e</w:t>
      </w:r>
      <w:r w:rsidRPr="000F7A78">
        <w:t>xpanding the levy to cover additional landfill types, including construction and demolition fills</w:t>
      </w:r>
    </w:p>
    <w:p w14:paraId="2407D4C9" w14:textId="77777777" w:rsidR="00616FDE" w:rsidRPr="000F7A78" w:rsidRDefault="00616FDE" w:rsidP="00616FDE">
      <w:pPr>
        <w:pStyle w:val="Bullet"/>
      </w:pPr>
      <w:r>
        <w:t>c</w:t>
      </w:r>
      <w:r w:rsidRPr="000F7A78">
        <w:t xml:space="preserve">ollecting data </w:t>
      </w:r>
      <w:r>
        <w:t xml:space="preserve">from a wider range of waste sites, including </w:t>
      </w:r>
      <w:proofErr w:type="spellStart"/>
      <w:r>
        <w:t>cleanfills</w:t>
      </w:r>
      <w:proofErr w:type="spellEnd"/>
      <w:r>
        <w:t xml:space="preserve"> and transfer stations</w:t>
      </w:r>
    </w:p>
    <w:p w14:paraId="5B7AD96B" w14:textId="77777777" w:rsidR="00616FDE" w:rsidRDefault="00616FDE" w:rsidP="00616FDE">
      <w:pPr>
        <w:pStyle w:val="Bullet"/>
      </w:pPr>
      <w:r>
        <w:t>i</w:t>
      </w:r>
      <w:r w:rsidRPr="000F7A78">
        <w:t>nvesting the additional revenue from the levy in initiatives that support waste reduction.</w:t>
      </w:r>
    </w:p>
    <w:p w14:paraId="102F36F2" w14:textId="205AEAF3" w:rsidR="00616FDE" w:rsidRPr="00616FDE" w:rsidRDefault="00616FDE" w:rsidP="00A6672B">
      <w:pPr>
        <w:pStyle w:val="Bullet"/>
        <w:numPr>
          <w:ilvl w:val="0"/>
          <w:numId w:val="0"/>
        </w:numPr>
        <w:tabs>
          <w:tab w:val="left" w:pos="397"/>
        </w:tabs>
      </w:pPr>
      <w:r>
        <w:t xml:space="preserve">These changes are summarised in </w:t>
      </w:r>
      <w:r w:rsidR="002D35C1">
        <w:fldChar w:fldCharType="begin"/>
      </w:r>
      <w:r w:rsidR="002D35C1">
        <w:instrText xml:space="preserve"> REF _Ref153447587 \h \* lower </w:instrText>
      </w:r>
      <w:r w:rsidR="002D35C1">
        <w:fldChar w:fldCharType="separate"/>
      </w:r>
      <w:r w:rsidR="00587F2B">
        <w:t xml:space="preserve">table </w:t>
      </w:r>
      <w:r w:rsidR="00587F2B">
        <w:rPr>
          <w:noProof/>
        </w:rPr>
        <w:t>1</w:t>
      </w:r>
      <w:r w:rsidR="002D35C1">
        <w:fldChar w:fldCharType="end"/>
      </w:r>
      <w:r>
        <w:t>. Additional information on facility types is outlined in the subsequent text boxes.</w:t>
      </w:r>
    </w:p>
    <w:p w14:paraId="263CCB46" w14:textId="673C1604" w:rsidR="002D35C1" w:rsidRDefault="002D35C1" w:rsidP="00A6672B">
      <w:pPr>
        <w:pStyle w:val="Tableheading"/>
      </w:pPr>
      <w:bookmarkStart w:id="10" w:name="_Ref153447587"/>
      <w:bookmarkStart w:id="11" w:name="_Toc177022849"/>
      <w:r>
        <w:t xml:space="preserve">Table </w:t>
      </w:r>
      <w:r>
        <w:fldChar w:fldCharType="begin"/>
      </w:r>
      <w:r>
        <w:instrText xml:space="preserve"> SEQ Table \* ARABIC </w:instrText>
      </w:r>
      <w:r>
        <w:fldChar w:fldCharType="separate"/>
      </w:r>
      <w:r w:rsidR="00587F2B">
        <w:rPr>
          <w:noProof/>
        </w:rPr>
        <w:t>1</w:t>
      </w:r>
      <w:r>
        <w:rPr>
          <w:noProof/>
        </w:rPr>
        <w:fldChar w:fldCharType="end"/>
      </w:r>
      <w:bookmarkEnd w:id="10"/>
      <w:r>
        <w:t xml:space="preserve">: </w:t>
      </w:r>
      <w:r>
        <w:tab/>
        <w:t>Levy rates and coverage</w:t>
      </w:r>
      <w:bookmarkEnd w:id="11"/>
    </w:p>
    <w:tbl>
      <w:tblPr>
        <w:tblStyle w:val="MinistryfortheEnvironment"/>
        <w:tblW w:w="9214" w:type="dxa"/>
        <w:tblLook w:val="04A0" w:firstRow="1" w:lastRow="0" w:firstColumn="1" w:lastColumn="0" w:noHBand="0" w:noVBand="1"/>
      </w:tblPr>
      <w:tblGrid>
        <w:gridCol w:w="1843"/>
        <w:gridCol w:w="1474"/>
        <w:gridCol w:w="1474"/>
        <w:gridCol w:w="1474"/>
        <w:gridCol w:w="1474"/>
        <w:gridCol w:w="1475"/>
      </w:tblGrid>
      <w:tr w:rsidR="00DC6C18" w:rsidRPr="006B77BB" w14:paraId="0877CBFA" w14:textId="77777777">
        <w:trPr>
          <w:cnfStyle w:val="100000000000" w:firstRow="1" w:lastRow="0" w:firstColumn="0" w:lastColumn="0" w:oddVBand="0" w:evenVBand="0" w:oddHBand="0" w:evenHBand="0" w:firstRowFirstColumn="0" w:firstRowLastColumn="0" w:lastRowFirstColumn="0" w:lastRowLastColumn="0"/>
        </w:trPr>
        <w:tc>
          <w:tcPr>
            <w:tcW w:w="1843" w:type="dxa"/>
            <w:shd w:val="clear" w:color="auto" w:fill="1B556B"/>
          </w:tcPr>
          <w:p w14:paraId="7E5B977C" w14:textId="77777777" w:rsidR="00DC6C18" w:rsidRDefault="00DC6C18">
            <w:pPr>
              <w:pStyle w:val="TableTextbold"/>
            </w:pPr>
          </w:p>
        </w:tc>
        <w:tc>
          <w:tcPr>
            <w:tcW w:w="7371" w:type="dxa"/>
            <w:gridSpan w:val="5"/>
            <w:shd w:val="clear" w:color="auto" w:fill="1B556B"/>
          </w:tcPr>
          <w:p w14:paraId="2257417B" w14:textId="77777777" w:rsidR="00DC6C18" w:rsidRPr="00A6672B" w:rsidRDefault="00DC6C18" w:rsidP="00A6672B">
            <w:pPr>
              <w:pStyle w:val="TableTextbold"/>
              <w:jc w:val="center"/>
              <w:rPr>
                <w:b/>
                <w:bCs/>
              </w:rPr>
            </w:pPr>
            <w:r w:rsidRPr="00EB64AD">
              <w:rPr>
                <w:bCs/>
              </w:rPr>
              <w:t>Date levy applies from</w:t>
            </w:r>
          </w:p>
        </w:tc>
      </w:tr>
      <w:tr w:rsidR="00616FDE" w:rsidRPr="00832535" w14:paraId="4C0B1490" w14:textId="77777777">
        <w:tc>
          <w:tcPr>
            <w:tcW w:w="1843" w:type="dxa"/>
            <w:shd w:val="clear" w:color="auto" w:fill="1B556B"/>
          </w:tcPr>
          <w:p w14:paraId="76D8E373" w14:textId="77777777" w:rsidR="00616FDE" w:rsidRPr="00832535" w:rsidRDefault="00616FDE">
            <w:pPr>
              <w:pStyle w:val="TableTextbold"/>
              <w:keepNext/>
              <w:rPr>
                <w:color w:val="FFFFFF" w:themeColor="background1"/>
              </w:rPr>
            </w:pPr>
            <w:r w:rsidRPr="00832535">
              <w:rPr>
                <w:color w:val="FFFFFF" w:themeColor="background1"/>
              </w:rPr>
              <w:t xml:space="preserve">Landfill class </w:t>
            </w:r>
          </w:p>
        </w:tc>
        <w:tc>
          <w:tcPr>
            <w:tcW w:w="1474" w:type="dxa"/>
            <w:shd w:val="clear" w:color="auto" w:fill="1B556B"/>
          </w:tcPr>
          <w:p w14:paraId="799AA45E" w14:textId="77777777" w:rsidR="00616FDE" w:rsidRPr="00832535" w:rsidRDefault="00616FDE">
            <w:pPr>
              <w:pStyle w:val="TableTextbold"/>
              <w:keepNext/>
              <w:rPr>
                <w:color w:val="FFFFFF" w:themeColor="background1"/>
              </w:rPr>
            </w:pPr>
            <w:r>
              <w:rPr>
                <w:color w:val="FFFFFF" w:themeColor="background1"/>
              </w:rPr>
              <w:t>1 July 2009</w:t>
            </w:r>
          </w:p>
        </w:tc>
        <w:tc>
          <w:tcPr>
            <w:tcW w:w="1474" w:type="dxa"/>
            <w:shd w:val="clear" w:color="auto" w:fill="1B556B"/>
          </w:tcPr>
          <w:p w14:paraId="3CA09213" w14:textId="77777777" w:rsidR="00616FDE" w:rsidRPr="00832535" w:rsidRDefault="00616FDE">
            <w:pPr>
              <w:pStyle w:val="TableTextbold"/>
              <w:keepNext/>
              <w:rPr>
                <w:color w:val="FFFFFF" w:themeColor="background1"/>
              </w:rPr>
            </w:pPr>
            <w:r w:rsidRPr="00832535">
              <w:rPr>
                <w:color w:val="FFFFFF" w:themeColor="background1"/>
              </w:rPr>
              <w:t>1 July 2021</w:t>
            </w:r>
          </w:p>
        </w:tc>
        <w:tc>
          <w:tcPr>
            <w:tcW w:w="1474" w:type="dxa"/>
            <w:shd w:val="clear" w:color="auto" w:fill="1B556B"/>
          </w:tcPr>
          <w:p w14:paraId="7710BA57" w14:textId="77777777" w:rsidR="00616FDE" w:rsidRPr="00832535" w:rsidRDefault="00616FDE">
            <w:pPr>
              <w:pStyle w:val="TableTextbold"/>
              <w:keepNext/>
              <w:rPr>
                <w:color w:val="FFFFFF" w:themeColor="background1"/>
              </w:rPr>
            </w:pPr>
            <w:r w:rsidRPr="00832535">
              <w:rPr>
                <w:color w:val="FFFFFF" w:themeColor="background1"/>
              </w:rPr>
              <w:t>1 July 2022</w:t>
            </w:r>
          </w:p>
        </w:tc>
        <w:tc>
          <w:tcPr>
            <w:tcW w:w="1474" w:type="dxa"/>
            <w:shd w:val="clear" w:color="auto" w:fill="1B556B"/>
          </w:tcPr>
          <w:p w14:paraId="57C99AD5" w14:textId="77777777" w:rsidR="00616FDE" w:rsidRPr="00832535" w:rsidRDefault="00616FDE">
            <w:pPr>
              <w:pStyle w:val="TableTextbold"/>
              <w:keepNext/>
              <w:rPr>
                <w:color w:val="FFFFFF" w:themeColor="background1"/>
              </w:rPr>
            </w:pPr>
            <w:r w:rsidRPr="00832535">
              <w:rPr>
                <w:color w:val="FFFFFF" w:themeColor="background1"/>
              </w:rPr>
              <w:t>1 July 2023</w:t>
            </w:r>
          </w:p>
        </w:tc>
        <w:tc>
          <w:tcPr>
            <w:tcW w:w="1475" w:type="dxa"/>
            <w:shd w:val="clear" w:color="auto" w:fill="1B556B"/>
          </w:tcPr>
          <w:p w14:paraId="6C45C7B3" w14:textId="77777777" w:rsidR="00616FDE" w:rsidRPr="00832535" w:rsidRDefault="00616FDE">
            <w:pPr>
              <w:pStyle w:val="TableTextbold"/>
              <w:keepNext/>
              <w:rPr>
                <w:color w:val="FFFFFF" w:themeColor="background1"/>
              </w:rPr>
            </w:pPr>
            <w:r w:rsidRPr="00832535">
              <w:rPr>
                <w:color w:val="FFFFFF" w:themeColor="background1"/>
              </w:rPr>
              <w:t>1 July 2024</w:t>
            </w:r>
          </w:p>
        </w:tc>
      </w:tr>
      <w:tr w:rsidR="00616FDE" w:rsidRPr="006B77BB" w14:paraId="38F13A7A" w14:textId="77777777">
        <w:tc>
          <w:tcPr>
            <w:tcW w:w="1843" w:type="dxa"/>
          </w:tcPr>
          <w:p w14:paraId="6020BFF0" w14:textId="77777777" w:rsidR="00616FDE" w:rsidRPr="006B77BB" w:rsidRDefault="00616FDE">
            <w:pPr>
              <w:pStyle w:val="TableText"/>
            </w:pPr>
            <w:r w:rsidRPr="006F3F18">
              <w:t>Municipal landfill (class 1)</w:t>
            </w:r>
          </w:p>
        </w:tc>
        <w:tc>
          <w:tcPr>
            <w:tcW w:w="1474" w:type="dxa"/>
          </w:tcPr>
          <w:p w14:paraId="63703C0B" w14:textId="77777777" w:rsidR="00616FDE" w:rsidRPr="006F3F18" w:rsidRDefault="00616FDE">
            <w:pPr>
              <w:pStyle w:val="TableText"/>
            </w:pPr>
            <w:r>
              <w:t>$10</w:t>
            </w:r>
          </w:p>
        </w:tc>
        <w:tc>
          <w:tcPr>
            <w:tcW w:w="1474" w:type="dxa"/>
          </w:tcPr>
          <w:p w14:paraId="63BC5460" w14:textId="77777777" w:rsidR="00616FDE" w:rsidRPr="006B77BB" w:rsidRDefault="00616FDE">
            <w:pPr>
              <w:pStyle w:val="TableText"/>
            </w:pPr>
            <w:r w:rsidRPr="006F3F18">
              <w:t>$20</w:t>
            </w:r>
          </w:p>
        </w:tc>
        <w:tc>
          <w:tcPr>
            <w:tcW w:w="1474" w:type="dxa"/>
          </w:tcPr>
          <w:p w14:paraId="4AFDD3AC" w14:textId="77777777" w:rsidR="00616FDE" w:rsidRPr="006B77BB" w:rsidRDefault="00616FDE">
            <w:pPr>
              <w:pStyle w:val="TableText"/>
            </w:pPr>
            <w:r w:rsidRPr="006F3F18">
              <w:t>$30</w:t>
            </w:r>
          </w:p>
        </w:tc>
        <w:tc>
          <w:tcPr>
            <w:tcW w:w="1474" w:type="dxa"/>
          </w:tcPr>
          <w:p w14:paraId="06AE3D70" w14:textId="77777777" w:rsidR="00616FDE" w:rsidRPr="006B77BB" w:rsidRDefault="00616FDE">
            <w:pPr>
              <w:pStyle w:val="TableText"/>
            </w:pPr>
            <w:r w:rsidRPr="006F3F18">
              <w:t>$50</w:t>
            </w:r>
          </w:p>
        </w:tc>
        <w:tc>
          <w:tcPr>
            <w:tcW w:w="1475" w:type="dxa"/>
          </w:tcPr>
          <w:p w14:paraId="65779DE5" w14:textId="77777777" w:rsidR="00616FDE" w:rsidRPr="006B77BB" w:rsidRDefault="00616FDE">
            <w:pPr>
              <w:pStyle w:val="TableText"/>
            </w:pPr>
            <w:r w:rsidRPr="006F3F18">
              <w:t>$60</w:t>
            </w:r>
          </w:p>
        </w:tc>
      </w:tr>
      <w:tr w:rsidR="00616FDE" w:rsidRPr="006B77BB" w14:paraId="780C0185" w14:textId="77777777">
        <w:tc>
          <w:tcPr>
            <w:tcW w:w="1843" w:type="dxa"/>
          </w:tcPr>
          <w:p w14:paraId="195D1D75" w14:textId="5076489C" w:rsidR="00616FDE" w:rsidRPr="006B77BB" w:rsidRDefault="00616FDE">
            <w:pPr>
              <w:pStyle w:val="TableText"/>
            </w:pPr>
            <w:r w:rsidRPr="006F3F18">
              <w:t>Construction and demolition fill (class</w:t>
            </w:r>
            <w:r w:rsidR="00C015AA">
              <w:t> </w:t>
            </w:r>
            <w:r w:rsidRPr="006F3F18">
              <w:t>2)</w:t>
            </w:r>
          </w:p>
        </w:tc>
        <w:tc>
          <w:tcPr>
            <w:tcW w:w="1474" w:type="dxa"/>
          </w:tcPr>
          <w:p w14:paraId="243FE1C1" w14:textId="77777777" w:rsidR="00616FDE" w:rsidRPr="006F3F18" w:rsidRDefault="00616FDE">
            <w:pPr>
              <w:pStyle w:val="TableText"/>
            </w:pPr>
            <w:r>
              <w:t>-</w:t>
            </w:r>
          </w:p>
        </w:tc>
        <w:tc>
          <w:tcPr>
            <w:tcW w:w="1474" w:type="dxa"/>
          </w:tcPr>
          <w:p w14:paraId="41C47132" w14:textId="77777777" w:rsidR="00616FDE" w:rsidRPr="006B77BB" w:rsidRDefault="00616FDE">
            <w:pPr>
              <w:pStyle w:val="TableText"/>
            </w:pPr>
            <w:r w:rsidRPr="006F3F18">
              <w:t> </w:t>
            </w:r>
            <w:r>
              <w:t>-</w:t>
            </w:r>
          </w:p>
        </w:tc>
        <w:tc>
          <w:tcPr>
            <w:tcW w:w="1474" w:type="dxa"/>
          </w:tcPr>
          <w:p w14:paraId="28375AF7" w14:textId="77777777" w:rsidR="00616FDE" w:rsidRPr="006B77BB" w:rsidRDefault="00616FDE">
            <w:pPr>
              <w:pStyle w:val="TableText"/>
            </w:pPr>
            <w:r w:rsidRPr="006F3F18">
              <w:t>$20</w:t>
            </w:r>
          </w:p>
        </w:tc>
        <w:tc>
          <w:tcPr>
            <w:tcW w:w="1474" w:type="dxa"/>
          </w:tcPr>
          <w:p w14:paraId="6EA97A5D" w14:textId="77777777" w:rsidR="00616FDE" w:rsidRPr="006B77BB" w:rsidRDefault="00616FDE">
            <w:pPr>
              <w:pStyle w:val="TableText"/>
            </w:pPr>
            <w:r w:rsidRPr="006F3F18">
              <w:t>$20</w:t>
            </w:r>
          </w:p>
        </w:tc>
        <w:tc>
          <w:tcPr>
            <w:tcW w:w="1475" w:type="dxa"/>
          </w:tcPr>
          <w:p w14:paraId="76C82A4F" w14:textId="77777777" w:rsidR="00616FDE" w:rsidRPr="006B77BB" w:rsidRDefault="00616FDE">
            <w:pPr>
              <w:pStyle w:val="TableText"/>
            </w:pPr>
            <w:r w:rsidRPr="006F3F18">
              <w:t>$30</w:t>
            </w:r>
          </w:p>
        </w:tc>
      </w:tr>
      <w:tr w:rsidR="00616FDE" w:rsidRPr="006B77BB" w14:paraId="301E9BC7" w14:textId="77777777">
        <w:tc>
          <w:tcPr>
            <w:tcW w:w="1843" w:type="dxa"/>
          </w:tcPr>
          <w:p w14:paraId="7FA35003" w14:textId="77777777" w:rsidR="00616FDE" w:rsidRPr="006B77BB" w:rsidRDefault="00616FDE">
            <w:pPr>
              <w:pStyle w:val="TableText"/>
            </w:pPr>
            <w:r w:rsidRPr="006F3F18">
              <w:t>Managed or controlled fill facility (class 3 and 4)</w:t>
            </w:r>
          </w:p>
        </w:tc>
        <w:tc>
          <w:tcPr>
            <w:tcW w:w="1474" w:type="dxa"/>
          </w:tcPr>
          <w:p w14:paraId="3741774E" w14:textId="77777777" w:rsidR="00616FDE" w:rsidRPr="006F3F18" w:rsidRDefault="00616FDE">
            <w:pPr>
              <w:pStyle w:val="TableText"/>
            </w:pPr>
            <w:r>
              <w:t>-</w:t>
            </w:r>
          </w:p>
        </w:tc>
        <w:tc>
          <w:tcPr>
            <w:tcW w:w="1474" w:type="dxa"/>
          </w:tcPr>
          <w:p w14:paraId="658ABAAF" w14:textId="77777777" w:rsidR="00616FDE" w:rsidRPr="006B77BB" w:rsidRDefault="00616FDE">
            <w:pPr>
              <w:pStyle w:val="TableText"/>
            </w:pPr>
            <w:r w:rsidRPr="006F3F18">
              <w:t> </w:t>
            </w:r>
            <w:r>
              <w:t>-</w:t>
            </w:r>
          </w:p>
        </w:tc>
        <w:tc>
          <w:tcPr>
            <w:tcW w:w="1474" w:type="dxa"/>
          </w:tcPr>
          <w:p w14:paraId="1628B321" w14:textId="77777777" w:rsidR="00616FDE" w:rsidRPr="006B77BB" w:rsidRDefault="00616FDE">
            <w:pPr>
              <w:pStyle w:val="TableText"/>
            </w:pPr>
            <w:r w:rsidRPr="006F3F18">
              <w:t> </w:t>
            </w:r>
            <w:r>
              <w:t>-</w:t>
            </w:r>
          </w:p>
        </w:tc>
        <w:tc>
          <w:tcPr>
            <w:tcW w:w="1474" w:type="dxa"/>
          </w:tcPr>
          <w:p w14:paraId="326CAD84" w14:textId="77777777" w:rsidR="00616FDE" w:rsidRPr="006B77BB" w:rsidRDefault="00616FDE">
            <w:pPr>
              <w:pStyle w:val="TableText"/>
            </w:pPr>
            <w:r w:rsidRPr="006F3F18">
              <w:t>$10</w:t>
            </w:r>
          </w:p>
        </w:tc>
        <w:tc>
          <w:tcPr>
            <w:tcW w:w="1475" w:type="dxa"/>
          </w:tcPr>
          <w:p w14:paraId="0E496118" w14:textId="77777777" w:rsidR="00616FDE" w:rsidRPr="006B77BB" w:rsidRDefault="00616FDE">
            <w:pPr>
              <w:pStyle w:val="TableText"/>
            </w:pPr>
            <w:r w:rsidRPr="006F3F18">
              <w:t>$10</w:t>
            </w:r>
          </w:p>
        </w:tc>
      </w:tr>
    </w:tbl>
    <w:p w14:paraId="74C7C1A7" w14:textId="77777777" w:rsidR="00616FDE" w:rsidRDefault="00616FDE" w:rsidP="00616FDE">
      <w:pPr>
        <w:pStyle w:val="BodyText"/>
      </w:pPr>
    </w:p>
    <w:p w14:paraId="73B991B8" w14:textId="77777777" w:rsidR="00616FDE" w:rsidRDefault="00616FDE" w:rsidP="00616FDE">
      <w:pPr>
        <w:pStyle w:val="BodyText"/>
      </w:pPr>
    </w:p>
    <w:tbl>
      <w:tblPr>
        <w:tblStyle w:val="TableGrid"/>
        <w:tblW w:w="5055" w:type="pct"/>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88"/>
      </w:tblGrid>
      <w:tr w:rsidR="00616FDE" w14:paraId="23AEC04E" w14:textId="77777777">
        <w:trPr>
          <w:trHeight w:val="3640"/>
        </w:trPr>
        <w:tc>
          <w:tcPr>
            <w:tcW w:w="10307" w:type="dxa"/>
            <w:shd w:val="clear" w:color="auto" w:fill="D2DDE2"/>
          </w:tcPr>
          <w:p w14:paraId="31183BA0" w14:textId="77777777" w:rsidR="00616FDE" w:rsidRPr="005C6331" w:rsidRDefault="00616FDE">
            <w:pPr>
              <w:pStyle w:val="Blueboxheading"/>
            </w:pPr>
            <w:bookmarkStart w:id="12" w:name="_Hlk149055699"/>
            <w:r>
              <w:lastRenderedPageBreak/>
              <w:t xml:space="preserve">Types of </w:t>
            </w:r>
            <w:proofErr w:type="gramStart"/>
            <w:r>
              <w:t>landfill</w:t>
            </w:r>
            <w:proofErr w:type="gramEnd"/>
            <w:r>
              <w:t xml:space="preserve"> subject to the waste disposal levy</w:t>
            </w:r>
          </w:p>
          <w:p w14:paraId="09B445AA" w14:textId="7A5BA8AA" w:rsidR="00616FDE" w:rsidRDefault="00616FDE">
            <w:pPr>
              <w:pStyle w:val="Blueboxtext"/>
            </w:pPr>
            <w:r w:rsidRPr="000D5629">
              <w:rPr>
                <w:b/>
                <w:bCs/>
              </w:rPr>
              <w:t>Municipal disposal facility (class 1)</w:t>
            </w:r>
            <w:r>
              <w:rPr>
                <w:b/>
                <w:bCs/>
              </w:rPr>
              <w:t xml:space="preserve"> </w:t>
            </w:r>
            <w:r>
              <w:t>means a facility, including a landfill, that accepts for disposal waste that is or includes household, commercial, industrial or institutional waste, green waste, or waste that is not accepted at other classes of facilities.</w:t>
            </w:r>
          </w:p>
          <w:p w14:paraId="63E14ABF" w14:textId="4E28FA81" w:rsidR="00616FDE" w:rsidRDefault="00616FDE" w:rsidP="00103563">
            <w:pPr>
              <w:pStyle w:val="Boxtext"/>
            </w:pPr>
            <w:r w:rsidRPr="000D5629">
              <w:rPr>
                <w:b/>
                <w:bCs/>
              </w:rPr>
              <w:t>Construction and demolition fill disposal facility (class 2)</w:t>
            </w:r>
            <w:r>
              <w:rPr>
                <w:b/>
                <w:bCs/>
              </w:rPr>
              <w:t xml:space="preserve"> </w:t>
            </w:r>
            <w:r>
              <w:t>means a facility, including a landfill, that accepts waste that is or includes solid waste from construction and demolition activity. This could include materials such as wood products, asphalt, plasterboard, insulation</w:t>
            </w:r>
            <w:r w:rsidR="006D06CB">
              <w:t>,</w:t>
            </w:r>
            <w:r>
              <w:t xml:space="preserve"> and other construction and demolition materials. </w:t>
            </w:r>
          </w:p>
          <w:p w14:paraId="54FD5FDF" w14:textId="77777777" w:rsidR="00616FDE" w:rsidRDefault="00616FDE">
            <w:pPr>
              <w:pStyle w:val="Blueboxtext"/>
            </w:pPr>
            <w:r w:rsidRPr="000D5629">
              <w:rPr>
                <w:b/>
                <w:bCs/>
              </w:rPr>
              <w:t>Managed or controlled fill disposal facility (class 3 or 4)</w:t>
            </w:r>
            <w:r>
              <w:rPr>
                <w:b/>
                <w:bCs/>
              </w:rPr>
              <w:t xml:space="preserve"> </w:t>
            </w:r>
            <w:r>
              <w:t>means a facility that accepts any one or more of the following for disposal:</w:t>
            </w:r>
          </w:p>
          <w:p w14:paraId="1753C9BA" w14:textId="77777777" w:rsidR="00616FDE" w:rsidRDefault="00616FDE" w:rsidP="00103563">
            <w:pPr>
              <w:pStyle w:val="Boxbullet"/>
            </w:pPr>
            <w:r>
              <w:t>inert waste material from construction and demolition activities</w:t>
            </w:r>
          </w:p>
          <w:p w14:paraId="046EA4A3" w14:textId="77777777" w:rsidR="00616FDE" w:rsidRPr="00345928" w:rsidRDefault="00616FDE" w:rsidP="00103563">
            <w:pPr>
              <w:pStyle w:val="Boxbullet"/>
            </w:pPr>
            <w:r>
              <w:t>inert waste material from earthworks or site remediation.</w:t>
            </w:r>
          </w:p>
        </w:tc>
      </w:tr>
      <w:bookmarkEnd w:id="12"/>
    </w:tbl>
    <w:p w14:paraId="39DD23F7" w14:textId="77777777" w:rsidR="00616FDE" w:rsidRDefault="00616FDE" w:rsidP="00616FDE">
      <w:pPr>
        <w:pStyle w:val="BodyText"/>
      </w:pPr>
    </w:p>
    <w:tbl>
      <w:tblPr>
        <w:tblStyle w:val="TableGrid"/>
        <w:tblW w:w="5055" w:type="pct"/>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88"/>
      </w:tblGrid>
      <w:tr w:rsidR="00616FDE" w:rsidRPr="00345928" w14:paraId="7D2A783F" w14:textId="77777777">
        <w:trPr>
          <w:trHeight w:val="3640"/>
        </w:trPr>
        <w:tc>
          <w:tcPr>
            <w:tcW w:w="10308" w:type="dxa"/>
            <w:shd w:val="clear" w:color="auto" w:fill="D2DDE2"/>
          </w:tcPr>
          <w:p w14:paraId="0075A103" w14:textId="77777777" w:rsidR="00616FDE" w:rsidRDefault="00616FDE">
            <w:pPr>
              <w:pStyle w:val="Blueboxheading"/>
            </w:pPr>
            <w:r>
              <w:t>Other facilities (not subject to waste disposal levy)</w:t>
            </w:r>
          </w:p>
          <w:p w14:paraId="3BAE9CAC" w14:textId="6265B5EF" w:rsidR="00616FDE" w:rsidRPr="00B13976" w:rsidRDefault="00616FDE">
            <w:pPr>
              <w:pStyle w:val="Blueboxtext"/>
            </w:pPr>
            <w:r>
              <w:t xml:space="preserve">These facilities are subject to record-keeping and reporting obligations but do not have to pay a levy. This provides the Ministry </w:t>
            </w:r>
            <w:r w:rsidR="001474BB">
              <w:t xml:space="preserve">for the Environment </w:t>
            </w:r>
            <w:r>
              <w:t>with further information about waste quantities and movements.</w:t>
            </w:r>
          </w:p>
          <w:p w14:paraId="34BD4F3F" w14:textId="222358D1" w:rsidR="00616FDE" w:rsidRPr="008D644D" w:rsidRDefault="00616FDE">
            <w:pPr>
              <w:pStyle w:val="Blueboxtext"/>
            </w:pPr>
            <w:proofErr w:type="spellStart"/>
            <w:r w:rsidRPr="00D24BBA">
              <w:rPr>
                <w:b/>
                <w:bCs/>
              </w:rPr>
              <w:t>Cleanfill</w:t>
            </w:r>
            <w:proofErr w:type="spellEnd"/>
            <w:r w:rsidRPr="00D24BBA">
              <w:rPr>
                <w:b/>
                <w:bCs/>
              </w:rPr>
              <w:t xml:space="preserve"> facility (class 5) </w:t>
            </w:r>
            <w:r w:rsidRPr="00D24BBA">
              <w:t>means a facility that accepts</w:t>
            </w:r>
            <w:r w:rsidR="00886467">
              <w:t xml:space="preserve"> for disposal</w:t>
            </w:r>
            <w:r w:rsidRPr="00D24BBA">
              <w:t xml:space="preserve"> only virgin excavated natural material.</w:t>
            </w:r>
            <w:r w:rsidRPr="00D24BBA">
              <w:rPr>
                <w:b/>
                <w:bCs/>
              </w:rPr>
              <w:t xml:space="preserve"> </w:t>
            </w:r>
            <w:proofErr w:type="spellStart"/>
            <w:r w:rsidRPr="008D644D">
              <w:t>Cleanfill</w:t>
            </w:r>
            <w:proofErr w:type="spellEnd"/>
            <w:r w:rsidRPr="008D644D">
              <w:t xml:space="preserve"> material is material that</w:t>
            </w:r>
            <w:r>
              <w:t>,</w:t>
            </w:r>
            <w:r w:rsidRPr="008D644D">
              <w:t xml:space="preserve"> when buried</w:t>
            </w:r>
            <w:r>
              <w:t>,</w:t>
            </w:r>
            <w:r w:rsidRPr="008D644D">
              <w:t xml:space="preserve"> will have no adverse effect on people or the environment.</w:t>
            </w:r>
            <w:r>
              <w:t xml:space="preserve"> </w:t>
            </w:r>
            <w:r w:rsidRPr="008D644D">
              <w:t>It includes virgin natural materials such as clay, soil and rock, and other inert materials such as concrete or brick that are free of:</w:t>
            </w:r>
          </w:p>
          <w:p w14:paraId="5D96043E" w14:textId="77777777" w:rsidR="00616FDE" w:rsidRPr="00103563" w:rsidRDefault="00616FDE" w:rsidP="00103563">
            <w:pPr>
              <w:pStyle w:val="Boxbullet"/>
            </w:pPr>
            <w:r w:rsidRPr="00103563">
              <w:t>combustible, putrescible, degradable or leachable components</w:t>
            </w:r>
          </w:p>
          <w:p w14:paraId="5F2DAEFD" w14:textId="77777777" w:rsidR="00616FDE" w:rsidRPr="00103563" w:rsidRDefault="00616FDE" w:rsidP="00103563">
            <w:pPr>
              <w:pStyle w:val="Boxbullet"/>
            </w:pPr>
            <w:r w:rsidRPr="00103563">
              <w:t>hazardous substances</w:t>
            </w:r>
          </w:p>
          <w:p w14:paraId="769F1266" w14:textId="77777777" w:rsidR="00616FDE" w:rsidRPr="00103563" w:rsidRDefault="00616FDE" w:rsidP="00103563">
            <w:pPr>
              <w:pStyle w:val="Boxbullet"/>
            </w:pPr>
            <w:r w:rsidRPr="00103563">
              <w:t>products or materials derived from hazardous waste treatment, hazardous waste stabilisation or hazardous waste disposal practices</w:t>
            </w:r>
          </w:p>
          <w:p w14:paraId="4F91C1DF" w14:textId="73667A15" w:rsidR="00616FDE" w:rsidRPr="00103563" w:rsidRDefault="00616FDE" w:rsidP="00103563">
            <w:pPr>
              <w:pStyle w:val="Boxbullet"/>
            </w:pPr>
            <w:r w:rsidRPr="00103563">
              <w:t>materials that may present a risk to human or animal health</w:t>
            </w:r>
            <w:r w:rsidR="006304FA">
              <w:t>,</w:t>
            </w:r>
            <w:r w:rsidRPr="00103563">
              <w:t xml:space="preserve"> such as medical and veterinary waste, asbestos or radioactive substances</w:t>
            </w:r>
          </w:p>
          <w:p w14:paraId="25C77ABB" w14:textId="77777777" w:rsidR="00616FDE" w:rsidRPr="00103563" w:rsidRDefault="00616FDE" w:rsidP="00103563">
            <w:pPr>
              <w:pStyle w:val="Boxbullet"/>
            </w:pPr>
            <w:r w:rsidRPr="00103563">
              <w:t>liquid waste.</w:t>
            </w:r>
          </w:p>
          <w:p w14:paraId="70BC0EEE" w14:textId="5C286334" w:rsidR="00616FDE" w:rsidRPr="00D24BBA" w:rsidRDefault="00616FDE">
            <w:pPr>
              <w:pStyle w:val="Blueboxtext"/>
            </w:pPr>
            <w:r w:rsidRPr="00D24BBA">
              <w:rPr>
                <w:b/>
                <w:bCs/>
              </w:rPr>
              <w:t xml:space="preserve">Industrial </w:t>
            </w:r>
            <w:proofErr w:type="spellStart"/>
            <w:r w:rsidRPr="00D24BBA">
              <w:rPr>
                <w:b/>
                <w:bCs/>
              </w:rPr>
              <w:t>monofill</w:t>
            </w:r>
            <w:proofErr w:type="spellEnd"/>
            <w:r w:rsidRPr="00D24BBA">
              <w:rPr>
                <w:b/>
                <w:bCs/>
              </w:rPr>
              <w:t xml:space="preserve"> facility </w:t>
            </w:r>
            <w:r w:rsidRPr="00D24BBA">
              <w:t>means a facility that accepts for disposal waste that discharges or could discharge contaminants or emissions and is generated from a single industrial process (for example, steel or aluminium making, or pulp and paper making).</w:t>
            </w:r>
            <w:r w:rsidR="00763AC4">
              <w:t xml:space="preserve"> </w:t>
            </w:r>
          </w:p>
          <w:p w14:paraId="7995A6BC" w14:textId="4A0D6CE8" w:rsidR="00616FDE" w:rsidRPr="00345928" w:rsidRDefault="00616FDE">
            <w:pPr>
              <w:pStyle w:val="Blueboxtext"/>
            </w:pPr>
            <w:r w:rsidRPr="00D24BBA">
              <w:rPr>
                <w:b/>
                <w:bCs/>
              </w:rPr>
              <w:t xml:space="preserve">Transfer stations </w:t>
            </w:r>
            <w:r w:rsidRPr="00661444">
              <w:t>are facilities that contain a designated receiving area where waste is received, and from which waste (or any material derived from that waste) is transferred to a final disposal site or elsewhere for further processing. Transfer stations do not provide long-term storage for waste or material derived from that waste.</w:t>
            </w:r>
            <w:r w:rsidR="00763AC4">
              <w:t xml:space="preserve"> </w:t>
            </w:r>
          </w:p>
        </w:tc>
      </w:tr>
    </w:tbl>
    <w:p w14:paraId="2ECB7EF1" w14:textId="77777777" w:rsidR="00616FDE" w:rsidRDefault="00616FDE" w:rsidP="00616FDE">
      <w:pPr>
        <w:pStyle w:val="BodyText"/>
      </w:pPr>
    </w:p>
    <w:p w14:paraId="354A6D37" w14:textId="77777777" w:rsidR="00616FDE" w:rsidRDefault="00616FDE" w:rsidP="00616FDE">
      <w:pPr>
        <w:pStyle w:val="Bullet"/>
        <w:numPr>
          <w:ilvl w:val="0"/>
          <w:numId w:val="0"/>
        </w:numPr>
      </w:pPr>
      <w:r>
        <w:t>Further changes to record-keeping and reporting regulations were made in September 2023 to support these improvements, including requirements for:</w:t>
      </w:r>
    </w:p>
    <w:p w14:paraId="034CA19E" w14:textId="77777777" w:rsidR="00616FDE" w:rsidRPr="001337A3" w:rsidRDefault="00616FDE" w:rsidP="00616FDE">
      <w:pPr>
        <w:pStyle w:val="Bullet"/>
      </w:pPr>
      <w:r>
        <w:t xml:space="preserve">territorial authorities to report annually on </w:t>
      </w:r>
      <w:r w:rsidRPr="001337A3">
        <w:t>what they spent their levy funds on, and what waste minimisation services, facilities and activities they have provided (from 1 July 2024)</w:t>
      </w:r>
    </w:p>
    <w:p w14:paraId="2DE0CB38" w14:textId="3D9E4F7E" w:rsidR="00616FDE" w:rsidRPr="001337A3" w:rsidRDefault="00616FDE" w:rsidP="00616FDE">
      <w:pPr>
        <w:pStyle w:val="Bullet"/>
      </w:pPr>
      <w:r w:rsidRPr="001337A3">
        <w:lastRenderedPageBreak/>
        <w:t>waste sites to report the type of activity that generated the waste they are handling/disposing of (</w:t>
      </w:r>
      <w:proofErr w:type="spellStart"/>
      <w:r w:rsidRPr="001337A3">
        <w:t>eg</w:t>
      </w:r>
      <w:proofErr w:type="spellEnd"/>
      <w:r w:rsidRPr="001337A3">
        <w:t>, waste from households, construction and demolition) (from 1</w:t>
      </w:r>
      <w:r w:rsidR="00BD2191">
        <w:t> </w:t>
      </w:r>
      <w:r w:rsidRPr="001337A3">
        <w:t>July 2024)</w:t>
      </w:r>
    </w:p>
    <w:p w14:paraId="23E0EC41" w14:textId="77777777" w:rsidR="00616FDE" w:rsidRDefault="00616FDE" w:rsidP="00616FDE">
      <w:pPr>
        <w:pStyle w:val="Bullet"/>
      </w:pPr>
      <w:r>
        <w:t>improvements to the conversion factors used to convert volume-based measures of waste to tonnages (for sites that do not have access to a weighbridge).</w:t>
      </w:r>
    </w:p>
    <w:p w14:paraId="06D439FB" w14:textId="77777777" w:rsidR="00616FDE" w:rsidRDefault="00616FDE" w:rsidP="00616FDE">
      <w:pPr>
        <w:pStyle w:val="Heading2"/>
      </w:pPr>
      <w:bookmarkStart w:id="13" w:name="_Toc177022839"/>
      <w:r>
        <w:t>The Ministry has improved how it collects, administers and invests the levy</w:t>
      </w:r>
      <w:bookmarkEnd w:id="13"/>
    </w:p>
    <w:p w14:paraId="16C106C9" w14:textId="0D114FB4" w:rsidR="00616FDE" w:rsidRDefault="00616FDE" w:rsidP="00616FDE">
      <w:pPr>
        <w:pStyle w:val="BodyText"/>
      </w:pPr>
      <w:r>
        <w:t xml:space="preserve">Alongside the changes to the rate and coverage of the levy, supporting changes have been made to Ministry for the Environment </w:t>
      </w:r>
      <w:r w:rsidR="001474BB">
        <w:t xml:space="preserve">(Ministry) </w:t>
      </w:r>
      <w:r>
        <w:t xml:space="preserve">processes for collecting and administering the levy, and for its investment. </w:t>
      </w:r>
    </w:p>
    <w:p w14:paraId="677207B1" w14:textId="77777777" w:rsidR="00616FDE" w:rsidRDefault="00616FDE" w:rsidP="00616FDE">
      <w:pPr>
        <w:pStyle w:val="Heading3"/>
      </w:pPr>
      <w:r>
        <w:t>Investment</w:t>
      </w:r>
    </w:p>
    <w:p w14:paraId="1C9DF110" w14:textId="702831ED" w:rsidR="00616FDE" w:rsidRDefault="00616FDE" w:rsidP="00616FDE">
      <w:pPr>
        <w:pStyle w:val="BodyText"/>
      </w:pPr>
      <w:r>
        <w:t xml:space="preserve">As noted above, some of the levy is distributed to territorial authorities to spend on waste minimisation, and some is invested by central government for that purpose. The Ministry currently administers two related waste minimisation funds using levy money, as outlined in </w:t>
      </w:r>
      <w:r w:rsidR="00E952F6">
        <w:fldChar w:fldCharType="begin"/>
      </w:r>
      <w:r w:rsidR="00E952F6">
        <w:instrText xml:space="preserve"> REF _Ref153448424 \h \* lower </w:instrText>
      </w:r>
      <w:r w:rsidR="00E952F6">
        <w:fldChar w:fldCharType="separate"/>
      </w:r>
      <w:r w:rsidR="00587F2B">
        <w:t xml:space="preserve">table </w:t>
      </w:r>
      <w:r w:rsidR="00587F2B">
        <w:rPr>
          <w:noProof/>
        </w:rPr>
        <w:t>2</w:t>
      </w:r>
      <w:r w:rsidR="00E952F6">
        <w:fldChar w:fldCharType="end"/>
      </w:r>
      <w:r>
        <w:t xml:space="preserve">. </w:t>
      </w:r>
    </w:p>
    <w:p w14:paraId="5215D9EE" w14:textId="39C8EC29" w:rsidR="005B0C9C" w:rsidRDefault="005B0C9C" w:rsidP="008558C9">
      <w:pPr>
        <w:pStyle w:val="Tableheading"/>
      </w:pPr>
      <w:bookmarkStart w:id="14" w:name="_Ref153448424"/>
      <w:bookmarkStart w:id="15" w:name="_Toc177022850"/>
      <w:r>
        <w:t xml:space="preserve">Table </w:t>
      </w:r>
      <w:r>
        <w:fldChar w:fldCharType="begin"/>
      </w:r>
      <w:r>
        <w:instrText xml:space="preserve"> SEQ Table \* ARABIC </w:instrText>
      </w:r>
      <w:r>
        <w:fldChar w:fldCharType="separate"/>
      </w:r>
      <w:r w:rsidR="00587F2B">
        <w:rPr>
          <w:noProof/>
        </w:rPr>
        <w:t>2</w:t>
      </w:r>
      <w:r>
        <w:rPr>
          <w:noProof/>
        </w:rPr>
        <w:fldChar w:fldCharType="end"/>
      </w:r>
      <w:bookmarkEnd w:id="14"/>
      <w:r>
        <w:t xml:space="preserve">: </w:t>
      </w:r>
      <w:r w:rsidR="00E952F6">
        <w:tab/>
      </w:r>
      <w:r>
        <w:t>Levy funds administered by the Ministry for the Environment</w:t>
      </w:r>
      <w:bookmarkEnd w:id="15"/>
    </w:p>
    <w:tbl>
      <w:tblPr>
        <w:tblStyle w:val="MinistryfortheEnvironment"/>
        <w:tblW w:w="8789" w:type="dxa"/>
        <w:tblLook w:val="04A0" w:firstRow="1" w:lastRow="0" w:firstColumn="1" w:lastColumn="0" w:noHBand="0" w:noVBand="1"/>
      </w:tblPr>
      <w:tblGrid>
        <w:gridCol w:w="1701"/>
        <w:gridCol w:w="3119"/>
        <w:gridCol w:w="3969"/>
      </w:tblGrid>
      <w:tr w:rsidR="00616FDE" w:rsidRPr="00F40B2D" w14:paraId="2243BAF2" w14:textId="77777777" w:rsidTr="00103563">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1B556B"/>
          </w:tcPr>
          <w:p w14:paraId="10026D81" w14:textId="77777777" w:rsidR="00616FDE" w:rsidRPr="00F40B2D" w:rsidRDefault="00616FDE">
            <w:pPr>
              <w:pStyle w:val="TableTextbold"/>
              <w:keepNext/>
              <w:rPr>
                <w:b/>
                <w:bCs/>
              </w:rPr>
            </w:pPr>
            <w:r w:rsidRPr="00F40B2D">
              <w:rPr>
                <w:b/>
                <w:bCs/>
              </w:rPr>
              <w:t>Fund</w:t>
            </w:r>
          </w:p>
        </w:tc>
        <w:tc>
          <w:tcPr>
            <w:tcW w:w="3119" w:type="dxa"/>
            <w:shd w:val="clear" w:color="auto" w:fill="1B556B"/>
          </w:tcPr>
          <w:p w14:paraId="482FB352" w14:textId="77777777" w:rsidR="00616FDE" w:rsidRPr="00F40B2D" w:rsidRDefault="00616FDE">
            <w:pPr>
              <w:pStyle w:val="TableTextbold"/>
              <w:keepNext/>
              <w:rPr>
                <w:b/>
                <w:bCs/>
              </w:rPr>
            </w:pPr>
            <w:r w:rsidRPr="00F40B2D">
              <w:rPr>
                <w:b/>
                <w:bCs/>
              </w:rPr>
              <w:t>Purpose</w:t>
            </w:r>
          </w:p>
        </w:tc>
        <w:tc>
          <w:tcPr>
            <w:tcW w:w="3969" w:type="dxa"/>
            <w:shd w:val="clear" w:color="auto" w:fill="1B556B"/>
          </w:tcPr>
          <w:p w14:paraId="68FF393D" w14:textId="77777777" w:rsidR="00616FDE" w:rsidRPr="00F40B2D" w:rsidRDefault="00616FDE">
            <w:pPr>
              <w:pStyle w:val="TableTextbold"/>
              <w:keepNext/>
              <w:rPr>
                <w:b/>
                <w:bCs/>
              </w:rPr>
            </w:pPr>
            <w:r>
              <w:rPr>
                <w:b/>
                <w:bCs/>
              </w:rPr>
              <w:t>Process for applications</w:t>
            </w:r>
          </w:p>
        </w:tc>
      </w:tr>
      <w:tr w:rsidR="00616FDE" w:rsidRPr="006B77BB" w14:paraId="55A79502" w14:textId="77777777" w:rsidTr="00103563">
        <w:tc>
          <w:tcPr>
            <w:tcW w:w="1701" w:type="dxa"/>
          </w:tcPr>
          <w:p w14:paraId="1B678AF7" w14:textId="77777777" w:rsidR="00616FDE" w:rsidRPr="006B77BB" w:rsidRDefault="00616FDE">
            <w:pPr>
              <w:pStyle w:val="TableText"/>
            </w:pPr>
            <w:r>
              <w:t>Plastics Innovation Fund (PIF)</w:t>
            </w:r>
          </w:p>
        </w:tc>
        <w:tc>
          <w:tcPr>
            <w:tcW w:w="3119" w:type="dxa"/>
          </w:tcPr>
          <w:p w14:paraId="2C52C0FF" w14:textId="1BE8BD33" w:rsidR="00447A62" w:rsidRDefault="00616FDE">
            <w:pPr>
              <w:pStyle w:val="TableText"/>
            </w:pPr>
            <w:r>
              <w:t xml:space="preserve">The PIF was launched in </w:t>
            </w:r>
            <w:r w:rsidRPr="00923CD0">
              <w:t>November</w:t>
            </w:r>
            <w:r w:rsidR="00447A62">
              <w:t> </w:t>
            </w:r>
            <w:r w:rsidRPr="00923CD0">
              <w:t>2021</w:t>
            </w:r>
            <w:r>
              <w:t xml:space="preserve"> </w:t>
            </w:r>
            <w:r w:rsidR="00E86457">
              <w:t xml:space="preserve">and closed in </w:t>
            </w:r>
            <w:r w:rsidR="00685A02">
              <w:t>2023</w:t>
            </w:r>
            <w:r w:rsidR="00E86457">
              <w:t xml:space="preserve">. The PIF supported </w:t>
            </w:r>
            <w:r>
              <w:t>projects that will minimise plastic waste and its harm on the environment. It aims to invest $50 million of levy revenue over four years in innovative projects to find ways to</w:t>
            </w:r>
            <w:r w:rsidR="00447A62">
              <w:t>:</w:t>
            </w:r>
          </w:p>
          <w:p w14:paraId="6548B127" w14:textId="77777777" w:rsidR="00447A62" w:rsidRDefault="00616FDE" w:rsidP="00447A62">
            <w:pPr>
              <w:pStyle w:val="TableBullet"/>
            </w:pPr>
            <w:r>
              <w:t>use less plastic</w:t>
            </w:r>
          </w:p>
          <w:p w14:paraId="7332CF53" w14:textId="685FD945" w:rsidR="00447A62" w:rsidRDefault="00616FDE" w:rsidP="00447A62">
            <w:pPr>
              <w:pStyle w:val="TableBullet"/>
            </w:pPr>
            <w:r>
              <w:t>introduce circular solutions</w:t>
            </w:r>
          </w:p>
          <w:p w14:paraId="2A31A192" w14:textId="088F98FF" w:rsidR="00447A62" w:rsidRDefault="00616FDE" w:rsidP="00447A62">
            <w:pPr>
              <w:pStyle w:val="TableBullet"/>
            </w:pPr>
            <w:r>
              <w:t>reduce imported virgin plastics</w:t>
            </w:r>
          </w:p>
          <w:p w14:paraId="6E4AF048" w14:textId="0460B74F" w:rsidR="00616FDE" w:rsidRPr="006B77BB" w:rsidRDefault="00616FDE" w:rsidP="00FA4D51">
            <w:pPr>
              <w:pStyle w:val="TableBullet"/>
            </w:pPr>
            <w:r>
              <w:t xml:space="preserve">improve end-user behaviour. </w:t>
            </w:r>
          </w:p>
        </w:tc>
        <w:tc>
          <w:tcPr>
            <w:tcW w:w="3969" w:type="dxa"/>
          </w:tcPr>
          <w:p w14:paraId="4BF0F018" w14:textId="4AAF1E4D" w:rsidR="00616FDE" w:rsidRDefault="00616FDE">
            <w:pPr>
              <w:pStyle w:val="TableText"/>
              <w:rPr>
                <w:noProof/>
              </w:rPr>
            </w:pPr>
            <w:r>
              <w:rPr>
                <w:noProof/>
              </w:rPr>
              <w:t xml:space="preserve">The PIF </w:t>
            </w:r>
            <w:r w:rsidR="00685A02">
              <w:rPr>
                <w:noProof/>
              </w:rPr>
              <w:t>was</w:t>
            </w:r>
            <w:r>
              <w:rPr>
                <w:noProof/>
              </w:rPr>
              <w:t xml:space="preserve"> designed to be applicant-centric and strategically aligned. Key features of the PIF process are that it:</w:t>
            </w:r>
          </w:p>
          <w:p w14:paraId="75379EF5" w14:textId="3B2A4278" w:rsidR="00616FDE" w:rsidRDefault="006707D0" w:rsidP="00616FDE">
            <w:pPr>
              <w:pStyle w:val="TableBullet"/>
              <w:rPr>
                <w:noProof/>
              </w:rPr>
            </w:pPr>
            <w:r>
              <w:t xml:space="preserve">provided </w:t>
            </w:r>
            <w:r w:rsidR="00616FDE">
              <w:t xml:space="preserve">applicants with interactive pre-application support, including webinars, videos and one-on-one meetings to discuss potential projects and their alignment to </w:t>
            </w:r>
            <w:r w:rsidR="00447A62">
              <w:t>PIF</w:t>
            </w:r>
            <w:r w:rsidR="00616FDE">
              <w:t xml:space="preserve"> criteria </w:t>
            </w:r>
          </w:p>
          <w:p w14:paraId="71DA1FD3" w14:textId="5F44CEE8" w:rsidR="00616FDE" w:rsidRDefault="006707D0" w:rsidP="00616FDE">
            <w:pPr>
              <w:pStyle w:val="TableBullet"/>
              <w:rPr>
                <w:noProof/>
              </w:rPr>
            </w:pPr>
            <w:r>
              <w:t xml:space="preserve">allowed </w:t>
            </w:r>
            <w:r w:rsidR="00616FDE">
              <w:t xml:space="preserve">applicants to respond to feedback in their final submissions </w:t>
            </w:r>
          </w:p>
          <w:p w14:paraId="5803E78C" w14:textId="6DC287E6" w:rsidR="00616FDE" w:rsidRDefault="006707D0" w:rsidP="00616FDE">
            <w:pPr>
              <w:pStyle w:val="TableBullet"/>
              <w:rPr>
                <w:noProof/>
              </w:rPr>
            </w:pPr>
            <w:r>
              <w:t xml:space="preserve">offered </w:t>
            </w:r>
            <w:r w:rsidR="00616FDE">
              <w:t xml:space="preserve">agile decision-making, aligned to clear objectives </w:t>
            </w:r>
          </w:p>
          <w:p w14:paraId="28D6D67A" w14:textId="5AE478CA" w:rsidR="00616FDE" w:rsidRDefault="006707D0" w:rsidP="00616FDE">
            <w:pPr>
              <w:pStyle w:val="TableBullet"/>
              <w:rPr>
                <w:noProof/>
              </w:rPr>
            </w:pPr>
            <w:r>
              <w:t xml:space="preserve">provided </w:t>
            </w:r>
            <w:r w:rsidR="00616FDE">
              <w:t>review, assessment and moderation</w:t>
            </w:r>
            <w:r w:rsidR="00FE2777">
              <w:t>,</w:t>
            </w:r>
            <w:r w:rsidR="00616FDE">
              <w:t xml:space="preserve"> combined with access to a pool of internal and external subject-matter experts </w:t>
            </w:r>
          </w:p>
          <w:p w14:paraId="54EEE062" w14:textId="09FACF81" w:rsidR="00616FDE" w:rsidRDefault="006707D0" w:rsidP="00616FDE">
            <w:pPr>
              <w:pStyle w:val="TableBullet"/>
              <w:rPr>
                <w:noProof/>
              </w:rPr>
            </w:pPr>
            <w:r>
              <w:t xml:space="preserve">ran </w:t>
            </w:r>
            <w:r w:rsidR="00E56E8B">
              <w:t>eight</w:t>
            </w:r>
            <w:r w:rsidR="00616FDE">
              <w:t>-month funding rounds</w:t>
            </w:r>
            <w:r w:rsidR="00E56E8B">
              <w:t>,</w:t>
            </w:r>
            <w:r w:rsidR="00616FDE">
              <w:t xml:space="preserve"> each with a specific focus</w:t>
            </w:r>
          </w:p>
          <w:p w14:paraId="6B22F62D" w14:textId="75F72D79" w:rsidR="00616FDE" w:rsidRDefault="006707D0" w:rsidP="00616FDE">
            <w:pPr>
              <w:pStyle w:val="TableBullet"/>
              <w:rPr>
                <w:noProof/>
              </w:rPr>
            </w:pPr>
            <w:r>
              <w:t xml:space="preserve">was </w:t>
            </w:r>
            <w:r w:rsidR="00616FDE">
              <w:t xml:space="preserve">a contestable and competitive process. </w:t>
            </w:r>
          </w:p>
          <w:p w14:paraId="374B0FBD" w14:textId="48185167" w:rsidR="00616FDE" w:rsidRPr="006B77BB" w:rsidRDefault="00616FDE">
            <w:pPr>
              <w:pStyle w:val="TableText"/>
            </w:pPr>
            <w:r>
              <w:t>After introduction of this approach for</w:t>
            </w:r>
            <w:r w:rsidR="00E56E8B">
              <w:t xml:space="preserve"> the</w:t>
            </w:r>
            <w:r>
              <w:t xml:space="preserve"> PIF, a similar approach was made standard for the WMF as well, although the WMF operates </w:t>
            </w:r>
            <w:proofErr w:type="gramStart"/>
            <w:r>
              <w:t>year</w:t>
            </w:r>
            <w:r w:rsidR="00E56E8B">
              <w:t xml:space="preserve"> </w:t>
            </w:r>
            <w:r>
              <w:t>round</w:t>
            </w:r>
            <w:proofErr w:type="gramEnd"/>
            <w:r>
              <w:t xml:space="preserve">. </w:t>
            </w:r>
          </w:p>
        </w:tc>
      </w:tr>
      <w:tr w:rsidR="00616FDE" w:rsidRPr="006B77BB" w14:paraId="2E4CBF5F" w14:textId="77777777" w:rsidTr="00103563">
        <w:tc>
          <w:tcPr>
            <w:tcW w:w="1701" w:type="dxa"/>
          </w:tcPr>
          <w:p w14:paraId="190C5548" w14:textId="77777777" w:rsidR="00616FDE" w:rsidRPr="006B77BB" w:rsidRDefault="00616FDE">
            <w:pPr>
              <w:pStyle w:val="TableText"/>
            </w:pPr>
            <w:r>
              <w:t>Waste Minimisation Fund (WMF)</w:t>
            </w:r>
          </w:p>
        </w:tc>
        <w:tc>
          <w:tcPr>
            <w:tcW w:w="3119" w:type="dxa"/>
          </w:tcPr>
          <w:p w14:paraId="09305FAF" w14:textId="22BE3ADA" w:rsidR="00616FDE" w:rsidRDefault="00616FDE">
            <w:pPr>
              <w:pStyle w:val="TableText"/>
            </w:pPr>
            <w:r>
              <w:t>The WMF supports projects that increase reuse, recovery, and recycling</w:t>
            </w:r>
            <w:r w:rsidR="00AE670A">
              <w:t>;</w:t>
            </w:r>
            <w:r>
              <w:t xml:space="preserve"> decrease waste to landfill</w:t>
            </w:r>
            <w:r w:rsidR="00AE670A">
              <w:t>;</w:t>
            </w:r>
            <w:r>
              <w:t xml:space="preserve"> or tackle single-use items or litter. The goal is to:</w:t>
            </w:r>
          </w:p>
          <w:p w14:paraId="1FD37CB7" w14:textId="77777777" w:rsidR="00616FDE" w:rsidRDefault="00616FDE" w:rsidP="00616FDE">
            <w:pPr>
              <w:pStyle w:val="TableBullet"/>
            </w:pPr>
            <w:r w:rsidRPr="0043436B">
              <w:rPr>
                <w:b/>
                <w:bCs/>
              </w:rPr>
              <w:t>accelerate system level change</w:t>
            </w:r>
            <w:r>
              <w:t xml:space="preserve"> – supporting initiatives that change </w:t>
            </w:r>
            <w:r>
              <w:lastRenderedPageBreak/>
              <w:t>the way we create and manage waste</w:t>
            </w:r>
          </w:p>
          <w:p w14:paraId="0F643E8B" w14:textId="77777777" w:rsidR="00616FDE" w:rsidRDefault="00616FDE" w:rsidP="00616FDE">
            <w:pPr>
              <w:pStyle w:val="TableBullet"/>
            </w:pPr>
            <w:r w:rsidRPr="00503AF2">
              <w:rPr>
                <w:b/>
                <w:bCs/>
              </w:rPr>
              <w:t>shift attitudes and behaviours higher up the waste hierarchy</w:t>
            </w:r>
            <w:r>
              <w:t xml:space="preserve"> – changing the behaviours of individuals and organisations is essential to achieve waste minimisation goals</w:t>
            </w:r>
          </w:p>
          <w:p w14:paraId="13C0079B" w14:textId="77777777" w:rsidR="00616FDE" w:rsidRPr="00503AF2" w:rsidRDefault="00616FDE" w:rsidP="00616FDE">
            <w:pPr>
              <w:pStyle w:val="TableBullet"/>
              <w:rPr>
                <w:b/>
                <w:bCs/>
              </w:rPr>
            </w:pPr>
            <w:r w:rsidRPr="00503AF2">
              <w:rPr>
                <w:b/>
                <w:bCs/>
              </w:rPr>
              <w:t>protect the environment from harm, including greenhouse gas emissions</w:t>
            </w:r>
            <w:r>
              <w:rPr>
                <w:b/>
                <w:bCs/>
              </w:rPr>
              <w:t xml:space="preserve"> </w:t>
            </w:r>
            <w:r>
              <w:t>– to reduce emissions from waste, without causing environmental harm in other ways</w:t>
            </w:r>
          </w:p>
          <w:p w14:paraId="48F0861F" w14:textId="12EE4F77" w:rsidR="00616FDE" w:rsidRPr="006B77BB" w:rsidRDefault="00616FDE" w:rsidP="00616FDE">
            <w:pPr>
              <w:pStyle w:val="TableBullet"/>
            </w:pPr>
            <w:r w:rsidRPr="00503AF2">
              <w:rPr>
                <w:b/>
                <w:bCs/>
              </w:rPr>
              <w:t>increase reuse, recycling and recovery of resources</w:t>
            </w:r>
            <w:r>
              <w:t xml:space="preserve"> – </w:t>
            </w:r>
            <w:r w:rsidR="00F42D96">
              <w:t xml:space="preserve">providing </w:t>
            </w:r>
            <w:r>
              <w:t>support for resource</w:t>
            </w:r>
            <w:r w:rsidR="003B52E0">
              <w:t xml:space="preserve"> </w:t>
            </w:r>
            <w:r>
              <w:t>recovery facilities and investment in capital infrastructure</w:t>
            </w:r>
            <w:r w:rsidR="00F42D96">
              <w:t>,</w:t>
            </w:r>
            <w:r>
              <w:t xml:space="preserve"> to support reuse and recycling.</w:t>
            </w:r>
          </w:p>
        </w:tc>
        <w:tc>
          <w:tcPr>
            <w:tcW w:w="3969" w:type="dxa"/>
          </w:tcPr>
          <w:p w14:paraId="4E5631AC" w14:textId="220609F1" w:rsidR="00616FDE" w:rsidRDefault="005C51D4" w:rsidP="00FA4D51">
            <w:pPr>
              <w:pStyle w:val="TableText"/>
            </w:pPr>
            <w:r>
              <w:lastRenderedPageBreak/>
              <w:t>T</w:t>
            </w:r>
            <w:r w:rsidR="00616FDE">
              <w:t>he WMF follows the same approach as the</w:t>
            </w:r>
            <w:r>
              <w:t> </w:t>
            </w:r>
            <w:r w:rsidR="00616FDE">
              <w:t>PIF</w:t>
            </w:r>
            <w:r w:rsidR="00AE3364">
              <w:t>, namely to</w:t>
            </w:r>
            <w:r w:rsidR="00616FDE">
              <w:t>:</w:t>
            </w:r>
          </w:p>
          <w:p w14:paraId="5BBC683A" w14:textId="77777777" w:rsidR="00616FDE" w:rsidRDefault="00616FDE" w:rsidP="00616FDE">
            <w:pPr>
              <w:pStyle w:val="TableBullet"/>
            </w:pPr>
            <w:r>
              <w:t>shift from short funding rounds to an ‘always open’ model</w:t>
            </w:r>
          </w:p>
          <w:p w14:paraId="65F7639E" w14:textId="3898F5C9" w:rsidR="00616FDE" w:rsidRDefault="00616FDE" w:rsidP="00616FDE">
            <w:pPr>
              <w:pStyle w:val="TableBullet"/>
            </w:pPr>
            <w:r>
              <w:t xml:space="preserve">focus on initiatives that make the greatest impact (including increased minimum grant sizes ($50,000 for research and development, </w:t>
            </w:r>
            <w:r>
              <w:lastRenderedPageBreak/>
              <w:t>business cases or innovation projects</w:t>
            </w:r>
            <w:r w:rsidR="00850AB2">
              <w:t>,</w:t>
            </w:r>
            <w:r>
              <w:t xml:space="preserve"> and $150,000 for all other project types)</w:t>
            </w:r>
          </w:p>
          <w:p w14:paraId="5EB5897A" w14:textId="77777777" w:rsidR="00616FDE" w:rsidRDefault="00616FDE" w:rsidP="00616FDE">
            <w:pPr>
              <w:pStyle w:val="TableBullet"/>
            </w:pPr>
            <w:r>
              <w:t xml:space="preserve">clear investment signals and eligibility criteria so applicants know if they are likely to be successful. </w:t>
            </w:r>
          </w:p>
          <w:p w14:paraId="7567E86E" w14:textId="77777777" w:rsidR="00616FDE" w:rsidRDefault="00616FDE">
            <w:pPr>
              <w:pStyle w:val="TableDash"/>
              <w:numPr>
                <w:ilvl w:val="0"/>
                <w:numId w:val="0"/>
              </w:numPr>
              <w:ind w:left="567" w:hanging="283"/>
            </w:pPr>
          </w:p>
        </w:tc>
      </w:tr>
    </w:tbl>
    <w:p w14:paraId="4FC139F7" w14:textId="24FBD7BB" w:rsidR="00616FDE" w:rsidRDefault="00616FDE" w:rsidP="00616FDE">
      <w:pPr>
        <w:pStyle w:val="BodyText"/>
      </w:pPr>
      <w:r>
        <w:lastRenderedPageBreak/>
        <w:t xml:space="preserve">Recent improvements to how the funds are administered are outlined in </w:t>
      </w:r>
      <w:r w:rsidR="00850AB2">
        <w:fldChar w:fldCharType="begin"/>
      </w:r>
      <w:r w:rsidR="00850AB2">
        <w:instrText xml:space="preserve"> REF _Ref153449476 \h \* lower </w:instrText>
      </w:r>
      <w:r w:rsidR="00850AB2">
        <w:fldChar w:fldCharType="separate"/>
      </w:r>
      <w:r w:rsidR="00587F2B">
        <w:t xml:space="preserve">table </w:t>
      </w:r>
      <w:r w:rsidR="00587F2B">
        <w:rPr>
          <w:noProof/>
        </w:rPr>
        <w:t>3</w:t>
      </w:r>
      <w:r w:rsidR="00850AB2">
        <w:fldChar w:fldCharType="end"/>
      </w:r>
      <w:r>
        <w:t xml:space="preserve">. </w:t>
      </w:r>
      <w:r w:rsidR="00530DDD">
        <w:t>Implementation of t</w:t>
      </w:r>
      <w:r>
        <w:t>hese changes started during the review period, although some are ongoing.</w:t>
      </w:r>
    </w:p>
    <w:p w14:paraId="30C2C713" w14:textId="5776ABA3" w:rsidR="00850AB2" w:rsidRDefault="00850AB2" w:rsidP="004C4CF3">
      <w:pPr>
        <w:pStyle w:val="Tableheading"/>
      </w:pPr>
      <w:bookmarkStart w:id="16" w:name="_Ref153449476"/>
      <w:bookmarkStart w:id="17" w:name="_Toc177022851"/>
      <w:r>
        <w:t xml:space="preserve">Table </w:t>
      </w:r>
      <w:r>
        <w:fldChar w:fldCharType="begin"/>
      </w:r>
      <w:r>
        <w:instrText xml:space="preserve"> SEQ Table \* ARABIC </w:instrText>
      </w:r>
      <w:r>
        <w:fldChar w:fldCharType="separate"/>
      </w:r>
      <w:r w:rsidR="00587F2B">
        <w:rPr>
          <w:noProof/>
        </w:rPr>
        <w:t>3</w:t>
      </w:r>
      <w:r>
        <w:rPr>
          <w:noProof/>
        </w:rPr>
        <w:fldChar w:fldCharType="end"/>
      </w:r>
      <w:bookmarkEnd w:id="16"/>
      <w:r>
        <w:t xml:space="preserve">: </w:t>
      </w:r>
      <w:r>
        <w:tab/>
      </w:r>
      <w:r w:rsidRPr="00965F1B">
        <w:t>Changes to how the Ministry for the Environment administers waste minimisation funds</w:t>
      </w:r>
      <w:bookmarkEnd w:id="17"/>
    </w:p>
    <w:tbl>
      <w:tblPr>
        <w:tblStyle w:val="MinistryfortheEnvironment"/>
        <w:tblW w:w="0" w:type="auto"/>
        <w:tblLook w:val="04A0" w:firstRow="1" w:lastRow="0" w:firstColumn="1" w:lastColumn="0" w:noHBand="0" w:noVBand="1"/>
      </w:tblPr>
      <w:tblGrid>
        <w:gridCol w:w="2166"/>
        <w:gridCol w:w="2165"/>
        <w:gridCol w:w="4174"/>
      </w:tblGrid>
      <w:tr w:rsidR="00616FDE" w14:paraId="6405D321" w14:textId="77777777" w:rsidTr="004C4CF3">
        <w:trPr>
          <w:cnfStyle w:val="100000000000" w:firstRow="1" w:lastRow="0" w:firstColumn="0" w:lastColumn="0" w:oddVBand="0" w:evenVBand="0" w:oddHBand="0" w:evenHBand="0" w:firstRowFirstColumn="0" w:firstRowLastColumn="0" w:lastRowFirstColumn="0" w:lastRowLastColumn="0"/>
        </w:trPr>
        <w:tc>
          <w:tcPr>
            <w:tcW w:w="2166" w:type="dxa"/>
            <w:shd w:val="clear" w:color="auto" w:fill="1B556B"/>
          </w:tcPr>
          <w:p w14:paraId="78BE3D55" w14:textId="77777777" w:rsidR="00616FDE" w:rsidRPr="00337F78" w:rsidRDefault="00616FDE">
            <w:r w:rsidRPr="00337F78">
              <w:t>Change from:</w:t>
            </w:r>
          </w:p>
        </w:tc>
        <w:tc>
          <w:tcPr>
            <w:tcW w:w="2165" w:type="dxa"/>
            <w:shd w:val="clear" w:color="auto" w:fill="1B556B"/>
          </w:tcPr>
          <w:p w14:paraId="3543D3A6" w14:textId="77777777" w:rsidR="00616FDE" w:rsidRPr="00337F78" w:rsidRDefault="00616FDE">
            <w:r w:rsidRPr="00337F78">
              <w:t>To:</w:t>
            </w:r>
          </w:p>
        </w:tc>
        <w:tc>
          <w:tcPr>
            <w:tcW w:w="4174" w:type="dxa"/>
            <w:shd w:val="clear" w:color="auto" w:fill="1B556B"/>
          </w:tcPr>
          <w:p w14:paraId="061B6532" w14:textId="77777777" w:rsidR="00616FDE" w:rsidRPr="00337F78" w:rsidRDefault="00616FDE">
            <w:r w:rsidRPr="00337F78">
              <w:t>Benefits</w:t>
            </w:r>
          </w:p>
        </w:tc>
      </w:tr>
      <w:tr w:rsidR="00616FDE" w14:paraId="6E071D32" w14:textId="77777777" w:rsidTr="004C4CF3">
        <w:tc>
          <w:tcPr>
            <w:tcW w:w="2166" w:type="dxa"/>
          </w:tcPr>
          <w:p w14:paraId="4E817A05" w14:textId="70C2C4D5" w:rsidR="00616FDE" w:rsidRDefault="00616FDE">
            <w:pPr>
              <w:pStyle w:val="TableText"/>
            </w:pPr>
            <w:r>
              <w:rPr>
                <w:rFonts w:eastAsia="Calibri"/>
                <w:lang w:eastAsia="en-US"/>
              </w:rPr>
              <w:t>Ad</w:t>
            </w:r>
            <w:r w:rsidR="00087FBD">
              <w:rPr>
                <w:rFonts w:eastAsia="Calibri"/>
                <w:lang w:eastAsia="en-US"/>
              </w:rPr>
              <w:t xml:space="preserve"> </w:t>
            </w:r>
            <w:r>
              <w:rPr>
                <w:rFonts w:eastAsia="Calibri"/>
                <w:lang w:eastAsia="en-US"/>
              </w:rPr>
              <w:t>hoc projects</w:t>
            </w:r>
          </w:p>
        </w:tc>
        <w:tc>
          <w:tcPr>
            <w:tcW w:w="2165" w:type="dxa"/>
          </w:tcPr>
          <w:p w14:paraId="5832F445" w14:textId="77777777" w:rsidR="00616FDE" w:rsidRDefault="00616FDE">
            <w:pPr>
              <w:pStyle w:val="TableText"/>
            </w:pPr>
            <w:r>
              <w:rPr>
                <w:rFonts w:eastAsia="Calibri"/>
                <w:lang w:eastAsia="en-US"/>
              </w:rPr>
              <w:t>Strategic programmes</w:t>
            </w:r>
          </w:p>
        </w:tc>
        <w:tc>
          <w:tcPr>
            <w:tcW w:w="4174" w:type="dxa"/>
          </w:tcPr>
          <w:p w14:paraId="35D1EED5" w14:textId="77777777" w:rsidR="00616FDE" w:rsidRDefault="00616FDE" w:rsidP="00616FDE">
            <w:pPr>
              <w:pStyle w:val="TableBullet"/>
              <w:rPr>
                <w:rFonts w:eastAsia="Calibri"/>
                <w:lang w:eastAsia="en-US"/>
              </w:rPr>
            </w:pPr>
            <w:r>
              <w:rPr>
                <w:rFonts w:eastAsia="Calibri"/>
                <w:lang w:eastAsia="en-US"/>
              </w:rPr>
              <w:t xml:space="preserve">Stronger focus on high impact and scale and stronger alignment to key </w:t>
            </w:r>
            <w:r w:rsidRPr="00147B8A">
              <w:rPr>
                <w:rFonts w:eastAsia="Calibri"/>
              </w:rPr>
              <w:t>outcomes</w:t>
            </w:r>
          </w:p>
          <w:p w14:paraId="51C42D35" w14:textId="44FD82B3" w:rsidR="00616FDE" w:rsidRDefault="00616FDE" w:rsidP="00616FDE">
            <w:pPr>
              <w:pStyle w:val="TableBullet"/>
            </w:pPr>
            <w:r>
              <w:rPr>
                <w:rFonts w:eastAsia="Calibri"/>
                <w:lang w:eastAsia="en-US"/>
              </w:rPr>
              <w:t xml:space="preserve">Ability to strategically fund an integrated portfolio across </w:t>
            </w:r>
            <w:r w:rsidR="00F22096">
              <w:rPr>
                <w:rFonts w:eastAsia="Calibri"/>
                <w:lang w:eastAsia="en-US"/>
              </w:rPr>
              <w:t xml:space="preserve">projects funded by the </w:t>
            </w:r>
            <w:r>
              <w:rPr>
                <w:rFonts w:eastAsia="Calibri"/>
                <w:lang w:eastAsia="en-US"/>
              </w:rPr>
              <w:t xml:space="preserve">levy and </w:t>
            </w:r>
            <w:r w:rsidR="00F22096">
              <w:rPr>
                <w:rFonts w:eastAsia="Calibri"/>
                <w:lang w:eastAsia="en-US"/>
              </w:rPr>
              <w:t xml:space="preserve">the </w:t>
            </w:r>
            <w:r>
              <w:rPr>
                <w:rFonts w:eastAsia="Calibri"/>
                <w:lang w:eastAsia="en-US"/>
              </w:rPr>
              <w:t xml:space="preserve">Climate Emergency Response Fund </w:t>
            </w:r>
          </w:p>
        </w:tc>
      </w:tr>
      <w:tr w:rsidR="00616FDE" w14:paraId="6A1DAF1D" w14:textId="77777777" w:rsidTr="004C4CF3">
        <w:tc>
          <w:tcPr>
            <w:tcW w:w="2166" w:type="dxa"/>
          </w:tcPr>
          <w:p w14:paraId="21F80A4A" w14:textId="77777777" w:rsidR="00616FDE" w:rsidRDefault="00616FDE">
            <w:pPr>
              <w:pStyle w:val="TableText"/>
            </w:pPr>
            <w:r>
              <w:rPr>
                <w:rFonts w:eastAsia="Calibri"/>
                <w:lang w:eastAsia="en-US"/>
              </w:rPr>
              <w:t>High ratio of small-scale projects</w:t>
            </w:r>
          </w:p>
        </w:tc>
        <w:tc>
          <w:tcPr>
            <w:tcW w:w="2165" w:type="dxa"/>
          </w:tcPr>
          <w:p w14:paraId="43AF8DED" w14:textId="77777777" w:rsidR="00616FDE" w:rsidRDefault="00616FDE">
            <w:pPr>
              <w:pStyle w:val="TableText"/>
            </w:pPr>
            <w:r>
              <w:rPr>
                <w:rFonts w:eastAsia="Calibri"/>
                <w:lang w:eastAsia="en-US"/>
              </w:rPr>
              <w:t xml:space="preserve">Greater focus on larger, high-impact projects </w:t>
            </w:r>
          </w:p>
        </w:tc>
        <w:tc>
          <w:tcPr>
            <w:tcW w:w="4174" w:type="dxa"/>
          </w:tcPr>
          <w:p w14:paraId="40E49D28" w14:textId="62DDA5C7" w:rsidR="00616FDE" w:rsidRDefault="00616FDE" w:rsidP="00616FDE">
            <w:pPr>
              <w:pStyle w:val="TableBullet"/>
              <w:rPr>
                <w:rFonts w:eastAsia="Calibri"/>
                <w:lang w:eastAsia="en-US"/>
              </w:rPr>
            </w:pPr>
            <w:r>
              <w:rPr>
                <w:rFonts w:eastAsia="Calibri"/>
                <w:lang w:eastAsia="en-US"/>
              </w:rPr>
              <w:t xml:space="preserve">Resources are focused on the biggest </w:t>
            </w:r>
            <w:r w:rsidR="00F22096">
              <w:rPr>
                <w:rFonts w:eastAsia="Calibri"/>
                <w:lang w:eastAsia="en-US"/>
              </w:rPr>
              <w:t>‘</w:t>
            </w:r>
            <w:r>
              <w:rPr>
                <w:rFonts w:eastAsia="Calibri"/>
                <w:lang w:eastAsia="en-US"/>
              </w:rPr>
              <w:t>bang for buck</w:t>
            </w:r>
            <w:r w:rsidR="00F22096">
              <w:rPr>
                <w:rFonts w:eastAsia="Calibri"/>
                <w:lang w:eastAsia="en-US"/>
              </w:rPr>
              <w:t>’</w:t>
            </w:r>
          </w:p>
          <w:p w14:paraId="1D6DDC21" w14:textId="77777777" w:rsidR="00616FDE" w:rsidRDefault="00616FDE" w:rsidP="00616FDE">
            <w:pPr>
              <w:pStyle w:val="TableBullet"/>
              <w:rPr>
                <w:rFonts w:eastAsia="Calibri"/>
                <w:lang w:eastAsia="en-US"/>
              </w:rPr>
            </w:pPr>
            <w:r>
              <w:rPr>
                <w:rFonts w:eastAsia="Calibri"/>
                <w:lang w:eastAsia="en-US"/>
              </w:rPr>
              <w:t>Improved efficiency</w:t>
            </w:r>
          </w:p>
          <w:p w14:paraId="1AA2943D" w14:textId="77777777" w:rsidR="00616FDE" w:rsidRDefault="00616FDE" w:rsidP="00616FDE">
            <w:pPr>
              <w:pStyle w:val="TableBullet"/>
            </w:pPr>
            <w:r>
              <w:rPr>
                <w:rFonts w:eastAsia="Calibri"/>
                <w:lang w:eastAsia="en-US"/>
              </w:rPr>
              <w:t>Lower risk of under-delivery and mismanagement of funds</w:t>
            </w:r>
          </w:p>
        </w:tc>
      </w:tr>
      <w:tr w:rsidR="00616FDE" w14:paraId="0CB6B296" w14:textId="77777777" w:rsidTr="004C4CF3">
        <w:tc>
          <w:tcPr>
            <w:tcW w:w="2166" w:type="dxa"/>
          </w:tcPr>
          <w:p w14:paraId="0FD3EC44" w14:textId="77777777" w:rsidR="00616FDE" w:rsidRDefault="00616FDE">
            <w:pPr>
              <w:pStyle w:val="TableText"/>
            </w:pPr>
            <w:r>
              <w:rPr>
                <w:rFonts w:eastAsia="Calibri"/>
                <w:lang w:eastAsia="en-US"/>
              </w:rPr>
              <w:t>Reactive application process</w:t>
            </w:r>
          </w:p>
        </w:tc>
        <w:tc>
          <w:tcPr>
            <w:tcW w:w="2165" w:type="dxa"/>
          </w:tcPr>
          <w:p w14:paraId="501BA26D" w14:textId="77777777" w:rsidR="00616FDE" w:rsidRDefault="00616FDE">
            <w:pPr>
              <w:pStyle w:val="TableText"/>
            </w:pPr>
            <w:r>
              <w:rPr>
                <w:rFonts w:eastAsia="Calibri"/>
                <w:lang w:eastAsia="en-US"/>
              </w:rPr>
              <w:t>Proactive pipeline building</w:t>
            </w:r>
          </w:p>
        </w:tc>
        <w:tc>
          <w:tcPr>
            <w:tcW w:w="4174" w:type="dxa"/>
          </w:tcPr>
          <w:p w14:paraId="4F331281" w14:textId="77777777" w:rsidR="00616FDE" w:rsidRDefault="00616FDE" w:rsidP="00616FDE">
            <w:pPr>
              <w:pStyle w:val="TableBullet"/>
              <w:rPr>
                <w:rFonts w:eastAsia="Calibri"/>
                <w:lang w:eastAsia="en-US"/>
              </w:rPr>
            </w:pPr>
            <w:r>
              <w:rPr>
                <w:rFonts w:eastAsia="Calibri"/>
                <w:lang w:eastAsia="en-US"/>
              </w:rPr>
              <w:t xml:space="preserve">Greater ability to partner </w:t>
            </w:r>
          </w:p>
          <w:p w14:paraId="7559AFB5" w14:textId="77777777" w:rsidR="00616FDE" w:rsidRDefault="00616FDE" w:rsidP="00616FDE">
            <w:pPr>
              <w:pStyle w:val="TableBullet"/>
            </w:pPr>
            <w:r>
              <w:rPr>
                <w:rFonts w:eastAsia="Calibri"/>
                <w:lang w:eastAsia="en-US"/>
              </w:rPr>
              <w:t xml:space="preserve">Greater ability to influence the mix of applications </w:t>
            </w:r>
          </w:p>
        </w:tc>
      </w:tr>
      <w:tr w:rsidR="00616FDE" w14:paraId="126BE55E" w14:textId="77777777" w:rsidTr="004C4CF3">
        <w:tc>
          <w:tcPr>
            <w:tcW w:w="2166" w:type="dxa"/>
          </w:tcPr>
          <w:p w14:paraId="57EDD379" w14:textId="77777777" w:rsidR="00616FDE" w:rsidRDefault="00616FDE">
            <w:pPr>
              <w:pStyle w:val="TableText"/>
              <w:rPr>
                <w:rFonts w:eastAsia="Calibri"/>
                <w:lang w:eastAsia="en-US"/>
              </w:rPr>
            </w:pPr>
            <w:r>
              <w:rPr>
                <w:rFonts w:eastAsia="Calibri"/>
                <w:lang w:eastAsia="en-US"/>
              </w:rPr>
              <w:t>Low participation of some sectors</w:t>
            </w:r>
          </w:p>
          <w:p w14:paraId="59D69E86" w14:textId="77777777" w:rsidR="00616FDE" w:rsidRDefault="00616FDE">
            <w:pPr>
              <w:pStyle w:val="TableText"/>
            </w:pPr>
          </w:p>
        </w:tc>
        <w:tc>
          <w:tcPr>
            <w:tcW w:w="2165" w:type="dxa"/>
          </w:tcPr>
          <w:p w14:paraId="198C6528" w14:textId="609094FD" w:rsidR="00616FDE" w:rsidRDefault="00616FDE">
            <w:pPr>
              <w:pStyle w:val="TableText"/>
            </w:pPr>
            <w:r>
              <w:rPr>
                <w:rFonts w:eastAsia="Calibri"/>
                <w:lang w:eastAsia="en-US"/>
              </w:rPr>
              <w:t>Wider pool of investors</w:t>
            </w:r>
            <w:r w:rsidR="00087FBD">
              <w:rPr>
                <w:rFonts w:eastAsia="Calibri"/>
                <w:lang w:eastAsia="en-US"/>
              </w:rPr>
              <w:t>,</w:t>
            </w:r>
            <w:r>
              <w:rPr>
                <w:rFonts w:eastAsia="Calibri"/>
                <w:lang w:eastAsia="en-US"/>
              </w:rPr>
              <w:t xml:space="preserve"> including Māori </w:t>
            </w:r>
          </w:p>
        </w:tc>
        <w:tc>
          <w:tcPr>
            <w:tcW w:w="4174" w:type="dxa"/>
          </w:tcPr>
          <w:p w14:paraId="3A116747" w14:textId="4353AEED" w:rsidR="00616FDE" w:rsidRDefault="00616FDE" w:rsidP="00616FDE">
            <w:pPr>
              <w:pStyle w:val="TableBullet"/>
              <w:rPr>
                <w:rFonts w:eastAsia="Calibri"/>
                <w:lang w:eastAsia="en-US"/>
              </w:rPr>
            </w:pPr>
            <w:r>
              <w:rPr>
                <w:rFonts w:eastAsia="Calibri"/>
                <w:lang w:eastAsia="en-US"/>
              </w:rPr>
              <w:t>Greater ability to leverage private sector capital</w:t>
            </w:r>
            <w:r w:rsidR="000A208F">
              <w:rPr>
                <w:rFonts w:eastAsia="Calibri"/>
                <w:lang w:eastAsia="en-US"/>
              </w:rPr>
              <w:t xml:space="preserve">, including </w:t>
            </w:r>
            <w:r w:rsidR="003E235D">
              <w:rPr>
                <w:rFonts w:eastAsia="Calibri"/>
                <w:lang w:eastAsia="en-US"/>
              </w:rPr>
              <w:t>Māori</w:t>
            </w:r>
            <w:r w:rsidR="000A208F">
              <w:rPr>
                <w:rFonts w:eastAsia="Calibri"/>
                <w:lang w:eastAsia="en-US"/>
              </w:rPr>
              <w:t xml:space="preserve"> </w:t>
            </w:r>
            <w:r w:rsidR="00915424">
              <w:rPr>
                <w:rFonts w:eastAsia="Calibri"/>
                <w:lang w:eastAsia="en-US"/>
              </w:rPr>
              <w:t>business</w:t>
            </w:r>
            <w:r w:rsidR="003E235D">
              <w:rPr>
                <w:rFonts w:eastAsia="Calibri"/>
                <w:lang w:eastAsia="en-US"/>
              </w:rPr>
              <w:t>es</w:t>
            </w:r>
          </w:p>
          <w:p w14:paraId="48B3EE07" w14:textId="77777777" w:rsidR="00616FDE" w:rsidRDefault="00616FDE" w:rsidP="00616FDE">
            <w:pPr>
              <w:pStyle w:val="TableBullet"/>
              <w:rPr>
                <w:lang w:eastAsia="en-US"/>
              </w:rPr>
            </w:pPr>
            <w:r>
              <w:rPr>
                <w:lang w:eastAsia="en-US"/>
              </w:rPr>
              <w:t xml:space="preserve">Higher participation of high-impact investors </w:t>
            </w:r>
          </w:p>
          <w:p w14:paraId="7C819632" w14:textId="32516161" w:rsidR="00616FDE" w:rsidRDefault="00915424" w:rsidP="003E235D">
            <w:pPr>
              <w:pStyle w:val="TableBullet"/>
              <w:rPr>
                <w:lang w:eastAsia="en-US"/>
              </w:rPr>
            </w:pPr>
            <w:r>
              <w:rPr>
                <w:lang w:eastAsia="en-US"/>
              </w:rPr>
              <w:t>Wider community reach</w:t>
            </w:r>
          </w:p>
        </w:tc>
      </w:tr>
      <w:tr w:rsidR="00616FDE" w14:paraId="4BEB63C0" w14:textId="77777777" w:rsidTr="004C4CF3">
        <w:tc>
          <w:tcPr>
            <w:tcW w:w="2166" w:type="dxa"/>
          </w:tcPr>
          <w:p w14:paraId="504AFB86" w14:textId="77777777" w:rsidR="00616FDE" w:rsidRDefault="00616FDE">
            <w:pPr>
              <w:pStyle w:val="TableText"/>
              <w:rPr>
                <w:rFonts w:eastAsia="Calibri"/>
                <w:lang w:eastAsia="en-US"/>
              </w:rPr>
            </w:pPr>
            <w:r>
              <w:rPr>
                <w:rFonts w:eastAsia="Calibri"/>
                <w:lang w:eastAsia="en-US"/>
              </w:rPr>
              <w:t xml:space="preserve">Minimal interaction with applicants </w:t>
            </w:r>
          </w:p>
        </w:tc>
        <w:tc>
          <w:tcPr>
            <w:tcW w:w="2165" w:type="dxa"/>
          </w:tcPr>
          <w:p w14:paraId="67A01C3E" w14:textId="77777777" w:rsidR="00616FDE" w:rsidRDefault="00616FDE">
            <w:pPr>
              <w:pStyle w:val="TableText"/>
              <w:rPr>
                <w:rFonts w:eastAsia="Calibri"/>
                <w:lang w:eastAsia="en-US"/>
              </w:rPr>
            </w:pPr>
            <w:r>
              <w:rPr>
                <w:rFonts w:eastAsia="Calibri"/>
                <w:lang w:eastAsia="en-US"/>
              </w:rPr>
              <w:t>Strong focus on pre-application support</w:t>
            </w:r>
          </w:p>
        </w:tc>
        <w:tc>
          <w:tcPr>
            <w:tcW w:w="4174" w:type="dxa"/>
          </w:tcPr>
          <w:p w14:paraId="04686B31" w14:textId="77777777" w:rsidR="00616FDE" w:rsidRDefault="00616FDE" w:rsidP="00616FDE">
            <w:pPr>
              <w:pStyle w:val="TableBullet"/>
              <w:rPr>
                <w:rFonts w:eastAsia="Calibri"/>
                <w:lang w:eastAsia="en-US"/>
              </w:rPr>
            </w:pPr>
            <w:r>
              <w:rPr>
                <w:rFonts w:eastAsia="Calibri"/>
                <w:lang w:eastAsia="en-US"/>
              </w:rPr>
              <w:t>Improved stakeholder experience</w:t>
            </w:r>
          </w:p>
          <w:p w14:paraId="34E4E329" w14:textId="77777777" w:rsidR="00616FDE" w:rsidRDefault="00616FDE" w:rsidP="00616FDE">
            <w:pPr>
              <w:pStyle w:val="TableBullet"/>
              <w:rPr>
                <w:rFonts w:eastAsia="Calibri"/>
                <w:lang w:eastAsia="en-US"/>
              </w:rPr>
            </w:pPr>
            <w:r>
              <w:rPr>
                <w:rFonts w:eastAsia="Calibri"/>
                <w:lang w:eastAsia="en-US"/>
              </w:rPr>
              <w:t>Higher quality applications</w:t>
            </w:r>
          </w:p>
        </w:tc>
      </w:tr>
      <w:tr w:rsidR="00616FDE" w14:paraId="72B74A81" w14:textId="77777777" w:rsidTr="004C4CF3">
        <w:tc>
          <w:tcPr>
            <w:tcW w:w="2166" w:type="dxa"/>
          </w:tcPr>
          <w:p w14:paraId="205E9E02" w14:textId="77777777" w:rsidR="00616FDE" w:rsidRDefault="00616FDE">
            <w:pPr>
              <w:pStyle w:val="TableText"/>
              <w:rPr>
                <w:rFonts w:eastAsia="Calibri"/>
                <w:lang w:eastAsia="en-US"/>
              </w:rPr>
            </w:pPr>
            <w:r>
              <w:rPr>
                <w:rFonts w:eastAsia="Calibri"/>
                <w:lang w:eastAsia="en-US"/>
              </w:rPr>
              <w:t>Generic processes</w:t>
            </w:r>
          </w:p>
        </w:tc>
        <w:tc>
          <w:tcPr>
            <w:tcW w:w="2165" w:type="dxa"/>
          </w:tcPr>
          <w:p w14:paraId="68E083B9" w14:textId="77777777" w:rsidR="00616FDE" w:rsidRDefault="00616FDE">
            <w:pPr>
              <w:pStyle w:val="TableText"/>
              <w:rPr>
                <w:rFonts w:eastAsia="Calibri"/>
                <w:lang w:eastAsia="en-US"/>
              </w:rPr>
            </w:pPr>
            <w:r>
              <w:rPr>
                <w:rFonts w:eastAsia="Calibri"/>
                <w:lang w:eastAsia="en-US"/>
              </w:rPr>
              <w:t>Tailored models</w:t>
            </w:r>
          </w:p>
        </w:tc>
        <w:tc>
          <w:tcPr>
            <w:tcW w:w="4174" w:type="dxa"/>
          </w:tcPr>
          <w:p w14:paraId="082A379D" w14:textId="77777777" w:rsidR="00616FDE" w:rsidRDefault="00616FDE" w:rsidP="00616FDE">
            <w:pPr>
              <w:pStyle w:val="TableBullet"/>
              <w:rPr>
                <w:rFonts w:eastAsia="Calibri"/>
                <w:lang w:eastAsia="en-US"/>
              </w:rPr>
            </w:pPr>
            <w:r>
              <w:rPr>
                <w:rFonts w:eastAsia="Calibri"/>
                <w:lang w:eastAsia="en-US"/>
              </w:rPr>
              <w:t>Improved stakeholder experience</w:t>
            </w:r>
          </w:p>
          <w:p w14:paraId="56A4289F" w14:textId="77777777" w:rsidR="00616FDE" w:rsidRDefault="00616FDE" w:rsidP="00616FDE">
            <w:pPr>
              <w:pStyle w:val="TableBullet"/>
              <w:rPr>
                <w:rFonts w:eastAsia="Calibri"/>
                <w:lang w:eastAsia="en-US"/>
              </w:rPr>
            </w:pPr>
            <w:r>
              <w:rPr>
                <w:rFonts w:eastAsia="Calibri"/>
                <w:lang w:eastAsia="en-US"/>
              </w:rPr>
              <w:t>Greater ability to use mechanisms that are most likely to result in the best outcome</w:t>
            </w:r>
          </w:p>
        </w:tc>
      </w:tr>
      <w:tr w:rsidR="00616FDE" w14:paraId="79D0F6F2" w14:textId="77777777" w:rsidTr="004C4CF3">
        <w:tc>
          <w:tcPr>
            <w:tcW w:w="2166" w:type="dxa"/>
          </w:tcPr>
          <w:p w14:paraId="7CB22288" w14:textId="77777777" w:rsidR="00616FDE" w:rsidRDefault="00616FDE">
            <w:pPr>
              <w:pStyle w:val="TableText"/>
              <w:rPr>
                <w:rFonts w:eastAsia="Calibri"/>
                <w:lang w:eastAsia="en-US"/>
              </w:rPr>
            </w:pPr>
            <w:r>
              <w:rPr>
                <w:rFonts w:eastAsia="Calibri"/>
                <w:lang w:eastAsia="en-US"/>
              </w:rPr>
              <w:t>Annual funding round</w:t>
            </w:r>
          </w:p>
        </w:tc>
        <w:tc>
          <w:tcPr>
            <w:tcW w:w="2165" w:type="dxa"/>
          </w:tcPr>
          <w:p w14:paraId="58E3BC5B" w14:textId="77777777" w:rsidR="00616FDE" w:rsidRDefault="00616FDE">
            <w:pPr>
              <w:pStyle w:val="TableText"/>
              <w:rPr>
                <w:rFonts w:eastAsia="Calibri"/>
                <w:lang w:eastAsia="en-US"/>
              </w:rPr>
            </w:pPr>
            <w:r>
              <w:rPr>
                <w:rFonts w:eastAsia="Calibri"/>
                <w:lang w:eastAsia="en-US"/>
              </w:rPr>
              <w:t>On-demand model</w:t>
            </w:r>
          </w:p>
        </w:tc>
        <w:tc>
          <w:tcPr>
            <w:tcW w:w="4174" w:type="dxa"/>
          </w:tcPr>
          <w:p w14:paraId="33BDE020" w14:textId="77777777" w:rsidR="00616FDE" w:rsidRDefault="00616FDE" w:rsidP="00616FDE">
            <w:pPr>
              <w:pStyle w:val="TableBullet"/>
              <w:rPr>
                <w:rFonts w:eastAsia="Calibri"/>
                <w:lang w:eastAsia="en-US"/>
              </w:rPr>
            </w:pPr>
            <w:r>
              <w:rPr>
                <w:rFonts w:eastAsia="Calibri"/>
                <w:lang w:eastAsia="en-US"/>
              </w:rPr>
              <w:t>Improved stakeholder experience</w:t>
            </w:r>
          </w:p>
          <w:p w14:paraId="164C0923" w14:textId="77777777" w:rsidR="00616FDE" w:rsidRDefault="00616FDE" w:rsidP="00616FDE">
            <w:pPr>
              <w:pStyle w:val="TableBullet"/>
              <w:rPr>
                <w:rFonts w:eastAsia="Calibri"/>
                <w:lang w:eastAsia="en-US"/>
              </w:rPr>
            </w:pPr>
            <w:r>
              <w:rPr>
                <w:rFonts w:eastAsia="Calibri"/>
                <w:lang w:eastAsia="en-US"/>
              </w:rPr>
              <w:t>Flexibility to adjust signals over the year</w:t>
            </w:r>
          </w:p>
          <w:p w14:paraId="7E075190" w14:textId="77777777" w:rsidR="00616FDE" w:rsidRDefault="00616FDE" w:rsidP="00616FDE">
            <w:pPr>
              <w:pStyle w:val="TableBullet"/>
              <w:rPr>
                <w:rFonts w:eastAsia="Calibri"/>
                <w:lang w:eastAsia="en-US"/>
              </w:rPr>
            </w:pPr>
            <w:r>
              <w:rPr>
                <w:rFonts w:eastAsia="Calibri"/>
                <w:lang w:eastAsia="en-US"/>
              </w:rPr>
              <w:t>Eliminates bottlenecks</w:t>
            </w:r>
          </w:p>
        </w:tc>
      </w:tr>
    </w:tbl>
    <w:p w14:paraId="41C69EBF" w14:textId="50680CCA" w:rsidR="00616FDE" w:rsidRDefault="00616FDE" w:rsidP="004C4CF3">
      <w:pPr>
        <w:pStyle w:val="BodyText"/>
      </w:pPr>
      <w:r>
        <w:lastRenderedPageBreak/>
        <w:t>An additional change is the introduction of an online funds</w:t>
      </w:r>
      <w:r w:rsidR="0046485B">
        <w:t>-</w:t>
      </w:r>
      <w:r>
        <w:t>management system across all waste funds. The software is designed to streamline data collection and reporting. It allows applicants to apply through an online portal and report directly on active projects.</w:t>
      </w:r>
    </w:p>
    <w:p w14:paraId="7BC4EA3D" w14:textId="27A66443" w:rsidR="00616FDE" w:rsidRPr="00B864C8" w:rsidRDefault="00616FDE" w:rsidP="004C4CF3">
      <w:pPr>
        <w:pStyle w:val="BodyText"/>
        <w:rPr>
          <w:szCs w:val="20"/>
        </w:rPr>
      </w:pPr>
      <w:r>
        <w:t>A waste investment panel was established in 2022/23 to provide strategic assessment for large applications to both the WMF and PIF and make recommendations to the Ministry</w:t>
      </w:r>
      <w:r w:rsidR="00AF030C">
        <w:t xml:space="preserve"> </w:t>
      </w:r>
      <w:r w:rsidR="00AF030C">
        <w:rPr>
          <w:szCs w:val="20"/>
        </w:rPr>
        <w:t>(Ministry for the Environment, 2023a)</w:t>
      </w:r>
      <w:r>
        <w:t xml:space="preserve">. </w:t>
      </w:r>
      <w:r w:rsidRPr="00B864C8">
        <w:rPr>
          <w:szCs w:val="20"/>
        </w:rPr>
        <w:t>Typically</w:t>
      </w:r>
      <w:r w:rsidR="00910F4E">
        <w:rPr>
          <w:szCs w:val="20"/>
        </w:rPr>
        <w:t>,</w:t>
      </w:r>
      <w:r w:rsidRPr="00B864C8">
        <w:rPr>
          <w:szCs w:val="20"/>
        </w:rPr>
        <w:t xml:space="preserve"> the panel considers applications requesting funding of $1 million or more. It may also be asked to consider complex or higher-risk applications below that threshold.</w:t>
      </w:r>
    </w:p>
    <w:p w14:paraId="61040C1B" w14:textId="77777777" w:rsidR="00616FDE" w:rsidRDefault="00616FDE" w:rsidP="00616FDE">
      <w:pPr>
        <w:pStyle w:val="Heading3"/>
      </w:pPr>
      <w:r>
        <w:t>Compliance, monitoring and enforcement</w:t>
      </w:r>
    </w:p>
    <w:p w14:paraId="735157C0" w14:textId="77777777" w:rsidR="00616FDE" w:rsidRDefault="00616FDE" w:rsidP="00616FDE">
      <w:pPr>
        <w:pStyle w:val="BodyText"/>
      </w:pPr>
      <w:r>
        <w:t>The Ministry has adopted a range of policies and procedures for its role in collecting and administering the levy, including:</w:t>
      </w:r>
    </w:p>
    <w:p w14:paraId="12A048D4" w14:textId="77777777" w:rsidR="00616FDE" w:rsidRDefault="00616FDE" w:rsidP="00616FDE">
      <w:pPr>
        <w:pStyle w:val="Bullet"/>
      </w:pPr>
      <w:r>
        <w:t>a compliance, monitoring and enforcement strategy (Ministry for the Environment, 2021a), which sets out the Ministry’s approach to compliance monitoring and enforcement under the WMA and explains how the Ministry achieves compliance and interacts with regulated communities</w:t>
      </w:r>
    </w:p>
    <w:p w14:paraId="2A16AC08" w14:textId="77777777" w:rsidR="00616FDE" w:rsidRDefault="00616FDE" w:rsidP="00616FDE">
      <w:pPr>
        <w:pStyle w:val="Bullet"/>
      </w:pPr>
      <w:r>
        <w:t>an enforcement decision-making policy (Ministry for the Environment, 2021b), which sets out the scope and procedure for making enforcement decisions under the WMA and related regulations</w:t>
      </w:r>
    </w:p>
    <w:p w14:paraId="42D27F87" w14:textId="75AB876A" w:rsidR="00616FDE" w:rsidRDefault="00616FDE" w:rsidP="00616FDE">
      <w:pPr>
        <w:pStyle w:val="Bullet"/>
      </w:pPr>
      <w:r>
        <w:t xml:space="preserve">a prosecutions policy (Ministry for the Environment, 2021c), which sets a framework for making decisions about the use of prosecutions under the </w:t>
      </w:r>
      <w:r w:rsidR="001D25A7">
        <w:t>WMA.</w:t>
      </w:r>
    </w:p>
    <w:p w14:paraId="207348F8" w14:textId="47ABEB3B" w:rsidR="00616FDE" w:rsidRDefault="00616FDE" w:rsidP="00616FDE">
      <w:pPr>
        <w:pStyle w:val="BodyText"/>
      </w:pPr>
      <w:r>
        <w:t>These documents are supported by additional internal guidance</w:t>
      </w:r>
      <w:r w:rsidR="001D25A7">
        <w:t>,</w:t>
      </w:r>
      <w:r>
        <w:t xml:space="preserve"> including a WMA Investigations Manual and a WMA Communications and Engagement Strategy 2020. </w:t>
      </w:r>
    </w:p>
    <w:p w14:paraId="01C30D4B" w14:textId="5EF84FD8" w:rsidR="00616FDE" w:rsidRDefault="00616FDE" w:rsidP="00616FDE">
      <w:pPr>
        <w:pStyle w:val="BodyText"/>
      </w:pPr>
      <w:r>
        <w:t xml:space="preserve">The Ministry has also begun reporting annually on its compliance monitoring and enforcement responsibilities under the WMA. Its inaugural report was published in December 2021 (Ministry for the Environment, 2021d), and a second report (covering the period 2021/2022) was published in December 2022 (Ministry for the Environment, 2022a). Highlights of the 2021/22 report are outlined </w:t>
      </w:r>
      <w:r w:rsidR="003A7C6F">
        <w:t>in</w:t>
      </w:r>
      <w:r>
        <w:t xml:space="preserve"> the </w:t>
      </w:r>
      <w:r w:rsidR="003A7C6F">
        <w:t xml:space="preserve">box </w:t>
      </w:r>
      <w:hyperlink w:anchor="Case_study_CME" w:history="1">
        <w:r w:rsidR="00174E22" w:rsidRPr="003A7C6F">
          <w:rPr>
            <w:rStyle w:val="Hyperlink"/>
          </w:rPr>
          <w:t>C</w:t>
        </w:r>
        <w:r w:rsidRPr="003A7C6F">
          <w:rPr>
            <w:rStyle w:val="Hyperlink"/>
          </w:rPr>
          <w:t>ase study: compliance monitoring and enforcement</w:t>
        </w:r>
      </w:hyperlink>
      <w:r>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03563" w:rsidRPr="006B77BB" w14:paraId="2D9D51CF" w14:textId="77777777">
        <w:tc>
          <w:tcPr>
            <w:tcW w:w="8505" w:type="dxa"/>
            <w:shd w:val="clear" w:color="auto" w:fill="D5EBE8" w:themeFill="accent3"/>
          </w:tcPr>
          <w:p w14:paraId="05DC3C6D" w14:textId="44CA5340" w:rsidR="00103563" w:rsidRPr="0051754D" w:rsidRDefault="00103563">
            <w:pPr>
              <w:pStyle w:val="Greenheading-casestudytables"/>
            </w:pPr>
            <w:bookmarkStart w:id="18" w:name="Case_study_CME"/>
            <w:r>
              <w:lastRenderedPageBreak/>
              <w:t>Case study: Compliance monitoring and enforcement</w:t>
            </w:r>
            <w:bookmarkEnd w:id="18"/>
          </w:p>
          <w:p w14:paraId="4009BDC8" w14:textId="087B47A1" w:rsidR="00103563" w:rsidRDefault="00103563" w:rsidP="00103563">
            <w:pPr>
              <w:pStyle w:val="Boxtext"/>
            </w:pPr>
            <w:r>
              <w:t xml:space="preserve">During the 2021/22 reporting period (1 July 2021 to 30 June 2022), the Ministry conducted 51 formal audits spanning </w:t>
            </w:r>
            <w:r w:rsidR="00D921EE">
              <w:t xml:space="preserve">3 </w:t>
            </w:r>
            <w:r>
              <w:t xml:space="preserve">distinct auditing programmes (disposal facilities, territorial authorities, and funding recipients), responded to more than 1,000 enquiries, and launched three new investigations across disposal facilities and territorial authorities. </w:t>
            </w:r>
          </w:p>
          <w:p w14:paraId="50C28071" w14:textId="74A98537" w:rsidR="00103563" w:rsidRDefault="00471EEF" w:rsidP="00103563">
            <w:pPr>
              <w:pStyle w:val="Boxtext"/>
            </w:pPr>
            <w:r>
              <w:t>E</w:t>
            </w:r>
            <w:r w:rsidR="00103563">
              <w:t>nquiries</w:t>
            </w:r>
            <w:r>
              <w:t xml:space="preserve"> increased significantly</w:t>
            </w:r>
            <w:r w:rsidR="00103563">
              <w:t xml:space="preserve">, with the team responding to hundreds of calls and emails. Most enquiries were from operators wanting to understand more about how the levy expansion affected them. The sector has generally welcomed the Ministry’s refreshed approach to compliance, and the Ministry continued building effective relationships with operators, councils and the wider public. </w:t>
            </w:r>
          </w:p>
          <w:p w14:paraId="50C64046" w14:textId="77777777" w:rsidR="00103563" w:rsidRDefault="00103563" w:rsidP="00103563">
            <w:pPr>
              <w:pStyle w:val="Boxtext"/>
            </w:pPr>
            <w:r>
              <w:t xml:space="preserve">Significant outcomes for the 2021/22 reporting year include: </w:t>
            </w:r>
          </w:p>
          <w:p w14:paraId="609C935F" w14:textId="315B0A46" w:rsidR="00103563" w:rsidRDefault="00103563" w:rsidP="00103563">
            <w:pPr>
              <w:pStyle w:val="Boxbullet"/>
            </w:pPr>
            <w:r>
              <w:t xml:space="preserve">expansion of the levy to more facilities, increasing the rates for facilities already paying the levy and expanding the suite of regulatory obligations to monitor and enforce (see </w:t>
            </w:r>
            <w:r w:rsidR="0070631D">
              <w:fldChar w:fldCharType="begin"/>
            </w:r>
            <w:r w:rsidR="0070631D">
              <w:instrText xml:space="preserve"> REF _Ref153451690 \h \* lower </w:instrText>
            </w:r>
            <w:r w:rsidR="0070631D">
              <w:fldChar w:fldCharType="separate"/>
            </w:r>
            <w:r w:rsidR="00587F2B">
              <w:t xml:space="preserve">figure </w:t>
            </w:r>
            <w:r w:rsidR="00587F2B">
              <w:rPr>
                <w:noProof/>
              </w:rPr>
              <w:t>1</w:t>
            </w:r>
            <w:r w:rsidR="0070631D">
              <w:fldChar w:fldCharType="end"/>
            </w:r>
            <w:r>
              <w:t xml:space="preserve"> below for a map of landfill sites and other regulated parties)</w:t>
            </w:r>
          </w:p>
          <w:p w14:paraId="71CE8A76" w14:textId="2FA05685" w:rsidR="00103563" w:rsidRDefault="00103563" w:rsidP="00103563">
            <w:pPr>
              <w:pStyle w:val="Boxbullet"/>
            </w:pPr>
            <w:r>
              <w:t xml:space="preserve">upgrade of the OWLS to better support the administration of the waste levy </w:t>
            </w:r>
          </w:p>
          <w:p w14:paraId="1BA2C0BD" w14:textId="2FD33CBB" w:rsidR="00103563" w:rsidRDefault="00103563" w:rsidP="00103563">
            <w:pPr>
              <w:pStyle w:val="Boxbullet"/>
            </w:pPr>
            <w:r>
              <w:t>launch of an Alleged Breach Notification System, which makes it easier for the public to let the Ministry know about behaviour of concern</w:t>
            </w:r>
          </w:p>
          <w:p w14:paraId="4DC8CD7A" w14:textId="2BCC64B9" w:rsidR="00103563" w:rsidRDefault="00103563" w:rsidP="00103563">
            <w:pPr>
              <w:pStyle w:val="Boxbullet"/>
            </w:pPr>
            <w:r>
              <w:t>release of the Territorial Authority Waste Levy Expenditure System (TAWLES) to provide a user-friendly online portal for councils, replacing a previous manual process</w:t>
            </w:r>
          </w:p>
          <w:p w14:paraId="2B7FB1B7" w14:textId="4BF2C84D" w:rsidR="00103563" w:rsidRDefault="00103563" w:rsidP="00103563">
            <w:pPr>
              <w:pStyle w:val="Boxbullet"/>
            </w:pPr>
            <w:r>
              <w:t xml:space="preserve">building on a baseline of compliance data established in 2020/21, </w:t>
            </w:r>
            <w:r w:rsidR="00B417BC">
              <w:t>enabling the Ministry to</w:t>
            </w:r>
            <w:r>
              <w:t xml:space="preserve"> shift to a more intelligence-led, risk-based model, deploying available resources to areas of greatest risk or concern</w:t>
            </w:r>
          </w:p>
          <w:p w14:paraId="0FEA6124" w14:textId="68495149" w:rsidR="00103563" w:rsidRPr="00103563" w:rsidRDefault="00103563" w:rsidP="00103563">
            <w:pPr>
              <w:pStyle w:val="Boxbullet"/>
              <w:rPr>
                <w:bCs/>
                <w:iCs/>
                <w:color w:val="595959"/>
              </w:rPr>
            </w:pPr>
            <w:r>
              <w:t xml:space="preserve">improvement to guidance material, building improved channels for public engagement, and supporting new members to the regime via the waste levy expansion. </w:t>
            </w:r>
          </w:p>
        </w:tc>
      </w:tr>
    </w:tbl>
    <w:p w14:paraId="1C551285" w14:textId="77777777" w:rsidR="00616FDE" w:rsidRDefault="00616FDE" w:rsidP="00616FDE">
      <w:pPr>
        <w:pStyle w:val="BodyText"/>
      </w:pPr>
    </w:p>
    <w:p w14:paraId="2A4253DA" w14:textId="08C710E9" w:rsidR="00616FDE" w:rsidRDefault="002243CA" w:rsidP="00616FDE">
      <w:pPr>
        <w:pStyle w:val="Heading1"/>
      </w:pPr>
      <w:bookmarkStart w:id="19" w:name="_Toc177022840"/>
      <w:r w:rsidRPr="00992F4C">
        <w:rPr>
          <w:noProof/>
          <w:highlight w:val="yellow"/>
        </w:rPr>
        <w:lastRenderedPageBreak/>
        <w:drawing>
          <wp:anchor distT="0" distB="0" distL="114300" distR="114300" simplePos="0" relativeHeight="251658242" behindDoc="0" locked="0" layoutInCell="1" allowOverlap="1" wp14:anchorId="33C2E22A" wp14:editId="419C9943">
            <wp:simplePos x="0" y="0"/>
            <wp:positionH relativeFrom="margin">
              <wp:posOffset>379730</wp:posOffset>
            </wp:positionH>
            <wp:positionV relativeFrom="paragraph">
              <wp:posOffset>624205</wp:posOffset>
            </wp:positionV>
            <wp:extent cx="4379595" cy="6449060"/>
            <wp:effectExtent l="0" t="0" r="1905" b="8890"/>
            <wp:wrapTopAndBottom/>
            <wp:docPr id="1835025268" name="Picture 183502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25268" name="Picture 1835025268"/>
                    <pic:cNvPicPr/>
                  </pic:nvPicPr>
                  <pic:blipFill>
                    <a:blip r:embed="rId26"/>
                    <a:stretch>
                      <a:fillRect/>
                    </a:stretch>
                  </pic:blipFill>
                  <pic:spPr>
                    <a:xfrm>
                      <a:off x="0" y="0"/>
                      <a:ext cx="4379595" cy="6449060"/>
                    </a:xfrm>
                    <a:prstGeom prst="rect">
                      <a:avLst/>
                    </a:prstGeom>
                  </pic:spPr>
                </pic:pic>
              </a:graphicData>
            </a:graphic>
            <wp14:sizeRelH relativeFrom="margin">
              <wp14:pctWidth>0</wp14:pctWidth>
            </wp14:sizeRelH>
            <wp14:sizeRelV relativeFrom="margin">
              <wp14:pctHeight>0</wp14:pctHeight>
            </wp14:sizeRelV>
          </wp:anchor>
        </w:drawing>
      </w:r>
      <w:r w:rsidR="00C61E3C">
        <w:rPr>
          <w:noProof/>
        </w:rPr>
        <mc:AlternateContent>
          <mc:Choice Requires="wps">
            <w:drawing>
              <wp:anchor distT="0" distB="0" distL="114300" distR="114300" simplePos="0" relativeHeight="251658243" behindDoc="0" locked="0" layoutInCell="1" allowOverlap="1" wp14:anchorId="3DD9CF21" wp14:editId="56EE39A8">
                <wp:simplePos x="0" y="0"/>
                <wp:positionH relativeFrom="column">
                  <wp:posOffset>0</wp:posOffset>
                </wp:positionH>
                <wp:positionV relativeFrom="paragraph">
                  <wp:posOffset>166370</wp:posOffset>
                </wp:positionV>
                <wp:extent cx="5144135" cy="457200"/>
                <wp:effectExtent l="0" t="0" r="0" b="0"/>
                <wp:wrapTopAndBottom/>
                <wp:docPr id="762220775" name="Text Box 762220775"/>
                <wp:cNvGraphicFramePr/>
                <a:graphic xmlns:a="http://schemas.openxmlformats.org/drawingml/2006/main">
                  <a:graphicData uri="http://schemas.microsoft.com/office/word/2010/wordprocessingShape">
                    <wps:wsp>
                      <wps:cNvSpPr txBox="1"/>
                      <wps:spPr>
                        <a:xfrm>
                          <a:off x="0" y="0"/>
                          <a:ext cx="5144135" cy="457200"/>
                        </a:xfrm>
                        <a:prstGeom prst="rect">
                          <a:avLst/>
                        </a:prstGeom>
                        <a:solidFill>
                          <a:prstClr val="white"/>
                        </a:solidFill>
                        <a:ln>
                          <a:noFill/>
                        </a:ln>
                      </wps:spPr>
                      <wps:txbx>
                        <w:txbxContent>
                          <w:p w14:paraId="15BB35DE" w14:textId="53B8FE7F" w:rsidR="00C61E3C" w:rsidRPr="00C21C95" w:rsidRDefault="00C61E3C" w:rsidP="00C61E3C">
                            <w:pPr>
                              <w:pStyle w:val="Figureheading"/>
                              <w:rPr>
                                <w:noProof/>
                              </w:rPr>
                            </w:pPr>
                            <w:bookmarkStart w:id="20" w:name="_Ref153451690"/>
                            <w:bookmarkStart w:id="21" w:name="_Toc177022863"/>
                            <w:r>
                              <w:t xml:space="preserve">Figure </w:t>
                            </w:r>
                            <w:r>
                              <w:fldChar w:fldCharType="begin"/>
                            </w:r>
                            <w:r>
                              <w:instrText xml:space="preserve"> SEQ Figure \* ARABIC </w:instrText>
                            </w:r>
                            <w:r>
                              <w:fldChar w:fldCharType="separate"/>
                            </w:r>
                            <w:r w:rsidR="00587F2B">
                              <w:rPr>
                                <w:noProof/>
                              </w:rPr>
                              <w:t>1</w:t>
                            </w:r>
                            <w:r>
                              <w:rPr>
                                <w:noProof/>
                              </w:rPr>
                              <w:fldChar w:fldCharType="end"/>
                            </w:r>
                            <w:bookmarkEnd w:id="20"/>
                            <w:r>
                              <w:t xml:space="preserve">: </w:t>
                            </w:r>
                            <w:r>
                              <w:tab/>
                            </w:r>
                            <w:r w:rsidRPr="005668AB">
                              <w:t xml:space="preserve">Expansion of the waste disposal levy and associated reporting requirements from 2017 to 2022 and the number of classes per region (as </w:t>
                            </w:r>
                            <w:proofErr w:type="gramStart"/>
                            <w:r w:rsidRPr="005668AB">
                              <w:t>at</w:t>
                            </w:r>
                            <w:proofErr w:type="gramEnd"/>
                            <w:r w:rsidRPr="005668AB">
                              <w:t xml:space="preserve"> December 2022)</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D9CF21" id="Text Box 762220775" o:spid="_x0000_s1027" type="#_x0000_t202" style="position:absolute;margin-left:0;margin-top:13.1pt;width:405.05pt;height:36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" stroked="f">
                <v:textbox inset="0,0,0,0">
                  <w:txbxContent>
                    <w:p w14:paraId="15BB35DE" w14:textId="53B8FE7F" w:rsidR="00C61E3C" w:rsidRPr="00C21C95" w:rsidRDefault="00C61E3C" w:rsidP="00C61E3C">
                      <w:pPr>
                        <w:pStyle w:val="Figureheading"/>
                        <w:rPr>
                          <w:noProof/>
                        </w:rPr>
                      </w:pPr>
                      <w:bookmarkStart w:id="22" w:name="_Ref153451690"/>
                      <w:bookmarkStart w:id="23" w:name="_Toc177022863"/>
                      <w:r>
                        <w:t xml:space="preserve">Figure </w:t>
                      </w:r>
                      <w:r>
                        <w:fldChar w:fldCharType="begin"/>
                      </w:r>
                      <w:r>
                        <w:instrText xml:space="preserve"> SEQ Figure \* ARABIC </w:instrText>
                      </w:r>
                      <w:r>
                        <w:fldChar w:fldCharType="separate"/>
                      </w:r>
                      <w:r w:rsidR="00587F2B">
                        <w:rPr>
                          <w:noProof/>
                        </w:rPr>
                        <w:t>1</w:t>
                      </w:r>
                      <w:r>
                        <w:rPr>
                          <w:noProof/>
                        </w:rPr>
                        <w:fldChar w:fldCharType="end"/>
                      </w:r>
                      <w:bookmarkEnd w:id="22"/>
                      <w:r>
                        <w:t xml:space="preserve">: </w:t>
                      </w:r>
                      <w:r>
                        <w:tab/>
                      </w:r>
                      <w:r w:rsidRPr="005668AB">
                        <w:t xml:space="preserve">Expansion of the waste disposal levy and associated reporting requirements from 2017 to 2022 and the number of classes per region (as </w:t>
                      </w:r>
                      <w:proofErr w:type="gramStart"/>
                      <w:r w:rsidRPr="005668AB">
                        <w:t>at</w:t>
                      </w:r>
                      <w:proofErr w:type="gramEnd"/>
                      <w:r w:rsidRPr="005668AB">
                        <w:t xml:space="preserve"> December 2022)</w:t>
                      </w:r>
                      <w:bookmarkEnd w:id="23"/>
                    </w:p>
                  </w:txbxContent>
                </v:textbox>
                <w10:wrap type="topAndBottom"/>
              </v:shape>
            </w:pict>
          </mc:Fallback>
        </mc:AlternateContent>
      </w:r>
      <w:bookmarkStart w:id="24" w:name="_Toc150947424"/>
      <w:r w:rsidR="00616FDE">
        <w:t>Findings</w:t>
      </w:r>
      <w:bookmarkEnd w:id="19"/>
      <w:bookmarkEnd w:id="24"/>
      <w:r w:rsidR="00616FDE">
        <w:t xml:space="preserve"> </w:t>
      </w:r>
    </w:p>
    <w:p w14:paraId="23E6980A" w14:textId="748D1CE1" w:rsidR="00616FDE" w:rsidRDefault="00616FDE" w:rsidP="00616FDE">
      <w:pPr>
        <w:pStyle w:val="BodyText"/>
      </w:pPr>
      <w:r>
        <w:t xml:space="preserve">The changes to the levy and associated data provisions are being progressively implemented, which means </w:t>
      </w:r>
      <w:r w:rsidR="0014210E">
        <w:t xml:space="preserve">it is difficult to ascertain </w:t>
      </w:r>
      <w:r>
        <w:t>their full impact in reducing waste disposal and increasing reuse, recycling and recovery since the last review of the levy. This report will look at the available information on trends and provide some commentary and preliminary findings.</w:t>
      </w:r>
    </w:p>
    <w:p w14:paraId="4AB13800" w14:textId="77777777" w:rsidR="00616FDE" w:rsidRDefault="00616FDE" w:rsidP="00616FDE">
      <w:pPr>
        <w:pStyle w:val="Heading2"/>
      </w:pPr>
      <w:bookmarkStart w:id="25" w:name="_Trends_in_waste"/>
      <w:bookmarkStart w:id="26" w:name="_Toc177022841"/>
      <w:bookmarkEnd w:id="25"/>
      <w:r>
        <w:lastRenderedPageBreak/>
        <w:t>Trends in waste disposal</w:t>
      </w:r>
      <w:bookmarkEnd w:id="26"/>
    </w:p>
    <w:p w14:paraId="0BBE476C" w14:textId="6B67C38C" w:rsidR="00616FDE" w:rsidRDefault="00616FDE" w:rsidP="00616FDE">
      <w:pPr>
        <w:pStyle w:val="BodyText"/>
      </w:pPr>
      <w:r>
        <w:t>There have been small reductions in both total net tonnage (</w:t>
      </w:r>
      <w:r w:rsidR="00DE2548">
        <w:fldChar w:fldCharType="begin"/>
      </w:r>
      <w:r w:rsidR="00DE2548">
        <w:instrText xml:space="preserve"> REF _Ref153452136 \h \* lower </w:instrText>
      </w:r>
      <w:r w:rsidR="00DE2548">
        <w:fldChar w:fldCharType="separate"/>
      </w:r>
      <w:r w:rsidR="00587F2B">
        <w:t xml:space="preserve">table </w:t>
      </w:r>
      <w:r w:rsidR="00587F2B">
        <w:rPr>
          <w:noProof/>
        </w:rPr>
        <w:t>4</w:t>
      </w:r>
      <w:r w:rsidR="00DE2548">
        <w:fldChar w:fldCharType="end"/>
      </w:r>
      <w:r>
        <w:t>) and per capita waste disposal to class 1 facilities (</w:t>
      </w:r>
      <w:r w:rsidR="00DE2548">
        <w:fldChar w:fldCharType="begin"/>
      </w:r>
      <w:r w:rsidR="00DE2548">
        <w:instrText xml:space="preserve"> REF _Ref153452141 \h \* lower </w:instrText>
      </w:r>
      <w:r w:rsidR="00DE2548">
        <w:fldChar w:fldCharType="separate"/>
      </w:r>
      <w:r w:rsidR="00587F2B">
        <w:t xml:space="preserve">table </w:t>
      </w:r>
      <w:r w:rsidR="00587F2B">
        <w:rPr>
          <w:noProof/>
        </w:rPr>
        <w:t>5</w:t>
      </w:r>
      <w:r w:rsidR="00DE2548">
        <w:fldChar w:fldCharType="end"/>
      </w:r>
      <w:r>
        <w:t xml:space="preserve">) since the last review period. </w:t>
      </w:r>
    </w:p>
    <w:p w14:paraId="013C0753" w14:textId="7D3942C1" w:rsidR="0014210E" w:rsidRDefault="0014210E" w:rsidP="00B65D2B">
      <w:pPr>
        <w:pStyle w:val="Tableheading"/>
      </w:pPr>
      <w:bookmarkStart w:id="27" w:name="_Ref153452136"/>
      <w:bookmarkStart w:id="28" w:name="_Toc177022852"/>
      <w:r>
        <w:t xml:space="preserve">Table </w:t>
      </w:r>
      <w:r>
        <w:fldChar w:fldCharType="begin"/>
      </w:r>
      <w:r>
        <w:instrText xml:space="preserve"> SEQ Table \* ARABIC </w:instrText>
      </w:r>
      <w:r>
        <w:fldChar w:fldCharType="separate"/>
      </w:r>
      <w:r w:rsidR="00587F2B">
        <w:rPr>
          <w:noProof/>
        </w:rPr>
        <w:t>4</w:t>
      </w:r>
      <w:r>
        <w:rPr>
          <w:noProof/>
        </w:rPr>
        <w:fldChar w:fldCharType="end"/>
      </w:r>
      <w:bookmarkEnd w:id="27"/>
      <w:r>
        <w:t xml:space="preserve">: </w:t>
      </w:r>
      <w:r>
        <w:tab/>
      </w:r>
      <w:r w:rsidRPr="006C4671">
        <w:t>Total gross, diverted and net tonnages of waste at levied waste disposal facilities (class 1 facilities) for the 2020 and 2023 review periods</w:t>
      </w:r>
      <w:bookmarkEnd w:id="28"/>
    </w:p>
    <w:tbl>
      <w:tblPr>
        <w:tblStyle w:val="MinistryfortheEnvironment"/>
        <w:tblW w:w="0" w:type="auto"/>
        <w:tblLook w:val="04A0" w:firstRow="1" w:lastRow="0" w:firstColumn="1" w:lastColumn="0" w:noHBand="0" w:noVBand="1"/>
      </w:tblPr>
      <w:tblGrid>
        <w:gridCol w:w="1745"/>
        <w:gridCol w:w="1879"/>
        <w:gridCol w:w="1879"/>
        <w:gridCol w:w="1526"/>
        <w:gridCol w:w="1476"/>
      </w:tblGrid>
      <w:tr w:rsidR="00CF2DBE" w:rsidRPr="00CF2DBE" w14:paraId="1A39D01A" w14:textId="77777777" w:rsidTr="00B65D2B">
        <w:trPr>
          <w:cnfStyle w:val="100000000000" w:firstRow="1" w:lastRow="0" w:firstColumn="0" w:lastColumn="0" w:oddVBand="0" w:evenVBand="0" w:oddHBand="0" w:evenHBand="0" w:firstRowFirstColumn="0" w:firstRowLastColumn="0" w:lastRowFirstColumn="0" w:lastRowLastColumn="0"/>
        </w:trPr>
        <w:tc>
          <w:tcPr>
            <w:tcW w:w="1745" w:type="dxa"/>
          </w:tcPr>
          <w:p w14:paraId="2607C910" w14:textId="77777777" w:rsidR="00616FDE" w:rsidRPr="00CF2DBE" w:rsidRDefault="00616FDE" w:rsidP="00CF2DBE">
            <w:pPr>
              <w:pStyle w:val="TableText"/>
            </w:pPr>
          </w:p>
        </w:tc>
        <w:tc>
          <w:tcPr>
            <w:tcW w:w="1879" w:type="dxa"/>
          </w:tcPr>
          <w:p w14:paraId="13B9312C" w14:textId="52E3DBF0" w:rsidR="00616FDE" w:rsidRPr="00CF2DBE" w:rsidRDefault="00616FDE" w:rsidP="00CF2DBE">
            <w:pPr>
              <w:pStyle w:val="TableText"/>
            </w:pPr>
            <w:r w:rsidRPr="00CF2DBE">
              <w:t>2016/17 to 2018/19</w:t>
            </w:r>
            <w:r w:rsidR="00763AC4">
              <w:t xml:space="preserve"> </w:t>
            </w:r>
          </w:p>
        </w:tc>
        <w:tc>
          <w:tcPr>
            <w:tcW w:w="1879" w:type="dxa"/>
          </w:tcPr>
          <w:p w14:paraId="42A02DF7" w14:textId="77777777" w:rsidR="00616FDE" w:rsidRPr="00CF2DBE" w:rsidRDefault="00616FDE" w:rsidP="00CF2DBE">
            <w:pPr>
              <w:pStyle w:val="TableText"/>
            </w:pPr>
            <w:r w:rsidRPr="00CF2DBE">
              <w:t>2019/20 to 2021/22</w:t>
            </w:r>
          </w:p>
        </w:tc>
        <w:tc>
          <w:tcPr>
            <w:tcW w:w="1526" w:type="dxa"/>
          </w:tcPr>
          <w:p w14:paraId="1610336D" w14:textId="77777777" w:rsidR="00616FDE" w:rsidRPr="00CF2DBE" w:rsidRDefault="00616FDE" w:rsidP="00CF2DBE">
            <w:pPr>
              <w:pStyle w:val="TableText"/>
            </w:pPr>
            <w:r w:rsidRPr="00CF2DBE">
              <w:t>Difference</w:t>
            </w:r>
          </w:p>
        </w:tc>
        <w:tc>
          <w:tcPr>
            <w:tcW w:w="1476" w:type="dxa"/>
          </w:tcPr>
          <w:p w14:paraId="06919625" w14:textId="77777777" w:rsidR="00616FDE" w:rsidRPr="00CF2DBE" w:rsidRDefault="00616FDE" w:rsidP="00CF2DBE">
            <w:pPr>
              <w:pStyle w:val="TableText"/>
            </w:pPr>
            <w:r w:rsidRPr="00CF2DBE">
              <w:t>% change</w:t>
            </w:r>
          </w:p>
        </w:tc>
      </w:tr>
      <w:tr w:rsidR="002C1752" w14:paraId="23CF729C" w14:textId="77777777" w:rsidTr="00B65D2B">
        <w:tc>
          <w:tcPr>
            <w:tcW w:w="1745" w:type="dxa"/>
          </w:tcPr>
          <w:p w14:paraId="36F133F0" w14:textId="77777777" w:rsidR="00616FDE" w:rsidRDefault="00616FDE" w:rsidP="00103563">
            <w:pPr>
              <w:pStyle w:val="TableText"/>
            </w:pPr>
            <w:r>
              <w:t>Total gross tonnage</w:t>
            </w:r>
          </w:p>
        </w:tc>
        <w:tc>
          <w:tcPr>
            <w:tcW w:w="1879" w:type="dxa"/>
            <w:vAlign w:val="center"/>
          </w:tcPr>
          <w:p w14:paraId="5E624465" w14:textId="77777777" w:rsidR="00616FDE" w:rsidRDefault="00616FDE" w:rsidP="00B65D2B">
            <w:pPr>
              <w:pStyle w:val="TableText"/>
              <w:jc w:val="right"/>
            </w:pPr>
            <w:r>
              <w:t>11,439,902</w:t>
            </w:r>
          </w:p>
        </w:tc>
        <w:tc>
          <w:tcPr>
            <w:tcW w:w="1879" w:type="dxa"/>
            <w:vAlign w:val="center"/>
          </w:tcPr>
          <w:p w14:paraId="7AE6B818" w14:textId="77777777" w:rsidR="00616FDE" w:rsidRDefault="00616FDE" w:rsidP="00B65D2B">
            <w:pPr>
              <w:pStyle w:val="TableText"/>
              <w:jc w:val="right"/>
            </w:pPr>
            <w:r>
              <w:t>11,349,537</w:t>
            </w:r>
          </w:p>
        </w:tc>
        <w:tc>
          <w:tcPr>
            <w:tcW w:w="1526" w:type="dxa"/>
            <w:vAlign w:val="center"/>
          </w:tcPr>
          <w:p w14:paraId="00317605" w14:textId="2783F3E4" w:rsidR="00616FDE" w:rsidRDefault="002B7DF5" w:rsidP="00B65D2B">
            <w:pPr>
              <w:pStyle w:val="TableText"/>
              <w:jc w:val="right"/>
            </w:pPr>
            <w:r>
              <w:t>(</w:t>
            </w:r>
            <w:r w:rsidR="00616FDE">
              <w:t>90,365</w:t>
            </w:r>
            <w:r>
              <w:t>)</w:t>
            </w:r>
          </w:p>
        </w:tc>
        <w:tc>
          <w:tcPr>
            <w:tcW w:w="1476" w:type="dxa"/>
            <w:vAlign w:val="center"/>
          </w:tcPr>
          <w:p w14:paraId="048956B1" w14:textId="0C304753" w:rsidR="00616FDE" w:rsidRDefault="002B7DF5" w:rsidP="00B65D2B">
            <w:pPr>
              <w:pStyle w:val="TableText"/>
              <w:jc w:val="right"/>
            </w:pPr>
            <w:r>
              <w:t>(</w:t>
            </w:r>
            <w:r w:rsidR="00616FDE">
              <w:t>0.80%</w:t>
            </w:r>
            <w:r>
              <w:t>)</w:t>
            </w:r>
          </w:p>
        </w:tc>
      </w:tr>
      <w:tr w:rsidR="002C1752" w14:paraId="3E8DBC28" w14:textId="77777777" w:rsidTr="00B65D2B">
        <w:tc>
          <w:tcPr>
            <w:tcW w:w="1745" w:type="dxa"/>
          </w:tcPr>
          <w:p w14:paraId="686C9642" w14:textId="77777777" w:rsidR="00616FDE" w:rsidRDefault="00616FDE" w:rsidP="00103563">
            <w:pPr>
              <w:pStyle w:val="TableText"/>
            </w:pPr>
            <w:r>
              <w:t>Total diverted tonnage</w:t>
            </w:r>
          </w:p>
        </w:tc>
        <w:tc>
          <w:tcPr>
            <w:tcW w:w="1879" w:type="dxa"/>
            <w:vAlign w:val="center"/>
          </w:tcPr>
          <w:p w14:paraId="28CD55DB" w14:textId="77777777" w:rsidR="00616FDE" w:rsidRDefault="00616FDE" w:rsidP="00B65D2B">
            <w:pPr>
              <w:pStyle w:val="TableText"/>
              <w:jc w:val="right"/>
            </w:pPr>
            <w:r>
              <w:t>784,252</w:t>
            </w:r>
          </w:p>
        </w:tc>
        <w:tc>
          <w:tcPr>
            <w:tcW w:w="1879" w:type="dxa"/>
            <w:vAlign w:val="center"/>
          </w:tcPr>
          <w:p w14:paraId="686375B1" w14:textId="77777777" w:rsidR="00616FDE" w:rsidRDefault="00616FDE" w:rsidP="00B65D2B">
            <w:pPr>
              <w:pStyle w:val="TableText"/>
              <w:jc w:val="right"/>
            </w:pPr>
            <w:r>
              <w:t>928,846</w:t>
            </w:r>
          </w:p>
        </w:tc>
        <w:tc>
          <w:tcPr>
            <w:tcW w:w="1526" w:type="dxa"/>
            <w:vAlign w:val="center"/>
          </w:tcPr>
          <w:p w14:paraId="4AA6FDE9" w14:textId="77777777" w:rsidR="00616FDE" w:rsidRDefault="00616FDE" w:rsidP="00B65D2B">
            <w:pPr>
              <w:pStyle w:val="TableText"/>
              <w:jc w:val="right"/>
            </w:pPr>
            <w:r>
              <w:t>144,594</w:t>
            </w:r>
          </w:p>
        </w:tc>
        <w:tc>
          <w:tcPr>
            <w:tcW w:w="1476" w:type="dxa"/>
            <w:vAlign w:val="center"/>
          </w:tcPr>
          <w:p w14:paraId="0367C218" w14:textId="77777777" w:rsidR="00616FDE" w:rsidRDefault="00616FDE" w:rsidP="00B65D2B">
            <w:pPr>
              <w:pStyle w:val="TableText"/>
              <w:jc w:val="right"/>
            </w:pPr>
            <w:r>
              <w:t>+15.57%</w:t>
            </w:r>
          </w:p>
        </w:tc>
      </w:tr>
      <w:tr w:rsidR="002C1752" w:rsidRPr="0097592F" w14:paraId="5BD16E6E" w14:textId="77777777" w:rsidTr="00B65D2B">
        <w:tc>
          <w:tcPr>
            <w:tcW w:w="1745" w:type="dxa"/>
            <w:shd w:val="clear" w:color="auto" w:fill="D9D9D9" w:themeFill="background1" w:themeFillShade="D9"/>
          </w:tcPr>
          <w:p w14:paraId="5E780F2A" w14:textId="77777777" w:rsidR="00616FDE" w:rsidRPr="0097592F" w:rsidRDefault="00616FDE" w:rsidP="00103563">
            <w:pPr>
              <w:pStyle w:val="TableText"/>
            </w:pPr>
            <w:r w:rsidRPr="0097592F">
              <w:t>Total net tonnage</w:t>
            </w:r>
          </w:p>
        </w:tc>
        <w:tc>
          <w:tcPr>
            <w:tcW w:w="1879" w:type="dxa"/>
            <w:shd w:val="clear" w:color="auto" w:fill="D9D9D9" w:themeFill="background1" w:themeFillShade="D9"/>
            <w:vAlign w:val="center"/>
          </w:tcPr>
          <w:p w14:paraId="3EEAA6C8" w14:textId="77777777" w:rsidR="00616FDE" w:rsidRPr="00B65D2B" w:rsidRDefault="00616FDE" w:rsidP="00B65D2B">
            <w:pPr>
              <w:pStyle w:val="TableText"/>
              <w:jc w:val="right"/>
            </w:pPr>
            <w:r w:rsidRPr="00B65D2B">
              <w:rPr>
                <w:rFonts w:cstheme="minorBidi"/>
              </w:rPr>
              <w:t xml:space="preserve">10,655,650 </w:t>
            </w:r>
          </w:p>
        </w:tc>
        <w:tc>
          <w:tcPr>
            <w:tcW w:w="1879" w:type="dxa"/>
            <w:shd w:val="clear" w:color="auto" w:fill="D9D9D9" w:themeFill="background1" w:themeFillShade="D9"/>
            <w:vAlign w:val="center"/>
          </w:tcPr>
          <w:p w14:paraId="4B0D2F68" w14:textId="77777777" w:rsidR="00616FDE" w:rsidRPr="00B65D2B" w:rsidRDefault="00616FDE" w:rsidP="00B65D2B">
            <w:pPr>
              <w:pStyle w:val="TableText"/>
              <w:jc w:val="right"/>
            </w:pPr>
            <w:r w:rsidRPr="00B65D2B">
              <w:rPr>
                <w:rFonts w:cstheme="minorBidi"/>
              </w:rPr>
              <w:t xml:space="preserve">10,420,691 </w:t>
            </w:r>
          </w:p>
        </w:tc>
        <w:tc>
          <w:tcPr>
            <w:tcW w:w="1526" w:type="dxa"/>
            <w:shd w:val="clear" w:color="auto" w:fill="D9D9D9" w:themeFill="background1" w:themeFillShade="D9"/>
            <w:vAlign w:val="center"/>
          </w:tcPr>
          <w:p w14:paraId="53E08012" w14:textId="77777777" w:rsidR="00616FDE" w:rsidRPr="0097592F" w:rsidRDefault="00616FDE" w:rsidP="00B65D2B">
            <w:pPr>
              <w:pStyle w:val="TableText"/>
              <w:jc w:val="right"/>
              <w:rPr>
                <w:rFonts w:cs="Calibri"/>
                <w:color w:val="000000"/>
                <w:sz w:val="22"/>
              </w:rPr>
            </w:pPr>
            <w:r w:rsidRPr="00B65D2B">
              <w:rPr>
                <w:rFonts w:cstheme="minorBidi"/>
              </w:rPr>
              <w:t>-234,959</w:t>
            </w:r>
          </w:p>
        </w:tc>
        <w:tc>
          <w:tcPr>
            <w:tcW w:w="1476" w:type="dxa"/>
            <w:shd w:val="clear" w:color="auto" w:fill="D9D9D9" w:themeFill="background1" w:themeFillShade="D9"/>
            <w:vAlign w:val="center"/>
          </w:tcPr>
          <w:p w14:paraId="669E23D4" w14:textId="332CF84C" w:rsidR="00616FDE" w:rsidRPr="0097592F" w:rsidRDefault="002B7DF5" w:rsidP="00B65D2B">
            <w:pPr>
              <w:pStyle w:val="TableText"/>
              <w:jc w:val="right"/>
            </w:pPr>
            <w:r>
              <w:t>(</w:t>
            </w:r>
            <w:r w:rsidR="00616FDE" w:rsidRPr="0097592F">
              <w:t>2.25%</w:t>
            </w:r>
            <w:r>
              <w:t>)</w:t>
            </w:r>
          </w:p>
        </w:tc>
      </w:tr>
    </w:tbl>
    <w:p w14:paraId="3038D91C" w14:textId="068C306B" w:rsidR="00EE36A4" w:rsidRDefault="00616FDE" w:rsidP="00EE36A4">
      <w:pPr>
        <w:pStyle w:val="Note"/>
      </w:pPr>
      <w:r w:rsidRPr="00735790">
        <w:t xml:space="preserve">Source: </w:t>
      </w:r>
      <w:r w:rsidR="00ED16D2">
        <w:t>R</w:t>
      </w:r>
      <w:r w:rsidRPr="00735790">
        <w:t xml:space="preserve">eported returns from the </w:t>
      </w:r>
      <w:r w:rsidR="00EE36A4">
        <w:t>OWLS</w:t>
      </w:r>
      <w:r w:rsidRPr="00735790">
        <w:t xml:space="preserve">. </w:t>
      </w:r>
    </w:p>
    <w:p w14:paraId="0C8659D1" w14:textId="4B2A22FB" w:rsidR="00616FDE" w:rsidRDefault="00EE36A4" w:rsidP="00C002BF">
      <w:pPr>
        <w:pStyle w:val="Note"/>
      </w:pPr>
      <w:r>
        <w:t xml:space="preserve">Note: </w:t>
      </w:r>
      <w:r w:rsidR="00616FDE">
        <w:t xml:space="preserve">Years reported are financial years </w:t>
      </w:r>
      <w:r>
        <w:t>(</w:t>
      </w:r>
      <w:proofErr w:type="spellStart"/>
      <w:r>
        <w:t>ie</w:t>
      </w:r>
      <w:proofErr w:type="spellEnd"/>
      <w:r>
        <w:t>,</w:t>
      </w:r>
      <w:r w:rsidR="00616FDE">
        <w:t xml:space="preserve"> the period 2016/17 is from 1 July 2016 to 30 June 2017</w:t>
      </w:r>
      <w:r>
        <w:t>)</w:t>
      </w:r>
      <w:r w:rsidR="00616FDE">
        <w:t xml:space="preserve">. </w:t>
      </w:r>
      <w:r w:rsidR="00616FDE" w:rsidRPr="00735790">
        <w:t>Note that disposal facility operators may amend their reports up to two years after submitting them, so figures may be subject to slight change.</w:t>
      </w:r>
    </w:p>
    <w:p w14:paraId="523C6C7D" w14:textId="7CA52B3F" w:rsidR="0014210E" w:rsidRDefault="0014210E" w:rsidP="00BF1041">
      <w:pPr>
        <w:pStyle w:val="Tableheading"/>
      </w:pPr>
      <w:bookmarkStart w:id="29" w:name="_Ref153452141"/>
      <w:bookmarkStart w:id="30" w:name="_Toc177022853"/>
      <w:r>
        <w:t xml:space="preserve">Table </w:t>
      </w:r>
      <w:r>
        <w:fldChar w:fldCharType="begin"/>
      </w:r>
      <w:r>
        <w:instrText xml:space="preserve"> SEQ Table \* ARABIC </w:instrText>
      </w:r>
      <w:r>
        <w:fldChar w:fldCharType="separate"/>
      </w:r>
      <w:r w:rsidR="00587F2B">
        <w:rPr>
          <w:noProof/>
        </w:rPr>
        <w:t>5</w:t>
      </w:r>
      <w:r>
        <w:rPr>
          <w:noProof/>
        </w:rPr>
        <w:fldChar w:fldCharType="end"/>
      </w:r>
      <w:bookmarkEnd w:id="29"/>
      <w:r>
        <w:t xml:space="preserve">: </w:t>
      </w:r>
      <w:r>
        <w:tab/>
      </w:r>
      <w:r w:rsidRPr="0018614B">
        <w:t>Net kilograms of waste per capita disposed of at municipal landfills (class 1) for the 2020 and 2023 review periods</w:t>
      </w:r>
      <w:bookmarkEnd w:id="30"/>
    </w:p>
    <w:tbl>
      <w:tblPr>
        <w:tblStyle w:val="MinistryfortheEnvironment"/>
        <w:tblW w:w="0" w:type="auto"/>
        <w:tblLook w:val="04A0" w:firstRow="1" w:lastRow="0" w:firstColumn="1" w:lastColumn="0" w:noHBand="0" w:noVBand="1"/>
      </w:tblPr>
      <w:tblGrid>
        <w:gridCol w:w="2033"/>
        <w:gridCol w:w="2428"/>
        <w:gridCol w:w="2436"/>
        <w:gridCol w:w="1608"/>
      </w:tblGrid>
      <w:tr w:rsidR="00616FDE" w14:paraId="692000FA" w14:textId="77777777" w:rsidTr="00B65D2B">
        <w:trPr>
          <w:cnfStyle w:val="100000000000" w:firstRow="1" w:lastRow="0" w:firstColumn="0" w:lastColumn="0" w:oddVBand="0" w:evenVBand="0" w:oddHBand="0" w:evenHBand="0" w:firstRowFirstColumn="0" w:firstRowLastColumn="0" w:lastRowFirstColumn="0" w:lastRowLastColumn="0"/>
        </w:trPr>
        <w:tc>
          <w:tcPr>
            <w:tcW w:w="2033" w:type="dxa"/>
          </w:tcPr>
          <w:p w14:paraId="0185EE04" w14:textId="77777777" w:rsidR="00616FDE" w:rsidRDefault="00616FDE">
            <w:pPr>
              <w:pStyle w:val="BodyText"/>
            </w:pPr>
          </w:p>
        </w:tc>
        <w:tc>
          <w:tcPr>
            <w:tcW w:w="2428" w:type="dxa"/>
          </w:tcPr>
          <w:p w14:paraId="0A08D2AB" w14:textId="3853E615" w:rsidR="00616FDE" w:rsidRDefault="00D70165">
            <w:pPr>
              <w:pStyle w:val="BodyText"/>
            </w:pPr>
            <w:r>
              <w:t xml:space="preserve">By </w:t>
            </w:r>
            <w:proofErr w:type="gramStart"/>
            <w:r>
              <w:t>t</w:t>
            </w:r>
            <w:r w:rsidR="00616FDE">
              <w:t>ime period</w:t>
            </w:r>
            <w:proofErr w:type="gramEnd"/>
          </w:p>
        </w:tc>
        <w:tc>
          <w:tcPr>
            <w:tcW w:w="2436" w:type="dxa"/>
          </w:tcPr>
          <w:p w14:paraId="0F869AFB" w14:textId="77777777" w:rsidR="00616FDE" w:rsidRDefault="00616FDE">
            <w:pPr>
              <w:pStyle w:val="BodyText"/>
            </w:pPr>
            <w:r>
              <w:t xml:space="preserve">Average for </w:t>
            </w:r>
            <w:proofErr w:type="gramStart"/>
            <w:r>
              <w:t>time period</w:t>
            </w:r>
            <w:proofErr w:type="gramEnd"/>
          </w:p>
        </w:tc>
        <w:tc>
          <w:tcPr>
            <w:tcW w:w="1608" w:type="dxa"/>
          </w:tcPr>
          <w:p w14:paraId="39F43848" w14:textId="77777777" w:rsidR="00616FDE" w:rsidRDefault="00616FDE">
            <w:pPr>
              <w:pStyle w:val="BodyText"/>
            </w:pPr>
            <w:r>
              <w:t>% change between periods</w:t>
            </w:r>
          </w:p>
        </w:tc>
      </w:tr>
      <w:tr w:rsidR="00616FDE" w14:paraId="1F21FFAD" w14:textId="77777777" w:rsidTr="00B65D2B">
        <w:tc>
          <w:tcPr>
            <w:tcW w:w="2033" w:type="dxa"/>
          </w:tcPr>
          <w:p w14:paraId="0BD25EAD" w14:textId="72F664C9" w:rsidR="00616FDE" w:rsidRDefault="00616FDE">
            <w:pPr>
              <w:pStyle w:val="TableText"/>
            </w:pPr>
            <w:r>
              <w:t xml:space="preserve">Per capita waste disposal </w:t>
            </w:r>
            <w:r>
              <w:br/>
              <w:t>2016/17 to 2018/19</w:t>
            </w:r>
            <w:r w:rsidR="00763AC4">
              <w:t xml:space="preserve"> </w:t>
            </w:r>
          </w:p>
        </w:tc>
        <w:tc>
          <w:tcPr>
            <w:tcW w:w="2428" w:type="dxa"/>
          </w:tcPr>
          <w:p w14:paraId="2086BCE2" w14:textId="77777777" w:rsidR="00616FDE" w:rsidRDefault="00616FDE">
            <w:pPr>
              <w:pStyle w:val="TableText"/>
            </w:pPr>
            <w:r>
              <w:t>2016/17 – 731.1</w:t>
            </w:r>
          </w:p>
          <w:p w14:paraId="6C09001E" w14:textId="71857864" w:rsidR="00616FDE" w:rsidRDefault="00616FDE">
            <w:pPr>
              <w:pStyle w:val="TableText"/>
            </w:pPr>
            <w:r>
              <w:t>2017/18 – 716.7</w:t>
            </w:r>
            <w:r w:rsidR="00763AC4">
              <w:t xml:space="preserve"> </w:t>
            </w:r>
          </w:p>
          <w:p w14:paraId="30566CD2" w14:textId="77777777" w:rsidR="00616FDE" w:rsidRDefault="00616FDE">
            <w:pPr>
              <w:pStyle w:val="TableText"/>
            </w:pPr>
            <w:r>
              <w:t>2018/19 – 744.5</w:t>
            </w:r>
          </w:p>
        </w:tc>
        <w:tc>
          <w:tcPr>
            <w:tcW w:w="2436" w:type="dxa"/>
          </w:tcPr>
          <w:p w14:paraId="7E9979BE" w14:textId="28687A75" w:rsidR="00616FDE" w:rsidRDefault="00616FDE">
            <w:pPr>
              <w:pStyle w:val="TableText"/>
            </w:pPr>
            <w:r>
              <w:t>730.</w:t>
            </w:r>
            <w:r w:rsidR="00D55EC8">
              <w:t>8</w:t>
            </w:r>
            <w:r>
              <w:t xml:space="preserve"> kg/capita</w:t>
            </w:r>
          </w:p>
        </w:tc>
        <w:tc>
          <w:tcPr>
            <w:tcW w:w="1608" w:type="dxa"/>
            <w:vMerge w:val="restart"/>
            <w:vAlign w:val="center"/>
          </w:tcPr>
          <w:p w14:paraId="60E07CD6" w14:textId="77777777" w:rsidR="00616FDE" w:rsidRDefault="00616FDE">
            <w:pPr>
              <w:pStyle w:val="TableText"/>
            </w:pPr>
            <w:r>
              <w:t>-6.6%</w:t>
            </w:r>
          </w:p>
        </w:tc>
      </w:tr>
      <w:tr w:rsidR="00616FDE" w14:paraId="6895A904" w14:textId="77777777" w:rsidTr="00B65D2B">
        <w:tc>
          <w:tcPr>
            <w:tcW w:w="2033" w:type="dxa"/>
          </w:tcPr>
          <w:p w14:paraId="765A52D5" w14:textId="77777777" w:rsidR="00616FDE" w:rsidRDefault="00616FDE">
            <w:pPr>
              <w:pStyle w:val="TableText"/>
            </w:pPr>
            <w:r>
              <w:t>Per capita waste disposal</w:t>
            </w:r>
            <w:r>
              <w:br/>
              <w:t>2019/20 to 2021/22</w:t>
            </w:r>
          </w:p>
        </w:tc>
        <w:tc>
          <w:tcPr>
            <w:tcW w:w="2428" w:type="dxa"/>
          </w:tcPr>
          <w:p w14:paraId="02289E0F" w14:textId="77777777" w:rsidR="00616FDE" w:rsidRDefault="00616FDE">
            <w:pPr>
              <w:pStyle w:val="TableText"/>
            </w:pPr>
            <w:r>
              <w:t>2019/20 – 664.4</w:t>
            </w:r>
          </w:p>
          <w:p w14:paraId="6B444F7B" w14:textId="77777777" w:rsidR="00616FDE" w:rsidRDefault="00616FDE">
            <w:pPr>
              <w:pStyle w:val="TableText"/>
            </w:pPr>
            <w:r>
              <w:t>2020/21 – 699.9</w:t>
            </w:r>
          </w:p>
          <w:p w14:paraId="36AA1E11" w14:textId="77777777" w:rsidR="00616FDE" w:rsidRDefault="00616FDE">
            <w:pPr>
              <w:pStyle w:val="TableText"/>
            </w:pPr>
            <w:r>
              <w:t>2021/22 – 683.4</w:t>
            </w:r>
          </w:p>
        </w:tc>
        <w:tc>
          <w:tcPr>
            <w:tcW w:w="2436" w:type="dxa"/>
          </w:tcPr>
          <w:p w14:paraId="375050D0" w14:textId="4B2EA428" w:rsidR="00616FDE" w:rsidRDefault="00616FDE">
            <w:pPr>
              <w:pStyle w:val="TableText"/>
            </w:pPr>
            <w:r>
              <w:t>682.</w:t>
            </w:r>
            <w:r w:rsidR="009A3D40">
              <w:t>6</w:t>
            </w:r>
            <w:r>
              <w:t xml:space="preserve"> kg/capita</w:t>
            </w:r>
          </w:p>
        </w:tc>
        <w:tc>
          <w:tcPr>
            <w:tcW w:w="1608" w:type="dxa"/>
            <w:vMerge/>
          </w:tcPr>
          <w:p w14:paraId="1F38FEDA" w14:textId="77777777" w:rsidR="00616FDE" w:rsidRDefault="00616FDE">
            <w:pPr>
              <w:pStyle w:val="BodyText"/>
            </w:pPr>
          </w:p>
        </w:tc>
      </w:tr>
    </w:tbl>
    <w:p w14:paraId="63BF3643" w14:textId="50EB2C07" w:rsidR="00DE2548" w:rsidRDefault="00616FDE" w:rsidP="00EE36A4">
      <w:pPr>
        <w:pStyle w:val="Note"/>
      </w:pPr>
      <w:r w:rsidRPr="00735790">
        <w:t xml:space="preserve">Source: </w:t>
      </w:r>
      <w:r w:rsidR="00ED16D2">
        <w:t>R</w:t>
      </w:r>
      <w:r w:rsidRPr="00735790">
        <w:t xml:space="preserve">eported returns from the </w:t>
      </w:r>
      <w:r w:rsidR="00D70165">
        <w:t>OWLS</w:t>
      </w:r>
      <w:r w:rsidRPr="00735790">
        <w:t xml:space="preserve">. </w:t>
      </w:r>
    </w:p>
    <w:p w14:paraId="14E45952" w14:textId="7D22879D" w:rsidR="00616FDE" w:rsidRDefault="00DE2548" w:rsidP="00EE36A4">
      <w:pPr>
        <w:pStyle w:val="Note"/>
      </w:pPr>
      <w:r>
        <w:t xml:space="preserve">Note: </w:t>
      </w:r>
      <w:r w:rsidR="00616FDE">
        <w:t xml:space="preserve">Years reported are financial years </w:t>
      </w:r>
      <w:r>
        <w:t>(</w:t>
      </w:r>
      <w:proofErr w:type="spellStart"/>
      <w:r>
        <w:t>ie</w:t>
      </w:r>
      <w:proofErr w:type="spellEnd"/>
      <w:r w:rsidR="00616FDE">
        <w:t>, the period 2016/17 is from 1 July 2016 to 30 June 2017</w:t>
      </w:r>
      <w:r>
        <w:t>)</w:t>
      </w:r>
      <w:r w:rsidR="00616FDE">
        <w:t xml:space="preserve">. </w:t>
      </w:r>
      <w:r w:rsidR="00616FDE" w:rsidRPr="00735790">
        <w:t>Note that disposal facility operators may amend their reports up to two years after submitting them, so figures may be subject to slight change.</w:t>
      </w:r>
      <w:r w:rsidR="00616FDE">
        <w:t xml:space="preserve"> </w:t>
      </w:r>
      <w:r w:rsidR="00616FDE" w:rsidRPr="008E5307">
        <w:t>Per capita figures are based on the quarterly estimated resident population data from Stats</w:t>
      </w:r>
      <w:r>
        <w:t> </w:t>
      </w:r>
      <w:r w:rsidR="00616FDE" w:rsidRPr="008E5307">
        <w:t>NZ.</w:t>
      </w:r>
    </w:p>
    <w:p w14:paraId="140D01D6" w14:textId="0709E98A" w:rsidR="00616FDE" w:rsidRDefault="00616FDE" w:rsidP="00616FDE">
      <w:pPr>
        <w:pStyle w:val="BodyText"/>
      </w:pPr>
      <w:r>
        <w:t>Since 1 July 2022, construction and demolition landfills (class 2) have also been subject to a levy</w:t>
      </w:r>
      <w:r w:rsidR="0009243C">
        <w:t>;</w:t>
      </w:r>
      <w:r>
        <w:t xml:space="preserve"> </w:t>
      </w:r>
      <w:r w:rsidR="0009243C">
        <w:t>f</w:t>
      </w:r>
      <w:r>
        <w:t>rom 1 July 2023</w:t>
      </w:r>
      <w:r w:rsidR="0009243C">
        <w:t>,</w:t>
      </w:r>
      <w:r>
        <w:t xml:space="preserve"> controlled and managed fills (class 3) were also included. Future reports will include trends for those landfill types. </w:t>
      </w:r>
      <w:r w:rsidR="00DE0740">
        <w:fldChar w:fldCharType="begin"/>
      </w:r>
      <w:r w:rsidR="00DE0740">
        <w:instrText xml:space="preserve"> REF _Ref153452404 \h </w:instrText>
      </w:r>
      <w:r w:rsidR="00DE0740">
        <w:fldChar w:fldCharType="separate"/>
      </w:r>
      <w:r w:rsidR="00587F2B">
        <w:t xml:space="preserve">Figure </w:t>
      </w:r>
      <w:r w:rsidR="00587F2B">
        <w:rPr>
          <w:noProof/>
        </w:rPr>
        <w:t>2</w:t>
      </w:r>
      <w:r w:rsidR="00DE0740">
        <w:fldChar w:fldCharType="end"/>
      </w:r>
      <w:r>
        <w:t xml:space="preserve"> includes a longer time series of both class 1 and 2 disposals. </w:t>
      </w:r>
      <w:r w:rsidRPr="00D87A5A">
        <w:t xml:space="preserve">Looking over a longer </w:t>
      </w:r>
      <w:proofErr w:type="gramStart"/>
      <w:r w:rsidRPr="00D87A5A">
        <w:t>time period</w:t>
      </w:r>
      <w:proofErr w:type="gramEnd"/>
      <w:r>
        <w:t>,</w:t>
      </w:r>
      <w:r w:rsidRPr="00D87A5A">
        <w:t xml:space="preserve"> there has been substantial growth in waste disposal to municipal landfills between 2009 and 2018, and a levelling off with no strong trend since then</w:t>
      </w:r>
      <w:r>
        <w:t xml:space="preserve"> (although a slight reduction since the last review period)</w:t>
      </w:r>
      <w:r w:rsidRPr="00D87A5A">
        <w:t xml:space="preserve">. </w:t>
      </w:r>
      <w:r>
        <w:t>A slowdown of economic activity associated with the response to the COVID-19 pandemic may have contributed to the decrease in waste disposal</w:t>
      </w:r>
      <w:r w:rsidRPr="00D87A5A">
        <w:t xml:space="preserve"> </w:t>
      </w:r>
      <w:r>
        <w:t>in 2019/20.</w:t>
      </w:r>
    </w:p>
    <w:p w14:paraId="2A323D47" w14:textId="5EE6635F" w:rsidR="00587A1E" w:rsidRDefault="00DE0740" w:rsidP="00587A1E">
      <w:pPr>
        <w:pStyle w:val="Figureheading"/>
        <w:rPr>
          <w:noProof/>
        </w:rPr>
      </w:pPr>
      <w:bookmarkStart w:id="31" w:name="_Ref153452404"/>
      <w:bookmarkStart w:id="32" w:name="_Toc177022864"/>
      <w:r>
        <w:lastRenderedPageBreak/>
        <w:t xml:space="preserve">Figure </w:t>
      </w:r>
      <w:r>
        <w:fldChar w:fldCharType="begin"/>
      </w:r>
      <w:r>
        <w:instrText xml:space="preserve"> SEQ Figure \* ARABIC </w:instrText>
      </w:r>
      <w:r>
        <w:fldChar w:fldCharType="separate"/>
      </w:r>
      <w:r w:rsidR="00587F2B">
        <w:rPr>
          <w:noProof/>
        </w:rPr>
        <w:t>2</w:t>
      </w:r>
      <w:r>
        <w:rPr>
          <w:noProof/>
        </w:rPr>
        <w:fldChar w:fldCharType="end"/>
      </w:r>
      <w:bookmarkEnd w:id="31"/>
      <w:r>
        <w:t xml:space="preserve">: </w:t>
      </w:r>
      <w:r>
        <w:tab/>
      </w:r>
      <w:r w:rsidRPr="007E16A5">
        <w:t>Total tonnage of waste disposed of at levied landfills (2009/10 to 2022/23)</w:t>
      </w:r>
      <w:bookmarkEnd w:id="32"/>
      <w:r w:rsidR="00C64B61" w:rsidRPr="00C64B61">
        <w:rPr>
          <w:noProof/>
        </w:rPr>
        <w:t xml:space="preserve"> </w:t>
      </w:r>
    </w:p>
    <w:p w14:paraId="26C2940C" w14:textId="310B0A16" w:rsidR="00587A1E" w:rsidRDefault="00727321" w:rsidP="00587A1E">
      <w:pPr>
        <w:pStyle w:val="BodyText"/>
      </w:pPr>
      <w:r>
        <w:rPr>
          <w:noProof/>
        </w:rPr>
        <w:drawing>
          <wp:inline distT="0" distB="0" distL="0" distR="0" wp14:anchorId="0F8EB806" wp14:editId="12B3DBA2">
            <wp:extent cx="4928802" cy="2582883"/>
            <wp:effectExtent l="0" t="0" r="5715" b="8255"/>
            <wp:docPr id="1060746952" name="Picture 3" descr="A graph of a graph showing the amount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46952" name="Picture 3" descr="A graph of a graph showing the amount of money&#10;&#10;Description automatically generated with medium confidence"/>
                    <pic:cNvPicPr/>
                  </pic:nvPicPr>
                  <pic:blipFill rotWithShape="1">
                    <a:blip r:embed="rId27"/>
                    <a:srcRect l="9163" t="13162" r="14610" b="15823"/>
                    <a:stretch/>
                  </pic:blipFill>
                  <pic:spPr bwMode="auto">
                    <a:xfrm>
                      <a:off x="0" y="0"/>
                      <a:ext cx="4945288" cy="2591522"/>
                    </a:xfrm>
                    <a:prstGeom prst="rect">
                      <a:avLst/>
                    </a:prstGeom>
                    <a:ln>
                      <a:noFill/>
                    </a:ln>
                    <a:extLst>
                      <a:ext uri="{53640926-AAD7-44D8-BBD7-CCE9431645EC}">
                        <a14:shadowObscured xmlns:a14="http://schemas.microsoft.com/office/drawing/2010/main"/>
                      </a:ext>
                    </a:extLst>
                  </pic:spPr>
                </pic:pic>
              </a:graphicData>
            </a:graphic>
          </wp:inline>
        </w:drawing>
      </w:r>
    </w:p>
    <w:p w14:paraId="02DBC39A" w14:textId="0D0E96E4" w:rsidR="00616FDE" w:rsidRDefault="00616FDE" w:rsidP="00EE36A4">
      <w:pPr>
        <w:pStyle w:val="Note"/>
      </w:pPr>
      <w:r w:rsidRPr="004D15F1">
        <w:t xml:space="preserve">Note: </w:t>
      </w:r>
      <w:r>
        <w:t xml:space="preserve">Class 1 landfills have been subject to a landfill since 1 July 2009. </w:t>
      </w:r>
      <w:r w:rsidRPr="004D15F1">
        <w:t xml:space="preserve">Class 2 facilities have been subject to </w:t>
      </w:r>
      <w:r>
        <w:t>reporting obligations since 1 January 2022, and</w:t>
      </w:r>
      <w:r w:rsidR="005A0CD8">
        <w:t xml:space="preserve"> to</w:t>
      </w:r>
      <w:r>
        <w:t xml:space="preserve"> </w:t>
      </w:r>
      <w:r w:rsidRPr="004D15F1">
        <w:t xml:space="preserve">a levy since </w:t>
      </w:r>
      <w:r>
        <w:t>1 July 2022</w:t>
      </w:r>
      <w:r w:rsidRPr="004D15F1">
        <w:t>.</w:t>
      </w:r>
      <w:r>
        <w:t xml:space="preserve"> The 2021/2022 year therefore includes only </w:t>
      </w:r>
      <w:r w:rsidR="005A0CD8">
        <w:t xml:space="preserve">6 </w:t>
      </w:r>
      <w:r>
        <w:t xml:space="preserve">months of data for class 2 facilities (January to June 2022). </w:t>
      </w:r>
    </w:p>
    <w:p w14:paraId="4716010C" w14:textId="77777777" w:rsidR="00103563" w:rsidRDefault="00103563" w:rsidP="00103563"/>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03563" w:rsidRPr="006B77BB" w14:paraId="534A5544" w14:textId="77777777">
        <w:tc>
          <w:tcPr>
            <w:tcW w:w="8505" w:type="dxa"/>
            <w:shd w:val="clear" w:color="auto" w:fill="D5EBE8" w:themeFill="accent3"/>
          </w:tcPr>
          <w:p w14:paraId="228B486A" w14:textId="37A859BD" w:rsidR="00103563" w:rsidRPr="0051754D" w:rsidRDefault="00103563">
            <w:pPr>
              <w:pStyle w:val="Greenheading-casestudytables"/>
            </w:pPr>
            <w:r>
              <w:lastRenderedPageBreak/>
              <w:t>How tonnages are measured and recorded</w:t>
            </w:r>
          </w:p>
          <w:p w14:paraId="136EEF22" w14:textId="77777777" w:rsidR="00103563" w:rsidRPr="0051754D" w:rsidRDefault="00103563" w:rsidP="00103563">
            <w:pPr>
              <w:pStyle w:val="Greenheading-casestudytables"/>
              <w:keepNext w:val="0"/>
            </w:pPr>
            <w:r>
              <w:t>Gross and diverted tonnage</w:t>
            </w:r>
          </w:p>
          <w:p w14:paraId="21D8A38D" w14:textId="77777777" w:rsidR="00103563" w:rsidRPr="00B07EEB" w:rsidRDefault="00103563" w:rsidP="00103563">
            <w:pPr>
              <w:pStyle w:val="Boxtext"/>
            </w:pPr>
            <w:r w:rsidRPr="00B07EEB">
              <w:rPr>
                <w:b/>
                <w:bCs/>
              </w:rPr>
              <w:t>Gross tonnage</w:t>
            </w:r>
            <w:r>
              <w:rPr>
                <w:b/>
                <w:bCs/>
              </w:rPr>
              <w:t xml:space="preserve"> </w:t>
            </w:r>
            <w:r>
              <w:t>is t</w:t>
            </w:r>
            <w:r w:rsidRPr="003F635D">
              <w:t>he total tonnage of waste and diverted material (</w:t>
            </w:r>
            <w:proofErr w:type="spellStart"/>
            <w:r w:rsidRPr="003F635D">
              <w:t>eg</w:t>
            </w:r>
            <w:proofErr w:type="spellEnd"/>
            <w:r w:rsidRPr="003F635D">
              <w:t>, recyclables) that enters the facility.</w:t>
            </w:r>
          </w:p>
          <w:p w14:paraId="0F07148B" w14:textId="77777777" w:rsidR="00103563" w:rsidRPr="0031310B" w:rsidRDefault="00103563" w:rsidP="00103563">
            <w:pPr>
              <w:pStyle w:val="Boxtext"/>
            </w:pPr>
            <w:r w:rsidRPr="00B07EEB">
              <w:rPr>
                <w:b/>
                <w:bCs/>
              </w:rPr>
              <w:t>Diverted tonnage</w:t>
            </w:r>
            <w:r>
              <w:rPr>
                <w:b/>
                <w:bCs/>
              </w:rPr>
              <w:t xml:space="preserve"> </w:t>
            </w:r>
            <w:r w:rsidRPr="0031310B">
              <w:t>is the tonnage of material that enters the facility as gross tonnage but is either reused or recycled or removed from the facility within six months.</w:t>
            </w:r>
          </w:p>
          <w:p w14:paraId="1DABD471" w14:textId="26FC3D6A" w:rsidR="00103563" w:rsidRDefault="00103563" w:rsidP="00103563">
            <w:pPr>
              <w:pStyle w:val="Boxtext"/>
            </w:pPr>
            <w:r w:rsidRPr="0031310B">
              <w:t xml:space="preserve">The </w:t>
            </w:r>
            <w:r w:rsidR="00246BD8">
              <w:t>six</w:t>
            </w:r>
            <w:r w:rsidRPr="0031310B">
              <w:t xml:space="preserve">-month timeframe for diverted materials does not apply for transfer stations, industrial </w:t>
            </w:r>
            <w:proofErr w:type="spellStart"/>
            <w:r w:rsidRPr="0031310B">
              <w:t>monofills</w:t>
            </w:r>
            <w:proofErr w:type="spellEnd"/>
            <w:r w:rsidRPr="0031310B">
              <w:t xml:space="preserve">, or </w:t>
            </w:r>
            <w:proofErr w:type="spellStart"/>
            <w:r w:rsidRPr="0031310B">
              <w:t>cleanfills</w:t>
            </w:r>
            <w:proofErr w:type="spellEnd"/>
            <w:r w:rsidRPr="0031310B">
              <w:t>.</w:t>
            </w:r>
            <w:r>
              <w:t xml:space="preserve"> </w:t>
            </w:r>
            <w:r w:rsidRPr="0031310B">
              <w:t>All diverted tonnage</w:t>
            </w:r>
            <w:r w:rsidR="00246BD8">
              <w:t xml:space="preserve"> must be measured</w:t>
            </w:r>
            <w:r w:rsidRPr="0031310B">
              <w:t>, even if it is stockpiled on site.</w:t>
            </w:r>
            <w:r>
              <w:t xml:space="preserve"> </w:t>
            </w:r>
            <w:r w:rsidRPr="0031310B">
              <w:t>For transfer stations</w:t>
            </w:r>
            <w:r w:rsidR="00246BD8">
              <w:t>,</w:t>
            </w:r>
            <w:r w:rsidRPr="0031310B">
              <w:t xml:space="preserve"> diverted tonnage means material that is sent to be reused or recycled.</w:t>
            </w:r>
          </w:p>
          <w:p w14:paraId="2A7E52EA" w14:textId="77777777" w:rsidR="00103563" w:rsidRDefault="00103563" w:rsidP="00103563">
            <w:pPr>
              <w:pStyle w:val="Boxtext"/>
            </w:pPr>
            <w:r>
              <w:rPr>
                <w:b/>
                <w:bCs/>
              </w:rPr>
              <w:t xml:space="preserve">Net tonnage </w:t>
            </w:r>
            <w:r>
              <w:t>is the gross tonnage minus the diverted tonnage.</w:t>
            </w:r>
          </w:p>
          <w:p w14:paraId="4B3FA76F" w14:textId="77777777" w:rsidR="00103563" w:rsidRDefault="00103563" w:rsidP="00103563">
            <w:pPr>
              <w:pStyle w:val="Boxtext"/>
            </w:pPr>
            <w:r w:rsidRPr="00174486">
              <w:t xml:space="preserve">Tonnages </w:t>
            </w:r>
            <w:r>
              <w:t xml:space="preserve">can be measured using: </w:t>
            </w:r>
          </w:p>
          <w:p w14:paraId="640731A7" w14:textId="77777777" w:rsidR="00103563" w:rsidRDefault="00103563" w:rsidP="00103563">
            <w:pPr>
              <w:pStyle w:val="Boxbullet"/>
            </w:pPr>
            <w:r>
              <w:t>a compliant weighbridge</w:t>
            </w:r>
          </w:p>
          <w:p w14:paraId="0308B5D4" w14:textId="77777777" w:rsidR="00103563" w:rsidRDefault="00103563" w:rsidP="00103563">
            <w:pPr>
              <w:pStyle w:val="Boxbullet"/>
            </w:pPr>
            <w:r>
              <w:t>an offsite weighbridge</w:t>
            </w:r>
          </w:p>
          <w:p w14:paraId="0034378C" w14:textId="35CCDB9B" w:rsidR="00103563" w:rsidRDefault="00246BD8" w:rsidP="00103563">
            <w:pPr>
              <w:pStyle w:val="Boxbullet"/>
            </w:pPr>
            <w:r>
              <w:t>conversion of</w:t>
            </w:r>
            <w:r w:rsidR="00103563">
              <w:t xml:space="preserve"> the volume of waste into tonnage using approved conversion factors</w:t>
            </w:r>
          </w:p>
          <w:p w14:paraId="6E43ABCF" w14:textId="77777777" w:rsidR="00103563" w:rsidRDefault="00103563" w:rsidP="00103563">
            <w:pPr>
              <w:pStyle w:val="Boxbullet"/>
            </w:pPr>
            <w:r>
              <w:t>an average tonnage system (in some cases), in which facility operators may weigh a sample of the vehicles delivering waste to the disposal facility and calculate an average weight of waste carried for specific types of vehicles.</w:t>
            </w:r>
          </w:p>
          <w:p w14:paraId="35230CA5" w14:textId="77777777" w:rsidR="00103563" w:rsidRDefault="00103563" w:rsidP="00103563">
            <w:pPr>
              <w:pStyle w:val="Boxtext"/>
            </w:pPr>
            <w:r>
              <w:t xml:space="preserve">The WMA requires disposal facility operators to keep the original records of the tonnages of waste and diverted material. These records are used when the Ministry audits a disposal facility. It is an offence under the WMA for a disposal facility to fail to keep accurate records. </w:t>
            </w:r>
          </w:p>
          <w:p w14:paraId="1CA8E78A" w14:textId="4ED4FD63" w:rsidR="00103563" w:rsidRDefault="00103563" w:rsidP="00103563">
            <w:pPr>
              <w:pStyle w:val="Boxtext"/>
            </w:pPr>
            <w:r>
              <w:t xml:space="preserve">The measurements are also included in the monthly or annual returns a disposal facility operator provides to the Ministry. </w:t>
            </w:r>
            <w:r w:rsidR="005C27D2">
              <w:t>The Ministry uses t</w:t>
            </w:r>
            <w:r>
              <w:t xml:space="preserve">hese returns to calculate </w:t>
            </w:r>
            <w:r w:rsidR="005C27D2">
              <w:t>the l</w:t>
            </w:r>
            <w:r>
              <w:t>evy owed by a disposal facility operator.</w:t>
            </w:r>
          </w:p>
          <w:p w14:paraId="17A5EB8E" w14:textId="3C560E98" w:rsidR="00103563" w:rsidRPr="00C15722" w:rsidRDefault="00103563" w:rsidP="00103563">
            <w:pPr>
              <w:pStyle w:val="Boxtext"/>
            </w:pPr>
            <w:r>
              <w:t>More information</w:t>
            </w:r>
            <w:r w:rsidR="008C132D">
              <w:t xml:space="preserve"> is available on the Ministry’s factsheet </w:t>
            </w:r>
            <w:hyperlink r:id="rId28" w:history="1">
              <w:r w:rsidR="008C132D" w:rsidRPr="00632172">
                <w:rPr>
                  <w:rStyle w:val="Hyperlink"/>
                  <w:i/>
                  <w:iCs/>
                </w:rPr>
                <w:t>Waste levy – Measuring waste tonnages</w:t>
              </w:r>
            </w:hyperlink>
            <w:r w:rsidR="008C132D">
              <w:t xml:space="preserve">. </w:t>
            </w:r>
            <w:r w:rsidR="008C132D" w:rsidDel="008C132D">
              <w:t xml:space="preserve"> </w:t>
            </w:r>
          </w:p>
        </w:tc>
      </w:tr>
    </w:tbl>
    <w:p w14:paraId="40A36D3A" w14:textId="77777777" w:rsidR="00616FDE" w:rsidRDefault="00616FDE" w:rsidP="00616FDE">
      <w:pPr>
        <w:pStyle w:val="Heading2"/>
      </w:pPr>
      <w:bookmarkStart w:id="33" w:name="_Trends_in_reuse,"/>
      <w:bookmarkStart w:id="34" w:name="_Toc177022842"/>
      <w:bookmarkEnd w:id="33"/>
      <w:r>
        <w:t>Trends in reuse, recycling and recovery</w:t>
      </w:r>
      <w:bookmarkEnd w:id="34"/>
    </w:p>
    <w:p w14:paraId="58A211ED" w14:textId="3036AF42" w:rsidR="00616FDE" w:rsidRDefault="00CB690D" w:rsidP="00616FDE">
      <w:pPr>
        <w:pStyle w:val="BodyText"/>
      </w:pPr>
      <w:r>
        <w:t>No c</w:t>
      </w:r>
      <w:r w:rsidR="00616FDE">
        <w:t xml:space="preserve">omprehensive data </w:t>
      </w:r>
      <w:r>
        <w:t xml:space="preserve">are </w:t>
      </w:r>
      <w:r w:rsidR="00616FDE">
        <w:t xml:space="preserve">available to assess whether </w:t>
      </w:r>
      <w:r w:rsidR="00616FDE" w:rsidRPr="00763771">
        <w:t xml:space="preserve">the amount of waste reused, recycled, or recovered in </w:t>
      </w:r>
      <w:r>
        <w:t xml:space="preserve">Aotearoa </w:t>
      </w:r>
      <w:r w:rsidR="00616FDE" w:rsidRPr="00763771">
        <w:t>has increased since the last review</w:t>
      </w:r>
      <w:r w:rsidR="00616FDE">
        <w:t xml:space="preserve">. This report considers available information sources, which provide a snapshot rather than a time series. </w:t>
      </w:r>
      <w:r w:rsidR="00727129">
        <w:t>Over the review period, the Ministry commissioned t</w:t>
      </w:r>
      <w:r w:rsidR="00616FDE">
        <w:t>hree reports consider</w:t>
      </w:r>
      <w:r w:rsidR="00727129">
        <w:t>ing</w:t>
      </w:r>
      <w:r w:rsidR="00616FDE">
        <w:t xml:space="preserve"> national-level recycling volumes (see </w:t>
      </w:r>
      <w:r w:rsidR="005C1948">
        <w:fldChar w:fldCharType="begin"/>
      </w:r>
      <w:r w:rsidR="005C1948">
        <w:instrText xml:space="preserve"> REF _Ref153452862 \h \* lower </w:instrText>
      </w:r>
      <w:r w:rsidR="005C1948">
        <w:fldChar w:fldCharType="separate"/>
      </w:r>
      <w:r w:rsidR="00587F2B">
        <w:t xml:space="preserve">table </w:t>
      </w:r>
      <w:r w:rsidR="00587F2B">
        <w:rPr>
          <w:noProof/>
        </w:rPr>
        <w:t>6</w:t>
      </w:r>
      <w:r w:rsidR="005C1948">
        <w:fldChar w:fldCharType="end"/>
      </w:r>
      <w:r w:rsidR="00616FDE">
        <w:t>)</w:t>
      </w:r>
      <w:r w:rsidR="00596BB9">
        <w:t>, as described below.</w:t>
      </w:r>
    </w:p>
    <w:p w14:paraId="27886EAF" w14:textId="54AC422F" w:rsidR="00B470B7" w:rsidRDefault="00616FDE" w:rsidP="00616FDE">
      <w:pPr>
        <w:pStyle w:val="Bullet"/>
      </w:pPr>
      <w:r>
        <w:t xml:space="preserve">Eunomia (2018) </w:t>
      </w:r>
      <w:hyperlink r:id="rId29" w:history="1">
        <w:r w:rsidRPr="00423568">
          <w:rPr>
            <w:rStyle w:val="Hyperlink"/>
            <w:i/>
            <w:iCs/>
          </w:rPr>
          <w:t>National Resource Recovery Project – Situational Analysis Report</w:t>
        </w:r>
      </w:hyperlink>
      <w:r w:rsidRPr="00245616">
        <w:rPr>
          <w:i/>
          <w:iCs/>
        </w:rPr>
        <w:t xml:space="preserve">. </w:t>
      </w:r>
      <w:r w:rsidR="006D16CF">
        <w:t xml:space="preserve">The Ministry commissioned this </w:t>
      </w:r>
      <w:r>
        <w:t xml:space="preserve">report from Eunomia Research </w:t>
      </w:r>
      <w:r w:rsidR="00B470B7">
        <w:t xml:space="preserve">&amp; </w:t>
      </w:r>
      <w:r>
        <w:t xml:space="preserve">Consulting to consider the impact of initiatives </w:t>
      </w:r>
      <w:r w:rsidR="006D16CF">
        <w:t xml:space="preserve">to restrict imports, </w:t>
      </w:r>
      <w:r>
        <w:t xml:space="preserve">made by a key importing country for </w:t>
      </w:r>
      <w:r w:rsidR="00FB058B">
        <w:t>Aotearoa New Zealand’s</w:t>
      </w:r>
      <w:r>
        <w:t xml:space="preserve"> recycling (known as China National Sword/Blue Sky initiatives). </w:t>
      </w:r>
    </w:p>
    <w:p w14:paraId="5C96925A" w14:textId="7B9890FA" w:rsidR="00616FDE" w:rsidRDefault="00616FDE" w:rsidP="00DE1847">
      <w:pPr>
        <w:pStyle w:val="Bullet"/>
        <w:numPr>
          <w:ilvl w:val="0"/>
          <w:numId w:val="0"/>
        </w:numPr>
        <w:ind w:left="397"/>
      </w:pPr>
      <w:r>
        <w:t>The report provide</w:t>
      </w:r>
      <w:r w:rsidR="00712201">
        <w:t>d</w:t>
      </w:r>
      <w:r>
        <w:t xml:space="preserve"> an overview of the recycling sector</w:t>
      </w:r>
      <w:r w:rsidR="00B470B7">
        <w:t xml:space="preserve"> in Aotearoa,</w:t>
      </w:r>
      <w:r>
        <w:t xml:space="preserve"> </w:t>
      </w:r>
      <w:r w:rsidR="00B470B7">
        <w:t xml:space="preserve">a </w:t>
      </w:r>
      <w:r>
        <w:t xml:space="preserve">summary of </w:t>
      </w:r>
      <w:r w:rsidR="00B470B7">
        <w:t xml:space="preserve">the </w:t>
      </w:r>
      <w:r>
        <w:t>international impact of the import restrictions</w:t>
      </w:r>
      <w:r w:rsidR="00D30B6C">
        <w:t>,</w:t>
      </w:r>
      <w:r>
        <w:t xml:space="preserve"> and </w:t>
      </w:r>
      <w:r w:rsidR="00D30B6C">
        <w:t xml:space="preserve">a review of </w:t>
      </w:r>
      <w:r>
        <w:t xml:space="preserve">the impact within </w:t>
      </w:r>
      <w:r w:rsidR="00B470B7">
        <w:t>Aotearoa</w:t>
      </w:r>
      <w:r>
        <w:t>. The report considered commercial and domestic sources of materials, and compiled information supplied in confidence during interviews with sector participants. The report</w:t>
      </w:r>
      <w:r w:rsidR="004576E2">
        <w:t xml:space="preserve"> compiled data from 2017 and</w:t>
      </w:r>
      <w:r>
        <w:t xml:space="preserve"> was released in September 2018.</w:t>
      </w:r>
    </w:p>
    <w:p w14:paraId="3D54BF14" w14:textId="66FFB497" w:rsidR="003478AA" w:rsidRDefault="00616FDE" w:rsidP="00616FDE">
      <w:pPr>
        <w:pStyle w:val="Bullet"/>
      </w:pPr>
      <w:r>
        <w:lastRenderedPageBreak/>
        <w:t xml:space="preserve">Eunomia (2021) </w:t>
      </w:r>
      <w:hyperlink r:id="rId30" w:history="1">
        <w:r w:rsidRPr="0068133E">
          <w:rPr>
            <w:rStyle w:val="Hyperlink"/>
            <w:i/>
            <w:iCs/>
          </w:rPr>
          <w:t>Waste and Resource Recovery Infrastructure and Services Stocktake</w:t>
        </w:r>
        <w:r w:rsidR="0068133E" w:rsidRPr="0068133E">
          <w:rPr>
            <w:rStyle w:val="Hyperlink"/>
            <w:i/>
            <w:iCs/>
          </w:rPr>
          <w:t xml:space="preserve"> –</w:t>
        </w:r>
        <w:r w:rsidRPr="0068133E">
          <w:rPr>
            <w:rStyle w:val="Hyperlink"/>
            <w:i/>
            <w:iCs/>
          </w:rPr>
          <w:t xml:space="preserve"> Summary Report</w:t>
        </w:r>
      </w:hyperlink>
      <w:r>
        <w:t xml:space="preserve"> and Eunomia (2023) </w:t>
      </w:r>
      <w:hyperlink r:id="rId31" w:history="1">
        <w:r w:rsidRPr="00070C9A">
          <w:rPr>
            <w:rStyle w:val="Hyperlink"/>
            <w:i/>
            <w:iCs/>
          </w:rPr>
          <w:t>Waste and Resource Recovery Infrastructure and Services Stocktake and Gap Analysis</w:t>
        </w:r>
        <w:r w:rsidR="00070C9A" w:rsidRPr="00070C9A">
          <w:rPr>
            <w:rStyle w:val="Hyperlink"/>
            <w:i/>
            <w:iCs/>
          </w:rPr>
          <w:t xml:space="preserve"> –</w:t>
        </w:r>
        <w:r w:rsidRPr="00070C9A">
          <w:rPr>
            <w:rStyle w:val="Hyperlink"/>
            <w:i/>
            <w:iCs/>
          </w:rPr>
          <w:t xml:space="preserve"> Full Project Summary Report</w:t>
        </w:r>
      </w:hyperlink>
      <w:r>
        <w:rPr>
          <w:i/>
          <w:iCs/>
        </w:rPr>
        <w:t xml:space="preserve">. </w:t>
      </w:r>
      <w:r>
        <w:t xml:space="preserve">These reports were prepared for the Ministry in 2020 and 2021 to collate information on the waste and resource recovery infrastructure and services provided in </w:t>
      </w:r>
      <w:r w:rsidR="00EB5D99">
        <w:t xml:space="preserve">Aotearoa, </w:t>
      </w:r>
      <w:r>
        <w:t xml:space="preserve">and </w:t>
      </w:r>
      <w:r w:rsidR="00EB5D99">
        <w:t xml:space="preserve">to </w:t>
      </w:r>
      <w:r>
        <w:t>make recommendations for their future development. They include a summary of waste and resource recovery infrastructure in</w:t>
      </w:r>
      <w:r w:rsidR="003478AA">
        <w:t xml:space="preserve"> Aotearoa</w:t>
      </w:r>
      <w:r>
        <w:t xml:space="preserve"> (as of 2020), broken down by primary material streams. </w:t>
      </w:r>
    </w:p>
    <w:p w14:paraId="17797E0F" w14:textId="058AB3BE" w:rsidR="00616FDE" w:rsidRDefault="00616FDE" w:rsidP="00C97F6D">
      <w:pPr>
        <w:pStyle w:val="Bullet"/>
        <w:numPr>
          <w:ilvl w:val="0"/>
          <w:numId w:val="0"/>
        </w:numPr>
        <w:ind w:left="397"/>
      </w:pPr>
      <w:r>
        <w:t>These reports considered a wider range of material streams, not all of which were covered in the 2018 report. They also featured more in-depth interviews across a wider range of participants</w:t>
      </w:r>
      <w:r w:rsidR="003478AA">
        <w:t>,</w:t>
      </w:r>
      <w:r>
        <w:t xml:space="preserve"> so could potentially have identified additional resource recovery activity (</w:t>
      </w:r>
      <w:r w:rsidR="003478AA">
        <w:t>however</w:t>
      </w:r>
      <w:r>
        <w:t xml:space="preserve">, it is hard to determine whether the increase in recovery between the 2018 and 2021 report relates to an increase in real terms, an increase in reporting, or both). </w:t>
      </w:r>
    </w:p>
    <w:p w14:paraId="4A9667CA" w14:textId="0F9F94ED" w:rsidR="005C1948" w:rsidRDefault="005C1948" w:rsidP="002A4CEA">
      <w:pPr>
        <w:pStyle w:val="Tableheading"/>
      </w:pPr>
      <w:bookmarkStart w:id="35" w:name="_Ref153452862"/>
      <w:bookmarkStart w:id="36" w:name="_Toc177022854"/>
      <w:r>
        <w:t xml:space="preserve">Table </w:t>
      </w:r>
      <w:r>
        <w:fldChar w:fldCharType="begin"/>
      </w:r>
      <w:r>
        <w:instrText xml:space="preserve"> SEQ Table \* ARABIC </w:instrText>
      </w:r>
      <w:r>
        <w:fldChar w:fldCharType="separate"/>
      </w:r>
      <w:r w:rsidR="00587F2B">
        <w:rPr>
          <w:noProof/>
        </w:rPr>
        <w:t>6</w:t>
      </w:r>
      <w:r>
        <w:rPr>
          <w:noProof/>
        </w:rPr>
        <w:fldChar w:fldCharType="end"/>
      </w:r>
      <w:bookmarkEnd w:id="35"/>
      <w:r>
        <w:t xml:space="preserve">: </w:t>
      </w:r>
      <w:r>
        <w:tab/>
      </w:r>
      <w:r w:rsidRPr="00D64250">
        <w:t>Annual tonnage of recycled commodities for Aotearoa New Zealand, from 2018 and 2021 reports</w:t>
      </w:r>
      <w:bookmarkEnd w:id="36"/>
    </w:p>
    <w:tbl>
      <w:tblPr>
        <w:tblStyle w:val="MinistryfortheEnvironment"/>
        <w:tblW w:w="0" w:type="auto"/>
        <w:tblLook w:val="04A0" w:firstRow="1" w:lastRow="0" w:firstColumn="1" w:lastColumn="0" w:noHBand="0" w:noVBand="1"/>
      </w:tblPr>
      <w:tblGrid>
        <w:gridCol w:w="2856"/>
        <w:gridCol w:w="2820"/>
        <w:gridCol w:w="2829"/>
      </w:tblGrid>
      <w:tr w:rsidR="00616FDE" w14:paraId="0F1FE8FA" w14:textId="77777777" w:rsidTr="00C97F6D">
        <w:trPr>
          <w:cnfStyle w:val="100000000000" w:firstRow="1" w:lastRow="0" w:firstColumn="0" w:lastColumn="0" w:oddVBand="0" w:evenVBand="0" w:oddHBand="0" w:evenHBand="0" w:firstRowFirstColumn="0" w:firstRowLastColumn="0" w:lastRowFirstColumn="0" w:lastRowLastColumn="0"/>
        </w:trPr>
        <w:tc>
          <w:tcPr>
            <w:tcW w:w="2856" w:type="dxa"/>
          </w:tcPr>
          <w:p w14:paraId="4BFC765C" w14:textId="77777777" w:rsidR="00616FDE" w:rsidRPr="00245616" w:rsidRDefault="00616FDE">
            <w:pPr>
              <w:pStyle w:val="TableText"/>
            </w:pPr>
            <w:r w:rsidRPr="00245616">
              <w:t>Recycling commodity</w:t>
            </w:r>
          </w:p>
        </w:tc>
        <w:tc>
          <w:tcPr>
            <w:tcW w:w="2820" w:type="dxa"/>
          </w:tcPr>
          <w:p w14:paraId="2F55962B" w14:textId="77777777" w:rsidR="00616FDE" w:rsidRDefault="00616FDE">
            <w:pPr>
              <w:pStyle w:val="TableText"/>
            </w:pPr>
            <w:r>
              <w:t>Eunomia (2018)</w:t>
            </w:r>
            <w:r>
              <w:br/>
              <w:t>(tonnes)</w:t>
            </w:r>
          </w:p>
        </w:tc>
        <w:tc>
          <w:tcPr>
            <w:tcW w:w="2829" w:type="dxa"/>
          </w:tcPr>
          <w:p w14:paraId="016EB4EF" w14:textId="77777777" w:rsidR="00616FDE" w:rsidRDefault="00616FDE">
            <w:pPr>
              <w:pStyle w:val="TableText"/>
            </w:pPr>
            <w:r>
              <w:t>Eunomia (2021)</w:t>
            </w:r>
            <w:r>
              <w:br/>
              <w:t>(tonnes)</w:t>
            </w:r>
          </w:p>
        </w:tc>
      </w:tr>
      <w:tr w:rsidR="00616FDE" w14:paraId="12D6912B" w14:textId="77777777" w:rsidTr="00C97F6D">
        <w:tc>
          <w:tcPr>
            <w:tcW w:w="2856" w:type="dxa"/>
          </w:tcPr>
          <w:p w14:paraId="5639827B" w14:textId="77777777" w:rsidR="00616FDE" w:rsidRDefault="00616FDE">
            <w:pPr>
              <w:pStyle w:val="TableText"/>
            </w:pPr>
            <w:r>
              <w:t>Paper and cardboard</w:t>
            </w:r>
          </w:p>
        </w:tc>
        <w:tc>
          <w:tcPr>
            <w:tcW w:w="2820" w:type="dxa"/>
            <w:vAlign w:val="center"/>
          </w:tcPr>
          <w:p w14:paraId="774F8ED8" w14:textId="77777777" w:rsidR="00616FDE" w:rsidRDefault="00616FDE" w:rsidP="00C97F6D">
            <w:pPr>
              <w:pStyle w:val="TableText"/>
              <w:jc w:val="right"/>
            </w:pPr>
            <w:r>
              <w:t>480,000</w:t>
            </w:r>
          </w:p>
        </w:tc>
        <w:tc>
          <w:tcPr>
            <w:tcW w:w="2829" w:type="dxa"/>
            <w:vAlign w:val="center"/>
          </w:tcPr>
          <w:p w14:paraId="4227FB0A" w14:textId="77777777" w:rsidR="00616FDE" w:rsidRDefault="00616FDE" w:rsidP="00C97F6D">
            <w:pPr>
              <w:pStyle w:val="TableText"/>
              <w:jc w:val="right"/>
            </w:pPr>
            <w:r>
              <w:t>550,000</w:t>
            </w:r>
          </w:p>
        </w:tc>
      </w:tr>
      <w:tr w:rsidR="00616FDE" w14:paraId="76E3FF49" w14:textId="77777777" w:rsidTr="00C97F6D">
        <w:tc>
          <w:tcPr>
            <w:tcW w:w="2856" w:type="dxa"/>
          </w:tcPr>
          <w:p w14:paraId="4C8BCCA0" w14:textId="77777777" w:rsidR="00616FDE" w:rsidRDefault="00616FDE">
            <w:pPr>
              <w:pStyle w:val="TableText"/>
            </w:pPr>
            <w:r>
              <w:t>Plastics</w:t>
            </w:r>
          </w:p>
        </w:tc>
        <w:tc>
          <w:tcPr>
            <w:tcW w:w="2820" w:type="dxa"/>
            <w:vAlign w:val="center"/>
          </w:tcPr>
          <w:p w14:paraId="2A360432" w14:textId="77777777" w:rsidR="00616FDE" w:rsidRDefault="00616FDE" w:rsidP="00C97F6D">
            <w:pPr>
              <w:pStyle w:val="TableText"/>
              <w:jc w:val="right"/>
            </w:pPr>
            <w:r>
              <w:t>45,000</w:t>
            </w:r>
          </w:p>
        </w:tc>
        <w:tc>
          <w:tcPr>
            <w:tcW w:w="2829" w:type="dxa"/>
            <w:vAlign w:val="center"/>
          </w:tcPr>
          <w:p w14:paraId="754BC57B" w14:textId="77777777" w:rsidR="00616FDE" w:rsidRDefault="00616FDE" w:rsidP="00C97F6D">
            <w:pPr>
              <w:pStyle w:val="TableText"/>
              <w:jc w:val="right"/>
            </w:pPr>
            <w:r>
              <w:t>55,006</w:t>
            </w:r>
          </w:p>
        </w:tc>
      </w:tr>
      <w:tr w:rsidR="00616FDE" w14:paraId="5ED88B29" w14:textId="77777777" w:rsidTr="00C97F6D">
        <w:tc>
          <w:tcPr>
            <w:tcW w:w="2856" w:type="dxa"/>
          </w:tcPr>
          <w:p w14:paraId="23C57A40" w14:textId="3D55748B" w:rsidR="00616FDE" w:rsidRDefault="00616FDE">
            <w:pPr>
              <w:pStyle w:val="TableText"/>
            </w:pPr>
            <w:r>
              <w:t>Ferrous metals (iron and steel)</w:t>
            </w:r>
          </w:p>
        </w:tc>
        <w:tc>
          <w:tcPr>
            <w:tcW w:w="2820" w:type="dxa"/>
            <w:vAlign w:val="center"/>
          </w:tcPr>
          <w:p w14:paraId="69EF9DEC" w14:textId="77777777" w:rsidR="00616FDE" w:rsidRDefault="00616FDE" w:rsidP="00C97F6D">
            <w:pPr>
              <w:pStyle w:val="TableText"/>
              <w:jc w:val="right"/>
            </w:pPr>
            <w:r>
              <w:t>560,000</w:t>
            </w:r>
          </w:p>
        </w:tc>
        <w:tc>
          <w:tcPr>
            <w:tcW w:w="2829" w:type="dxa"/>
            <w:vAlign w:val="center"/>
          </w:tcPr>
          <w:p w14:paraId="288A5B2D" w14:textId="77777777" w:rsidR="00616FDE" w:rsidRDefault="00616FDE" w:rsidP="00C97F6D">
            <w:pPr>
              <w:pStyle w:val="TableText"/>
              <w:jc w:val="right"/>
            </w:pPr>
            <w:r>
              <w:t>605,000</w:t>
            </w:r>
          </w:p>
        </w:tc>
      </w:tr>
      <w:tr w:rsidR="00616FDE" w14:paraId="097E78E2" w14:textId="77777777" w:rsidTr="00C97F6D">
        <w:tc>
          <w:tcPr>
            <w:tcW w:w="2856" w:type="dxa"/>
          </w:tcPr>
          <w:p w14:paraId="345F9E7A" w14:textId="77777777" w:rsidR="00616FDE" w:rsidRDefault="00616FDE">
            <w:pPr>
              <w:pStyle w:val="TableText"/>
            </w:pPr>
            <w:r w:rsidRPr="00FA405D">
              <w:t>Non-ferrous metals (aluminium, copper, lead, alloys, and other less common metals)</w:t>
            </w:r>
          </w:p>
        </w:tc>
        <w:tc>
          <w:tcPr>
            <w:tcW w:w="2820" w:type="dxa"/>
            <w:vAlign w:val="center"/>
          </w:tcPr>
          <w:p w14:paraId="534F8E74" w14:textId="77777777" w:rsidR="00616FDE" w:rsidRDefault="00616FDE" w:rsidP="00C97F6D">
            <w:pPr>
              <w:pStyle w:val="TableText"/>
              <w:jc w:val="right"/>
            </w:pPr>
            <w:r>
              <w:t>50,000</w:t>
            </w:r>
          </w:p>
        </w:tc>
        <w:tc>
          <w:tcPr>
            <w:tcW w:w="2829" w:type="dxa"/>
            <w:vAlign w:val="center"/>
          </w:tcPr>
          <w:p w14:paraId="2E18D3B4" w14:textId="3572C000" w:rsidR="00616FDE" w:rsidRDefault="00616FDE" w:rsidP="00C97F6D">
            <w:pPr>
              <w:pStyle w:val="TableText"/>
              <w:jc w:val="right"/>
            </w:pPr>
            <w:r>
              <w:t>67,183</w:t>
            </w:r>
          </w:p>
        </w:tc>
      </w:tr>
      <w:tr w:rsidR="00616FDE" w14:paraId="3954B139" w14:textId="77777777" w:rsidTr="00C97F6D">
        <w:tc>
          <w:tcPr>
            <w:tcW w:w="2856" w:type="dxa"/>
          </w:tcPr>
          <w:p w14:paraId="53F03D6F" w14:textId="77777777" w:rsidR="00616FDE" w:rsidRDefault="00616FDE">
            <w:pPr>
              <w:pStyle w:val="TableText"/>
            </w:pPr>
            <w:r>
              <w:t>Glass</w:t>
            </w:r>
          </w:p>
        </w:tc>
        <w:tc>
          <w:tcPr>
            <w:tcW w:w="2820" w:type="dxa"/>
            <w:vAlign w:val="center"/>
          </w:tcPr>
          <w:p w14:paraId="4271A22B" w14:textId="77777777" w:rsidR="00616FDE" w:rsidRDefault="00616FDE" w:rsidP="00C97F6D">
            <w:pPr>
              <w:pStyle w:val="TableText"/>
              <w:jc w:val="right"/>
            </w:pPr>
            <w:r>
              <w:t>160,000</w:t>
            </w:r>
          </w:p>
        </w:tc>
        <w:tc>
          <w:tcPr>
            <w:tcW w:w="2829" w:type="dxa"/>
            <w:vAlign w:val="center"/>
          </w:tcPr>
          <w:p w14:paraId="1C67131B" w14:textId="77777777" w:rsidR="00616FDE" w:rsidRDefault="00616FDE" w:rsidP="00C97F6D">
            <w:pPr>
              <w:pStyle w:val="TableText"/>
              <w:jc w:val="right"/>
            </w:pPr>
            <w:r>
              <w:t>156,917</w:t>
            </w:r>
            <w:r>
              <w:rPr>
                <w:rStyle w:val="FootnoteReference"/>
              </w:rPr>
              <w:footnoteReference w:id="2"/>
            </w:r>
            <w:r w:rsidRPr="00BE187F">
              <w:rPr>
                <w:vertAlign w:val="superscript"/>
              </w:rPr>
              <w:t>,</w:t>
            </w:r>
            <w:r>
              <w:rPr>
                <w:rStyle w:val="FootnoteReference"/>
              </w:rPr>
              <w:footnoteReference w:id="3"/>
            </w:r>
          </w:p>
        </w:tc>
      </w:tr>
      <w:tr w:rsidR="00616FDE" w:rsidRPr="00712201" w14:paraId="0AB24EA3" w14:textId="77777777" w:rsidTr="00C97F6D">
        <w:tc>
          <w:tcPr>
            <w:tcW w:w="2856" w:type="dxa"/>
          </w:tcPr>
          <w:p w14:paraId="011FBD50" w14:textId="77777777" w:rsidR="00616FDE" w:rsidRPr="00C97F6D" w:rsidRDefault="00616FDE">
            <w:pPr>
              <w:pStyle w:val="TableText"/>
              <w:rPr>
                <w:b/>
                <w:bCs/>
              </w:rPr>
            </w:pPr>
            <w:r w:rsidRPr="00C97F6D">
              <w:rPr>
                <w:b/>
                <w:bCs/>
              </w:rPr>
              <w:t>TOTAL</w:t>
            </w:r>
          </w:p>
        </w:tc>
        <w:tc>
          <w:tcPr>
            <w:tcW w:w="2820" w:type="dxa"/>
            <w:vAlign w:val="center"/>
          </w:tcPr>
          <w:p w14:paraId="39AE653A" w14:textId="77777777" w:rsidR="00616FDE" w:rsidRPr="00C97F6D" w:rsidRDefault="00616FDE" w:rsidP="00C97F6D">
            <w:pPr>
              <w:pStyle w:val="TableText"/>
              <w:jc w:val="right"/>
              <w:rPr>
                <w:b/>
                <w:bCs/>
              </w:rPr>
            </w:pPr>
            <w:r w:rsidRPr="00C97F6D">
              <w:rPr>
                <w:b/>
                <w:bCs/>
              </w:rPr>
              <w:t>1,295,000</w:t>
            </w:r>
          </w:p>
        </w:tc>
        <w:tc>
          <w:tcPr>
            <w:tcW w:w="2829" w:type="dxa"/>
            <w:vAlign w:val="center"/>
          </w:tcPr>
          <w:p w14:paraId="726E40A1" w14:textId="77777777" w:rsidR="00616FDE" w:rsidRPr="00C97F6D" w:rsidRDefault="00616FDE" w:rsidP="00C97F6D">
            <w:pPr>
              <w:pStyle w:val="TableText"/>
              <w:jc w:val="right"/>
              <w:rPr>
                <w:b/>
                <w:bCs/>
              </w:rPr>
            </w:pPr>
            <w:r w:rsidRPr="00C97F6D">
              <w:rPr>
                <w:b/>
                <w:bCs/>
              </w:rPr>
              <w:t>1,434,106</w:t>
            </w:r>
          </w:p>
        </w:tc>
      </w:tr>
    </w:tbl>
    <w:p w14:paraId="757F7749" w14:textId="5EACE8C3" w:rsidR="00616FDE" w:rsidRPr="000B26AC" w:rsidRDefault="00616FDE" w:rsidP="00EE36A4">
      <w:pPr>
        <w:pStyle w:val="Note"/>
      </w:pPr>
      <w:r w:rsidRPr="000B26AC">
        <w:t xml:space="preserve">Note: </w:t>
      </w:r>
      <w:r>
        <w:t>tonnages include both commercial and household sources of recycling, and materials processed onshore</w:t>
      </w:r>
      <w:r w:rsidR="003A012C">
        <w:t>,</w:t>
      </w:r>
      <w:r>
        <w:t xml:space="preserve"> as well as those exported for recycling offshore. </w:t>
      </w:r>
    </w:p>
    <w:p w14:paraId="361034F0" w14:textId="2AB00968" w:rsidR="00616FDE" w:rsidRDefault="00616FDE" w:rsidP="00616FDE">
      <w:pPr>
        <w:pStyle w:val="BodyText"/>
      </w:pPr>
      <w:r>
        <w:t xml:space="preserve">The 2021 and 2023 reports also contained information on a wider range of recovered materials. Overall, the stocktake work was able to identify approximately 12 million tonnes of material that reaches end of life in </w:t>
      </w:r>
      <w:r w:rsidR="00AA0F2C">
        <w:t>Aotearoa</w:t>
      </w:r>
      <w:r>
        <w:t xml:space="preserve"> annually. A breakdown of this material is shown in </w:t>
      </w:r>
      <w:r w:rsidR="00257B84">
        <w:fldChar w:fldCharType="begin"/>
      </w:r>
      <w:r w:rsidR="00257B84">
        <w:instrText xml:space="preserve"> REF _Ref153454641 \h \* lower </w:instrText>
      </w:r>
      <w:r w:rsidR="00257B84">
        <w:fldChar w:fldCharType="separate"/>
      </w:r>
      <w:r w:rsidR="00587F2B">
        <w:t xml:space="preserve">figure </w:t>
      </w:r>
      <w:r w:rsidR="00587F2B">
        <w:rPr>
          <w:noProof/>
        </w:rPr>
        <w:t>3</w:t>
      </w:r>
      <w:r w:rsidR="00257B84">
        <w:fldChar w:fldCharType="end"/>
      </w:r>
      <w:r>
        <w:t>.</w:t>
      </w:r>
    </w:p>
    <w:p w14:paraId="40347207" w14:textId="2489F182" w:rsidR="00DC0C3C" w:rsidRDefault="00DC0C3C" w:rsidP="00554F62">
      <w:pPr>
        <w:pStyle w:val="Figureheading"/>
      </w:pPr>
      <w:bookmarkStart w:id="37" w:name="_Ref153454641"/>
      <w:bookmarkStart w:id="38" w:name="_Toc177022865"/>
      <w:r>
        <w:lastRenderedPageBreak/>
        <w:t xml:space="preserve">Figure </w:t>
      </w:r>
      <w:r>
        <w:fldChar w:fldCharType="begin"/>
      </w:r>
      <w:r>
        <w:instrText xml:space="preserve"> SEQ Figure \* ARABIC </w:instrText>
      </w:r>
      <w:r>
        <w:fldChar w:fldCharType="separate"/>
      </w:r>
      <w:r w:rsidR="00587F2B">
        <w:rPr>
          <w:noProof/>
        </w:rPr>
        <w:t>3</w:t>
      </w:r>
      <w:r>
        <w:rPr>
          <w:noProof/>
        </w:rPr>
        <w:fldChar w:fldCharType="end"/>
      </w:r>
      <w:bookmarkEnd w:id="37"/>
      <w:r>
        <w:t xml:space="preserve">: </w:t>
      </w:r>
      <w:r>
        <w:tab/>
      </w:r>
      <w:r w:rsidRPr="002F10F3">
        <w:t>Estimated tonnes of material recovered and disposed of in Aotearoa in 2020</w:t>
      </w:r>
      <w:bookmarkEnd w:id="38"/>
    </w:p>
    <w:p w14:paraId="5BEB1E67" w14:textId="1EBC5DB9" w:rsidR="00616FDE" w:rsidRDefault="00D1211C" w:rsidP="00616FDE">
      <w:pPr>
        <w:pStyle w:val="BodyText"/>
      </w:pPr>
      <w:r>
        <w:rPr>
          <w:noProof/>
        </w:rPr>
        <w:drawing>
          <wp:inline distT="0" distB="0" distL="0" distR="0" wp14:anchorId="3B644113" wp14:editId="12EA5749">
            <wp:extent cx="5400675" cy="3197053"/>
            <wp:effectExtent l="0" t="0" r="0" b="3810"/>
            <wp:docPr id="132822548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25480" name="Picture 1" descr="A graph of different colored bars&#10;&#10;Description automatically generated"/>
                    <pic:cNvPicPr/>
                  </pic:nvPicPr>
                  <pic:blipFill rotWithShape="1">
                    <a:blip r:embed="rId32"/>
                    <a:srcRect t="6505"/>
                    <a:stretch/>
                  </pic:blipFill>
                  <pic:spPr bwMode="auto">
                    <a:xfrm>
                      <a:off x="0" y="0"/>
                      <a:ext cx="5400675" cy="3197053"/>
                    </a:xfrm>
                    <a:prstGeom prst="rect">
                      <a:avLst/>
                    </a:prstGeom>
                    <a:ln>
                      <a:noFill/>
                    </a:ln>
                    <a:extLst>
                      <a:ext uri="{53640926-AAD7-44D8-BBD7-CCE9431645EC}">
                        <a14:shadowObscured xmlns:a14="http://schemas.microsoft.com/office/drawing/2010/main"/>
                      </a:ext>
                    </a:extLst>
                  </pic:spPr>
                </pic:pic>
              </a:graphicData>
            </a:graphic>
          </wp:inline>
        </w:drawing>
      </w:r>
    </w:p>
    <w:p w14:paraId="6053A14A" w14:textId="69F96D30" w:rsidR="00AA0F2C" w:rsidRDefault="00AA0F2C" w:rsidP="00EE36A4">
      <w:pPr>
        <w:pStyle w:val="Note"/>
      </w:pPr>
      <w:r>
        <w:t>Source: Eunomia (2023).</w:t>
      </w:r>
    </w:p>
    <w:p w14:paraId="318C1C32" w14:textId="14385915" w:rsidR="00616FDE" w:rsidRDefault="00616FDE" w:rsidP="00EE36A4">
      <w:pPr>
        <w:pStyle w:val="Note"/>
      </w:pPr>
      <w:r w:rsidRPr="00F16D7A">
        <w:t>Note: ‘</w:t>
      </w:r>
      <w:r w:rsidR="0071412A">
        <w:t>O</w:t>
      </w:r>
      <w:r w:rsidRPr="00F16D7A">
        <w:t>ther’ includes textiles, sanitary paper, and special wastes which were not included in the stocktake. Overall onshore recovery accounts for 23 per cent (2.8</w:t>
      </w:r>
      <w:r w:rsidR="000A5B1E">
        <w:t xml:space="preserve"> </w:t>
      </w:r>
      <w:r w:rsidRPr="00F16D7A">
        <w:t>m</w:t>
      </w:r>
      <w:r w:rsidR="000A5B1E">
        <w:t>illion</w:t>
      </w:r>
      <w:r w:rsidRPr="00F16D7A">
        <w:t xml:space="preserve"> tonnes) of all material managed. Other disposal includes class 2</w:t>
      </w:r>
      <w:r w:rsidR="000A5B1E">
        <w:t xml:space="preserve"> to </w:t>
      </w:r>
      <w:r w:rsidRPr="00F16D7A">
        <w:t>5 landfill disposal, on-farm disposal, and system losses.</w:t>
      </w:r>
      <w:r w:rsidR="002238A1">
        <w:t xml:space="preserve"> C &amp; D = construction and demolition. </w:t>
      </w:r>
    </w:p>
    <w:p w14:paraId="704C7ACE" w14:textId="77777777" w:rsidR="00616FDE" w:rsidRDefault="00616FDE" w:rsidP="00616FDE">
      <w:pPr>
        <w:pStyle w:val="BodyText"/>
      </w:pPr>
    </w:p>
    <w:p w14:paraId="59FD5FFA" w14:textId="4A93C8A2" w:rsidR="00616FDE" w:rsidRDefault="00616FDE" w:rsidP="00616FDE">
      <w:pPr>
        <w:pStyle w:val="BodyText"/>
      </w:pPr>
      <w:r>
        <w:t>Since 1 January 2022, transfer stations have been required to report on tonnages of materials they receive and send on (either for disposal or to reuse, recycling or recovery). Th</w:t>
      </w:r>
      <w:r w:rsidR="00DF6053">
        <w:t>ese</w:t>
      </w:r>
      <w:r>
        <w:t xml:space="preserve"> preliminary data provide some additional information on materials being sent for recycling</w:t>
      </w:r>
      <w:r w:rsidR="00D87DC4">
        <w:t>.</w:t>
      </w:r>
      <w:r w:rsidR="00D87DC4">
        <w:rPr>
          <w:rStyle w:val="FootnoteReference"/>
        </w:rPr>
        <w:footnoteReference w:id="4"/>
      </w:r>
      <w:r w:rsidR="00D87DC4">
        <w:t xml:space="preserve"> </w:t>
      </w:r>
    </w:p>
    <w:p w14:paraId="6857DA40" w14:textId="6400B8D8" w:rsidR="00616FDE" w:rsidRDefault="00D87DC4" w:rsidP="00616FDE">
      <w:pPr>
        <w:pStyle w:val="BodyText"/>
      </w:pPr>
      <w:r>
        <w:fldChar w:fldCharType="begin"/>
      </w:r>
      <w:r>
        <w:instrText xml:space="preserve"> REF _Ref153455357 \h </w:instrText>
      </w:r>
      <w:r>
        <w:fldChar w:fldCharType="separate"/>
      </w:r>
      <w:r w:rsidR="00587F2B">
        <w:t xml:space="preserve">Table </w:t>
      </w:r>
      <w:r w:rsidR="00587F2B">
        <w:rPr>
          <w:noProof/>
        </w:rPr>
        <w:t>7</w:t>
      </w:r>
      <w:r>
        <w:fldChar w:fldCharType="end"/>
      </w:r>
      <w:r w:rsidR="00616FDE">
        <w:t xml:space="preserve"> shows material received into transfer stations (either of unspecified </w:t>
      </w:r>
      <w:proofErr w:type="gramStart"/>
      <w:r w:rsidR="00616FDE">
        <w:t>origin, or</w:t>
      </w:r>
      <w:proofErr w:type="gramEnd"/>
      <w:r w:rsidR="00616FDE">
        <w:t xml:space="preserve"> broken down by the type of activity that generated the material). Where specified, residential is the most common origin (</w:t>
      </w:r>
      <w:proofErr w:type="spellStart"/>
      <w:r w:rsidR="00616FDE">
        <w:t>ie</w:t>
      </w:r>
      <w:proofErr w:type="spellEnd"/>
      <w:r w:rsidR="00616FDE">
        <w:t xml:space="preserve">, material generated by domestic use and dropped off directly to the transfer station). This may reflect the role of transfer stations as an alternative to kerbside collection in smaller or more remote areas. </w:t>
      </w:r>
    </w:p>
    <w:p w14:paraId="0D5CC0B0" w14:textId="67B2B628" w:rsidR="00616FDE" w:rsidRDefault="00712201" w:rsidP="00616FDE">
      <w:pPr>
        <w:pStyle w:val="BodyText"/>
      </w:pPr>
      <w:r>
        <w:fldChar w:fldCharType="begin"/>
      </w:r>
      <w:r>
        <w:instrText xml:space="preserve"> REF _Ref153455492 \h </w:instrText>
      </w:r>
      <w:r>
        <w:fldChar w:fldCharType="separate"/>
      </w:r>
      <w:r w:rsidR="00587F2B">
        <w:t xml:space="preserve">Table </w:t>
      </w:r>
      <w:r w:rsidR="00587F2B">
        <w:rPr>
          <w:noProof/>
        </w:rPr>
        <w:t>8</w:t>
      </w:r>
      <w:r>
        <w:fldChar w:fldCharType="end"/>
      </w:r>
      <w:r w:rsidR="00616FDE">
        <w:t xml:space="preserve"> shows the quantities of material leaving transfer stations</w:t>
      </w:r>
      <w:r w:rsidR="00385CBD">
        <w:t>,</w:t>
      </w:r>
      <w:r w:rsidR="00616FDE">
        <w:t xml:space="preserve"> by type of material where this is specified. These tonnages are lower than the figures Eunomia (2018</w:t>
      </w:r>
      <w:r w:rsidR="00385CBD">
        <w:t xml:space="preserve">, </w:t>
      </w:r>
      <w:r w:rsidR="00616FDE">
        <w:t>2023) g</w:t>
      </w:r>
      <w:r w:rsidR="00385CBD">
        <w:t>a</w:t>
      </w:r>
      <w:r w:rsidR="00616FDE">
        <w:t>ve for recycling</w:t>
      </w:r>
      <w:r w:rsidR="00385CBD">
        <w:t>. This</w:t>
      </w:r>
      <w:r w:rsidR="00616FDE">
        <w:t xml:space="preserve"> reflects that</w:t>
      </w:r>
      <w:r w:rsidR="00385CBD">
        <w:t>,</w:t>
      </w:r>
      <w:r w:rsidR="00616FDE">
        <w:t xml:space="preserve"> for many recycling commodities, the majority is collected from businesses rather than households, or by kerbside collections from households (and so</w:t>
      </w:r>
      <w:r w:rsidR="00385CBD">
        <w:t xml:space="preserve"> is</w:t>
      </w:r>
      <w:r w:rsidR="00616FDE">
        <w:t xml:space="preserve"> less likely to be reflected in transfer station statistics). </w:t>
      </w:r>
    </w:p>
    <w:p w14:paraId="6F522116" w14:textId="77777777" w:rsidR="00801B5A" w:rsidRDefault="00801B5A" w:rsidP="00616FDE">
      <w:pPr>
        <w:pStyle w:val="BodyText"/>
      </w:pPr>
    </w:p>
    <w:p w14:paraId="022CB5AC" w14:textId="5568FC37" w:rsidR="00D87DC4" w:rsidRDefault="00D87DC4" w:rsidP="009248D3">
      <w:pPr>
        <w:pStyle w:val="Tableheading"/>
      </w:pPr>
      <w:bookmarkStart w:id="39" w:name="_Ref153455357"/>
      <w:bookmarkStart w:id="40" w:name="_Toc177022855"/>
      <w:r>
        <w:lastRenderedPageBreak/>
        <w:t xml:space="preserve">Table </w:t>
      </w:r>
      <w:r>
        <w:fldChar w:fldCharType="begin"/>
      </w:r>
      <w:r>
        <w:instrText xml:space="preserve"> SEQ Table \* ARABIC </w:instrText>
      </w:r>
      <w:r>
        <w:fldChar w:fldCharType="separate"/>
      </w:r>
      <w:r w:rsidR="00587F2B">
        <w:rPr>
          <w:noProof/>
        </w:rPr>
        <w:t>7</w:t>
      </w:r>
      <w:r>
        <w:rPr>
          <w:noProof/>
        </w:rPr>
        <w:fldChar w:fldCharType="end"/>
      </w:r>
      <w:bookmarkEnd w:id="39"/>
      <w:r>
        <w:t xml:space="preserve">: </w:t>
      </w:r>
      <w:r>
        <w:tab/>
      </w:r>
      <w:r w:rsidRPr="000D0781">
        <w:t>Reported quantities of waste material received by transfer stations and the activity that generated the waste (where stated) (for the 2022 calendar year)</w:t>
      </w:r>
      <w:bookmarkEnd w:id="40"/>
    </w:p>
    <w:tbl>
      <w:tblPr>
        <w:tblStyle w:val="MinistryfortheEnvironment"/>
        <w:tblW w:w="9923" w:type="dxa"/>
        <w:tblLayout w:type="fixed"/>
        <w:tblLook w:val="04A0" w:firstRow="1" w:lastRow="0" w:firstColumn="1" w:lastColumn="0" w:noHBand="0" w:noVBand="1"/>
      </w:tblPr>
      <w:tblGrid>
        <w:gridCol w:w="993"/>
        <w:gridCol w:w="1134"/>
        <w:gridCol w:w="1417"/>
        <w:gridCol w:w="1418"/>
        <w:gridCol w:w="1417"/>
        <w:gridCol w:w="1418"/>
        <w:gridCol w:w="992"/>
        <w:gridCol w:w="1134"/>
      </w:tblGrid>
      <w:tr w:rsidR="00616FDE" w14:paraId="6D3CBEA7" w14:textId="77777777" w:rsidTr="00616FDE">
        <w:trPr>
          <w:cnfStyle w:val="100000000000" w:firstRow="1" w:lastRow="0" w:firstColumn="0" w:lastColumn="0" w:oddVBand="0" w:evenVBand="0" w:oddHBand="0" w:evenHBand="0" w:firstRowFirstColumn="0" w:firstRowLastColumn="0" w:lastRowFirstColumn="0" w:lastRowLastColumn="0"/>
        </w:trPr>
        <w:tc>
          <w:tcPr>
            <w:tcW w:w="993" w:type="dxa"/>
          </w:tcPr>
          <w:p w14:paraId="600C8871" w14:textId="77777777" w:rsidR="00616FDE" w:rsidRDefault="00616FDE">
            <w:pPr>
              <w:pStyle w:val="TableText"/>
            </w:pPr>
            <w:r>
              <w:t>Return period</w:t>
            </w:r>
          </w:p>
        </w:tc>
        <w:tc>
          <w:tcPr>
            <w:tcW w:w="1134" w:type="dxa"/>
          </w:tcPr>
          <w:p w14:paraId="5BDB316A" w14:textId="77777777" w:rsidR="00616FDE" w:rsidRDefault="00616FDE">
            <w:pPr>
              <w:pStyle w:val="TableText"/>
            </w:pPr>
            <w:r>
              <w:t>Residential</w:t>
            </w:r>
          </w:p>
        </w:tc>
        <w:tc>
          <w:tcPr>
            <w:tcW w:w="1417" w:type="dxa"/>
          </w:tcPr>
          <w:p w14:paraId="03038B99" w14:textId="77777777" w:rsidR="00616FDE" w:rsidRDefault="00616FDE">
            <w:pPr>
              <w:pStyle w:val="TableText"/>
            </w:pPr>
            <w:r>
              <w:t>Construction and demolition</w:t>
            </w:r>
          </w:p>
        </w:tc>
        <w:tc>
          <w:tcPr>
            <w:tcW w:w="1418" w:type="dxa"/>
          </w:tcPr>
          <w:p w14:paraId="3A0F2920" w14:textId="77777777" w:rsidR="00616FDE" w:rsidRDefault="00616FDE">
            <w:pPr>
              <w:pStyle w:val="TableText"/>
            </w:pPr>
            <w:r>
              <w:t>Kerbside collection</w:t>
            </w:r>
          </w:p>
        </w:tc>
        <w:tc>
          <w:tcPr>
            <w:tcW w:w="1417" w:type="dxa"/>
          </w:tcPr>
          <w:p w14:paraId="72A98179" w14:textId="77777777" w:rsidR="00616FDE" w:rsidRDefault="00616FDE">
            <w:pPr>
              <w:pStyle w:val="TableText"/>
            </w:pPr>
            <w:r>
              <w:t>Commercial and industrial</w:t>
            </w:r>
          </w:p>
        </w:tc>
        <w:tc>
          <w:tcPr>
            <w:tcW w:w="1418" w:type="dxa"/>
          </w:tcPr>
          <w:p w14:paraId="6BD8EF6C" w14:textId="77777777" w:rsidR="00616FDE" w:rsidRDefault="00616FDE">
            <w:pPr>
              <w:pStyle w:val="TableText"/>
            </w:pPr>
            <w:r>
              <w:t>Landscape waste</w:t>
            </w:r>
          </w:p>
        </w:tc>
        <w:tc>
          <w:tcPr>
            <w:tcW w:w="992" w:type="dxa"/>
          </w:tcPr>
          <w:p w14:paraId="7C65F4CC" w14:textId="77777777" w:rsidR="00616FDE" w:rsidRDefault="00616FDE">
            <w:pPr>
              <w:pStyle w:val="TableText"/>
            </w:pPr>
            <w:r>
              <w:t xml:space="preserve">Special waste </w:t>
            </w:r>
          </w:p>
        </w:tc>
        <w:tc>
          <w:tcPr>
            <w:tcW w:w="1134" w:type="dxa"/>
          </w:tcPr>
          <w:p w14:paraId="6E6D2BF8" w14:textId="77777777" w:rsidR="00616FDE" w:rsidRDefault="00616FDE">
            <w:pPr>
              <w:pStyle w:val="TableText"/>
            </w:pPr>
            <w:r>
              <w:t>Unspecified</w:t>
            </w:r>
          </w:p>
        </w:tc>
      </w:tr>
      <w:tr w:rsidR="00616FDE" w:rsidRPr="00A52F1B" w14:paraId="2DAF8668" w14:textId="77777777" w:rsidTr="00D13405">
        <w:tc>
          <w:tcPr>
            <w:tcW w:w="0" w:type="dxa"/>
          </w:tcPr>
          <w:p w14:paraId="4E6B0CB8" w14:textId="77777777" w:rsidR="00616FDE" w:rsidRPr="00A52F1B" w:rsidRDefault="00616FDE">
            <w:pPr>
              <w:pStyle w:val="TableText"/>
            </w:pPr>
            <w:r w:rsidRPr="00A52F1B">
              <w:t xml:space="preserve">Jan-Mar </w:t>
            </w:r>
          </w:p>
        </w:tc>
        <w:tc>
          <w:tcPr>
            <w:tcW w:w="0" w:type="dxa"/>
            <w:vAlign w:val="center"/>
          </w:tcPr>
          <w:p w14:paraId="7BD3D904" w14:textId="77777777" w:rsidR="00616FDE" w:rsidRPr="00A52F1B" w:rsidRDefault="00616FDE" w:rsidP="00D13405">
            <w:pPr>
              <w:pStyle w:val="TableText"/>
              <w:jc w:val="right"/>
            </w:pPr>
            <w:r w:rsidRPr="00A52F1B">
              <w:t>260,514</w:t>
            </w:r>
          </w:p>
        </w:tc>
        <w:tc>
          <w:tcPr>
            <w:tcW w:w="0" w:type="dxa"/>
            <w:vAlign w:val="center"/>
          </w:tcPr>
          <w:p w14:paraId="0939570F" w14:textId="77777777" w:rsidR="00616FDE" w:rsidRPr="00A52F1B" w:rsidRDefault="00616FDE" w:rsidP="00D13405">
            <w:pPr>
              <w:pStyle w:val="TableText"/>
              <w:jc w:val="right"/>
            </w:pPr>
            <w:r w:rsidRPr="00A52F1B">
              <w:t>73,694</w:t>
            </w:r>
          </w:p>
        </w:tc>
        <w:tc>
          <w:tcPr>
            <w:tcW w:w="0" w:type="dxa"/>
            <w:vAlign w:val="center"/>
          </w:tcPr>
          <w:p w14:paraId="77CD7D70" w14:textId="77777777" w:rsidR="00616FDE" w:rsidRPr="00A52F1B" w:rsidRDefault="00616FDE" w:rsidP="00D13405">
            <w:pPr>
              <w:pStyle w:val="TableText"/>
              <w:jc w:val="right"/>
            </w:pPr>
            <w:r w:rsidRPr="00A52F1B">
              <w:t>67,060</w:t>
            </w:r>
          </w:p>
        </w:tc>
        <w:tc>
          <w:tcPr>
            <w:tcW w:w="0" w:type="dxa"/>
            <w:vAlign w:val="center"/>
          </w:tcPr>
          <w:p w14:paraId="21522B39" w14:textId="77777777" w:rsidR="00616FDE" w:rsidRPr="00A52F1B" w:rsidRDefault="00616FDE" w:rsidP="00D13405">
            <w:pPr>
              <w:pStyle w:val="TableText"/>
              <w:jc w:val="right"/>
            </w:pPr>
            <w:r w:rsidRPr="00A52F1B">
              <w:t>38,004</w:t>
            </w:r>
          </w:p>
        </w:tc>
        <w:tc>
          <w:tcPr>
            <w:tcW w:w="0" w:type="dxa"/>
            <w:vAlign w:val="center"/>
          </w:tcPr>
          <w:p w14:paraId="6850F528" w14:textId="77777777" w:rsidR="00616FDE" w:rsidRPr="00A52F1B" w:rsidRDefault="00616FDE" w:rsidP="00D13405">
            <w:pPr>
              <w:pStyle w:val="TableText"/>
              <w:jc w:val="right"/>
            </w:pPr>
            <w:r w:rsidRPr="00A52F1B">
              <w:t>29,869</w:t>
            </w:r>
          </w:p>
        </w:tc>
        <w:tc>
          <w:tcPr>
            <w:tcW w:w="0" w:type="dxa"/>
            <w:vAlign w:val="center"/>
          </w:tcPr>
          <w:p w14:paraId="04D9FC5E" w14:textId="77777777" w:rsidR="00616FDE" w:rsidRPr="00A52F1B" w:rsidRDefault="00616FDE" w:rsidP="00D13405">
            <w:pPr>
              <w:pStyle w:val="TableText"/>
              <w:jc w:val="right"/>
            </w:pPr>
            <w:r w:rsidRPr="00A52F1B">
              <w:t>101</w:t>
            </w:r>
          </w:p>
        </w:tc>
        <w:tc>
          <w:tcPr>
            <w:tcW w:w="0" w:type="dxa"/>
            <w:vAlign w:val="center"/>
          </w:tcPr>
          <w:p w14:paraId="39B346CA" w14:textId="77777777" w:rsidR="00616FDE" w:rsidRPr="00A52F1B" w:rsidRDefault="00616FDE" w:rsidP="00D13405">
            <w:pPr>
              <w:pStyle w:val="TableText"/>
              <w:jc w:val="right"/>
            </w:pPr>
            <w:r w:rsidRPr="00BF5803">
              <w:t xml:space="preserve"> 820,981 </w:t>
            </w:r>
          </w:p>
        </w:tc>
      </w:tr>
      <w:tr w:rsidR="00616FDE" w:rsidRPr="00A52F1B" w14:paraId="26C1723F" w14:textId="77777777" w:rsidTr="00D13405">
        <w:tc>
          <w:tcPr>
            <w:tcW w:w="0" w:type="dxa"/>
          </w:tcPr>
          <w:p w14:paraId="41C40126" w14:textId="77777777" w:rsidR="00616FDE" w:rsidRPr="00A52F1B" w:rsidRDefault="00616FDE">
            <w:pPr>
              <w:pStyle w:val="TableText"/>
            </w:pPr>
            <w:r w:rsidRPr="00A52F1B">
              <w:t xml:space="preserve">April-Jun </w:t>
            </w:r>
          </w:p>
        </w:tc>
        <w:tc>
          <w:tcPr>
            <w:tcW w:w="0" w:type="dxa"/>
            <w:vAlign w:val="center"/>
          </w:tcPr>
          <w:p w14:paraId="176CDF95" w14:textId="77777777" w:rsidR="00616FDE" w:rsidRPr="00A52F1B" w:rsidRDefault="00616FDE" w:rsidP="00D13405">
            <w:pPr>
              <w:pStyle w:val="TableText"/>
              <w:jc w:val="right"/>
            </w:pPr>
            <w:r w:rsidRPr="00A52F1B">
              <w:t>457,420</w:t>
            </w:r>
          </w:p>
        </w:tc>
        <w:tc>
          <w:tcPr>
            <w:tcW w:w="0" w:type="dxa"/>
            <w:vAlign w:val="center"/>
          </w:tcPr>
          <w:p w14:paraId="46CA0343" w14:textId="77777777" w:rsidR="00616FDE" w:rsidRPr="00A52F1B" w:rsidRDefault="00616FDE" w:rsidP="00D13405">
            <w:pPr>
              <w:pStyle w:val="TableText"/>
              <w:jc w:val="right"/>
            </w:pPr>
            <w:r w:rsidRPr="00A52F1B">
              <w:t>68,194</w:t>
            </w:r>
          </w:p>
        </w:tc>
        <w:tc>
          <w:tcPr>
            <w:tcW w:w="0" w:type="dxa"/>
            <w:vAlign w:val="center"/>
          </w:tcPr>
          <w:p w14:paraId="4EEBFAA7" w14:textId="77777777" w:rsidR="00616FDE" w:rsidRPr="00A52F1B" w:rsidRDefault="00616FDE" w:rsidP="00D13405">
            <w:pPr>
              <w:pStyle w:val="TableText"/>
              <w:jc w:val="right"/>
            </w:pPr>
            <w:r w:rsidRPr="00A52F1B">
              <w:t>70,256</w:t>
            </w:r>
          </w:p>
        </w:tc>
        <w:tc>
          <w:tcPr>
            <w:tcW w:w="0" w:type="dxa"/>
            <w:vAlign w:val="center"/>
          </w:tcPr>
          <w:p w14:paraId="4DFBC64A" w14:textId="77777777" w:rsidR="00616FDE" w:rsidRPr="00A52F1B" w:rsidRDefault="00616FDE" w:rsidP="00D13405">
            <w:pPr>
              <w:pStyle w:val="TableText"/>
              <w:jc w:val="right"/>
            </w:pPr>
            <w:r w:rsidRPr="00A52F1B">
              <w:t>40,105</w:t>
            </w:r>
          </w:p>
        </w:tc>
        <w:tc>
          <w:tcPr>
            <w:tcW w:w="0" w:type="dxa"/>
            <w:vAlign w:val="center"/>
          </w:tcPr>
          <w:p w14:paraId="4EF2D4C1" w14:textId="77777777" w:rsidR="00616FDE" w:rsidRPr="00A52F1B" w:rsidRDefault="00616FDE" w:rsidP="00D13405">
            <w:pPr>
              <w:pStyle w:val="TableText"/>
              <w:jc w:val="right"/>
            </w:pPr>
            <w:r w:rsidRPr="00A52F1B">
              <w:t>24,280</w:t>
            </w:r>
          </w:p>
        </w:tc>
        <w:tc>
          <w:tcPr>
            <w:tcW w:w="0" w:type="dxa"/>
            <w:vAlign w:val="center"/>
          </w:tcPr>
          <w:p w14:paraId="54D8E214" w14:textId="77777777" w:rsidR="00616FDE" w:rsidRPr="00A52F1B" w:rsidRDefault="00616FDE" w:rsidP="00D13405">
            <w:pPr>
              <w:pStyle w:val="TableText"/>
              <w:jc w:val="right"/>
            </w:pPr>
            <w:r w:rsidRPr="00A52F1B">
              <w:t>120</w:t>
            </w:r>
          </w:p>
        </w:tc>
        <w:tc>
          <w:tcPr>
            <w:tcW w:w="0" w:type="dxa"/>
            <w:vAlign w:val="center"/>
          </w:tcPr>
          <w:p w14:paraId="1F65FDAC" w14:textId="77777777" w:rsidR="00616FDE" w:rsidRPr="00A52F1B" w:rsidRDefault="00616FDE" w:rsidP="00D13405">
            <w:pPr>
              <w:pStyle w:val="TableText"/>
              <w:jc w:val="right"/>
            </w:pPr>
            <w:r w:rsidRPr="00BF5803">
              <w:t xml:space="preserve"> 1,015,807 </w:t>
            </w:r>
          </w:p>
        </w:tc>
      </w:tr>
      <w:tr w:rsidR="00616FDE" w:rsidRPr="00A52F1B" w14:paraId="3F86A7C7" w14:textId="77777777" w:rsidTr="00D13405">
        <w:tc>
          <w:tcPr>
            <w:tcW w:w="0" w:type="dxa"/>
          </w:tcPr>
          <w:p w14:paraId="6648AEA8" w14:textId="77777777" w:rsidR="00616FDE" w:rsidRPr="00A52F1B" w:rsidRDefault="00616FDE">
            <w:pPr>
              <w:pStyle w:val="TableText"/>
            </w:pPr>
            <w:r w:rsidRPr="00A52F1B">
              <w:t xml:space="preserve">Jul-Sep </w:t>
            </w:r>
          </w:p>
        </w:tc>
        <w:tc>
          <w:tcPr>
            <w:tcW w:w="0" w:type="dxa"/>
            <w:vAlign w:val="center"/>
          </w:tcPr>
          <w:p w14:paraId="0D613FB9" w14:textId="77777777" w:rsidR="00616FDE" w:rsidRPr="00A52F1B" w:rsidRDefault="00616FDE" w:rsidP="00D13405">
            <w:pPr>
              <w:pStyle w:val="TableText"/>
              <w:jc w:val="right"/>
            </w:pPr>
            <w:r w:rsidRPr="00A52F1B">
              <w:t>213,346</w:t>
            </w:r>
          </w:p>
        </w:tc>
        <w:tc>
          <w:tcPr>
            <w:tcW w:w="0" w:type="dxa"/>
            <w:vAlign w:val="center"/>
          </w:tcPr>
          <w:p w14:paraId="66D643C4" w14:textId="77777777" w:rsidR="00616FDE" w:rsidRPr="00A52F1B" w:rsidRDefault="00616FDE" w:rsidP="00D13405">
            <w:pPr>
              <w:pStyle w:val="TableText"/>
              <w:jc w:val="right"/>
            </w:pPr>
            <w:r w:rsidRPr="00A52F1B">
              <w:t>69,179</w:t>
            </w:r>
          </w:p>
        </w:tc>
        <w:tc>
          <w:tcPr>
            <w:tcW w:w="0" w:type="dxa"/>
            <w:vAlign w:val="center"/>
          </w:tcPr>
          <w:p w14:paraId="44F2B2CF" w14:textId="77777777" w:rsidR="00616FDE" w:rsidRPr="00A52F1B" w:rsidRDefault="00616FDE" w:rsidP="00D13405">
            <w:pPr>
              <w:pStyle w:val="TableText"/>
              <w:jc w:val="right"/>
            </w:pPr>
            <w:r w:rsidRPr="00A52F1B">
              <w:t>56,914</w:t>
            </w:r>
          </w:p>
        </w:tc>
        <w:tc>
          <w:tcPr>
            <w:tcW w:w="0" w:type="dxa"/>
            <w:vAlign w:val="center"/>
          </w:tcPr>
          <w:p w14:paraId="2DC28BAA" w14:textId="77777777" w:rsidR="00616FDE" w:rsidRPr="00A52F1B" w:rsidRDefault="00616FDE" w:rsidP="00D13405">
            <w:pPr>
              <w:pStyle w:val="TableText"/>
              <w:jc w:val="right"/>
            </w:pPr>
            <w:r w:rsidRPr="00A52F1B">
              <w:t>49,059</w:t>
            </w:r>
          </w:p>
        </w:tc>
        <w:tc>
          <w:tcPr>
            <w:tcW w:w="0" w:type="dxa"/>
            <w:vAlign w:val="center"/>
          </w:tcPr>
          <w:p w14:paraId="1B74B1C8" w14:textId="77777777" w:rsidR="00616FDE" w:rsidRPr="00A52F1B" w:rsidRDefault="00616FDE" w:rsidP="00D13405">
            <w:pPr>
              <w:pStyle w:val="TableText"/>
              <w:jc w:val="right"/>
            </w:pPr>
            <w:r w:rsidRPr="00A52F1B">
              <w:t>29,688</w:t>
            </w:r>
          </w:p>
        </w:tc>
        <w:tc>
          <w:tcPr>
            <w:tcW w:w="0" w:type="dxa"/>
            <w:vAlign w:val="center"/>
          </w:tcPr>
          <w:p w14:paraId="66D501E6" w14:textId="77777777" w:rsidR="00616FDE" w:rsidRPr="00A52F1B" w:rsidRDefault="00616FDE" w:rsidP="00D13405">
            <w:pPr>
              <w:pStyle w:val="TableText"/>
              <w:jc w:val="right"/>
            </w:pPr>
            <w:r w:rsidRPr="00A52F1B">
              <w:t>136</w:t>
            </w:r>
          </w:p>
        </w:tc>
        <w:tc>
          <w:tcPr>
            <w:tcW w:w="0" w:type="dxa"/>
            <w:vAlign w:val="center"/>
          </w:tcPr>
          <w:p w14:paraId="14B6AFE5" w14:textId="77777777" w:rsidR="00616FDE" w:rsidRPr="00A52F1B" w:rsidRDefault="00616FDE" w:rsidP="00D13405">
            <w:pPr>
              <w:pStyle w:val="TableText"/>
              <w:jc w:val="right"/>
            </w:pPr>
            <w:r w:rsidRPr="00BF5803">
              <w:t xml:space="preserve"> 796,039 </w:t>
            </w:r>
          </w:p>
        </w:tc>
      </w:tr>
      <w:tr w:rsidR="00616FDE" w:rsidRPr="00A52F1B" w14:paraId="1215A563" w14:textId="77777777" w:rsidTr="00D13405">
        <w:tc>
          <w:tcPr>
            <w:tcW w:w="0" w:type="dxa"/>
          </w:tcPr>
          <w:p w14:paraId="2BDF50FD" w14:textId="77777777" w:rsidR="00616FDE" w:rsidRPr="00A52F1B" w:rsidRDefault="00616FDE">
            <w:pPr>
              <w:pStyle w:val="TableText"/>
            </w:pPr>
            <w:r w:rsidRPr="00A52F1B">
              <w:t xml:space="preserve">Oct-Dec </w:t>
            </w:r>
          </w:p>
        </w:tc>
        <w:tc>
          <w:tcPr>
            <w:tcW w:w="0" w:type="dxa"/>
            <w:vAlign w:val="center"/>
          </w:tcPr>
          <w:p w14:paraId="3132CFA1" w14:textId="77777777" w:rsidR="00616FDE" w:rsidRPr="00A52F1B" w:rsidRDefault="00616FDE" w:rsidP="00D13405">
            <w:pPr>
              <w:pStyle w:val="TableText"/>
              <w:jc w:val="right"/>
            </w:pPr>
            <w:r w:rsidRPr="00A52F1B">
              <w:t>41,552</w:t>
            </w:r>
          </w:p>
        </w:tc>
        <w:tc>
          <w:tcPr>
            <w:tcW w:w="0" w:type="dxa"/>
            <w:vAlign w:val="center"/>
          </w:tcPr>
          <w:p w14:paraId="0554258A" w14:textId="77777777" w:rsidR="00616FDE" w:rsidRPr="00A52F1B" w:rsidRDefault="00616FDE" w:rsidP="00D13405">
            <w:pPr>
              <w:pStyle w:val="TableText"/>
              <w:jc w:val="right"/>
            </w:pPr>
            <w:r w:rsidRPr="00A52F1B">
              <w:t>73,708</w:t>
            </w:r>
          </w:p>
        </w:tc>
        <w:tc>
          <w:tcPr>
            <w:tcW w:w="0" w:type="dxa"/>
            <w:vAlign w:val="center"/>
          </w:tcPr>
          <w:p w14:paraId="0830CEA4" w14:textId="77777777" w:rsidR="00616FDE" w:rsidRPr="00A52F1B" w:rsidRDefault="00616FDE" w:rsidP="00D13405">
            <w:pPr>
              <w:pStyle w:val="TableText"/>
              <w:jc w:val="right"/>
            </w:pPr>
            <w:r w:rsidRPr="00A52F1B">
              <w:t>58,168</w:t>
            </w:r>
          </w:p>
        </w:tc>
        <w:tc>
          <w:tcPr>
            <w:tcW w:w="0" w:type="dxa"/>
            <w:vAlign w:val="center"/>
          </w:tcPr>
          <w:p w14:paraId="53742332" w14:textId="77777777" w:rsidR="00616FDE" w:rsidRPr="00A52F1B" w:rsidRDefault="00616FDE" w:rsidP="00D13405">
            <w:pPr>
              <w:pStyle w:val="TableText"/>
              <w:jc w:val="right"/>
            </w:pPr>
            <w:r w:rsidRPr="00A52F1B">
              <w:t>40,916</w:t>
            </w:r>
          </w:p>
        </w:tc>
        <w:tc>
          <w:tcPr>
            <w:tcW w:w="0" w:type="dxa"/>
            <w:vAlign w:val="center"/>
          </w:tcPr>
          <w:p w14:paraId="29772928" w14:textId="77777777" w:rsidR="00616FDE" w:rsidRPr="00A52F1B" w:rsidRDefault="00616FDE" w:rsidP="00D13405">
            <w:pPr>
              <w:pStyle w:val="TableText"/>
              <w:jc w:val="right"/>
            </w:pPr>
            <w:r w:rsidRPr="00A52F1B">
              <w:t>25,817</w:t>
            </w:r>
          </w:p>
        </w:tc>
        <w:tc>
          <w:tcPr>
            <w:tcW w:w="0" w:type="dxa"/>
            <w:vAlign w:val="center"/>
          </w:tcPr>
          <w:p w14:paraId="5B729DE6" w14:textId="77777777" w:rsidR="00616FDE" w:rsidRPr="00A52F1B" w:rsidRDefault="00616FDE" w:rsidP="00D13405">
            <w:pPr>
              <w:pStyle w:val="TableText"/>
              <w:jc w:val="right"/>
            </w:pPr>
            <w:r w:rsidRPr="00A52F1B">
              <w:t>144</w:t>
            </w:r>
          </w:p>
        </w:tc>
        <w:tc>
          <w:tcPr>
            <w:tcW w:w="0" w:type="dxa"/>
            <w:vAlign w:val="center"/>
          </w:tcPr>
          <w:p w14:paraId="57206D80" w14:textId="77777777" w:rsidR="00616FDE" w:rsidRPr="00A52F1B" w:rsidRDefault="00616FDE" w:rsidP="00D13405">
            <w:pPr>
              <w:pStyle w:val="TableText"/>
              <w:jc w:val="right"/>
            </w:pPr>
            <w:r w:rsidRPr="00BF5803">
              <w:t xml:space="preserve"> 626,673 </w:t>
            </w:r>
          </w:p>
        </w:tc>
      </w:tr>
      <w:tr w:rsidR="00616FDE" w:rsidRPr="00F02EDC" w14:paraId="39D3E5E7" w14:textId="77777777" w:rsidTr="00D13405">
        <w:tc>
          <w:tcPr>
            <w:tcW w:w="0" w:type="dxa"/>
          </w:tcPr>
          <w:p w14:paraId="6376914B" w14:textId="77777777" w:rsidR="00616FDE" w:rsidRPr="00F02EDC" w:rsidRDefault="00616FDE">
            <w:pPr>
              <w:pStyle w:val="TableText"/>
              <w:rPr>
                <w:b/>
                <w:bCs/>
              </w:rPr>
            </w:pPr>
            <w:r w:rsidRPr="00F02EDC">
              <w:rPr>
                <w:b/>
                <w:bCs/>
              </w:rPr>
              <w:t>TOTAL</w:t>
            </w:r>
          </w:p>
        </w:tc>
        <w:tc>
          <w:tcPr>
            <w:tcW w:w="0" w:type="dxa"/>
            <w:vAlign w:val="center"/>
          </w:tcPr>
          <w:p w14:paraId="56B0CB47" w14:textId="3D04D3DA" w:rsidR="00616FDE" w:rsidRPr="00F02EDC" w:rsidRDefault="00616FDE" w:rsidP="00D13405">
            <w:pPr>
              <w:pStyle w:val="TableText"/>
              <w:jc w:val="right"/>
              <w:rPr>
                <w:b/>
                <w:bCs/>
              </w:rPr>
            </w:pPr>
            <w:r w:rsidRPr="00F02EDC">
              <w:rPr>
                <w:b/>
                <w:bCs/>
              </w:rPr>
              <w:t>972,</w:t>
            </w:r>
            <w:r w:rsidR="00A86E45" w:rsidRPr="00F02EDC">
              <w:rPr>
                <w:b/>
                <w:bCs/>
              </w:rPr>
              <w:t>83</w:t>
            </w:r>
            <w:r w:rsidR="00A86E45">
              <w:rPr>
                <w:b/>
                <w:bCs/>
              </w:rPr>
              <w:t>2</w:t>
            </w:r>
          </w:p>
        </w:tc>
        <w:tc>
          <w:tcPr>
            <w:tcW w:w="0" w:type="dxa"/>
            <w:vAlign w:val="center"/>
          </w:tcPr>
          <w:p w14:paraId="5773453F" w14:textId="7D40182D" w:rsidR="00616FDE" w:rsidRPr="00F02EDC" w:rsidRDefault="00616FDE" w:rsidP="00D13405">
            <w:pPr>
              <w:pStyle w:val="TableText"/>
              <w:jc w:val="right"/>
              <w:rPr>
                <w:b/>
                <w:bCs/>
              </w:rPr>
            </w:pPr>
            <w:r w:rsidRPr="00F02EDC">
              <w:rPr>
                <w:b/>
                <w:bCs/>
              </w:rPr>
              <w:t>284,</w:t>
            </w:r>
            <w:r w:rsidR="00D13405" w:rsidRPr="00F02EDC">
              <w:rPr>
                <w:b/>
                <w:bCs/>
              </w:rPr>
              <w:t>77</w:t>
            </w:r>
            <w:r w:rsidR="00D13405">
              <w:rPr>
                <w:b/>
                <w:bCs/>
              </w:rPr>
              <w:t>5</w:t>
            </w:r>
          </w:p>
        </w:tc>
        <w:tc>
          <w:tcPr>
            <w:tcW w:w="0" w:type="dxa"/>
            <w:vAlign w:val="center"/>
          </w:tcPr>
          <w:p w14:paraId="7C3475A6" w14:textId="6F323534" w:rsidR="00616FDE" w:rsidRPr="00F02EDC" w:rsidRDefault="00616FDE" w:rsidP="00D13405">
            <w:pPr>
              <w:pStyle w:val="TableText"/>
              <w:jc w:val="right"/>
              <w:rPr>
                <w:b/>
                <w:bCs/>
              </w:rPr>
            </w:pPr>
            <w:r w:rsidRPr="00F02EDC">
              <w:rPr>
                <w:b/>
                <w:bCs/>
              </w:rPr>
              <w:t>252,39</w:t>
            </w:r>
            <w:r w:rsidR="00B31720">
              <w:rPr>
                <w:b/>
                <w:bCs/>
              </w:rPr>
              <w:t>8</w:t>
            </w:r>
          </w:p>
        </w:tc>
        <w:tc>
          <w:tcPr>
            <w:tcW w:w="0" w:type="dxa"/>
            <w:vAlign w:val="center"/>
          </w:tcPr>
          <w:p w14:paraId="03925380" w14:textId="77777777" w:rsidR="00616FDE" w:rsidRPr="00F02EDC" w:rsidRDefault="00616FDE" w:rsidP="00D13405">
            <w:pPr>
              <w:pStyle w:val="TableText"/>
              <w:jc w:val="right"/>
              <w:rPr>
                <w:b/>
                <w:bCs/>
              </w:rPr>
            </w:pPr>
            <w:r w:rsidRPr="00F02EDC">
              <w:rPr>
                <w:b/>
                <w:bCs/>
              </w:rPr>
              <w:t>168,084</w:t>
            </w:r>
          </w:p>
        </w:tc>
        <w:tc>
          <w:tcPr>
            <w:tcW w:w="0" w:type="dxa"/>
            <w:vAlign w:val="center"/>
          </w:tcPr>
          <w:p w14:paraId="1F9A0216" w14:textId="77777777" w:rsidR="00616FDE" w:rsidRPr="00F02EDC" w:rsidRDefault="00616FDE" w:rsidP="00D13405">
            <w:pPr>
              <w:pStyle w:val="TableText"/>
              <w:jc w:val="right"/>
              <w:rPr>
                <w:b/>
                <w:bCs/>
              </w:rPr>
            </w:pPr>
            <w:r w:rsidRPr="00F02EDC">
              <w:rPr>
                <w:b/>
                <w:bCs/>
              </w:rPr>
              <w:t>109,654</w:t>
            </w:r>
          </w:p>
        </w:tc>
        <w:tc>
          <w:tcPr>
            <w:tcW w:w="0" w:type="dxa"/>
            <w:vAlign w:val="center"/>
          </w:tcPr>
          <w:p w14:paraId="724EBC63" w14:textId="77777777" w:rsidR="00616FDE" w:rsidRPr="00F02EDC" w:rsidRDefault="00616FDE" w:rsidP="00D13405">
            <w:pPr>
              <w:pStyle w:val="TableText"/>
              <w:jc w:val="right"/>
              <w:rPr>
                <w:b/>
                <w:bCs/>
              </w:rPr>
            </w:pPr>
            <w:r w:rsidRPr="00F02EDC">
              <w:rPr>
                <w:b/>
                <w:bCs/>
              </w:rPr>
              <w:t>501</w:t>
            </w:r>
          </w:p>
        </w:tc>
        <w:tc>
          <w:tcPr>
            <w:tcW w:w="0" w:type="dxa"/>
            <w:vAlign w:val="center"/>
          </w:tcPr>
          <w:p w14:paraId="519E1D39" w14:textId="77777777" w:rsidR="00616FDE" w:rsidRPr="00F02EDC" w:rsidRDefault="00616FDE" w:rsidP="00D13405">
            <w:pPr>
              <w:pStyle w:val="TableText"/>
              <w:jc w:val="right"/>
              <w:rPr>
                <w:b/>
                <w:bCs/>
              </w:rPr>
            </w:pPr>
            <w:r w:rsidRPr="00F02EDC">
              <w:rPr>
                <w:b/>
                <w:bCs/>
              </w:rPr>
              <w:t xml:space="preserve"> 3,259,500 </w:t>
            </w:r>
          </w:p>
        </w:tc>
      </w:tr>
    </w:tbl>
    <w:p w14:paraId="455E2DAC" w14:textId="5C910F5C" w:rsidR="00B83E0E" w:rsidRDefault="00616FDE" w:rsidP="00EE36A4">
      <w:pPr>
        <w:pStyle w:val="Note"/>
      </w:pPr>
      <w:r w:rsidRPr="00B025F7">
        <w:t xml:space="preserve">Source: </w:t>
      </w:r>
      <w:r w:rsidR="00012002">
        <w:t xml:space="preserve">Reported returns from the </w:t>
      </w:r>
      <w:r w:rsidR="00AC5C0A">
        <w:t>OWLS</w:t>
      </w:r>
      <w:r w:rsidRPr="00B025F7">
        <w:t xml:space="preserve">. </w:t>
      </w:r>
    </w:p>
    <w:p w14:paraId="1127B2BA" w14:textId="09494C7C" w:rsidR="00616FDE" w:rsidRDefault="00B83E0E" w:rsidP="00EE36A4">
      <w:pPr>
        <w:pStyle w:val="Note"/>
      </w:pPr>
      <w:r>
        <w:t xml:space="preserve">Note: </w:t>
      </w:r>
      <w:r w:rsidR="00616FDE" w:rsidRPr="00B025F7">
        <w:t>Reporting by activity source (</w:t>
      </w:r>
      <w:proofErr w:type="spellStart"/>
      <w:r w:rsidR="00616FDE" w:rsidRPr="00B025F7">
        <w:t>ie</w:t>
      </w:r>
      <w:proofErr w:type="spellEnd"/>
      <w:r w:rsidR="00AC5C0A">
        <w:t>,</w:t>
      </w:r>
      <w:r w:rsidR="00616FDE" w:rsidRPr="00B025F7">
        <w:t xml:space="preserve"> the activity that generated the waste) is currently optional. It will become mandatory from 1 July 2024.</w:t>
      </w:r>
    </w:p>
    <w:p w14:paraId="4CE69969" w14:textId="77777777" w:rsidR="00616FDE" w:rsidRDefault="00616FDE">
      <w:pPr>
        <w:spacing w:before="0" w:after="200" w:line="276" w:lineRule="auto"/>
        <w:jc w:val="left"/>
        <w:rPr>
          <w:szCs w:val="20"/>
        </w:rPr>
      </w:pPr>
      <w:r>
        <w:rPr>
          <w:szCs w:val="20"/>
        </w:rPr>
        <w:br w:type="page"/>
      </w:r>
    </w:p>
    <w:p w14:paraId="71076FD9" w14:textId="77777777" w:rsidR="00616FDE" w:rsidRDefault="00616FDE" w:rsidP="00616FDE">
      <w:pPr>
        <w:pStyle w:val="Tableheading"/>
        <w:sectPr w:rsidR="00616FDE" w:rsidSect="00843700">
          <w:headerReference w:type="default" r:id="rId33"/>
          <w:footerReference w:type="even" r:id="rId34"/>
          <w:footerReference w:type="default" r:id="rId35"/>
          <w:pgSz w:w="11907" w:h="16840" w:code="9"/>
          <w:pgMar w:top="1134" w:right="1701" w:bottom="1134" w:left="1701" w:header="567" w:footer="567" w:gutter="0"/>
          <w:pgNumType w:start="1"/>
          <w:cols w:space="720"/>
          <w:docGrid w:linePitch="326"/>
        </w:sectPr>
      </w:pPr>
      <w:bookmarkStart w:id="41" w:name="_Toc150947439"/>
    </w:p>
    <w:p w14:paraId="35320705" w14:textId="5347956B" w:rsidR="00712201" w:rsidRDefault="00712201" w:rsidP="00227C27">
      <w:pPr>
        <w:pStyle w:val="Tableheading"/>
      </w:pPr>
      <w:bookmarkStart w:id="42" w:name="_Ref153455492"/>
      <w:bookmarkStart w:id="43" w:name="_Toc177022856"/>
      <w:bookmarkEnd w:id="41"/>
      <w:r>
        <w:lastRenderedPageBreak/>
        <w:t xml:space="preserve">Table </w:t>
      </w:r>
      <w:r>
        <w:fldChar w:fldCharType="begin"/>
      </w:r>
      <w:r>
        <w:instrText xml:space="preserve"> SEQ Table \* ARABIC </w:instrText>
      </w:r>
      <w:r>
        <w:fldChar w:fldCharType="separate"/>
      </w:r>
      <w:r w:rsidR="00587F2B">
        <w:rPr>
          <w:noProof/>
        </w:rPr>
        <w:t>8</w:t>
      </w:r>
      <w:r>
        <w:rPr>
          <w:noProof/>
        </w:rPr>
        <w:fldChar w:fldCharType="end"/>
      </w:r>
      <w:bookmarkEnd w:id="42"/>
      <w:r>
        <w:t xml:space="preserve">: </w:t>
      </w:r>
      <w:r>
        <w:tab/>
      </w:r>
      <w:r w:rsidRPr="00CD77CB">
        <w:t xml:space="preserve">Reported quantities sent by transfer stations to </w:t>
      </w:r>
      <w:proofErr w:type="gramStart"/>
      <w:r w:rsidRPr="00CD77CB">
        <w:t>recycling</w:t>
      </w:r>
      <w:proofErr w:type="gramEnd"/>
      <w:r w:rsidRPr="00CD77CB">
        <w:t xml:space="preserve"> or disposal (tonnes) (where specified) (for the 2022 calendar year</w:t>
      </w:r>
      <w:r w:rsidR="002B2314">
        <w:t>)</w:t>
      </w:r>
      <w:bookmarkEnd w:id="43"/>
    </w:p>
    <w:tbl>
      <w:tblPr>
        <w:tblW w:w="14312" w:type="dxa"/>
        <w:tblLayout w:type="fixed"/>
        <w:tblLook w:val="04A0" w:firstRow="1" w:lastRow="0" w:firstColumn="1" w:lastColumn="0" w:noHBand="0" w:noVBand="1"/>
      </w:tblPr>
      <w:tblGrid>
        <w:gridCol w:w="1360"/>
        <w:gridCol w:w="1216"/>
        <w:gridCol w:w="1216"/>
        <w:gridCol w:w="1216"/>
        <w:gridCol w:w="1216"/>
        <w:gridCol w:w="1216"/>
        <w:gridCol w:w="1216"/>
        <w:gridCol w:w="1404"/>
        <w:gridCol w:w="1028"/>
        <w:gridCol w:w="1216"/>
        <w:gridCol w:w="1216"/>
        <w:gridCol w:w="792"/>
      </w:tblGrid>
      <w:tr w:rsidR="00B34C4C" w:rsidRPr="00D450C5" w14:paraId="0AC36B8E" w14:textId="77777777" w:rsidTr="00B34C4C">
        <w:trPr>
          <w:trHeight w:val="510"/>
        </w:trPr>
        <w:tc>
          <w:tcPr>
            <w:tcW w:w="1360" w:type="dxa"/>
            <w:tcBorders>
              <w:top w:val="single" w:sz="4" w:space="0" w:color="808080"/>
              <w:left w:val="single" w:sz="4" w:space="0" w:color="808080"/>
              <w:bottom w:val="single" w:sz="4" w:space="0" w:color="808080"/>
              <w:right w:val="single" w:sz="4" w:space="0" w:color="808080"/>
            </w:tcBorders>
            <w:shd w:val="clear" w:color="auto" w:fill="1B556B"/>
            <w:hideMark/>
          </w:tcPr>
          <w:p w14:paraId="7C9B75D9" w14:textId="6F5FAED2" w:rsidR="00B34C4C" w:rsidRPr="00D450C5" w:rsidRDefault="00B34C4C" w:rsidP="00B34C4C">
            <w:pPr>
              <w:pStyle w:val="TableText"/>
              <w:rPr>
                <w:b/>
                <w:bCs/>
                <w:color w:val="FFFFFF" w:themeColor="background1"/>
              </w:rPr>
            </w:pPr>
            <w:r w:rsidRPr="00D450C5">
              <w:rPr>
                <w:b/>
                <w:bCs/>
                <w:color w:val="FFFFFF" w:themeColor="background1"/>
              </w:rPr>
              <w:t xml:space="preserve">Return </w:t>
            </w:r>
            <w:r>
              <w:rPr>
                <w:b/>
                <w:bCs/>
                <w:color w:val="FFFFFF" w:themeColor="background1"/>
              </w:rPr>
              <w:t>p</w:t>
            </w:r>
            <w:r w:rsidRPr="00D450C5">
              <w:rPr>
                <w:b/>
                <w:bCs/>
                <w:color w:val="FFFFFF" w:themeColor="background1"/>
              </w:rPr>
              <w:t>eriod</w:t>
            </w:r>
          </w:p>
        </w:tc>
        <w:tc>
          <w:tcPr>
            <w:tcW w:w="1216" w:type="dxa"/>
            <w:tcBorders>
              <w:top w:val="single" w:sz="4" w:space="0" w:color="808080"/>
              <w:left w:val="nil"/>
              <w:bottom w:val="single" w:sz="4" w:space="0" w:color="808080"/>
              <w:right w:val="nil"/>
            </w:tcBorders>
            <w:shd w:val="clear" w:color="auto" w:fill="1B556B"/>
          </w:tcPr>
          <w:p w14:paraId="2E006440" w14:textId="6E599C05" w:rsidR="00B34C4C" w:rsidRPr="00D450C5" w:rsidRDefault="00B34C4C" w:rsidP="00B34C4C">
            <w:pPr>
              <w:pStyle w:val="TableText"/>
              <w:rPr>
                <w:b/>
                <w:bCs/>
                <w:color w:val="FFFFFF" w:themeColor="background1"/>
              </w:rPr>
            </w:pPr>
            <w:r w:rsidRPr="00D450C5">
              <w:rPr>
                <w:b/>
                <w:bCs/>
                <w:color w:val="FFFFFF" w:themeColor="background1"/>
              </w:rPr>
              <w:t>Organic</w:t>
            </w:r>
          </w:p>
        </w:tc>
        <w:tc>
          <w:tcPr>
            <w:tcW w:w="1216" w:type="dxa"/>
            <w:tcBorders>
              <w:top w:val="single" w:sz="4" w:space="0" w:color="808080"/>
              <w:left w:val="nil"/>
              <w:bottom w:val="single" w:sz="4" w:space="0" w:color="808080"/>
              <w:right w:val="single" w:sz="4" w:space="0" w:color="808080"/>
            </w:tcBorders>
            <w:shd w:val="clear" w:color="auto" w:fill="1B556B"/>
            <w:hideMark/>
          </w:tcPr>
          <w:p w14:paraId="73051086" w14:textId="06600DDC" w:rsidR="00B34C4C" w:rsidRPr="00D450C5" w:rsidRDefault="00B34C4C" w:rsidP="00B34C4C">
            <w:pPr>
              <w:pStyle w:val="TableText"/>
              <w:rPr>
                <w:b/>
                <w:bCs/>
                <w:color w:val="FFFFFF" w:themeColor="background1"/>
              </w:rPr>
            </w:pPr>
            <w:r w:rsidRPr="00D450C5">
              <w:rPr>
                <w:b/>
                <w:bCs/>
                <w:color w:val="FFFFFF" w:themeColor="background1"/>
              </w:rPr>
              <w:t>Ferrous metal</w:t>
            </w:r>
          </w:p>
        </w:tc>
        <w:tc>
          <w:tcPr>
            <w:tcW w:w="1216" w:type="dxa"/>
            <w:tcBorders>
              <w:top w:val="single" w:sz="4" w:space="0" w:color="808080"/>
              <w:left w:val="nil"/>
              <w:bottom w:val="single" w:sz="4" w:space="0" w:color="808080"/>
              <w:right w:val="single" w:sz="4" w:space="0" w:color="808080"/>
            </w:tcBorders>
            <w:shd w:val="clear" w:color="auto" w:fill="1B556B"/>
            <w:hideMark/>
          </w:tcPr>
          <w:p w14:paraId="2457C6EA" w14:textId="77777777" w:rsidR="00B34C4C" w:rsidRPr="00D450C5" w:rsidRDefault="00B34C4C" w:rsidP="00B34C4C">
            <w:pPr>
              <w:pStyle w:val="TableText"/>
              <w:rPr>
                <w:b/>
                <w:bCs/>
                <w:color w:val="FFFFFF" w:themeColor="background1"/>
              </w:rPr>
            </w:pPr>
            <w:r w:rsidRPr="00D450C5">
              <w:rPr>
                <w:b/>
                <w:bCs/>
                <w:color w:val="FFFFFF" w:themeColor="background1"/>
              </w:rPr>
              <w:t>Glass</w:t>
            </w:r>
          </w:p>
        </w:tc>
        <w:tc>
          <w:tcPr>
            <w:tcW w:w="1216" w:type="dxa"/>
            <w:tcBorders>
              <w:top w:val="single" w:sz="4" w:space="0" w:color="808080"/>
              <w:left w:val="nil"/>
              <w:bottom w:val="single" w:sz="4" w:space="0" w:color="808080"/>
              <w:right w:val="single" w:sz="4" w:space="0" w:color="808080"/>
            </w:tcBorders>
            <w:shd w:val="clear" w:color="auto" w:fill="1B556B"/>
            <w:hideMark/>
          </w:tcPr>
          <w:p w14:paraId="5676B794" w14:textId="77777777" w:rsidR="00B34C4C" w:rsidRPr="00D450C5" w:rsidRDefault="00B34C4C" w:rsidP="00B34C4C">
            <w:pPr>
              <w:pStyle w:val="TableText"/>
              <w:rPr>
                <w:b/>
                <w:bCs/>
                <w:color w:val="FFFFFF" w:themeColor="background1"/>
              </w:rPr>
            </w:pPr>
            <w:r w:rsidRPr="00D450C5">
              <w:rPr>
                <w:b/>
                <w:bCs/>
                <w:color w:val="FFFFFF" w:themeColor="background1"/>
              </w:rPr>
              <w:t>Non-ferrous metal</w:t>
            </w:r>
          </w:p>
        </w:tc>
        <w:tc>
          <w:tcPr>
            <w:tcW w:w="1216" w:type="dxa"/>
            <w:tcBorders>
              <w:top w:val="single" w:sz="4" w:space="0" w:color="808080"/>
              <w:left w:val="nil"/>
              <w:bottom w:val="single" w:sz="4" w:space="0" w:color="808080"/>
              <w:right w:val="single" w:sz="4" w:space="0" w:color="808080"/>
            </w:tcBorders>
            <w:shd w:val="clear" w:color="auto" w:fill="1B556B"/>
            <w:hideMark/>
          </w:tcPr>
          <w:p w14:paraId="3C045CCD" w14:textId="77777777" w:rsidR="00B34C4C" w:rsidRPr="00D450C5" w:rsidRDefault="00B34C4C" w:rsidP="00B34C4C">
            <w:pPr>
              <w:pStyle w:val="TableText"/>
              <w:rPr>
                <w:b/>
                <w:bCs/>
                <w:color w:val="FFFFFF" w:themeColor="background1"/>
              </w:rPr>
            </w:pPr>
            <w:r w:rsidRPr="00D450C5">
              <w:rPr>
                <w:b/>
                <w:bCs/>
                <w:color w:val="FFFFFF" w:themeColor="background1"/>
              </w:rPr>
              <w:t>Paper</w:t>
            </w:r>
          </w:p>
        </w:tc>
        <w:tc>
          <w:tcPr>
            <w:tcW w:w="1216" w:type="dxa"/>
            <w:tcBorders>
              <w:top w:val="single" w:sz="4" w:space="0" w:color="808080"/>
              <w:left w:val="nil"/>
              <w:bottom w:val="single" w:sz="4" w:space="0" w:color="808080"/>
              <w:right w:val="single" w:sz="4" w:space="0" w:color="808080"/>
            </w:tcBorders>
            <w:shd w:val="clear" w:color="auto" w:fill="1B556B"/>
            <w:hideMark/>
          </w:tcPr>
          <w:p w14:paraId="0E68E5D0" w14:textId="77777777" w:rsidR="00B34C4C" w:rsidRPr="00D450C5" w:rsidRDefault="00B34C4C" w:rsidP="00B34C4C">
            <w:pPr>
              <w:pStyle w:val="TableText"/>
              <w:rPr>
                <w:b/>
                <w:bCs/>
                <w:color w:val="FFFFFF" w:themeColor="background1"/>
              </w:rPr>
            </w:pPr>
            <w:r w:rsidRPr="00D450C5">
              <w:rPr>
                <w:b/>
                <w:bCs/>
                <w:color w:val="FFFFFF" w:themeColor="background1"/>
              </w:rPr>
              <w:t>Plastic</w:t>
            </w:r>
          </w:p>
        </w:tc>
        <w:tc>
          <w:tcPr>
            <w:tcW w:w="1404" w:type="dxa"/>
            <w:tcBorders>
              <w:top w:val="single" w:sz="4" w:space="0" w:color="808080"/>
              <w:left w:val="nil"/>
              <w:bottom w:val="single" w:sz="4" w:space="0" w:color="808080"/>
              <w:right w:val="single" w:sz="4" w:space="0" w:color="808080"/>
            </w:tcBorders>
            <w:shd w:val="clear" w:color="auto" w:fill="1B556B"/>
            <w:hideMark/>
          </w:tcPr>
          <w:p w14:paraId="69451F06" w14:textId="77777777" w:rsidR="00B34C4C" w:rsidRPr="00D450C5" w:rsidRDefault="00B34C4C" w:rsidP="00B34C4C">
            <w:pPr>
              <w:pStyle w:val="TableText"/>
              <w:rPr>
                <w:b/>
                <w:bCs/>
                <w:color w:val="FFFFFF" w:themeColor="background1"/>
              </w:rPr>
            </w:pPr>
            <w:r w:rsidRPr="00D450C5">
              <w:rPr>
                <w:b/>
                <w:bCs/>
                <w:color w:val="FFFFFF" w:themeColor="background1"/>
              </w:rPr>
              <w:t>Potentially hazardous</w:t>
            </w:r>
          </w:p>
        </w:tc>
        <w:tc>
          <w:tcPr>
            <w:tcW w:w="1028" w:type="dxa"/>
            <w:tcBorders>
              <w:top w:val="single" w:sz="4" w:space="0" w:color="808080"/>
              <w:left w:val="nil"/>
              <w:bottom w:val="single" w:sz="4" w:space="0" w:color="808080"/>
              <w:right w:val="single" w:sz="4" w:space="0" w:color="808080"/>
            </w:tcBorders>
            <w:shd w:val="clear" w:color="auto" w:fill="1B556B"/>
            <w:hideMark/>
          </w:tcPr>
          <w:p w14:paraId="1BC40771" w14:textId="77777777" w:rsidR="00B34C4C" w:rsidRPr="00D450C5" w:rsidRDefault="00B34C4C" w:rsidP="00B34C4C">
            <w:pPr>
              <w:pStyle w:val="TableText"/>
              <w:rPr>
                <w:b/>
                <w:bCs/>
                <w:color w:val="FFFFFF" w:themeColor="background1"/>
              </w:rPr>
            </w:pPr>
            <w:r w:rsidRPr="00D450C5">
              <w:rPr>
                <w:b/>
                <w:bCs/>
                <w:color w:val="FFFFFF" w:themeColor="background1"/>
              </w:rPr>
              <w:t>Rubber</w:t>
            </w:r>
          </w:p>
        </w:tc>
        <w:tc>
          <w:tcPr>
            <w:tcW w:w="1216" w:type="dxa"/>
            <w:tcBorders>
              <w:top w:val="single" w:sz="4" w:space="0" w:color="808080"/>
              <w:left w:val="nil"/>
              <w:bottom w:val="single" w:sz="4" w:space="0" w:color="808080"/>
              <w:right w:val="single" w:sz="4" w:space="0" w:color="808080"/>
            </w:tcBorders>
            <w:shd w:val="clear" w:color="auto" w:fill="1B556B"/>
            <w:hideMark/>
          </w:tcPr>
          <w:p w14:paraId="4A5E40DC" w14:textId="77777777" w:rsidR="00B34C4C" w:rsidRPr="00D450C5" w:rsidRDefault="00B34C4C" w:rsidP="00B34C4C">
            <w:pPr>
              <w:pStyle w:val="TableText"/>
              <w:rPr>
                <w:b/>
                <w:bCs/>
                <w:color w:val="FFFFFF" w:themeColor="background1"/>
              </w:rPr>
            </w:pPr>
            <w:r w:rsidRPr="00D450C5">
              <w:rPr>
                <w:b/>
                <w:bCs/>
                <w:color w:val="FFFFFF" w:themeColor="background1"/>
              </w:rPr>
              <w:t>Rubble</w:t>
            </w:r>
          </w:p>
        </w:tc>
        <w:tc>
          <w:tcPr>
            <w:tcW w:w="1216" w:type="dxa"/>
            <w:tcBorders>
              <w:top w:val="single" w:sz="4" w:space="0" w:color="808080"/>
              <w:left w:val="nil"/>
              <w:bottom w:val="single" w:sz="4" w:space="0" w:color="808080"/>
              <w:right w:val="single" w:sz="4" w:space="0" w:color="808080"/>
            </w:tcBorders>
            <w:shd w:val="clear" w:color="auto" w:fill="1B556B"/>
            <w:hideMark/>
          </w:tcPr>
          <w:p w14:paraId="1CEB045A" w14:textId="77777777" w:rsidR="00B34C4C" w:rsidRPr="00D450C5" w:rsidRDefault="00B34C4C" w:rsidP="00B34C4C">
            <w:pPr>
              <w:pStyle w:val="TableText"/>
              <w:rPr>
                <w:b/>
                <w:bCs/>
                <w:color w:val="FFFFFF" w:themeColor="background1"/>
              </w:rPr>
            </w:pPr>
            <w:r w:rsidRPr="00D450C5">
              <w:rPr>
                <w:b/>
                <w:bCs/>
                <w:color w:val="FFFFFF" w:themeColor="background1"/>
              </w:rPr>
              <w:t>Textiles</w:t>
            </w:r>
          </w:p>
        </w:tc>
        <w:tc>
          <w:tcPr>
            <w:tcW w:w="792" w:type="dxa"/>
            <w:tcBorders>
              <w:top w:val="single" w:sz="4" w:space="0" w:color="808080"/>
              <w:left w:val="nil"/>
              <w:bottom w:val="single" w:sz="4" w:space="0" w:color="808080"/>
              <w:right w:val="single" w:sz="4" w:space="0" w:color="808080"/>
            </w:tcBorders>
            <w:shd w:val="clear" w:color="auto" w:fill="1B556B"/>
            <w:hideMark/>
          </w:tcPr>
          <w:p w14:paraId="7F12AEA8" w14:textId="77777777" w:rsidR="00B34C4C" w:rsidRPr="00D450C5" w:rsidRDefault="00B34C4C" w:rsidP="00B34C4C">
            <w:pPr>
              <w:pStyle w:val="TableText"/>
              <w:rPr>
                <w:b/>
                <w:bCs/>
                <w:color w:val="FFFFFF" w:themeColor="background1"/>
              </w:rPr>
            </w:pPr>
            <w:r w:rsidRPr="00D450C5">
              <w:rPr>
                <w:b/>
                <w:bCs/>
                <w:color w:val="FFFFFF" w:themeColor="background1"/>
              </w:rPr>
              <w:t>Timber</w:t>
            </w:r>
          </w:p>
        </w:tc>
      </w:tr>
      <w:tr w:rsidR="00B34C4C" w:rsidRPr="00D23489" w14:paraId="16F3D0FF" w14:textId="77777777">
        <w:trPr>
          <w:trHeight w:val="255"/>
        </w:trPr>
        <w:tc>
          <w:tcPr>
            <w:tcW w:w="1360" w:type="dxa"/>
            <w:tcBorders>
              <w:top w:val="nil"/>
              <w:left w:val="single" w:sz="4" w:space="0" w:color="808080"/>
              <w:bottom w:val="single" w:sz="4" w:space="0" w:color="808080"/>
              <w:right w:val="single" w:sz="4" w:space="0" w:color="808080"/>
            </w:tcBorders>
            <w:shd w:val="clear" w:color="auto" w:fill="auto"/>
            <w:noWrap/>
            <w:hideMark/>
          </w:tcPr>
          <w:p w14:paraId="0601D844" w14:textId="78938D36" w:rsidR="00B34C4C" w:rsidRPr="00D23489" w:rsidRDefault="00B34C4C" w:rsidP="00B34C4C">
            <w:pPr>
              <w:pStyle w:val="TableText"/>
              <w:rPr>
                <w:color w:val="000000" w:themeColor="text1"/>
              </w:rPr>
            </w:pPr>
            <w:r>
              <w:t>Jan–</w:t>
            </w:r>
            <w:r w:rsidRPr="00A52F1B">
              <w:t xml:space="preserve">Mar </w:t>
            </w:r>
          </w:p>
        </w:tc>
        <w:tc>
          <w:tcPr>
            <w:tcW w:w="1216" w:type="dxa"/>
            <w:tcBorders>
              <w:top w:val="nil"/>
              <w:left w:val="nil"/>
              <w:bottom w:val="single" w:sz="4" w:space="0" w:color="808080"/>
              <w:right w:val="nil"/>
            </w:tcBorders>
            <w:vAlign w:val="bottom"/>
          </w:tcPr>
          <w:p w14:paraId="1989A13C" w14:textId="7EC36A84" w:rsidR="00B34C4C" w:rsidRPr="00D23489" w:rsidRDefault="00B34C4C" w:rsidP="00B34C4C">
            <w:pPr>
              <w:pStyle w:val="TableText"/>
              <w:rPr>
                <w:color w:val="000000" w:themeColor="text1"/>
              </w:rPr>
            </w:pPr>
            <w:r w:rsidRPr="00D23489">
              <w:rPr>
                <w:color w:val="000000" w:themeColor="text1"/>
              </w:rPr>
              <w:t>70,127</w:t>
            </w:r>
          </w:p>
        </w:tc>
        <w:tc>
          <w:tcPr>
            <w:tcW w:w="1216" w:type="dxa"/>
            <w:tcBorders>
              <w:top w:val="nil"/>
              <w:left w:val="nil"/>
              <w:bottom w:val="single" w:sz="4" w:space="0" w:color="808080"/>
              <w:right w:val="single" w:sz="4" w:space="0" w:color="808080"/>
            </w:tcBorders>
            <w:shd w:val="clear" w:color="auto" w:fill="auto"/>
            <w:noWrap/>
            <w:vAlign w:val="bottom"/>
            <w:hideMark/>
          </w:tcPr>
          <w:p w14:paraId="0FD26C97" w14:textId="0C184131" w:rsidR="00B34C4C" w:rsidRPr="00D23489" w:rsidRDefault="00B34C4C" w:rsidP="00B34C4C">
            <w:pPr>
              <w:pStyle w:val="TableText"/>
              <w:rPr>
                <w:color w:val="000000" w:themeColor="text1"/>
              </w:rPr>
            </w:pPr>
            <w:r w:rsidRPr="00D23489">
              <w:rPr>
                <w:color w:val="000000" w:themeColor="text1"/>
              </w:rPr>
              <w:t>50,286</w:t>
            </w:r>
          </w:p>
        </w:tc>
        <w:tc>
          <w:tcPr>
            <w:tcW w:w="1216" w:type="dxa"/>
            <w:tcBorders>
              <w:top w:val="nil"/>
              <w:left w:val="nil"/>
              <w:bottom w:val="single" w:sz="4" w:space="0" w:color="808080"/>
              <w:right w:val="single" w:sz="4" w:space="0" w:color="808080"/>
            </w:tcBorders>
            <w:shd w:val="clear" w:color="auto" w:fill="auto"/>
            <w:noWrap/>
            <w:vAlign w:val="bottom"/>
            <w:hideMark/>
          </w:tcPr>
          <w:p w14:paraId="169CA610" w14:textId="77777777" w:rsidR="00B34C4C" w:rsidRPr="00D23489" w:rsidRDefault="00B34C4C" w:rsidP="00B34C4C">
            <w:pPr>
              <w:pStyle w:val="TableText"/>
              <w:rPr>
                <w:color w:val="000000" w:themeColor="text1"/>
              </w:rPr>
            </w:pPr>
            <w:r w:rsidRPr="00D23489">
              <w:rPr>
                <w:color w:val="000000" w:themeColor="text1"/>
              </w:rPr>
              <w:t>14,551</w:t>
            </w:r>
          </w:p>
        </w:tc>
        <w:tc>
          <w:tcPr>
            <w:tcW w:w="1216" w:type="dxa"/>
            <w:tcBorders>
              <w:top w:val="nil"/>
              <w:left w:val="nil"/>
              <w:bottom w:val="single" w:sz="4" w:space="0" w:color="808080"/>
              <w:right w:val="single" w:sz="4" w:space="0" w:color="808080"/>
            </w:tcBorders>
            <w:shd w:val="clear" w:color="auto" w:fill="auto"/>
            <w:noWrap/>
            <w:vAlign w:val="bottom"/>
            <w:hideMark/>
          </w:tcPr>
          <w:p w14:paraId="129B790D" w14:textId="77777777" w:rsidR="00B34C4C" w:rsidRPr="00D23489" w:rsidRDefault="00B34C4C" w:rsidP="00B34C4C">
            <w:pPr>
              <w:pStyle w:val="TableText"/>
              <w:rPr>
                <w:color w:val="000000" w:themeColor="text1"/>
              </w:rPr>
            </w:pPr>
            <w:r w:rsidRPr="00D23489">
              <w:rPr>
                <w:color w:val="000000" w:themeColor="text1"/>
              </w:rPr>
              <w:t>763</w:t>
            </w:r>
          </w:p>
        </w:tc>
        <w:tc>
          <w:tcPr>
            <w:tcW w:w="1216" w:type="dxa"/>
            <w:tcBorders>
              <w:top w:val="nil"/>
              <w:left w:val="nil"/>
              <w:bottom w:val="single" w:sz="4" w:space="0" w:color="808080"/>
              <w:right w:val="single" w:sz="4" w:space="0" w:color="808080"/>
            </w:tcBorders>
            <w:shd w:val="clear" w:color="auto" w:fill="auto"/>
            <w:noWrap/>
            <w:vAlign w:val="bottom"/>
            <w:hideMark/>
          </w:tcPr>
          <w:p w14:paraId="46805010" w14:textId="77777777" w:rsidR="00B34C4C" w:rsidRPr="00D23489" w:rsidRDefault="00B34C4C" w:rsidP="00B34C4C">
            <w:pPr>
              <w:pStyle w:val="TableText"/>
              <w:rPr>
                <w:color w:val="000000" w:themeColor="text1"/>
              </w:rPr>
            </w:pPr>
            <w:r w:rsidRPr="00D23489">
              <w:rPr>
                <w:color w:val="000000" w:themeColor="text1"/>
              </w:rPr>
              <w:t>9,586</w:t>
            </w:r>
          </w:p>
        </w:tc>
        <w:tc>
          <w:tcPr>
            <w:tcW w:w="1216" w:type="dxa"/>
            <w:tcBorders>
              <w:top w:val="nil"/>
              <w:left w:val="nil"/>
              <w:bottom w:val="single" w:sz="4" w:space="0" w:color="808080"/>
              <w:right w:val="single" w:sz="4" w:space="0" w:color="808080"/>
            </w:tcBorders>
            <w:shd w:val="clear" w:color="auto" w:fill="auto"/>
            <w:noWrap/>
            <w:vAlign w:val="bottom"/>
            <w:hideMark/>
          </w:tcPr>
          <w:p w14:paraId="438C5040" w14:textId="77777777" w:rsidR="00B34C4C" w:rsidRPr="00D23489" w:rsidRDefault="00B34C4C" w:rsidP="00B34C4C">
            <w:pPr>
              <w:pStyle w:val="TableText"/>
              <w:rPr>
                <w:color w:val="000000" w:themeColor="text1"/>
              </w:rPr>
            </w:pPr>
            <w:r w:rsidRPr="00D23489">
              <w:rPr>
                <w:color w:val="000000" w:themeColor="text1"/>
              </w:rPr>
              <w:t>3,532</w:t>
            </w:r>
          </w:p>
        </w:tc>
        <w:tc>
          <w:tcPr>
            <w:tcW w:w="1404" w:type="dxa"/>
            <w:tcBorders>
              <w:top w:val="nil"/>
              <w:left w:val="nil"/>
              <w:bottom w:val="single" w:sz="4" w:space="0" w:color="808080"/>
              <w:right w:val="single" w:sz="4" w:space="0" w:color="808080"/>
            </w:tcBorders>
            <w:shd w:val="clear" w:color="auto" w:fill="auto"/>
            <w:noWrap/>
            <w:vAlign w:val="bottom"/>
            <w:hideMark/>
          </w:tcPr>
          <w:p w14:paraId="78EF8A4D" w14:textId="77777777" w:rsidR="00B34C4C" w:rsidRPr="00D23489" w:rsidRDefault="00B34C4C" w:rsidP="00B34C4C">
            <w:pPr>
              <w:pStyle w:val="TableText"/>
              <w:rPr>
                <w:color w:val="000000" w:themeColor="text1"/>
              </w:rPr>
            </w:pPr>
            <w:r w:rsidRPr="00D23489">
              <w:rPr>
                <w:color w:val="000000" w:themeColor="text1"/>
              </w:rPr>
              <w:t>117</w:t>
            </w:r>
          </w:p>
        </w:tc>
        <w:tc>
          <w:tcPr>
            <w:tcW w:w="1028" w:type="dxa"/>
            <w:tcBorders>
              <w:top w:val="nil"/>
              <w:left w:val="nil"/>
              <w:bottom w:val="single" w:sz="4" w:space="0" w:color="808080"/>
              <w:right w:val="single" w:sz="4" w:space="0" w:color="808080"/>
            </w:tcBorders>
            <w:shd w:val="clear" w:color="auto" w:fill="auto"/>
            <w:noWrap/>
            <w:vAlign w:val="bottom"/>
            <w:hideMark/>
          </w:tcPr>
          <w:p w14:paraId="1899B11F" w14:textId="77777777" w:rsidR="00B34C4C" w:rsidRPr="00D23489" w:rsidRDefault="00B34C4C" w:rsidP="00B34C4C">
            <w:pPr>
              <w:pStyle w:val="TableText"/>
              <w:rPr>
                <w:color w:val="000000" w:themeColor="text1"/>
              </w:rPr>
            </w:pPr>
            <w:r w:rsidRPr="00D23489">
              <w:rPr>
                <w:color w:val="000000" w:themeColor="text1"/>
              </w:rPr>
              <w:t>571</w:t>
            </w:r>
          </w:p>
        </w:tc>
        <w:tc>
          <w:tcPr>
            <w:tcW w:w="1216" w:type="dxa"/>
            <w:tcBorders>
              <w:top w:val="nil"/>
              <w:left w:val="nil"/>
              <w:bottom w:val="single" w:sz="4" w:space="0" w:color="808080"/>
              <w:right w:val="single" w:sz="4" w:space="0" w:color="808080"/>
            </w:tcBorders>
            <w:shd w:val="clear" w:color="auto" w:fill="auto"/>
            <w:noWrap/>
            <w:vAlign w:val="bottom"/>
            <w:hideMark/>
          </w:tcPr>
          <w:p w14:paraId="5B2CC38F" w14:textId="77777777" w:rsidR="00B34C4C" w:rsidRPr="00D23489" w:rsidRDefault="00B34C4C" w:rsidP="00B34C4C">
            <w:pPr>
              <w:pStyle w:val="TableText"/>
              <w:rPr>
                <w:color w:val="000000" w:themeColor="text1"/>
              </w:rPr>
            </w:pPr>
            <w:r w:rsidRPr="00D23489">
              <w:rPr>
                <w:color w:val="000000" w:themeColor="text1"/>
              </w:rPr>
              <w:t>17,545</w:t>
            </w:r>
          </w:p>
        </w:tc>
        <w:tc>
          <w:tcPr>
            <w:tcW w:w="1216" w:type="dxa"/>
            <w:tcBorders>
              <w:top w:val="nil"/>
              <w:left w:val="nil"/>
              <w:bottom w:val="single" w:sz="4" w:space="0" w:color="808080"/>
              <w:right w:val="single" w:sz="4" w:space="0" w:color="808080"/>
            </w:tcBorders>
            <w:shd w:val="clear" w:color="auto" w:fill="auto"/>
            <w:noWrap/>
            <w:vAlign w:val="bottom"/>
            <w:hideMark/>
          </w:tcPr>
          <w:p w14:paraId="5F5721DC" w14:textId="77777777" w:rsidR="00B34C4C" w:rsidRPr="00D23489" w:rsidRDefault="00B34C4C" w:rsidP="00B34C4C">
            <w:pPr>
              <w:pStyle w:val="TableText"/>
              <w:rPr>
                <w:color w:val="000000" w:themeColor="text1"/>
              </w:rPr>
            </w:pPr>
            <w:r w:rsidRPr="00D23489">
              <w:rPr>
                <w:color w:val="000000" w:themeColor="text1"/>
              </w:rPr>
              <w:t>39</w:t>
            </w:r>
          </w:p>
        </w:tc>
        <w:tc>
          <w:tcPr>
            <w:tcW w:w="792" w:type="dxa"/>
            <w:tcBorders>
              <w:top w:val="nil"/>
              <w:left w:val="nil"/>
              <w:bottom w:val="single" w:sz="4" w:space="0" w:color="808080"/>
              <w:right w:val="single" w:sz="4" w:space="0" w:color="808080"/>
            </w:tcBorders>
            <w:shd w:val="clear" w:color="auto" w:fill="auto"/>
            <w:noWrap/>
            <w:vAlign w:val="bottom"/>
            <w:hideMark/>
          </w:tcPr>
          <w:p w14:paraId="2CBAD7C1" w14:textId="77777777" w:rsidR="00B34C4C" w:rsidRPr="00D23489" w:rsidRDefault="00B34C4C" w:rsidP="00B34C4C">
            <w:pPr>
              <w:pStyle w:val="TableText"/>
              <w:rPr>
                <w:color w:val="000000" w:themeColor="text1"/>
              </w:rPr>
            </w:pPr>
            <w:r w:rsidRPr="00D23489">
              <w:rPr>
                <w:color w:val="000000" w:themeColor="text1"/>
              </w:rPr>
              <w:t>14,104</w:t>
            </w:r>
          </w:p>
        </w:tc>
      </w:tr>
      <w:tr w:rsidR="00B34C4C" w:rsidRPr="00D23489" w14:paraId="658567FA" w14:textId="77777777">
        <w:trPr>
          <w:trHeight w:val="255"/>
        </w:trPr>
        <w:tc>
          <w:tcPr>
            <w:tcW w:w="1360" w:type="dxa"/>
            <w:tcBorders>
              <w:top w:val="nil"/>
              <w:left w:val="single" w:sz="4" w:space="0" w:color="808080"/>
              <w:bottom w:val="single" w:sz="4" w:space="0" w:color="808080"/>
              <w:right w:val="single" w:sz="4" w:space="0" w:color="808080"/>
            </w:tcBorders>
            <w:shd w:val="clear" w:color="auto" w:fill="auto"/>
            <w:noWrap/>
            <w:hideMark/>
          </w:tcPr>
          <w:p w14:paraId="22A57DDC" w14:textId="4F9D49DA" w:rsidR="00B34C4C" w:rsidRPr="00D23489" w:rsidRDefault="00B34C4C" w:rsidP="00B34C4C">
            <w:pPr>
              <w:pStyle w:val="TableText"/>
              <w:rPr>
                <w:color w:val="000000" w:themeColor="text1"/>
              </w:rPr>
            </w:pPr>
            <w:r w:rsidRPr="00A52F1B">
              <w:t>April</w:t>
            </w:r>
            <w:r>
              <w:t>–</w:t>
            </w:r>
            <w:r w:rsidRPr="00A52F1B">
              <w:t xml:space="preserve">Jun </w:t>
            </w:r>
          </w:p>
        </w:tc>
        <w:tc>
          <w:tcPr>
            <w:tcW w:w="1216" w:type="dxa"/>
            <w:tcBorders>
              <w:top w:val="nil"/>
              <w:left w:val="nil"/>
              <w:bottom w:val="single" w:sz="4" w:space="0" w:color="808080"/>
              <w:right w:val="nil"/>
            </w:tcBorders>
            <w:vAlign w:val="bottom"/>
          </w:tcPr>
          <w:p w14:paraId="41BC2D21" w14:textId="29DA5027" w:rsidR="00B34C4C" w:rsidRPr="00D23489" w:rsidRDefault="00B34C4C" w:rsidP="00B34C4C">
            <w:pPr>
              <w:pStyle w:val="TableText"/>
              <w:rPr>
                <w:color w:val="000000" w:themeColor="text1"/>
              </w:rPr>
            </w:pPr>
            <w:r w:rsidRPr="00D23489">
              <w:rPr>
                <w:color w:val="000000" w:themeColor="text1"/>
              </w:rPr>
              <w:t>80,210</w:t>
            </w:r>
          </w:p>
        </w:tc>
        <w:tc>
          <w:tcPr>
            <w:tcW w:w="1216" w:type="dxa"/>
            <w:tcBorders>
              <w:top w:val="nil"/>
              <w:left w:val="nil"/>
              <w:bottom w:val="single" w:sz="4" w:space="0" w:color="808080"/>
              <w:right w:val="single" w:sz="4" w:space="0" w:color="808080"/>
            </w:tcBorders>
            <w:shd w:val="clear" w:color="auto" w:fill="auto"/>
            <w:noWrap/>
            <w:vAlign w:val="bottom"/>
            <w:hideMark/>
          </w:tcPr>
          <w:p w14:paraId="41DA35BE" w14:textId="31D489EE" w:rsidR="00B34C4C" w:rsidRPr="00D23489" w:rsidRDefault="00B34C4C" w:rsidP="00B34C4C">
            <w:pPr>
              <w:pStyle w:val="TableText"/>
              <w:rPr>
                <w:color w:val="000000" w:themeColor="text1"/>
              </w:rPr>
            </w:pPr>
            <w:r w:rsidRPr="00D23489">
              <w:rPr>
                <w:color w:val="000000" w:themeColor="text1"/>
              </w:rPr>
              <w:t>26,654</w:t>
            </w:r>
          </w:p>
        </w:tc>
        <w:tc>
          <w:tcPr>
            <w:tcW w:w="1216" w:type="dxa"/>
            <w:tcBorders>
              <w:top w:val="nil"/>
              <w:left w:val="nil"/>
              <w:bottom w:val="single" w:sz="4" w:space="0" w:color="808080"/>
              <w:right w:val="single" w:sz="4" w:space="0" w:color="808080"/>
            </w:tcBorders>
            <w:shd w:val="clear" w:color="auto" w:fill="auto"/>
            <w:noWrap/>
            <w:vAlign w:val="bottom"/>
            <w:hideMark/>
          </w:tcPr>
          <w:p w14:paraId="6B4C852D" w14:textId="77777777" w:rsidR="00B34C4C" w:rsidRPr="00D23489" w:rsidRDefault="00B34C4C" w:rsidP="00B34C4C">
            <w:pPr>
              <w:pStyle w:val="TableText"/>
              <w:rPr>
                <w:color w:val="000000" w:themeColor="text1"/>
              </w:rPr>
            </w:pPr>
            <w:r w:rsidRPr="00D23489">
              <w:rPr>
                <w:color w:val="000000" w:themeColor="text1"/>
              </w:rPr>
              <w:t>12,891</w:t>
            </w:r>
          </w:p>
        </w:tc>
        <w:tc>
          <w:tcPr>
            <w:tcW w:w="1216" w:type="dxa"/>
            <w:tcBorders>
              <w:top w:val="nil"/>
              <w:left w:val="nil"/>
              <w:bottom w:val="single" w:sz="4" w:space="0" w:color="808080"/>
              <w:right w:val="single" w:sz="4" w:space="0" w:color="808080"/>
            </w:tcBorders>
            <w:shd w:val="clear" w:color="auto" w:fill="auto"/>
            <w:noWrap/>
            <w:vAlign w:val="bottom"/>
            <w:hideMark/>
          </w:tcPr>
          <w:p w14:paraId="719DF04D" w14:textId="77777777" w:rsidR="00B34C4C" w:rsidRPr="00D23489" w:rsidRDefault="00B34C4C" w:rsidP="00B34C4C">
            <w:pPr>
              <w:pStyle w:val="TableText"/>
              <w:rPr>
                <w:color w:val="000000" w:themeColor="text1"/>
              </w:rPr>
            </w:pPr>
            <w:r w:rsidRPr="00D23489">
              <w:rPr>
                <w:color w:val="000000" w:themeColor="text1"/>
              </w:rPr>
              <w:t>1,166</w:t>
            </w:r>
          </w:p>
        </w:tc>
        <w:tc>
          <w:tcPr>
            <w:tcW w:w="1216" w:type="dxa"/>
            <w:tcBorders>
              <w:top w:val="nil"/>
              <w:left w:val="nil"/>
              <w:bottom w:val="single" w:sz="4" w:space="0" w:color="808080"/>
              <w:right w:val="single" w:sz="4" w:space="0" w:color="808080"/>
            </w:tcBorders>
            <w:shd w:val="clear" w:color="auto" w:fill="auto"/>
            <w:noWrap/>
            <w:vAlign w:val="bottom"/>
            <w:hideMark/>
          </w:tcPr>
          <w:p w14:paraId="76F01EFD" w14:textId="77777777" w:rsidR="00B34C4C" w:rsidRPr="00D23489" w:rsidRDefault="00B34C4C" w:rsidP="00B34C4C">
            <w:pPr>
              <w:pStyle w:val="TableText"/>
              <w:rPr>
                <w:color w:val="000000" w:themeColor="text1"/>
              </w:rPr>
            </w:pPr>
            <w:r w:rsidRPr="00D23489">
              <w:rPr>
                <w:color w:val="000000" w:themeColor="text1"/>
              </w:rPr>
              <w:t>11,455</w:t>
            </w:r>
          </w:p>
        </w:tc>
        <w:tc>
          <w:tcPr>
            <w:tcW w:w="1216" w:type="dxa"/>
            <w:tcBorders>
              <w:top w:val="nil"/>
              <w:left w:val="nil"/>
              <w:bottom w:val="single" w:sz="4" w:space="0" w:color="808080"/>
              <w:right w:val="single" w:sz="4" w:space="0" w:color="808080"/>
            </w:tcBorders>
            <w:shd w:val="clear" w:color="auto" w:fill="auto"/>
            <w:noWrap/>
            <w:vAlign w:val="bottom"/>
            <w:hideMark/>
          </w:tcPr>
          <w:p w14:paraId="74E1C073" w14:textId="77777777" w:rsidR="00B34C4C" w:rsidRPr="00D23489" w:rsidRDefault="00B34C4C" w:rsidP="00B34C4C">
            <w:pPr>
              <w:pStyle w:val="TableText"/>
              <w:rPr>
                <w:color w:val="000000" w:themeColor="text1"/>
              </w:rPr>
            </w:pPr>
            <w:r w:rsidRPr="00D23489">
              <w:rPr>
                <w:color w:val="000000" w:themeColor="text1"/>
              </w:rPr>
              <w:t>4,041</w:t>
            </w:r>
          </w:p>
        </w:tc>
        <w:tc>
          <w:tcPr>
            <w:tcW w:w="1404" w:type="dxa"/>
            <w:tcBorders>
              <w:top w:val="nil"/>
              <w:left w:val="nil"/>
              <w:bottom w:val="single" w:sz="4" w:space="0" w:color="808080"/>
              <w:right w:val="single" w:sz="4" w:space="0" w:color="808080"/>
            </w:tcBorders>
            <w:shd w:val="clear" w:color="auto" w:fill="auto"/>
            <w:noWrap/>
            <w:vAlign w:val="bottom"/>
            <w:hideMark/>
          </w:tcPr>
          <w:p w14:paraId="13A0F564" w14:textId="77777777" w:rsidR="00B34C4C" w:rsidRPr="00D23489" w:rsidRDefault="00B34C4C" w:rsidP="00B34C4C">
            <w:pPr>
              <w:pStyle w:val="TableText"/>
              <w:rPr>
                <w:color w:val="000000" w:themeColor="text1"/>
              </w:rPr>
            </w:pPr>
            <w:r w:rsidRPr="00D23489">
              <w:rPr>
                <w:color w:val="000000" w:themeColor="text1"/>
              </w:rPr>
              <w:t>120</w:t>
            </w:r>
          </w:p>
        </w:tc>
        <w:tc>
          <w:tcPr>
            <w:tcW w:w="1028" w:type="dxa"/>
            <w:tcBorders>
              <w:top w:val="nil"/>
              <w:left w:val="nil"/>
              <w:bottom w:val="single" w:sz="4" w:space="0" w:color="808080"/>
              <w:right w:val="single" w:sz="4" w:space="0" w:color="808080"/>
            </w:tcBorders>
            <w:shd w:val="clear" w:color="auto" w:fill="auto"/>
            <w:noWrap/>
            <w:vAlign w:val="bottom"/>
            <w:hideMark/>
          </w:tcPr>
          <w:p w14:paraId="20F2A950" w14:textId="77777777" w:rsidR="00B34C4C" w:rsidRPr="00D23489" w:rsidRDefault="00B34C4C" w:rsidP="00B34C4C">
            <w:pPr>
              <w:pStyle w:val="TableText"/>
              <w:rPr>
                <w:color w:val="000000" w:themeColor="text1"/>
              </w:rPr>
            </w:pPr>
            <w:r w:rsidRPr="00D23489">
              <w:rPr>
                <w:color w:val="000000" w:themeColor="text1"/>
              </w:rPr>
              <w:t>208</w:t>
            </w:r>
          </w:p>
        </w:tc>
        <w:tc>
          <w:tcPr>
            <w:tcW w:w="1216" w:type="dxa"/>
            <w:tcBorders>
              <w:top w:val="nil"/>
              <w:left w:val="nil"/>
              <w:bottom w:val="single" w:sz="4" w:space="0" w:color="808080"/>
              <w:right w:val="single" w:sz="4" w:space="0" w:color="808080"/>
            </w:tcBorders>
            <w:shd w:val="clear" w:color="auto" w:fill="auto"/>
            <w:noWrap/>
            <w:vAlign w:val="bottom"/>
            <w:hideMark/>
          </w:tcPr>
          <w:p w14:paraId="18562D71" w14:textId="77777777" w:rsidR="00B34C4C" w:rsidRPr="00D23489" w:rsidRDefault="00B34C4C" w:rsidP="00B34C4C">
            <w:pPr>
              <w:pStyle w:val="TableText"/>
              <w:rPr>
                <w:color w:val="000000" w:themeColor="text1"/>
              </w:rPr>
            </w:pPr>
            <w:r w:rsidRPr="00D23489">
              <w:rPr>
                <w:color w:val="000000" w:themeColor="text1"/>
              </w:rPr>
              <w:t>18,711</w:t>
            </w:r>
          </w:p>
        </w:tc>
        <w:tc>
          <w:tcPr>
            <w:tcW w:w="1216" w:type="dxa"/>
            <w:tcBorders>
              <w:top w:val="nil"/>
              <w:left w:val="nil"/>
              <w:bottom w:val="single" w:sz="4" w:space="0" w:color="808080"/>
              <w:right w:val="single" w:sz="4" w:space="0" w:color="808080"/>
            </w:tcBorders>
            <w:shd w:val="clear" w:color="auto" w:fill="auto"/>
            <w:noWrap/>
            <w:vAlign w:val="bottom"/>
            <w:hideMark/>
          </w:tcPr>
          <w:p w14:paraId="3D1A178D" w14:textId="77777777" w:rsidR="00B34C4C" w:rsidRPr="00D23489" w:rsidRDefault="00B34C4C" w:rsidP="00B34C4C">
            <w:pPr>
              <w:pStyle w:val="TableText"/>
              <w:rPr>
                <w:color w:val="000000" w:themeColor="text1"/>
              </w:rPr>
            </w:pPr>
            <w:r w:rsidRPr="00D23489">
              <w:rPr>
                <w:color w:val="000000" w:themeColor="text1"/>
              </w:rPr>
              <w:t>30</w:t>
            </w:r>
          </w:p>
        </w:tc>
        <w:tc>
          <w:tcPr>
            <w:tcW w:w="792" w:type="dxa"/>
            <w:tcBorders>
              <w:top w:val="nil"/>
              <w:left w:val="nil"/>
              <w:bottom w:val="single" w:sz="4" w:space="0" w:color="808080"/>
              <w:right w:val="single" w:sz="4" w:space="0" w:color="808080"/>
            </w:tcBorders>
            <w:shd w:val="clear" w:color="auto" w:fill="auto"/>
            <w:noWrap/>
            <w:vAlign w:val="bottom"/>
            <w:hideMark/>
          </w:tcPr>
          <w:p w14:paraId="2D064B59" w14:textId="77777777" w:rsidR="00B34C4C" w:rsidRPr="00D23489" w:rsidRDefault="00B34C4C" w:rsidP="00B34C4C">
            <w:pPr>
              <w:pStyle w:val="TableText"/>
              <w:rPr>
                <w:color w:val="000000" w:themeColor="text1"/>
              </w:rPr>
            </w:pPr>
            <w:r w:rsidRPr="00D23489">
              <w:rPr>
                <w:color w:val="000000" w:themeColor="text1"/>
              </w:rPr>
              <w:t>26,276</w:t>
            </w:r>
          </w:p>
        </w:tc>
      </w:tr>
      <w:tr w:rsidR="00B34C4C" w:rsidRPr="00D23489" w14:paraId="57B05A76" w14:textId="77777777">
        <w:trPr>
          <w:trHeight w:val="255"/>
        </w:trPr>
        <w:tc>
          <w:tcPr>
            <w:tcW w:w="1360" w:type="dxa"/>
            <w:tcBorders>
              <w:top w:val="nil"/>
              <w:left w:val="single" w:sz="4" w:space="0" w:color="808080"/>
              <w:bottom w:val="single" w:sz="4" w:space="0" w:color="808080"/>
              <w:right w:val="single" w:sz="4" w:space="0" w:color="808080"/>
            </w:tcBorders>
            <w:shd w:val="clear" w:color="auto" w:fill="auto"/>
            <w:noWrap/>
            <w:hideMark/>
          </w:tcPr>
          <w:p w14:paraId="49F2C912" w14:textId="60270623" w:rsidR="00B34C4C" w:rsidRPr="00D23489" w:rsidRDefault="00B34C4C" w:rsidP="00B34C4C">
            <w:pPr>
              <w:pStyle w:val="TableText"/>
              <w:rPr>
                <w:color w:val="000000" w:themeColor="text1"/>
              </w:rPr>
            </w:pPr>
            <w:r w:rsidRPr="00A52F1B">
              <w:t>Jul</w:t>
            </w:r>
            <w:r>
              <w:t>–</w:t>
            </w:r>
            <w:r w:rsidRPr="00A52F1B">
              <w:t xml:space="preserve">Sep </w:t>
            </w:r>
          </w:p>
        </w:tc>
        <w:tc>
          <w:tcPr>
            <w:tcW w:w="1216" w:type="dxa"/>
            <w:tcBorders>
              <w:top w:val="nil"/>
              <w:left w:val="nil"/>
              <w:bottom w:val="single" w:sz="4" w:space="0" w:color="808080"/>
              <w:right w:val="nil"/>
            </w:tcBorders>
            <w:vAlign w:val="bottom"/>
          </w:tcPr>
          <w:p w14:paraId="5870AEB0" w14:textId="3741A7EF" w:rsidR="00B34C4C" w:rsidRPr="00D23489" w:rsidRDefault="00B34C4C" w:rsidP="00B34C4C">
            <w:pPr>
              <w:pStyle w:val="TableText"/>
              <w:rPr>
                <w:color w:val="000000" w:themeColor="text1"/>
              </w:rPr>
            </w:pPr>
            <w:r w:rsidRPr="00D23489">
              <w:rPr>
                <w:color w:val="000000" w:themeColor="text1"/>
              </w:rPr>
              <w:t>45,143</w:t>
            </w:r>
          </w:p>
        </w:tc>
        <w:tc>
          <w:tcPr>
            <w:tcW w:w="1216" w:type="dxa"/>
            <w:tcBorders>
              <w:top w:val="nil"/>
              <w:left w:val="nil"/>
              <w:bottom w:val="single" w:sz="4" w:space="0" w:color="808080"/>
              <w:right w:val="single" w:sz="4" w:space="0" w:color="808080"/>
            </w:tcBorders>
            <w:shd w:val="clear" w:color="auto" w:fill="auto"/>
            <w:noWrap/>
            <w:vAlign w:val="bottom"/>
            <w:hideMark/>
          </w:tcPr>
          <w:p w14:paraId="02189CEC" w14:textId="668005F0" w:rsidR="00B34C4C" w:rsidRPr="00D23489" w:rsidRDefault="00B34C4C" w:rsidP="00B34C4C">
            <w:pPr>
              <w:pStyle w:val="TableText"/>
              <w:rPr>
                <w:color w:val="000000" w:themeColor="text1"/>
              </w:rPr>
            </w:pPr>
            <w:r w:rsidRPr="00D23489">
              <w:rPr>
                <w:color w:val="000000" w:themeColor="text1"/>
              </w:rPr>
              <w:t>18,608</w:t>
            </w:r>
          </w:p>
        </w:tc>
        <w:tc>
          <w:tcPr>
            <w:tcW w:w="1216" w:type="dxa"/>
            <w:tcBorders>
              <w:top w:val="nil"/>
              <w:left w:val="nil"/>
              <w:bottom w:val="single" w:sz="4" w:space="0" w:color="808080"/>
              <w:right w:val="single" w:sz="4" w:space="0" w:color="808080"/>
            </w:tcBorders>
            <w:shd w:val="clear" w:color="auto" w:fill="auto"/>
            <w:noWrap/>
            <w:vAlign w:val="bottom"/>
            <w:hideMark/>
          </w:tcPr>
          <w:p w14:paraId="0548B3FF" w14:textId="77777777" w:rsidR="00B34C4C" w:rsidRPr="00D23489" w:rsidRDefault="00B34C4C" w:rsidP="00B34C4C">
            <w:pPr>
              <w:pStyle w:val="TableText"/>
              <w:rPr>
                <w:color w:val="000000" w:themeColor="text1"/>
              </w:rPr>
            </w:pPr>
            <w:r w:rsidRPr="00D23489">
              <w:rPr>
                <w:color w:val="000000" w:themeColor="text1"/>
              </w:rPr>
              <w:t>12,339</w:t>
            </w:r>
          </w:p>
        </w:tc>
        <w:tc>
          <w:tcPr>
            <w:tcW w:w="1216" w:type="dxa"/>
            <w:tcBorders>
              <w:top w:val="nil"/>
              <w:left w:val="nil"/>
              <w:bottom w:val="single" w:sz="4" w:space="0" w:color="808080"/>
              <w:right w:val="single" w:sz="4" w:space="0" w:color="808080"/>
            </w:tcBorders>
            <w:shd w:val="clear" w:color="auto" w:fill="auto"/>
            <w:noWrap/>
            <w:vAlign w:val="bottom"/>
            <w:hideMark/>
          </w:tcPr>
          <w:p w14:paraId="512E0233" w14:textId="77777777" w:rsidR="00B34C4C" w:rsidRPr="00D23489" w:rsidRDefault="00B34C4C" w:rsidP="00B34C4C">
            <w:pPr>
              <w:pStyle w:val="TableText"/>
              <w:rPr>
                <w:color w:val="000000" w:themeColor="text1"/>
              </w:rPr>
            </w:pPr>
            <w:r w:rsidRPr="00D23489">
              <w:rPr>
                <w:color w:val="000000" w:themeColor="text1"/>
              </w:rPr>
              <w:t>1,949</w:t>
            </w:r>
          </w:p>
        </w:tc>
        <w:tc>
          <w:tcPr>
            <w:tcW w:w="1216" w:type="dxa"/>
            <w:tcBorders>
              <w:top w:val="nil"/>
              <w:left w:val="nil"/>
              <w:bottom w:val="single" w:sz="4" w:space="0" w:color="808080"/>
              <w:right w:val="single" w:sz="4" w:space="0" w:color="808080"/>
            </w:tcBorders>
            <w:shd w:val="clear" w:color="auto" w:fill="auto"/>
            <w:noWrap/>
            <w:vAlign w:val="bottom"/>
            <w:hideMark/>
          </w:tcPr>
          <w:p w14:paraId="2DB4B100" w14:textId="77777777" w:rsidR="00B34C4C" w:rsidRPr="00D23489" w:rsidRDefault="00B34C4C" w:rsidP="00B34C4C">
            <w:pPr>
              <w:pStyle w:val="TableText"/>
              <w:rPr>
                <w:color w:val="000000" w:themeColor="text1"/>
              </w:rPr>
            </w:pPr>
            <w:r w:rsidRPr="00D23489">
              <w:rPr>
                <w:color w:val="000000" w:themeColor="text1"/>
              </w:rPr>
              <w:t>10,340</w:t>
            </w:r>
          </w:p>
        </w:tc>
        <w:tc>
          <w:tcPr>
            <w:tcW w:w="1216" w:type="dxa"/>
            <w:tcBorders>
              <w:top w:val="nil"/>
              <w:left w:val="nil"/>
              <w:bottom w:val="single" w:sz="4" w:space="0" w:color="808080"/>
              <w:right w:val="single" w:sz="4" w:space="0" w:color="808080"/>
            </w:tcBorders>
            <w:shd w:val="clear" w:color="auto" w:fill="auto"/>
            <w:noWrap/>
            <w:vAlign w:val="bottom"/>
            <w:hideMark/>
          </w:tcPr>
          <w:p w14:paraId="07F722A6" w14:textId="77777777" w:rsidR="00B34C4C" w:rsidRPr="00D23489" w:rsidRDefault="00B34C4C" w:rsidP="00B34C4C">
            <w:pPr>
              <w:pStyle w:val="TableText"/>
              <w:rPr>
                <w:color w:val="000000" w:themeColor="text1"/>
              </w:rPr>
            </w:pPr>
            <w:r w:rsidRPr="00D23489">
              <w:rPr>
                <w:color w:val="000000" w:themeColor="text1"/>
              </w:rPr>
              <w:t>9,731</w:t>
            </w:r>
          </w:p>
        </w:tc>
        <w:tc>
          <w:tcPr>
            <w:tcW w:w="1404" w:type="dxa"/>
            <w:tcBorders>
              <w:top w:val="nil"/>
              <w:left w:val="nil"/>
              <w:bottom w:val="single" w:sz="4" w:space="0" w:color="808080"/>
              <w:right w:val="single" w:sz="4" w:space="0" w:color="808080"/>
            </w:tcBorders>
            <w:shd w:val="clear" w:color="auto" w:fill="auto"/>
            <w:noWrap/>
            <w:vAlign w:val="bottom"/>
            <w:hideMark/>
          </w:tcPr>
          <w:p w14:paraId="2EF8DF05" w14:textId="77777777" w:rsidR="00B34C4C" w:rsidRPr="00D23489" w:rsidRDefault="00B34C4C" w:rsidP="00B34C4C">
            <w:pPr>
              <w:pStyle w:val="TableText"/>
              <w:rPr>
                <w:color w:val="000000" w:themeColor="text1"/>
              </w:rPr>
            </w:pPr>
            <w:r w:rsidRPr="00D23489">
              <w:rPr>
                <w:color w:val="000000" w:themeColor="text1"/>
              </w:rPr>
              <w:t>121</w:t>
            </w:r>
          </w:p>
        </w:tc>
        <w:tc>
          <w:tcPr>
            <w:tcW w:w="1028" w:type="dxa"/>
            <w:tcBorders>
              <w:top w:val="nil"/>
              <w:left w:val="nil"/>
              <w:bottom w:val="single" w:sz="4" w:space="0" w:color="808080"/>
              <w:right w:val="single" w:sz="4" w:space="0" w:color="808080"/>
            </w:tcBorders>
            <w:shd w:val="clear" w:color="auto" w:fill="auto"/>
            <w:noWrap/>
            <w:vAlign w:val="bottom"/>
            <w:hideMark/>
          </w:tcPr>
          <w:p w14:paraId="1C909CCF" w14:textId="77777777" w:rsidR="00B34C4C" w:rsidRPr="00D23489" w:rsidRDefault="00B34C4C" w:rsidP="00B34C4C">
            <w:pPr>
              <w:pStyle w:val="TableText"/>
              <w:rPr>
                <w:color w:val="000000" w:themeColor="text1"/>
              </w:rPr>
            </w:pPr>
            <w:r w:rsidRPr="00D23489">
              <w:rPr>
                <w:color w:val="000000" w:themeColor="text1"/>
              </w:rPr>
              <w:t>2,357</w:t>
            </w:r>
          </w:p>
        </w:tc>
        <w:tc>
          <w:tcPr>
            <w:tcW w:w="1216" w:type="dxa"/>
            <w:tcBorders>
              <w:top w:val="nil"/>
              <w:left w:val="nil"/>
              <w:bottom w:val="single" w:sz="4" w:space="0" w:color="808080"/>
              <w:right w:val="single" w:sz="4" w:space="0" w:color="808080"/>
            </w:tcBorders>
            <w:shd w:val="clear" w:color="auto" w:fill="auto"/>
            <w:noWrap/>
            <w:vAlign w:val="bottom"/>
            <w:hideMark/>
          </w:tcPr>
          <w:p w14:paraId="72DC6A71" w14:textId="77777777" w:rsidR="00B34C4C" w:rsidRPr="00D23489" w:rsidRDefault="00B34C4C" w:rsidP="00B34C4C">
            <w:pPr>
              <w:pStyle w:val="TableText"/>
              <w:rPr>
                <w:color w:val="000000" w:themeColor="text1"/>
              </w:rPr>
            </w:pPr>
            <w:r w:rsidRPr="00D23489">
              <w:rPr>
                <w:color w:val="000000" w:themeColor="text1"/>
              </w:rPr>
              <w:t>28,658</w:t>
            </w:r>
          </w:p>
        </w:tc>
        <w:tc>
          <w:tcPr>
            <w:tcW w:w="1216" w:type="dxa"/>
            <w:tcBorders>
              <w:top w:val="nil"/>
              <w:left w:val="nil"/>
              <w:bottom w:val="single" w:sz="4" w:space="0" w:color="808080"/>
              <w:right w:val="single" w:sz="4" w:space="0" w:color="808080"/>
            </w:tcBorders>
            <w:shd w:val="clear" w:color="auto" w:fill="auto"/>
            <w:noWrap/>
            <w:vAlign w:val="bottom"/>
            <w:hideMark/>
          </w:tcPr>
          <w:p w14:paraId="0CEC6891" w14:textId="77777777" w:rsidR="00B34C4C" w:rsidRPr="00D23489" w:rsidRDefault="00B34C4C" w:rsidP="00B34C4C">
            <w:pPr>
              <w:pStyle w:val="TableText"/>
              <w:rPr>
                <w:color w:val="000000" w:themeColor="text1"/>
              </w:rPr>
            </w:pPr>
            <w:r w:rsidRPr="00D23489">
              <w:rPr>
                <w:color w:val="000000" w:themeColor="text1"/>
              </w:rPr>
              <w:t>36</w:t>
            </w:r>
          </w:p>
        </w:tc>
        <w:tc>
          <w:tcPr>
            <w:tcW w:w="792" w:type="dxa"/>
            <w:tcBorders>
              <w:top w:val="nil"/>
              <w:left w:val="nil"/>
              <w:bottom w:val="single" w:sz="4" w:space="0" w:color="808080"/>
              <w:right w:val="single" w:sz="4" w:space="0" w:color="808080"/>
            </w:tcBorders>
            <w:shd w:val="clear" w:color="auto" w:fill="auto"/>
            <w:noWrap/>
            <w:vAlign w:val="bottom"/>
            <w:hideMark/>
          </w:tcPr>
          <w:p w14:paraId="64742B5C" w14:textId="77777777" w:rsidR="00B34C4C" w:rsidRPr="00D23489" w:rsidRDefault="00B34C4C" w:rsidP="00B34C4C">
            <w:pPr>
              <w:pStyle w:val="TableText"/>
              <w:rPr>
                <w:color w:val="000000" w:themeColor="text1"/>
              </w:rPr>
            </w:pPr>
            <w:r w:rsidRPr="00D23489">
              <w:rPr>
                <w:color w:val="000000" w:themeColor="text1"/>
              </w:rPr>
              <w:t>14,187</w:t>
            </w:r>
          </w:p>
        </w:tc>
      </w:tr>
      <w:tr w:rsidR="00B34C4C" w:rsidRPr="00D23489" w14:paraId="464B8BCE" w14:textId="77777777">
        <w:trPr>
          <w:trHeight w:val="255"/>
        </w:trPr>
        <w:tc>
          <w:tcPr>
            <w:tcW w:w="1360" w:type="dxa"/>
            <w:tcBorders>
              <w:top w:val="nil"/>
              <w:left w:val="single" w:sz="4" w:space="0" w:color="808080"/>
              <w:bottom w:val="single" w:sz="4" w:space="0" w:color="808080"/>
              <w:right w:val="single" w:sz="4" w:space="0" w:color="808080"/>
            </w:tcBorders>
            <w:shd w:val="clear" w:color="auto" w:fill="auto"/>
            <w:noWrap/>
            <w:hideMark/>
          </w:tcPr>
          <w:p w14:paraId="238B4C3E" w14:textId="542353AA" w:rsidR="00B34C4C" w:rsidRPr="00D23489" w:rsidRDefault="00B34C4C" w:rsidP="00B34C4C">
            <w:pPr>
              <w:pStyle w:val="TableText"/>
              <w:rPr>
                <w:color w:val="000000" w:themeColor="text1"/>
              </w:rPr>
            </w:pPr>
            <w:r w:rsidRPr="00A52F1B">
              <w:t>Oct</w:t>
            </w:r>
            <w:r>
              <w:t>–</w:t>
            </w:r>
            <w:r w:rsidRPr="00A52F1B">
              <w:t xml:space="preserve">Dec </w:t>
            </w:r>
          </w:p>
        </w:tc>
        <w:tc>
          <w:tcPr>
            <w:tcW w:w="1216" w:type="dxa"/>
            <w:tcBorders>
              <w:top w:val="nil"/>
              <w:left w:val="nil"/>
              <w:bottom w:val="single" w:sz="4" w:space="0" w:color="808080"/>
              <w:right w:val="nil"/>
            </w:tcBorders>
            <w:vAlign w:val="bottom"/>
          </w:tcPr>
          <w:p w14:paraId="720D5483" w14:textId="6CD44567" w:rsidR="00B34C4C" w:rsidRPr="00D23489" w:rsidRDefault="00B34C4C" w:rsidP="00B34C4C">
            <w:pPr>
              <w:pStyle w:val="TableText"/>
              <w:rPr>
                <w:color w:val="000000" w:themeColor="text1"/>
              </w:rPr>
            </w:pPr>
            <w:r w:rsidRPr="00D23489">
              <w:rPr>
                <w:color w:val="000000" w:themeColor="text1"/>
              </w:rPr>
              <w:t>36,307</w:t>
            </w:r>
          </w:p>
        </w:tc>
        <w:tc>
          <w:tcPr>
            <w:tcW w:w="1216" w:type="dxa"/>
            <w:tcBorders>
              <w:top w:val="nil"/>
              <w:left w:val="nil"/>
              <w:bottom w:val="single" w:sz="4" w:space="0" w:color="808080"/>
              <w:right w:val="single" w:sz="4" w:space="0" w:color="808080"/>
            </w:tcBorders>
            <w:shd w:val="clear" w:color="auto" w:fill="auto"/>
            <w:noWrap/>
            <w:vAlign w:val="bottom"/>
            <w:hideMark/>
          </w:tcPr>
          <w:p w14:paraId="31F8A52A" w14:textId="1C1BD028" w:rsidR="00B34C4C" w:rsidRPr="00D23489" w:rsidRDefault="00B34C4C" w:rsidP="00B34C4C">
            <w:pPr>
              <w:pStyle w:val="TableText"/>
              <w:rPr>
                <w:color w:val="000000" w:themeColor="text1"/>
              </w:rPr>
            </w:pPr>
            <w:r w:rsidRPr="00D23489">
              <w:rPr>
                <w:color w:val="000000" w:themeColor="text1"/>
              </w:rPr>
              <w:t>15,462</w:t>
            </w:r>
          </w:p>
        </w:tc>
        <w:tc>
          <w:tcPr>
            <w:tcW w:w="1216" w:type="dxa"/>
            <w:tcBorders>
              <w:top w:val="nil"/>
              <w:left w:val="nil"/>
              <w:bottom w:val="single" w:sz="4" w:space="0" w:color="808080"/>
              <w:right w:val="single" w:sz="4" w:space="0" w:color="808080"/>
            </w:tcBorders>
            <w:shd w:val="clear" w:color="auto" w:fill="auto"/>
            <w:noWrap/>
            <w:vAlign w:val="bottom"/>
            <w:hideMark/>
          </w:tcPr>
          <w:p w14:paraId="2AE51067" w14:textId="77777777" w:rsidR="00B34C4C" w:rsidRPr="00D23489" w:rsidRDefault="00B34C4C" w:rsidP="00B34C4C">
            <w:pPr>
              <w:pStyle w:val="TableText"/>
              <w:rPr>
                <w:color w:val="000000" w:themeColor="text1"/>
              </w:rPr>
            </w:pPr>
            <w:r w:rsidRPr="00D23489">
              <w:rPr>
                <w:color w:val="000000" w:themeColor="text1"/>
              </w:rPr>
              <w:t>12,792</w:t>
            </w:r>
          </w:p>
        </w:tc>
        <w:tc>
          <w:tcPr>
            <w:tcW w:w="1216" w:type="dxa"/>
            <w:tcBorders>
              <w:top w:val="nil"/>
              <w:left w:val="nil"/>
              <w:bottom w:val="single" w:sz="4" w:space="0" w:color="808080"/>
              <w:right w:val="single" w:sz="4" w:space="0" w:color="808080"/>
            </w:tcBorders>
            <w:shd w:val="clear" w:color="auto" w:fill="auto"/>
            <w:noWrap/>
            <w:vAlign w:val="bottom"/>
            <w:hideMark/>
          </w:tcPr>
          <w:p w14:paraId="30B31895" w14:textId="77777777" w:rsidR="00B34C4C" w:rsidRPr="00D23489" w:rsidRDefault="00B34C4C" w:rsidP="00B34C4C">
            <w:pPr>
              <w:pStyle w:val="TableText"/>
              <w:rPr>
                <w:color w:val="000000" w:themeColor="text1"/>
              </w:rPr>
            </w:pPr>
            <w:r w:rsidRPr="00D23489">
              <w:rPr>
                <w:color w:val="000000" w:themeColor="text1"/>
              </w:rPr>
              <w:t>891</w:t>
            </w:r>
          </w:p>
        </w:tc>
        <w:tc>
          <w:tcPr>
            <w:tcW w:w="1216" w:type="dxa"/>
            <w:tcBorders>
              <w:top w:val="nil"/>
              <w:left w:val="nil"/>
              <w:bottom w:val="single" w:sz="4" w:space="0" w:color="808080"/>
              <w:right w:val="single" w:sz="4" w:space="0" w:color="808080"/>
            </w:tcBorders>
            <w:shd w:val="clear" w:color="auto" w:fill="auto"/>
            <w:noWrap/>
            <w:vAlign w:val="bottom"/>
            <w:hideMark/>
          </w:tcPr>
          <w:p w14:paraId="0DDD62AE" w14:textId="77777777" w:rsidR="00B34C4C" w:rsidRPr="00D23489" w:rsidRDefault="00B34C4C" w:rsidP="00B34C4C">
            <w:pPr>
              <w:pStyle w:val="TableText"/>
              <w:rPr>
                <w:color w:val="000000" w:themeColor="text1"/>
              </w:rPr>
            </w:pPr>
            <w:r w:rsidRPr="00D23489">
              <w:rPr>
                <w:color w:val="000000" w:themeColor="text1"/>
              </w:rPr>
              <w:t>8,657</w:t>
            </w:r>
          </w:p>
        </w:tc>
        <w:tc>
          <w:tcPr>
            <w:tcW w:w="1216" w:type="dxa"/>
            <w:tcBorders>
              <w:top w:val="nil"/>
              <w:left w:val="nil"/>
              <w:bottom w:val="single" w:sz="4" w:space="0" w:color="808080"/>
              <w:right w:val="single" w:sz="4" w:space="0" w:color="808080"/>
            </w:tcBorders>
            <w:shd w:val="clear" w:color="auto" w:fill="auto"/>
            <w:noWrap/>
            <w:vAlign w:val="bottom"/>
            <w:hideMark/>
          </w:tcPr>
          <w:p w14:paraId="011F7812" w14:textId="77777777" w:rsidR="00B34C4C" w:rsidRPr="00D23489" w:rsidRDefault="00B34C4C" w:rsidP="00B34C4C">
            <w:pPr>
              <w:pStyle w:val="TableText"/>
              <w:rPr>
                <w:color w:val="000000" w:themeColor="text1"/>
              </w:rPr>
            </w:pPr>
            <w:r w:rsidRPr="00D23489">
              <w:rPr>
                <w:color w:val="000000" w:themeColor="text1"/>
              </w:rPr>
              <w:t>2,971</w:t>
            </w:r>
          </w:p>
        </w:tc>
        <w:tc>
          <w:tcPr>
            <w:tcW w:w="1404" w:type="dxa"/>
            <w:tcBorders>
              <w:top w:val="nil"/>
              <w:left w:val="nil"/>
              <w:bottom w:val="single" w:sz="4" w:space="0" w:color="808080"/>
              <w:right w:val="single" w:sz="4" w:space="0" w:color="808080"/>
            </w:tcBorders>
            <w:shd w:val="clear" w:color="auto" w:fill="auto"/>
            <w:noWrap/>
            <w:vAlign w:val="bottom"/>
            <w:hideMark/>
          </w:tcPr>
          <w:p w14:paraId="2F4DE943" w14:textId="77777777" w:rsidR="00B34C4C" w:rsidRPr="00D23489" w:rsidRDefault="00B34C4C" w:rsidP="00B34C4C">
            <w:pPr>
              <w:pStyle w:val="TableText"/>
              <w:rPr>
                <w:color w:val="000000" w:themeColor="text1"/>
              </w:rPr>
            </w:pPr>
            <w:r w:rsidRPr="00D23489">
              <w:rPr>
                <w:color w:val="000000" w:themeColor="text1"/>
              </w:rPr>
              <w:t>146</w:t>
            </w:r>
          </w:p>
        </w:tc>
        <w:tc>
          <w:tcPr>
            <w:tcW w:w="1028" w:type="dxa"/>
            <w:tcBorders>
              <w:top w:val="nil"/>
              <w:left w:val="nil"/>
              <w:bottom w:val="single" w:sz="4" w:space="0" w:color="808080"/>
              <w:right w:val="single" w:sz="4" w:space="0" w:color="808080"/>
            </w:tcBorders>
            <w:shd w:val="clear" w:color="auto" w:fill="auto"/>
            <w:noWrap/>
            <w:vAlign w:val="bottom"/>
            <w:hideMark/>
          </w:tcPr>
          <w:p w14:paraId="5AFA74F3" w14:textId="77777777" w:rsidR="00B34C4C" w:rsidRPr="00D23489" w:rsidRDefault="00B34C4C" w:rsidP="00B34C4C">
            <w:pPr>
              <w:pStyle w:val="TableText"/>
              <w:rPr>
                <w:color w:val="000000" w:themeColor="text1"/>
              </w:rPr>
            </w:pPr>
            <w:r w:rsidRPr="00D23489">
              <w:rPr>
                <w:color w:val="000000" w:themeColor="text1"/>
              </w:rPr>
              <w:t>120</w:t>
            </w:r>
          </w:p>
        </w:tc>
        <w:tc>
          <w:tcPr>
            <w:tcW w:w="1216" w:type="dxa"/>
            <w:tcBorders>
              <w:top w:val="nil"/>
              <w:left w:val="nil"/>
              <w:bottom w:val="single" w:sz="4" w:space="0" w:color="808080"/>
              <w:right w:val="single" w:sz="4" w:space="0" w:color="808080"/>
            </w:tcBorders>
            <w:shd w:val="clear" w:color="auto" w:fill="auto"/>
            <w:noWrap/>
            <w:vAlign w:val="bottom"/>
            <w:hideMark/>
          </w:tcPr>
          <w:p w14:paraId="556569CD" w14:textId="77777777" w:rsidR="00B34C4C" w:rsidRPr="00D23489" w:rsidRDefault="00B34C4C" w:rsidP="00B34C4C">
            <w:pPr>
              <w:pStyle w:val="TableText"/>
              <w:rPr>
                <w:color w:val="000000" w:themeColor="text1"/>
              </w:rPr>
            </w:pPr>
            <w:r w:rsidRPr="00D23489">
              <w:rPr>
                <w:color w:val="000000" w:themeColor="text1"/>
              </w:rPr>
              <w:t>22,321</w:t>
            </w:r>
          </w:p>
        </w:tc>
        <w:tc>
          <w:tcPr>
            <w:tcW w:w="1216" w:type="dxa"/>
            <w:tcBorders>
              <w:top w:val="nil"/>
              <w:left w:val="nil"/>
              <w:bottom w:val="single" w:sz="4" w:space="0" w:color="808080"/>
              <w:right w:val="single" w:sz="4" w:space="0" w:color="808080"/>
            </w:tcBorders>
            <w:shd w:val="clear" w:color="auto" w:fill="auto"/>
            <w:noWrap/>
            <w:vAlign w:val="bottom"/>
            <w:hideMark/>
          </w:tcPr>
          <w:p w14:paraId="2E98C5A0" w14:textId="77777777" w:rsidR="00B34C4C" w:rsidRPr="00D23489" w:rsidRDefault="00B34C4C" w:rsidP="00B34C4C">
            <w:pPr>
              <w:pStyle w:val="TableText"/>
              <w:rPr>
                <w:color w:val="000000" w:themeColor="text1"/>
              </w:rPr>
            </w:pPr>
            <w:r w:rsidRPr="00D23489">
              <w:rPr>
                <w:color w:val="000000" w:themeColor="text1"/>
              </w:rPr>
              <w:t>52</w:t>
            </w:r>
          </w:p>
        </w:tc>
        <w:tc>
          <w:tcPr>
            <w:tcW w:w="792" w:type="dxa"/>
            <w:tcBorders>
              <w:top w:val="nil"/>
              <w:left w:val="nil"/>
              <w:bottom w:val="single" w:sz="4" w:space="0" w:color="808080"/>
              <w:right w:val="single" w:sz="4" w:space="0" w:color="808080"/>
            </w:tcBorders>
            <w:shd w:val="clear" w:color="auto" w:fill="auto"/>
            <w:noWrap/>
            <w:vAlign w:val="bottom"/>
            <w:hideMark/>
          </w:tcPr>
          <w:p w14:paraId="35E25109" w14:textId="77777777" w:rsidR="00B34C4C" w:rsidRPr="00D23489" w:rsidRDefault="00B34C4C" w:rsidP="00B34C4C">
            <w:pPr>
              <w:pStyle w:val="TableText"/>
              <w:rPr>
                <w:color w:val="000000" w:themeColor="text1"/>
              </w:rPr>
            </w:pPr>
            <w:r w:rsidRPr="00D23489">
              <w:rPr>
                <w:color w:val="000000" w:themeColor="text1"/>
              </w:rPr>
              <w:t>11,710</w:t>
            </w:r>
          </w:p>
        </w:tc>
      </w:tr>
      <w:tr w:rsidR="00B34C4C" w:rsidRPr="00F02EDC" w14:paraId="244A3A40" w14:textId="77777777">
        <w:trPr>
          <w:trHeight w:val="255"/>
        </w:trPr>
        <w:tc>
          <w:tcPr>
            <w:tcW w:w="1360" w:type="dxa"/>
            <w:tcBorders>
              <w:top w:val="nil"/>
              <w:left w:val="single" w:sz="4" w:space="0" w:color="808080"/>
              <w:bottom w:val="single" w:sz="4" w:space="0" w:color="808080"/>
              <w:right w:val="single" w:sz="4" w:space="0" w:color="808080"/>
            </w:tcBorders>
            <w:shd w:val="clear" w:color="auto" w:fill="auto"/>
            <w:noWrap/>
            <w:vAlign w:val="bottom"/>
            <w:hideMark/>
          </w:tcPr>
          <w:p w14:paraId="5B3F26E4" w14:textId="77777777" w:rsidR="00B34C4C" w:rsidRPr="00F02EDC" w:rsidRDefault="00B34C4C" w:rsidP="00B34C4C">
            <w:pPr>
              <w:pStyle w:val="TableText"/>
              <w:rPr>
                <w:b/>
                <w:bCs/>
                <w:color w:val="000000" w:themeColor="text1"/>
              </w:rPr>
            </w:pPr>
            <w:r w:rsidRPr="00F02EDC">
              <w:rPr>
                <w:b/>
                <w:bCs/>
                <w:color w:val="000000" w:themeColor="text1"/>
              </w:rPr>
              <w:t>TOTAL</w:t>
            </w:r>
          </w:p>
        </w:tc>
        <w:tc>
          <w:tcPr>
            <w:tcW w:w="1216" w:type="dxa"/>
            <w:tcBorders>
              <w:top w:val="nil"/>
              <w:left w:val="nil"/>
              <w:bottom w:val="single" w:sz="4" w:space="0" w:color="808080"/>
              <w:right w:val="nil"/>
            </w:tcBorders>
            <w:vAlign w:val="bottom"/>
          </w:tcPr>
          <w:p w14:paraId="576C365D" w14:textId="2677687F" w:rsidR="00B34C4C" w:rsidRPr="00F02EDC" w:rsidRDefault="00B34C4C" w:rsidP="00B34C4C">
            <w:pPr>
              <w:pStyle w:val="TableText"/>
              <w:rPr>
                <w:b/>
                <w:bCs/>
                <w:color w:val="000000" w:themeColor="text1"/>
              </w:rPr>
            </w:pPr>
            <w:r w:rsidRPr="00F02EDC">
              <w:rPr>
                <w:b/>
                <w:bCs/>
                <w:color w:val="000000" w:themeColor="text1"/>
              </w:rPr>
              <w:t>231,787</w:t>
            </w:r>
          </w:p>
        </w:tc>
        <w:tc>
          <w:tcPr>
            <w:tcW w:w="1216" w:type="dxa"/>
            <w:tcBorders>
              <w:top w:val="nil"/>
              <w:left w:val="nil"/>
              <w:bottom w:val="single" w:sz="4" w:space="0" w:color="808080"/>
              <w:right w:val="single" w:sz="4" w:space="0" w:color="808080"/>
            </w:tcBorders>
            <w:shd w:val="clear" w:color="auto" w:fill="auto"/>
            <w:noWrap/>
            <w:vAlign w:val="bottom"/>
            <w:hideMark/>
          </w:tcPr>
          <w:p w14:paraId="20C3D67E" w14:textId="1A4B5799" w:rsidR="00B34C4C" w:rsidRPr="00F02EDC" w:rsidRDefault="00B34C4C" w:rsidP="00B34C4C">
            <w:pPr>
              <w:pStyle w:val="TableText"/>
              <w:rPr>
                <w:b/>
                <w:bCs/>
                <w:color w:val="000000" w:themeColor="text1"/>
              </w:rPr>
            </w:pPr>
            <w:r w:rsidRPr="00F02EDC">
              <w:rPr>
                <w:b/>
                <w:bCs/>
                <w:color w:val="000000" w:themeColor="text1"/>
              </w:rPr>
              <w:t>111,0</w:t>
            </w:r>
            <w:r>
              <w:rPr>
                <w:b/>
                <w:bCs/>
                <w:color w:val="000000" w:themeColor="text1"/>
              </w:rPr>
              <w:t>10</w:t>
            </w:r>
          </w:p>
        </w:tc>
        <w:tc>
          <w:tcPr>
            <w:tcW w:w="1216" w:type="dxa"/>
            <w:tcBorders>
              <w:top w:val="nil"/>
              <w:left w:val="nil"/>
              <w:bottom w:val="single" w:sz="4" w:space="0" w:color="808080"/>
              <w:right w:val="single" w:sz="4" w:space="0" w:color="808080"/>
            </w:tcBorders>
            <w:shd w:val="clear" w:color="auto" w:fill="auto"/>
            <w:noWrap/>
            <w:vAlign w:val="bottom"/>
            <w:hideMark/>
          </w:tcPr>
          <w:p w14:paraId="14085533" w14:textId="4429DACD" w:rsidR="00B34C4C" w:rsidRPr="00F02EDC" w:rsidRDefault="00B34C4C" w:rsidP="00B34C4C">
            <w:pPr>
              <w:pStyle w:val="TableText"/>
              <w:rPr>
                <w:b/>
                <w:bCs/>
                <w:color w:val="000000" w:themeColor="text1"/>
              </w:rPr>
            </w:pPr>
            <w:r w:rsidRPr="00F02EDC">
              <w:rPr>
                <w:b/>
                <w:bCs/>
                <w:color w:val="000000" w:themeColor="text1"/>
              </w:rPr>
              <w:t>52,57</w:t>
            </w:r>
            <w:r>
              <w:rPr>
                <w:b/>
                <w:bCs/>
                <w:color w:val="000000" w:themeColor="text1"/>
              </w:rPr>
              <w:t>3</w:t>
            </w:r>
          </w:p>
        </w:tc>
        <w:tc>
          <w:tcPr>
            <w:tcW w:w="1216" w:type="dxa"/>
            <w:tcBorders>
              <w:top w:val="nil"/>
              <w:left w:val="nil"/>
              <w:bottom w:val="single" w:sz="4" w:space="0" w:color="808080"/>
              <w:right w:val="single" w:sz="4" w:space="0" w:color="808080"/>
            </w:tcBorders>
            <w:shd w:val="clear" w:color="auto" w:fill="auto"/>
            <w:noWrap/>
            <w:vAlign w:val="bottom"/>
            <w:hideMark/>
          </w:tcPr>
          <w:p w14:paraId="1EB94C90" w14:textId="7135C02B" w:rsidR="00B34C4C" w:rsidRPr="00F02EDC" w:rsidRDefault="00B34C4C" w:rsidP="00B34C4C">
            <w:pPr>
              <w:pStyle w:val="TableText"/>
              <w:rPr>
                <w:b/>
                <w:bCs/>
                <w:color w:val="000000" w:themeColor="text1"/>
              </w:rPr>
            </w:pPr>
            <w:r w:rsidRPr="00F02EDC">
              <w:rPr>
                <w:b/>
                <w:bCs/>
                <w:color w:val="000000" w:themeColor="text1"/>
              </w:rPr>
              <w:t>4,76</w:t>
            </w:r>
            <w:r>
              <w:rPr>
                <w:b/>
                <w:bCs/>
                <w:color w:val="000000" w:themeColor="text1"/>
              </w:rPr>
              <w:t>9</w:t>
            </w:r>
          </w:p>
        </w:tc>
        <w:tc>
          <w:tcPr>
            <w:tcW w:w="1216" w:type="dxa"/>
            <w:tcBorders>
              <w:top w:val="nil"/>
              <w:left w:val="nil"/>
              <w:bottom w:val="single" w:sz="4" w:space="0" w:color="808080"/>
              <w:right w:val="single" w:sz="4" w:space="0" w:color="808080"/>
            </w:tcBorders>
            <w:shd w:val="clear" w:color="auto" w:fill="auto"/>
            <w:noWrap/>
            <w:vAlign w:val="bottom"/>
            <w:hideMark/>
          </w:tcPr>
          <w:p w14:paraId="2EE10120" w14:textId="1DF82288" w:rsidR="00B34C4C" w:rsidRPr="00F02EDC" w:rsidRDefault="00B34C4C" w:rsidP="00B34C4C">
            <w:pPr>
              <w:pStyle w:val="TableText"/>
              <w:rPr>
                <w:b/>
                <w:bCs/>
                <w:color w:val="000000" w:themeColor="text1"/>
              </w:rPr>
            </w:pPr>
            <w:r w:rsidRPr="00F02EDC">
              <w:rPr>
                <w:b/>
                <w:bCs/>
                <w:color w:val="000000" w:themeColor="text1"/>
              </w:rPr>
              <w:t>40,03</w:t>
            </w:r>
            <w:r>
              <w:rPr>
                <w:b/>
                <w:bCs/>
                <w:color w:val="000000" w:themeColor="text1"/>
              </w:rPr>
              <w:t>8</w:t>
            </w:r>
          </w:p>
        </w:tc>
        <w:tc>
          <w:tcPr>
            <w:tcW w:w="1216" w:type="dxa"/>
            <w:tcBorders>
              <w:top w:val="nil"/>
              <w:left w:val="nil"/>
              <w:bottom w:val="single" w:sz="4" w:space="0" w:color="808080"/>
              <w:right w:val="single" w:sz="4" w:space="0" w:color="808080"/>
            </w:tcBorders>
            <w:shd w:val="clear" w:color="auto" w:fill="auto"/>
            <w:noWrap/>
            <w:vAlign w:val="bottom"/>
            <w:hideMark/>
          </w:tcPr>
          <w:p w14:paraId="08F4E58C" w14:textId="77777777" w:rsidR="00B34C4C" w:rsidRPr="00F02EDC" w:rsidRDefault="00B34C4C" w:rsidP="00B34C4C">
            <w:pPr>
              <w:pStyle w:val="TableText"/>
              <w:rPr>
                <w:b/>
                <w:bCs/>
                <w:color w:val="000000" w:themeColor="text1"/>
              </w:rPr>
            </w:pPr>
            <w:r w:rsidRPr="00F02EDC">
              <w:rPr>
                <w:b/>
                <w:bCs/>
                <w:color w:val="000000" w:themeColor="text1"/>
              </w:rPr>
              <w:t>20,275</w:t>
            </w:r>
          </w:p>
        </w:tc>
        <w:tc>
          <w:tcPr>
            <w:tcW w:w="1404" w:type="dxa"/>
            <w:tcBorders>
              <w:top w:val="nil"/>
              <w:left w:val="nil"/>
              <w:bottom w:val="single" w:sz="4" w:space="0" w:color="808080"/>
              <w:right w:val="single" w:sz="4" w:space="0" w:color="808080"/>
            </w:tcBorders>
            <w:shd w:val="clear" w:color="auto" w:fill="auto"/>
            <w:noWrap/>
            <w:vAlign w:val="bottom"/>
            <w:hideMark/>
          </w:tcPr>
          <w:p w14:paraId="3616D2D3" w14:textId="6D6383EE" w:rsidR="00B34C4C" w:rsidRPr="00F02EDC" w:rsidRDefault="00B34C4C" w:rsidP="00B34C4C">
            <w:pPr>
              <w:pStyle w:val="TableText"/>
              <w:rPr>
                <w:b/>
                <w:bCs/>
                <w:color w:val="000000" w:themeColor="text1"/>
              </w:rPr>
            </w:pPr>
            <w:r w:rsidRPr="00F02EDC">
              <w:rPr>
                <w:b/>
                <w:bCs/>
                <w:color w:val="000000" w:themeColor="text1"/>
              </w:rPr>
              <w:t>50</w:t>
            </w:r>
            <w:r>
              <w:rPr>
                <w:b/>
                <w:bCs/>
                <w:color w:val="000000" w:themeColor="text1"/>
              </w:rPr>
              <w:t>4</w:t>
            </w:r>
          </w:p>
        </w:tc>
        <w:tc>
          <w:tcPr>
            <w:tcW w:w="1028" w:type="dxa"/>
            <w:tcBorders>
              <w:top w:val="nil"/>
              <w:left w:val="nil"/>
              <w:bottom w:val="single" w:sz="4" w:space="0" w:color="808080"/>
              <w:right w:val="single" w:sz="4" w:space="0" w:color="808080"/>
            </w:tcBorders>
            <w:shd w:val="clear" w:color="auto" w:fill="auto"/>
            <w:noWrap/>
            <w:vAlign w:val="bottom"/>
            <w:hideMark/>
          </w:tcPr>
          <w:p w14:paraId="24A2AD83" w14:textId="23F81850" w:rsidR="00B34C4C" w:rsidRPr="00F02EDC" w:rsidRDefault="00B34C4C" w:rsidP="00B34C4C">
            <w:pPr>
              <w:pStyle w:val="TableText"/>
              <w:rPr>
                <w:b/>
                <w:bCs/>
                <w:color w:val="000000" w:themeColor="text1"/>
              </w:rPr>
            </w:pPr>
            <w:r w:rsidRPr="00F02EDC">
              <w:rPr>
                <w:b/>
                <w:bCs/>
                <w:color w:val="000000" w:themeColor="text1"/>
              </w:rPr>
              <w:t>3,25</w:t>
            </w:r>
            <w:r>
              <w:rPr>
                <w:b/>
                <w:bCs/>
                <w:color w:val="000000" w:themeColor="text1"/>
              </w:rPr>
              <w:t>6</w:t>
            </w:r>
          </w:p>
        </w:tc>
        <w:tc>
          <w:tcPr>
            <w:tcW w:w="1216" w:type="dxa"/>
            <w:tcBorders>
              <w:top w:val="nil"/>
              <w:left w:val="nil"/>
              <w:bottom w:val="single" w:sz="4" w:space="0" w:color="808080"/>
              <w:right w:val="single" w:sz="4" w:space="0" w:color="808080"/>
            </w:tcBorders>
            <w:shd w:val="clear" w:color="auto" w:fill="auto"/>
            <w:noWrap/>
            <w:vAlign w:val="bottom"/>
            <w:hideMark/>
          </w:tcPr>
          <w:p w14:paraId="0FE751A9" w14:textId="77777777" w:rsidR="00B34C4C" w:rsidRPr="00F02EDC" w:rsidRDefault="00B34C4C" w:rsidP="00B34C4C">
            <w:pPr>
              <w:pStyle w:val="TableText"/>
              <w:rPr>
                <w:b/>
                <w:bCs/>
                <w:color w:val="000000" w:themeColor="text1"/>
              </w:rPr>
            </w:pPr>
            <w:r w:rsidRPr="00F02EDC">
              <w:rPr>
                <w:b/>
                <w:bCs/>
                <w:color w:val="000000" w:themeColor="text1"/>
              </w:rPr>
              <w:t>87,235</w:t>
            </w:r>
          </w:p>
        </w:tc>
        <w:tc>
          <w:tcPr>
            <w:tcW w:w="1216" w:type="dxa"/>
            <w:tcBorders>
              <w:top w:val="nil"/>
              <w:left w:val="nil"/>
              <w:bottom w:val="single" w:sz="4" w:space="0" w:color="808080"/>
              <w:right w:val="single" w:sz="4" w:space="0" w:color="808080"/>
            </w:tcBorders>
            <w:shd w:val="clear" w:color="auto" w:fill="auto"/>
            <w:noWrap/>
            <w:vAlign w:val="bottom"/>
            <w:hideMark/>
          </w:tcPr>
          <w:p w14:paraId="3834766B" w14:textId="4D116D60" w:rsidR="00B34C4C" w:rsidRPr="00F02EDC" w:rsidRDefault="00B34C4C" w:rsidP="00B34C4C">
            <w:pPr>
              <w:pStyle w:val="TableText"/>
              <w:rPr>
                <w:b/>
                <w:bCs/>
                <w:color w:val="000000" w:themeColor="text1"/>
              </w:rPr>
            </w:pPr>
            <w:r w:rsidRPr="00F02EDC">
              <w:rPr>
                <w:b/>
                <w:bCs/>
                <w:color w:val="000000" w:themeColor="text1"/>
              </w:rPr>
              <w:t>15</w:t>
            </w:r>
            <w:r>
              <w:rPr>
                <w:b/>
                <w:bCs/>
                <w:color w:val="000000" w:themeColor="text1"/>
              </w:rPr>
              <w:t>7</w:t>
            </w:r>
          </w:p>
        </w:tc>
        <w:tc>
          <w:tcPr>
            <w:tcW w:w="792" w:type="dxa"/>
            <w:tcBorders>
              <w:top w:val="nil"/>
              <w:left w:val="nil"/>
              <w:bottom w:val="single" w:sz="4" w:space="0" w:color="808080"/>
              <w:right w:val="single" w:sz="4" w:space="0" w:color="808080"/>
            </w:tcBorders>
            <w:shd w:val="clear" w:color="auto" w:fill="auto"/>
            <w:noWrap/>
            <w:vAlign w:val="bottom"/>
            <w:hideMark/>
          </w:tcPr>
          <w:p w14:paraId="4FAFBF49" w14:textId="4190CF29" w:rsidR="00B34C4C" w:rsidRPr="00F02EDC" w:rsidRDefault="00B34C4C" w:rsidP="00B34C4C">
            <w:pPr>
              <w:pStyle w:val="TableText"/>
              <w:rPr>
                <w:b/>
                <w:bCs/>
                <w:color w:val="000000" w:themeColor="text1"/>
              </w:rPr>
            </w:pPr>
            <w:r w:rsidRPr="00F02EDC">
              <w:rPr>
                <w:b/>
                <w:bCs/>
                <w:color w:val="000000" w:themeColor="text1"/>
              </w:rPr>
              <w:t>66,27</w:t>
            </w:r>
            <w:r>
              <w:rPr>
                <w:b/>
                <w:bCs/>
                <w:color w:val="000000" w:themeColor="text1"/>
              </w:rPr>
              <w:t>7</w:t>
            </w:r>
          </w:p>
        </w:tc>
      </w:tr>
    </w:tbl>
    <w:p w14:paraId="4EA95DD9" w14:textId="13FD9051" w:rsidR="00616FDE" w:rsidRPr="00B025F7" w:rsidRDefault="00616FDE" w:rsidP="00EE36A4">
      <w:pPr>
        <w:pStyle w:val="Note"/>
      </w:pPr>
      <w:r w:rsidRPr="00B025F7">
        <w:t xml:space="preserve">Source: </w:t>
      </w:r>
      <w:r w:rsidR="00F04608">
        <w:t>Reported returns from the OWLS.</w:t>
      </w:r>
    </w:p>
    <w:p w14:paraId="12E24AA8" w14:textId="168538E3" w:rsidR="000A511F" w:rsidRPr="000A511F" w:rsidRDefault="000A511F" w:rsidP="000A511F">
      <w:pPr>
        <w:sectPr w:rsidR="000A511F" w:rsidRPr="000A511F" w:rsidSect="00843700">
          <w:headerReference w:type="default" r:id="rId36"/>
          <w:footerReference w:type="even" r:id="rId37"/>
          <w:footerReference w:type="default" r:id="rId38"/>
          <w:footerReference w:type="first" r:id="rId39"/>
          <w:pgSz w:w="16840" w:h="11907" w:orient="landscape" w:code="9"/>
          <w:pgMar w:top="1134" w:right="1701" w:bottom="1134" w:left="1701" w:header="567" w:footer="567" w:gutter="0"/>
          <w:cols w:space="720"/>
          <w:titlePg/>
          <w:docGrid w:linePitch="326"/>
        </w:sectPr>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C1752" w:rsidRPr="00C15722" w14:paraId="59C504EE" w14:textId="77777777" w:rsidTr="002C1752">
        <w:tc>
          <w:tcPr>
            <w:tcW w:w="8505" w:type="dxa"/>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p w14:paraId="0854B631" w14:textId="6C6B8B4D" w:rsidR="002C1752" w:rsidRPr="0051754D" w:rsidRDefault="002C1752">
            <w:pPr>
              <w:pStyle w:val="Greenheading-casestudytables"/>
            </w:pPr>
            <w:r>
              <w:lastRenderedPageBreak/>
              <w:t>Case study: Reuse</w:t>
            </w:r>
          </w:p>
          <w:p w14:paraId="6788B2D9" w14:textId="77777777" w:rsidR="002C1752" w:rsidRDefault="002C1752" w:rsidP="002C1752">
            <w:pPr>
              <w:pStyle w:val="Greenheading-casestudytables"/>
            </w:pPr>
            <w:r>
              <w:t>Waste prevention and reuse</w:t>
            </w:r>
          </w:p>
          <w:p w14:paraId="02422BE4" w14:textId="7C99F401" w:rsidR="002C1752" w:rsidRDefault="002C1752" w:rsidP="002C1752">
            <w:pPr>
              <w:pStyle w:val="Boxtext"/>
            </w:pPr>
            <w:r>
              <w:t>Eunomia (2023) estimate</w:t>
            </w:r>
            <w:r w:rsidR="001E7474">
              <w:t>d</w:t>
            </w:r>
            <w:r>
              <w:t xml:space="preserve"> that New Zealanders use around 2.3 billion single-use beverage containers a year, many of which subsequently </w:t>
            </w:r>
            <w:r w:rsidR="003B7761">
              <w:t xml:space="preserve">end up in </w:t>
            </w:r>
            <w:r>
              <w:t>landfill</w:t>
            </w:r>
            <w:r w:rsidR="003B7761">
              <w:t>s</w:t>
            </w:r>
            <w:r>
              <w:t xml:space="preserve"> or enter the natural environment. Most operators of reusable schemes have not been in business long enough to establish accurate waste prevention data, </w:t>
            </w:r>
            <w:proofErr w:type="gramStart"/>
            <w:r>
              <w:t>with the exception of</w:t>
            </w:r>
            <w:proofErr w:type="gramEnd"/>
            <w:r>
              <w:t xml:space="preserve"> two longer-term operating providers. </w:t>
            </w:r>
          </w:p>
          <w:p w14:paraId="3F9A8360" w14:textId="07F790CC" w:rsidR="002C1752" w:rsidRDefault="002C1752" w:rsidP="0055102F">
            <w:pPr>
              <w:pStyle w:val="Boxbullet"/>
            </w:pPr>
            <w:r>
              <w:t xml:space="preserve">Conservative estimates are that reusable glass bottle providers, with a combined fleet of 30.1 million bottles, prevent around 100.5 million single-use containers from being manufactured and entering </w:t>
            </w:r>
            <w:r w:rsidR="00534FE9">
              <w:t xml:space="preserve">Aotearoa </w:t>
            </w:r>
            <w:r>
              <w:t>New Zealand’s waste</w:t>
            </w:r>
            <w:r w:rsidR="00785FE9">
              <w:t xml:space="preserve"> </w:t>
            </w:r>
            <w:r>
              <w:t>recovery system per year.</w:t>
            </w:r>
          </w:p>
          <w:p w14:paraId="25AEC089" w14:textId="35626C4B" w:rsidR="002C1752" w:rsidRDefault="002C1752" w:rsidP="0055102F">
            <w:pPr>
              <w:pStyle w:val="Boxbullet"/>
            </w:pPr>
            <w:r>
              <w:t>Most of this prevention occurs in Auckland (16.7 million</w:t>
            </w:r>
            <w:r w:rsidR="00534FE9">
              <w:t xml:space="preserve"> items</w:t>
            </w:r>
            <w:r>
              <w:t>), followed by Canterbury (15.6 million items).</w:t>
            </w:r>
          </w:p>
          <w:p w14:paraId="3C1D1D43" w14:textId="21E017BC" w:rsidR="002C1752" w:rsidRDefault="00527CB7" w:rsidP="0055102F">
            <w:pPr>
              <w:pStyle w:val="Boxbullet"/>
            </w:pPr>
            <w:r>
              <w:t xml:space="preserve">Of the </w:t>
            </w:r>
            <w:r w:rsidR="002C1752">
              <w:t>30</w:t>
            </w:r>
            <w:r w:rsidR="00531023">
              <w:t>.1</w:t>
            </w:r>
            <w:r w:rsidR="002C1752">
              <w:t xml:space="preserve"> million total</w:t>
            </w:r>
            <w:r>
              <w:t>, 30 million items are</w:t>
            </w:r>
            <w:r w:rsidR="002C1752">
              <w:t xml:space="preserve"> provided by a single operator (ABC), wh</w:t>
            </w:r>
            <w:r w:rsidR="00534FE9">
              <w:t>ich</w:t>
            </w:r>
            <w:r w:rsidR="002C1752">
              <w:t xml:space="preserve"> provide</w:t>
            </w:r>
            <w:r w:rsidR="00534FE9">
              <w:t>s</w:t>
            </w:r>
            <w:r w:rsidR="002C1752">
              <w:t xml:space="preserve"> ‘</w:t>
            </w:r>
            <w:proofErr w:type="spellStart"/>
            <w:r w:rsidR="002C1752">
              <w:t>swappa</w:t>
            </w:r>
            <w:proofErr w:type="spellEnd"/>
            <w:r w:rsidR="002C1752">
              <w:t xml:space="preserve"> crate’ beer bottles.</w:t>
            </w:r>
          </w:p>
          <w:p w14:paraId="43F876D8" w14:textId="77B98737" w:rsidR="002C1752" w:rsidRDefault="002C1752" w:rsidP="0055102F">
            <w:pPr>
              <w:pStyle w:val="Boxbullet"/>
            </w:pPr>
            <w:r>
              <w:t xml:space="preserve">Six reusable cup schemes, with an estimate fleet size of 563,000, are expected to collectively prevent 4.7 million single-use cups from being manufactured and going on to enter </w:t>
            </w:r>
            <w:r w:rsidR="00531023">
              <w:t xml:space="preserve">Aotearoa </w:t>
            </w:r>
            <w:r>
              <w:t>New Zealand’s waste streams.</w:t>
            </w:r>
          </w:p>
          <w:p w14:paraId="2DF41EB3" w14:textId="7E011339" w:rsidR="002C1752" w:rsidRDefault="002C1752" w:rsidP="002C1752">
            <w:pPr>
              <w:pStyle w:val="Boxtext"/>
            </w:pPr>
            <w:r>
              <w:t>Blumhardt (2022) also provide</w:t>
            </w:r>
            <w:r w:rsidR="001140EF">
              <w:t>d</w:t>
            </w:r>
            <w:r>
              <w:t xml:space="preserve"> an overview of reusable packaging systems in </w:t>
            </w:r>
            <w:r w:rsidR="001140EF">
              <w:t>Aotearoa</w:t>
            </w:r>
            <w:r>
              <w:t>,</w:t>
            </w:r>
            <w:r w:rsidR="002025E1">
              <w:t xml:space="preserve"> along</w:t>
            </w:r>
            <w:r>
              <w:t xml:space="preserve"> with examples of such systems in operation across a range of sectors, including:</w:t>
            </w:r>
          </w:p>
          <w:p w14:paraId="094A97E4" w14:textId="77777777" w:rsidR="002C1752" w:rsidRDefault="002C1752" w:rsidP="002C1752">
            <w:pPr>
              <w:pStyle w:val="Boxbullet"/>
            </w:pPr>
            <w:r>
              <w:t xml:space="preserve">hospitality, tourism and accommodation </w:t>
            </w:r>
          </w:p>
          <w:p w14:paraId="0DB1B7A9" w14:textId="77777777" w:rsidR="002C1752" w:rsidRDefault="002C1752" w:rsidP="002C1752">
            <w:pPr>
              <w:pStyle w:val="Boxbullet"/>
            </w:pPr>
            <w:r>
              <w:t xml:space="preserve">beverages </w:t>
            </w:r>
          </w:p>
          <w:p w14:paraId="75DF79DA" w14:textId="77777777" w:rsidR="002C1752" w:rsidRDefault="002C1752" w:rsidP="002C1752">
            <w:pPr>
              <w:pStyle w:val="Boxbullet"/>
            </w:pPr>
            <w:r>
              <w:t xml:space="preserve">construction </w:t>
            </w:r>
          </w:p>
          <w:p w14:paraId="19528786" w14:textId="77777777" w:rsidR="002C1752" w:rsidRDefault="002C1752" w:rsidP="002C1752">
            <w:pPr>
              <w:pStyle w:val="Boxbullet"/>
            </w:pPr>
            <w:r>
              <w:t xml:space="preserve">groceries </w:t>
            </w:r>
          </w:p>
          <w:p w14:paraId="0E25E5BE" w14:textId="77777777" w:rsidR="002C1752" w:rsidRDefault="002C1752" w:rsidP="002C1752">
            <w:pPr>
              <w:pStyle w:val="Boxbullet"/>
            </w:pPr>
            <w:r>
              <w:t xml:space="preserve">personal care and cleaning products </w:t>
            </w:r>
          </w:p>
          <w:p w14:paraId="5EEB5721" w14:textId="383D4190" w:rsidR="002C1752" w:rsidRDefault="002C1752" w:rsidP="002C1752">
            <w:pPr>
              <w:pStyle w:val="Boxbullet"/>
            </w:pPr>
            <w:r>
              <w:t>transit/transport packaging</w:t>
            </w:r>
            <w:r w:rsidR="002025E1">
              <w:t>.</w:t>
            </w:r>
          </w:p>
          <w:p w14:paraId="0A4A26F4" w14:textId="1B33D2DB" w:rsidR="002C1752" w:rsidRPr="002C1752" w:rsidRDefault="002C1752" w:rsidP="002C1752">
            <w:pPr>
              <w:pStyle w:val="Boxtext"/>
              <w:rPr>
                <w:rFonts w:eastAsia="Times New Roman"/>
                <w:b/>
                <w:sz w:val="22"/>
              </w:rPr>
            </w:pPr>
            <w:r>
              <w:t xml:space="preserve">Both worldwide and in </w:t>
            </w:r>
            <w:r w:rsidR="002025E1">
              <w:t xml:space="preserve">Aotearoa, </w:t>
            </w:r>
            <w:r>
              <w:t>however, reusable packaging constitutes a small proportion of the overall market share of packaging</w:t>
            </w:r>
            <w:r w:rsidR="002025E1">
              <w:t>. S</w:t>
            </w:r>
            <w:r>
              <w:t>ectors that have historically been leaders</w:t>
            </w:r>
            <w:r w:rsidR="002025E1">
              <w:t xml:space="preserve"> (</w:t>
            </w:r>
            <w:r>
              <w:t>such as the beverage industry</w:t>
            </w:r>
            <w:r w:rsidR="002025E1">
              <w:t>)</w:t>
            </w:r>
            <w:r>
              <w:t xml:space="preserve"> continue to see an ongoing downward trajectory in their use of reusable packaging (Wilcox and Mackenzie, 2021).</w:t>
            </w:r>
          </w:p>
        </w:tc>
      </w:tr>
      <w:tr w:rsidR="005D1C33" w:rsidRPr="006B77BB" w14:paraId="3A0329BD" w14:textId="77777777">
        <w:tc>
          <w:tcPr>
            <w:tcW w:w="8505" w:type="dxa"/>
            <w:shd w:val="clear" w:color="auto" w:fill="D5EBE8" w:themeFill="accent3"/>
          </w:tcPr>
          <w:p w14:paraId="56C7A7C4" w14:textId="5803509A" w:rsidR="005D1C33" w:rsidRPr="0051754D" w:rsidRDefault="005D1C33">
            <w:pPr>
              <w:pStyle w:val="Greenheading-casestudytables"/>
            </w:pPr>
            <w:r>
              <w:lastRenderedPageBreak/>
              <w:t>Case study: Recovery</w:t>
            </w:r>
          </w:p>
          <w:p w14:paraId="23F47A39" w14:textId="1B489771" w:rsidR="005D1C33" w:rsidRDefault="005D1C33" w:rsidP="005D1C33">
            <w:pPr>
              <w:pStyle w:val="Boxtext"/>
            </w:pPr>
            <w:r>
              <w:t xml:space="preserve">Recovery as defined in the WMA includes extraction of materials or energy from waste or diverted material for further use or </w:t>
            </w:r>
            <w:proofErr w:type="gramStart"/>
            <w:r>
              <w:t>processing</w:t>
            </w:r>
            <w:r w:rsidR="006D3EC7">
              <w:t>,</w:t>
            </w:r>
            <w:r>
              <w:t xml:space="preserve"> and</w:t>
            </w:r>
            <w:proofErr w:type="gramEnd"/>
            <w:r>
              <w:t xml:space="preserve"> includes making waste or diverted material into compost. Elsewhere, composting is sometimes defined as a form of recycling. This case study considers recovering energy from waste materials. </w:t>
            </w:r>
          </w:p>
          <w:p w14:paraId="7501B1AC" w14:textId="6861560C" w:rsidR="005D1C33" w:rsidRDefault="005D1C33" w:rsidP="005D1C33">
            <w:pPr>
              <w:pStyle w:val="Boxtext"/>
            </w:pPr>
            <w:r>
              <w:t>Eunomia (2023) present</w:t>
            </w:r>
            <w:r w:rsidR="005A142F">
              <w:t>ed</w:t>
            </w:r>
            <w:r>
              <w:t xml:space="preserve"> analysis of the biofuel energy potential from different waste sources (such as wood waste that currently goes to landfill, crop residues, municipal biosolids, forestry residues and manures). This analysis identified forest harvest residues as the largest potential source of waste materials (although this is not material that currently goes to landfill). </w:t>
            </w:r>
          </w:p>
          <w:p w14:paraId="5D0A12F0" w14:textId="74FF2EB7" w:rsidR="005D1C33" w:rsidRDefault="005D1C33" w:rsidP="005D1C33">
            <w:pPr>
              <w:pStyle w:val="Boxtext"/>
            </w:pPr>
            <w:r>
              <w:t xml:space="preserve">Energy recovery could take </w:t>
            </w:r>
            <w:proofErr w:type="gramStart"/>
            <w:r>
              <w:t>a number of</w:t>
            </w:r>
            <w:proofErr w:type="gramEnd"/>
            <w:r>
              <w:t xml:space="preserve"> forms, including</w:t>
            </w:r>
            <w:r w:rsidR="00E474A3">
              <w:t xml:space="preserve"> the following.</w:t>
            </w:r>
            <w:r>
              <w:t xml:space="preserve"> </w:t>
            </w:r>
          </w:p>
          <w:p w14:paraId="668559FA" w14:textId="5B7134D7" w:rsidR="005D1C33" w:rsidRDefault="00E474A3" w:rsidP="005D1C33">
            <w:pPr>
              <w:pStyle w:val="Boxbullet"/>
            </w:pPr>
            <w:r w:rsidRPr="00227C27">
              <w:rPr>
                <w:b/>
                <w:bCs/>
              </w:rPr>
              <w:t>B</w:t>
            </w:r>
            <w:r w:rsidR="005D1C33" w:rsidRPr="00227C27">
              <w:rPr>
                <w:b/>
                <w:bCs/>
              </w:rPr>
              <w:t>iogas</w:t>
            </w:r>
            <w:r w:rsidR="00DE31A7">
              <w:t>:</w:t>
            </w:r>
            <w:r w:rsidR="005D1C33">
              <w:t xml:space="preserve"> </w:t>
            </w:r>
            <w:r w:rsidR="00DB6C15">
              <w:t>T</w:t>
            </w:r>
            <w:r w:rsidR="005D1C33">
              <w:t xml:space="preserve">he Bioenergy Association suggests there is significant potential for growth in the production of biogas from residual organic wastes from food processing, </w:t>
            </w:r>
            <w:proofErr w:type="gramStart"/>
            <w:r w:rsidR="005D1C33">
              <w:t>waste water</w:t>
            </w:r>
            <w:proofErr w:type="gramEnd"/>
            <w:r w:rsidR="005D1C33">
              <w:t xml:space="preserve"> treatment facilities and dairy effluent if supplemented with other organic material</w:t>
            </w:r>
            <w:r w:rsidR="00B445EF">
              <w:t xml:space="preserve"> (Eunomia, 2023, p</w:t>
            </w:r>
            <w:r w:rsidR="00D41026">
              <w:t>p 129–130).</w:t>
            </w:r>
            <w:r w:rsidR="005D1C33">
              <w:t xml:space="preserve"> </w:t>
            </w:r>
          </w:p>
          <w:p w14:paraId="24D9AF07" w14:textId="159B93FD" w:rsidR="005D1C33" w:rsidRDefault="00D41026" w:rsidP="005D1C33">
            <w:pPr>
              <w:pStyle w:val="Boxbullet"/>
            </w:pPr>
            <w:r w:rsidRPr="00227C27">
              <w:rPr>
                <w:b/>
                <w:bCs/>
              </w:rPr>
              <w:t>L</w:t>
            </w:r>
            <w:r w:rsidR="005D1C33" w:rsidRPr="00227C27">
              <w:rPr>
                <w:b/>
                <w:bCs/>
              </w:rPr>
              <w:t>iquid biofuels</w:t>
            </w:r>
            <w:r w:rsidR="005D1C33">
              <w:t xml:space="preserve">: </w:t>
            </w:r>
            <w:r>
              <w:t>L</w:t>
            </w:r>
            <w:r w:rsidR="005D1C33">
              <w:t xml:space="preserve">iquid biofuels are substitutes for liquid fossil fuels and include biodiesel, bioethanol and bio-oils. Current use in </w:t>
            </w:r>
            <w:r>
              <w:t>Aotearoa</w:t>
            </w:r>
            <w:r w:rsidR="005D1C33">
              <w:t xml:space="preserve"> is very limited (less than 0.1</w:t>
            </w:r>
            <w:r>
              <w:t xml:space="preserve"> per cent</w:t>
            </w:r>
            <w:r w:rsidR="005D1C33">
              <w:t xml:space="preserve"> of total liquid fuel sales)</w:t>
            </w:r>
            <w:r w:rsidR="00237C94">
              <w:t xml:space="preserve"> (Eunomia, 2023, p 130)</w:t>
            </w:r>
            <w:r w:rsidR="005D1C33">
              <w:t>.</w:t>
            </w:r>
            <w:r w:rsidR="00763AC4">
              <w:t xml:space="preserve"> </w:t>
            </w:r>
          </w:p>
          <w:p w14:paraId="4E1C65E6" w14:textId="645EA6A9" w:rsidR="005D1C33" w:rsidRDefault="00237C94" w:rsidP="005D1C33">
            <w:pPr>
              <w:pStyle w:val="Boxbullet"/>
            </w:pPr>
            <w:r w:rsidRPr="00227C27">
              <w:rPr>
                <w:b/>
                <w:bCs/>
              </w:rPr>
              <w:t>W</w:t>
            </w:r>
            <w:r w:rsidR="005D1C33" w:rsidRPr="00227C27">
              <w:rPr>
                <w:b/>
                <w:bCs/>
              </w:rPr>
              <w:t>ood waste and solid fuels</w:t>
            </w:r>
            <w:r w:rsidR="005D1C33">
              <w:t xml:space="preserve">: </w:t>
            </w:r>
            <w:r>
              <w:t>W</w:t>
            </w:r>
            <w:r w:rsidR="005D1C33">
              <w:t>ood biomass (primarily from forestry slash and</w:t>
            </w:r>
            <w:r w:rsidR="00BB344B">
              <w:t>,</w:t>
            </w:r>
            <w:r w:rsidR="005D1C33">
              <w:t xml:space="preserve"> to a lesser extent</w:t>
            </w:r>
            <w:r w:rsidR="00BB344B">
              <w:t>,</w:t>
            </w:r>
            <w:r w:rsidR="005D1C33">
              <w:t xml:space="preserve"> sawmill by-products) is the </w:t>
            </w:r>
            <w:proofErr w:type="gramStart"/>
            <w:r w:rsidR="005D1C33">
              <w:t>most commonly used</w:t>
            </w:r>
            <w:proofErr w:type="gramEnd"/>
            <w:r w:rsidR="005D1C33">
              <w:t xml:space="preserve"> biofuel in </w:t>
            </w:r>
            <w:r w:rsidR="00BB344B">
              <w:t>Aotearoa</w:t>
            </w:r>
            <w:r w:rsidR="005D1C33">
              <w:t xml:space="preserve"> </w:t>
            </w:r>
            <w:r w:rsidR="00F3667F">
              <w:t xml:space="preserve">(Eunomia, 2023, p 130). </w:t>
            </w:r>
            <w:r w:rsidR="002B2B65">
              <w:t>Eunomia (2023) estimated s</w:t>
            </w:r>
            <w:r w:rsidR="005D1C33">
              <w:t>uch biomass to supply in the order of 8.5 per cent of total energy supply</w:t>
            </w:r>
            <w:r w:rsidR="002B2B65">
              <w:t>, based on figures in Ministry of Business, Innovation &amp; Employment</w:t>
            </w:r>
            <w:r w:rsidR="00860F40">
              <w:t xml:space="preserve"> (</w:t>
            </w:r>
            <w:r w:rsidR="002B2B65">
              <w:t>20</w:t>
            </w:r>
            <w:r w:rsidR="00860F40">
              <w:t>20).</w:t>
            </w:r>
            <w:r w:rsidR="005D1C33">
              <w:t xml:space="preserve"> Waste tyres are also a potential energy source. In 2021, Golden Bay Cement completed a project (supported with $16 million of funding from the WMF) </w:t>
            </w:r>
            <w:r w:rsidR="00750DE9">
              <w:t xml:space="preserve">that </w:t>
            </w:r>
            <w:r w:rsidR="005D1C33">
              <w:t>will avoid up to three million used tyres going to landfill each year. The tyres are instead used as a tyre-derived fuel in the cement plant, reducing coal and iron sands use, and associated emissions (Fletcher Building, 2021).</w:t>
            </w:r>
            <w:r w:rsidR="00763AC4">
              <w:t xml:space="preserve"> </w:t>
            </w:r>
          </w:p>
          <w:p w14:paraId="1419BA0C" w14:textId="2C9C6093" w:rsidR="005D1C33" w:rsidRPr="00C15722" w:rsidRDefault="00A7270A" w:rsidP="005D1C33">
            <w:pPr>
              <w:pStyle w:val="Boxbullet"/>
            </w:pPr>
            <w:r w:rsidRPr="00227C27">
              <w:rPr>
                <w:b/>
                <w:bCs/>
              </w:rPr>
              <w:t>E</w:t>
            </w:r>
            <w:r w:rsidR="005D1C33" w:rsidRPr="00227C27">
              <w:rPr>
                <w:b/>
                <w:bCs/>
              </w:rPr>
              <w:t>nergy from residual waste</w:t>
            </w:r>
            <w:r w:rsidR="005D1C33">
              <w:t>: there is no large-scale incineration or other form of energy generation from mixed waste in</w:t>
            </w:r>
            <w:r>
              <w:t xml:space="preserve"> Aotearoa</w:t>
            </w:r>
            <w:r w:rsidR="005D1C33">
              <w:t xml:space="preserve"> at present, although there have been, and continue to be, </w:t>
            </w:r>
            <w:proofErr w:type="gramStart"/>
            <w:r w:rsidR="005D1C33">
              <w:t>a number of</w:t>
            </w:r>
            <w:proofErr w:type="gramEnd"/>
            <w:r w:rsidR="005D1C33">
              <w:t xml:space="preserve"> efforts to establish such facilities.</w:t>
            </w:r>
          </w:p>
        </w:tc>
      </w:tr>
    </w:tbl>
    <w:p w14:paraId="1439826C" w14:textId="77777777" w:rsidR="000A511F" w:rsidRDefault="000A511F" w:rsidP="00616FDE">
      <w:pPr>
        <w:pStyle w:val="BodyText"/>
      </w:pPr>
    </w:p>
    <w:p w14:paraId="260DF1F0" w14:textId="77777777" w:rsidR="00616FDE" w:rsidRDefault="00616FDE" w:rsidP="00616FDE">
      <w:pPr>
        <w:pStyle w:val="Heading2"/>
      </w:pPr>
      <w:bookmarkStart w:id="44" w:name="_Achieving_waste_minimisation"/>
      <w:bookmarkStart w:id="45" w:name="_Toc177022843"/>
      <w:bookmarkEnd w:id="44"/>
      <w:r>
        <w:t>Achieving waste minimisation through investment of the levy</w:t>
      </w:r>
      <w:bookmarkEnd w:id="45"/>
    </w:p>
    <w:p w14:paraId="00075E08" w14:textId="77777777" w:rsidR="00616FDE" w:rsidRDefault="00616FDE" w:rsidP="00616FDE">
      <w:pPr>
        <w:pStyle w:val="Heading3"/>
      </w:pPr>
      <w:r>
        <w:t>Investment outcomes</w:t>
      </w:r>
    </w:p>
    <w:p w14:paraId="35AF0437" w14:textId="56A98D19" w:rsidR="00616FDE" w:rsidRDefault="00616FDE" w:rsidP="00616FDE">
      <w:pPr>
        <w:pStyle w:val="BodyText"/>
      </w:pPr>
      <w:r>
        <w:t>The purpose of imposing a levy on waste disposed of in landfills is to increase the cost of waste disposal, to recognise that disposal imposes costs on the environment, society and the economy; and to raise revenue for promoting and achieving waste minimisation. Both central and local government invest the levy to promote and achieve waste minimisation, and the outcomes achieved by that investment are an important component of the overall effectiveness of the levy.</w:t>
      </w:r>
    </w:p>
    <w:p w14:paraId="16418B60" w14:textId="03C9A2A8" w:rsidR="00616FDE" w:rsidRDefault="00616FDE" w:rsidP="00616FDE">
      <w:pPr>
        <w:pStyle w:val="BodyText"/>
      </w:pPr>
      <w:r>
        <w:t xml:space="preserve">Within this review period (covering </w:t>
      </w:r>
      <w:r w:rsidR="00CA74D5">
        <w:t xml:space="preserve">the </w:t>
      </w:r>
      <w:r>
        <w:t>2020 to 2022 calendar years), 51 projects were funded by the WMF, with a total of</w:t>
      </w:r>
      <w:r w:rsidR="00CA74D5">
        <w:t xml:space="preserve"> over</w:t>
      </w:r>
      <w:r>
        <w:t xml:space="preserve"> $20</w:t>
      </w:r>
      <w:r w:rsidR="00CA74D5">
        <w:t>.</w:t>
      </w:r>
      <w:r w:rsidR="002F4C80">
        <w:t xml:space="preserve">2 </w:t>
      </w:r>
      <w:r>
        <w:t>million in funding approved for 46 organisations.</w:t>
      </w:r>
      <w:r w:rsidR="00AD4AD3" w:rsidDel="00AD4AD3">
        <w:t xml:space="preserve"> </w:t>
      </w:r>
      <w:r>
        <w:t xml:space="preserve"> </w:t>
      </w:r>
      <w:r w:rsidR="002F4C80">
        <w:lastRenderedPageBreak/>
        <w:t xml:space="preserve">Additional </w:t>
      </w:r>
      <w:r>
        <w:t xml:space="preserve">third-party funding </w:t>
      </w:r>
      <w:r w:rsidR="002F4C80">
        <w:t xml:space="preserve">of </w:t>
      </w:r>
      <w:r w:rsidR="00AD4AD3">
        <w:t xml:space="preserve">over $16.5 million </w:t>
      </w:r>
      <w:r>
        <w:t xml:space="preserve">was unlocked with this investment. For the PIF, </w:t>
      </w:r>
      <w:r w:rsidR="000778E7">
        <w:t xml:space="preserve">7 </w:t>
      </w:r>
      <w:r>
        <w:t xml:space="preserve">projects were funded, with a total of </w:t>
      </w:r>
      <w:r w:rsidR="000778E7">
        <w:t xml:space="preserve">over </w:t>
      </w:r>
      <w:r>
        <w:t>$7</w:t>
      </w:r>
      <w:r w:rsidR="000778E7">
        <w:t>.6</w:t>
      </w:r>
      <w:r>
        <w:t xml:space="preserve"> million in funding approved for </w:t>
      </w:r>
      <w:r w:rsidR="000778E7">
        <w:t xml:space="preserve">7 </w:t>
      </w:r>
      <w:r>
        <w:t xml:space="preserve">organisations (since the fund opened in November 2021). The types of projects funded by both funds are outlined in </w:t>
      </w:r>
      <w:r w:rsidR="000778E7">
        <w:fldChar w:fldCharType="begin"/>
      </w:r>
      <w:r w:rsidR="000778E7">
        <w:instrText xml:space="preserve"> REF _Ref153524530 \h \* lower </w:instrText>
      </w:r>
      <w:r w:rsidR="000778E7">
        <w:fldChar w:fldCharType="separate"/>
      </w:r>
      <w:r w:rsidR="00587F2B">
        <w:t xml:space="preserve">table </w:t>
      </w:r>
      <w:r w:rsidR="00587F2B">
        <w:rPr>
          <w:noProof/>
        </w:rPr>
        <w:t>9</w:t>
      </w:r>
      <w:r w:rsidR="000778E7">
        <w:fldChar w:fldCharType="end"/>
      </w:r>
      <w:r>
        <w:t>.</w:t>
      </w:r>
    </w:p>
    <w:p w14:paraId="6A2B15E5" w14:textId="7966EF40" w:rsidR="000778E7" w:rsidRDefault="000778E7" w:rsidP="00D2711E">
      <w:pPr>
        <w:pStyle w:val="Tableheading"/>
      </w:pPr>
      <w:bookmarkStart w:id="46" w:name="_Ref153524530"/>
      <w:bookmarkStart w:id="47" w:name="_Toc177022857"/>
      <w:r>
        <w:t xml:space="preserve">Table </w:t>
      </w:r>
      <w:r>
        <w:fldChar w:fldCharType="begin"/>
      </w:r>
      <w:r>
        <w:instrText xml:space="preserve"> SEQ Table \* ARABIC </w:instrText>
      </w:r>
      <w:r>
        <w:fldChar w:fldCharType="separate"/>
      </w:r>
      <w:r w:rsidR="00587F2B">
        <w:rPr>
          <w:noProof/>
        </w:rPr>
        <w:t>9</w:t>
      </w:r>
      <w:r>
        <w:rPr>
          <w:noProof/>
        </w:rPr>
        <w:fldChar w:fldCharType="end"/>
      </w:r>
      <w:bookmarkEnd w:id="46"/>
      <w:r>
        <w:t xml:space="preserve">: </w:t>
      </w:r>
      <w:r>
        <w:tab/>
      </w:r>
      <w:r w:rsidRPr="0009399F">
        <w:t>Summary of WMF and PIF funding (2020 to 2022)</w:t>
      </w:r>
      <w:bookmarkEnd w:id="47"/>
    </w:p>
    <w:tbl>
      <w:tblPr>
        <w:tblStyle w:val="MinistryfortheEnvironment"/>
        <w:tblW w:w="0" w:type="auto"/>
        <w:tblLook w:val="04A0" w:firstRow="1" w:lastRow="0" w:firstColumn="1" w:lastColumn="0" w:noHBand="0" w:noVBand="1"/>
      </w:tblPr>
      <w:tblGrid>
        <w:gridCol w:w="1879"/>
        <w:gridCol w:w="1347"/>
        <w:gridCol w:w="1474"/>
        <w:gridCol w:w="1845"/>
        <w:gridCol w:w="1960"/>
      </w:tblGrid>
      <w:tr w:rsidR="00616FDE" w14:paraId="67AE9407" w14:textId="77777777" w:rsidTr="00227C27">
        <w:trPr>
          <w:cnfStyle w:val="100000000000" w:firstRow="1" w:lastRow="0" w:firstColumn="0" w:lastColumn="0" w:oddVBand="0" w:evenVBand="0" w:oddHBand="0" w:evenHBand="0" w:firstRowFirstColumn="0" w:firstRowLastColumn="0" w:lastRowFirstColumn="0" w:lastRowLastColumn="0"/>
        </w:trPr>
        <w:tc>
          <w:tcPr>
            <w:tcW w:w="1879" w:type="dxa"/>
            <w:shd w:val="clear" w:color="auto" w:fill="1B556B"/>
          </w:tcPr>
          <w:p w14:paraId="0B980BE1" w14:textId="77777777" w:rsidR="00616FDE" w:rsidRDefault="00616FDE">
            <w:pPr>
              <w:pStyle w:val="TableText"/>
            </w:pPr>
          </w:p>
        </w:tc>
        <w:tc>
          <w:tcPr>
            <w:tcW w:w="2821" w:type="dxa"/>
            <w:gridSpan w:val="2"/>
            <w:shd w:val="clear" w:color="auto" w:fill="1B556B"/>
            <w:vAlign w:val="center"/>
          </w:tcPr>
          <w:p w14:paraId="630C6DA9" w14:textId="77777777" w:rsidR="00616FDE" w:rsidRDefault="00616FDE">
            <w:pPr>
              <w:pStyle w:val="TableText"/>
              <w:jc w:val="center"/>
            </w:pPr>
            <w:r>
              <w:t>WMF</w:t>
            </w:r>
          </w:p>
        </w:tc>
        <w:tc>
          <w:tcPr>
            <w:tcW w:w="3805" w:type="dxa"/>
            <w:gridSpan w:val="2"/>
            <w:shd w:val="clear" w:color="auto" w:fill="1B556B"/>
          </w:tcPr>
          <w:p w14:paraId="6ED7CBB3" w14:textId="77777777" w:rsidR="00616FDE" w:rsidRDefault="00616FDE">
            <w:pPr>
              <w:pStyle w:val="TableText"/>
              <w:jc w:val="center"/>
            </w:pPr>
            <w:r>
              <w:t>PIF*</w:t>
            </w:r>
          </w:p>
        </w:tc>
      </w:tr>
      <w:tr w:rsidR="00616FDE" w:rsidRPr="00E14FB2" w14:paraId="71AE869E" w14:textId="77777777" w:rsidTr="00227C27">
        <w:tc>
          <w:tcPr>
            <w:tcW w:w="1879" w:type="dxa"/>
            <w:shd w:val="clear" w:color="auto" w:fill="1B556B"/>
          </w:tcPr>
          <w:p w14:paraId="2F71B014" w14:textId="77777777" w:rsidR="00616FDE" w:rsidRPr="00E14FB2" w:rsidRDefault="00616FDE">
            <w:pPr>
              <w:pStyle w:val="TableText"/>
              <w:rPr>
                <w:b/>
                <w:bCs/>
                <w:color w:val="FFFFFF" w:themeColor="background1"/>
              </w:rPr>
            </w:pPr>
            <w:r w:rsidRPr="00E14FB2">
              <w:rPr>
                <w:b/>
                <w:bCs/>
                <w:color w:val="FFFFFF" w:themeColor="background1"/>
              </w:rPr>
              <w:t>Project type</w:t>
            </w:r>
          </w:p>
        </w:tc>
        <w:tc>
          <w:tcPr>
            <w:tcW w:w="1347" w:type="dxa"/>
            <w:shd w:val="clear" w:color="auto" w:fill="1B556B"/>
            <w:vAlign w:val="center"/>
          </w:tcPr>
          <w:p w14:paraId="377CB972" w14:textId="77777777" w:rsidR="00616FDE" w:rsidRPr="00E14FB2" w:rsidRDefault="00616FDE" w:rsidP="00227C27">
            <w:pPr>
              <w:pStyle w:val="TableText"/>
              <w:jc w:val="center"/>
              <w:rPr>
                <w:b/>
                <w:bCs/>
                <w:color w:val="FFFFFF" w:themeColor="background1"/>
              </w:rPr>
            </w:pPr>
            <w:r w:rsidRPr="00E14FB2">
              <w:rPr>
                <w:b/>
                <w:bCs/>
                <w:color w:val="FFFFFF" w:themeColor="background1"/>
              </w:rPr>
              <w:t>Count</w:t>
            </w:r>
          </w:p>
        </w:tc>
        <w:tc>
          <w:tcPr>
            <w:tcW w:w="1474" w:type="dxa"/>
            <w:shd w:val="clear" w:color="auto" w:fill="1B556B"/>
            <w:vAlign w:val="center"/>
          </w:tcPr>
          <w:p w14:paraId="46E31D82" w14:textId="77777777" w:rsidR="00616FDE" w:rsidRPr="00E14FB2" w:rsidRDefault="00616FDE" w:rsidP="00227C27">
            <w:pPr>
              <w:pStyle w:val="TableText"/>
              <w:jc w:val="center"/>
              <w:rPr>
                <w:b/>
                <w:bCs/>
                <w:color w:val="FFFFFF" w:themeColor="background1"/>
              </w:rPr>
            </w:pPr>
            <w:r w:rsidRPr="00E14FB2">
              <w:rPr>
                <w:b/>
                <w:bCs/>
                <w:color w:val="FFFFFF" w:themeColor="background1"/>
              </w:rPr>
              <w:t>Value</w:t>
            </w:r>
          </w:p>
        </w:tc>
        <w:tc>
          <w:tcPr>
            <w:tcW w:w="1845" w:type="dxa"/>
            <w:shd w:val="clear" w:color="auto" w:fill="1B556B"/>
            <w:vAlign w:val="center"/>
          </w:tcPr>
          <w:p w14:paraId="11EFEEED" w14:textId="77777777" w:rsidR="00616FDE" w:rsidRPr="00E14FB2" w:rsidRDefault="00616FDE" w:rsidP="00227C27">
            <w:pPr>
              <w:pStyle w:val="TableText"/>
              <w:jc w:val="center"/>
              <w:rPr>
                <w:b/>
                <w:bCs/>
                <w:color w:val="FFFFFF" w:themeColor="background1"/>
              </w:rPr>
            </w:pPr>
            <w:r w:rsidRPr="00E14FB2">
              <w:rPr>
                <w:b/>
                <w:bCs/>
                <w:color w:val="FFFFFF" w:themeColor="background1"/>
              </w:rPr>
              <w:t>Count</w:t>
            </w:r>
          </w:p>
        </w:tc>
        <w:tc>
          <w:tcPr>
            <w:tcW w:w="1960" w:type="dxa"/>
            <w:shd w:val="clear" w:color="auto" w:fill="1B556B"/>
            <w:vAlign w:val="center"/>
          </w:tcPr>
          <w:p w14:paraId="3CADC6C0" w14:textId="77777777" w:rsidR="00616FDE" w:rsidRPr="00E14FB2" w:rsidRDefault="00616FDE" w:rsidP="00227C27">
            <w:pPr>
              <w:pStyle w:val="TableText"/>
              <w:jc w:val="center"/>
              <w:rPr>
                <w:b/>
                <w:bCs/>
                <w:color w:val="FFFFFF" w:themeColor="background1"/>
              </w:rPr>
            </w:pPr>
            <w:r w:rsidRPr="00E14FB2">
              <w:rPr>
                <w:b/>
                <w:bCs/>
                <w:color w:val="FFFFFF" w:themeColor="background1"/>
              </w:rPr>
              <w:t>Value</w:t>
            </w:r>
          </w:p>
        </w:tc>
      </w:tr>
      <w:tr w:rsidR="00616FDE" w14:paraId="4C73AC00" w14:textId="77777777" w:rsidTr="00227C27">
        <w:tc>
          <w:tcPr>
            <w:tcW w:w="1879" w:type="dxa"/>
          </w:tcPr>
          <w:p w14:paraId="4F6F578E" w14:textId="77777777" w:rsidR="00616FDE" w:rsidRDefault="00616FDE">
            <w:pPr>
              <w:pStyle w:val="TableText"/>
            </w:pPr>
            <w:r>
              <w:t>Community</w:t>
            </w:r>
          </w:p>
        </w:tc>
        <w:tc>
          <w:tcPr>
            <w:tcW w:w="1347" w:type="dxa"/>
            <w:vAlign w:val="center"/>
          </w:tcPr>
          <w:p w14:paraId="7D7EBBAC" w14:textId="77777777" w:rsidR="00616FDE" w:rsidRDefault="00616FDE" w:rsidP="00227C27">
            <w:pPr>
              <w:pStyle w:val="TableText"/>
              <w:jc w:val="right"/>
            </w:pPr>
            <w:r>
              <w:t>7</w:t>
            </w:r>
          </w:p>
        </w:tc>
        <w:tc>
          <w:tcPr>
            <w:tcW w:w="1474" w:type="dxa"/>
            <w:vAlign w:val="center"/>
          </w:tcPr>
          <w:p w14:paraId="01F2B491" w14:textId="77777777" w:rsidR="00616FDE" w:rsidRDefault="00616FDE" w:rsidP="00227C27">
            <w:pPr>
              <w:pStyle w:val="TableText"/>
              <w:jc w:val="right"/>
            </w:pPr>
            <w:r>
              <w:t>$1,113,946</w:t>
            </w:r>
          </w:p>
        </w:tc>
        <w:tc>
          <w:tcPr>
            <w:tcW w:w="1845" w:type="dxa"/>
            <w:vAlign w:val="center"/>
          </w:tcPr>
          <w:p w14:paraId="5705D48C" w14:textId="77777777" w:rsidR="00616FDE" w:rsidRDefault="00616FDE" w:rsidP="00227C27">
            <w:pPr>
              <w:pStyle w:val="TableText"/>
              <w:jc w:val="right"/>
            </w:pPr>
          </w:p>
        </w:tc>
        <w:tc>
          <w:tcPr>
            <w:tcW w:w="1960" w:type="dxa"/>
            <w:vAlign w:val="center"/>
          </w:tcPr>
          <w:p w14:paraId="15B7EFB5" w14:textId="77777777" w:rsidR="00616FDE" w:rsidRDefault="00616FDE" w:rsidP="00227C27">
            <w:pPr>
              <w:pStyle w:val="TableText"/>
              <w:jc w:val="right"/>
            </w:pPr>
          </w:p>
        </w:tc>
      </w:tr>
      <w:tr w:rsidR="00616FDE" w14:paraId="0012FFFB" w14:textId="77777777" w:rsidTr="00227C27">
        <w:tc>
          <w:tcPr>
            <w:tcW w:w="1879" w:type="dxa"/>
          </w:tcPr>
          <w:p w14:paraId="0C9A4D27" w14:textId="77777777" w:rsidR="00616FDE" w:rsidRDefault="00616FDE">
            <w:pPr>
              <w:pStyle w:val="TableText"/>
            </w:pPr>
            <w:r>
              <w:t>Data collection and analysis</w:t>
            </w:r>
          </w:p>
        </w:tc>
        <w:tc>
          <w:tcPr>
            <w:tcW w:w="1347" w:type="dxa"/>
            <w:vAlign w:val="center"/>
          </w:tcPr>
          <w:p w14:paraId="168E79C8" w14:textId="77777777" w:rsidR="00616FDE" w:rsidRDefault="00616FDE" w:rsidP="00227C27">
            <w:pPr>
              <w:pStyle w:val="TableText"/>
              <w:jc w:val="right"/>
            </w:pPr>
            <w:r>
              <w:t>1</w:t>
            </w:r>
          </w:p>
        </w:tc>
        <w:tc>
          <w:tcPr>
            <w:tcW w:w="1474" w:type="dxa"/>
            <w:vAlign w:val="center"/>
          </w:tcPr>
          <w:p w14:paraId="72E2B25D" w14:textId="77777777" w:rsidR="00616FDE" w:rsidRDefault="00616FDE" w:rsidP="00227C27">
            <w:pPr>
              <w:pStyle w:val="TableText"/>
              <w:jc w:val="right"/>
            </w:pPr>
            <w:r>
              <w:t>$80,000</w:t>
            </w:r>
          </w:p>
        </w:tc>
        <w:tc>
          <w:tcPr>
            <w:tcW w:w="1845" w:type="dxa"/>
            <w:vAlign w:val="center"/>
          </w:tcPr>
          <w:p w14:paraId="7DE18946" w14:textId="77777777" w:rsidR="00616FDE" w:rsidRDefault="00616FDE" w:rsidP="00227C27">
            <w:pPr>
              <w:pStyle w:val="TableText"/>
              <w:jc w:val="right"/>
            </w:pPr>
          </w:p>
        </w:tc>
        <w:tc>
          <w:tcPr>
            <w:tcW w:w="1960" w:type="dxa"/>
            <w:vAlign w:val="center"/>
          </w:tcPr>
          <w:p w14:paraId="505C4D6C" w14:textId="77777777" w:rsidR="00616FDE" w:rsidRDefault="00616FDE" w:rsidP="00227C27">
            <w:pPr>
              <w:pStyle w:val="TableText"/>
              <w:jc w:val="right"/>
            </w:pPr>
          </w:p>
        </w:tc>
      </w:tr>
      <w:tr w:rsidR="00616FDE" w14:paraId="3C8ABCA0" w14:textId="77777777" w:rsidTr="00227C27">
        <w:tc>
          <w:tcPr>
            <w:tcW w:w="1879" w:type="dxa"/>
          </w:tcPr>
          <w:p w14:paraId="73F2E831" w14:textId="77777777" w:rsidR="00616FDE" w:rsidRDefault="00616FDE">
            <w:pPr>
              <w:pStyle w:val="TableText"/>
            </w:pPr>
            <w:r>
              <w:t>Education and awareness</w:t>
            </w:r>
          </w:p>
        </w:tc>
        <w:tc>
          <w:tcPr>
            <w:tcW w:w="1347" w:type="dxa"/>
            <w:vAlign w:val="center"/>
          </w:tcPr>
          <w:p w14:paraId="48C29FDB" w14:textId="77777777" w:rsidR="00616FDE" w:rsidRDefault="00616FDE" w:rsidP="00227C27">
            <w:pPr>
              <w:pStyle w:val="TableText"/>
              <w:jc w:val="right"/>
            </w:pPr>
            <w:r>
              <w:t>3</w:t>
            </w:r>
          </w:p>
        </w:tc>
        <w:tc>
          <w:tcPr>
            <w:tcW w:w="1474" w:type="dxa"/>
            <w:vAlign w:val="center"/>
          </w:tcPr>
          <w:p w14:paraId="6D7B6601" w14:textId="77777777" w:rsidR="00616FDE" w:rsidRDefault="00616FDE" w:rsidP="00227C27">
            <w:pPr>
              <w:pStyle w:val="TableText"/>
              <w:jc w:val="right"/>
            </w:pPr>
            <w:r>
              <w:t>$737,892</w:t>
            </w:r>
          </w:p>
        </w:tc>
        <w:tc>
          <w:tcPr>
            <w:tcW w:w="1845" w:type="dxa"/>
            <w:vAlign w:val="center"/>
          </w:tcPr>
          <w:p w14:paraId="32051F36" w14:textId="77777777" w:rsidR="00616FDE" w:rsidRDefault="00616FDE" w:rsidP="00227C27">
            <w:pPr>
              <w:pStyle w:val="TableText"/>
              <w:jc w:val="right"/>
            </w:pPr>
          </w:p>
        </w:tc>
        <w:tc>
          <w:tcPr>
            <w:tcW w:w="1960" w:type="dxa"/>
            <w:vAlign w:val="center"/>
          </w:tcPr>
          <w:p w14:paraId="098B355C" w14:textId="77777777" w:rsidR="00616FDE" w:rsidRDefault="00616FDE" w:rsidP="00227C27">
            <w:pPr>
              <w:pStyle w:val="TableText"/>
              <w:jc w:val="right"/>
            </w:pPr>
          </w:p>
        </w:tc>
      </w:tr>
      <w:tr w:rsidR="00616FDE" w14:paraId="13CD70D3" w14:textId="77777777" w:rsidTr="00227C27">
        <w:tc>
          <w:tcPr>
            <w:tcW w:w="1879" w:type="dxa"/>
          </w:tcPr>
          <w:p w14:paraId="3173146D" w14:textId="77777777" w:rsidR="00616FDE" w:rsidRDefault="00616FDE">
            <w:pPr>
              <w:pStyle w:val="TableText"/>
            </w:pPr>
            <w:r>
              <w:t>Services</w:t>
            </w:r>
          </w:p>
        </w:tc>
        <w:tc>
          <w:tcPr>
            <w:tcW w:w="1347" w:type="dxa"/>
            <w:vAlign w:val="center"/>
          </w:tcPr>
          <w:p w14:paraId="26E36C52" w14:textId="77777777" w:rsidR="00616FDE" w:rsidRDefault="00616FDE" w:rsidP="00227C27">
            <w:pPr>
              <w:pStyle w:val="TableText"/>
              <w:jc w:val="right"/>
            </w:pPr>
            <w:r>
              <w:t>8</w:t>
            </w:r>
          </w:p>
        </w:tc>
        <w:tc>
          <w:tcPr>
            <w:tcW w:w="1474" w:type="dxa"/>
            <w:vAlign w:val="center"/>
          </w:tcPr>
          <w:p w14:paraId="7DBF4DA4" w14:textId="77777777" w:rsidR="00616FDE" w:rsidRDefault="00616FDE" w:rsidP="00227C27">
            <w:pPr>
              <w:pStyle w:val="TableText"/>
              <w:jc w:val="right"/>
            </w:pPr>
            <w:r>
              <w:t>$2,464,201</w:t>
            </w:r>
          </w:p>
        </w:tc>
        <w:tc>
          <w:tcPr>
            <w:tcW w:w="1845" w:type="dxa"/>
            <w:vAlign w:val="center"/>
          </w:tcPr>
          <w:p w14:paraId="2F129433" w14:textId="77777777" w:rsidR="00616FDE" w:rsidRDefault="00616FDE" w:rsidP="00227C27">
            <w:pPr>
              <w:pStyle w:val="TableText"/>
              <w:jc w:val="right"/>
            </w:pPr>
          </w:p>
        </w:tc>
        <w:tc>
          <w:tcPr>
            <w:tcW w:w="1960" w:type="dxa"/>
            <w:vAlign w:val="center"/>
          </w:tcPr>
          <w:p w14:paraId="76CC39AC" w14:textId="77777777" w:rsidR="00616FDE" w:rsidRDefault="00616FDE" w:rsidP="00227C27">
            <w:pPr>
              <w:pStyle w:val="TableText"/>
              <w:jc w:val="right"/>
            </w:pPr>
          </w:p>
        </w:tc>
      </w:tr>
      <w:tr w:rsidR="00616FDE" w14:paraId="6BDECBD9" w14:textId="77777777" w:rsidTr="00227C27">
        <w:tc>
          <w:tcPr>
            <w:tcW w:w="1879" w:type="dxa"/>
          </w:tcPr>
          <w:p w14:paraId="4B6E1383" w14:textId="06372C88" w:rsidR="00616FDE" w:rsidRDefault="00616FDE">
            <w:pPr>
              <w:pStyle w:val="TableText"/>
            </w:pPr>
            <w:r>
              <w:t>Feasibility or investigative</w:t>
            </w:r>
            <w:r w:rsidR="00D06818">
              <w:t xml:space="preserve"> review</w:t>
            </w:r>
          </w:p>
        </w:tc>
        <w:tc>
          <w:tcPr>
            <w:tcW w:w="1347" w:type="dxa"/>
            <w:vAlign w:val="center"/>
          </w:tcPr>
          <w:p w14:paraId="58EF5FA8" w14:textId="77777777" w:rsidR="00616FDE" w:rsidRDefault="00616FDE" w:rsidP="00227C27">
            <w:pPr>
              <w:pStyle w:val="TableText"/>
              <w:jc w:val="right"/>
            </w:pPr>
            <w:r>
              <w:t>12</w:t>
            </w:r>
          </w:p>
        </w:tc>
        <w:tc>
          <w:tcPr>
            <w:tcW w:w="1474" w:type="dxa"/>
            <w:vAlign w:val="center"/>
          </w:tcPr>
          <w:p w14:paraId="72358C6A" w14:textId="77777777" w:rsidR="00616FDE" w:rsidRDefault="00616FDE" w:rsidP="00227C27">
            <w:pPr>
              <w:pStyle w:val="TableText"/>
              <w:jc w:val="right"/>
            </w:pPr>
            <w:r>
              <w:t>$2,411,151</w:t>
            </w:r>
          </w:p>
        </w:tc>
        <w:tc>
          <w:tcPr>
            <w:tcW w:w="1845" w:type="dxa"/>
            <w:vAlign w:val="center"/>
          </w:tcPr>
          <w:p w14:paraId="0B58BD4A" w14:textId="77777777" w:rsidR="00616FDE" w:rsidRDefault="00616FDE" w:rsidP="00227C27">
            <w:pPr>
              <w:pStyle w:val="TableText"/>
              <w:jc w:val="right"/>
            </w:pPr>
          </w:p>
        </w:tc>
        <w:tc>
          <w:tcPr>
            <w:tcW w:w="1960" w:type="dxa"/>
            <w:vAlign w:val="center"/>
          </w:tcPr>
          <w:p w14:paraId="6662803F" w14:textId="77777777" w:rsidR="00616FDE" w:rsidRDefault="00616FDE" w:rsidP="00227C27">
            <w:pPr>
              <w:pStyle w:val="TableText"/>
              <w:jc w:val="right"/>
            </w:pPr>
          </w:p>
        </w:tc>
      </w:tr>
      <w:tr w:rsidR="00616FDE" w14:paraId="00C61990" w14:textId="77777777" w:rsidTr="00227C27">
        <w:tc>
          <w:tcPr>
            <w:tcW w:w="1879" w:type="dxa"/>
          </w:tcPr>
          <w:p w14:paraId="5D3F314D" w14:textId="77777777" w:rsidR="00616FDE" w:rsidRDefault="00616FDE">
            <w:pPr>
              <w:pStyle w:val="TableText"/>
            </w:pPr>
            <w:r>
              <w:t>Innovation</w:t>
            </w:r>
          </w:p>
        </w:tc>
        <w:tc>
          <w:tcPr>
            <w:tcW w:w="1347" w:type="dxa"/>
            <w:vAlign w:val="center"/>
          </w:tcPr>
          <w:p w14:paraId="5C533F59" w14:textId="77777777" w:rsidR="00616FDE" w:rsidRDefault="00616FDE" w:rsidP="00227C27">
            <w:pPr>
              <w:pStyle w:val="TableText"/>
              <w:jc w:val="right"/>
            </w:pPr>
          </w:p>
        </w:tc>
        <w:tc>
          <w:tcPr>
            <w:tcW w:w="1474" w:type="dxa"/>
            <w:vAlign w:val="center"/>
          </w:tcPr>
          <w:p w14:paraId="00B21426" w14:textId="77777777" w:rsidR="00616FDE" w:rsidRDefault="00616FDE" w:rsidP="00227C27">
            <w:pPr>
              <w:pStyle w:val="TableText"/>
              <w:jc w:val="right"/>
            </w:pPr>
          </w:p>
        </w:tc>
        <w:tc>
          <w:tcPr>
            <w:tcW w:w="1845" w:type="dxa"/>
            <w:vAlign w:val="center"/>
          </w:tcPr>
          <w:p w14:paraId="4ABBAEFA" w14:textId="77777777" w:rsidR="00616FDE" w:rsidRDefault="00616FDE" w:rsidP="00227C27">
            <w:pPr>
              <w:pStyle w:val="TableText"/>
              <w:jc w:val="right"/>
            </w:pPr>
            <w:r>
              <w:t>4</w:t>
            </w:r>
          </w:p>
        </w:tc>
        <w:tc>
          <w:tcPr>
            <w:tcW w:w="1960" w:type="dxa"/>
            <w:vAlign w:val="center"/>
          </w:tcPr>
          <w:p w14:paraId="1D347701" w14:textId="77777777" w:rsidR="00616FDE" w:rsidRDefault="00616FDE" w:rsidP="00227C27">
            <w:pPr>
              <w:pStyle w:val="TableText"/>
              <w:jc w:val="right"/>
            </w:pPr>
            <w:r>
              <w:t>$1,261,558</w:t>
            </w:r>
          </w:p>
        </w:tc>
      </w:tr>
      <w:tr w:rsidR="00616FDE" w14:paraId="1A83FA00" w14:textId="77777777" w:rsidTr="00227C27">
        <w:tc>
          <w:tcPr>
            <w:tcW w:w="1879" w:type="dxa"/>
          </w:tcPr>
          <w:p w14:paraId="4ACF65A1" w14:textId="77777777" w:rsidR="00616FDE" w:rsidRDefault="00616FDE">
            <w:pPr>
              <w:pStyle w:val="TableText"/>
            </w:pPr>
            <w:r>
              <w:t>Infrastructure</w:t>
            </w:r>
          </w:p>
        </w:tc>
        <w:tc>
          <w:tcPr>
            <w:tcW w:w="1347" w:type="dxa"/>
            <w:vAlign w:val="center"/>
          </w:tcPr>
          <w:p w14:paraId="117AB3CC" w14:textId="77777777" w:rsidR="00616FDE" w:rsidRDefault="00616FDE" w:rsidP="00227C27">
            <w:pPr>
              <w:pStyle w:val="TableText"/>
              <w:jc w:val="right"/>
            </w:pPr>
            <w:r>
              <w:t>20</w:t>
            </w:r>
          </w:p>
        </w:tc>
        <w:tc>
          <w:tcPr>
            <w:tcW w:w="1474" w:type="dxa"/>
            <w:vAlign w:val="center"/>
          </w:tcPr>
          <w:p w14:paraId="2B50640A" w14:textId="77777777" w:rsidR="00616FDE" w:rsidRDefault="00616FDE" w:rsidP="00227C27">
            <w:pPr>
              <w:pStyle w:val="TableText"/>
              <w:jc w:val="right"/>
            </w:pPr>
            <w:r>
              <w:t>$13,446,741</w:t>
            </w:r>
          </w:p>
        </w:tc>
        <w:tc>
          <w:tcPr>
            <w:tcW w:w="1845" w:type="dxa"/>
            <w:vAlign w:val="center"/>
          </w:tcPr>
          <w:p w14:paraId="461A9FAF" w14:textId="77777777" w:rsidR="00616FDE" w:rsidRDefault="00616FDE" w:rsidP="00227C27">
            <w:pPr>
              <w:pStyle w:val="TableText"/>
              <w:jc w:val="right"/>
            </w:pPr>
            <w:r>
              <w:t>3</w:t>
            </w:r>
          </w:p>
        </w:tc>
        <w:tc>
          <w:tcPr>
            <w:tcW w:w="1960" w:type="dxa"/>
            <w:vAlign w:val="center"/>
          </w:tcPr>
          <w:p w14:paraId="066CE46E" w14:textId="77777777" w:rsidR="00616FDE" w:rsidRDefault="00616FDE" w:rsidP="00227C27">
            <w:pPr>
              <w:pStyle w:val="TableText"/>
              <w:jc w:val="right"/>
            </w:pPr>
            <w:r>
              <w:t>$6,349,631</w:t>
            </w:r>
          </w:p>
        </w:tc>
      </w:tr>
      <w:tr w:rsidR="00616FDE" w:rsidRPr="00D06818" w14:paraId="7A7EAA97" w14:textId="77777777" w:rsidTr="00227C27">
        <w:tc>
          <w:tcPr>
            <w:tcW w:w="1879" w:type="dxa"/>
          </w:tcPr>
          <w:p w14:paraId="541A81A7" w14:textId="77777777" w:rsidR="00616FDE" w:rsidRPr="00227C27" w:rsidRDefault="00616FDE">
            <w:pPr>
              <w:pStyle w:val="TableText"/>
              <w:rPr>
                <w:b/>
                <w:bCs/>
              </w:rPr>
            </w:pPr>
            <w:r w:rsidRPr="00227C27">
              <w:rPr>
                <w:b/>
                <w:bCs/>
              </w:rPr>
              <w:t>Total</w:t>
            </w:r>
          </w:p>
        </w:tc>
        <w:tc>
          <w:tcPr>
            <w:tcW w:w="1347" w:type="dxa"/>
            <w:vAlign w:val="center"/>
          </w:tcPr>
          <w:p w14:paraId="17ECD197" w14:textId="77777777" w:rsidR="00616FDE" w:rsidRPr="00227C27" w:rsidRDefault="00616FDE" w:rsidP="00227C27">
            <w:pPr>
              <w:pStyle w:val="TableText"/>
              <w:jc w:val="right"/>
              <w:rPr>
                <w:b/>
                <w:bCs/>
              </w:rPr>
            </w:pPr>
            <w:r w:rsidRPr="00227C27">
              <w:rPr>
                <w:b/>
                <w:bCs/>
              </w:rPr>
              <w:t>51</w:t>
            </w:r>
          </w:p>
        </w:tc>
        <w:tc>
          <w:tcPr>
            <w:tcW w:w="1474" w:type="dxa"/>
            <w:vAlign w:val="center"/>
          </w:tcPr>
          <w:p w14:paraId="7331533C" w14:textId="77777777" w:rsidR="00616FDE" w:rsidRPr="00227C27" w:rsidRDefault="00616FDE" w:rsidP="00227C27">
            <w:pPr>
              <w:pStyle w:val="TableText"/>
              <w:jc w:val="right"/>
              <w:rPr>
                <w:b/>
                <w:bCs/>
              </w:rPr>
            </w:pPr>
            <w:r w:rsidRPr="00227C27">
              <w:rPr>
                <w:b/>
                <w:bCs/>
              </w:rPr>
              <w:t>$20,253,931</w:t>
            </w:r>
          </w:p>
        </w:tc>
        <w:tc>
          <w:tcPr>
            <w:tcW w:w="1845" w:type="dxa"/>
            <w:vAlign w:val="center"/>
          </w:tcPr>
          <w:p w14:paraId="46532CA4" w14:textId="77777777" w:rsidR="00616FDE" w:rsidRPr="00227C27" w:rsidRDefault="00616FDE" w:rsidP="00227C27">
            <w:pPr>
              <w:pStyle w:val="TableText"/>
              <w:jc w:val="right"/>
              <w:rPr>
                <w:b/>
                <w:bCs/>
              </w:rPr>
            </w:pPr>
            <w:r w:rsidRPr="00227C27">
              <w:rPr>
                <w:b/>
                <w:bCs/>
              </w:rPr>
              <w:t>7</w:t>
            </w:r>
          </w:p>
        </w:tc>
        <w:tc>
          <w:tcPr>
            <w:tcW w:w="1960" w:type="dxa"/>
            <w:vAlign w:val="center"/>
          </w:tcPr>
          <w:p w14:paraId="7FE4758D" w14:textId="77777777" w:rsidR="00616FDE" w:rsidRPr="00227C27" w:rsidRDefault="00616FDE" w:rsidP="00227C27">
            <w:pPr>
              <w:pStyle w:val="TableText"/>
              <w:jc w:val="right"/>
              <w:rPr>
                <w:b/>
                <w:bCs/>
              </w:rPr>
            </w:pPr>
            <w:r w:rsidRPr="00227C27">
              <w:rPr>
                <w:b/>
                <w:bCs/>
              </w:rPr>
              <w:t>$7,611,189</w:t>
            </w:r>
          </w:p>
        </w:tc>
      </w:tr>
    </w:tbl>
    <w:p w14:paraId="6863532C" w14:textId="77777777" w:rsidR="00616FDE" w:rsidRDefault="00616FDE" w:rsidP="00EE36A4">
      <w:pPr>
        <w:pStyle w:val="Note"/>
      </w:pPr>
      <w:r>
        <w:t>* PIF data for one year only (2021/22) – PIF first opened in November 2021.</w:t>
      </w:r>
    </w:p>
    <w:p w14:paraId="457AA39D" w14:textId="53647E94" w:rsidR="00616FDE" w:rsidRDefault="00616FDE" w:rsidP="00616FDE">
      <w:pPr>
        <w:pStyle w:val="BodyText"/>
      </w:pPr>
      <w:r>
        <w:t>Projects funded through the WMF and PIF between 2020 and 2022 range from smaller</w:t>
      </w:r>
      <w:r w:rsidR="006F5A6F">
        <w:t>-</w:t>
      </w:r>
      <w:r>
        <w:t xml:space="preserve">scale projects (less than $100,000) such as pilot studies and feasibility studies, to multi-million-dollar infrastructure investments. The overall distribution of investments is outlined in </w:t>
      </w:r>
      <w:r w:rsidR="006F5A6F">
        <w:fldChar w:fldCharType="begin"/>
      </w:r>
      <w:r w:rsidR="006F5A6F">
        <w:instrText xml:space="preserve"> REF _Ref153524673 \h \* lower </w:instrText>
      </w:r>
      <w:r w:rsidR="006F5A6F">
        <w:fldChar w:fldCharType="separate"/>
      </w:r>
      <w:r w:rsidR="00587F2B">
        <w:t xml:space="preserve">table </w:t>
      </w:r>
      <w:r w:rsidR="00587F2B">
        <w:rPr>
          <w:noProof/>
        </w:rPr>
        <w:t>10</w:t>
      </w:r>
      <w:r w:rsidR="006F5A6F">
        <w:fldChar w:fldCharType="end"/>
      </w:r>
      <w:r>
        <w:t xml:space="preserve">. </w:t>
      </w:r>
      <w:r w:rsidR="005623D5">
        <w:fldChar w:fldCharType="begin"/>
      </w:r>
      <w:r w:rsidR="005623D5">
        <w:instrText xml:space="preserve"> REF _Ref153524717 \h </w:instrText>
      </w:r>
      <w:r w:rsidR="005623D5">
        <w:fldChar w:fldCharType="separate"/>
      </w:r>
      <w:r w:rsidR="00587F2B">
        <w:t xml:space="preserve">Table </w:t>
      </w:r>
      <w:r w:rsidR="00587F2B">
        <w:rPr>
          <w:noProof/>
        </w:rPr>
        <w:t>11</w:t>
      </w:r>
      <w:r w:rsidR="005623D5">
        <w:fldChar w:fldCharType="end"/>
      </w:r>
      <w:r>
        <w:t xml:space="preserve"> shows examples of how investments have supported a range of strategic priorities and work programme initiatives.</w:t>
      </w:r>
    </w:p>
    <w:p w14:paraId="63D34473" w14:textId="658C962A" w:rsidR="006F5A6F" w:rsidRDefault="006F5A6F" w:rsidP="00227C27">
      <w:pPr>
        <w:pStyle w:val="Tableheading"/>
      </w:pPr>
      <w:bookmarkStart w:id="48" w:name="_Ref153524673"/>
      <w:bookmarkStart w:id="49" w:name="_Toc177022858"/>
      <w:r>
        <w:t xml:space="preserve">Table </w:t>
      </w:r>
      <w:r>
        <w:fldChar w:fldCharType="begin"/>
      </w:r>
      <w:r>
        <w:instrText xml:space="preserve"> SEQ Table \* ARABIC </w:instrText>
      </w:r>
      <w:r>
        <w:fldChar w:fldCharType="separate"/>
      </w:r>
      <w:r w:rsidR="00587F2B">
        <w:rPr>
          <w:noProof/>
        </w:rPr>
        <w:t>10</w:t>
      </w:r>
      <w:r>
        <w:rPr>
          <w:noProof/>
        </w:rPr>
        <w:fldChar w:fldCharType="end"/>
      </w:r>
      <w:bookmarkEnd w:id="48"/>
      <w:r>
        <w:t xml:space="preserve">: </w:t>
      </w:r>
      <w:r>
        <w:tab/>
      </w:r>
      <w:r w:rsidRPr="00793F42">
        <w:t>Spread of investments by funding amount (PIF and WMF, 2020 to 2022)</w:t>
      </w:r>
      <w:bookmarkEnd w:id="49"/>
    </w:p>
    <w:tbl>
      <w:tblPr>
        <w:tblStyle w:val="MinistryfortheEnvironment"/>
        <w:tblW w:w="8647" w:type="dxa"/>
        <w:tblLook w:val="04A0" w:firstRow="1" w:lastRow="0" w:firstColumn="1" w:lastColumn="0" w:noHBand="0" w:noVBand="1"/>
      </w:tblPr>
      <w:tblGrid>
        <w:gridCol w:w="2815"/>
        <w:gridCol w:w="2585"/>
        <w:gridCol w:w="3247"/>
      </w:tblGrid>
      <w:tr w:rsidR="00337270" w14:paraId="6515A0F8" w14:textId="77777777" w:rsidTr="00227C27">
        <w:trPr>
          <w:cnfStyle w:val="100000000000" w:firstRow="1" w:lastRow="0" w:firstColumn="0" w:lastColumn="0" w:oddVBand="0" w:evenVBand="0" w:oddHBand="0" w:evenHBand="0" w:firstRowFirstColumn="0" w:firstRowLastColumn="0" w:lastRowFirstColumn="0" w:lastRowLastColumn="0"/>
        </w:trPr>
        <w:tc>
          <w:tcPr>
            <w:tcW w:w="0" w:type="dxa"/>
          </w:tcPr>
          <w:p w14:paraId="4CFDF9B7" w14:textId="77777777" w:rsidR="00337270" w:rsidRDefault="00337270">
            <w:pPr>
              <w:pStyle w:val="BodyText"/>
            </w:pPr>
            <w:r>
              <w:t>Funding quantum</w:t>
            </w:r>
          </w:p>
        </w:tc>
        <w:tc>
          <w:tcPr>
            <w:tcW w:w="0" w:type="dxa"/>
            <w:vAlign w:val="center"/>
          </w:tcPr>
          <w:p w14:paraId="4661B3FA" w14:textId="77777777" w:rsidR="00337270" w:rsidRDefault="00337270" w:rsidP="00227C27">
            <w:pPr>
              <w:pStyle w:val="BodyText"/>
              <w:jc w:val="center"/>
            </w:pPr>
            <w:r>
              <w:t>Number of projects funded</w:t>
            </w:r>
          </w:p>
        </w:tc>
        <w:tc>
          <w:tcPr>
            <w:tcW w:w="0" w:type="dxa"/>
            <w:vAlign w:val="center"/>
          </w:tcPr>
          <w:p w14:paraId="2D425723" w14:textId="77777777" w:rsidR="00337270" w:rsidRDefault="00337270" w:rsidP="00227C27">
            <w:pPr>
              <w:pStyle w:val="BodyText"/>
              <w:jc w:val="center"/>
            </w:pPr>
            <w:r>
              <w:t>Total funding in this category</w:t>
            </w:r>
          </w:p>
        </w:tc>
      </w:tr>
      <w:tr w:rsidR="00337270" w14:paraId="7F39641D" w14:textId="77777777" w:rsidTr="00227C27">
        <w:tc>
          <w:tcPr>
            <w:tcW w:w="0" w:type="dxa"/>
          </w:tcPr>
          <w:p w14:paraId="09CD4056" w14:textId="77777777" w:rsidR="00337270" w:rsidRDefault="00337270" w:rsidP="00C73AB1">
            <w:pPr>
              <w:pStyle w:val="TableText"/>
            </w:pPr>
            <w:r>
              <w:t>Less than $100,000</w:t>
            </w:r>
          </w:p>
        </w:tc>
        <w:tc>
          <w:tcPr>
            <w:tcW w:w="0" w:type="dxa"/>
            <w:vAlign w:val="center"/>
          </w:tcPr>
          <w:p w14:paraId="2229C87C" w14:textId="77777777" w:rsidR="00337270" w:rsidRDefault="00337270" w:rsidP="00227C27">
            <w:pPr>
              <w:pStyle w:val="TableText"/>
              <w:jc w:val="right"/>
            </w:pPr>
            <w:r>
              <w:t>14</w:t>
            </w:r>
          </w:p>
        </w:tc>
        <w:tc>
          <w:tcPr>
            <w:tcW w:w="0" w:type="dxa"/>
            <w:vAlign w:val="center"/>
          </w:tcPr>
          <w:p w14:paraId="37FCFB17" w14:textId="77777777" w:rsidR="00337270" w:rsidRDefault="00337270" w:rsidP="00227C27">
            <w:pPr>
              <w:pStyle w:val="TableText"/>
              <w:jc w:val="right"/>
            </w:pPr>
            <w:r>
              <w:t>$877,904</w:t>
            </w:r>
          </w:p>
        </w:tc>
      </w:tr>
      <w:tr w:rsidR="00337270" w14:paraId="311CB6A6" w14:textId="77777777" w:rsidTr="00227C27">
        <w:tc>
          <w:tcPr>
            <w:tcW w:w="0" w:type="dxa"/>
          </w:tcPr>
          <w:p w14:paraId="57C2A6AB" w14:textId="77777777" w:rsidR="00337270" w:rsidRDefault="00337270" w:rsidP="00C73AB1">
            <w:pPr>
              <w:pStyle w:val="TableText"/>
            </w:pPr>
            <w:r>
              <w:t>$100,000 to $249,999</w:t>
            </w:r>
          </w:p>
        </w:tc>
        <w:tc>
          <w:tcPr>
            <w:tcW w:w="0" w:type="dxa"/>
            <w:vAlign w:val="center"/>
          </w:tcPr>
          <w:p w14:paraId="6180CAF5" w14:textId="77777777" w:rsidR="00337270" w:rsidRDefault="00337270" w:rsidP="00227C27">
            <w:pPr>
              <w:pStyle w:val="TableText"/>
              <w:jc w:val="right"/>
            </w:pPr>
            <w:r>
              <w:t>15</w:t>
            </w:r>
          </w:p>
        </w:tc>
        <w:tc>
          <w:tcPr>
            <w:tcW w:w="0" w:type="dxa"/>
            <w:vAlign w:val="center"/>
          </w:tcPr>
          <w:p w14:paraId="24F6F4DE" w14:textId="77777777" w:rsidR="00337270" w:rsidRDefault="00337270" w:rsidP="00227C27">
            <w:pPr>
              <w:pStyle w:val="TableText"/>
              <w:jc w:val="right"/>
            </w:pPr>
            <w:r>
              <w:t>$2,496,174</w:t>
            </w:r>
          </w:p>
        </w:tc>
      </w:tr>
      <w:tr w:rsidR="00337270" w14:paraId="79EA7572" w14:textId="77777777" w:rsidTr="00227C27">
        <w:tc>
          <w:tcPr>
            <w:tcW w:w="0" w:type="dxa"/>
          </w:tcPr>
          <w:p w14:paraId="3597DB84" w14:textId="77777777" w:rsidR="00337270" w:rsidRDefault="00337270" w:rsidP="00C73AB1">
            <w:pPr>
              <w:pStyle w:val="TableText"/>
            </w:pPr>
            <w:r>
              <w:t>$250,000 to $499,999</w:t>
            </w:r>
          </w:p>
        </w:tc>
        <w:tc>
          <w:tcPr>
            <w:tcW w:w="0" w:type="dxa"/>
            <w:vAlign w:val="center"/>
          </w:tcPr>
          <w:p w14:paraId="1DCD2F4C" w14:textId="77777777" w:rsidR="00337270" w:rsidRDefault="00337270" w:rsidP="00227C27">
            <w:pPr>
              <w:pStyle w:val="TableText"/>
              <w:jc w:val="right"/>
            </w:pPr>
            <w:r>
              <w:t>11</w:t>
            </w:r>
          </w:p>
        </w:tc>
        <w:tc>
          <w:tcPr>
            <w:tcW w:w="0" w:type="dxa"/>
            <w:vAlign w:val="center"/>
          </w:tcPr>
          <w:p w14:paraId="639C3001" w14:textId="77777777" w:rsidR="00337270" w:rsidRDefault="00337270" w:rsidP="00227C27">
            <w:pPr>
              <w:pStyle w:val="TableText"/>
              <w:jc w:val="right"/>
            </w:pPr>
            <w:r>
              <w:t>$3,883,545</w:t>
            </w:r>
          </w:p>
        </w:tc>
      </w:tr>
      <w:tr w:rsidR="00337270" w14:paraId="4C59B8FB" w14:textId="77777777" w:rsidTr="00227C27">
        <w:tc>
          <w:tcPr>
            <w:tcW w:w="0" w:type="dxa"/>
          </w:tcPr>
          <w:p w14:paraId="32A88383" w14:textId="77777777" w:rsidR="00337270" w:rsidRDefault="00337270" w:rsidP="00C73AB1">
            <w:pPr>
              <w:pStyle w:val="TableText"/>
            </w:pPr>
            <w:r>
              <w:t>$500,000 to $999,999</w:t>
            </w:r>
          </w:p>
        </w:tc>
        <w:tc>
          <w:tcPr>
            <w:tcW w:w="0" w:type="dxa"/>
            <w:vAlign w:val="center"/>
          </w:tcPr>
          <w:p w14:paraId="05C9FE0D" w14:textId="77777777" w:rsidR="00337270" w:rsidRDefault="00337270" w:rsidP="00227C27">
            <w:pPr>
              <w:pStyle w:val="TableText"/>
              <w:jc w:val="right"/>
            </w:pPr>
            <w:r>
              <w:t>12</w:t>
            </w:r>
          </w:p>
        </w:tc>
        <w:tc>
          <w:tcPr>
            <w:tcW w:w="0" w:type="dxa"/>
            <w:vAlign w:val="center"/>
          </w:tcPr>
          <w:p w14:paraId="3123FAD0" w14:textId="77777777" w:rsidR="00337270" w:rsidRDefault="00337270" w:rsidP="00227C27">
            <w:pPr>
              <w:pStyle w:val="TableText"/>
              <w:jc w:val="right"/>
            </w:pPr>
            <w:r>
              <w:t>$8,891,414</w:t>
            </w:r>
          </w:p>
        </w:tc>
      </w:tr>
      <w:tr w:rsidR="00337270" w14:paraId="60A20B20" w14:textId="77777777" w:rsidTr="00227C27">
        <w:tc>
          <w:tcPr>
            <w:tcW w:w="0" w:type="dxa"/>
          </w:tcPr>
          <w:p w14:paraId="291A5099" w14:textId="77777777" w:rsidR="00337270" w:rsidRDefault="00337270" w:rsidP="00C73AB1">
            <w:pPr>
              <w:pStyle w:val="TableText"/>
            </w:pPr>
            <w:r>
              <w:t>$1 million +</w:t>
            </w:r>
          </w:p>
        </w:tc>
        <w:tc>
          <w:tcPr>
            <w:tcW w:w="0" w:type="dxa"/>
            <w:vAlign w:val="center"/>
          </w:tcPr>
          <w:p w14:paraId="7192C822" w14:textId="77777777" w:rsidR="00337270" w:rsidRDefault="00337270" w:rsidP="00227C27">
            <w:pPr>
              <w:pStyle w:val="TableText"/>
              <w:jc w:val="right"/>
            </w:pPr>
            <w:r>
              <w:t>6</w:t>
            </w:r>
          </w:p>
        </w:tc>
        <w:tc>
          <w:tcPr>
            <w:tcW w:w="0" w:type="dxa"/>
            <w:vAlign w:val="center"/>
          </w:tcPr>
          <w:p w14:paraId="2714B64A" w14:textId="77777777" w:rsidR="00337270" w:rsidRDefault="00337270" w:rsidP="00227C27">
            <w:pPr>
              <w:pStyle w:val="TableText"/>
              <w:jc w:val="right"/>
            </w:pPr>
            <w:r>
              <w:t>$11,716,083</w:t>
            </w:r>
          </w:p>
        </w:tc>
      </w:tr>
    </w:tbl>
    <w:p w14:paraId="5DB926E2" w14:textId="77777777" w:rsidR="00337270" w:rsidRDefault="00337270" w:rsidP="00337270">
      <w:pPr>
        <w:pStyle w:val="Tableheading"/>
        <w:ind w:left="0" w:firstLine="0"/>
      </w:pPr>
    </w:p>
    <w:p w14:paraId="50060DEA" w14:textId="77777777" w:rsidR="005D1C33" w:rsidRPr="005D1C33" w:rsidRDefault="005D1C33" w:rsidP="005D1C33"/>
    <w:p w14:paraId="0B4A6587" w14:textId="77777777" w:rsidR="00337270" w:rsidRDefault="00337270" w:rsidP="00337270"/>
    <w:p w14:paraId="4391A716" w14:textId="77777777" w:rsidR="00337270" w:rsidRPr="00337270" w:rsidRDefault="00337270" w:rsidP="00337270">
      <w:pPr>
        <w:sectPr w:rsidR="00337270" w:rsidRPr="00337270" w:rsidSect="00843700">
          <w:pgSz w:w="11907" w:h="16840" w:code="9"/>
          <w:pgMar w:top="1134" w:right="1701" w:bottom="1134" w:left="1701" w:header="567" w:footer="567" w:gutter="0"/>
          <w:cols w:space="720"/>
          <w:docGrid w:linePitch="326"/>
        </w:sectPr>
      </w:pPr>
    </w:p>
    <w:p w14:paraId="1A513706" w14:textId="6A11A27F" w:rsidR="006F5A6F" w:rsidRDefault="006F5A6F" w:rsidP="00227C27">
      <w:pPr>
        <w:pStyle w:val="Tableheading"/>
      </w:pPr>
      <w:bookmarkStart w:id="50" w:name="_Ref153524717"/>
      <w:bookmarkStart w:id="51" w:name="_Toc177022859"/>
      <w:bookmarkStart w:id="52" w:name="_Hlk153439297"/>
      <w:r>
        <w:lastRenderedPageBreak/>
        <w:t xml:space="preserve">Table </w:t>
      </w:r>
      <w:r>
        <w:fldChar w:fldCharType="begin"/>
      </w:r>
      <w:r>
        <w:instrText xml:space="preserve"> SEQ Table \* ARABIC </w:instrText>
      </w:r>
      <w:r>
        <w:fldChar w:fldCharType="separate"/>
      </w:r>
      <w:r w:rsidR="00587F2B">
        <w:rPr>
          <w:noProof/>
        </w:rPr>
        <w:t>11</w:t>
      </w:r>
      <w:r>
        <w:rPr>
          <w:noProof/>
        </w:rPr>
        <w:fldChar w:fldCharType="end"/>
      </w:r>
      <w:bookmarkEnd w:id="50"/>
      <w:r>
        <w:t xml:space="preserve">: </w:t>
      </w:r>
      <w:r>
        <w:tab/>
      </w:r>
      <w:r w:rsidRPr="00D4340D">
        <w:t>Examples of how funded projects have supported strategic priorities and work programmes</w:t>
      </w:r>
      <w:bookmarkEnd w:id="51"/>
    </w:p>
    <w:tbl>
      <w:tblPr>
        <w:tblStyle w:val="MinistryfortheEnvironment"/>
        <w:tblW w:w="13183" w:type="dxa"/>
        <w:tblLook w:val="04A0" w:firstRow="1" w:lastRow="0" w:firstColumn="1" w:lastColumn="0" w:noHBand="0" w:noVBand="1"/>
      </w:tblPr>
      <w:tblGrid>
        <w:gridCol w:w="3401"/>
        <w:gridCol w:w="9782"/>
      </w:tblGrid>
      <w:tr w:rsidR="00C73AB1" w14:paraId="6D2169A3" w14:textId="77777777" w:rsidTr="0055102F">
        <w:trPr>
          <w:cnfStyle w:val="100000000000" w:firstRow="1" w:lastRow="0" w:firstColumn="0" w:lastColumn="0" w:oddVBand="0" w:evenVBand="0" w:oddHBand="0" w:evenHBand="0" w:firstRowFirstColumn="0" w:firstRowLastColumn="0" w:lastRowFirstColumn="0" w:lastRowLastColumn="0"/>
        </w:trPr>
        <w:tc>
          <w:tcPr>
            <w:tcW w:w="3401" w:type="dxa"/>
          </w:tcPr>
          <w:p w14:paraId="77CFD3B8" w14:textId="77777777" w:rsidR="00C73AB1" w:rsidRDefault="00C73AB1">
            <w:pPr>
              <w:pStyle w:val="BodyText"/>
            </w:pPr>
            <w:r>
              <w:t>Strategic priority / work programme component</w:t>
            </w:r>
          </w:p>
        </w:tc>
        <w:tc>
          <w:tcPr>
            <w:tcW w:w="9782" w:type="dxa"/>
          </w:tcPr>
          <w:p w14:paraId="7AFA3DCA" w14:textId="77777777" w:rsidR="00C73AB1" w:rsidRDefault="00C73AB1">
            <w:pPr>
              <w:pStyle w:val="BodyText"/>
            </w:pPr>
            <w:r>
              <w:t>Examples of funded projects</w:t>
            </w:r>
          </w:p>
        </w:tc>
      </w:tr>
      <w:tr w:rsidR="00C73AB1" w14:paraId="0D8C44FB" w14:textId="77777777" w:rsidTr="0055102F">
        <w:tc>
          <w:tcPr>
            <w:tcW w:w="3401" w:type="dxa"/>
          </w:tcPr>
          <w:p w14:paraId="35DE8AC7" w14:textId="77777777" w:rsidR="00C73AB1" w:rsidRDefault="00C73AB1">
            <w:pPr>
              <w:pStyle w:val="BodyText"/>
            </w:pPr>
            <w:r>
              <w:t>Supporting development of regulated product stewardship schemes</w:t>
            </w:r>
          </w:p>
        </w:tc>
        <w:tc>
          <w:tcPr>
            <w:tcW w:w="9782" w:type="dxa"/>
          </w:tcPr>
          <w:p w14:paraId="357EB1CF" w14:textId="513CEB80" w:rsidR="00C73AB1" w:rsidRDefault="00C73AB1">
            <w:pPr>
              <w:pStyle w:val="TableBullet"/>
            </w:pPr>
            <w:r w:rsidRPr="00F353C9">
              <w:t>Auto Stewardship New Zealand Limited</w:t>
            </w:r>
            <w:r w:rsidR="00607A9A">
              <w:t>:</w:t>
            </w:r>
            <w:r>
              <w:t xml:space="preserve"> s</w:t>
            </w:r>
            <w:r w:rsidRPr="00FD5CA0">
              <w:t xml:space="preserve">eeking to </w:t>
            </w:r>
            <w:r>
              <w:t xml:space="preserve">establish a product stewardship scheme </w:t>
            </w:r>
            <w:r w:rsidRPr="00FD5CA0">
              <w:t xml:space="preserve">for </w:t>
            </w:r>
            <w:r>
              <w:t>e</w:t>
            </w:r>
            <w:r w:rsidRPr="00FD5CA0">
              <w:t>-waste large batteries (over 5</w:t>
            </w:r>
            <w:r w:rsidR="00F8334F">
              <w:t> kilograms</w:t>
            </w:r>
            <w:r w:rsidRPr="00FD5CA0">
              <w:t xml:space="preserve">). </w:t>
            </w:r>
          </w:p>
          <w:p w14:paraId="587830E8" w14:textId="38A2AA93" w:rsidR="00C73AB1" w:rsidRDefault="00C73AB1">
            <w:pPr>
              <w:pStyle w:val="TableBullet"/>
            </w:pPr>
            <w:proofErr w:type="spellStart"/>
            <w:r>
              <w:t>Agrecovery</w:t>
            </w:r>
            <w:proofErr w:type="spellEnd"/>
            <w:r>
              <w:t xml:space="preserve"> Foundation</w:t>
            </w:r>
            <w:r w:rsidR="0072299E">
              <w:t>:</w:t>
            </w:r>
            <w:r>
              <w:t xml:space="preserve"> </w:t>
            </w:r>
            <w:r w:rsidRPr="00F213E3">
              <w:t>trial</w:t>
            </w:r>
            <w:r w:rsidR="0072299E">
              <w:t>ling</w:t>
            </w:r>
            <w:r w:rsidRPr="00F213E3">
              <w:t xml:space="preserve"> its regulated product stewardship scheme for farm plastics before the scheme is rolled out nationally. The scheme will require producers, brand owners, importers, retailers and consumers to take responsibility for collecting and dealing with farm plastics.</w:t>
            </w:r>
          </w:p>
          <w:p w14:paraId="15F924E7" w14:textId="7CEE2189" w:rsidR="00C73AB1" w:rsidRDefault="00C73AB1">
            <w:pPr>
              <w:pStyle w:val="TableBullet"/>
            </w:pPr>
            <w:r w:rsidRPr="00E12F33">
              <w:t xml:space="preserve">Co-design of Plastic Packaging Priority Product Stewardship Scheme(s) for </w:t>
            </w:r>
            <w:r w:rsidR="00607A9A">
              <w:t>Aotearoa</w:t>
            </w:r>
            <w:r w:rsidR="0072299E">
              <w:t xml:space="preserve">: </w:t>
            </w:r>
            <w:r>
              <w:t>a multi-stakeholder co-design of accreditation</w:t>
            </w:r>
            <w:r w:rsidR="0072299E">
              <w:t>-</w:t>
            </w:r>
            <w:r>
              <w:t>ready plastic packaging scheme(s) for all plastic packaging used for consumer goods at retail or wholesale level</w:t>
            </w:r>
            <w:r w:rsidR="0072299E">
              <w:t>.</w:t>
            </w:r>
            <w:r>
              <w:t xml:space="preserve"> </w:t>
            </w:r>
          </w:p>
          <w:p w14:paraId="1209659F" w14:textId="55AA0BE2" w:rsidR="00C73AB1" w:rsidRDefault="00C73AB1">
            <w:pPr>
              <w:pStyle w:val="TableBullet"/>
            </w:pPr>
            <w:proofErr w:type="spellStart"/>
            <w:r w:rsidRPr="00397AC9">
              <w:t>Tyrewise</w:t>
            </w:r>
            <w:proofErr w:type="spellEnd"/>
            <w:r w:rsidRPr="00397AC9">
              <w:t xml:space="preserve">: </w:t>
            </w:r>
            <w:r>
              <w:t>i</w:t>
            </w:r>
            <w:r w:rsidRPr="00397AC9">
              <w:t>mplementation of regulated product stewardship scheme for end-of-life tyres to become launch</w:t>
            </w:r>
            <w:r>
              <w:t>-</w:t>
            </w:r>
            <w:r w:rsidRPr="00397AC9">
              <w:t>ready</w:t>
            </w:r>
            <w:r w:rsidR="008669EF">
              <w:t>.</w:t>
            </w:r>
            <w:r w:rsidRPr="00397AC9">
              <w:t xml:space="preserve"> </w:t>
            </w:r>
          </w:p>
        </w:tc>
      </w:tr>
      <w:tr w:rsidR="00C73AB1" w14:paraId="77B47256" w14:textId="77777777" w:rsidTr="0055102F">
        <w:tc>
          <w:tcPr>
            <w:tcW w:w="3401" w:type="dxa"/>
          </w:tcPr>
          <w:p w14:paraId="593EF7D8" w14:textId="77777777" w:rsidR="00C73AB1" w:rsidRDefault="00C73AB1">
            <w:pPr>
              <w:pStyle w:val="BodyText"/>
            </w:pPr>
            <w:r>
              <w:t xml:space="preserve">Implementation of National Plastics Action Plan – contributing to action plan </w:t>
            </w:r>
          </w:p>
        </w:tc>
        <w:tc>
          <w:tcPr>
            <w:tcW w:w="9782" w:type="dxa"/>
          </w:tcPr>
          <w:p w14:paraId="5FB70F2E" w14:textId="3736AFCD" w:rsidR="00C73AB1" w:rsidRDefault="00C73AB1">
            <w:pPr>
              <w:pStyle w:val="TableBullet"/>
            </w:pPr>
            <w:r>
              <w:t xml:space="preserve">Pinehurst Associates: developing additional biodegradable bio-based </w:t>
            </w:r>
            <w:r w:rsidR="008669EF">
              <w:t xml:space="preserve">formulations for </w:t>
            </w:r>
            <w:r>
              <w:t>nursery pot</w:t>
            </w:r>
            <w:r w:rsidR="008669EF">
              <w:t>s</w:t>
            </w:r>
            <w:r>
              <w:t xml:space="preserve"> that degrade in soil and under home composting conditions</w:t>
            </w:r>
            <w:r w:rsidR="008669EF">
              <w:t>,</w:t>
            </w:r>
            <w:r>
              <w:t xml:space="preserve"> and manufacturing and market</w:t>
            </w:r>
            <w:r w:rsidR="008669EF">
              <w:t>-</w:t>
            </w:r>
            <w:r>
              <w:t>testing 50,000 pots in agricultural and horticultural sectors</w:t>
            </w:r>
            <w:r w:rsidR="008669EF">
              <w:t>.</w:t>
            </w:r>
          </w:p>
          <w:p w14:paraId="0CCE3F44" w14:textId="328B7AB7" w:rsidR="00C73AB1" w:rsidRDefault="00C73AB1">
            <w:pPr>
              <w:pStyle w:val="TableBullet"/>
            </w:pPr>
            <w:proofErr w:type="gramStart"/>
            <w:r>
              <w:t>Again</w:t>
            </w:r>
            <w:proofErr w:type="gramEnd"/>
            <w:r w:rsidR="0028098C">
              <w:t xml:space="preserve"> </w:t>
            </w:r>
            <w:proofErr w:type="spellStart"/>
            <w:r>
              <w:t>Again</w:t>
            </w:r>
            <w:proofErr w:type="spellEnd"/>
            <w:r>
              <w:t xml:space="preserve"> Limited: extending a technology platform that enables companies to loan and track reusable packaging such as coffee cups and food containers.</w:t>
            </w:r>
          </w:p>
          <w:p w14:paraId="5F5DC83A" w14:textId="0709CC89" w:rsidR="00C73AB1" w:rsidRDefault="00C73AB1">
            <w:pPr>
              <w:pStyle w:val="TableBullet"/>
            </w:pPr>
            <w:proofErr w:type="spellStart"/>
            <w:r w:rsidRPr="00A84EC1">
              <w:t>Kaipaki</w:t>
            </w:r>
            <w:proofErr w:type="spellEnd"/>
            <w:r w:rsidRPr="00A84EC1">
              <w:t xml:space="preserve"> Dairies</w:t>
            </w:r>
            <w:r>
              <w:t>: substantially increasing their capacity to supply milk in reusable containers, allowing the removal of the equivalent of more than 1</w:t>
            </w:r>
            <w:r w:rsidR="00A33015">
              <w:t xml:space="preserve"> million</w:t>
            </w:r>
            <w:r>
              <w:t xml:space="preserve"> single</w:t>
            </w:r>
            <w:r w:rsidR="00A33015">
              <w:t>-</w:t>
            </w:r>
            <w:r>
              <w:t>use plastic milk bottles a year from 2025</w:t>
            </w:r>
            <w:r w:rsidR="00A33015">
              <w:t>.</w:t>
            </w:r>
          </w:p>
          <w:p w14:paraId="2BD73F93" w14:textId="6B8A0B42" w:rsidR="00C73AB1" w:rsidRDefault="00C73AB1">
            <w:pPr>
              <w:pStyle w:val="TableBullet"/>
            </w:pPr>
            <w:r>
              <w:t xml:space="preserve">Recycle South: </w:t>
            </w:r>
            <w:r w:rsidR="00A26A5E">
              <w:t xml:space="preserve">a </w:t>
            </w:r>
            <w:r>
              <w:t>plastics pelletiser plant</w:t>
            </w:r>
            <w:r w:rsidR="00A26A5E">
              <w:t>-</w:t>
            </w:r>
            <w:r>
              <w:t>expansion project. The plant washes polyethylene and polypropylene plastics from the lower South Island, including agricultural bale wrap.</w:t>
            </w:r>
          </w:p>
          <w:p w14:paraId="7BAEB075" w14:textId="583DA808" w:rsidR="00C73AB1" w:rsidRDefault="00C73AB1">
            <w:pPr>
              <w:pStyle w:val="TableBullet"/>
            </w:pPr>
            <w:r>
              <w:t>Marley</w:t>
            </w:r>
            <w:r w:rsidR="003943DC">
              <w:t xml:space="preserve"> NZ</w:t>
            </w:r>
            <w:r>
              <w:t xml:space="preserve"> L</w:t>
            </w:r>
            <w:r w:rsidR="005E2433">
              <w:t>imite</w:t>
            </w:r>
            <w:r>
              <w:t>d: increasing collection and processing ability for HDPE and PVC pipes, in partnership with Unitec and Waste Management. This will minimise plastic waste going to landfill in the construction and demolition industry</w:t>
            </w:r>
            <w:r w:rsidR="00C876A3">
              <w:t>,</w:t>
            </w:r>
            <w:r>
              <w:t xml:space="preserve"> by investing in new sorting, washing and shredding capabilities in both North and South Island.</w:t>
            </w:r>
          </w:p>
        </w:tc>
      </w:tr>
      <w:tr w:rsidR="00C73AB1" w14:paraId="613E5129" w14:textId="77777777" w:rsidTr="0055102F">
        <w:tc>
          <w:tcPr>
            <w:tcW w:w="3401" w:type="dxa"/>
          </w:tcPr>
          <w:p w14:paraId="60933491" w14:textId="77777777" w:rsidR="00C73AB1" w:rsidRDefault="00C73AB1">
            <w:pPr>
              <w:pStyle w:val="BodyText"/>
            </w:pPr>
            <w:r>
              <w:t>Emissions reduction plan – organic waste</w:t>
            </w:r>
          </w:p>
          <w:p w14:paraId="0A548B1A" w14:textId="77777777" w:rsidR="00C73AB1" w:rsidRDefault="00C73AB1">
            <w:pPr>
              <w:pStyle w:val="BodyText"/>
            </w:pPr>
            <w:r>
              <w:t>(also supports objectives of preventing food waste and supporting communities)</w:t>
            </w:r>
          </w:p>
        </w:tc>
        <w:tc>
          <w:tcPr>
            <w:tcW w:w="9782" w:type="dxa"/>
          </w:tcPr>
          <w:p w14:paraId="6869118D" w14:textId="7208C7F1" w:rsidR="00C73AB1" w:rsidRDefault="00C73AB1">
            <w:pPr>
              <w:pStyle w:val="TableBullet"/>
            </w:pPr>
            <w:r>
              <w:t xml:space="preserve">Whanganui Kai Hub: </w:t>
            </w:r>
            <w:r w:rsidRPr="004A7DE1">
              <w:t>a collaborative partnership project working to address organic food waste within the community, supporting the transition from food poverty to kai sovereignty. The project will support the fit</w:t>
            </w:r>
            <w:r w:rsidR="00C876A3">
              <w:t>-</w:t>
            </w:r>
            <w:r w:rsidRPr="004A7DE1">
              <w:t>out of a centralised place to redistribute food waste, share nourishing meals and provide a space for people to attend educational workshops that create a waste</w:t>
            </w:r>
            <w:r w:rsidR="00C876A3">
              <w:t>-</w:t>
            </w:r>
            <w:r w:rsidRPr="004A7DE1">
              <w:t>free Whanganui</w:t>
            </w:r>
            <w:r w:rsidR="00C876A3">
              <w:t>.</w:t>
            </w:r>
          </w:p>
          <w:p w14:paraId="21D33567" w14:textId="09B71502" w:rsidR="00C73AB1" w:rsidRDefault="00C73AB1">
            <w:pPr>
              <w:pStyle w:val="TableBullet"/>
            </w:pPr>
            <w:r>
              <w:t xml:space="preserve">Nelson Environment Centre: </w:t>
            </w:r>
            <w:r w:rsidRPr="00F77A14">
              <w:t xml:space="preserve">developing a customised facility to distribute a greater quantity of </w:t>
            </w:r>
            <w:r>
              <w:t xml:space="preserve">rescued </w:t>
            </w:r>
            <w:r w:rsidRPr="00F77A14">
              <w:t>food to more people in need. The fit-out and renovations will enable Kai Rescue to expand operations and divert an estimated 25</w:t>
            </w:r>
            <w:r>
              <w:t xml:space="preserve"> per cent</w:t>
            </w:r>
            <w:r w:rsidRPr="00F77A14">
              <w:t xml:space="preserve"> more food waste from landfill and</w:t>
            </w:r>
            <w:r w:rsidR="00203E69">
              <w:t>,</w:t>
            </w:r>
            <w:r w:rsidRPr="00F77A14">
              <w:t xml:space="preserve"> in turn</w:t>
            </w:r>
            <w:r w:rsidR="00203E69">
              <w:t>,</w:t>
            </w:r>
            <w:r w:rsidRPr="00F77A14">
              <w:t xml:space="preserve"> ad</w:t>
            </w:r>
            <w:r>
              <w:t>d</w:t>
            </w:r>
            <w:r w:rsidRPr="00F77A14">
              <w:t xml:space="preserve">ress the negative impact of organic waste in landfill and the associated </w:t>
            </w:r>
            <w:r>
              <w:t>greenhouse gas</w:t>
            </w:r>
            <w:r w:rsidRPr="00F77A14">
              <w:t xml:space="preserve"> emissions result</w:t>
            </w:r>
            <w:r w:rsidR="00203E69">
              <w:t>ing</w:t>
            </w:r>
            <w:r w:rsidRPr="00F77A14">
              <w:t xml:space="preserve"> from decomposition.</w:t>
            </w:r>
          </w:p>
          <w:p w14:paraId="39305C87" w14:textId="0F5A8B60" w:rsidR="00172171" w:rsidRPr="00172171" w:rsidRDefault="00172171" w:rsidP="00172171">
            <w:pPr>
              <w:tabs>
                <w:tab w:val="left" w:pos="2300"/>
              </w:tabs>
            </w:pPr>
            <w:r>
              <w:tab/>
            </w:r>
          </w:p>
          <w:p w14:paraId="3EB46877" w14:textId="0C01ED08" w:rsidR="00C73AB1" w:rsidRDefault="00C73AB1">
            <w:pPr>
              <w:pStyle w:val="TableBullet"/>
            </w:pPr>
            <w:r>
              <w:lastRenderedPageBreak/>
              <w:t xml:space="preserve">Waikato Regional Council: </w:t>
            </w:r>
            <w:r w:rsidRPr="00FA40A4">
              <w:t>research project focusing on circularising organics. The research project is broken into three parts looking at the whole chain and</w:t>
            </w:r>
            <w:r w:rsidR="004C5FE0">
              <w:t>,</w:t>
            </w:r>
            <w:r w:rsidRPr="00FA40A4">
              <w:t xml:space="preserve"> when added together</w:t>
            </w:r>
            <w:r w:rsidR="004C5FE0">
              <w:t>,</w:t>
            </w:r>
            <w:r w:rsidRPr="00FA40A4">
              <w:t xml:space="preserve"> aim to provide a pathway for a robust circular loop for organics. Feedstocks include residential food scraps and green waste, as well as industrial sources </w:t>
            </w:r>
            <w:r>
              <w:t>such as</w:t>
            </w:r>
            <w:r w:rsidRPr="00FA40A4">
              <w:t xml:space="preserve"> agriculture and horticulture.</w:t>
            </w:r>
          </w:p>
          <w:p w14:paraId="2A1871FA" w14:textId="77777777" w:rsidR="00C73AB1" w:rsidRDefault="00C73AB1">
            <w:pPr>
              <w:pStyle w:val="TableBullet"/>
            </w:pPr>
            <w:r>
              <w:t>Queenstown Lakes District Council: h</w:t>
            </w:r>
            <w:r w:rsidRPr="009D5535">
              <w:t>elping to establish local community composting hubs to help reduce organic waste to landfill</w:t>
            </w:r>
            <w:r>
              <w:t xml:space="preserve">, working with </w:t>
            </w:r>
            <w:r w:rsidRPr="009D5535">
              <w:t>community groups and the hospitality sector.</w:t>
            </w:r>
          </w:p>
          <w:p w14:paraId="06D94802" w14:textId="61C57DCD" w:rsidR="00C73AB1" w:rsidRDefault="00C73AB1">
            <w:pPr>
              <w:pStyle w:val="TableBullet"/>
            </w:pPr>
            <w:proofErr w:type="spellStart"/>
            <w:r>
              <w:t>EnviroWaste</w:t>
            </w:r>
            <w:proofErr w:type="spellEnd"/>
            <w:r>
              <w:t xml:space="preserve"> Service</w:t>
            </w:r>
            <w:r w:rsidR="005E2433">
              <w:t>s</w:t>
            </w:r>
            <w:r>
              <w:t xml:space="preserve"> Limited: i</w:t>
            </w:r>
            <w:r w:rsidRPr="00D742FF">
              <w:t>nvesting in de-packing equipment to increase capacity to de-package food waste. De-packaged food waste can be further processed into useful products like compost.</w:t>
            </w:r>
          </w:p>
          <w:p w14:paraId="58AC3371" w14:textId="174EC7C8" w:rsidR="00C73AB1" w:rsidRDefault="00C73AB1">
            <w:pPr>
              <w:pStyle w:val="TableBullet"/>
            </w:pPr>
            <w:proofErr w:type="spellStart"/>
            <w:r>
              <w:t>BioRich</w:t>
            </w:r>
            <w:proofErr w:type="spellEnd"/>
            <w:r>
              <w:t xml:space="preserve"> Limited: </w:t>
            </w:r>
            <w:r w:rsidR="006713C8">
              <w:t>e</w:t>
            </w:r>
            <w:r w:rsidRPr="00D713B0">
              <w:t xml:space="preserve">xpanding </w:t>
            </w:r>
            <w:r w:rsidR="006713C8">
              <w:t xml:space="preserve">its </w:t>
            </w:r>
            <w:r w:rsidRPr="00D713B0">
              <w:t xml:space="preserve">two commercial composting sites, which handle the bulk of organic waste </w:t>
            </w:r>
            <w:r w:rsidR="00D050C3">
              <w:t xml:space="preserve">in Hawke’s Bay, </w:t>
            </w:r>
            <w:r w:rsidRPr="00D713B0">
              <w:t>to compost an additional 12,000 tonnes of organic waste per annum.</w:t>
            </w:r>
          </w:p>
        </w:tc>
      </w:tr>
      <w:tr w:rsidR="00C73AB1" w14:paraId="5963EDD8" w14:textId="77777777" w:rsidTr="0055102F">
        <w:tc>
          <w:tcPr>
            <w:tcW w:w="3401" w:type="dxa"/>
          </w:tcPr>
          <w:p w14:paraId="2EBC8D4E" w14:textId="77777777" w:rsidR="00C73AB1" w:rsidRDefault="00C73AB1">
            <w:pPr>
              <w:pStyle w:val="BodyText"/>
            </w:pPr>
            <w:r>
              <w:lastRenderedPageBreak/>
              <w:t>Reducing construction and demolition waste</w:t>
            </w:r>
          </w:p>
          <w:p w14:paraId="1285A309" w14:textId="77777777" w:rsidR="00C73AB1" w:rsidRDefault="00C73AB1">
            <w:pPr>
              <w:pStyle w:val="BodyText"/>
            </w:pPr>
            <w:r>
              <w:t>(also supports emissions reduction plan actions)</w:t>
            </w:r>
          </w:p>
        </w:tc>
        <w:tc>
          <w:tcPr>
            <w:tcW w:w="9782" w:type="dxa"/>
          </w:tcPr>
          <w:p w14:paraId="2BCC3E80" w14:textId="4AF6EE24" w:rsidR="00C73AB1" w:rsidRDefault="00C73AB1">
            <w:pPr>
              <w:pStyle w:val="TableBullet"/>
            </w:pPr>
            <w:r w:rsidRPr="002F20CB">
              <w:t>Porirua</w:t>
            </w:r>
            <w:r>
              <w:t xml:space="preserve"> City Council: </w:t>
            </w:r>
            <w:r w:rsidR="00D050C3">
              <w:t>t</w:t>
            </w:r>
            <w:r>
              <w:t>wo projects</w:t>
            </w:r>
            <w:r w:rsidR="004E0A41">
              <w:t>,</w:t>
            </w:r>
            <w:r>
              <w:t xml:space="preserve"> to first prepare a business case and then deliver a </w:t>
            </w:r>
            <w:r w:rsidR="00131424">
              <w:t>r</w:t>
            </w:r>
            <w:r w:rsidRPr="008557D3">
              <w:t xml:space="preserve">esource </w:t>
            </w:r>
            <w:r w:rsidR="00131424">
              <w:t>r</w:t>
            </w:r>
            <w:r w:rsidRPr="008557D3">
              <w:t xml:space="preserve">ecovery </w:t>
            </w:r>
            <w:r w:rsidR="00131424">
              <w:t>p</w:t>
            </w:r>
            <w:r w:rsidRPr="008557D3">
              <w:t>ark at Spicer Landfill. The park will host three waste</w:t>
            </w:r>
            <w:r w:rsidR="00785FE9">
              <w:t xml:space="preserve"> </w:t>
            </w:r>
            <w:r w:rsidRPr="008557D3">
              <w:t>diversion facilities</w:t>
            </w:r>
            <w:r w:rsidR="004E0A41">
              <w:t>,</w:t>
            </w:r>
            <w:r w:rsidRPr="008557D3">
              <w:t xml:space="preserve"> including a specialist </w:t>
            </w:r>
            <w:r>
              <w:t>c</w:t>
            </w:r>
            <w:r w:rsidRPr="008557D3">
              <w:t xml:space="preserve">onstruction and </w:t>
            </w:r>
            <w:r>
              <w:t>d</w:t>
            </w:r>
            <w:r w:rsidRPr="008557D3">
              <w:t xml:space="preserve">emolition processing and diversion facility to service Porirua and </w:t>
            </w:r>
            <w:r w:rsidR="004E0A41">
              <w:t xml:space="preserve">process </w:t>
            </w:r>
            <w:r w:rsidRPr="008557D3">
              <w:t>localised material from hubs in Hutt City and</w:t>
            </w:r>
            <w:r w:rsidR="00D828DB">
              <w:t xml:space="preserve"> the</w:t>
            </w:r>
            <w:r w:rsidRPr="008557D3">
              <w:t xml:space="preserve"> </w:t>
            </w:r>
            <w:proofErr w:type="spellStart"/>
            <w:r w:rsidRPr="008557D3">
              <w:t>Kāpiti</w:t>
            </w:r>
            <w:proofErr w:type="spellEnd"/>
            <w:r w:rsidRPr="008557D3">
              <w:t xml:space="preserve"> Coast.</w:t>
            </w:r>
          </w:p>
          <w:p w14:paraId="5586911C" w14:textId="3747A64F" w:rsidR="00C73AB1" w:rsidRDefault="00C73AB1">
            <w:pPr>
              <w:pStyle w:val="TableBullet"/>
            </w:pPr>
            <w:r>
              <w:t>Mercury Bay Resource Recovery Centre: c</w:t>
            </w:r>
            <w:r w:rsidRPr="00001121">
              <w:t>ommunity-led construction and demolition waste</w:t>
            </w:r>
            <w:r w:rsidR="00785FE9">
              <w:t xml:space="preserve"> </w:t>
            </w:r>
            <w:r w:rsidRPr="00001121">
              <w:t>processing facility, to be established on the T</w:t>
            </w:r>
            <w:r>
              <w:t>hames-</w:t>
            </w:r>
            <w:r w:rsidRPr="00001121">
              <w:t>C</w:t>
            </w:r>
            <w:r>
              <w:t xml:space="preserve">oromandel </w:t>
            </w:r>
            <w:r w:rsidRPr="00001121">
              <w:t>D</w:t>
            </w:r>
            <w:r>
              <w:t xml:space="preserve">istrict </w:t>
            </w:r>
            <w:r w:rsidRPr="00001121">
              <w:t>C</w:t>
            </w:r>
            <w:r>
              <w:t>ouncil</w:t>
            </w:r>
            <w:r w:rsidR="00D828DB">
              <w:t>’s</w:t>
            </w:r>
            <w:r w:rsidRPr="00001121">
              <w:t xml:space="preserve"> new transfer station site.</w:t>
            </w:r>
          </w:p>
          <w:p w14:paraId="2679CC7E" w14:textId="19A6C4CC" w:rsidR="00C73AB1" w:rsidRDefault="00C73AB1">
            <w:pPr>
              <w:pStyle w:val="TableBullet"/>
            </w:pPr>
            <w:r>
              <w:t>New Plymouth District Council: e</w:t>
            </w:r>
            <w:r w:rsidRPr="001A23D9">
              <w:t xml:space="preserve">stablishing a commercial and industrial </w:t>
            </w:r>
            <w:r w:rsidR="00131424">
              <w:t>m</w:t>
            </w:r>
            <w:r w:rsidRPr="001A23D9">
              <w:t>aterial</w:t>
            </w:r>
            <w:r w:rsidR="00880B77">
              <w:t>s</w:t>
            </w:r>
            <w:r w:rsidRPr="001A23D9">
              <w:t xml:space="preserve"> </w:t>
            </w:r>
            <w:r w:rsidR="00131424">
              <w:t>r</w:t>
            </w:r>
            <w:r w:rsidRPr="001A23D9">
              <w:t xml:space="preserve">ecovery </w:t>
            </w:r>
            <w:r w:rsidR="00131424">
              <w:t>f</w:t>
            </w:r>
            <w:r w:rsidRPr="001A23D9">
              <w:t>acility in Taranaki</w:t>
            </w:r>
            <w:r w:rsidR="00C817D7">
              <w:t xml:space="preserve"> (</w:t>
            </w:r>
            <w:proofErr w:type="spellStart"/>
            <w:r w:rsidR="00C817D7">
              <w:t>ie</w:t>
            </w:r>
            <w:proofErr w:type="spellEnd"/>
            <w:r w:rsidR="00C817D7">
              <w:t xml:space="preserve">, a facility </w:t>
            </w:r>
            <w:r w:rsidR="00880B77">
              <w:t>that receives, separates and prepares recyclable materials</w:t>
            </w:r>
            <w:r w:rsidR="00AB7868">
              <w:t>)</w:t>
            </w:r>
            <w:r w:rsidRPr="001A23D9">
              <w:t>.</w:t>
            </w:r>
            <w:r>
              <w:t xml:space="preserve"> </w:t>
            </w:r>
          </w:p>
          <w:p w14:paraId="29A6D823" w14:textId="77777777" w:rsidR="00C73AB1" w:rsidRDefault="00C73AB1">
            <w:pPr>
              <w:pStyle w:val="TableBullet"/>
            </w:pPr>
            <w:r>
              <w:t>Nelson City Council: i</w:t>
            </w:r>
            <w:r w:rsidRPr="00FD0F21">
              <w:t>nvesting in infrastructure to undertake a pilot programme to divert timber and plasterboard waste from construction and demolition sites.</w:t>
            </w:r>
          </w:p>
          <w:p w14:paraId="00BE92CE" w14:textId="65EC2D82" w:rsidR="00C73AB1" w:rsidRDefault="00C73AB1">
            <w:pPr>
              <w:pStyle w:val="TableBullet"/>
            </w:pPr>
            <w:r>
              <w:t>Northland Waste Limited: e</w:t>
            </w:r>
            <w:r w:rsidRPr="00F41E35">
              <w:t>stablishing a wood</w:t>
            </w:r>
            <w:r w:rsidR="001C0A8D">
              <w:t xml:space="preserve"> </w:t>
            </w:r>
            <w:r w:rsidRPr="00F41E35">
              <w:t>waste</w:t>
            </w:r>
            <w:r w:rsidR="00785FE9">
              <w:t xml:space="preserve"> </w:t>
            </w:r>
            <w:r w:rsidRPr="00F41E35">
              <w:t>recovery operation for the purposes of shredding and converting wood waste to biofuel.</w:t>
            </w:r>
          </w:p>
          <w:p w14:paraId="2A12A561" w14:textId="32B7515E" w:rsidR="00C73AB1" w:rsidRDefault="00C73AB1">
            <w:pPr>
              <w:pStyle w:val="TableBullet"/>
            </w:pPr>
            <w:r>
              <w:t>Central Environmental Limited: e</w:t>
            </w:r>
            <w:r w:rsidRPr="00AD75D4">
              <w:t xml:space="preserve">stablishing a </w:t>
            </w:r>
            <w:r>
              <w:t>c</w:t>
            </w:r>
            <w:r w:rsidRPr="00AD75D4">
              <w:t xml:space="preserve">onstruction and </w:t>
            </w:r>
            <w:r>
              <w:t>d</w:t>
            </w:r>
            <w:r w:rsidRPr="00AD75D4">
              <w:t>emolition waste</w:t>
            </w:r>
            <w:r w:rsidR="00785FE9">
              <w:t xml:space="preserve"> </w:t>
            </w:r>
            <w:r w:rsidRPr="00AD75D4">
              <w:t xml:space="preserve">processing facility in the </w:t>
            </w:r>
            <w:proofErr w:type="spellStart"/>
            <w:r w:rsidRPr="00AD75D4">
              <w:t>Manawat</w:t>
            </w:r>
            <w:r w:rsidR="001C0A8D">
              <w:t>ū</w:t>
            </w:r>
            <w:proofErr w:type="spellEnd"/>
            <w:r w:rsidR="001C0A8D">
              <w:t>,</w:t>
            </w:r>
            <w:r w:rsidRPr="00AD75D4">
              <w:t xml:space="preserve"> to accept materials from demolition contractors, construction companies and waste management companies</w:t>
            </w:r>
            <w:r w:rsidR="005F17A6">
              <w:t>,</w:t>
            </w:r>
            <w:r w:rsidRPr="00AD75D4">
              <w:t xml:space="preserve"> and provide an alternative to landfill disposal.</w:t>
            </w:r>
          </w:p>
          <w:p w14:paraId="285F4B17" w14:textId="6B7CE166" w:rsidR="00C73AB1" w:rsidRDefault="00C73AB1">
            <w:pPr>
              <w:pStyle w:val="TableBullet"/>
            </w:pPr>
            <w:r>
              <w:t>Buller District Council: d</w:t>
            </w:r>
            <w:r w:rsidRPr="00F02EFA">
              <w:t>eveloping a coordinated regional waste</w:t>
            </w:r>
            <w:r w:rsidR="00785FE9">
              <w:t xml:space="preserve"> </w:t>
            </w:r>
            <w:r w:rsidRPr="00F02EFA">
              <w:t>recovery network for construction and demolition waste across the West Coast.</w:t>
            </w:r>
          </w:p>
          <w:p w14:paraId="6AD06FF5" w14:textId="2915ABDB" w:rsidR="00C73AB1" w:rsidRDefault="00C73AB1">
            <w:pPr>
              <w:pStyle w:val="TableBullet"/>
            </w:pPr>
            <w:proofErr w:type="spellStart"/>
            <w:r>
              <w:t>EnviroWaste</w:t>
            </w:r>
            <w:proofErr w:type="spellEnd"/>
            <w:r>
              <w:t xml:space="preserve"> Service</w:t>
            </w:r>
            <w:r w:rsidR="00801CAC">
              <w:t>s</w:t>
            </w:r>
            <w:r>
              <w:t xml:space="preserve"> Limited: </w:t>
            </w:r>
            <w:r w:rsidR="00801CAC">
              <w:t>e</w:t>
            </w:r>
            <w:r w:rsidRPr="00656B30">
              <w:t>stablishing a permanent wood waste</w:t>
            </w:r>
            <w:r w:rsidR="00785FE9">
              <w:t xml:space="preserve"> </w:t>
            </w:r>
            <w:r w:rsidRPr="00656B30">
              <w:t>recycling facility to support the building and construction sector</w:t>
            </w:r>
            <w:r w:rsidR="00801CAC">
              <w:t xml:space="preserve"> in the Auckland/Tauranga/Hamilton regions</w:t>
            </w:r>
            <w:r w:rsidRPr="00656B30">
              <w:t>, diverting wood waste from landfill and processing it for use as biofuel.</w:t>
            </w:r>
          </w:p>
        </w:tc>
      </w:tr>
      <w:tr w:rsidR="00C73AB1" w14:paraId="2709A3DF" w14:textId="77777777" w:rsidTr="0055102F">
        <w:tc>
          <w:tcPr>
            <w:tcW w:w="3401" w:type="dxa"/>
          </w:tcPr>
          <w:p w14:paraId="69A865FC" w14:textId="77777777" w:rsidR="00C73AB1" w:rsidRDefault="00C73AB1">
            <w:pPr>
              <w:pStyle w:val="BodyText"/>
            </w:pPr>
            <w:r>
              <w:t>Improving kerbside recycling and resource recovery networks</w:t>
            </w:r>
          </w:p>
        </w:tc>
        <w:tc>
          <w:tcPr>
            <w:tcW w:w="9782" w:type="dxa"/>
          </w:tcPr>
          <w:p w14:paraId="7C5D71AC" w14:textId="502C4814" w:rsidR="00C73AB1" w:rsidRDefault="00C73AB1">
            <w:pPr>
              <w:pStyle w:val="TableBullet"/>
            </w:pPr>
            <w:r>
              <w:t xml:space="preserve">Xtreme Zero Waste: </w:t>
            </w:r>
            <w:r w:rsidR="00D159FE">
              <w:t>u</w:t>
            </w:r>
            <w:r w:rsidRPr="0013386E">
              <w:t xml:space="preserve">pgrading </w:t>
            </w:r>
            <w:r w:rsidR="00D159FE">
              <w:t>its</w:t>
            </w:r>
            <w:r w:rsidRPr="0013386E">
              <w:t xml:space="preserve"> facilities with a recyclables processing building, recyclables processing equipment and organics composting equipment</w:t>
            </w:r>
            <w:r w:rsidR="00D159FE">
              <w:t>,</w:t>
            </w:r>
            <w:r w:rsidRPr="0013386E">
              <w:t xml:space="preserve"> to establish a Centre of Excellence at the Raglan Resource Recovery Centre.</w:t>
            </w:r>
          </w:p>
          <w:p w14:paraId="27DEE0BA" w14:textId="52BA5AE0" w:rsidR="00C73AB1" w:rsidRDefault="00C73AB1">
            <w:pPr>
              <w:pStyle w:val="TableBullet"/>
            </w:pPr>
            <w:r>
              <w:t xml:space="preserve">Mackenzie District Council: </w:t>
            </w:r>
            <w:r w:rsidR="00D159FE">
              <w:t>i</w:t>
            </w:r>
            <w:r w:rsidRPr="006E1100">
              <w:t>mproving current waste practices by diverting kerbside organic waste from landfill by distributing 240</w:t>
            </w:r>
            <w:r w:rsidR="00D159FE">
              <w:t xml:space="preserve"> </w:t>
            </w:r>
            <w:r w:rsidRPr="006E1100">
              <w:t>litre organics wheelie bins to properties within the district’s kerbside collection area, with organic waste being processed into usable compost</w:t>
            </w:r>
            <w:r>
              <w:t xml:space="preserve"> (also supports emissions reduction plan work)</w:t>
            </w:r>
            <w:r w:rsidR="00D159FE">
              <w:t>.</w:t>
            </w:r>
          </w:p>
          <w:p w14:paraId="2C60022F" w14:textId="468AF8A7" w:rsidR="00C73AB1" w:rsidRDefault="00C73AB1">
            <w:pPr>
              <w:pStyle w:val="TableBullet"/>
            </w:pPr>
            <w:r>
              <w:t>Chatham Islands Council: o</w:t>
            </w:r>
            <w:r w:rsidRPr="005C3E26">
              <w:t xml:space="preserve">ptimising the layout of transfer stations and providing signage to encourage </w:t>
            </w:r>
            <w:r w:rsidR="00E74C62">
              <w:t>use</w:t>
            </w:r>
            <w:r w:rsidR="00241C4C">
              <w:t>;</w:t>
            </w:r>
            <w:r w:rsidRPr="005C3E26">
              <w:t xml:space="preserve"> facilitating collection and handling of recyclables by having suitable receptacles and providing a permanent facility for storing reusable materials for use by the community.</w:t>
            </w:r>
          </w:p>
          <w:p w14:paraId="7A408AE7" w14:textId="7EC3D316" w:rsidR="00C73AB1" w:rsidRDefault="00C73AB1">
            <w:pPr>
              <w:pStyle w:val="TableBullet"/>
            </w:pPr>
            <w:proofErr w:type="spellStart"/>
            <w:r>
              <w:lastRenderedPageBreak/>
              <w:t>WasteCo</w:t>
            </w:r>
            <w:proofErr w:type="spellEnd"/>
            <w:r>
              <w:t xml:space="preserve"> NZ Limited: e</w:t>
            </w:r>
            <w:r w:rsidRPr="006E7982">
              <w:t xml:space="preserve">nhancing sorting operations at </w:t>
            </w:r>
            <w:r w:rsidR="00241C4C">
              <w:t>its n</w:t>
            </w:r>
            <w:r w:rsidRPr="006E7982">
              <w:t>ew Sort Centre through the establishment of an automatic sort</w:t>
            </w:r>
            <w:r>
              <w:t xml:space="preserve"> </w:t>
            </w:r>
            <w:r w:rsidRPr="006E7982">
              <w:t>line, moving from hand sorting on the floor to conveyor sorting.</w:t>
            </w:r>
          </w:p>
          <w:p w14:paraId="191DCB36" w14:textId="6AE64137" w:rsidR="00C73AB1" w:rsidRDefault="00C73AB1">
            <w:pPr>
              <w:pStyle w:val="TableBullet"/>
            </w:pPr>
            <w:r>
              <w:t xml:space="preserve">Bin Hire Co: </w:t>
            </w:r>
            <w:r w:rsidR="006255B8">
              <w:t>i</w:t>
            </w:r>
            <w:r w:rsidRPr="00D15029">
              <w:t>nstalling an automated sort</w:t>
            </w:r>
            <w:r>
              <w:t xml:space="preserve"> </w:t>
            </w:r>
            <w:r w:rsidRPr="00D15029">
              <w:t>line for sorting mixed waste bins, as well as developing and implementing an educational programme for marae.</w:t>
            </w:r>
          </w:p>
        </w:tc>
      </w:tr>
      <w:tr w:rsidR="00C73AB1" w14:paraId="7E521997" w14:textId="77777777" w:rsidTr="0055102F">
        <w:tc>
          <w:tcPr>
            <w:tcW w:w="3401" w:type="dxa"/>
          </w:tcPr>
          <w:p w14:paraId="37E05FE7" w14:textId="77777777" w:rsidR="00C73AB1" w:rsidRDefault="00C73AB1">
            <w:pPr>
              <w:pStyle w:val="BodyText"/>
            </w:pPr>
            <w:r>
              <w:lastRenderedPageBreak/>
              <w:t>Improving Māori participation</w:t>
            </w:r>
          </w:p>
        </w:tc>
        <w:tc>
          <w:tcPr>
            <w:tcW w:w="9782" w:type="dxa"/>
          </w:tcPr>
          <w:p w14:paraId="35CBFC1B" w14:textId="77777777" w:rsidR="00C73AB1" w:rsidRDefault="00C73AB1">
            <w:pPr>
              <w:pStyle w:val="TableBullet"/>
            </w:pPr>
            <w:proofErr w:type="spellStart"/>
            <w:r w:rsidRPr="00EA7A1E">
              <w:t>Ōrākei</w:t>
            </w:r>
            <w:proofErr w:type="spellEnd"/>
            <w:r w:rsidRPr="00EA7A1E">
              <w:t xml:space="preserve"> </w:t>
            </w:r>
            <w:proofErr w:type="spellStart"/>
            <w:r w:rsidRPr="00EA7A1E">
              <w:t>Hapori</w:t>
            </w:r>
            <w:proofErr w:type="spellEnd"/>
            <w:r w:rsidRPr="00EA7A1E">
              <w:t xml:space="preserve"> </w:t>
            </w:r>
            <w:proofErr w:type="spellStart"/>
            <w:r w:rsidRPr="00EA7A1E">
              <w:t>Parakore</w:t>
            </w:r>
            <w:proofErr w:type="spellEnd"/>
            <w:r w:rsidRPr="00EA7A1E">
              <w:t xml:space="preserve"> (</w:t>
            </w:r>
            <w:proofErr w:type="spellStart"/>
            <w:r w:rsidRPr="00EA7A1E">
              <w:t>Ōrākei</w:t>
            </w:r>
            <w:proofErr w:type="spellEnd"/>
            <w:r w:rsidRPr="00EA7A1E">
              <w:t xml:space="preserve"> Community Zero Waste)</w:t>
            </w:r>
            <w:r>
              <w:t>: r</w:t>
            </w:r>
            <w:r w:rsidRPr="00EC6CA2">
              <w:t xml:space="preserve">unning a </w:t>
            </w:r>
            <w:r>
              <w:t>one</w:t>
            </w:r>
            <w:r w:rsidRPr="00EC6CA2">
              <w:t xml:space="preserve">-year data and awareness project on waste reduction within their </w:t>
            </w:r>
            <w:proofErr w:type="spellStart"/>
            <w:r w:rsidRPr="00EC6CA2">
              <w:t>rohe</w:t>
            </w:r>
            <w:proofErr w:type="spellEnd"/>
            <w:r w:rsidRPr="00EC6CA2">
              <w:t xml:space="preserve"> </w:t>
            </w:r>
            <w:r>
              <w:t xml:space="preserve">(area) </w:t>
            </w:r>
            <w:r w:rsidRPr="00EC6CA2">
              <w:t>by collecting data through waste audits and surveys, raising awareness through workshops and wānanga, and developing an organisational waste strategy.</w:t>
            </w:r>
          </w:p>
          <w:p w14:paraId="6D9373D1" w14:textId="77777777" w:rsidR="00C73AB1" w:rsidRDefault="00C73AB1">
            <w:pPr>
              <w:pStyle w:val="TableBullet"/>
            </w:pPr>
            <w:r w:rsidRPr="00920E97">
              <w:t>Para Kore Marae Incorporated</w:t>
            </w:r>
            <w:r>
              <w:t xml:space="preserve">: </w:t>
            </w:r>
          </w:p>
          <w:p w14:paraId="4CCF1B3A" w14:textId="75706E12" w:rsidR="00C73AB1" w:rsidRDefault="00C73AB1">
            <w:pPr>
              <w:pStyle w:val="TableDash"/>
            </w:pPr>
            <w:r>
              <w:t>s</w:t>
            </w:r>
            <w:r w:rsidRPr="00440E73">
              <w:t xml:space="preserve">upporting </w:t>
            </w:r>
            <w:proofErr w:type="spellStart"/>
            <w:r w:rsidRPr="00440E73">
              <w:t>Te</w:t>
            </w:r>
            <w:proofErr w:type="spellEnd"/>
            <w:r w:rsidRPr="00440E73">
              <w:t xml:space="preserve"> Whānau-ā-Apanui towards its zero waste ambitions through co-designing and implementing waste minimisation strategies in the 12 tribal hapū in the eastern Bay of Plenty region, establishing the infrastructure and behaviour set to transform the tribal </w:t>
            </w:r>
            <w:proofErr w:type="spellStart"/>
            <w:r w:rsidRPr="00440E73">
              <w:t>rohe</w:t>
            </w:r>
            <w:proofErr w:type="spellEnd"/>
            <w:r w:rsidRPr="00440E73">
              <w:t xml:space="preserve"> into a low</w:t>
            </w:r>
            <w:r w:rsidR="00C67DDD">
              <w:t>-</w:t>
            </w:r>
            <w:r w:rsidRPr="00440E73">
              <w:t>waste</w:t>
            </w:r>
            <w:r w:rsidR="00C67DDD">
              <w:t>-</w:t>
            </w:r>
            <w:r w:rsidRPr="00440E73">
              <w:t>generating district.</w:t>
            </w:r>
          </w:p>
          <w:p w14:paraId="4054551D" w14:textId="786FF614" w:rsidR="00C73AB1" w:rsidRDefault="00C67DDD">
            <w:pPr>
              <w:pStyle w:val="TableDash"/>
            </w:pPr>
            <w:r>
              <w:t>w</w:t>
            </w:r>
            <w:r w:rsidR="00C73AB1" w:rsidRPr="009B6660">
              <w:t xml:space="preserve">orking with six </w:t>
            </w:r>
            <w:proofErr w:type="spellStart"/>
            <w:r w:rsidR="00C73AB1" w:rsidRPr="009B6660">
              <w:t>Ngāi</w:t>
            </w:r>
            <w:proofErr w:type="spellEnd"/>
            <w:r w:rsidR="00C73AB1" w:rsidRPr="009B6660">
              <w:t xml:space="preserve"> Tahu </w:t>
            </w:r>
            <w:proofErr w:type="spellStart"/>
            <w:r w:rsidR="00C73AB1" w:rsidRPr="009B6660">
              <w:t>rūnaka</w:t>
            </w:r>
            <w:proofErr w:type="spellEnd"/>
            <w:r w:rsidR="001D2F86">
              <w:t xml:space="preserve"> (tribal council)</w:t>
            </w:r>
            <w:r w:rsidR="00C73AB1" w:rsidRPr="009B6660">
              <w:t xml:space="preserve"> and hapū to co-design and implement strategies to eliminate waste and hiring three new </w:t>
            </w:r>
            <w:proofErr w:type="spellStart"/>
            <w:r w:rsidR="00C73AB1" w:rsidRPr="009B6660">
              <w:t>kaiārahi</w:t>
            </w:r>
            <w:proofErr w:type="spellEnd"/>
            <w:r w:rsidR="00C73AB1" w:rsidRPr="009B6660">
              <w:t xml:space="preserve"> </w:t>
            </w:r>
            <w:r w:rsidR="001D2F86">
              <w:t xml:space="preserve">(leadership) </w:t>
            </w:r>
            <w:r w:rsidR="00C73AB1" w:rsidRPr="009B6660">
              <w:t>positions to establish a regional presence in and around Christchurch, Dunedin and Invercargill.</w:t>
            </w:r>
          </w:p>
        </w:tc>
      </w:tr>
    </w:tbl>
    <w:p w14:paraId="3924C957" w14:textId="77777777" w:rsidR="00C73AB1" w:rsidRDefault="00C73AB1" w:rsidP="00C73AB1"/>
    <w:p w14:paraId="534CE90B" w14:textId="77777777" w:rsidR="00C73AB1" w:rsidRPr="00337270" w:rsidRDefault="00C73AB1" w:rsidP="00C73AB1">
      <w:pPr>
        <w:sectPr w:rsidR="00C73AB1" w:rsidRPr="00337270" w:rsidSect="00843700">
          <w:pgSz w:w="16840" w:h="11907" w:orient="landscape" w:code="9"/>
          <w:pgMar w:top="1134" w:right="1701" w:bottom="1134" w:left="1701" w:header="567" w:footer="567" w:gutter="0"/>
          <w:cols w:space="720"/>
          <w:titlePg/>
          <w:docGrid w:linePitch="326"/>
        </w:sectPr>
      </w:pPr>
    </w:p>
    <w:p w14:paraId="58EB6494" w14:textId="166F01CE" w:rsidR="00C73AB1" w:rsidRDefault="00C73AB1" w:rsidP="00C73AB1">
      <w:pPr>
        <w:pStyle w:val="BodyText"/>
      </w:pPr>
      <w:r>
        <w:lastRenderedPageBreak/>
        <w:t xml:space="preserve">Changes to investment processes include collection of more data on anticipated and actual outcomes of funded projects. </w:t>
      </w:r>
      <w:r w:rsidRPr="00A21D25">
        <w:t xml:space="preserve">A </w:t>
      </w:r>
      <w:hyperlink r:id="rId40" w:history="1">
        <w:r w:rsidR="00A21D25" w:rsidRPr="007F63B2">
          <w:rPr>
            <w:rStyle w:val="Hyperlink"/>
          </w:rPr>
          <w:t>waste investments snapshot</w:t>
        </w:r>
      </w:hyperlink>
      <w:r w:rsidR="00871BD4">
        <w:t xml:space="preserve"> is </w:t>
      </w:r>
      <w:r>
        <w:t xml:space="preserve">now available on the Ministry website, which includes information on forecast diversion of tonnes of organic waste and forecast emissions reduction (relevant metrics for the current focus of funding). Additional information on funded projects is also available in a searchable </w:t>
      </w:r>
      <w:hyperlink r:id="rId41" w:history="1">
        <w:r w:rsidRPr="00A21D25">
          <w:rPr>
            <w:rStyle w:val="Hyperlink"/>
          </w:rPr>
          <w:t>project database and map</w:t>
        </w:r>
      </w:hyperlink>
      <w:r>
        <w:t xml:space="preserve">. </w:t>
      </w:r>
    </w:p>
    <w:p w14:paraId="597E6651" w14:textId="77777777" w:rsidR="00C73AB1" w:rsidRDefault="00C73AB1" w:rsidP="00C73AB1">
      <w:pPr>
        <w:pStyle w:val="Heading3"/>
      </w:pPr>
      <w:r>
        <w:t>Territorial authorities invest in waste minimisation</w:t>
      </w:r>
    </w:p>
    <w:p w14:paraId="6128287C" w14:textId="212F40FA" w:rsidR="00C73AB1" w:rsidRDefault="00C73AB1" w:rsidP="00C73AB1">
      <w:pPr>
        <w:pStyle w:val="BodyText"/>
      </w:pPr>
      <w:r>
        <w:t xml:space="preserve">Half the money collected through the levy is paid to territorial authorities quarterly each year. The amount of levy each territorial authority receives is determined by the number of people in each district. </w:t>
      </w:r>
    </w:p>
    <w:p w14:paraId="5CA60EF0" w14:textId="77777777" w:rsidR="00C73AB1" w:rsidRDefault="00C73AB1" w:rsidP="00C73AB1">
      <w:pPr>
        <w:pStyle w:val="BodyText"/>
      </w:pPr>
      <w:r>
        <w:t xml:space="preserve">Waste management and minimisation plans prepared by each territorial authority set out how the levy will be used. Territorial authorities must spend the levy to promote or achieve waste minimisation and in accordance with their waste management and minimisation plans. </w:t>
      </w:r>
    </w:p>
    <w:p w14:paraId="6997EA9F" w14:textId="15EF65B0" w:rsidR="00C73AB1" w:rsidRDefault="00C73AB1" w:rsidP="00C73AB1">
      <w:pPr>
        <w:pStyle w:val="BodyText"/>
      </w:pPr>
      <w:r>
        <w:t>With increases to the quantity of levy money territorial authorities receive, the Ministry has provided some additional guidance on its website on how territorial authorities could use their levy money.</w:t>
      </w:r>
    </w:p>
    <w:p w14:paraId="0410C303" w14:textId="1F4A77D3" w:rsidR="00C73AB1" w:rsidRDefault="00C73AB1" w:rsidP="00C73AB1">
      <w:pPr>
        <w:pStyle w:val="BodyText"/>
      </w:pPr>
      <w:r>
        <w:t xml:space="preserve">Territorial authorities report to the Ministry annually on what they have spent their levy revenue on. This is currently on a voluntary basis through the TAWLES, which was launched on 22 April 2022. From 1 July 2024, territorial authorities </w:t>
      </w:r>
      <w:r w:rsidR="006707D0">
        <w:t>are</w:t>
      </w:r>
      <w:r>
        <w:t xml:space="preserve"> subject to mandatory record-keeping and reporting requirements, with the first report (covering the 2024/25 financial year) due </w:t>
      </w:r>
      <w:r w:rsidR="00FD6B43">
        <w:t xml:space="preserve">by </w:t>
      </w:r>
      <w:r>
        <w:t xml:space="preserve">30 September 2025. </w:t>
      </w:r>
    </w:p>
    <w:p w14:paraId="2EACB0D0" w14:textId="48E93B14" w:rsidR="00C73AB1" w:rsidRDefault="00C73AB1" w:rsidP="00C73AB1">
      <w:pPr>
        <w:pStyle w:val="BodyText"/>
      </w:pPr>
      <w:r>
        <w:t>Territorial authorities invest levy funds in a wide variety of projects and activities. Common investments include services such as kerbside recycling</w:t>
      </w:r>
      <w:r w:rsidR="00FD6B43">
        <w:t>,</w:t>
      </w:r>
      <w:r>
        <w:t xml:space="preserve"> and education and communication (</w:t>
      </w:r>
      <w:r w:rsidR="00FD6B43">
        <w:t xml:space="preserve">see </w:t>
      </w:r>
      <w:r w:rsidR="00FD6B43">
        <w:fldChar w:fldCharType="begin"/>
      </w:r>
      <w:r w:rsidR="00FD6B43">
        <w:instrText xml:space="preserve"> REF _Ref153526512 \h \* lower </w:instrText>
      </w:r>
      <w:r w:rsidR="00FD6B43">
        <w:fldChar w:fldCharType="separate"/>
      </w:r>
      <w:r w:rsidR="00587F2B">
        <w:t xml:space="preserve">table </w:t>
      </w:r>
      <w:r w:rsidR="00587F2B">
        <w:rPr>
          <w:noProof/>
        </w:rPr>
        <w:t>12</w:t>
      </w:r>
      <w:r w:rsidR="00FD6B43">
        <w:fldChar w:fldCharType="end"/>
      </w:r>
      <w:r>
        <w:t xml:space="preserve">). The levy spend areas in this review period are </w:t>
      </w:r>
      <w:proofErr w:type="gramStart"/>
      <w:r>
        <w:t>similar to</w:t>
      </w:r>
      <w:proofErr w:type="gramEnd"/>
      <w:r>
        <w:t xml:space="preserve"> the long-term trend (overall, 45 per cent of levy revenue has been spent on services and 25 per cent on education and communication over the time series).</w:t>
      </w:r>
    </w:p>
    <w:p w14:paraId="57718F46" w14:textId="68656CC0" w:rsidR="00FD6B43" w:rsidRDefault="00FD6B43" w:rsidP="00D04EB0">
      <w:pPr>
        <w:pStyle w:val="Tableheading"/>
      </w:pPr>
      <w:bookmarkStart w:id="53" w:name="_Ref153526512"/>
      <w:bookmarkStart w:id="54" w:name="_Toc177022860"/>
      <w:bookmarkEnd w:id="52"/>
      <w:r>
        <w:t xml:space="preserve">Table </w:t>
      </w:r>
      <w:r>
        <w:fldChar w:fldCharType="begin"/>
      </w:r>
      <w:r>
        <w:instrText xml:space="preserve"> SEQ Table \* ARABIC </w:instrText>
      </w:r>
      <w:r>
        <w:fldChar w:fldCharType="separate"/>
      </w:r>
      <w:r w:rsidR="00587F2B">
        <w:rPr>
          <w:noProof/>
        </w:rPr>
        <w:t>12</w:t>
      </w:r>
      <w:r>
        <w:rPr>
          <w:noProof/>
        </w:rPr>
        <w:fldChar w:fldCharType="end"/>
      </w:r>
      <w:bookmarkEnd w:id="53"/>
      <w:r>
        <w:t xml:space="preserve">: </w:t>
      </w:r>
      <w:r>
        <w:tab/>
      </w:r>
      <w:r w:rsidRPr="0026449D">
        <w:t>Reported spending areas for territorial authorities’ share of levy funds</w:t>
      </w:r>
      <w:bookmarkEnd w:id="54"/>
    </w:p>
    <w:tbl>
      <w:tblPr>
        <w:tblStyle w:val="MinistryfortheEnvironment"/>
        <w:tblW w:w="0" w:type="auto"/>
        <w:tblLook w:val="04A0" w:firstRow="1" w:lastRow="0" w:firstColumn="1" w:lastColumn="0" w:noHBand="0" w:noVBand="1"/>
      </w:tblPr>
      <w:tblGrid>
        <w:gridCol w:w="1850"/>
        <w:gridCol w:w="2218"/>
        <w:gridCol w:w="2218"/>
        <w:gridCol w:w="2219"/>
      </w:tblGrid>
      <w:tr w:rsidR="00C73AB1" w:rsidRPr="0043070D" w14:paraId="39424047" w14:textId="77777777" w:rsidTr="0098429B">
        <w:trPr>
          <w:cnfStyle w:val="100000000000" w:firstRow="1" w:lastRow="0" w:firstColumn="0" w:lastColumn="0" w:oddVBand="0" w:evenVBand="0" w:oddHBand="0" w:evenHBand="0" w:firstRowFirstColumn="0" w:firstRowLastColumn="0" w:lastRowFirstColumn="0" w:lastRowLastColumn="0"/>
        </w:trPr>
        <w:tc>
          <w:tcPr>
            <w:tcW w:w="1850" w:type="dxa"/>
          </w:tcPr>
          <w:p w14:paraId="02164D26" w14:textId="77777777" w:rsidR="00C73AB1" w:rsidRPr="0043070D" w:rsidRDefault="00C73AB1">
            <w:pPr>
              <w:pStyle w:val="TableText"/>
              <w:rPr>
                <w:bCs/>
              </w:rPr>
            </w:pPr>
          </w:p>
        </w:tc>
        <w:tc>
          <w:tcPr>
            <w:tcW w:w="6655" w:type="dxa"/>
            <w:gridSpan w:val="3"/>
            <w:vAlign w:val="center"/>
          </w:tcPr>
          <w:p w14:paraId="2C9A5F2E" w14:textId="77777777" w:rsidR="00C73AB1" w:rsidRPr="0043070D" w:rsidRDefault="00C73AB1">
            <w:pPr>
              <w:pStyle w:val="TableText"/>
              <w:jc w:val="center"/>
              <w:rPr>
                <w:bCs/>
              </w:rPr>
            </w:pPr>
            <w:r w:rsidRPr="0043070D">
              <w:rPr>
                <w:bCs/>
              </w:rPr>
              <w:t>Proportion of total spend</w:t>
            </w:r>
            <w:r>
              <w:rPr>
                <w:bCs/>
              </w:rPr>
              <w:br/>
            </w:r>
            <w:r w:rsidRPr="0043070D">
              <w:rPr>
                <w:bCs/>
              </w:rPr>
              <w:t>Amount (%)</w:t>
            </w:r>
          </w:p>
        </w:tc>
      </w:tr>
      <w:tr w:rsidR="00C73AB1" w:rsidRPr="0043070D" w14:paraId="06C4056A" w14:textId="77777777" w:rsidTr="0098429B">
        <w:tc>
          <w:tcPr>
            <w:tcW w:w="1850" w:type="dxa"/>
            <w:shd w:val="clear" w:color="auto" w:fill="1B556B"/>
          </w:tcPr>
          <w:p w14:paraId="3DA8C919" w14:textId="77777777" w:rsidR="00C73AB1" w:rsidRPr="0043070D" w:rsidRDefault="00C73AB1">
            <w:pPr>
              <w:pStyle w:val="TableText"/>
              <w:rPr>
                <w:b/>
                <w:bCs/>
                <w:color w:val="FFFFFF" w:themeColor="background1"/>
              </w:rPr>
            </w:pPr>
            <w:r w:rsidRPr="0043070D">
              <w:rPr>
                <w:b/>
                <w:bCs/>
                <w:color w:val="FFFFFF" w:themeColor="background1"/>
              </w:rPr>
              <w:t>Spending area</w:t>
            </w:r>
          </w:p>
        </w:tc>
        <w:tc>
          <w:tcPr>
            <w:tcW w:w="2218" w:type="dxa"/>
            <w:shd w:val="clear" w:color="auto" w:fill="1B556B"/>
            <w:vAlign w:val="center"/>
          </w:tcPr>
          <w:p w14:paraId="0F378DBD" w14:textId="59AEA951" w:rsidR="00C73AB1" w:rsidRPr="0043070D" w:rsidRDefault="00C73AB1" w:rsidP="00D04EB0">
            <w:pPr>
              <w:pStyle w:val="TableText"/>
              <w:jc w:val="center"/>
              <w:rPr>
                <w:b/>
                <w:bCs/>
                <w:color w:val="FFFFFF" w:themeColor="background1"/>
              </w:rPr>
            </w:pPr>
            <w:r w:rsidRPr="0043070D">
              <w:rPr>
                <w:b/>
                <w:bCs/>
                <w:color w:val="FFFFFF" w:themeColor="background1"/>
              </w:rPr>
              <w:t xml:space="preserve">2019/20 </w:t>
            </w:r>
          </w:p>
        </w:tc>
        <w:tc>
          <w:tcPr>
            <w:tcW w:w="2218" w:type="dxa"/>
            <w:shd w:val="clear" w:color="auto" w:fill="1B556B"/>
            <w:vAlign w:val="center"/>
          </w:tcPr>
          <w:p w14:paraId="61455457" w14:textId="77777777" w:rsidR="00C73AB1" w:rsidRPr="0043070D" w:rsidRDefault="00C73AB1" w:rsidP="00D04EB0">
            <w:pPr>
              <w:pStyle w:val="TableText"/>
              <w:jc w:val="center"/>
              <w:rPr>
                <w:b/>
                <w:bCs/>
                <w:color w:val="FFFFFF" w:themeColor="background1"/>
              </w:rPr>
            </w:pPr>
            <w:r>
              <w:rPr>
                <w:b/>
                <w:bCs/>
                <w:color w:val="FFFFFF" w:themeColor="background1"/>
              </w:rPr>
              <w:t>2020/21</w:t>
            </w:r>
          </w:p>
        </w:tc>
        <w:tc>
          <w:tcPr>
            <w:tcW w:w="2219" w:type="dxa"/>
            <w:shd w:val="clear" w:color="auto" w:fill="1B556B"/>
            <w:vAlign w:val="center"/>
          </w:tcPr>
          <w:p w14:paraId="3BC16ECA" w14:textId="77777777" w:rsidR="00C73AB1" w:rsidRPr="0043070D" w:rsidRDefault="00C73AB1" w:rsidP="00D04EB0">
            <w:pPr>
              <w:pStyle w:val="TableText"/>
              <w:jc w:val="center"/>
              <w:rPr>
                <w:b/>
                <w:bCs/>
                <w:color w:val="FFFFFF" w:themeColor="background1"/>
              </w:rPr>
            </w:pPr>
            <w:r>
              <w:rPr>
                <w:b/>
                <w:bCs/>
                <w:color w:val="FFFFFF" w:themeColor="background1"/>
              </w:rPr>
              <w:t>2021/22</w:t>
            </w:r>
          </w:p>
        </w:tc>
      </w:tr>
      <w:tr w:rsidR="00C73AB1" w14:paraId="59F13162" w14:textId="77777777" w:rsidTr="005D6299">
        <w:tc>
          <w:tcPr>
            <w:tcW w:w="1850" w:type="dxa"/>
          </w:tcPr>
          <w:p w14:paraId="291078AB" w14:textId="77777777" w:rsidR="00C73AB1" w:rsidRDefault="00C73AB1">
            <w:pPr>
              <w:pStyle w:val="TableText"/>
            </w:pPr>
            <w:r>
              <w:t>Services</w:t>
            </w:r>
          </w:p>
        </w:tc>
        <w:tc>
          <w:tcPr>
            <w:tcW w:w="2218" w:type="dxa"/>
            <w:vAlign w:val="center"/>
          </w:tcPr>
          <w:p w14:paraId="77F204B2" w14:textId="77777777" w:rsidR="00C73AB1" w:rsidRDefault="00C73AB1" w:rsidP="00D04EB0">
            <w:pPr>
              <w:pStyle w:val="TableText"/>
              <w:jc w:val="right"/>
            </w:pPr>
            <w:r>
              <w:t>$10,177,426 (50%)</w:t>
            </w:r>
          </w:p>
        </w:tc>
        <w:tc>
          <w:tcPr>
            <w:tcW w:w="2218" w:type="dxa"/>
            <w:vAlign w:val="center"/>
          </w:tcPr>
          <w:p w14:paraId="1AAB12EF" w14:textId="77777777" w:rsidR="00C73AB1" w:rsidRDefault="00C73AB1" w:rsidP="00D04EB0">
            <w:pPr>
              <w:pStyle w:val="TableText"/>
              <w:jc w:val="right"/>
            </w:pPr>
            <w:r>
              <w:t>$7,837,385 (45%)</w:t>
            </w:r>
          </w:p>
        </w:tc>
        <w:tc>
          <w:tcPr>
            <w:tcW w:w="2219" w:type="dxa"/>
            <w:vAlign w:val="center"/>
          </w:tcPr>
          <w:p w14:paraId="30020E73" w14:textId="6043A783" w:rsidR="00C73AB1" w:rsidRDefault="00D4321D" w:rsidP="005D6299">
            <w:pPr>
              <w:pStyle w:val="TableText"/>
              <w:jc w:val="right"/>
            </w:pPr>
            <w:r w:rsidRPr="00D4321D">
              <w:t>$6,929,833 (50%)</w:t>
            </w:r>
          </w:p>
        </w:tc>
      </w:tr>
      <w:tr w:rsidR="00C73AB1" w14:paraId="47CF7E13" w14:textId="77777777" w:rsidTr="005D6299">
        <w:tc>
          <w:tcPr>
            <w:tcW w:w="1850" w:type="dxa"/>
          </w:tcPr>
          <w:p w14:paraId="1500741D" w14:textId="77777777" w:rsidR="00C73AB1" w:rsidRDefault="00C73AB1">
            <w:pPr>
              <w:pStyle w:val="TableText"/>
            </w:pPr>
            <w:r>
              <w:t>Education and communication</w:t>
            </w:r>
          </w:p>
        </w:tc>
        <w:tc>
          <w:tcPr>
            <w:tcW w:w="2218" w:type="dxa"/>
            <w:vAlign w:val="center"/>
          </w:tcPr>
          <w:p w14:paraId="4D734B82" w14:textId="77777777" w:rsidR="00C73AB1" w:rsidRDefault="00C73AB1" w:rsidP="00D04EB0">
            <w:pPr>
              <w:pStyle w:val="TableText"/>
              <w:jc w:val="right"/>
            </w:pPr>
            <w:r>
              <w:t>$4,993,240 (24%)</w:t>
            </w:r>
          </w:p>
        </w:tc>
        <w:tc>
          <w:tcPr>
            <w:tcW w:w="2218" w:type="dxa"/>
            <w:vAlign w:val="center"/>
          </w:tcPr>
          <w:p w14:paraId="5B24A54C" w14:textId="77777777" w:rsidR="00C73AB1" w:rsidRDefault="00C73AB1" w:rsidP="00D04EB0">
            <w:pPr>
              <w:pStyle w:val="TableText"/>
              <w:jc w:val="right"/>
            </w:pPr>
            <w:r>
              <w:t>$5,706,722 (33%)</w:t>
            </w:r>
          </w:p>
        </w:tc>
        <w:tc>
          <w:tcPr>
            <w:tcW w:w="2219" w:type="dxa"/>
            <w:vAlign w:val="center"/>
          </w:tcPr>
          <w:p w14:paraId="27E6441B" w14:textId="33FA78C8" w:rsidR="00C73AB1" w:rsidRDefault="003625DC" w:rsidP="005D6299">
            <w:pPr>
              <w:pStyle w:val="TableText"/>
              <w:jc w:val="right"/>
            </w:pPr>
            <w:r w:rsidRPr="003625DC">
              <w:t>$3,545,406 (25%)</w:t>
            </w:r>
          </w:p>
        </w:tc>
      </w:tr>
      <w:tr w:rsidR="00C73AB1" w14:paraId="3D7D5801" w14:textId="77777777" w:rsidTr="005D6299">
        <w:tc>
          <w:tcPr>
            <w:tcW w:w="1850" w:type="dxa"/>
          </w:tcPr>
          <w:p w14:paraId="7E247691" w14:textId="77777777" w:rsidR="00C73AB1" w:rsidRDefault="00C73AB1">
            <w:pPr>
              <w:pStyle w:val="TableText"/>
            </w:pPr>
            <w:r>
              <w:t>Infrastructure</w:t>
            </w:r>
          </w:p>
        </w:tc>
        <w:tc>
          <w:tcPr>
            <w:tcW w:w="2218" w:type="dxa"/>
            <w:vAlign w:val="center"/>
          </w:tcPr>
          <w:p w14:paraId="57E58672" w14:textId="77777777" w:rsidR="00C73AB1" w:rsidRDefault="00C73AB1" w:rsidP="00D04EB0">
            <w:pPr>
              <w:pStyle w:val="TableText"/>
              <w:jc w:val="right"/>
            </w:pPr>
            <w:r>
              <w:t>$1,968,712 (10%)</w:t>
            </w:r>
          </w:p>
        </w:tc>
        <w:tc>
          <w:tcPr>
            <w:tcW w:w="2218" w:type="dxa"/>
            <w:vAlign w:val="center"/>
          </w:tcPr>
          <w:p w14:paraId="1B63A14D" w14:textId="77777777" w:rsidR="00C73AB1" w:rsidRDefault="00C73AB1" w:rsidP="00D04EB0">
            <w:pPr>
              <w:pStyle w:val="TableText"/>
              <w:jc w:val="right"/>
            </w:pPr>
            <w:r>
              <w:t>$1,430,248 (8%)</w:t>
            </w:r>
          </w:p>
        </w:tc>
        <w:tc>
          <w:tcPr>
            <w:tcW w:w="2219" w:type="dxa"/>
            <w:vAlign w:val="center"/>
          </w:tcPr>
          <w:p w14:paraId="582FD14D" w14:textId="2F8EED08" w:rsidR="00C73AB1" w:rsidRDefault="006D5CDD" w:rsidP="005D6299">
            <w:pPr>
              <w:pStyle w:val="TableText"/>
              <w:jc w:val="right"/>
            </w:pPr>
            <w:r w:rsidRPr="006D5CDD">
              <w:t>$572,798 (4%)</w:t>
            </w:r>
          </w:p>
        </w:tc>
      </w:tr>
      <w:tr w:rsidR="00C73AB1" w14:paraId="35719C96" w14:textId="77777777" w:rsidTr="005D6299">
        <w:tc>
          <w:tcPr>
            <w:tcW w:w="1850" w:type="dxa"/>
          </w:tcPr>
          <w:p w14:paraId="0CA600D3" w14:textId="77777777" w:rsidR="00C73AB1" w:rsidRDefault="00C73AB1">
            <w:pPr>
              <w:pStyle w:val="TableText"/>
            </w:pPr>
            <w:r>
              <w:t>Research and reporting</w:t>
            </w:r>
          </w:p>
        </w:tc>
        <w:tc>
          <w:tcPr>
            <w:tcW w:w="2218" w:type="dxa"/>
            <w:vAlign w:val="center"/>
          </w:tcPr>
          <w:p w14:paraId="577A45B0" w14:textId="77777777" w:rsidR="00C73AB1" w:rsidRDefault="00C73AB1" w:rsidP="00D04EB0">
            <w:pPr>
              <w:pStyle w:val="TableText"/>
              <w:jc w:val="right"/>
            </w:pPr>
            <w:r>
              <w:t>$664,041 (3%)</w:t>
            </w:r>
          </w:p>
        </w:tc>
        <w:tc>
          <w:tcPr>
            <w:tcW w:w="2218" w:type="dxa"/>
            <w:vAlign w:val="center"/>
          </w:tcPr>
          <w:p w14:paraId="08D06322" w14:textId="77777777" w:rsidR="00C73AB1" w:rsidRDefault="00C73AB1" w:rsidP="00D04EB0">
            <w:pPr>
              <w:pStyle w:val="TableText"/>
              <w:jc w:val="right"/>
            </w:pPr>
            <w:r>
              <w:t>$773,815 (4%)</w:t>
            </w:r>
          </w:p>
        </w:tc>
        <w:tc>
          <w:tcPr>
            <w:tcW w:w="2219" w:type="dxa"/>
            <w:vAlign w:val="center"/>
          </w:tcPr>
          <w:p w14:paraId="3D77BBEF" w14:textId="147613A6" w:rsidR="00C73AB1" w:rsidRDefault="00D87955" w:rsidP="005D6299">
            <w:pPr>
              <w:pStyle w:val="TableText"/>
              <w:jc w:val="right"/>
            </w:pPr>
            <w:r w:rsidRPr="00D87955">
              <w:t>$595,411 (4%)</w:t>
            </w:r>
          </w:p>
        </w:tc>
      </w:tr>
      <w:tr w:rsidR="00C73AB1" w14:paraId="6783209B" w14:textId="77777777" w:rsidTr="005D6299">
        <w:tc>
          <w:tcPr>
            <w:tcW w:w="1850" w:type="dxa"/>
          </w:tcPr>
          <w:p w14:paraId="6290FB62" w14:textId="77777777" w:rsidR="00C73AB1" w:rsidRDefault="00C73AB1">
            <w:pPr>
              <w:pStyle w:val="TableText"/>
            </w:pPr>
            <w:r>
              <w:t>Other initiatives</w:t>
            </w:r>
          </w:p>
        </w:tc>
        <w:tc>
          <w:tcPr>
            <w:tcW w:w="2218" w:type="dxa"/>
            <w:vAlign w:val="center"/>
          </w:tcPr>
          <w:p w14:paraId="6F08D715" w14:textId="77777777" w:rsidR="00C73AB1" w:rsidRDefault="00C73AB1" w:rsidP="00D04EB0">
            <w:pPr>
              <w:pStyle w:val="TableText"/>
              <w:jc w:val="right"/>
            </w:pPr>
            <w:r>
              <w:t>$2,617,472 (13%)</w:t>
            </w:r>
          </w:p>
        </w:tc>
        <w:tc>
          <w:tcPr>
            <w:tcW w:w="2218" w:type="dxa"/>
            <w:vAlign w:val="center"/>
          </w:tcPr>
          <w:p w14:paraId="413043D4" w14:textId="77777777" w:rsidR="00C73AB1" w:rsidRDefault="00C73AB1" w:rsidP="00D04EB0">
            <w:pPr>
              <w:pStyle w:val="TableText"/>
              <w:jc w:val="right"/>
            </w:pPr>
            <w:r>
              <w:t>$1,703,491 (10%)</w:t>
            </w:r>
          </w:p>
        </w:tc>
        <w:tc>
          <w:tcPr>
            <w:tcW w:w="2219" w:type="dxa"/>
            <w:vAlign w:val="center"/>
          </w:tcPr>
          <w:p w14:paraId="73A6F7F3" w14:textId="5CC9F526" w:rsidR="00C73AB1" w:rsidRDefault="00C43296" w:rsidP="005D6299">
            <w:pPr>
              <w:pStyle w:val="TableText"/>
              <w:jc w:val="right"/>
            </w:pPr>
            <w:r w:rsidRPr="00C43296">
              <w:t>$2,304,968 (17%)</w:t>
            </w:r>
          </w:p>
        </w:tc>
      </w:tr>
      <w:tr w:rsidR="00C73AB1" w:rsidRPr="00DF08F7" w14:paraId="6130ADB2" w14:textId="77777777" w:rsidTr="005D6299">
        <w:tc>
          <w:tcPr>
            <w:tcW w:w="1850" w:type="dxa"/>
          </w:tcPr>
          <w:p w14:paraId="2C86D9EA" w14:textId="77777777" w:rsidR="00C73AB1" w:rsidRPr="00D04EB0" w:rsidRDefault="00C73AB1">
            <w:pPr>
              <w:pStyle w:val="TableText"/>
              <w:rPr>
                <w:b/>
                <w:bCs/>
              </w:rPr>
            </w:pPr>
            <w:proofErr w:type="gramStart"/>
            <w:r w:rsidRPr="00D04EB0">
              <w:rPr>
                <w:b/>
                <w:bCs/>
              </w:rPr>
              <w:t>Total</w:t>
            </w:r>
            <w:proofErr w:type="gramEnd"/>
            <w:r w:rsidRPr="00D04EB0">
              <w:rPr>
                <w:b/>
                <w:bCs/>
              </w:rPr>
              <w:t xml:space="preserve"> spend</w:t>
            </w:r>
          </w:p>
        </w:tc>
        <w:tc>
          <w:tcPr>
            <w:tcW w:w="2218" w:type="dxa"/>
            <w:vAlign w:val="center"/>
          </w:tcPr>
          <w:p w14:paraId="4C62A64C" w14:textId="77777777" w:rsidR="00C73AB1" w:rsidRPr="00D04EB0" w:rsidRDefault="00C73AB1" w:rsidP="00D04EB0">
            <w:pPr>
              <w:pStyle w:val="TableText"/>
              <w:jc w:val="right"/>
              <w:rPr>
                <w:b/>
                <w:bCs/>
              </w:rPr>
            </w:pPr>
            <w:r w:rsidRPr="00D04EB0">
              <w:rPr>
                <w:b/>
                <w:bCs/>
              </w:rPr>
              <w:t>$20,420,891</w:t>
            </w:r>
          </w:p>
        </w:tc>
        <w:tc>
          <w:tcPr>
            <w:tcW w:w="2218" w:type="dxa"/>
            <w:vAlign w:val="center"/>
          </w:tcPr>
          <w:p w14:paraId="7F92859A" w14:textId="77777777" w:rsidR="00C73AB1" w:rsidRPr="00D04EB0" w:rsidRDefault="00C73AB1" w:rsidP="00D04EB0">
            <w:pPr>
              <w:pStyle w:val="TableText"/>
              <w:jc w:val="right"/>
              <w:rPr>
                <w:b/>
                <w:bCs/>
              </w:rPr>
            </w:pPr>
            <w:r w:rsidRPr="00D04EB0">
              <w:rPr>
                <w:b/>
                <w:bCs/>
              </w:rPr>
              <w:t>$17,451,661</w:t>
            </w:r>
          </w:p>
        </w:tc>
        <w:tc>
          <w:tcPr>
            <w:tcW w:w="2219" w:type="dxa"/>
            <w:vAlign w:val="center"/>
          </w:tcPr>
          <w:p w14:paraId="331C568A" w14:textId="37BA87EB" w:rsidR="00C73AB1" w:rsidRPr="00D04EB0" w:rsidRDefault="005D6299" w:rsidP="005D6299">
            <w:pPr>
              <w:pStyle w:val="TableText"/>
              <w:jc w:val="right"/>
              <w:rPr>
                <w:b/>
                <w:bCs/>
              </w:rPr>
            </w:pPr>
            <w:r w:rsidRPr="005D6299">
              <w:rPr>
                <w:b/>
                <w:bCs/>
              </w:rPr>
              <w:t>$13,948,417</w:t>
            </w:r>
          </w:p>
        </w:tc>
      </w:tr>
    </w:tbl>
    <w:p w14:paraId="76C0BEF0" w14:textId="1E063C5B" w:rsidR="00A50983" w:rsidRDefault="003D04FE" w:rsidP="00EE36A4">
      <w:pPr>
        <w:pStyle w:val="Note"/>
      </w:pPr>
      <w:r w:rsidRPr="00DE1C2A">
        <w:t xml:space="preserve">Source: </w:t>
      </w:r>
      <w:r w:rsidR="00A50983">
        <w:t>TAWLES</w:t>
      </w:r>
      <w:r w:rsidRPr="00DE1C2A">
        <w:t>.</w:t>
      </w:r>
      <w:r>
        <w:t xml:space="preserve"> </w:t>
      </w:r>
    </w:p>
    <w:p w14:paraId="2309D38F" w14:textId="5B3EBC43" w:rsidR="003D04FE" w:rsidRPr="00DE1C2A" w:rsidRDefault="003D04FE" w:rsidP="00EE36A4">
      <w:pPr>
        <w:pStyle w:val="Note"/>
      </w:pPr>
      <w:r>
        <w:t xml:space="preserve">Note: </w:t>
      </w:r>
      <w:r w:rsidR="00A50983">
        <w:t>N</w:t>
      </w:r>
      <w:r>
        <w:t>ot all levy revenue received by councils is spent in any given financial year; levy revenue may be accrued to spend on larger projects. Dataset includes 66 out of 67 territorial authorities in 2019/20</w:t>
      </w:r>
      <w:r w:rsidR="001803CC">
        <w:t>,</w:t>
      </w:r>
      <w:r>
        <w:t xml:space="preserve"> 65 out of 67 in 2020/21</w:t>
      </w:r>
      <w:r w:rsidR="001803CC">
        <w:t xml:space="preserve"> </w:t>
      </w:r>
      <w:r w:rsidR="001803CC">
        <w:lastRenderedPageBreak/>
        <w:t xml:space="preserve">and </w:t>
      </w:r>
      <w:r w:rsidR="00AA1DAE">
        <w:t xml:space="preserve">48 of out 67 in 2021/2022. The decreased reporting from territorial authorities in 2021/2022 </w:t>
      </w:r>
      <w:r w:rsidR="00975FBB">
        <w:t xml:space="preserve">is due to a change in </w:t>
      </w:r>
      <w:r w:rsidR="00E8564A">
        <w:t>data collection</w:t>
      </w:r>
      <w:r w:rsidR="00975FBB">
        <w:t xml:space="preserve"> </w:t>
      </w:r>
      <w:r w:rsidR="00DB61C0">
        <w:t>method</w:t>
      </w:r>
      <w:r w:rsidR="00E3256F">
        <w:t xml:space="preserve"> and therefore comparison </w:t>
      </w:r>
      <w:r w:rsidR="00B400B4">
        <w:t xml:space="preserve">of absolute values </w:t>
      </w:r>
      <w:r w:rsidR="00E8564A">
        <w:t>is</w:t>
      </w:r>
      <w:r w:rsidR="00B400B4">
        <w:t xml:space="preserve"> </w:t>
      </w:r>
      <w:r w:rsidR="00615A41">
        <w:t>not recommended</w:t>
      </w:r>
      <w:r>
        <w:t>.</w:t>
      </w:r>
    </w:p>
    <w:p w14:paraId="2E816DD9" w14:textId="39FB55C1" w:rsidR="003D04FE" w:rsidRDefault="003D04FE" w:rsidP="003D04FE">
      <w:pPr>
        <w:pStyle w:val="BodyText"/>
      </w:pPr>
      <w:r>
        <w:t xml:space="preserve">Reported spending areas align well with the work programme priorities identified in </w:t>
      </w:r>
      <w:r w:rsidR="00852965">
        <w:fldChar w:fldCharType="begin"/>
      </w:r>
      <w:r w:rsidR="00852965">
        <w:instrText xml:space="preserve"> REF _Ref153524717 \h \* lower </w:instrText>
      </w:r>
      <w:r w:rsidR="00852965">
        <w:fldChar w:fldCharType="separate"/>
      </w:r>
      <w:r w:rsidR="00587F2B">
        <w:t xml:space="preserve">table </w:t>
      </w:r>
      <w:r w:rsidR="00587F2B">
        <w:rPr>
          <w:noProof/>
        </w:rPr>
        <w:t>11</w:t>
      </w:r>
      <w:r w:rsidR="00852965">
        <w:fldChar w:fldCharType="end"/>
      </w:r>
      <w:r>
        <w:t>. Not all spending is attributable to a specific waste stream or category (</w:t>
      </w:r>
      <w:proofErr w:type="spellStart"/>
      <w:r w:rsidR="00852965">
        <w:t>ie</w:t>
      </w:r>
      <w:proofErr w:type="spellEnd"/>
      <w:r w:rsidR="00852965">
        <w:t>,</w:t>
      </w:r>
      <w:r>
        <w:t xml:space="preserve"> projects may target a range of material types). For the portion of funding that can be attributable to a specific waste stream, projects targeting organics (such as household food waste) received the most funding within the review period, with other priority areas</w:t>
      </w:r>
      <w:r w:rsidR="004426CD">
        <w:t>,</w:t>
      </w:r>
      <w:r>
        <w:t xml:space="preserve"> including plastics and priority products (such as e-waste and agrichemicals)</w:t>
      </w:r>
      <w:r w:rsidR="004426CD">
        <w:t>,</w:t>
      </w:r>
      <w:r>
        <w:t xml:space="preserve"> also receiving funding.</w:t>
      </w:r>
    </w:p>
    <w:p w14:paraId="365FFA38" w14:textId="2EDC275D" w:rsidR="003D04FE" w:rsidRDefault="003D04FE" w:rsidP="003D04FE">
      <w:pPr>
        <w:pStyle w:val="BodyText"/>
      </w:pPr>
      <w:r>
        <w:t xml:space="preserve">The results of audits of territorial authorities’ spending of levy revenue are outlined in annual regulatory performance monitoring reports (Ministry for the Environment, 2021d, 2022a). </w:t>
      </w:r>
    </w:p>
    <w:p w14:paraId="291DA4AB" w14:textId="77777777" w:rsidR="003D04FE" w:rsidRDefault="003D04FE" w:rsidP="003D04FE">
      <w:pPr>
        <w:pStyle w:val="BodyText"/>
      </w:pPr>
    </w:p>
    <w:p w14:paraId="66807067" w14:textId="77777777" w:rsidR="003D04FE" w:rsidRDefault="003D04FE" w:rsidP="003D04FE">
      <w:pPr>
        <w:pStyle w:val="Heading1"/>
      </w:pPr>
      <w:bookmarkStart w:id="55" w:name="_Discussion"/>
      <w:bookmarkStart w:id="56" w:name="_Toc177022844"/>
      <w:bookmarkEnd w:id="55"/>
      <w:r>
        <w:t>Discussion</w:t>
      </w:r>
      <w:bookmarkEnd w:id="56"/>
    </w:p>
    <w:p w14:paraId="2BB60F34" w14:textId="2FA19FE9" w:rsidR="003D04FE" w:rsidRDefault="003D04FE" w:rsidP="003D04FE">
      <w:pPr>
        <w:pStyle w:val="Heading2"/>
      </w:pPr>
      <w:bookmarkStart w:id="57" w:name="_Toc177022845"/>
      <w:r>
        <w:t>Domestic policies can support waste reduction and recycling – but it remains strongly influenced by global conditions</w:t>
      </w:r>
      <w:bookmarkEnd w:id="57"/>
      <w:r>
        <w:t xml:space="preserve"> </w:t>
      </w:r>
    </w:p>
    <w:p w14:paraId="027218DC" w14:textId="44E8F31E" w:rsidR="003D04FE" w:rsidRDefault="00C32E8E" w:rsidP="003D04FE">
      <w:pPr>
        <w:pStyle w:val="BodyText"/>
      </w:pPr>
      <w:r>
        <w:fldChar w:fldCharType="begin"/>
      </w:r>
      <w:r>
        <w:instrText xml:space="preserve"> REF _Ref153526863 \h </w:instrText>
      </w:r>
      <w:r>
        <w:fldChar w:fldCharType="separate"/>
      </w:r>
      <w:r w:rsidR="00587F2B">
        <w:t xml:space="preserve">Table </w:t>
      </w:r>
      <w:r w:rsidR="00587F2B">
        <w:rPr>
          <w:noProof/>
        </w:rPr>
        <w:t>13</w:t>
      </w:r>
      <w:r>
        <w:fldChar w:fldCharType="end"/>
      </w:r>
      <w:r w:rsidR="003D04FE">
        <w:t xml:space="preserve"> outlines a range of factors that have influenced reuse, recycling and recovery in this review period. Key factors include:</w:t>
      </w:r>
    </w:p>
    <w:p w14:paraId="6E3050AA" w14:textId="573F7E10" w:rsidR="003D04FE" w:rsidRDefault="003D04FE" w:rsidP="003D04FE">
      <w:pPr>
        <w:pStyle w:val="Bullet"/>
      </w:pPr>
      <w:r>
        <w:t>restrictions on exports of certain types of recycling commodities from key trading partners</w:t>
      </w:r>
    </w:p>
    <w:p w14:paraId="4E93720F" w14:textId="39D41370" w:rsidR="003D04FE" w:rsidRDefault="003D04FE" w:rsidP="003D04FE">
      <w:pPr>
        <w:pStyle w:val="Bullet"/>
      </w:pPr>
      <w:r>
        <w:t>impact of the COVID-19 pandemic</w:t>
      </w:r>
    </w:p>
    <w:p w14:paraId="098B9460" w14:textId="17FA918C" w:rsidR="003D04FE" w:rsidRDefault="003D04FE" w:rsidP="003D04FE">
      <w:pPr>
        <w:pStyle w:val="Bullet"/>
      </w:pPr>
      <w:r>
        <w:t>increasing standardisation of domestic recycling</w:t>
      </w:r>
    </w:p>
    <w:p w14:paraId="4AC7E211" w14:textId="02AE63E2" w:rsidR="003D04FE" w:rsidRDefault="003D04FE" w:rsidP="003D04FE">
      <w:pPr>
        <w:pStyle w:val="Bullet"/>
      </w:pPr>
      <w:r>
        <w:t>changing public attitudes and beliefs</w:t>
      </w:r>
    </w:p>
    <w:p w14:paraId="755A58CF" w14:textId="773A752B" w:rsidR="00616FDE" w:rsidRDefault="003D04FE" w:rsidP="003D04FE">
      <w:pPr>
        <w:pStyle w:val="Bullet"/>
      </w:pPr>
      <w:r>
        <w:t>supporting policies and measures, including the waste reduction work programme and emissions reduction plan actions.</w:t>
      </w:r>
    </w:p>
    <w:p w14:paraId="32ECF557" w14:textId="77777777" w:rsidR="003D04FE" w:rsidRDefault="003D04FE" w:rsidP="003D04FE">
      <w:pPr>
        <w:pStyle w:val="Bullet"/>
        <w:sectPr w:rsidR="003D04FE" w:rsidSect="00843700">
          <w:pgSz w:w="11907" w:h="16840" w:code="9"/>
          <w:pgMar w:top="1134" w:right="1701" w:bottom="1134" w:left="1701" w:header="567" w:footer="567" w:gutter="0"/>
          <w:cols w:space="720"/>
          <w:docGrid w:linePitch="299"/>
        </w:sectPr>
      </w:pPr>
    </w:p>
    <w:p w14:paraId="4803BF19" w14:textId="2C465684" w:rsidR="00C32E8E" w:rsidRDefault="00C32E8E" w:rsidP="009F573C">
      <w:pPr>
        <w:pStyle w:val="Tableheading"/>
      </w:pPr>
      <w:bookmarkStart w:id="58" w:name="_Ref153526863"/>
      <w:bookmarkStart w:id="59" w:name="_Toc177022861"/>
      <w:r>
        <w:lastRenderedPageBreak/>
        <w:t xml:space="preserve">Table </w:t>
      </w:r>
      <w:r>
        <w:fldChar w:fldCharType="begin"/>
      </w:r>
      <w:r>
        <w:instrText xml:space="preserve"> SEQ Table \* ARABIC </w:instrText>
      </w:r>
      <w:r>
        <w:fldChar w:fldCharType="separate"/>
      </w:r>
      <w:r w:rsidR="00587F2B">
        <w:rPr>
          <w:noProof/>
        </w:rPr>
        <w:t>13</w:t>
      </w:r>
      <w:r>
        <w:rPr>
          <w:noProof/>
        </w:rPr>
        <w:fldChar w:fldCharType="end"/>
      </w:r>
      <w:bookmarkEnd w:id="58"/>
      <w:r>
        <w:t xml:space="preserve">: </w:t>
      </w:r>
      <w:r>
        <w:tab/>
      </w:r>
      <w:r w:rsidRPr="0047443B">
        <w:t xml:space="preserve">Factors influencing </w:t>
      </w:r>
      <w:r>
        <w:t xml:space="preserve">Aotearoa New Zealand recycling </w:t>
      </w:r>
      <w:r w:rsidRPr="0047443B">
        <w:t>between 2020 and 2023</w:t>
      </w:r>
      <w:bookmarkEnd w:id="59"/>
    </w:p>
    <w:tbl>
      <w:tblPr>
        <w:tblStyle w:val="MinistryfortheEnvironment"/>
        <w:tblW w:w="12191" w:type="dxa"/>
        <w:tblLayout w:type="fixed"/>
        <w:tblLook w:val="04A0" w:firstRow="1" w:lastRow="0" w:firstColumn="1" w:lastColumn="0" w:noHBand="0" w:noVBand="1"/>
      </w:tblPr>
      <w:tblGrid>
        <w:gridCol w:w="2977"/>
        <w:gridCol w:w="7371"/>
        <w:gridCol w:w="1843"/>
      </w:tblGrid>
      <w:tr w:rsidR="0055102F" w14:paraId="29D816EA" w14:textId="77777777" w:rsidTr="0055102F">
        <w:trPr>
          <w:cnfStyle w:val="100000000000" w:firstRow="1" w:lastRow="0" w:firstColumn="0" w:lastColumn="0" w:oddVBand="0" w:evenVBand="0" w:oddHBand="0" w:evenHBand="0" w:firstRowFirstColumn="0" w:firstRowLastColumn="0" w:lastRowFirstColumn="0" w:lastRowLastColumn="0"/>
        </w:trPr>
        <w:tc>
          <w:tcPr>
            <w:tcW w:w="2977" w:type="dxa"/>
          </w:tcPr>
          <w:p w14:paraId="30E1CE6C" w14:textId="77777777" w:rsidR="003D04FE" w:rsidRDefault="003D04FE" w:rsidP="002C1752">
            <w:pPr>
              <w:pStyle w:val="TableText"/>
            </w:pPr>
            <w:r>
              <w:t>Factor</w:t>
            </w:r>
          </w:p>
        </w:tc>
        <w:tc>
          <w:tcPr>
            <w:tcW w:w="7371" w:type="dxa"/>
          </w:tcPr>
          <w:p w14:paraId="61B8D615" w14:textId="77777777" w:rsidR="003D04FE" w:rsidRDefault="003D04FE" w:rsidP="002C1752">
            <w:pPr>
              <w:pStyle w:val="TableText"/>
            </w:pPr>
            <w:r>
              <w:t>Potential impact on recycling</w:t>
            </w:r>
          </w:p>
        </w:tc>
        <w:tc>
          <w:tcPr>
            <w:tcW w:w="1843" w:type="dxa"/>
          </w:tcPr>
          <w:p w14:paraId="0AF9BD19" w14:textId="77777777" w:rsidR="003D04FE" w:rsidRDefault="003D04FE" w:rsidP="002C1752">
            <w:pPr>
              <w:pStyle w:val="TableText"/>
            </w:pPr>
            <w:r>
              <w:t>Likely impact on recycling quantities</w:t>
            </w:r>
          </w:p>
        </w:tc>
      </w:tr>
      <w:tr w:rsidR="0055102F" w14:paraId="43452E91" w14:textId="77777777" w:rsidTr="0055102F">
        <w:tc>
          <w:tcPr>
            <w:tcW w:w="2977" w:type="dxa"/>
          </w:tcPr>
          <w:p w14:paraId="61F3D6A3" w14:textId="77777777" w:rsidR="003D04FE" w:rsidRDefault="003D04FE" w:rsidP="00771A67">
            <w:pPr>
              <w:pStyle w:val="TableText"/>
            </w:pPr>
            <w:r>
              <w:t>Trends in international recycling markets</w:t>
            </w:r>
          </w:p>
        </w:tc>
        <w:tc>
          <w:tcPr>
            <w:tcW w:w="7371" w:type="dxa"/>
          </w:tcPr>
          <w:p w14:paraId="627E1DEE" w14:textId="386CDA66" w:rsidR="003D04FE" w:rsidRDefault="003D04FE">
            <w:pPr>
              <w:pStyle w:val="TableText"/>
            </w:pPr>
            <w:r>
              <w:t xml:space="preserve">A significant amount of the collected recyclable materials in </w:t>
            </w:r>
            <w:r w:rsidR="00C71801">
              <w:t>Aotearoa</w:t>
            </w:r>
            <w:r>
              <w:t xml:space="preserve"> is currently exported. China used to be the main market for over 50 per cent of the world’s recycling, </w:t>
            </w:r>
            <w:r w:rsidR="00AF7A8D">
              <w:t xml:space="preserve">which included </w:t>
            </w:r>
            <w:r>
              <w:t xml:space="preserve">receiving waste and recyclables from </w:t>
            </w:r>
            <w:r w:rsidR="00AF7A8D">
              <w:t>Aotearoa</w:t>
            </w:r>
            <w:r>
              <w:t>. However, since the implementation of China’s National Sword policy,</w:t>
            </w:r>
            <w:r>
              <w:rPr>
                <w:rStyle w:val="FootnoteReference"/>
              </w:rPr>
              <w:footnoteReference w:id="5"/>
            </w:r>
            <w:r>
              <w:t xml:space="preserve"> recyclable commodities, such as plastic, have had to find new markets</w:t>
            </w:r>
            <w:r w:rsidR="00AF7A8D">
              <w:t>. These</w:t>
            </w:r>
            <w:r>
              <w:t xml:space="preserve"> are now exported to south</w:t>
            </w:r>
            <w:r w:rsidR="00AF7A8D">
              <w:t>-</w:t>
            </w:r>
            <w:r>
              <w:t xml:space="preserve">east Asian countries, including Vietnam, Indonesia, Thailand and Malaysia. China’s National Sword </w:t>
            </w:r>
            <w:r w:rsidR="00AF7A8D">
              <w:t xml:space="preserve">policy </w:t>
            </w:r>
            <w:r>
              <w:t>has impacted</w:t>
            </w:r>
            <w:r w:rsidR="0047554F">
              <w:t xml:space="preserve"> what can be recycled, as well as</w:t>
            </w:r>
            <w:r>
              <w:t xml:space="preserve"> prices and quality standards for materials.</w:t>
            </w:r>
          </w:p>
        </w:tc>
        <w:tc>
          <w:tcPr>
            <w:tcW w:w="1843" w:type="dxa"/>
          </w:tcPr>
          <w:p w14:paraId="1B4F10D3" w14:textId="77777777" w:rsidR="003D04FE" w:rsidRDefault="003D04FE">
            <w:pPr>
              <w:pStyle w:val="TableText"/>
            </w:pPr>
            <w:r>
              <w:t>Reduction</w:t>
            </w:r>
          </w:p>
        </w:tc>
      </w:tr>
      <w:tr w:rsidR="0055102F" w14:paraId="57B9E21F" w14:textId="77777777" w:rsidTr="0055102F">
        <w:tc>
          <w:tcPr>
            <w:tcW w:w="2977" w:type="dxa"/>
          </w:tcPr>
          <w:p w14:paraId="50184831" w14:textId="77777777" w:rsidR="003D04FE" w:rsidRDefault="003D04FE" w:rsidP="00771A67">
            <w:pPr>
              <w:pStyle w:val="TableText"/>
            </w:pPr>
            <w:r>
              <w:t>COVID-19</w:t>
            </w:r>
          </w:p>
        </w:tc>
        <w:tc>
          <w:tcPr>
            <w:tcW w:w="7371" w:type="dxa"/>
          </w:tcPr>
          <w:p w14:paraId="4E965FA2" w14:textId="34AC1B96" w:rsidR="003D04FE" w:rsidRDefault="003D04FE" w:rsidP="00771A67">
            <w:pPr>
              <w:pStyle w:val="TableText"/>
            </w:pPr>
            <w:r>
              <w:t xml:space="preserve">The onset of the COVID-19 global pandemic led to some immediate, short-term impacts on domestic recycling in </w:t>
            </w:r>
            <w:r w:rsidR="0047554F">
              <w:t>Aotearoa</w:t>
            </w:r>
            <w:r>
              <w:t>, including:</w:t>
            </w:r>
          </w:p>
          <w:p w14:paraId="79DFAFE7" w14:textId="77777777" w:rsidR="003D04FE" w:rsidRDefault="003D04FE" w:rsidP="00771A67">
            <w:pPr>
              <w:pStyle w:val="TableBullet"/>
            </w:pPr>
            <w:r>
              <w:t xml:space="preserve">an inability for some local authorities to continue kerbside recycling due to concerns about exposure to the virus </w:t>
            </w:r>
          </w:p>
          <w:p w14:paraId="156C19E5" w14:textId="6D788B79" w:rsidR="003D04FE" w:rsidRDefault="003D04FE" w:rsidP="00771A67">
            <w:pPr>
              <w:pStyle w:val="TableBullet"/>
            </w:pPr>
            <w:r>
              <w:t>increased contamination in co</w:t>
            </w:r>
            <w:r w:rsidR="00EB0153">
              <w:t>-</w:t>
            </w:r>
            <w:r>
              <w:t>mingled wheelie bins in some local authority areas, leading to the discontinuation of sorting during the lockdown period</w:t>
            </w:r>
          </w:p>
          <w:p w14:paraId="6F2A2C19" w14:textId="77777777" w:rsidR="003D04FE" w:rsidRDefault="003D04FE" w:rsidP="00771A67">
            <w:pPr>
              <w:pStyle w:val="TableBullet"/>
            </w:pPr>
            <w:r>
              <w:t xml:space="preserve">an initial lack of overseas markets for fibre (paper/cardboard) due to overseas mills closing, followed by an increase in demand due to mills that continued operating becoming short of material </w:t>
            </w:r>
          </w:p>
          <w:p w14:paraId="3FEAA6FB" w14:textId="170B745A" w:rsidR="003D04FE" w:rsidRDefault="003D04FE" w:rsidP="00771A67">
            <w:pPr>
              <w:pStyle w:val="TableBullet"/>
            </w:pPr>
            <w:r>
              <w:t>a shortage of glass at Visy’s beneficiation (pre-treatment)</w:t>
            </w:r>
            <w:r w:rsidR="009030EA">
              <w:t xml:space="preserve"> plant</w:t>
            </w:r>
            <w:r>
              <w:t xml:space="preserve"> and</w:t>
            </w:r>
            <w:r w:rsidR="009030EA">
              <w:t xml:space="preserve"> at</w:t>
            </w:r>
            <w:r>
              <w:t xml:space="preserve"> the glass re</w:t>
            </w:r>
            <w:r w:rsidR="00DC1F60">
              <w:t>-</w:t>
            </w:r>
            <w:r>
              <w:t xml:space="preserve">processor </w:t>
            </w:r>
            <w:r w:rsidRPr="007D1DC4">
              <w:t>O-I</w:t>
            </w:r>
            <w:r>
              <w:t xml:space="preserve"> Glass </w:t>
            </w:r>
          </w:p>
          <w:p w14:paraId="2814B43E" w14:textId="6F45FA0F" w:rsidR="003D04FE" w:rsidRDefault="003D04FE" w:rsidP="00771A67">
            <w:pPr>
              <w:pStyle w:val="TableBullet"/>
            </w:pPr>
            <w:r>
              <w:t>increased volumes in kerbside recycling, organics and rubbish collected during the lockdown period (</w:t>
            </w:r>
            <w:proofErr w:type="spellStart"/>
            <w:r>
              <w:t>WasteMINZ</w:t>
            </w:r>
            <w:proofErr w:type="spellEnd"/>
            <w:r>
              <w:t>, 2020).</w:t>
            </w:r>
          </w:p>
          <w:p w14:paraId="3D5365D2" w14:textId="3D4D795D" w:rsidR="003D04FE" w:rsidRDefault="003D04FE">
            <w:pPr>
              <w:pStyle w:val="TableBullet"/>
              <w:numPr>
                <w:ilvl w:val="0"/>
                <w:numId w:val="0"/>
              </w:numPr>
            </w:pPr>
            <w:r>
              <w:t>Alongside these shorter-term impacts related to the immediate effects of COVID-19 and the response to it (such as lockdowns), additional short- to medium-term impacts include</w:t>
            </w:r>
            <w:r w:rsidR="001F69A1">
              <w:t xml:space="preserve"> the following.</w:t>
            </w:r>
          </w:p>
          <w:p w14:paraId="43760514" w14:textId="427814B3" w:rsidR="003D04FE" w:rsidRDefault="003D04FE" w:rsidP="00DD2BD6">
            <w:pPr>
              <w:pStyle w:val="TableBullet"/>
            </w:pPr>
            <w:r>
              <w:t>instability of supply chains</w:t>
            </w:r>
            <w:r w:rsidR="00000099">
              <w:t xml:space="preserve">, </w:t>
            </w:r>
            <w:r>
              <w:t>shipping delays and/or capacity challenges</w:t>
            </w:r>
            <w:r w:rsidR="00A02E27">
              <w:t>.</w:t>
            </w:r>
          </w:p>
          <w:p w14:paraId="21AD974D" w14:textId="27D50253" w:rsidR="003D04FE" w:rsidRDefault="00A02E27" w:rsidP="00DD2BD6">
            <w:pPr>
              <w:pStyle w:val="TableBullet"/>
            </w:pPr>
            <w:r>
              <w:lastRenderedPageBreak/>
              <w:t>Use of c</w:t>
            </w:r>
            <w:r w:rsidR="003D04FE">
              <w:t>ertain types of plastics</w:t>
            </w:r>
            <w:r>
              <w:t xml:space="preserve"> increased,</w:t>
            </w:r>
            <w:r w:rsidR="003D04FE">
              <w:t xml:space="preserve"> such as masks, takeaway containers, and consumer goods packaging, alongside a drop in the costs of virgin plastic relative to recycled plastic (linked to the cost of oil) (Brock, 2020)</w:t>
            </w:r>
            <w:r>
              <w:t>.</w:t>
            </w:r>
            <w:r w:rsidR="003D04FE">
              <w:t xml:space="preserve"> </w:t>
            </w:r>
          </w:p>
          <w:p w14:paraId="1B921FF2" w14:textId="2C385EF3" w:rsidR="003D04FE" w:rsidRDefault="00A02E27" w:rsidP="00DD2BD6">
            <w:pPr>
              <w:pStyle w:val="TableBullet"/>
            </w:pPr>
            <w:r>
              <w:t>P</w:t>
            </w:r>
            <w:r w:rsidR="00E841D8">
              <w:t>lastic</w:t>
            </w:r>
            <w:r w:rsidR="0095061D">
              <w:t>s</w:t>
            </w:r>
            <w:r w:rsidR="00E841D8">
              <w:t xml:space="preserve"> use </w:t>
            </w:r>
            <w:r>
              <w:t xml:space="preserve">declined </w:t>
            </w:r>
            <w:r w:rsidR="003D04FE">
              <w:t>in the early stages of the pandemic, in line with reduction in demand and output, although the reduction was substantially smaller than the decline in overall economic activity (</w:t>
            </w:r>
            <w:proofErr w:type="spellStart"/>
            <w:r w:rsidR="003D04FE">
              <w:t>ie</w:t>
            </w:r>
            <w:proofErr w:type="spellEnd"/>
            <w:r w:rsidR="003D04FE">
              <w:t>, the plastics intensity of the economy increased</w:t>
            </w:r>
            <w:r w:rsidR="0095061D">
              <w:t>,</w:t>
            </w:r>
            <w:r w:rsidR="003D04FE">
              <w:t xml:space="preserve"> on average). In some sectors</w:t>
            </w:r>
            <w:r w:rsidR="0095061D">
              <w:t>,</w:t>
            </w:r>
            <w:r w:rsidR="003D04FE">
              <w:t xml:space="preserve"> such as healthcare, plastics use increased significantly. The pandemic also resulted in significant disruptions to plastics recycling, due to the temporary halting of some recycling collections, a temporary shift to single-use plastics, disruptions to waste plastic trade, and a temporary loss of competitiveness for recycled plastics (linked to the low price of oil and resulting low prices for primary plastics) (OECD, 2022)</w:t>
            </w:r>
            <w:r w:rsidR="0095061D">
              <w:t>.</w:t>
            </w:r>
            <w:r w:rsidR="00763AC4">
              <w:t xml:space="preserve"> </w:t>
            </w:r>
          </w:p>
          <w:p w14:paraId="4FE03884" w14:textId="13F5AFEC" w:rsidR="003D04FE" w:rsidRDefault="00886A29" w:rsidP="00DD2BD6">
            <w:pPr>
              <w:pStyle w:val="TableBullet"/>
            </w:pPr>
            <w:r>
              <w:t>G</w:t>
            </w:r>
            <w:r w:rsidR="003D04FE">
              <w:t xml:space="preserve">overnment investment in resource recovery infrastructure </w:t>
            </w:r>
            <w:r>
              <w:t xml:space="preserve">increased, </w:t>
            </w:r>
            <w:r w:rsidR="003D04FE">
              <w:t>through the COVID-19 Response and Recovery Fund</w:t>
            </w:r>
            <w:r>
              <w:t>.</w:t>
            </w:r>
            <w:r w:rsidR="003D04FE">
              <w:rPr>
                <w:rStyle w:val="FootnoteReference"/>
              </w:rPr>
              <w:footnoteReference w:id="6"/>
            </w:r>
          </w:p>
        </w:tc>
        <w:tc>
          <w:tcPr>
            <w:tcW w:w="1843" w:type="dxa"/>
          </w:tcPr>
          <w:p w14:paraId="67E5033B" w14:textId="77777777" w:rsidR="003D04FE" w:rsidRDefault="003D04FE" w:rsidP="00DD2BD6">
            <w:pPr>
              <w:pStyle w:val="TableText"/>
            </w:pPr>
            <w:r>
              <w:lastRenderedPageBreak/>
              <w:t>Mixed</w:t>
            </w:r>
          </w:p>
        </w:tc>
      </w:tr>
      <w:tr w:rsidR="0055102F" w14:paraId="29173827" w14:textId="77777777" w:rsidTr="0055102F">
        <w:tc>
          <w:tcPr>
            <w:tcW w:w="2977" w:type="dxa"/>
          </w:tcPr>
          <w:p w14:paraId="1124AA7D" w14:textId="77777777" w:rsidR="003D04FE" w:rsidRDefault="003D04FE" w:rsidP="001E3A56">
            <w:pPr>
              <w:pStyle w:val="TableText"/>
            </w:pPr>
            <w:r>
              <w:t>Increasing standardisation of domestic recycling</w:t>
            </w:r>
          </w:p>
        </w:tc>
        <w:tc>
          <w:tcPr>
            <w:tcW w:w="7371" w:type="dxa"/>
          </w:tcPr>
          <w:p w14:paraId="46AD2E1D" w14:textId="23BC58E0" w:rsidR="003D04FE" w:rsidRPr="004D4E3B" w:rsidRDefault="003D04FE" w:rsidP="00CE7C2D">
            <w:pPr>
              <w:pStyle w:val="TableText"/>
              <w:rPr>
                <w:highlight w:val="yellow"/>
              </w:rPr>
            </w:pPr>
            <w:r w:rsidRPr="00C43182">
              <w:t xml:space="preserve">In 2020, </w:t>
            </w:r>
            <w:r>
              <w:t xml:space="preserve">sector organisation </w:t>
            </w:r>
            <w:proofErr w:type="spellStart"/>
            <w:r>
              <w:t>WasteMINZ</w:t>
            </w:r>
            <w:proofErr w:type="spellEnd"/>
            <w:r>
              <w:t xml:space="preserve"> prepared a report for the Ministry that provided recommendations on opportunities to standardise domestic kerbside collections of waste in </w:t>
            </w:r>
            <w:r w:rsidR="00CA0AF1">
              <w:t xml:space="preserve">Aotearoa, </w:t>
            </w:r>
            <w:r>
              <w:t>to increase consistency, reduce confusion for householders, improve material quality and reduce residual rubbish to landfill (</w:t>
            </w:r>
            <w:proofErr w:type="spellStart"/>
            <w:r>
              <w:t>WasteMINZ</w:t>
            </w:r>
            <w:proofErr w:type="spellEnd"/>
            <w:r>
              <w:t>, 2020). The report identified a lack of consistency across the country in the types of materials collected and the way they are collected. Extensive discussions were carried out with waste/recycling re</w:t>
            </w:r>
            <w:r w:rsidR="00DC1F60">
              <w:t>-</w:t>
            </w:r>
            <w:r>
              <w:t>processors, collectors and sorters (such as material</w:t>
            </w:r>
            <w:r w:rsidR="00AB7868">
              <w:t>s</w:t>
            </w:r>
            <w:r>
              <w:t xml:space="preserve"> recovery facility operators), as well as local government, to reach agreement on a standardised national approach. Some of the recommendations could be achieved voluntarily. For example, </w:t>
            </w:r>
            <w:proofErr w:type="gramStart"/>
            <w:r>
              <w:t>a number of</w:t>
            </w:r>
            <w:proofErr w:type="gramEnd"/>
            <w:r>
              <w:t xml:space="preserve"> councils have stopped collecting lower-value plastic types. The Ministry subsequently consulted on</w:t>
            </w:r>
            <w:r w:rsidR="00DC1F60">
              <w:t>,</w:t>
            </w:r>
            <w:r>
              <w:t xml:space="preserve"> and is partway through</w:t>
            </w:r>
            <w:r w:rsidR="00DC1F60">
              <w:t>,</w:t>
            </w:r>
            <w:r>
              <w:t xml:space="preserve"> implementing a range of proposals to achieve standardisation (Ministry for the Environment, 2022b, 2023b).</w:t>
            </w:r>
          </w:p>
        </w:tc>
        <w:tc>
          <w:tcPr>
            <w:tcW w:w="1843" w:type="dxa"/>
          </w:tcPr>
          <w:p w14:paraId="7CCEEAEB" w14:textId="77777777" w:rsidR="003D04FE" w:rsidRDefault="003D04FE" w:rsidP="001E3A56">
            <w:pPr>
              <w:pStyle w:val="TableText"/>
            </w:pPr>
            <w:r>
              <w:t>Increase</w:t>
            </w:r>
          </w:p>
        </w:tc>
      </w:tr>
      <w:tr w:rsidR="0055102F" w14:paraId="694303F9" w14:textId="77777777" w:rsidTr="0055102F">
        <w:tc>
          <w:tcPr>
            <w:tcW w:w="2977" w:type="dxa"/>
          </w:tcPr>
          <w:p w14:paraId="7AD1F087" w14:textId="77777777" w:rsidR="003D04FE" w:rsidRDefault="003D04FE" w:rsidP="001E3A56">
            <w:pPr>
              <w:pStyle w:val="TableText"/>
            </w:pPr>
            <w:r>
              <w:t>Public attitudes and beliefs</w:t>
            </w:r>
          </w:p>
        </w:tc>
        <w:tc>
          <w:tcPr>
            <w:tcW w:w="7371" w:type="dxa"/>
          </w:tcPr>
          <w:p w14:paraId="63056C5E" w14:textId="2220224C" w:rsidR="003D04FE" w:rsidRDefault="003D04FE" w:rsidP="001E3A56">
            <w:pPr>
              <w:pStyle w:val="TableText"/>
            </w:pPr>
            <w:r>
              <w:t>In 2023 the Ministry funded research to understand and track changes in people</w:t>
            </w:r>
            <w:r w:rsidR="00F970D7">
              <w:t>’</w:t>
            </w:r>
            <w:r>
              <w:t>s attitudes, awareness and behaviours around waste minimisation (AK Research and Consulting, 2023). This initial research (which will be repeated for the next three years) found that:</w:t>
            </w:r>
          </w:p>
          <w:p w14:paraId="621B3FC4" w14:textId="1D5575F1" w:rsidR="003D04FE" w:rsidRPr="000040E9" w:rsidRDefault="003D04FE" w:rsidP="003D04FE">
            <w:pPr>
              <w:pStyle w:val="TableBullet"/>
            </w:pPr>
            <w:r>
              <w:t>p</w:t>
            </w:r>
            <w:r w:rsidRPr="000040E9">
              <w:t>eople are doing a good job at recycling</w:t>
            </w:r>
            <w:r>
              <w:t xml:space="preserve"> and are </w:t>
            </w:r>
            <w:r w:rsidRPr="000040E9">
              <w:t>mostly putting the right items into recycling bins</w:t>
            </w:r>
          </w:p>
          <w:p w14:paraId="4A6A3871" w14:textId="0EAAD2BC" w:rsidR="003D04FE" w:rsidRPr="000040E9" w:rsidRDefault="003D04FE" w:rsidP="003D04FE">
            <w:pPr>
              <w:pStyle w:val="TableBullet"/>
            </w:pPr>
            <w:r>
              <w:t>the m</w:t>
            </w:r>
            <w:r w:rsidRPr="000040E9">
              <w:t xml:space="preserve">ost frequent recycling and reusing behaviours are </w:t>
            </w:r>
            <w:r w:rsidR="00F970D7">
              <w:t>‘</w:t>
            </w:r>
            <w:r w:rsidRPr="000040E9">
              <w:t>using reusable bags when shopping</w:t>
            </w:r>
            <w:r w:rsidR="00F970D7">
              <w:t>’</w:t>
            </w:r>
            <w:r w:rsidRPr="000040E9">
              <w:t xml:space="preserve"> (81</w:t>
            </w:r>
            <w:r>
              <w:t xml:space="preserve"> per cent</w:t>
            </w:r>
            <w:r w:rsidRPr="000040E9">
              <w:t>)</w:t>
            </w:r>
            <w:r>
              <w:t>;</w:t>
            </w:r>
            <w:r w:rsidRPr="000040E9">
              <w:t xml:space="preserve"> </w:t>
            </w:r>
            <w:r w:rsidR="00F970D7">
              <w:t>‘</w:t>
            </w:r>
            <w:r w:rsidRPr="000040E9">
              <w:t>recycling waste at home</w:t>
            </w:r>
            <w:r w:rsidR="00F970D7">
              <w:t>’</w:t>
            </w:r>
            <w:r w:rsidRPr="000040E9">
              <w:t xml:space="preserve"> (72</w:t>
            </w:r>
            <w:r>
              <w:t xml:space="preserve"> per cent</w:t>
            </w:r>
            <w:r w:rsidRPr="000040E9">
              <w:t>)</w:t>
            </w:r>
            <w:r>
              <w:t>;</w:t>
            </w:r>
            <w:r w:rsidRPr="000040E9">
              <w:t xml:space="preserve"> ‘carrying a reusable water bottle’ (58</w:t>
            </w:r>
            <w:r>
              <w:t xml:space="preserve"> per cent</w:t>
            </w:r>
            <w:r w:rsidRPr="000040E9">
              <w:t>)</w:t>
            </w:r>
            <w:r w:rsidR="00B93732">
              <w:t xml:space="preserve"> (</w:t>
            </w:r>
            <w:r w:rsidR="005A620A">
              <w:t>AK Research and Consulting, 2023, p 5)</w:t>
            </w:r>
          </w:p>
          <w:p w14:paraId="680412A7" w14:textId="54E35F1E" w:rsidR="003D04FE" w:rsidRPr="000040E9" w:rsidRDefault="003D04FE" w:rsidP="003D04FE">
            <w:pPr>
              <w:pStyle w:val="TableBullet"/>
            </w:pPr>
            <w:proofErr w:type="gramStart"/>
            <w:r>
              <w:lastRenderedPageBreak/>
              <w:t>t</w:t>
            </w:r>
            <w:r w:rsidRPr="000040E9">
              <w:t>he majority of</w:t>
            </w:r>
            <w:proofErr w:type="gramEnd"/>
            <w:r w:rsidRPr="000040E9">
              <w:t xml:space="preserve"> people (72</w:t>
            </w:r>
            <w:r>
              <w:t xml:space="preserve"> per cent</w:t>
            </w:r>
            <w:r w:rsidRPr="000040E9">
              <w:t>) say that they actively try to reduce waste</w:t>
            </w:r>
            <w:r w:rsidR="003352A3">
              <w:t xml:space="preserve"> (AK Research and Consulting, 2023, p 6)</w:t>
            </w:r>
          </w:p>
          <w:p w14:paraId="7F4C7511" w14:textId="7E9A448F" w:rsidR="003D04FE" w:rsidRPr="000040E9" w:rsidRDefault="003D04FE" w:rsidP="003D04FE">
            <w:pPr>
              <w:pStyle w:val="TableBullet"/>
            </w:pPr>
            <w:r>
              <w:t>f</w:t>
            </w:r>
            <w:r w:rsidRPr="000040E9">
              <w:t>ood waste is an important issue for New Zealanders, with 88</w:t>
            </w:r>
            <w:r>
              <w:t xml:space="preserve"> per cent</w:t>
            </w:r>
            <w:r w:rsidRPr="000040E9">
              <w:t xml:space="preserve"> agreeing that wasting food feels wrong</w:t>
            </w:r>
            <w:r>
              <w:t>; k</w:t>
            </w:r>
            <w:r w:rsidRPr="000040E9">
              <w:t xml:space="preserve">ey reasons for wasting food were not eating leftovers and having food in the fridge/freezer </w:t>
            </w:r>
            <w:r w:rsidR="00F970D7">
              <w:t>‘</w:t>
            </w:r>
            <w:r w:rsidRPr="000040E9">
              <w:t>going off</w:t>
            </w:r>
            <w:r w:rsidR="00F970D7">
              <w:t>’</w:t>
            </w:r>
            <w:r w:rsidR="009171E2">
              <w:t xml:space="preserve"> (AK Research and Consulting, 2023, p 7)</w:t>
            </w:r>
          </w:p>
          <w:p w14:paraId="370DEE16" w14:textId="77777777" w:rsidR="00805012" w:rsidRDefault="003D04FE" w:rsidP="001E3A56">
            <w:pPr>
              <w:pStyle w:val="TableBullet"/>
            </w:pPr>
            <w:r>
              <w:t>m</w:t>
            </w:r>
            <w:r w:rsidRPr="000040E9">
              <w:t>ost (82</w:t>
            </w:r>
            <w:r>
              <w:t xml:space="preserve"> per cent</w:t>
            </w:r>
            <w:r w:rsidRPr="000040E9">
              <w:t>) agreed that reducing plastic waste was an important issue</w:t>
            </w:r>
            <w:r w:rsidR="009171E2">
              <w:t xml:space="preserve"> (AK Research and Consulting, 2023, p 8)</w:t>
            </w:r>
            <w:r w:rsidR="00671FDC">
              <w:t xml:space="preserve"> </w:t>
            </w:r>
          </w:p>
          <w:p w14:paraId="713C799A" w14:textId="6CEC0F25" w:rsidR="003D04FE" w:rsidRPr="00B417E5" w:rsidRDefault="00671FDC" w:rsidP="001E3A56">
            <w:pPr>
              <w:pStyle w:val="TableBullet"/>
            </w:pPr>
            <w:r>
              <w:t>t</w:t>
            </w:r>
            <w:r w:rsidRPr="00015140">
              <w:t>he biggest barrier to reducing plastic waste is finding alternatives (40</w:t>
            </w:r>
            <w:r>
              <w:t xml:space="preserve"> per cent</w:t>
            </w:r>
            <w:r w:rsidRPr="00015140">
              <w:t>)</w:t>
            </w:r>
            <w:r>
              <w:t xml:space="preserve"> (AK Research and Consulting, 2023,</w:t>
            </w:r>
            <w:r w:rsidR="00E462AD">
              <w:t xml:space="preserve"> p 65)</w:t>
            </w:r>
            <w:r w:rsidR="003D04FE" w:rsidRPr="000040E9">
              <w:t>. </w:t>
            </w:r>
          </w:p>
          <w:p w14:paraId="3811EC9A" w14:textId="6A14E936" w:rsidR="003D04FE" w:rsidRDefault="003D04FE" w:rsidP="001E3A56">
            <w:pPr>
              <w:pStyle w:val="TableText"/>
            </w:pPr>
            <w:r>
              <w:t>These results were also compared with earlier studies from a range of sources to gain a sense of how public attitudes and behaviours are changing over time</w:t>
            </w:r>
            <w:r w:rsidR="00100F8C">
              <w:t xml:space="preserve"> (Ministry for the Environment, </w:t>
            </w:r>
            <w:r w:rsidR="00114777">
              <w:t>2023</w:t>
            </w:r>
            <w:r w:rsidR="007F3422">
              <w:t>c</w:t>
            </w:r>
            <w:r w:rsidR="00114777">
              <w:t>)</w:t>
            </w:r>
            <w:r>
              <w:t>.</w:t>
            </w:r>
            <w:r>
              <w:rPr>
                <w:rStyle w:val="FootnoteReference"/>
              </w:rPr>
              <w:footnoteReference w:id="7"/>
            </w:r>
            <w:r>
              <w:t xml:space="preserve"> The main findings were:</w:t>
            </w:r>
          </w:p>
          <w:p w14:paraId="22AE99E7" w14:textId="77777777" w:rsidR="003D04FE" w:rsidRPr="00015140" w:rsidRDefault="003D04FE" w:rsidP="003D04FE">
            <w:pPr>
              <w:pStyle w:val="TableBullet"/>
            </w:pPr>
            <w:r>
              <w:t>p</w:t>
            </w:r>
            <w:r w:rsidRPr="00015140">
              <w:t>eople are finding recycling easier (71</w:t>
            </w:r>
            <w:r>
              <w:t xml:space="preserve"> per cent</w:t>
            </w:r>
            <w:r w:rsidRPr="00015140">
              <w:t>) and less confusing (37</w:t>
            </w:r>
            <w:r>
              <w:t xml:space="preserve"> per cent</w:t>
            </w:r>
            <w:r w:rsidRPr="00015140">
              <w:t>) than in the past</w:t>
            </w:r>
          </w:p>
          <w:p w14:paraId="6073BD99" w14:textId="77777777" w:rsidR="00805012" w:rsidRPr="00015140" w:rsidRDefault="003D04FE" w:rsidP="00805012">
            <w:pPr>
              <w:pStyle w:val="TableBullet"/>
            </w:pPr>
            <w:r>
              <w:t>i</w:t>
            </w:r>
            <w:r w:rsidRPr="00015140">
              <w:t>n general, recycling and reducing behaviours seem to have improved in the last few years</w:t>
            </w:r>
            <w:r w:rsidR="009D3CAC">
              <w:t xml:space="preserve"> </w:t>
            </w:r>
            <w:r w:rsidR="00805012">
              <w:t>–</w:t>
            </w:r>
            <w:r w:rsidR="009D3CAC">
              <w:t xml:space="preserve"> </w:t>
            </w:r>
            <w:r w:rsidR="00805012">
              <w:t xml:space="preserve">but </w:t>
            </w:r>
            <w:r w:rsidR="00805012" w:rsidRPr="00015140">
              <w:t>people are less confident about what happens to their recycling than in previous surveys</w:t>
            </w:r>
          </w:p>
          <w:p w14:paraId="2FAA7092" w14:textId="55417F29" w:rsidR="003D04FE" w:rsidRPr="00015140" w:rsidRDefault="003D04FE" w:rsidP="009D3CAC">
            <w:pPr>
              <w:pStyle w:val="TableBullet"/>
            </w:pPr>
            <w:r>
              <w:t>m</w:t>
            </w:r>
            <w:r w:rsidRPr="00015140">
              <w:t>ore people are dropping off e-waste at a separate location for recycling (46</w:t>
            </w:r>
            <w:r>
              <w:t xml:space="preserve"> per cent</w:t>
            </w:r>
            <w:r w:rsidRPr="00015140">
              <w:t>)</w:t>
            </w:r>
            <w:r>
              <w:t>.</w:t>
            </w:r>
          </w:p>
          <w:p w14:paraId="38AD57EC" w14:textId="1FE81241" w:rsidR="003D04FE" w:rsidRDefault="003D04FE" w:rsidP="001E3A56">
            <w:pPr>
              <w:pStyle w:val="TableText"/>
            </w:pPr>
            <w:r>
              <w:t>The Packaging Forum also conducted a packaging and recycling survey in 2022, which compared consumer behaviours with an earlier survey in 2018. Key findings included</w:t>
            </w:r>
            <w:r w:rsidR="00C01CBD">
              <w:t xml:space="preserve"> (</w:t>
            </w:r>
            <w:r w:rsidR="006A5E1F">
              <w:t>Horizon Research, 2022, p 2)</w:t>
            </w:r>
            <w:r>
              <w:t>:</w:t>
            </w:r>
          </w:p>
          <w:p w14:paraId="6D12CC21" w14:textId="77777777" w:rsidR="003D04FE" w:rsidRDefault="003D04FE" w:rsidP="003D04FE">
            <w:pPr>
              <w:pStyle w:val="TableBullet"/>
            </w:pPr>
            <w:r>
              <w:t xml:space="preserve">90 per cent of respondents said they put their recycling out for collection at kerbside, compared to 84 per cent in 2018 </w:t>
            </w:r>
          </w:p>
          <w:p w14:paraId="052DEE33" w14:textId="77777777" w:rsidR="003D04FE" w:rsidRDefault="003D04FE" w:rsidP="003D04FE">
            <w:pPr>
              <w:pStyle w:val="TableBullet"/>
            </w:pPr>
            <w:r>
              <w:t>of those who do not have a kerbside collection, 30 per cent put their recyclables in the rubbish bin</w:t>
            </w:r>
          </w:p>
          <w:p w14:paraId="4E17D6B2" w14:textId="249BCDBA" w:rsidR="003D04FE" w:rsidRDefault="003D04FE" w:rsidP="003D04FE">
            <w:pPr>
              <w:pStyle w:val="TableBullet"/>
            </w:pPr>
            <w:r>
              <w:t>the most recycled items at kerbside are plastic bottles (95 per cent); paper and cardboard (92</w:t>
            </w:r>
            <w:r w:rsidR="00C01CBD">
              <w:t> </w:t>
            </w:r>
            <w:r>
              <w:t xml:space="preserve">per cent); glass bottles and jars (85 per cent) and aluminium cans (82 per cent). </w:t>
            </w:r>
          </w:p>
        </w:tc>
        <w:tc>
          <w:tcPr>
            <w:tcW w:w="1843" w:type="dxa"/>
          </w:tcPr>
          <w:p w14:paraId="03943F0A" w14:textId="77777777" w:rsidR="003D04FE" w:rsidRDefault="003D04FE" w:rsidP="001E3A56">
            <w:pPr>
              <w:pStyle w:val="TableText"/>
            </w:pPr>
            <w:r>
              <w:lastRenderedPageBreak/>
              <w:t>Possible increase</w:t>
            </w:r>
          </w:p>
        </w:tc>
      </w:tr>
      <w:tr w:rsidR="0055102F" w14:paraId="476D754C" w14:textId="77777777" w:rsidTr="0055102F">
        <w:tc>
          <w:tcPr>
            <w:tcW w:w="2977" w:type="dxa"/>
          </w:tcPr>
          <w:p w14:paraId="4AFC6124" w14:textId="77777777" w:rsidR="003D04FE" w:rsidRDefault="003D04FE" w:rsidP="001E3A56">
            <w:pPr>
              <w:pStyle w:val="TableText"/>
            </w:pPr>
            <w:r>
              <w:t>Waste reduction work programme and emissions reduction plan initiatives</w:t>
            </w:r>
          </w:p>
        </w:tc>
        <w:tc>
          <w:tcPr>
            <w:tcW w:w="7371" w:type="dxa"/>
          </w:tcPr>
          <w:p w14:paraId="4F277B51" w14:textId="7A9B80CA" w:rsidR="003D04FE" w:rsidRDefault="003D04FE" w:rsidP="001E3A56">
            <w:pPr>
              <w:pStyle w:val="TableText"/>
            </w:pPr>
            <w:r>
              <w:t xml:space="preserve">Policy and regulatory changes made since 2020 </w:t>
            </w:r>
            <w:r w:rsidR="00C052C7">
              <w:t xml:space="preserve">that </w:t>
            </w:r>
            <w:r>
              <w:t>may have increased the amount of reuse, recycling and recovery include:</w:t>
            </w:r>
          </w:p>
          <w:p w14:paraId="38B2B914" w14:textId="411A936C" w:rsidR="003D04FE" w:rsidRDefault="003D04FE" w:rsidP="003D04FE">
            <w:pPr>
              <w:pStyle w:val="TableBullet"/>
            </w:pPr>
            <w:r>
              <w:lastRenderedPageBreak/>
              <w:t>phase-outs of various single-use or hard-to-recycle plastics (with a first tranche of products banned from 1 October 2022</w:t>
            </w:r>
            <w:r>
              <w:rPr>
                <w:rStyle w:val="FootnoteReference"/>
              </w:rPr>
              <w:footnoteReference w:id="8"/>
            </w:r>
            <w:r>
              <w:t xml:space="preserve"> and a second tranche from 1 July 2023)</w:t>
            </w:r>
            <w:r w:rsidR="00C052C7">
              <w:t>,</w:t>
            </w:r>
            <w:r>
              <w:rPr>
                <w:rStyle w:val="FootnoteReference"/>
              </w:rPr>
              <w:footnoteReference w:id="9"/>
            </w:r>
            <w:r>
              <w:t xml:space="preserve"> which can help reduce contamination in recycling</w:t>
            </w:r>
          </w:p>
          <w:p w14:paraId="3B730843" w14:textId="17B8BAD6" w:rsidR="003D04FE" w:rsidRDefault="003D04FE" w:rsidP="003D04FE">
            <w:pPr>
              <w:pStyle w:val="TableBullet"/>
            </w:pPr>
            <w:r>
              <w:t xml:space="preserve">implementation of a permitting system under the Basel Convention for the export of low-grade plastics, meaning </w:t>
            </w:r>
            <w:r w:rsidR="00C444F0">
              <w:t xml:space="preserve">Aotearoa </w:t>
            </w:r>
            <w:r>
              <w:t>New Zealand companies require a permit to import or export hard-to-recycle plastic waste</w:t>
            </w:r>
          </w:p>
          <w:p w14:paraId="4710BD91" w14:textId="641C9CD5" w:rsidR="003D04FE" w:rsidRDefault="003D04FE" w:rsidP="003D04FE">
            <w:pPr>
              <w:pStyle w:val="TableBullet"/>
            </w:pPr>
            <w:r>
              <w:t xml:space="preserve">as well as investment through the WMF and PIF outlined above, additional investment in domestic recycling infrastructure through the COVID-19 Response and Recovery Fund and the Climate Emergency Response Fund </w:t>
            </w:r>
          </w:p>
          <w:p w14:paraId="68454B99" w14:textId="77777777" w:rsidR="003D04FE" w:rsidRPr="00D05B4C" w:rsidRDefault="003D04FE" w:rsidP="003D04FE">
            <w:pPr>
              <w:pStyle w:val="TableBullet"/>
            </w:pPr>
            <w:r w:rsidRPr="00D05B4C">
              <w:t>moves to standardise kerbside recycling (as outlined above)</w:t>
            </w:r>
          </w:p>
          <w:p w14:paraId="45722A50" w14:textId="08B74981" w:rsidR="003D04FE" w:rsidRDefault="003D04FE" w:rsidP="003D04FE">
            <w:pPr>
              <w:pStyle w:val="TableBullet"/>
            </w:pPr>
            <w:r>
              <w:t xml:space="preserve">adoption of a </w:t>
            </w:r>
            <w:r w:rsidR="00F06A6F">
              <w:t>N</w:t>
            </w:r>
            <w:r>
              <w:t xml:space="preserve">ational </w:t>
            </w:r>
            <w:r w:rsidR="00F06A6F">
              <w:t>P</w:t>
            </w:r>
            <w:r>
              <w:t xml:space="preserve">lastics </w:t>
            </w:r>
            <w:r w:rsidR="00F06A6F">
              <w:t>A</w:t>
            </w:r>
            <w:r>
              <w:t xml:space="preserve">ction </w:t>
            </w:r>
            <w:r w:rsidR="00F06A6F">
              <w:t>P</w:t>
            </w:r>
            <w:r>
              <w:t xml:space="preserve">lan (Ministry for the Environment, 2021e). </w:t>
            </w:r>
          </w:p>
        </w:tc>
        <w:tc>
          <w:tcPr>
            <w:tcW w:w="1843" w:type="dxa"/>
          </w:tcPr>
          <w:p w14:paraId="47CE10F5" w14:textId="77777777" w:rsidR="003D04FE" w:rsidRDefault="003D04FE" w:rsidP="001E3A56">
            <w:pPr>
              <w:pStyle w:val="TableText"/>
            </w:pPr>
            <w:r>
              <w:lastRenderedPageBreak/>
              <w:t>Increase</w:t>
            </w:r>
          </w:p>
        </w:tc>
      </w:tr>
    </w:tbl>
    <w:p w14:paraId="4D39CCD6" w14:textId="77777777" w:rsidR="003D04FE" w:rsidRPr="00EE5292" w:rsidRDefault="003D04FE" w:rsidP="003D04FE">
      <w:pPr>
        <w:pStyle w:val="Heading3"/>
      </w:pPr>
      <w:r>
        <w:t>Improving the effectiveness of the levy</w:t>
      </w:r>
    </w:p>
    <w:p w14:paraId="3D73FA9E" w14:textId="3414A92D" w:rsidR="003D04FE" w:rsidRDefault="003D04FE" w:rsidP="003D04FE">
      <w:pPr>
        <w:pStyle w:val="BodyText"/>
        <w:tabs>
          <w:tab w:val="left" w:pos="4077"/>
        </w:tabs>
      </w:pPr>
      <w:r>
        <w:t xml:space="preserve">Cabinet agreed to changes to increase the effectiveness of the levy in 2020, along with </w:t>
      </w:r>
      <w:proofErr w:type="gramStart"/>
      <w:r>
        <w:t>a number of</w:t>
      </w:r>
      <w:proofErr w:type="gramEnd"/>
      <w:r>
        <w:t xml:space="preserve"> supporting recommendations. </w:t>
      </w:r>
      <w:r w:rsidR="00133142">
        <w:fldChar w:fldCharType="begin"/>
      </w:r>
      <w:r w:rsidR="00133142">
        <w:instrText xml:space="preserve"> REF _Ref153531790 \h </w:instrText>
      </w:r>
      <w:r w:rsidR="00133142">
        <w:fldChar w:fldCharType="separate"/>
      </w:r>
      <w:r w:rsidR="00587F2B">
        <w:t xml:space="preserve">Table </w:t>
      </w:r>
      <w:r w:rsidR="00587F2B">
        <w:rPr>
          <w:noProof/>
        </w:rPr>
        <w:t>14</w:t>
      </w:r>
      <w:r w:rsidR="00133142">
        <w:fldChar w:fldCharType="end"/>
      </w:r>
      <w:r w:rsidR="00133142">
        <w:t xml:space="preserve"> </w:t>
      </w:r>
      <w:r>
        <w:t>summarises these topics and progress to date.</w:t>
      </w:r>
    </w:p>
    <w:p w14:paraId="093CE797" w14:textId="1DBDD00C" w:rsidR="00133142" w:rsidRDefault="00133142" w:rsidP="009F573C">
      <w:pPr>
        <w:pStyle w:val="Tableheading"/>
      </w:pPr>
      <w:bookmarkStart w:id="60" w:name="_Ref153531790"/>
      <w:bookmarkStart w:id="61" w:name="_Ref153531779"/>
      <w:bookmarkStart w:id="62" w:name="_Toc177022862"/>
      <w:r>
        <w:t xml:space="preserve">Table </w:t>
      </w:r>
      <w:r>
        <w:fldChar w:fldCharType="begin"/>
      </w:r>
      <w:r>
        <w:instrText xml:space="preserve"> SEQ Table \* ARABIC </w:instrText>
      </w:r>
      <w:r>
        <w:fldChar w:fldCharType="separate"/>
      </w:r>
      <w:r w:rsidR="00587F2B">
        <w:rPr>
          <w:noProof/>
        </w:rPr>
        <w:t>14</w:t>
      </w:r>
      <w:r>
        <w:rPr>
          <w:noProof/>
        </w:rPr>
        <w:fldChar w:fldCharType="end"/>
      </w:r>
      <w:bookmarkEnd w:id="60"/>
      <w:r>
        <w:t xml:space="preserve">: </w:t>
      </w:r>
      <w:r>
        <w:tab/>
      </w:r>
      <w:r w:rsidRPr="000A6A59">
        <w:t>Status of topics identified in previous levy reviews and Cabinet decisions related to the waste disposal levy</w:t>
      </w:r>
      <w:bookmarkEnd w:id="61"/>
      <w:bookmarkEnd w:id="62"/>
    </w:p>
    <w:tbl>
      <w:tblPr>
        <w:tblStyle w:val="MinistryfortheEnvironment"/>
        <w:tblW w:w="13183" w:type="dxa"/>
        <w:tblLook w:val="04A0" w:firstRow="1" w:lastRow="0" w:firstColumn="1" w:lastColumn="0" w:noHBand="0" w:noVBand="1"/>
      </w:tblPr>
      <w:tblGrid>
        <w:gridCol w:w="1560"/>
        <w:gridCol w:w="3118"/>
        <w:gridCol w:w="8505"/>
      </w:tblGrid>
      <w:tr w:rsidR="003D04FE" w14:paraId="06832F23" w14:textId="77777777" w:rsidTr="0055102F">
        <w:trPr>
          <w:cnfStyle w:val="100000000000" w:firstRow="1" w:lastRow="0" w:firstColumn="0" w:lastColumn="0" w:oddVBand="0" w:evenVBand="0" w:oddHBand="0" w:evenHBand="0" w:firstRowFirstColumn="0" w:firstRowLastColumn="0" w:lastRowFirstColumn="0" w:lastRowLastColumn="0"/>
        </w:trPr>
        <w:tc>
          <w:tcPr>
            <w:tcW w:w="1560" w:type="dxa"/>
          </w:tcPr>
          <w:p w14:paraId="4B1CF2C7" w14:textId="77777777" w:rsidR="003D04FE" w:rsidRDefault="003D04FE">
            <w:pPr>
              <w:pStyle w:val="TableText"/>
            </w:pPr>
            <w:r>
              <w:t>Topic</w:t>
            </w:r>
          </w:p>
        </w:tc>
        <w:tc>
          <w:tcPr>
            <w:tcW w:w="3118" w:type="dxa"/>
          </w:tcPr>
          <w:p w14:paraId="309A966F" w14:textId="77777777" w:rsidR="003D04FE" w:rsidRDefault="003D04FE">
            <w:pPr>
              <w:pStyle w:val="TableText"/>
            </w:pPr>
            <w:r>
              <w:t>Description</w:t>
            </w:r>
          </w:p>
        </w:tc>
        <w:tc>
          <w:tcPr>
            <w:tcW w:w="8505" w:type="dxa"/>
          </w:tcPr>
          <w:p w14:paraId="3589E782" w14:textId="77777777" w:rsidR="003D04FE" w:rsidRDefault="003D04FE">
            <w:pPr>
              <w:pStyle w:val="TableText"/>
            </w:pPr>
            <w:r>
              <w:t>Status</w:t>
            </w:r>
          </w:p>
        </w:tc>
      </w:tr>
      <w:tr w:rsidR="003D04FE" w14:paraId="2281C734" w14:textId="77777777" w:rsidTr="0055102F">
        <w:tc>
          <w:tcPr>
            <w:tcW w:w="1560" w:type="dxa"/>
          </w:tcPr>
          <w:p w14:paraId="71B3FB13" w14:textId="77777777" w:rsidR="003D04FE" w:rsidRDefault="003D04FE">
            <w:pPr>
              <w:pStyle w:val="TableText"/>
            </w:pPr>
            <w:r>
              <w:t xml:space="preserve">Managing the impact of an increase in disposal costs on recycling operations </w:t>
            </w:r>
          </w:p>
        </w:tc>
        <w:tc>
          <w:tcPr>
            <w:tcW w:w="3118" w:type="dxa"/>
          </w:tcPr>
          <w:p w14:paraId="20B3EBEF" w14:textId="6357D188" w:rsidR="003D04FE" w:rsidRDefault="003D04FE">
            <w:pPr>
              <w:pStyle w:val="TableText"/>
            </w:pPr>
            <w:r>
              <w:t>Recycling operations produce some waste by</w:t>
            </w:r>
            <w:r w:rsidR="00643AC9">
              <w:t>-</w:t>
            </w:r>
            <w:r>
              <w:t xml:space="preserve">products (such as floc from metal shredders) that must be disposed </w:t>
            </w:r>
            <w:proofErr w:type="gramStart"/>
            <w:r>
              <w:t>of, and</w:t>
            </w:r>
            <w:proofErr w:type="gramEnd"/>
            <w:r>
              <w:t xml:space="preserve"> will face higher disposal costs as the levy increases. </w:t>
            </w:r>
          </w:p>
        </w:tc>
        <w:tc>
          <w:tcPr>
            <w:tcW w:w="8505" w:type="dxa"/>
          </w:tcPr>
          <w:p w14:paraId="316EF62F" w14:textId="3DE85519" w:rsidR="003D04FE" w:rsidRDefault="003D04FE">
            <w:pPr>
              <w:pStyle w:val="TableText"/>
            </w:pPr>
            <w:r>
              <w:t>While recyclers do face higher disposal costs, some recycling operations have also benefited from the increased levy and supporting parts of the work programme (such as investment in improved material</w:t>
            </w:r>
            <w:r w:rsidR="00AB7868">
              <w:t>s</w:t>
            </w:r>
            <w:r>
              <w:t xml:space="preserve"> recovery facility sorting equipment). </w:t>
            </w:r>
          </w:p>
          <w:p w14:paraId="08E7320F" w14:textId="51BA5A28" w:rsidR="003D04FE" w:rsidRDefault="003D04FE">
            <w:pPr>
              <w:pStyle w:val="TableText"/>
            </w:pPr>
            <w:r>
              <w:t>The New Zealand Association of Metal Recyclers received funding from the WMF to assess options for improved management of shredder floc. The resulting report propose</w:t>
            </w:r>
            <w:r w:rsidR="00530A93">
              <w:t>d</w:t>
            </w:r>
            <w:r>
              <w:t xml:space="preserve"> options for further consideration, although none </w:t>
            </w:r>
            <w:proofErr w:type="gramStart"/>
            <w:r>
              <w:t>are considered to be</w:t>
            </w:r>
            <w:proofErr w:type="gramEnd"/>
            <w:r>
              <w:t xml:space="preserve"> short-term solutions</w:t>
            </w:r>
            <w:r w:rsidR="00530A93">
              <w:t>,</w:t>
            </w:r>
            <w:r>
              <w:t xml:space="preserve"> and disposal costs will continue to be a challenge for metal recyclers. </w:t>
            </w:r>
          </w:p>
          <w:p w14:paraId="287819C8" w14:textId="78338613" w:rsidR="003D04FE" w:rsidRDefault="003D04FE">
            <w:pPr>
              <w:pStyle w:val="TableText"/>
            </w:pPr>
            <w:r>
              <w:lastRenderedPageBreak/>
              <w:t>Future introduction of regulated product stewardship schemes (including for tyres – to begin in 2024) and e</w:t>
            </w:r>
            <w:r w:rsidR="00D9664A">
              <w:noBreakHyphen/>
            </w:r>
            <w:r>
              <w:t>waste (scheme design currently underway) could also help to shift some of the costs of managing products at their end of life</w:t>
            </w:r>
            <w:r w:rsidR="00610FF4">
              <w:t>,</w:t>
            </w:r>
            <w:r>
              <w:t xml:space="preserve"> from recycling operators to producers and manufacturers.</w:t>
            </w:r>
          </w:p>
        </w:tc>
      </w:tr>
      <w:tr w:rsidR="003D04FE" w14:paraId="7F1BCE57" w14:textId="77777777" w:rsidTr="0055102F">
        <w:tc>
          <w:tcPr>
            <w:tcW w:w="1560" w:type="dxa"/>
          </w:tcPr>
          <w:p w14:paraId="67C3DC8C" w14:textId="77777777" w:rsidR="003D04FE" w:rsidRDefault="003D04FE">
            <w:pPr>
              <w:pStyle w:val="TableText"/>
            </w:pPr>
            <w:r>
              <w:lastRenderedPageBreak/>
              <w:t>Strategic investment of the levy</w:t>
            </w:r>
          </w:p>
        </w:tc>
        <w:tc>
          <w:tcPr>
            <w:tcW w:w="3118" w:type="dxa"/>
          </w:tcPr>
          <w:p w14:paraId="5FF0CBB6" w14:textId="6D103B5C" w:rsidR="003D04FE" w:rsidRDefault="003D04FE">
            <w:pPr>
              <w:pStyle w:val="TableText"/>
            </w:pPr>
            <w:r>
              <w:t>Cabinet recognised</w:t>
            </w:r>
            <w:r w:rsidR="00610FF4">
              <w:t>,</w:t>
            </w:r>
            <w:r>
              <w:t xml:space="preserve"> with the growing quantum of levy revenue, </w:t>
            </w:r>
            <w:r w:rsidR="00610FF4">
              <w:t xml:space="preserve">the importance of ensuring </w:t>
            </w:r>
            <w:r>
              <w:t>it is invested strategically by both central and local government.</w:t>
            </w:r>
          </w:p>
        </w:tc>
        <w:tc>
          <w:tcPr>
            <w:tcW w:w="8505" w:type="dxa"/>
          </w:tcPr>
          <w:p w14:paraId="40979FDE" w14:textId="797442FE" w:rsidR="007F78AB" w:rsidRDefault="003D04FE">
            <w:pPr>
              <w:pStyle w:val="TableText"/>
            </w:pPr>
            <w:r>
              <w:t xml:space="preserve">Changes to the systems and processes for investing the central government portion of the waste levy are outlined above. Territorial authorities are required to invest their portion of levy revenue on matters to promote or achieve waste minimisation, as outlined in their waste management and minimisation plans. In turn, waste management and minimisation plans must have regard to the </w:t>
            </w:r>
            <w:r w:rsidR="007F78AB">
              <w:t xml:space="preserve">Aotearoa </w:t>
            </w:r>
            <w:r>
              <w:t xml:space="preserve">New Zealand waste strategy. </w:t>
            </w:r>
          </w:p>
          <w:p w14:paraId="33C3F1B0" w14:textId="2F06C782" w:rsidR="003D04FE" w:rsidRDefault="006F3150">
            <w:pPr>
              <w:pStyle w:val="TableText"/>
            </w:pPr>
            <w:r>
              <w:t xml:space="preserve">Cabinet agreed investment priorities for the levy in April 2024. </w:t>
            </w:r>
            <w:r w:rsidR="00550205">
              <w:t>These priorities will be reflected in updated</w:t>
            </w:r>
            <w:r w:rsidR="00F91061">
              <w:t xml:space="preserve"> supporting information for the </w:t>
            </w:r>
            <w:r w:rsidR="00A0077E">
              <w:t>WMF</w:t>
            </w:r>
            <w:r w:rsidR="00F91061">
              <w:t xml:space="preserve"> when </w:t>
            </w:r>
            <w:proofErr w:type="gramStart"/>
            <w:r w:rsidR="00F91061">
              <w:t>it</w:t>
            </w:r>
            <w:proofErr w:type="gramEnd"/>
            <w:r w:rsidR="00F91061">
              <w:t xml:space="preserve"> re-opens</w:t>
            </w:r>
            <w:r w:rsidR="00A0077E">
              <w:t>.</w:t>
            </w:r>
            <w:r w:rsidR="00550205">
              <w:t xml:space="preserve"> </w:t>
            </w:r>
          </w:p>
        </w:tc>
      </w:tr>
      <w:tr w:rsidR="003D04FE" w14:paraId="03170A53" w14:textId="77777777" w:rsidTr="0055102F">
        <w:tc>
          <w:tcPr>
            <w:tcW w:w="1560" w:type="dxa"/>
          </w:tcPr>
          <w:p w14:paraId="68C7E4E7" w14:textId="6579F2A2" w:rsidR="003D04FE" w:rsidRDefault="003D04FE">
            <w:pPr>
              <w:pStyle w:val="TableText"/>
            </w:pPr>
            <w:r>
              <w:t xml:space="preserve">Reform of the </w:t>
            </w:r>
            <w:r w:rsidR="00806AA7">
              <w:t>WMA</w:t>
            </w:r>
            <w:r>
              <w:t xml:space="preserve"> and Litter Act</w:t>
            </w:r>
            <w:r w:rsidR="00806AA7">
              <w:t xml:space="preserve"> 1979</w:t>
            </w:r>
          </w:p>
        </w:tc>
        <w:tc>
          <w:tcPr>
            <w:tcW w:w="3118" w:type="dxa"/>
          </w:tcPr>
          <w:p w14:paraId="0C3004E6" w14:textId="46ABF7B2" w:rsidR="00806AA7" w:rsidRDefault="003D04FE">
            <w:pPr>
              <w:pStyle w:val="TableText"/>
            </w:pPr>
            <w:r>
              <w:t>Cabinet recognised updates to the</w:t>
            </w:r>
            <w:r w:rsidR="00806AA7">
              <w:t xml:space="preserve"> WMA and</w:t>
            </w:r>
            <w:r>
              <w:t xml:space="preserve"> Litter Act</w:t>
            </w:r>
            <w:r w:rsidR="00806AA7">
              <w:t xml:space="preserve"> 1979</w:t>
            </w:r>
            <w:r>
              <w:t xml:space="preserve"> would</w:t>
            </w:r>
            <w:r w:rsidR="00806AA7">
              <w:t>:</w:t>
            </w:r>
          </w:p>
          <w:p w14:paraId="476B9FDA" w14:textId="121E4E98" w:rsidR="00806AA7" w:rsidRDefault="003D04FE" w:rsidP="00806AA7">
            <w:pPr>
              <w:pStyle w:val="TableBullet"/>
            </w:pPr>
            <w:r>
              <w:t>support greater strategic alignment of levy investment by central and local government</w:t>
            </w:r>
          </w:p>
          <w:p w14:paraId="4A03BB70" w14:textId="7F2A134F" w:rsidR="00806AA7" w:rsidRDefault="003D04FE" w:rsidP="00806AA7">
            <w:pPr>
              <w:pStyle w:val="TableBullet"/>
            </w:pPr>
            <w:r>
              <w:t>allow for improvements to the administration</w:t>
            </w:r>
            <w:r w:rsidR="00806AA7">
              <w:t xml:space="preserve">, </w:t>
            </w:r>
            <w:r>
              <w:t>compliance, monitoring and enforcement of the levy</w:t>
            </w:r>
          </w:p>
          <w:p w14:paraId="57A55127" w14:textId="0B81122C" w:rsidR="003D04FE" w:rsidRDefault="003D04FE" w:rsidP="00753947">
            <w:pPr>
              <w:pStyle w:val="TableBullet"/>
            </w:pPr>
            <w:r>
              <w:t xml:space="preserve">allow for modernisation of both pieces of legislation. </w:t>
            </w:r>
          </w:p>
        </w:tc>
        <w:tc>
          <w:tcPr>
            <w:tcW w:w="8505" w:type="dxa"/>
          </w:tcPr>
          <w:p w14:paraId="7C2719D5" w14:textId="77777777" w:rsidR="003D04FE" w:rsidRDefault="003D04FE">
            <w:pPr>
              <w:pStyle w:val="TableText"/>
            </w:pPr>
            <w:r>
              <w:t xml:space="preserve">Public consultation on new legislation occurred between October and December 2021. Since then, policy proposals have been approved by the previous Government and will be discussed and agreed with the incoming Government, to determine priorities and alignment and agree next steps (such as revised policy proposals going to Cabinet and drafting of new legislation). </w:t>
            </w:r>
          </w:p>
        </w:tc>
      </w:tr>
      <w:tr w:rsidR="003D04FE" w14:paraId="55B474F5" w14:textId="77777777" w:rsidTr="0055102F">
        <w:tc>
          <w:tcPr>
            <w:tcW w:w="1560" w:type="dxa"/>
          </w:tcPr>
          <w:p w14:paraId="25F3D511" w14:textId="77777777" w:rsidR="003D04FE" w:rsidRDefault="003D04FE">
            <w:pPr>
              <w:pStyle w:val="TableText"/>
            </w:pPr>
            <w:r>
              <w:t>Improved management of illegal dumping and littering</w:t>
            </w:r>
          </w:p>
        </w:tc>
        <w:tc>
          <w:tcPr>
            <w:tcW w:w="3118" w:type="dxa"/>
          </w:tcPr>
          <w:p w14:paraId="1641A886" w14:textId="77777777" w:rsidR="003D04FE" w:rsidRDefault="003D04FE">
            <w:pPr>
              <w:pStyle w:val="TableText"/>
            </w:pPr>
            <w:r>
              <w:t>Cabinet recognised that increasing disposal costs could also lead to an increased risk of littering and illegal dumping. In response, Cabinet agreed to adopt strategies for litter prevention and illegal dumping, and to the establishment of funds to tackle litter and dumping (as part of new waste legislation).</w:t>
            </w:r>
          </w:p>
        </w:tc>
        <w:tc>
          <w:tcPr>
            <w:tcW w:w="8505" w:type="dxa"/>
          </w:tcPr>
          <w:p w14:paraId="6FEAE1C3" w14:textId="39BD81D6" w:rsidR="003D04FE" w:rsidRDefault="003D04FE">
            <w:pPr>
              <w:pStyle w:val="TableText"/>
            </w:pPr>
            <w:r>
              <w:t>In</w:t>
            </w:r>
            <w:r w:rsidRPr="00181873">
              <w:t xml:space="preserve"> 2022, </w:t>
            </w:r>
            <w:r>
              <w:t>the Ministry</w:t>
            </w:r>
            <w:r w:rsidRPr="00181873">
              <w:t xml:space="preserve"> funded Keep New Zealand Beautiful </w:t>
            </w:r>
            <w:r>
              <w:t>from the levy</w:t>
            </w:r>
            <w:r w:rsidR="00BA42E0">
              <w:t>,</w:t>
            </w:r>
            <w:r>
              <w:t xml:space="preserve"> </w:t>
            </w:r>
            <w:r w:rsidRPr="00181873">
              <w:t>to develop a behaviour</w:t>
            </w:r>
            <w:r w:rsidR="006D0D95">
              <w:t>-</w:t>
            </w:r>
            <w:r w:rsidRPr="00181873">
              <w:t>change programme to reduce illegal dumping. The first piece of research was a literature review into international strategies for tackling illegal dumping</w:t>
            </w:r>
            <w:r w:rsidR="00E52F36">
              <w:t xml:space="preserve"> and recommendations for New Zealand</w:t>
            </w:r>
            <w:r w:rsidR="0069322D">
              <w:t xml:space="preserve"> to implement</w:t>
            </w:r>
            <w:r>
              <w:t xml:space="preserve"> (Keep New Zealand Beautiful, 2022a)</w:t>
            </w:r>
            <w:r w:rsidRPr="00181873">
              <w:t>. </w:t>
            </w:r>
          </w:p>
          <w:p w14:paraId="20E3E1D0" w14:textId="6B79B60C" w:rsidR="003D04FE" w:rsidRDefault="003D04FE">
            <w:pPr>
              <w:pStyle w:val="TableText"/>
            </w:pPr>
            <w:r>
              <w:t xml:space="preserve">Sustainable Coastlines also received levy funding for its national coastal litter database, </w:t>
            </w:r>
            <w:hyperlink r:id="rId42" w:history="1">
              <w:r w:rsidRPr="005E026A">
                <w:rPr>
                  <w:rStyle w:val="Hyperlink"/>
                  <w:rFonts w:cstheme="minorBidi"/>
                  <w:szCs w:val="22"/>
                </w:rPr>
                <w:t>Litter Intelligence</w:t>
              </w:r>
            </w:hyperlink>
            <w:r>
              <w:t>.</w:t>
            </w:r>
            <w:r>
              <w:rPr>
                <w:rStyle w:val="FootnoteReference"/>
              </w:rPr>
              <w:footnoteReference w:id="10"/>
            </w:r>
            <w:r>
              <w:t xml:space="preserve"> </w:t>
            </w:r>
            <w:r w:rsidR="00967BBE">
              <w:t xml:space="preserve">The </w:t>
            </w:r>
            <w:r w:rsidRPr="00107AAB">
              <w:t>data collection methodology is based on United Nations guidelines and was co-designed alongside the Ministry, Stats NZ and the Department of Conservation.</w:t>
            </w:r>
          </w:p>
          <w:p w14:paraId="615AB8A9" w14:textId="77777777" w:rsidR="003D04FE" w:rsidRDefault="003D04FE">
            <w:pPr>
              <w:pStyle w:val="TableText"/>
              <w:rPr>
                <w:rStyle w:val="Hyperlink"/>
              </w:rPr>
            </w:pPr>
            <w:r>
              <w:lastRenderedPageBreak/>
              <w:t xml:space="preserve">The most recent litter audit by Keep New Zealand Beautiful suggests a substantial increase in litter since the previous audit (Keep New Zealand Beautiful, 2022b). </w:t>
            </w:r>
          </w:p>
          <w:p w14:paraId="706B0BE6" w14:textId="77777777" w:rsidR="003D04FE" w:rsidRDefault="003D04FE">
            <w:pPr>
              <w:pStyle w:val="TableText"/>
            </w:pPr>
            <w:r>
              <w:t>Proposals for new waste legislation include improvements to tools for managing and preventing litter and dumping.</w:t>
            </w:r>
          </w:p>
        </w:tc>
      </w:tr>
      <w:tr w:rsidR="003D04FE" w14:paraId="738AF038" w14:textId="77777777" w:rsidTr="0055102F">
        <w:tc>
          <w:tcPr>
            <w:tcW w:w="1560" w:type="dxa"/>
          </w:tcPr>
          <w:p w14:paraId="06F7C555" w14:textId="77777777" w:rsidR="003D04FE" w:rsidRDefault="003D04FE">
            <w:pPr>
              <w:pStyle w:val="TableText"/>
            </w:pPr>
            <w:r>
              <w:lastRenderedPageBreak/>
              <w:t>Improvements in waste data</w:t>
            </w:r>
          </w:p>
        </w:tc>
        <w:tc>
          <w:tcPr>
            <w:tcW w:w="3118" w:type="dxa"/>
          </w:tcPr>
          <w:p w14:paraId="6A59F7B0" w14:textId="77777777" w:rsidR="003D04FE" w:rsidRDefault="003D04FE">
            <w:pPr>
              <w:pStyle w:val="TableText"/>
            </w:pPr>
            <w:r>
              <w:t xml:space="preserve">Past reviews of the levy (and other reports) have identified a lack of waste data. </w:t>
            </w:r>
          </w:p>
        </w:tc>
        <w:tc>
          <w:tcPr>
            <w:tcW w:w="8505" w:type="dxa"/>
          </w:tcPr>
          <w:p w14:paraId="1880026B" w14:textId="035AE0D2" w:rsidR="003D04FE" w:rsidRDefault="003D04FE">
            <w:pPr>
              <w:pStyle w:val="TableText"/>
            </w:pPr>
            <w:r>
              <w:t xml:space="preserve">Progressive changes to the levy and associated reporting requirements are increasing the amount of information the Ministry has on disposal of materials to landfill. </w:t>
            </w:r>
            <w:proofErr w:type="gramStart"/>
            <w:r>
              <w:t>In particular, past</w:t>
            </w:r>
            <w:proofErr w:type="gramEnd"/>
            <w:r>
              <w:t xml:space="preserve"> reviews have only had data available on municipal landfills</w:t>
            </w:r>
            <w:r w:rsidR="00017188">
              <w:t>,</w:t>
            </w:r>
            <w:r>
              <w:t xml:space="preserve"> but disposal information is now available for class 1</w:t>
            </w:r>
            <w:r w:rsidR="00017188">
              <w:t xml:space="preserve"> to </w:t>
            </w:r>
            <w:r>
              <w:t xml:space="preserve">5 landfill sites, industrial </w:t>
            </w:r>
            <w:proofErr w:type="spellStart"/>
            <w:r>
              <w:t>monofil</w:t>
            </w:r>
            <w:r w:rsidR="00017188">
              <w:t>l</w:t>
            </w:r>
            <w:r>
              <w:t>s</w:t>
            </w:r>
            <w:proofErr w:type="spellEnd"/>
            <w:r>
              <w:t xml:space="preserve">, and transfer stations. Additional reporting requirements from 1 July 2024 are outlined above. </w:t>
            </w:r>
          </w:p>
          <w:p w14:paraId="01E9706E" w14:textId="77777777" w:rsidR="003D04FE" w:rsidRDefault="003D04FE">
            <w:pPr>
              <w:pStyle w:val="TableText"/>
            </w:pPr>
            <w:r>
              <w:t>The Ministry is also working on improving the accessibility of data it holds, including through public-facing dashboards.</w:t>
            </w:r>
          </w:p>
        </w:tc>
      </w:tr>
      <w:tr w:rsidR="003D04FE" w14:paraId="740EA21D" w14:textId="77777777" w:rsidTr="0055102F">
        <w:tc>
          <w:tcPr>
            <w:tcW w:w="1560" w:type="dxa"/>
          </w:tcPr>
          <w:p w14:paraId="342E8065" w14:textId="77777777" w:rsidR="003D04FE" w:rsidRDefault="003D04FE">
            <w:pPr>
              <w:pStyle w:val="TableText"/>
            </w:pPr>
            <w:r>
              <w:t xml:space="preserve">Approach to industrial monofils </w:t>
            </w:r>
          </w:p>
        </w:tc>
        <w:tc>
          <w:tcPr>
            <w:tcW w:w="3118" w:type="dxa"/>
          </w:tcPr>
          <w:p w14:paraId="77006A65" w14:textId="42DB3190" w:rsidR="003D04FE" w:rsidRDefault="003D04FE">
            <w:pPr>
              <w:pStyle w:val="TableText"/>
            </w:pPr>
            <w:r>
              <w:t xml:space="preserve">Industrial </w:t>
            </w:r>
            <w:proofErr w:type="spellStart"/>
            <w:r>
              <w:t>monofil</w:t>
            </w:r>
            <w:r w:rsidR="00017188">
              <w:t>l</w:t>
            </w:r>
            <w:r>
              <w:t>s</w:t>
            </w:r>
            <w:proofErr w:type="spellEnd"/>
            <w:r>
              <w:t xml:space="preserve"> are sites </w:t>
            </w:r>
            <w:r w:rsidRPr="00D24BBA">
              <w:t xml:space="preserve">that </w:t>
            </w:r>
            <w:proofErr w:type="gramStart"/>
            <w:r w:rsidRPr="00D24BBA">
              <w:t>accept</w:t>
            </w:r>
            <w:proofErr w:type="gramEnd"/>
            <w:r w:rsidRPr="00D24BBA">
              <w:t xml:space="preserve"> for disposal waste that is generated from a single industrial process (for example, steel or aluminium making, or pulp and paper making). </w:t>
            </w:r>
            <w:r>
              <w:t xml:space="preserve">At the time changes to the levy were adopted in 2020, limited information </w:t>
            </w:r>
            <w:r w:rsidR="0011314C">
              <w:t xml:space="preserve">was </w:t>
            </w:r>
            <w:r>
              <w:t>available on the types or quantities of waste going to these sites, so it was difficult to assess whether a levy would be appropriate.</w:t>
            </w:r>
            <w:r w:rsidR="00763AC4">
              <w:t xml:space="preserve"> </w:t>
            </w:r>
          </w:p>
        </w:tc>
        <w:tc>
          <w:tcPr>
            <w:tcW w:w="8505" w:type="dxa"/>
          </w:tcPr>
          <w:p w14:paraId="50D1D105" w14:textId="7B195C8A" w:rsidR="008045A3" w:rsidRDefault="003D04FE">
            <w:pPr>
              <w:pStyle w:val="TableText"/>
            </w:pPr>
            <w:r>
              <w:t xml:space="preserve">Preliminary data from expansion of reporting obligations to industrial </w:t>
            </w:r>
            <w:proofErr w:type="spellStart"/>
            <w:r>
              <w:t>monofil</w:t>
            </w:r>
            <w:r w:rsidR="00994A91">
              <w:t>l</w:t>
            </w:r>
            <w:r>
              <w:t>s</w:t>
            </w:r>
            <w:proofErr w:type="spellEnd"/>
            <w:r>
              <w:t xml:space="preserve"> (which have been subject to reporting obligations since 1 January 2023) shows 26 industrial </w:t>
            </w:r>
            <w:proofErr w:type="spellStart"/>
            <w:r>
              <w:t>monofi</w:t>
            </w:r>
            <w:r w:rsidR="00994A91">
              <w:t>l</w:t>
            </w:r>
            <w:r>
              <w:t>l</w:t>
            </w:r>
            <w:proofErr w:type="spellEnd"/>
            <w:r>
              <w:t xml:space="preserve"> sites are now reporting to the Ministry. In total, these sites have reported </w:t>
            </w:r>
            <w:r w:rsidR="00994A91">
              <w:t xml:space="preserve">over </w:t>
            </w:r>
            <w:r>
              <w:t>4</w:t>
            </w:r>
            <w:r w:rsidR="00994A91">
              <w:t>.</w:t>
            </w:r>
            <w:r>
              <w:t>8</w:t>
            </w:r>
            <w:r w:rsidR="00994A91">
              <w:t xml:space="preserve"> million </w:t>
            </w:r>
            <w:r>
              <w:t xml:space="preserve">tonnes of material disposed of in 2023 to date. This is dominated by a single site, which accounts for </w:t>
            </w:r>
            <w:r w:rsidR="00666912">
              <w:t xml:space="preserve">over </w:t>
            </w:r>
            <w:r>
              <w:t>4</w:t>
            </w:r>
            <w:r w:rsidR="00666912">
              <w:t xml:space="preserve"> million </w:t>
            </w:r>
            <w:r>
              <w:t xml:space="preserve">tonnes of that total. </w:t>
            </w:r>
          </w:p>
          <w:p w14:paraId="65FE9E5F" w14:textId="3CE3D582" w:rsidR="003D04FE" w:rsidRDefault="003D04FE">
            <w:pPr>
              <w:pStyle w:val="TableText"/>
            </w:pPr>
            <w:r>
              <w:t>Some sites are voluntarily reporting the origin of the waste they accept, while others report the waste as ‘unspecified’ (72 per cent). Most of the waste with a specified origin was ‘commercial and industrial’ (39</w:t>
            </w:r>
            <w:r w:rsidR="007C1006">
              <w:t> </w:t>
            </w:r>
            <w:r>
              <w:t>per</w:t>
            </w:r>
            <w:r w:rsidR="007C1006">
              <w:t> </w:t>
            </w:r>
            <w:r>
              <w:t>cent).</w:t>
            </w:r>
          </w:p>
        </w:tc>
      </w:tr>
      <w:tr w:rsidR="003D04FE" w14:paraId="7A7099D2" w14:textId="77777777" w:rsidTr="0055102F">
        <w:tc>
          <w:tcPr>
            <w:tcW w:w="1560" w:type="dxa"/>
          </w:tcPr>
          <w:p w14:paraId="706E192F" w14:textId="77777777" w:rsidR="003D04FE" w:rsidRDefault="003D04FE">
            <w:pPr>
              <w:pStyle w:val="TableText"/>
            </w:pPr>
            <w:r>
              <w:t>Approach to rural waste and farm dumps</w:t>
            </w:r>
          </w:p>
        </w:tc>
        <w:tc>
          <w:tcPr>
            <w:tcW w:w="3118" w:type="dxa"/>
          </w:tcPr>
          <w:p w14:paraId="4AC91A95" w14:textId="28FA2011" w:rsidR="003D04FE" w:rsidRDefault="003D04FE">
            <w:pPr>
              <w:pStyle w:val="TableText"/>
            </w:pPr>
            <w:r>
              <w:t xml:space="preserve">Some submitters to the levy consultation considered </w:t>
            </w:r>
            <w:r w:rsidR="008045A3">
              <w:t xml:space="preserve">that </w:t>
            </w:r>
            <w:r>
              <w:t xml:space="preserve">farm dumps should also be made subject to a levy, or else </w:t>
            </w:r>
            <w:r w:rsidR="008045A3">
              <w:t xml:space="preserve">should be </w:t>
            </w:r>
            <w:r>
              <w:t>better regulated in other ways to ensure farm waste disposed of on site was also minimised (and its environmental effects appropriately managed).</w:t>
            </w:r>
          </w:p>
        </w:tc>
        <w:tc>
          <w:tcPr>
            <w:tcW w:w="8505" w:type="dxa"/>
          </w:tcPr>
          <w:p w14:paraId="200D9F5F" w14:textId="506F8864" w:rsidR="003D04FE" w:rsidRDefault="003D04FE">
            <w:pPr>
              <w:pStyle w:val="TableText"/>
            </w:pPr>
            <w:r>
              <w:t>Work has progressed on improved management of inorganic farm wastes (including agrichemicals and their containers</w:t>
            </w:r>
            <w:r w:rsidR="008045A3">
              <w:t>,</w:t>
            </w:r>
            <w:r>
              <w:t xml:space="preserve"> and farm plastics) through regulated product stewardship (Ministry for the Environment, </w:t>
            </w:r>
            <w:r w:rsidR="00696FC8">
              <w:t>2023d</w:t>
            </w:r>
            <w:r>
              <w:t>).</w:t>
            </w:r>
            <w:r>
              <w:rPr>
                <w:rStyle w:val="CommentReference"/>
              </w:rPr>
              <w:t xml:space="preserve"> </w:t>
            </w:r>
          </w:p>
          <w:p w14:paraId="45A7BFCD" w14:textId="1C116D13" w:rsidR="003D04FE" w:rsidRDefault="003D04FE">
            <w:pPr>
              <w:pStyle w:val="TableText"/>
            </w:pPr>
            <w:r>
              <w:t>Work has not yet taken place on an overarching regulatory framework</w:t>
            </w:r>
            <w:r w:rsidR="00475A54">
              <w:t xml:space="preserve"> (</w:t>
            </w:r>
            <w:r>
              <w:t>such as national direction under the Resource Management Act 1991</w:t>
            </w:r>
            <w:r w:rsidR="00475A54">
              <w:t>)</w:t>
            </w:r>
            <w:r>
              <w:t>, given the substantial reform that has been underway in that area.</w:t>
            </w:r>
          </w:p>
          <w:p w14:paraId="4F75EF77" w14:textId="1E459E96" w:rsidR="003D04FE" w:rsidRPr="00910E2D" w:rsidRDefault="003D04FE">
            <w:pPr>
              <w:pStyle w:val="TableText"/>
            </w:pPr>
            <w:r w:rsidRPr="00610683">
              <w:t>Freshwater farm plans are a regulated farm</w:t>
            </w:r>
            <w:r w:rsidR="00475A54" w:rsidRPr="00610683">
              <w:t>-</w:t>
            </w:r>
            <w:r w:rsidRPr="00610683">
              <w:t>planning process for farmers and growers to identify, manage and reduce the impact of farming on the freshwater environment. Freshwater farm plans are required to consider risks and mitigation actions, including point source discharges such as rubbish dumps and offal pits.</w:t>
            </w:r>
            <w:r>
              <w:t xml:space="preserve"> </w:t>
            </w:r>
          </w:p>
        </w:tc>
      </w:tr>
      <w:tr w:rsidR="003D04FE" w14:paraId="7934D767" w14:textId="77777777" w:rsidTr="0055102F">
        <w:tc>
          <w:tcPr>
            <w:tcW w:w="1560" w:type="dxa"/>
          </w:tcPr>
          <w:p w14:paraId="4CC9F537" w14:textId="77777777" w:rsidR="003D04FE" w:rsidRDefault="003D04FE">
            <w:pPr>
              <w:pStyle w:val="TableText"/>
            </w:pPr>
            <w:r>
              <w:t>Levy rate and differentiation</w:t>
            </w:r>
          </w:p>
        </w:tc>
        <w:tc>
          <w:tcPr>
            <w:tcW w:w="3118" w:type="dxa"/>
          </w:tcPr>
          <w:p w14:paraId="7F7BB5C4" w14:textId="77777777" w:rsidR="0041582E" w:rsidRDefault="003D04FE">
            <w:pPr>
              <w:pStyle w:val="TableText"/>
            </w:pPr>
            <w:r>
              <w:t xml:space="preserve">Cabinet noted a range of stakeholder views on both what levy rates were most appropriate, and whether (or how) rates should differ between sites. </w:t>
            </w:r>
          </w:p>
          <w:p w14:paraId="7AD1166B" w14:textId="2A4DA33A" w:rsidR="003D04FE" w:rsidRDefault="003D04FE">
            <w:pPr>
              <w:pStyle w:val="TableText"/>
            </w:pPr>
            <w:r>
              <w:t xml:space="preserve">Cabinet identified that this review could assess the initial impacts of the </w:t>
            </w:r>
            <w:r>
              <w:lastRenderedPageBreak/>
              <w:t xml:space="preserve">changes and consider the need for additional changes, such as further increases to levy rates or changes to differentiation of rates between sites. </w:t>
            </w:r>
          </w:p>
        </w:tc>
        <w:tc>
          <w:tcPr>
            <w:tcW w:w="8505" w:type="dxa"/>
          </w:tcPr>
          <w:p w14:paraId="0290D5AD" w14:textId="36465EEF" w:rsidR="00475A54" w:rsidRDefault="003D04FE">
            <w:pPr>
              <w:pStyle w:val="TableText"/>
            </w:pPr>
            <w:r>
              <w:lastRenderedPageBreak/>
              <w:t>The changes to the levy agreed in 2020 will be fully implemented by 1 July 2024 (when levy rates will rise to $60 and $30 for municipal and construction and demolition landfills</w:t>
            </w:r>
            <w:r w:rsidR="00475A54">
              <w:t>,</w:t>
            </w:r>
            <w:r>
              <w:t xml:space="preserve"> respectively). </w:t>
            </w:r>
            <w:r w:rsidR="005E5041">
              <w:t>Additional levy rate changes were established through the Waste Minimisation (Waste Disposal Levy)</w:t>
            </w:r>
            <w:r w:rsidR="00CF3484">
              <w:t xml:space="preserve"> Amendment Act 2024.</w:t>
            </w:r>
            <w:r w:rsidR="005E5041">
              <w:t xml:space="preserve"> </w:t>
            </w:r>
          </w:p>
          <w:p w14:paraId="5F9743D4" w14:textId="2746480D" w:rsidR="009B0722" w:rsidRDefault="003D04FE">
            <w:pPr>
              <w:pStyle w:val="TableText"/>
            </w:pPr>
            <w:r>
              <w:t>Some stakeholders have identified a perceived trend of materials shifting from municipal landfills to other landfill types (which are typically subject to less</w:t>
            </w:r>
            <w:r w:rsidR="0041582E">
              <w:t>-</w:t>
            </w:r>
            <w:r>
              <w:t xml:space="preserve">stringent environmental controls). This could include waste that is legally able to be accepted at other landfill types, as well as material that should be going to municipal sites – in </w:t>
            </w:r>
            <w:r>
              <w:lastRenderedPageBreak/>
              <w:t>which case</w:t>
            </w:r>
            <w:r w:rsidR="0041582E">
              <w:t>,</w:t>
            </w:r>
            <w:r>
              <w:t xml:space="preserve"> the movement of material would result in both forgone levy revenue and potentially more environmental harm (</w:t>
            </w:r>
            <w:proofErr w:type="spellStart"/>
            <w:r w:rsidR="009B0722">
              <w:t>eg</w:t>
            </w:r>
            <w:proofErr w:type="spellEnd"/>
            <w:r>
              <w:t xml:space="preserve">, if putrescible waste is disposed of in landfills without adequate leachate and emissions capture systems in place). </w:t>
            </w:r>
            <w:r w:rsidR="00DD2E8E">
              <w:t xml:space="preserve">The Waste Advisory Board also drew attention to this topic when it provided advice to the Minister on </w:t>
            </w:r>
            <w:r w:rsidR="00EF2344">
              <w:t>this report.</w:t>
            </w:r>
          </w:p>
          <w:p w14:paraId="42560619" w14:textId="5174A8D4" w:rsidR="003D04FE" w:rsidRDefault="003D04FE">
            <w:pPr>
              <w:pStyle w:val="TableText"/>
            </w:pPr>
            <w:r>
              <w:t>A time series of data on levy payments for sites other than municipal landfills is not yet available</w:t>
            </w:r>
            <w:r w:rsidR="009B0722">
              <w:t>,</w:t>
            </w:r>
            <w:r>
              <w:t xml:space="preserve"> to identify any such possible trends. The time series of waste disposal to municipal sites does not necessarily support this hypothesis</w:t>
            </w:r>
            <w:r w:rsidR="009B0722">
              <w:t>;</w:t>
            </w:r>
            <w:r>
              <w:t xml:space="preserve"> there have not been substantial drops since the levy rate was introduced for construction and demolition sites in 2022. </w:t>
            </w:r>
          </w:p>
        </w:tc>
      </w:tr>
      <w:tr w:rsidR="003D04FE" w14:paraId="5E3B68A6" w14:textId="77777777" w:rsidTr="0055102F">
        <w:tc>
          <w:tcPr>
            <w:tcW w:w="1560" w:type="dxa"/>
          </w:tcPr>
          <w:p w14:paraId="7B3880F4" w14:textId="77777777" w:rsidR="003D04FE" w:rsidRDefault="003D04FE">
            <w:pPr>
              <w:pStyle w:val="TableText"/>
            </w:pPr>
            <w:r>
              <w:lastRenderedPageBreak/>
              <w:t>Implementation of changes to the levy</w:t>
            </w:r>
          </w:p>
        </w:tc>
        <w:tc>
          <w:tcPr>
            <w:tcW w:w="3118" w:type="dxa"/>
          </w:tcPr>
          <w:p w14:paraId="41B7F844" w14:textId="4E674190" w:rsidR="003D04FE" w:rsidRDefault="004B2A59">
            <w:pPr>
              <w:pStyle w:val="TableText"/>
            </w:pPr>
            <w:r>
              <w:t>T</w:t>
            </w:r>
            <w:r w:rsidR="003D04FE">
              <w:t xml:space="preserve">he changes to the levy have led to an increase in regulated </w:t>
            </w:r>
            <w:r w:rsidR="003D04FE" w:rsidRPr="00832C0E">
              <w:t>parties from 36 regulated sites in 2017 to 348 by 30 June 2022 (and 570 sites by the end of 2022)</w:t>
            </w:r>
            <w:r w:rsidR="003D04FE">
              <w:t xml:space="preserve">. </w:t>
            </w:r>
            <w:r w:rsidR="008A465D">
              <w:t>L</w:t>
            </w:r>
            <w:r w:rsidR="003D04FE" w:rsidRPr="000403E9">
              <w:t xml:space="preserve">evy revenue </w:t>
            </w:r>
            <w:r w:rsidR="008A465D">
              <w:t xml:space="preserve">has also increased, </w:t>
            </w:r>
            <w:r w:rsidR="003D04FE" w:rsidRPr="000403E9">
              <w:t>from around $40 million per annum in the previous review period to $80.3 million per annum</w:t>
            </w:r>
            <w:r w:rsidR="003D04FE">
              <w:t xml:space="preserve"> in the 2021/22 financial year.</w:t>
            </w:r>
          </w:p>
        </w:tc>
        <w:tc>
          <w:tcPr>
            <w:tcW w:w="8505" w:type="dxa"/>
          </w:tcPr>
          <w:p w14:paraId="49BC2AA2" w14:textId="77777777" w:rsidR="003D04FE" w:rsidRPr="009B7F8E" w:rsidRDefault="003D04FE">
            <w:pPr>
              <w:pStyle w:val="TableText"/>
            </w:pPr>
            <w:r w:rsidRPr="009B7F8E">
              <w:t xml:space="preserve">Lessons from the levy expansion to date include: </w:t>
            </w:r>
          </w:p>
          <w:p w14:paraId="52BC7233" w14:textId="77777777" w:rsidR="003D04FE" w:rsidRDefault="003D04FE" w:rsidP="003D04FE">
            <w:pPr>
              <w:pStyle w:val="TableBullet"/>
            </w:pPr>
            <w:r w:rsidRPr="009B7F8E">
              <w:t xml:space="preserve">the need </w:t>
            </w:r>
            <w:r>
              <w:t>for a wider range of tools in the regulatory toolbox to enable compliance with a range of regulatory requirements</w:t>
            </w:r>
          </w:p>
          <w:p w14:paraId="2275F734" w14:textId="77777777" w:rsidR="003D04FE" w:rsidRDefault="003D04FE" w:rsidP="003D04FE">
            <w:pPr>
              <w:pStyle w:val="TableBullet"/>
            </w:pPr>
            <w:r>
              <w:t>the need to align powers of entry with similar jurisdictions in other sectors</w:t>
            </w:r>
          </w:p>
          <w:p w14:paraId="22995637" w14:textId="2AF93DEE" w:rsidR="003D04FE" w:rsidRDefault="003D04FE" w:rsidP="003D04FE">
            <w:pPr>
              <w:pStyle w:val="TableBullet"/>
            </w:pPr>
            <w:r>
              <w:t xml:space="preserve">challenges with detection of disposal facilities not registered in the </w:t>
            </w:r>
            <w:r w:rsidR="00E81ED7">
              <w:t>OWLS</w:t>
            </w:r>
            <w:r>
              <w:t xml:space="preserve"> – and resistance from the wider sector to inform or report on operators who are not registered</w:t>
            </w:r>
          </w:p>
          <w:p w14:paraId="6F8D4B07" w14:textId="10547D73" w:rsidR="003D04FE" w:rsidRDefault="003D04FE" w:rsidP="003D04FE">
            <w:pPr>
              <w:pStyle w:val="TableBullet"/>
            </w:pPr>
            <w:r>
              <w:t xml:space="preserve">benefits of increased mandatory reporting – the Ministry now has much more information on the quantities of waste being disposed of, and to which fill sites. Additional regulations that take effect from 1 July 2024 will further increase </w:t>
            </w:r>
            <w:r w:rsidR="006715D0">
              <w:t xml:space="preserve">available </w:t>
            </w:r>
            <w:r>
              <w:t xml:space="preserve">information, including on the types of waste being disposed of </w:t>
            </w:r>
            <w:r w:rsidR="006715D0">
              <w:t xml:space="preserve">in </w:t>
            </w:r>
            <w:r>
              <w:t>landfills</w:t>
            </w:r>
          </w:p>
          <w:p w14:paraId="1A843D96" w14:textId="779DB58F" w:rsidR="003D04FE" w:rsidRPr="009B7F8E" w:rsidRDefault="003D04FE" w:rsidP="003D04FE">
            <w:pPr>
              <w:pStyle w:val="TableBullet"/>
            </w:pPr>
            <w:r>
              <w:t xml:space="preserve">the need for clarity </w:t>
            </w:r>
            <w:r w:rsidR="00AE0975">
              <w:t>of</w:t>
            </w:r>
            <w:r>
              <w:t xml:space="preserve"> </w:t>
            </w:r>
            <w:r w:rsidR="006715D0">
              <w:t xml:space="preserve">the </w:t>
            </w:r>
            <w:r>
              <w:t>scope and coverage of the regulations.</w:t>
            </w:r>
            <w:r>
              <w:rPr>
                <w:rStyle w:val="FootnoteReference"/>
              </w:rPr>
              <w:footnoteReference w:id="11"/>
            </w:r>
          </w:p>
        </w:tc>
      </w:tr>
    </w:tbl>
    <w:p w14:paraId="282A9B3F" w14:textId="77777777" w:rsidR="003D04FE" w:rsidRDefault="003D04FE" w:rsidP="003D04FE">
      <w:pPr>
        <w:pStyle w:val="Heading2"/>
        <w:sectPr w:rsidR="003D04FE" w:rsidSect="00843700">
          <w:pgSz w:w="16840" w:h="11907" w:orient="landscape" w:code="9"/>
          <w:pgMar w:top="1134" w:right="1701" w:bottom="1134" w:left="1701" w:header="567" w:footer="567" w:gutter="0"/>
          <w:cols w:space="720"/>
          <w:docGrid w:linePitch="326"/>
        </w:sectPr>
      </w:pPr>
    </w:p>
    <w:p w14:paraId="7D706499" w14:textId="77777777" w:rsidR="003D04FE" w:rsidRDefault="003D04FE" w:rsidP="003D04FE">
      <w:pPr>
        <w:pStyle w:val="Heading1"/>
      </w:pPr>
      <w:bookmarkStart w:id="63" w:name="_Toc150947426"/>
      <w:bookmarkStart w:id="64" w:name="_Toc177022846"/>
      <w:r>
        <w:lastRenderedPageBreak/>
        <w:t>Conclusions and recommendations</w:t>
      </w:r>
      <w:bookmarkEnd w:id="63"/>
      <w:bookmarkEnd w:id="64"/>
    </w:p>
    <w:p w14:paraId="5BD04B4D" w14:textId="3A36E73C" w:rsidR="003D04FE" w:rsidRDefault="003D04FE" w:rsidP="003D04FE">
      <w:pPr>
        <w:pStyle w:val="BodyText"/>
      </w:pPr>
      <w:r>
        <w:t xml:space="preserve">The changes that were made to the levy from 2021 onwards were major, and </w:t>
      </w:r>
      <w:r w:rsidR="00F15084">
        <w:t xml:space="preserve">they </w:t>
      </w:r>
      <w:r>
        <w:t xml:space="preserve">are still being implemented. The regulated community grew substantially over the period of this review, </w:t>
      </w:r>
      <w:r w:rsidR="00F15084">
        <w:t xml:space="preserve">as did </w:t>
      </w:r>
      <w:r>
        <w:t xml:space="preserve">the quantum of levy revenue to be invested. </w:t>
      </w:r>
    </w:p>
    <w:p w14:paraId="60E59D6A" w14:textId="047F52AA" w:rsidR="003D04FE" w:rsidRDefault="003D04FE" w:rsidP="003D04FE">
      <w:pPr>
        <w:pStyle w:val="Heading2"/>
      </w:pPr>
      <w:bookmarkStart w:id="65" w:name="_Toc177022847"/>
      <w:r>
        <w:t>Recommendations</w:t>
      </w:r>
      <w:bookmarkEnd w:id="65"/>
    </w:p>
    <w:p w14:paraId="63D4E08B" w14:textId="4156ADDF" w:rsidR="003D04FE" w:rsidRDefault="003D04FE" w:rsidP="003D04FE">
      <w:pPr>
        <w:pStyle w:val="BodyText"/>
      </w:pPr>
      <w:proofErr w:type="gramStart"/>
      <w:r>
        <w:t>In order to</w:t>
      </w:r>
      <w:proofErr w:type="gramEnd"/>
      <w:r>
        <w:t xml:space="preserve"> support continued effective management of the levy</w:t>
      </w:r>
      <w:r w:rsidR="00257B11">
        <w:t xml:space="preserve">, the </w:t>
      </w:r>
      <w:r w:rsidR="00B963B5">
        <w:t>recommendations are as follows</w:t>
      </w:r>
      <w:r w:rsidR="00257B11">
        <w:t>.</w:t>
      </w:r>
      <w:r>
        <w:t xml:space="preserve"> </w:t>
      </w:r>
    </w:p>
    <w:p w14:paraId="66E09230" w14:textId="35590A12" w:rsidR="00D94265" w:rsidRDefault="00D94265" w:rsidP="00D94265">
      <w:pPr>
        <w:pStyle w:val="Bullet"/>
      </w:pPr>
      <w:r>
        <w:t xml:space="preserve">Continue ongoing efforts to ensure strategic investment of levy revenue by both central and local government. </w:t>
      </w:r>
    </w:p>
    <w:p w14:paraId="50553C3D" w14:textId="77777777" w:rsidR="00D94265" w:rsidRDefault="00D94265" w:rsidP="00D94265">
      <w:pPr>
        <w:pStyle w:val="Bullet"/>
      </w:pPr>
      <w:r>
        <w:t>Ensure waste legislation better supports administration, collection and investment of the levy.</w:t>
      </w:r>
    </w:p>
    <w:p w14:paraId="478571FB" w14:textId="057224C1" w:rsidR="001240F0" w:rsidRDefault="001240F0" w:rsidP="00FC75FE">
      <w:pPr>
        <w:pStyle w:val="Bullet"/>
      </w:pPr>
      <w:r>
        <w:t>Review whether relative levy settings for class 1 and class 2 landfills contribute to any unintended outcomes, and if so</w:t>
      </w:r>
      <w:r w:rsidR="00F66F56">
        <w:t>,</w:t>
      </w:r>
      <w:r>
        <w:t xml:space="preserve"> whether changes to levy settings or other provisions are required (such as changes in relative levy rates or restrictions on materials that can be disposed of at class 2 landfills).</w:t>
      </w:r>
    </w:p>
    <w:p w14:paraId="70F4D336" w14:textId="77777777" w:rsidR="00D94265" w:rsidRDefault="00D94265" w:rsidP="00D94265">
      <w:pPr>
        <w:pStyle w:val="Bullet"/>
      </w:pPr>
      <w:r>
        <w:t>Clarify the intended scope of the levy and reporting obligations (through regulatory change proposals, or as part of the legislative change process in the previous recommendation).</w:t>
      </w:r>
    </w:p>
    <w:p w14:paraId="7B57C3C3" w14:textId="77777777" w:rsidR="00D94265" w:rsidRDefault="00D94265" w:rsidP="00D94265">
      <w:pPr>
        <w:pStyle w:val="Bullet"/>
      </w:pPr>
      <w:r>
        <w:t xml:space="preserve">Consider options for better understanding and management of rural wastes. </w:t>
      </w:r>
    </w:p>
    <w:p w14:paraId="63907DE3" w14:textId="16A7B097" w:rsidR="001240F0" w:rsidRDefault="001240F0" w:rsidP="00D94265">
      <w:pPr>
        <w:pStyle w:val="Bullet"/>
      </w:pPr>
      <w:r w:rsidRPr="001240F0">
        <w:t xml:space="preserve">Consider how future levy reviews are conducted, including involvement of the Waste Advisory Board in agreeing the scope for the review, and the potential for non-statutory annual </w:t>
      </w:r>
      <w:r w:rsidR="00B708BB">
        <w:t>reviews</w:t>
      </w:r>
      <w:r w:rsidRPr="001240F0">
        <w:t xml:space="preserve"> to supplement the three-yearly formal review.</w:t>
      </w:r>
    </w:p>
    <w:p w14:paraId="5D0803E8" w14:textId="77777777" w:rsidR="006E5454" w:rsidRDefault="006E5454">
      <w:pPr>
        <w:spacing w:before="0" w:after="200" w:line="276" w:lineRule="auto"/>
        <w:jc w:val="left"/>
        <w:rPr>
          <w:rFonts w:eastAsia="Times New Roman" w:cs="Times New Roman"/>
          <w:szCs w:val="20"/>
        </w:rPr>
      </w:pPr>
      <w:r>
        <w:br w:type="page"/>
      </w:r>
    </w:p>
    <w:p w14:paraId="324095A6" w14:textId="6D3214BE" w:rsidR="003D04FE" w:rsidRDefault="006E5454" w:rsidP="006E5454">
      <w:pPr>
        <w:pStyle w:val="Heading1"/>
      </w:pPr>
      <w:bookmarkStart w:id="66" w:name="_Toc177022848"/>
      <w:r>
        <w:lastRenderedPageBreak/>
        <w:t>References</w:t>
      </w:r>
      <w:bookmarkEnd w:id="66"/>
    </w:p>
    <w:p w14:paraId="7E2E2869" w14:textId="6CA767A2" w:rsidR="006E5454" w:rsidRPr="00FD505E" w:rsidRDefault="006E5454" w:rsidP="004F2335">
      <w:pPr>
        <w:pStyle w:val="BodyText"/>
      </w:pPr>
      <w:r w:rsidRPr="00FD505E">
        <w:t xml:space="preserve">AK Research and Consulting. 2023. </w:t>
      </w:r>
      <w:hyperlink r:id="rId43" w:history="1">
        <w:r w:rsidRPr="007113D5">
          <w:rPr>
            <w:rStyle w:val="Hyperlink"/>
            <w:i/>
            <w:iCs/>
          </w:rPr>
          <w:t xml:space="preserve">2023 Behavioural Trend Monitoring Survey Of Waste Minimisation Practices </w:t>
        </w:r>
        <w:r w:rsidR="00A60441" w:rsidRPr="007113D5">
          <w:rPr>
            <w:rStyle w:val="Hyperlink"/>
            <w:i/>
            <w:iCs/>
          </w:rPr>
          <w:t xml:space="preserve">– </w:t>
        </w:r>
        <w:r w:rsidRPr="007113D5">
          <w:rPr>
            <w:rStyle w:val="Hyperlink"/>
            <w:i/>
            <w:iCs/>
          </w:rPr>
          <w:t>A Quantitative Report for the Ministry for the Environment, June 2023</w:t>
        </w:r>
      </w:hyperlink>
      <w:r w:rsidRPr="00FD505E">
        <w:t xml:space="preserve">. </w:t>
      </w:r>
      <w:r w:rsidR="00153BD9" w:rsidRPr="00FD505E">
        <w:t>Prepared for the</w:t>
      </w:r>
      <w:r w:rsidRPr="00FD505E">
        <w:t xml:space="preserve"> Ministry for the Environment</w:t>
      </w:r>
      <w:r w:rsidR="00153BD9" w:rsidRPr="00FD505E">
        <w:t xml:space="preserve"> by AK Research and Consulting.</w:t>
      </w:r>
    </w:p>
    <w:p w14:paraId="4BD12CF8" w14:textId="6D3F9308" w:rsidR="006E5454" w:rsidRPr="00FD505E" w:rsidRDefault="006E5454" w:rsidP="004F2335">
      <w:pPr>
        <w:pStyle w:val="BodyText"/>
        <w:rPr>
          <w:szCs w:val="26"/>
        </w:rPr>
      </w:pPr>
      <w:r w:rsidRPr="00FD505E">
        <w:t xml:space="preserve">Blumhardt H. 2022. </w:t>
      </w:r>
      <w:hyperlink r:id="rId44" w:history="1">
        <w:r w:rsidRPr="00FD505E">
          <w:rPr>
            <w:rStyle w:val="Hyperlink"/>
            <w:i/>
            <w:iCs/>
          </w:rPr>
          <w:t>Reusable packaging in Aotearoa — getting back to the future</w:t>
        </w:r>
      </w:hyperlink>
      <w:r w:rsidRPr="00FD505E">
        <w:t>. Mount Maunganui: Reuse Aotearoa.</w:t>
      </w:r>
    </w:p>
    <w:p w14:paraId="32B7046E" w14:textId="0A08834C" w:rsidR="006E5454" w:rsidRPr="00FD505E" w:rsidRDefault="006E5454" w:rsidP="004F2335">
      <w:pPr>
        <w:pStyle w:val="BodyText"/>
      </w:pPr>
      <w:r w:rsidRPr="00FD505E">
        <w:t xml:space="preserve">Brock J. 2020. </w:t>
      </w:r>
      <w:hyperlink r:id="rId45" w:anchor=":~:text=Since%20the%20coronavirus%20struck%2C%20recyclers,firms%20in%20the%20United%20States." w:history="1">
        <w:r w:rsidRPr="008A431C">
          <w:rPr>
            <w:rStyle w:val="Hyperlink"/>
            <w:i/>
            <w:iCs/>
          </w:rPr>
          <w:t>The Plastic Pandemic: COVID-19 trashed the recycling dream. A Reuters Special Report</w:t>
        </w:r>
      </w:hyperlink>
      <w:r w:rsidRPr="00FD505E">
        <w:t xml:space="preserve">. Retrieved </w:t>
      </w:r>
      <w:r w:rsidR="009A4CD1" w:rsidRPr="00FD505E">
        <w:t>15 December 2023</w:t>
      </w:r>
      <w:r w:rsidRPr="00FD505E">
        <w:t>.</w:t>
      </w:r>
    </w:p>
    <w:p w14:paraId="3231BDBD" w14:textId="65D774C5" w:rsidR="006E5454" w:rsidRPr="00FD505E" w:rsidRDefault="006E5454" w:rsidP="004F2335">
      <w:pPr>
        <w:pStyle w:val="BodyText"/>
      </w:pPr>
      <w:r w:rsidRPr="00FD505E">
        <w:t>Colmar Brunton.</w:t>
      </w:r>
      <w:r w:rsidRPr="00FD505E">
        <w:rPr>
          <w:i/>
        </w:rPr>
        <w:t xml:space="preserve"> </w:t>
      </w:r>
      <w:r w:rsidRPr="00FD505E">
        <w:t xml:space="preserve">2018. </w:t>
      </w:r>
      <w:hyperlink r:id="rId46" w:history="1">
        <w:r w:rsidRPr="00FD505E">
          <w:rPr>
            <w:rStyle w:val="Hyperlink"/>
            <w:i/>
          </w:rPr>
          <w:t>Environment</w:t>
        </w:r>
        <w:r w:rsidR="00E84801" w:rsidRPr="00FD505E">
          <w:rPr>
            <w:rStyle w:val="Hyperlink"/>
            <w:i/>
          </w:rPr>
          <w:t>al</w:t>
        </w:r>
        <w:r w:rsidRPr="00FD505E">
          <w:rPr>
            <w:rStyle w:val="Hyperlink"/>
            <w:i/>
          </w:rPr>
          <w:t xml:space="preserve"> attitudes baseline</w:t>
        </w:r>
      </w:hyperlink>
      <w:r w:rsidRPr="00FD505E">
        <w:t xml:space="preserve">. </w:t>
      </w:r>
      <w:r w:rsidR="006C60E3" w:rsidRPr="00FD505E">
        <w:t xml:space="preserve">Prepared </w:t>
      </w:r>
      <w:r w:rsidRPr="00FD505E">
        <w:t>for the Ministry for the Environment</w:t>
      </w:r>
      <w:r w:rsidR="006C60E3" w:rsidRPr="00FD505E">
        <w:t xml:space="preserve"> by Colmar Brunton.</w:t>
      </w:r>
    </w:p>
    <w:p w14:paraId="3948C3F7" w14:textId="72A8FD2B" w:rsidR="006E5454" w:rsidRPr="008A431C" w:rsidRDefault="006E5454" w:rsidP="004F2335">
      <w:pPr>
        <w:pStyle w:val="BodyText"/>
        <w:rPr>
          <w:szCs w:val="26"/>
        </w:rPr>
      </w:pPr>
      <w:r w:rsidRPr="00FD505E">
        <w:rPr>
          <w:szCs w:val="26"/>
        </w:rPr>
        <w:t xml:space="preserve">Eunomia. 2018. </w:t>
      </w:r>
      <w:hyperlink r:id="rId47" w:history="1">
        <w:r w:rsidRPr="00FD505E">
          <w:rPr>
            <w:rStyle w:val="Hyperlink"/>
            <w:i/>
            <w:iCs/>
            <w:szCs w:val="26"/>
          </w:rPr>
          <w:t>National Resource Recovery Project – Situational Analysis Report</w:t>
        </w:r>
      </w:hyperlink>
      <w:r w:rsidRPr="00FD505E">
        <w:rPr>
          <w:i/>
          <w:iCs/>
          <w:szCs w:val="26"/>
        </w:rPr>
        <w:t>.</w:t>
      </w:r>
      <w:r w:rsidR="005119C5" w:rsidRPr="00FD505E">
        <w:rPr>
          <w:szCs w:val="26"/>
        </w:rPr>
        <w:t xml:space="preserve"> </w:t>
      </w:r>
      <w:r w:rsidR="00F970D7" w:rsidRPr="00FD505E">
        <w:rPr>
          <w:szCs w:val="26"/>
        </w:rPr>
        <w:t>Prepared for the Ministry for the Environment by Eunomia Research &amp; Consulting Ltd (NZ)</w:t>
      </w:r>
      <w:r w:rsidR="00B470B7" w:rsidRPr="00FD505E">
        <w:rPr>
          <w:szCs w:val="26"/>
        </w:rPr>
        <w:t>.</w:t>
      </w:r>
    </w:p>
    <w:p w14:paraId="3792BF6F" w14:textId="15A79CCF" w:rsidR="006E5454" w:rsidRPr="00FD505E" w:rsidRDefault="006E5454" w:rsidP="004F2335">
      <w:pPr>
        <w:pStyle w:val="BodyText"/>
      </w:pPr>
      <w:r w:rsidRPr="00FD505E">
        <w:t xml:space="preserve">Eunomia. 2021. </w:t>
      </w:r>
      <w:hyperlink r:id="rId48" w:history="1">
        <w:r w:rsidRPr="00FD505E">
          <w:rPr>
            <w:rStyle w:val="Hyperlink"/>
            <w:i/>
          </w:rPr>
          <w:t>Waste and Resource Recovery Infrastructure and Services Stocktake</w:t>
        </w:r>
        <w:r w:rsidR="0068133E" w:rsidRPr="00FD505E">
          <w:rPr>
            <w:rStyle w:val="Hyperlink"/>
            <w:i/>
          </w:rPr>
          <w:t xml:space="preserve"> –</w:t>
        </w:r>
        <w:r w:rsidRPr="00FD505E">
          <w:rPr>
            <w:rStyle w:val="Hyperlink"/>
            <w:i/>
          </w:rPr>
          <w:t xml:space="preserve"> Summary Report</w:t>
        </w:r>
      </w:hyperlink>
      <w:r w:rsidRPr="00FD505E">
        <w:rPr>
          <w:i/>
          <w:iCs/>
        </w:rPr>
        <w:t>.</w:t>
      </w:r>
      <w:r w:rsidR="00763AC4" w:rsidRPr="00FD505E">
        <w:t xml:space="preserve"> </w:t>
      </w:r>
      <w:r w:rsidR="00E31553" w:rsidRPr="00FD505E">
        <w:rPr>
          <w:szCs w:val="26"/>
        </w:rPr>
        <w:t>Prepared for the Ministry for the Environment by Eunomia Research &amp; Consulting Ltd (NZ).</w:t>
      </w:r>
    </w:p>
    <w:p w14:paraId="13C6E3F6" w14:textId="5A37729C" w:rsidR="006E5454" w:rsidRPr="00FD505E" w:rsidRDefault="006E5454" w:rsidP="004F2335">
      <w:pPr>
        <w:pStyle w:val="BodyText"/>
        <w:rPr>
          <w:i/>
          <w:iCs/>
          <w:szCs w:val="26"/>
        </w:rPr>
      </w:pPr>
      <w:r w:rsidRPr="00FD505E">
        <w:rPr>
          <w:szCs w:val="26"/>
        </w:rPr>
        <w:t xml:space="preserve">Eunomia. 2023. </w:t>
      </w:r>
      <w:hyperlink r:id="rId49" w:history="1">
        <w:r w:rsidRPr="00FD505E">
          <w:rPr>
            <w:rStyle w:val="Hyperlink"/>
            <w:i/>
            <w:iCs/>
            <w:szCs w:val="26"/>
          </w:rPr>
          <w:t>Waste and Resource Recovery Infrastructure and Services Stocktake and Gap Analysis</w:t>
        </w:r>
        <w:r w:rsidR="00070C9A" w:rsidRPr="00FD505E">
          <w:rPr>
            <w:rStyle w:val="Hyperlink"/>
            <w:i/>
            <w:iCs/>
            <w:szCs w:val="26"/>
          </w:rPr>
          <w:t xml:space="preserve"> –</w:t>
        </w:r>
        <w:r w:rsidRPr="00FD505E">
          <w:rPr>
            <w:rStyle w:val="Hyperlink"/>
            <w:i/>
            <w:iCs/>
            <w:szCs w:val="26"/>
          </w:rPr>
          <w:t xml:space="preserve"> Full Project Summary Report</w:t>
        </w:r>
      </w:hyperlink>
      <w:r w:rsidRPr="00FD505E">
        <w:rPr>
          <w:i/>
          <w:iCs/>
          <w:szCs w:val="26"/>
        </w:rPr>
        <w:t>.</w:t>
      </w:r>
      <w:r w:rsidR="00070C9A" w:rsidRPr="00FD505E">
        <w:rPr>
          <w:i/>
          <w:iCs/>
          <w:szCs w:val="26"/>
        </w:rPr>
        <w:t xml:space="preserve"> </w:t>
      </w:r>
      <w:r w:rsidR="00070C9A" w:rsidRPr="00FD505E">
        <w:rPr>
          <w:szCs w:val="26"/>
        </w:rPr>
        <w:t>Prepared for the Ministry for the Environment by Eunomia Research &amp; Consulting Ltd (NZ).</w:t>
      </w:r>
    </w:p>
    <w:p w14:paraId="502417A7" w14:textId="1C34BA78" w:rsidR="006E5454" w:rsidRPr="00FD505E" w:rsidRDefault="006E5454" w:rsidP="004F2335">
      <w:pPr>
        <w:pStyle w:val="BodyText"/>
      </w:pPr>
      <w:r w:rsidRPr="00FD505E">
        <w:t xml:space="preserve">Fletcher Building. 2021. </w:t>
      </w:r>
      <w:hyperlink r:id="rId50" w:history="1">
        <w:r w:rsidRPr="008A431C">
          <w:rPr>
            <w:rStyle w:val="Hyperlink"/>
            <w:i/>
            <w:iCs/>
          </w:rPr>
          <w:t>Golden Bay Cement sustainable disposal solution for waste tyres a New Zealand first</w:t>
        </w:r>
      </w:hyperlink>
      <w:r w:rsidRPr="00FD505E">
        <w:t>. Retrieved 15</w:t>
      </w:r>
      <w:r w:rsidR="00750DE9" w:rsidRPr="00FD505E">
        <w:t xml:space="preserve"> December 2023</w:t>
      </w:r>
      <w:r w:rsidRPr="00FD505E">
        <w:t>.</w:t>
      </w:r>
    </w:p>
    <w:p w14:paraId="13AC3FDB" w14:textId="2DE2415F" w:rsidR="006E5454" w:rsidRPr="00FD505E" w:rsidRDefault="006E5454" w:rsidP="004F2335">
      <w:pPr>
        <w:pStyle w:val="BodyText"/>
      </w:pPr>
      <w:r w:rsidRPr="00FD505E">
        <w:t xml:space="preserve">Horizon Research. 2022. </w:t>
      </w:r>
      <w:hyperlink r:id="rId51" w:history="1">
        <w:r w:rsidRPr="00FD505E">
          <w:rPr>
            <w:rStyle w:val="Hyperlink"/>
            <w:i/>
          </w:rPr>
          <w:t xml:space="preserve">Packaging </w:t>
        </w:r>
        <w:r w:rsidR="008F034A" w:rsidRPr="00FD505E">
          <w:rPr>
            <w:rStyle w:val="Hyperlink"/>
            <w:i/>
          </w:rPr>
          <w:t xml:space="preserve">&amp; </w:t>
        </w:r>
        <w:r w:rsidRPr="00FD505E">
          <w:rPr>
            <w:rStyle w:val="Hyperlink"/>
            <w:i/>
          </w:rPr>
          <w:t>Recycling Survey 2022</w:t>
        </w:r>
      </w:hyperlink>
      <w:r w:rsidRPr="00FD505E">
        <w:rPr>
          <w:i/>
        </w:rPr>
        <w:t xml:space="preserve">. </w:t>
      </w:r>
      <w:r w:rsidRPr="00FD505E">
        <w:t>Prepared for The Packaging Forum March 2022</w:t>
      </w:r>
      <w:r w:rsidR="00117A78" w:rsidRPr="00FD505E">
        <w:t xml:space="preserve"> by Horizon Research</w:t>
      </w:r>
      <w:r w:rsidRPr="00FD505E">
        <w:t>.</w:t>
      </w:r>
    </w:p>
    <w:p w14:paraId="521A7466" w14:textId="5BF2A0B1" w:rsidR="006E5454" w:rsidRPr="00FD505E" w:rsidRDefault="006E5454" w:rsidP="004F2335">
      <w:pPr>
        <w:pStyle w:val="BodyText"/>
        <w:rPr>
          <w:szCs w:val="26"/>
        </w:rPr>
      </w:pPr>
      <w:r w:rsidRPr="00FD505E">
        <w:rPr>
          <w:szCs w:val="26"/>
        </w:rPr>
        <w:t xml:space="preserve">Keep New Zealand Beautiful. 2022a. </w:t>
      </w:r>
      <w:hyperlink r:id="rId52" w:history="1">
        <w:r w:rsidRPr="00FD505E">
          <w:rPr>
            <w:rStyle w:val="Hyperlink"/>
            <w:i/>
            <w:iCs/>
            <w:szCs w:val="26"/>
          </w:rPr>
          <w:t>Illegal dumping. A review of international strategies and best practice examples</w:t>
        </w:r>
      </w:hyperlink>
      <w:r w:rsidRPr="00FD505E">
        <w:rPr>
          <w:i/>
          <w:iCs/>
          <w:szCs w:val="26"/>
        </w:rPr>
        <w:t xml:space="preserve">. </w:t>
      </w:r>
      <w:r w:rsidRPr="00FD505E">
        <w:rPr>
          <w:szCs w:val="26"/>
        </w:rPr>
        <w:t>Prepared for the Ministry for the Environment</w:t>
      </w:r>
      <w:r w:rsidR="007974B1" w:rsidRPr="00FD505E">
        <w:rPr>
          <w:szCs w:val="26"/>
        </w:rPr>
        <w:t xml:space="preserve"> by Keep New Zealand Beautiful</w:t>
      </w:r>
      <w:r w:rsidRPr="00FD505E">
        <w:rPr>
          <w:szCs w:val="26"/>
        </w:rPr>
        <w:t xml:space="preserve">. </w:t>
      </w:r>
    </w:p>
    <w:p w14:paraId="5BF03D9A" w14:textId="7A2C6519" w:rsidR="006E5454" w:rsidRPr="00FD505E" w:rsidRDefault="006E5454" w:rsidP="004F2335">
      <w:pPr>
        <w:pStyle w:val="BodyText"/>
        <w:rPr>
          <w:szCs w:val="26"/>
        </w:rPr>
      </w:pPr>
      <w:r w:rsidRPr="00FD505E">
        <w:rPr>
          <w:szCs w:val="26"/>
        </w:rPr>
        <w:t xml:space="preserve">Keep New Zealand Beautiful. 2022b. </w:t>
      </w:r>
      <w:hyperlink r:id="rId53" w:history="1">
        <w:r w:rsidRPr="00FD505E">
          <w:rPr>
            <w:rStyle w:val="Hyperlink"/>
            <w:i/>
            <w:iCs/>
            <w:szCs w:val="26"/>
          </w:rPr>
          <w:t>National Litter Audit. November 2022</w:t>
        </w:r>
      </w:hyperlink>
      <w:r w:rsidRPr="00FD505E">
        <w:rPr>
          <w:i/>
          <w:iCs/>
          <w:szCs w:val="26"/>
        </w:rPr>
        <w:t xml:space="preserve">. </w:t>
      </w:r>
      <w:r w:rsidRPr="00FD505E">
        <w:rPr>
          <w:szCs w:val="26"/>
        </w:rPr>
        <w:t xml:space="preserve">Auckland: Keep New Zealand Beautiful. </w:t>
      </w:r>
    </w:p>
    <w:p w14:paraId="4D7C28AF" w14:textId="50180ABB" w:rsidR="005C7107" w:rsidRPr="00FD505E" w:rsidRDefault="005C7107" w:rsidP="004F2335">
      <w:pPr>
        <w:pStyle w:val="BodyText"/>
        <w:rPr>
          <w:szCs w:val="26"/>
        </w:rPr>
      </w:pPr>
      <w:r w:rsidRPr="00FD505E">
        <w:rPr>
          <w:szCs w:val="26"/>
        </w:rPr>
        <w:t xml:space="preserve">Ministry for the Environment. 2019. </w:t>
      </w:r>
      <w:hyperlink r:id="rId54" w:history="1">
        <w:r w:rsidRPr="003C7F57">
          <w:rPr>
            <w:rStyle w:val="Hyperlink"/>
            <w:i/>
            <w:iCs/>
          </w:rPr>
          <w:t>Reducing waste: a more effective landfill levy. Summary document</w:t>
        </w:r>
      </w:hyperlink>
      <w:r w:rsidRPr="00FD505E">
        <w:rPr>
          <w:szCs w:val="26"/>
        </w:rPr>
        <w:t xml:space="preserve">. Wellington: Ministry for the Environment. </w:t>
      </w:r>
    </w:p>
    <w:p w14:paraId="2A7820E7" w14:textId="5627B4EF" w:rsidR="006E5454" w:rsidRPr="00FD505E" w:rsidRDefault="006E5454" w:rsidP="004F2335">
      <w:pPr>
        <w:pStyle w:val="BodyText"/>
        <w:rPr>
          <w:szCs w:val="26"/>
        </w:rPr>
      </w:pPr>
      <w:r w:rsidRPr="00FD505E">
        <w:rPr>
          <w:szCs w:val="26"/>
        </w:rPr>
        <w:t xml:space="preserve">Ministry for the Environment. 2021a. </w:t>
      </w:r>
      <w:hyperlink r:id="rId55" w:history="1">
        <w:r w:rsidRPr="00FD505E">
          <w:rPr>
            <w:rStyle w:val="Hyperlink"/>
            <w:i/>
            <w:iCs/>
            <w:szCs w:val="26"/>
          </w:rPr>
          <w:t>Waste Minimisation Act 2008. Compliance, monitoring and enforcement strategy</w:t>
        </w:r>
      </w:hyperlink>
      <w:r w:rsidRPr="00FD505E">
        <w:rPr>
          <w:i/>
          <w:iCs/>
          <w:szCs w:val="26"/>
        </w:rPr>
        <w:t>.</w:t>
      </w:r>
      <w:r w:rsidRPr="00FD505E">
        <w:rPr>
          <w:szCs w:val="26"/>
        </w:rPr>
        <w:t xml:space="preserve"> Wellington: Ministry for the Environment</w:t>
      </w:r>
      <w:r w:rsidRPr="00FD505E">
        <w:t>.</w:t>
      </w:r>
    </w:p>
    <w:p w14:paraId="5D92FD3B" w14:textId="6FFE8F2E" w:rsidR="006E5454" w:rsidRPr="00FD505E" w:rsidRDefault="006E5454" w:rsidP="004F2335">
      <w:pPr>
        <w:pStyle w:val="BodyText"/>
      </w:pPr>
      <w:r w:rsidRPr="00FD505E">
        <w:t xml:space="preserve">Ministry for the Environment. 2021b. </w:t>
      </w:r>
      <w:hyperlink r:id="rId56" w:history="1">
        <w:r w:rsidR="006F6C74" w:rsidRPr="00FD505E">
          <w:rPr>
            <w:rStyle w:val="Hyperlink"/>
            <w:i/>
            <w:iCs/>
          </w:rPr>
          <w:t xml:space="preserve">Waste Minimisation Act 2008. </w:t>
        </w:r>
        <w:r w:rsidRPr="00FD505E">
          <w:rPr>
            <w:rStyle w:val="Hyperlink"/>
            <w:i/>
          </w:rPr>
          <w:t>Enforcement decision-making policy</w:t>
        </w:r>
      </w:hyperlink>
      <w:r w:rsidRPr="00FD505E">
        <w:rPr>
          <w:i/>
        </w:rPr>
        <w:t>.</w:t>
      </w:r>
      <w:r w:rsidRPr="00FD505E">
        <w:t xml:space="preserve"> Wellington: Ministry for the Environment.</w:t>
      </w:r>
    </w:p>
    <w:p w14:paraId="6B09ACED" w14:textId="4B309795" w:rsidR="006E5454" w:rsidRPr="00FD505E" w:rsidRDefault="006E5454" w:rsidP="004F2335">
      <w:pPr>
        <w:pStyle w:val="BodyText"/>
      </w:pPr>
      <w:r w:rsidRPr="00FD505E">
        <w:t xml:space="preserve">Ministry for the Environment. 2021c. </w:t>
      </w:r>
      <w:hyperlink r:id="rId57" w:history="1">
        <w:r w:rsidRPr="00FD505E">
          <w:rPr>
            <w:rStyle w:val="Hyperlink"/>
            <w:i/>
          </w:rPr>
          <w:t>Waste Minimisation Act 2008. Prosecutions policy</w:t>
        </w:r>
      </w:hyperlink>
      <w:r w:rsidRPr="00FD505E">
        <w:rPr>
          <w:i/>
        </w:rPr>
        <w:t>.</w:t>
      </w:r>
      <w:r w:rsidRPr="00FD505E">
        <w:t xml:space="preserve"> Wellington: Ministry for the Environment.</w:t>
      </w:r>
    </w:p>
    <w:p w14:paraId="6D3C00E6" w14:textId="69C78541" w:rsidR="006E5454" w:rsidRPr="00FD505E" w:rsidRDefault="006E5454" w:rsidP="004F2335">
      <w:pPr>
        <w:pStyle w:val="BodyText"/>
      </w:pPr>
      <w:r w:rsidRPr="00FD505E">
        <w:lastRenderedPageBreak/>
        <w:t xml:space="preserve">Ministry for the Environment. 2021d. </w:t>
      </w:r>
      <w:hyperlink r:id="rId58" w:history="1">
        <w:r w:rsidRPr="00FD505E">
          <w:rPr>
            <w:rStyle w:val="Hyperlink"/>
            <w:i/>
          </w:rPr>
          <w:t>Waste Minimisation Act regulatory performance monitoring framework.</w:t>
        </w:r>
        <w:r w:rsidRPr="00FD505E">
          <w:rPr>
            <w:rStyle w:val="Hyperlink"/>
          </w:rPr>
          <w:t xml:space="preserve"> </w:t>
        </w:r>
        <w:r w:rsidRPr="00FD505E">
          <w:rPr>
            <w:rStyle w:val="Hyperlink"/>
            <w:i/>
          </w:rPr>
          <w:t>Inaugural report 2020/21</w:t>
        </w:r>
      </w:hyperlink>
      <w:r w:rsidRPr="00FD505E">
        <w:rPr>
          <w:i/>
        </w:rPr>
        <w:t xml:space="preserve">. </w:t>
      </w:r>
      <w:r w:rsidRPr="00FD505E">
        <w:t>Wellington: Ministry for the Environment.</w:t>
      </w:r>
    </w:p>
    <w:p w14:paraId="31FB5AB0" w14:textId="25159D75" w:rsidR="006E5454" w:rsidRPr="00FD505E" w:rsidRDefault="006E5454" w:rsidP="004F2335">
      <w:pPr>
        <w:pStyle w:val="BodyText"/>
        <w:rPr>
          <w:szCs w:val="26"/>
        </w:rPr>
      </w:pPr>
      <w:r w:rsidRPr="00FD505E">
        <w:rPr>
          <w:szCs w:val="26"/>
        </w:rPr>
        <w:t xml:space="preserve">Ministry for the Environment. 2021e. </w:t>
      </w:r>
      <w:hyperlink r:id="rId59" w:history="1">
        <w:r w:rsidRPr="00FD505E">
          <w:rPr>
            <w:rStyle w:val="Hyperlink"/>
            <w:i/>
            <w:iCs/>
            <w:szCs w:val="26"/>
          </w:rPr>
          <w:t>National Plastics Action Plan for Aotearoa New Zealand</w:t>
        </w:r>
      </w:hyperlink>
      <w:r w:rsidRPr="00FD505E">
        <w:rPr>
          <w:i/>
          <w:iCs/>
          <w:szCs w:val="26"/>
        </w:rPr>
        <w:t>.</w:t>
      </w:r>
      <w:r w:rsidRPr="00FD505E">
        <w:rPr>
          <w:szCs w:val="26"/>
        </w:rPr>
        <w:t xml:space="preserve"> Wellington: Ministry for the Environment.</w:t>
      </w:r>
    </w:p>
    <w:p w14:paraId="12D2D168" w14:textId="63BD30E0" w:rsidR="006E5454" w:rsidRPr="00FD505E" w:rsidRDefault="006E5454" w:rsidP="004F2335">
      <w:pPr>
        <w:pStyle w:val="BodyText"/>
      </w:pPr>
      <w:r w:rsidRPr="00FD505E">
        <w:t xml:space="preserve">Ministry for the Environment. 2022a. </w:t>
      </w:r>
      <w:hyperlink r:id="rId60" w:history="1">
        <w:r w:rsidRPr="00FD505E">
          <w:rPr>
            <w:rStyle w:val="Hyperlink"/>
            <w:i/>
          </w:rPr>
          <w:t>Regulatory performance monitoring framework report 2021/22.</w:t>
        </w:r>
        <w:r w:rsidRPr="00FD505E">
          <w:rPr>
            <w:rStyle w:val="Hyperlink"/>
          </w:rPr>
          <w:t xml:space="preserve"> </w:t>
        </w:r>
        <w:r w:rsidRPr="00FD505E">
          <w:rPr>
            <w:rStyle w:val="Hyperlink"/>
            <w:i/>
          </w:rPr>
          <w:t>Waste Minimisation Act 2008</w:t>
        </w:r>
      </w:hyperlink>
      <w:r w:rsidRPr="00FD505E">
        <w:rPr>
          <w:i/>
        </w:rPr>
        <w:t xml:space="preserve">. </w:t>
      </w:r>
      <w:r w:rsidRPr="00FD505E">
        <w:t>Wellington: Ministry for the Environment.</w:t>
      </w:r>
    </w:p>
    <w:p w14:paraId="3CB8307D" w14:textId="5508EA97" w:rsidR="006E5454" w:rsidRPr="00FD505E" w:rsidRDefault="006E5454" w:rsidP="004F2335">
      <w:pPr>
        <w:pStyle w:val="BodyText"/>
        <w:rPr>
          <w:szCs w:val="26"/>
        </w:rPr>
      </w:pPr>
      <w:r w:rsidRPr="00FD505E">
        <w:rPr>
          <w:szCs w:val="26"/>
        </w:rPr>
        <w:t xml:space="preserve">Ministry for the Environment. 2022b. </w:t>
      </w:r>
      <w:hyperlink r:id="rId61" w:history="1">
        <w:r w:rsidRPr="00FD505E">
          <w:rPr>
            <w:rStyle w:val="Hyperlink"/>
            <w:i/>
            <w:iCs/>
            <w:szCs w:val="26"/>
          </w:rPr>
          <w:t>Transforming recycling: Consultation document</w:t>
        </w:r>
      </w:hyperlink>
      <w:r w:rsidRPr="00FD505E">
        <w:rPr>
          <w:i/>
          <w:iCs/>
          <w:szCs w:val="26"/>
        </w:rPr>
        <w:t>.</w:t>
      </w:r>
      <w:r w:rsidRPr="00FD505E">
        <w:rPr>
          <w:szCs w:val="26"/>
        </w:rPr>
        <w:t xml:space="preserve"> Wellington: Ministry for the Environment.</w:t>
      </w:r>
    </w:p>
    <w:p w14:paraId="0128FD9C" w14:textId="19D07048" w:rsidR="006E5454" w:rsidRPr="00FD505E" w:rsidRDefault="006E5454" w:rsidP="004F2335">
      <w:pPr>
        <w:pStyle w:val="BodyText"/>
        <w:rPr>
          <w:szCs w:val="26"/>
        </w:rPr>
      </w:pPr>
      <w:r w:rsidRPr="00FD505E">
        <w:rPr>
          <w:szCs w:val="26"/>
        </w:rPr>
        <w:t xml:space="preserve">Ministry for the Environment. 2023a. </w:t>
      </w:r>
      <w:hyperlink r:id="rId62" w:history="1">
        <w:r w:rsidRPr="003C7F57">
          <w:rPr>
            <w:rStyle w:val="Hyperlink"/>
            <w:i/>
            <w:iCs/>
            <w:szCs w:val="26"/>
          </w:rPr>
          <w:t>Waste Investment Panel</w:t>
        </w:r>
        <w:r w:rsidRPr="00FD505E">
          <w:rPr>
            <w:rStyle w:val="Hyperlink"/>
            <w:szCs w:val="26"/>
          </w:rPr>
          <w:t>.</w:t>
        </w:r>
      </w:hyperlink>
      <w:r w:rsidRPr="00FD505E">
        <w:rPr>
          <w:szCs w:val="26"/>
        </w:rPr>
        <w:t xml:space="preserve"> Retrieved </w:t>
      </w:r>
      <w:r w:rsidR="00373619" w:rsidRPr="00FD505E">
        <w:rPr>
          <w:szCs w:val="26"/>
        </w:rPr>
        <w:t>15 December 2023</w:t>
      </w:r>
      <w:r w:rsidRPr="00FD505E">
        <w:rPr>
          <w:szCs w:val="26"/>
        </w:rPr>
        <w:t>.</w:t>
      </w:r>
    </w:p>
    <w:p w14:paraId="1C96071E" w14:textId="3E604AA2" w:rsidR="006E5454" w:rsidRPr="00FD505E" w:rsidRDefault="006E5454" w:rsidP="004F2335">
      <w:pPr>
        <w:pStyle w:val="BodyText"/>
        <w:rPr>
          <w:szCs w:val="26"/>
        </w:rPr>
      </w:pPr>
      <w:r w:rsidRPr="00FD505E">
        <w:rPr>
          <w:szCs w:val="26"/>
        </w:rPr>
        <w:t xml:space="preserve">Ministry for the Environment. 2023b. </w:t>
      </w:r>
      <w:hyperlink r:id="rId63" w:history="1">
        <w:r w:rsidRPr="00FD505E">
          <w:rPr>
            <w:rStyle w:val="Hyperlink"/>
            <w:i/>
            <w:iCs/>
            <w:szCs w:val="26"/>
          </w:rPr>
          <w:t>Improving household recycling and food scrap collections</w:t>
        </w:r>
      </w:hyperlink>
      <w:r w:rsidRPr="00FD505E">
        <w:rPr>
          <w:i/>
          <w:iCs/>
          <w:szCs w:val="26"/>
        </w:rPr>
        <w:t>.</w:t>
      </w:r>
      <w:r w:rsidRPr="00FD505E">
        <w:rPr>
          <w:szCs w:val="26"/>
        </w:rPr>
        <w:t xml:space="preserve"> Retrieved </w:t>
      </w:r>
      <w:r w:rsidR="00FB3669" w:rsidRPr="00FD505E">
        <w:rPr>
          <w:szCs w:val="26"/>
        </w:rPr>
        <w:t>15 December 2023</w:t>
      </w:r>
      <w:r w:rsidRPr="00FD505E">
        <w:rPr>
          <w:szCs w:val="26"/>
        </w:rPr>
        <w:t>.</w:t>
      </w:r>
    </w:p>
    <w:p w14:paraId="7F907ECE" w14:textId="6EB14D0F" w:rsidR="00B8155C" w:rsidRPr="000A4F43" w:rsidRDefault="00B8155C" w:rsidP="004F2335">
      <w:pPr>
        <w:pStyle w:val="BodyText"/>
        <w:rPr>
          <w:szCs w:val="26"/>
        </w:rPr>
      </w:pPr>
      <w:r>
        <w:rPr>
          <w:szCs w:val="26"/>
        </w:rPr>
        <w:t xml:space="preserve">Ministry for the Environment. 2023c. </w:t>
      </w:r>
      <w:hyperlink r:id="rId64" w:history="1">
        <w:r w:rsidR="006232AC" w:rsidRPr="000A4F43">
          <w:rPr>
            <w:rStyle w:val="Hyperlink"/>
            <w:i/>
            <w:iCs/>
            <w:szCs w:val="26"/>
          </w:rPr>
          <w:t>Research into attitudes to waste and recycling</w:t>
        </w:r>
      </w:hyperlink>
      <w:r w:rsidR="000A4F43">
        <w:rPr>
          <w:rStyle w:val="Hyperlink"/>
          <w:i/>
          <w:iCs/>
        </w:rPr>
        <w:t xml:space="preserve">. </w:t>
      </w:r>
      <w:r w:rsidR="000A4F43" w:rsidRPr="000A4F43">
        <w:rPr>
          <w:szCs w:val="26"/>
        </w:rPr>
        <w:t>Retrieved 15 December 2023.</w:t>
      </w:r>
    </w:p>
    <w:p w14:paraId="6B6C6CAB" w14:textId="3E1F9B2F" w:rsidR="006E5454" w:rsidRDefault="006E5454" w:rsidP="004F2335">
      <w:pPr>
        <w:pStyle w:val="BodyText"/>
        <w:rPr>
          <w:szCs w:val="26"/>
        </w:rPr>
      </w:pPr>
      <w:r w:rsidRPr="00FD505E">
        <w:rPr>
          <w:szCs w:val="26"/>
        </w:rPr>
        <w:t xml:space="preserve">Ministry for the Environment. </w:t>
      </w:r>
      <w:r w:rsidR="00CE6F6A" w:rsidRPr="00FD505E">
        <w:rPr>
          <w:szCs w:val="26"/>
        </w:rPr>
        <w:t>2023</w:t>
      </w:r>
      <w:r w:rsidR="00CE6F6A">
        <w:rPr>
          <w:szCs w:val="26"/>
        </w:rPr>
        <w:t>d</w:t>
      </w:r>
      <w:r w:rsidRPr="00FD505E">
        <w:rPr>
          <w:szCs w:val="26"/>
        </w:rPr>
        <w:t xml:space="preserve">. </w:t>
      </w:r>
      <w:hyperlink r:id="rId65" w:history="1">
        <w:r w:rsidRPr="00957FEF">
          <w:rPr>
            <w:rStyle w:val="Hyperlink"/>
            <w:i/>
            <w:iCs/>
            <w:szCs w:val="26"/>
          </w:rPr>
          <w:t>Regulated product stewardship</w:t>
        </w:r>
      </w:hyperlink>
      <w:r w:rsidRPr="00FD505E">
        <w:rPr>
          <w:szCs w:val="26"/>
        </w:rPr>
        <w:t xml:space="preserve">. Retrieved </w:t>
      </w:r>
      <w:r w:rsidR="00D42654">
        <w:rPr>
          <w:szCs w:val="26"/>
        </w:rPr>
        <w:t>15 December 2023</w:t>
      </w:r>
      <w:r w:rsidRPr="00FD505E">
        <w:rPr>
          <w:szCs w:val="26"/>
        </w:rPr>
        <w:t xml:space="preserve">. </w:t>
      </w:r>
    </w:p>
    <w:p w14:paraId="28293715" w14:textId="5E02DC9E" w:rsidR="006E5454" w:rsidRPr="00FD505E" w:rsidRDefault="006E5454" w:rsidP="004F2335">
      <w:pPr>
        <w:pStyle w:val="BodyText"/>
        <w:rPr>
          <w:szCs w:val="26"/>
        </w:rPr>
      </w:pPr>
      <w:r w:rsidRPr="00FD505E">
        <w:t xml:space="preserve">Ministry of Business, Innovation &amp; Employment. </w:t>
      </w:r>
      <w:r w:rsidR="00860F40" w:rsidRPr="00FD505E">
        <w:t>202</w:t>
      </w:r>
      <w:r w:rsidR="00860F40">
        <w:t>0</w:t>
      </w:r>
      <w:r w:rsidRPr="00FD505E">
        <w:t xml:space="preserve">. </w:t>
      </w:r>
      <w:hyperlink r:id="rId66" w:history="1">
        <w:r w:rsidRPr="00FD505E">
          <w:rPr>
            <w:rStyle w:val="Hyperlink"/>
            <w:i/>
            <w:iCs/>
          </w:rPr>
          <w:t xml:space="preserve">Energy in New Zealand </w:t>
        </w:r>
        <w:r w:rsidR="00D24A35">
          <w:rPr>
            <w:rStyle w:val="Hyperlink"/>
            <w:i/>
            <w:iCs/>
          </w:rPr>
          <w:t>20</w:t>
        </w:r>
        <w:r w:rsidR="00D24A35" w:rsidRPr="00FD505E">
          <w:rPr>
            <w:rStyle w:val="Hyperlink"/>
            <w:i/>
            <w:iCs/>
          </w:rPr>
          <w:t xml:space="preserve"> </w:t>
        </w:r>
        <w:r w:rsidR="00D40AB3" w:rsidRPr="00FD505E">
          <w:rPr>
            <w:rStyle w:val="Hyperlink"/>
            <w:i/>
            <w:iCs/>
          </w:rPr>
          <w:t xml:space="preserve">– </w:t>
        </w:r>
        <w:r w:rsidR="00D24A35" w:rsidRPr="00FD505E">
          <w:rPr>
            <w:rStyle w:val="Hyperlink"/>
            <w:i/>
            <w:iCs/>
          </w:rPr>
          <w:t>20</w:t>
        </w:r>
        <w:r w:rsidR="00D24A35">
          <w:rPr>
            <w:rStyle w:val="Hyperlink"/>
            <w:i/>
            <w:iCs/>
          </w:rPr>
          <w:t>19</w:t>
        </w:r>
        <w:r w:rsidR="00D24A35" w:rsidRPr="00FD505E">
          <w:rPr>
            <w:rStyle w:val="Hyperlink"/>
            <w:i/>
            <w:iCs/>
          </w:rPr>
          <w:t xml:space="preserve"> </w:t>
        </w:r>
        <w:r w:rsidR="00D40AB3" w:rsidRPr="00FD505E">
          <w:rPr>
            <w:rStyle w:val="Hyperlink"/>
            <w:i/>
            <w:iCs/>
          </w:rPr>
          <w:t>Calendar Year Edition. Comprehensive information on and analysis of New Zealand’s energy supply</w:t>
        </w:r>
        <w:r w:rsidR="009846A1">
          <w:rPr>
            <w:rStyle w:val="Hyperlink"/>
            <w:i/>
            <w:iCs/>
          </w:rPr>
          <w:t>,</w:t>
        </w:r>
        <w:r w:rsidR="00D40AB3" w:rsidRPr="00FD505E">
          <w:rPr>
            <w:rStyle w:val="Hyperlink"/>
            <w:i/>
            <w:iCs/>
          </w:rPr>
          <w:t xml:space="preserve"> demand</w:t>
        </w:r>
      </w:hyperlink>
      <w:r w:rsidR="009846A1">
        <w:rPr>
          <w:i/>
          <w:iCs/>
        </w:rPr>
        <w:t xml:space="preserve"> and prices</w:t>
      </w:r>
      <w:r w:rsidRPr="00FD505E">
        <w:rPr>
          <w:i/>
          <w:iCs/>
        </w:rPr>
        <w:t xml:space="preserve">. </w:t>
      </w:r>
      <w:r w:rsidRPr="00FD505E">
        <w:t xml:space="preserve">Wellington: Ministry of Business, Innovation &amp; Employment. </w:t>
      </w:r>
    </w:p>
    <w:p w14:paraId="5032DDEB" w14:textId="3384FF9F" w:rsidR="006E5454" w:rsidRPr="00FD505E" w:rsidRDefault="006E5454" w:rsidP="004F2335">
      <w:pPr>
        <w:pStyle w:val="BodyText"/>
        <w:rPr>
          <w:szCs w:val="26"/>
        </w:rPr>
      </w:pPr>
      <w:r w:rsidRPr="00FD505E">
        <w:rPr>
          <w:szCs w:val="26"/>
        </w:rPr>
        <w:t xml:space="preserve">OECD. 2022. </w:t>
      </w:r>
      <w:hyperlink r:id="rId67" w:history="1">
        <w:r w:rsidRPr="00FD505E">
          <w:rPr>
            <w:rStyle w:val="Hyperlink"/>
            <w:szCs w:val="26"/>
          </w:rPr>
          <w:t>The effects of the COVID</w:t>
        </w:r>
        <w:r w:rsidRPr="00FD505E">
          <w:rPr>
            <w:rStyle w:val="Hyperlink"/>
            <w:szCs w:val="26"/>
          </w:rPr>
          <w:noBreakHyphen/>
          <w:t>19 pandemic on plastics use and waste</w:t>
        </w:r>
      </w:hyperlink>
      <w:r w:rsidR="00E87033" w:rsidRPr="00FD505E">
        <w:rPr>
          <w:szCs w:val="26"/>
        </w:rPr>
        <w:t>.</w:t>
      </w:r>
      <w:r w:rsidRPr="00FD505E">
        <w:rPr>
          <w:szCs w:val="26"/>
        </w:rPr>
        <w:t xml:space="preserve"> </w:t>
      </w:r>
      <w:r w:rsidR="00886A29" w:rsidRPr="00FD505E">
        <w:rPr>
          <w:szCs w:val="26"/>
        </w:rPr>
        <w:t xml:space="preserve">In: </w:t>
      </w:r>
      <w:r w:rsidRPr="00FD505E">
        <w:rPr>
          <w:i/>
          <w:iCs/>
          <w:szCs w:val="26"/>
        </w:rPr>
        <w:t>Global Plastics Outlook: Economic Drivers, Environmental Impacts and Policy Options</w:t>
      </w:r>
      <w:r w:rsidR="0035569B" w:rsidRPr="00FD505E">
        <w:rPr>
          <w:szCs w:val="26"/>
        </w:rPr>
        <w:t>. Paris:</w:t>
      </w:r>
      <w:r w:rsidRPr="00FD505E">
        <w:rPr>
          <w:szCs w:val="26"/>
        </w:rPr>
        <w:t xml:space="preserve"> OECD Publishing</w:t>
      </w:r>
      <w:r w:rsidR="00886A29" w:rsidRPr="00FD505E">
        <w:rPr>
          <w:szCs w:val="26"/>
        </w:rPr>
        <w:t>.</w:t>
      </w:r>
    </w:p>
    <w:p w14:paraId="4A78708A" w14:textId="104F460A" w:rsidR="006E5454" w:rsidRPr="00FD505E" w:rsidRDefault="006E5454" w:rsidP="004F2335">
      <w:pPr>
        <w:pStyle w:val="BodyText"/>
        <w:rPr>
          <w:szCs w:val="26"/>
        </w:rPr>
      </w:pPr>
      <w:r w:rsidRPr="00FD505E">
        <w:rPr>
          <w:szCs w:val="26"/>
        </w:rPr>
        <w:t xml:space="preserve">Rabobank. </w:t>
      </w:r>
      <w:hyperlink r:id="rId68" w:history="1">
        <w:proofErr w:type="spellStart"/>
        <w:r w:rsidRPr="007002E3">
          <w:rPr>
            <w:rStyle w:val="Hyperlink"/>
            <w:i/>
            <w:iCs/>
            <w:szCs w:val="26"/>
          </w:rPr>
          <w:t>Foodwaste</w:t>
        </w:r>
        <w:proofErr w:type="spellEnd"/>
      </w:hyperlink>
      <w:r w:rsidRPr="00FD505E">
        <w:rPr>
          <w:szCs w:val="26"/>
        </w:rPr>
        <w:t xml:space="preserve">. Retrieved </w:t>
      </w:r>
      <w:r w:rsidR="008655F3" w:rsidRPr="00FD505E">
        <w:rPr>
          <w:szCs w:val="26"/>
        </w:rPr>
        <w:t>15 December 2023</w:t>
      </w:r>
      <w:r w:rsidRPr="00FD505E">
        <w:rPr>
          <w:szCs w:val="26"/>
        </w:rPr>
        <w:t xml:space="preserve">. </w:t>
      </w:r>
    </w:p>
    <w:p w14:paraId="098234C1" w14:textId="3853D1EB" w:rsidR="006E5454" w:rsidRPr="00FD505E" w:rsidRDefault="006E5454" w:rsidP="004F2335">
      <w:pPr>
        <w:pStyle w:val="BodyText"/>
        <w:rPr>
          <w:szCs w:val="26"/>
        </w:rPr>
      </w:pPr>
      <w:proofErr w:type="spellStart"/>
      <w:r w:rsidRPr="00FD505E">
        <w:rPr>
          <w:szCs w:val="26"/>
        </w:rPr>
        <w:t>WasteMINZ</w:t>
      </w:r>
      <w:proofErr w:type="spellEnd"/>
      <w:r w:rsidRPr="00FD505E">
        <w:rPr>
          <w:szCs w:val="26"/>
        </w:rPr>
        <w:t xml:space="preserve">. 2018. </w:t>
      </w:r>
      <w:hyperlink r:id="rId69" w:history="1">
        <w:r w:rsidRPr="00FD505E">
          <w:rPr>
            <w:rStyle w:val="Hyperlink"/>
            <w:i/>
            <w:iCs/>
            <w:szCs w:val="26"/>
          </w:rPr>
          <w:t xml:space="preserve">Love </w:t>
        </w:r>
        <w:r w:rsidR="00A57998" w:rsidRPr="00FD505E">
          <w:rPr>
            <w:rStyle w:val="Hyperlink"/>
            <w:i/>
            <w:iCs/>
            <w:szCs w:val="26"/>
          </w:rPr>
          <w:t>F</w:t>
        </w:r>
        <w:r w:rsidRPr="00FD505E">
          <w:rPr>
            <w:rStyle w:val="Hyperlink"/>
            <w:i/>
            <w:iCs/>
            <w:szCs w:val="26"/>
          </w:rPr>
          <w:t xml:space="preserve">ood </w:t>
        </w:r>
        <w:r w:rsidR="00A57998" w:rsidRPr="00FD505E">
          <w:rPr>
            <w:rStyle w:val="Hyperlink"/>
            <w:i/>
            <w:iCs/>
            <w:szCs w:val="26"/>
          </w:rPr>
          <w:t>H</w:t>
        </w:r>
        <w:r w:rsidRPr="00FD505E">
          <w:rPr>
            <w:rStyle w:val="Hyperlink"/>
            <w:i/>
            <w:iCs/>
            <w:szCs w:val="26"/>
          </w:rPr>
          <w:t xml:space="preserve">ate </w:t>
        </w:r>
        <w:r w:rsidR="00A57998" w:rsidRPr="00FD505E">
          <w:rPr>
            <w:rStyle w:val="Hyperlink"/>
            <w:i/>
            <w:iCs/>
            <w:szCs w:val="26"/>
          </w:rPr>
          <w:t>W</w:t>
        </w:r>
        <w:r w:rsidRPr="00FD505E">
          <w:rPr>
            <w:rStyle w:val="Hyperlink"/>
            <w:i/>
            <w:iCs/>
            <w:szCs w:val="26"/>
          </w:rPr>
          <w:t xml:space="preserve">aste </w:t>
        </w:r>
        <w:r w:rsidR="00A57998" w:rsidRPr="00FD505E">
          <w:rPr>
            <w:rStyle w:val="Hyperlink"/>
            <w:i/>
            <w:iCs/>
            <w:szCs w:val="26"/>
          </w:rPr>
          <w:t>C</w:t>
        </w:r>
        <w:r w:rsidRPr="00FD505E">
          <w:rPr>
            <w:rStyle w:val="Hyperlink"/>
            <w:i/>
            <w:iCs/>
            <w:szCs w:val="26"/>
          </w:rPr>
          <w:t xml:space="preserve">ampaign </w:t>
        </w:r>
        <w:r w:rsidR="00A57998" w:rsidRPr="00FD505E">
          <w:rPr>
            <w:rStyle w:val="Hyperlink"/>
            <w:i/>
            <w:iCs/>
            <w:szCs w:val="26"/>
          </w:rPr>
          <w:t>E</w:t>
        </w:r>
        <w:r w:rsidRPr="00FD505E">
          <w:rPr>
            <w:rStyle w:val="Hyperlink"/>
            <w:i/>
            <w:iCs/>
            <w:szCs w:val="26"/>
          </w:rPr>
          <w:t>valuation. National Report October 2018</w:t>
        </w:r>
      </w:hyperlink>
      <w:r w:rsidRPr="00FD505E">
        <w:rPr>
          <w:i/>
          <w:iCs/>
          <w:szCs w:val="26"/>
        </w:rPr>
        <w:t xml:space="preserve">. </w:t>
      </w:r>
      <w:r w:rsidRPr="00FD505E">
        <w:rPr>
          <w:szCs w:val="26"/>
        </w:rPr>
        <w:t xml:space="preserve">Auckland: </w:t>
      </w:r>
      <w:proofErr w:type="spellStart"/>
      <w:r w:rsidRPr="00FD505E">
        <w:rPr>
          <w:szCs w:val="26"/>
        </w:rPr>
        <w:t>WasteMINZ</w:t>
      </w:r>
      <w:proofErr w:type="spellEnd"/>
      <w:r w:rsidRPr="00FD505E">
        <w:rPr>
          <w:szCs w:val="26"/>
        </w:rPr>
        <w:t xml:space="preserve">. </w:t>
      </w:r>
    </w:p>
    <w:p w14:paraId="632E82B0" w14:textId="263BE5AA" w:rsidR="006E5454" w:rsidRPr="00FD505E" w:rsidRDefault="006E5454" w:rsidP="004F2335">
      <w:pPr>
        <w:pStyle w:val="BodyText"/>
        <w:rPr>
          <w:szCs w:val="26"/>
        </w:rPr>
      </w:pPr>
      <w:proofErr w:type="spellStart"/>
      <w:r w:rsidRPr="00FD505E">
        <w:rPr>
          <w:szCs w:val="26"/>
        </w:rPr>
        <w:t>WasteMINZ</w:t>
      </w:r>
      <w:proofErr w:type="spellEnd"/>
      <w:r w:rsidRPr="00FD505E">
        <w:rPr>
          <w:szCs w:val="26"/>
        </w:rPr>
        <w:t xml:space="preserve">. 2020. </w:t>
      </w:r>
      <w:hyperlink r:id="rId70" w:history="1">
        <w:r w:rsidRPr="00FD505E">
          <w:rPr>
            <w:rStyle w:val="Hyperlink"/>
            <w:i/>
            <w:iCs/>
            <w:szCs w:val="26"/>
          </w:rPr>
          <w:t>Recommendations for standardisation of kerbside collections in Aotearoa</w:t>
        </w:r>
      </w:hyperlink>
      <w:r w:rsidRPr="00FD505E">
        <w:rPr>
          <w:i/>
          <w:iCs/>
          <w:szCs w:val="26"/>
        </w:rPr>
        <w:t xml:space="preserve">. </w:t>
      </w:r>
      <w:r w:rsidRPr="00FD505E">
        <w:rPr>
          <w:szCs w:val="26"/>
        </w:rPr>
        <w:t>Prepared for the Ministry for the Environment</w:t>
      </w:r>
      <w:r w:rsidR="0023083B" w:rsidRPr="00FD505E">
        <w:rPr>
          <w:szCs w:val="26"/>
        </w:rPr>
        <w:t xml:space="preserve"> by </w:t>
      </w:r>
      <w:proofErr w:type="spellStart"/>
      <w:r w:rsidR="0023083B" w:rsidRPr="00FD505E">
        <w:rPr>
          <w:szCs w:val="26"/>
        </w:rPr>
        <w:t>WasteMINZ</w:t>
      </w:r>
      <w:proofErr w:type="spellEnd"/>
      <w:r w:rsidRPr="00FD505E">
        <w:rPr>
          <w:szCs w:val="26"/>
        </w:rPr>
        <w:t>.</w:t>
      </w:r>
    </w:p>
    <w:p w14:paraId="0A588B15" w14:textId="1E6C0F0D" w:rsidR="006E5454" w:rsidRDefault="006E5454" w:rsidP="004F2335">
      <w:pPr>
        <w:pStyle w:val="BodyText"/>
      </w:pPr>
      <w:r w:rsidRPr="00FD505E">
        <w:t>Wilcox J</w:t>
      </w:r>
      <w:r w:rsidR="008D27C5" w:rsidRPr="00FD505E">
        <w:t>,</w:t>
      </w:r>
      <w:r w:rsidRPr="00FD505E">
        <w:t xml:space="preserve"> Mackenzie J. 2021. </w:t>
      </w:r>
      <w:hyperlink r:id="rId71" w:history="1">
        <w:r w:rsidRPr="00FD505E">
          <w:rPr>
            <w:rStyle w:val="Hyperlink"/>
            <w:i/>
            <w:iCs/>
          </w:rPr>
          <w:t xml:space="preserve">What </w:t>
        </w:r>
        <w:r w:rsidR="007A62DA" w:rsidRPr="00FD505E">
          <w:rPr>
            <w:rStyle w:val="Hyperlink"/>
            <w:i/>
            <w:iCs/>
          </w:rPr>
          <w:t>w</w:t>
        </w:r>
        <w:r w:rsidRPr="00FD505E">
          <w:rPr>
            <w:rStyle w:val="Hyperlink"/>
            <w:i/>
            <w:iCs/>
          </w:rPr>
          <w:t xml:space="preserve">e </w:t>
        </w:r>
        <w:r w:rsidR="007A62DA" w:rsidRPr="00FD505E">
          <w:rPr>
            <w:rStyle w:val="Hyperlink"/>
            <w:i/>
            <w:iCs/>
          </w:rPr>
          <w:t>w</w:t>
        </w:r>
        <w:r w:rsidRPr="00FD505E">
          <w:rPr>
            <w:rStyle w:val="Hyperlink"/>
            <w:i/>
            <w:iCs/>
          </w:rPr>
          <w:t xml:space="preserve">aste: Tracking 20 years of growth in international drinks container wastage, and how </w:t>
        </w:r>
        <w:proofErr w:type="spellStart"/>
        <w:r w:rsidRPr="00FD505E">
          <w:rPr>
            <w:rStyle w:val="Hyperlink"/>
            <w:i/>
            <w:iCs/>
          </w:rPr>
          <w:t>refillables</w:t>
        </w:r>
        <w:proofErr w:type="spellEnd"/>
        <w:r w:rsidRPr="00FD505E">
          <w:rPr>
            <w:rStyle w:val="Hyperlink"/>
            <w:i/>
            <w:iCs/>
          </w:rPr>
          <w:t xml:space="preserve"> and deposit return systems can reverse this trend</w:t>
        </w:r>
      </w:hyperlink>
      <w:r w:rsidRPr="00FD505E">
        <w:t>. Brussels: Reloop.</w:t>
      </w:r>
      <w:r>
        <w:t xml:space="preserve"> </w:t>
      </w:r>
    </w:p>
    <w:bookmarkEnd w:id="3"/>
    <w:p w14:paraId="2AA7EEBD" w14:textId="77777777" w:rsidR="006E5454" w:rsidRDefault="006E5454" w:rsidP="006E5454">
      <w:pPr>
        <w:pStyle w:val="Bullet"/>
        <w:numPr>
          <w:ilvl w:val="0"/>
          <w:numId w:val="0"/>
        </w:numPr>
        <w:ind w:left="397" w:hanging="397"/>
      </w:pPr>
    </w:p>
    <w:sectPr w:rsidR="006E5454" w:rsidSect="00843700">
      <w:footerReference w:type="even" r:id="rId72"/>
      <w:footerReference w:type="default" r:id="rId7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8D6C9" w14:textId="77777777" w:rsidR="008870A9" w:rsidRDefault="008870A9" w:rsidP="0080531E">
      <w:pPr>
        <w:spacing w:before="0" w:after="0" w:line="240" w:lineRule="auto"/>
      </w:pPr>
      <w:r>
        <w:separator/>
      </w:r>
    </w:p>
    <w:p w14:paraId="5D14C192" w14:textId="77777777" w:rsidR="008870A9" w:rsidRDefault="008870A9"/>
  </w:endnote>
  <w:endnote w:type="continuationSeparator" w:id="0">
    <w:p w14:paraId="0991B1FA" w14:textId="77777777" w:rsidR="008870A9" w:rsidRDefault="008870A9" w:rsidP="0080531E">
      <w:pPr>
        <w:spacing w:before="0" w:after="0" w:line="240" w:lineRule="auto"/>
      </w:pPr>
      <w:r>
        <w:continuationSeparator/>
      </w:r>
    </w:p>
    <w:p w14:paraId="35657AE5" w14:textId="77777777" w:rsidR="008870A9" w:rsidRDefault="008870A9"/>
  </w:endnote>
  <w:endnote w:type="continuationNotice" w:id="1">
    <w:p w14:paraId="58A1B974" w14:textId="77777777" w:rsidR="008870A9" w:rsidRDefault="008870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8202B" w14:textId="77777777" w:rsidR="007958C9" w:rsidRDefault="007958C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BA048" w14:textId="725CCF0C" w:rsidR="00CA6D92" w:rsidRPr="00995948" w:rsidRDefault="00995948" w:rsidP="00995948">
    <w:pPr>
      <w:pStyle w:val="Footer"/>
      <w:jc w:val="right"/>
      <w:rPr>
        <w:sz w:val="16"/>
        <w:szCs w:val="16"/>
      </w:rPr>
    </w:pPr>
    <w:r w:rsidRPr="0090119E">
      <w:rPr>
        <w:sz w:val="16"/>
        <w:szCs w:val="16"/>
      </w:rPr>
      <w:t>Review of the effectiveness of the waste disposal levy</w:t>
    </w:r>
    <w:r w:rsidRPr="0090119E">
      <w:rPr>
        <w:sz w:val="16"/>
        <w:szCs w:val="16"/>
      </w:rPr>
      <w:tab/>
    </w:r>
    <w:r w:rsidRPr="0090119E">
      <w:rPr>
        <w:sz w:val="16"/>
        <w:szCs w:val="16"/>
      </w:rPr>
      <w:fldChar w:fldCharType="begin"/>
    </w:r>
    <w:r w:rsidRPr="0090119E">
      <w:rPr>
        <w:sz w:val="16"/>
        <w:szCs w:val="16"/>
      </w:rPr>
      <w:instrText xml:space="preserve"> PAGE   \* MERGEFORMAT </w:instrText>
    </w:r>
    <w:r w:rsidRPr="0090119E">
      <w:rPr>
        <w:sz w:val="16"/>
        <w:szCs w:val="16"/>
      </w:rPr>
      <w:fldChar w:fldCharType="separate"/>
    </w:r>
    <w:r>
      <w:rPr>
        <w:sz w:val="16"/>
        <w:szCs w:val="16"/>
      </w:rPr>
      <w:t>21</w:t>
    </w:r>
    <w:r w:rsidRPr="0090119E">
      <w:rPr>
        <w:noProof/>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93707" w14:textId="227D7BEA"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616FDE">
      <w:t>Review of the effectiveness of the waste disposal levy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F9569" w14:textId="789F6836" w:rsidR="00E453AB" w:rsidRDefault="00E5210B" w:rsidP="00CD25E1">
    <w:pPr>
      <w:pStyle w:val="Footerodd"/>
    </w:pPr>
    <w:r>
      <w:tab/>
    </w:r>
    <w:r w:rsidR="00616FDE">
      <w:t>Review of the effectiveness of the waste disposal levy</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1919F" w14:textId="720446BC"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AFF0C" w14:textId="53406126" w:rsidR="00083891" w:rsidRDefault="00000000">
    <w:pPr>
      <w:pStyle w:val="Footer"/>
      <w:jc w:val="right"/>
    </w:pPr>
    <w:sdt>
      <w:sdtPr>
        <w:id w:val="1017204797"/>
        <w:docPartObj>
          <w:docPartGallery w:val="Page Numbers (Bottom of Page)"/>
          <w:docPartUnique/>
        </w:docPartObj>
      </w:sdtPr>
      <w:sdtEndPr>
        <w:rPr>
          <w:noProof/>
        </w:rPr>
      </w:sdtEndPr>
      <w:sdtContent>
        <w:r w:rsidR="00083891">
          <w:fldChar w:fldCharType="begin"/>
        </w:r>
        <w:r w:rsidR="00083891">
          <w:instrText xml:space="preserve"> PAGE   \* MERGEFORMAT </w:instrText>
        </w:r>
        <w:r w:rsidR="00083891">
          <w:fldChar w:fldCharType="separate"/>
        </w:r>
        <w:r w:rsidR="00083891">
          <w:rPr>
            <w:noProof/>
          </w:rPr>
          <w:t>2</w:t>
        </w:r>
        <w:r w:rsidR="00083891">
          <w:rPr>
            <w:noProof/>
          </w:rPr>
          <w:fldChar w:fldCharType="end"/>
        </w:r>
      </w:sdtContent>
    </w:sdt>
  </w:p>
  <w:p w14:paraId="5A566A5B" w14:textId="77777777" w:rsidR="00CA6D92" w:rsidRDefault="00CA6D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CCB06"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FA4F9"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58947" w14:textId="1AAD62B2" w:rsidR="00616FDE" w:rsidRDefault="002D70B8" w:rsidP="00CD25E1">
    <w:pPr>
      <w:pStyle w:val="Footereven"/>
    </w:pPr>
    <w:r w:rsidRPr="004F458A">
      <w:rPr>
        <w:b/>
      </w:rPr>
      <w:fldChar w:fldCharType="begin"/>
    </w:r>
    <w:r w:rsidRPr="004F458A">
      <w:instrText xml:space="preserve"> PAGE </w:instrText>
    </w:r>
    <w:r w:rsidRPr="004F458A">
      <w:rPr>
        <w:b/>
      </w:rPr>
      <w:fldChar w:fldCharType="separate"/>
    </w:r>
    <w:r>
      <w:rPr>
        <w:b/>
      </w:rPr>
      <w:t>36</w:t>
    </w:r>
    <w:r w:rsidRPr="004F458A">
      <w:rPr>
        <w:b/>
      </w:rPr>
      <w:fldChar w:fldCharType="end"/>
    </w:r>
    <w:r>
      <w:tab/>
      <w:t>Review of the effectiveness of the waste disposal levy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6B52F" w14:textId="7A613A5A" w:rsidR="00616FDE" w:rsidRPr="002D70B8" w:rsidRDefault="0090119E" w:rsidP="002D70B8">
    <w:pPr>
      <w:pStyle w:val="Footer"/>
      <w:jc w:val="right"/>
      <w:rPr>
        <w:sz w:val="16"/>
        <w:szCs w:val="16"/>
      </w:rPr>
    </w:pPr>
    <w:r w:rsidRPr="0090119E">
      <w:rPr>
        <w:sz w:val="16"/>
        <w:szCs w:val="16"/>
      </w:rPr>
      <w:t>Review of the effectiveness of the waste disposal levy</w:t>
    </w:r>
    <w:r w:rsidRPr="0090119E">
      <w:rPr>
        <w:sz w:val="16"/>
        <w:szCs w:val="16"/>
      </w:rPr>
      <w:tab/>
    </w:r>
    <w:r w:rsidRPr="0090119E">
      <w:rPr>
        <w:sz w:val="16"/>
        <w:szCs w:val="16"/>
      </w:rPr>
      <w:fldChar w:fldCharType="begin"/>
    </w:r>
    <w:r w:rsidRPr="0090119E">
      <w:rPr>
        <w:sz w:val="16"/>
        <w:szCs w:val="16"/>
      </w:rPr>
      <w:instrText xml:space="preserve"> PAGE   \* MERGEFORMAT </w:instrText>
    </w:r>
    <w:r w:rsidRPr="0090119E">
      <w:rPr>
        <w:sz w:val="16"/>
        <w:szCs w:val="16"/>
      </w:rPr>
      <w:fldChar w:fldCharType="separate"/>
    </w:r>
    <w:r>
      <w:rPr>
        <w:sz w:val="16"/>
        <w:szCs w:val="16"/>
      </w:rPr>
      <w:t>35</w:t>
    </w:r>
    <w:r w:rsidRPr="0090119E">
      <w:rPr>
        <w:noProof/>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E6B29" w14:textId="25CC1846" w:rsidR="00616FDE" w:rsidRDefault="00995948" w:rsidP="00CD25E1">
    <w:pPr>
      <w:pStyle w:val="Footereven"/>
    </w:pPr>
    <w:r w:rsidRPr="004F458A">
      <w:rPr>
        <w:b/>
      </w:rPr>
      <w:fldChar w:fldCharType="begin"/>
    </w:r>
    <w:r w:rsidRPr="004F458A">
      <w:instrText xml:space="preserve"> PAGE </w:instrText>
    </w:r>
    <w:r w:rsidRPr="004F458A">
      <w:rPr>
        <w:b/>
      </w:rPr>
      <w:fldChar w:fldCharType="separate"/>
    </w:r>
    <w:r>
      <w:rPr>
        <w:b/>
      </w:rPr>
      <w:t>18</w:t>
    </w:r>
    <w:r w:rsidRPr="004F458A">
      <w:rPr>
        <w:b/>
      </w:rPr>
      <w:fldChar w:fldCharType="end"/>
    </w:r>
    <w:r>
      <w:tab/>
      <w:t>Review of the effectiveness of the waste disposal levy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9BA3D" w14:textId="023E25B5" w:rsidR="00616FDE" w:rsidRPr="0090119E" w:rsidRDefault="0090119E" w:rsidP="0090119E">
    <w:pPr>
      <w:pStyle w:val="Footer"/>
      <w:jc w:val="right"/>
      <w:rPr>
        <w:sz w:val="16"/>
        <w:szCs w:val="16"/>
      </w:rPr>
    </w:pPr>
    <w:r w:rsidRPr="0090119E">
      <w:rPr>
        <w:sz w:val="16"/>
        <w:szCs w:val="16"/>
      </w:rPr>
      <w:t>Review of the effectiveness of the waste disposal levy</w:t>
    </w:r>
    <w:r w:rsidRPr="0090119E">
      <w:rPr>
        <w:sz w:val="16"/>
        <w:szCs w:val="16"/>
      </w:rPr>
      <w:tab/>
    </w:r>
    <w:r w:rsidRPr="0090119E">
      <w:rPr>
        <w:sz w:val="16"/>
        <w:szCs w:val="16"/>
      </w:rPr>
      <w:fldChar w:fldCharType="begin"/>
    </w:r>
    <w:r w:rsidRPr="0090119E">
      <w:rPr>
        <w:sz w:val="16"/>
        <w:szCs w:val="16"/>
      </w:rPr>
      <w:instrText xml:space="preserve"> PAGE   \* MERGEFORMAT </w:instrText>
    </w:r>
    <w:r w:rsidRPr="0090119E">
      <w:rPr>
        <w:sz w:val="16"/>
        <w:szCs w:val="16"/>
      </w:rPr>
      <w:fldChar w:fldCharType="separate"/>
    </w:r>
    <w:r w:rsidRPr="0090119E">
      <w:rPr>
        <w:sz w:val="16"/>
        <w:szCs w:val="16"/>
      </w:rPr>
      <w:t>37</w:t>
    </w:r>
    <w:r w:rsidRPr="0090119E">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CE357" w14:textId="77777777" w:rsidR="008870A9" w:rsidRDefault="008870A9" w:rsidP="00CB5C5F">
      <w:pPr>
        <w:spacing w:before="0" w:after="80" w:line="240" w:lineRule="auto"/>
      </w:pPr>
      <w:r>
        <w:separator/>
      </w:r>
    </w:p>
  </w:footnote>
  <w:footnote w:type="continuationSeparator" w:id="0">
    <w:p w14:paraId="60ADB2F3" w14:textId="77777777" w:rsidR="008870A9" w:rsidRDefault="008870A9" w:rsidP="0080531E">
      <w:pPr>
        <w:spacing w:before="0" w:after="0" w:line="240" w:lineRule="auto"/>
      </w:pPr>
      <w:r>
        <w:continuationSeparator/>
      </w:r>
    </w:p>
    <w:p w14:paraId="02B70041" w14:textId="77777777" w:rsidR="008870A9" w:rsidRDefault="008870A9"/>
  </w:footnote>
  <w:footnote w:type="continuationNotice" w:id="1">
    <w:p w14:paraId="0233C1FA" w14:textId="77777777" w:rsidR="008870A9" w:rsidRDefault="008870A9">
      <w:pPr>
        <w:spacing w:before="0" w:after="0" w:line="240" w:lineRule="auto"/>
      </w:pPr>
    </w:p>
  </w:footnote>
  <w:footnote w:id="2">
    <w:p w14:paraId="26CBBA20" w14:textId="0205C603" w:rsidR="00616FDE" w:rsidRDefault="00616FDE" w:rsidP="00616FDE">
      <w:pPr>
        <w:pStyle w:val="FootnoteText"/>
      </w:pPr>
      <w:r>
        <w:rPr>
          <w:rStyle w:val="FootnoteReference"/>
        </w:rPr>
        <w:footnoteRef/>
      </w:r>
      <w:r>
        <w:t xml:space="preserve"> This figure includes glass recycled </w:t>
      </w:r>
      <w:r w:rsidR="00237C2E">
        <w:t>(</w:t>
      </w:r>
      <w:r>
        <w:t>into bottles</w:t>
      </w:r>
      <w:r w:rsidR="00237C2E">
        <w:t>,</w:t>
      </w:r>
      <w:r>
        <w:t xml:space="preserve"> etc </w:t>
      </w:r>
      <w:r w:rsidR="00237C2E">
        <w:t xml:space="preserve">– </w:t>
      </w:r>
      <w:r>
        <w:t>120,452 tonnes), as well as that used in aggregate (17,142 tonnes) and other uses (</w:t>
      </w:r>
      <w:r w:rsidR="003A4E51">
        <w:t xml:space="preserve">such as </w:t>
      </w:r>
      <w:r>
        <w:t>filter media, sand</w:t>
      </w:r>
      <w:r w:rsidR="003A4E51">
        <w:t xml:space="preserve"> </w:t>
      </w:r>
      <w:r>
        <w:t>– 21,012 tonnes). It is unclear if this wider range of uses is included in the figure reported in the 2018 report, which does not provide a detailed breakdown. This figure does not include flat glass (</w:t>
      </w:r>
      <w:r w:rsidR="003A55EA">
        <w:t xml:space="preserve">eg, </w:t>
      </w:r>
      <w:r>
        <w:t xml:space="preserve">from windows), for which the 2021 report estimates an additional 35,000 tonnes is collected annually. </w:t>
      </w:r>
    </w:p>
  </w:footnote>
  <w:footnote w:id="3">
    <w:p w14:paraId="70B0166B" w14:textId="7D4A3E30" w:rsidR="00616FDE" w:rsidRDefault="00616FDE" w:rsidP="00616FDE">
      <w:pPr>
        <w:pStyle w:val="FootnoteText"/>
      </w:pPr>
      <w:r>
        <w:rPr>
          <w:rStyle w:val="FootnoteReference"/>
        </w:rPr>
        <w:footnoteRef/>
      </w:r>
      <w:r>
        <w:t xml:space="preserve"> The Eunomia (2021</w:t>
      </w:r>
      <w:r w:rsidR="003A55EA">
        <w:t>, 2023</w:t>
      </w:r>
      <w:r>
        <w:t>) reports note there are some discrepancies between data commissioned during investigations into a potential container return scheme for</w:t>
      </w:r>
      <w:r w:rsidR="00A02BC8">
        <w:t xml:space="preserve"> Aotearoa</w:t>
      </w:r>
      <w:r w:rsidR="0071412A">
        <w:t xml:space="preserve"> (</w:t>
      </w:r>
      <w:r>
        <w:t xml:space="preserve">which show total glass of 278,613 tonnes for 2019 </w:t>
      </w:r>
      <w:r w:rsidR="0071412A">
        <w:t xml:space="preserve">– </w:t>
      </w:r>
      <w:r>
        <w:t>including 250,113 tonnes of beverage container glass and a further estimated 28,500 tonnes of non-container glass) and data from the Glass Packaging Forum, a voluntary product stewardship organisation for the glass packaging sector</w:t>
      </w:r>
      <w:r w:rsidR="0071412A">
        <w:t xml:space="preserve"> (</w:t>
      </w:r>
      <w:r>
        <w:t>which estimated the 2019/20 figure to be 256,923 tonnes of glass to market</w:t>
      </w:r>
      <w:r w:rsidR="0071412A">
        <w:t>)</w:t>
      </w:r>
      <w:r>
        <w:t xml:space="preserve">. </w:t>
      </w:r>
    </w:p>
  </w:footnote>
  <w:footnote w:id="4">
    <w:p w14:paraId="7936D7D4" w14:textId="135F93C1" w:rsidR="00D87DC4" w:rsidRDefault="00D87DC4">
      <w:pPr>
        <w:pStyle w:val="FootnoteText"/>
      </w:pPr>
      <w:r>
        <w:rPr>
          <w:rStyle w:val="FootnoteReference"/>
        </w:rPr>
        <w:footnoteRef/>
      </w:r>
      <w:r>
        <w:t xml:space="preserve"> Note, however, that not all material goes via a transfer station – for example, materials picked up from households in a kerbside collection would typically go to a materials recovery facility rather than a transfer station. Similarly, recycling collected from businesses would not generally go via a transfer station.</w:t>
      </w:r>
    </w:p>
  </w:footnote>
  <w:footnote w:id="5">
    <w:p w14:paraId="05928BCB" w14:textId="5C0EBBAA" w:rsidR="003D04FE" w:rsidRDefault="003D04FE" w:rsidP="003D04FE">
      <w:pPr>
        <w:pStyle w:val="FootnoteText"/>
      </w:pPr>
      <w:r>
        <w:rPr>
          <w:rStyle w:val="FootnoteReference"/>
        </w:rPr>
        <w:footnoteRef/>
      </w:r>
      <w:r>
        <w:t xml:space="preserve"> China’s National Sword policy, announced in February 2019, included bans on certain types of recyclable waste and a strict maximum contamination standard of 0.5</w:t>
      </w:r>
      <w:r w:rsidR="00717861">
        <w:t> </w:t>
      </w:r>
      <w:r>
        <w:t>per</w:t>
      </w:r>
      <w:r w:rsidR="00717861">
        <w:t> </w:t>
      </w:r>
      <w:r>
        <w:t>cent. The policy led to the removal of the largest recycling market in the world for low-value mixed plastics (</w:t>
      </w:r>
      <w:r>
        <w:t>eg, resin types 3 (</w:t>
      </w:r>
      <w:r w:rsidR="0033192D">
        <w:t>PVC</w:t>
      </w:r>
      <w:r>
        <w:t>), 4 (low-density polyethylene), 6 (polystyrene) and 7 (other)).</w:t>
      </w:r>
    </w:p>
  </w:footnote>
  <w:footnote w:id="6">
    <w:p w14:paraId="62099E4C" w14:textId="77777777" w:rsidR="003D04FE" w:rsidRDefault="003D04FE" w:rsidP="003D04FE">
      <w:pPr>
        <w:pStyle w:val="FootnoteText"/>
      </w:pPr>
      <w:r w:rsidRPr="00A465B2">
        <w:rPr>
          <w:rStyle w:val="FootnoteReference"/>
        </w:rPr>
        <w:footnoteRef/>
      </w:r>
      <w:r w:rsidRPr="00A465B2">
        <w:t xml:space="preserve"> An initial funding allocation of $124 million was made, for a range of resource recovery infrastructure solutions to divert and process recyclable or recoverable products such as food organics, fibre, plastics and construction and demolition materials. Allocation was also made for installation of weighbridges at landfills and resource recovery sites. Of the initial projects identified for investment, not all proceeded to a funding arrangement. To date, 30 projects have been funded, totalling $62.6 million.</w:t>
      </w:r>
    </w:p>
  </w:footnote>
  <w:footnote w:id="7">
    <w:p w14:paraId="260AA240" w14:textId="79A6B762" w:rsidR="003D04FE" w:rsidRPr="0064089C" w:rsidRDefault="003D04FE" w:rsidP="003D04FE">
      <w:pPr>
        <w:pStyle w:val="FootnoteText"/>
      </w:pPr>
      <w:r>
        <w:rPr>
          <w:rStyle w:val="FootnoteReference"/>
        </w:rPr>
        <w:footnoteRef/>
      </w:r>
      <w:r>
        <w:t xml:space="preserve"> Comparisons were made between Colmar Brunton</w:t>
      </w:r>
      <w:r>
        <w:rPr>
          <w:i/>
          <w:iCs/>
        </w:rPr>
        <w:t xml:space="preserve"> </w:t>
      </w:r>
      <w:r>
        <w:t xml:space="preserve">(2018), </w:t>
      </w:r>
      <w:r>
        <w:t>WasteMINZ (2018) and Rabobank surveys (Rabobank).</w:t>
      </w:r>
      <w:r w:rsidR="00763AC4">
        <w:t xml:space="preserve"> </w:t>
      </w:r>
    </w:p>
  </w:footnote>
  <w:footnote w:id="8">
    <w:p w14:paraId="00FF4686" w14:textId="0BB48D02" w:rsidR="003D04FE" w:rsidRDefault="003D04FE" w:rsidP="003D04FE">
      <w:pPr>
        <w:pStyle w:val="FootnoteText"/>
      </w:pPr>
      <w:r>
        <w:rPr>
          <w:rStyle w:val="FootnoteReference"/>
        </w:rPr>
        <w:footnoteRef/>
      </w:r>
      <w:r>
        <w:t xml:space="preserve"> Tranche 1: Single-use plastic drink stirrers (all plastic types)</w:t>
      </w:r>
      <w:r w:rsidR="00BC09EC">
        <w:t>,</w:t>
      </w:r>
      <w:r>
        <w:t xml:space="preserve"> single-use plastic cotton buds (all plastic types)</w:t>
      </w:r>
      <w:r w:rsidR="00BC09EC">
        <w:t>,</w:t>
      </w:r>
      <w:r>
        <w:t xml:space="preserve"> plastics with pro-degradant additives (subset of plastic type 7)</w:t>
      </w:r>
      <w:r w:rsidR="00BC09EC">
        <w:t>,</w:t>
      </w:r>
      <w:r>
        <w:t xml:space="preserve"> certain PVC food trays and containers (plastic type 3)</w:t>
      </w:r>
      <w:r w:rsidR="00BC09EC">
        <w:t>,</w:t>
      </w:r>
      <w:r>
        <w:t xml:space="preserve"> polystyrene takeaway food and beverage packaging (plastic type 6)</w:t>
      </w:r>
      <w:r w:rsidR="00BC09EC">
        <w:t>,</w:t>
      </w:r>
      <w:r>
        <w:t xml:space="preserve"> expanded polystyrene food and beverage packaging (plastic type 6).</w:t>
      </w:r>
    </w:p>
  </w:footnote>
  <w:footnote w:id="9">
    <w:p w14:paraId="5C412AEA" w14:textId="731B8E68" w:rsidR="003D04FE" w:rsidRDefault="003D04FE" w:rsidP="003D04FE">
      <w:pPr>
        <w:pStyle w:val="FootnoteText"/>
      </w:pPr>
      <w:r>
        <w:rPr>
          <w:rStyle w:val="FootnoteReference"/>
        </w:rPr>
        <w:footnoteRef/>
      </w:r>
      <w:r>
        <w:t xml:space="preserve"> Tranche 2: single-use plastic drinking straws (with some limited exceptions)</w:t>
      </w:r>
      <w:r w:rsidR="00BC09EC">
        <w:t>,</w:t>
      </w:r>
      <w:r>
        <w:t xml:space="preserve"> single-use plastic tableware and cutlery</w:t>
      </w:r>
      <w:r w:rsidR="00BC09EC">
        <w:t>,</w:t>
      </w:r>
      <w:r>
        <w:t xml:space="preserve"> single-use plastic produce bags</w:t>
      </w:r>
      <w:r w:rsidR="00BC09EC">
        <w:t>,</w:t>
      </w:r>
      <w:r>
        <w:t xml:space="preserve"> non-home</w:t>
      </w:r>
      <w:r w:rsidR="00BC09EC">
        <w:t>-</w:t>
      </w:r>
      <w:r>
        <w:t>compostable produce labels.</w:t>
      </w:r>
    </w:p>
  </w:footnote>
  <w:footnote w:id="10">
    <w:p w14:paraId="4B18419A" w14:textId="642C64B8" w:rsidR="003D04FE" w:rsidRDefault="003D04FE" w:rsidP="003D04FE">
      <w:pPr>
        <w:pStyle w:val="FootnoteText"/>
      </w:pPr>
      <w:r>
        <w:rPr>
          <w:rStyle w:val="FootnoteReference"/>
        </w:rPr>
        <w:footnoteRef/>
      </w:r>
      <w:r>
        <w:t xml:space="preserve"> Between the previous levy review period (2016/17 to 2018/19) and this review period (2019/20 to 2021/22), there was a decrease in average litter density (from an average of 397 items </w:t>
      </w:r>
      <w:r w:rsidRPr="00FD15D2">
        <w:t xml:space="preserve">to </w:t>
      </w:r>
      <w:r>
        <w:t>301 items per 1</w:t>
      </w:r>
      <w:r w:rsidR="00967BBE">
        <w:t>,</w:t>
      </w:r>
      <w:r>
        <w:t>000</w:t>
      </w:r>
      <w:r w:rsidR="00967BBE">
        <w:t xml:space="preserve"> square metres</w:t>
      </w:r>
      <w:r w:rsidRPr="003F1A98">
        <w:t xml:space="preserve">. </w:t>
      </w:r>
      <w:r>
        <w:t>However</w:t>
      </w:r>
      <w:r w:rsidR="00967BBE">
        <w:t>,</w:t>
      </w:r>
      <w:r>
        <w:t xml:space="preserve"> it is difficult to draw inferences as there was also a substantial change in litter surveys logged over those periods (from 96 surveys and a total item count of 39,933 to 1,075 surveys and a total item count of 297,072). In both survey periods, plastic comprised </w:t>
      </w:r>
      <w:r>
        <w:t xml:space="preserve">the majority of litter items (over 65 per cent in both cases). </w:t>
      </w:r>
    </w:p>
  </w:footnote>
  <w:footnote w:id="11">
    <w:p w14:paraId="7C999A24" w14:textId="676D4FD1" w:rsidR="003D04FE" w:rsidRDefault="003D04FE" w:rsidP="003D04FE">
      <w:pPr>
        <w:pStyle w:val="FootnoteText"/>
      </w:pPr>
      <w:r>
        <w:rPr>
          <w:rStyle w:val="FootnoteReference"/>
        </w:rPr>
        <w:footnoteRef/>
      </w:r>
      <w:r>
        <w:t xml:space="preserve"> The wording of the current regulations is such that certain types of earthworks and quarrying activity are also captured by reporting and/or levy payment obligations. There is an opportunity to refine and clarification the intended coverage</w:t>
      </w:r>
      <w:r w:rsidR="00FA113D">
        <w:t xml:space="preserve">, which </w:t>
      </w:r>
      <w:r w:rsidR="00F15084">
        <w:t xml:space="preserve">should </w:t>
      </w:r>
      <w:r>
        <w:t>balance the need for sensible coverage with minimising the risk of levy avoidance activity (</w:t>
      </w:r>
      <w:r>
        <w:t xml:space="preserve">ie, it is not desirable for regulations to either over- or under-include sites).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9638A" w14:textId="77777777" w:rsidR="007958C9" w:rsidRDefault="00795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CA7" w14:textId="291A999A"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60D1E" w14:textId="77777777" w:rsidR="007958C9" w:rsidRDefault="007958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90718"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9D083" w14:textId="77777777" w:rsidR="00E5210B" w:rsidRDefault="00E52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ACF7E" w14:textId="79481545" w:rsidR="00616FDE" w:rsidRPr="002C1752" w:rsidRDefault="00616FDE" w:rsidP="002C17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6C25C" w14:textId="34E24D67" w:rsidR="00616FDE" w:rsidRPr="0062537F" w:rsidRDefault="00616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3A78B0"/>
    <w:multiLevelType w:val="multilevel"/>
    <w:tmpl w:val="EE3ADE44"/>
    <w:lvl w:ilvl="0">
      <w:start w:val="1"/>
      <w:numFmt w:val="decimal"/>
      <w:lvlText w:val="Table %1:"/>
      <w:lvlJc w:val="left"/>
      <w:pPr>
        <w:ind w:left="8931" w:hanging="1134"/>
      </w:pPr>
      <w:rPr>
        <w:rFonts w:hint="default"/>
      </w:rPr>
    </w:lvl>
    <w:lvl w:ilvl="1">
      <w:start w:val="1"/>
      <w:numFmt w:val="decimal"/>
      <w:lvlText w:val="Figure %2: "/>
      <w:lvlJc w:val="left"/>
      <w:pPr>
        <w:ind w:left="1134" w:hanging="113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4"/>
  </w:num>
  <w:num w:numId="2" w16cid:durableId="1287734805">
    <w:abstractNumId w:val="24"/>
  </w:num>
  <w:num w:numId="3" w16cid:durableId="1538541818">
    <w:abstractNumId w:val="36"/>
  </w:num>
  <w:num w:numId="4" w16cid:durableId="550508225">
    <w:abstractNumId w:val="19"/>
  </w:num>
  <w:num w:numId="5" w16cid:durableId="745567648">
    <w:abstractNumId w:val="12"/>
  </w:num>
  <w:num w:numId="6" w16cid:durableId="2076933510">
    <w:abstractNumId w:val="7"/>
  </w:num>
  <w:num w:numId="7" w16cid:durableId="1899433097">
    <w:abstractNumId w:val="22"/>
  </w:num>
  <w:num w:numId="8" w16cid:durableId="1088233813">
    <w:abstractNumId w:val="21"/>
  </w:num>
  <w:num w:numId="9" w16cid:durableId="394550804">
    <w:abstractNumId w:val="34"/>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28"/>
  </w:num>
  <w:num w:numId="13" w16cid:durableId="797454537">
    <w:abstractNumId w:val="11"/>
  </w:num>
  <w:num w:numId="14" w16cid:durableId="284310654">
    <w:abstractNumId w:val="30"/>
  </w:num>
  <w:num w:numId="15" w16cid:durableId="1819420646">
    <w:abstractNumId w:val="20"/>
  </w:num>
  <w:num w:numId="16" w16cid:durableId="1770615197">
    <w:abstractNumId w:val="10"/>
  </w:num>
  <w:num w:numId="17" w16cid:durableId="1658604841">
    <w:abstractNumId w:val="29"/>
  </w:num>
  <w:num w:numId="18" w16cid:durableId="905535034">
    <w:abstractNumId w:val="25"/>
  </w:num>
  <w:num w:numId="19" w16cid:durableId="1465346826">
    <w:abstractNumId w:val="31"/>
  </w:num>
  <w:num w:numId="20" w16cid:durableId="676690097">
    <w:abstractNumId w:val="13"/>
  </w:num>
  <w:num w:numId="21" w16cid:durableId="2031447556">
    <w:abstractNumId w:val="26"/>
  </w:num>
  <w:num w:numId="22" w16cid:durableId="752623358">
    <w:abstractNumId w:val="4"/>
  </w:num>
  <w:num w:numId="23" w16cid:durableId="867841801">
    <w:abstractNumId w:val="23"/>
  </w:num>
  <w:num w:numId="24" w16cid:durableId="720790089">
    <w:abstractNumId w:val="15"/>
  </w:num>
  <w:num w:numId="25" w16cid:durableId="222520331">
    <w:abstractNumId w:val="33"/>
  </w:num>
  <w:num w:numId="26" w16cid:durableId="717584311">
    <w:abstractNumId w:val="27"/>
  </w:num>
  <w:num w:numId="27" w16cid:durableId="779765061">
    <w:abstractNumId w:val="0"/>
  </w:num>
  <w:num w:numId="28" w16cid:durableId="342437984">
    <w:abstractNumId w:val="17"/>
  </w:num>
  <w:num w:numId="29" w16cid:durableId="86079989">
    <w:abstractNumId w:val="8"/>
  </w:num>
  <w:num w:numId="30" w16cid:durableId="190724435">
    <w:abstractNumId w:val="3"/>
  </w:num>
  <w:num w:numId="31" w16cid:durableId="180439593">
    <w:abstractNumId w:val="2"/>
  </w:num>
  <w:num w:numId="32" w16cid:durableId="2007590403">
    <w:abstractNumId w:val="5"/>
  </w:num>
  <w:num w:numId="33" w16cid:durableId="1951621493">
    <w:abstractNumId w:val="9"/>
  </w:num>
  <w:num w:numId="34" w16cid:durableId="1425766684">
    <w:abstractNumId w:val="18"/>
  </w:num>
  <w:num w:numId="35" w16cid:durableId="11616712">
    <w:abstractNumId w:val="16"/>
  </w:num>
  <w:num w:numId="36" w16cid:durableId="1911882459">
    <w:abstractNumId w:val="6"/>
  </w:num>
  <w:num w:numId="37" w16cid:durableId="1044714646">
    <w:abstractNumId w:val="32"/>
  </w:num>
  <w:num w:numId="38" w16cid:durableId="19952593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6343914">
    <w:abstractNumId w:val="3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73376628">
    <w:abstractNumId w:val="3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892090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83"/>
    <w:rsid w:val="00000099"/>
    <w:rsid w:val="00000792"/>
    <w:rsid w:val="00000F04"/>
    <w:rsid w:val="00003C4F"/>
    <w:rsid w:val="00004D31"/>
    <w:rsid w:val="00004E0A"/>
    <w:rsid w:val="00004FD3"/>
    <w:rsid w:val="00005B55"/>
    <w:rsid w:val="00006DF5"/>
    <w:rsid w:val="00006F95"/>
    <w:rsid w:val="00007023"/>
    <w:rsid w:val="0000709F"/>
    <w:rsid w:val="000071D6"/>
    <w:rsid w:val="00007F2D"/>
    <w:rsid w:val="00007FAC"/>
    <w:rsid w:val="00010A9C"/>
    <w:rsid w:val="00010ABA"/>
    <w:rsid w:val="00010E15"/>
    <w:rsid w:val="00010F57"/>
    <w:rsid w:val="0001100C"/>
    <w:rsid w:val="00011188"/>
    <w:rsid w:val="000115EF"/>
    <w:rsid w:val="00012002"/>
    <w:rsid w:val="00012555"/>
    <w:rsid w:val="0001303C"/>
    <w:rsid w:val="00014236"/>
    <w:rsid w:val="000148F6"/>
    <w:rsid w:val="00015217"/>
    <w:rsid w:val="000159D2"/>
    <w:rsid w:val="00016264"/>
    <w:rsid w:val="00016993"/>
    <w:rsid w:val="00016CAB"/>
    <w:rsid w:val="00016E5B"/>
    <w:rsid w:val="00017188"/>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10D2"/>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C9A"/>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8E7"/>
    <w:rsid w:val="00077EE0"/>
    <w:rsid w:val="000802F9"/>
    <w:rsid w:val="0008145A"/>
    <w:rsid w:val="0008162D"/>
    <w:rsid w:val="000831C8"/>
    <w:rsid w:val="00083891"/>
    <w:rsid w:val="00083F5E"/>
    <w:rsid w:val="00084FDB"/>
    <w:rsid w:val="0008505C"/>
    <w:rsid w:val="00085C46"/>
    <w:rsid w:val="0008686A"/>
    <w:rsid w:val="00087175"/>
    <w:rsid w:val="00087D35"/>
    <w:rsid w:val="00087FBD"/>
    <w:rsid w:val="00090F13"/>
    <w:rsid w:val="0009132D"/>
    <w:rsid w:val="00091796"/>
    <w:rsid w:val="00091BA2"/>
    <w:rsid w:val="00091CB0"/>
    <w:rsid w:val="0009243C"/>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08F"/>
    <w:rsid w:val="000A2345"/>
    <w:rsid w:val="000A2394"/>
    <w:rsid w:val="000A2CBB"/>
    <w:rsid w:val="000A31C1"/>
    <w:rsid w:val="000A32C5"/>
    <w:rsid w:val="000A3411"/>
    <w:rsid w:val="000A34CA"/>
    <w:rsid w:val="000A3C6B"/>
    <w:rsid w:val="000A426F"/>
    <w:rsid w:val="000A4559"/>
    <w:rsid w:val="000A45FD"/>
    <w:rsid w:val="000A477B"/>
    <w:rsid w:val="000A4F43"/>
    <w:rsid w:val="000A511F"/>
    <w:rsid w:val="000A558D"/>
    <w:rsid w:val="000A5611"/>
    <w:rsid w:val="000A563C"/>
    <w:rsid w:val="000A59C5"/>
    <w:rsid w:val="000A5B1E"/>
    <w:rsid w:val="000A5DEA"/>
    <w:rsid w:val="000A5EBD"/>
    <w:rsid w:val="000A7658"/>
    <w:rsid w:val="000A7F0F"/>
    <w:rsid w:val="000A7F4C"/>
    <w:rsid w:val="000B02BC"/>
    <w:rsid w:val="000B0498"/>
    <w:rsid w:val="000B0F36"/>
    <w:rsid w:val="000B140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4850"/>
    <w:rsid w:val="000C577E"/>
    <w:rsid w:val="000D0317"/>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54CF"/>
    <w:rsid w:val="000F6464"/>
    <w:rsid w:val="000F6628"/>
    <w:rsid w:val="000F6C25"/>
    <w:rsid w:val="000F76EB"/>
    <w:rsid w:val="000F78AE"/>
    <w:rsid w:val="000F7E25"/>
    <w:rsid w:val="001007EE"/>
    <w:rsid w:val="00100F76"/>
    <w:rsid w:val="00100F8C"/>
    <w:rsid w:val="0010148E"/>
    <w:rsid w:val="001018BB"/>
    <w:rsid w:val="0010253C"/>
    <w:rsid w:val="00102BD1"/>
    <w:rsid w:val="00103563"/>
    <w:rsid w:val="0010486A"/>
    <w:rsid w:val="0010561C"/>
    <w:rsid w:val="00105C0F"/>
    <w:rsid w:val="00105E39"/>
    <w:rsid w:val="00106561"/>
    <w:rsid w:val="00106D63"/>
    <w:rsid w:val="001075F3"/>
    <w:rsid w:val="00107A01"/>
    <w:rsid w:val="00107C23"/>
    <w:rsid w:val="00110307"/>
    <w:rsid w:val="00110C7F"/>
    <w:rsid w:val="00110EE2"/>
    <w:rsid w:val="00111A7A"/>
    <w:rsid w:val="00111A88"/>
    <w:rsid w:val="0011221A"/>
    <w:rsid w:val="0011314C"/>
    <w:rsid w:val="00113283"/>
    <w:rsid w:val="001137AE"/>
    <w:rsid w:val="00113B20"/>
    <w:rsid w:val="001140EF"/>
    <w:rsid w:val="00114777"/>
    <w:rsid w:val="001147B3"/>
    <w:rsid w:val="001148F7"/>
    <w:rsid w:val="001149B2"/>
    <w:rsid w:val="00114C2D"/>
    <w:rsid w:val="00115125"/>
    <w:rsid w:val="001152F2"/>
    <w:rsid w:val="001157D7"/>
    <w:rsid w:val="00116382"/>
    <w:rsid w:val="00116484"/>
    <w:rsid w:val="00116ACF"/>
    <w:rsid w:val="00116B2B"/>
    <w:rsid w:val="00116D5C"/>
    <w:rsid w:val="001172B2"/>
    <w:rsid w:val="00117A78"/>
    <w:rsid w:val="00117F9B"/>
    <w:rsid w:val="00120018"/>
    <w:rsid w:val="001201AD"/>
    <w:rsid w:val="00121211"/>
    <w:rsid w:val="00121283"/>
    <w:rsid w:val="00121628"/>
    <w:rsid w:val="0012167D"/>
    <w:rsid w:val="00122189"/>
    <w:rsid w:val="00122280"/>
    <w:rsid w:val="001227AD"/>
    <w:rsid w:val="00122D42"/>
    <w:rsid w:val="00123345"/>
    <w:rsid w:val="00123C46"/>
    <w:rsid w:val="001240F0"/>
    <w:rsid w:val="001240FD"/>
    <w:rsid w:val="0012470B"/>
    <w:rsid w:val="00124AFB"/>
    <w:rsid w:val="00125C75"/>
    <w:rsid w:val="00125C7E"/>
    <w:rsid w:val="00127945"/>
    <w:rsid w:val="00127D94"/>
    <w:rsid w:val="00127E90"/>
    <w:rsid w:val="001302C1"/>
    <w:rsid w:val="0013048F"/>
    <w:rsid w:val="001306D3"/>
    <w:rsid w:val="00130A41"/>
    <w:rsid w:val="001310BF"/>
    <w:rsid w:val="00131424"/>
    <w:rsid w:val="00133142"/>
    <w:rsid w:val="00133E73"/>
    <w:rsid w:val="00133FDB"/>
    <w:rsid w:val="00134F4A"/>
    <w:rsid w:val="001351CB"/>
    <w:rsid w:val="00135E4E"/>
    <w:rsid w:val="00136246"/>
    <w:rsid w:val="001364D4"/>
    <w:rsid w:val="001371C8"/>
    <w:rsid w:val="001372ED"/>
    <w:rsid w:val="00140FEF"/>
    <w:rsid w:val="0014210E"/>
    <w:rsid w:val="00142B50"/>
    <w:rsid w:val="0014308B"/>
    <w:rsid w:val="00143873"/>
    <w:rsid w:val="001439E9"/>
    <w:rsid w:val="00143C55"/>
    <w:rsid w:val="00144C6F"/>
    <w:rsid w:val="00144DA6"/>
    <w:rsid w:val="00145089"/>
    <w:rsid w:val="001451E7"/>
    <w:rsid w:val="001462E3"/>
    <w:rsid w:val="0014720C"/>
    <w:rsid w:val="001472C2"/>
    <w:rsid w:val="00147458"/>
    <w:rsid w:val="001474BB"/>
    <w:rsid w:val="00147E21"/>
    <w:rsid w:val="00150BA8"/>
    <w:rsid w:val="00150D19"/>
    <w:rsid w:val="0015181B"/>
    <w:rsid w:val="00151A4F"/>
    <w:rsid w:val="00151A9F"/>
    <w:rsid w:val="00152B87"/>
    <w:rsid w:val="00153A96"/>
    <w:rsid w:val="00153BD9"/>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38A2"/>
    <w:rsid w:val="00164166"/>
    <w:rsid w:val="00164311"/>
    <w:rsid w:val="001648DD"/>
    <w:rsid w:val="00165705"/>
    <w:rsid w:val="00166389"/>
    <w:rsid w:val="00166E03"/>
    <w:rsid w:val="00167433"/>
    <w:rsid w:val="00167E4C"/>
    <w:rsid w:val="00171449"/>
    <w:rsid w:val="0017199C"/>
    <w:rsid w:val="00171C7E"/>
    <w:rsid w:val="00171F35"/>
    <w:rsid w:val="00172171"/>
    <w:rsid w:val="00172552"/>
    <w:rsid w:val="00172873"/>
    <w:rsid w:val="00172B13"/>
    <w:rsid w:val="00172CF7"/>
    <w:rsid w:val="0017319E"/>
    <w:rsid w:val="00173A1F"/>
    <w:rsid w:val="00173BC3"/>
    <w:rsid w:val="00174128"/>
    <w:rsid w:val="00174E22"/>
    <w:rsid w:val="00175C34"/>
    <w:rsid w:val="00175F9A"/>
    <w:rsid w:val="00176455"/>
    <w:rsid w:val="00176E98"/>
    <w:rsid w:val="00177996"/>
    <w:rsid w:val="001803CC"/>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3E4B"/>
    <w:rsid w:val="00194BB7"/>
    <w:rsid w:val="00194CC5"/>
    <w:rsid w:val="001951B2"/>
    <w:rsid w:val="0019565D"/>
    <w:rsid w:val="00197564"/>
    <w:rsid w:val="00197EC2"/>
    <w:rsid w:val="00197ECE"/>
    <w:rsid w:val="001A1CED"/>
    <w:rsid w:val="001A279B"/>
    <w:rsid w:val="001A2981"/>
    <w:rsid w:val="001A2DC3"/>
    <w:rsid w:val="001A2E87"/>
    <w:rsid w:val="001A3869"/>
    <w:rsid w:val="001A38C2"/>
    <w:rsid w:val="001A65C8"/>
    <w:rsid w:val="001A72AA"/>
    <w:rsid w:val="001A732E"/>
    <w:rsid w:val="001A7C18"/>
    <w:rsid w:val="001A7F30"/>
    <w:rsid w:val="001B06E2"/>
    <w:rsid w:val="001B103A"/>
    <w:rsid w:val="001B103D"/>
    <w:rsid w:val="001B1513"/>
    <w:rsid w:val="001B1767"/>
    <w:rsid w:val="001B2453"/>
    <w:rsid w:val="001B3D48"/>
    <w:rsid w:val="001B407C"/>
    <w:rsid w:val="001B5AF9"/>
    <w:rsid w:val="001B6600"/>
    <w:rsid w:val="001B6B9B"/>
    <w:rsid w:val="001B6C27"/>
    <w:rsid w:val="001B7144"/>
    <w:rsid w:val="001B7E91"/>
    <w:rsid w:val="001C0A8D"/>
    <w:rsid w:val="001C147E"/>
    <w:rsid w:val="001C151B"/>
    <w:rsid w:val="001C19E5"/>
    <w:rsid w:val="001C3666"/>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5A7"/>
    <w:rsid w:val="001D2DEF"/>
    <w:rsid w:val="001D2F86"/>
    <w:rsid w:val="001D30BB"/>
    <w:rsid w:val="001D46CC"/>
    <w:rsid w:val="001D488C"/>
    <w:rsid w:val="001D4CDF"/>
    <w:rsid w:val="001D4F88"/>
    <w:rsid w:val="001D578D"/>
    <w:rsid w:val="001D5818"/>
    <w:rsid w:val="001D653A"/>
    <w:rsid w:val="001D6BE0"/>
    <w:rsid w:val="001D7DEE"/>
    <w:rsid w:val="001E02CB"/>
    <w:rsid w:val="001E0F22"/>
    <w:rsid w:val="001E14FD"/>
    <w:rsid w:val="001E180F"/>
    <w:rsid w:val="001E1C64"/>
    <w:rsid w:val="001E1CEC"/>
    <w:rsid w:val="001E2ECB"/>
    <w:rsid w:val="001E3A56"/>
    <w:rsid w:val="001E4B64"/>
    <w:rsid w:val="001E552A"/>
    <w:rsid w:val="001E57B9"/>
    <w:rsid w:val="001E6E8D"/>
    <w:rsid w:val="001E7474"/>
    <w:rsid w:val="001E7EE4"/>
    <w:rsid w:val="001E7F76"/>
    <w:rsid w:val="001F008D"/>
    <w:rsid w:val="001F0FAF"/>
    <w:rsid w:val="001F139F"/>
    <w:rsid w:val="001F2805"/>
    <w:rsid w:val="001F2E79"/>
    <w:rsid w:val="001F2F07"/>
    <w:rsid w:val="001F3123"/>
    <w:rsid w:val="001F376D"/>
    <w:rsid w:val="001F418C"/>
    <w:rsid w:val="001F4B2D"/>
    <w:rsid w:val="001F4F40"/>
    <w:rsid w:val="001F50E0"/>
    <w:rsid w:val="001F594C"/>
    <w:rsid w:val="001F69A1"/>
    <w:rsid w:val="001F69FC"/>
    <w:rsid w:val="001F6D62"/>
    <w:rsid w:val="001F7675"/>
    <w:rsid w:val="00200FAE"/>
    <w:rsid w:val="0020102D"/>
    <w:rsid w:val="002010E2"/>
    <w:rsid w:val="00201B73"/>
    <w:rsid w:val="00202517"/>
    <w:rsid w:val="002025E1"/>
    <w:rsid w:val="002025E8"/>
    <w:rsid w:val="00202ADB"/>
    <w:rsid w:val="00202BB7"/>
    <w:rsid w:val="00203E69"/>
    <w:rsid w:val="0020435B"/>
    <w:rsid w:val="00204533"/>
    <w:rsid w:val="00204F2D"/>
    <w:rsid w:val="00205566"/>
    <w:rsid w:val="002063AA"/>
    <w:rsid w:val="00210549"/>
    <w:rsid w:val="0021069E"/>
    <w:rsid w:val="00210804"/>
    <w:rsid w:val="0021088F"/>
    <w:rsid w:val="002113FE"/>
    <w:rsid w:val="00211737"/>
    <w:rsid w:val="0021181B"/>
    <w:rsid w:val="00211CB2"/>
    <w:rsid w:val="0021230F"/>
    <w:rsid w:val="002125B0"/>
    <w:rsid w:val="002125F6"/>
    <w:rsid w:val="00212A82"/>
    <w:rsid w:val="00214EA2"/>
    <w:rsid w:val="002160FA"/>
    <w:rsid w:val="002166DD"/>
    <w:rsid w:val="002168A2"/>
    <w:rsid w:val="00216AC3"/>
    <w:rsid w:val="00217867"/>
    <w:rsid w:val="00217C97"/>
    <w:rsid w:val="002205E4"/>
    <w:rsid w:val="00220D67"/>
    <w:rsid w:val="002215F8"/>
    <w:rsid w:val="00221F80"/>
    <w:rsid w:val="0022273A"/>
    <w:rsid w:val="00222D28"/>
    <w:rsid w:val="002238A1"/>
    <w:rsid w:val="00223CF4"/>
    <w:rsid w:val="00224220"/>
    <w:rsid w:val="00224398"/>
    <w:rsid w:val="002243CA"/>
    <w:rsid w:val="00224A81"/>
    <w:rsid w:val="00224E91"/>
    <w:rsid w:val="00225B4C"/>
    <w:rsid w:val="00225E1E"/>
    <w:rsid w:val="00226129"/>
    <w:rsid w:val="0022614D"/>
    <w:rsid w:val="00226AA2"/>
    <w:rsid w:val="00227218"/>
    <w:rsid w:val="0022770A"/>
    <w:rsid w:val="00227BEE"/>
    <w:rsid w:val="00227C27"/>
    <w:rsid w:val="00227FB4"/>
    <w:rsid w:val="0023057E"/>
    <w:rsid w:val="0023083B"/>
    <w:rsid w:val="002312BC"/>
    <w:rsid w:val="002337E5"/>
    <w:rsid w:val="00233C06"/>
    <w:rsid w:val="00233F24"/>
    <w:rsid w:val="00234BBB"/>
    <w:rsid w:val="002356F4"/>
    <w:rsid w:val="00235AB8"/>
    <w:rsid w:val="00235F02"/>
    <w:rsid w:val="00236D28"/>
    <w:rsid w:val="00237C2E"/>
    <w:rsid w:val="00237C94"/>
    <w:rsid w:val="00237FE4"/>
    <w:rsid w:val="00240656"/>
    <w:rsid w:val="00241610"/>
    <w:rsid w:val="00241AED"/>
    <w:rsid w:val="00241C4C"/>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BD8"/>
    <w:rsid w:val="00246EAE"/>
    <w:rsid w:val="00247116"/>
    <w:rsid w:val="002471E5"/>
    <w:rsid w:val="002478FD"/>
    <w:rsid w:val="00250269"/>
    <w:rsid w:val="002517A8"/>
    <w:rsid w:val="00251EEE"/>
    <w:rsid w:val="00253177"/>
    <w:rsid w:val="002538B8"/>
    <w:rsid w:val="0025396F"/>
    <w:rsid w:val="00254319"/>
    <w:rsid w:val="002546A4"/>
    <w:rsid w:val="00254BCD"/>
    <w:rsid w:val="0025539F"/>
    <w:rsid w:val="002561ED"/>
    <w:rsid w:val="00256388"/>
    <w:rsid w:val="00256E44"/>
    <w:rsid w:val="00257B11"/>
    <w:rsid w:val="00257B84"/>
    <w:rsid w:val="002605BF"/>
    <w:rsid w:val="0026086D"/>
    <w:rsid w:val="00260919"/>
    <w:rsid w:val="002612FD"/>
    <w:rsid w:val="002613DC"/>
    <w:rsid w:val="00261755"/>
    <w:rsid w:val="00261AAA"/>
    <w:rsid w:val="00261B5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4AA4"/>
    <w:rsid w:val="002756EF"/>
    <w:rsid w:val="00275708"/>
    <w:rsid w:val="002768CF"/>
    <w:rsid w:val="00276F82"/>
    <w:rsid w:val="002805DF"/>
    <w:rsid w:val="0028092D"/>
    <w:rsid w:val="0028098C"/>
    <w:rsid w:val="002815D9"/>
    <w:rsid w:val="00281E9A"/>
    <w:rsid w:val="00282317"/>
    <w:rsid w:val="00282D25"/>
    <w:rsid w:val="00282DF9"/>
    <w:rsid w:val="00283A44"/>
    <w:rsid w:val="0028529F"/>
    <w:rsid w:val="00285687"/>
    <w:rsid w:val="00287649"/>
    <w:rsid w:val="00287867"/>
    <w:rsid w:val="00287DAB"/>
    <w:rsid w:val="00287FB6"/>
    <w:rsid w:val="002900C5"/>
    <w:rsid w:val="002901E0"/>
    <w:rsid w:val="0029075B"/>
    <w:rsid w:val="00290BB1"/>
    <w:rsid w:val="00291BC1"/>
    <w:rsid w:val="002933CA"/>
    <w:rsid w:val="00293A8F"/>
    <w:rsid w:val="00294523"/>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CEA"/>
    <w:rsid w:val="002A4FFF"/>
    <w:rsid w:val="002A533C"/>
    <w:rsid w:val="002A56E1"/>
    <w:rsid w:val="002A59BD"/>
    <w:rsid w:val="002A75CA"/>
    <w:rsid w:val="002A7889"/>
    <w:rsid w:val="002A799A"/>
    <w:rsid w:val="002B097D"/>
    <w:rsid w:val="002B11B2"/>
    <w:rsid w:val="002B18F7"/>
    <w:rsid w:val="002B2314"/>
    <w:rsid w:val="002B2B65"/>
    <w:rsid w:val="002B31CF"/>
    <w:rsid w:val="002B3ED7"/>
    <w:rsid w:val="002B4778"/>
    <w:rsid w:val="002B75B2"/>
    <w:rsid w:val="002B79B7"/>
    <w:rsid w:val="002B7DF5"/>
    <w:rsid w:val="002C141D"/>
    <w:rsid w:val="002C1752"/>
    <w:rsid w:val="002C19C0"/>
    <w:rsid w:val="002C2485"/>
    <w:rsid w:val="002C25E0"/>
    <w:rsid w:val="002C2A11"/>
    <w:rsid w:val="002C2A2D"/>
    <w:rsid w:val="002C36C0"/>
    <w:rsid w:val="002C3928"/>
    <w:rsid w:val="002C3B33"/>
    <w:rsid w:val="002C435E"/>
    <w:rsid w:val="002C43BB"/>
    <w:rsid w:val="002C44AB"/>
    <w:rsid w:val="002C5E39"/>
    <w:rsid w:val="002C5FA2"/>
    <w:rsid w:val="002C7A02"/>
    <w:rsid w:val="002C7BD4"/>
    <w:rsid w:val="002D0107"/>
    <w:rsid w:val="002D03A7"/>
    <w:rsid w:val="002D0428"/>
    <w:rsid w:val="002D062E"/>
    <w:rsid w:val="002D0D43"/>
    <w:rsid w:val="002D15C2"/>
    <w:rsid w:val="002D2655"/>
    <w:rsid w:val="002D2B10"/>
    <w:rsid w:val="002D35C1"/>
    <w:rsid w:val="002D3842"/>
    <w:rsid w:val="002D386A"/>
    <w:rsid w:val="002D4100"/>
    <w:rsid w:val="002D477F"/>
    <w:rsid w:val="002D4F48"/>
    <w:rsid w:val="002D519B"/>
    <w:rsid w:val="002D621E"/>
    <w:rsid w:val="002D66DA"/>
    <w:rsid w:val="002D7027"/>
    <w:rsid w:val="002D70B8"/>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732D"/>
    <w:rsid w:val="002E73EC"/>
    <w:rsid w:val="002E78B2"/>
    <w:rsid w:val="002F023D"/>
    <w:rsid w:val="002F10EC"/>
    <w:rsid w:val="002F1136"/>
    <w:rsid w:val="002F1231"/>
    <w:rsid w:val="002F1521"/>
    <w:rsid w:val="002F15EE"/>
    <w:rsid w:val="002F3632"/>
    <w:rsid w:val="002F3AFB"/>
    <w:rsid w:val="002F3C41"/>
    <w:rsid w:val="002F4C80"/>
    <w:rsid w:val="002F4C8E"/>
    <w:rsid w:val="002F5076"/>
    <w:rsid w:val="002F5839"/>
    <w:rsid w:val="002F617A"/>
    <w:rsid w:val="002F62C4"/>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DD0"/>
    <w:rsid w:val="00304FFF"/>
    <w:rsid w:val="00305557"/>
    <w:rsid w:val="0030561F"/>
    <w:rsid w:val="00305CA3"/>
    <w:rsid w:val="00306DAA"/>
    <w:rsid w:val="00306E5C"/>
    <w:rsid w:val="003075FD"/>
    <w:rsid w:val="00307C19"/>
    <w:rsid w:val="00310732"/>
    <w:rsid w:val="00310BC9"/>
    <w:rsid w:val="00310DD1"/>
    <w:rsid w:val="00311762"/>
    <w:rsid w:val="00311E98"/>
    <w:rsid w:val="00312215"/>
    <w:rsid w:val="0031249C"/>
    <w:rsid w:val="003125C3"/>
    <w:rsid w:val="00312896"/>
    <w:rsid w:val="00313EAC"/>
    <w:rsid w:val="003142B9"/>
    <w:rsid w:val="003142F4"/>
    <w:rsid w:val="0031454E"/>
    <w:rsid w:val="0031611F"/>
    <w:rsid w:val="00316CBB"/>
    <w:rsid w:val="00317A33"/>
    <w:rsid w:val="00317F43"/>
    <w:rsid w:val="00320339"/>
    <w:rsid w:val="00321214"/>
    <w:rsid w:val="003213D5"/>
    <w:rsid w:val="00323122"/>
    <w:rsid w:val="00323737"/>
    <w:rsid w:val="00323AD6"/>
    <w:rsid w:val="00323F27"/>
    <w:rsid w:val="003242EF"/>
    <w:rsid w:val="00325339"/>
    <w:rsid w:val="003255AA"/>
    <w:rsid w:val="00325F6E"/>
    <w:rsid w:val="0032682F"/>
    <w:rsid w:val="00327A01"/>
    <w:rsid w:val="003314B6"/>
    <w:rsid w:val="0033192D"/>
    <w:rsid w:val="00331A20"/>
    <w:rsid w:val="00331A23"/>
    <w:rsid w:val="00331E65"/>
    <w:rsid w:val="00333107"/>
    <w:rsid w:val="0033343B"/>
    <w:rsid w:val="0033393C"/>
    <w:rsid w:val="003352A3"/>
    <w:rsid w:val="003357EE"/>
    <w:rsid w:val="0033716B"/>
    <w:rsid w:val="00337270"/>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5B64"/>
    <w:rsid w:val="00345E16"/>
    <w:rsid w:val="00346631"/>
    <w:rsid w:val="00346AAD"/>
    <w:rsid w:val="00346D96"/>
    <w:rsid w:val="0034736A"/>
    <w:rsid w:val="0034747C"/>
    <w:rsid w:val="00347840"/>
    <w:rsid w:val="003478AA"/>
    <w:rsid w:val="00347B6C"/>
    <w:rsid w:val="00350538"/>
    <w:rsid w:val="0035151C"/>
    <w:rsid w:val="00352254"/>
    <w:rsid w:val="003522A3"/>
    <w:rsid w:val="00353929"/>
    <w:rsid w:val="00353F9E"/>
    <w:rsid w:val="003540D1"/>
    <w:rsid w:val="003545BF"/>
    <w:rsid w:val="0035569B"/>
    <w:rsid w:val="0035586A"/>
    <w:rsid w:val="00355E8C"/>
    <w:rsid w:val="0035611A"/>
    <w:rsid w:val="00356C3D"/>
    <w:rsid w:val="0035796C"/>
    <w:rsid w:val="00360463"/>
    <w:rsid w:val="00360B75"/>
    <w:rsid w:val="0036151C"/>
    <w:rsid w:val="00361A38"/>
    <w:rsid w:val="00361A9B"/>
    <w:rsid w:val="003625DC"/>
    <w:rsid w:val="00362CCF"/>
    <w:rsid w:val="003631DB"/>
    <w:rsid w:val="00363F4E"/>
    <w:rsid w:val="00364524"/>
    <w:rsid w:val="0036513A"/>
    <w:rsid w:val="00365237"/>
    <w:rsid w:val="0036559C"/>
    <w:rsid w:val="0036587E"/>
    <w:rsid w:val="003660CD"/>
    <w:rsid w:val="0036696E"/>
    <w:rsid w:val="00366AC2"/>
    <w:rsid w:val="00366B08"/>
    <w:rsid w:val="00367496"/>
    <w:rsid w:val="003678BE"/>
    <w:rsid w:val="003700F8"/>
    <w:rsid w:val="00370949"/>
    <w:rsid w:val="0037243B"/>
    <w:rsid w:val="0037251C"/>
    <w:rsid w:val="0037272C"/>
    <w:rsid w:val="00372B10"/>
    <w:rsid w:val="00372B9A"/>
    <w:rsid w:val="003731BF"/>
    <w:rsid w:val="00373619"/>
    <w:rsid w:val="00375287"/>
    <w:rsid w:val="00375593"/>
    <w:rsid w:val="00375791"/>
    <w:rsid w:val="00375826"/>
    <w:rsid w:val="00375994"/>
    <w:rsid w:val="00375C59"/>
    <w:rsid w:val="00375E05"/>
    <w:rsid w:val="00376BB7"/>
    <w:rsid w:val="00376EEE"/>
    <w:rsid w:val="003779A0"/>
    <w:rsid w:val="00377BA1"/>
    <w:rsid w:val="00377FF0"/>
    <w:rsid w:val="00380616"/>
    <w:rsid w:val="00381022"/>
    <w:rsid w:val="003814B8"/>
    <w:rsid w:val="00382909"/>
    <w:rsid w:val="00382EE1"/>
    <w:rsid w:val="00383A61"/>
    <w:rsid w:val="00384258"/>
    <w:rsid w:val="00385131"/>
    <w:rsid w:val="00385CBD"/>
    <w:rsid w:val="0038620B"/>
    <w:rsid w:val="00387647"/>
    <w:rsid w:val="0038791A"/>
    <w:rsid w:val="00390056"/>
    <w:rsid w:val="0039055C"/>
    <w:rsid w:val="00390718"/>
    <w:rsid w:val="00390767"/>
    <w:rsid w:val="00390883"/>
    <w:rsid w:val="00391470"/>
    <w:rsid w:val="003920C4"/>
    <w:rsid w:val="00392184"/>
    <w:rsid w:val="00392652"/>
    <w:rsid w:val="00392B41"/>
    <w:rsid w:val="003943DC"/>
    <w:rsid w:val="0039456F"/>
    <w:rsid w:val="003945C8"/>
    <w:rsid w:val="0039480D"/>
    <w:rsid w:val="00395446"/>
    <w:rsid w:val="00396725"/>
    <w:rsid w:val="00397A28"/>
    <w:rsid w:val="00397E94"/>
    <w:rsid w:val="00397F05"/>
    <w:rsid w:val="003A012C"/>
    <w:rsid w:val="003A0442"/>
    <w:rsid w:val="003A0899"/>
    <w:rsid w:val="003A0F24"/>
    <w:rsid w:val="003A1512"/>
    <w:rsid w:val="003A1EB7"/>
    <w:rsid w:val="003A23F3"/>
    <w:rsid w:val="003A2D82"/>
    <w:rsid w:val="003A2DB0"/>
    <w:rsid w:val="003A337C"/>
    <w:rsid w:val="003A36DA"/>
    <w:rsid w:val="003A38F1"/>
    <w:rsid w:val="003A3D1B"/>
    <w:rsid w:val="003A3F39"/>
    <w:rsid w:val="003A4296"/>
    <w:rsid w:val="003A4549"/>
    <w:rsid w:val="003A49B3"/>
    <w:rsid w:val="003A4E04"/>
    <w:rsid w:val="003A4E51"/>
    <w:rsid w:val="003A55B4"/>
    <w:rsid w:val="003A55CE"/>
    <w:rsid w:val="003A55EA"/>
    <w:rsid w:val="003A61B6"/>
    <w:rsid w:val="003A623F"/>
    <w:rsid w:val="003A71AD"/>
    <w:rsid w:val="003A7C6F"/>
    <w:rsid w:val="003A7D1D"/>
    <w:rsid w:val="003B13ED"/>
    <w:rsid w:val="003B1688"/>
    <w:rsid w:val="003B1FA4"/>
    <w:rsid w:val="003B1FE6"/>
    <w:rsid w:val="003B3106"/>
    <w:rsid w:val="003B3974"/>
    <w:rsid w:val="003B39E0"/>
    <w:rsid w:val="003B3DAB"/>
    <w:rsid w:val="003B404D"/>
    <w:rsid w:val="003B4B34"/>
    <w:rsid w:val="003B4CDA"/>
    <w:rsid w:val="003B4F2D"/>
    <w:rsid w:val="003B52E0"/>
    <w:rsid w:val="003B5BD9"/>
    <w:rsid w:val="003B64A3"/>
    <w:rsid w:val="003B6DB8"/>
    <w:rsid w:val="003B72B9"/>
    <w:rsid w:val="003B7761"/>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C7F57"/>
    <w:rsid w:val="003D007D"/>
    <w:rsid w:val="003D01A1"/>
    <w:rsid w:val="003D04D6"/>
    <w:rsid w:val="003D04F6"/>
    <w:rsid w:val="003D04FE"/>
    <w:rsid w:val="003D18CC"/>
    <w:rsid w:val="003D3583"/>
    <w:rsid w:val="003D38DF"/>
    <w:rsid w:val="003D391E"/>
    <w:rsid w:val="003D3B6F"/>
    <w:rsid w:val="003D40E8"/>
    <w:rsid w:val="003D455E"/>
    <w:rsid w:val="003D51DC"/>
    <w:rsid w:val="003D5785"/>
    <w:rsid w:val="003D5A2D"/>
    <w:rsid w:val="003D5A9D"/>
    <w:rsid w:val="003D62C0"/>
    <w:rsid w:val="003D65F6"/>
    <w:rsid w:val="003D683C"/>
    <w:rsid w:val="003D68C3"/>
    <w:rsid w:val="003D6911"/>
    <w:rsid w:val="003D7E4B"/>
    <w:rsid w:val="003E0035"/>
    <w:rsid w:val="003E0C14"/>
    <w:rsid w:val="003E0D6F"/>
    <w:rsid w:val="003E1591"/>
    <w:rsid w:val="003E1ACF"/>
    <w:rsid w:val="003E216C"/>
    <w:rsid w:val="003E235D"/>
    <w:rsid w:val="003E236E"/>
    <w:rsid w:val="003E259D"/>
    <w:rsid w:val="003E26BA"/>
    <w:rsid w:val="003E2906"/>
    <w:rsid w:val="003E2969"/>
    <w:rsid w:val="003E2C1A"/>
    <w:rsid w:val="003E330F"/>
    <w:rsid w:val="003E3478"/>
    <w:rsid w:val="003E3BFC"/>
    <w:rsid w:val="003E3ED2"/>
    <w:rsid w:val="003E4E74"/>
    <w:rsid w:val="003E5F7D"/>
    <w:rsid w:val="003E6520"/>
    <w:rsid w:val="003E67E7"/>
    <w:rsid w:val="003E6B25"/>
    <w:rsid w:val="003E6B3C"/>
    <w:rsid w:val="003E6B95"/>
    <w:rsid w:val="003E70FF"/>
    <w:rsid w:val="003E7F1B"/>
    <w:rsid w:val="003F0B41"/>
    <w:rsid w:val="003F1150"/>
    <w:rsid w:val="003F1E39"/>
    <w:rsid w:val="003F229D"/>
    <w:rsid w:val="003F25F0"/>
    <w:rsid w:val="003F2A41"/>
    <w:rsid w:val="003F2D5B"/>
    <w:rsid w:val="003F5AD2"/>
    <w:rsid w:val="003F5CA4"/>
    <w:rsid w:val="003F6A60"/>
    <w:rsid w:val="003F6D50"/>
    <w:rsid w:val="003F7006"/>
    <w:rsid w:val="003F7507"/>
    <w:rsid w:val="003F7C72"/>
    <w:rsid w:val="003F7D10"/>
    <w:rsid w:val="00401000"/>
    <w:rsid w:val="004016C6"/>
    <w:rsid w:val="0040179A"/>
    <w:rsid w:val="00401856"/>
    <w:rsid w:val="004028A2"/>
    <w:rsid w:val="00402FEB"/>
    <w:rsid w:val="00403344"/>
    <w:rsid w:val="00403C82"/>
    <w:rsid w:val="00404157"/>
    <w:rsid w:val="00404C44"/>
    <w:rsid w:val="00404CDF"/>
    <w:rsid w:val="00404EE8"/>
    <w:rsid w:val="0040510D"/>
    <w:rsid w:val="0040512D"/>
    <w:rsid w:val="0040602F"/>
    <w:rsid w:val="004069C5"/>
    <w:rsid w:val="00406AFB"/>
    <w:rsid w:val="00407382"/>
    <w:rsid w:val="0040791B"/>
    <w:rsid w:val="00407F26"/>
    <w:rsid w:val="00411958"/>
    <w:rsid w:val="00411B2A"/>
    <w:rsid w:val="00412821"/>
    <w:rsid w:val="00412973"/>
    <w:rsid w:val="00412D42"/>
    <w:rsid w:val="00412DA4"/>
    <w:rsid w:val="00412EB6"/>
    <w:rsid w:val="0041351F"/>
    <w:rsid w:val="004137C8"/>
    <w:rsid w:val="00413BC6"/>
    <w:rsid w:val="00413BF9"/>
    <w:rsid w:val="00413C25"/>
    <w:rsid w:val="00414F6E"/>
    <w:rsid w:val="00415531"/>
    <w:rsid w:val="0041580E"/>
    <w:rsid w:val="0041582E"/>
    <w:rsid w:val="00416330"/>
    <w:rsid w:val="004176C7"/>
    <w:rsid w:val="00417877"/>
    <w:rsid w:val="00417D9F"/>
    <w:rsid w:val="00420229"/>
    <w:rsid w:val="00420DBA"/>
    <w:rsid w:val="00421311"/>
    <w:rsid w:val="00422E13"/>
    <w:rsid w:val="0042332A"/>
    <w:rsid w:val="0042350F"/>
    <w:rsid w:val="00423568"/>
    <w:rsid w:val="00423599"/>
    <w:rsid w:val="0042384C"/>
    <w:rsid w:val="00423893"/>
    <w:rsid w:val="00423BC9"/>
    <w:rsid w:val="00423D9D"/>
    <w:rsid w:val="004253B7"/>
    <w:rsid w:val="004255B4"/>
    <w:rsid w:val="00426766"/>
    <w:rsid w:val="004267D0"/>
    <w:rsid w:val="004279CA"/>
    <w:rsid w:val="00427A82"/>
    <w:rsid w:val="00427EA2"/>
    <w:rsid w:val="00430115"/>
    <w:rsid w:val="00430A4B"/>
    <w:rsid w:val="00431235"/>
    <w:rsid w:val="00431C46"/>
    <w:rsid w:val="004327E6"/>
    <w:rsid w:val="004329DC"/>
    <w:rsid w:val="00432AC6"/>
    <w:rsid w:val="004341C6"/>
    <w:rsid w:val="00434C5E"/>
    <w:rsid w:val="00435765"/>
    <w:rsid w:val="004360B6"/>
    <w:rsid w:val="004362E5"/>
    <w:rsid w:val="00436356"/>
    <w:rsid w:val="00440722"/>
    <w:rsid w:val="004425D9"/>
    <w:rsid w:val="004426CD"/>
    <w:rsid w:val="00443244"/>
    <w:rsid w:val="00443974"/>
    <w:rsid w:val="00444AF6"/>
    <w:rsid w:val="0044519D"/>
    <w:rsid w:val="00445544"/>
    <w:rsid w:val="00445C0B"/>
    <w:rsid w:val="00446195"/>
    <w:rsid w:val="00446C12"/>
    <w:rsid w:val="00447A62"/>
    <w:rsid w:val="00447ADD"/>
    <w:rsid w:val="00447CD0"/>
    <w:rsid w:val="00447FC2"/>
    <w:rsid w:val="004502F4"/>
    <w:rsid w:val="0045060D"/>
    <w:rsid w:val="004506F4"/>
    <w:rsid w:val="004509D1"/>
    <w:rsid w:val="00450A42"/>
    <w:rsid w:val="00450E98"/>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6E2"/>
    <w:rsid w:val="0045770D"/>
    <w:rsid w:val="0045790F"/>
    <w:rsid w:val="00457D63"/>
    <w:rsid w:val="00457E21"/>
    <w:rsid w:val="0046007E"/>
    <w:rsid w:val="0046024B"/>
    <w:rsid w:val="00460E36"/>
    <w:rsid w:val="00461155"/>
    <w:rsid w:val="0046218C"/>
    <w:rsid w:val="004623D4"/>
    <w:rsid w:val="00463944"/>
    <w:rsid w:val="0046485B"/>
    <w:rsid w:val="0046512A"/>
    <w:rsid w:val="00465234"/>
    <w:rsid w:val="00465B24"/>
    <w:rsid w:val="00466858"/>
    <w:rsid w:val="00466D0F"/>
    <w:rsid w:val="00467544"/>
    <w:rsid w:val="004676BA"/>
    <w:rsid w:val="0046784C"/>
    <w:rsid w:val="00467ECB"/>
    <w:rsid w:val="004710C3"/>
    <w:rsid w:val="00471271"/>
    <w:rsid w:val="00471459"/>
    <w:rsid w:val="00471EEF"/>
    <w:rsid w:val="00472274"/>
    <w:rsid w:val="004722D4"/>
    <w:rsid w:val="00472AD0"/>
    <w:rsid w:val="00472D9C"/>
    <w:rsid w:val="00473B60"/>
    <w:rsid w:val="0047554F"/>
    <w:rsid w:val="00475A54"/>
    <w:rsid w:val="00475AFF"/>
    <w:rsid w:val="00475D30"/>
    <w:rsid w:val="004765F4"/>
    <w:rsid w:val="00476B4D"/>
    <w:rsid w:val="00476CBC"/>
    <w:rsid w:val="00476E6C"/>
    <w:rsid w:val="00477282"/>
    <w:rsid w:val="00477947"/>
    <w:rsid w:val="00480FA1"/>
    <w:rsid w:val="00481FD7"/>
    <w:rsid w:val="00482DE5"/>
    <w:rsid w:val="00483266"/>
    <w:rsid w:val="0048352E"/>
    <w:rsid w:val="0048366D"/>
    <w:rsid w:val="004836A9"/>
    <w:rsid w:val="00483B23"/>
    <w:rsid w:val="004840D7"/>
    <w:rsid w:val="004846F4"/>
    <w:rsid w:val="00485120"/>
    <w:rsid w:val="00485C26"/>
    <w:rsid w:val="00485EC0"/>
    <w:rsid w:val="0048666F"/>
    <w:rsid w:val="00486A51"/>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59"/>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CF3"/>
    <w:rsid w:val="004C4E8A"/>
    <w:rsid w:val="004C4F1B"/>
    <w:rsid w:val="004C514A"/>
    <w:rsid w:val="004C5FE0"/>
    <w:rsid w:val="004C645A"/>
    <w:rsid w:val="004C6572"/>
    <w:rsid w:val="004C6D4F"/>
    <w:rsid w:val="004C7541"/>
    <w:rsid w:val="004D1432"/>
    <w:rsid w:val="004D1E71"/>
    <w:rsid w:val="004D2CDF"/>
    <w:rsid w:val="004D33CE"/>
    <w:rsid w:val="004D4AAE"/>
    <w:rsid w:val="004D7C86"/>
    <w:rsid w:val="004E0197"/>
    <w:rsid w:val="004E043F"/>
    <w:rsid w:val="004E0A41"/>
    <w:rsid w:val="004E1056"/>
    <w:rsid w:val="004E1122"/>
    <w:rsid w:val="004E1409"/>
    <w:rsid w:val="004E19D0"/>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335"/>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6CC"/>
    <w:rsid w:val="005019E0"/>
    <w:rsid w:val="0050211F"/>
    <w:rsid w:val="005022E7"/>
    <w:rsid w:val="00502A93"/>
    <w:rsid w:val="00506083"/>
    <w:rsid w:val="005068D6"/>
    <w:rsid w:val="00506B86"/>
    <w:rsid w:val="00506EEC"/>
    <w:rsid w:val="00506FD4"/>
    <w:rsid w:val="00507855"/>
    <w:rsid w:val="005107FF"/>
    <w:rsid w:val="00510CBC"/>
    <w:rsid w:val="0051102D"/>
    <w:rsid w:val="005112A5"/>
    <w:rsid w:val="005119C5"/>
    <w:rsid w:val="00511F48"/>
    <w:rsid w:val="00512448"/>
    <w:rsid w:val="0051253A"/>
    <w:rsid w:val="0051266C"/>
    <w:rsid w:val="0051292A"/>
    <w:rsid w:val="00513B72"/>
    <w:rsid w:val="00515277"/>
    <w:rsid w:val="005158C2"/>
    <w:rsid w:val="005169DE"/>
    <w:rsid w:val="00517139"/>
    <w:rsid w:val="0051754D"/>
    <w:rsid w:val="0051785D"/>
    <w:rsid w:val="00517913"/>
    <w:rsid w:val="0052005F"/>
    <w:rsid w:val="00520200"/>
    <w:rsid w:val="00520E2D"/>
    <w:rsid w:val="00520F04"/>
    <w:rsid w:val="0052107A"/>
    <w:rsid w:val="00521717"/>
    <w:rsid w:val="005224B2"/>
    <w:rsid w:val="00522CBA"/>
    <w:rsid w:val="00522FAD"/>
    <w:rsid w:val="00523B23"/>
    <w:rsid w:val="00523DFA"/>
    <w:rsid w:val="005242F9"/>
    <w:rsid w:val="005254BC"/>
    <w:rsid w:val="005256FC"/>
    <w:rsid w:val="00526C27"/>
    <w:rsid w:val="00526DFF"/>
    <w:rsid w:val="00526F8F"/>
    <w:rsid w:val="00527473"/>
    <w:rsid w:val="0052784C"/>
    <w:rsid w:val="00527CB7"/>
    <w:rsid w:val="00527EF9"/>
    <w:rsid w:val="00527FB2"/>
    <w:rsid w:val="005305FF"/>
    <w:rsid w:val="00530A93"/>
    <w:rsid w:val="00530C9B"/>
    <w:rsid w:val="00530DDD"/>
    <w:rsid w:val="00531023"/>
    <w:rsid w:val="00531BB5"/>
    <w:rsid w:val="00532334"/>
    <w:rsid w:val="005324AF"/>
    <w:rsid w:val="0053402C"/>
    <w:rsid w:val="00534090"/>
    <w:rsid w:val="00534ABA"/>
    <w:rsid w:val="00534FE9"/>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205"/>
    <w:rsid w:val="005504E7"/>
    <w:rsid w:val="00550D59"/>
    <w:rsid w:val="0055102F"/>
    <w:rsid w:val="0055110D"/>
    <w:rsid w:val="00551F81"/>
    <w:rsid w:val="0055210F"/>
    <w:rsid w:val="005529A9"/>
    <w:rsid w:val="00552CD7"/>
    <w:rsid w:val="005533BE"/>
    <w:rsid w:val="00554B30"/>
    <w:rsid w:val="00554F62"/>
    <w:rsid w:val="00554FFB"/>
    <w:rsid w:val="005568DE"/>
    <w:rsid w:val="005573D4"/>
    <w:rsid w:val="00557C50"/>
    <w:rsid w:val="005606B6"/>
    <w:rsid w:val="005608D6"/>
    <w:rsid w:val="00560F19"/>
    <w:rsid w:val="00561E6B"/>
    <w:rsid w:val="005621D2"/>
    <w:rsid w:val="005621E0"/>
    <w:rsid w:val="005623D5"/>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78C"/>
    <w:rsid w:val="00575DF4"/>
    <w:rsid w:val="0057765D"/>
    <w:rsid w:val="005777FC"/>
    <w:rsid w:val="005808EB"/>
    <w:rsid w:val="00580D37"/>
    <w:rsid w:val="00581FA0"/>
    <w:rsid w:val="00582833"/>
    <w:rsid w:val="00582B90"/>
    <w:rsid w:val="00583134"/>
    <w:rsid w:val="005831A7"/>
    <w:rsid w:val="00583321"/>
    <w:rsid w:val="0058341E"/>
    <w:rsid w:val="00584F3A"/>
    <w:rsid w:val="005853AB"/>
    <w:rsid w:val="00585748"/>
    <w:rsid w:val="005859C5"/>
    <w:rsid w:val="00585C79"/>
    <w:rsid w:val="00585FD0"/>
    <w:rsid w:val="00586144"/>
    <w:rsid w:val="00587785"/>
    <w:rsid w:val="0058788D"/>
    <w:rsid w:val="00587A1E"/>
    <w:rsid w:val="00587E29"/>
    <w:rsid w:val="00587F2B"/>
    <w:rsid w:val="00587FE6"/>
    <w:rsid w:val="0059040D"/>
    <w:rsid w:val="00591698"/>
    <w:rsid w:val="00593B87"/>
    <w:rsid w:val="00593C1C"/>
    <w:rsid w:val="00593E94"/>
    <w:rsid w:val="00594143"/>
    <w:rsid w:val="00594543"/>
    <w:rsid w:val="00594612"/>
    <w:rsid w:val="00595873"/>
    <w:rsid w:val="00595CDD"/>
    <w:rsid w:val="005964BB"/>
    <w:rsid w:val="00596A70"/>
    <w:rsid w:val="00596BB9"/>
    <w:rsid w:val="00596BD3"/>
    <w:rsid w:val="00596BE7"/>
    <w:rsid w:val="00596C3E"/>
    <w:rsid w:val="005977DD"/>
    <w:rsid w:val="005A04BD"/>
    <w:rsid w:val="005A0A3F"/>
    <w:rsid w:val="005A0CD8"/>
    <w:rsid w:val="005A114F"/>
    <w:rsid w:val="005A142F"/>
    <w:rsid w:val="005A1F49"/>
    <w:rsid w:val="005A2364"/>
    <w:rsid w:val="005A2480"/>
    <w:rsid w:val="005A2B2C"/>
    <w:rsid w:val="005A2D6B"/>
    <w:rsid w:val="005A3252"/>
    <w:rsid w:val="005A33F7"/>
    <w:rsid w:val="005A40CF"/>
    <w:rsid w:val="005A4A9C"/>
    <w:rsid w:val="005A4BAE"/>
    <w:rsid w:val="005A4F39"/>
    <w:rsid w:val="005A574D"/>
    <w:rsid w:val="005A5B5C"/>
    <w:rsid w:val="005A5E9A"/>
    <w:rsid w:val="005A620A"/>
    <w:rsid w:val="005A6E93"/>
    <w:rsid w:val="005A707A"/>
    <w:rsid w:val="005A7340"/>
    <w:rsid w:val="005A7F93"/>
    <w:rsid w:val="005B07EA"/>
    <w:rsid w:val="005B0B20"/>
    <w:rsid w:val="005B0BD6"/>
    <w:rsid w:val="005B0C9C"/>
    <w:rsid w:val="005B0EFB"/>
    <w:rsid w:val="005B1060"/>
    <w:rsid w:val="005B12B9"/>
    <w:rsid w:val="005B17C1"/>
    <w:rsid w:val="005B1F4C"/>
    <w:rsid w:val="005B21BE"/>
    <w:rsid w:val="005B3737"/>
    <w:rsid w:val="005B3A42"/>
    <w:rsid w:val="005B5D40"/>
    <w:rsid w:val="005B5EFC"/>
    <w:rsid w:val="005B6412"/>
    <w:rsid w:val="005B6698"/>
    <w:rsid w:val="005B68A7"/>
    <w:rsid w:val="005B6AC3"/>
    <w:rsid w:val="005B76E3"/>
    <w:rsid w:val="005C055E"/>
    <w:rsid w:val="005C0FA1"/>
    <w:rsid w:val="005C1615"/>
    <w:rsid w:val="005C1948"/>
    <w:rsid w:val="005C1D98"/>
    <w:rsid w:val="005C1DA5"/>
    <w:rsid w:val="005C2559"/>
    <w:rsid w:val="005C27D2"/>
    <w:rsid w:val="005C2873"/>
    <w:rsid w:val="005C34FC"/>
    <w:rsid w:val="005C3B5C"/>
    <w:rsid w:val="005C3C7F"/>
    <w:rsid w:val="005C5143"/>
    <w:rsid w:val="005C51D4"/>
    <w:rsid w:val="005C5639"/>
    <w:rsid w:val="005C5742"/>
    <w:rsid w:val="005C67C3"/>
    <w:rsid w:val="005C6948"/>
    <w:rsid w:val="005C6CA5"/>
    <w:rsid w:val="005C7107"/>
    <w:rsid w:val="005C760E"/>
    <w:rsid w:val="005C7E9E"/>
    <w:rsid w:val="005D18C9"/>
    <w:rsid w:val="005D1B72"/>
    <w:rsid w:val="005D1C33"/>
    <w:rsid w:val="005D2471"/>
    <w:rsid w:val="005D25A3"/>
    <w:rsid w:val="005D2779"/>
    <w:rsid w:val="005D3242"/>
    <w:rsid w:val="005D610C"/>
    <w:rsid w:val="005D6299"/>
    <w:rsid w:val="005D74E7"/>
    <w:rsid w:val="005D7C64"/>
    <w:rsid w:val="005D7F7B"/>
    <w:rsid w:val="005E026A"/>
    <w:rsid w:val="005E1CEA"/>
    <w:rsid w:val="005E2433"/>
    <w:rsid w:val="005E3BCD"/>
    <w:rsid w:val="005E3D1A"/>
    <w:rsid w:val="005E4A87"/>
    <w:rsid w:val="005E4DA5"/>
    <w:rsid w:val="005E503E"/>
    <w:rsid w:val="005E5041"/>
    <w:rsid w:val="005E59C7"/>
    <w:rsid w:val="005E5E7B"/>
    <w:rsid w:val="005E6095"/>
    <w:rsid w:val="005E6A3F"/>
    <w:rsid w:val="005E6DB8"/>
    <w:rsid w:val="005E7228"/>
    <w:rsid w:val="005E7284"/>
    <w:rsid w:val="005E7BAC"/>
    <w:rsid w:val="005F0E5C"/>
    <w:rsid w:val="005F134E"/>
    <w:rsid w:val="005F1365"/>
    <w:rsid w:val="005F17A6"/>
    <w:rsid w:val="005F2C1F"/>
    <w:rsid w:val="005F2E44"/>
    <w:rsid w:val="005F3690"/>
    <w:rsid w:val="005F3986"/>
    <w:rsid w:val="005F4C57"/>
    <w:rsid w:val="005F5BF5"/>
    <w:rsid w:val="005F6774"/>
    <w:rsid w:val="005F79AA"/>
    <w:rsid w:val="0060018F"/>
    <w:rsid w:val="0060044B"/>
    <w:rsid w:val="00600CC9"/>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549"/>
    <w:rsid w:val="00607A9A"/>
    <w:rsid w:val="00607C35"/>
    <w:rsid w:val="00610683"/>
    <w:rsid w:val="00610FF4"/>
    <w:rsid w:val="00611777"/>
    <w:rsid w:val="0061189F"/>
    <w:rsid w:val="0061219B"/>
    <w:rsid w:val="00612D05"/>
    <w:rsid w:val="006136A3"/>
    <w:rsid w:val="00613FB6"/>
    <w:rsid w:val="006140C6"/>
    <w:rsid w:val="00614134"/>
    <w:rsid w:val="00614241"/>
    <w:rsid w:val="0061428D"/>
    <w:rsid w:val="00615411"/>
    <w:rsid w:val="0061599E"/>
    <w:rsid w:val="00615A41"/>
    <w:rsid w:val="00615AC7"/>
    <w:rsid w:val="006162E6"/>
    <w:rsid w:val="00616FDE"/>
    <w:rsid w:val="006171A5"/>
    <w:rsid w:val="00620309"/>
    <w:rsid w:val="006206D5"/>
    <w:rsid w:val="0062159D"/>
    <w:rsid w:val="00621680"/>
    <w:rsid w:val="00621EC5"/>
    <w:rsid w:val="006223E0"/>
    <w:rsid w:val="006224D0"/>
    <w:rsid w:val="006226A3"/>
    <w:rsid w:val="00622BCE"/>
    <w:rsid w:val="00622E29"/>
    <w:rsid w:val="006232AC"/>
    <w:rsid w:val="00623643"/>
    <w:rsid w:val="00624018"/>
    <w:rsid w:val="006240C4"/>
    <w:rsid w:val="00624B3C"/>
    <w:rsid w:val="006252C2"/>
    <w:rsid w:val="00625304"/>
    <w:rsid w:val="006255B8"/>
    <w:rsid w:val="0062581B"/>
    <w:rsid w:val="006261F4"/>
    <w:rsid w:val="006304FA"/>
    <w:rsid w:val="0063164E"/>
    <w:rsid w:val="0063191D"/>
    <w:rsid w:val="00632172"/>
    <w:rsid w:val="00633488"/>
    <w:rsid w:val="00633581"/>
    <w:rsid w:val="006339AF"/>
    <w:rsid w:val="00633C47"/>
    <w:rsid w:val="006348F7"/>
    <w:rsid w:val="0063512D"/>
    <w:rsid w:val="006358FB"/>
    <w:rsid w:val="00635AE2"/>
    <w:rsid w:val="00635E1E"/>
    <w:rsid w:val="0063677C"/>
    <w:rsid w:val="00636972"/>
    <w:rsid w:val="00636B69"/>
    <w:rsid w:val="00636BC2"/>
    <w:rsid w:val="00636C57"/>
    <w:rsid w:val="006404B1"/>
    <w:rsid w:val="006404D1"/>
    <w:rsid w:val="00640F43"/>
    <w:rsid w:val="006412CA"/>
    <w:rsid w:val="006420DA"/>
    <w:rsid w:val="00642A0A"/>
    <w:rsid w:val="006437E1"/>
    <w:rsid w:val="00643AC1"/>
    <w:rsid w:val="00643AC9"/>
    <w:rsid w:val="00643D62"/>
    <w:rsid w:val="00644A5E"/>
    <w:rsid w:val="00644A6C"/>
    <w:rsid w:val="00644D69"/>
    <w:rsid w:val="006457A8"/>
    <w:rsid w:val="00645EA0"/>
    <w:rsid w:val="00645F76"/>
    <w:rsid w:val="00646EB0"/>
    <w:rsid w:val="0064714D"/>
    <w:rsid w:val="0064727D"/>
    <w:rsid w:val="006473CE"/>
    <w:rsid w:val="00647B32"/>
    <w:rsid w:val="00647C27"/>
    <w:rsid w:val="006508D5"/>
    <w:rsid w:val="006519E6"/>
    <w:rsid w:val="00651CDE"/>
    <w:rsid w:val="00652326"/>
    <w:rsid w:val="006524F6"/>
    <w:rsid w:val="00652907"/>
    <w:rsid w:val="00652E06"/>
    <w:rsid w:val="00653748"/>
    <w:rsid w:val="00653FC4"/>
    <w:rsid w:val="00654F91"/>
    <w:rsid w:val="00655361"/>
    <w:rsid w:val="00656253"/>
    <w:rsid w:val="00656799"/>
    <w:rsid w:val="00656B77"/>
    <w:rsid w:val="00656E72"/>
    <w:rsid w:val="006572A1"/>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6912"/>
    <w:rsid w:val="00667499"/>
    <w:rsid w:val="00667AEA"/>
    <w:rsid w:val="006704FA"/>
    <w:rsid w:val="00670687"/>
    <w:rsid w:val="006707D0"/>
    <w:rsid w:val="00670DC5"/>
    <w:rsid w:val="006713C8"/>
    <w:rsid w:val="006715D0"/>
    <w:rsid w:val="00671652"/>
    <w:rsid w:val="00671FAA"/>
    <w:rsid w:val="00671FDC"/>
    <w:rsid w:val="00675DA5"/>
    <w:rsid w:val="00676799"/>
    <w:rsid w:val="00680482"/>
    <w:rsid w:val="006808DC"/>
    <w:rsid w:val="0068133E"/>
    <w:rsid w:val="006816B6"/>
    <w:rsid w:val="006820EB"/>
    <w:rsid w:val="00682128"/>
    <w:rsid w:val="0068220C"/>
    <w:rsid w:val="00682AB1"/>
    <w:rsid w:val="00682E9F"/>
    <w:rsid w:val="00683252"/>
    <w:rsid w:val="0068343A"/>
    <w:rsid w:val="006834D4"/>
    <w:rsid w:val="00683C89"/>
    <w:rsid w:val="00683FAD"/>
    <w:rsid w:val="0068413D"/>
    <w:rsid w:val="006844BA"/>
    <w:rsid w:val="006845A2"/>
    <w:rsid w:val="00684BF8"/>
    <w:rsid w:val="00684D9B"/>
    <w:rsid w:val="006858AA"/>
    <w:rsid w:val="00685A02"/>
    <w:rsid w:val="00685BCF"/>
    <w:rsid w:val="006871D0"/>
    <w:rsid w:val="0068751F"/>
    <w:rsid w:val="006900D1"/>
    <w:rsid w:val="00690297"/>
    <w:rsid w:val="0069115A"/>
    <w:rsid w:val="006912F1"/>
    <w:rsid w:val="00691387"/>
    <w:rsid w:val="006927F2"/>
    <w:rsid w:val="006931E1"/>
    <w:rsid w:val="0069322D"/>
    <w:rsid w:val="00693E3A"/>
    <w:rsid w:val="00694310"/>
    <w:rsid w:val="00694700"/>
    <w:rsid w:val="00694803"/>
    <w:rsid w:val="00694CE8"/>
    <w:rsid w:val="006955E9"/>
    <w:rsid w:val="0069569E"/>
    <w:rsid w:val="006956C6"/>
    <w:rsid w:val="00696EE3"/>
    <w:rsid w:val="00696FC8"/>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E1F"/>
    <w:rsid w:val="006A5F88"/>
    <w:rsid w:val="006A7383"/>
    <w:rsid w:val="006A7D95"/>
    <w:rsid w:val="006B120D"/>
    <w:rsid w:val="006B13C1"/>
    <w:rsid w:val="006B2CC7"/>
    <w:rsid w:val="006B3AF9"/>
    <w:rsid w:val="006B44C5"/>
    <w:rsid w:val="006B555F"/>
    <w:rsid w:val="006B5A60"/>
    <w:rsid w:val="006B6242"/>
    <w:rsid w:val="006B62B8"/>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E03"/>
    <w:rsid w:val="006C5CCA"/>
    <w:rsid w:val="006C60E3"/>
    <w:rsid w:val="006C625F"/>
    <w:rsid w:val="006C78A6"/>
    <w:rsid w:val="006C7AB4"/>
    <w:rsid w:val="006C7AD1"/>
    <w:rsid w:val="006D006B"/>
    <w:rsid w:val="006D06CB"/>
    <w:rsid w:val="006D0D17"/>
    <w:rsid w:val="006D0D95"/>
    <w:rsid w:val="006D105C"/>
    <w:rsid w:val="006D16CF"/>
    <w:rsid w:val="006D30E7"/>
    <w:rsid w:val="006D3EC7"/>
    <w:rsid w:val="006D48E7"/>
    <w:rsid w:val="006D4947"/>
    <w:rsid w:val="006D5893"/>
    <w:rsid w:val="006D5CDD"/>
    <w:rsid w:val="006D5DA5"/>
    <w:rsid w:val="006D5F16"/>
    <w:rsid w:val="006D6318"/>
    <w:rsid w:val="006D63AD"/>
    <w:rsid w:val="006D6764"/>
    <w:rsid w:val="006D67D9"/>
    <w:rsid w:val="006D6C93"/>
    <w:rsid w:val="006D7573"/>
    <w:rsid w:val="006E0340"/>
    <w:rsid w:val="006E06F9"/>
    <w:rsid w:val="006E07A9"/>
    <w:rsid w:val="006E0D91"/>
    <w:rsid w:val="006E1706"/>
    <w:rsid w:val="006E3CB2"/>
    <w:rsid w:val="006E3DA8"/>
    <w:rsid w:val="006E5454"/>
    <w:rsid w:val="006E5DAA"/>
    <w:rsid w:val="006E7006"/>
    <w:rsid w:val="006F00E7"/>
    <w:rsid w:val="006F0F6E"/>
    <w:rsid w:val="006F1B22"/>
    <w:rsid w:val="006F1BA4"/>
    <w:rsid w:val="006F2259"/>
    <w:rsid w:val="006F23E1"/>
    <w:rsid w:val="006F2F8F"/>
    <w:rsid w:val="006F2FDA"/>
    <w:rsid w:val="006F2FE5"/>
    <w:rsid w:val="006F3150"/>
    <w:rsid w:val="006F3460"/>
    <w:rsid w:val="006F34FE"/>
    <w:rsid w:val="006F3615"/>
    <w:rsid w:val="006F3FA3"/>
    <w:rsid w:val="006F48BA"/>
    <w:rsid w:val="006F4AF9"/>
    <w:rsid w:val="006F54EB"/>
    <w:rsid w:val="006F5A6F"/>
    <w:rsid w:val="006F5CC1"/>
    <w:rsid w:val="006F67A5"/>
    <w:rsid w:val="006F6C74"/>
    <w:rsid w:val="006F762D"/>
    <w:rsid w:val="007002E3"/>
    <w:rsid w:val="00700492"/>
    <w:rsid w:val="007009AC"/>
    <w:rsid w:val="007010EB"/>
    <w:rsid w:val="0070167E"/>
    <w:rsid w:val="00701E1B"/>
    <w:rsid w:val="00702ED0"/>
    <w:rsid w:val="00703357"/>
    <w:rsid w:val="00703C09"/>
    <w:rsid w:val="0070434A"/>
    <w:rsid w:val="007048C4"/>
    <w:rsid w:val="00704CC4"/>
    <w:rsid w:val="00705345"/>
    <w:rsid w:val="0070631D"/>
    <w:rsid w:val="0070638D"/>
    <w:rsid w:val="00706DBF"/>
    <w:rsid w:val="00707A59"/>
    <w:rsid w:val="0071046B"/>
    <w:rsid w:val="00710AC6"/>
    <w:rsid w:val="00710C1D"/>
    <w:rsid w:val="007110A3"/>
    <w:rsid w:val="00711108"/>
    <w:rsid w:val="00711213"/>
    <w:rsid w:val="007112A1"/>
    <w:rsid w:val="007113D5"/>
    <w:rsid w:val="00711996"/>
    <w:rsid w:val="00711B3B"/>
    <w:rsid w:val="00711BA3"/>
    <w:rsid w:val="00711C9D"/>
    <w:rsid w:val="00712201"/>
    <w:rsid w:val="00712B71"/>
    <w:rsid w:val="00712E55"/>
    <w:rsid w:val="00713023"/>
    <w:rsid w:val="0071322C"/>
    <w:rsid w:val="00713779"/>
    <w:rsid w:val="00713989"/>
    <w:rsid w:val="00713DCF"/>
    <w:rsid w:val="00714004"/>
    <w:rsid w:val="0071412A"/>
    <w:rsid w:val="0071458E"/>
    <w:rsid w:val="007145C9"/>
    <w:rsid w:val="00714631"/>
    <w:rsid w:val="007147E1"/>
    <w:rsid w:val="00714B6E"/>
    <w:rsid w:val="0071512F"/>
    <w:rsid w:val="007169AC"/>
    <w:rsid w:val="007169DD"/>
    <w:rsid w:val="007169FE"/>
    <w:rsid w:val="00717679"/>
    <w:rsid w:val="00717861"/>
    <w:rsid w:val="00717B67"/>
    <w:rsid w:val="007206A2"/>
    <w:rsid w:val="00720B38"/>
    <w:rsid w:val="00720CA7"/>
    <w:rsid w:val="0072147B"/>
    <w:rsid w:val="0072181E"/>
    <w:rsid w:val="00722267"/>
    <w:rsid w:val="0072285E"/>
    <w:rsid w:val="0072299E"/>
    <w:rsid w:val="00722C62"/>
    <w:rsid w:val="0072321F"/>
    <w:rsid w:val="00723295"/>
    <w:rsid w:val="007238E2"/>
    <w:rsid w:val="007239B4"/>
    <w:rsid w:val="00724446"/>
    <w:rsid w:val="00724584"/>
    <w:rsid w:val="0072495C"/>
    <w:rsid w:val="00724AA1"/>
    <w:rsid w:val="00724D39"/>
    <w:rsid w:val="00725A19"/>
    <w:rsid w:val="00726356"/>
    <w:rsid w:val="007268C7"/>
    <w:rsid w:val="00726AAB"/>
    <w:rsid w:val="00727077"/>
    <w:rsid w:val="00727129"/>
    <w:rsid w:val="00727321"/>
    <w:rsid w:val="0073026F"/>
    <w:rsid w:val="00730EA6"/>
    <w:rsid w:val="00731C15"/>
    <w:rsid w:val="00732045"/>
    <w:rsid w:val="007322A0"/>
    <w:rsid w:val="00732C1A"/>
    <w:rsid w:val="00733CDC"/>
    <w:rsid w:val="00734B9A"/>
    <w:rsid w:val="00735365"/>
    <w:rsid w:val="00735695"/>
    <w:rsid w:val="007360CB"/>
    <w:rsid w:val="00737037"/>
    <w:rsid w:val="00737566"/>
    <w:rsid w:val="00737FFD"/>
    <w:rsid w:val="00741BA2"/>
    <w:rsid w:val="00741CF4"/>
    <w:rsid w:val="00741DCC"/>
    <w:rsid w:val="00741DE2"/>
    <w:rsid w:val="007421A1"/>
    <w:rsid w:val="00742590"/>
    <w:rsid w:val="007427FE"/>
    <w:rsid w:val="00742C51"/>
    <w:rsid w:val="00743061"/>
    <w:rsid w:val="00743445"/>
    <w:rsid w:val="00745E01"/>
    <w:rsid w:val="0074666B"/>
    <w:rsid w:val="007468D6"/>
    <w:rsid w:val="00746BFF"/>
    <w:rsid w:val="007473E1"/>
    <w:rsid w:val="00747897"/>
    <w:rsid w:val="00747E47"/>
    <w:rsid w:val="00750192"/>
    <w:rsid w:val="007504E1"/>
    <w:rsid w:val="00750544"/>
    <w:rsid w:val="00750804"/>
    <w:rsid w:val="007509AB"/>
    <w:rsid w:val="00750DE9"/>
    <w:rsid w:val="00751689"/>
    <w:rsid w:val="007524AA"/>
    <w:rsid w:val="00753744"/>
    <w:rsid w:val="00753947"/>
    <w:rsid w:val="00753A93"/>
    <w:rsid w:val="00755663"/>
    <w:rsid w:val="00756386"/>
    <w:rsid w:val="00756603"/>
    <w:rsid w:val="007575C0"/>
    <w:rsid w:val="00757D2F"/>
    <w:rsid w:val="0076000E"/>
    <w:rsid w:val="00760C00"/>
    <w:rsid w:val="00760D3A"/>
    <w:rsid w:val="007610E9"/>
    <w:rsid w:val="00761183"/>
    <w:rsid w:val="007613C5"/>
    <w:rsid w:val="00761728"/>
    <w:rsid w:val="00761C6C"/>
    <w:rsid w:val="00762B72"/>
    <w:rsid w:val="00763AC4"/>
    <w:rsid w:val="00763CCB"/>
    <w:rsid w:val="007642B4"/>
    <w:rsid w:val="00764C45"/>
    <w:rsid w:val="00764C7F"/>
    <w:rsid w:val="00765264"/>
    <w:rsid w:val="00765377"/>
    <w:rsid w:val="00766277"/>
    <w:rsid w:val="0076656A"/>
    <w:rsid w:val="00766701"/>
    <w:rsid w:val="00766911"/>
    <w:rsid w:val="00767793"/>
    <w:rsid w:val="007679D8"/>
    <w:rsid w:val="007706A6"/>
    <w:rsid w:val="00770803"/>
    <w:rsid w:val="00771319"/>
    <w:rsid w:val="007713E8"/>
    <w:rsid w:val="00771794"/>
    <w:rsid w:val="00771A67"/>
    <w:rsid w:val="00771CCF"/>
    <w:rsid w:val="00771F7D"/>
    <w:rsid w:val="00772C3E"/>
    <w:rsid w:val="007736E8"/>
    <w:rsid w:val="00774400"/>
    <w:rsid w:val="00774ACE"/>
    <w:rsid w:val="00775823"/>
    <w:rsid w:val="00775F57"/>
    <w:rsid w:val="00776584"/>
    <w:rsid w:val="007765E9"/>
    <w:rsid w:val="007769EF"/>
    <w:rsid w:val="00776D4F"/>
    <w:rsid w:val="00776DDC"/>
    <w:rsid w:val="007770F9"/>
    <w:rsid w:val="00777179"/>
    <w:rsid w:val="00777945"/>
    <w:rsid w:val="00777D40"/>
    <w:rsid w:val="00780B8D"/>
    <w:rsid w:val="00780B8E"/>
    <w:rsid w:val="00781649"/>
    <w:rsid w:val="007821F9"/>
    <w:rsid w:val="007823D6"/>
    <w:rsid w:val="0078254E"/>
    <w:rsid w:val="00782628"/>
    <w:rsid w:val="007826AB"/>
    <w:rsid w:val="0078402F"/>
    <w:rsid w:val="007840E2"/>
    <w:rsid w:val="0078569F"/>
    <w:rsid w:val="00785803"/>
    <w:rsid w:val="00785EB4"/>
    <w:rsid w:val="00785FE9"/>
    <w:rsid w:val="0078609A"/>
    <w:rsid w:val="00786F85"/>
    <w:rsid w:val="0078731A"/>
    <w:rsid w:val="00787487"/>
    <w:rsid w:val="007906F1"/>
    <w:rsid w:val="00790EDA"/>
    <w:rsid w:val="00791349"/>
    <w:rsid w:val="007918B1"/>
    <w:rsid w:val="00791D85"/>
    <w:rsid w:val="00791DAF"/>
    <w:rsid w:val="007924CA"/>
    <w:rsid w:val="0079266F"/>
    <w:rsid w:val="00794CBF"/>
    <w:rsid w:val="00795365"/>
    <w:rsid w:val="0079567E"/>
    <w:rsid w:val="007958C9"/>
    <w:rsid w:val="007961D5"/>
    <w:rsid w:val="00796A6F"/>
    <w:rsid w:val="00796C5D"/>
    <w:rsid w:val="007974B1"/>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2D1"/>
    <w:rsid w:val="007A62DA"/>
    <w:rsid w:val="007A63D5"/>
    <w:rsid w:val="007A689A"/>
    <w:rsid w:val="007A68EA"/>
    <w:rsid w:val="007A69CE"/>
    <w:rsid w:val="007A6B7D"/>
    <w:rsid w:val="007A6D72"/>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1006"/>
    <w:rsid w:val="007C1CB2"/>
    <w:rsid w:val="007C2413"/>
    <w:rsid w:val="007C25AE"/>
    <w:rsid w:val="007C3152"/>
    <w:rsid w:val="007C333B"/>
    <w:rsid w:val="007C3914"/>
    <w:rsid w:val="007C3CEA"/>
    <w:rsid w:val="007C3D92"/>
    <w:rsid w:val="007C3E98"/>
    <w:rsid w:val="007C42D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3FB1"/>
    <w:rsid w:val="007D41C2"/>
    <w:rsid w:val="007D44BD"/>
    <w:rsid w:val="007D4914"/>
    <w:rsid w:val="007D4F02"/>
    <w:rsid w:val="007D60A1"/>
    <w:rsid w:val="007D674C"/>
    <w:rsid w:val="007D6843"/>
    <w:rsid w:val="007D6B7B"/>
    <w:rsid w:val="007D6CF1"/>
    <w:rsid w:val="007D7131"/>
    <w:rsid w:val="007D7BEC"/>
    <w:rsid w:val="007D7CE3"/>
    <w:rsid w:val="007E051A"/>
    <w:rsid w:val="007E0798"/>
    <w:rsid w:val="007E1B72"/>
    <w:rsid w:val="007E3EE3"/>
    <w:rsid w:val="007E47AA"/>
    <w:rsid w:val="007E57DE"/>
    <w:rsid w:val="007E5902"/>
    <w:rsid w:val="007E6719"/>
    <w:rsid w:val="007E68ED"/>
    <w:rsid w:val="007E69ED"/>
    <w:rsid w:val="007E7B2D"/>
    <w:rsid w:val="007F0221"/>
    <w:rsid w:val="007F034B"/>
    <w:rsid w:val="007F07B9"/>
    <w:rsid w:val="007F0928"/>
    <w:rsid w:val="007F15CE"/>
    <w:rsid w:val="007F1E88"/>
    <w:rsid w:val="007F2CD7"/>
    <w:rsid w:val="007F3422"/>
    <w:rsid w:val="007F3568"/>
    <w:rsid w:val="007F422D"/>
    <w:rsid w:val="007F4DBA"/>
    <w:rsid w:val="007F519C"/>
    <w:rsid w:val="007F534D"/>
    <w:rsid w:val="007F54A2"/>
    <w:rsid w:val="007F54FE"/>
    <w:rsid w:val="007F5535"/>
    <w:rsid w:val="007F5D32"/>
    <w:rsid w:val="007F63B2"/>
    <w:rsid w:val="007F699C"/>
    <w:rsid w:val="007F72DC"/>
    <w:rsid w:val="007F78AB"/>
    <w:rsid w:val="007F795F"/>
    <w:rsid w:val="0080069C"/>
    <w:rsid w:val="008006FD"/>
    <w:rsid w:val="0080148D"/>
    <w:rsid w:val="0080156B"/>
    <w:rsid w:val="00801A3A"/>
    <w:rsid w:val="00801B5A"/>
    <w:rsid w:val="00801CAC"/>
    <w:rsid w:val="00803A10"/>
    <w:rsid w:val="00804114"/>
    <w:rsid w:val="008045A3"/>
    <w:rsid w:val="00804634"/>
    <w:rsid w:val="008047E8"/>
    <w:rsid w:val="00805012"/>
    <w:rsid w:val="0080531E"/>
    <w:rsid w:val="00805C3D"/>
    <w:rsid w:val="00806AA7"/>
    <w:rsid w:val="00806F1D"/>
    <w:rsid w:val="008077ED"/>
    <w:rsid w:val="00807B6F"/>
    <w:rsid w:val="00807E93"/>
    <w:rsid w:val="00810172"/>
    <w:rsid w:val="00810762"/>
    <w:rsid w:val="00810858"/>
    <w:rsid w:val="00810EFF"/>
    <w:rsid w:val="00811314"/>
    <w:rsid w:val="008113C5"/>
    <w:rsid w:val="00811A39"/>
    <w:rsid w:val="0081291B"/>
    <w:rsid w:val="00813622"/>
    <w:rsid w:val="00813DCF"/>
    <w:rsid w:val="00813FAB"/>
    <w:rsid w:val="0081498C"/>
    <w:rsid w:val="00814AE1"/>
    <w:rsid w:val="00815D31"/>
    <w:rsid w:val="00815F7B"/>
    <w:rsid w:val="0081601F"/>
    <w:rsid w:val="00816064"/>
    <w:rsid w:val="008174B2"/>
    <w:rsid w:val="00817CFF"/>
    <w:rsid w:val="0082000D"/>
    <w:rsid w:val="0082037E"/>
    <w:rsid w:val="00820C9C"/>
    <w:rsid w:val="00820F55"/>
    <w:rsid w:val="00821572"/>
    <w:rsid w:val="00821F0D"/>
    <w:rsid w:val="00822310"/>
    <w:rsid w:val="00822EF1"/>
    <w:rsid w:val="00823794"/>
    <w:rsid w:val="008237F4"/>
    <w:rsid w:val="00823F67"/>
    <w:rsid w:val="00824022"/>
    <w:rsid w:val="0082483A"/>
    <w:rsid w:val="00824A81"/>
    <w:rsid w:val="008257B8"/>
    <w:rsid w:val="008260ED"/>
    <w:rsid w:val="0082699D"/>
    <w:rsid w:val="00826E6B"/>
    <w:rsid w:val="008275FD"/>
    <w:rsid w:val="0083057B"/>
    <w:rsid w:val="00830BA1"/>
    <w:rsid w:val="00830EB2"/>
    <w:rsid w:val="00831652"/>
    <w:rsid w:val="0083202E"/>
    <w:rsid w:val="0083304F"/>
    <w:rsid w:val="008334C9"/>
    <w:rsid w:val="00834122"/>
    <w:rsid w:val="008352C5"/>
    <w:rsid w:val="008352E2"/>
    <w:rsid w:val="008358A6"/>
    <w:rsid w:val="008359FB"/>
    <w:rsid w:val="00835C56"/>
    <w:rsid w:val="008360FC"/>
    <w:rsid w:val="00836E81"/>
    <w:rsid w:val="008377C1"/>
    <w:rsid w:val="00837C90"/>
    <w:rsid w:val="00837EB1"/>
    <w:rsid w:val="0084042B"/>
    <w:rsid w:val="008409BB"/>
    <w:rsid w:val="00841034"/>
    <w:rsid w:val="0084184A"/>
    <w:rsid w:val="008423F2"/>
    <w:rsid w:val="00842A30"/>
    <w:rsid w:val="00842F71"/>
    <w:rsid w:val="00843179"/>
    <w:rsid w:val="00843700"/>
    <w:rsid w:val="0084386A"/>
    <w:rsid w:val="00843E0E"/>
    <w:rsid w:val="008442EA"/>
    <w:rsid w:val="00844589"/>
    <w:rsid w:val="00844794"/>
    <w:rsid w:val="00844FE7"/>
    <w:rsid w:val="00845103"/>
    <w:rsid w:val="00845969"/>
    <w:rsid w:val="00845F37"/>
    <w:rsid w:val="00845FF5"/>
    <w:rsid w:val="00846001"/>
    <w:rsid w:val="0084615D"/>
    <w:rsid w:val="0084642A"/>
    <w:rsid w:val="008465C4"/>
    <w:rsid w:val="00846710"/>
    <w:rsid w:val="008478ED"/>
    <w:rsid w:val="0085087F"/>
    <w:rsid w:val="00850AB2"/>
    <w:rsid w:val="00851728"/>
    <w:rsid w:val="00851DFF"/>
    <w:rsid w:val="00852965"/>
    <w:rsid w:val="00853084"/>
    <w:rsid w:val="00853142"/>
    <w:rsid w:val="008540A6"/>
    <w:rsid w:val="00854420"/>
    <w:rsid w:val="00854481"/>
    <w:rsid w:val="00854FB3"/>
    <w:rsid w:val="0085505C"/>
    <w:rsid w:val="008555EF"/>
    <w:rsid w:val="008558C9"/>
    <w:rsid w:val="00857591"/>
    <w:rsid w:val="00857E88"/>
    <w:rsid w:val="00860F40"/>
    <w:rsid w:val="008612DB"/>
    <w:rsid w:val="00861B57"/>
    <w:rsid w:val="0086239A"/>
    <w:rsid w:val="00862AC4"/>
    <w:rsid w:val="0086332F"/>
    <w:rsid w:val="008633AC"/>
    <w:rsid w:val="008634E3"/>
    <w:rsid w:val="00864627"/>
    <w:rsid w:val="00864635"/>
    <w:rsid w:val="00864678"/>
    <w:rsid w:val="00864C1A"/>
    <w:rsid w:val="00865217"/>
    <w:rsid w:val="008655F3"/>
    <w:rsid w:val="008658AA"/>
    <w:rsid w:val="00865CBD"/>
    <w:rsid w:val="008669EF"/>
    <w:rsid w:val="00866E37"/>
    <w:rsid w:val="00866F9E"/>
    <w:rsid w:val="008672E2"/>
    <w:rsid w:val="0086793D"/>
    <w:rsid w:val="00867B1C"/>
    <w:rsid w:val="008713D6"/>
    <w:rsid w:val="00871643"/>
    <w:rsid w:val="00871BD4"/>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63B"/>
    <w:rsid w:val="00880B77"/>
    <w:rsid w:val="00881511"/>
    <w:rsid w:val="00882448"/>
    <w:rsid w:val="00882F1D"/>
    <w:rsid w:val="00883A4D"/>
    <w:rsid w:val="00883B21"/>
    <w:rsid w:val="00883CD7"/>
    <w:rsid w:val="00883F8F"/>
    <w:rsid w:val="00884235"/>
    <w:rsid w:val="00885285"/>
    <w:rsid w:val="00885985"/>
    <w:rsid w:val="00886355"/>
    <w:rsid w:val="00886467"/>
    <w:rsid w:val="00886699"/>
    <w:rsid w:val="00886A29"/>
    <w:rsid w:val="0088709A"/>
    <w:rsid w:val="008870A9"/>
    <w:rsid w:val="00891401"/>
    <w:rsid w:val="0089199F"/>
    <w:rsid w:val="00891C32"/>
    <w:rsid w:val="00891D7F"/>
    <w:rsid w:val="00891FF8"/>
    <w:rsid w:val="00892265"/>
    <w:rsid w:val="0089233E"/>
    <w:rsid w:val="00892629"/>
    <w:rsid w:val="00892CF2"/>
    <w:rsid w:val="0089330E"/>
    <w:rsid w:val="00893A8E"/>
    <w:rsid w:val="00893E27"/>
    <w:rsid w:val="008945F7"/>
    <w:rsid w:val="0089463D"/>
    <w:rsid w:val="0089554F"/>
    <w:rsid w:val="008955E6"/>
    <w:rsid w:val="00895B5F"/>
    <w:rsid w:val="0089637C"/>
    <w:rsid w:val="00896712"/>
    <w:rsid w:val="00896870"/>
    <w:rsid w:val="008969BD"/>
    <w:rsid w:val="00897666"/>
    <w:rsid w:val="008A0E29"/>
    <w:rsid w:val="008A13BD"/>
    <w:rsid w:val="008A1596"/>
    <w:rsid w:val="008A1996"/>
    <w:rsid w:val="008A1EDF"/>
    <w:rsid w:val="008A2695"/>
    <w:rsid w:val="008A2DC9"/>
    <w:rsid w:val="008A2FF1"/>
    <w:rsid w:val="008A32D4"/>
    <w:rsid w:val="008A367F"/>
    <w:rsid w:val="008A37AF"/>
    <w:rsid w:val="008A3D62"/>
    <w:rsid w:val="008A431C"/>
    <w:rsid w:val="008A448D"/>
    <w:rsid w:val="008A465D"/>
    <w:rsid w:val="008A4A55"/>
    <w:rsid w:val="008A506F"/>
    <w:rsid w:val="008A528A"/>
    <w:rsid w:val="008A5298"/>
    <w:rsid w:val="008A535A"/>
    <w:rsid w:val="008A720F"/>
    <w:rsid w:val="008A7498"/>
    <w:rsid w:val="008A7C72"/>
    <w:rsid w:val="008B04F2"/>
    <w:rsid w:val="008B0D0E"/>
    <w:rsid w:val="008B0D8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2D"/>
    <w:rsid w:val="008C13B4"/>
    <w:rsid w:val="008C1557"/>
    <w:rsid w:val="008C1B8C"/>
    <w:rsid w:val="008C2306"/>
    <w:rsid w:val="008C26D1"/>
    <w:rsid w:val="008C2B7F"/>
    <w:rsid w:val="008C2D45"/>
    <w:rsid w:val="008C36AC"/>
    <w:rsid w:val="008C44BD"/>
    <w:rsid w:val="008C4953"/>
    <w:rsid w:val="008C4E44"/>
    <w:rsid w:val="008C6255"/>
    <w:rsid w:val="008C684B"/>
    <w:rsid w:val="008C6ABD"/>
    <w:rsid w:val="008C6F18"/>
    <w:rsid w:val="008C7685"/>
    <w:rsid w:val="008D007A"/>
    <w:rsid w:val="008D07DE"/>
    <w:rsid w:val="008D0831"/>
    <w:rsid w:val="008D0E40"/>
    <w:rsid w:val="008D1E7F"/>
    <w:rsid w:val="008D2367"/>
    <w:rsid w:val="008D27C5"/>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034A"/>
    <w:rsid w:val="008F11F4"/>
    <w:rsid w:val="008F1952"/>
    <w:rsid w:val="008F254D"/>
    <w:rsid w:val="008F310B"/>
    <w:rsid w:val="008F322B"/>
    <w:rsid w:val="008F34CB"/>
    <w:rsid w:val="008F3519"/>
    <w:rsid w:val="008F3AD3"/>
    <w:rsid w:val="008F3C33"/>
    <w:rsid w:val="008F3CA7"/>
    <w:rsid w:val="008F443F"/>
    <w:rsid w:val="008F538D"/>
    <w:rsid w:val="008F5DE5"/>
    <w:rsid w:val="008F5E42"/>
    <w:rsid w:val="008F63B1"/>
    <w:rsid w:val="008F6973"/>
    <w:rsid w:val="008F6E6A"/>
    <w:rsid w:val="008F7AA7"/>
    <w:rsid w:val="008F7F94"/>
    <w:rsid w:val="00900947"/>
    <w:rsid w:val="00900EB8"/>
    <w:rsid w:val="00900FBA"/>
    <w:rsid w:val="0090119E"/>
    <w:rsid w:val="0090240E"/>
    <w:rsid w:val="00902E5B"/>
    <w:rsid w:val="009030EA"/>
    <w:rsid w:val="00903FD9"/>
    <w:rsid w:val="00904CF5"/>
    <w:rsid w:val="00905259"/>
    <w:rsid w:val="0090556C"/>
    <w:rsid w:val="00905633"/>
    <w:rsid w:val="00905EAE"/>
    <w:rsid w:val="009060C4"/>
    <w:rsid w:val="00906C91"/>
    <w:rsid w:val="00906C95"/>
    <w:rsid w:val="00907656"/>
    <w:rsid w:val="00907D95"/>
    <w:rsid w:val="00907E47"/>
    <w:rsid w:val="00910EBB"/>
    <w:rsid w:val="00910F4E"/>
    <w:rsid w:val="009115EF"/>
    <w:rsid w:val="009116DD"/>
    <w:rsid w:val="00912D1C"/>
    <w:rsid w:val="00913019"/>
    <w:rsid w:val="00913F1E"/>
    <w:rsid w:val="00913FB2"/>
    <w:rsid w:val="009140C4"/>
    <w:rsid w:val="009144A9"/>
    <w:rsid w:val="0091468B"/>
    <w:rsid w:val="0091526F"/>
    <w:rsid w:val="009153D2"/>
    <w:rsid w:val="00915424"/>
    <w:rsid w:val="00916286"/>
    <w:rsid w:val="00916595"/>
    <w:rsid w:val="00916C47"/>
    <w:rsid w:val="009171AD"/>
    <w:rsid w:val="009171E2"/>
    <w:rsid w:val="00917569"/>
    <w:rsid w:val="00920174"/>
    <w:rsid w:val="009214B5"/>
    <w:rsid w:val="009219D2"/>
    <w:rsid w:val="00921A4E"/>
    <w:rsid w:val="00921E37"/>
    <w:rsid w:val="00922511"/>
    <w:rsid w:val="00922F07"/>
    <w:rsid w:val="00923463"/>
    <w:rsid w:val="009248D3"/>
    <w:rsid w:val="00925238"/>
    <w:rsid w:val="00925ACF"/>
    <w:rsid w:val="0092615D"/>
    <w:rsid w:val="00926276"/>
    <w:rsid w:val="00926546"/>
    <w:rsid w:val="009265A1"/>
    <w:rsid w:val="00927700"/>
    <w:rsid w:val="0093036E"/>
    <w:rsid w:val="00931224"/>
    <w:rsid w:val="0093264C"/>
    <w:rsid w:val="009333D3"/>
    <w:rsid w:val="00933760"/>
    <w:rsid w:val="009339B6"/>
    <w:rsid w:val="00933B4C"/>
    <w:rsid w:val="00933DC4"/>
    <w:rsid w:val="0093431B"/>
    <w:rsid w:val="009346D6"/>
    <w:rsid w:val="00934743"/>
    <w:rsid w:val="0093487E"/>
    <w:rsid w:val="00934A5C"/>
    <w:rsid w:val="00934FFE"/>
    <w:rsid w:val="00936405"/>
    <w:rsid w:val="00936686"/>
    <w:rsid w:val="009369A6"/>
    <w:rsid w:val="00936B64"/>
    <w:rsid w:val="009379C4"/>
    <w:rsid w:val="0094041A"/>
    <w:rsid w:val="00940D32"/>
    <w:rsid w:val="0094190D"/>
    <w:rsid w:val="00942354"/>
    <w:rsid w:val="00942482"/>
    <w:rsid w:val="00942681"/>
    <w:rsid w:val="00943A7E"/>
    <w:rsid w:val="00943E42"/>
    <w:rsid w:val="00943E5D"/>
    <w:rsid w:val="00944728"/>
    <w:rsid w:val="009453E8"/>
    <w:rsid w:val="00945664"/>
    <w:rsid w:val="00945AD1"/>
    <w:rsid w:val="00946ECB"/>
    <w:rsid w:val="00947268"/>
    <w:rsid w:val="0094750E"/>
    <w:rsid w:val="00947C94"/>
    <w:rsid w:val="0095061D"/>
    <w:rsid w:val="009507C8"/>
    <w:rsid w:val="0095115E"/>
    <w:rsid w:val="0095118A"/>
    <w:rsid w:val="00952468"/>
    <w:rsid w:val="00954767"/>
    <w:rsid w:val="0095487A"/>
    <w:rsid w:val="009548FB"/>
    <w:rsid w:val="0095538B"/>
    <w:rsid w:val="00955543"/>
    <w:rsid w:val="009575B9"/>
    <w:rsid w:val="00957AF7"/>
    <w:rsid w:val="00957FEF"/>
    <w:rsid w:val="00960ACA"/>
    <w:rsid w:val="00960C4F"/>
    <w:rsid w:val="0096217C"/>
    <w:rsid w:val="00962441"/>
    <w:rsid w:val="00963277"/>
    <w:rsid w:val="00964B53"/>
    <w:rsid w:val="00964C3F"/>
    <w:rsid w:val="00964C6C"/>
    <w:rsid w:val="00965176"/>
    <w:rsid w:val="00965240"/>
    <w:rsid w:val="00965847"/>
    <w:rsid w:val="00965A3E"/>
    <w:rsid w:val="00965C48"/>
    <w:rsid w:val="0096665D"/>
    <w:rsid w:val="00966D9D"/>
    <w:rsid w:val="00966E4A"/>
    <w:rsid w:val="00967041"/>
    <w:rsid w:val="00967BBE"/>
    <w:rsid w:val="00970918"/>
    <w:rsid w:val="0097099E"/>
    <w:rsid w:val="009709D0"/>
    <w:rsid w:val="00971761"/>
    <w:rsid w:val="0097216F"/>
    <w:rsid w:val="00972C3B"/>
    <w:rsid w:val="00972E49"/>
    <w:rsid w:val="00973057"/>
    <w:rsid w:val="009736D8"/>
    <w:rsid w:val="00973FC4"/>
    <w:rsid w:val="00974D50"/>
    <w:rsid w:val="009751AF"/>
    <w:rsid w:val="00975326"/>
    <w:rsid w:val="0097592F"/>
    <w:rsid w:val="00975DEA"/>
    <w:rsid w:val="00975FBB"/>
    <w:rsid w:val="00977CDF"/>
    <w:rsid w:val="0098043F"/>
    <w:rsid w:val="00981038"/>
    <w:rsid w:val="0098106E"/>
    <w:rsid w:val="00981511"/>
    <w:rsid w:val="00981D1C"/>
    <w:rsid w:val="00981E1C"/>
    <w:rsid w:val="00982118"/>
    <w:rsid w:val="009824E7"/>
    <w:rsid w:val="00982C62"/>
    <w:rsid w:val="00982C91"/>
    <w:rsid w:val="00982F76"/>
    <w:rsid w:val="00982FA3"/>
    <w:rsid w:val="009840FD"/>
    <w:rsid w:val="0098429B"/>
    <w:rsid w:val="009846A1"/>
    <w:rsid w:val="00984701"/>
    <w:rsid w:val="00984830"/>
    <w:rsid w:val="00984847"/>
    <w:rsid w:val="00984BEC"/>
    <w:rsid w:val="00985EB8"/>
    <w:rsid w:val="00985FB3"/>
    <w:rsid w:val="00986566"/>
    <w:rsid w:val="00986CC1"/>
    <w:rsid w:val="00986F4E"/>
    <w:rsid w:val="00987191"/>
    <w:rsid w:val="00987A5A"/>
    <w:rsid w:val="00987CB4"/>
    <w:rsid w:val="0099097E"/>
    <w:rsid w:val="009921FC"/>
    <w:rsid w:val="0099221C"/>
    <w:rsid w:val="0099272B"/>
    <w:rsid w:val="00992A0E"/>
    <w:rsid w:val="0099399E"/>
    <w:rsid w:val="0099413C"/>
    <w:rsid w:val="00994230"/>
    <w:rsid w:val="0099479E"/>
    <w:rsid w:val="00994A91"/>
    <w:rsid w:val="009951D8"/>
    <w:rsid w:val="00995355"/>
    <w:rsid w:val="0099586F"/>
    <w:rsid w:val="00995948"/>
    <w:rsid w:val="00996CB5"/>
    <w:rsid w:val="0099719E"/>
    <w:rsid w:val="009A0169"/>
    <w:rsid w:val="009A1B56"/>
    <w:rsid w:val="009A2A8A"/>
    <w:rsid w:val="009A3C93"/>
    <w:rsid w:val="009A3D40"/>
    <w:rsid w:val="009A3FD0"/>
    <w:rsid w:val="009A4CD1"/>
    <w:rsid w:val="009A51C7"/>
    <w:rsid w:val="009A59EC"/>
    <w:rsid w:val="009A5C56"/>
    <w:rsid w:val="009A5CA8"/>
    <w:rsid w:val="009A6ED0"/>
    <w:rsid w:val="009A706A"/>
    <w:rsid w:val="009A71AB"/>
    <w:rsid w:val="009A7745"/>
    <w:rsid w:val="009A7C3D"/>
    <w:rsid w:val="009B0156"/>
    <w:rsid w:val="009B0295"/>
    <w:rsid w:val="009B05BA"/>
    <w:rsid w:val="009B0722"/>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13A"/>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10D"/>
    <w:rsid w:val="009D34C0"/>
    <w:rsid w:val="009D35FB"/>
    <w:rsid w:val="009D3CAC"/>
    <w:rsid w:val="009D4BBE"/>
    <w:rsid w:val="009D4E16"/>
    <w:rsid w:val="009D5893"/>
    <w:rsid w:val="009D6620"/>
    <w:rsid w:val="009D6C54"/>
    <w:rsid w:val="009D72B0"/>
    <w:rsid w:val="009D77CE"/>
    <w:rsid w:val="009D7CA5"/>
    <w:rsid w:val="009D7DE3"/>
    <w:rsid w:val="009E004A"/>
    <w:rsid w:val="009E066B"/>
    <w:rsid w:val="009E1515"/>
    <w:rsid w:val="009E1CFF"/>
    <w:rsid w:val="009E1FEE"/>
    <w:rsid w:val="009E213C"/>
    <w:rsid w:val="009E23EA"/>
    <w:rsid w:val="009E2D24"/>
    <w:rsid w:val="009E2EA0"/>
    <w:rsid w:val="009E305F"/>
    <w:rsid w:val="009E36FF"/>
    <w:rsid w:val="009E37D3"/>
    <w:rsid w:val="009E5028"/>
    <w:rsid w:val="009E50FB"/>
    <w:rsid w:val="009E5280"/>
    <w:rsid w:val="009E5386"/>
    <w:rsid w:val="009E5DD1"/>
    <w:rsid w:val="009E60AD"/>
    <w:rsid w:val="009E60B9"/>
    <w:rsid w:val="009E68C8"/>
    <w:rsid w:val="009E6AB5"/>
    <w:rsid w:val="009E6DAB"/>
    <w:rsid w:val="009E6F4B"/>
    <w:rsid w:val="009E703C"/>
    <w:rsid w:val="009E7E4C"/>
    <w:rsid w:val="009F08F5"/>
    <w:rsid w:val="009F0956"/>
    <w:rsid w:val="009F0E31"/>
    <w:rsid w:val="009F0EE5"/>
    <w:rsid w:val="009F1264"/>
    <w:rsid w:val="009F1D7F"/>
    <w:rsid w:val="009F245B"/>
    <w:rsid w:val="009F25E6"/>
    <w:rsid w:val="009F2BE8"/>
    <w:rsid w:val="009F2F09"/>
    <w:rsid w:val="009F39A7"/>
    <w:rsid w:val="009F40B7"/>
    <w:rsid w:val="009F4188"/>
    <w:rsid w:val="009F4302"/>
    <w:rsid w:val="009F4393"/>
    <w:rsid w:val="009F4BE9"/>
    <w:rsid w:val="009F573C"/>
    <w:rsid w:val="009F62D3"/>
    <w:rsid w:val="00A00112"/>
    <w:rsid w:val="00A0077E"/>
    <w:rsid w:val="00A008B5"/>
    <w:rsid w:val="00A017B4"/>
    <w:rsid w:val="00A01C53"/>
    <w:rsid w:val="00A01D38"/>
    <w:rsid w:val="00A02414"/>
    <w:rsid w:val="00A025B9"/>
    <w:rsid w:val="00A02BC8"/>
    <w:rsid w:val="00A02E27"/>
    <w:rsid w:val="00A0355C"/>
    <w:rsid w:val="00A03619"/>
    <w:rsid w:val="00A03A13"/>
    <w:rsid w:val="00A040CD"/>
    <w:rsid w:val="00A04429"/>
    <w:rsid w:val="00A053CB"/>
    <w:rsid w:val="00A06446"/>
    <w:rsid w:val="00A06697"/>
    <w:rsid w:val="00A06C40"/>
    <w:rsid w:val="00A07C6B"/>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1D25"/>
    <w:rsid w:val="00A21F53"/>
    <w:rsid w:val="00A23931"/>
    <w:rsid w:val="00A23FD6"/>
    <w:rsid w:val="00A24DB2"/>
    <w:rsid w:val="00A25317"/>
    <w:rsid w:val="00A25706"/>
    <w:rsid w:val="00A25D84"/>
    <w:rsid w:val="00A26029"/>
    <w:rsid w:val="00A262E4"/>
    <w:rsid w:val="00A268EA"/>
    <w:rsid w:val="00A26A5E"/>
    <w:rsid w:val="00A31CE0"/>
    <w:rsid w:val="00A31FA9"/>
    <w:rsid w:val="00A33015"/>
    <w:rsid w:val="00A333BF"/>
    <w:rsid w:val="00A33825"/>
    <w:rsid w:val="00A3398F"/>
    <w:rsid w:val="00A35583"/>
    <w:rsid w:val="00A363EF"/>
    <w:rsid w:val="00A36596"/>
    <w:rsid w:val="00A36DFE"/>
    <w:rsid w:val="00A370A0"/>
    <w:rsid w:val="00A370FD"/>
    <w:rsid w:val="00A371C8"/>
    <w:rsid w:val="00A3798C"/>
    <w:rsid w:val="00A37DD9"/>
    <w:rsid w:val="00A40ED7"/>
    <w:rsid w:val="00A40F83"/>
    <w:rsid w:val="00A41204"/>
    <w:rsid w:val="00A412BA"/>
    <w:rsid w:val="00A41416"/>
    <w:rsid w:val="00A4200D"/>
    <w:rsid w:val="00A424BF"/>
    <w:rsid w:val="00A4258E"/>
    <w:rsid w:val="00A432D1"/>
    <w:rsid w:val="00A43716"/>
    <w:rsid w:val="00A442C5"/>
    <w:rsid w:val="00A44712"/>
    <w:rsid w:val="00A44AF5"/>
    <w:rsid w:val="00A44B8B"/>
    <w:rsid w:val="00A45050"/>
    <w:rsid w:val="00A45EC4"/>
    <w:rsid w:val="00A47083"/>
    <w:rsid w:val="00A47212"/>
    <w:rsid w:val="00A474EA"/>
    <w:rsid w:val="00A501B2"/>
    <w:rsid w:val="00A5034A"/>
    <w:rsid w:val="00A50983"/>
    <w:rsid w:val="00A50E51"/>
    <w:rsid w:val="00A50FFA"/>
    <w:rsid w:val="00A539D1"/>
    <w:rsid w:val="00A54DAE"/>
    <w:rsid w:val="00A555D3"/>
    <w:rsid w:val="00A56D3B"/>
    <w:rsid w:val="00A57450"/>
    <w:rsid w:val="00A57479"/>
    <w:rsid w:val="00A57998"/>
    <w:rsid w:val="00A57C08"/>
    <w:rsid w:val="00A600D9"/>
    <w:rsid w:val="00A60441"/>
    <w:rsid w:val="00A604CD"/>
    <w:rsid w:val="00A621FF"/>
    <w:rsid w:val="00A6290C"/>
    <w:rsid w:val="00A637A0"/>
    <w:rsid w:val="00A63ECD"/>
    <w:rsid w:val="00A64093"/>
    <w:rsid w:val="00A640EB"/>
    <w:rsid w:val="00A64815"/>
    <w:rsid w:val="00A65043"/>
    <w:rsid w:val="00A6672B"/>
    <w:rsid w:val="00A66DF9"/>
    <w:rsid w:val="00A704E4"/>
    <w:rsid w:val="00A7136A"/>
    <w:rsid w:val="00A71C44"/>
    <w:rsid w:val="00A72296"/>
    <w:rsid w:val="00A7270A"/>
    <w:rsid w:val="00A7388E"/>
    <w:rsid w:val="00A74544"/>
    <w:rsid w:val="00A74548"/>
    <w:rsid w:val="00A74DF2"/>
    <w:rsid w:val="00A74E4D"/>
    <w:rsid w:val="00A75633"/>
    <w:rsid w:val="00A7592E"/>
    <w:rsid w:val="00A76C1F"/>
    <w:rsid w:val="00A803FC"/>
    <w:rsid w:val="00A8071A"/>
    <w:rsid w:val="00A8073E"/>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45"/>
    <w:rsid w:val="00A86E75"/>
    <w:rsid w:val="00A86F33"/>
    <w:rsid w:val="00A87629"/>
    <w:rsid w:val="00A87AF0"/>
    <w:rsid w:val="00A9042E"/>
    <w:rsid w:val="00A9065F"/>
    <w:rsid w:val="00A90B0E"/>
    <w:rsid w:val="00A90F8B"/>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0F2C"/>
    <w:rsid w:val="00AA1723"/>
    <w:rsid w:val="00AA190D"/>
    <w:rsid w:val="00AA1DAE"/>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1463"/>
    <w:rsid w:val="00AB2151"/>
    <w:rsid w:val="00AB2C59"/>
    <w:rsid w:val="00AB2C8A"/>
    <w:rsid w:val="00AB39EE"/>
    <w:rsid w:val="00AB42B6"/>
    <w:rsid w:val="00AB4D67"/>
    <w:rsid w:val="00AB545D"/>
    <w:rsid w:val="00AB54D7"/>
    <w:rsid w:val="00AB57D3"/>
    <w:rsid w:val="00AB5A1C"/>
    <w:rsid w:val="00AB6886"/>
    <w:rsid w:val="00AB6AE4"/>
    <w:rsid w:val="00AB6E00"/>
    <w:rsid w:val="00AB6F37"/>
    <w:rsid w:val="00AB769E"/>
    <w:rsid w:val="00AB7868"/>
    <w:rsid w:val="00AB7D55"/>
    <w:rsid w:val="00AC0681"/>
    <w:rsid w:val="00AC154B"/>
    <w:rsid w:val="00AC1B72"/>
    <w:rsid w:val="00AC26FE"/>
    <w:rsid w:val="00AC350D"/>
    <w:rsid w:val="00AC3568"/>
    <w:rsid w:val="00AC3CF2"/>
    <w:rsid w:val="00AC47EC"/>
    <w:rsid w:val="00AC4936"/>
    <w:rsid w:val="00AC4E5D"/>
    <w:rsid w:val="00AC5C0A"/>
    <w:rsid w:val="00AC6C53"/>
    <w:rsid w:val="00AC6E85"/>
    <w:rsid w:val="00AC7284"/>
    <w:rsid w:val="00AC7CE6"/>
    <w:rsid w:val="00AD0828"/>
    <w:rsid w:val="00AD0B13"/>
    <w:rsid w:val="00AD0E69"/>
    <w:rsid w:val="00AD103D"/>
    <w:rsid w:val="00AD159C"/>
    <w:rsid w:val="00AD17FA"/>
    <w:rsid w:val="00AD19EC"/>
    <w:rsid w:val="00AD23DD"/>
    <w:rsid w:val="00AD2717"/>
    <w:rsid w:val="00AD3DC4"/>
    <w:rsid w:val="00AD4AD3"/>
    <w:rsid w:val="00AD4FF4"/>
    <w:rsid w:val="00AD531D"/>
    <w:rsid w:val="00AD600C"/>
    <w:rsid w:val="00AD63D6"/>
    <w:rsid w:val="00AD6CD5"/>
    <w:rsid w:val="00AD733B"/>
    <w:rsid w:val="00AD7CA7"/>
    <w:rsid w:val="00AE0040"/>
    <w:rsid w:val="00AE0975"/>
    <w:rsid w:val="00AE0A3E"/>
    <w:rsid w:val="00AE184D"/>
    <w:rsid w:val="00AE1C03"/>
    <w:rsid w:val="00AE23E3"/>
    <w:rsid w:val="00AE2F65"/>
    <w:rsid w:val="00AE317E"/>
    <w:rsid w:val="00AE3364"/>
    <w:rsid w:val="00AE35A5"/>
    <w:rsid w:val="00AE4E2A"/>
    <w:rsid w:val="00AE5CF9"/>
    <w:rsid w:val="00AE5DB6"/>
    <w:rsid w:val="00AE670A"/>
    <w:rsid w:val="00AE6C3C"/>
    <w:rsid w:val="00AE702E"/>
    <w:rsid w:val="00AE73E0"/>
    <w:rsid w:val="00AF030C"/>
    <w:rsid w:val="00AF03C0"/>
    <w:rsid w:val="00AF0F98"/>
    <w:rsid w:val="00AF166F"/>
    <w:rsid w:val="00AF1C03"/>
    <w:rsid w:val="00AF1CB0"/>
    <w:rsid w:val="00AF39AF"/>
    <w:rsid w:val="00AF3E3B"/>
    <w:rsid w:val="00AF3E5A"/>
    <w:rsid w:val="00AF46FE"/>
    <w:rsid w:val="00AF486F"/>
    <w:rsid w:val="00AF4FEF"/>
    <w:rsid w:val="00AF548B"/>
    <w:rsid w:val="00AF55E0"/>
    <w:rsid w:val="00AF5666"/>
    <w:rsid w:val="00AF5870"/>
    <w:rsid w:val="00AF6619"/>
    <w:rsid w:val="00AF6CFD"/>
    <w:rsid w:val="00AF7A8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5A2"/>
    <w:rsid w:val="00B0784C"/>
    <w:rsid w:val="00B07CE9"/>
    <w:rsid w:val="00B101D5"/>
    <w:rsid w:val="00B105DE"/>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63D"/>
    <w:rsid w:val="00B21736"/>
    <w:rsid w:val="00B218B1"/>
    <w:rsid w:val="00B21A33"/>
    <w:rsid w:val="00B22272"/>
    <w:rsid w:val="00B224AA"/>
    <w:rsid w:val="00B22998"/>
    <w:rsid w:val="00B229FE"/>
    <w:rsid w:val="00B2302B"/>
    <w:rsid w:val="00B24363"/>
    <w:rsid w:val="00B2456E"/>
    <w:rsid w:val="00B24979"/>
    <w:rsid w:val="00B250A5"/>
    <w:rsid w:val="00B25651"/>
    <w:rsid w:val="00B26309"/>
    <w:rsid w:val="00B26835"/>
    <w:rsid w:val="00B26897"/>
    <w:rsid w:val="00B26937"/>
    <w:rsid w:val="00B30243"/>
    <w:rsid w:val="00B30421"/>
    <w:rsid w:val="00B30DC8"/>
    <w:rsid w:val="00B315BB"/>
    <w:rsid w:val="00B31720"/>
    <w:rsid w:val="00B31977"/>
    <w:rsid w:val="00B3235A"/>
    <w:rsid w:val="00B32692"/>
    <w:rsid w:val="00B333FE"/>
    <w:rsid w:val="00B3382B"/>
    <w:rsid w:val="00B34C4C"/>
    <w:rsid w:val="00B35094"/>
    <w:rsid w:val="00B350F0"/>
    <w:rsid w:val="00B357AC"/>
    <w:rsid w:val="00B35992"/>
    <w:rsid w:val="00B35E4B"/>
    <w:rsid w:val="00B35FCC"/>
    <w:rsid w:val="00B36518"/>
    <w:rsid w:val="00B378CC"/>
    <w:rsid w:val="00B400B4"/>
    <w:rsid w:val="00B41615"/>
    <w:rsid w:val="00B417BC"/>
    <w:rsid w:val="00B417E5"/>
    <w:rsid w:val="00B41D70"/>
    <w:rsid w:val="00B41FD8"/>
    <w:rsid w:val="00B420DF"/>
    <w:rsid w:val="00B428E2"/>
    <w:rsid w:val="00B42A2C"/>
    <w:rsid w:val="00B42A5C"/>
    <w:rsid w:val="00B42A98"/>
    <w:rsid w:val="00B42C64"/>
    <w:rsid w:val="00B445EF"/>
    <w:rsid w:val="00B448EF"/>
    <w:rsid w:val="00B470B7"/>
    <w:rsid w:val="00B47493"/>
    <w:rsid w:val="00B474C8"/>
    <w:rsid w:val="00B474DF"/>
    <w:rsid w:val="00B47915"/>
    <w:rsid w:val="00B50E18"/>
    <w:rsid w:val="00B513A9"/>
    <w:rsid w:val="00B51568"/>
    <w:rsid w:val="00B51610"/>
    <w:rsid w:val="00B5167B"/>
    <w:rsid w:val="00B520E3"/>
    <w:rsid w:val="00B52336"/>
    <w:rsid w:val="00B5388C"/>
    <w:rsid w:val="00B53AF1"/>
    <w:rsid w:val="00B55CED"/>
    <w:rsid w:val="00B55D57"/>
    <w:rsid w:val="00B55E9D"/>
    <w:rsid w:val="00B55F80"/>
    <w:rsid w:val="00B56480"/>
    <w:rsid w:val="00B565D6"/>
    <w:rsid w:val="00B576A4"/>
    <w:rsid w:val="00B57998"/>
    <w:rsid w:val="00B57C79"/>
    <w:rsid w:val="00B57CD0"/>
    <w:rsid w:val="00B57DA9"/>
    <w:rsid w:val="00B60177"/>
    <w:rsid w:val="00B60639"/>
    <w:rsid w:val="00B6308E"/>
    <w:rsid w:val="00B63D58"/>
    <w:rsid w:val="00B64E8A"/>
    <w:rsid w:val="00B65588"/>
    <w:rsid w:val="00B658D1"/>
    <w:rsid w:val="00B65D2B"/>
    <w:rsid w:val="00B66064"/>
    <w:rsid w:val="00B66995"/>
    <w:rsid w:val="00B671A1"/>
    <w:rsid w:val="00B675A6"/>
    <w:rsid w:val="00B6794D"/>
    <w:rsid w:val="00B67B55"/>
    <w:rsid w:val="00B67C6C"/>
    <w:rsid w:val="00B708BB"/>
    <w:rsid w:val="00B70C61"/>
    <w:rsid w:val="00B70E5A"/>
    <w:rsid w:val="00B71C4B"/>
    <w:rsid w:val="00B7220D"/>
    <w:rsid w:val="00B749B6"/>
    <w:rsid w:val="00B7509A"/>
    <w:rsid w:val="00B7613E"/>
    <w:rsid w:val="00B766C1"/>
    <w:rsid w:val="00B76966"/>
    <w:rsid w:val="00B76B96"/>
    <w:rsid w:val="00B76C63"/>
    <w:rsid w:val="00B76EFB"/>
    <w:rsid w:val="00B77129"/>
    <w:rsid w:val="00B77C37"/>
    <w:rsid w:val="00B807BF"/>
    <w:rsid w:val="00B809B1"/>
    <w:rsid w:val="00B8155C"/>
    <w:rsid w:val="00B82543"/>
    <w:rsid w:val="00B82549"/>
    <w:rsid w:val="00B82998"/>
    <w:rsid w:val="00B834B0"/>
    <w:rsid w:val="00B837F6"/>
    <w:rsid w:val="00B83DAE"/>
    <w:rsid w:val="00B83E0E"/>
    <w:rsid w:val="00B84FB4"/>
    <w:rsid w:val="00B8580D"/>
    <w:rsid w:val="00B86984"/>
    <w:rsid w:val="00B86F2A"/>
    <w:rsid w:val="00B8756E"/>
    <w:rsid w:val="00B87DF9"/>
    <w:rsid w:val="00B905DA"/>
    <w:rsid w:val="00B908D9"/>
    <w:rsid w:val="00B90B52"/>
    <w:rsid w:val="00B91951"/>
    <w:rsid w:val="00B91A58"/>
    <w:rsid w:val="00B91EAD"/>
    <w:rsid w:val="00B920B9"/>
    <w:rsid w:val="00B930D2"/>
    <w:rsid w:val="00B93732"/>
    <w:rsid w:val="00B937CD"/>
    <w:rsid w:val="00B938BC"/>
    <w:rsid w:val="00B93997"/>
    <w:rsid w:val="00B93C98"/>
    <w:rsid w:val="00B9512C"/>
    <w:rsid w:val="00B963B5"/>
    <w:rsid w:val="00B976BB"/>
    <w:rsid w:val="00BA01A7"/>
    <w:rsid w:val="00BA0224"/>
    <w:rsid w:val="00BA05C8"/>
    <w:rsid w:val="00BA09AA"/>
    <w:rsid w:val="00BA0AD5"/>
    <w:rsid w:val="00BA0CA0"/>
    <w:rsid w:val="00BA0E3C"/>
    <w:rsid w:val="00BA1F74"/>
    <w:rsid w:val="00BA1FE7"/>
    <w:rsid w:val="00BA2B1D"/>
    <w:rsid w:val="00BA3D14"/>
    <w:rsid w:val="00BA42E0"/>
    <w:rsid w:val="00BA435A"/>
    <w:rsid w:val="00BA54BA"/>
    <w:rsid w:val="00BA5558"/>
    <w:rsid w:val="00BA5603"/>
    <w:rsid w:val="00BA56D9"/>
    <w:rsid w:val="00BA6194"/>
    <w:rsid w:val="00BA62C6"/>
    <w:rsid w:val="00BA7EEE"/>
    <w:rsid w:val="00BB2008"/>
    <w:rsid w:val="00BB29DF"/>
    <w:rsid w:val="00BB2CFC"/>
    <w:rsid w:val="00BB344B"/>
    <w:rsid w:val="00BB34DC"/>
    <w:rsid w:val="00BB35D0"/>
    <w:rsid w:val="00BB3AC4"/>
    <w:rsid w:val="00BB4999"/>
    <w:rsid w:val="00BB4BCD"/>
    <w:rsid w:val="00BB52EB"/>
    <w:rsid w:val="00BB56C7"/>
    <w:rsid w:val="00BB5B62"/>
    <w:rsid w:val="00BB6502"/>
    <w:rsid w:val="00BB65AA"/>
    <w:rsid w:val="00BB6BCD"/>
    <w:rsid w:val="00BB70F9"/>
    <w:rsid w:val="00BB7C9B"/>
    <w:rsid w:val="00BC0079"/>
    <w:rsid w:val="00BC09EC"/>
    <w:rsid w:val="00BC1527"/>
    <w:rsid w:val="00BC2306"/>
    <w:rsid w:val="00BC268D"/>
    <w:rsid w:val="00BC2F31"/>
    <w:rsid w:val="00BC3F8F"/>
    <w:rsid w:val="00BC4036"/>
    <w:rsid w:val="00BC4F0A"/>
    <w:rsid w:val="00BC509F"/>
    <w:rsid w:val="00BC51D2"/>
    <w:rsid w:val="00BC64BE"/>
    <w:rsid w:val="00BC7155"/>
    <w:rsid w:val="00BC7550"/>
    <w:rsid w:val="00BD0B72"/>
    <w:rsid w:val="00BD110D"/>
    <w:rsid w:val="00BD2191"/>
    <w:rsid w:val="00BD235A"/>
    <w:rsid w:val="00BD2668"/>
    <w:rsid w:val="00BD3924"/>
    <w:rsid w:val="00BD450F"/>
    <w:rsid w:val="00BD4512"/>
    <w:rsid w:val="00BD52AA"/>
    <w:rsid w:val="00BE1061"/>
    <w:rsid w:val="00BE1321"/>
    <w:rsid w:val="00BE19B1"/>
    <w:rsid w:val="00BE232B"/>
    <w:rsid w:val="00BE2893"/>
    <w:rsid w:val="00BE2EB4"/>
    <w:rsid w:val="00BE2F5A"/>
    <w:rsid w:val="00BE37D3"/>
    <w:rsid w:val="00BE522A"/>
    <w:rsid w:val="00BE57B5"/>
    <w:rsid w:val="00BE7A7C"/>
    <w:rsid w:val="00BF041C"/>
    <w:rsid w:val="00BF0A44"/>
    <w:rsid w:val="00BF0CEC"/>
    <w:rsid w:val="00BF1041"/>
    <w:rsid w:val="00BF1A44"/>
    <w:rsid w:val="00BF1EDF"/>
    <w:rsid w:val="00BF487A"/>
    <w:rsid w:val="00BF4D3D"/>
    <w:rsid w:val="00BF5B8C"/>
    <w:rsid w:val="00BF66B7"/>
    <w:rsid w:val="00BF6A68"/>
    <w:rsid w:val="00BF6FC6"/>
    <w:rsid w:val="00BF7152"/>
    <w:rsid w:val="00BF73F0"/>
    <w:rsid w:val="00BF75B1"/>
    <w:rsid w:val="00BF75C9"/>
    <w:rsid w:val="00BF7BD3"/>
    <w:rsid w:val="00C002BF"/>
    <w:rsid w:val="00C00352"/>
    <w:rsid w:val="00C007CE"/>
    <w:rsid w:val="00C00A22"/>
    <w:rsid w:val="00C00F18"/>
    <w:rsid w:val="00C015AA"/>
    <w:rsid w:val="00C01CBD"/>
    <w:rsid w:val="00C01D39"/>
    <w:rsid w:val="00C0200C"/>
    <w:rsid w:val="00C020A8"/>
    <w:rsid w:val="00C034A4"/>
    <w:rsid w:val="00C03DD0"/>
    <w:rsid w:val="00C04445"/>
    <w:rsid w:val="00C04705"/>
    <w:rsid w:val="00C04A7F"/>
    <w:rsid w:val="00C04E2B"/>
    <w:rsid w:val="00C051AA"/>
    <w:rsid w:val="00C052C7"/>
    <w:rsid w:val="00C060A0"/>
    <w:rsid w:val="00C07187"/>
    <w:rsid w:val="00C07438"/>
    <w:rsid w:val="00C075C9"/>
    <w:rsid w:val="00C07FAD"/>
    <w:rsid w:val="00C106C4"/>
    <w:rsid w:val="00C11128"/>
    <w:rsid w:val="00C111EA"/>
    <w:rsid w:val="00C119AD"/>
    <w:rsid w:val="00C1228D"/>
    <w:rsid w:val="00C13FED"/>
    <w:rsid w:val="00C140AF"/>
    <w:rsid w:val="00C14E7D"/>
    <w:rsid w:val="00C15722"/>
    <w:rsid w:val="00C15C2A"/>
    <w:rsid w:val="00C16897"/>
    <w:rsid w:val="00C17804"/>
    <w:rsid w:val="00C200C9"/>
    <w:rsid w:val="00C218FD"/>
    <w:rsid w:val="00C21D8E"/>
    <w:rsid w:val="00C22525"/>
    <w:rsid w:val="00C23DBB"/>
    <w:rsid w:val="00C23FE1"/>
    <w:rsid w:val="00C2410D"/>
    <w:rsid w:val="00C24BAF"/>
    <w:rsid w:val="00C25F8B"/>
    <w:rsid w:val="00C25FB5"/>
    <w:rsid w:val="00C265C0"/>
    <w:rsid w:val="00C266B3"/>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2E8E"/>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296"/>
    <w:rsid w:val="00C434C2"/>
    <w:rsid w:val="00C43940"/>
    <w:rsid w:val="00C44342"/>
    <w:rsid w:val="00C444F0"/>
    <w:rsid w:val="00C44694"/>
    <w:rsid w:val="00C44744"/>
    <w:rsid w:val="00C457C1"/>
    <w:rsid w:val="00C46109"/>
    <w:rsid w:val="00C46625"/>
    <w:rsid w:val="00C46870"/>
    <w:rsid w:val="00C47545"/>
    <w:rsid w:val="00C47593"/>
    <w:rsid w:val="00C47697"/>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E3C"/>
    <w:rsid w:val="00C61F84"/>
    <w:rsid w:val="00C62FF7"/>
    <w:rsid w:val="00C63135"/>
    <w:rsid w:val="00C637DC"/>
    <w:rsid w:val="00C63EE8"/>
    <w:rsid w:val="00C6432E"/>
    <w:rsid w:val="00C64B61"/>
    <w:rsid w:val="00C65718"/>
    <w:rsid w:val="00C65C81"/>
    <w:rsid w:val="00C666DE"/>
    <w:rsid w:val="00C66772"/>
    <w:rsid w:val="00C66D2B"/>
    <w:rsid w:val="00C67580"/>
    <w:rsid w:val="00C6781C"/>
    <w:rsid w:val="00C67DDD"/>
    <w:rsid w:val="00C67EA1"/>
    <w:rsid w:val="00C70AEE"/>
    <w:rsid w:val="00C71801"/>
    <w:rsid w:val="00C71D15"/>
    <w:rsid w:val="00C7234D"/>
    <w:rsid w:val="00C7244E"/>
    <w:rsid w:val="00C726C9"/>
    <w:rsid w:val="00C72801"/>
    <w:rsid w:val="00C72C0A"/>
    <w:rsid w:val="00C73AB1"/>
    <w:rsid w:val="00C73E67"/>
    <w:rsid w:val="00C73FAD"/>
    <w:rsid w:val="00C74AE1"/>
    <w:rsid w:val="00C757B8"/>
    <w:rsid w:val="00C76906"/>
    <w:rsid w:val="00C76B7C"/>
    <w:rsid w:val="00C76CC7"/>
    <w:rsid w:val="00C76F81"/>
    <w:rsid w:val="00C776A4"/>
    <w:rsid w:val="00C77800"/>
    <w:rsid w:val="00C800DD"/>
    <w:rsid w:val="00C80920"/>
    <w:rsid w:val="00C80B03"/>
    <w:rsid w:val="00C81280"/>
    <w:rsid w:val="00C817D7"/>
    <w:rsid w:val="00C8243F"/>
    <w:rsid w:val="00C8289B"/>
    <w:rsid w:val="00C82D54"/>
    <w:rsid w:val="00C82F3B"/>
    <w:rsid w:val="00C837C4"/>
    <w:rsid w:val="00C83829"/>
    <w:rsid w:val="00C83EDD"/>
    <w:rsid w:val="00C84BF1"/>
    <w:rsid w:val="00C84CA2"/>
    <w:rsid w:val="00C85094"/>
    <w:rsid w:val="00C85A36"/>
    <w:rsid w:val="00C85CD1"/>
    <w:rsid w:val="00C86C56"/>
    <w:rsid w:val="00C876A3"/>
    <w:rsid w:val="00C8773E"/>
    <w:rsid w:val="00C87EDA"/>
    <w:rsid w:val="00C90601"/>
    <w:rsid w:val="00C90D16"/>
    <w:rsid w:val="00C9116A"/>
    <w:rsid w:val="00C9265D"/>
    <w:rsid w:val="00C92824"/>
    <w:rsid w:val="00C937BA"/>
    <w:rsid w:val="00C949FC"/>
    <w:rsid w:val="00C95D0C"/>
    <w:rsid w:val="00C960CF"/>
    <w:rsid w:val="00C96672"/>
    <w:rsid w:val="00C96678"/>
    <w:rsid w:val="00C96772"/>
    <w:rsid w:val="00C96CFA"/>
    <w:rsid w:val="00C96E5A"/>
    <w:rsid w:val="00C96EB5"/>
    <w:rsid w:val="00C97913"/>
    <w:rsid w:val="00C97F6D"/>
    <w:rsid w:val="00CA0257"/>
    <w:rsid w:val="00CA0917"/>
    <w:rsid w:val="00CA0AF1"/>
    <w:rsid w:val="00CA102B"/>
    <w:rsid w:val="00CA283D"/>
    <w:rsid w:val="00CA29D1"/>
    <w:rsid w:val="00CA2DD6"/>
    <w:rsid w:val="00CA3247"/>
    <w:rsid w:val="00CA3752"/>
    <w:rsid w:val="00CA3999"/>
    <w:rsid w:val="00CA39C0"/>
    <w:rsid w:val="00CA5AD3"/>
    <w:rsid w:val="00CA62DD"/>
    <w:rsid w:val="00CA69BA"/>
    <w:rsid w:val="00CA6D92"/>
    <w:rsid w:val="00CA74D5"/>
    <w:rsid w:val="00CA7DE6"/>
    <w:rsid w:val="00CB0339"/>
    <w:rsid w:val="00CB110E"/>
    <w:rsid w:val="00CB11F8"/>
    <w:rsid w:val="00CB225B"/>
    <w:rsid w:val="00CB2EF5"/>
    <w:rsid w:val="00CB33E4"/>
    <w:rsid w:val="00CB4230"/>
    <w:rsid w:val="00CB431B"/>
    <w:rsid w:val="00CB4598"/>
    <w:rsid w:val="00CB4A77"/>
    <w:rsid w:val="00CB4EA5"/>
    <w:rsid w:val="00CB557F"/>
    <w:rsid w:val="00CB592B"/>
    <w:rsid w:val="00CB5C5F"/>
    <w:rsid w:val="00CB600E"/>
    <w:rsid w:val="00CB65B8"/>
    <w:rsid w:val="00CB690D"/>
    <w:rsid w:val="00CB6BEF"/>
    <w:rsid w:val="00CB6CDF"/>
    <w:rsid w:val="00CB71DB"/>
    <w:rsid w:val="00CB7264"/>
    <w:rsid w:val="00CB730F"/>
    <w:rsid w:val="00CB761C"/>
    <w:rsid w:val="00CB76B5"/>
    <w:rsid w:val="00CB7AD6"/>
    <w:rsid w:val="00CC0495"/>
    <w:rsid w:val="00CC110F"/>
    <w:rsid w:val="00CC11B8"/>
    <w:rsid w:val="00CC1AF9"/>
    <w:rsid w:val="00CC20E0"/>
    <w:rsid w:val="00CC2818"/>
    <w:rsid w:val="00CC296B"/>
    <w:rsid w:val="00CC2F7A"/>
    <w:rsid w:val="00CC3A0B"/>
    <w:rsid w:val="00CC3A70"/>
    <w:rsid w:val="00CC4033"/>
    <w:rsid w:val="00CC40B8"/>
    <w:rsid w:val="00CC5444"/>
    <w:rsid w:val="00CC54B8"/>
    <w:rsid w:val="00CC5631"/>
    <w:rsid w:val="00CC5CE0"/>
    <w:rsid w:val="00CC62A6"/>
    <w:rsid w:val="00CC676C"/>
    <w:rsid w:val="00CC7A11"/>
    <w:rsid w:val="00CD03A1"/>
    <w:rsid w:val="00CD04A8"/>
    <w:rsid w:val="00CD051B"/>
    <w:rsid w:val="00CD16D6"/>
    <w:rsid w:val="00CD1DB1"/>
    <w:rsid w:val="00CD22B5"/>
    <w:rsid w:val="00CD22F4"/>
    <w:rsid w:val="00CD25E1"/>
    <w:rsid w:val="00CD3346"/>
    <w:rsid w:val="00CD367C"/>
    <w:rsid w:val="00CD454A"/>
    <w:rsid w:val="00CD4F54"/>
    <w:rsid w:val="00CD4FFE"/>
    <w:rsid w:val="00CD57FA"/>
    <w:rsid w:val="00CD5A6E"/>
    <w:rsid w:val="00CD5E4B"/>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6F6A"/>
    <w:rsid w:val="00CE774C"/>
    <w:rsid w:val="00CE7C2D"/>
    <w:rsid w:val="00CF012E"/>
    <w:rsid w:val="00CF04D4"/>
    <w:rsid w:val="00CF0B4C"/>
    <w:rsid w:val="00CF1680"/>
    <w:rsid w:val="00CF1BD7"/>
    <w:rsid w:val="00CF21A5"/>
    <w:rsid w:val="00CF24AB"/>
    <w:rsid w:val="00CF2518"/>
    <w:rsid w:val="00CF2DBE"/>
    <w:rsid w:val="00CF2DDE"/>
    <w:rsid w:val="00CF344A"/>
    <w:rsid w:val="00CF3484"/>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580"/>
    <w:rsid w:val="00D03BF7"/>
    <w:rsid w:val="00D03F1E"/>
    <w:rsid w:val="00D0428E"/>
    <w:rsid w:val="00D04426"/>
    <w:rsid w:val="00D0482F"/>
    <w:rsid w:val="00D04A33"/>
    <w:rsid w:val="00D04EB0"/>
    <w:rsid w:val="00D050C3"/>
    <w:rsid w:val="00D05892"/>
    <w:rsid w:val="00D06818"/>
    <w:rsid w:val="00D06824"/>
    <w:rsid w:val="00D06C03"/>
    <w:rsid w:val="00D07842"/>
    <w:rsid w:val="00D1037A"/>
    <w:rsid w:val="00D10D09"/>
    <w:rsid w:val="00D1163E"/>
    <w:rsid w:val="00D11B4F"/>
    <w:rsid w:val="00D1211C"/>
    <w:rsid w:val="00D12362"/>
    <w:rsid w:val="00D12A4F"/>
    <w:rsid w:val="00D13405"/>
    <w:rsid w:val="00D14C15"/>
    <w:rsid w:val="00D159FE"/>
    <w:rsid w:val="00D15CB3"/>
    <w:rsid w:val="00D15F51"/>
    <w:rsid w:val="00D16ED5"/>
    <w:rsid w:val="00D202B1"/>
    <w:rsid w:val="00D20662"/>
    <w:rsid w:val="00D21291"/>
    <w:rsid w:val="00D21C8A"/>
    <w:rsid w:val="00D2297E"/>
    <w:rsid w:val="00D22DE5"/>
    <w:rsid w:val="00D233BD"/>
    <w:rsid w:val="00D233D7"/>
    <w:rsid w:val="00D23CBB"/>
    <w:rsid w:val="00D24A35"/>
    <w:rsid w:val="00D24E11"/>
    <w:rsid w:val="00D25806"/>
    <w:rsid w:val="00D25E9D"/>
    <w:rsid w:val="00D25F1C"/>
    <w:rsid w:val="00D26DE6"/>
    <w:rsid w:val="00D26EE7"/>
    <w:rsid w:val="00D2711E"/>
    <w:rsid w:val="00D27B1E"/>
    <w:rsid w:val="00D30718"/>
    <w:rsid w:val="00D30B6C"/>
    <w:rsid w:val="00D321AD"/>
    <w:rsid w:val="00D322FB"/>
    <w:rsid w:val="00D32475"/>
    <w:rsid w:val="00D32EF4"/>
    <w:rsid w:val="00D33F81"/>
    <w:rsid w:val="00D34850"/>
    <w:rsid w:val="00D35060"/>
    <w:rsid w:val="00D369D4"/>
    <w:rsid w:val="00D36AD7"/>
    <w:rsid w:val="00D373E9"/>
    <w:rsid w:val="00D37C61"/>
    <w:rsid w:val="00D403FF"/>
    <w:rsid w:val="00D404C4"/>
    <w:rsid w:val="00D40AB3"/>
    <w:rsid w:val="00D40C02"/>
    <w:rsid w:val="00D40CE9"/>
    <w:rsid w:val="00D41026"/>
    <w:rsid w:val="00D417BD"/>
    <w:rsid w:val="00D41CEE"/>
    <w:rsid w:val="00D42115"/>
    <w:rsid w:val="00D42654"/>
    <w:rsid w:val="00D42EFD"/>
    <w:rsid w:val="00D4321D"/>
    <w:rsid w:val="00D43DB6"/>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6D8"/>
    <w:rsid w:val="00D55D78"/>
    <w:rsid w:val="00D55EC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4E8"/>
    <w:rsid w:val="00D6692A"/>
    <w:rsid w:val="00D66E55"/>
    <w:rsid w:val="00D674E9"/>
    <w:rsid w:val="00D6799A"/>
    <w:rsid w:val="00D67BE3"/>
    <w:rsid w:val="00D7009C"/>
    <w:rsid w:val="00D70165"/>
    <w:rsid w:val="00D70645"/>
    <w:rsid w:val="00D70F17"/>
    <w:rsid w:val="00D712DA"/>
    <w:rsid w:val="00D719EF"/>
    <w:rsid w:val="00D72327"/>
    <w:rsid w:val="00D727E0"/>
    <w:rsid w:val="00D72B87"/>
    <w:rsid w:val="00D72C72"/>
    <w:rsid w:val="00D74160"/>
    <w:rsid w:val="00D75D22"/>
    <w:rsid w:val="00D75DA5"/>
    <w:rsid w:val="00D7655A"/>
    <w:rsid w:val="00D76C58"/>
    <w:rsid w:val="00D76CF2"/>
    <w:rsid w:val="00D76E7C"/>
    <w:rsid w:val="00D77024"/>
    <w:rsid w:val="00D80B40"/>
    <w:rsid w:val="00D8155B"/>
    <w:rsid w:val="00D816D5"/>
    <w:rsid w:val="00D81E79"/>
    <w:rsid w:val="00D81FEA"/>
    <w:rsid w:val="00D825A5"/>
    <w:rsid w:val="00D825B7"/>
    <w:rsid w:val="00D828DB"/>
    <w:rsid w:val="00D8290E"/>
    <w:rsid w:val="00D82AB5"/>
    <w:rsid w:val="00D82AD1"/>
    <w:rsid w:val="00D82E6E"/>
    <w:rsid w:val="00D83040"/>
    <w:rsid w:val="00D8323B"/>
    <w:rsid w:val="00D83489"/>
    <w:rsid w:val="00D83D13"/>
    <w:rsid w:val="00D841AC"/>
    <w:rsid w:val="00D84F1E"/>
    <w:rsid w:val="00D8589D"/>
    <w:rsid w:val="00D85A81"/>
    <w:rsid w:val="00D86466"/>
    <w:rsid w:val="00D86997"/>
    <w:rsid w:val="00D870E8"/>
    <w:rsid w:val="00D87423"/>
    <w:rsid w:val="00D87452"/>
    <w:rsid w:val="00D87485"/>
    <w:rsid w:val="00D87955"/>
    <w:rsid w:val="00D87DC4"/>
    <w:rsid w:val="00D907CB"/>
    <w:rsid w:val="00D90955"/>
    <w:rsid w:val="00D91BF2"/>
    <w:rsid w:val="00D921EE"/>
    <w:rsid w:val="00D93322"/>
    <w:rsid w:val="00D93C1C"/>
    <w:rsid w:val="00D94026"/>
    <w:rsid w:val="00D94120"/>
    <w:rsid w:val="00D94265"/>
    <w:rsid w:val="00D951DD"/>
    <w:rsid w:val="00D952ED"/>
    <w:rsid w:val="00D957FA"/>
    <w:rsid w:val="00D9664A"/>
    <w:rsid w:val="00D9664C"/>
    <w:rsid w:val="00D97404"/>
    <w:rsid w:val="00D975A3"/>
    <w:rsid w:val="00D979D0"/>
    <w:rsid w:val="00DA08CA"/>
    <w:rsid w:val="00DA0F37"/>
    <w:rsid w:val="00DA101A"/>
    <w:rsid w:val="00DA122C"/>
    <w:rsid w:val="00DA1A06"/>
    <w:rsid w:val="00DA26F0"/>
    <w:rsid w:val="00DA2FD5"/>
    <w:rsid w:val="00DA4838"/>
    <w:rsid w:val="00DA4989"/>
    <w:rsid w:val="00DA5721"/>
    <w:rsid w:val="00DA6173"/>
    <w:rsid w:val="00DA7477"/>
    <w:rsid w:val="00DA7573"/>
    <w:rsid w:val="00DA7BD4"/>
    <w:rsid w:val="00DB0191"/>
    <w:rsid w:val="00DB0359"/>
    <w:rsid w:val="00DB095D"/>
    <w:rsid w:val="00DB0EF6"/>
    <w:rsid w:val="00DB0F8A"/>
    <w:rsid w:val="00DB26A8"/>
    <w:rsid w:val="00DB27CF"/>
    <w:rsid w:val="00DB324C"/>
    <w:rsid w:val="00DB3FD3"/>
    <w:rsid w:val="00DB5F2A"/>
    <w:rsid w:val="00DB61C0"/>
    <w:rsid w:val="00DB6A2B"/>
    <w:rsid w:val="00DB6C15"/>
    <w:rsid w:val="00DB6F45"/>
    <w:rsid w:val="00DB72B7"/>
    <w:rsid w:val="00DB7546"/>
    <w:rsid w:val="00DB782D"/>
    <w:rsid w:val="00DC0624"/>
    <w:rsid w:val="00DC0C3C"/>
    <w:rsid w:val="00DC0FC3"/>
    <w:rsid w:val="00DC1A58"/>
    <w:rsid w:val="00DC1AC0"/>
    <w:rsid w:val="00DC1CDD"/>
    <w:rsid w:val="00DC1D8E"/>
    <w:rsid w:val="00DC1F60"/>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6C18"/>
    <w:rsid w:val="00DC727F"/>
    <w:rsid w:val="00DC7E78"/>
    <w:rsid w:val="00DD0493"/>
    <w:rsid w:val="00DD0924"/>
    <w:rsid w:val="00DD0CBF"/>
    <w:rsid w:val="00DD1071"/>
    <w:rsid w:val="00DD12FD"/>
    <w:rsid w:val="00DD1576"/>
    <w:rsid w:val="00DD1D31"/>
    <w:rsid w:val="00DD23D1"/>
    <w:rsid w:val="00DD2893"/>
    <w:rsid w:val="00DD2BD6"/>
    <w:rsid w:val="00DD2E8E"/>
    <w:rsid w:val="00DD33B8"/>
    <w:rsid w:val="00DD4717"/>
    <w:rsid w:val="00DD4F74"/>
    <w:rsid w:val="00DD531F"/>
    <w:rsid w:val="00DD556C"/>
    <w:rsid w:val="00DD5737"/>
    <w:rsid w:val="00DD5E81"/>
    <w:rsid w:val="00DD6C46"/>
    <w:rsid w:val="00DD6C7A"/>
    <w:rsid w:val="00DD6F44"/>
    <w:rsid w:val="00DD7CCA"/>
    <w:rsid w:val="00DE0740"/>
    <w:rsid w:val="00DE0BDE"/>
    <w:rsid w:val="00DE10CF"/>
    <w:rsid w:val="00DE1270"/>
    <w:rsid w:val="00DE15CB"/>
    <w:rsid w:val="00DE1847"/>
    <w:rsid w:val="00DE1E1E"/>
    <w:rsid w:val="00DE223E"/>
    <w:rsid w:val="00DE2548"/>
    <w:rsid w:val="00DE2D33"/>
    <w:rsid w:val="00DE31A7"/>
    <w:rsid w:val="00DE34EB"/>
    <w:rsid w:val="00DE3592"/>
    <w:rsid w:val="00DE3E78"/>
    <w:rsid w:val="00DE41F8"/>
    <w:rsid w:val="00DE4B9D"/>
    <w:rsid w:val="00DE50EA"/>
    <w:rsid w:val="00DE545C"/>
    <w:rsid w:val="00DE5C9F"/>
    <w:rsid w:val="00DE734E"/>
    <w:rsid w:val="00DE7887"/>
    <w:rsid w:val="00DE7B64"/>
    <w:rsid w:val="00DE7BF8"/>
    <w:rsid w:val="00DF08F7"/>
    <w:rsid w:val="00DF0DC3"/>
    <w:rsid w:val="00DF14F9"/>
    <w:rsid w:val="00DF1C2D"/>
    <w:rsid w:val="00DF1FAE"/>
    <w:rsid w:val="00DF2AD9"/>
    <w:rsid w:val="00DF54D0"/>
    <w:rsid w:val="00DF556E"/>
    <w:rsid w:val="00DF580C"/>
    <w:rsid w:val="00DF5C1A"/>
    <w:rsid w:val="00DF6053"/>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3FEF"/>
    <w:rsid w:val="00E04510"/>
    <w:rsid w:val="00E04784"/>
    <w:rsid w:val="00E05569"/>
    <w:rsid w:val="00E05A6C"/>
    <w:rsid w:val="00E05F59"/>
    <w:rsid w:val="00E0655D"/>
    <w:rsid w:val="00E1024A"/>
    <w:rsid w:val="00E10B17"/>
    <w:rsid w:val="00E10B67"/>
    <w:rsid w:val="00E12742"/>
    <w:rsid w:val="00E12AB9"/>
    <w:rsid w:val="00E12B67"/>
    <w:rsid w:val="00E13AC9"/>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1D10"/>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6EE"/>
    <w:rsid w:val="00E2792D"/>
    <w:rsid w:val="00E30828"/>
    <w:rsid w:val="00E30B37"/>
    <w:rsid w:val="00E3109C"/>
    <w:rsid w:val="00E311D1"/>
    <w:rsid w:val="00E31553"/>
    <w:rsid w:val="00E31C2D"/>
    <w:rsid w:val="00E32432"/>
    <w:rsid w:val="00E3256F"/>
    <w:rsid w:val="00E32E09"/>
    <w:rsid w:val="00E332BC"/>
    <w:rsid w:val="00E339F5"/>
    <w:rsid w:val="00E33B1E"/>
    <w:rsid w:val="00E34277"/>
    <w:rsid w:val="00E3621B"/>
    <w:rsid w:val="00E36721"/>
    <w:rsid w:val="00E36F43"/>
    <w:rsid w:val="00E37F0C"/>
    <w:rsid w:val="00E40ADF"/>
    <w:rsid w:val="00E418E3"/>
    <w:rsid w:val="00E423DE"/>
    <w:rsid w:val="00E42F07"/>
    <w:rsid w:val="00E4370F"/>
    <w:rsid w:val="00E4441D"/>
    <w:rsid w:val="00E453AB"/>
    <w:rsid w:val="00E46263"/>
    <w:rsid w:val="00E462AD"/>
    <w:rsid w:val="00E462E6"/>
    <w:rsid w:val="00E463A0"/>
    <w:rsid w:val="00E474A3"/>
    <w:rsid w:val="00E47839"/>
    <w:rsid w:val="00E51B54"/>
    <w:rsid w:val="00E51CDE"/>
    <w:rsid w:val="00E5210B"/>
    <w:rsid w:val="00E52C7D"/>
    <w:rsid w:val="00E52F36"/>
    <w:rsid w:val="00E53631"/>
    <w:rsid w:val="00E5388F"/>
    <w:rsid w:val="00E54239"/>
    <w:rsid w:val="00E54272"/>
    <w:rsid w:val="00E542BC"/>
    <w:rsid w:val="00E54521"/>
    <w:rsid w:val="00E54617"/>
    <w:rsid w:val="00E5484B"/>
    <w:rsid w:val="00E56023"/>
    <w:rsid w:val="00E56D6E"/>
    <w:rsid w:val="00E56E8B"/>
    <w:rsid w:val="00E56FEF"/>
    <w:rsid w:val="00E577F9"/>
    <w:rsid w:val="00E57FB5"/>
    <w:rsid w:val="00E60F14"/>
    <w:rsid w:val="00E61B23"/>
    <w:rsid w:val="00E625BE"/>
    <w:rsid w:val="00E6284B"/>
    <w:rsid w:val="00E62D07"/>
    <w:rsid w:val="00E62DF6"/>
    <w:rsid w:val="00E63607"/>
    <w:rsid w:val="00E639D3"/>
    <w:rsid w:val="00E63A22"/>
    <w:rsid w:val="00E63B8F"/>
    <w:rsid w:val="00E646B5"/>
    <w:rsid w:val="00E64D4F"/>
    <w:rsid w:val="00E65427"/>
    <w:rsid w:val="00E6543F"/>
    <w:rsid w:val="00E661C0"/>
    <w:rsid w:val="00E663F5"/>
    <w:rsid w:val="00E66E97"/>
    <w:rsid w:val="00E70BD6"/>
    <w:rsid w:val="00E71305"/>
    <w:rsid w:val="00E72383"/>
    <w:rsid w:val="00E724D2"/>
    <w:rsid w:val="00E729C9"/>
    <w:rsid w:val="00E72D9F"/>
    <w:rsid w:val="00E73C41"/>
    <w:rsid w:val="00E74503"/>
    <w:rsid w:val="00E74933"/>
    <w:rsid w:val="00E74C62"/>
    <w:rsid w:val="00E74EDC"/>
    <w:rsid w:val="00E75737"/>
    <w:rsid w:val="00E75875"/>
    <w:rsid w:val="00E75886"/>
    <w:rsid w:val="00E75D6E"/>
    <w:rsid w:val="00E76007"/>
    <w:rsid w:val="00E76181"/>
    <w:rsid w:val="00E770F2"/>
    <w:rsid w:val="00E77EAC"/>
    <w:rsid w:val="00E81069"/>
    <w:rsid w:val="00E817AD"/>
    <w:rsid w:val="00E817EF"/>
    <w:rsid w:val="00E8184F"/>
    <w:rsid w:val="00E81ED7"/>
    <w:rsid w:val="00E828D5"/>
    <w:rsid w:val="00E82D81"/>
    <w:rsid w:val="00E83259"/>
    <w:rsid w:val="00E839BE"/>
    <w:rsid w:val="00E83CAC"/>
    <w:rsid w:val="00E841D8"/>
    <w:rsid w:val="00E842B6"/>
    <w:rsid w:val="00E84801"/>
    <w:rsid w:val="00E84C89"/>
    <w:rsid w:val="00E8564A"/>
    <w:rsid w:val="00E85E56"/>
    <w:rsid w:val="00E860DD"/>
    <w:rsid w:val="00E86457"/>
    <w:rsid w:val="00E87033"/>
    <w:rsid w:val="00E8713D"/>
    <w:rsid w:val="00E90329"/>
    <w:rsid w:val="00E910D5"/>
    <w:rsid w:val="00E91D12"/>
    <w:rsid w:val="00E922C4"/>
    <w:rsid w:val="00E943AE"/>
    <w:rsid w:val="00E947B0"/>
    <w:rsid w:val="00E952F6"/>
    <w:rsid w:val="00E95D82"/>
    <w:rsid w:val="00E95F21"/>
    <w:rsid w:val="00E96273"/>
    <w:rsid w:val="00E96E97"/>
    <w:rsid w:val="00E97D49"/>
    <w:rsid w:val="00EA0251"/>
    <w:rsid w:val="00EA1065"/>
    <w:rsid w:val="00EA1434"/>
    <w:rsid w:val="00EA294B"/>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153"/>
    <w:rsid w:val="00EB05DA"/>
    <w:rsid w:val="00EB190F"/>
    <w:rsid w:val="00EB235B"/>
    <w:rsid w:val="00EB31A3"/>
    <w:rsid w:val="00EB325B"/>
    <w:rsid w:val="00EB3E22"/>
    <w:rsid w:val="00EB5D99"/>
    <w:rsid w:val="00EB64AD"/>
    <w:rsid w:val="00EB693B"/>
    <w:rsid w:val="00EB7BA9"/>
    <w:rsid w:val="00EB7D75"/>
    <w:rsid w:val="00EC0B20"/>
    <w:rsid w:val="00EC0B32"/>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16D2"/>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6A4"/>
    <w:rsid w:val="00EE3B32"/>
    <w:rsid w:val="00EE3CFF"/>
    <w:rsid w:val="00EE3F39"/>
    <w:rsid w:val="00EE414C"/>
    <w:rsid w:val="00EE44FE"/>
    <w:rsid w:val="00EE5406"/>
    <w:rsid w:val="00EE5EF8"/>
    <w:rsid w:val="00EE640B"/>
    <w:rsid w:val="00EE6964"/>
    <w:rsid w:val="00EE6A1D"/>
    <w:rsid w:val="00EE6D18"/>
    <w:rsid w:val="00EE7E7A"/>
    <w:rsid w:val="00EF1230"/>
    <w:rsid w:val="00EF223B"/>
    <w:rsid w:val="00EF2344"/>
    <w:rsid w:val="00EF29DE"/>
    <w:rsid w:val="00EF3978"/>
    <w:rsid w:val="00EF3AAC"/>
    <w:rsid w:val="00EF4656"/>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608"/>
    <w:rsid w:val="00F04F9E"/>
    <w:rsid w:val="00F06A47"/>
    <w:rsid w:val="00F06A6F"/>
    <w:rsid w:val="00F06E0B"/>
    <w:rsid w:val="00F0717F"/>
    <w:rsid w:val="00F0747A"/>
    <w:rsid w:val="00F07849"/>
    <w:rsid w:val="00F07882"/>
    <w:rsid w:val="00F07883"/>
    <w:rsid w:val="00F10177"/>
    <w:rsid w:val="00F10D83"/>
    <w:rsid w:val="00F1196B"/>
    <w:rsid w:val="00F11A6A"/>
    <w:rsid w:val="00F126BD"/>
    <w:rsid w:val="00F131E1"/>
    <w:rsid w:val="00F13433"/>
    <w:rsid w:val="00F134FC"/>
    <w:rsid w:val="00F1350E"/>
    <w:rsid w:val="00F13B89"/>
    <w:rsid w:val="00F14419"/>
    <w:rsid w:val="00F1470E"/>
    <w:rsid w:val="00F147A5"/>
    <w:rsid w:val="00F14AA7"/>
    <w:rsid w:val="00F15084"/>
    <w:rsid w:val="00F15884"/>
    <w:rsid w:val="00F15B8E"/>
    <w:rsid w:val="00F16665"/>
    <w:rsid w:val="00F16FB0"/>
    <w:rsid w:val="00F1733B"/>
    <w:rsid w:val="00F17474"/>
    <w:rsid w:val="00F201CC"/>
    <w:rsid w:val="00F203F2"/>
    <w:rsid w:val="00F20487"/>
    <w:rsid w:val="00F20F65"/>
    <w:rsid w:val="00F2106D"/>
    <w:rsid w:val="00F22096"/>
    <w:rsid w:val="00F22337"/>
    <w:rsid w:val="00F22D65"/>
    <w:rsid w:val="00F23175"/>
    <w:rsid w:val="00F23FB0"/>
    <w:rsid w:val="00F2480A"/>
    <w:rsid w:val="00F24891"/>
    <w:rsid w:val="00F24B99"/>
    <w:rsid w:val="00F24B9F"/>
    <w:rsid w:val="00F24CA6"/>
    <w:rsid w:val="00F256AE"/>
    <w:rsid w:val="00F25773"/>
    <w:rsid w:val="00F257FA"/>
    <w:rsid w:val="00F26004"/>
    <w:rsid w:val="00F270E8"/>
    <w:rsid w:val="00F27E5C"/>
    <w:rsid w:val="00F27EF5"/>
    <w:rsid w:val="00F27FDB"/>
    <w:rsid w:val="00F30251"/>
    <w:rsid w:val="00F305CC"/>
    <w:rsid w:val="00F3179A"/>
    <w:rsid w:val="00F31D54"/>
    <w:rsid w:val="00F32357"/>
    <w:rsid w:val="00F32C70"/>
    <w:rsid w:val="00F34E02"/>
    <w:rsid w:val="00F3549E"/>
    <w:rsid w:val="00F365A7"/>
    <w:rsid w:val="00F3667F"/>
    <w:rsid w:val="00F3681C"/>
    <w:rsid w:val="00F369A7"/>
    <w:rsid w:val="00F3769D"/>
    <w:rsid w:val="00F404F4"/>
    <w:rsid w:val="00F40794"/>
    <w:rsid w:val="00F4143E"/>
    <w:rsid w:val="00F41CC5"/>
    <w:rsid w:val="00F41D25"/>
    <w:rsid w:val="00F42307"/>
    <w:rsid w:val="00F423C2"/>
    <w:rsid w:val="00F42D96"/>
    <w:rsid w:val="00F433F8"/>
    <w:rsid w:val="00F433FE"/>
    <w:rsid w:val="00F435CE"/>
    <w:rsid w:val="00F43627"/>
    <w:rsid w:val="00F43781"/>
    <w:rsid w:val="00F43922"/>
    <w:rsid w:val="00F44012"/>
    <w:rsid w:val="00F4463C"/>
    <w:rsid w:val="00F46C6C"/>
    <w:rsid w:val="00F46ED7"/>
    <w:rsid w:val="00F473A5"/>
    <w:rsid w:val="00F473F3"/>
    <w:rsid w:val="00F474B8"/>
    <w:rsid w:val="00F478CA"/>
    <w:rsid w:val="00F47CE2"/>
    <w:rsid w:val="00F500C4"/>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6F56"/>
    <w:rsid w:val="00F67846"/>
    <w:rsid w:val="00F67B42"/>
    <w:rsid w:val="00F70B72"/>
    <w:rsid w:val="00F70DEF"/>
    <w:rsid w:val="00F70EA3"/>
    <w:rsid w:val="00F71398"/>
    <w:rsid w:val="00F7294C"/>
    <w:rsid w:val="00F72C5F"/>
    <w:rsid w:val="00F73549"/>
    <w:rsid w:val="00F73DE9"/>
    <w:rsid w:val="00F75782"/>
    <w:rsid w:val="00F80C1D"/>
    <w:rsid w:val="00F81130"/>
    <w:rsid w:val="00F818F7"/>
    <w:rsid w:val="00F81C5F"/>
    <w:rsid w:val="00F8325D"/>
    <w:rsid w:val="00F832A9"/>
    <w:rsid w:val="00F832B0"/>
    <w:rsid w:val="00F83307"/>
    <w:rsid w:val="00F8334F"/>
    <w:rsid w:val="00F833A5"/>
    <w:rsid w:val="00F844D3"/>
    <w:rsid w:val="00F84629"/>
    <w:rsid w:val="00F84B71"/>
    <w:rsid w:val="00F84F0E"/>
    <w:rsid w:val="00F8519E"/>
    <w:rsid w:val="00F85FF5"/>
    <w:rsid w:val="00F86BB4"/>
    <w:rsid w:val="00F870F5"/>
    <w:rsid w:val="00F87974"/>
    <w:rsid w:val="00F902D2"/>
    <w:rsid w:val="00F90B12"/>
    <w:rsid w:val="00F90CBD"/>
    <w:rsid w:val="00F91061"/>
    <w:rsid w:val="00F9109E"/>
    <w:rsid w:val="00F9177E"/>
    <w:rsid w:val="00F91E4F"/>
    <w:rsid w:val="00F91FDF"/>
    <w:rsid w:val="00F92AA1"/>
    <w:rsid w:val="00F92FDC"/>
    <w:rsid w:val="00F931D2"/>
    <w:rsid w:val="00F93431"/>
    <w:rsid w:val="00F93A4A"/>
    <w:rsid w:val="00F93D27"/>
    <w:rsid w:val="00F95DD6"/>
    <w:rsid w:val="00F96370"/>
    <w:rsid w:val="00F970D7"/>
    <w:rsid w:val="00F97940"/>
    <w:rsid w:val="00F97BA3"/>
    <w:rsid w:val="00F97EA2"/>
    <w:rsid w:val="00F97F0D"/>
    <w:rsid w:val="00FA0B0A"/>
    <w:rsid w:val="00FA113D"/>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4D51"/>
    <w:rsid w:val="00FA5032"/>
    <w:rsid w:val="00FA5517"/>
    <w:rsid w:val="00FA6980"/>
    <w:rsid w:val="00FA6CDF"/>
    <w:rsid w:val="00FA7192"/>
    <w:rsid w:val="00FA7699"/>
    <w:rsid w:val="00FA7BB5"/>
    <w:rsid w:val="00FA7C85"/>
    <w:rsid w:val="00FB058B"/>
    <w:rsid w:val="00FB12D8"/>
    <w:rsid w:val="00FB176A"/>
    <w:rsid w:val="00FB1CDC"/>
    <w:rsid w:val="00FB238A"/>
    <w:rsid w:val="00FB2446"/>
    <w:rsid w:val="00FB2C81"/>
    <w:rsid w:val="00FB3669"/>
    <w:rsid w:val="00FB3BC4"/>
    <w:rsid w:val="00FB3F9C"/>
    <w:rsid w:val="00FB3FDE"/>
    <w:rsid w:val="00FB4676"/>
    <w:rsid w:val="00FB4B58"/>
    <w:rsid w:val="00FB5552"/>
    <w:rsid w:val="00FB5789"/>
    <w:rsid w:val="00FB5F3A"/>
    <w:rsid w:val="00FB6382"/>
    <w:rsid w:val="00FB6AA9"/>
    <w:rsid w:val="00FB6AD4"/>
    <w:rsid w:val="00FB7F22"/>
    <w:rsid w:val="00FC00F3"/>
    <w:rsid w:val="00FC0A33"/>
    <w:rsid w:val="00FC1416"/>
    <w:rsid w:val="00FC14B2"/>
    <w:rsid w:val="00FC1823"/>
    <w:rsid w:val="00FC2198"/>
    <w:rsid w:val="00FC26A4"/>
    <w:rsid w:val="00FC2C93"/>
    <w:rsid w:val="00FC325A"/>
    <w:rsid w:val="00FC33ED"/>
    <w:rsid w:val="00FC414A"/>
    <w:rsid w:val="00FC43AD"/>
    <w:rsid w:val="00FC55B0"/>
    <w:rsid w:val="00FC5876"/>
    <w:rsid w:val="00FC62F5"/>
    <w:rsid w:val="00FC63FC"/>
    <w:rsid w:val="00FC6BB2"/>
    <w:rsid w:val="00FC731E"/>
    <w:rsid w:val="00FD00AC"/>
    <w:rsid w:val="00FD035A"/>
    <w:rsid w:val="00FD1956"/>
    <w:rsid w:val="00FD19F1"/>
    <w:rsid w:val="00FD1A7E"/>
    <w:rsid w:val="00FD2CC3"/>
    <w:rsid w:val="00FD31BF"/>
    <w:rsid w:val="00FD3CC7"/>
    <w:rsid w:val="00FD4148"/>
    <w:rsid w:val="00FD4D5B"/>
    <w:rsid w:val="00FD505E"/>
    <w:rsid w:val="00FD6453"/>
    <w:rsid w:val="00FD67FD"/>
    <w:rsid w:val="00FD6B43"/>
    <w:rsid w:val="00FD6D24"/>
    <w:rsid w:val="00FD7CB2"/>
    <w:rsid w:val="00FD7D46"/>
    <w:rsid w:val="00FD7D8B"/>
    <w:rsid w:val="00FE0491"/>
    <w:rsid w:val="00FE0AF2"/>
    <w:rsid w:val="00FE1C47"/>
    <w:rsid w:val="00FE22DD"/>
    <w:rsid w:val="00FE2777"/>
    <w:rsid w:val="00FE2CFB"/>
    <w:rsid w:val="00FE4849"/>
    <w:rsid w:val="00FE4A60"/>
    <w:rsid w:val="00FE54E0"/>
    <w:rsid w:val="00FE55F0"/>
    <w:rsid w:val="00FE6331"/>
    <w:rsid w:val="00FE685B"/>
    <w:rsid w:val="00FE6C12"/>
    <w:rsid w:val="00FE7894"/>
    <w:rsid w:val="00FF01FA"/>
    <w:rsid w:val="00FF1F0B"/>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559B55"/>
  <w14:defaultImageDpi w14:val="330"/>
  <w15:docId w15:val="{0CDCC05A-EDCC-4933-A1C1-EDB2633FE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AB1"/>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E36A4"/>
    <w:pPr>
      <w:spacing w:after="0" w:line="240" w:lineRule="auto"/>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907D95"/>
    <w:pPr>
      <w:spacing w:before="0" w:after="160" w:line="680" w:lineRule="exact"/>
      <w:jc w:val="left"/>
    </w:pPr>
    <w:rPr>
      <w:rFonts w:ascii="Georgia" w:hAnsi="Georgia"/>
      <w:color w:val="FFFFFF" w:themeColor="background1"/>
      <w:sz w:val="56"/>
      <w:szCs w:val="56"/>
    </w:rPr>
  </w:style>
  <w:style w:type="character" w:customStyle="1" w:styleId="TitleChar">
    <w:name w:val="Title Char"/>
    <w:basedOn w:val="DefaultParagraphFont"/>
    <w:link w:val="Title"/>
    <w:uiPriority w:val="2"/>
    <w:rsid w:val="00907D95"/>
    <w:rPr>
      <w:rFonts w:ascii="Georgia" w:eastAsiaTheme="minorEastAsia" w:hAnsi="Georgia"/>
      <w:color w:val="FFFFFF" w:themeColor="background1"/>
      <w:sz w:val="56"/>
      <w:szCs w:val="56"/>
      <w:lang w:eastAsia="en-NZ"/>
    </w:rPr>
  </w:style>
  <w:style w:type="paragraph" w:styleId="Subtitle">
    <w:name w:val="Subtitle"/>
    <w:basedOn w:val="Normal"/>
    <w:link w:val="SubtitleChar"/>
    <w:uiPriority w:val="2"/>
    <w:qFormat/>
    <w:rsid w:val="001D6BE0"/>
    <w:pPr>
      <w:spacing w:before="0" w:after="0" w:line="400" w:lineRule="exact"/>
    </w:pPr>
    <w:rPr>
      <w:rFonts w:ascii="Georgia" w:hAnsi="Georgia"/>
      <w:color w:val="FFFFFF" w:themeColor="background1"/>
      <w:sz w:val="32"/>
      <w:szCs w:val="32"/>
    </w:rPr>
  </w:style>
  <w:style w:type="character" w:customStyle="1" w:styleId="SubtitleChar">
    <w:name w:val="Subtitle Char"/>
    <w:basedOn w:val="DefaultParagraphFont"/>
    <w:link w:val="Subtitle"/>
    <w:uiPriority w:val="2"/>
    <w:rsid w:val="001D6BE0"/>
    <w:rPr>
      <w:rFonts w:ascii="Georgia" w:eastAsiaTheme="minorEastAsia" w:hAnsi="Georgia"/>
      <w:color w:val="FFFFFF" w:themeColor="background1"/>
      <w:sz w:val="32"/>
      <w:szCs w:val="32"/>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paragraph" w:customStyle="1" w:styleId="Title-Mori">
    <w:name w:val="Title - Māori"/>
    <w:basedOn w:val="Normal"/>
    <w:qFormat/>
    <w:rsid w:val="00907D95"/>
    <w:pPr>
      <w:spacing w:before="0" w:line="680" w:lineRule="exact"/>
      <w:jc w:val="left"/>
    </w:pPr>
    <w:rPr>
      <w:rFonts w:ascii="Georgia" w:hAnsi="Georgia"/>
      <w:b/>
      <w:bCs/>
      <w:color w:val="FFFFFF" w:themeColor="background1"/>
      <w:sz w:val="56"/>
      <w:szCs w:val="56"/>
    </w:rPr>
  </w:style>
  <w:style w:type="table" w:customStyle="1" w:styleId="MinistryfortheEnvironment">
    <w:name w:val="Ministry for the Environment"/>
    <w:basedOn w:val="TableNormal"/>
    <w:uiPriority w:val="99"/>
    <w:rsid w:val="00616FDE"/>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customStyle="1" w:styleId="Blueboxtext">
    <w:name w:val="Blue box text"/>
    <w:basedOn w:val="Normal"/>
    <w:uiPriority w:val="11"/>
    <w:qFormat/>
    <w:rsid w:val="00616FDE"/>
    <w:pPr>
      <w:ind w:left="284" w:right="284"/>
    </w:pPr>
    <w:rPr>
      <w:color w:val="1C556C"/>
      <w:szCs w:val="24"/>
    </w:rPr>
  </w:style>
  <w:style w:type="paragraph" w:customStyle="1" w:styleId="Blue-boxbullet">
    <w:name w:val="Blue-box bullet"/>
    <w:basedOn w:val="Normal"/>
    <w:uiPriority w:val="11"/>
    <w:qFormat/>
    <w:rsid w:val="00616FDE"/>
    <w:pPr>
      <w:tabs>
        <w:tab w:val="num" w:pos="397"/>
        <w:tab w:val="left" w:pos="680"/>
      </w:tabs>
      <w:ind w:left="397" w:right="284"/>
    </w:pPr>
    <w:rPr>
      <w:color w:val="1C556C"/>
      <w:szCs w:val="24"/>
    </w:rPr>
  </w:style>
  <w:style w:type="paragraph" w:customStyle="1" w:styleId="Blueboxheading">
    <w:name w:val="Blue box heading"/>
    <w:basedOn w:val="Normal"/>
    <w:next w:val="Blueboxtext"/>
    <w:uiPriority w:val="11"/>
    <w:qFormat/>
    <w:rsid w:val="00616FDE"/>
    <w:pPr>
      <w:keepNext/>
      <w:spacing w:before="240" w:after="0" w:line="260" w:lineRule="atLeast"/>
      <w:ind w:left="284" w:right="284"/>
      <w:jc w:val="left"/>
    </w:pPr>
    <w:rPr>
      <w:rFonts w:cs="Times New Roman"/>
      <w:b/>
      <w:color w:val="1B556B"/>
      <w:szCs w:val="20"/>
    </w:rPr>
  </w:style>
  <w:style w:type="paragraph" w:customStyle="1" w:styleId="CASESTUDYHEADING0">
    <w:name w:val="CASE STUDY HEADING"/>
    <w:basedOn w:val="BodyText"/>
    <w:uiPriority w:val="11"/>
    <w:qFormat/>
    <w:rsid w:val="00616FDE"/>
    <w:pPr>
      <w:spacing w:before="0" w:after="0"/>
    </w:pPr>
    <w:rPr>
      <w:color w:val="FFFFFF" w:themeColor="background1"/>
    </w:rPr>
  </w:style>
  <w:style w:type="table" w:customStyle="1" w:styleId="CaseStudy">
    <w:name w:val="Case Study"/>
    <w:basedOn w:val="TableNormal"/>
    <w:uiPriority w:val="99"/>
    <w:rsid w:val="00616FDE"/>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character" w:styleId="Mention">
    <w:name w:val="Mention"/>
    <w:basedOn w:val="DefaultParagraphFont"/>
    <w:uiPriority w:val="99"/>
    <w:unhideWhenUsed/>
    <w:rsid w:val="007302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33362">
      <w:bodyDiv w:val="1"/>
      <w:marLeft w:val="0"/>
      <w:marRight w:val="0"/>
      <w:marTop w:val="0"/>
      <w:marBottom w:val="0"/>
      <w:divBdr>
        <w:top w:val="none" w:sz="0" w:space="0" w:color="auto"/>
        <w:left w:val="none" w:sz="0" w:space="0" w:color="auto"/>
        <w:bottom w:val="none" w:sz="0" w:space="0" w:color="auto"/>
        <w:right w:val="none" w:sz="0" w:space="0" w:color="auto"/>
      </w:divBdr>
    </w:div>
    <w:div w:id="171067455">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702755387">
      <w:bodyDiv w:val="1"/>
      <w:marLeft w:val="0"/>
      <w:marRight w:val="0"/>
      <w:marTop w:val="0"/>
      <w:marBottom w:val="0"/>
      <w:divBdr>
        <w:top w:val="none" w:sz="0" w:space="0" w:color="auto"/>
        <w:left w:val="none" w:sz="0" w:space="0" w:color="auto"/>
        <w:bottom w:val="none" w:sz="0" w:space="0" w:color="auto"/>
        <w:right w:val="none" w:sz="0" w:space="0" w:color="auto"/>
      </w:divBdr>
    </w:div>
    <w:div w:id="95217400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g"/><Relationship Id="rId21" Type="http://schemas.openxmlformats.org/officeDocument/2006/relationships/header" Target="header5.xml"/><Relationship Id="rId42" Type="http://schemas.openxmlformats.org/officeDocument/2006/relationships/hyperlink" Target="https://litterintelligence.org/" TargetMode="External"/><Relationship Id="rId47" Type="http://schemas.openxmlformats.org/officeDocument/2006/relationships/hyperlink" Target="https://environment.govt.nz/assets/Publications/Files/national-resource-recovery-project-redacted.pdf" TargetMode="External"/><Relationship Id="rId63" Type="http://schemas.openxmlformats.org/officeDocument/2006/relationships/hyperlink" Target="https://environment.govt.nz/what-government-is-doing/areas-of-work/waste/improving-household-recycling-and-food-scrap-collections/" TargetMode="External"/><Relationship Id="rId68" Type="http://schemas.openxmlformats.org/officeDocument/2006/relationships/hyperlink" Target="https://www.rabobank.co.nz/foodwaste/"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nvironment.govt.nz/assets/Publications/Files/national-resource-recovery-project-redacted.pdf" TargetMode="External"/><Relationship Id="rId11" Type="http://schemas.openxmlformats.org/officeDocument/2006/relationships/endnotes" Target="endnotes.xml"/><Relationship Id="rId24" Type="http://schemas.openxmlformats.org/officeDocument/2006/relationships/hyperlink" Target="https://www.legislation.govt.nz/act/public/2008/0089/latest/DLM999802.html" TargetMode="External"/><Relationship Id="rId32" Type="http://schemas.openxmlformats.org/officeDocument/2006/relationships/image" Target="media/image4.jpg"/><Relationship Id="rId37" Type="http://schemas.openxmlformats.org/officeDocument/2006/relationships/footer" Target="footer8.xml"/><Relationship Id="rId40" Type="http://schemas.openxmlformats.org/officeDocument/2006/relationships/hyperlink" Target="https://environment.govt.nz/what-you-can-do/funding/waste-investments-snapshot/" TargetMode="External"/><Relationship Id="rId45" Type="http://schemas.openxmlformats.org/officeDocument/2006/relationships/hyperlink" Target="https://www.reuters.com/investigates/special-report/health-coronavirus-plastic-recycling/" TargetMode="External"/><Relationship Id="rId53" Type="http://schemas.openxmlformats.org/officeDocument/2006/relationships/hyperlink" Target="https://www.knzb.org.nz/wp-content/uploads/2023/03/KNZB-National-Litter-Audit-2023-Report-web.pdf" TargetMode="External"/><Relationship Id="rId58" Type="http://schemas.openxmlformats.org/officeDocument/2006/relationships/hyperlink" Target="https://environment.govt.nz/assets/publications/WMA-regulatory-performance-monitoring-framework-2020-21-final.pdf" TargetMode="External"/><Relationship Id="rId66" Type="http://schemas.openxmlformats.org/officeDocument/2006/relationships/hyperlink" Target="https://www.mbie.govt.nz/assets/energy-in-new-zealand-2020.pdf"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environment.govt.nz/assets/publications/Transforming-recycling-consultation-document.pdf" TargetMode="External"/><Relationship Id="rId19" Type="http://schemas.openxmlformats.org/officeDocument/2006/relationships/hyperlink" Target="http://www.environment.govt.nz"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3.jpg"/><Relationship Id="rId30" Type="http://schemas.openxmlformats.org/officeDocument/2006/relationships/hyperlink" Target="https://environment.govt.nz/assets/publications/Waste-and-resource-recovery-infrastructure-and-services-stocktake.pdf" TargetMode="External"/><Relationship Id="rId35" Type="http://schemas.openxmlformats.org/officeDocument/2006/relationships/footer" Target="footer7.xml"/><Relationship Id="rId43" Type="http://schemas.openxmlformats.org/officeDocument/2006/relationships/hyperlink" Target="https://environment.govt.nz/assets/publications/Waste/Behavioural-Trend-Monitoring-Survey-2023.pdf" TargetMode="External"/><Relationship Id="rId48" Type="http://schemas.openxmlformats.org/officeDocument/2006/relationships/hyperlink" Target="https://environment.govt.nz/assets/publications/Waste-and-resource-recovery-infrastructure-and-services-stocktake.pdf" TargetMode="External"/><Relationship Id="rId56" Type="http://schemas.openxmlformats.org/officeDocument/2006/relationships/hyperlink" Target="https://environment.govt.nz/assets/Publications/WMA-Enforcement-Decision-making-policy.pdf" TargetMode="External"/><Relationship Id="rId64" Type="http://schemas.openxmlformats.org/officeDocument/2006/relationships/hyperlink" Target="https://environment.govt.nz/facts-and-science/waste/research-into-attitudes-to-waste-and-recycling/" TargetMode="External"/><Relationship Id="rId69" Type="http://schemas.openxmlformats.org/officeDocument/2006/relationships/hyperlink" Target="https://lovefoodhatewaste.co.nz/wp-content/uploads/2019/02/FINAL-WasteMINZ-National-Food-Waste-Prevention-Study-2018.pdf" TargetMode="External"/><Relationship Id="rId8" Type="http://schemas.openxmlformats.org/officeDocument/2006/relationships/settings" Target="settings.xml"/><Relationship Id="rId51" Type="http://schemas.openxmlformats.org/officeDocument/2006/relationships/hyperlink" Target="https://www.packagingforum.org.nz/wp-content/uploads/2022/05/March_Horizon-Market-Research-Results-2022-final.pdf" TargetMode="External"/><Relationship Id="rId72"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www.legislation.govt.nz/act/public/2008/0089/latest/DLM999802.html" TargetMode="External"/><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hyperlink" Target="https://environment.govt.nz/assets/facts-and-science/science-and-data/new-zealanders-environmental-attitudes.pdf" TargetMode="External"/><Relationship Id="rId59" Type="http://schemas.openxmlformats.org/officeDocument/2006/relationships/hyperlink" Target="https://environment.govt.nz/assets/publications/National-Plastics-Action-Plan.pdf" TargetMode="External"/><Relationship Id="rId67" Type="http://schemas.openxmlformats.org/officeDocument/2006/relationships/hyperlink" Target="https://www.oecd-ilibrary.org/environment/global-plastics-outlook_9e4fd47f-en" TargetMode="External"/><Relationship Id="rId20" Type="http://schemas.openxmlformats.org/officeDocument/2006/relationships/header" Target="header4.xml"/><Relationship Id="rId41" Type="http://schemas.openxmlformats.org/officeDocument/2006/relationships/hyperlink" Target="https://mfenz.shinyapps.io/waste_wmf_app/" TargetMode="External"/><Relationship Id="rId54" Type="http://schemas.openxmlformats.org/officeDocument/2006/relationships/hyperlink" Target="https://environment.govt.nz/assets/Publications/Files/reducing-waste-a-more-effective-landfill-levy-summary-document.pdf" TargetMode="External"/><Relationship Id="rId62" Type="http://schemas.openxmlformats.org/officeDocument/2006/relationships/hyperlink" Target="https://environment.govt.nz/what-you-can-do/funding/waste-minimisation-fund/waste-investment-panel/" TargetMode="External"/><Relationship Id="rId70" Type="http://schemas.openxmlformats.org/officeDocument/2006/relationships/hyperlink" Target="https://environment.govt.nz/assets/Publications/Files/recommendations-for-standardisation-of-kerbside-collections-in-Aotearoa.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environment.govt.nz/assets/publications/Measuring-waste-tonnages-factsheet-final.pdf" TargetMode="External"/><Relationship Id="rId36" Type="http://schemas.openxmlformats.org/officeDocument/2006/relationships/header" Target="header7.xml"/><Relationship Id="rId49" Type="http://schemas.openxmlformats.org/officeDocument/2006/relationships/hyperlink" Target="https://environment.govt.nz/assets/publications/Waste/Waste-and-resource-recovery-infrastructure-and-services-stocktake-Project-summary-report.pdf" TargetMode="External"/><Relationship Id="rId57" Type="http://schemas.openxmlformats.org/officeDocument/2006/relationships/hyperlink" Target="https://environment.govt.nz/assets/Publications/WMA-Prosecutions-Policy.pdf" TargetMode="External"/><Relationship Id="rId10" Type="http://schemas.openxmlformats.org/officeDocument/2006/relationships/footnotes" Target="footnotes.xml"/><Relationship Id="rId31" Type="http://schemas.openxmlformats.org/officeDocument/2006/relationships/hyperlink" Target="https://environment.govt.nz/assets/publications/Waste/Waste-and-resource-recovery-infrastructure-and-services-stocktake-Project-summary-report.pdf" TargetMode="External"/><Relationship Id="rId44" Type="http://schemas.openxmlformats.org/officeDocument/2006/relationships/hyperlink" Target="https://reuseaotearoa.org.nz/wp-content/uploads/2022/06/RA-June-22_Full-Report.pdf" TargetMode="External"/><Relationship Id="rId52" Type="http://schemas.openxmlformats.org/officeDocument/2006/relationships/hyperlink" Target="https://www.knzb.org.nz/wp-content/uploads/2023/01/Illegal-Dumping-Literature-Review-2022.pdf" TargetMode="External"/><Relationship Id="rId60" Type="http://schemas.openxmlformats.org/officeDocument/2006/relationships/hyperlink" Target="https://environment.govt.nz/assets/publications/WMA-2008-regulatory-performance-monitoring-framework-report-2021-2022-v5.pdf" TargetMode="External"/><Relationship Id="rId65" Type="http://schemas.openxmlformats.org/officeDocument/2006/relationships/hyperlink" Target="https://environment.govt.nz/what-government-is-doing/areas-of-work/waste/product-stewardship/regulated-product-stewardship/" TargetMode="External"/><Relationship Id="rId73"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0.xml"/><Relationship Id="rId34" Type="http://schemas.openxmlformats.org/officeDocument/2006/relationships/footer" Target="footer6.xml"/><Relationship Id="rId50" Type="http://schemas.openxmlformats.org/officeDocument/2006/relationships/hyperlink" Target="https://fletcherbuilding.com/news/golden-bay-cement-sustainable-disposal-solution-for-waste-tyres-a-new-zealand-first/" TargetMode="External"/><Relationship Id="rId55" Type="http://schemas.openxmlformats.org/officeDocument/2006/relationships/hyperlink" Target="https://environment.govt.nz/assets/Publications/WMA-CME-Strategy.pdf" TargetMode="External"/><Relationship Id="rId7" Type="http://schemas.openxmlformats.org/officeDocument/2006/relationships/styles" Target="styles.xml"/><Relationship Id="rId71" Type="http://schemas.openxmlformats.org/officeDocument/2006/relationships/hyperlink" Target="https://www.reloopplatform.org/wp-content/uploads/2021/04/What-We-Waste-Reloop-Report-April-2021-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ECM-1122293896-121729</_dlc_DocId>
    <_dlc_DocIdUrl xmlns="58a6f171-52cb-4404-b47d-af1c8daf8fd1">
      <Url>https://ministryforenvironment.sharepoint.com/sites/ECM-ER-Comms/_layouts/15/DocIdRedir.aspx?ID=ECM-1122293896-121729</Url>
      <Description>ECM-1122293896-121729</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3.xml><?xml version="1.0" encoding="utf-8"?>
<ds:datastoreItem xmlns:ds="http://schemas.openxmlformats.org/officeDocument/2006/customXml" ds:itemID="{C8E6927F-73A7-456A-869B-4BD0848A7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3</TotalTime>
  <Pages>40</Pages>
  <Words>12401</Words>
  <Characters>70690</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82926</CharactersWithSpaces>
  <SharedDoc>false</SharedDoc>
  <HLinks>
    <vt:vector size="462" baseType="variant">
      <vt:variant>
        <vt:i4>2162750</vt:i4>
      </vt:variant>
      <vt:variant>
        <vt:i4>435</vt:i4>
      </vt:variant>
      <vt:variant>
        <vt:i4>0</vt:i4>
      </vt:variant>
      <vt:variant>
        <vt:i4>5</vt:i4>
      </vt:variant>
      <vt:variant>
        <vt:lpwstr>https://www.reloopplatform.org/wp-content/uploads/2021/04/What-We-Waste-Reloop-Report-April-2021-1.pdf</vt:lpwstr>
      </vt:variant>
      <vt:variant>
        <vt:lpwstr/>
      </vt:variant>
      <vt:variant>
        <vt:i4>1048661</vt:i4>
      </vt:variant>
      <vt:variant>
        <vt:i4>432</vt:i4>
      </vt:variant>
      <vt:variant>
        <vt:i4>0</vt:i4>
      </vt:variant>
      <vt:variant>
        <vt:i4>5</vt:i4>
      </vt:variant>
      <vt:variant>
        <vt:lpwstr>https://environment.govt.nz/assets/Publications/Files/recommendations-for-standardisation-of-kerbside-collections-in-Aotearoa.pdf</vt:lpwstr>
      </vt:variant>
      <vt:variant>
        <vt:lpwstr/>
      </vt:variant>
      <vt:variant>
        <vt:i4>5767176</vt:i4>
      </vt:variant>
      <vt:variant>
        <vt:i4>429</vt:i4>
      </vt:variant>
      <vt:variant>
        <vt:i4>0</vt:i4>
      </vt:variant>
      <vt:variant>
        <vt:i4>5</vt:i4>
      </vt:variant>
      <vt:variant>
        <vt:lpwstr>https://lovefoodhatewaste.co.nz/wp-content/uploads/2019/02/FINAL-WasteMINZ-National-Food-Waste-Prevention-Study-2018.pdf</vt:lpwstr>
      </vt:variant>
      <vt:variant>
        <vt:lpwstr/>
      </vt:variant>
      <vt:variant>
        <vt:i4>1245250</vt:i4>
      </vt:variant>
      <vt:variant>
        <vt:i4>426</vt:i4>
      </vt:variant>
      <vt:variant>
        <vt:i4>0</vt:i4>
      </vt:variant>
      <vt:variant>
        <vt:i4>5</vt:i4>
      </vt:variant>
      <vt:variant>
        <vt:lpwstr>https://www.rabobank.co.nz/foodwaste/</vt:lpwstr>
      </vt:variant>
      <vt:variant>
        <vt:lpwstr/>
      </vt:variant>
      <vt:variant>
        <vt:i4>2752588</vt:i4>
      </vt:variant>
      <vt:variant>
        <vt:i4>423</vt:i4>
      </vt:variant>
      <vt:variant>
        <vt:i4>0</vt:i4>
      </vt:variant>
      <vt:variant>
        <vt:i4>5</vt:i4>
      </vt:variant>
      <vt:variant>
        <vt:lpwstr>https://www.oecd-ilibrary.org/environment/global-plastics-outlook_9e4fd47f-en</vt:lpwstr>
      </vt:variant>
      <vt:variant>
        <vt:lpwstr/>
      </vt:variant>
      <vt:variant>
        <vt:i4>7733308</vt:i4>
      </vt:variant>
      <vt:variant>
        <vt:i4>420</vt:i4>
      </vt:variant>
      <vt:variant>
        <vt:i4>0</vt:i4>
      </vt:variant>
      <vt:variant>
        <vt:i4>5</vt:i4>
      </vt:variant>
      <vt:variant>
        <vt:lpwstr>https://www.mbie.govt.nz/assets/energy-in-new-zealand-2020.pdf</vt:lpwstr>
      </vt:variant>
      <vt:variant>
        <vt:lpwstr/>
      </vt:variant>
      <vt:variant>
        <vt:i4>8323169</vt:i4>
      </vt:variant>
      <vt:variant>
        <vt:i4>417</vt:i4>
      </vt:variant>
      <vt:variant>
        <vt:i4>0</vt:i4>
      </vt:variant>
      <vt:variant>
        <vt:i4>5</vt:i4>
      </vt:variant>
      <vt:variant>
        <vt:lpwstr>https://environment.govt.nz/what-government-is-doing/areas-of-work/waste/product-stewardship/regulated-product-stewardship/</vt:lpwstr>
      </vt:variant>
      <vt:variant>
        <vt:lpwstr/>
      </vt:variant>
      <vt:variant>
        <vt:i4>3866739</vt:i4>
      </vt:variant>
      <vt:variant>
        <vt:i4>414</vt:i4>
      </vt:variant>
      <vt:variant>
        <vt:i4>0</vt:i4>
      </vt:variant>
      <vt:variant>
        <vt:i4>5</vt:i4>
      </vt:variant>
      <vt:variant>
        <vt:lpwstr>https://environment.govt.nz/assets/publications/Te-rautaki-para-Waste-strategy.pdf</vt:lpwstr>
      </vt:variant>
      <vt:variant>
        <vt:lpwstr/>
      </vt:variant>
      <vt:variant>
        <vt:i4>7864445</vt:i4>
      </vt:variant>
      <vt:variant>
        <vt:i4>411</vt:i4>
      </vt:variant>
      <vt:variant>
        <vt:i4>0</vt:i4>
      </vt:variant>
      <vt:variant>
        <vt:i4>5</vt:i4>
      </vt:variant>
      <vt:variant>
        <vt:lpwstr>https://environment.govt.nz/facts-and-science/waste/research-into-attitudes-to-waste-and-recycling/</vt:lpwstr>
      </vt:variant>
      <vt:variant>
        <vt:lpwstr/>
      </vt:variant>
      <vt:variant>
        <vt:i4>2556000</vt:i4>
      </vt:variant>
      <vt:variant>
        <vt:i4>408</vt:i4>
      </vt:variant>
      <vt:variant>
        <vt:i4>0</vt:i4>
      </vt:variant>
      <vt:variant>
        <vt:i4>5</vt:i4>
      </vt:variant>
      <vt:variant>
        <vt:lpwstr>https://environment.govt.nz/what-government-is-doing/areas-of-work/waste/improving-household-recycling-and-food-scrap-collections/</vt:lpwstr>
      </vt:variant>
      <vt:variant>
        <vt:lpwstr/>
      </vt:variant>
      <vt:variant>
        <vt:i4>3932219</vt:i4>
      </vt:variant>
      <vt:variant>
        <vt:i4>405</vt:i4>
      </vt:variant>
      <vt:variant>
        <vt:i4>0</vt:i4>
      </vt:variant>
      <vt:variant>
        <vt:i4>5</vt:i4>
      </vt:variant>
      <vt:variant>
        <vt:lpwstr>https://environment.govt.nz/what-you-can-do/funding/waste-minimisation-fund/waste-investment-panel/</vt:lpwstr>
      </vt:variant>
      <vt:variant>
        <vt:lpwstr/>
      </vt:variant>
      <vt:variant>
        <vt:i4>262156</vt:i4>
      </vt:variant>
      <vt:variant>
        <vt:i4>402</vt:i4>
      </vt:variant>
      <vt:variant>
        <vt:i4>0</vt:i4>
      </vt:variant>
      <vt:variant>
        <vt:i4>5</vt:i4>
      </vt:variant>
      <vt:variant>
        <vt:lpwstr>https://environment.govt.nz/assets/publications/Transforming-recycling-consultation-document.pdf</vt:lpwstr>
      </vt:variant>
      <vt:variant>
        <vt:lpwstr/>
      </vt:variant>
      <vt:variant>
        <vt:i4>5111817</vt:i4>
      </vt:variant>
      <vt:variant>
        <vt:i4>399</vt:i4>
      </vt:variant>
      <vt:variant>
        <vt:i4>0</vt:i4>
      </vt:variant>
      <vt:variant>
        <vt:i4>5</vt:i4>
      </vt:variant>
      <vt:variant>
        <vt:lpwstr>https://environment.govt.nz/assets/publications/WMA-2008-regulatory-performance-monitoring-framework-report-2021-2022-v5.pdf</vt:lpwstr>
      </vt:variant>
      <vt:variant>
        <vt:lpwstr/>
      </vt:variant>
      <vt:variant>
        <vt:i4>4653145</vt:i4>
      </vt:variant>
      <vt:variant>
        <vt:i4>396</vt:i4>
      </vt:variant>
      <vt:variant>
        <vt:i4>0</vt:i4>
      </vt:variant>
      <vt:variant>
        <vt:i4>5</vt:i4>
      </vt:variant>
      <vt:variant>
        <vt:lpwstr>https://environment.govt.nz/assets/publications/National-Plastics-Action-Plan.pdf</vt:lpwstr>
      </vt:variant>
      <vt:variant>
        <vt:lpwstr/>
      </vt:variant>
      <vt:variant>
        <vt:i4>5832787</vt:i4>
      </vt:variant>
      <vt:variant>
        <vt:i4>393</vt:i4>
      </vt:variant>
      <vt:variant>
        <vt:i4>0</vt:i4>
      </vt:variant>
      <vt:variant>
        <vt:i4>5</vt:i4>
      </vt:variant>
      <vt:variant>
        <vt:lpwstr>https://environment.govt.nz/assets/publications/WMA-regulatory-performance-monitoring-framework-2020-21-final.pdf</vt:lpwstr>
      </vt:variant>
      <vt:variant>
        <vt:lpwstr/>
      </vt:variant>
      <vt:variant>
        <vt:i4>2490492</vt:i4>
      </vt:variant>
      <vt:variant>
        <vt:i4>390</vt:i4>
      </vt:variant>
      <vt:variant>
        <vt:i4>0</vt:i4>
      </vt:variant>
      <vt:variant>
        <vt:i4>5</vt:i4>
      </vt:variant>
      <vt:variant>
        <vt:lpwstr>https://environment.govt.nz/assets/Publications/WMA-Prosecutions-Policy.pdf</vt:lpwstr>
      </vt:variant>
      <vt:variant>
        <vt:lpwstr/>
      </vt:variant>
      <vt:variant>
        <vt:i4>7471167</vt:i4>
      </vt:variant>
      <vt:variant>
        <vt:i4>387</vt:i4>
      </vt:variant>
      <vt:variant>
        <vt:i4>0</vt:i4>
      </vt:variant>
      <vt:variant>
        <vt:i4>5</vt:i4>
      </vt:variant>
      <vt:variant>
        <vt:lpwstr>https://environment.govt.nz/assets/Publications/WMA-Enforcement-Decision-making-policy.pdf</vt:lpwstr>
      </vt:variant>
      <vt:variant>
        <vt:lpwstr/>
      </vt:variant>
      <vt:variant>
        <vt:i4>4587528</vt:i4>
      </vt:variant>
      <vt:variant>
        <vt:i4>384</vt:i4>
      </vt:variant>
      <vt:variant>
        <vt:i4>0</vt:i4>
      </vt:variant>
      <vt:variant>
        <vt:i4>5</vt:i4>
      </vt:variant>
      <vt:variant>
        <vt:lpwstr>https://environment.govt.nz/assets/Publications/WMA-CME-Strategy.pdf</vt:lpwstr>
      </vt:variant>
      <vt:variant>
        <vt:lpwstr/>
      </vt:variant>
      <vt:variant>
        <vt:i4>1507341</vt:i4>
      </vt:variant>
      <vt:variant>
        <vt:i4>381</vt:i4>
      </vt:variant>
      <vt:variant>
        <vt:i4>0</vt:i4>
      </vt:variant>
      <vt:variant>
        <vt:i4>5</vt:i4>
      </vt:variant>
      <vt:variant>
        <vt:lpwstr>https://environment.govt.nz/assets/Publications/Files/reducing-waste-a-more-effective-landfill-levy-summary-document.pdf</vt:lpwstr>
      </vt:variant>
      <vt:variant>
        <vt:lpwstr/>
      </vt:variant>
      <vt:variant>
        <vt:i4>5242892</vt:i4>
      </vt:variant>
      <vt:variant>
        <vt:i4>378</vt:i4>
      </vt:variant>
      <vt:variant>
        <vt:i4>0</vt:i4>
      </vt:variant>
      <vt:variant>
        <vt:i4>5</vt:i4>
      </vt:variant>
      <vt:variant>
        <vt:lpwstr>https://www.knzb.org.nz/wp-content/uploads/2023/03/KNZB-National-Litter-Audit-2023-Report-web.pdf</vt:lpwstr>
      </vt:variant>
      <vt:variant>
        <vt:lpwstr/>
      </vt:variant>
      <vt:variant>
        <vt:i4>852049</vt:i4>
      </vt:variant>
      <vt:variant>
        <vt:i4>375</vt:i4>
      </vt:variant>
      <vt:variant>
        <vt:i4>0</vt:i4>
      </vt:variant>
      <vt:variant>
        <vt:i4>5</vt:i4>
      </vt:variant>
      <vt:variant>
        <vt:lpwstr>https://www.knzb.org.nz/wp-content/uploads/2023/01/Illegal-Dumping-Literature-Review-2022.pdf</vt:lpwstr>
      </vt:variant>
      <vt:variant>
        <vt:lpwstr/>
      </vt:variant>
      <vt:variant>
        <vt:i4>4391025</vt:i4>
      </vt:variant>
      <vt:variant>
        <vt:i4>372</vt:i4>
      </vt:variant>
      <vt:variant>
        <vt:i4>0</vt:i4>
      </vt:variant>
      <vt:variant>
        <vt:i4>5</vt:i4>
      </vt:variant>
      <vt:variant>
        <vt:lpwstr>https://www.packagingforum.org.nz/wp-content/uploads/2022/05/March_Horizon-Market-Research-Results-2022-final.pdf</vt:lpwstr>
      </vt:variant>
      <vt:variant>
        <vt:lpwstr/>
      </vt:variant>
      <vt:variant>
        <vt:i4>3735648</vt:i4>
      </vt:variant>
      <vt:variant>
        <vt:i4>369</vt:i4>
      </vt:variant>
      <vt:variant>
        <vt:i4>0</vt:i4>
      </vt:variant>
      <vt:variant>
        <vt:i4>5</vt:i4>
      </vt:variant>
      <vt:variant>
        <vt:lpwstr>https://fletcherbuilding.com/news/golden-bay-cement-sustainable-disposal-solution-for-waste-tyres-a-new-zealand-first/</vt:lpwstr>
      </vt:variant>
      <vt:variant>
        <vt:lpwstr/>
      </vt:variant>
      <vt:variant>
        <vt:i4>2752556</vt:i4>
      </vt:variant>
      <vt:variant>
        <vt:i4>366</vt:i4>
      </vt:variant>
      <vt:variant>
        <vt:i4>0</vt:i4>
      </vt:variant>
      <vt:variant>
        <vt:i4>5</vt:i4>
      </vt:variant>
      <vt:variant>
        <vt:lpwstr>https://environment.govt.nz/assets/publications/Waste/Waste-and-resource-recovery-infrastructure-and-services-stocktake-Project-summary-report.pdf</vt:lpwstr>
      </vt:variant>
      <vt:variant>
        <vt:lpwstr/>
      </vt:variant>
      <vt:variant>
        <vt:i4>917519</vt:i4>
      </vt:variant>
      <vt:variant>
        <vt:i4>363</vt:i4>
      </vt:variant>
      <vt:variant>
        <vt:i4>0</vt:i4>
      </vt:variant>
      <vt:variant>
        <vt:i4>5</vt:i4>
      </vt:variant>
      <vt:variant>
        <vt:lpwstr>https://environment.govt.nz/assets/publications/Waste-and-resource-recovery-infrastructure-and-services-stocktake.pdf</vt:lpwstr>
      </vt:variant>
      <vt:variant>
        <vt:lpwstr/>
      </vt:variant>
      <vt:variant>
        <vt:i4>524311</vt:i4>
      </vt:variant>
      <vt:variant>
        <vt:i4>360</vt:i4>
      </vt:variant>
      <vt:variant>
        <vt:i4>0</vt:i4>
      </vt:variant>
      <vt:variant>
        <vt:i4>5</vt:i4>
      </vt:variant>
      <vt:variant>
        <vt:lpwstr>https://environment.govt.nz/assets/Publications/Files/national-resource-recovery-project-redacted.pdf</vt:lpwstr>
      </vt:variant>
      <vt:variant>
        <vt:lpwstr/>
      </vt:variant>
      <vt:variant>
        <vt:i4>589904</vt:i4>
      </vt:variant>
      <vt:variant>
        <vt:i4>357</vt:i4>
      </vt:variant>
      <vt:variant>
        <vt:i4>0</vt:i4>
      </vt:variant>
      <vt:variant>
        <vt:i4>5</vt:i4>
      </vt:variant>
      <vt:variant>
        <vt:lpwstr>https://environment.govt.nz/assets/facts-and-science/science-and-data/new-zealanders-environmental-attitudes.pdf</vt:lpwstr>
      </vt:variant>
      <vt:variant>
        <vt:lpwstr/>
      </vt:variant>
      <vt:variant>
        <vt:i4>5374026</vt:i4>
      </vt:variant>
      <vt:variant>
        <vt:i4>354</vt:i4>
      </vt:variant>
      <vt:variant>
        <vt:i4>0</vt:i4>
      </vt:variant>
      <vt:variant>
        <vt:i4>5</vt:i4>
      </vt:variant>
      <vt:variant>
        <vt:lpwstr>https://www.reuters.com/investigates/special-report/health-coronavirus-plastic-recycling/</vt:lpwstr>
      </vt:variant>
      <vt:variant>
        <vt:lpwstr>:~:text=Since%20the%20coronavirus%20struck%2C%20recyclers,firms%20in%20the%20United%20States.</vt:lpwstr>
      </vt:variant>
      <vt:variant>
        <vt:i4>6815757</vt:i4>
      </vt:variant>
      <vt:variant>
        <vt:i4>351</vt:i4>
      </vt:variant>
      <vt:variant>
        <vt:i4>0</vt:i4>
      </vt:variant>
      <vt:variant>
        <vt:i4>5</vt:i4>
      </vt:variant>
      <vt:variant>
        <vt:lpwstr>https://reuseaotearoa.org.nz/wp-content/uploads/2022/06/RA-June-22_Full-Report.pdf</vt:lpwstr>
      </vt:variant>
      <vt:variant>
        <vt:lpwstr/>
      </vt:variant>
      <vt:variant>
        <vt:i4>3997743</vt:i4>
      </vt:variant>
      <vt:variant>
        <vt:i4>348</vt:i4>
      </vt:variant>
      <vt:variant>
        <vt:i4>0</vt:i4>
      </vt:variant>
      <vt:variant>
        <vt:i4>5</vt:i4>
      </vt:variant>
      <vt:variant>
        <vt:lpwstr>https://environment.govt.nz/assets/publications/Waste/Behavioural-Trend-Monitoring-Survey-2023.pdf</vt:lpwstr>
      </vt:variant>
      <vt:variant>
        <vt:lpwstr/>
      </vt:variant>
      <vt:variant>
        <vt:i4>8192127</vt:i4>
      </vt:variant>
      <vt:variant>
        <vt:i4>345</vt:i4>
      </vt:variant>
      <vt:variant>
        <vt:i4>0</vt:i4>
      </vt:variant>
      <vt:variant>
        <vt:i4>5</vt:i4>
      </vt:variant>
      <vt:variant>
        <vt:lpwstr>https://litterintelligence.org/</vt:lpwstr>
      </vt:variant>
      <vt:variant>
        <vt:lpwstr/>
      </vt:variant>
      <vt:variant>
        <vt:i4>28</vt:i4>
      </vt:variant>
      <vt:variant>
        <vt:i4>321</vt:i4>
      </vt:variant>
      <vt:variant>
        <vt:i4>0</vt:i4>
      </vt:variant>
      <vt:variant>
        <vt:i4>5</vt:i4>
      </vt:variant>
      <vt:variant>
        <vt:lpwstr>https://mfenz.shinyapps.io/waste_wmf_app/</vt:lpwstr>
      </vt:variant>
      <vt:variant>
        <vt:lpwstr/>
      </vt:variant>
      <vt:variant>
        <vt:i4>7405620</vt:i4>
      </vt:variant>
      <vt:variant>
        <vt:i4>318</vt:i4>
      </vt:variant>
      <vt:variant>
        <vt:i4>0</vt:i4>
      </vt:variant>
      <vt:variant>
        <vt:i4>5</vt:i4>
      </vt:variant>
      <vt:variant>
        <vt:lpwstr>https://environment.govt.nz/what-you-can-do/funding/waste-investments-snapshot/</vt:lpwstr>
      </vt:variant>
      <vt:variant>
        <vt:lpwstr/>
      </vt:variant>
      <vt:variant>
        <vt:i4>2752556</vt:i4>
      </vt:variant>
      <vt:variant>
        <vt:i4>276</vt:i4>
      </vt:variant>
      <vt:variant>
        <vt:i4>0</vt:i4>
      </vt:variant>
      <vt:variant>
        <vt:i4>5</vt:i4>
      </vt:variant>
      <vt:variant>
        <vt:lpwstr>https://environment.govt.nz/assets/publications/Waste/Waste-and-resource-recovery-infrastructure-and-services-stocktake-Project-summary-report.pdf</vt:lpwstr>
      </vt:variant>
      <vt:variant>
        <vt:lpwstr/>
      </vt:variant>
      <vt:variant>
        <vt:i4>917519</vt:i4>
      </vt:variant>
      <vt:variant>
        <vt:i4>273</vt:i4>
      </vt:variant>
      <vt:variant>
        <vt:i4>0</vt:i4>
      </vt:variant>
      <vt:variant>
        <vt:i4>5</vt:i4>
      </vt:variant>
      <vt:variant>
        <vt:lpwstr>https://environment.govt.nz/assets/publications/Waste-and-resource-recovery-infrastructure-and-services-stocktake.pdf</vt:lpwstr>
      </vt:variant>
      <vt:variant>
        <vt:lpwstr/>
      </vt:variant>
      <vt:variant>
        <vt:i4>524311</vt:i4>
      </vt:variant>
      <vt:variant>
        <vt:i4>270</vt:i4>
      </vt:variant>
      <vt:variant>
        <vt:i4>0</vt:i4>
      </vt:variant>
      <vt:variant>
        <vt:i4>5</vt:i4>
      </vt:variant>
      <vt:variant>
        <vt:lpwstr>https://environment.govt.nz/assets/Publications/Files/national-resource-recovery-project-redacted.pdf</vt:lpwstr>
      </vt:variant>
      <vt:variant>
        <vt:lpwstr/>
      </vt:variant>
      <vt:variant>
        <vt:i4>4587538</vt:i4>
      </vt:variant>
      <vt:variant>
        <vt:i4>264</vt:i4>
      </vt:variant>
      <vt:variant>
        <vt:i4>0</vt:i4>
      </vt:variant>
      <vt:variant>
        <vt:i4>5</vt:i4>
      </vt:variant>
      <vt:variant>
        <vt:lpwstr>https://environment.govt.nz/assets/publications/Measuring-waste-tonnages-factsheet-final.pdf</vt:lpwstr>
      </vt:variant>
      <vt:variant>
        <vt:lpwstr/>
      </vt:variant>
      <vt:variant>
        <vt:i4>8192109</vt:i4>
      </vt:variant>
      <vt:variant>
        <vt:i4>240</vt:i4>
      </vt:variant>
      <vt:variant>
        <vt:i4>0</vt:i4>
      </vt:variant>
      <vt:variant>
        <vt:i4>5</vt:i4>
      </vt:variant>
      <vt:variant>
        <vt:lpwstr/>
      </vt:variant>
      <vt:variant>
        <vt:lpwstr>Case_study_CME</vt:lpwstr>
      </vt:variant>
      <vt:variant>
        <vt:i4>8257615</vt:i4>
      </vt:variant>
      <vt:variant>
        <vt:i4>219</vt:i4>
      </vt:variant>
      <vt:variant>
        <vt:i4>0</vt:i4>
      </vt:variant>
      <vt:variant>
        <vt:i4>5</vt:i4>
      </vt:variant>
      <vt:variant>
        <vt:lpwstr/>
      </vt:variant>
      <vt:variant>
        <vt:lpwstr>_Discussion</vt:lpwstr>
      </vt:variant>
      <vt:variant>
        <vt:i4>327737</vt:i4>
      </vt:variant>
      <vt:variant>
        <vt:i4>216</vt:i4>
      </vt:variant>
      <vt:variant>
        <vt:i4>0</vt:i4>
      </vt:variant>
      <vt:variant>
        <vt:i4>5</vt:i4>
      </vt:variant>
      <vt:variant>
        <vt:lpwstr/>
      </vt:variant>
      <vt:variant>
        <vt:lpwstr>_Achieving_waste_minimisation</vt:lpwstr>
      </vt:variant>
      <vt:variant>
        <vt:i4>2490384</vt:i4>
      </vt:variant>
      <vt:variant>
        <vt:i4>213</vt:i4>
      </vt:variant>
      <vt:variant>
        <vt:i4>0</vt:i4>
      </vt:variant>
      <vt:variant>
        <vt:i4>5</vt:i4>
      </vt:variant>
      <vt:variant>
        <vt:lpwstr/>
      </vt:variant>
      <vt:variant>
        <vt:lpwstr>_Trends_in_reuse,</vt:lpwstr>
      </vt:variant>
      <vt:variant>
        <vt:i4>2424851</vt:i4>
      </vt:variant>
      <vt:variant>
        <vt:i4>210</vt:i4>
      </vt:variant>
      <vt:variant>
        <vt:i4>0</vt:i4>
      </vt:variant>
      <vt:variant>
        <vt:i4>5</vt:i4>
      </vt:variant>
      <vt:variant>
        <vt:lpwstr/>
      </vt:variant>
      <vt:variant>
        <vt:lpwstr>_Trends_in_waste</vt:lpwstr>
      </vt:variant>
      <vt:variant>
        <vt:i4>8060986</vt:i4>
      </vt:variant>
      <vt:variant>
        <vt:i4>207</vt:i4>
      </vt:variant>
      <vt:variant>
        <vt:i4>0</vt:i4>
      </vt:variant>
      <vt:variant>
        <vt:i4>5</vt:i4>
      </vt:variant>
      <vt:variant>
        <vt:lpwstr>https://www.legislation.govt.nz/act/public/2008/0089/latest/DLM999802.html</vt:lpwstr>
      </vt:variant>
      <vt:variant>
        <vt:lpwstr/>
      </vt:variant>
      <vt:variant>
        <vt:i4>8060986</vt:i4>
      </vt:variant>
      <vt:variant>
        <vt:i4>204</vt:i4>
      </vt:variant>
      <vt:variant>
        <vt:i4>0</vt:i4>
      </vt:variant>
      <vt:variant>
        <vt:i4>5</vt:i4>
      </vt:variant>
      <vt:variant>
        <vt:lpwstr>https://www.legislation.govt.nz/act/public/2008/0089/latest/DLM999802.html</vt:lpwstr>
      </vt:variant>
      <vt:variant>
        <vt:lpwstr/>
      </vt:variant>
      <vt:variant>
        <vt:i4>1114167</vt:i4>
      </vt:variant>
      <vt:variant>
        <vt:i4>197</vt:i4>
      </vt:variant>
      <vt:variant>
        <vt:i4>0</vt:i4>
      </vt:variant>
      <vt:variant>
        <vt:i4>5</vt:i4>
      </vt:variant>
      <vt:variant>
        <vt:lpwstr/>
      </vt:variant>
      <vt:variant>
        <vt:lpwstr>_Toc153873286</vt:lpwstr>
      </vt:variant>
      <vt:variant>
        <vt:i4>1114167</vt:i4>
      </vt:variant>
      <vt:variant>
        <vt:i4>191</vt:i4>
      </vt:variant>
      <vt:variant>
        <vt:i4>0</vt:i4>
      </vt:variant>
      <vt:variant>
        <vt:i4>5</vt:i4>
      </vt:variant>
      <vt:variant>
        <vt:lpwstr/>
      </vt:variant>
      <vt:variant>
        <vt:lpwstr>_Toc153873285</vt:lpwstr>
      </vt:variant>
      <vt:variant>
        <vt:i4>3014656</vt:i4>
      </vt:variant>
      <vt:variant>
        <vt:i4>185</vt:i4>
      </vt:variant>
      <vt:variant>
        <vt:i4>0</vt:i4>
      </vt:variant>
      <vt:variant>
        <vt:i4>5</vt:i4>
      </vt:variant>
      <vt:variant>
        <vt:lpwstr>https://ministryforenvironment.sharepoint.com/sites/ECM-ER-Comms/Shared Documents/06 - Publications management/Waste/Waste disposal levy/Review of effectiveness of waste levy/Working files/EDITED Review of effectiveness of waste levy.docx</vt:lpwstr>
      </vt:variant>
      <vt:variant>
        <vt:lpwstr>_Toc153873284</vt:lpwstr>
      </vt:variant>
      <vt:variant>
        <vt:i4>1310777</vt:i4>
      </vt:variant>
      <vt:variant>
        <vt:i4>176</vt:i4>
      </vt:variant>
      <vt:variant>
        <vt:i4>0</vt:i4>
      </vt:variant>
      <vt:variant>
        <vt:i4>5</vt:i4>
      </vt:variant>
      <vt:variant>
        <vt:lpwstr/>
      </vt:variant>
      <vt:variant>
        <vt:lpwstr>_Toc153533809</vt:lpwstr>
      </vt:variant>
      <vt:variant>
        <vt:i4>1310777</vt:i4>
      </vt:variant>
      <vt:variant>
        <vt:i4>170</vt:i4>
      </vt:variant>
      <vt:variant>
        <vt:i4>0</vt:i4>
      </vt:variant>
      <vt:variant>
        <vt:i4>5</vt:i4>
      </vt:variant>
      <vt:variant>
        <vt:lpwstr/>
      </vt:variant>
      <vt:variant>
        <vt:lpwstr>_Toc153533808</vt:lpwstr>
      </vt:variant>
      <vt:variant>
        <vt:i4>1310777</vt:i4>
      </vt:variant>
      <vt:variant>
        <vt:i4>164</vt:i4>
      </vt:variant>
      <vt:variant>
        <vt:i4>0</vt:i4>
      </vt:variant>
      <vt:variant>
        <vt:i4>5</vt:i4>
      </vt:variant>
      <vt:variant>
        <vt:lpwstr/>
      </vt:variant>
      <vt:variant>
        <vt:lpwstr>_Toc153533807</vt:lpwstr>
      </vt:variant>
      <vt:variant>
        <vt:i4>1310777</vt:i4>
      </vt:variant>
      <vt:variant>
        <vt:i4>158</vt:i4>
      </vt:variant>
      <vt:variant>
        <vt:i4>0</vt:i4>
      </vt:variant>
      <vt:variant>
        <vt:i4>5</vt:i4>
      </vt:variant>
      <vt:variant>
        <vt:lpwstr/>
      </vt:variant>
      <vt:variant>
        <vt:lpwstr>_Toc153533806</vt:lpwstr>
      </vt:variant>
      <vt:variant>
        <vt:i4>1310777</vt:i4>
      </vt:variant>
      <vt:variant>
        <vt:i4>152</vt:i4>
      </vt:variant>
      <vt:variant>
        <vt:i4>0</vt:i4>
      </vt:variant>
      <vt:variant>
        <vt:i4>5</vt:i4>
      </vt:variant>
      <vt:variant>
        <vt:lpwstr/>
      </vt:variant>
      <vt:variant>
        <vt:lpwstr>_Toc153533805</vt:lpwstr>
      </vt:variant>
      <vt:variant>
        <vt:i4>1310777</vt:i4>
      </vt:variant>
      <vt:variant>
        <vt:i4>146</vt:i4>
      </vt:variant>
      <vt:variant>
        <vt:i4>0</vt:i4>
      </vt:variant>
      <vt:variant>
        <vt:i4>5</vt:i4>
      </vt:variant>
      <vt:variant>
        <vt:lpwstr/>
      </vt:variant>
      <vt:variant>
        <vt:lpwstr>_Toc153533804</vt:lpwstr>
      </vt:variant>
      <vt:variant>
        <vt:i4>1310777</vt:i4>
      </vt:variant>
      <vt:variant>
        <vt:i4>140</vt:i4>
      </vt:variant>
      <vt:variant>
        <vt:i4>0</vt:i4>
      </vt:variant>
      <vt:variant>
        <vt:i4>5</vt:i4>
      </vt:variant>
      <vt:variant>
        <vt:lpwstr/>
      </vt:variant>
      <vt:variant>
        <vt:lpwstr>_Toc153533803</vt:lpwstr>
      </vt:variant>
      <vt:variant>
        <vt:i4>1310777</vt:i4>
      </vt:variant>
      <vt:variant>
        <vt:i4>134</vt:i4>
      </vt:variant>
      <vt:variant>
        <vt:i4>0</vt:i4>
      </vt:variant>
      <vt:variant>
        <vt:i4>5</vt:i4>
      </vt:variant>
      <vt:variant>
        <vt:lpwstr/>
      </vt:variant>
      <vt:variant>
        <vt:lpwstr>_Toc153533802</vt:lpwstr>
      </vt:variant>
      <vt:variant>
        <vt:i4>1310777</vt:i4>
      </vt:variant>
      <vt:variant>
        <vt:i4>128</vt:i4>
      </vt:variant>
      <vt:variant>
        <vt:i4>0</vt:i4>
      </vt:variant>
      <vt:variant>
        <vt:i4>5</vt:i4>
      </vt:variant>
      <vt:variant>
        <vt:lpwstr/>
      </vt:variant>
      <vt:variant>
        <vt:lpwstr>_Toc153533801</vt:lpwstr>
      </vt:variant>
      <vt:variant>
        <vt:i4>1310777</vt:i4>
      </vt:variant>
      <vt:variant>
        <vt:i4>122</vt:i4>
      </vt:variant>
      <vt:variant>
        <vt:i4>0</vt:i4>
      </vt:variant>
      <vt:variant>
        <vt:i4>5</vt:i4>
      </vt:variant>
      <vt:variant>
        <vt:lpwstr/>
      </vt:variant>
      <vt:variant>
        <vt:lpwstr>_Toc153533800</vt:lpwstr>
      </vt:variant>
      <vt:variant>
        <vt:i4>1900598</vt:i4>
      </vt:variant>
      <vt:variant>
        <vt:i4>116</vt:i4>
      </vt:variant>
      <vt:variant>
        <vt:i4>0</vt:i4>
      </vt:variant>
      <vt:variant>
        <vt:i4>5</vt:i4>
      </vt:variant>
      <vt:variant>
        <vt:lpwstr/>
      </vt:variant>
      <vt:variant>
        <vt:lpwstr>_Toc153533799</vt:lpwstr>
      </vt:variant>
      <vt:variant>
        <vt:i4>1900598</vt:i4>
      </vt:variant>
      <vt:variant>
        <vt:i4>110</vt:i4>
      </vt:variant>
      <vt:variant>
        <vt:i4>0</vt:i4>
      </vt:variant>
      <vt:variant>
        <vt:i4>5</vt:i4>
      </vt:variant>
      <vt:variant>
        <vt:lpwstr/>
      </vt:variant>
      <vt:variant>
        <vt:lpwstr>_Toc153533798</vt:lpwstr>
      </vt:variant>
      <vt:variant>
        <vt:i4>1900598</vt:i4>
      </vt:variant>
      <vt:variant>
        <vt:i4>104</vt:i4>
      </vt:variant>
      <vt:variant>
        <vt:i4>0</vt:i4>
      </vt:variant>
      <vt:variant>
        <vt:i4>5</vt:i4>
      </vt:variant>
      <vt:variant>
        <vt:lpwstr/>
      </vt:variant>
      <vt:variant>
        <vt:lpwstr>_Toc153533797</vt:lpwstr>
      </vt:variant>
      <vt:variant>
        <vt:i4>1900598</vt:i4>
      </vt:variant>
      <vt:variant>
        <vt:i4>98</vt:i4>
      </vt:variant>
      <vt:variant>
        <vt:i4>0</vt:i4>
      </vt:variant>
      <vt:variant>
        <vt:i4>5</vt:i4>
      </vt:variant>
      <vt:variant>
        <vt:lpwstr/>
      </vt:variant>
      <vt:variant>
        <vt:lpwstr>_Toc153533796</vt:lpwstr>
      </vt:variant>
      <vt:variant>
        <vt:i4>1179698</vt:i4>
      </vt:variant>
      <vt:variant>
        <vt:i4>89</vt:i4>
      </vt:variant>
      <vt:variant>
        <vt:i4>0</vt:i4>
      </vt:variant>
      <vt:variant>
        <vt:i4>5</vt:i4>
      </vt:variant>
      <vt:variant>
        <vt:lpwstr/>
      </vt:variant>
      <vt:variant>
        <vt:lpwstr>_Toc153442462</vt:lpwstr>
      </vt:variant>
      <vt:variant>
        <vt:i4>1179698</vt:i4>
      </vt:variant>
      <vt:variant>
        <vt:i4>83</vt:i4>
      </vt:variant>
      <vt:variant>
        <vt:i4>0</vt:i4>
      </vt:variant>
      <vt:variant>
        <vt:i4>5</vt:i4>
      </vt:variant>
      <vt:variant>
        <vt:lpwstr/>
      </vt:variant>
      <vt:variant>
        <vt:lpwstr>_Toc153442461</vt:lpwstr>
      </vt:variant>
      <vt:variant>
        <vt:i4>1179698</vt:i4>
      </vt:variant>
      <vt:variant>
        <vt:i4>77</vt:i4>
      </vt:variant>
      <vt:variant>
        <vt:i4>0</vt:i4>
      </vt:variant>
      <vt:variant>
        <vt:i4>5</vt:i4>
      </vt:variant>
      <vt:variant>
        <vt:lpwstr/>
      </vt:variant>
      <vt:variant>
        <vt:lpwstr>_Toc153442460</vt:lpwstr>
      </vt:variant>
      <vt:variant>
        <vt:i4>1114162</vt:i4>
      </vt:variant>
      <vt:variant>
        <vt:i4>71</vt:i4>
      </vt:variant>
      <vt:variant>
        <vt:i4>0</vt:i4>
      </vt:variant>
      <vt:variant>
        <vt:i4>5</vt:i4>
      </vt:variant>
      <vt:variant>
        <vt:lpwstr/>
      </vt:variant>
      <vt:variant>
        <vt:lpwstr>_Toc153442459</vt:lpwstr>
      </vt:variant>
      <vt:variant>
        <vt:i4>1114162</vt:i4>
      </vt:variant>
      <vt:variant>
        <vt:i4>65</vt:i4>
      </vt:variant>
      <vt:variant>
        <vt:i4>0</vt:i4>
      </vt:variant>
      <vt:variant>
        <vt:i4>5</vt:i4>
      </vt:variant>
      <vt:variant>
        <vt:lpwstr/>
      </vt:variant>
      <vt:variant>
        <vt:lpwstr>_Toc153442458</vt:lpwstr>
      </vt:variant>
      <vt:variant>
        <vt:i4>1114162</vt:i4>
      </vt:variant>
      <vt:variant>
        <vt:i4>59</vt:i4>
      </vt:variant>
      <vt:variant>
        <vt:i4>0</vt:i4>
      </vt:variant>
      <vt:variant>
        <vt:i4>5</vt:i4>
      </vt:variant>
      <vt:variant>
        <vt:lpwstr/>
      </vt:variant>
      <vt:variant>
        <vt:lpwstr>_Toc153442457</vt:lpwstr>
      </vt:variant>
      <vt:variant>
        <vt:i4>1114162</vt:i4>
      </vt:variant>
      <vt:variant>
        <vt:i4>53</vt:i4>
      </vt:variant>
      <vt:variant>
        <vt:i4>0</vt:i4>
      </vt:variant>
      <vt:variant>
        <vt:i4>5</vt:i4>
      </vt:variant>
      <vt:variant>
        <vt:lpwstr/>
      </vt:variant>
      <vt:variant>
        <vt:lpwstr>_Toc153442456</vt:lpwstr>
      </vt:variant>
      <vt:variant>
        <vt:i4>1114162</vt:i4>
      </vt:variant>
      <vt:variant>
        <vt:i4>47</vt:i4>
      </vt:variant>
      <vt:variant>
        <vt:i4>0</vt:i4>
      </vt:variant>
      <vt:variant>
        <vt:i4>5</vt:i4>
      </vt:variant>
      <vt:variant>
        <vt:lpwstr/>
      </vt:variant>
      <vt:variant>
        <vt:lpwstr>_Toc153442455</vt:lpwstr>
      </vt:variant>
      <vt:variant>
        <vt:i4>1114162</vt:i4>
      </vt:variant>
      <vt:variant>
        <vt:i4>41</vt:i4>
      </vt:variant>
      <vt:variant>
        <vt:i4>0</vt:i4>
      </vt:variant>
      <vt:variant>
        <vt:i4>5</vt:i4>
      </vt:variant>
      <vt:variant>
        <vt:lpwstr/>
      </vt:variant>
      <vt:variant>
        <vt:lpwstr>_Toc153442454</vt:lpwstr>
      </vt:variant>
      <vt:variant>
        <vt:i4>1114162</vt:i4>
      </vt:variant>
      <vt:variant>
        <vt:i4>35</vt:i4>
      </vt:variant>
      <vt:variant>
        <vt:i4>0</vt:i4>
      </vt:variant>
      <vt:variant>
        <vt:i4>5</vt:i4>
      </vt:variant>
      <vt:variant>
        <vt:lpwstr/>
      </vt:variant>
      <vt:variant>
        <vt:lpwstr>_Toc153442453</vt:lpwstr>
      </vt:variant>
      <vt:variant>
        <vt:i4>1114162</vt:i4>
      </vt:variant>
      <vt:variant>
        <vt:i4>29</vt:i4>
      </vt:variant>
      <vt:variant>
        <vt:i4>0</vt:i4>
      </vt:variant>
      <vt:variant>
        <vt:i4>5</vt:i4>
      </vt:variant>
      <vt:variant>
        <vt:lpwstr/>
      </vt:variant>
      <vt:variant>
        <vt:lpwstr>_Toc153442452</vt:lpwstr>
      </vt:variant>
      <vt:variant>
        <vt:i4>1114162</vt:i4>
      </vt:variant>
      <vt:variant>
        <vt:i4>23</vt:i4>
      </vt:variant>
      <vt:variant>
        <vt:i4>0</vt:i4>
      </vt:variant>
      <vt:variant>
        <vt:i4>5</vt:i4>
      </vt:variant>
      <vt:variant>
        <vt:lpwstr/>
      </vt:variant>
      <vt:variant>
        <vt:lpwstr>_Toc153442451</vt:lpwstr>
      </vt:variant>
      <vt:variant>
        <vt:i4>1114162</vt:i4>
      </vt:variant>
      <vt:variant>
        <vt:i4>17</vt:i4>
      </vt:variant>
      <vt:variant>
        <vt:i4>0</vt:i4>
      </vt:variant>
      <vt:variant>
        <vt:i4>5</vt:i4>
      </vt:variant>
      <vt:variant>
        <vt:lpwstr/>
      </vt:variant>
      <vt:variant>
        <vt:lpwstr>_Toc153442450</vt:lpwstr>
      </vt:variant>
      <vt:variant>
        <vt:i4>1048626</vt:i4>
      </vt:variant>
      <vt:variant>
        <vt:i4>11</vt:i4>
      </vt:variant>
      <vt:variant>
        <vt:i4>0</vt:i4>
      </vt:variant>
      <vt:variant>
        <vt:i4>5</vt:i4>
      </vt:variant>
      <vt:variant>
        <vt:lpwstr/>
      </vt:variant>
      <vt:variant>
        <vt:lpwstr>_Toc153442449</vt:lpwstr>
      </vt:variant>
      <vt:variant>
        <vt:i4>1048626</vt:i4>
      </vt:variant>
      <vt:variant>
        <vt:i4>5</vt:i4>
      </vt:variant>
      <vt:variant>
        <vt:i4>0</vt:i4>
      </vt:variant>
      <vt:variant>
        <vt:i4>5</vt:i4>
      </vt:variant>
      <vt:variant>
        <vt:lpwstr/>
      </vt:variant>
      <vt:variant>
        <vt:lpwstr>_Toc153442448</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JohnsonMi</dc:creator>
  <cp:keywords/>
  <cp:lastModifiedBy>Gemma Freeman</cp:lastModifiedBy>
  <cp:revision>4</cp:revision>
  <cp:lastPrinted>2024-09-03T22:30:00Z</cp:lastPrinted>
  <dcterms:created xsi:type="dcterms:W3CDTF">2024-09-12T01:03:00Z</dcterms:created>
  <dcterms:modified xsi:type="dcterms:W3CDTF">2024-09-12T01:06:00Z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2d538fe0-1e95-4a65-acd7-0bbc6ac4aac1</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